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B428B" w14:textId="77777777" w:rsidR="00263D77" w:rsidRPr="00263D77" w:rsidRDefault="00263D77" w:rsidP="00263D77">
      <w:pPr>
        <w:ind w:firstLine="0"/>
        <w:rPr>
          <w:rtl/>
        </w:rPr>
      </w:pPr>
    </w:p>
    <w:p w14:paraId="32448C63" w14:textId="77777777" w:rsidR="00263D77" w:rsidRPr="00263D77" w:rsidRDefault="00263D77" w:rsidP="00263D77"/>
    <w:p w14:paraId="0ACA8D28" w14:textId="77777777" w:rsidR="00263D77" w:rsidRPr="00263D77" w:rsidRDefault="00263D77" w:rsidP="00263D77">
      <w:pPr>
        <w:rPr>
          <w:rtl/>
        </w:rPr>
      </w:pPr>
    </w:p>
    <w:p w14:paraId="1795ED2F" w14:textId="77777777" w:rsidR="00263D77" w:rsidRPr="00263D77" w:rsidRDefault="00263D77" w:rsidP="00263D77">
      <w:pPr>
        <w:rPr>
          <w:rtl/>
        </w:rPr>
      </w:pPr>
    </w:p>
    <w:p w14:paraId="6DB8D9A5" w14:textId="77777777" w:rsidR="00263D77" w:rsidRPr="00263D77" w:rsidRDefault="00263D77" w:rsidP="00263D77">
      <w:pPr>
        <w:rPr>
          <w:rtl/>
        </w:rPr>
      </w:pPr>
    </w:p>
    <w:p w14:paraId="67828A45" w14:textId="77777777" w:rsidR="00263D77" w:rsidRPr="00263D77" w:rsidRDefault="00263D77" w:rsidP="00263D77">
      <w:pPr>
        <w:ind w:firstLine="0"/>
        <w:rPr>
          <w:rtl/>
        </w:rPr>
      </w:pPr>
      <w:r w:rsidRPr="00263D77">
        <w:rPr>
          <w:noProof/>
          <w:rtl/>
          <w:lang w:val="ar-SA"/>
        </w:rPr>
        <mc:AlternateContent>
          <mc:Choice Requires="wps">
            <w:drawing>
              <wp:anchor distT="0" distB="0" distL="114300" distR="114300" simplePos="0" relativeHeight="251660288" behindDoc="0" locked="0" layoutInCell="1" allowOverlap="1" wp14:anchorId="41CE3CF2" wp14:editId="1812B824">
                <wp:simplePos x="1490133" y="2844800"/>
                <wp:positionH relativeFrom="margin">
                  <wp:align>center</wp:align>
                </wp:positionH>
                <wp:positionV relativeFrom="margin">
                  <wp:align>center</wp:align>
                </wp:positionV>
                <wp:extent cx="4053840" cy="4975860"/>
                <wp:effectExtent l="152400" t="152400" r="175260" b="167640"/>
                <wp:wrapNone/>
                <wp:docPr id="944935708" name="تمرير: رأسي 9"/>
                <wp:cNvGraphicFramePr/>
                <a:graphic xmlns:a="http://schemas.openxmlformats.org/drawingml/2006/main">
                  <a:graphicData uri="http://schemas.microsoft.com/office/word/2010/wordprocessingShape">
                    <wps:wsp>
                      <wps:cNvSpPr/>
                      <wps:spPr>
                        <a:xfrm>
                          <a:off x="0" y="0"/>
                          <a:ext cx="4053840" cy="4975860"/>
                        </a:xfrm>
                        <a:prstGeom prst="verticalScroll">
                          <a:avLst/>
                        </a:prstGeom>
                        <a:solidFill>
                          <a:sysClr val="window" lastClr="FFFFFF"/>
                        </a:solidFill>
                        <a:ln w="12700" cap="flat" cmpd="sng" algn="ctr">
                          <a:solidFill>
                            <a:srgbClr val="4472C4"/>
                          </a:solidFill>
                          <a:prstDash val="solid"/>
                          <a:miter lim="800000"/>
                        </a:ln>
                        <a:effectLst>
                          <a:glow rad="139700">
                            <a:srgbClr val="70AD47">
                              <a:satMod val="175000"/>
                              <a:alpha val="40000"/>
                            </a:srgbClr>
                          </a:glow>
                        </a:effectLst>
                      </wps:spPr>
                      <wps:txbx>
                        <w:txbxContent>
                          <w:p w14:paraId="7543CC3D" w14:textId="77777777" w:rsidR="00263D77" w:rsidRPr="0025206F" w:rsidRDefault="00263D77" w:rsidP="00263D77">
                            <w:pPr>
                              <w:jc w:val="center"/>
                              <w:rPr>
                                <w:b/>
                                <w:bCs/>
                                <w:sz w:val="44"/>
                                <w:szCs w:val="44"/>
                                <w:rtl/>
                              </w:rPr>
                            </w:pPr>
                            <w:r w:rsidRPr="0025206F">
                              <w:rPr>
                                <w:rFonts w:hint="cs"/>
                                <w:b/>
                                <w:bCs/>
                                <w:sz w:val="44"/>
                                <w:szCs w:val="44"/>
                                <w:rtl/>
                              </w:rPr>
                              <w:t>الفصل الأول</w:t>
                            </w:r>
                          </w:p>
                          <w:p w14:paraId="44FF374C" w14:textId="77777777" w:rsidR="00263D77" w:rsidRPr="0025206F" w:rsidRDefault="00263D77" w:rsidP="00263D77">
                            <w:pPr>
                              <w:jc w:val="center"/>
                              <w:rPr>
                                <w:b/>
                                <w:bCs/>
                                <w:sz w:val="44"/>
                                <w:szCs w:val="44"/>
                              </w:rPr>
                            </w:pPr>
                            <w:r w:rsidRPr="0025206F">
                              <w:rPr>
                                <w:rFonts w:hint="cs"/>
                                <w:b/>
                                <w:bCs/>
                                <w:sz w:val="44"/>
                                <w:szCs w:val="44"/>
                                <w:rtl/>
                              </w:rPr>
                              <w:t xml:space="preserve">المقدمة وخلفية الدراسة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1CE3CF2"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9" o:spid="_x0000_s1026" type="#_x0000_t97" style="position:absolute;left:0;text-align:left;margin-left:0;margin-top:0;width:319.2pt;height:391.8pt;z-index:251660288;visibility:visible;mso-wrap-style:square;mso-width-percent:0;mso-wrap-distance-left:9pt;mso-wrap-distance-top:0;mso-wrap-distance-right:9pt;mso-wrap-distance-bottom:0;mso-position-horizontal:center;mso-position-horizontal-relative:margin;mso-position-vertical:center;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" fillcolor="window" strokecolor="#4472c4" strokeweight="1pt">
                <v:stroke joinstyle="miter"/>
                <v:textbox>
                  <w:txbxContent>
                    <w:p w14:paraId="7543CC3D" w14:textId="77777777" w:rsidR="00263D77" w:rsidRPr="0025206F" w:rsidRDefault="00263D77" w:rsidP="00263D77">
                      <w:pPr>
                        <w:jc w:val="center"/>
                        <w:rPr>
                          <w:b/>
                          <w:bCs/>
                          <w:sz w:val="44"/>
                          <w:szCs w:val="44"/>
                          <w:rtl/>
                        </w:rPr>
                      </w:pPr>
                      <w:r w:rsidRPr="0025206F">
                        <w:rPr>
                          <w:rFonts w:hint="cs"/>
                          <w:b/>
                          <w:bCs/>
                          <w:sz w:val="44"/>
                          <w:szCs w:val="44"/>
                          <w:rtl/>
                        </w:rPr>
                        <w:t>الفصل الأول</w:t>
                      </w:r>
                    </w:p>
                    <w:p w14:paraId="44FF374C" w14:textId="77777777" w:rsidR="00263D77" w:rsidRPr="0025206F" w:rsidRDefault="00263D77" w:rsidP="00263D77">
                      <w:pPr>
                        <w:jc w:val="center"/>
                        <w:rPr>
                          <w:b/>
                          <w:bCs/>
                          <w:sz w:val="44"/>
                          <w:szCs w:val="44"/>
                        </w:rPr>
                      </w:pPr>
                      <w:r w:rsidRPr="0025206F">
                        <w:rPr>
                          <w:rFonts w:hint="cs"/>
                          <w:b/>
                          <w:bCs/>
                          <w:sz w:val="44"/>
                          <w:szCs w:val="44"/>
                          <w:rtl/>
                        </w:rPr>
                        <w:t xml:space="preserve">المقدمة وخلفية الدراسة </w:t>
                      </w:r>
                    </w:p>
                  </w:txbxContent>
                </v:textbox>
                <w10:wrap anchorx="margin" anchory="margin"/>
              </v:shape>
            </w:pict>
          </mc:Fallback>
        </mc:AlternateContent>
      </w:r>
    </w:p>
    <w:p w14:paraId="15FF78AC" w14:textId="77777777" w:rsidR="00263D77" w:rsidRPr="00263D77" w:rsidRDefault="00263D77" w:rsidP="00263D77">
      <w:pPr>
        <w:rPr>
          <w:rtl/>
        </w:rPr>
      </w:pPr>
    </w:p>
    <w:p w14:paraId="04C51EC7" w14:textId="77777777" w:rsidR="00263D77" w:rsidRPr="00263D77" w:rsidRDefault="00263D77" w:rsidP="00263D77">
      <w:pPr>
        <w:rPr>
          <w:rtl/>
        </w:rPr>
      </w:pPr>
    </w:p>
    <w:p w14:paraId="193A65ED" w14:textId="77777777" w:rsidR="00263D77" w:rsidRPr="00263D77" w:rsidRDefault="00263D77" w:rsidP="00263D77">
      <w:pPr>
        <w:rPr>
          <w:rtl/>
        </w:rPr>
      </w:pPr>
    </w:p>
    <w:p w14:paraId="70650053" w14:textId="77777777" w:rsidR="00263D77" w:rsidRPr="00263D77" w:rsidRDefault="00263D77" w:rsidP="00263D77">
      <w:pPr>
        <w:rPr>
          <w:rtl/>
        </w:rPr>
      </w:pPr>
    </w:p>
    <w:p w14:paraId="6DCA5813" w14:textId="77777777" w:rsidR="00263D77" w:rsidRPr="00263D77" w:rsidRDefault="00263D77" w:rsidP="00263D77">
      <w:pPr>
        <w:rPr>
          <w:rtl/>
        </w:rPr>
      </w:pPr>
    </w:p>
    <w:p w14:paraId="06A1CEB6" w14:textId="77777777" w:rsidR="00263D77" w:rsidRPr="00263D77" w:rsidRDefault="00263D77" w:rsidP="00263D77">
      <w:pPr>
        <w:rPr>
          <w:rtl/>
        </w:rPr>
      </w:pPr>
    </w:p>
    <w:p w14:paraId="0883CEB3" w14:textId="77777777" w:rsidR="00263D77" w:rsidRPr="00263D77" w:rsidRDefault="00263D77" w:rsidP="00263D77">
      <w:pPr>
        <w:rPr>
          <w:rtl/>
        </w:rPr>
      </w:pPr>
    </w:p>
    <w:p w14:paraId="439D4D71" w14:textId="77777777" w:rsidR="00263D77" w:rsidRPr="00263D77" w:rsidRDefault="00263D77" w:rsidP="00263D77">
      <w:pPr>
        <w:rPr>
          <w:rtl/>
        </w:rPr>
      </w:pPr>
    </w:p>
    <w:p w14:paraId="04B0CC89" w14:textId="77777777" w:rsidR="00263D77" w:rsidRPr="00263D77" w:rsidRDefault="00263D77" w:rsidP="00263D77">
      <w:pPr>
        <w:rPr>
          <w:rtl/>
        </w:rPr>
      </w:pPr>
    </w:p>
    <w:p w14:paraId="0DA34724" w14:textId="77777777" w:rsidR="00263D77" w:rsidRPr="00263D77" w:rsidRDefault="00263D77" w:rsidP="00263D77">
      <w:pPr>
        <w:rPr>
          <w:rtl/>
        </w:rPr>
      </w:pPr>
    </w:p>
    <w:p w14:paraId="4BECD95D" w14:textId="77777777" w:rsidR="00263D77" w:rsidRPr="00263D77" w:rsidRDefault="00263D77" w:rsidP="00263D77">
      <w:pPr>
        <w:rPr>
          <w:rtl/>
        </w:rPr>
      </w:pPr>
    </w:p>
    <w:p w14:paraId="585BA1D8" w14:textId="77777777" w:rsidR="00263D77" w:rsidRPr="00263D77" w:rsidRDefault="00263D77" w:rsidP="00263D77">
      <w:pPr>
        <w:rPr>
          <w:rtl/>
        </w:rPr>
      </w:pPr>
    </w:p>
    <w:p w14:paraId="4E5CCC3C" w14:textId="77777777" w:rsidR="00263D77" w:rsidRPr="00263D77" w:rsidRDefault="00263D77" w:rsidP="00263D77">
      <w:pPr>
        <w:rPr>
          <w:rtl/>
        </w:rPr>
      </w:pPr>
    </w:p>
    <w:p w14:paraId="591401CC" w14:textId="77777777" w:rsidR="00263D77" w:rsidRPr="00263D77" w:rsidRDefault="00263D77" w:rsidP="00263D77">
      <w:pPr>
        <w:rPr>
          <w:rtl/>
        </w:rPr>
      </w:pPr>
    </w:p>
    <w:p w14:paraId="6F95CD71" w14:textId="77777777" w:rsidR="00263D77" w:rsidRPr="00263D77" w:rsidRDefault="00263D77" w:rsidP="00263D77">
      <w:pPr>
        <w:rPr>
          <w:rtl/>
        </w:rPr>
      </w:pPr>
    </w:p>
    <w:p w14:paraId="60F75C30" w14:textId="77777777" w:rsidR="00263D77" w:rsidRPr="00263D77" w:rsidRDefault="00263D77" w:rsidP="00263D77">
      <w:pPr>
        <w:rPr>
          <w:rtl/>
        </w:rPr>
      </w:pPr>
    </w:p>
    <w:p w14:paraId="0C988C43" w14:textId="77777777" w:rsidR="00263D77" w:rsidRPr="00263D77" w:rsidRDefault="00263D77" w:rsidP="00263D77">
      <w:pPr>
        <w:tabs>
          <w:tab w:val="center" w:pos="4393"/>
        </w:tabs>
        <w:ind w:firstLine="0"/>
        <w:rPr>
          <w:rtl/>
        </w:rPr>
        <w:sectPr w:rsidR="00263D77" w:rsidRPr="00263D77" w:rsidSect="00263D77">
          <w:footerReference w:type="default" r:id="rId8"/>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pgNumType w:start="1"/>
          <w:cols w:space="708"/>
          <w:bidi/>
          <w:rtlGutter/>
          <w:docGrid w:linePitch="381"/>
        </w:sectPr>
      </w:pPr>
      <w:r w:rsidRPr="00263D77">
        <w:rPr>
          <w:noProof/>
          <w:rtl/>
          <w:lang w:val="ar-SA"/>
        </w:rPr>
        <mc:AlternateContent>
          <mc:Choice Requires="wps">
            <w:drawing>
              <wp:anchor distT="0" distB="0" distL="114300" distR="114300" simplePos="0" relativeHeight="251662336" behindDoc="0" locked="0" layoutInCell="1" allowOverlap="1" wp14:anchorId="79658D50" wp14:editId="47EB3C42">
                <wp:simplePos x="0" y="0"/>
                <wp:positionH relativeFrom="column">
                  <wp:posOffset>2291503</wp:posOffset>
                </wp:positionH>
                <wp:positionV relativeFrom="paragraph">
                  <wp:posOffset>573617</wp:posOffset>
                </wp:positionV>
                <wp:extent cx="609600" cy="313266"/>
                <wp:effectExtent l="0" t="0" r="0" b="0"/>
                <wp:wrapNone/>
                <wp:docPr id="54521770" name="مستطيل: زوايا مستديرة 16"/>
                <wp:cNvGraphicFramePr/>
                <a:graphic xmlns:a="http://schemas.openxmlformats.org/drawingml/2006/main">
                  <a:graphicData uri="http://schemas.microsoft.com/office/word/2010/wordprocessingShape">
                    <wps:wsp>
                      <wps:cNvSpPr/>
                      <wps:spPr>
                        <a:xfrm>
                          <a:off x="0" y="0"/>
                          <a:ext cx="609600" cy="313266"/>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F5DD45F" id="مستطيل: زوايا مستديرة 16" o:spid="_x0000_s1026" style="position:absolute;left:0;text-align:left;margin-left:180.45pt;margin-top:45.15pt;width:48pt;height:24.6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" fillcolor="window" stroked="f" strokeweight="1pt">
                <v:stroke joinstyle="miter"/>
              </v:roundrect>
            </w:pict>
          </mc:Fallback>
        </mc:AlternateContent>
      </w:r>
      <w:r w:rsidRPr="00263D77">
        <w:rPr>
          <w:rtl/>
        </w:rPr>
        <w:tab/>
      </w:r>
    </w:p>
    <w:p w14:paraId="53498C41" w14:textId="77777777" w:rsidR="00263D77" w:rsidRPr="00263D77" w:rsidRDefault="00263D77" w:rsidP="00263D77">
      <w:pPr>
        <w:keepNext/>
        <w:keepLines/>
        <w:spacing w:before="120"/>
        <w:outlineLvl w:val="0"/>
        <w:rPr>
          <w:rFonts w:asciiTheme="majorHAnsi" w:eastAsiaTheme="majorEastAsia" w:hAnsiTheme="majorHAnsi"/>
          <w:bCs/>
          <w:color w:val="4472C4" w:themeColor="accent1"/>
          <w:sz w:val="36"/>
          <w:szCs w:val="36"/>
          <w:rtl/>
        </w:rPr>
      </w:pPr>
      <w:bookmarkStart w:id="0" w:name="_Toc223666025"/>
      <w:bookmarkStart w:id="1" w:name="_Toc234717605"/>
      <w:r w:rsidRPr="00263D77">
        <w:rPr>
          <w:rFonts w:asciiTheme="majorHAnsi" w:eastAsiaTheme="majorEastAsia" w:hAnsiTheme="majorHAnsi"/>
          <w:bCs/>
          <w:color w:val="4472C4" w:themeColor="accent1"/>
          <w:sz w:val="36"/>
          <w:szCs w:val="36"/>
          <w:rtl/>
        </w:rPr>
        <w:lastRenderedPageBreak/>
        <w:t>المقدمة</w:t>
      </w:r>
      <w:bookmarkEnd w:id="0"/>
      <w:bookmarkEnd w:id="1"/>
    </w:p>
    <w:p w14:paraId="47967001" w14:textId="77777777" w:rsidR="00263D77" w:rsidRPr="00263D77" w:rsidRDefault="00263D77" w:rsidP="00263D77">
      <w:pPr>
        <w:rPr>
          <w:rtl/>
        </w:rPr>
      </w:pPr>
      <w:r w:rsidRPr="00263D77">
        <w:rPr>
          <w:rtl/>
        </w:rPr>
        <w:t xml:space="preserve">في ظل بيئات المؤسسات المعاصرة المعقّدة والمثقلة بعدم اليقين، يعدّ مفهوم إدارة المخاطر أداةً مركزية للاستدامة وتحسين الأداء المؤسسي. وفقًا للمبادئ الدولية المعتمدة في معيار </w:t>
      </w:r>
      <w:r w:rsidRPr="00263D77">
        <w:t>ISO 31000:2018</w:t>
      </w:r>
      <w:r w:rsidRPr="00263D77">
        <w:rPr>
          <w:rtl/>
        </w:rPr>
        <w:t>، فإن إدارة المخاطر تمثل عملية منهجية متكاملة تهدف إلى تحديد وتقييم ومعالجة المخاطر المرتبطة بتحقيق الأهداف المؤسسية، بما يسهم في التخفيف من الآثار السلبية وتعظيم الفرص المحتملة، مما يعزّز قدرة المنظمات على اتخاذ قرارات مدروسة وتحقيق نتائج أكثر فعالية واستدامة.</w:t>
      </w:r>
      <w:sdt>
        <w:sdtPr>
          <w:rPr>
            <w:rtl/>
          </w:rPr>
          <w:id w:val="1434019113"/>
          <w:citation/>
        </w:sdtPr>
        <w:sdtEndPr/>
        <w:sdtContent>
          <w:r w:rsidRPr="00263D77">
            <w:rPr>
              <w:rtl/>
            </w:rPr>
            <w:fldChar w:fldCharType="begin"/>
          </w:r>
          <w:r w:rsidRPr="00263D77">
            <w:rPr>
              <w:rtl/>
            </w:rPr>
            <w:instrText xml:space="preserve"> </w:instrText>
          </w:r>
          <w:r w:rsidRPr="00263D77">
            <w:instrText>CITATION</w:instrText>
          </w:r>
          <w:r w:rsidRPr="00263D77">
            <w:rPr>
              <w:rtl/>
            </w:rPr>
            <w:instrText xml:space="preserve"> الع15 \</w:instrText>
          </w:r>
          <w:r w:rsidRPr="00263D77">
            <w:instrText>l 1025</w:instrText>
          </w:r>
          <w:r w:rsidRPr="00263D77">
            <w:rPr>
              <w:rtl/>
            </w:rPr>
            <w:instrText xml:space="preserve"> </w:instrText>
          </w:r>
          <w:r w:rsidRPr="00263D77">
            <w:rPr>
              <w:rtl/>
            </w:rPr>
            <w:fldChar w:fldCharType="separate"/>
          </w:r>
          <w:r w:rsidRPr="00263D77">
            <w:rPr>
              <w:noProof/>
              <w:rtl/>
            </w:rPr>
            <w:t xml:space="preserve"> (العنزي و الديلمي، 2015)</w:t>
          </w:r>
          <w:r w:rsidRPr="00263D77">
            <w:rPr>
              <w:rtl/>
            </w:rPr>
            <w:fldChar w:fldCharType="end"/>
          </w:r>
        </w:sdtContent>
      </w:sdt>
    </w:p>
    <w:p w14:paraId="7153C0C2" w14:textId="77777777" w:rsidR="00263D77" w:rsidRPr="00263D77" w:rsidRDefault="00263D77" w:rsidP="00263D77">
      <w:pPr>
        <w:rPr>
          <w:rtl/>
        </w:rPr>
      </w:pPr>
      <w:r w:rsidRPr="00263D77">
        <w:rPr>
          <w:rtl/>
        </w:rPr>
        <w:t>عند الانتقال من المفهوم العام لإدارة المخاطر إلى السياق التنظيمي والحوكمي، تبرز أهمية تطبيق هذه المنهجية في الأنظمة التنظيمية والرقابية ذات الحساسية العالية، مثل أنظمة الصحة النباتية والحيوانية التي ترتبط مباشرة بحماية الحياة الزراعية والرفاه الاقتصادي والاجتماعي. في هذا الإطار، تُعدّ إدارة المخاطر جزءًا لا يتجزأ من حوكمة الأنظمة الرقابية، حيث تُستخدم أدوات تحليل المخاطر وتقييمها لمعالجة التهديدات الحيوية، وتطوير خطط وقائية وتنفيذ استراتيجيات تخفيف فعّالة تساهم في تعزيز قدرة هذه الأنظمة على الاستجابة للتحديات المستجدة.</w:t>
      </w:r>
      <w:sdt>
        <w:sdtPr>
          <w:rPr>
            <w:rtl/>
          </w:rPr>
          <w:id w:val="-1844085802"/>
          <w:citation/>
        </w:sdtPr>
        <w:sdtEndPr/>
        <w:sdtContent>
          <w:r w:rsidRPr="00263D77">
            <w:rPr>
              <w:rtl/>
            </w:rPr>
            <w:fldChar w:fldCharType="begin"/>
          </w:r>
          <w:r w:rsidRPr="00263D77">
            <w:rPr>
              <w:rtl/>
            </w:rPr>
            <w:instrText xml:space="preserve"> </w:instrText>
          </w:r>
          <w:r w:rsidRPr="00263D77">
            <w:instrText>CITATION</w:instrText>
          </w:r>
          <w:r w:rsidRPr="00263D77">
            <w:rPr>
              <w:rtl/>
            </w:rPr>
            <w:instrText xml:space="preserve"> الن15 \</w:instrText>
          </w:r>
          <w:r w:rsidRPr="00263D77">
            <w:instrText>l 1025</w:instrText>
          </w:r>
          <w:r w:rsidRPr="00263D77">
            <w:rPr>
              <w:rtl/>
            </w:rPr>
            <w:instrText xml:space="preserve"> </w:instrText>
          </w:r>
          <w:r w:rsidRPr="00263D77">
            <w:rPr>
              <w:rtl/>
            </w:rPr>
            <w:fldChar w:fldCharType="separate"/>
          </w:r>
          <w:r w:rsidRPr="00263D77">
            <w:rPr>
              <w:noProof/>
              <w:rtl/>
            </w:rPr>
            <w:t xml:space="preserve"> (النجار، 2015)</w:t>
          </w:r>
          <w:r w:rsidRPr="00263D77">
            <w:rPr>
              <w:rtl/>
            </w:rPr>
            <w:fldChar w:fldCharType="end"/>
          </w:r>
        </w:sdtContent>
      </w:sdt>
    </w:p>
    <w:p w14:paraId="3516CFFC" w14:textId="77777777" w:rsidR="00263D77" w:rsidRPr="00263D77" w:rsidRDefault="00263D77" w:rsidP="00263D77">
      <w:pPr>
        <w:spacing w:before="100" w:beforeAutospacing="1" w:after="100" w:afterAutospacing="1"/>
        <w:rPr>
          <w:rFonts w:eastAsia="Times New Roman"/>
          <w:kern w:val="0"/>
          <w:rtl/>
          <w14:ligatures w14:val="none"/>
        </w:rPr>
      </w:pPr>
      <w:r w:rsidRPr="00263D77">
        <w:rPr>
          <w:rtl/>
        </w:rPr>
        <w:t>في السياق التنظيمي لأنظمة الصحة النباتية والحيوانية، تُستخدم أطر دولية متعددة لتأسيس حوكمة فعّالة تشمل المبادئ التوجيهية للاتفاقيات الدولية، مثل الاتفاقية الدولية لوقاية النباتات (</w:t>
      </w:r>
      <w:r w:rsidRPr="00263D77">
        <w:t>IPPC</w:t>
      </w:r>
      <w:r w:rsidRPr="00263D77">
        <w:rPr>
          <w:rtl/>
        </w:rPr>
        <w:t xml:space="preserve">) التي تسعى إلى تعزيز الصحة النباتية، وتحسين قدرات الدول في الوقاية من الآفات المرضية، وتوحيد إطار العمل القائم على الأدلة العلمية. يعكس هذا النهج المتكامل الطبيعة متعددة الأبعاد لهذه الأنظمة التي تتراوح بين الوقاية، والمراقبة، والاستجابة السريعة للأحداث الطارئة.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{"citationID":"31gY8cDL","properties":{"unsorted":false,"formattedCitation":"(Baker et al., 2014)","plainCitation":"(Baker et al., 2014)","noteIndex":0},"citationItems":[{"id":897,"uris":["http://zotero.org/users/18677334/items/FGKUBGBB"],"itemData":{"id":897,"type":"article-journal","abstract":"Following unprecedented publicity concerning pest threats to UK trees in 2012, a review body recommended that a UK Plant Health Risk Register (RR) be developed to assist with the prioritisation of actions to reduce the threats posed by the major pests of plant health importance. The RR that has been developed assigns relative risk ratings to pests according to appropriate scenarios, e.g. introduction for pests that are absent. The ratings were based on rules created to summarise the likelihoods of occurrence and impacts taking into account information on the pests and factors such as their pathways, hosts, distribution, spread and impacts. Expert judgement was used where information</w:instrText>
      </w:r>
      <w:r w:rsidRPr="00263D77">
        <w:rPr>
          <w:rFonts w:eastAsia="Times New Roman"/>
          <w:kern w:val="0"/>
          <w:rtl/>
          <w14:ligatures w14:val="none"/>
        </w:rPr>
        <w:instrText xml:space="preserve"> </w:instrText>
      </w:r>
      <w:r w:rsidRPr="00263D77">
        <w:rPr>
          <w:rFonts w:eastAsia="Times New Roman"/>
          <w:kern w:val="0"/>
          <w14:ligatures w14:val="none"/>
        </w:rPr>
        <w:instrText>is lacking. A score referred to as ‘the value at risk’ was obtained from economic and environmental data to produce risk ratings that reflect the value of the host sector to the UK. Risk ratings in the absence of mitigations (risk management actions) were compared with those that take existing actions into account to identify species that are priorities for additional actions, e.g. to enhance regulation or conduct pest risk analyses. The RR is now used routinely to support decision making and further developments are planned.","container-title":"EPPO Bulletin","DOI":"10.1111/epp.12130","ISSN":"1365-2338","issue":"2","language":"fr","license":"© 2014 Crown copyright. EPPO Bulletin © 2014 OEPP/EPPO","note":"_eprint: https://onlinelibrary.wiley.com/doi/pdf</w:instrText>
      </w:r>
      <w:r w:rsidRPr="00263D77">
        <w:rPr>
          <w:rFonts w:eastAsia="Times New Roman"/>
          <w:kern w:val="0"/>
          <w:rtl/>
          <w14:ligatures w14:val="none"/>
        </w:rPr>
        <w:instrText>/10.1111/</w:instrText>
      </w:r>
      <w:r w:rsidRPr="00263D77">
        <w:rPr>
          <w:rFonts w:eastAsia="Times New Roman"/>
          <w:kern w:val="0"/>
          <w14:ligatures w14:val="none"/>
        </w:rPr>
        <w:instrText>epp.12130","page":"187-194","source":"Wiley Online Library","title":"The UK Plant Health Risk Register: a tool for prioritizing actions","title-short":"The UK Plant Health Risk Register","volume":"44","author":[{"family":"Baker","given":"R. H. A</w:instrText>
      </w:r>
      <w:r w:rsidRPr="00263D77">
        <w:rPr>
          <w:rFonts w:eastAsia="Times New Roman"/>
          <w:kern w:val="0"/>
          <w:rtl/>
          <w14:ligatures w14:val="none"/>
        </w:rPr>
        <w:instrText>."},{"</w:instrText>
      </w:r>
      <w:r w:rsidRPr="00263D77">
        <w:rPr>
          <w:rFonts w:eastAsia="Times New Roman"/>
          <w:kern w:val="0"/>
          <w14:ligatures w14:val="none"/>
        </w:rPr>
        <w:instrText>family":"Anderson","given":"H."},{"family":"Bishop","given":"S."},{"family":"MacLeod","given":"A."},{"family":"Parkinson","given":"N."},{"family":"Tuffen","given":"M. G."}],"issued":{"date-parts":[["2014"]]}}}],"schema":"https://github.com/citation-style-language/schema/raw/master/csl-citation.json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szCs w:val="22"/>
        </w:rPr>
        <w:t>(Baker et al., 2014)</w:t>
      </w:r>
      <w:r w:rsidRPr="00263D77">
        <w:rPr>
          <w:rFonts w:eastAsia="Times New Roman"/>
          <w:kern w:val="0"/>
          <w:rtl/>
          <w14:ligatures w14:val="none"/>
        </w:rPr>
        <w:fldChar w:fldCharType="end"/>
      </w:r>
    </w:p>
    <w:p w14:paraId="4735B39D" w14:textId="77777777" w:rsidR="00263D77" w:rsidRPr="00263D77" w:rsidRDefault="00263D77" w:rsidP="00263D77">
      <w:pPr>
        <w:rPr>
          <w:rtl/>
        </w:rPr>
      </w:pPr>
      <w:r w:rsidRPr="00263D77">
        <w:rPr>
          <w:rtl/>
        </w:rPr>
        <w:t>تستند مؤشرات الأداء في المؤسسات العامة، لا سيما الجهات الرقابية، إلى أدوات قياس كمية ونوعية تُستخدم لرصد مستوى الفعالية والكفاءة وتحقيق الأهداف الاستراتيجية. يشير الأدب الأكاديمي إلى أن نظم قياس الأداء في القطاع العام تواجه تحديات متعددة، منها صعوبة ربط النتائج بالمخرجات التنظيمية، وتداخل الأدوار بين الجهات المسؤولة، والحاجة إلى تصميم مؤشرات تعكس القيمة الحقيقية للخدمات العامة المقدّمة</w:t>
      </w:r>
      <w:r w:rsidRPr="00263D77">
        <w:rPr>
          <w:rtl/>
        </w:rPr>
        <w:fldChar w:fldCharType="begin"/>
      </w:r>
      <w:r w:rsidRPr="00263D77">
        <w:rPr>
          <w:rtl/>
        </w:rPr>
        <w:instrText xml:space="preserve"> </w:instrText>
      </w:r>
      <w:r w:rsidRPr="00263D77">
        <w:instrText>ADDIN ZOTERO_ITEM CSL_CITATION {"citationID":"AUsV9xqw","properties":{"formattedCitation":"(Abdul Rasid \\uc0\\u1608{}\\uc0\\u1570{}\\uc0\\u1582{}\\uc0\\u1585{}\\uc0\\u1608{}\\uc0\\u1606{}, 2017)","plainCitation":"(Abdul Rasid</w:instrText>
      </w:r>
      <w:r w:rsidRPr="00263D77">
        <w:rPr>
          <w:rtl/>
        </w:rPr>
        <w:instrText xml:space="preserve"> وآخرون, 2017)","</w:instrText>
      </w:r>
      <w:r w:rsidRPr="00263D77">
        <w:instrText>noteIndex</w:instrText>
      </w:r>
      <w:r w:rsidRPr="00263D77">
        <w:rPr>
          <w:rtl/>
        </w:rPr>
        <w:instrText>":0},"</w:instrText>
      </w:r>
      <w:r w:rsidRPr="00263D77">
        <w:instrText>citationItems":[{"id":902,"uris":["http://zotero.org/users/18677334/items/95XG9GDY"],"itemData":{"id":902,"type":"article-journal","abstract":"There has been a call for integrating a strategic performance measurement system and enterprise risk management (ERM) as a proposed best practice for risk management. This study examines the effects of ERM and performance measurement systems (PMS) on organizational performance. In addition, this study also examines the effects of a linked ERM-PMS tool on organizational performance. The research method involved administering an online questionnaire survey to 196 public listed firms. The respondents were the head of risk management department of the firms. In the case of ERM and PMS effects on organizational performance, the result of simple linear regression supported the research hypotheses. However the results from the moderated multiple regression which was employed to test the joint effect of ERM and PMS on organizational performance did not support the research hypothesis. Based on the study results it is recommended that firms may practice ERM and PMS separately rather than linking them together, since their integration may complicate the PMS framework.  Keywords: Enterprise Risk Management; Performance Measurement System; Balanced Scorecard; Organizational Performance.","container-title":"International Journal of Business and Society","DOI":"10.33736/ijbs.543.2017","ISSN":"1511-6670","issue":"2","journalAbbreviation":"IJBS","source":"DOI.org (Crossref)</w:instrText>
      </w:r>
      <w:r w:rsidRPr="00263D77">
        <w:rPr>
          <w:rtl/>
        </w:rPr>
        <w:instrText>","</w:instrText>
      </w:r>
      <w:r w:rsidRPr="00263D77">
        <w:instrText>title":"ENTERPRISE RISK MANAGEMENT, PERFORMANCE MEASUREMENT SYSTEMS AND ORGANIZATIONAL PERFORMANCE IN MALAYSIAN PUBLIC LISTED FIRMS","URL":"http://publisher.unimas.my/ojs/index.php/IJBS/article/view/543","volume":"18","author":[{"family":"Abdul Rasid","given":"Siti Zaleha"},{"family":"Golshan","given":"Nargess"},{"family":"Mokhber","given":"Mozhdeh"},{"family":"Tan","given":"Gi-Gi"},{"family":"Mohd-Zamil","given":"Nor Aiza"}],"accessed":{"date-parts":[["2026",3,3]]},"issued":{"date-parts":[["2017",11,24</w:instrText>
      </w:r>
      <w:r w:rsidRPr="00263D77">
        <w:rPr>
          <w:rtl/>
        </w:rPr>
        <w:instrText>]]}}}],"</w:instrText>
      </w:r>
      <w:r w:rsidRPr="00263D77">
        <w:instrText>schema":"https://github.com/citation-style-language/schema/raw/master/csl-citation.json</w:instrText>
      </w:r>
      <w:r w:rsidRPr="00263D77">
        <w:rPr>
          <w:rtl/>
        </w:rPr>
        <w:instrText xml:space="preserve">"} </w:instrText>
      </w:r>
      <w:r w:rsidRPr="00263D77">
        <w:rPr>
          <w:rtl/>
        </w:rPr>
        <w:fldChar w:fldCharType="separate"/>
      </w:r>
      <w:r w:rsidRPr="00263D77">
        <w:rPr>
          <w:kern w:val="0"/>
        </w:rPr>
        <w:t xml:space="preserve">(Abdul Rasid </w:t>
      </w:r>
      <w:r w:rsidRPr="00263D77">
        <w:rPr>
          <w:kern w:val="0"/>
          <w:rtl/>
        </w:rPr>
        <w:t>وآخرون, 2017</w:t>
      </w:r>
      <w:r w:rsidRPr="00263D77">
        <w:rPr>
          <w:kern w:val="0"/>
        </w:rPr>
        <w:t>)</w:t>
      </w:r>
      <w:r w:rsidRPr="00263D77">
        <w:rPr>
          <w:rtl/>
        </w:rPr>
        <w:fldChar w:fldCharType="end"/>
      </w:r>
    </w:p>
    <w:p w14:paraId="7238694C" w14:textId="77777777" w:rsidR="00263D77" w:rsidRPr="00263D77" w:rsidRDefault="00263D77" w:rsidP="00263D77">
      <w:pPr>
        <w:rPr>
          <w:rtl/>
        </w:rPr>
      </w:pPr>
      <w:r w:rsidRPr="00263D77">
        <w:rPr>
          <w:rtl/>
        </w:rPr>
        <w:t xml:space="preserve">في المملكة العربية السعودية، ومع تزايد تعقيد البيئة البيطرية والزراعية والاهتمام الوطني بتطوير الأنظمة الرقابية الحيوية، تبرز الحاجة إلى دراسة أثر تطبيق منهجيات إدارة المخاطر في تحسين مؤشرات أداء الجهات التنظيمية المختصة، مثل مركز وقاء. فبينما تُظهر الأدبيات وجود أطر عامة لإدارة المخاطر وأنظمة قياس الأداء، لا يزال هناك فجوة واضحة في البحث التطبيقي الذي يقيس </w:t>
      </w:r>
      <w:r w:rsidRPr="00263D77">
        <w:rPr>
          <w:rtl/>
        </w:rPr>
        <w:lastRenderedPageBreak/>
        <w:t>تأثير هذه المنهجيات على تحسين النتائج التشغيلية والتنظيمية في السياقات المحلية، مما يبرر إجراء هذه الدراسة.</w:t>
      </w:r>
    </w:p>
    <w:p w14:paraId="792C6B96" w14:textId="77777777" w:rsidR="00263D77" w:rsidRPr="00263D77" w:rsidRDefault="00263D77" w:rsidP="00263D77">
      <w:pPr>
        <w:keepNext/>
        <w:keepLines/>
        <w:spacing w:before="120"/>
        <w:outlineLvl w:val="0"/>
        <w:rPr>
          <w:rFonts w:asciiTheme="majorHAnsi" w:eastAsiaTheme="majorEastAsia" w:hAnsiTheme="majorHAnsi"/>
          <w:bCs/>
          <w:color w:val="4472C4" w:themeColor="accent1"/>
          <w:sz w:val="36"/>
          <w:szCs w:val="36"/>
          <w:rtl/>
        </w:rPr>
      </w:pPr>
      <w:bookmarkStart w:id="2" w:name="_Toc223666026"/>
      <w:bookmarkStart w:id="3" w:name="_Toc234717606"/>
      <w:r w:rsidRPr="00263D77">
        <w:rPr>
          <w:rFonts w:asciiTheme="majorHAnsi" w:eastAsiaTheme="majorEastAsia" w:hAnsiTheme="majorHAnsi"/>
          <w:bCs/>
          <w:color w:val="4472C4" w:themeColor="accent1"/>
          <w:sz w:val="36"/>
          <w:szCs w:val="36"/>
          <w:rtl/>
        </w:rPr>
        <w:t>مشكلة البحث</w:t>
      </w:r>
      <w:bookmarkEnd w:id="2"/>
      <w:bookmarkEnd w:id="3"/>
    </w:p>
    <w:p w14:paraId="382857BF" w14:textId="77777777" w:rsidR="00263D77" w:rsidRPr="00263D77" w:rsidRDefault="00263D77" w:rsidP="00263D77">
      <w:pPr>
        <w:rPr>
          <w:rtl/>
        </w:rPr>
      </w:pPr>
      <w:r w:rsidRPr="00263D77">
        <w:rPr>
          <w:rtl/>
        </w:rPr>
        <w:t>تواجه أنظمة الصحة النباتية والحيوانية تحديات كبيرة في إدارة المخاطر الحيوية والبيئية، والتي تتضمن انتشار الأمراض الحيوانية والنباتية، والآفات، والمخاطر الناتجة عن استيراد المنتجات الزراعية والحيوانية، إضافةً إلى التغيرات المناخية التي تزيد من احتمالية انتشار هذه المخاطر (</w:t>
      </w:r>
      <w:r w:rsidRPr="00263D77">
        <w:t>FAO, 2023; OIE, 2022</w:t>
      </w:r>
      <w:r w:rsidRPr="00263D77">
        <w:rPr>
          <w:rtl/>
        </w:rPr>
        <w:t>). على الرغم من اعتماد العديد من المؤسسات على أطر الحوكمة والتنظيم الرقابي، إلا أن فعالية هذه الأنظمة غالبًا ما تتأثر بنقص التكامل بين تقييم المخاطر وتطوير استراتيجيات التعامل معها، مما يؤدي إلى ضعف مؤشرات الأداء وعدم القدرة على تحقيق الأهداف الاستراتيجية المرجوة.</w:t>
      </w:r>
      <w:r w:rsidRPr="00263D77">
        <w:rPr>
          <w:rtl/>
        </w:rPr>
        <w:fldChar w:fldCharType="begin"/>
      </w:r>
      <w:r w:rsidRPr="00263D77">
        <w:rPr>
          <w:rtl/>
        </w:rPr>
        <w:instrText xml:space="preserve"> </w:instrText>
      </w:r>
      <w:r w:rsidRPr="00263D77">
        <w:instrText>ADDIN ZOTERO_ITEM CSL_CITATION {"citationID":"ar71DSOk","properties":{"formattedCitation":"(\\uc0\\u1575{}\\uc0\\u1604{}\\uc0\\u1593{}\\uc0\\u1606{}\\uc0\\u1586{}\\uc0\\u1610{}, 2024)","plainCitation</w:instrText>
      </w:r>
      <w:r w:rsidRPr="00263D77">
        <w:rPr>
          <w:rtl/>
        </w:rPr>
        <w:instrText>":"(العنزي, 2024)","</w:instrText>
      </w:r>
      <w:r w:rsidRPr="00263D77">
        <w:instrText>noteIndex":0},"citationItems":[{"id</w:instrText>
      </w:r>
      <w:r w:rsidRPr="00263D77">
        <w:rPr>
          <w:rtl/>
        </w:rPr>
        <w:instrText>":863,"</w:instrText>
      </w:r>
      <w:r w:rsidRPr="00263D77">
        <w:instrText>uris":["http://zotero.org/users/18677334/items/3CY9V66S"],"itemData":{"id":863,"type":"article-journal","abstract</w:instrText>
      </w:r>
      <w:r w:rsidRPr="00263D77">
        <w:rPr>
          <w:rtl/>
        </w:rPr>
        <w:instrText>":"هدفت هذه الدراسة إلى التعرف على أثر إدارة مخاطر المشروع بأبعادها المختلفة (تحديد المخاطر، تقييم المخاطر، الاستجابة للمخاطر، مراقبة المخاطر) على نجاح المشروعات بأبعادها (تقليل المخاطر، تعزيز الشفافية والاستخدام الأمثل للموارد، خفض التكاليف) في الشركات الخاصة بالمنطقة الشرقية. اعتمدت الدراسة على المنهج الوصفي التحليلي، وتم تصميم استبانة لهذا الغرض. تكون مجتمع الدراسة من العاملين في مشاريع الشركات الخاصة بالمنطقة الشرقية. نظراً لصعوبة إجراء الحصر الشامل لكافة أفراد مجتمع الدراسة، فقد تم استخدام أسلوب العينات العشوائية البسيطة من خلال نشر رابط الاستبيان على مواقع التواصل الاجتماعي الخاصة بأفراد مجتمع الدراسة. بلغ عدد أفراد عينة الدراسة 400 فرد، وهم الذين أجابوا على أسئلة استمارة الاستبيان. تم استخدام برنامج الرزم الإحصائية للدراسات الاجتماعية (</w:instrText>
      </w:r>
      <w:r w:rsidRPr="00263D77">
        <w:instrText>SPSS</w:instrText>
      </w:r>
      <w:r w:rsidRPr="00263D77">
        <w:rPr>
          <w:rtl/>
        </w:rPr>
        <w:instrText>) لتحليل البيانات","</w:instrText>
      </w:r>
      <w:r w:rsidRPr="00263D77">
        <w:instrText>container-title":"Arab Journal for Scientific Publishing","DOI":"10.36571/ajsp7112","ISSN":"27082806, 26635798","issue":"71</w:instrText>
      </w:r>
      <w:r w:rsidRPr="00263D77">
        <w:rPr>
          <w:rtl/>
        </w:rPr>
        <w:instrText>","</w:instrText>
      </w:r>
      <w:r w:rsidRPr="00263D77">
        <w:instrText>journalAbbreviation</w:instrText>
      </w:r>
      <w:r w:rsidRPr="00263D77">
        <w:rPr>
          <w:rtl/>
        </w:rPr>
        <w:instrText>":"المجلة العربية للنشر العلمي","</w:instrText>
      </w:r>
      <w:r w:rsidRPr="00263D77">
        <w:instrText>language":"ar","page":"300-329","source":"DOI.org (Crossref)","title</w:instrText>
      </w:r>
      <w:r w:rsidRPr="00263D77">
        <w:rPr>
          <w:rtl/>
        </w:rPr>
        <w:instrText>":"أثر تطبيق استراتيجيات إدارة المخاطر على نجاح المشروعات: دراسة تطبيقية على الشركات الخاصة بالمنطقة الشرقية","</w:instrText>
      </w:r>
      <w:r w:rsidRPr="00263D77">
        <w:instrText>title-short</w:instrText>
      </w:r>
      <w:r w:rsidRPr="00263D77">
        <w:rPr>
          <w:rtl/>
        </w:rPr>
        <w:instrText>":"\"أثر تطبيق استراتيجيات إدارة المخاطر على نجاح المشروعات","</w:instrText>
      </w:r>
      <w:r w:rsidRPr="00263D77">
        <w:instrText>volume":"7","author</w:instrText>
      </w:r>
      <w:r w:rsidRPr="00263D77">
        <w:rPr>
          <w:rtl/>
        </w:rPr>
        <w:instrText>":[{"</w:instrText>
      </w:r>
      <w:r w:rsidRPr="00263D77">
        <w:instrText>family</w:instrText>
      </w:r>
      <w:r w:rsidRPr="00263D77">
        <w:rPr>
          <w:rtl/>
        </w:rPr>
        <w:instrText>":"العنزي","</w:instrText>
      </w:r>
      <w:r w:rsidRPr="00263D77">
        <w:instrText>given</w:instrText>
      </w:r>
      <w:r w:rsidRPr="00263D77">
        <w:rPr>
          <w:rtl/>
        </w:rPr>
        <w:instrText>":"عزيزه خلف"}],"</w:instrText>
      </w:r>
      <w:r w:rsidRPr="00263D77">
        <w:instrText>issued":{"date-parts</w:instrText>
      </w:r>
      <w:r w:rsidRPr="00263D77">
        <w:rPr>
          <w:rtl/>
        </w:rPr>
        <w:instrText>":[["2024",9,2]]</w:instrText>
      </w:r>
      <w:r w:rsidRPr="00263D77">
        <w:instrText>}}}],"schema":"https://github.com/citation-style-language/schema/raw/master/csl-citation.json</w:instrText>
      </w:r>
      <w:r w:rsidRPr="00263D77">
        <w:rPr>
          <w:rtl/>
        </w:rPr>
        <w:instrText xml:space="preserve">"} </w:instrText>
      </w:r>
      <w:r w:rsidRPr="00263D77">
        <w:rPr>
          <w:rtl/>
        </w:rPr>
        <w:fldChar w:fldCharType="separate"/>
      </w:r>
      <w:r w:rsidRPr="00263D77">
        <w:rPr>
          <w:kern w:val="0"/>
          <w:rtl/>
        </w:rPr>
        <w:t>(العنزي, 2024)</w:t>
      </w:r>
      <w:r w:rsidRPr="00263D77">
        <w:rPr>
          <w:rtl/>
        </w:rPr>
        <w:fldChar w:fldCharType="end"/>
      </w:r>
    </w:p>
    <w:p w14:paraId="7EBB16C5" w14:textId="77777777" w:rsidR="00263D77" w:rsidRPr="00263D77" w:rsidRDefault="00263D77" w:rsidP="00263D77">
      <w:pPr>
        <w:rPr>
          <w:rtl/>
        </w:rPr>
      </w:pPr>
      <w:r w:rsidRPr="00263D77">
        <w:rPr>
          <w:rtl/>
        </w:rPr>
        <w:t xml:space="preserve">تشير الدراسات الدولية إلى أن تطبيق منهجيات إدارة المخاطر الشاملة، والتي تشمل مراحل تحديد المخاطر، تقييم المخاطر، وتطوير استراتيجيات التعامل معها، يمكن أن يسهم بشكل ملموس في تحسين الأداء المؤسسي للمنظمات الرقابية الحيوية </w:t>
      </w:r>
      <w:sdt>
        <w:sdtPr>
          <w:rPr>
            <w:rtl/>
          </w:rPr>
          <w:id w:val="-1075353232"/>
          <w:citation/>
        </w:sdtPr>
        <w:sdtEndPr/>
        <w:sdtContent>
          <w:r w:rsidRPr="00263D77">
            <w:rPr>
              <w:rtl/>
            </w:rPr>
            <w:fldChar w:fldCharType="begin"/>
          </w:r>
          <w:r w:rsidRPr="00263D77">
            <w:rPr>
              <w:rtl/>
            </w:rPr>
            <w:instrText xml:space="preserve"> </w:instrText>
          </w:r>
          <w:r w:rsidRPr="00263D77">
            <w:instrText>CITATION</w:instrText>
          </w:r>
          <w:r w:rsidRPr="00263D77">
            <w:rPr>
              <w:rtl/>
            </w:rPr>
            <w:instrText xml:space="preserve"> </w:instrText>
          </w:r>
          <w:r w:rsidRPr="00263D77">
            <w:instrText>Hop18 \l 1025</w:instrText>
          </w:r>
          <w:r w:rsidRPr="00263D77">
            <w:rPr>
              <w:rtl/>
            </w:rPr>
            <w:instrText xml:space="preserve"> </w:instrText>
          </w:r>
          <w:r w:rsidRPr="00263D77">
            <w:rPr>
              <w:rtl/>
            </w:rPr>
            <w:fldChar w:fldCharType="separate"/>
          </w:r>
          <w:r w:rsidRPr="00263D77">
            <w:rPr>
              <w:noProof/>
            </w:rPr>
            <w:t>(Hopkin, 2018)</w:t>
          </w:r>
          <w:r w:rsidRPr="00263D77">
            <w:rPr>
              <w:rtl/>
            </w:rPr>
            <w:fldChar w:fldCharType="end"/>
          </w:r>
        </w:sdtContent>
      </w:sdt>
      <w:r w:rsidRPr="00263D77">
        <w:rPr>
          <w:rtl/>
        </w:rPr>
        <w:t xml:space="preserve"> ومع ذلك، فإن الدراسات التطبيقية على المستوى المحلي، خصوصًا في المملكة العربية السعودية، لا تزال محدودة، مما يترك فجوة واضحة بين المعرفة النظرية والتطبيق العملي داخل مؤسسات مثل مركز وقاء، الذي يعد جهة محورية في حماية الصحة النباتية والحيوانية في المملكة.</w:t>
      </w:r>
    </w:p>
    <w:p w14:paraId="6A658258" w14:textId="77777777" w:rsidR="00263D77" w:rsidRPr="00263D77" w:rsidRDefault="00263D77" w:rsidP="00263D77">
      <w:pPr>
        <w:rPr>
          <w:rtl/>
        </w:rPr>
      </w:pPr>
      <w:r w:rsidRPr="00263D77">
        <w:rPr>
          <w:rtl/>
        </w:rPr>
        <w:t xml:space="preserve">على صعيد الفجوة العملية، لا توجد دراسات كافية تقيس تأثير تطبيق منهجية إدارة المخاطر بشكل شامل على مؤشرات الأداء التشغيلية والتنظيمية لمركز وقاء، بما في ذلك الكفاءة في الاستجابة للتهديدات الحيوية، والقدرة على الوقاية من انتشار الأمراض، وتحقيق الاستدامة المؤسسية، أما الفجوة النظرية، فتتجلى في قلة الدراسات التي تدمج بين أطر إدارة المخاطر العالمية مثل </w:t>
      </w:r>
      <w:r w:rsidRPr="00263D77">
        <w:t>ISO 31000</w:t>
      </w:r>
      <w:r w:rsidRPr="00263D77">
        <w:rPr>
          <w:rtl/>
        </w:rPr>
        <w:t xml:space="preserve"> ونظم قياس الأداء المؤسسي في سياق الصحة النباتية والحيوانية، مع التركيز على التطبيقات العملية في المؤسسات الحكومية السعودية.</w:t>
      </w:r>
    </w:p>
    <w:p w14:paraId="534650B2" w14:textId="77777777" w:rsidR="00263D77" w:rsidRPr="00263D77" w:rsidRDefault="00263D77" w:rsidP="00263D77">
      <w:pPr>
        <w:rPr>
          <w:b/>
          <w:bCs/>
          <w:rtl/>
        </w:rPr>
      </w:pPr>
      <w:r w:rsidRPr="00263D77">
        <w:rPr>
          <w:rtl/>
        </w:rPr>
        <w:t xml:space="preserve">بالنظر إلى هذه الفجوات، تظهر الحاجة إلى دراسة علمية تطبيقية تقيّم أثر تطبيق منهجية إدارة المخاطر بمراحلها الثلاث (تحديد المخاطر، تقييم المخاطر، تطوير استراتيجيات التعامل معها) على تحسين مؤشرات الأداء لأنظمة الصحة النباتية والحيوانية، مع التركيز على تجربة مركز وقاء كنموذج تطبيقي في المملكة. تهدف هذه الدراسة إلى تقديم إطار علمي يمكن أن يسهم في تعزيز فعالية السياسات والقرارات التنظيمية، ورفع مستوى الأداء المؤسسي، وتحقيق تكامل بين المعرفة النظرية وتطبيقاتها العملية في البيئة المحلية. . ومن هنا، تتمثل مشكلة البحث في التساؤل الرئيسي التالي: </w:t>
      </w:r>
      <w:r w:rsidRPr="00263D77">
        <w:rPr>
          <w:b/>
          <w:bCs/>
          <w:rtl/>
        </w:rPr>
        <w:lastRenderedPageBreak/>
        <w:t>ما أثر تطبيق منهجية إدارة المخاطر (تحديد المخاطر، تقييم المخاطر، تطوير استراتيجيات التعامل معها) في تحسين مؤشرات الأداء لأنظمة الصحة النباتية والحيوانية في مركز وقاء؟</w:t>
      </w:r>
    </w:p>
    <w:p w14:paraId="4B9297A0" w14:textId="77777777" w:rsidR="00263D77" w:rsidRPr="00263D77" w:rsidRDefault="00263D77" w:rsidP="00263D77">
      <w:pPr>
        <w:keepNext/>
        <w:keepLines/>
        <w:spacing w:before="120"/>
        <w:outlineLvl w:val="0"/>
        <w:rPr>
          <w:rFonts w:asciiTheme="majorHAnsi" w:eastAsiaTheme="majorEastAsia" w:hAnsiTheme="majorHAnsi"/>
          <w:bCs/>
          <w:color w:val="4472C4" w:themeColor="accent1"/>
          <w:sz w:val="36"/>
          <w:szCs w:val="36"/>
          <w:rtl/>
        </w:rPr>
      </w:pPr>
      <w:bookmarkStart w:id="4" w:name="_Toc223666027"/>
      <w:bookmarkStart w:id="5" w:name="_Toc234717607"/>
      <w:r w:rsidRPr="00263D77">
        <w:rPr>
          <w:rFonts w:asciiTheme="majorHAnsi" w:eastAsiaTheme="majorEastAsia" w:hAnsiTheme="majorHAnsi"/>
          <w:bCs/>
          <w:color w:val="4472C4" w:themeColor="accent1"/>
          <w:sz w:val="36"/>
          <w:szCs w:val="36"/>
          <w:rtl/>
        </w:rPr>
        <w:t>أهمية الدراسة</w:t>
      </w:r>
      <w:bookmarkEnd w:id="4"/>
      <w:bookmarkEnd w:id="5"/>
    </w:p>
    <w:p w14:paraId="51CFC298" w14:textId="77777777" w:rsidR="00263D77" w:rsidRPr="00263D77" w:rsidRDefault="00263D77" w:rsidP="00263D77">
      <w:pPr>
        <w:rPr>
          <w:rtl/>
        </w:rPr>
      </w:pPr>
      <w:r w:rsidRPr="00263D77">
        <w:rPr>
          <w:rtl/>
        </w:rPr>
        <w:t>تكتسب هذه الدراسة أهميتها من الدور الحيوي الذي تلعبه أنظمة الصحة النباتية والحيوانية في حماية الموارد الوطنية وضمان استدامة الإنتاج الزراعي والحيواني. وتبرز الحاجة إلى تطوير أدوات فعّالة لإدارة المخاطر في هذه الأنظمة، نظرًا لتزايد المخاطر الحيوية والبيئية والاقتصادية التي تهدد الاستقرار الصحي والزراعي. كما أن تحسين مؤشرات الأداء داخل المؤسسات الرقابية يُعد خطوة أساسية لتعزيز القدرة المؤسسية على الوقاية والاستجابة للطوارئ. علاوة على ذلك، يُمثل مركز وقاء نموذجًا عمليًا يُتيح دراسة أثر تطبيق منهجيات إدارة المخاطر على الأداء التشغيلي والتنظيمي. بناءً على ذلك، تسعى هذه الدراسة إلى تقديم إطار علمي متكامل يربط بين إدارة المخاطر وأداء المؤسسات الحيوية، مع التركيز على السياق المحلي السعودي.</w:t>
      </w:r>
    </w:p>
    <w:p w14:paraId="2A692985" w14:textId="77777777" w:rsidR="00263D77" w:rsidRPr="00263D77" w:rsidRDefault="00263D77" w:rsidP="00263D77">
      <w:pPr>
        <w:keepNext/>
        <w:keepLines/>
        <w:spacing w:before="120"/>
        <w:outlineLvl w:val="1"/>
        <w:rPr>
          <w:rFonts w:asciiTheme="majorHAnsi" w:eastAsiaTheme="majorEastAsia" w:hAnsiTheme="majorHAnsi"/>
          <w:bCs/>
          <w:color w:val="7030A0"/>
          <w:kern w:val="0"/>
          <w:sz w:val="26"/>
          <w:szCs w:val="32"/>
          <w:rtl/>
          <w14:ligatures w14:val="none"/>
        </w:rPr>
      </w:pPr>
      <w:bookmarkStart w:id="6" w:name="_Toc223666028"/>
      <w:bookmarkStart w:id="7" w:name="_Toc234717608"/>
      <w:r w:rsidRPr="00263D77">
        <w:rPr>
          <w:rFonts w:asciiTheme="majorHAnsi" w:eastAsiaTheme="majorEastAsia" w:hAnsiTheme="majorHAnsi"/>
          <w:bCs/>
          <w:color w:val="7030A0"/>
          <w:kern w:val="0"/>
          <w:sz w:val="26"/>
          <w:szCs w:val="32"/>
          <w:rtl/>
          <w14:ligatures w14:val="none"/>
        </w:rPr>
        <w:t>أولاً: الأهمية العلمية</w:t>
      </w:r>
      <w:bookmarkEnd w:id="6"/>
      <w:bookmarkEnd w:id="7"/>
    </w:p>
    <w:p w14:paraId="1F6AA72A" w14:textId="77777777" w:rsidR="00263D77" w:rsidRPr="00263D77" w:rsidRDefault="00263D77" w:rsidP="00263D77">
      <w:pPr>
        <w:numPr>
          <w:ilvl w:val="0"/>
          <w:numId w:val="10"/>
        </w:numPr>
        <w:contextualSpacing/>
        <w:rPr>
          <w:rtl/>
        </w:rPr>
      </w:pPr>
      <w:r w:rsidRPr="00263D77">
        <w:rPr>
          <w:rtl/>
        </w:rPr>
        <w:t>سد الفجوة البحثية في الدراسات المتعلقة بتطبيق منهجيات إدارة المخاطر على مؤشرات الأداء لأنظمة الصحة النباتية والحيوانية، خصوصًا في السياق السعودي.</w:t>
      </w:r>
    </w:p>
    <w:p w14:paraId="599BB38C" w14:textId="77777777" w:rsidR="00263D77" w:rsidRPr="00263D77" w:rsidRDefault="00263D77" w:rsidP="00263D77">
      <w:pPr>
        <w:numPr>
          <w:ilvl w:val="0"/>
          <w:numId w:val="10"/>
        </w:numPr>
        <w:contextualSpacing/>
        <w:rPr>
          <w:rtl/>
        </w:rPr>
      </w:pPr>
      <w:r w:rsidRPr="00263D77">
        <w:rPr>
          <w:rtl/>
        </w:rPr>
        <w:t xml:space="preserve">إثراء المعرفة الأكاديمية بدمج أطر إدارة المخاطر العالمية، مثل </w:t>
      </w:r>
      <w:r w:rsidRPr="00263D77">
        <w:t>ISO 31000</w:t>
      </w:r>
      <w:r w:rsidRPr="00263D77">
        <w:rPr>
          <w:rtl/>
        </w:rPr>
        <w:t>، مع نظم قياس الأداء المؤسسي، بما يعزز الفهم النظري للارتباط بين المخاطر والأداء.</w:t>
      </w:r>
    </w:p>
    <w:p w14:paraId="4543F207" w14:textId="77777777" w:rsidR="00263D77" w:rsidRPr="00263D77" w:rsidRDefault="00263D77" w:rsidP="00263D77">
      <w:pPr>
        <w:numPr>
          <w:ilvl w:val="0"/>
          <w:numId w:val="10"/>
        </w:numPr>
        <w:contextualSpacing/>
        <w:rPr>
          <w:rtl/>
        </w:rPr>
      </w:pPr>
      <w:r w:rsidRPr="00263D77">
        <w:rPr>
          <w:rtl/>
        </w:rPr>
        <w:t>تقديم نموذج تطبيقي يمكن استخدامه كأساس لدراسات مستقبلية في مجال إدارة المخاطر والحوكمة البيطرية والزراعية داخل المؤسسات الحكومية.</w:t>
      </w:r>
    </w:p>
    <w:p w14:paraId="5AA8CD29" w14:textId="77777777" w:rsidR="00263D77" w:rsidRPr="00263D77" w:rsidRDefault="00263D77" w:rsidP="00263D77">
      <w:pPr>
        <w:keepNext/>
        <w:keepLines/>
        <w:spacing w:before="120"/>
        <w:outlineLvl w:val="1"/>
        <w:rPr>
          <w:rFonts w:asciiTheme="majorHAnsi" w:eastAsiaTheme="majorEastAsia" w:hAnsiTheme="majorHAnsi"/>
          <w:bCs/>
          <w:color w:val="7030A0"/>
          <w:kern w:val="0"/>
          <w:sz w:val="26"/>
          <w:szCs w:val="32"/>
          <w:rtl/>
          <w14:ligatures w14:val="none"/>
        </w:rPr>
      </w:pPr>
      <w:bookmarkStart w:id="8" w:name="_Toc223666029"/>
      <w:bookmarkStart w:id="9" w:name="_Toc234717609"/>
      <w:r w:rsidRPr="00263D77">
        <w:rPr>
          <w:rFonts w:asciiTheme="majorHAnsi" w:eastAsiaTheme="majorEastAsia" w:hAnsiTheme="majorHAnsi"/>
          <w:bCs/>
          <w:color w:val="7030A0"/>
          <w:kern w:val="0"/>
          <w:sz w:val="26"/>
          <w:szCs w:val="32"/>
          <w:rtl/>
          <w14:ligatures w14:val="none"/>
        </w:rPr>
        <w:t>ثانيًا: الأهمية العملية</w:t>
      </w:r>
      <w:bookmarkEnd w:id="8"/>
      <w:bookmarkEnd w:id="9"/>
    </w:p>
    <w:p w14:paraId="18D376D6" w14:textId="77777777" w:rsidR="00263D77" w:rsidRPr="00263D77" w:rsidRDefault="00263D77" w:rsidP="00263D77">
      <w:pPr>
        <w:numPr>
          <w:ilvl w:val="0"/>
          <w:numId w:val="11"/>
        </w:numPr>
        <w:contextualSpacing/>
        <w:rPr>
          <w:rtl/>
        </w:rPr>
      </w:pPr>
      <w:r w:rsidRPr="00263D77">
        <w:rPr>
          <w:rtl/>
        </w:rPr>
        <w:t>تمكين مركز وقاء من تحسين فعالية وكفاءة القرارات التشغيلية والتنظيمية عبر تطبيق منهجية إدارة المخاطر بشكل ممنهج.</w:t>
      </w:r>
    </w:p>
    <w:p w14:paraId="0382BA86" w14:textId="77777777" w:rsidR="00263D77" w:rsidRPr="00263D77" w:rsidRDefault="00263D77" w:rsidP="00263D77">
      <w:pPr>
        <w:numPr>
          <w:ilvl w:val="0"/>
          <w:numId w:val="11"/>
        </w:numPr>
        <w:contextualSpacing/>
        <w:rPr>
          <w:rtl/>
        </w:rPr>
      </w:pPr>
      <w:r w:rsidRPr="00263D77">
        <w:rPr>
          <w:rtl/>
        </w:rPr>
        <w:t>تعزيز قدرة المركز على الوقاية من الأمراض والآفات الحيوانية والنباتية، وتقليل الخسائر الاقتصادية المرتبطة بها.</w:t>
      </w:r>
    </w:p>
    <w:p w14:paraId="493A64CC" w14:textId="77777777" w:rsidR="00263D77" w:rsidRPr="00263D77" w:rsidRDefault="00263D77" w:rsidP="00263D77">
      <w:pPr>
        <w:numPr>
          <w:ilvl w:val="0"/>
          <w:numId w:val="11"/>
        </w:numPr>
        <w:contextualSpacing/>
      </w:pPr>
      <w:r w:rsidRPr="00263D77">
        <w:rPr>
          <w:rtl/>
        </w:rPr>
        <w:t>دعم الجهات الرقابية والمؤسسات الحكومية في تصميم مؤشرات أداء دقيقة وفعالة، تساعد على تحسين الحوكمة المؤسسية وتطوير استراتيجيات وقائية مستدامة.</w:t>
      </w:r>
    </w:p>
    <w:p w14:paraId="6039AFD6" w14:textId="77777777" w:rsidR="00263D77" w:rsidRPr="00263D77" w:rsidRDefault="00263D77" w:rsidP="00263D77">
      <w:pPr>
        <w:keepNext/>
        <w:keepLines/>
        <w:spacing w:before="120"/>
        <w:outlineLvl w:val="0"/>
        <w:rPr>
          <w:rFonts w:asciiTheme="majorHAnsi" w:eastAsiaTheme="majorEastAsia" w:hAnsiTheme="majorHAnsi"/>
          <w:bCs/>
          <w:color w:val="4472C4" w:themeColor="accent1"/>
          <w:sz w:val="36"/>
          <w:szCs w:val="36"/>
          <w:rtl/>
        </w:rPr>
      </w:pPr>
      <w:bookmarkStart w:id="10" w:name="_Toc223666030"/>
      <w:bookmarkStart w:id="11" w:name="_Toc234717610"/>
      <w:r w:rsidRPr="00263D77">
        <w:rPr>
          <w:rFonts w:asciiTheme="majorHAnsi" w:eastAsiaTheme="majorEastAsia" w:hAnsiTheme="majorHAnsi"/>
          <w:bCs/>
          <w:color w:val="4472C4" w:themeColor="accent1"/>
          <w:sz w:val="36"/>
          <w:szCs w:val="36"/>
          <w:rtl/>
        </w:rPr>
        <w:lastRenderedPageBreak/>
        <w:t>اهداف الدراسة</w:t>
      </w:r>
      <w:bookmarkEnd w:id="10"/>
      <w:bookmarkEnd w:id="11"/>
      <w:r w:rsidRPr="00263D77">
        <w:rPr>
          <w:rFonts w:asciiTheme="majorHAnsi" w:eastAsiaTheme="majorEastAsia" w:hAnsiTheme="majorHAnsi"/>
          <w:bCs/>
          <w:color w:val="4472C4" w:themeColor="accent1"/>
          <w:sz w:val="36"/>
          <w:szCs w:val="36"/>
          <w:rtl/>
        </w:rPr>
        <w:t xml:space="preserve"> </w:t>
      </w:r>
    </w:p>
    <w:p w14:paraId="201B9AC2" w14:textId="77777777" w:rsidR="00263D77" w:rsidRPr="00263D77" w:rsidRDefault="00263D77" w:rsidP="00263D77">
      <w:pPr>
        <w:rPr>
          <w:rtl/>
        </w:rPr>
      </w:pPr>
      <w:r w:rsidRPr="00263D77">
        <w:rPr>
          <w:rtl/>
        </w:rPr>
        <w:t>تهدف الدراسة بشكل رئيسي الى تقييم أثر تطبيق منهجية ادارة المخاطر بمراحلها الثلاث( تحديد المخاطر- تقييم المخاطر- تطوير استراتيجيات التعامل معها) في تحسين مؤشرات الاداء لأنظمة الصحة النباتية والحيوانية في مركز وقاء.</w:t>
      </w:r>
    </w:p>
    <w:p w14:paraId="5E0CBB2C" w14:textId="77777777" w:rsidR="00263D77" w:rsidRPr="00263D77" w:rsidRDefault="00263D77" w:rsidP="00263D77">
      <w:pPr>
        <w:ind w:firstLine="0"/>
        <w:rPr>
          <w:rtl/>
        </w:rPr>
      </w:pPr>
      <w:r w:rsidRPr="00263D77">
        <w:rPr>
          <w:rtl/>
        </w:rPr>
        <w:t>وينبثق من الهدف الرئيسي مجموعة من الأهداف الفرعية التالية:</w:t>
      </w:r>
    </w:p>
    <w:p w14:paraId="297577C1" w14:textId="77777777" w:rsidR="00263D77" w:rsidRPr="00263D77" w:rsidRDefault="00263D77" w:rsidP="00263D77">
      <w:pPr>
        <w:numPr>
          <w:ilvl w:val="0"/>
          <w:numId w:val="26"/>
        </w:numPr>
        <w:contextualSpacing/>
        <w:rPr>
          <w:rtl/>
        </w:rPr>
      </w:pPr>
      <w:r w:rsidRPr="00263D77">
        <w:rPr>
          <w:rtl/>
        </w:rPr>
        <w:t>التعرف على واقع تطبيق منهجية إدارة المخاطر في مركز وقاء.</w:t>
      </w:r>
    </w:p>
    <w:p w14:paraId="1A7FE8C1" w14:textId="77777777" w:rsidR="00263D77" w:rsidRPr="00263D77" w:rsidRDefault="00263D77" w:rsidP="00263D77">
      <w:pPr>
        <w:numPr>
          <w:ilvl w:val="0"/>
          <w:numId w:val="26"/>
        </w:numPr>
        <w:contextualSpacing/>
        <w:rPr>
          <w:rtl/>
        </w:rPr>
      </w:pPr>
      <w:r w:rsidRPr="00263D77">
        <w:rPr>
          <w:rtl/>
        </w:rPr>
        <w:t>قياس مستوى تحسن مؤشرات الاداء التشغيلية والتنظيمية في مركز وقاء.</w:t>
      </w:r>
    </w:p>
    <w:p w14:paraId="3810EC16" w14:textId="77777777" w:rsidR="00263D77" w:rsidRPr="00263D77" w:rsidRDefault="00263D77" w:rsidP="00263D77">
      <w:pPr>
        <w:numPr>
          <w:ilvl w:val="0"/>
          <w:numId w:val="26"/>
        </w:numPr>
        <w:contextualSpacing/>
        <w:rPr>
          <w:rtl/>
        </w:rPr>
      </w:pPr>
      <w:r w:rsidRPr="00263D77">
        <w:rPr>
          <w:rtl/>
        </w:rPr>
        <w:t>دراسة اثر مرحلة تحديد المخاطر على الوقاية من المخاطر الحيوية المرتبطة بالنباتات والحيوانات.</w:t>
      </w:r>
    </w:p>
    <w:p w14:paraId="7C3DD5C4" w14:textId="77777777" w:rsidR="00263D77" w:rsidRPr="00263D77" w:rsidRDefault="00263D77" w:rsidP="00263D77">
      <w:pPr>
        <w:numPr>
          <w:ilvl w:val="0"/>
          <w:numId w:val="26"/>
        </w:numPr>
        <w:contextualSpacing/>
        <w:rPr>
          <w:rtl/>
        </w:rPr>
      </w:pPr>
      <w:r w:rsidRPr="00263D77">
        <w:rPr>
          <w:rtl/>
        </w:rPr>
        <w:t>قياس تأثير مرحلة تقييم المخاطر على كفاءة وفعالية العمليات التشغيلية والتنظيمية في المركز؟</w:t>
      </w:r>
    </w:p>
    <w:p w14:paraId="6B3EAEDF" w14:textId="77777777" w:rsidR="00263D77" w:rsidRPr="00263D77" w:rsidRDefault="00263D77" w:rsidP="00263D77">
      <w:pPr>
        <w:numPr>
          <w:ilvl w:val="0"/>
          <w:numId w:val="26"/>
        </w:numPr>
        <w:contextualSpacing/>
        <w:rPr>
          <w:rtl/>
        </w:rPr>
      </w:pPr>
      <w:r w:rsidRPr="00263D77">
        <w:rPr>
          <w:rtl/>
        </w:rPr>
        <w:t>تحليل اثر استراتيجيات معالجة المخاطر على تحسين مؤشرات الاداء التشغيلية للمركز؟</w:t>
      </w:r>
    </w:p>
    <w:p w14:paraId="5EC785CA" w14:textId="77777777" w:rsidR="00263D77" w:rsidRPr="00263D77" w:rsidRDefault="00263D77" w:rsidP="00263D77">
      <w:pPr>
        <w:numPr>
          <w:ilvl w:val="0"/>
          <w:numId w:val="26"/>
        </w:numPr>
        <w:contextualSpacing/>
        <w:rPr>
          <w:rtl/>
        </w:rPr>
      </w:pPr>
      <w:r w:rsidRPr="00263D77">
        <w:rPr>
          <w:rtl/>
        </w:rPr>
        <w:t>استكشاف العلاقة بين تطبيق منهجية ادارة المخاطر ومؤشرات الاداء لتعزيز حوكمة المركز ورفع مستواه.</w:t>
      </w:r>
    </w:p>
    <w:p w14:paraId="27647C10" w14:textId="77777777" w:rsidR="00263D77" w:rsidRPr="00263D77" w:rsidRDefault="00263D77" w:rsidP="00263D77">
      <w:pPr>
        <w:keepNext/>
        <w:keepLines/>
        <w:spacing w:before="120"/>
        <w:outlineLvl w:val="0"/>
        <w:rPr>
          <w:rFonts w:asciiTheme="majorHAnsi" w:eastAsiaTheme="majorEastAsia" w:hAnsiTheme="majorHAnsi"/>
          <w:bCs/>
          <w:color w:val="4472C4" w:themeColor="accent1"/>
          <w:sz w:val="36"/>
          <w:szCs w:val="36"/>
          <w:rtl/>
        </w:rPr>
      </w:pPr>
      <w:bookmarkStart w:id="12" w:name="_Toc223666031"/>
      <w:bookmarkStart w:id="13" w:name="_Toc234717611"/>
      <w:r w:rsidRPr="00263D77">
        <w:rPr>
          <w:rFonts w:asciiTheme="majorHAnsi" w:eastAsiaTheme="majorEastAsia" w:hAnsiTheme="majorHAnsi"/>
          <w:bCs/>
          <w:color w:val="4472C4" w:themeColor="accent1"/>
          <w:sz w:val="36"/>
          <w:szCs w:val="36"/>
          <w:rtl/>
        </w:rPr>
        <w:t>تساؤلات الدراسة</w:t>
      </w:r>
      <w:bookmarkEnd w:id="12"/>
      <w:bookmarkEnd w:id="13"/>
      <w:r w:rsidRPr="00263D77">
        <w:rPr>
          <w:rFonts w:asciiTheme="majorHAnsi" w:eastAsiaTheme="majorEastAsia" w:hAnsiTheme="majorHAnsi"/>
          <w:bCs/>
          <w:color w:val="4472C4" w:themeColor="accent1"/>
          <w:sz w:val="36"/>
          <w:szCs w:val="36"/>
          <w:rtl/>
        </w:rPr>
        <w:t xml:space="preserve"> </w:t>
      </w:r>
    </w:p>
    <w:p w14:paraId="54F837F2" w14:textId="77777777" w:rsidR="00263D77" w:rsidRPr="00263D77" w:rsidRDefault="00263D77" w:rsidP="00263D77">
      <w:pPr>
        <w:rPr>
          <w:b/>
          <w:bCs/>
          <w:rtl/>
        </w:rPr>
      </w:pPr>
      <w:r w:rsidRPr="00263D77">
        <w:rPr>
          <w:rtl/>
        </w:rPr>
        <w:t xml:space="preserve">من خلال إشكالية البحث السابقة يمكنني صياغة سؤال البحث الرئيسي كما يلي: </w:t>
      </w:r>
      <w:r w:rsidRPr="00263D77">
        <w:rPr>
          <w:b/>
          <w:bCs/>
          <w:rtl/>
        </w:rPr>
        <w:t>ما أثر تطبيق منهجية ادارة المخاطر في تحسين مؤشرات الاداء لأنظمة الصحة النباتية والحيوانية في مركز وقاء؟</w:t>
      </w:r>
    </w:p>
    <w:p w14:paraId="5187195A" w14:textId="77777777" w:rsidR="00263D77" w:rsidRPr="00263D77" w:rsidRDefault="00263D77" w:rsidP="00263D77">
      <w:pPr>
        <w:rPr>
          <w:rtl/>
        </w:rPr>
      </w:pPr>
      <w:r w:rsidRPr="00263D77">
        <w:rPr>
          <w:rtl/>
        </w:rPr>
        <w:t>وينبثق من التساؤل الرئيسي مجموعة من التساؤلات الفرعية التالية:</w:t>
      </w:r>
    </w:p>
    <w:p w14:paraId="46E474C0" w14:textId="77777777" w:rsidR="00263D77" w:rsidRPr="00263D77" w:rsidRDefault="00263D77" w:rsidP="00263D77">
      <w:pPr>
        <w:numPr>
          <w:ilvl w:val="0"/>
          <w:numId w:val="27"/>
        </w:numPr>
        <w:contextualSpacing/>
        <w:rPr>
          <w:rtl/>
        </w:rPr>
      </w:pPr>
      <w:r w:rsidRPr="00263D77">
        <w:rPr>
          <w:rtl/>
        </w:rPr>
        <w:t>ما واقع تطبيق منهجية إدارة المخاطر في مركز وقاء؟</w:t>
      </w:r>
    </w:p>
    <w:p w14:paraId="455FC889" w14:textId="77777777" w:rsidR="00263D77" w:rsidRPr="00263D77" w:rsidRDefault="00263D77" w:rsidP="00263D77">
      <w:pPr>
        <w:numPr>
          <w:ilvl w:val="0"/>
          <w:numId w:val="27"/>
        </w:numPr>
        <w:contextualSpacing/>
        <w:rPr>
          <w:rtl/>
        </w:rPr>
      </w:pPr>
      <w:r w:rsidRPr="00263D77">
        <w:rPr>
          <w:rtl/>
        </w:rPr>
        <w:t>ما مستوى تحسن مؤشرات الاداء التشغيلية والتنظيمية في مركز وقاء؟</w:t>
      </w:r>
    </w:p>
    <w:p w14:paraId="069D00FF" w14:textId="77777777" w:rsidR="00263D77" w:rsidRPr="00263D77" w:rsidRDefault="00263D77" w:rsidP="00263D77">
      <w:pPr>
        <w:numPr>
          <w:ilvl w:val="0"/>
          <w:numId w:val="27"/>
        </w:numPr>
        <w:contextualSpacing/>
        <w:rPr>
          <w:rtl/>
        </w:rPr>
      </w:pPr>
      <w:r w:rsidRPr="00263D77">
        <w:rPr>
          <w:rtl/>
        </w:rPr>
        <w:t>كيف يسهم تحديد المخاطر في تعزيز قدرة مركز وقاء على الوقاية من الامراض الحيوانية والنباتية؟</w:t>
      </w:r>
    </w:p>
    <w:p w14:paraId="503BE637" w14:textId="77777777" w:rsidR="00263D77" w:rsidRPr="00263D77" w:rsidRDefault="00263D77" w:rsidP="00263D77">
      <w:pPr>
        <w:numPr>
          <w:ilvl w:val="0"/>
          <w:numId w:val="27"/>
        </w:numPr>
        <w:contextualSpacing/>
        <w:rPr>
          <w:rtl/>
        </w:rPr>
      </w:pPr>
      <w:r w:rsidRPr="00263D77">
        <w:rPr>
          <w:rtl/>
        </w:rPr>
        <w:t>ما هو تأثير تقييم المخاطر على دقة وفعالية القرارات التشغيلية والتنظيمية في المركز؟</w:t>
      </w:r>
    </w:p>
    <w:p w14:paraId="24FBB2EF" w14:textId="77777777" w:rsidR="00263D77" w:rsidRPr="00263D77" w:rsidRDefault="00263D77" w:rsidP="00263D77">
      <w:pPr>
        <w:numPr>
          <w:ilvl w:val="0"/>
          <w:numId w:val="27"/>
        </w:numPr>
        <w:contextualSpacing/>
        <w:rPr>
          <w:rtl/>
        </w:rPr>
      </w:pPr>
      <w:r w:rsidRPr="00263D77">
        <w:rPr>
          <w:rtl/>
        </w:rPr>
        <w:t>كيف تؤثر استراتيجيات معالجة المخاطر على تحسين مؤشرات الاداء التشغيلية للمركز؟</w:t>
      </w:r>
    </w:p>
    <w:p w14:paraId="670C4454" w14:textId="77777777" w:rsidR="00263D77" w:rsidRPr="00263D77" w:rsidRDefault="00263D77" w:rsidP="00263D77">
      <w:pPr>
        <w:numPr>
          <w:ilvl w:val="0"/>
          <w:numId w:val="27"/>
        </w:numPr>
        <w:contextualSpacing/>
        <w:rPr>
          <w:rtl/>
        </w:rPr>
      </w:pPr>
      <w:r w:rsidRPr="00263D77">
        <w:rPr>
          <w:rtl/>
        </w:rPr>
        <w:t>ما العلاقة بين التطبيق المتكامل لمراحل منهجية ادارة المخاطر وارتفاع مستوى مؤشرات الاداء لأنظمة الصحة النباتية والحيوانية؟</w:t>
      </w:r>
    </w:p>
    <w:p w14:paraId="5CA62B9F" w14:textId="77777777" w:rsidR="00263D77" w:rsidRPr="00263D77" w:rsidRDefault="00263D77" w:rsidP="00263D77">
      <w:pPr>
        <w:keepNext/>
        <w:keepLines/>
        <w:spacing w:before="120"/>
        <w:outlineLvl w:val="0"/>
        <w:rPr>
          <w:rFonts w:asciiTheme="majorHAnsi" w:eastAsiaTheme="majorEastAsia" w:hAnsiTheme="majorHAnsi"/>
          <w:bCs/>
          <w:color w:val="4472C4" w:themeColor="accent1"/>
          <w:sz w:val="36"/>
          <w:szCs w:val="36"/>
          <w:rtl/>
        </w:rPr>
      </w:pPr>
      <w:bookmarkStart w:id="14" w:name="_Toc223666032"/>
      <w:bookmarkStart w:id="15" w:name="_Toc234717612"/>
      <w:r w:rsidRPr="00263D77">
        <w:rPr>
          <w:rFonts w:asciiTheme="majorHAnsi" w:eastAsiaTheme="majorEastAsia" w:hAnsiTheme="majorHAnsi"/>
          <w:bCs/>
          <w:color w:val="4472C4" w:themeColor="accent1"/>
          <w:sz w:val="36"/>
          <w:szCs w:val="36"/>
          <w:rtl/>
        </w:rPr>
        <w:lastRenderedPageBreak/>
        <w:t>فرضيات الدراسة</w:t>
      </w:r>
      <w:bookmarkEnd w:id="14"/>
      <w:bookmarkEnd w:id="15"/>
      <w:r w:rsidRPr="00263D77">
        <w:rPr>
          <w:rFonts w:asciiTheme="majorHAnsi" w:eastAsiaTheme="majorEastAsia" w:hAnsiTheme="majorHAnsi"/>
          <w:bCs/>
          <w:color w:val="4472C4" w:themeColor="accent1"/>
          <w:sz w:val="36"/>
          <w:szCs w:val="36"/>
          <w:rtl/>
        </w:rPr>
        <w:t xml:space="preserve"> </w:t>
      </w:r>
    </w:p>
    <w:p w14:paraId="6DE45C2F" w14:textId="77777777" w:rsidR="00263D77" w:rsidRPr="00263D77" w:rsidRDefault="00263D77" w:rsidP="00263D77">
      <w:pPr>
        <w:rPr>
          <w:rtl/>
        </w:rPr>
      </w:pPr>
      <w:r w:rsidRPr="00263D77">
        <w:rPr>
          <w:rtl/>
        </w:rPr>
        <w:t>بناء على مشكلة الدراسة وأهدافها وكذلك الاستفادة من الدراسات السابقة، ومن اجل دراسة النموذج المعرفي والموضح بالشكل ادناه:</w:t>
      </w:r>
    </w:p>
    <w:p w14:paraId="6CB166B7" w14:textId="77777777" w:rsidR="00263D77" w:rsidRPr="00263D77" w:rsidRDefault="00263D77" w:rsidP="00263D77">
      <w:pPr>
        <w:rPr>
          <w:rtl/>
        </w:rPr>
      </w:pPr>
      <w:r w:rsidRPr="00263D77">
        <w:rPr>
          <w:noProof/>
          <w:rtl/>
          <w:lang w:val="ar-SA"/>
        </w:rPr>
        <mc:AlternateContent>
          <mc:Choice Requires="wpg">
            <w:drawing>
              <wp:anchor distT="0" distB="0" distL="114300" distR="114300" simplePos="0" relativeHeight="251659264" behindDoc="0" locked="0" layoutInCell="1" allowOverlap="1" wp14:anchorId="2673961B" wp14:editId="13A4D392">
                <wp:simplePos x="0" y="0"/>
                <wp:positionH relativeFrom="margin">
                  <wp:align>right</wp:align>
                </wp:positionH>
                <wp:positionV relativeFrom="paragraph">
                  <wp:posOffset>136525</wp:posOffset>
                </wp:positionV>
                <wp:extent cx="5410200" cy="2796540"/>
                <wp:effectExtent l="0" t="0" r="19050" b="22860"/>
                <wp:wrapNone/>
                <wp:docPr id="1824395703" name="مجموعة 3"/>
                <wp:cNvGraphicFramePr/>
                <a:graphic xmlns:a="http://schemas.openxmlformats.org/drawingml/2006/main">
                  <a:graphicData uri="http://schemas.microsoft.com/office/word/2010/wordprocessingGroup">
                    <wpg:wgp>
                      <wpg:cNvGrpSpPr/>
                      <wpg:grpSpPr>
                        <a:xfrm>
                          <a:off x="0" y="0"/>
                          <a:ext cx="5410200" cy="2796540"/>
                          <a:chOff x="0" y="0"/>
                          <a:chExt cx="5280660" cy="2796540"/>
                        </a:xfrm>
                      </wpg:grpSpPr>
                      <wps:wsp>
                        <wps:cNvPr id="1918868528" name="مستطيل: زوايا مستديرة 2"/>
                        <wps:cNvSpPr/>
                        <wps:spPr>
                          <a:xfrm>
                            <a:off x="3284220" y="0"/>
                            <a:ext cx="1996440" cy="279654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2BE371DE" w14:textId="77777777" w:rsidR="00263D77" w:rsidRPr="00DB6397" w:rsidRDefault="00263D77" w:rsidP="00263D77">
                              <w:pPr>
                                <w:jc w:val="left"/>
                                <w:rPr>
                                  <w:b/>
                                  <w:bCs/>
                                  <w:u w:val="single"/>
                                  <w:rtl/>
                                </w:rPr>
                              </w:pPr>
                              <w:r w:rsidRPr="00DB6397">
                                <w:rPr>
                                  <w:rFonts w:hint="cs"/>
                                  <w:b/>
                                  <w:bCs/>
                                  <w:u w:val="single"/>
                                  <w:rtl/>
                                </w:rPr>
                                <w:t>المتغير المستقل</w:t>
                              </w:r>
                            </w:p>
                            <w:p w14:paraId="4F9410AA" w14:textId="77777777" w:rsidR="00263D77" w:rsidRPr="00DB6397" w:rsidRDefault="00263D77" w:rsidP="00263D77">
                              <w:pPr>
                                <w:jc w:val="left"/>
                                <w:rPr>
                                  <w:b/>
                                  <w:bCs/>
                                  <w:i/>
                                  <w:iCs/>
                                  <w:rtl/>
                                </w:rPr>
                              </w:pPr>
                              <w:r w:rsidRPr="00DB6397">
                                <w:rPr>
                                  <w:rFonts w:hint="cs"/>
                                  <w:b/>
                                  <w:bCs/>
                                  <w:i/>
                                  <w:iCs/>
                                  <w:rtl/>
                                </w:rPr>
                                <w:t>إدارة المخاطر</w:t>
                              </w:r>
                            </w:p>
                            <w:p w14:paraId="7E501A61" w14:textId="77777777" w:rsidR="00263D77" w:rsidRDefault="00263D77" w:rsidP="00263D77">
                              <w:pPr>
                                <w:pStyle w:val="a9"/>
                                <w:numPr>
                                  <w:ilvl w:val="0"/>
                                  <w:numId w:val="28"/>
                                </w:numPr>
                                <w:jc w:val="left"/>
                                <w:rPr>
                                  <w:rtl/>
                                </w:rPr>
                              </w:pPr>
                              <w:r>
                                <w:rPr>
                                  <w:rFonts w:hint="cs"/>
                                  <w:rtl/>
                                </w:rPr>
                                <w:t>تحديد المخاطر</w:t>
                              </w:r>
                            </w:p>
                            <w:p w14:paraId="6210E629" w14:textId="77777777" w:rsidR="00263D77" w:rsidRDefault="00263D77" w:rsidP="00263D77">
                              <w:pPr>
                                <w:pStyle w:val="a9"/>
                                <w:numPr>
                                  <w:ilvl w:val="0"/>
                                  <w:numId w:val="28"/>
                                </w:numPr>
                                <w:jc w:val="left"/>
                              </w:pPr>
                              <w:r>
                                <w:rPr>
                                  <w:rFonts w:hint="cs"/>
                                  <w:rtl/>
                                </w:rPr>
                                <w:t>تقييم المخاطر</w:t>
                              </w:r>
                            </w:p>
                            <w:p w14:paraId="3D5A9487" w14:textId="77777777" w:rsidR="00263D77" w:rsidRDefault="00263D77" w:rsidP="00263D77">
                              <w:pPr>
                                <w:pStyle w:val="a9"/>
                                <w:numPr>
                                  <w:ilvl w:val="0"/>
                                  <w:numId w:val="28"/>
                                </w:numPr>
                                <w:jc w:val="left"/>
                              </w:pPr>
                              <w:r w:rsidRPr="00DB6397">
                                <w:rPr>
                                  <w:rtl/>
                                </w:rPr>
                                <w:t xml:space="preserve">تطوير استراتيجيات التعامل </w:t>
                              </w:r>
                              <w:r>
                                <w:rPr>
                                  <w:rFonts w:hint="cs"/>
                                  <w:rtl/>
                                </w:rPr>
                                <w:t>مع المخاطر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2208365" name="مستطيل: زوايا مستديرة 3"/>
                        <wps:cNvSpPr/>
                        <wps:spPr>
                          <a:xfrm>
                            <a:off x="0" y="68580"/>
                            <a:ext cx="1798320" cy="272034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54B2DD1C" w14:textId="77777777" w:rsidR="00263D77" w:rsidRPr="00EC0F7C" w:rsidRDefault="00263D77" w:rsidP="00263D77">
                              <w:pPr>
                                <w:jc w:val="left"/>
                                <w:rPr>
                                  <w:b/>
                                  <w:bCs/>
                                  <w:u w:val="single"/>
                                  <w:rtl/>
                                </w:rPr>
                              </w:pPr>
                              <w:r w:rsidRPr="00EC0F7C">
                                <w:rPr>
                                  <w:rFonts w:hint="cs"/>
                                  <w:b/>
                                  <w:bCs/>
                                  <w:u w:val="single"/>
                                  <w:rtl/>
                                </w:rPr>
                                <w:t xml:space="preserve">المتغير التابع </w:t>
                              </w:r>
                            </w:p>
                            <w:p w14:paraId="6CD9705B" w14:textId="77777777" w:rsidR="00263D77" w:rsidRPr="00EC0F7C" w:rsidRDefault="00263D77" w:rsidP="00263D77">
                              <w:pPr>
                                <w:jc w:val="left"/>
                                <w:rPr>
                                  <w:b/>
                                  <w:bCs/>
                                  <w:i/>
                                  <w:iCs/>
                                  <w:rtl/>
                                </w:rPr>
                              </w:pPr>
                              <w:r w:rsidRPr="00EC0F7C">
                                <w:rPr>
                                  <w:rFonts w:hint="cs"/>
                                  <w:b/>
                                  <w:bCs/>
                                  <w:i/>
                                  <w:iCs/>
                                  <w:rtl/>
                                </w:rPr>
                                <w:t xml:space="preserve">مؤشرات الأداء </w:t>
                              </w:r>
                            </w:p>
                            <w:p w14:paraId="6CB8568E" w14:textId="77777777" w:rsidR="00263D77" w:rsidRDefault="00263D77" w:rsidP="00263D77">
                              <w:pPr>
                                <w:pStyle w:val="a9"/>
                                <w:numPr>
                                  <w:ilvl w:val="0"/>
                                  <w:numId w:val="29"/>
                                </w:numPr>
                                <w:jc w:val="left"/>
                                <w:rPr>
                                  <w:rtl/>
                                </w:rPr>
                              </w:pPr>
                              <w:r>
                                <w:rPr>
                                  <w:rFonts w:hint="cs"/>
                                  <w:rtl/>
                                </w:rPr>
                                <w:t>الأداء المؤسسي</w:t>
                              </w:r>
                            </w:p>
                            <w:p w14:paraId="76DD7D65" w14:textId="77777777" w:rsidR="00263D77" w:rsidRDefault="00263D77" w:rsidP="00263D77">
                              <w:pPr>
                                <w:pStyle w:val="a9"/>
                                <w:numPr>
                                  <w:ilvl w:val="0"/>
                                  <w:numId w:val="29"/>
                                </w:numPr>
                                <w:jc w:val="left"/>
                                <w:rPr>
                                  <w:rtl/>
                                </w:rPr>
                              </w:pPr>
                              <w:r>
                                <w:rPr>
                                  <w:rFonts w:hint="cs"/>
                                  <w:rtl/>
                                </w:rPr>
                                <w:t>الأداء التشغيلي</w:t>
                              </w:r>
                            </w:p>
                            <w:p w14:paraId="2A20769E" w14:textId="77777777" w:rsidR="00263D77" w:rsidRDefault="00263D77" w:rsidP="00263D77">
                              <w:pPr>
                                <w:pStyle w:val="a9"/>
                                <w:numPr>
                                  <w:ilvl w:val="0"/>
                                  <w:numId w:val="29"/>
                                </w:numPr>
                                <w:jc w:val="left"/>
                              </w:pPr>
                              <w:r>
                                <w:rPr>
                                  <w:rFonts w:hint="cs"/>
                                  <w:rtl/>
                                </w:rPr>
                                <w:t>الأداء الوقائي والرقابي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80400322" name="سهم: لليسار 2"/>
                        <wps:cNvSpPr/>
                        <wps:spPr>
                          <a:xfrm>
                            <a:off x="1817370" y="1238250"/>
                            <a:ext cx="1459230" cy="434340"/>
                          </a:xfrm>
                          <a:prstGeom prst="leftArrow">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2673961B" id="مجموعة 3" o:spid="_x0000_s1027" style="position:absolute;left:0;text-align:left;margin-left:374.8pt;margin-top:10.75pt;width:426pt;height:220.2pt;z-index:251659264;mso-position-horizontal:right;mso-position-horizontal-relative:margin;mso-width-relative:margin" coordsize="52806,27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">
                <v:roundrect id="مستطيل: زوايا مستديرة 2" o:spid="_x0000_s1028" style="position:absolute;left:32842;width:19964;height:2796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" fillcolor="window" strokecolor="windowText" strokeweight="1pt">
                  <v:stroke joinstyle="miter"/>
                  <v:textbox>
                    <w:txbxContent>
                      <w:p w14:paraId="2BE371DE" w14:textId="77777777" w:rsidR="00263D77" w:rsidRPr="00DB6397" w:rsidRDefault="00263D77" w:rsidP="00263D77">
                        <w:pPr>
                          <w:jc w:val="left"/>
                          <w:rPr>
                            <w:b/>
                            <w:bCs/>
                            <w:u w:val="single"/>
                            <w:rtl/>
                          </w:rPr>
                        </w:pPr>
                        <w:r w:rsidRPr="00DB6397">
                          <w:rPr>
                            <w:rFonts w:hint="cs"/>
                            <w:b/>
                            <w:bCs/>
                            <w:u w:val="single"/>
                            <w:rtl/>
                          </w:rPr>
                          <w:t>المتغير المستقل</w:t>
                        </w:r>
                      </w:p>
                      <w:p w14:paraId="4F9410AA" w14:textId="77777777" w:rsidR="00263D77" w:rsidRPr="00DB6397" w:rsidRDefault="00263D77" w:rsidP="00263D77">
                        <w:pPr>
                          <w:jc w:val="left"/>
                          <w:rPr>
                            <w:b/>
                            <w:bCs/>
                            <w:i/>
                            <w:iCs/>
                            <w:rtl/>
                          </w:rPr>
                        </w:pPr>
                        <w:r w:rsidRPr="00DB6397">
                          <w:rPr>
                            <w:rFonts w:hint="cs"/>
                            <w:b/>
                            <w:bCs/>
                            <w:i/>
                            <w:iCs/>
                            <w:rtl/>
                          </w:rPr>
                          <w:t>إدارة المخاطر</w:t>
                        </w:r>
                      </w:p>
                      <w:p w14:paraId="7E501A61" w14:textId="77777777" w:rsidR="00263D77" w:rsidRDefault="00263D77" w:rsidP="00263D77">
                        <w:pPr>
                          <w:pStyle w:val="a9"/>
                          <w:numPr>
                            <w:ilvl w:val="0"/>
                            <w:numId w:val="28"/>
                          </w:numPr>
                          <w:jc w:val="left"/>
                          <w:rPr>
                            <w:rtl/>
                          </w:rPr>
                        </w:pPr>
                        <w:r>
                          <w:rPr>
                            <w:rFonts w:hint="cs"/>
                            <w:rtl/>
                          </w:rPr>
                          <w:t>تحديد المخاطر</w:t>
                        </w:r>
                      </w:p>
                      <w:p w14:paraId="6210E629" w14:textId="77777777" w:rsidR="00263D77" w:rsidRDefault="00263D77" w:rsidP="00263D77">
                        <w:pPr>
                          <w:pStyle w:val="a9"/>
                          <w:numPr>
                            <w:ilvl w:val="0"/>
                            <w:numId w:val="28"/>
                          </w:numPr>
                          <w:jc w:val="left"/>
                        </w:pPr>
                        <w:r>
                          <w:rPr>
                            <w:rFonts w:hint="cs"/>
                            <w:rtl/>
                          </w:rPr>
                          <w:t>تقييم المخاطر</w:t>
                        </w:r>
                      </w:p>
                      <w:p w14:paraId="3D5A9487" w14:textId="77777777" w:rsidR="00263D77" w:rsidRDefault="00263D77" w:rsidP="00263D77">
                        <w:pPr>
                          <w:pStyle w:val="a9"/>
                          <w:numPr>
                            <w:ilvl w:val="0"/>
                            <w:numId w:val="28"/>
                          </w:numPr>
                          <w:jc w:val="left"/>
                        </w:pPr>
                        <w:r w:rsidRPr="00DB6397">
                          <w:rPr>
                            <w:rtl/>
                          </w:rPr>
                          <w:t xml:space="preserve">تطوير استراتيجيات التعامل </w:t>
                        </w:r>
                        <w:r>
                          <w:rPr>
                            <w:rFonts w:hint="cs"/>
                            <w:rtl/>
                          </w:rPr>
                          <w:t>مع المخاطر</w:t>
                        </w:r>
                      </w:p>
                    </w:txbxContent>
                  </v:textbox>
                </v:roundrect>
                <v:roundrect id="مستطيل: زوايا مستديرة 3" o:spid="_x0000_s1029" style="position:absolute;top:685;width:17983;height:272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" fillcolor="window" strokecolor="windowText" strokeweight="1pt">
                  <v:stroke joinstyle="miter"/>
                  <v:textbox>
                    <w:txbxContent>
                      <w:p w14:paraId="54B2DD1C" w14:textId="77777777" w:rsidR="00263D77" w:rsidRPr="00EC0F7C" w:rsidRDefault="00263D77" w:rsidP="00263D77">
                        <w:pPr>
                          <w:jc w:val="left"/>
                          <w:rPr>
                            <w:b/>
                            <w:bCs/>
                            <w:u w:val="single"/>
                            <w:rtl/>
                          </w:rPr>
                        </w:pPr>
                        <w:r w:rsidRPr="00EC0F7C">
                          <w:rPr>
                            <w:rFonts w:hint="cs"/>
                            <w:b/>
                            <w:bCs/>
                            <w:u w:val="single"/>
                            <w:rtl/>
                          </w:rPr>
                          <w:t xml:space="preserve">المتغير التابع </w:t>
                        </w:r>
                      </w:p>
                      <w:p w14:paraId="6CD9705B" w14:textId="77777777" w:rsidR="00263D77" w:rsidRPr="00EC0F7C" w:rsidRDefault="00263D77" w:rsidP="00263D77">
                        <w:pPr>
                          <w:jc w:val="left"/>
                          <w:rPr>
                            <w:b/>
                            <w:bCs/>
                            <w:i/>
                            <w:iCs/>
                            <w:rtl/>
                          </w:rPr>
                        </w:pPr>
                        <w:r w:rsidRPr="00EC0F7C">
                          <w:rPr>
                            <w:rFonts w:hint="cs"/>
                            <w:b/>
                            <w:bCs/>
                            <w:i/>
                            <w:iCs/>
                            <w:rtl/>
                          </w:rPr>
                          <w:t xml:space="preserve">مؤشرات الأداء </w:t>
                        </w:r>
                      </w:p>
                      <w:p w14:paraId="6CB8568E" w14:textId="77777777" w:rsidR="00263D77" w:rsidRDefault="00263D77" w:rsidP="00263D77">
                        <w:pPr>
                          <w:pStyle w:val="a9"/>
                          <w:numPr>
                            <w:ilvl w:val="0"/>
                            <w:numId w:val="29"/>
                          </w:numPr>
                          <w:jc w:val="left"/>
                          <w:rPr>
                            <w:rtl/>
                          </w:rPr>
                        </w:pPr>
                        <w:r>
                          <w:rPr>
                            <w:rFonts w:hint="cs"/>
                            <w:rtl/>
                          </w:rPr>
                          <w:t>الأداء المؤسسي</w:t>
                        </w:r>
                      </w:p>
                      <w:p w14:paraId="76DD7D65" w14:textId="77777777" w:rsidR="00263D77" w:rsidRDefault="00263D77" w:rsidP="00263D77">
                        <w:pPr>
                          <w:pStyle w:val="a9"/>
                          <w:numPr>
                            <w:ilvl w:val="0"/>
                            <w:numId w:val="29"/>
                          </w:numPr>
                          <w:jc w:val="left"/>
                          <w:rPr>
                            <w:rtl/>
                          </w:rPr>
                        </w:pPr>
                        <w:r>
                          <w:rPr>
                            <w:rFonts w:hint="cs"/>
                            <w:rtl/>
                          </w:rPr>
                          <w:t>الأداء التشغيلي</w:t>
                        </w:r>
                      </w:p>
                      <w:p w14:paraId="2A20769E" w14:textId="77777777" w:rsidR="00263D77" w:rsidRDefault="00263D77" w:rsidP="00263D77">
                        <w:pPr>
                          <w:pStyle w:val="a9"/>
                          <w:numPr>
                            <w:ilvl w:val="0"/>
                            <w:numId w:val="29"/>
                          </w:numPr>
                          <w:jc w:val="left"/>
                        </w:pPr>
                        <w:r>
                          <w:rPr>
                            <w:rFonts w:hint="cs"/>
                            <w:rtl/>
                          </w:rPr>
                          <w:t>الأداء الوقائي والرقابي</w:t>
                        </w: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 o:spid="_x0000_s1030" type="#_x0000_t66" style="position:absolute;left:18173;top:12382;width:14593;height:4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" adj="3215" fillcolor="window" strokecolor="windowText" strokeweight="1pt"/>
                <w10:wrap anchorx="margin"/>
              </v:group>
            </w:pict>
          </mc:Fallback>
        </mc:AlternateContent>
      </w:r>
    </w:p>
    <w:p w14:paraId="6CBE6D31" w14:textId="77777777" w:rsidR="00263D77" w:rsidRPr="00263D77" w:rsidRDefault="00263D77" w:rsidP="00263D77">
      <w:pPr>
        <w:rPr>
          <w:rtl/>
        </w:rPr>
      </w:pPr>
    </w:p>
    <w:p w14:paraId="606FF499" w14:textId="77777777" w:rsidR="00263D77" w:rsidRPr="00263D77" w:rsidRDefault="00263D77" w:rsidP="00263D77">
      <w:pPr>
        <w:rPr>
          <w:rtl/>
        </w:rPr>
      </w:pPr>
    </w:p>
    <w:p w14:paraId="42077EE7" w14:textId="77777777" w:rsidR="00263D77" w:rsidRPr="00263D77" w:rsidRDefault="00263D77" w:rsidP="00263D77">
      <w:pPr>
        <w:rPr>
          <w:rtl/>
        </w:rPr>
      </w:pPr>
    </w:p>
    <w:p w14:paraId="349C3E48" w14:textId="77777777" w:rsidR="00263D77" w:rsidRPr="00263D77" w:rsidRDefault="00263D77" w:rsidP="00263D77">
      <w:pPr>
        <w:rPr>
          <w:rtl/>
        </w:rPr>
      </w:pPr>
    </w:p>
    <w:p w14:paraId="690E2C3E" w14:textId="77777777" w:rsidR="00263D77" w:rsidRPr="00263D77" w:rsidRDefault="00263D77" w:rsidP="00263D77">
      <w:pPr>
        <w:rPr>
          <w:rtl/>
        </w:rPr>
      </w:pPr>
    </w:p>
    <w:p w14:paraId="5FC4296D" w14:textId="77777777" w:rsidR="00263D77" w:rsidRPr="00263D77" w:rsidRDefault="00263D77" w:rsidP="00263D77">
      <w:pPr>
        <w:rPr>
          <w:rtl/>
        </w:rPr>
      </w:pPr>
    </w:p>
    <w:p w14:paraId="037631D0" w14:textId="77777777" w:rsidR="00263D77" w:rsidRPr="00263D77" w:rsidRDefault="00263D77" w:rsidP="00263D77">
      <w:pPr>
        <w:rPr>
          <w:rtl/>
        </w:rPr>
      </w:pPr>
    </w:p>
    <w:p w14:paraId="6861ABA9" w14:textId="77777777" w:rsidR="00263D77" w:rsidRPr="00263D77" w:rsidRDefault="00263D77" w:rsidP="00263D77">
      <w:pPr>
        <w:jc w:val="center"/>
        <w:rPr>
          <w:sz w:val="24"/>
          <w:szCs w:val="24"/>
          <w:rtl/>
        </w:rPr>
      </w:pPr>
      <w:bookmarkStart w:id="16" w:name="_Toc234718617"/>
      <w:r w:rsidRPr="00263D77">
        <w:rPr>
          <w:sz w:val="24"/>
          <w:szCs w:val="24"/>
          <w:rtl/>
        </w:rPr>
        <w:t>شكل 1: نموذج الدراسة</w:t>
      </w:r>
      <w:bookmarkEnd w:id="16"/>
    </w:p>
    <w:p w14:paraId="06036DF5" w14:textId="77777777" w:rsidR="00263D77" w:rsidRPr="00263D77" w:rsidRDefault="00263D77" w:rsidP="00263D77">
      <w:pPr>
        <w:jc w:val="center"/>
        <w:rPr>
          <w:rtl/>
        </w:rPr>
      </w:pPr>
      <w:r w:rsidRPr="00263D77">
        <w:rPr>
          <w:rtl/>
        </w:rPr>
        <w:t>المصدر: من اعداد الباحث</w:t>
      </w:r>
    </w:p>
    <w:p w14:paraId="4C9DF146" w14:textId="77777777" w:rsidR="00263D77" w:rsidRPr="00263D77" w:rsidRDefault="00263D77" w:rsidP="00263D77">
      <w:pPr>
        <w:rPr>
          <w:rtl/>
        </w:rPr>
      </w:pPr>
      <w:r w:rsidRPr="00263D77">
        <w:rPr>
          <w:rtl/>
        </w:rPr>
        <w:t xml:space="preserve"> وتم صياغة فرضيات البحث كالتالي:</w:t>
      </w:r>
    </w:p>
    <w:p w14:paraId="623DD6C8" w14:textId="77777777" w:rsidR="00263D77" w:rsidRPr="00263D77" w:rsidRDefault="00263D77" w:rsidP="00263D77">
      <w:pPr>
        <w:rPr>
          <w:rtl/>
        </w:rPr>
      </w:pPr>
      <w:r w:rsidRPr="00263D77">
        <w:rPr>
          <w:b/>
          <w:bCs/>
          <w:rtl/>
        </w:rPr>
        <w:t>الفرضية الرئيسية:</w:t>
      </w:r>
      <w:r w:rsidRPr="00263D77">
        <w:rPr>
          <w:rtl/>
        </w:rPr>
        <w:t xml:space="preserve"> لا يوجد أثر ذو دلالة إحصائية عند مستوى دلالة (</w:t>
      </w:r>
      <w:r w:rsidRPr="00263D77">
        <w:rPr>
          <w:rFonts w:ascii="Cambria" w:hAnsi="Cambria" w:cs="Cambria"/>
        </w:rPr>
        <w:t>α</w:t>
      </w:r>
      <w:r w:rsidRPr="00263D77">
        <w:rPr>
          <w:rFonts w:ascii="Cambria Math" w:hAnsi="Cambria Math" w:cs="Cambria Math"/>
        </w:rPr>
        <w:t>≤</w:t>
      </w:r>
      <w:r w:rsidRPr="00263D77">
        <w:t>0.05</w:t>
      </w:r>
      <w:r w:rsidRPr="00263D77">
        <w:rPr>
          <w:rtl/>
        </w:rPr>
        <w:t>) لتطبيق منهجية ادارة المخاطر بأبعادها( تحديد المخاطر- تقييم المخاطر- تطوير استراتيجيات التعامل معها) في تحسين مؤشرات الاداء لأنظمة الصحة النباتية والحيوانية في مركز وقاء.</w:t>
      </w:r>
    </w:p>
    <w:p w14:paraId="79659404" w14:textId="77777777" w:rsidR="00263D77" w:rsidRPr="00263D77" w:rsidRDefault="00263D77" w:rsidP="00263D77">
      <w:pPr>
        <w:rPr>
          <w:b/>
          <w:bCs/>
          <w:rtl/>
        </w:rPr>
      </w:pPr>
      <w:r w:rsidRPr="00263D77">
        <w:rPr>
          <w:b/>
          <w:bCs/>
          <w:rtl/>
        </w:rPr>
        <w:t>الفرضيات الفرعية:</w:t>
      </w:r>
    </w:p>
    <w:p w14:paraId="48EC43BB" w14:textId="77777777" w:rsidR="00263D77" w:rsidRPr="00263D77" w:rsidRDefault="00263D77" w:rsidP="00263D77">
      <w:pPr>
        <w:rPr>
          <w:rtl/>
        </w:rPr>
      </w:pPr>
      <w:r w:rsidRPr="00263D77">
        <w:t>H01</w:t>
      </w:r>
      <w:r w:rsidRPr="00263D77">
        <w:rPr>
          <w:rtl/>
        </w:rPr>
        <w:t xml:space="preserve"> : لا يوجد أثر ذو دلالة إحصائية عند مستوى دلالة(</w:t>
      </w:r>
      <w:r w:rsidRPr="00263D77">
        <w:rPr>
          <w:rFonts w:ascii="Cambria" w:hAnsi="Cambria" w:cs="Cambria"/>
        </w:rPr>
        <w:t>α</w:t>
      </w:r>
      <w:r w:rsidRPr="00263D77">
        <w:rPr>
          <w:rFonts w:ascii="Cambria Math" w:hAnsi="Cambria Math" w:cs="Cambria Math"/>
        </w:rPr>
        <w:t>≤</w:t>
      </w:r>
      <w:r w:rsidRPr="00263D77">
        <w:t>0.05</w:t>
      </w:r>
      <w:r w:rsidRPr="00263D77">
        <w:rPr>
          <w:rtl/>
        </w:rPr>
        <w:t>) لتحديد المخاطر في تحسين مؤشرات الاداء لأنظمة الصحة النباتية والحيوانية في مركز وقاء</w:t>
      </w:r>
    </w:p>
    <w:p w14:paraId="2AEF3487" w14:textId="77777777" w:rsidR="00263D77" w:rsidRPr="00263D77" w:rsidRDefault="00263D77" w:rsidP="00263D77">
      <w:pPr>
        <w:rPr>
          <w:rtl/>
        </w:rPr>
      </w:pPr>
      <w:r w:rsidRPr="00263D77">
        <w:t>H02</w:t>
      </w:r>
      <w:r w:rsidRPr="00263D77">
        <w:rPr>
          <w:rtl/>
        </w:rPr>
        <w:t xml:space="preserve"> : لا يوجد أثر ذو دلالة إحصائية عند مستوى دلالة(</w:t>
      </w:r>
      <w:r w:rsidRPr="00263D77">
        <w:rPr>
          <w:rFonts w:ascii="Cambria" w:hAnsi="Cambria" w:cs="Cambria"/>
        </w:rPr>
        <w:t>α</w:t>
      </w:r>
      <w:r w:rsidRPr="00263D77">
        <w:rPr>
          <w:rFonts w:ascii="Cambria Math" w:hAnsi="Cambria Math" w:cs="Cambria Math"/>
        </w:rPr>
        <w:t>≤</w:t>
      </w:r>
      <w:r w:rsidRPr="00263D77">
        <w:t>0.05</w:t>
      </w:r>
      <w:r w:rsidRPr="00263D77">
        <w:rPr>
          <w:rtl/>
        </w:rPr>
        <w:t>) لتقييم المخاطر في تحسين مؤشرات الاداء لأنظمة الصحة النباتية والحيوانية في مركز وقاء</w:t>
      </w:r>
    </w:p>
    <w:p w14:paraId="35BEDF7B" w14:textId="77777777" w:rsidR="00263D77" w:rsidRPr="00263D77" w:rsidRDefault="00263D77" w:rsidP="00263D77">
      <w:pPr>
        <w:rPr>
          <w:rtl/>
        </w:rPr>
      </w:pPr>
      <w:r w:rsidRPr="00263D77">
        <w:rPr>
          <w:rtl/>
        </w:rPr>
        <w:t xml:space="preserve"> </w:t>
      </w:r>
      <w:r w:rsidRPr="00263D77">
        <w:t>H03</w:t>
      </w:r>
      <w:r w:rsidRPr="00263D77">
        <w:rPr>
          <w:rtl/>
        </w:rPr>
        <w:t xml:space="preserve"> : لا يوجد أثر ذو دلالة إحصائية عند مستوى دلالة(</w:t>
      </w:r>
      <w:r w:rsidRPr="00263D77">
        <w:rPr>
          <w:rFonts w:ascii="Cambria" w:hAnsi="Cambria" w:cs="Cambria"/>
        </w:rPr>
        <w:t>α</w:t>
      </w:r>
      <w:r w:rsidRPr="00263D77">
        <w:rPr>
          <w:rFonts w:ascii="Cambria Math" w:hAnsi="Cambria Math" w:cs="Cambria Math"/>
        </w:rPr>
        <w:t>≤</w:t>
      </w:r>
      <w:r w:rsidRPr="00263D77">
        <w:t>0.05</w:t>
      </w:r>
      <w:r w:rsidRPr="00263D77">
        <w:rPr>
          <w:rtl/>
        </w:rPr>
        <w:t>) لتطوير استراتيجيات التعامل مع المخاطر في تحسين مؤشرات الاداء لأنظمة الصحة النباتية والحيوانية في مركز وقاء.</w:t>
      </w:r>
    </w:p>
    <w:p w14:paraId="7690539D" w14:textId="77777777" w:rsidR="00263D77" w:rsidRPr="00263D77" w:rsidRDefault="00263D77" w:rsidP="00263D77">
      <w:pPr>
        <w:ind w:firstLine="0"/>
        <w:rPr>
          <w:rtl/>
        </w:rPr>
      </w:pPr>
    </w:p>
    <w:p w14:paraId="19E49763" w14:textId="77777777" w:rsidR="00263D77" w:rsidRPr="00263D77" w:rsidRDefault="00263D77" w:rsidP="00263D77">
      <w:pPr>
        <w:rPr>
          <w:rtl/>
        </w:rPr>
      </w:pPr>
      <w:r w:rsidRPr="00263D77">
        <w:rPr>
          <w:noProof/>
          <w:rtl/>
          <w:lang w:val="ar-SA"/>
        </w:rPr>
        <mc:AlternateContent>
          <mc:Choice Requires="wps">
            <w:drawing>
              <wp:anchor distT="0" distB="0" distL="114300" distR="114300" simplePos="0" relativeHeight="251663360" behindDoc="0" locked="0" layoutInCell="1" allowOverlap="1" wp14:anchorId="6055E50A" wp14:editId="5A4095EF">
                <wp:simplePos x="0" y="0"/>
                <wp:positionH relativeFrom="column">
                  <wp:posOffset>2232237</wp:posOffset>
                </wp:positionH>
                <wp:positionV relativeFrom="paragraph">
                  <wp:posOffset>8262197</wp:posOffset>
                </wp:positionV>
                <wp:extent cx="778933" cy="448733"/>
                <wp:effectExtent l="0" t="0" r="2540" b="8890"/>
                <wp:wrapNone/>
                <wp:docPr id="1328095631" name="مستطيل: زوايا مستديرة 17"/>
                <wp:cNvGraphicFramePr/>
                <a:graphic xmlns:a="http://schemas.openxmlformats.org/drawingml/2006/main">
                  <a:graphicData uri="http://schemas.microsoft.com/office/word/2010/wordprocessingShape">
                    <wps:wsp>
                      <wps:cNvSpPr/>
                      <wps:spPr>
                        <a:xfrm>
                          <a:off x="0" y="0"/>
                          <a:ext cx="778933" cy="448733"/>
                        </a:xfrm>
                        <a:prstGeom prst="round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8E2F072" id="مستطيل: زوايا مستديرة 17" o:spid="_x0000_s1026" style="position:absolute;left:0;text-align:left;margin-left:175.75pt;margin-top:650.55pt;width:61.35pt;height:35.35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" fillcolor="window" stroked="f" strokeweight="1pt">
                <v:stroke joinstyle="miter"/>
              </v:roundrect>
            </w:pict>
          </mc:Fallback>
        </mc:AlternateContent>
      </w:r>
      <w:r w:rsidRPr="00263D77">
        <w:rPr>
          <w:noProof/>
          <w:rtl/>
          <w:lang w:val="ar-SA"/>
        </w:rPr>
        <mc:AlternateContent>
          <mc:Choice Requires="wps">
            <w:drawing>
              <wp:anchor distT="0" distB="0" distL="114300" distR="114300" simplePos="0" relativeHeight="251661312" behindDoc="0" locked="0" layoutInCell="1" allowOverlap="1" wp14:anchorId="7AC4E1D7" wp14:editId="17F9A15B">
                <wp:simplePos x="1752600" y="2472055"/>
                <wp:positionH relativeFrom="margin">
                  <wp:align>center</wp:align>
                </wp:positionH>
                <wp:positionV relativeFrom="margin">
                  <wp:align>center</wp:align>
                </wp:positionV>
                <wp:extent cx="4046220" cy="5090795"/>
                <wp:effectExtent l="152400" t="152400" r="163830" b="167005"/>
                <wp:wrapNone/>
                <wp:docPr id="66043648" name="تمرير: رأسي 6"/>
                <wp:cNvGraphicFramePr/>
                <a:graphic xmlns:a="http://schemas.openxmlformats.org/drawingml/2006/main">
                  <a:graphicData uri="http://schemas.microsoft.com/office/word/2010/wordprocessingShape">
                    <wps:wsp>
                      <wps:cNvSpPr/>
                      <wps:spPr>
                        <a:xfrm>
                          <a:off x="0" y="0"/>
                          <a:ext cx="4046220" cy="5090795"/>
                        </a:xfrm>
                        <a:prstGeom prst="verticalScroll">
                          <a:avLst/>
                        </a:prstGeom>
                        <a:solidFill>
                          <a:sysClr val="window" lastClr="FFFFFF"/>
                        </a:solidFill>
                        <a:ln w="12700" cap="flat" cmpd="sng" algn="ctr">
                          <a:solidFill>
                            <a:srgbClr val="4472C4"/>
                          </a:solidFill>
                          <a:prstDash val="solid"/>
                          <a:miter lim="800000"/>
                        </a:ln>
                        <a:effectLst>
                          <a:glow rad="139700">
                            <a:srgbClr val="70AD47">
                              <a:satMod val="175000"/>
                              <a:alpha val="40000"/>
                            </a:srgbClr>
                          </a:glow>
                        </a:effectLst>
                      </wps:spPr>
                      <wps:txbx>
                        <w:txbxContent>
                          <w:p w14:paraId="736ADB98" w14:textId="77777777" w:rsidR="00263D77" w:rsidRPr="00AB11FA" w:rsidRDefault="00263D77" w:rsidP="00263D77">
                            <w:pPr>
                              <w:jc w:val="center"/>
                              <w:rPr>
                                <w:b/>
                                <w:bCs/>
                                <w:sz w:val="36"/>
                                <w:szCs w:val="36"/>
                                <w:rtl/>
                              </w:rPr>
                            </w:pPr>
                            <w:r w:rsidRPr="00AB11FA">
                              <w:rPr>
                                <w:rFonts w:hint="cs"/>
                                <w:b/>
                                <w:bCs/>
                                <w:sz w:val="36"/>
                                <w:szCs w:val="36"/>
                                <w:rtl/>
                              </w:rPr>
                              <w:t>الفصل الثاني</w:t>
                            </w:r>
                          </w:p>
                          <w:p w14:paraId="65774F60" w14:textId="77777777" w:rsidR="00263D77" w:rsidRPr="00AB11FA" w:rsidRDefault="00263D77" w:rsidP="00263D77">
                            <w:pPr>
                              <w:jc w:val="center"/>
                              <w:rPr>
                                <w:b/>
                                <w:bCs/>
                                <w:sz w:val="36"/>
                                <w:szCs w:val="36"/>
                              </w:rPr>
                            </w:pPr>
                            <w:r w:rsidRPr="00AB11FA">
                              <w:rPr>
                                <w:rFonts w:hint="cs"/>
                                <w:b/>
                                <w:bCs/>
                                <w:sz w:val="36"/>
                                <w:szCs w:val="36"/>
                                <w:rtl/>
                              </w:rPr>
                              <w:t>الإطار النظري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C4E1D7" id="تمرير: رأسي 6" o:spid="_x0000_s1031" type="#_x0000_t97" style="position:absolute;left:0;text-align:left;margin-left:0;margin-top:0;width:318.6pt;height:400.85pt;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" fillcolor="window" strokecolor="#4472c4" strokeweight="1pt">
                <v:stroke joinstyle="miter"/>
                <v:textbox>
                  <w:txbxContent>
                    <w:p w14:paraId="736ADB98" w14:textId="77777777" w:rsidR="00263D77" w:rsidRPr="00AB11FA" w:rsidRDefault="00263D77" w:rsidP="00263D77">
                      <w:pPr>
                        <w:jc w:val="center"/>
                        <w:rPr>
                          <w:b/>
                          <w:bCs/>
                          <w:sz w:val="36"/>
                          <w:szCs w:val="36"/>
                          <w:rtl/>
                        </w:rPr>
                      </w:pPr>
                      <w:r w:rsidRPr="00AB11FA">
                        <w:rPr>
                          <w:rFonts w:hint="cs"/>
                          <w:b/>
                          <w:bCs/>
                          <w:sz w:val="36"/>
                          <w:szCs w:val="36"/>
                          <w:rtl/>
                        </w:rPr>
                        <w:t>الفصل الثاني</w:t>
                      </w:r>
                    </w:p>
                    <w:p w14:paraId="65774F60" w14:textId="77777777" w:rsidR="00263D77" w:rsidRPr="00AB11FA" w:rsidRDefault="00263D77" w:rsidP="00263D77">
                      <w:pPr>
                        <w:jc w:val="center"/>
                        <w:rPr>
                          <w:b/>
                          <w:bCs/>
                          <w:sz w:val="36"/>
                          <w:szCs w:val="36"/>
                        </w:rPr>
                      </w:pPr>
                      <w:r w:rsidRPr="00AB11FA">
                        <w:rPr>
                          <w:rFonts w:hint="cs"/>
                          <w:b/>
                          <w:bCs/>
                          <w:sz w:val="36"/>
                          <w:szCs w:val="36"/>
                          <w:rtl/>
                        </w:rPr>
                        <w:t>الإطار النظري والدراسات السابقة</w:t>
                      </w:r>
                    </w:p>
                  </w:txbxContent>
                </v:textbox>
                <w10:wrap anchorx="margin" anchory="margin"/>
              </v:shape>
            </w:pict>
          </mc:Fallback>
        </mc:AlternateContent>
      </w:r>
      <w:r w:rsidRPr="00263D77">
        <w:rPr>
          <w:rtl/>
        </w:rPr>
        <w:br w:type="page"/>
      </w:r>
    </w:p>
    <w:p w14:paraId="7190736C" w14:textId="77777777" w:rsidR="00263D77" w:rsidRPr="00263D77" w:rsidRDefault="00263D77" w:rsidP="00263D77">
      <w:pPr>
        <w:rPr>
          <w:b/>
          <w:bCs/>
          <w:rtl/>
        </w:rPr>
      </w:pPr>
      <w:r w:rsidRPr="00263D77">
        <w:rPr>
          <w:b/>
          <w:bCs/>
          <w:rtl/>
        </w:rPr>
        <w:lastRenderedPageBreak/>
        <w:t>تمهيد</w:t>
      </w:r>
    </w:p>
    <w:p w14:paraId="4DA8FADB" w14:textId="77777777" w:rsidR="00263D77" w:rsidRPr="00263D77" w:rsidRDefault="00263D77" w:rsidP="00263D77">
      <w:pPr>
        <w:rPr>
          <w:rtl/>
        </w:rPr>
      </w:pPr>
      <w:r w:rsidRPr="00263D77">
        <w:rPr>
          <w:rtl/>
        </w:rPr>
        <w:t>يُعد الاهتمام بإدارة المخاطر من المرتكزات الأساسية التي تعتمد عليها المؤسسات الحديثة في تعزيز قدرتها على تحقيق أهدافها والمحافظة على استمرارية أعمالها في ظل بيئة تتسم بالتغير المستمر وتزايد التحديات والمخاطر. وقد ازدادت أهمية إدارة المخاطر بصورة ملحوظة في المؤسسات المرتبطة بالصحة النباتية والحيوانية نظراً لما تواجهه من مخاطر بيولوجية ووبائية قد تنعكس آثارها على الأمن الغذائي والصحة العامة والتنمية الاقتصادية. ومن هذا المنطلق أصبحت إدارة المخاطر منهجية إدارية متكاملة لا تقتصر على التعامل مع المخاطر عند وقوعها، بل تمتد لتشمل التنبؤ بها وتقييمها ووضع الاستراتيجيات المناسبة للحد من آثارها أو منع حدوثها.</w:t>
      </w:r>
    </w:p>
    <w:p w14:paraId="66AC90E0" w14:textId="77777777" w:rsidR="00263D77" w:rsidRPr="00263D77" w:rsidRDefault="00263D77" w:rsidP="00263D77">
      <w:pPr>
        <w:rPr>
          <w:rtl/>
        </w:rPr>
      </w:pPr>
      <w:r w:rsidRPr="00263D77">
        <w:rPr>
          <w:rtl/>
        </w:rPr>
        <w:t>وفي المقابل، تمثل مؤشرات الأداء أداة مهمة لقياس مدى نجاح المؤسسات في تحقيق أهدافها وكفاءة استخدام مواردها وفاعلية عملياتها التشغيلية والتنظيمية والرقابية. كما تسهم هذه المؤشرات في توفير معلومات دقيقة تساعد متخذي القرار على تقييم مستوى الأداء وتحديد مجالات التحسين والتطوير. وفي المؤسسات المعنية بالصحة النباتية والحيوانية تكتسب مؤشرات الأداء أهمية خاصة لارتباطها بقدرة المؤسسة على الوقاية من المخاطر والاستجابة السريعة للأحداث الطارئة وضمان الالتزام بالأنظمة والاشتراطات المعتمدة.</w:t>
      </w:r>
    </w:p>
    <w:p w14:paraId="053EE21B" w14:textId="77777777" w:rsidR="00263D77" w:rsidRPr="00263D77" w:rsidRDefault="00263D77" w:rsidP="00263D77">
      <w:pPr>
        <w:rPr>
          <w:rtl/>
        </w:rPr>
      </w:pPr>
      <w:r w:rsidRPr="00263D77">
        <w:rPr>
          <w:rtl/>
        </w:rPr>
        <w:t>وانطلاقاً من أهمية العلاقة بين إدارة المخاطر ومؤشرات الأداء، يتناول هذا الفصل عرضاً للإطار النظري المتعلق بمتغيرات الدراسة، من خلال استعراض المفاهيم الأساسية والأبعاد والنماذج والنظريات المرتبطة بإدارة المخاطر ومؤشرات الأداء، إضافة إلى عرض وتحليل الدراسات السابقة ذات الصلة، بهدف بناء أساس علمي يسهم في تفسير نتائج الدراسة الحالية ومناقشتها في ضوء الأدبيات العلمية ذات العلاقة.</w:t>
      </w:r>
      <w:r w:rsidRPr="00263D77">
        <w:rPr>
          <w:rtl/>
        </w:rPr>
        <w:br w:type="page"/>
      </w:r>
    </w:p>
    <w:p w14:paraId="5874DB88" w14:textId="77777777" w:rsidR="00263D77" w:rsidRPr="00263D77" w:rsidRDefault="00263D77" w:rsidP="00263D77">
      <w:pPr>
        <w:keepNext/>
        <w:keepLines/>
        <w:spacing w:before="120"/>
        <w:outlineLvl w:val="0"/>
        <w:rPr>
          <w:rFonts w:asciiTheme="majorHAnsi" w:eastAsiaTheme="majorEastAsia" w:hAnsiTheme="majorHAnsi"/>
          <w:bCs/>
          <w:color w:val="4472C4" w:themeColor="accent1"/>
          <w:sz w:val="36"/>
          <w:szCs w:val="36"/>
          <w:rtl/>
        </w:rPr>
      </w:pPr>
      <w:bookmarkStart w:id="17" w:name="_Toc223666033"/>
      <w:bookmarkStart w:id="18" w:name="_Toc234717613"/>
      <w:r w:rsidRPr="00263D77">
        <w:rPr>
          <w:rFonts w:asciiTheme="majorHAnsi" w:eastAsiaTheme="majorEastAsia" w:hAnsiTheme="majorHAnsi"/>
          <w:bCs/>
          <w:color w:val="4472C4" w:themeColor="accent1"/>
          <w:sz w:val="36"/>
          <w:szCs w:val="36"/>
          <w:rtl/>
        </w:rPr>
        <w:lastRenderedPageBreak/>
        <w:t>الدراسات السابقة</w:t>
      </w:r>
      <w:bookmarkEnd w:id="17"/>
      <w:bookmarkEnd w:id="18"/>
    </w:p>
    <w:p w14:paraId="1616D351" w14:textId="77777777" w:rsidR="00263D77" w:rsidRPr="00263D77" w:rsidRDefault="00263D77" w:rsidP="00263D77">
      <w:pPr>
        <w:rPr>
          <w:rtl/>
        </w:rPr>
      </w:pPr>
      <w:r w:rsidRPr="00263D77">
        <w:rPr>
          <w:rtl/>
        </w:rPr>
        <w:t>يعتبر الاطلاع على الدراسات السابقة من أهم الخطوات التي يقوم بها الباحث لما لها من تأثير وإثراء لمحصلته العلمية، وللتعرف على الإنجازات والأخطاء التي قام بها الباحثون، وبالرغم من قلة الدراسات المتعلقة بأثر تطبيق منهجية إدارة المخاطر في تحسين مؤشرات الأداء لأنظمة الصحة النباتية والحيوانية، فقد تمت الاستعانة بمجموعة من الدراسات التي عرضت في أجزائها مكونات متعلقة بتطبيق منهجية إدارة المخاطر وأثرها في تحسين الأداء المؤسسي وأنظمة الصحة النباتية والحيوانية، في الدول العربية والأجنبية وتمثلت في الاتي:</w:t>
      </w:r>
    </w:p>
    <w:p w14:paraId="04B574EA" w14:textId="77777777" w:rsidR="00263D77" w:rsidRPr="00263D77" w:rsidRDefault="00263D77" w:rsidP="00263D77">
      <w:pPr>
        <w:ind w:firstLine="0"/>
        <w:rPr>
          <w:b/>
          <w:bCs/>
          <w:rtl/>
        </w:rPr>
      </w:pPr>
      <w:r w:rsidRPr="00263D77">
        <w:rPr>
          <w:b/>
          <w:bCs/>
          <w:rtl/>
        </w:rPr>
        <w:t xml:space="preserve">دراسة </w:t>
      </w:r>
      <w:r w:rsidRPr="00263D77">
        <w:rPr>
          <w:b/>
          <w:bCs/>
        </w:rPr>
        <w:t>Hayes,2003)</w:t>
      </w:r>
      <w:r w:rsidRPr="00263D77">
        <w:rPr>
          <w:b/>
          <w:bCs/>
          <w:rtl/>
        </w:rPr>
        <w:t xml:space="preserve">) </w:t>
      </w:r>
    </w:p>
    <w:p w14:paraId="4052E81C" w14:textId="77777777" w:rsidR="00263D77" w:rsidRPr="00263D77" w:rsidRDefault="00263D77" w:rsidP="00263D77">
      <w:pPr>
        <w:rPr>
          <w:rtl/>
        </w:rPr>
      </w:pPr>
      <w:r w:rsidRPr="00263D77">
        <w:rPr>
          <w:rtl/>
        </w:rPr>
        <w:t>عالجت هذه الدراسة موضوع تقييم مخاطر الغزو البيولوجي في سياق التجارة الدولية، مشيرة إلى زيادة حجم التجارة العالمية منذ خمسينات القرن الماضي، وما صاحبه من ارتفاع في الغزوات البيولوجية. أكد البحث أن تقييم المخاطر يُستخدم كأداة علمية وموضوعية من قبل وكالات دولية مثل منظمة التجارة العالمية للتعامل مع المخاطر البيولوجية المرتبطة بالواردات من النباتات والحيوانات والمنتجات ذات الصلة. وقد عرضت الدراسة طرقًا متعددة لتقييم مخاطر الغزو البيولوجي، مشيرة إلى أهمية تحديد ضعْف سلسلة الأحداث لتحديد خيارات الإدارة الفعّالة من حيث التكلفة. كما ناقش البحث الحاجة إلى دمج إجراءات تحديد المخاطر الدقيقة في أطر التقييم لضمان نزاهة النتائج وموضوعيتها، والتقليل من التحيزات السياسية والاقتصادية. وضح البحث أيضًا تطبيقات متنوعة لتقييمات المخاطر البيولوجية من خلال دراسات حالة متعددة، مثل تقييم مخاطر مياه الموازن الذي طُبق من قبل الحجر الصحي الأسترالي. وأشارت النتائج إلى أن النماذج النوعية الحالية تتجاهل في كثير من الأحيان العلاقات بين المسارات والأنواع الغازية، مما يضعف التقييم ويجعله عرضة لخطأ التقدير.</w:t>
      </w:r>
    </w:p>
    <w:p w14:paraId="479F4F5D" w14:textId="77777777" w:rsidR="00263D77" w:rsidRPr="00263D77" w:rsidRDefault="00263D77" w:rsidP="00263D77">
      <w:pPr>
        <w:rPr>
          <w:b/>
          <w:bCs/>
          <w:rtl/>
        </w:rPr>
      </w:pPr>
      <w:r w:rsidRPr="00263D77">
        <w:rPr>
          <w:b/>
          <w:bCs/>
          <w:rtl/>
        </w:rPr>
        <w:t xml:space="preserve">دراسة </w:t>
      </w:r>
      <w:r w:rsidRPr="00263D77">
        <w:rPr>
          <w:b/>
          <w:bCs/>
        </w:rPr>
        <w:t>Gaudioso</w:t>
      </w:r>
      <w:r w:rsidRPr="00263D77">
        <w:rPr>
          <w:b/>
          <w:bCs/>
          <w:rtl/>
        </w:rPr>
        <w:t xml:space="preserve"> وآخرون (2006)</w:t>
      </w:r>
    </w:p>
    <w:p w14:paraId="45B490C8" w14:textId="77777777" w:rsidR="00263D77" w:rsidRPr="00263D77" w:rsidRDefault="00263D77" w:rsidP="00263D77">
      <w:pPr>
        <w:rPr>
          <w:rtl/>
        </w:rPr>
      </w:pPr>
      <w:r w:rsidRPr="00263D77">
        <w:rPr>
          <w:rtl/>
        </w:rPr>
        <w:t xml:space="preserve">ركزت هذه الدراسة على الأمن البيولوجي في بيئات المختبر وعلاقتها بتقييم المخاطر، وذلك في سياق حماية العوامل البيولوجية الخطرة من الاستخدام غير المشروع. أظهرت الدراسة أن الأدبيات القائمة لا توفر نهجًا شاملاً أو نموذجًا موحدًا للأمن البيولوجي يأخذ في الاعتبار القضايا التشغيلية في بيئات المختبرات الحديثة. اقترح الباحثون إطارًا أوليًا لتقييم الأمن البيولوجي يرتكز على ثلاث خطوات: تقييم المواد البيولوجية بناءً على إمكانيات استخدامها كسلاح محتمل وعواقبها، تقييم الخصوم المحتملين، وتحليل سيناريوهات الأمان. وقد رأى الباحثون أن نتائج تقييم المخاطر تشكل أساسًا منطقيًا لتخصيص الموارد الأمنية بكفاءة، وتحسين البرامج الحالية للأمن البيولوجي. كما أوضحت </w:t>
      </w:r>
      <w:r w:rsidRPr="00263D77">
        <w:rPr>
          <w:rtl/>
        </w:rPr>
        <w:lastRenderedPageBreak/>
        <w:t>الدراسة أن الأمن البيولوجي يجب تنفيذه بتدرج متزايد حسب المخاطر المحددة، مما يعزز دقة التقييم وفعالية الاستجابة.</w:t>
      </w:r>
    </w:p>
    <w:p w14:paraId="3B231502" w14:textId="77777777" w:rsidR="00263D77" w:rsidRPr="00263D77" w:rsidRDefault="00263D77" w:rsidP="00263D77">
      <w:pPr>
        <w:rPr>
          <w:b/>
          <w:bCs/>
          <w:rtl/>
        </w:rPr>
      </w:pPr>
      <w:r w:rsidRPr="00263D77">
        <w:rPr>
          <w:b/>
          <w:bCs/>
          <w:rtl/>
        </w:rPr>
        <w:t xml:space="preserve">دراسة </w:t>
      </w:r>
      <w:r w:rsidRPr="00263D77">
        <w:rPr>
          <w:b/>
          <w:bCs/>
        </w:rPr>
        <w:t>Jin</w:t>
      </w:r>
      <w:r w:rsidRPr="00263D77">
        <w:rPr>
          <w:b/>
          <w:bCs/>
          <w:rtl/>
        </w:rPr>
        <w:t xml:space="preserve"> وآخرون (2009)</w:t>
      </w:r>
    </w:p>
    <w:p w14:paraId="4BE9CB16" w14:textId="77777777" w:rsidR="00263D77" w:rsidRPr="00263D77" w:rsidRDefault="00263D77" w:rsidP="00263D77">
      <w:pPr>
        <w:rPr>
          <w:rtl/>
        </w:rPr>
      </w:pPr>
      <w:r w:rsidRPr="00263D77">
        <w:rPr>
          <w:rtl/>
        </w:rPr>
        <w:t>عالجت هذه الدراسة موضوع الزراعة الحيوانية وتهديدات الأمن البيولوجي المتعمدة وغير المتعمدة، مع التركيز على تحليل الاستراتيجيات الاقتصادية والتشغيلية للتخفيف منها. أكد البحث أن التفشيات الحيوية، خاصة في حال وقوع هجمات متعمدة أو غير متوقعة، يمكن أن تحمل عواقب اقتصادية واجتماعية هائلة تمتد إلى ما هو أبعد من القطاع الزراعي نفسه. وبناء على استعراض الأدبيات، ركّزت الدراسة على فئتين رئيسيتين من الاستراتيجيات: الاستعداد والوقاية قبل وقوع الحدث، والاستجابة والتعافي بعد وقوعه. وقدّم الباحثون توصيات استراتيجية تستند إلى التحليلات الاقتصادية في اختيار مزيج الاستراتيجيات الأكثر فعالية من حيث التكلفة والمردود. كما ناقشت الدراسة تحديات التنفيذ التي قد تواجه الدول والمؤسسات عند محاولة تطبيق هذه الاستراتيجيات، مثل ضعف البنية التحتية أو نقص البيانات العلمية. كما سلطت الضوء على الإمكانيات المتاحة في التكنولوجيا والتعليم لمواجهة المخاطر البيولوجية في الزراعة الحيوانية.</w:t>
      </w:r>
    </w:p>
    <w:p w14:paraId="6320F144" w14:textId="77777777" w:rsidR="00263D77" w:rsidRPr="00263D77" w:rsidRDefault="00263D77" w:rsidP="00263D77">
      <w:pPr>
        <w:rPr>
          <w:b/>
          <w:bCs/>
          <w:rtl/>
        </w:rPr>
      </w:pPr>
      <w:r w:rsidRPr="00263D77">
        <w:rPr>
          <w:b/>
          <w:bCs/>
          <w:rtl/>
        </w:rPr>
        <w:t xml:space="preserve">دراسة </w:t>
      </w:r>
      <w:r w:rsidRPr="00263D77">
        <w:rPr>
          <w:b/>
          <w:bCs/>
        </w:rPr>
        <w:t>Dahlstrom</w:t>
      </w:r>
      <w:r w:rsidRPr="00263D77">
        <w:rPr>
          <w:b/>
          <w:bCs/>
          <w:rtl/>
        </w:rPr>
        <w:t xml:space="preserve"> وآخرون (2011)</w:t>
      </w:r>
    </w:p>
    <w:p w14:paraId="01D4BB96" w14:textId="77777777" w:rsidR="00263D77" w:rsidRPr="00263D77" w:rsidRDefault="00263D77" w:rsidP="00263D77">
      <w:pPr>
        <w:rPr>
          <w:rtl/>
        </w:rPr>
      </w:pPr>
      <w:r w:rsidRPr="00263D77">
        <w:rPr>
          <w:rtl/>
        </w:rPr>
        <w:t>استعرضت هذه الدراسة أثر الأنواع المائية غير الأصلية (</w:t>
      </w:r>
      <w:r w:rsidRPr="00263D77">
        <w:t>ANS</w:t>
      </w:r>
      <w:r w:rsidRPr="00263D77">
        <w:rPr>
          <w:rtl/>
        </w:rPr>
        <w:t xml:space="preserve">) على القيم البيئية والاقتصادية والاجتماعية، مع التركيز على ضرورة تطوير أطر تقييم المخاطر المرتبطة بها. كما كشفت الدراسة عن نقص إطار موحد لدى الوكالات المسؤولة لتحديد وتخفيف المخاطر الناتجة عن </w:t>
      </w:r>
      <w:r w:rsidRPr="00263D77">
        <w:t>ANS</w:t>
      </w:r>
      <w:r w:rsidRPr="00263D77">
        <w:rPr>
          <w:rtl/>
        </w:rPr>
        <w:t>، وهو ما يعوق الإجراءات الوقائية الفعّالة. وقد قدمت الورقة مراجعة لأطر تقييم مخاطر الأمن البيولوجي لدى هيئات دولية وإقليمية متعددة، وحددت أوجه الاختلاف وأوجه النقص في أطرها. وأشارت إلى أن من ضمن التحديات وجود فجوات معرفية في فهم وتحليل مخاطر الأنواع الغازية، وغياب إرشادات كافية لتغطية كافة مكونات التقييم. كما أبرزت الدراسة الحاجة إلى توحد المصطلحات والمعايير المستخدمة عبر السياقات المختلفة لتسهيل الإجراءات التنظيمية. واختتمت بتقديم ست توصيات لتطوير أطر تقييم مخاطر الأمن البيولوجي المائي بطريقة شاملة واحترازية.</w:t>
      </w:r>
    </w:p>
    <w:p w14:paraId="592D22F6" w14:textId="77777777" w:rsidR="00263D77" w:rsidRPr="00263D77" w:rsidRDefault="00263D77" w:rsidP="00263D77">
      <w:pPr>
        <w:rPr>
          <w:b/>
          <w:bCs/>
          <w:rtl/>
        </w:rPr>
      </w:pPr>
      <w:r w:rsidRPr="00263D77">
        <w:rPr>
          <w:b/>
          <w:bCs/>
          <w:rtl/>
        </w:rPr>
        <w:t xml:space="preserve">دراسة </w:t>
      </w:r>
      <w:r w:rsidRPr="00263D77">
        <w:rPr>
          <w:b/>
          <w:bCs/>
        </w:rPr>
        <w:t>Kelly</w:t>
      </w:r>
      <w:r w:rsidRPr="00263D77">
        <w:rPr>
          <w:b/>
          <w:bCs/>
          <w:rtl/>
        </w:rPr>
        <w:t xml:space="preserve"> وآخرون (2011)</w:t>
      </w:r>
    </w:p>
    <w:p w14:paraId="33A31D6C" w14:textId="77777777" w:rsidR="00263D77" w:rsidRPr="00263D77" w:rsidRDefault="00263D77" w:rsidP="00263D77">
      <w:pPr>
        <w:rPr>
          <w:rtl/>
        </w:rPr>
      </w:pPr>
      <w:r w:rsidRPr="00263D77">
        <w:rPr>
          <w:rtl/>
        </w:rPr>
        <w:t>هدفت هذه الدراسة إلى وصف جوانب أداء قطعان دُرست في سياق وزارة الزراعة والثروة السمكية والغذاء (</w:t>
      </w:r>
      <w:r w:rsidRPr="00263D77">
        <w:t>DAFF</w:t>
      </w:r>
      <w:r w:rsidRPr="00263D77">
        <w:rPr>
          <w:rtl/>
        </w:rPr>
        <w:t>)، واستخدام مؤشرات الأداء الرئيسية (</w:t>
      </w:r>
      <w:r w:rsidRPr="00263D77">
        <w:t>KPIs</w:t>
      </w:r>
      <w:r w:rsidRPr="00263D77">
        <w:rPr>
          <w:rtl/>
        </w:rPr>
        <w:t>) لتعزيز نظام الإنذار المبكر (</w:t>
      </w:r>
      <w:r w:rsidRPr="00263D77">
        <w:t>EWS</w:t>
      </w:r>
      <w:r w:rsidRPr="00263D77">
        <w:rPr>
          <w:rtl/>
        </w:rPr>
        <w:t xml:space="preserve">) في حوادث رفاهية الحيوان، جمع الباحثون استبيانات من المفتشين البيطريين المشرفين لتحديد مؤشرات الأداء التي يمكن مراقبتها وتحليلها سنويًا. وقد شمل التحليل ستة مؤشرات أداء محتملة، تم </w:t>
      </w:r>
      <w:r w:rsidRPr="00263D77">
        <w:rPr>
          <w:rtl/>
        </w:rPr>
        <w:lastRenderedPageBreak/>
        <w:t xml:space="preserve">استخلاصها من قواعد بيانات </w:t>
      </w:r>
      <w:r w:rsidRPr="00263D77">
        <w:t>DAFF</w:t>
      </w:r>
      <w:r w:rsidRPr="00263D77">
        <w:rPr>
          <w:rtl/>
        </w:rPr>
        <w:t>، ودرست على مدى أربع سنوات لحوادث معروفة بحصولها في الماضي. وُضِع التركيز على مقارنة مؤشرات الأداء بين قطعان لها تاريخ واضح لحوادث رعاية اجتماعية مقابل قطعان لم تحدث لها مثل تلك الحوادث. أظهرت الدراسة أن مراقبة مؤشرات الأداء على مدى زمني يمكن أن تساعد في تحسين نظام الإنذار المبكر، مما يساهم في الكشف المبكر ومعالجة المشكلات قبل تفاقمها. كما بيّنت نتائج الدراسة أهمية ربط البيانات الميدانية بمؤشرات الأداء التنظيمية لإدارة المخاطر الحيوانية بشكل أفضل.</w:t>
      </w:r>
    </w:p>
    <w:p w14:paraId="13AC91DA" w14:textId="77777777" w:rsidR="00263D77" w:rsidRPr="00263D77" w:rsidRDefault="00263D77" w:rsidP="00263D77">
      <w:pPr>
        <w:ind w:firstLine="0"/>
        <w:rPr>
          <w:b/>
          <w:bCs/>
          <w:rtl/>
        </w:rPr>
      </w:pPr>
      <w:r w:rsidRPr="00263D77">
        <w:rPr>
          <w:b/>
          <w:bCs/>
          <w:rtl/>
        </w:rPr>
        <w:t xml:space="preserve"> دراسة </w:t>
      </w:r>
      <w:r w:rsidRPr="00263D77">
        <w:rPr>
          <w:b/>
          <w:bCs/>
        </w:rPr>
        <w:t>Jeger</w:t>
      </w:r>
      <w:r w:rsidRPr="00263D77">
        <w:rPr>
          <w:b/>
          <w:bCs/>
          <w:rtl/>
        </w:rPr>
        <w:t xml:space="preserve"> وآخرون (2012)</w:t>
      </w:r>
    </w:p>
    <w:p w14:paraId="5E6414F6" w14:textId="77777777" w:rsidR="00263D77" w:rsidRPr="00263D77" w:rsidRDefault="00263D77" w:rsidP="00263D77">
      <w:pPr>
        <w:rPr>
          <w:rtl/>
        </w:rPr>
      </w:pPr>
      <w:r w:rsidRPr="00263D77">
        <w:rPr>
          <w:rtl/>
        </w:rPr>
        <w:t>عالجت هذه الدراسة دور لجنة صحة النبات الأوروبية (</w:t>
      </w:r>
      <w:r w:rsidRPr="00263D77">
        <w:t>EFSA</w:t>
      </w:r>
      <w:r w:rsidRPr="00263D77">
        <w:rPr>
          <w:rtl/>
        </w:rPr>
        <w:t>) منذ تأسيسها في عام 2006 في تطوير وتوحيد منهجيات تقييم مخاطر الآفات النباتية داخل الاتحاد الأوروبي. أوضحت الدراسة أن اللجنة أنتجت أكثر من 70 وثيقة متعلقة بالأمراض النباتية والعناصر الضارة عبر أنواع المحاصيل المختلفة، كما طوّرت إرشادات موحدة لإجراء تقييمات المخاطر بناءً على المعايير الدولية. ولم تكتف الدراسة بالجانب الوصفي فقط، وإنما استعرضت التطور النوعي للمنهجيات وتكاملها مع أدوات التحليل الكمي، مثل نماذج الانتشار المكاني والتحليلات الإحصائية. كما أشارت إلى جهود توسيع التحليل ليشمل المخاطر البيئية وتأثيراتها المحتملة بجانب التأثيرات الصحية، وهو اتجاه يعكس تكامل أكبر في منهجيات تحليل المخاطر. كما أبرزت الدراسة أهمية تنسيق بيانات الصحة النباتية عبر دول الاتحاد لتسهيل تبادل المعلومات والممارسات، مما قد يكون مثار اهتمام الباحثين في السياق السعودي.</w:t>
      </w:r>
    </w:p>
    <w:p w14:paraId="4085071F" w14:textId="77777777" w:rsidR="00263D77" w:rsidRPr="00263D77" w:rsidRDefault="00263D77" w:rsidP="00263D77">
      <w:pPr>
        <w:rPr>
          <w:b/>
          <w:bCs/>
          <w:rtl/>
        </w:rPr>
      </w:pPr>
      <w:r w:rsidRPr="00263D77">
        <w:rPr>
          <w:b/>
          <w:bCs/>
          <w:rtl/>
        </w:rPr>
        <w:t xml:space="preserve">دراسة </w:t>
      </w:r>
      <w:r w:rsidRPr="00263D77">
        <w:rPr>
          <w:b/>
          <w:bCs/>
        </w:rPr>
        <w:t>Jamieson</w:t>
      </w:r>
      <w:r w:rsidRPr="00263D77">
        <w:rPr>
          <w:b/>
          <w:bCs/>
          <w:rtl/>
        </w:rPr>
        <w:t xml:space="preserve"> وآخرون (2013)</w:t>
      </w:r>
    </w:p>
    <w:p w14:paraId="4A6EFD5D" w14:textId="77777777" w:rsidR="00263D77" w:rsidRPr="00263D77" w:rsidRDefault="00263D77" w:rsidP="00263D77">
      <w:pPr>
        <w:rPr>
          <w:rtl/>
        </w:rPr>
      </w:pPr>
      <w:r w:rsidRPr="00263D77">
        <w:rPr>
          <w:rtl/>
        </w:rPr>
        <w:t>قدّمت هذه الورقة مراجعة منهجيات تقييم وإدارة مخاطر الوصول إلى الأسواق والمخاطر الصحية/النباتية باستخدام مناهج نظامية، ناقش الباحثون أن الأساليب النظامية في تحليل المخاطر تُعد بديلًا أكثر شمولاً من الطرق التقليدية التي تركز على نقاط منفردة في سلسلة الحدث. كما استعرضوا اتفاق منظمة التجارة العالمية حول الإجراءات الصحية والنباتية (</w:t>
      </w:r>
      <w:r w:rsidRPr="00263D77">
        <w:t>SPS</w:t>
      </w:r>
      <w:r w:rsidRPr="00263D77">
        <w:rPr>
          <w:rtl/>
        </w:rPr>
        <w:t>) كمرجعية لتقييم المخاطر المستندة للعلم. أوضح البحث أن الخطابات والتوجيهات الدولية مثل الاتفاقية الدولية لوقاية النباتات (</w:t>
      </w:r>
      <w:r w:rsidRPr="00263D77">
        <w:t>IPPC</w:t>
      </w:r>
      <w:r w:rsidRPr="00263D77">
        <w:rPr>
          <w:rtl/>
        </w:rPr>
        <w:t xml:space="preserve">) توفر إرشادات تحليلية لتقييم المخاطر المتعلقة بواردات النباتات وما يرتبط بها. لكن الباحثين أشاروا إلى نقص وضوح المنهجيات الشاملة التي تلتقط تعقيد العمليات من المصدر إلى الاستهلاك النهائي، خاصة في سلاسل معقدة تشمل العديد من الإجراءات والإجراءات الفرعية. كما ذكروا أن القيود العملية للمنهجيات الحالية تعيق قياس فعالية إدارة المخاطر بشكل دقيق عبر </w:t>
      </w:r>
      <w:r w:rsidRPr="00263D77">
        <w:rPr>
          <w:rtl/>
        </w:rPr>
        <w:lastRenderedPageBreak/>
        <w:t>السياقات المختلفة. ينسجم هذا البحث مع أهداف الدراسة الحالية التي تسعى إلى إدماج المقاربات النظامية وتحليل المخاطر بطريقة متكاملة في مؤسسات الصحة النباتية والحيوانية.</w:t>
      </w:r>
    </w:p>
    <w:p w14:paraId="1EFAAF1B" w14:textId="77777777" w:rsidR="00263D77" w:rsidRPr="00263D77" w:rsidRDefault="00263D77" w:rsidP="00263D77">
      <w:pPr>
        <w:rPr>
          <w:b/>
          <w:bCs/>
          <w:rtl/>
        </w:rPr>
      </w:pPr>
      <w:r w:rsidRPr="00263D77">
        <w:rPr>
          <w:b/>
          <w:bCs/>
          <w:rtl/>
        </w:rPr>
        <w:t xml:space="preserve"> دراسة </w:t>
      </w:r>
      <w:r w:rsidRPr="00263D77">
        <w:rPr>
          <w:b/>
          <w:bCs/>
        </w:rPr>
        <w:t>Baker</w:t>
      </w:r>
      <w:r w:rsidRPr="00263D77">
        <w:rPr>
          <w:b/>
          <w:bCs/>
          <w:rtl/>
        </w:rPr>
        <w:t xml:space="preserve"> وآخرون (2014)</w:t>
      </w:r>
    </w:p>
    <w:p w14:paraId="121C5BE1" w14:textId="77777777" w:rsidR="00263D77" w:rsidRPr="00263D77" w:rsidRDefault="00263D77" w:rsidP="00263D77">
      <w:pPr>
        <w:rPr>
          <w:rtl/>
        </w:rPr>
      </w:pPr>
      <w:r w:rsidRPr="00263D77">
        <w:rPr>
          <w:rtl/>
        </w:rPr>
        <w:t xml:space="preserve">ركزت هذه الدراسة على إنشاء سجل مخاطر صحة النبات في المملكة المتحدة، الذي يهدف إلى تحديد أولويات الإجراءات المتعلقة بالآفات ذات الأهمية الصحية. استند الباحثون في تقييم المخاطر إلى قواعد تصنيف احتمالية حدوث المخاطر وتأثيراتها، مع اعتماد معلومات عن الآفات وعوامل مثل المسارات والمضيفات والانشار والتأثير البيئي والاقتصادي. وقد استخدم الباحثون الحكم الخبير لتقدير المخاطر التي تفتقر إلى بيانات كافية، مما مكّنه من تحديد أنواع الآفات التي تستدعي اتخاذ إجراءات إضافية لتعزيز التنظيم. كما قارن الباحثون بين التصنيفات في ظل عدم وجود تدابير تخفيف وتأثيرات وجود هذه الإجراءات، موضحين أهمية تطبيق تدابير إدارة المخاطر في تحسين النتائج التنظيمية. أشارت النتائج إلى أن استخدام </w:t>
      </w:r>
      <w:r w:rsidRPr="00263D77">
        <w:t>RR</w:t>
      </w:r>
      <w:r w:rsidRPr="00263D77">
        <w:rPr>
          <w:rtl/>
        </w:rPr>
        <w:t xml:space="preserve"> أصبح أداة داعمة لاتخاذ القرار لدى الجهات المختصة، مع خطط لتطوير سجلات إضافية تشمل مؤشرات موسعة.</w:t>
      </w:r>
    </w:p>
    <w:p w14:paraId="64FD7BA3" w14:textId="77777777" w:rsidR="00263D77" w:rsidRPr="00263D77" w:rsidRDefault="00263D77" w:rsidP="00263D77">
      <w:pPr>
        <w:rPr>
          <w:b/>
          <w:bCs/>
          <w:rtl/>
        </w:rPr>
      </w:pPr>
      <w:r w:rsidRPr="00263D77">
        <w:rPr>
          <w:b/>
          <w:bCs/>
          <w:rtl/>
        </w:rPr>
        <w:t xml:space="preserve">دراسة </w:t>
      </w:r>
      <w:r w:rsidRPr="00263D77">
        <w:rPr>
          <w:b/>
          <w:bCs/>
        </w:rPr>
        <w:t>Lukianchuk</w:t>
      </w:r>
      <w:r w:rsidRPr="00263D77">
        <w:rPr>
          <w:b/>
          <w:bCs/>
          <w:rtl/>
        </w:rPr>
        <w:t xml:space="preserve"> (2015)</w:t>
      </w:r>
    </w:p>
    <w:p w14:paraId="6B7CFF31" w14:textId="77777777" w:rsidR="00263D77" w:rsidRPr="00263D77" w:rsidRDefault="00263D77" w:rsidP="00263D77">
      <w:pPr>
        <w:rPr>
          <w:rtl/>
        </w:rPr>
      </w:pPr>
      <w:r w:rsidRPr="00263D77">
        <w:rPr>
          <w:rtl/>
        </w:rPr>
        <w:t>في بيئة الأعمال المعاصرة المتقلبة، هدفت هذه الدراسة إلى تحليل إدارة المخاطر المؤسسية (</w:t>
      </w:r>
      <w:r w:rsidRPr="00263D77">
        <w:t>ERM</w:t>
      </w:r>
      <w:r w:rsidRPr="00263D77">
        <w:rPr>
          <w:rtl/>
        </w:rPr>
        <w:t xml:space="preserve">) في المؤسسات الصغيرة والمتوسطة، مع تحديد علاقتها بأداء الشركات. استخدم الباحث بيانات من قاعدة بيانات </w:t>
      </w:r>
      <w:r w:rsidRPr="00263D77">
        <w:t>FAME</w:t>
      </w:r>
      <w:r w:rsidRPr="00263D77">
        <w:rPr>
          <w:rtl/>
        </w:rPr>
        <w:t xml:space="preserve"> الخاصة بالمملكة المتحدة وأيرلندا الشمالية، لاختيار 208 مؤسسة صغيرة ومتوسطة بناءً على مجموعة من المعايير (تواريخ التأسيس، تقرير التدفقات النقدية، بيانات الربح والخسارة). اعتمدت الدراسة على نموذج </w:t>
      </w:r>
      <w:r w:rsidRPr="00263D77">
        <w:t>SUR (Seemingly Unrelated Regression)</w:t>
      </w:r>
      <w:r w:rsidRPr="00263D77">
        <w:rPr>
          <w:rtl/>
        </w:rPr>
        <w:t xml:space="preserve"> لتحليل تأثير مجموعة من المتغيرات مثل حجم الرسوم، جودة الإدارة، وهيكل المجلس على أداء الشركات. وقد أظهرت النتائج نتائج متنوعة، مثل تأثير عدد المديرين التنفيذيين على الأداء، لكنه لم يظهر أثر دال إحصائيًا بين التدفقات النقدية والعائد على الأصول في المجموعة قيد الدراسة. أبرزت الدراسة أن العلاقة بين إدارة المخاطر وأداء الشركات ليست بالضرورة واضحة أو مباشرة، مما يفتح المجال لبحوث مستقبلية معمّقة في هذا المجال. كما قدمت الدراسة توصيات عملية للمستثمرين والبنوك والجهات التنظيمية حول ضرورة فهم خصائص إدارة المخاطر في الشركات الصغيرة والمتوسطة.</w:t>
      </w:r>
    </w:p>
    <w:p w14:paraId="3556F8FB" w14:textId="77777777" w:rsidR="00263D77" w:rsidRPr="00263D77" w:rsidRDefault="00263D77" w:rsidP="00263D77">
      <w:pPr>
        <w:rPr>
          <w:b/>
          <w:bCs/>
          <w:rtl/>
        </w:rPr>
      </w:pPr>
      <w:r w:rsidRPr="00263D77">
        <w:rPr>
          <w:b/>
          <w:bCs/>
          <w:rtl/>
        </w:rPr>
        <w:t xml:space="preserve">دراسة </w:t>
      </w:r>
      <w:r w:rsidRPr="00263D77">
        <w:rPr>
          <w:b/>
          <w:bCs/>
        </w:rPr>
        <w:t>Oussama</w:t>
      </w:r>
      <w:r w:rsidRPr="00263D77">
        <w:rPr>
          <w:b/>
          <w:bCs/>
          <w:rtl/>
        </w:rPr>
        <w:t xml:space="preserve"> وآخرون (2015)</w:t>
      </w:r>
    </w:p>
    <w:p w14:paraId="649A8A86" w14:textId="77777777" w:rsidR="00263D77" w:rsidRPr="00263D77" w:rsidRDefault="00263D77" w:rsidP="00263D77">
      <w:pPr>
        <w:rPr>
          <w:rtl/>
        </w:rPr>
      </w:pPr>
      <w:r w:rsidRPr="00263D77">
        <w:rPr>
          <w:rtl/>
        </w:rPr>
        <w:t>ركزت هذه الدراسة على ممارسات حماية النباتات (</w:t>
      </w:r>
      <w:r w:rsidRPr="00263D77">
        <w:t>PPPs</w:t>
      </w:r>
      <w:r w:rsidRPr="00263D77">
        <w:rPr>
          <w:rtl/>
        </w:rPr>
        <w:t xml:space="preserve">) وتقليل آثارها الصحية والبيئية نتيجة استخدامها المفرط، وذلك عن طريق تقييم استراتيجيات إدارة المخاطر المتعلقة باستخدام المنتجات </w:t>
      </w:r>
      <w:r w:rsidRPr="00263D77">
        <w:rPr>
          <w:rtl/>
        </w:rPr>
        <w:lastRenderedPageBreak/>
        <w:t>الزراعية في الزراعة المتكاملة بجنوب فرنسا. اعتمد الباحثون على مؤشرات مخاطر السمّية الصحي والبيئي (</w:t>
      </w:r>
      <w:r w:rsidRPr="00263D77">
        <w:t>IRSA, IRTE</w:t>
      </w:r>
      <w:r w:rsidRPr="00263D77">
        <w:rPr>
          <w:rtl/>
        </w:rPr>
        <w:t>) ومؤشر تكرار العلاج (</w:t>
      </w:r>
      <w:r w:rsidRPr="00263D77">
        <w:t>TFI</w:t>
      </w:r>
      <w:r w:rsidRPr="00263D77">
        <w:rPr>
          <w:rtl/>
        </w:rPr>
        <w:t>) كأدوات تقييم لدعم اتخاذ القرار في إدارة المخاطر الزراعية. أبرزت النتائج تباين المؤشرات حسب نظام الإنتاج واستراتيجيات استخدام مبيدات الآفات، مما يوضح تداخلات المخاطر البيئية والزراعية عند اتخاذ القرارات. وقد مكن التحليل الباحثين من تحديد الروابط بين هذه المؤشرات واقتراح استراتيجيات تخفيف المخاطر بهدف تحسين معايير السلامة الصحية والحد من المخاطر البيئية. أكدت الدراسة أن تقييم المخاطر على مستويات مختلفة (مثل المزرعة والحقل) يوفر معلومات مهمة لاتخاذ القرارات الزراعية الفعالة. وخلص الباحثون إلى أن استخدام هذه الأدوات يمكن أن يدعم خطط الإدارة المستدامة ويحسن من سياسات التعامل مع المخاطر الزراعية.</w:t>
      </w:r>
    </w:p>
    <w:p w14:paraId="17C1329D" w14:textId="77777777" w:rsidR="00263D77" w:rsidRPr="00263D77" w:rsidRDefault="00263D77" w:rsidP="00263D77">
      <w:pPr>
        <w:rPr>
          <w:b/>
          <w:bCs/>
          <w:rtl/>
        </w:rPr>
      </w:pPr>
      <w:r w:rsidRPr="00263D77">
        <w:rPr>
          <w:b/>
          <w:bCs/>
          <w:rtl/>
        </w:rPr>
        <w:t xml:space="preserve"> دراسة </w:t>
      </w:r>
      <w:r w:rsidRPr="00263D77">
        <w:rPr>
          <w:b/>
          <w:bCs/>
        </w:rPr>
        <w:t>Soltanizadeh</w:t>
      </w:r>
      <w:r w:rsidRPr="00263D77">
        <w:rPr>
          <w:b/>
          <w:bCs/>
          <w:rtl/>
        </w:rPr>
        <w:t xml:space="preserve"> وآخرون (2016)</w:t>
      </w:r>
    </w:p>
    <w:p w14:paraId="69BF7525" w14:textId="77777777" w:rsidR="00263D77" w:rsidRPr="00263D77" w:rsidRDefault="00263D77" w:rsidP="00263D77">
      <w:pPr>
        <w:rPr>
          <w:rtl/>
        </w:rPr>
      </w:pPr>
      <w:r w:rsidRPr="00263D77">
        <w:rPr>
          <w:rtl/>
        </w:rPr>
        <w:t>سلّطت هذه الورقة الضوء على تأثير استراتيجية الأعمال على تبني إدارة المخاطر المؤسسية (</w:t>
      </w:r>
      <w:r w:rsidRPr="00263D77">
        <w:t>ERM</w:t>
      </w:r>
      <w:r w:rsidRPr="00263D77">
        <w:rPr>
          <w:rtl/>
        </w:rPr>
        <w:t>) وأداء المنظمة (</w:t>
      </w:r>
      <w:r w:rsidRPr="00263D77">
        <w:t>OP</w:t>
      </w:r>
      <w:r w:rsidRPr="00263D77">
        <w:rPr>
          <w:rtl/>
        </w:rPr>
        <w:t>)، مع تقييم تأثير الوساطة لإدارة الموارد المبكرة. اعتمدت الدراسة على بيانات شركات مدرجة في البورصة الماليزية، وحددت أن الشركات التي تتبع استراتيجية قيادة التكلفة أكثر استعدادًا لتطبيق نظم إدارة الموارد الفعالة مقارنة بالشركات ذات استراتيجية التمايز. وقد أظهرت النتائج أن تنفيذ إدارة الموارد الفعالة له تأثير إيجابي كبير على الأداء العام للشركات، كما أشارت الدراسة إلى أن تأثيرات نظم إدارة المخاطر قد تختلف باختلاف استراتيجية الأعمال المتبعة. وأبرز الباحثون أن أحد قيود الدراسة هو قلة عدد المشاركين (174 شركة فقط)، مما يقيد إمكانية تعميم النتائج عبر بيئات صناعية مختلفة. كما أوضحت الدراسة أن المتغيرات الظاهرة المستخدمة قد لا تعكس أفضل مؤشرات لقياس المتغيرات الأساسية، مما يدعو لاحتمالات للحصول على نماذج محسنة في المستقبل.</w:t>
      </w:r>
    </w:p>
    <w:p w14:paraId="70FDEA8C" w14:textId="77777777" w:rsidR="00263D77" w:rsidRPr="00263D77" w:rsidRDefault="00263D77" w:rsidP="00263D77">
      <w:pPr>
        <w:rPr>
          <w:b/>
          <w:bCs/>
          <w:rtl/>
        </w:rPr>
      </w:pPr>
      <w:r w:rsidRPr="00263D77">
        <w:rPr>
          <w:b/>
          <w:bCs/>
          <w:rtl/>
        </w:rPr>
        <w:t xml:space="preserve"> دراسة </w:t>
      </w:r>
      <w:r w:rsidRPr="00263D77">
        <w:rPr>
          <w:b/>
          <w:bCs/>
        </w:rPr>
        <w:t>Ibrahim &amp; Esa</w:t>
      </w:r>
      <w:r w:rsidRPr="00263D77">
        <w:rPr>
          <w:b/>
          <w:bCs/>
          <w:rtl/>
        </w:rPr>
        <w:t xml:space="preserve"> (2017)</w:t>
      </w:r>
    </w:p>
    <w:p w14:paraId="581C0275" w14:textId="77777777" w:rsidR="00263D77" w:rsidRPr="00263D77" w:rsidRDefault="00263D77" w:rsidP="00263D77">
      <w:pPr>
        <w:rPr>
          <w:rtl/>
        </w:rPr>
      </w:pPr>
      <w:r w:rsidRPr="00263D77">
        <w:rPr>
          <w:rtl/>
        </w:rPr>
        <w:t>ركزت هذه الدراسة على قطاع عقارات الإسكان القائم في ماليزيا، والذي يُعد من الصناعات المعرضة للمخاطر المتوقعة وغير المتوقعة التي قد تؤثر على أداء المنظمة. عرفت الدراسة إدارة المخاطر المؤسسية (</w:t>
      </w:r>
      <w:r w:rsidRPr="00263D77">
        <w:t>ERM</w:t>
      </w:r>
      <w:r w:rsidRPr="00263D77">
        <w:rPr>
          <w:rtl/>
        </w:rPr>
        <w:t xml:space="preserve">) على أنها طريقة منظمة ومنهجية لإدارة المخاطر على مستوى المنظمة، وأشارت إلى أن الأبحاث الحديثة برزت بأهمية إيجابية لتطبيق </w:t>
      </w:r>
      <w:r w:rsidRPr="00263D77">
        <w:t>ERM</w:t>
      </w:r>
      <w:r w:rsidRPr="00263D77">
        <w:rPr>
          <w:rtl/>
        </w:rPr>
        <w:t xml:space="preserve"> على الأداء المالي وغير المالي للشركات. ومع ذلك، أبرز الباحثان أن قلة الأبحاث التطبيقية في هذا المجال في السياق الماليزي أدّت إلى تردد المستخدمين في تبني </w:t>
      </w:r>
      <w:r w:rsidRPr="00263D77">
        <w:t>ERM</w:t>
      </w:r>
      <w:r w:rsidRPr="00263D77">
        <w:rPr>
          <w:rtl/>
        </w:rPr>
        <w:t xml:space="preserve"> بشكل واسع في قطاع البناء العقاري. وقدمت الورقة مراجعة نقدية للإطار النظري والتطبيقي لإدارة المخاطر المؤسسية في هذا القطاع، مع تحديد نقاط </w:t>
      </w:r>
      <w:r w:rsidRPr="00263D77">
        <w:rPr>
          <w:rtl/>
        </w:rPr>
        <w:lastRenderedPageBreak/>
        <w:t xml:space="preserve">القوة والضعف في الهياكل الحالية. وأوصت الدراسة بضرورة إجراء بحوث مستقبلية معمّقة لتوضيح كيفية عمل </w:t>
      </w:r>
      <w:r w:rsidRPr="00263D77">
        <w:t>ERM</w:t>
      </w:r>
      <w:r w:rsidRPr="00263D77">
        <w:rPr>
          <w:rtl/>
        </w:rPr>
        <w:t xml:space="preserve"> فعليًا في الممارسة العملية داخل المنظمات. كما بينت الدراسة أن دمج نماذج الإدارة المؤسسية للمخاطر يمكن أن يعزز من قدرة الشركات على اتخاذ قرارات استراتيجية أفضل.</w:t>
      </w:r>
    </w:p>
    <w:p w14:paraId="4597173F" w14:textId="77777777" w:rsidR="00263D77" w:rsidRPr="00263D77" w:rsidRDefault="00263D77" w:rsidP="00263D77">
      <w:pPr>
        <w:rPr>
          <w:b/>
          <w:bCs/>
          <w:rtl/>
        </w:rPr>
      </w:pPr>
      <w:r w:rsidRPr="00263D77">
        <w:rPr>
          <w:b/>
          <w:bCs/>
          <w:rtl/>
        </w:rPr>
        <w:t xml:space="preserve"> دراسة </w:t>
      </w:r>
      <w:r w:rsidRPr="00263D77">
        <w:rPr>
          <w:b/>
          <w:bCs/>
        </w:rPr>
        <w:t>Abdul Rasid</w:t>
      </w:r>
      <w:r w:rsidRPr="00263D77">
        <w:rPr>
          <w:b/>
          <w:bCs/>
          <w:rtl/>
        </w:rPr>
        <w:t xml:space="preserve"> وآخرون (2017)</w:t>
      </w:r>
    </w:p>
    <w:p w14:paraId="5063B66F" w14:textId="77777777" w:rsidR="00263D77" w:rsidRPr="00263D77" w:rsidRDefault="00263D77" w:rsidP="00263D77">
      <w:pPr>
        <w:rPr>
          <w:rtl/>
        </w:rPr>
      </w:pPr>
      <w:r w:rsidRPr="00263D77">
        <w:rPr>
          <w:rtl/>
        </w:rPr>
        <w:t>هدفت هذه الدراسة إلى فحص العلاقة بين نظم قياس الأداء الاستراتيجي (</w:t>
      </w:r>
      <w:r w:rsidRPr="00263D77">
        <w:t>PMS</w:t>
      </w:r>
      <w:r w:rsidRPr="00263D77">
        <w:rPr>
          <w:rtl/>
        </w:rPr>
        <w:t>) وإدارة المخاطر المؤسسية (</w:t>
      </w:r>
      <w:r w:rsidRPr="00263D77">
        <w:t>ERM</w:t>
      </w:r>
      <w:r w:rsidRPr="00263D77">
        <w:rPr>
          <w:rtl/>
        </w:rPr>
        <w:t xml:space="preserve">) وتأثيراتها على أداء المنشآت. اختار الباحثون عينة من 196 شركة مدرجة في البورصة، وجمعوا البيانات عبر استبيان إلكتروني قدم للمسؤولين عن إدارة المخاطر في تلك الشركات. أظهرت النتائج أن أنظمة </w:t>
      </w:r>
      <w:r w:rsidRPr="00263D77">
        <w:t>ERM</w:t>
      </w:r>
      <w:r w:rsidRPr="00263D77">
        <w:rPr>
          <w:rtl/>
        </w:rPr>
        <w:t xml:space="preserve"> و</w:t>
      </w:r>
      <w:r w:rsidRPr="00263D77">
        <w:t>PMS</w:t>
      </w:r>
      <w:r w:rsidRPr="00263D77">
        <w:rPr>
          <w:rtl/>
        </w:rPr>
        <w:t xml:space="preserve"> على حدة تُسهم في تحسين أداء المؤسسات عند تحليلها بشكل منفصل، لكن النتائج لم تُظهر دعمًا قويًا لفكرة الربط المشترك بين </w:t>
      </w:r>
      <w:r w:rsidRPr="00263D77">
        <w:t>ERM</w:t>
      </w:r>
      <w:r w:rsidRPr="00263D77">
        <w:rPr>
          <w:rtl/>
        </w:rPr>
        <w:t xml:space="preserve"> و</w:t>
      </w:r>
      <w:r w:rsidRPr="00263D77">
        <w:t>PMS</w:t>
      </w:r>
      <w:r w:rsidRPr="00263D77">
        <w:rPr>
          <w:rtl/>
        </w:rPr>
        <w:t xml:space="preserve"> في تعزيز الأداء. وأشار الباحثون إلى أن دمجهما قد يعقّد أطر العمل بدلاً من تعزيزها، مما يستدعي إعادة النظر في كيفية تفاعل هذين النظامين داخل المؤسسة، وأوصت الدراسة المؤسسات بتطبيق </w:t>
      </w:r>
      <w:r w:rsidRPr="00263D77">
        <w:t>ERM</w:t>
      </w:r>
      <w:r w:rsidRPr="00263D77">
        <w:rPr>
          <w:rtl/>
        </w:rPr>
        <w:t xml:space="preserve"> و</w:t>
      </w:r>
      <w:r w:rsidRPr="00263D77">
        <w:t>PMS</w:t>
      </w:r>
      <w:r w:rsidRPr="00263D77">
        <w:rPr>
          <w:rtl/>
        </w:rPr>
        <w:t xml:space="preserve"> بشكل منفصل مع تعزيز عناصرهما الأساسية لكل منهما تبرز هذه الدراسة أهمية فهم الطبيعة التفصيلية للروابط بين إدارة المخاطر ونظم قياس الأداء، وهو ما يتقاطع مع محور بحثك الحالي الذي يقيس أثر إدارة المخاطر على الأداء.</w:t>
      </w:r>
    </w:p>
    <w:p w14:paraId="1C5AA568" w14:textId="77777777" w:rsidR="00263D77" w:rsidRPr="00263D77" w:rsidRDefault="00263D77" w:rsidP="00263D77">
      <w:pPr>
        <w:rPr>
          <w:b/>
          <w:bCs/>
          <w:rtl/>
        </w:rPr>
      </w:pPr>
      <w:r w:rsidRPr="00263D77">
        <w:rPr>
          <w:b/>
          <w:bCs/>
          <w:rtl/>
        </w:rPr>
        <w:t xml:space="preserve">دراسة </w:t>
      </w:r>
      <w:r w:rsidRPr="00263D77">
        <w:rPr>
          <w:b/>
          <w:bCs/>
        </w:rPr>
        <w:t>Murugan &amp; Kumarasinghe</w:t>
      </w:r>
      <w:r w:rsidRPr="00263D77">
        <w:rPr>
          <w:b/>
          <w:bCs/>
          <w:rtl/>
        </w:rPr>
        <w:t xml:space="preserve"> (2018)</w:t>
      </w:r>
    </w:p>
    <w:p w14:paraId="5C883B88" w14:textId="77777777" w:rsidR="00263D77" w:rsidRPr="00263D77" w:rsidRDefault="00263D77" w:rsidP="00263D77">
      <w:pPr>
        <w:rPr>
          <w:rtl/>
        </w:rPr>
      </w:pPr>
      <w:r w:rsidRPr="00263D77">
        <w:rPr>
          <w:rtl/>
        </w:rPr>
        <w:t>هدفت هذه الدراسة إلى تطوير إطار تقييم المخاطر التشغيلي (</w:t>
      </w:r>
      <w:r w:rsidRPr="00263D77">
        <w:t>ORAF</w:t>
      </w:r>
      <w:r w:rsidRPr="00263D77">
        <w:rPr>
          <w:rtl/>
        </w:rPr>
        <w:t xml:space="preserve">) لتعزيز إدارة المخاطر في مختبرات الصحة النباتية والبيئة، وذلك في مختبرات </w:t>
      </w:r>
      <w:r w:rsidRPr="00263D77">
        <w:t>PHEL – MPI</w:t>
      </w:r>
      <w:r w:rsidRPr="00263D77">
        <w:rPr>
          <w:rtl/>
        </w:rPr>
        <w:t xml:space="preserve"> في أوكلاند، نيوزيلندا، حدد الباحثون المخاطر التشغيلية الأساسية التي تواجه المختبر، بما في ذلك مشكلات التخطيط، موارد الموظفين، والتقنيات المستخدمة، واعتمدوا على نهج عملي تطبيقي لتقييم المخاطر وإدارة التخفيف منها، وقدّم الباحثون خطوات واضحة لتطوير وتنفيذ </w:t>
      </w:r>
      <w:r w:rsidRPr="00263D77">
        <w:t>ORAF</w:t>
      </w:r>
      <w:r w:rsidRPr="00263D77">
        <w:rPr>
          <w:rtl/>
        </w:rPr>
        <w:t xml:space="preserve">، بما في ذلك وضع مقاييس التقييم، تصميم أدوات العلاج، ومراقبة المخاطر بشكل دوري لتحسين الأداء. كما ناقشت الدراسة تحديات التنفيذ التي واجهها المختبر خلال تطبيق الإطار، مثل مقاومة التغيير، نقص الموارد، وصعوبات في التبني المؤسسي للأطر الجديدة. وأكد الباحثان أن تطبيق </w:t>
      </w:r>
      <w:r w:rsidRPr="00263D77">
        <w:t>ORAF</w:t>
      </w:r>
      <w:r w:rsidRPr="00263D77">
        <w:rPr>
          <w:rtl/>
        </w:rPr>
        <w:t xml:space="preserve"> ساهم في زيادة قدرة المؤسسة على تحقيق أهدافها الاستراتيجية وجعل معلومات إدارة المخاطر أكثر مركزية وتكاملاً بين الموظفين. تناولت الدراسة أيضًا أهمية تعزيز ثقافة وعي المخاطر والتعلم المؤسسي في تعزيز فعّالية إدارة المخاطر. </w:t>
      </w:r>
    </w:p>
    <w:p w14:paraId="7160A572" w14:textId="77777777" w:rsidR="00263D77" w:rsidRPr="00263D77" w:rsidRDefault="00263D77" w:rsidP="00263D77">
      <w:pPr>
        <w:rPr>
          <w:b/>
          <w:bCs/>
          <w:rtl/>
        </w:rPr>
      </w:pPr>
      <w:r w:rsidRPr="00263D77">
        <w:rPr>
          <w:b/>
          <w:bCs/>
          <w:rtl/>
        </w:rPr>
        <w:t xml:space="preserve">دراسة </w:t>
      </w:r>
      <w:r w:rsidRPr="00263D77">
        <w:rPr>
          <w:b/>
          <w:bCs/>
        </w:rPr>
        <w:t>Melly &amp; Hanrahan</w:t>
      </w:r>
      <w:r w:rsidRPr="00263D77">
        <w:rPr>
          <w:b/>
          <w:bCs/>
          <w:rtl/>
        </w:rPr>
        <w:t xml:space="preserve"> (2020)</w:t>
      </w:r>
    </w:p>
    <w:p w14:paraId="23B80CD6" w14:textId="77777777" w:rsidR="00263D77" w:rsidRPr="00263D77" w:rsidRDefault="00263D77" w:rsidP="00263D77">
      <w:pPr>
        <w:rPr>
          <w:rtl/>
        </w:rPr>
      </w:pPr>
      <w:r w:rsidRPr="00263D77">
        <w:rPr>
          <w:rtl/>
        </w:rPr>
        <w:lastRenderedPageBreak/>
        <w:t>هدفت هذه الورقة إلى مراجعة التخطيط الوطني للأمن البيولوجي، مع التركيز على دور ناقلات السياحة في زيادة مخاطر الأنواع الغازية والأمراض التي تشكل تهديدًا للأمن البيولوجي العالمي. اعتمد الباحثان منهجًا مختلطًا، حيث تم استخدام تحليل المحتوى للمعايير الدولية المعتمدة، بجانب مقابلات شبه منظمة مع ممثلين عن الهيئات الوطنية المسؤولة في عدة دول. كشفت الدراسة أن الخطط الوطنية للأمن البيولوجي السياحي تختلف بشكل كبير بين الدول، بدءًا من خطط قوية ومتقدمة في بعض الوجهات (مثل أستراليا ونيوزيلندا) ووصولًا إلى خطط محدودة في دول أخرى (مثل أيرلندا). كما بينت الدراسة أن ضعف التخطيط الأمني البيولوجي ينعكس على القدرة على منع إدخال وانتشار الأمراض داخل النظم البيئية والسياحية، مع تأثيرات بيئية وصحية واقتصادية واضحة. قدّم الباحثان توصيات لتعزيز الأمن البيولوجي عبر تحسين نظم المراقبة، التواصل، والتدابير الحدودية، مع التأكيد على وضع خطط وطنية شاملة تستند إلى تقييم المخاطر العلمي. تؤكد هذه الدراسة على أهمية التخطيط الأمني البيولوجي كجزء من إدارة المخاطر الوطنية، ويمكن اعتبارها مرجعًا مهمًا عند النظر إلى أنظمة الصحة الحيوانية والنباتية.</w:t>
      </w:r>
    </w:p>
    <w:p w14:paraId="66D1427C" w14:textId="77777777" w:rsidR="00263D77" w:rsidRPr="00263D77" w:rsidRDefault="00263D77" w:rsidP="00263D77">
      <w:pPr>
        <w:rPr>
          <w:b/>
          <w:bCs/>
          <w:rtl/>
        </w:rPr>
      </w:pPr>
      <w:r w:rsidRPr="00263D77">
        <w:rPr>
          <w:b/>
          <w:bCs/>
          <w:rtl/>
        </w:rPr>
        <w:t xml:space="preserve">دراسة </w:t>
      </w:r>
      <w:r w:rsidRPr="00263D77">
        <w:rPr>
          <w:b/>
          <w:bCs/>
        </w:rPr>
        <w:t>Montibeller</w:t>
      </w:r>
      <w:r w:rsidRPr="00263D77">
        <w:rPr>
          <w:b/>
          <w:bCs/>
          <w:rtl/>
        </w:rPr>
        <w:t xml:space="preserve"> وآخرون (2020)</w:t>
      </w:r>
    </w:p>
    <w:p w14:paraId="04F07999" w14:textId="77777777" w:rsidR="00263D77" w:rsidRPr="00263D77" w:rsidRDefault="00263D77" w:rsidP="00263D77">
      <w:pPr>
        <w:rPr>
          <w:rtl/>
        </w:rPr>
      </w:pPr>
      <w:r w:rsidRPr="00263D77">
        <w:rPr>
          <w:rtl/>
        </w:rPr>
        <w:t>طرحت هذه الدراسة إطارًا لتحليل تهديدات الأمن البيولوجي المتعددة والمتزامنة، مثل الأمراض الحيوانية والأسلحة البيولوجية، والتي تمثل تحديات معقدة للمحللين وصانعي السياسات. أوضح البحث أن هذه التهديدات غالبًا ما تكون غير واضحة الاحتمالية والأثر، مع توفر بيانات غير كاملة، مما يجعل تحديد أولويات المعالجة تحديًا حقيقيًا. وقدّم الباحثون إطار عمل يشمل ثلاثة أبعاد رئيسية: ( دعم المخاطر، مجموعة المخاطر، وتنظيم المخاطر) وذلك بهدف تيسير التركيز على التهديدات التي تتطلب أولاً استجابة فورية وآمنة. طبق الباحثون هذا الإطار في مشروعين لصالح وزارة البيئة والغذاء والشؤون الريفية بالمملكة المتحدة، مقدمين دراسات حالة توضح كيفية انتقال الفكرة من النظرية إلى التطبيق العملي. وقد أسفرت النتائج عن رؤى مهمة حول تأثير خيارات تصميم تحليل المخاطر على تحديد الأولويات والاستجابة المناسبة، مع التركيز على دعم صانعي القرار بالمعلومات القابلة للتطبيق علميًا أوضحت الدراسة كذلك أن استخدام هذا الإطار يمكن أن يعزز فهمًا منهجيًا للتهديدات الحيوية المتعددة، مما يساعد في تحسين خطط الاستجابة والأداء التنظيمي.</w:t>
      </w:r>
    </w:p>
    <w:p w14:paraId="1875A14D" w14:textId="77777777" w:rsidR="00263D77" w:rsidRPr="00263D77" w:rsidRDefault="00263D77" w:rsidP="00263D77">
      <w:pPr>
        <w:rPr>
          <w:b/>
          <w:bCs/>
          <w:rtl/>
        </w:rPr>
      </w:pPr>
      <w:r w:rsidRPr="00263D77">
        <w:rPr>
          <w:b/>
          <w:bCs/>
          <w:rtl/>
        </w:rPr>
        <w:t xml:space="preserve">دراسة </w:t>
      </w:r>
      <w:r w:rsidRPr="00263D77">
        <w:rPr>
          <w:b/>
          <w:bCs/>
        </w:rPr>
        <w:t>Kanu</w:t>
      </w:r>
      <w:r w:rsidRPr="00263D77">
        <w:rPr>
          <w:b/>
          <w:bCs/>
          <w:rtl/>
        </w:rPr>
        <w:t xml:space="preserve"> (2021)</w:t>
      </w:r>
    </w:p>
    <w:p w14:paraId="73B9BBB8" w14:textId="77777777" w:rsidR="00263D77" w:rsidRPr="00263D77" w:rsidRDefault="00263D77" w:rsidP="00263D77">
      <w:pPr>
        <w:rPr>
          <w:rtl/>
        </w:rPr>
      </w:pPr>
      <w:r w:rsidRPr="00263D77">
        <w:rPr>
          <w:rtl/>
        </w:rPr>
        <w:t>بحثت هذه الدراسة التحليلية دور إدارة المخاطر المؤسسية (</w:t>
      </w:r>
      <w:r w:rsidRPr="00263D77">
        <w:t>ERM</w:t>
      </w:r>
      <w:r w:rsidRPr="00263D77">
        <w:rPr>
          <w:rtl/>
        </w:rPr>
        <w:t xml:space="preserve">) وثقافة المخاطر والتخطيط الاستراتيجي في تعزيز الأداء التنظيمي في بيئات الأعمال الديناميكية والمتقلبة. أشارت الدراسة إلى أن الكتب والدراسات المفاهيمية والتجريبية تقدم أدلة متباينة حول أهمية </w:t>
      </w:r>
      <w:r w:rsidRPr="00263D77">
        <w:t>ERM</w:t>
      </w:r>
      <w:r w:rsidRPr="00263D77">
        <w:rPr>
          <w:rtl/>
        </w:rPr>
        <w:t xml:space="preserve"> في تحسين الأداء </w:t>
      </w:r>
      <w:r w:rsidRPr="00263D77">
        <w:rPr>
          <w:rtl/>
        </w:rPr>
        <w:lastRenderedPageBreak/>
        <w:t xml:space="preserve">المؤسسي، وأن علاقة </w:t>
      </w:r>
      <w:r w:rsidRPr="00263D77">
        <w:t>ERM</w:t>
      </w:r>
      <w:r w:rsidRPr="00263D77">
        <w:rPr>
          <w:rtl/>
        </w:rPr>
        <w:t xml:space="preserve"> بالأداء قد تعتمد على متغيرات سياقية مثل ثقافة المخاطر والتخطيط الاستراتيجي وقدمت الدراسة نموذجًا مفاهيميًا يُظهر أن تأثير إدارة المخاطر على الأداء قد يكون غير مباشر، إذ يتم نقله عبر متغيرات وسيطة مثل ثقافة المخاطر والتخطيط ورغم أن الورقة لم تشمل تحليلًا تجريبيًا مباشرًا، إلا أنها قدمت إطار عمل نظري متقدم يقترح استخدام نماذج المعادلات الهيكلية لدراسة العلاقات المعقدة بين هذه المتغيرات. كما دعت الدراسة إلى توظيف طرق تحليل متعددة المتغيرات في الدراسات المستقبلية لفهم أعمق لكيفية تأثير </w:t>
      </w:r>
      <w:r w:rsidRPr="00263D77">
        <w:t>ERM</w:t>
      </w:r>
      <w:r w:rsidRPr="00263D77">
        <w:rPr>
          <w:rtl/>
        </w:rPr>
        <w:t xml:space="preserve"> على الأداء التنظيمي.</w:t>
      </w:r>
    </w:p>
    <w:p w14:paraId="37637D40" w14:textId="77777777" w:rsidR="00263D77" w:rsidRPr="00263D77" w:rsidRDefault="00263D77" w:rsidP="00263D77">
      <w:pPr>
        <w:rPr>
          <w:b/>
          <w:bCs/>
          <w:rtl/>
        </w:rPr>
      </w:pPr>
      <w:r w:rsidRPr="00263D77">
        <w:rPr>
          <w:b/>
          <w:bCs/>
          <w:rtl/>
        </w:rPr>
        <w:t xml:space="preserve"> دراسة مريم وبهلول (2021)</w:t>
      </w:r>
    </w:p>
    <w:p w14:paraId="7EC8E061" w14:textId="77777777" w:rsidR="00263D77" w:rsidRPr="00263D77" w:rsidRDefault="00263D77" w:rsidP="00263D77">
      <w:pPr>
        <w:rPr>
          <w:rtl/>
        </w:rPr>
      </w:pPr>
      <w:r w:rsidRPr="00263D77">
        <w:rPr>
          <w:rtl/>
        </w:rPr>
        <w:t>ركزت هذه الدراسة على مساهمة إدارة المخاطر المالية في تقييم أداء الوضعية المالية للمؤسسة، من خلال استخدام مجموعة من المؤشرات المالية المستمدة من تطبيقها على القوائم المالية لمؤسسة مجمع صيدال للفترة من 2014 حتى 2019م. اعتمدت الدراسة على تحليل البيانات المالية التاريخية دون تدخل تجريبي، حيث تم تحليل القوائم المالية لتحديد مدى مساهمة نظم إدارة المخاطر المالية في القرارات المتعلقة بتقييم الأداء المالي. أظهرت النتائج أن المؤسسة حققت خزينة نقدية موجبة، مما يعني توازنًا ماليًا على المدى الطويل، كما تتمتع بسيولة كافية بالرغم من اعتمادها على نسب مديونية مرتفعة. وأشارت الدراسة إلى أن هذه المؤشرات لا تضمن حماية المؤسسة كليًا من المخاطر المستقبلية، خاصة في ظل هيكل ملكية غير مُعَدّل، مما يضع المؤسسة أمام احتمالات الإفلاس في حالات الضغط الاقتصادي الشديد. بناءً على ذلك، أوصت الدراسة بضرورة بناء استراتيجية واضحة لإدارة المخاطر المالية، تشمل إعادة هيكلة الملكية، تنويع الأدوات المالية للتقليل من المخاطر، ورفع كفاءة الأداء المالي.</w:t>
      </w:r>
    </w:p>
    <w:p w14:paraId="7B54EB29" w14:textId="77777777" w:rsidR="00263D77" w:rsidRPr="00263D77" w:rsidRDefault="00263D77" w:rsidP="00263D77">
      <w:pPr>
        <w:rPr>
          <w:b/>
          <w:bCs/>
          <w:rtl/>
        </w:rPr>
      </w:pPr>
      <w:r w:rsidRPr="00263D77">
        <w:rPr>
          <w:b/>
          <w:bCs/>
          <w:rtl/>
        </w:rPr>
        <w:t>دراسة الغامدي (2022)</w:t>
      </w:r>
    </w:p>
    <w:p w14:paraId="03CE82E7" w14:textId="77777777" w:rsidR="00263D77" w:rsidRPr="00263D77" w:rsidRDefault="00263D77" w:rsidP="00263D77">
      <w:pPr>
        <w:ind w:firstLine="0"/>
        <w:rPr>
          <w:rtl/>
        </w:rPr>
      </w:pPr>
      <w:r w:rsidRPr="00263D77">
        <w:rPr>
          <w:rtl/>
        </w:rPr>
        <w:t xml:space="preserve"> تناولت هذه الدراسة واقع إدارة استمرارية الأعمال في القطاع العام السعودي، خاصة في مواجهة الأزمات، معتمدًا معيار </w:t>
      </w:r>
      <w:r w:rsidRPr="00263D77">
        <w:t>ISO 22301</w:t>
      </w:r>
      <w:r w:rsidRPr="00263D77">
        <w:rPr>
          <w:rtl/>
        </w:rPr>
        <w:t xml:space="preserve"> كمرجعية لقياس التطبيق الواقعي داخل المؤسسات. اعتمدت الدراسة على تحليل بيانات مستمدة من مؤسسات القطاع العام، وقد أشارت النتائج إلى اعتماد بعض الجهات الحكومية لنظم إدارة استمرارية الأعمال المتوافقة مع المعيار الدولي، مما ساهم في تقوية جاهزيتها لمواجهة الأزمات المتغيرة. وقد أظهرت النتائج أن تطبيق إدارة استمرارية الأعمال وفق إطار معياري يساعد في الحفاظ على كفاءة الأداء العام وتقليل تأثير الأحداث المفاجئة على الخدمات الحكومية. وقدّم البحث جملة من التوصيات لتعزيز ممارسات إدارة استمرارية الأعمال، شملت ترسيخ ثقافة المخاطر على مستوى التخطيط المؤسسي، وتدريب العاملين على إجراءات التخفيف من تأثيرات </w:t>
      </w:r>
      <w:r w:rsidRPr="00263D77">
        <w:rPr>
          <w:rtl/>
        </w:rPr>
        <w:lastRenderedPageBreak/>
        <w:t>الأزمات. كما أكّد على ضرورة تطوير البنية التحتية اللازمة لدعم أنظمة إدارة الاستمرارية بما يتلاءم مع متطلبات الحوكمة المؤسسية الحديثة.</w:t>
      </w:r>
    </w:p>
    <w:p w14:paraId="248086E6" w14:textId="77777777" w:rsidR="00263D77" w:rsidRPr="00263D77" w:rsidRDefault="00263D77" w:rsidP="00263D77">
      <w:pPr>
        <w:rPr>
          <w:b/>
          <w:bCs/>
          <w:rtl/>
        </w:rPr>
      </w:pPr>
      <w:r w:rsidRPr="00263D77">
        <w:rPr>
          <w:b/>
          <w:bCs/>
          <w:rtl/>
        </w:rPr>
        <w:t>دراسة العرود (2023)</w:t>
      </w:r>
    </w:p>
    <w:p w14:paraId="71C3FB1F" w14:textId="77777777" w:rsidR="00263D77" w:rsidRPr="00263D77" w:rsidRDefault="00263D77" w:rsidP="00263D77">
      <w:pPr>
        <w:rPr>
          <w:rtl/>
        </w:rPr>
      </w:pPr>
      <w:r w:rsidRPr="00263D77">
        <w:rPr>
          <w:rtl/>
        </w:rPr>
        <w:t>سلّطت هذه الدراسة الضوء على إدارة المخاطر ودورها في تعزيز أداء أقسام البلديات، وقد تناولت أهمية الإدارة النظامية للمخاطر، وأبرز عناصرها، ودورها في تخفيف التأثيرات السلبية للتهديدات التي تواجه البلديات. اعتمدت الدراسة على المنهج الوصفي التحليلي لتحليل الظاهرة، حيث قدمت وصفًا وتحليلًا لأدوار إدارة المخاطر في البلديات، مع التركيز على دورها في تحديد وتقييم والتعامل مع الأخطار المحتملة. أظهرت النتائج أن إدارة مخاطر البلدية ترتكز على منهجية استراتيجية شاملة تهدف إلى تقليل تأثير المخاطر عبر تخطيط استباقي وتفعيل موارد الرصد والمراقبة. كما بينت الدراسة أن توحيد السياسات والإجراءات في إدارة المخاطر يُمكّن البلديات من التعامل بمرونة وفعالية مع الأحداث غير المتوقعة، وبالتالي يساهم في تعزيز الأداء التنظيمي العام. أوصت الدراسة بضرورة إنشاء إدارة أو قسم خاص للمخاطر داخل البلديات لتقييم اتجاهات العمل وتحديد المسارات الآمنة في الأداء المؤسسي. كما أكدت على أهمية تدريب الكوادر على أدوات تحليل المخاطر ومتابعتها بشكل دوري.</w:t>
      </w:r>
    </w:p>
    <w:p w14:paraId="0685BEBD" w14:textId="77777777" w:rsidR="00263D77" w:rsidRPr="00263D77" w:rsidRDefault="00263D77" w:rsidP="00263D77">
      <w:pPr>
        <w:rPr>
          <w:b/>
          <w:bCs/>
          <w:rtl/>
        </w:rPr>
      </w:pPr>
      <w:r w:rsidRPr="00263D77">
        <w:rPr>
          <w:b/>
          <w:bCs/>
          <w:rtl/>
        </w:rPr>
        <w:t xml:space="preserve">دراسة </w:t>
      </w:r>
      <w:r w:rsidRPr="00263D77">
        <w:rPr>
          <w:b/>
          <w:bCs/>
        </w:rPr>
        <w:t>Horigan</w:t>
      </w:r>
      <w:r w:rsidRPr="00263D77">
        <w:rPr>
          <w:b/>
          <w:bCs/>
          <w:rtl/>
        </w:rPr>
        <w:t xml:space="preserve"> وآخرون (2023)</w:t>
      </w:r>
    </w:p>
    <w:p w14:paraId="53F3107B" w14:textId="77777777" w:rsidR="00263D77" w:rsidRPr="00263D77" w:rsidRDefault="00263D77" w:rsidP="00263D77">
      <w:pPr>
        <w:rPr>
          <w:rtl/>
        </w:rPr>
      </w:pPr>
      <w:r w:rsidRPr="00263D77">
        <w:rPr>
          <w:rtl/>
        </w:rPr>
        <w:t>تناولت هذه الدراسة التقييم النوعي للمخاطر (</w:t>
      </w:r>
      <w:r w:rsidRPr="00263D77">
        <w:t>QRA</w:t>
      </w:r>
      <w:r w:rsidRPr="00263D77">
        <w:rPr>
          <w:rtl/>
        </w:rPr>
        <w:t>) كأداة لدعم اتخاذ القرار بما يتماشى مع متطلبات التقييم الموضوعي غير المتحيز لمخاطر الأمراض وفق اتفاقية الإجراءات الصحية والنباتية (</w:t>
      </w:r>
      <w:r w:rsidRPr="00263D77">
        <w:t>SPS</w:t>
      </w:r>
      <w:r w:rsidRPr="00263D77">
        <w:rPr>
          <w:rtl/>
        </w:rPr>
        <w:t xml:space="preserve">) لمنظمة التجارة العالمية، أبرزت الدراسة أهمية توحيد المنهجيات المستخدمة في </w:t>
      </w:r>
      <w:r w:rsidRPr="00263D77">
        <w:t>QRA</w:t>
      </w:r>
      <w:r w:rsidRPr="00263D77">
        <w:rPr>
          <w:rtl/>
        </w:rPr>
        <w:t xml:space="preserve"> لجعلها أكثر موضوعية وقابلة للتطبيق عبر السياقات المختلفة لصحة الحيوان. استعرض الباحثون أربعة عناصر رئيسية ضرورية للمنهجيات القياسية: وصف مستويات المخاطر، دمج الاحتمالات، أخذ حجم التجارة والفترات الزمنية بعين الاعتبار، التعامل مع عدم اليقين. ناقشت الدراسة كيف تسمح أفضل الممارسات في </w:t>
      </w:r>
      <w:r w:rsidRPr="00263D77">
        <w:t>QRA</w:t>
      </w:r>
      <w:r w:rsidRPr="00263D77">
        <w:rPr>
          <w:rtl/>
        </w:rPr>
        <w:t xml:space="preserve"> بتحديد سلاسل الأحداث الحرجة ونقاط التحكم الرئيسية، مما يساعد نظم إدارة المخاطر على اتخاذ قرارات سريعة ومدروسة. كما أبرزت أن دمج التفكير الرياضي وتحليل عدم اليقين يعزز متانة نتائج التقييم وإمكانية تحويلها إلى توصيات واضحة لمديري المخاطر. وأشارت الدراسة إلى أن هناك حاجة ملحّة لتطوير منهجية موحدة وموضوعية لتقييم المخاطر النوعية في الصحة الحيوانية.</w:t>
      </w:r>
    </w:p>
    <w:p w14:paraId="2ECC24E3" w14:textId="77777777" w:rsidR="00263D77" w:rsidRPr="00263D77" w:rsidRDefault="00263D77" w:rsidP="00263D77">
      <w:pPr>
        <w:rPr>
          <w:b/>
          <w:bCs/>
          <w:rtl/>
        </w:rPr>
      </w:pPr>
      <w:r w:rsidRPr="00263D77">
        <w:rPr>
          <w:b/>
          <w:bCs/>
          <w:rtl/>
        </w:rPr>
        <w:t>دراسة الشمراني (2024)</w:t>
      </w:r>
    </w:p>
    <w:p w14:paraId="68AFE903" w14:textId="77777777" w:rsidR="00263D77" w:rsidRPr="00263D77" w:rsidRDefault="00263D77" w:rsidP="00263D77">
      <w:pPr>
        <w:rPr>
          <w:rtl/>
        </w:rPr>
      </w:pPr>
      <w:r w:rsidRPr="00263D77">
        <w:rPr>
          <w:rtl/>
        </w:rPr>
        <w:lastRenderedPageBreak/>
        <w:t>ركزت هذه الدراسة على تطبيق نظام الرقابة الذاتية على المخاطر في البنوك بدولة الكويت، مع تسليط الضوء على تأثير هذا النظام على الأداء المالي والتشغيلي للبنك. اعتمدت الدراسة على المنهج النوعي، من خلال دراسة حالة ميدانية تطبيقية شملت مقابلات مع مديري الفروع والإدارات داخل بنك كويتي. وجدت الدراسة أن تطبيق نظام الرقابة الذاتية على المخاطر أدى إلى تحسن ملحوظ في الأداء المالي والتشغيلي، حيث ساهم في السيطرة والتحكم في المخاطر القائمة والمحتملة. كما أشار الباحث إلى أن هذا النظام مكّن البنك من تطوير حلول جذرية للمشكلات التشغيلية، وتحسين الآليات المتبعة للتعامل مع المخاطر المختلفة. وأوصت الدراسة بتوسيع تطبيق نظام الرقابة الذاتية على المخاطر في مؤسسات مالية أخرى، بالإضافة إلى عقد اجتماعات دورية لمناقشة التحديات والقدرات. كما دعت الدراسة إلى الاستثمار في تطوير الكوادر الوطنية عبر توفير برامج تدريبية متقدمة في مجال إدارة المخاطر، وتعزيز البنية التكنولوجية لدعم نظم الرقابة الذاتية.</w:t>
      </w:r>
    </w:p>
    <w:p w14:paraId="3F8AFC0B" w14:textId="77777777" w:rsidR="00263D77" w:rsidRPr="00263D77" w:rsidRDefault="00263D77" w:rsidP="00263D77">
      <w:pPr>
        <w:rPr>
          <w:b/>
          <w:bCs/>
          <w:rtl/>
        </w:rPr>
      </w:pPr>
      <w:r w:rsidRPr="00263D77">
        <w:rPr>
          <w:b/>
          <w:bCs/>
          <w:rtl/>
        </w:rPr>
        <w:t>دراسة العنزي (2024)</w:t>
      </w:r>
    </w:p>
    <w:p w14:paraId="51F417AC" w14:textId="77777777" w:rsidR="00263D77" w:rsidRPr="00263D77" w:rsidRDefault="00263D77" w:rsidP="00263D77">
      <w:pPr>
        <w:rPr>
          <w:rtl/>
        </w:rPr>
      </w:pPr>
      <w:r w:rsidRPr="00263D77">
        <w:rPr>
          <w:rtl/>
        </w:rPr>
        <w:t>هدفت هذه الدراسة إلى تحليل أثر إدارة مخاطر المشاريع في أبعادها المختلفة (تحديد المخاطر، تقييم المخاطر، الاستجابة للمخاطر، مراقبة المخاطر) على نجاح المشاريع في أبعادها المتعددة (تقليل المخاطر، تعزيز الشفافية، الاستخدام الأمثل للموارد، خفض التكاليف) داخل الشركات الخاصة في المنطقة الشرقية بالمملكة العربية السعودية. تبنت الدراسة المنهج الوصفي التحليلي، وصُمّم استبيان لجمع البيانات من موظفي المشاريع في الشركات قيد الدراسة. بالنظر إلى صعوبة المسح الشامل، تم اختيار عينة عشوائية بسيطة بتوزيع رابط الاستبيان عبر منصات التواصل الاجتماعي ذات الصلة، وبلغ حجم العينة 400 مشارك استجابوا للاستبيان بنسب جيدة للتحليل. استخدم الباحث الحزمة الإحصائية للعلوم الاجتماعية (</w:t>
      </w:r>
      <w:r w:rsidRPr="00263D77">
        <w:t>SPSS</w:t>
      </w:r>
      <w:r w:rsidRPr="00263D77">
        <w:rPr>
          <w:rtl/>
        </w:rPr>
        <w:t>) لتحليل البيانات، واعتمد على اختبارات الارتباط والانحدار لتحديد قوة العلاقة بين أبعاد إدارة المخاطر وعناصر نجاح المشروع. أظهرت النتائج وجود علاقة دلالة إحصائية قوية بين تطبيق استراتيجيات إدارة المخاطر في أبعادها الأربعة وبين زيادة نجاح المشاريع في المخرجات الأربعة المحددة. وأوصت الدراسة بضرورة توفير الموارد والقدرات المؤسسية اللازمة لتنفيذ استراتيجيات إدارة المخاطر بكفاءة، إلى جانب تعزيز مهارات وقدرات الموظفين عبر برامج تدريبية متخصصة. كما أكدت الدراسة على أن تعزيز الكفاءة في إدارة المخاطر يسهم بشكل مباشر في تحسين الأداء التشغيلي والمالي للمشروعات.</w:t>
      </w:r>
    </w:p>
    <w:p w14:paraId="1C3D0DFC" w14:textId="77777777" w:rsidR="00263D77" w:rsidRPr="00263D77" w:rsidRDefault="00263D77" w:rsidP="00263D77">
      <w:pPr>
        <w:keepNext/>
        <w:keepLines/>
        <w:spacing w:before="120"/>
        <w:outlineLvl w:val="1"/>
        <w:rPr>
          <w:rFonts w:asciiTheme="majorHAnsi" w:eastAsiaTheme="majorEastAsia" w:hAnsiTheme="majorHAnsi"/>
          <w:bCs/>
          <w:color w:val="7030A0"/>
          <w:kern w:val="0"/>
          <w:sz w:val="26"/>
          <w:szCs w:val="32"/>
          <w:rtl/>
          <w14:ligatures w14:val="none"/>
        </w:rPr>
      </w:pPr>
      <w:bookmarkStart w:id="19" w:name="_Toc223666034"/>
      <w:bookmarkStart w:id="20" w:name="_Toc234717614"/>
      <w:r w:rsidRPr="00263D77">
        <w:rPr>
          <w:rFonts w:asciiTheme="majorHAnsi" w:eastAsiaTheme="majorEastAsia" w:hAnsiTheme="majorHAnsi"/>
          <w:bCs/>
          <w:color w:val="7030A0"/>
          <w:kern w:val="0"/>
          <w:sz w:val="26"/>
          <w:szCs w:val="32"/>
          <w:rtl/>
          <w14:ligatures w14:val="none"/>
        </w:rPr>
        <w:t>التعقيب على الدراسات السابقة</w:t>
      </w:r>
      <w:bookmarkEnd w:id="19"/>
      <w:bookmarkEnd w:id="20"/>
      <w:r w:rsidRPr="00263D77">
        <w:rPr>
          <w:rFonts w:asciiTheme="majorHAnsi" w:eastAsiaTheme="majorEastAsia" w:hAnsiTheme="majorHAnsi"/>
          <w:bCs/>
          <w:color w:val="7030A0"/>
          <w:kern w:val="0"/>
          <w:sz w:val="26"/>
          <w:szCs w:val="32"/>
          <w:rtl/>
          <w14:ligatures w14:val="none"/>
        </w:rPr>
        <w:t xml:space="preserve"> </w:t>
      </w:r>
    </w:p>
    <w:p w14:paraId="6D4E309F" w14:textId="77777777" w:rsidR="00263D77" w:rsidRPr="00263D77" w:rsidRDefault="00263D77" w:rsidP="00263D77">
      <w:pPr>
        <w:rPr>
          <w:rtl/>
        </w:rPr>
      </w:pPr>
      <w:r w:rsidRPr="00263D77">
        <w:rPr>
          <w:rtl/>
        </w:rPr>
        <w:t xml:space="preserve">أظهرت الدراسات السابقة التي تم استعراضها اهتمامًا متزايدًا بموضوع إدارة المخاطر وأثرها على الأداء المؤسسي في مختلف القطاعات، سواء في السياق السعودي أو في الدراسات الدولية المرتبطة </w:t>
      </w:r>
      <w:r w:rsidRPr="00263D77">
        <w:rPr>
          <w:rtl/>
        </w:rPr>
        <w:lastRenderedPageBreak/>
        <w:t>بالصحة الحيوانية والنباتية، أو بالقطاع المالي والمؤسسات الصغيرة والمتوسطة. وعلى الرغم من تنوع هذه الدراسات، يمكن استخلاص عدة ملاحظات أساسية حول أوجه التشابه والاختلاف، وكذلك الفجوات البحثية التي تسعى الدراسة الحالية لسدها.</w:t>
      </w:r>
    </w:p>
    <w:p w14:paraId="6BAC26D1" w14:textId="77777777" w:rsidR="00263D77" w:rsidRPr="00263D77" w:rsidRDefault="00263D77" w:rsidP="00263D77">
      <w:pPr>
        <w:rPr>
          <w:b/>
          <w:bCs/>
          <w:rtl/>
        </w:rPr>
      </w:pPr>
      <w:r w:rsidRPr="00263D77">
        <w:rPr>
          <w:b/>
          <w:bCs/>
          <w:rtl/>
        </w:rPr>
        <w:t>أوجه التشابه</w:t>
      </w:r>
    </w:p>
    <w:p w14:paraId="4659FEDC" w14:textId="77777777" w:rsidR="00263D77" w:rsidRPr="00263D77" w:rsidRDefault="00263D77" w:rsidP="00263D77">
      <w:pPr>
        <w:numPr>
          <w:ilvl w:val="0"/>
          <w:numId w:val="1"/>
        </w:numPr>
        <w:contextualSpacing/>
        <w:rPr>
          <w:rtl/>
        </w:rPr>
      </w:pPr>
      <w:r w:rsidRPr="00263D77">
        <w:rPr>
          <w:rtl/>
        </w:rPr>
        <w:t xml:space="preserve">الارتباط بين إدارة المخاطر والأداء المؤسسي: معظم الدراسات، مثل دراسة العنزي (2024)، ودراسة </w:t>
      </w:r>
      <w:r w:rsidRPr="00263D77">
        <w:t>Soltanizadeh et al</w:t>
      </w:r>
      <w:r w:rsidRPr="00263D77">
        <w:rPr>
          <w:rtl/>
        </w:rPr>
        <w:t>. (2016)، أكدت وجود علاقة إيجابية بين تطبيق استراتيجيات إدارة المخاطر وتحقيق مستويات أفضل من الأداء المؤسسي أو المالي، سواء في القطاع العام أو الخاص.</w:t>
      </w:r>
    </w:p>
    <w:p w14:paraId="05931D29" w14:textId="77777777" w:rsidR="00263D77" w:rsidRPr="00263D77" w:rsidRDefault="00263D77" w:rsidP="00263D77">
      <w:pPr>
        <w:numPr>
          <w:ilvl w:val="0"/>
          <w:numId w:val="1"/>
        </w:numPr>
        <w:contextualSpacing/>
        <w:rPr>
          <w:rtl/>
        </w:rPr>
      </w:pPr>
      <w:r w:rsidRPr="00263D77">
        <w:rPr>
          <w:rtl/>
        </w:rPr>
        <w:t xml:space="preserve">أهمية المنهجية المنظمة: ركزت الدراسات الدولية مثل </w:t>
      </w:r>
      <w:r w:rsidRPr="00263D77">
        <w:t>Montibeller et al</w:t>
      </w:r>
      <w:r w:rsidRPr="00263D77">
        <w:rPr>
          <w:rtl/>
        </w:rPr>
        <w:t>. (2020)، و</w:t>
      </w:r>
      <w:r w:rsidRPr="00263D77">
        <w:t>Horigan et al</w:t>
      </w:r>
      <w:r w:rsidRPr="00263D77">
        <w:rPr>
          <w:rtl/>
        </w:rPr>
        <w:t>. (2023)، على ضرورة وجود أطر منظمة لتقييم المخاطر، سواء كانت مخاطر تشغيلية، بيولوجية أو مالية، وهو ما يتوافق مع الدراسات المحلية التي تبنت المنهج الوصفي التحليلي مثل العرود (2023) والغامدي (2022).</w:t>
      </w:r>
    </w:p>
    <w:p w14:paraId="77D25C32" w14:textId="77777777" w:rsidR="00263D77" w:rsidRPr="00263D77" w:rsidRDefault="00263D77" w:rsidP="00263D77">
      <w:pPr>
        <w:numPr>
          <w:ilvl w:val="0"/>
          <w:numId w:val="1"/>
        </w:numPr>
        <w:contextualSpacing/>
        <w:rPr>
          <w:rtl/>
        </w:rPr>
      </w:pPr>
      <w:r w:rsidRPr="00263D77">
        <w:rPr>
          <w:rtl/>
        </w:rPr>
        <w:t xml:space="preserve">استخدام مؤشرات الأداء ومقاييس المخاطر: أبرزت عدة دراسات أهمية مؤشرات الأداء كمقياس لنجاح إدارة المخاطر، كما في دراسة </w:t>
      </w:r>
      <w:r w:rsidRPr="00263D77">
        <w:t>Kelly et al</w:t>
      </w:r>
      <w:r w:rsidRPr="00263D77">
        <w:rPr>
          <w:rtl/>
        </w:rPr>
        <w:t xml:space="preserve">. (2011) ودراسة </w:t>
      </w:r>
      <w:r w:rsidRPr="00263D77">
        <w:t>Baker et al</w:t>
      </w:r>
      <w:r w:rsidRPr="00263D77">
        <w:rPr>
          <w:rtl/>
        </w:rPr>
        <w:t>. (2014)، حيث ارتبطت فعالية مؤشرات الأداء بقدرة المؤسسة على المراقبة والسيطرة على المخاطر.</w:t>
      </w:r>
    </w:p>
    <w:p w14:paraId="5C27F41B" w14:textId="77777777" w:rsidR="00263D77" w:rsidRPr="00263D77" w:rsidRDefault="00263D77" w:rsidP="00263D77">
      <w:pPr>
        <w:rPr>
          <w:b/>
          <w:bCs/>
          <w:rtl/>
        </w:rPr>
      </w:pPr>
      <w:r w:rsidRPr="00263D77">
        <w:rPr>
          <w:b/>
          <w:bCs/>
          <w:rtl/>
        </w:rPr>
        <w:t>أوجه الاختلاف</w:t>
      </w:r>
    </w:p>
    <w:p w14:paraId="03CC9916" w14:textId="77777777" w:rsidR="00263D77" w:rsidRPr="00263D77" w:rsidRDefault="00263D77" w:rsidP="00263D77">
      <w:pPr>
        <w:numPr>
          <w:ilvl w:val="0"/>
          <w:numId w:val="2"/>
        </w:numPr>
        <w:contextualSpacing/>
        <w:rPr>
          <w:rtl/>
        </w:rPr>
      </w:pPr>
      <w:r w:rsidRPr="00263D77">
        <w:rPr>
          <w:rtl/>
        </w:rPr>
        <w:t xml:space="preserve">اختلاف السياقات التطبيقية: بينما ركزت بعض الدراسات على القطاع المالي أو الشركات الصغيرة والمتوسطة (مثل </w:t>
      </w:r>
      <w:r w:rsidRPr="00263D77">
        <w:t>Lukianchuk, 2015</w:t>
      </w:r>
      <w:r w:rsidRPr="00263D77">
        <w:rPr>
          <w:rtl/>
        </w:rPr>
        <w:t xml:space="preserve">)، ركزت أخرى على القطاع الزراعي والصحي الحيواني والنباتي (مثل </w:t>
      </w:r>
      <w:r w:rsidRPr="00263D77">
        <w:t>Hayes</w:t>
      </w:r>
      <w:r w:rsidRPr="00263D77">
        <w:rPr>
          <w:rtl/>
        </w:rPr>
        <w:t>, د.ت و</w:t>
      </w:r>
      <w:r w:rsidRPr="00263D77">
        <w:t>Jamieson et al., 2013</w:t>
      </w:r>
      <w:r w:rsidRPr="00263D77">
        <w:rPr>
          <w:rtl/>
        </w:rPr>
        <w:t>)، وهو ما يعكس تنوع المتغيرات البيئية والتنظيمية المؤثرة على العلاقة بين إدارة المخاطر والأداء.</w:t>
      </w:r>
    </w:p>
    <w:p w14:paraId="5B199C56" w14:textId="77777777" w:rsidR="00263D77" w:rsidRPr="00263D77" w:rsidRDefault="00263D77" w:rsidP="00263D77">
      <w:pPr>
        <w:numPr>
          <w:ilvl w:val="0"/>
          <w:numId w:val="2"/>
        </w:numPr>
        <w:contextualSpacing/>
        <w:rPr>
          <w:rtl/>
        </w:rPr>
      </w:pPr>
      <w:r w:rsidRPr="00263D77">
        <w:rPr>
          <w:rtl/>
        </w:rPr>
        <w:t xml:space="preserve">تنوع أدوات القياس: استخدمت الدراسات أدوات متعددة لتقييم المخاطر، منها الاستبيانات والمقابلات والبيانات الثانوية، بينما استخدمت الدراسات الدولية مثل </w:t>
      </w:r>
      <w:r w:rsidRPr="00263D77">
        <w:t>Murugan &amp; Kumarasinghe</w:t>
      </w:r>
      <w:r w:rsidRPr="00263D77">
        <w:rPr>
          <w:rtl/>
        </w:rPr>
        <w:t xml:space="preserve"> (2018) أدوات مخصصة لتقييم المخاطر التشغيلية، ما يوضح وجود تفاوت في الصرامة العلمية والمنهجية المستخدمة بين الدراسات.</w:t>
      </w:r>
    </w:p>
    <w:p w14:paraId="008F63B1" w14:textId="77777777" w:rsidR="00263D77" w:rsidRPr="00263D77" w:rsidRDefault="00263D77" w:rsidP="00263D77">
      <w:pPr>
        <w:numPr>
          <w:ilvl w:val="0"/>
          <w:numId w:val="2"/>
        </w:numPr>
        <w:contextualSpacing/>
        <w:rPr>
          <w:rtl/>
        </w:rPr>
      </w:pPr>
      <w:r w:rsidRPr="00263D77">
        <w:rPr>
          <w:rtl/>
        </w:rPr>
        <w:t xml:space="preserve">التركيز على نوع محدد من المخاطر: بعض الدراسات ركزت على المخاطر المالية والاقتصادية (مثل </w:t>
      </w:r>
      <w:r w:rsidRPr="00263D77">
        <w:t>Ibrahim &amp; Esa, 2017</w:t>
      </w:r>
      <w:r w:rsidRPr="00263D77">
        <w:rPr>
          <w:rtl/>
        </w:rPr>
        <w:t xml:space="preserve">)، بينما ركزت أخرى على المخاطر </w:t>
      </w:r>
      <w:r w:rsidRPr="00263D77">
        <w:rPr>
          <w:rtl/>
        </w:rPr>
        <w:lastRenderedPageBreak/>
        <w:t xml:space="preserve">البيولوجية والصحية للنبات والحيوان (مثل </w:t>
      </w:r>
      <w:r w:rsidRPr="00263D77">
        <w:t>Dahlstrom et al., 2011</w:t>
      </w:r>
      <w:r w:rsidRPr="00263D77">
        <w:rPr>
          <w:rtl/>
        </w:rPr>
        <w:t xml:space="preserve"> و</w:t>
      </w:r>
      <w:r w:rsidRPr="00263D77">
        <w:t>Horigan et al., 2023</w:t>
      </w:r>
      <w:r w:rsidRPr="00263D77">
        <w:rPr>
          <w:rtl/>
        </w:rPr>
        <w:t>)، وهو ما يبرز الحاجة لدمج هذه الأبعاد المختلفة في دراسة واحدة لفهم أثر إدارة المخاطر بشكل شامل.</w:t>
      </w:r>
    </w:p>
    <w:p w14:paraId="17F0259D" w14:textId="77777777" w:rsidR="00263D77" w:rsidRPr="00263D77" w:rsidRDefault="00263D77" w:rsidP="00263D77">
      <w:pPr>
        <w:rPr>
          <w:b/>
          <w:bCs/>
          <w:rtl/>
        </w:rPr>
      </w:pPr>
      <w:r w:rsidRPr="00263D77">
        <w:rPr>
          <w:b/>
          <w:bCs/>
          <w:rtl/>
        </w:rPr>
        <w:t>الفجوات البحثية</w:t>
      </w:r>
    </w:p>
    <w:p w14:paraId="72DFC73C" w14:textId="77777777" w:rsidR="00263D77" w:rsidRPr="00263D77" w:rsidRDefault="00263D77" w:rsidP="00263D77">
      <w:pPr>
        <w:rPr>
          <w:rtl/>
        </w:rPr>
      </w:pPr>
      <w:r w:rsidRPr="00263D77">
        <w:rPr>
          <w:rtl/>
        </w:rPr>
        <w:t>على الرغم من غزارة الدراسات السابقة، فإن مراجعتها تكشف عن عدة فجوات بحثية رئيسية:</w:t>
      </w:r>
    </w:p>
    <w:p w14:paraId="0DEB2DEA" w14:textId="77777777" w:rsidR="00263D77" w:rsidRPr="00263D77" w:rsidRDefault="00263D77" w:rsidP="00263D77">
      <w:pPr>
        <w:numPr>
          <w:ilvl w:val="0"/>
          <w:numId w:val="1"/>
        </w:numPr>
        <w:contextualSpacing/>
        <w:rPr>
          <w:rtl/>
        </w:rPr>
      </w:pPr>
      <w:r w:rsidRPr="00263D77">
        <w:rPr>
          <w:rtl/>
        </w:rPr>
        <w:t>قلة الدراسات التطبيقية في السياق السعودي لقطاع الصحة النباتية والحيوانية: معظم الدراسات السعودية ركزت على المؤسسات العامة أو المشاريع الخاصة دون استهداف مركز وقائي مثل "مركز وقاء"، الذي يجمع بين الصحة النباتية والحيوانية والأمن الحيوي.</w:t>
      </w:r>
    </w:p>
    <w:p w14:paraId="124D3577" w14:textId="77777777" w:rsidR="00263D77" w:rsidRPr="00263D77" w:rsidRDefault="00263D77" w:rsidP="00263D77">
      <w:pPr>
        <w:numPr>
          <w:ilvl w:val="0"/>
          <w:numId w:val="1"/>
        </w:numPr>
        <w:contextualSpacing/>
        <w:rPr>
          <w:rtl/>
        </w:rPr>
      </w:pPr>
      <w:r w:rsidRPr="00263D77">
        <w:rPr>
          <w:rtl/>
        </w:rPr>
        <w:t>نقص الدراسات التي تقيس أثر منهجية إدارة المخاطر على مؤشرات الأداء التشغيلية مباشرة: العديد من الدراسات ركزت على تقييم المخاطر أو الأداء بشكل منفصل، ولم تربط بينهما بشكل منهجي باستخدام مؤشرات قابلة للقياس داخل المؤسسات.</w:t>
      </w:r>
    </w:p>
    <w:p w14:paraId="3708C656" w14:textId="77777777" w:rsidR="00263D77" w:rsidRPr="00263D77" w:rsidRDefault="00263D77" w:rsidP="00263D77">
      <w:pPr>
        <w:numPr>
          <w:ilvl w:val="0"/>
          <w:numId w:val="1"/>
        </w:numPr>
        <w:contextualSpacing/>
        <w:rPr>
          <w:rtl/>
        </w:rPr>
      </w:pPr>
      <w:r w:rsidRPr="00263D77">
        <w:rPr>
          <w:rtl/>
        </w:rPr>
        <w:t xml:space="preserve">غياب دمج الأطر النظرية الدولية مع التطبيق المحلي: الدراسات الدولية توفر نماذج قوية لتقييم المخاطر (مثل </w:t>
      </w:r>
      <w:r w:rsidRPr="00263D77">
        <w:t>Horigan et al., 2023</w:t>
      </w:r>
      <w:r w:rsidRPr="00263D77">
        <w:rPr>
          <w:rtl/>
        </w:rPr>
        <w:t xml:space="preserve"> و</w:t>
      </w:r>
      <w:r w:rsidRPr="00263D77">
        <w:t>Montibeller et al., 2020</w:t>
      </w:r>
      <w:r w:rsidRPr="00263D77">
        <w:rPr>
          <w:rtl/>
        </w:rPr>
        <w:t>)، لكن لم يتم تطبيقها على واقع المؤسسات السعودية، مع مراعاة البيئة التنظيمية والقانونية المحلية.</w:t>
      </w:r>
    </w:p>
    <w:p w14:paraId="66AD9C3E" w14:textId="77777777" w:rsidR="00263D77" w:rsidRPr="00263D77" w:rsidRDefault="00263D77" w:rsidP="00263D77">
      <w:pPr>
        <w:numPr>
          <w:ilvl w:val="0"/>
          <w:numId w:val="1"/>
        </w:numPr>
        <w:contextualSpacing/>
        <w:rPr>
          <w:rtl/>
        </w:rPr>
      </w:pPr>
      <w:r w:rsidRPr="00263D77">
        <w:rPr>
          <w:rtl/>
        </w:rPr>
        <w:t>نقص الدراسات التي تربط بين أبعاد المخاطر المختلفة (تشغيلية، مالية، بيولوجية) وأثرها على الأداء المؤسسي المتكامل: معظم الدراسات ركزت على نوع واحد من المخاطر دون دمج شامل للأنظمة المختلفة.</w:t>
      </w:r>
    </w:p>
    <w:p w14:paraId="2D4FEFE9" w14:textId="77777777" w:rsidR="00263D77" w:rsidRPr="00263D77" w:rsidRDefault="00263D77" w:rsidP="00263D77">
      <w:pPr>
        <w:rPr>
          <w:rtl/>
        </w:rPr>
      </w:pPr>
      <w:r w:rsidRPr="00263D77">
        <w:rPr>
          <w:rtl/>
        </w:rPr>
        <w:t>استنادًا إلى ما سبق، تسعى الدراسة الحالية إلى سد هذه الفجوات البحثية من خلال:</w:t>
      </w:r>
    </w:p>
    <w:p w14:paraId="6EB37B02" w14:textId="77777777" w:rsidR="00263D77" w:rsidRPr="00263D77" w:rsidRDefault="00263D77" w:rsidP="00263D77">
      <w:pPr>
        <w:numPr>
          <w:ilvl w:val="0"/>
          <w:numId w:val="3"/>
        </w:numPr>
        <w:contextualSpacing/>
        <w:rPr>
          <w:rtl/>
        </w:rPr>
      </w:pPr>
      <w:r w:rsidRPr="00263D77">
        <w:rPr>
          <w:rtl/>
        </w:rPr>
        <w:t>تطبيق منهجية إدارة المخاطر بشكل متكامل على مركز وقائي سعودي (مركز وقاء)، يختص بالصحة النباتية والحيوانية، مما يضيف بعدًا عمليًا لم يتم دراسته محليًا.</w:t>
      </w:r>
    </w:p>
    <w:p w14:paraId="7682F2DC" w14:textId="77777777" w:rsidR="00263D77" w:rsidRPr="00263D77" w:rsidRDefault="00263D77" w:rsidP="00263D77">
      <w:pPr>
        <w:numPr>
          <w:ilvl w:val="0"/>
          <w:numId w:val="3"/>
        </w:numPr>
        <w:contextualSpacing/>
        <w:rPr>
          <w:rtl/>
        </w:rPr>
      </w:pPr>
      <w:r w:rsidRPr="00263D77">
        <w:rPr>
          <w:rtl/>
        </w:rPr>
        <w:t>قياس أثر تطبيق إدارة المخاطر على مؤشرات الأداء التشغيلية والمؤسسية بشكل مباشر، باستخدام مؤشرات كمية ونوعية مدروسة بعناية، مع تحليل العلاقات بين متغيرات المخاطر المختلفة.</w:t>
      </w:r>
    </w:p>
    <w:p w14:paraId="18ABDAEF" w14:textId="77777777" w:rsidR="00263D77" w:rsidRPr="00263D77" w:rsidRDefault="00263D77" w:rsidP="00263D77">
      <w:pPr>
        <w:numPr>
          <w:ilvl w:val="0"/>
          <w:numId w:val="3"/>
        </w:numPr>
        <w:contextualSpacing/>
        <w:rPr>
          <w:rtl/>
        </w:rPr>
      </w:pPr>
      <w:r w:rsidRPr="00263D77">
        <w:rPr>
          <w:rtl/>
        </w:rPr>
        <w:t>دمج الأطر النظرية الدولية لتقييم المخاطر البيولوجية مع خصوصية البيئة التنظيمية السعودية، لتقديم نموذج قابل للتطبيق المحلي مع استرشاد بالمعايير العالمية.</w:t>
      </w:r>
    </w:p>
    <w:p w14:paraId="13FAC3CA" w14:textId="77777777" w:rsidR="00263D77" w:rsidRPr="00263D77" w:rsidRDefault="00263D77" w:rsidP="00263D77">
      <w:pPr>
        <w:numPr>
          <w:ilvl w:val="0"/>
          <w:numId w:val="3"/>
        </w:numPr>
        <w:contextualSpacing/>
      </w:pPr>
      <w:r w:rsidRPr="00263D77">
        <w:rPr>
          <w:rtl/>
        </w:rPr>
        <w:t>تقديم توصيات عملية واستراتيجية لتحسين الأداء المؤسسي وتعزيز الأمن البيولوجي، مع إمكانية تعميم النتائج على مؤسسات مشابهة داخل المملكة.</w:t>
      </w:r>
    </w:p>
    <w:p w14:paraId="1635E25E" w14:textId="77777777" w:rsidR="00263D77" w:rsidRPr="00263D77" w:rsidRDefault="00263D77" w:rsidP="00263D77">
      <w:pPr>
        <w:keepNext/>
        <w:keepLines/>
        <w:spacing w:before="120"/>
        <w:outlineLvl w:val="0"/>
        <w:rPr>
          <w:rFonts w:asciiTheme="majorHAnsi" w:eastAsiaTheme="majorEastAsia" w:hAnsiTheme="majorHAnsi"/>
          <w:bCs/>
          <w:color w:val="4472C4" w:themeColor="accent1"/>
          <w:sz w:val="36"/>
          <w:szCs w:val="36"/>
          <w:rtl/>
        </w:rPr>
      </w:pPr>
      <w:bookmarkStart w:id="21" w:name="_Toc223666035"/>
      <w:bookmarkStart w:id="22" w:name="_Toc234717615"/>
      <w:r w:rsidRPr="00263D77">
        <w:rPr>
          <w:rFonts w:asciiTheme="majorHAnsi" w:eastAsiaTheme="majorEastAsia" w:hAnsiTheme="majorHAnsi"/>
          <w:bCs/>
          <w:color w:val="4472C4" w:themeColor="accent1"/>
          <w:sz w:val="36"/>
          <w:szCs w:val="36"/>
          <w:rtl/>
        </w:rPr>
        <w:lastRenderedPageBreak/>
        <w:t>المنطلقات النظرية للبحث</w:t>
      </w:r>
      <w:bookmarkEnd w:id="21"/>
      <w:bookmarkEnd w:id="22"/>
    </w:p>
    <w:p w14:paraId="2C39FCA7" w14:textId="77777777" w:rsidR="00263D77" w:rsidRPr="00263D77" w:rsidRDefault="00263D77" w:rsidP="00263D77">
      <w:pPr>
        <w:rPr>
          <w:rtl/>
        </w:rPr>
      </w:pPr>
      <w:r w:rsidRPr="00263D77">
        <w:rPr>
          <w:rtl/>
        </w:rPr>
        <w:t>يعتمد هذا البحث على منطلقات نظرية متعددة تربط بين إدارة المخاطر ومؤشرات الأداء المؤسسي في سياق أنظمة الصحة النباتية والحيوانية. ويمكن تلخيص أهم هذه المنطلقات فيما يلي:</w:t>
      </w:r>
    </w:p>
    <w:p w14:paraId="479E579A" w14:textId="77777777" w:rsidR="00263D77" w:rsidRPr="00263D77" w:rsidRDefault="00263D77" w:rsidP="00263D77">
      <w:pPr>
        <w:rPr>
          <w:b/>
          <w:bCs/>
          <w:rtl/>
        </w:rPr>
      </w:pPr>
      <w:r w:rsidRPr="00263D77">
        <w:rPr>
          <w:b/>
          <w:bCs/>
          <w:rtl/>
        </w:rPr>
        <w:t>نظرية إدارة المخاطر (</w:t>
      </w:r>
      <w:r w:rsidRPr="00263D77">
        <w:rPr>
          <w:b/>
          <w:bCs/>
        </w:rPr>
        <w:t>Risk Management Theory</w:t>
      </w:r>
      <w:r w:rsidRPr="00263D77">
        <w:rPr>
          <w:b/>
          <w:bCs/>
          <w:rtl/>
        </w:rPr>
        <w:t>):</w:t>
      </w:r>
    </w:p>
    <w:p w14:paraId="20938CFC" w14:textId="77777777" w:rsidR="00263D77" w:rsidRPr="00263D77" w:rsidRDefault="00263D77" w:rsidP="00263D77">
      <w:pPr>
        <w:rPr>
          <w:rtl/>
        </w:rPr>
      </w:pPr>
      <w:r w:rsidRPr="00263D77">
        <w:rPr>
          <w:rtl/>
        </w:rPr>
        <w:t xml:space="preserve">تفترض هذه النظرية أن المؤسسات التي تتبنى منهجيات علمية لإدارة المخاطر يمكنها التنبؤ بالمخاطر، تقييم تأثيرها، وتطوير استراتيجيات لمعالجتها بما يحقق أهدافها التنظيمية بكفاءة أعلى. وتستند هذه النظرية إلى أطر مثل </w:t>
      </w:r>
      <w:r w:rsidRPr="00263D77">
        <w:t>ISO 31000:2018</w:t>
      </w:r>
      <w:r w:rsidRPr="00263D77">
        <w:rPr>
          <w:rtl/>
        </w:rPr>
        <w:t xml:space="preserve"> و</w:t>
      </w:r>
      <w:r w:rsidRPr="00263D77">
        <w:t>ERM Frameworks</w:t>
      </w:r>
      <w:r w:rsidRPr="00263D77">
        <w:rPr>
          <w:rtl/>
        </w:rPr>
        <w:t>، التي تؤكد على دمج إدارة المخاطر في جميع مستويات التخطيط واتخاذ القرار داخل المؤسسة (</w:t>
      </w:r>
      <w:r w:rsidRPr="00263D77">
        <w:t>Hopkin, 2018; ISO, 2018</w:t>
      </w:r>
      <w:r w:rsidRPr="00263D77">
        <w:rPr>
          <w:rtl/>
        </w:rPr>
        <w:t>).</w:t>
      </w:r>
    </w:p>
    <w:p w14:paraId="57945173" w14:textId="77777777" w:rsidR="00263D77" w:rsidRPr="00263D77" w:rsidRDefault="00263D77" w:rsidP="00263D77">
      <w:pPr>
        <w:rPr>
          <w:b/>
          <w:bCs/>
          <w:rtl/>
        </w:rPr>
      </w:pPr>
      <w:r w:rsidRPr="00263D77">
        <w:rPr>
          <w:b/>
          <w:bCs/>
          <w:rtl/>
        </w:rPr>
        <w:t>نظرية الأداء المؤسسي (</w:t>
      </w:r>
      <w:r w:rsidRPr="00263D77">
        <w:rPr>
          <w:b/>
          <w:bCs/>
        </w:rPr>
        <w:t>Organizational Performance Theory</w:t>
      </w:r>
      <w:r w:rsidRPr="00263D77">
        <w:rPr>
          <w:b/>
          <w:bCs/>
          <w:rtl/>
        </w:rPr>
        <w:t>):</w:t>
      </w:r>
    </w:p>
    <w:p w14:paraId="70058191" w14:textId="77777777" w:rsidR="00263D77" w:rsidRPr="00263D77" w:rsidRDefault="00263D77" w:rsidP="00263D77">
      <w:pPr>
        <w:rPr>
          <w:rtl/>
        </w:rPr>
      </w:pPr>
      <w:r w:rsidRPr="00263D77">
        <w:rPr>
          <w:rtl/>
        </w:rPr>
        <w:t>تؤكد هذه النظرية على أن قياس الأداء باستخدام مؤشرات كمية ونوعية هو الوسيلة الأهم لتقييم مدى تحقيق المؤسسة لأهدافها، وتحسين كفاءتها التشغيلية والاستراتيجية. وتشير الأدبيات إلى أن ربط إدارة المخاطر بمؤشرات الأداء يزيد من موثوقية القياسات ويعزز من القدرة على اتخاذ قرارات مستنيرة.</w:t>
      </w:r>
      <w:r w:rsidRPr="00263D77">
        <w:rPr>
          <w:rtl/>
        </w:rPr>
        <w:fldChar w:fldCharType="begin"/>
      </w:r>
      <w:r w:rsidRPr="00263D77">
        <w:rPr>
          <w:rtl/>
        </w:rPr>
        <w:instrText xml:space="preserve"> </w:instrText>
      </w:r>
      <w:r w:rsidRPr="00263D77">
        <w:instrText>ADDIN ZOTERO_ITEM CSL_CITATION {"citationID":"MfHfP3z2","properties":{"formattedCitation":"(Neely, 2002)","plainCitation":"(Neely, 2002)","noteIndex":0},"citationItems":[{"id":923,"uris":["http://zotero.org/users/18677334/items/BHBEK785"],"itemData":{"id</w:instrText>
      </w:r>
      <w:r w:rsidRPr="00263D77">
        <w:rPr>
          <w:rtl/>
        </w:rPr>
        <w:instrText>":923,"</w:instrText>
      </w:r>
      <w:r w:rsidRPr="00263D77">
        <w:instrText>type":"book","abstract":"Part I Performance Measurement - functional analyses: measuring performance - the accounting perspective, David Otley; measuring performance - the marketing perspective, Bruce Clark; measuring performance - the operations perspective, Andy Neely and Rob Austin; finding performance - the new discipline in management, Marshall Meyer. Part II Performance measurement - theoretical foundations: a conceptual and operational delineation of performance, Michel Lebas and Ken Euske</w:instrText>
      </w:r>
      <w:r w:rsidRPr="00263D77">
        <w:rPr>
          <w:rtl/>
        </w:rPr>
        <w:instrText xml:space="preserve">; </w:instrText>
      </w:r>
      <w:r w:rsidRPr="00263D77">
        <w:instrText>anomalies of measurement - when it works, but should not, Rob Austin and Jody Hoffer Gittel; does pay for performance really motivate employees?, Margit Osterloh and Bruno Frey; superior managers tolerance to dysfunctional behaviour - a test Clive Emmanuel. Part III Performance measurement - frameworks and methodologies: performance measurement frameworks - a review, Mike Kennerley and Andy Neely; the critical few - first among equals as parameters for measuring strategic effectiveness, Elspeth Murray and</w:instrText>
      </w:r>
      <w:r w:rsidRPr="00263D77">
        <w:rPr>
          <w:rtl/>
        </w:rPr>
        <w:instrText xml:space="preserve"> </w:instrText>
      </w:r>
      <w:r w:rsidRPr="00263D77">
        <w:instrText>Peter Richardson; auditing measurement systems, Umit Bititci, Allan Carrie and Trevor Turner; why measurement initiatives succeed and fail, Mike Bourne and Andy Neely. Part IV Performance measurement - practical applications: what really goes on in the name of benchmarking, D.T. Mayle, Matthew Hinton, Graham Francis and Jackie Holloway; measuring marketing performance - in practice, Tim Ambler and Flora Kokkinaki; loosely coupled performance measurement systems, Thomas Ahrens and Chris Chapman; redefining government performance, Ken Ogata and R. Gookey. Part V Specific measures: customer satisfaction and business performance, Kai Kristensen, Anne Martensen and Lars Grnholdt; linking financial performance to employee and customer satisfaction, Andy Neely</w:instrText>
      </w:r>
      <w:r w:rsidRPr="00263D77">
        <w:rPr>
          <w:rtl/>
        </w:rPr>
        <w:instrText xml:space="preserve"> </w:instrText>
      </w:r>
      <w:r w:rsidRPr="00263D77">
        <w:instrText>and Mohammed Al Najjar; measuring innovation performance, Riitta Katila. Part VI Performance measurement - emerging issues and trends: measuring knowledge work, Rob Austin and Pat Larkey; measuring ebusiness performance, Andy Neely, Bernard Marr, Chris Adams and Neha Kapashi.","ISBN":"978-0-521-80342-7","language":"en","note":"Google-Books-ID: 1KIEoQYx5ewC","number-of-pages":"386","publisher":"Cambridge University Press","source":"Google Books","title":"Business Performance Measurement: Theory and Practice","title-short":"Business Performance Measurement","author":[{"family":"Neely","given":"Andy"}],"issued":{"date-parts</w:instrText>
      </w:r>
      <w:r w:rsidRPr="00263D77">
        <w:rPr>
          <w:rtl/>
        </w:rPr>
        <w:instrText>":[["2002",3,7]]</w:instrText>
      </w:r>
      <w:r w:rsidRPr="00263D77">
        <w:instrText>}}}],"schema":"https://github.com/citation-style-language/schema/raw/master/csl-citation.json</w:instrText>
      </w:r>
      <w:r w:rsidRPr="00263D77">
        <w:rPr>
          <w:rtl/>
        </w:rPr>
        <w:instrText xml:space="preserve">"} </w:instrText>
      </w:r>
      <w:r w:rsidRPr="00263D77">
        <w:rPr>
          <w:rtl/>
        </w:rPr>
        <w:fldChar w:fldCharType="separate"/>
      </w:r>
      <w:r w:rsidRPr="00263D77">
        <w:t>(Neely, 2002)</w:t>
      </w:r>
      <w:r w:rsidRPr="00263D77">
        <w:rPr>
          <w:rtl/>
        </w:rPr>
        <w:fldChar w:fldCharType="end"/>
      </w:r>
    </w:p>
    <w:p w14:paraId="1E487AE2" w14:textId="77777777" w:rsidR="00263D77" w:rsidRPr="00263D77" w:rsidRDefault="00263D77" w:rsidP="00263D77">
      <w:pPr>
        <w:rPr>
          <w:b/>
          <w:bCs/>
          <w:rtl/>
        </w:rPr>
      </w:pPr>
      <w:r w:rsidRPr="00263D77">
        <w:rPr>
          <w:b/>
          <w:bCs/>
          <w:rtl/>
        </w:rPr>
        <w:t>المنطلق الوقائي في الصحة النباتية والحيوانية:</w:t>
      </w:r>
    </w:p>
    <w:p w14:paraId="5D9EF675" w14:textId="77777777" w:rsidR="00263D77" w:rsidRPr="00263D77" w:rsidRDefault="00263D77" w:rsidP="00263D77">
      <w:pPr>
        <w:rPr>
          <w:rtl/>
        </w:rPr>
      </w:pPr>
      <w:r w:rsidRPr="00263D77">
        <w:rPr>
          <w:rtl/>
        </w:rPr>
        <w:t>تشير الدراسات إلى أن الفاعلية في منع انتشار الأمراض والآفات الحيوانية والنباتية تعتمد على تكامل العمليات الرقابية مع إدارة المخاطر، بما يشمل تحديد المخاطر، تقييمها، ووضع استراتيجيات معالجة مناسبة. ومن هنا ينبع هدف هذا البحث في ربط تطبيق منهجية إدارة المخاطر بتحسين مؤشرات الأداء في هذا القطاع الحيوي (</w:t>
      </w:r>
      <w:r w:rsidRPr="00263D77">
        <w:t>FAO, 2023; OIE, 2022</w:t>
      </w:r>
      <w:r w:rsidRPr="00263D77">
        <w:rPr>
          <w:rtl/>
        </w:rPr>
        <w:t>).</w:t>
      </w:r>
    </w:p>
    <w:p w14:paraId="3661D5D9" w14:textId="77777777" w:rsidR="00263D77" w:rsidRPr="00263D77" w:rsidRDefault="00263D77" w:rsidP="00263D77">
      <w:pPr>
        <w:rPr>
          <w:b/>
          <w:bCs/>
          <w:rtl/>
        </w:rPr>
      </w:pPr>
      <w:r w:rsidRPr="00263D77">
        <w:rPr>
          <w:b/>
          <w:bCs/>
          <w:rtl/>
        </w:rPr>
        <w:t>المنطلق التطبيقي في المؤسسات السعودية:</w:t>
      </w:r>
    </w:p>
    <w:p w14:paraId="6255BC86" w14:textId="77777777" w:rsidR="00263D77" w:rsidRPr="00263D77" w:rsidRDefault="00263D77" w:rsidP="00263D77">
      <w:pPr>
        <w:rPr>
          <w:rtl/>
        </w:rPr>
      </w:pPr>
      <w:r w:rsidRPr="00263D77">
        <w:rPr>
          <w:rtl/>
        </w:rPr>
        <w:t>تعتمد الدراسة على واقع المؤسسات التنظيمية في المملكة، وبالأخص مركز وقاء، كنموذج لتطبيق هذه المنهجية. حيث يُظهر التطبيق العملي لهذه المنهجية أثرًا ملموسًا على الأداء الوقائي والتنظيمي، ما يعزز الحاجة إلى دراسة منهجية علمية تربط بين إدارة المخاطر ومؤشرات الأداء التشغيلية والتنظيمية في هذا السياق.</w:t>
      </w:r>
    </w:p>
    <w:p w14:paraId="0E2E4097" w14:textId="77777777" w:rsidR="00263D77" w:rsidRPr="00263D77" w:rsidRDefault="00263D77" w:rsidP="00263D77">
      <w:pPr>
        <w:rPr>
          <w:b/>
          <w:bCs/>
          <w:rtl/>
        </w:rPr>
      </w:pPr>
      <w:r w:rsidRPr="00263D77">
        <w:rPr>
          <w:b/>
          <w:bCs/>
          <w:rtl/>
        </w:rPr>
        <w:t>المصطلحات الأساسية للبحث (التعريف الإجرائي)</w:t>
      </w:r>
    </w:p>
    <w:p w14:paraId="1F70A784" w14:textId="77777777" w:rsidR="00263D77" w:rsidRPr="00263D77" w:rsidRDefault="00263D77" w:rsidP="00263D77">
      <w:pPr>
        <w:rPr>
          <w:rtl/>
        </w:rPr>
      </w:pPr>
      <w:r w:rsidRPr="00263D77">
        <w:rPr>
          <w:rtl/>
        </w:rPr>
        <w:t>فيما يلي التعريفات الإجرائية للمصطلحات الرئيسة، بما يتناسب مع أهداف البحث:</w:t>
      </w:r>
    </w:p>
    <w:p w14:paraId="3FD73172" w14:textId="77777777" w:rsidR="00263D77" w:rsidRPr="00263D77" w:rsidRDefault="00263D77" w:rsidP="00263D77">
      <w:pPr>
        <w:rPr>
          <w:b/>
          <w:bCs/>
          <w:rtl/>
        </w:rPr>
      </w:pPr>
      <w:r w:rsidRPr="00263D77">
        <w:rPr>
          <w:b/>
          <w:bCs/>
          <w:rtl/>
        </w:rPr>
        <w:lastRenderedPageBreak/>
        <w:t>إدارة المخاطر (</w:t>
      </w:r>
      <w:r w:rsidRPr="00263D77">
        <w:rPr>
          <w:b/>
          <w:bCs/>
        </w:rPr>
        <w:t>Risk Management</w:t>
      </w:r>
      <w:r w:rsidRPr="00263D77">
        <w:rPr>
          <w:b/>
          <w:bCs/>
          <w:rtl/>
        </w:rPr>
        <w:t>):</w:t>
      </w:r>
    </w:p>
    <w:p w14:paraId="3D90A89F" w14:textId="77777777" w:rsidR="00263D77" w:rsidRPr="00263D77" w:rsidRDefault="00263D77" w:rsidP="00263D77">
      <w:pPr>
        <w:rPr>
          <w:rtl/>
        </w:rPr>
      </w:pPr>
      <w:r w:rsidRPr="00263D77">
        <w:rPr>
          <w:rtl/>
        </w:rPr>
        <w:t>تعرف إجرائياً في هذا البحث بأنها: العملية المنهجية التي يقوم من خلالها مركز وقاء بتحديد المخاطر المحتملة في أنظمة الصحة النباتية والحيوانية، تقييم احتمال حدوثها وتأثيرها، ثم تطوير استراتيجيات معالجة فعالة لها، بهدف تقليل الخسائر وتعزيز كفاءة الأداء المؤسسي. وتشمل أبعادها:</w:t>
      </w:r>
    </w:p>
    <w:p w14:paraId="71A1BD2A" w14:textId="77777777" w:rsidR="00263D77" w:rsidRPr="00263D77" w:rsidRDefault="00263D77" w:rsidP="00263D77">
      <w:pPr>
        <w:rPr>
          <w:rtl/>
        </w:rPr>
      </w:pPr>
      <w:r w:rsidRPr="00263D77">
        <w:rPr>
          <w:rtl/>
        </w:rPr>
        <w:t>تحديد المخاطر: كشف جميع المخاطر المحتملة (بيئية، صحية، تشغيلية).</w:t>
      </w:r>
    </w:p>
    <w:p w14:paraId="64E2F98E" w14:textId="77777777" w:rsidR="00263D77" w:rsidRPr="00263D77" w:rsidRDefault="00263D77" w:rsidP="00263D77">
      <w:pPr>
        <w:rPr>
          <w:rtl/>
        </w:rPr>
      </w:pPr>
      <w:r w:rsidRPr="00263D77">
        <w:rPr>
          <w:rtl/>
        </w:rPr>
        <w:t>تقييم المخاطر: تحليل احتمالية كل خطر وتأثيره وترتيب الأولويات.</w:t>
      </w:r>
    </w:p>
    <w:p w14:paraId="728C9BD1" w14:textId="77777777" w:rsidR="00263D77" w:rsidRPr="00263D77" w:rsidRDefault="00263D77" w:rsidP="00263D77">
      <w:pPr>
        <w:rPr>
          <w:rtl/>
        </w:rPr>
      </w:pPr>
      <w:r w:rsidRPr="00263D77">
        <w:rPr>
          <w:rtl/>
        </w:rPr>
        <w:t>معالجة المخاطر: وضع استراتيجيات لتجنب، تقليل، نقل، أو قبول المخاطر حسب سياقها.</w:t>
      </w:r>
    </w:p>
    <w:p w14:paraId="17429BF6" w14:textId="77777777" w:rsidR="00263D77" w:rsidRPr="00263D77" w:rsidRDefault="00263D77" w:rsidP="00263D77">
      <w:pPr>
        <w:rPr>
          <w:b/>
          <w:bCs/>
          <w:rtl/>
        </w:rPr>
      </w:pPr>
      <w:r w:rsidRPr="00263D77">
        <w:rPr>
          <w:b/>
          <w:bCs/>
          <w:rtl/>
        </w:rPr>
        <w:t>مؤشرات الأداء (</w:t>
      </w:r>
      <w:r w:rsidRPr="00263D77">
        <w:rPr>
          <w:b/>
          <w:bCs/>
        </w:rPr>
        <w:t>Performance Indicators</w:t>
      </w:r>
      <w:r w:rsidRPr="00263D77">
        <w:rPr>
          <w:b/>
          <w:bCs/>
          <w:rtl/>
        </w:rPr>
        <w:t>):</w:t>
      </w:r>
    </w:p>
    <w:p w14:paraId="7165E9BB" w14:textId="77777777" w:rsidR="00263D77" w:rsidRPr="00263D77" w:rsidRDefault="00263D77" w:rsidP="00263D77">
      <w:pPr>
        <w:rPr>
          <w:rtl/>
        </w:rPr>
      </w:pPr>
      <w:r w:rsidRPr="00263D77">
        <w:rPr>
          <w:rtl/>
        </w:rPr>
        <w:t>تعرف إجرائياً بأنها: المقاييس الكمية والنوعية التي يستخدمها مركز وقاء لتقييم مدى تحقيق أهدافه التشغيلية والتنظيمية، وفاعلية الإجراءات الوقائية، ونجاح إدارة المخاطر في تحسين الأداء المؤسسي. وتشمل أبعادها:</w:t>
      </w:r>
    </w:p>
    <w:p w14:paraId="6DC4A211" w14:textId="77777777" w:rsidR="00263D77" w:rsidRPr="00263D77" w:rsidRDefault="00263D77" w:rsidP="00263D77">
      <w:pPr>
        <w:rPr>
          <w:rtl/>
        </w:rPr>
      </w:pPr>
      <w:r w:rsidRPr="00263D77">
        <w:rPr>
          <w:rtl/>
        </w:rPr>
        <w:t>الأداء التشغيلي: قياس كفاءة الإجراءات اليومية (مثل التفتيش، التطعيم، الحجر الصحي).</w:t>
      </w:r>
    </w:p>
    <w:p w14:paraId="2B8A5F30" w14:textId="77777777" w:rsidR="00263D77" w:rsidRPr="00263D77" w:rsidRDefault="00263D77" w:rsidP="00263D77">
      <w:pPr>
        <w:rPr>
          <w:rtl/>
        </w:rPr>
      </w:pPr>
      <w:r w:rsidRPr="00263D77">
        <w:rPr>
          <w:rtl/>
        </w:rPr>
        <w:t>الأداء المؤسسي: قياس الالتزام بالأهداف الاستراتيجية والسياسات التنظيمية.</w:t>
      </w:r>
    </w:p>
    <w:p w14:paraId="76727566" w14:textId="77777777" w:rsidR="00263D77" w:rsidRPr="00263D77" w:rsidRDefault="00263D77" w:rsidP="00263D77">
      <w:pPr>
        <w:rPr>
          <w:rtl/>
        </w:rPr>
      </w:pPr>
      <w:r w:rsidRPr="00263D77">
        <w:rPr>
          <w:rtl/>
        </w:rPr>
        <w:t>الأداء الوقائي والرقابي: قياس فعالية التدخلات لمنع انتشار الأمراض والآفات.</w:t>
      </w:r>
    </w:p>
    <w:p w14:paraId="200EB667" w14:textId="77777777" w:rsidR="00263D77" w:rsidRPr="00263D77" w:rsidRDefault="00263D77" w:rsidP="00263D77">
      <w:pPr>
        <w:rPr>
          <w:b/>
          <w:bCs/>
          <w:rtl/>
        </w:rPr>
      </w:pPr>
      <w:r w:rsidRPr="00263D77">
        <w:rPr>
          <w:b/>
          <w:bCs/>
          <w:rtl/>
        </w:rPr>
        <w:t>الصحة النباتية والحيوانية:</w:t>
      </w:r>
    </w:p>
    <w:p w14:paraId="6F785A11" w14:textId="77777777" w:rsidR="00263D77" w:rsidRPr="00263D77" w:rsidRDefault="00263D77" w:rsidP="00263D77">
      <w:pPr>
        <w:rPr>
          <w:rtl/>
        </w:rPr>
      </w:pPr>
      <w:r w:rsidRPr="00263D77">
        <w:rPr>
          <w:rtl/>
        </w:rPr>
        <w:t>تعرف إجرائياً بأنها: الأنظمة والإجراءات الوقائية والتنظيمية التي ينفذها مركز وقاء لضمان حماية النباتات والحيوانات من الأمراض والآفات، بما يساهم في استدامة الموارد الزراعية والحيوانية وتحقيق الأمن الغذائي.</w:t>
      </w:r>
    </w:p>
    <w:p w14:paraId="77243768" w14:textId="77777777" w:rsidR="00263D77" w:rsidRPr="00263D77" w:rsidRDefault="00263D77" w:rsidP="00263D77">
      <w:pPr>
        <w:rPr>
          <w:b/>
          <w:bCs/>
          <w:rtl/>
        </w:rPr>
      </w:pPr>
      <w:r w:rsidRPr="00263D77">
        <w:rPr>
          <w:b/>
          <w:bCs/>
          <w:rtl/>
        </w:rPr>
        <w:t>مركز وقاء:</w:t>
      </w:r>
    </w:p>
    <w:p w14:paraId="436E8D16" w14:textId="77777777" w:rsidR="00263D77" w:rsidRPr="00263D77" w:rsidRDefault="00263D77" w:rsidP="00263D77">
      <w:pPr>
        <w:rPr>
          <w:rtl/>
        </w:rPr>
      </w:pPr>
      <w:r w:rsidRPr="00263D77">
        <w:rPr>
          <w:rtl/>
        </w:rPr>
        <w:t>يعرف إجرائياً بأنه: الجهة التنظيمية السعودية المسؤولة عن الوقاية من الأمراض الحيوانية والنباتية، وتطبيق منهجيات إدارة المخاطر لضمان تحسين الأداء المؤسسي والرقابي في هذا القطاع الحيوي.</w:t>
      </w:r>
    </w:p>
    <w:p w14:paraId="03276C06" w14:textId="77777777" w:rsidR="00263D77" w:rsidRPr="00263D77" w:rsidRDefault="00263D77" w:rsidP="00263D77">
      <w:pPr>
        <w:rPr>
          <w:rtl/>
        </w:rPr>
      </w:pPr>
    </w:p>
    <w:p w14:paraId="1A67CC4B" w14:textId="77777777" w:rsidR="00263D77" w:rsidRPr="00263D77" w:rsidRDefault="00263D77" w:rsidP="00263D77">
      <w:pPr>
        <w:rPr>
          <w:rtl/>
        </w:rPr>
      </w:pPr>
    </w:p>
    <w:p w14:paraId="1B150FE0" w14:textId="77777777" w:rsidR="00263D77" w:rsidRPr="00263D77" w:rsidRDefault="00263D77" w:rsidP="00263D77">
      <w:pPr>
        <w:keepNext/>
        <w:keepLines/>
        <w:spacing w:before="120"/>
        <w:outlineLvl w:val="0"/>
        <w:rPr>
          <w:rFonts w:asciiTheme="majorHAnsi" w:eastAsiaTheme="majorEastAsia" w:hAnsiTheme="majorHAnsi"/>
          <w:bCs/>
          <w:color w:val="4472C4" w:themeColor="accent1"/>
          <w:sz w:val="36"/>
          <w:szCs w:val="36"/>
          <w:rtl/>
        </w:rPr>
      </w:pPr>
      <w:bookmarkStart w:id="23" w:name="_Toc223666036"/>
      <w:bookmarkStart w:id="24" w:name="_Toc234717616"/>
      <w:r w:rsidRPr="00263D77">
        <w:rPr>
          <w:rFonts w:asciiTheme="majorHAnsi" w:eastAsiaTheme="majorEastAsia" w:hAnsiTheme="majorHAnsi"/>
          <w:bCs/>
          <w:color w:val="4472C4" w:themeColor="accent1"/>
          <w:sz w:val="36"/>
          <w:szCs w:val="36"/>
          <w:rtl/>
        </w:rPr>
        <w:lastRenderedPageBreak/>
        <w:t>الإطار النظري</w:t>
      </w:r>
      <w:bookmarkEnd w:id="23"/>
      <w:bookmarkEnd w:id="24"/>
    </w:p>
    <w:p w14:paraId="120EB874" w14:textId="77777777" w:rsidR="00263D77" w:rsidRPr="00263D77" w:rsidRDefault="00263D77" w:rsidP="00263D77">
      <w:r w:rsidRPr="00263D77">
        <w:rPr>
          <w:rtl/>
        </w:rPr>
        <w:t>أصبح تطبيق منهجية إدارة المخاطر في المؤسسات العامة والمتخصصة شرطًا أساسيًا لرفع كفاءة الأداء، خصوصًا في القطاعات التي تتعامل مع تهديدات متغيرة وسريعة الأثر مثل الصحة النباتية والحيوانية. فهذه القطاعات لا تواجه فقط مخاطر تشغيلية أو تنظيمية، بل تتعامل كذلك مع مخاطر بيولوجية، وحدودية، واقتصادية، ومخاطر تتعلق بسلامة الغذاء وسلاسل الإمداد والأمن الحيوي. ومن ثمّ، لم تعد إدارة المخاطر وظيفة مساندة، بل غدت مدخلًا حاكمًا للتخطيط والقرار والرقابة وقياس النتائج. وتؤكد الأدبيات العربية الحديثة أن المؤسسات التي تتبنى إدارة المخاطر ضمن إطار استراتيجي ومنهجي تكون أكثر قدرة على استمرارية الأعمال وتحسين الأداء التنظيمي ورفع درجة الجاهزية المؤسسية.</w:t>
      </w:r>
      <w:sdt>
        <w:sdtPr>
          <w:rPr>
            <w:rtl/>
          </w:rPr>
          <w:id w:val="-1492485451"/>
          <w:citation/>
        </w:sdtPr>
        <w:sdtEndPr/>
        <w:sdtContent>
          <w:r w:rsidRPr="00263D77">
            <w:rPr>
              <w:rtl/>
            </w:rPr>
            <w:fldChar w:fldCharType="begin"/>
          </w:r>
          <w:r w:rsidRPr="00263D77">
            <w:rPr>
              <w:rtl/>
              <w:lang w:bidi="ar-EG"/>
            </w:rPr>
            <w:instrText xml:space="preserve"> </w:instrText>
          </w:r>
          <w:r w:rsidRPr="00263D77">
            <w:instrText>CITATION</w:instrText>
          </w:r>
          <w:r w:rsidRPr="00263D77">
            <w:rPr>
              <w:rtl/>
              <w:lang w:bidi="ar-EG"/>
            </w:rPr>
            <w:instrText xml:space="preserve"> سعد23 \</w:instrText>
          </w:r>
          <w:r w:rsidRPr="00263D77">
            <w:instrText>l 3073</w:instrText>
          </w:r>
          <w:r w:rsidRPr="00263D77">
            <w:rPr>
              <w:rtl/>
              <w:lang w:bidi="ar-EG"/>
            </w:rPr>
            <w:instrText xml:space="preserve"> </w:instrText>
          </w:r>
          <w:r w:rsidRPr="00263D77">
            <w:rPr>
              <w:rtl/>
            </w:rPr>
            <w:fldChar w:fldCharType="separate"/>
          </w:r>
          <w:r w:rsidRPr="00263D77">
            <w:rPr>
              <w:noProof/>
              <w:rtl/>
              <w:lang w:bidi="ar-EG"/>
            </w:rPr>
            <w:t xml:space="preserve"> (سعد، 2023)</w:t>
          </w:r>
          <w:r w:rsidRPr="00263D77">
            <w:rPr>
              <w:rtl/>
            </w:rPr>
            <w:fldChar w:fldCharType="end"/>
          </w:r>
        </w:sdtContent>
      </w:sdt>
      <w:r w:rsidRPr="00263D77">
        <w:rPr>
          <w:rtl/>
        </w:rPr>
        <w:t xml:space="preserve"> </w:t>
      </w:r>
    </w:p>
    <w:p w14:paraId="59C6F6D5" w14:textId="77777777" w:rsidR="00263D77" w:rsidRPr="00263D77" w:rsidRDefault="00263D77" w:rsidP="00263D77">
      <w:r w:rsidRPr="00263D77">
        <w:rPr>
          <w:rtl/>
        </w:rPr>
        <w:t>كما أن مؤشرات الأداء في أنظمة الصحة النباتية والحيوانية لم تعد تقتصر على قياس المخرجات النهائية، بل امتدت لتشمل سرعة الاكتشاف، ودقة الإنذار المبكر، وكفاءة الاستجابة، والقدرة على الاحتواء، ومستوى الامتثال، وجودة التنسيق بين القطاعات، ورضا المستفيدين، وكفاءة استخدام الموارد. ومن هذا المنطلق، فإن دراسة أثر تطبيق منهجية إدارة المخاطر في مركز وقاء تمثل مدخلًا علميًا مهمًا لفهم كيف تتحول مراحل تحديد المخاطر وتقييمها وتطوير استراتيجيات التعامل معها إلى نتائج تشغيلية وتنظيمية قابلة للقياس.</w:t>
      </w:r>
    </w:p>
    <w:p w14:paraId="40F8282A" w14:textId="77777777" w:rsidR="00263D77" w:rsidRPr="00263D77" w:rsidRDefault="00263D77" w:rsidP="00263D77">
      <w:pPr>
        <w:keepNext/>
        <w:keepLines/>
        <w:spacing w:before="120"/>
        <w:outlineLvl w:val="1"/>
        <w:rPr>
          <w:rFonts w:asciiTheme="majorHAnsi" w:eastAsiaTheme="majorEastAsia" w:hAnsiTheme="majorHAnsi"/>
          <w:bCs/>
          <w:color w:val="7030A0"/>
          <w:kern w:val="0"/>
          <w:sz w:val="26"/>
          <w:szCs w:val="32"/>
          <w14:ligatures w14:val="none"/>
        </w:rPr>
      </w:pPr>
      <w:bookmarkStart w:id="25" w:name="_Toc234717617"/>
      <w:r w:rsidRPr="00263D77">
        <w:rPr>
          <w:rFonts w:asciiTheme="majorHAnsi" w:eastAsiaTheme="majorEastAsia" w:hAnsiTheme="majorHAnsi"/>
          <w:bCs/>
          <w:color w:val="7030A0"/>
          <w:kern w:val="0"/>
          <w:sz w:val="26"/>
          <w:szCs w:val="32"/>
          <w:rtl/>
          <w14:ligatures w14:val="none"/>
        </w:rPr>
        <w:t>المبحث الأول: المتغير المستقل: منهجية إدارة المخاطر</w:t>
      </w:r>
      <w:bookmarkEnd w:id="25"/>
    </w:p>
    <w:p w14:paraId="0B29A47C" w14:textId="77777777" w:rsidR="00263D77" w:rsidRPr="00263D77" w:rsidRDefault="00263D77" w:rsidP="00263D77">
      <w:pPr>
        <w:spacing w:before="100" w:beforeAutospacing="1"/>
        <w:ind w:left="-284"/>
        <w:outlineLvl w:val="2"/>
        <w:rPr>
          <w:rFonts w:ascii="Times New Roman" w:eastAsia="Times New Roman" w:hAnsi="Times New Roman"/>
          <w:b/>
          <w:bCs/>
          <w:kern w:val="0"/>
          <w:sz w:val="27"/>
          <w14:ligatures w14:val="none"/>
        </w:rPr>
      </w:pPr>
      <w:bookmarkStart w:id="26" w:name="_Toc234717618"/>
      <w:r w:rsidRPr="00263D77">
        <w:rPr>
          <w:rFonts w:ascii="Times New Roman" w:eastAsia="Times New Roman" w:hAnsi="Times New Roman"/>
          <w:b/>
          <w:bCs/>
          <w:kern w:val="0"/>
          <w:sz w:val="27"/>
          <w:rtl/>
          <w14:ligatures w14:val="none"/>
        </w:rPr>
        <w:t>المطلب الأول: الإطار المفاهيمي والمنهجي لإدارة المخاطر</w:t>
      </w:r>
      <w:bookmarkEnd w:id="26"/>
    </w:p>
    <w:p w14:paraId="5797D8A0" w14:textId="77777777" w:rsidR="00263D77" w:rsidRPr="00263D77" w:rsidRDefault="00263D77" w:rsidP="00263D77">
      <w:pPr>
        <w:numPr>
          <w:ilvl w:val="0"/>
          <w:numId w:val="20"/>
        </w:numPr>
        <w:rPr>
          <w:b/>
          <w:bCs/>
        </w:rPr>
      </w:pPr>
      <w:r w:rsidRPr="00263D77">
        <w:rPr>
          <w:b/>
          <w:bCs/>
          <w:rtl/>
        </w:rPr>
        <w:t>الفرع الأول: مفهوم إدارة المخاطر وأهميتها المؤسسية</w:t>
      </w:r>
    </w:p>
    <w:p w14:paraId="775E5913" w14:textId="77777777" w:rsidR="00263D77" w:rsidRPr="00263D77" w:rsidRDefault="00263D77" w:rsidP="00263D77">
      <w:r w:rsidRPr="00263D77">
        <w:rPr>
          <w:rtl/>
        </w:rPr>
        <w:t xml:space="preserve">تُعرف إدارة المخاطر بأنها عملية مؤسسية منظمة تهدف إلى التعرف على المخاطر المحتملة التي قد تؤثر في تحقيق أهداف المنظمة، ثم تحليلها وتقييمها وترتيب أولوياتها، ووضع الاستجابات المناسبة لها، ومتابعة آثارها بشكل مستمر. </w:t>
      </w:r>
      <w:sdt>
        <w:sdtPr>
          <w:rPr>
            <w:rtl/>
          </w:rPr>
          <w:id w:val="1083568147"/>
          <w:citation/>
        </w:sdtPr>
        <w:sdtEndPr/>
        <w:sdtContent>
          <w:r w:rsidRPr="00263D77">
            <w:rPr>
              <w:rtl/>
            </w:rPr>
            <w:fldChar w:fldCharType="begin"/>
          </w:r>
          <w:r w:rsidRPr="00263D77">
            <w:instrText xml:space="preserve">CITATION </w:instrText>
          </w:r>
          <w:r w:rsidRPr="00263D77">
            <w:rPr>
              <w:rtl/>
            </w:rPr>
            <w:instrText>الو18</w:instrText>
          </w:r>
          <w:r w:rsidRPr="00263D77">
            <w:instrText xml:space="preserve"> \l 1025 </w:instrText>
          </w:r>
          <w:r w:rsidRPr="00263D77">
            <w:rPr>
              <w:rtl/>
            </w:rPr>
            <w:fldChar w:fldCharType="separate"/>
          </w:r>
          <w:r w:rsidRPr="00263D77">
            <w:rPr>
              <w:noProof/>
              <w:rtl/>
            </w:rPr>
            <w:t>(الوردي، 2018)</w:t>
          </w:r>
          <w:r w:rsidRPr="00263D77">
            <w:rPr>
              <w:rtl/>
            </w:rPr>
            <w:fldChar w:fldCharType="end"/>
          </w:r>
        </w:sdtContent>
      </w:sdt>
      <w:r w:rsidRPr="00263D77">
        <w:rPr>
          <w:rtl/>
        </w:rPr>
        <w:t xml:space="preserve"> وتنبع أهميتها من كونها تحول المؤسسة من نمط الاستجابة اللاحقة للأحداث إلى نمط الاستباق والوقاية والتحكم الواعي في التهديدات والفرص معًا. وفي الأدبيات العربية المعاصرة، تظهر إدارة المخاطر باعتبارها مكوّنًا من مكونات الحوكمة الرشيدة، وعنصرًا داعمًا لاستدامة الأداء، ومرتكزًا لاتخاذ القرار المبني على البيانات وليس على ردود الفعل الارتجالية. </w:t>
      </w:r>
      <w:sdt>
        <w:sdtPr>
          <w:rPr>
            <w:rtl/>
          </w:rPr>
          <w:id w:val="357785078"/>
          <w:citation/>
        </w:sdtPr>
        <w:sdtEndPr/>
        <w:sdtContent>
          <w:r w:rsidRPr="00263D77">
            <w:rPr>
              <w:rtl/>
            </w:rPr>
            <w:fldChar w:fldCharType="begin"/>
          </w:r>
          <w:r w:rsidRPr="00263D77">
            <w:rPr>
              <w:lang w:bidi="ar-EG"/>
            </w:rPr>
            <w:instrText>CITATION</w:instrText>
          </w:r>
          <w:r w:rsidRPr="00263D77">
            <w:rPr>
              <w:rtl/>
              <w:lang w:bidi="ar-EG"/>
            </w:rPr>
            <w:instrText xml:space="preserve"> الم23 \</w:instrText>
          </w:r>
          <w:r w:rsidRPr="00263D77">
            <w:rPr>
              <w:lang w:bidi="ar-EG"/>
            </w:rPr>
            <w:instrText>l 3073</w:instrText>
          </w:r>
          <w:r w:rsidRPr="00263D77">
            <w:rPr>
              <w:rtl/>
              <w:lang w:bidi="ar-EG"/>
            </w:rPr>
            <w:instrText xml:space="preserve"> </w:instrText>
          </w:r>
          <w:r w:rsidRPr="00263D77">
            <w:rPr>
              <w:rtl/>
            </w:rPr>
            <w:fldChar w:fldCharType="separate"/>
          </w:r>
          <w:r w:rsidRPr="00263D77">
            <w:rPr>
              <w:noProof/>
              <w:rtl/>
            </w:rPr>
            <w:t>(المفيز، 2023)</w:t>
          </w:r>
          <w:r w:rsidRPr="00263D77">
            <w:rPr>
              <w:rtl/>
            </w:rPr>
            <w:fldChar w:fldCharType="end"/>
          </w:r>
        </w:sdtContent>
      </w:sdt>
    </w:p>
    <w:p w14:paraId="798C1DC4" w14:textId="77777777" w:rsidR="00263D77" w:rsidRPr="00263D77" w:rsidRDefault="00263D77" w:rsidP="00263D77">
      <w:pPr>
        <w:rPr>
          <w:rtl/>
        </w:rPr>
      </w:pPr>
      <w:r w:rsidRPr="00263D77">
        <w:rPr>
          <w:rtl/>
        </w:rPr>
        <w:t xml:space="preserve">وبالنسبة للمؤسسات ذات الطابع الوقائي والتنظيمي، مثل مركز وقاء، تأخذ إدارة المخاطر بُعدًا أعمق؛ لأنها لا تُعنى فقط بحماية المنظمة من الخسارة، بل بحماية المجتمع والاقتصاد والموارد </w:t>
      </w:r>
      <w:r w:rsidRPr="00263D77">
        <w:rPr>
          <w:rtl/>
        </w:rPr>
        <w:lastRenderedPageBreak/>
        <w:t>الطبيعية من آثار انتشار الآفات النباتية والأمراض الحيوانية. وعليه، فإن إدارة المخاطر في هذا السياق تُسهم في حماية الأمن الغذائي، وتحسين كفاءة التدخلات الوقائية والعلاجية، ورفع جاهزية فرق الرصد والاستجابة، وتقليل الفجوة الزمنية بين اكتشاف الخطر والتعامل معه. وهذا ما يجعلها متغيرًا مستقلاً مناسبًا لتفسير الفروق في مستوى مؤشرات الأداء داخل المركز</w:t>
      </w:r>
      <w:sdt>
        <w:sdtPr>
          <w:rPr>
            <w:rtl/>
          </w:rPr>
          <w:id w:val="-629858338"/>
          <w:citation/>
        </w:sdtPr>
        <w:sdtEndPr/>
        <w:sdtContent>
          <w:r w:rsidRPr="00263D77">
            <w:rPr>
              <w:rtl/>
            </w:rPr>
            <w:fldChar w:fldCharType="begin"/>
          </w:r>
          <w:r w:rsidRPr="00263D77">
            <w:rPr>
              <w:rtl/>
              <w:lang w:bidi="ar-EG"/>
            </w:rPr>
            <w:instrText xml:space="preserve"> </w:instrText>
          </w:r>
          <w:r w:rsidRPr="00263D77">
            <w:instrText>CITATION</w:instrText>
          </w:r>
          <w:r w:rsidRPr="00263D77">
            <w:rPr>
              <w:rtl/>
              <w:lang w:bidi="ar-EG"/>
            </w:rPr>
            <w:instrText xml:space="preserve"> الع25 \</w:instrText>
          </w:r>
          <w:r w:rsidRPr="00263D77">
            <w:instrText>l 3073</w:instrText>
          </w:r>
          <w:r w:rsidRPr="00263D77">
            <w:rPr>
              <w:rtl/>
              <w:lang w:bidi="ar-EG"/>
            </w:rPr>
            <w:instrText xml:space="preserve"> </w:instrText>
          </w:r>
          <w:r w:rsidRPr="00263D77">
            <w:rPr>
              <w:rtl/>
            </w:rPr>
            <w:fldChar w:fldCharType="separate"/>
          </w:r>
          <w:r w:rsidRPr="00263D77">
            <w:rPr>
              <w:noProof/>
              <w:rtl/>
              <w:lang w:bidi="ar-EG"/>
            </w:rPr>
            <w:t xml:space="preserve"> (العقيلي، 2025)</w:t>
          </w:r>
          <w:r w:rsidRPr="00263D77">
            <w:rPr>
              <w:rtl/>
            </w:rPr>
            <w:fldChar w:fldCharType="end"/>
          </w:r>
        </w:sdtContent>
      </w:sdt>
    </w:p>
    <w:p w14:paraId="0F5EEFC0" w14:textId="77777777" w:rsidR="00263D77" w:rsidRPr="00263D77" w:rsidRDefault="00263D77" w:rsidP="00263D77">
      <w:pPr>
        <w:numPr>
          <w:ilvl w:val="0"/>
          <w:numId w:val="20"/>
        </w:numPr>
        <w:rPr>
          <w:b/>
          <w:bCs/>
        </w:rPr>
      </w:pPr>
      <w:r w:rsidRPr="00263D77">
        <w:rPr>
          <w:b/>
          <w:bCs/>
          <w:rtl/>
        </w:rPr>
        <w:t>الفرع الثاني: مراحل منهجية إدارة المخاطر</w:t>
      </w:r>
    </w:p>
    <w:p w14:paraId="482062DB" w14:textId="77777777" w:rsidR="00263D77" w:rsidRPr="00263D77" w:rsidRDefault="00263D77" w:rsidP="00263D77">
      <w:r w:rsidRPr="00263D77">
        <w:rPr>
          <w:rtl/>
        </w:rPr>
        <w:t>تعتمد هذه الدراسة على ثلاث مراحل رئيسة لمنهجية إدارة المخاطر: تحديد المخاطر، تقييم المخاطر، وتطوير استراتيجيات التعامل معها</w:t>
      </w:r>
      <w:r w:rsidRPr="00263D77">
        <w:rPr>
          <w:b/>
          <w:bCs/>
          <w:rtl/>
        </w:rPr>
        <w:t>.</w:t>
      </w:r>
      <w:r w:rsidRPr="00263D77">
        <w:rPr>
          <w:rtl/>
        </w:rPr>
        <w:t xml:space="preserve"> وتُعد مرحلة تحديد المخاطر حجر الأساس؛ إذ يتم فيها حصر مصادر الخطر وأنواعه ومساراته واحتمالات ظهوره ومجالات تأثيره. وكلما كانت عملية التحديد دقيقة وشاملة ومبنية على قواعد معلومات موثوقة، أصبحت المراحل اللاحقة أكثر كفاءة. </w:t>
      </w:r>
      <w:sdt>
        <w:sdtPr>
          <w:rPr>
            <w:rtl/>
          </w:rPr>
          <w:id w:val="1218326772"/>
          <w:citation/>
        </w:sdtPr>
        <w:sdtEndPr/>
        <w:sdtContent>
          <w:r w:rsidRPr="00263D77">
            <w:rPr>
              <w:rtl/>
            </w:rPr>
            <w:fldChar w:fldCharType="begin"/>
          </w:r>
          <w:r w:rsidRPr="00263D77">
            <w:rPr>
              <w:rtl/>
              <w:lang w:bidi="ar-EG"/>
            </w:rPr>
            <w:instrText xml:space="preserve"> </w:instrText>
          </w:r>
          <w:r w:rsidRPr="00263D77">
            <w:instrText>CITATION</w:instrText>
          </w:r>
          <w:r w:rsidRPr="00263D77">
            <w:rPr>
              <w:rtl/>
              <w:lang w:bidi="ar-EG"/>
            </w:rPr>
            <w:instrText xml:space="preserve"> الق20 \</w:instrText>
          </w:r>
          <w:r w:rsidRPr="00263D77">
            <w:instrText>l 3073</w:instrText>
          </w:r>
          <w:r w:rsidRPr="00263D77">
            <w:rPr>
              <w:rtl/>
              <w:lang w:bidi="ar-EG"/>
            </w:rPr>
            <w:instrText xml:space="preserve"> </w:instrText>
          </w:r>
          <w:r w:rsidRPr="00263D77">
            <w:rPr>
              <w:rtl/>
            </w:rPr>
            <w:fldChar w:fldCharType="separate"/>
          </w:r>
          <w:r w:rsidRPr="00263D77">
            <w:rPr>
              <w:noProof/>
              <w:rtl/>
              <w:lang w:bidi="ar-EG"/>
            </w:rPr>
            <w:t>(القحطاني، 2020)</w:t>
          </w:r>
          <w:r w:rsidRPr="00263D77">
            <w:rPr>
              <w:rtl/>
            </w:rPr>
            <w:fldChar w:fldCharType="end"/>
          </w:r>
        </w:sdtContent>
      </w:sdt>
      <w:r w:rsidRPr="00263D77">
        <w:rPr>
          <w:rtl/>
        </w:rPr>
        <w:t xml:space="preserve"> وتبرز أهمية هذه المرحلة في بيئة الصحة النباتية والحيوانية بسبب تعدد مصادر الخطر؛ فمنها ما يرتبط بالاستيراد، ومنها ما يرتبط بالنواقل أو التغيرات البيئية أو ضعف الامتثال أو الثغرات التشغيلية. </w:t>
      </w:r>
    </w:p>
    <w:p w14:paraId="1D7D37B0" w14:textId="77777777" w:rsidR="00263D77" w:rsidRPr="00263D77" w:rsidRDefault="00263D77" w:rsidP="00263D77">
      <w:pPr>
        <w:spacing w:before="100" w:beforeAutospacing="1" w:after="100" w:afterAutospacing="1"/>
        <w:rPr>
          <w:rFonts w:eastAsia="Times New Roman"/>
          <w:kern w:val="0"/>
          <w:rtl/>
          <w14:ligatures w14:val="none"/>
        </w:rPr>
      </w:pPr>
      <w:r w:rsidRPr="00263D77">
        <w:rPr>
          <w:rtl/>
        </w:rPr>
        <w:t>أما مرحلة تقييم المخاطر فتتعلق بتقدير احتمالية وقوع الخطر وحجم أثره وترتيب أولوياته، بما يسمح بتخصيص الموارد على أساس عقلاني.</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{"citationID":"Wm380wiM","properties":{"unsorted":false,"formattedCitation":"(Montibeller \\uc0\\u1608{}\\uc0\\u1570{}\\uc0\\u1582{}\\uc0\\u1585{}\\uc0\\u1608{}\\uc0\\u1606{}, 2020)","plainCitation":"(Montibeller</w:instrText>
      </w:r>
      <w:r w:rsidRPr="00263D77">
        <w:rPr>
          <w:rFonts w:eastAsia="Times New Roman"/>
          <w:kern w:val="0"/>
          <w:rtl/>
          <w14:ligatures w14:val="none"/>
        </w:rPr>
        <w:instrText xml:space="preserve"> وآخرون, 2020)","</w:instrText>
      </w:r>
      <w:r w:rsidRPr="00263D77">
        <w:rPr>
          <w:rFonts w:eastAsia="Times New Roman"/>
          <w:kern w:val="0"/>
          <w14:ligatures w14:val="none"/>
        </w:rPr>
        <w:instrText>noteIndex":0},"citationItems":[{"id":883,"uris":["http://zotero.org/users/18677334/items/B7BJDGMC"],"itemData":{"id":883,"type":"article-journal","abstract":"The increasing need to manage biosecurity threats, such as diseases, zoonoses, and biological weapons, poses serious challenges for risk analysts and policymakers. These threats are large in number, can occur concurrently, and may cause multiple tangible and intangible impacts. They often have an emerging nature, exacerbated by incomplete evidence about their probability of occurrence and potential impacts. There is also a limited amount of time and resources available to evaluate the risks posed by each threat, and it is difficult to learn from past projects. On the other hand, there is also a</w:instrText>
      </w:r>
      <w:r w:rsidRPr="00263D77">
        <w:rPr>
          <w:rFonts w:eastAsia="Times New Roman"/>
          <w:kern w:val="0"/>
          <w:rtl/>
          <w14:ligatures w14:val="none"/>
        </w:rPr>
        <w:instrText xml:space="preserve"> </w:instrText>
      </w:r>
      <w:r w:rsidRPr="00263D77">
        <w:rPr>
          <w:rFonts w:eastAsia="Times New Roman"/>
          <w:kern w:val="0"/>
          <w14:ligatures w14:val="none"/>
        </w:rPr>
        <w:instrText>need to provide policymakers with transparent and consistent threat prioritizations, together with evidence-based recommendations. In response to these challenges, we propose a risk analysis framework for the prioritization and management of biosecurity</w:instrText>
      </w:r>
      <w:r w:rsidRPr="00263D77">
        <w:rPr>
          <w:rFonts w:eastAsia="Times New Roman"/>
          <w:kern w:val="0"/>
          <w:rtl/>
          <w14:ligatures w14:val="none"/>
        </w:rPr>
        <w:instrText xml:space="preserve"> </w:instrText>
      </w:r>
      <w:r w:rsidRPr="00263D77">
        <w:rPr>
          <w:rFonts w:eastAsia="Times New Roman"/>
          <w:kern w:val="0"/>
          <w14:ligatures w14:val="none"/>
        </w:rPr>
        <w:instrText>threats. The framework encompasses key design choices that analysts may use in risk analysis projects along three dimensions: risk support, risk group, and risk organization. The framework has prescriptive value, as a design tool to inform risk analysis projects in this context, along with descriptive value, as a learning tool to understand past projects. We applied the framework prescriptively in two biosecurity threat prioritization projects for the UK Department for Environment, Food and Rural Affairs</w:instrText>
      </w:r>
      <w:r w:rsidRPr="00263D77">
        <w:rPr>
          <w:rFonts w:eastAsia="Times New Roman"/>
          <w:kern w:val="0"/>
          <w:rtl/>
          <w14:ligatures w14:val="none"/>
        </w:rPr>
        <w:instrText xml:space="preserve">, </w:instrText>
      </w:r>
      <w:r w:rsidRPr="00263D77">
        <w:rPr>
          <w:rFonts w:eastAsia="Times New Roman"/>
          <w:kern w:val="0"/>
          <w14:ligatures w14:val="none"/>
        </w:rPr>
        <w:instrText>and illustrate its descriptive value by reporting our experience of these projects as in-depth case studies. Overall, the proposed framework provides important insights into the impact of different design choices on the success of risk analysis projects</w:instrText>
      </w:r>
      <w:r w:rsidRPr="00263D77">
        <w:rPr>
          <w:rFonts w:eastAsia="Times New Roman"/>
          <w:kern w:val="0"/>
          <w:rtl/>
          <w14:ligatures w14:val="none"/>
        </w:rPr>
        <w:instrText xml:space="preserve"> </w:instrText>
      </w:r>
      <w:r w:rsidRPr="00263D77">
        <w:rPr>
          <w:rFonts w:eastAsia="Times New Roman"/>
          <w:kern w:val="0"/>
          <w14:ligatures w14:val="none"/>
        </w:rPr>
        <w:instrText>for biosecurity threat prioritizations.","container-title":"Risk Analysis","DOI":"10.1111/risa.13542","ISSN":"1539-6924","issue":"11","language":"en","license":"© 2020 The Authors. Risk Analysis published by Wiley Periodicals, Inc. on behalf of Society for Risk Analysis","note":"_eprint: https://onlinelibrary.wiley.com/doi/pdf/10.1111/risa.13542","page":"2462-2477","source":"Wiley Online Library","title":"A Risk Analysis Framework for Prioritizing and Managing Biosecurity Threats","volume":"40","author</w:instrText>
      </w:r>
      <w:r w:rsidRPr="00263D77">
        <w:rPr>
          <w:rFonts w:eastAsia="Times New Roman"/>
          <w:kern w:val="0"/>
          <w:rtl/>
          <w14:ligatures w14:val="none"/>
        </w:rPr>
        <w:instrText>":[</w:instrText>
      </w:r>
      <w:r w:rsidRPr="00263D77">
        <w:rPr>
          <w:rFonts w:eastAsia="Times New Roman"/>
          <w:kern w:val="0"/>
          <w14:ligatures w14:val="none"/>
        </w:rPr>
        <w:instrText>{"family":"Montibeller","given":"Gilberto"},{"family":"Franco","given":"L. Alberto"},{"family":"Carreras","given":"Ashley"}],"issued":{"date-parts":[["2020"]]}}}],"schema":"https://github.com/citation-style-language/schema/raw/master/csl-citation.json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kern w:val="0"/>
          <w:rtl/>
        </w:rPr>
        <w:t>(</w:t>
      </w:r>
      <w:r w:rsidRPr="00263D77">
        <w:rPr>
          <w:kern w:val="0"/>
        </w:rPr>
        <w:t>Montibeller et al., 2020</w:t>
      </w:r>
      <w:r w:rsidRPr="00263D77">
        <w:rPr>
          <w:kern w:val="0"/>
          <w:rtl/>
        </w:rPr>
        <w:t>)</w:t>
      </w:r>
      <w:r w:rsidRPr="00263D77">
        <w:rPr>
          <w:rFonts w:eastAsia="Times New Roman"/>
          <w:kern w:val="0"/>
          <w:rtl/>
          <w14:ligatures w14:val="none"/>
        </w:rPr>
        <w:fldChar w:fldCharType="end"/>
      </w:r>
      <w:r w:rsidRPr="00263D77">
        <w:rPr>
          <w:rFonts w:eastAsia="Times New Roman"/>
          <w:kern w:val="0"/>
          <w:rtl/>
          <w14:ligatures w14:val="none"/>
        </w:rPr>
        <w:t xml:space="preserve"> </w:t>
      </w:r>
      <w:r w:rsidRPr="00263D77">
        <w:rPr>
          <w:rtl/>
        </w:rPr>
        <w:t xml:space="preserve"> ولا يقتصر التقييم هنا على الوصف العام، بل يشمل التقدير النسبي للمخاطر وفق مؤشرات الاحتمال والتأثير والجاهزية والاستجابة.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{"citationID":"vF8ZoTcI","properties":{"unsorted":false,"formattedCitation":"(Murugan &amp; Kumarasinghe, 2018)","plainCitation":"(Murugan &amp; Kumarasinghe, 2018)","noteIndex":0},"citationItems":[{"id":908,"uris":["http://zotero</w:instrText>
      </w:r>
      <w:r w:rsidRPr="00263D77">
        <w:rPr>
          <w:rFonts w:eastAsia="Times New Roman"/>
          <w:kern w:val="0"/>
          <w:rtl/>
          <w14:ligatures w14:val="none"/>
        </w:rPr>
        <w:instrText>.</w:instrText>
      </w:r>
      <w:r w:rsidRPr="00263D77">
        <w:rPr>
          <w:rFonts w:eastAsia="Times New Roman"/>
          <w:kern w:val="0"/>
          <w14:ligatures w14:val="none"/>
        </w:rPr>
        <w:instrText>org/users/18677334/items/JBEZVNU4"],"itemData":{"id":908,"type":"article-journal","abstract":"The establishment of an operational risk assessment framework (ORAF) for effective management of risks is vital to any organization. An ORAF at the Ministry for</w:instrText>
      </w:r>
      <w:r w:rsidRPr="00263D77">
        <w:rPr>
          <w:rFonts w:eastAsia="Times New Roman"/>
          <w:kern w:val="0"/>
          <w:rtl/>
          <w14:ligatures w14:val="none"/>
        </w:rPr>
        <w:instrText xml:space="preserve"> </w:instrText>
      </w:r>
      <w:r w:rsidRPr="00263D77">
        <w:rPr>
          <w:rFonts w:eastAsia="Times New Roman"/>
          <w:kern w:val="0"/>
          <w14:ligatures w14:val="none"/>
        </w:rPr>
        <w:instrText>Primary Industries (MPI) Plant Health and Environment Laboratory (PHEL), Auckland, New Zealand has identified the key risks in the laboratory operations and methods for mitigating and managing these risks. Ultimately, clear accountabilities have been set</w:instrText>
      </w:r>
      <w:r w:rsidRPr="00263D77">
        <w:rPr>
          <w:rFonts w:eastAsia="Times New Roman"/>
          <w:kern w:val="0"/>
          <w:rtl/>
          <w14:ligatures w14:val="none"/>
        </w:rPr>
        <w:instrText xml:space="preserve"> </w:instrText>
      </w:r>
      <w:r w:rsidRPr="00263D77">
        <w:rPr>
          <w:rFonts w:eastAsia="Times New Roman"/>
          <w:kern w:val="0"/>
          <w14:ligatures w14:val="none"/>
        </w:rPr>
        <w:instrText>for risk management so that PHEL can maximize its ability to meet its strategic objectives and the wider goals of MPI. In addition, this framework provides an opportunity to affirm the effectiveness of the existing business process and continuously builds</w:instrText>
      </w:r>
      <w:r w:rsidRPr="00263D77">
        <w:rPr>
          <w:rFonts w:eastAsia="Times New Roman"/>
          <w:kern w:val="0"/>
          <w:rtl/>
          <w14:ligatures w14:val="none"/>
        </w:rPr>
        <w:instrText xml:space="preserve"> </w:instrText>
      </w:r>
      <w:r w:rsidRPr="00263D77">
        <w:rPr>
          <w:rFonts w:eastAsia="Times New Roman"/>
          <w:kern w:val="0"/>
          <w14:ligatures w14:val="none"/>
        </w:rPr>
        <w:instrText>upon it to address gaps and also centralizes risk management information for staff. This study presents the steps that PHEL has undertaken to develop, implement and enhance its ORAF. The potential risks faced by plant diagnostic laboratories, planning of</w:instrText>
      </w:r>
      <w:r w:rsidRPr="00263D77">
        <w:rPr>
          <w:rFonts w:eastAsia="Times New Roman"/>
          <w:kern w:val="0"/>
          <w:rtl/>
          <w14:ligatures w14:val="none"/>
        </w:rPr>
        <w:instrText xml:space="preserve"> </w:instrText>
      </w:r>
      <w:r w:rsidRPr="00263D77">
        <w:rPr>
          <w:rFonts w:eastAsia="Times New Roman"/>
          <w:kern w:val="0"/>
          <w14:ligatures w14:val="none"/>
        </w:rPr>
        <w:instrText>staff resources and development of the tools required to undertake risk assessment activities are included. This study also explains how the laboratory implements treatment plans, mitigates risk events and monitors and maintains the framework. Finally, this study explains some of the challenges faced by PHEL during the establishment of the ORAF.","container-title":"EPPO Bulletin","DOI":"10.1111/epp.12477","ISSN":"1365-2338","issue":"2","language":"en","note":"_eprint: https://onlinelibrary.wiley.com/doi</w:instrText>
      </w:r>
      <w:r w:rsidRPr="00263D77">
        <w:rPr>
          <w:rFonts w:eastAsia="Times New Roman"/>
          <w:kern w:val="0"/>
          <w:rtl/>
          <w14:ligatures w14:val="none"/>
        </w:rPr>
        <w:instrText>/</w:instrText>
      </w:r>
      <w:r w:rsidRPr="00263D77">
        <w:rPr>
          <w:rFonts w:eastAsia="Times New Roman"/>
          <w:kern w:val="0"/>
          <w14:ligatures w14:val="none"/>
        </w:rPr>
        <w:instrText>pdf/10.1111/epp.12477","page":"225-233","source":"Wiley Online Library","title":"An operational risk assessment framework for a plant health diagnostic laboratory","volume":"48","author":[{"family":"Murugan","given":"S."},{"family":"Kumarasinghe","given</w:instrText>
      </w:r>
      <w:r w:rsidRPr="00263D77">
        <w:rPr>
          <w:rFonts w:eastAsia="Times New Roman"/>
          <w:kern w:val="0"/>
          <w:rtl/>
          <w14:ligatures w14:val="none"/>
        </w:rPr>
        <w:instrText>":"</w:instrText>
      </w:r>
      <w:r w:rsidRPr="00263D77">
        <w:rPr>
          <w:rFonts w:eastAsia="Times New Roman"/>
          <w:kern w:val="0"/>
          <w14:ligatures w14:val="none"/>
        </w:rPr>
        <w:instrText>L."}],"issued":{"date-parts":[["2018"]]}}}],"schema":"https://github.com/citation-style-language/schema/raw/master/csl-citation.json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szCs w:val="22"/>
        </w:rPr>
        <w:t>(Murugan &amp; Kumarasinghe, 2018)</w:t>
      </w:r>
      <w:r w:rsidRPr="00263D77">
        <w:rPr>
          <w:rFonts w:eastAsia="Times New Roman"/>
          <w:kern w:val="0"/>
          <w:rtl/>
          <w14:ligatures w14:val="none"/>
        </w:rPr>
        <w:fldChar w:fldCharType="end"/>
      </w:r>
      <w:r w:rsidRPr="00263D77">
        <w:rPr>
          <w:rFonts w:eastAsia="Times New Roman"/>
          <w:kern w:val="0"/>
          <w:rtl/>
          <w14:ligatures w14:val="none"/>
        </w:rPr>
        <w:t xml:space="preserve"> </w:t>
      </w:r>
      <w:r w:rsidRPr="00263D77">
        <w:rPr>
          <w:rtl/>
        </w:rPr>
        <w:t xml:space="preserve">وقد أوضحت دراسات عربية في بيئات جامعية وعامة أن ضعف تقييم المخاطر لا يعني غياب الإدراك بوجودها، بل يعني غالبًا غياب الأنظمة المؤسسية المتخصصة والأدوات المعيارية القادرة على تحويل هذا الإدراك إلى مصفوفات قرار وإجراءات عمل. </w:t>
      </w:r>
      <w:sdt>
        <w:sdtPr>
          <w:rPr>
            <w:rtl/>
          </w:rPr>
          <w:id w:val="1525678673"/>
          <w:citation/>
        </w:sdtPr>
        <w:sdtEndPr/>
        <w:sdtContent>
          <w:r w:rsidRPr="00263D77">
            <w:rPr>
              <w:rtl/>
            </w:rPr>
            <w:fldChar w:fldCharType="begin"/>
          </w:r>
          <w:r w:rsidRPr="00263D77">
            <w:rPr>
              <w:lang w:bidi="ar-EG"/>
            </w:rPr>
            <w:instrText>CITATION</w:instrText>
          </w:r>
          <w:r w:rsidRPr="00263D77">
            <w:rPr>
              <w:rtl/>
              <w:lang w:bidi="ar-EG"/>
            </w:rPr>
            <w:instrText xml:space="preserve"> الغ24 \</w:instrText>
          </w:r>
          <w:r w:rsidRPr="00263D77">
            <w:rPr>
              <w:lang w:bidi="ar-EG"/>
            </w:rPr>
            <w:instrText>l 3073</w:instrText>
          </w:r>
          <w:r w:rsidRPr="00263D77">
            <w:rPr>
              <w:rtl/>
              <w:lang w:bidi="ar-EG"/>
            </w:rPr>
            <w:instrText xml:space="preserve"> </w:instrText>
          </w:r>
          <w:r w:rsidRPr="00263D77">
            <w:rPr>
              <w:rtl/>
            </w:rPr>
            <w:fldChar w:fldCharType="separate"/>
          </w:r>
          <w:r w:rsidRPr="00263D77">
            <w:rPr>
              <w:noProof/>
              <w:rtl/>
            </w:rPr>
            <w:t>(الغامدي، 2024)</w:t>
          </w:r>
          <w:r w:rsidRPr="00263D77">
            <w:rPr>
              <w:rtl/>
            </w:rPr>
            <w:fldChar w:fldCharType="end"/>
          </w:r>
        </w:sdtContent>
      </w:sdt>
    </w:p>
    <w:p w14:paraId="67CE2364" w14:textId="77777777" w:rsidR="00263D77" w:rsidRPr="00263D77" w:rsidRDefault="00263D77" w:rsidP="00263D77">
      <w:r w:rsidRPr="00263D77">
        <w:rPr>
          <w:rtl/>
        </w:rPr>
        <w:t xml:space="preserve">وتأتي بعد ذلك مرحلة تطوير استراتيجيات التعامل مع المخاطر، وهي المرحلة التي تنتقل فيها المؤسسة من التشخيص إلى التدخل. وتشمل استراتيجيات التجنب، والتقليل، والاحتواء، والنقل، والقبول المنضبط، حسب طبيعة كل خطر ومستوى احتماله وتأثيره. </w:t>
      </w:r>
      <w:r w:rsidRPr="00263D77">
        <w:rPr>
          <w:rtl/>
        </w:rPr>
        <w:fldChar w:fldCharType="begin"/>
      </w:r>
      <w:r w:rsidRPr="00263D77">
        <w:rPr>
          <w:rtl/>
        </w:rPr>
        <w:instrText xml:space="preserve"> </w:instrText>
      </w:r>
      <w:r w:rsidRPr="00263D77">
        <w:instrText>ADDIN ZOTERO_ITEM CSL_CITATION {"citationID":"OBoxLuTa","properties":{"formattedCitation":"(\\uc0\\u1575{}\\uc0\\u1604{}\\uc0\\u1576{}\\uc0\\u1604{}\\uc0\\u1583{}\\uc0\\u1575{}\\uc0\\u1608{}\\uc0\\u1610{} &amp; \\uc0\\u1581{}\\uc0\\u1587{}\\uc0\\u1606{}, 201</w:instrText>
      </w:r>
      <w:r w:rsidRPr="00263D77">
        <w:rPr>
          <w:rtl/>
        </w:rPr>
        <w:instrText>8</w:instrText>
      </w:r>
      <w:r w:rsidRPr="00263D77">
        <w:instrText>b)","plainCitation</w:instrText>
      </w:r>
      <w:r w:rsidRPr="00263D77">
        <w:rPr>
          <w:rtl/>
        </w:rPr>
        <w:instrText>":"(البلداوي &amp; حسن, 2018</w:instrText>
      </w:r>
      <w:r w:rsidRPr="00263D77">
        <w:instrText>b)","dontUpdate":true,"noteIndex":0},"citationItems":[{"id":363,"uris":["http://zotero.org/users/18677334/items/II8MQ3LB"],"itemData":{"id":363,"type":"article-journal","abstract</w:instrText>
      </w:r>
      <w:r w:rsidRPr="00263D77">
        <w:rPr>
          <w:rtl/>
        </w:rPr>
        <w:instrText xml:space="preserve">":"يهدف البحث الموسوم الى معرفة مدى كفاءة إدارة المخاطر بمختلف تسمياتها في مطار بغداد الدولي في مواجهة المخاطر المختلفة ( مالية – فنية – بشرية – طبيعية ..) التي تواجه عينة البحث المتمثلة بمطار بغداد الدولي حيث حدد الباحث الفرضية التي تتلخص في توجد علاقة ارتباط ذات دلالة معنوية بين إدارة المخاطر, ومواجهة المخاطر ومراجعة وتقييم المخاطر .وقد استعملت الباحث وسائل البحث من ملاحظة ومقابلات الشخصية مع المسؤولين المعنيين في هذا المجال وكذلك استخدمت الاستبانة ووزعت العينة المكونة من 170 من العاملين في مجال إدارة المخاطر ( قسم إدارة السلامة </w:instrText>
      </w:r>
      <w:r w:rsidRPr="00263D77">
        <w:instrText>SMS</w:instrText>
      </w:r>
      <w:r w:rsidRPr="00263D77">
        <w:rPr>
          <w:rtl/>
        </w:rPr>
        <w:instrText xml:space="preserve">)) في الخطوط الجوية العراقية , الامن الصناعي , قسم التأمين , المهندسين , الفنين , طواقم الصيانة , مدير عمليات الطيران , رئيس طيارين , مجموعة من الطيارين والمضيفين , المفتشين ) الذي يبلغ عددهم تقريبا (250) وجرى تحليلها باستعمال تحليل الاحصائي وفق نظام </w:instrText>
      </w:r>
      <w:r w:rsidRPr="00263D77">
        <w:instrText>spss</w:instrText>
      </w:r>
      <w:r w:rsidRPr="00263D77">
        <w:rPr>
          <w:rtl/>
        </w:rPr>
        <w:instrText xml:space="preserve"> ومقياس </w:instrText>
      </w:r>
      <w:r w:rsidRPr="00263D77">
        <w:instrText>Likert</w:instrText>
      </w:r>
      <w:r w:rsidRPr="00263D77">
        <w:rPr>
          <w:rtl/>
        </w:rPr>
        <w:instrText xml:space="preserve"> الخماسيوالوسط الحسابي والانحراف المعياري ومعامل الاختلاف والاهمية النسبية لبلوغ غاياتها .ولقد توصل الباحث من ذلك الى صحة الفرضية في وجود علاقة ارتباط طردية معنوية موجبة قوية بين إدارة المخاطر , و مواجهة المخاطر في المطارات المدنية – مطار بغداد الدولي عينة البحث على المستوى الكلي.حيث توصل الباحث الى مجموعة من الاستنتاجات اهمها : تؤدي أدارة المخاطر دورا كبيرا في مستقبل المطار من خلال رسمها لرؤية مستقبلية وتحديدها لرسالة واهداف المنظمة وقدرتها على التفكير والتحليل الاستراتيجي وصنع القرارات الإستراتيجية ومسؤوليتها في صياغة خطة مستقبلية ومن ثم تنفيذها وتقييمها. لا توجد أدارة متخصصة بأدارة المخاطر ضمن الهيكل التنظيمي للمنشأة العامة للطيران المدني وشركة الخطوط الجوية العراقية بل توجد بشكال مختلفة مثل أدارة السلامة و الامن الصناعي ...الخ ولها دور فعال في المطار في ممارسة واجبتها. وجود نقص في الخبرات و الفريق الفنية سواء في العدد او نوعية الخبرة على مستوى تطبيق أدارة المخاطر و التأمين وقسم التأمين بصورة خاصة و مطار عينة البحث بصورة عامة . اكدت اجابات العينة ومن خلال التحليل الاحصائي ان عينة البحث حين ان أدارة المخاطر لها دور مهم في التنسيق مابين الادارة العليا وباقي الاقسام لتوافر الحماية , وكذلك لها دور في تدريب الموظفين على كافة وسائل السلامة ومواجهة المخاطر , وتنسيق بين مجهزي معدات السلامة المهنية واجراء الصيانة الدورية لها . لا يوجد ارتباط بين قسم التأمين وإدارة المخاطر وليس لديها اي نشاط في التوعية التأمينية او ان يكون لمدير التأمين توفير الحماية في حالة عدم وجود ادارة مخاطر . وقدم الباحث مجموعة من التوصيات التي يمكن ان يستفيد منها عينة البحث : تحسين كفاءة اداء الشركة والمنشاة و زيادة مساهمة النشاط الخدمي في إجمالي الناتج الوطني العراقي . قسم التأمين في شركة الخطوط الجوية العراقية تفتقر الى اختصاص ادارة التأمين , حيث ان اكثر الموظفين الموجودين اختصاص اللغة الانكليزية , كون التأمين له خصوصية تختلف عن باقي الاختصاصات. بناء القدرات البشرية وتطوير المهارات والأفكار اللازمة إنجاح عملية إدارة المخاطر في شرح انواع المخاطر وطرائق ومواجهتها. إشراك موظفي شركة الخطوط الجوية العراقية بالتعاون مع شركات التأمين في دورات تدريبية للتعرف على كل ما هو مستحدث في إدارة المخاطر و التأمين و السلامة المهنية و التعرف على التطور الحاصل في البلدان المتحضرة و المتقدمة . ضرورة تعزيز المنظمة الخدمية مثل المطار بمستويات بشرية عالية من التأهيل في اختصاصات التأمين و السلامة المهنية من حملة الشهادات العليا لغرض تطوير برنامج إدارة المخاطر.","</w:instrText>
      </w:r>
      <w:r w:rsidRPr="00263D77">
        <w:instrText>container-title</w:instrText>
      </w:r>
      <w:r w:rsidRPr="00263D77">
        <w:rPr>
          <w:rtl/>
        </w:rPr>
        <w:instrText>":"مجلة دراسات محاسبية ومالية","</w:instrText>
      </w:r>
      <w:r w:rsidRPr="00263D77">
        <w:instrText>DOI":"10.34093/jafs.v13i44.20","journalAbbreviation</w:instrText>
      </w:r>
      <w:r w:rsidRPr="00263D77">
        <w:rPr>
          <w:rtl/>
        </w:rPr>
        <w:instrText>":"مجلة دراسات محاسبية ومالية","</w:instrText>
      </w:r>
      <w:r w:rsidRPr="00263D77">
        <w:instrText>source":"ResearchGate","title</w:instrText>
      </w:r>
      <w:r w:rsidRPr="00263D77">
        <w:rPr>
          <w:rtl/>
        </w:rPr>
        <w:instrText>":"دور برامج إدارة المخاطر في مواجهة المخاطر بالمطارات الدولية","</w:instrText>
      </w:r>
      <w:r w:rsidRPr="00263D77">
        <w:instrText>volume":"13","author":[{"family</w:instrText>
      </w:r>
      <w:r w:rsidRPr="00263D77">
        <w:rPr>
          <w:rtl/>
        </w:rPr>
        <w:instrText>":"البلداوي","</w:instrText>
      </w:r>
      <w:r w:rsidRPr="00263D77">
        <w:instrText>given</w:instrText>
      </w:r>
      <w:r w:rsidRPr="00263D77">
        <w:rPr>
          <w:rtl/>
        </w:rPr>
        <w:instrText>":"أ.م"},{"</w:instrText>
      </w:r>
      <w:r w:rsidRPr="00263D77">
        <w:instrText>family</w:instrText>
      </w:r>
      <w:r w:rsidRPr="00263D77">
        <w:rPr>
          <w:rtl/>
        </w:rPr>
        <w:instrText>":"حسن","</w:instrText>
      </w:r>
      <w:r w:rsidRPr="00263D77">
        <w:instrText>given</w:instrText>
      </w:r>
      <w:r w:rsidRPr="00263D77">
        <w:rPr>
          <w:rtl/>
        </w:rPr>
        <w:instrText>":"رسل"}],"</w:instrText>
      </w:r>
      <w:r w:rsidRPr="00263D77">
        <w:instrText>issued":{"date-parts":[["2018",9,1]]}}}],"schema":"https://github.com/citation-style-language/schema/raw/master/csl-citation.json</w:instrText>
      </w:r>
      <w:r w:rsidRPr="00263D77">
        <w:rPr>
          <w:rtl/>
        </w:rPr>
        <w:instrText xml:space="preserve">"} </w:instrText>
      </w:r>
      <w:r w:rsidRPr="00263D77">
        <w:rPr>
          <w:rtl/>
        </w:rPr>
        <w:fldChar w:fldCharType="separate"/>
      </w:r>
      <w:r w:rsidRPr="00263D77">
        <w:rPr>
          <w:kern w:val="0"/>
        </w:rPr>
        <w:t>)</w:t>
      </w:r>
      <w:r w:rsidRPr="00263D77">
        <w:rPr>
          <w:kern w:val="0"/>
          <w:rtl/>
        </w:rPr>
        <w:t xml:space="preserve"> البلداوي &amp; حسن, 2018</w:t>
      </w:r>
      <w:r w:rsidRPr="00263D77">
        <w:rPr>
          <w:kern w:val="0"/>
        </w:rPr>
        <w:t>(</w:t>
      </w:r>
      <w:r w:rsidRPr="00263D77">
        <w:rPr>
          <w:rtl/>
        </w:rPr>
        <w:fldChar w:fldCharType="end"/>
      </w:r>
      <w:r w:rsidRPr="00263D77">
        <w:rPr>
          <w:rtl/>
        </w:rPr>
        <w:t xml:space="preserve"> وفي المؤسسات الوقائية، لا تُقاس جودة هذه المرحلة بوجود خطة مكتوبة فقط، بل بمدى قابليتها للتفعيل السريع، وتكاملها مع الموارد البشرية والتقنية، ووضوح الأدوار والمسؤوليات، ووجود آليات مراجعة وتعلم مستمر. </w:t>
      </w:r>
    </w:p>
    <w:p w14:paraId="6A30A5F7" w14:textId="77777777" w:rsidR="00263D77" w:rsidRPr="00263D77" w:rsidRDefault="00263D77" w:rsidP="00263D77">
      <w:pPr>
        <w:spacing w:before="100" w:beforeAutospacing="1"/>
        <w:ind w:left="-284"/>
        <w:outlineLvl w:val="2"/>
        <w:rPr>
          <w:rFonts w:ascii="Times New Roman" w:eastAsia="Times New Roman" w:hAnsi="Times New Roman"/>
          <w:b/>
          <w:bCs/>
          <w:kern w:val="0"/>
          <w:sz w:val="27"/>
          <w14:ligatures w14:val="none"/>
        </w:rPr>
      </w:pPr>
      <w:bookmarkStart w:id="27" w:name="_Toc234717619"/>
      <w:r w:rsidRPr="00263D77">
        <w:rPr>
          <w:rFonts w:ascii="Times New Roman" w:eastAsia="Times New Roman" w:hAnsi="Times New Roman"/>
          <w:b/>
          <w:bCs/>
          <w:kern w:val="0"/>
          <w:sz w:val="27"/>
          <w:rtl/>
          <w14:ligatures w14:val="none"/>
        </w:rPr>
        <w:t>المطلب الثاني: تطبيق إدارة المخاطر في البيئة السعودية وسياق وقاء</w:t>
      </w:r>
      <w:bookmarkEnd w:id="27"/>
    </w:p>
    <w:p w14:paraId="675BF17C" w14:textId="77777777" w:rsidR="00263D77" w:rsidRPr="00263D77" w:rsidRDefault="00263D77" w:rsidP="00263D77">
      <w:pPr>
        <w:numPr>
          <w:ilvl w:val="0"/>
          <w:numId w:val="21"/>
        </w:numPr>
        <w:rPr>
          <w:b/>
          <w:bCs/>
        </w:rPr>
      </w:pPr>
      <w:r w:rsidRPr="00263D77">
        <w:rPr>
          <w:b/>
          <w:bCs/>
          <w:rtl/>
        </w:rPr>
        <w:t>الفرع الأول: الحوكمة وثقافة المخاطر</w:t>
      </w:r>
    </w:p>
    <w:p w14:paraId="4D4C0C72" w14:textId="77777777" w:rsidR="00263D77" w:rsidRPr="00263D77" w:rsidRDefault="00263D77" w:rsidP="00263D77">
      <w:r w:rsidRPr="00263D77">
        <w:rPr>
          <w:rtl/>
        </w:rPr>
        <w:lastRenderedPageBreak/>
        <w:t xml:space="preserve">يرتبط نجاح إدارة المخاطر بوجود ثقافة مؤسسية تتعامل مع المخاطر بوصفها جزءًا من دورة التخطيط والتنفيذ والتقويم، لا مجرد ملف يفعَّل عند وقوع الأزمة، وهذا يعني أن الحوكمة الفعالة لا تفصل بين الرؤية الاستراتيجية وبين خرائط المخاطر، ولا بين الامتثال وبين متابعة الأداء. فكلما كانت القيادة العليا أكثر وضوحًا في تبني إدارة المخاطر، انعكس ذلك على سلوك الوحدات التنظيمية، وعلى درجة الإفصاح الداخلي، وعلى سرعة رفع الإشارات التحذيرية، وعلى جودة التنسيق بين الإدارات. </w:t>
      </w:r>
      <w:sdt>
        <w:sdtPr>
          <w:rPr>
            <w:rtl/>
          </w:rPr>
          <w:id w:val="1147867175"/>
          <w:citation/>
        </w:sdtPr>
        <w:sdtEndPr/>
        <w:sdtContent>
          <w:r w:rsidRPr="00263D77">
            <w:rPr>
              <w:rtl/>
            </w:rPr>
            <w:fldChar w:fldCharType="begin"/>
          </w:r>
          <w:r w:rsidRPr="00263D77">
            <w:rPr>
              <w:lang w:bidi="ar-EG"/>
            </w:rPr>
            <w:instrText>CITATION</w:instrText>
          </w:r>
          <w:r w:rsidRPr="00263D77">
            <w:rPr>
              <w:rtl/>
              <w:lang w:bidi="ar-EG"/>
            </w:rPr>
            <w:instrText xml:space="preserve"> الم19 \</w:instrText>
          </w:r>
          <w:r w:rsidRPr="00263D77">
            <w:rPr>
              <w:lang w:bidi="ar-EG"/>
            </w:rPr>
            <w:instrText>l 3073</w:instrText>
          </w:r>
          <w:r w:rsidRPr="00263D77">
            <w:rPr>
              <w:rtl/>
              <w:lang w:bidi="ar-EG"/>
            </w:rPr>
            <w:instrText xml:space="preserve"> </w:instrText>
          </w:r>
          <w:r w:rsidRPr="00263D77">
            <w:rPr>
              <w:rtl/>
            </w:rPr>
            <w:fldChar w:fldCharType="separate"/>
          </w:r>
          <w:r w:rsidRPr="00263D77">
            <w:rPr>
              <w:noProof/>
              <w:rtl/>
            </w:rPr>
            <w:t>(المدرع، 2019)</w:t>
          </w:r>
          <w:r w:rsidRPr="00263D77">
            <w:rPr>
              <w:rtl/>
            </w:rPr>
            <w:fldChar w:fldCharType="end"/>
          </w:r>
        </w:sdtContent>
      </w:sdt>
    </w:p>
    <w:p w14:paraId="7986488D" w14:textId="77777777" w:rsidR="00263D77" w:rsidRPr="00263D77" w:rsidRDefault="00263D77" w:rsidP="00263D77">
      <w:pPr>
        <w:spacing w:before="100" w:beforeAutospacing="1" w:after="100" w:afterAutospacing="1"/>
        <w:rPr>
          <w:rFonts w:eastAsia="Times New Roman"/>
          <w:kern w:val="0"/>
          <w:rtl/>
          <w14:ligatures w14:val="none"/>
        </w:rPr>
      </w:pPr>
      <w:r w:rsidRPr="00263D77">
        <w:rPr>
          <w:rtl/>
        </w:rPr>
        <w:t xml:space="preserve">وفي السياق السعودي، تزداد أهمية هذا البعد في المؤسسات المرتبطة بالصحة النباتية والحيوانية؛ لأن قراراتها تتقاطع مع الأمن الغذائي والتجارة والحجر البيطري والصحة العامة والرقابة الميدانية.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{"citationID":"TCf6Gnqm","properties":{"unsorted":false,"formattedCitation":"(Almotairy \\uc0\\u1608{}\\uc0\\u1570{}\\uc0\\u1582{}\\uc0\\u1585{}\\uc0\\u1608{}\\uc0\\u1606{}, 2024)","plainCitation":"(Almotairy</w:instrText>
      </w:r>
      <w:r w:rsidRPr="00263D77">
        <w:rPr>
          <w:rFonts w:eastAsia="Times New Roman"/>
          <w:kern w:val="0"/>
          <w:rtl/>
          <w14:ligatures w14:val="none"/>
        </w:rPr>
        <w:instrText xml:space="preserve"> وآخرون, 2024)","</w:instrText>
      </w:r>
      <w:r w:rsidRPr="00263D77">
        <w:rPr>
          <w:rFonts w:eastAsia="Times New Roman"/>
          <w:kern w:val="0"/>
          <w14:ligatures w14:val="none"/>
        </w:rPr>
        <w:instrText>noteIndex":0},"citationItems":[{"id":2394,"uris":["http://zotero.org/users/18677334/items/GFYKJ53B"],"itemData":{"id":2394,"type":"book","abstract":"&lt;p id=\"p1\"&gt;This chapter investigates integrating agricultural biosecurity measures with environmental</w:instrText>
      </w:r>
      <w:r w:rsidRPr="00263D77">
        <w:rPr>
          <w:rFonts w:eastAsia="Times New Roman"/>
          <w:kern w:val="0"/>
          <w:rtl/>
          <w14:ligatures w14:val="none"/>
        </w:rPr>
        <w:instrText xml:space="preserve"> </w:instrText>
      </w:r>
      <w:r w:rsidRPr="00263D77">
        <w:rPr>
          <w:rFonts w:eastAsia="Times New Roman"/>
          <w:kern w:val="0"/>
          <w14:ligatures w14:val="none"/>
        </w:rPr>
        <w:instrText>sustainability practices to bolster food safety in Saudi Arabia. It emphasizes the synergy between cutting-edge technologies, effective stakeholder engagement, and adaptive strategies to climate change, underscoring their pivotal roles in developing resilient agricultural systems. Through a comparative analysis with global standards, the chapter elucidates Saudi Arabia&amp;rsquo;s position and advancements in agricultural biosecurity, presenting an array of innovative technologies&amp;mdash;from precision agriculture tools to AI-driven pest detection systems&amp;mdash;that exemplify the country&amp;rsquo;s commitment to sustainable food production. Specific initiatives, such as the National Center for Prevention and Control of Plant Pests and Animal Diseases (NCPCPPAD)</w:instrText>
      </w:r>
      <w:r w:rsidRPr="00263D77">
        <w:rPr>
          <w:rFonts w:eastAsia="Times New Roman"/>
          <w:kern w:val="0"/>
          <w:rtl/>
          <w14:ligatures w14:val="none"/>
        </w:rPr>
        <w:instrText xml:space="preserve">, </w:instrText>
      </w:r>
      <w:r w:rsidRPr="00263D77">
        <w:rPr>
          <w:rFonts w:eastAsia="Times New Roman"/>
          <w:kern w:val="0"/>
          <w14:ligatures w14:val="none"/>
        </w:rPr>
        <w:instrText>are highlighted to illustrate practical applications. The chapter offers a multifaceted view of the challenges and successes of implementing biosecurity measures by incorporating comprehensive stakeholder perspectives, including those from farmers, policymakers, and scientists. Furthermore, it explores the impacts of climate change on agricultural biosecurity and delineates Saudi Arabia&amp;rsquo;s proactive approaches to mitigating these effects. Key findings include significant improvements in water consumption efficiency and crop yields. By weaving together interdisciplinary research, case studies, and policy analysis, the chapter seeks to contribute to the global discourse on securing food systems against biosecurity threats while advancing environmental</w:instrText>
      </w:r>
      <w:r w:rsidRPr="00263D77">
        <w:rPr>
          <w:rFonts w:eastAsia="Times New Roman"/>
          <w:kern w:val="0"/>
          <w:rtl/>
          <w14:ligatures w14:val="none"/>
        </w:rPr>
        <w:instrText xml:space="preserve"> </w:instrText>
      </w:r>
      <w:r w:rsidRPr="00263D77">
        <w:rPr>
          <w:rFonts w:eastAsia="Times New Roman"/>
          <w:kern w:val="0"/>
          <w14:ligatures w14:val="none"/>
        </w:rPr>
        <w:instrText>sustainability. Future directions for research and policy are also discussed.&lt;/p&gt;","DOI":"10.5772/intechopen.1007967","ISBN":"978-0-85466-424-5","language":"en","note":"DOI: 10.5772/intechopen.1007967","publisher":"IntechOpen","source":"www.intechopen.com</w:instrText>
      </w:r>
      <w:r w:rsidRPr="00263D77">
        <w:rPr>
          <w:rFonts w:eastAsia="Times New Roman"/>
          <w:kern w:val="0"/>
          <w:rtl/>
          <w14:ligatures w14:val="none"/>
        </w:rPr>
        <w:instrText>","</w:instrText>
      </w:r>
      <w:r w:rsidRPr="00263D77">
        <w:rPr>
          <w:rFonts w:eastAsia="Times New Roman"/>
          <w:kern w:val="0"/>
          <w14:ligatures w14:val="none"/>
        </w:rPr>
        <w:instrText>title":"Enhancing Agricultural Biosecurity: Strategies for Food Safety and Environmental Sustainability in Saudi Arabia","title-short":"Enhancing Agricultural Biosecurity","URL":"https://www.intechopen.com/online-first/1188660","author":[{"family":"Almotairy","given":"Hany M."},{"family":"Alshehri","given":"Khalid A."},{"family":"Almutairi","given":"Othman A."},{"family":"Alenizi","given":"Hanaa O."},{"family":"Bokheder","given":"Sultan"},{"family":"Almotairy","given":"Hany M."},{"family":"Alshehri","given":"Khalid A."},{"family":"Almutairi","given":"Othman A."},{"family":"Alenizi","given":"Hanaa O."},{"family":"Bokheder","given":"Sultan"}],"accessed":{"date-parts":[["2026",7,12]]},"issued":{"date-parts":[["2024",12,2]]}}}],"schema":"https://github.com</w:instrText>
      </w:r>
      <w:r w:rsidRPr="00263D77">
        <w:rPr>
          <w:rFonts w:eastAsia="Times New Roman"/>
          <w:kern w:val="0"/>
          <w:rtl/>
          <w14:ligatures w14:val="none"/>
        </w:rPr>
        <w:instrText>/</w:instrText>
      </w:r>
      <w:r w:rsidRPr="00263D77">
        <w:rPr>
          <w:rFonts w:eastAsia="Times New Roman"/>
          <w:kern w:val="0"/>
          <w14:ligatures w14:val="none"/>
        </w:rPr>
        <w:instrText>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kern w:val="0"/>
          <w:rtl/>
        </w:rPr>
        <w:t>(</w:t>
      </w:r>
      <w:r w:rsidRPr="00263D77">
        <w:rPr>
          <w:kern w:val="0"/>
        </w:rPr>
        <w:t>Almotairy et al., 2024</w:t>
      </w:r>
      <w:r w:rsidRPr="00263D77">
        <w:rPr>
          <w:kern w:val="0"/>
          <w:rtl/>
        </w:rPr>
        <w:t>)</w:t>
      </w:r>
      <w:r w:rsidRPr="00263D77">
        <w:rPr>
          <w:rFonts w:eastAsia="Times New Roman"/>
          <w:kern w:val="0"/>
          <w:rtl/>
          <w14:ligatures w14:val="none"/>
        </w:rPr>
        <w:fldChar w:fldCharType="end"/>
      </w:r>
      <w:r w:rsidRPr="00263D77">
        <w:rPr>
          <w:rFonts w:eastAsia="Times New Roman"/>
          <w:kern w:val="0"/>
          <w:rtl/>
          <w14:ligatures w14:val="none"/>
        </w:rPr>
        <w:t xml:space="preserve"> </w:t>
      </w:r>
      <w:r w:rsidRPr="00263D77">
        <w:rPr>
          <w:rtl/>
        </w:rPr>
        <w:t xml:space="preserve">ومن ثمّ، فإن مركز وقاء يحتاج إلى ثقافة مخاطر مؤسسية تُترجم الأدوار النظامية إلى سلوك يومي، وتتجاوز المركزية المفرطة، وتدعم العمل البيني بين القطاعات، ولا سيما بين الرصد والتشخيص والاستجابة والتوعية والعمليات الميدانية. </w:t>
      </w:r>
    </w:p>
    <w:p w14:paraId="2F9A52F1" w14:textId="77777777" w:rsidR="00263D77" w:rsidRPr="00263D77" w:rsidRDefault="00263D77" w:rsidP="00263D77">
      <w:pPr>
        <w:numPr>
          <w:ilvl w:val="0"/>
          <w:numId w:val="21"/>
        </w:numPr>
        <w:rPr>
          <w:b/>
          <w:bCs/>
        </w:rPr>
      </w:pPr>
      <w:r w:rsidRPr="00263D77">
        <w:rPr>
          <w:b/>
          <w:bCs/>
          <w:rtl/>
        </w:rPr>
        <w:t>الفرع الثاني: القدرات الفنية والمعلوماتية والرصد المبكر</w:t>
      </w:r>
    </w:p>
    <w:p w14:paraId="4E6CBBFF" w14:textId="77777777" w:rsidR="00263D77" w:rsidRPr="00263D77" w:rsidRDefault="00263D77" w:rsidP="00263D77">
      <w:pPr>
        <w:spacing w:before="100" w:beforeAutospacing="1" w:after="100" w:afterAutospacing="1"/>
        <w:rPr>
          <w:rFonts w:eastAsia="Times New Roman"/>
          <w:kern w:val="0"/>
          <w14:ligatures w14:val="none"/>
        </w:rPr>
      </w:pPr>
      <w:r w:rsidRPr="00263D77">
        <w:rPr>
          <w:rtl/>
        </w:rPr>
        <w:t>لا تنجح إدارة المخاطر في المؤسسات الوقائية من غير بنية معلوماتية قادرة على الرصد والتحليل والتنبؤ. فالمخاطر في هذا المجال ليست ساكنة، بل متغيرة مكانيًا وزمانيًا، وقد تنتقل عبر الحدود أو التجارة أو النواقل أو الممارسات غير السليمة.</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{"citationID":"s8LGFlv8","properties":{"unsorted":false,"formattedCitation":"(Horigan et al., 2023)","plainCitation":"(Horigan et al., 2023)","noteIndex":0},"citationItems":[{"id":915,"uris":["http://zotero.org/users/186773</w:instrText>
      </w:r>
      <w:r w:rsidRPr="00263D77">
        <w:rPr>
          <w:rFonts w:eastAsia="Times New Roman"/>
          <w:kern w:val="0"/>
          <w:rtl/>
          <w14:ligatures w14:val="none"/>
        </w:rPr>
        <w:instrText>34/</w:instrText>
      </w:r>
      <w:r w:rsidRPr="00263D77">
        <w:rPr>
          <w:rFonts w:eastAsia="Times New Roman"/>
          <w:kern w:val="0"/>
          <w14:ligatures w14:val="none"/>
        </w:rPr>
        <w:instrText>items/46VLMSVW"],"itemData":{"id":915,"type":"article-journal","abstract":"Qualitative risk assessment (QRA) can provide a decision support system, but in order for it to be objective and consistently applied it is necessary to standardise the approach</w:instrText>
      </w:r>
      <w:r w:rsidRPr="00263D77">
        <w:rPr>
          <w:rFonts w:eastAsia="Times New Roman"/>
          <w:kern w:val="0"/>
          <w:rtl/>
          <w14:ligatures w14:val="none"/>
        </w:rPr>
        <w:instrText xml:space="preserve"> </w:instrText>
      </w:r>
      <w:r w:rsidRPr="00263D77">
        <w:rPr>
          <w:rFonts w:eastAsia="Times New Roman"/>
          <w:kern w:val="0"/>
          <w14:ligatures w14:val="none"/>
        </w:rPr>
        <w:instrText>as much as possible. This review considers how QRAs have historically been used for the benefit of animal health, what problems have been encountered during their development, and how these problems have been addressed.Four main elements were identified</w:instrText>
      </w:r>
      <w:r w:rsidRPr="00263D77">
        <w:rPr>
          <w:rFonts w:eastAsia="Times New Roman"/>
          <w:kern w:val="0"/>
          <w:rtl/>
          <w14:ligatures w14:val="none"/>
        </w:rPr>
        <w:instrText xml:space="preserve"> </w:instrText>
      </w:r>
      <w:r w:rsidRPr="00263D77">
        <w:rPr>
          <w:rFonts w:eastAsia="Times New Roman"/>
          <w:kern w:val="0"/>
          <w14:ligatures w14:val="none"/>
        </w:rPr>
        <w:instrText>as having been the subject of some proposed standard methodology: (i) the description of risk levels, (ii) combining probabilities, (iii) accounting for multiple products/animals and (iv) uncertainty. These elements were addressed in different ways but were highlighted as being fundamental to improving the accuracy in estimating the risk and conveying the results to the risk manager with minimal ambiguity. The development of standardisation of methodology thus represents an important advance in animal health QRA. It can also be concluded that QRAs are useful for identifying important chains of events and critical control points along risk pathways which can be used to inform risk management programs.Further work needs to be done regarding an objective uniform methodology for deriving an overall uncertainty estimate. In line with this, several tools have been developed which attempt to use mathematical reasoning to incorporate uncertainty and improve the objectivity of the qualitative framework. Ensuring a</w:instrText>
      </w:r>
      <w:r w:rsidRPr="00263D77">
        <w:rPr>
          <w:rFonts w:eastAsia="Times New Roman"/>
          <w:kern w:val="0"/>
          <w:rtl/>
          <w14:ligatures w14:val="none"/>
        </w:rPr>
        <w:instrText xml:space="preserve"> </w:instrText>
      </w:r>
      <w:r w:rsidRPr="00263D77">
        <w:rPr>
          <w:rFonts w:eastAsia="Times New Roman"/>
          <w:kern w:val="0"/>
          <w14:ligatures w14:val="none"/>
        </w:rPr>
        <w:instrText>robust objective methodology is used and that the reasons for differences in results, such as assumptions and uncertainty are clearly described to the customer is essential to maintain confidence in the QRA process.Overall, animal health QRAs have established their usefulness by providing a tool for rapid risk estimation which can be used to identify whether or not the risk exceeds a decision-making threshold above which action should be taken.","container-title":"Frontiers in Veterinary Science","DOI</w:instrText>
      </w:r>
      <w:r w:rsidRPr="00263D77">
        <w:rPr>
          <w:rFonts w:eastAsia="Times New Roman"/>
          <w:kern w:val="0"/>
          <w:rtl/>
          <w14:ligatures w14:val="none"/>
        </w:rPr>
        <w:instrText>":"10.3389/</w:instrText>
      </w:r>
      <w:r w:rsidRPr="00263D77">
        <w:rPr>
          <w:rFonts w:eastAsia="Times New Roman"/>
          <w:kern w:val="0"/>
          <w14:ligatures w14:val="none"/>
        </w:rPr>
        <w:instrText>fvets.2023.1102131","ISSN":"2297-1769","journalAbbreviation":"Front. Vet. Sci.","language":"English","publisher":"Frontiers","source":"Frontiers","title":"A review of qualitative risk assessment in animal health: Suggestions for best practice","title-short":"A review of qualitative risk assessment in animal health","URL":"https://www.frontiersin.org/journals/veterinary-science/articles/10.3389/fvets.2023.1102131/full","volume":"10","author":[{"family":"Horigan","given":"Verity"},{"family":"Simons</w:instrText>
      </w:r>
      <w:r w:rsidRPr="00263D77">
        <w:rPr>
          <w:rFonts w:eastAsia="Times New Roman"/>
          <w:kern w:val="0"/>
          <w:rtl/>
          <w14:ligatures w14:val="none"/>
        </w:rPr>
        <w:instrText>","</w:instrText>
      </w:r>
      <w:r w:rsidRPr="00263D77">
        <w:rPr>
          <w:rFonts w:eastAsia="Times New Roman"/>
          <w:kern w:val="0"/>
          <w14:ligatures w14:val="none"/>
        </w:rPr>
        <w:instrText>given":"Robin"},{"family":"Kavanagh","given":"Kim"},{"family":"Kelly","given":"Louise"}],"accessed":{"date-parts":[["2026",3,3]]},"issued":{"date-parts":[["2023",2,7]]}}}],"schema":"https://github.com/citation-style-language/schema/raw/master/csl-citation.json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szCs w:val="22"/>
        </w:rPr>
        <w:t>(Horigan et al., 2023)</w:t>
      </w:r>
      <w:r w:rsidRPr="00263D77">
        <w:rPr>
          <w:rFonts w:eastAsia="Times New Roman"/>
          <w:kern w:val="0"/>
          <w:rtl/>
          <w14:ligatures w14:val="none"/>
        </w:rPr>
        <w:fldChar w:fldCharType="end"/>
      </w:r>
      <w:r w:rsidRPr="00263D77">
        <w:rPr>
          <w:rFonts w:eastAsia="Times New Roman"/>
          <w:kern w:val="0"/>
          <w:rtl/>
          <w14:ligatures w14:val="none"/>
        </w:rPr>
        <w:t xml:space="preserve">  </w:t>
      </w:r>
      <w:r w:rsidRPr="00263D77">
        <w:rPr>
          <w:rtl/>
        </w:rPr>
        <w:t xml:space="preserve">ولذلك فإن بناء قواعد بيانات دقيقة، وربطها بآليات إنذار مبكر، وتحسين تدفق المعلومات بين الوحدات، يمثل شرطًا أساسيًا لتحويل إدارة المخاطر من نشاط وصفي إلى نشاط تشغيلي عالي الفاعلية. وقد أظهرت دراسات عربية في القطاع الصحي أن جودة المؤشرات ووضوح المعلومات يزيدان من جودة القرار ويحسنان كفاءة الأداء العام. </w:t>
      </w:r>
      <w:sdt>
        <w:sdtPr>
          <w:rPr>
            <w:rtl/>
          </w:rPr>
          <w:id w:val="763505814"/>
          <w:citation/>
        </w:sdtPr>
        <w:sdtEndPr/>
        <w:sdtContent>
          <w:r w:rsidRPr="00263D77">
            <w:rPr>
              <w:rtl/>
            </w:rPr>
            <w:fldChar w:fldCharType="begin"/>
          </w:r>
          <w:r w:rsidRPr="00263D77">
            <w:rPr>
              <w:lang w:bidi="ar-EG"/>
            </w:rPr>
            <w:instrText>CITATION</w:instrText>
          </w:r>
          <w:r w:rsidRPr="00263D77">
            <w:rPr>
              <w:rtl/>
              <w:lang w:bidi="ar-EG"/>
            </w:rPr>
            <w:instrText xml:space="preserve"> خرد24 \</w:instrText>
          </w:r>
          <w:r w:rsidRPr="00263D77">
            <w:rPr>
              <w:lang w:bidi="ar-EG"/>
            </w:rPr>
            <w:instrText>l 3073</w:instrText>
          </w:r>
          <w:r w:rsidRPr="00263D77">
            <w:rPr>
              <w:rtl/>
              <w:lang w:bidi="ar-EG"/>
            </w:rPr>
            <w:instrText xml:space="preserve"> </w:instrText>
          </w:r>
          <w:r w:rsidRPr="00263D77">
            <w:rPr>
              <w:rtl/>
            </w:rPr>
            <w:fldChar w:fldCharType="separate"/>
          </w:r>
          <w:r w:rsidRPr="00263D77">
            <w:rPr>
              <w:noProof/>
              <w:rtl/>
            </w:rPr>
            <w:t>(خردلي، 2024)</w:t>
          </w:r>
          <w:r w:rsidRPr="00263D77">
            <w:rPr>
              <w:rtl/>
            </w:rPr>
            <w:fldChar w:fldCharType="end"/>
          </w:r>
        </w:sdtContent>
      </w:sdt>
    </w:p>
    <w:p w14:paraId="3C74F450" w14:textId="77777777" w:rsidR="00263D77" w:rsidRPr="00263D77" w:rsidRDefault="00263D77" w:rsidP="00263D77">
      <w:pPr>
        <w:rPr>
          <w:rtl/>
        </w:rPr>
      </w:pPr>
      <w:r w:rsidRPr="00263D77">
        <w:rPr>
          <w:rtl/>
        </w:rPr>
        <w:t xml:space="preserve">وفي هذا الإطار، يبرز مركز وقاء بوصفه مؤسسة تُناط بها مهام الرصد الدوري، وإصدار التحذيرات، وجمع البيانات، وتطوير تقنيات الوقاية والمكافحة، وهي جميعًا وظائف ترتبط مباشرة بمنهجية إدارة المخاطر. وبذلك فإن نضج المنظومة الفنية والمعلوماتية داخل المركز يمكن اعتباره مؤشرًا سابقًا لتحسن مؤشرات الأداء اللاحقة، سواء تعلقت بسرعة الاستجابة، أو دقة التصنيف، أو خفض الخسائر، أو كفاءة استخدام الموارد. </w:t>
      </w:r>
    </w:p>
    <w:p w14:paraId="6DCD7042" w14:textId="77777777" w:rsidR="00263D77" w:rsidRPr="00263D77" w:rsidRDefault="00263D77" w:rsidP="00263D77">
      <w:pPr>
        <w:numPr>
          <w:ilvl w:val="0"/>
          <w:numId w:val="21"/>
        </w:numPr>
        <w:rPr>
          <w:b/>
          <w:bCs/>
        </w:rPr>
      </w:pPr>
      <w:r w:rsidRPr="00263D77">
        <w:rPr>
          <w:b/>
          <w:bCs/>
          <w:rtl/>
        </w:rPr>
        <w:t>الفرع الثالث: نضج التطبيق المؤسسي لإدارة المخاطر</w:t>
      </w:r>
    </w:p>
    <w:p w14:paraId="7D5893F3" w14:textId="77777777" w:rsidR="00263D77" w:rsidRPr="00263D77" w:rsidRDefault="00263D77" w:rsidP="00263D77">
      <w:pPr>
        <w:rPr>
          <w:rtl/>
        </w:rPr>
      </w:pPr>
      <w:r w:rsidRPr="00263D77">
        <w:rPr>
          <w:rtl/>
        </w:rPr>
        <w:lastRenderedPageBreak/>
        <w:t xml:space="preserve">يشير نضج إدارة المخاطر إلى الدرجة التي تصل عندها المؤسسة إلى دمج إدارة المخاطر في عملياتها الأساسية، بحيث تصبح جزءًا من التخطيط والتشغيل والرقابة والتقويم والتعلم. وتفيد الأدبيات العربية بأن ضعف تطبيق إدارة المخاطر لا يرتبط غالبًا بغياب الوعي فقط، بل قد يرتبط بضعف التدريب، أو نقص الوحدات المتخصصة، أو غموض الصلاحيات، أو محدودية الأدوات الفنية، أو ضعف التكامل بين الحوكمة وإدارة المخاطر والامتثال. </w:t>
      </w:r>
      <w:sdt>
        <w:sdtPr>
          <w:rPr>
            <w:rtl/>
          </w:rPr>
          <w:id w:val="-561629779"/>
          <w:citation/>
        </w:sdtPr>
        <w:sdtEndPr/>
        <w:sdtContent>
          <w:r w:rsidRPr="00263D77">
            <w:rPr>
              <w:rtl/>
            </w:rPr>
            <w:fldChar w:fldCharType="begin"/>
          </w:r>
          <w:r w:rsidRPr="00263D77">
            <w:rPr>
              <w:lang w:bidi="ar-EG"/>
            </w:rPr>
            <w:instrText>CITATION</w:instrText>
          </w:r>
          <w:r w:rsidRPr="00263D77">
            <w:rPr>
              <w:rtl/>
              <w:lang w:bidi="ar-EG"/>
            </w:rPr>
            <w:instrText xml:space="preserve"> الم19 \</w:instrText>
          </w:r>
          <w:r w:rsidRPr="00263D77">
            <w:rPr>
              <w:lang w:bidi="ar-EG"/>
            </w:rPr>
            <w:instrText>l 3073</w:instrText>
          </w:r>
          <w:r w:rsidRPr="00263D77">
            <w:rPr>
              <w:rtl/>
              <w:lang w:bidi="ar-EG"/>
            </w:rPr>
            <w:instrText xml:space="preserve"> </w:instrText>
          </w:r>
          <w:r w:rsidRPr="00263D77">
            <w:rPr>
              <w:rtl/>
            </w:rPr>
            <w:fldChar w:fldCharType="separate"/>
          </w:r>
          <w:r w:rsidRPr="00263D77">
            <w:rPr>
              <w:noProof/>
              <w:rtl/>
            </w:rPr>
            <w:t>(المدرع، 2019)</w:t>
          </w:r>
          <w:r w:rsidRPr="00263D77">
            <w:rPr>
              <w:rtl/>
            </w:rPr>
            <w:fldChar w:fldCharType="end"/>
          </w:r>
        </w:sdtContent>
      </w:sdt>
    </w:p>
    <w:p w14:paraId="4A30DAC5" w14:textId="77777777" w:rsidR="00263D77" w:rsidRPr="00263D77" w:rsidRDefault="00263D77" w:rsidP="00263D77">
      <w:pPr>
        <w:rPr>
          <w:rtl/>
        </w:rPr>
      </w:pPr>
      <w:r w:rsidRPr="00263D77">
        <w:rPr>
          <w:rtl/>
        </w:rPr>
        <w:t xml:space="preserve">وبناءً على ذلك، فإن قياس واقع تطبيق منهجية إدارة المخاطر في مركز وقاء ينبغي أن ينظر إلى مؤشرات مثل: وجود سياسات وإجراءات واضحة، وجود سجلات مخاطر محدثة، انتظام التقييم الدوري، جاهزية خطط المعالجة، تدريب العاملين، وضوح خطوط الاتصال، وقدرة القيادة على المتابعة والمساءلة. وهذه العناصر هي التي تمنح المتغير المستقل بعده الإجرائي القابل للقياس في الدراسة الميدانية. </w:t>
      </w:r>
    </w:p>
    <w:p w14:paraId="4F459D65" w14:textId="77777777" w:rsidR="00263D77" w:rsidRPr="00263D77" w:rsidRDefault="00263D77" w:rsidP="00263D77">
      <w:pPr>
        <w:keepNext/>
        <w:keepLines/>
        <w:spacing w:before="120"/>
        <w:outlineLvl w:val="1"/>
        <w:rPr>
          <w:rFonts w:asciiTheme="majorHAnsi" w:eastAsiaTheme="majorEastAsia" w:hAnsiTheme="majorHAnsi"/>
          <w:bCs/>
          <w:color w:val="7030A0"/>
          <w:kern w:val="0"/>
          <w:sz w:val="26"/>
          <w:szCs w:val="32"/>
          <w14:ligatures w14:val="none"/>
        </w:rPr>
      </w:pPr>
      <w:bookmarkStart w:id="28" w:name="_Toc234717620"/>
      <w:r w:rsidRPr="00263D77">
        <w:rPr>
          <w:rFonts w:asciiTheme="majorHAnsi" w:eastAsiaTheme="majorEastAsia" w:hAnsiTheme="majorHAnsi"/>
          <w:bCs/>
          <w:color w:val="7030A0"/>
          <w:kern w:val="0"/>
          <w:sz w:val="26"/>
          <w:szCs w:val="32"/>
          <w:rtl/>
          <w14:ligatures w14:val="none"/>
        </w:rPr>
        <w:t>المبحث الثاني: المتغير التابع: تحسين مؤشرات الأداء لأنظمة الصحة النباتية والحيوانية</w:t>
      </w:r>
      <w:bookmarkEnd w:id="28"/>
    </w:p>
    <w:p w14:paraId="3CB3FFC3" w14:textId="77777777" w:rsidR="00263D77" w:rsidRPr="00263D77" w:rsidRDefault="00263D77" w:rsidP="00263D77">
      <w:pPr>
        <w:spacing w:before="100" w:beforeAutospacing="1"/>
        <w:ind w:left="-284"/>
        <w:outlineLvl w:val="2"/>
        <w:rPr>
          <w:rFonts w:ascii="Times New Roman" w:eastAsia="Times New Roman" w:hAnsi="Times New Roman"/>
          <w:b/>
          <w:bCs/>
          <w:kern w:val="0"/>
          <w:sz w:val="27"/>
          <w14:ligatures w14:val="none"/>
        </w:rPr>
      </w:pPr>
      <w:bookmarkStart w:id="29" w:name="_Toc234717621"/>
      <w:r w:rsidRPr="00263D77">
        <w:rPr>
          <w:rFonts w:ascii="Times New Roman" w:eastAsia="Times New Roman" w:hAnsi="Times New Roman"/>
          <w:b/>
          <w:bCs/>
          <w:kern w:val="0"/>
          <w:sz w:val="27"/>
          <w:rtl/>
          <w14:ligatures w14:val="none"/>
        </w:rPr>
        <w:t>المطلب الأول: الإطار المفاهيمي لمؤشرات الأداء</w:t>
      </w:r>
      <w:bookmarkEnd w:id="29"/>
    </w:p>
    <w:p w14:paraId="6067AE09" w14:textId="77777777" w:rsidR="00263D77" w:rsidRPr="00263D77" w:rsidRDefault="00263D77" w:rsidP="00263D77">
      <w:pPr>
        <w:numPr>
          <w:ilvl w:val="0"/>
          <w:numId w:val="22"/>
        </w:numPr>
        <w:rPr>
          <w:b/>
          <w:bCs/>
        </w:rPr>
      </w:pPr>
      <w:r w:rsidRPr="00263D77">
        <w:rPr>
          <w:b/>
          <w:bCs/>
          <w:rtl/>
        </w:rPr>
        <w:t>الفرع الأول: مفهوم مؤشرات الأداء ووظائفها</w:t>
      </w:r>
    </w:p>
    <w:p w14:paraId="048C7314" w14:textId="77777777" w:rsidR="00263D77" w:rsidRPr="00263D77" w:rsidRDefault="00263D77" w:rsidP="00263D77">
      <w:r w:rsidRPr="00263D77">
        <w:rPr>
          <w:rtl/>
        </w:rPr>
        <w:t>تُعرف مؤشرات الأداء بأنها مقاييس كمية أو نوعية تستخدم للحكم على درجة التقدم في تحقيق الأهداف، وقياس الكفاءة والفعالية والجودة والالتزام والزمن والتكلفة والرضا وغيرها من أبعاد الأداء. وهي ليست مجرد أداة رقابية، بل أداة تعلم وتحسين مستمر؛ إذ تسمح بتشخيص الانحرافات، وتحديد بؤر الضعف، وترتيب الأولويات، وتغذية الإدارة العليا بمعلومات قابلة للاستخدام في التخطيط والتخصيص والمتابعة.</w:t>
      </w:r>
      <w:r w:rsidRPr="00263D77">
        <w:t xml:space="preserve"> </w:t>
      </w:r>
      <w:sdt>
        <w:sdtPr>
          <w:rPr>
            <w:rtl/>
          </w:rPr>
          <w:id w:val="1445965108"/>
          <w:citation/>
        </w:sdtPr>
        <w:sdtEndPr/>
        <w:sdtContent>
          <w:r w:rsidRPr="00263D77">
            <w:rPr>
              <w:rtl/>
            </w:rPr>
            <w:fldChar w:fldCharType="begin"/>
          </w:r>
          <w:r w:rsidRPr="00263D77">
            <w:rPr>
              <w:rtl/>
              <w:lang w:bidi="ar-EG"/>
            </w:rPr>
            <w:instrText xml:space="preserve"> </w:instrText>
          </w:r>
          <w:r w:rsidRPr="00263D77">
            <w:instrText>CITATION</w:instrText>
          </w:r>
          <w:r w:rsidRPr="00263D77">
            <w:rPr>
              <w:rtl/>
              <w:lang w:bidi="ar-EG"/>
            </w:rPr>
            <w:instrText xml:space="preserve"> الع25 \</w:instrText>
          </w:r>
          <w:r w:rsidRPr="00263D77">
            <w:instrText>l 3073</w:instrText>
          </w:r>
          <w:r w:rsidRPr="00263D77">
            <w:rPr>
              <w:rtl/>
              <w:lang w:bidi="ar-EG"/>
            </w:rPr>
            <w:instrText xml:space="preserve"> </w:instrText>
          </w:r>
          <w:r w:rsidRPr="00263D77">
            <w:rPr>
              <w:rtl/>
            </w:rPr>
            <w:fldChar w:fldCharType="separate"/>
          </w:r>
          <w:r w:rsidRPr="00263D77">
            <w:rPr>
              <w:noProof/>
              <w:rtl/>
              <w:lang w:bidi="ar-EG"/>
            </w:rPr>
            <w:t>(العقيلي، 2025)</w:t>
          </w:r>
          <w:r w:rsidRPr="00263D77">
            <w:rPr>
              <w:rtl/>
            </w:rPr>
            <w:fldChar w:fldCharType="end"/>
          </w:r>
        </w:sdtContent>
      </w:sdt>
    </w:p>
    <w:p w14:paraId="1B2777A5" w14:textId="77777777" w:rsidR="00263D77" w:rsidRPr="00263D77" w:rsidRDefault="00263D77" w:rsidP="00263D77">
      <w:pPr>
        <w:rPr>
          <w:rtl/>
          <w:lang w:bidi="ar-EG"/>
        </w:rPr>
      </w:pPr>
      <w:r w:rsidRPr="00263D77">
        <w:rPr>
          <w:rtl/>
        </w:rPr>
        <w:t xml:space="preserve">وفي المؤسسات الوقائية، تكتسب مؤشرات الأداء قيمة مضاعفة؛ لأنها لا تقيس فقط ما تم إنجازه، بل تقيس أيضًا قدرة المؤسسة على منع ما لم يحدث بعد. فنجاح منظومة الصحة النباتية والحيوانية لا يظهر فقط في عدد التدخلات المنفذة، بل في انخفاض معدلات الانتشار، وتحسن زمن الكشف، وزيادة دقة الفحص، وارتفاع نسب الامتثال، وتراجع الخسائر الاقتصادية، وتحسن جودة التنسيق الداخلي والخارجي. </w:t>
      </w:r>
      <w:sdt>
        <w:sdtPr>
          <w:rPr>
            <w:rtl/>
            <w:lang w:bidi="ar-EG"/>
          </w:rPr>
          <w:id w:val="-61873330"/>
          <w:citation/>
        </w:sdtPr>
        <w:sdtEndPr/>
        <w:sdtContent>
          <w:r w:rsidRPr="00263D77">
            <w:rPr>
              <w:rtl/>
              <w:lang w:bidi="ar-EG"/>
            </w:rPr>
            <w:fldChar w:fldCharType="begin"/>
          </w:r>
          <w:r w:rsidRPr="00263D77">
            <w:rPr>
              <w:rtl/>
              <w:lang w:bidi="ar-EG"/>
            </w:rPr>
            <w:instrText xml:space="preserve"> </w:instrText>
          </w:r>
          <w:r w:rsidRPr="00263D77">
            <w:instrText>CITATION</w:instrText>
          </w:r>
          <w:r w:rsidRPr="00263D77">
            <w:rPr>
              <w:rtl/>
              <w:lang w:bidi="ar-EG"/>
            </w:rPr>
            <w:instrText xml:space="preserve"> سعد23 \</w:instrText>
          </w:r>
          <w:r w:rsidRPr="00263D77">
            <w:instrText>l 3073</w:instrText>
          </w:r>
          <w:r w:rsidRPr="00263D77">
            <w:rPr>
              <w:rtl/>
              <w:lang w:bidi="ar-EG"/>
            </w:rPr>
            <w:instrText xml:space="preserve"> </w:instrText>
          </w:r>
          <w:r w:rsidRPr="00263D77">
            <w:rPr>
              <w:rtl/>
              <w:lang w:bidi="ar-EG"/>
            </w:rPr>
            <w:fldChar w:fldCharType="separate"/>
          </w:r>
          <w:r w:rsidRPr="00263D77">
            <w:rPr>
              <w:noProof/>
              <w:rtl/>
              <w:lang w:bidi="ar-EG"/>
            </w:rPr>
            <w:t>(سعد، 2023)</w:t>
          </w:r>
          <w:r w:rsidRPr="00263D77">
            <w:rPr>
              <w:rtl/>
            </w:rPr>
            <w:fldChar w:fldCharType="end"/>
          </w:r>
        </w:sdtContent>
      </w:sdt>
    </w:p>
    <w:p w14:paraId="5425C351" w14:textId="77777777" w:rsidR="00263D77" w:rsidRPr="00263D77" w:rsidRDefault="00263D77" w:rsidP="00263D77">
      <w:pPr>
        <w:numPr>
          <w:ilvl w:val="0"/>
          <w:numId w:val="22"/>
        </w:numPr>
        <w:rPr>
          <w:b/>
          <w:bCs/>
        </w:rPr>
      </w:pPr>
      <w:r w:rsidRPr="00263D77">
        <w:rPr>
          <w:b/>
          <w:bCs/>
          <w:rtl/>
        </w:rPr>
        <w:t>الفرع الثاني: أنواع مؤشرات الأداء في البيئة الوقائية</w:t>
      </w:r>
    </w:p>
    <w:p w14:paraId="47C2D41D" w14:textId="77777777" w:rsidR="00263D77" w:rsidRPr="00263D77" w:rsidRDefault="00263D77" w:rsidP="00263D77">
      <w:r w:rsidRPr="00263D77">
        <w:rPr>
          <w:rtl/>
        </w:rPr>
        <w:lastRenderedPageBreak/>
        <w:t xml:space="preserve">يمكن تصنيف مؤشرات الأداء في أنظمة الصحة النباتية والحيوانية إلى مؤشرات تشغيلية ومؤشرات تنظيمية. فالمؤشرات التشغيلية تشمل زمن الاستجابة، ودقة الرصد، ونسب التغطية الميدانية، وعدد البلاغات المعالجة، ونسبة الحالات المحتواه، وكفاءة فرق التفتيش والفحص، وفعالية برامج المكافحة. أما المؤشرات التنظيمية فتشمل وضوح الإجراءات، ودرجة التنسيق بين الإدارات، وكفاءة تبادل البيانات، والالتزام بالأنظمة، وكفاءة استثمار الموارد، ورضا المستفيدين، ونضج الحوكمة الداخلية. </w:t>
      </w:r>
      <w:sdt>
        <w:sdtPr>
          <w:rPr>
            <w:rtl/>
          </w:rPr>
          <w:id w:val="-1619216742"/>
          <w:citation/>
        </w:sdtPr>
        <w:sdtEndPr/>
        <w:sdtContent>
          <w:r w:rsidRPr="00263D77">
            <w:rPr>
              <w:rtl/>
            </w:rPr>
            <w:fldChar w:fldCharType="begin"/>
          </w:r>
          <w:r w:rsidRPr="00263D77">
            <w:rPr>
              <w:lang w:bidi="ar-EG"/>
            </w:rPr>
            <w:instrText>CITATION</w:instrText>
          </w:r>
          <w:r w:rsidRPr="00263D77">
            <w:rPr>
              <w:rtl/>
              <w:lang w:bidi="ar-EG"/>
            </w:rPr>
            <w:instrText xml:space="preserve"> خرد24 \</w:instrText>
          </w:r>
          <w:r w:rsidRPr="00263D77">
            <w:rPr>
              <w:lang w:bidi="ar-EG"/>
            </w:rPr>
            <w:instrText>l 3073</w:instrText>
          </w:r>
          <w:r w:rsidRPr="00263D77">
            <w:rPr>
              <w:rtl/>
              <w:lang w:bidi="ar-EG"/>
            </w:rPr>
            <w:instrText xml:space="preserve"> </w:instrText>
          </w:r>
          <w:r w:rsidRPr="00263D77">
            <w:rPr>
              <w:rtl/>
            </w:rPr>
            <w:fldChar w:fldCharType="separate"/>
          </w:r>
          <w:r w:rsidRPr="00263D77">
            <w:rPr>
              <w:noProof/>
              <w:rtl/>
            </w:rPr>
            <w:t>(خردلي، 2024)</w:t>
          </w:r>
          <w:r w:rsidRPr="00263D77">
            <w:rPr>
              <w:rtl/>
            </w:rPr>
            <w:fldChar w:fldCharType="end"/>
          </w:r>
        </w:sdtContent>
      </w:sdt>
    </w:p>
    <w:p w14:paraId="185046A3" w14:textId="77777777" w:rsidR="00263D77" w:rsidRPr="00263D77" w:rsidRDefault="00263D77" w:rsidP="00263D77">
      <w:r w:rsidRPr="00263D77">
        <w:rPr>
          <w:rtl/>
        </w:rPr>
        <w:t>ولأن مركز وقاء يعمل في نطاقين متكاملين، نباتي وحيواني، فإن مؤشرات الأداء يجب ألا تُبنى بمنطق التجزئة، بل بمنطق التكامل. فسرعة اكتشاف إصابة نباتية مثلًا ترتبط بجاهزية النظام الرقابي والمختبري والميداني معًا، كما أن احتواء مرض حيواني يعتمد على سلسلة مترابطة من الرصد والتحليل والتبليغ والاستجابة والتوعية والتنسيق. وبالتالي فإن تحسين مؤشرات الأداء لا يمكن اختزاله في مخرج واحد، بل هو نتيجة تفاعل منظومي بين البنية التنظيمية والعمليات التشغيلية.</w:t>
      </w:r>
    </w:p>
    <w:p w14:paraId="5AB2967B" w14:textId="77777777" w:rsidR="00263D77" w:rsidRPr="00263D77" w:rsidRDefault="00263D77" w:rsidP="00263D77">
      <w:pPr>
        <w:numPr>
          <w:ilvl w:val="0"/>
          <w:numId w:val="22"/>
        </w:numPr>
        <w:rPr>
          <w:b/>
          <w:bCs/>
        </w:rPr>
      </w:pPr>
      <w:r w:rsidRPr="00263D77">
        <w:rPr>
          <w:b/>
          <w:bCs/>
          <w:rtl/>
        </w:rPr>
        <w:t>الفرع الثالث: بناء مؤشرات الأداء وفق منظور استراتيجي</w:t>
      </w:r>
    </w:p>
    <w:p w14:paraId="1043E087" w14:textId="77777777" w:rsidR="00263D77" w:rsidRPr="00263D77" w:rsidRDefault="00263D77" w:rsidP="00263D77">
      <w:pPr>
        <w:spacing w:before="100" w:beforeAutospacing="1" w:after="100" w:afterAutospacing="1"/>
        <w:rPr>
          <w:rFonts w:eastAsia="Times New Roman"/>
          <w:kern w:val="0"/>
          <w:rtl/>
          <w14:ligatures w14:val="none"/>
        </w:rPr>
      </w:pPr>
      <w:r w:rsidRPr="00263D77">
        <w:rPr>
          <w:rtl/>
        </w:rPr>
        <w:t>تؤكد الأدبيات الحديثة أن بناء مؤشرات الأداء ينبغي أن يرتبط بالأهداف الاستراتيجية لا بالأنشطة المجردة. ومن هنا تظهر أهمية نماذج مثل بطاقة الأداء المتوازن، التي تنظر إلى الأداء من زوايا مترابطة تشمل المستفيدين، والعمليات الداخلية، والتعلم والنمو، والنتائج.</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{"citationID":"5hVYOdQV","properties":{"unsorted":false,"formattedCitation":"(Dahlstrom \\uc0\\u1608{}\\uc0\\u1570{}\\uc0\\u1582{}\\uc0\\u1585{}\\uc0\\u1608{}\\uc0\\u1606{}, 2011)","plainCitation":"(Dahlstrom</w:instrText>
      </w:r>
      <w:r w:rsidRPr="00263D77">
        <w:rPr>
          <w:rFonts w:eastAsia="Times New Roman"/>
          <w:kern w:val="0"/>
          <w:rtl/>
          <w14:ligatures w14:val="none"/>
        </w:rPr>
        <w:instrText xml:space="preserve"> وآخرون, 2011)","</w:instrText>
      </w:r>
      <w:r w:rsidRPr="00263D77">
        <w:rPr>
          <w:rFonts w:eastAsia="Times New Roman"/>
          <w:kern w:val="0"/>
          <w14:ligatures w14:val="none"/>
        </w:rPr>
        <w:instrText>noteIndex":0},"citationItems":[{"id":892,"uris":["http://zotero.org/users/18677334/items/8CYUL3VG"],"itemData":{"id":892,"type":"article-journal","abstract":"Aquatic nonindigenous species (ANS) have dramatic impact on environmental, economic, social, cultural, and human health values in a variety of coastal, estuarine, and inland ecosystem. Despite efforts to develop biosecurity risk assessment frameworks for the improvement of ANS management, responsible agencies lack a standardized framework to identify and mitigate risk from ANS. This paper reviews the biosecurity risk assessment frameworks of seven international bodies, four regional bodies, and three countries and highlights the similarities, differences and deficiencies in their respective frameworks. Specific deficiencies found by the review include: (i) a lack of national implementation of the international and regional frameworks; (ii) gaps in ANS knowledge; (iii) insufficient guidance for various components of the risk assessment; (iv) limited</w:instrText>
      </w:r>
      <w:r w:rsidRPr="00263D77">
        <w:rPr>
          <w:rFonts w:eastAsia="Times New Roman"/>
          <w:kern w:val="0"/>
          <w:rtl/>
          <w14:ligatures w14:val="none"/>
        </w:rPr>
        <w:instrText xml:space="preserve"> </w:instrText>
      </w:r>
      <w:r w:rsidRPr="00263D77">
        <w:rPr>
          <w:rFonts w:eastAsia="Times New Roman"/>
          <w:kern w:val="0"/>
          <w14:ligatures w14:val="none"/>
        </w:rPr>
        <w:instrText>number and scope of standards and measures related to ANS; and (v) inconsistent terminology between frameworks. To reduce the risk of ANS introductions, this paper concludes with a set of six recommendations to develop aquatic biosecurity risk frameworks</w:instrText>
      </w:r>
      <w:r w:rsidRPr="00263D77">
        <w:rPr>
          <w:rFonts w:eastAsia="Times New Roman"/>
          <w:kern w:val="0"/>
          <w:rtl/>
          <w14:ligatures w14:val="none"/>
        </w:rPr>
        <w:instrText xml:space="preserve"> </w:instrText>
      </w:r>
      <w:r w:rsidRPr="00263D77">
        <w:rPr>
          <w:rFonts w:eastAsia="Times New Roman"/>
          <w:kern w:val="0"/>
          <w14:ligatures w14:val="none"/>
        </w:rPr>
        <w:instrText>that are both comprehensive and precautionary while also in accord with mandates established by other international bodies such as the World Trade Organization.","container-title":"Marine Policy","DOI":"10.1016/j.marpol.2010.10.001","ISSN":"0308-597X","issue":"2","journalAbbreviation":"Marine Policy","page":"208-217","source":"ScienceDirect","title":"A review of international, regional and national biosecurity risk assessment frameworks","volume":"35","author":[{"family":"Dahlstrom","given":"Alisha"},{"family":"Hewitt","given":"Chad L."},{"family":"Campbell","given":"Marnie L."}],"issued":{"date-parts":[["2011",3,1]]}}}],"schema":"https://github.com/citation-style-language/schema/raw/master/csl-citation.json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kern w:val="0"/>
          <w:rtl/>
        </w:rPr>
        <w:t>(</w:t>
      </w:r>
      <w:r w:rsidRPr="00263D77">
        <w:rPr>
          <w:kern w:val="0"/>
        </w:rPr>
        <w:t>Dahlstrom et al., 2011</w:t>
      </w:r>
      <w:r w:rsidRPr="00263D77">
        <w:rPr>
          <w:kern w:val="0"/>
          <w:rtl/>
        </w:rPr>
        <w:t>)</w:t>
      </w:r>
      <w:r w:rsidRPr="00263D77">
        <w:rPr>
          <w:rFonts w:eastAsia="Times New Roman"/>
          <w:kern w:val="0"/>
          <w:rtl/>
          <w14:ligatures w14:val="none"/>
        </w:rPr>
        <w:fldChar w:fldCharType="end"/>
      </w:r>
    </w:p>
    <w:p w14:paraId="1709477A" w14:textId="77777777" w:rsidR="00263D77" w:rsidRPr="00263D77" w:rsidRDefault="00263D77" w:rsidP="00263D77">
      <w:r w:rsidRPr="00263D77">
        <w:rPr>
          <w:rtl/>
        </w:rPr>
        <w:t xml:space="preserve"> وبالرغم من أن هذا النموذج طُبق بكثرة في مؤسسات التعليم والأعمال، إلا أن منطقه التحليلي قابل للتكييف مع المؤسسات الوقائية، من خلال الربط بين رضا المستفيد، وكفاءة العمليات، وجاهزية الكوادر، ونتائج الوقاية والاحتواء. </w:t>
      </w:r>
      <w:sdt>
        <w:sdtPr>
          <w:rPr>
            <w:rtl/>
          </w:rPr>
          <w:id w:val="1381431271"/>
          <w:citation/>
        </w:sdtPr>
        <w:sdtEndPr/>
        <w:sdtContent>
          <w:r w:rsidRPr="00263D77">
            <w:rPr>
              <w:rtl/>
            </w:rPr>
            <w:fldChar w:fldCharType="begin"/>
          </w:r>
          <w:r w:rsidRPr="00263D77">
            <w:rPr>
              <w:rtl/>
              <w:lang w:bidi="ar-EG"/>
            </w:rPr>
            <w:instrText xml:space="preserve"> </w:instrText>
          </w:r>
          <w:r w:rsidRPr="00263D77">
            <w:instrText>CITATION</w:instrText>
          </w:r>
          <w:r w:rsidRPr="00263D77">
            <w:rPr>
              <w:rtl/>
              <w:lang w:bidi="ar-EG"/>
            </w:rPr>
            <w:instrText xml:space="preserve"> الع25 \</w:instrText>
          </w:r>
          <w:r w:rsidRPr="00263D77">
            <w:instrText>l 3073</w:instrText>
          </w:r>
          <w:r w:rsidRPr="00263D77">
            <w:rPr>
              <w:rtl/>
              <w:lang w:bidi="ar-EG"/>
            </w:rPr>
            <w:instrText xml:space="preserve"> </w:instrText>
          </w:r>
          <w:r w:rsidRPr="00263D77">
            <w:rPr>
              <w:rtl/>
            </w:rPr>
            <w:fldChar w:fldCharType="separate"/>
          </w:r>
          <w:r w:rsidRPr="00263D77">
            <w:rPr>
              <w:noProof/>
              <w:rtl/>
              <w:lang w:bidi="ar-EG"/>
            </w:rPr>
            <w:t>(العقيلي، 2025)</w:t>
          </w:r>
          <w:r w:rsidRPr="00263D77">
            <w:rPr>
              <w:rtl/>
            </w:rPr>
            <w:fldChar w:fldCharType="end"/>
          </w:r>
        </w:sdtContent>
      </w:sdt>
    </w:p>
    <w:p w14:paraId="5A07E225" w14:textId="77777777" w:rsidR="00263D77" w:rsidRPr="00263D77" w:rsidRDefault="00263D77" w:rsidP="00263D77">
      <w:r w:rsidRPr="00263D77">
        <w:rPr>
          <w:rtl/>
        </w:rPr>
        <w:t xml:space="preserve">وبناءً على ذلك، يمكن للدراسة الحالية أن تنظر إلى مؤشرات الأداء في مركز وقاء من أربعة أبعاد مترابطة: بعد المستفيدين، بعد العمليات، بعد التعلم والقدرات، وبعد النتائج الوقائية والتنظيمية. وهذا المنظور يوفر أساسًا نظريًا قويًا لفهم كيف يؤثر تطبيق إدارة المخاطر في تحسين النتائج، ليس فقط من حيث خفض التهديدات، بل من حيث رفع جودة الأداء المؤسسي عمومًا. </w:t>
      </w:r>
    </w:p>
    <w:p w14:paraId="7B7B8293" w14:textId="77777777" w:rsidR="00263D77" w:rsidRPr="00263D77" w:rsidRDefault="00263D77" w:rsidP="00263D77">
      <w:pPr>
        <w:spacing w:before="100" w:beforeAutospacing="1"/>
        <w:ind w:left="-284"/>
        <w:outlineLvl w:val="2"/>
        <w:rPr>
          <w:rFonts w:ascii="Times New Roman" w:eastAsia="Times New Roman" w:hAnsi="Times New Roman"/>
          <w:b/>
          <w:bCs/>
          <w:kern w:val="0"/>
          <w:sz w:val="27"/>
          <w14:ligatures w14:val="none"/>
        </w:rPr>
      </w:pPr>
      <w:bookmarkStart w:id="30" w:name="_Toc234717622"/>
      <w:r w:rsidRPr="00263D77">
        <w:rPr>
          <w:rFonts w:ascii="Times New Roman" w:eastAsia="Times New Roman" w:hAnsi="Times New Roman"/>
          <w:b/>
          <w:bCs/>
          <w:kern w:val="0"/>
          <w:sz w:val="27"/>
          <w:rtl/>
          <w14:ligatures w14:val="none"/>
        </w:rPr>
        <w:t>المطلب الثاني: مؤشرات الأداء في أنظمة الصحة النباتية والحيوانية</w:t>
      </w:r>
      <w:bookmarkEnd w:id="30"/>
    </w:p>
    <w:p w14:paraId="4C4D3923" w14:textId="77777777" w:rsidR="00263D77" w:rsidRPr="00263D77" w:rsidRDefault="00263D77" w:rsidP="00263D77">
      <w:pPr>
        <w:numPr>
          <w:ilvl w:val="0"/>
          <w:numId w:val="23"/>
        </w:numPr>
        <w:rPr>
          <w:b/>
          <w:bCs/>
        </w:rPr>
      </w:pPr>
      <w:r w:rsidRPr="00263D77">
        <w:rPr>
          <w:b/>
          <w:bCs/>
          <w:rtl/>
        </w:rPr>
        <w:t>الفرع الأول: مؤشرات الصحة النباتية</w:t>
      </w:r>
    </w:p>
    <w:p w14:paraId="4995D7BE" w14:textId="77777777" w:rsidR="00263D77" w:rsidRPr="00263D77" w:rsidRDefault="00263D77" w:rsidP="00263D77">
      <w:pPr>
        <w:spacing w:before="100" w:beforeAutospacing="1" w:after="100" w:afterAutospacing="1"/>
        <w:rPr>
          <w:rFonts w:eastAsia="Times New Roman"/>
          <w:kern w:val="0"/>
          <w14:ligatures w14:val="none"/>
        </w:rPr>
      </w:pPr>
      <w:r w:rsidRPr="00263D77">
        <w:rPr>
          <w:rtl/>
        </w:rPr>
        <w:lastRenderedPageBreak/>
        <w:t>في مجال الصحة النباتية، يمكن النظر إلى مؤشرات الأداء على أنها تعكس قدرة المؤسسة على حماية المحاصيل والموارد النباتية من الآفات والأمراض قبل انتشارها أو بعد ظهورهـا في حدود ضيقة يمكن السيطرة عليها.</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{"citationID":"eFE95Paw","properties":{"unsorted":false,"formattedCitation":"(Almotairy \\uc0\\u1608{}\\uc0\\u1570{}\\uc0\\u1582{}\\uc0\\u1585{}\\uc0\\u1608{}\\uc0\\u1606{}, 2024)","plainCitation":"(Almotairy</w:instrText>
      </w:r>
      <w:r w:rsidRPr="00263D77">
        <w:rPr>
          <w:rFonts w:eastAsia="Times New Roman"/>
          <w:kern w:val="0"/>
          <w:rtl/>
          <w14:ligatures w14:val="none"/>
        </w:rPr>
        <w:instrText xml:space="preserve"> وآخرون, 2024)","</w:instrText>
      </w:r>
      <w:r w:rsidRPr="00263D77">
        <w:rPr>
          <w:rFonts w:eastAsia="Times New Roman"/>
          <w:kern w:val="0"/>
          <w14:ligatures w14:val="none"/>
        </w:rPr>
        <w:instrText>noteIndex":0},"citationItems":[{"id":2394,"uris":["http://zotero.org/users/18677334/items/GFYKJ53B"],"itemData":{"id":2394,"type":"book","abstract":"&lt;p id=\"p1\"&gt;This chapter investigates integrating agricultural biosecurity measures with environmental</w:instrText>
      </w:r>
      <w:r w:rsidRPr="00263D77">
        <w:rPr>
          <w:rFonts w:eastAsia="Times New Roman"/>
          <w:kern w:val="0"/>
          <w:rtl/>
          <w14:ligatures w14:val="none"/>
        </w:rPr>
        <w:instrText xml:space="preserve"> </w:instrText>
      </w:r>
      <w:r w:rsidRPr="00263D77">
        <w:rPr>
          <w:rFonts w:eastAsia="Times New Roman"/>
          <w:kern w:val="0"/>
          <w14:ligatures w14:val="none"/>
        </w:rPr>
        <w:instrText>sustainability practices to bolster food safety in Saudi Arabia. It emphasizes the synergy between cutting-edge technologies, effective stakeholder engagement, and adaptive strategies to climate change, underscoring their pivotal roles in developing resilient agricultural systems. Through a comparative analysis with global standards, the chapter elucidates Saudi Arabia&amp;rsquo;s position and advancements in agricultural biosecurity, presenting an array of innovative technologies&amp;mdash;from precision agriculture tools to AI-driven pest detection systems&amp;mdash;that exemplify the country&amp;rsquo;s commitment to sustainable food production. Specific initiatives, such as the National Center for Prevention and Control of Plant Pests and Animal Diseases (NCPCPPAD)</w:instrText>
      </w:r>
      <w:r w:rsidRPr="00263D77">
        <w:rPr>
          <w:rFonts w:eastAsia="Times New Roman"/>
          <w:kern w:val="0"/>
          <w:rtl/>
          <w14:ligatures w14:val="none"/>
        </w:rPr>
        <w:instrText xml:space="preserve">, </w:instrText>
      </w:r>
      <w:r w:rsidRPr="00263D77">
        <w:rPr>
          <w:rFonts w:eastAsia="Times New Roman"/>
          <w:kern w:val="0"/>
          <w14:ligatures w14:val="none"/>
        </w:rPr>
        <w:instrText>are highlighted to illustrate practical applications. The chapter offers a multifaceted view of the challenges and successes of implementing biosecurity measures by incorporating comprehensive stakeholder perspectives, including those from farmers, policymakers, and scientists. Furthermore, it explores the impacts of climate change on agricultural biosecurity and delineates Saudi Arabia&amp;rsquo;s proactive approaches to mitigating these effects. Key findings include significant improvements in water consumption efficiency and crop yields. By weaving together interdisciplinary research, case studies, and policy analysis, the chapter seeks to contribute to the global discourse on securing food systems against biosecurity threats while advancing environmental</w:instrText>
      </w:r>
      <w:r w:rsidRPr="00263D77">
        <w:rPr>
          <w:rFonts w:eastAsia="Times New Roman"/>
          <w:kern w:val="0"/>
          <w:rtl/>
          <w14:ligatures w14:val="none"/>
        </w:rPr>
        <w:instrText xml:space="preserve"> </w:instrText>
      </w:r>
      <w:r w:rsidRPr="00263D77">
        <w:rPr>
          <w:rFonts w:eastAsia="Times New Roman"/>
          <w:kern w:val="0"/>
          <w14:ligatures w14:val="none"/>
        </w:rPr>
        <w:instrText>sustainability. Future directions for research and policy are also discussed.&lt;/p&gt;","DOI":"10.5772/intechopen.1007967","ISBN":"978-0-85466-424-5","language":"en","note":"DOI: 10.5772/intechopen.1007967","publisher":"IntechOpen","source":"www.intechopen.com</w:instrText>
      </w:r>
      <w:r w:rsidRPr="00263D77">
        <w:rPr>
          <w:rFonts w:eastAsia="Times New Roman"/>
          <w:kern w:val="0"/>
          <w:rtl/>
          <w14:ligatures w14:val="none"/>
        </w:rPr>
        <w:instrText>","</w:instrText>
      </w:r>
      <w:r w:rsidRPr="00263D77">
        <w:rPr>
          <w:rFonts w:eastAsia="Times New Roman"/>
          <w:kern w:val="0"/>
          <w14:ligatures w14:val="none"/>
        </w:rPr>
        <w:instrText>title":"Enhancing Agricultural Biosecurity: Strategies for Food Safety and Environmental Sustainability in Saudi Arabia","title-short":"Enhancing Agricultural Biosecurity","URL":"https://www.intechopen.com/online-first/1188660","author":[{"family":"Almotairy","given":"Hany M."},{"family":"Alshehri","given":"Khalid A."},{"family":"Almutairi","given":"Othman A."},{"family":"Alenizi","given":"Hanaa O."},{"family":"Bokheder","given":"Sultan"},{"family":"Almotairy","given":"Hany M."},{"family":"Alshehri","given":"Khalid A."},{"family":"Almutairi","given":"Othman A."},{"family":"Alenizi","given":"Hanaa O."},{"family":"Bokheder","given":"Sultan"}],"accessed":{"date-parts":[["2026",7,12]]},"issued":{"date-parts":[["2024",12,2]]}}}],"schema":"https://github.com</w:instrText>
      </w:r>
      <w:r w:rsidRPr="00263D77">
        <w:rPr>
          <w:rFonts w:eastAsia="Times New Roman"/>
          <w:kern w:val="0"/>
          <w:rtl/>
          <w14:ligatures w14:val="none"/>
        </w:rPr>
        <w:instrText>/</w:instrText>
      </w:r>
      <w:r w:rsidRPr="00263D77">
        <w:rPr>
          <w:rFonts w:eastAsia="Times New Roman"/>
          <w:kern w:val="0"/>
          <w14:ligatures w14:val="none"/>
        </w:rPr>
        <w:instrText>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kern w:val="0"/>
          <w:rtl/>
        </w:rPr>
        <w:t>(</w:t>
      </w:r>
      <w:r w:rsidRPr="00263D77">
        <w:rPr>
          <w:kern w:val="0"/>
        </w:rPr>
        <w:t>Almotairy et al., 2024</w:t>
      </w:r>
      <w:r w:rsidRPr="00263D77">
        <w:rPr>
          <w:kern w:val="0"/>
          <w:rtl/>
        </w:rPr>
        <w:t>)</w:t>
      </w:r>
      <w:r w:rsidRPr="00263D77">
        <w:rPr>
          <w:rFonts w:eastAsia="Times New Roman"/>
          <w:kern w:val="0"/>
          <w:rtl/>
          <w14:ligatures w14:val="none"/>
        </w:rPr>
        <w:fldChar w:fldCharType="end"/>
      </w:r>
      <w:r w:rsidRPr="00263D77">
        <w:rPr>
          <w:rFonts w:eastAsia="Times New Roman"/>
          <w:kern w:val="0"/>
          <w:rtl/>
          <w14:ligatures w14:val="none"/>
        </w:rPr>
        <w:t xml:space="preserve"> </w:t>
      </w:r>
      <w:r w:rsidRPr="00263D77">
        <w:rPr>
          <w:rtl/>
        </w:rPr>
        <w:t xml:space="preserve"> ومن أهم هذه المؤشرات: سرعة اكتشاف الآفة، دقة تحديد نوعها، كفاءة المسح الحقلي، نسبة الاستجابة للبلاغات، تغطية المناطق ذات الخطورة العالية، مدى الالتزام بالإجراءات الوقائية، وانخفاض الخسائر الاقتصادية والزراعية الناتجة عن التفشي. وهذه المؤشرات لا تتحسن بصورة عفوية، بل تتطلب إدارة دقيقة للمخاطر، تبدأ بتحديد مصادر التهديد ومسارات دخوله وانتشاره.</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{"citationID":"olyaVg3G","properties":{"unsorted":false,"formattedCitation":"(Jeger \\uc0\\u1608{}\\uc0\\u1570{}\\uc0\\u1582{}\\uc0\\u1585{}\\uc0\\u1608{}\\uc0\\u1606{}, 2012)","plainCitation":"(Jeger</w:instrText>
      </w:r>
      <w:r w:rsidRPr="00263D77">
        <w:rPr>
          <w:rFonts w:eastAsia="Times New Roman"/>
          <w:kern w:val="0"/>
          <w:rtl/>
          <w14:ligatures w14:val="none"/>
        </w:rPr>
        <w:instrText xml:space="preserve"> وآخرون, 2012)","</w:instrText>
      </w:r>
      <w:r w:rsidRPr="00263D77">
        <w:rPr>
          <w:rFonts w:eastAsia="Times New Roman"/>
          <w:kern w:val="0"/>
          <w14:ligatures w14:val="none"/>
        </w:rPr>
        <w:instrText>noteIndex":0},"citationItems":[{"id":894,"uris":["http://zotero.org/users/18677334/items/N68MTYA7"],"itemData":{"id":894,"type":"article-journal","abstract":"With the establishment of the Plant Health Panel in 2006, EFSA became the body responsible for risk assessment in the plant health area for the European Union (EU). Since then more than 70 outputs have been produced dealing with the full range of organisms harmful to plant health across all crop types and plants in the environment. There has been an increasing trend towards producing scientific opinions which are full pest risk assessments for the whole EU territory. In its work, and as a contribution to the wider development of risk assessment methodology, the Panel has developed a series of guidance documents. These deal with the peer review of existing pest risk assessments, a framework for conducting risk assessments which harmonise standards set by the International Plant Protection Convention and the legislative requirements of the EU, and extension</w:instrText>
      </w:r>
      <w:r w:rsidRPr="00263D77">
        <w:rPr>
          <w:rFonts w:eastAsia="Times New Roman"/>
          <w:kern w:val="0"/>
          <w:rtl/>
          <w14:ligatures w14:val="none"/>
        </w:rPr>
        <w:instrText xml:space="preserve"> </w:instrText>
      </w:r>
      <w:r w:rsidRPr="00263D77">
        <w:rPr>
          <w:rFonts w:eastAsia="Times New Roman"/>
          <w:kern w:val="0"/>
          <w14:ligatures w14:val="none"/>
        </w:rPr>
        <w:instrText>of this framework to include environmental risk assessment and the evaluation of risk reducing options. Quantitative approaches have become increasingly important during this time. The Panel has developed such methods in climatic mapping (in association with the Joint Research Councils), application of spatial spread models, re-evaluation of quantitative pathway analyses, and in statistical modelling of experimental data. A Plant Health Network has been established to facilitate interaction with EU Member</w:instrText>
      </w:r>
      <w:r w:rsidRPr="00263D77">
        <w:rPr>
          <w:rFonts w:eastAsia="Times New Roman"/>
          <w:kern w:val="0"/>
          <w:rtl/>
          <w14:ligatures w14:val="none"/>
        </w:rPr>
        <w:instrText xml:space="preserve"> </w:instrText>
      </w:r>
      <w:r w:rsidRPr="00263D77">
        <w:rPr>
          <w:rFonts w:eastAsia="Times New Roman"/>
          <w:kern w:val="0"/>
          <w14:ligatures w14:val="none"/>
        </w:rPr>
        <w:instrText>States, especially in relation to data collection and co-ordination of risk assessment activities. At the current time a revision of the EU Plant Health Regime is being formulated. The legislative consequences of the revision will be of considerable significance for the work of the Plant Health Panel.","container-title":"EFSA Journal","DOI":"10.2903/j.efsa.2012.s1012","ISSN":"1831-4732","issue":"10","language":"en","license":"© 2012 European Food Safety Authority","note":"_eprint: https://efsa.onlinelibrary.wiley.com/doi/pdf/10.2903/j.efsa.2012.s1012","page":"s1012","source":"Wiley Online Library","title":"Risk assessment in support of plant health","volume":"10","author":[{"family":"Jeger","given":"Michael"},{"family":"Schans","given":"Jan"},{"family</w:instrText>
      </w:r>
      <w:r w:rsidRPr="00263D77">
        <w:rPr>
          <w:rFonts w:eastAsia="Times New Roman"/>
          <w:kern w:val="0"/>
          <w:rtl/>
          <w14:ligatures w14:val="none"/>
        </w:rPr>
        <w:instrText>":"</w:instrText>
      </w:r>
      <w:r w:rsidRPr="00263D77">
        <w:rPr>
          <w:rFonts w:eastAsia="Times New Roman"/>
          <w:kern w:val="0"/>
          <w14:ligatures w14:val="none"/>
        </w:rPr>
        <w:instrText>Lövei","given":"Gabor L."},{"family":"Lenteren","given":"Joop","non-dropping-particle":"van"},{"family":"Navajas","given":"Maria"},{"family":"Makowski","given":"David"},{"family":"Stancanelli","given":"Giuseppe"},{"family":"Tramontini","given":"Sara"},{"family":"B. Ceglarska","given":"Elzbieta"}],"issued":{"date-parts":[["2012"]]}}}],"schema":"https://github.com/citation-style-language/schema/raw/master/csl-citation.json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kern w:val="0"/>
          <w:rtl/>
        </w:rPr>
        <w:t>(</w:t>
      </w:r>
      <w:r w:rsidRPr="00263D77">
        <w:rPr>
          <w:kern w:val="0"/>
        </w:rPr>
        <w:t>Jeger et al., 2012</w:t>
      </w:r>
      <w:r w:rsidRPr="00263D77">
        <w:rPr>
          <w:kern w:val="0"/>
          <w:rtl/>
        </w:rPr>
        <w:t>)</w:t>
      </w:r>
      <w:r w:rsidRPr="00263D77">
        <w:rPr>
          <w:rFonts w:eastAsia="Times New Roman"/>
          <w:kern w:val="0"/>
          <w:rtl/>
          <w14:ligatures w14:val="none"/>
        </w:rPr>
        <w:fldChar w:fldCharType="end"/>
      </w:r>
      <w:r w:rsidRPr="00263D77">
        <w:rPr>
          <w:rtl/>
        </w:rPr>
        <w:t xml:space="preserve"> </w:t>
      </w:r>
    </w:p>
    <w:p w14:paraId="148280AC" w14:textId="77777777" w:rsidR="00263D77" w:rsidRPr="00263D77" w:rsidRDefault="00263D77" w:rsidP="00263D77">
      <w:pPr>
        <w:numPr>
          <w:ilvl w:val="0"/>
          <w:numId w:val="23"/>
        </w:numPr>
        <w:rPr>
          <w:b/>
          <w:bCs/>
        </w:rPr>
      </w:pPr>
      <w:r w:rsidRPr="00263D77">
        <w:rPr>
          <w:b/>
          <w:bCs/>
          <w:rtl/>
        </w:rPr>
        <w:t>الفرع الثاني: مؤشرات الصحة الحيوانية</w:t>
      </w:r>
    </w:p>
    <w:p w14:paraId="6D8F087E" w14:textId="77777777" w:rsidR="00263D77" w:rsidRPr="00263D77" w:rsidRDefault="00263D77" w:rsidP="00263D77">
      <w:pPr>
        <w:spacing w:before="100" w:beforeAutospacing="1" w:after="100" w:afterAutospacing="1"/>
        <w:rPr>
          <w:rFonts w:eastAsia="Times New Roman"/>
          <w:kern w:val="0"/>
          <w:rtl/>
          <w14:ligatures w14:val="none"/>
        </w:rPr>
      </w:pPr>
      <w:r w:rsidRPr="00263D77">
        <w:rPr>
          <w:rtl/>
        </w:rPr>
        <w:t>أما في مجال الصحة الحيوانية، فتشمل مؤشرات الأداء جوانب مثل سرعة رصد المرض، ودقة التشخيص، وكفاءة الاستقصاء الوبائي، ومستوى التنسيق بين الجهات البيطرية والميدانية، وفعالية إجراءات الحجر والسيطرة، ومدى خفض معدلات الانتقال، وحجم الاستجابة المبكرة.</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{"citationID":"iDQs2u9M","properties":{"unsorted":false,"formattedCitation":"(Jin \\uc0\\u1608{}\\uc0\\u1570{}\\uc0\\u1582{}\\uc0\\u1585{}\\uc0\\u1608{}\\uc0\\u1606{}, 2009)","plainCitation":"(Jin</w:instrText>
      </w:r>
      <w:r w:rsidRPr="00263D77">
        <w:rPr>
          <w:rFonts w:eastAsia="Times New Roman"/>
          <w:kern w:val="0"/>
          <w:rtl/>
          <w14:ligatures w14:val="none"/>
        </w:rPr>
        <w:instrText xml:space="preserve"> وآخرون, 2009)","</w:instrText>
      </w:r>
      <w:r w:rsidRPr="00263D77">
        <w:rPr>
          <w:rFonts w:eastAsia="Times New Roman"/>
          <w:kern w:val="0"/>
          <w14:ligatures w14:val="none"/>
        </w:rPr>
        <w:instrText>noteIndex</w:instrText>
      </w:r>
      <w:r w:rsidRPr="00263D77">
        <w:rPr>
          <w:rFonts w:eastAsia="Times New Roman"/>
          <w:kern w:val="0"/>
          <w:rtl/>
          <w14:ligatures w14:val="none"/>
        </w:rPr>
        <w:instrText>":0},"</w:instrText>
      </w:r>
      <w:r w:rsidRPr="00263D77">
        <w:rPr>
          <w:rFonts w:eastAsia="Times New Roman"/>
          <w:kern w:val="0"/>
          <w14:ligatures w14:val="none"/>
        </w:rPr>
        <w:instrText>citationItems":[{"id":891,"uris":["http://zotero.org/users/18677334/items/LPFJSGX7"],"itemData":{"id":891,"type":"article-journal","abstract":"Animal agriculture is vulnerable to both intentional and unintentional biological threats. Outbreaks, especially intentional attacks, could cause enormous consequences extending well beyond agriculture. Nations, including the USA, are consolidating and coordinating efforts to protect against these biological threats. The efforts employed largely fall into the</w:instrText>
      </w:r>
      <w:r w:rsidRPr="00263D77">
        <w:rPr>
          <w:rFonts w:eastAsia="Times New Roman"/>
          <w:kern w:val="0"/>
          <w:rtl/>
          <w14:ligatures w14:val="none"/>
        </w:rPr>
        <w:instrText xml:space="preserve"> </w:instrText>
      </w:r>
      <w:r w:rsidRPr="00263D77">
        <w:rPr>
          <w:rFonts w:eastAsia="Times New Roman"/>
          <w:kern w:val="0"/>
          <w14:ligatures w14:val="none"/>
        </w:rPr>
        <w:instrText>categories of ex ante prevention/preparedness and ex post response/recovery. The optimal mix across these strategies depends on the event probability, expected economic consequences, costs and effectiveness of strategies, and disease spread rates along with other factors. We review the literature discussing vulnerability and mitigation strategies and issues of relevance to agricultural security and then develop strategic recommendations based on economic analyses. These recommendations address (1) what categories of mitigation strategies are likely to be most effective (2) what implementation issues exist and how these implementation challenges could be managed or overcome and (3) what leverages can be done on technology, scientific advancement and education.","container-title":"International Journal of Risk Assessment and Management","DOI":"10.1504/IJRAM.2009.025918","ISSN":"1466-8297, 1741-5241","issue":"2/3/4","journalAbbreviation":"IJRAM","language":"en","page":"186","source":"DOI.org (Crossref)","title":"Risk assessment and management of animal disease-related biosecurity","volume":"12","author":[{"family":"Jin","given":"Yanhong H."},{"family":"McCarl","given":"Bruce A."},{"family":"Elbakidze","given":"Levan"}],"issued":{"date-parts</w:instrText>
      </w:r>
      <w:r w:rsidRPr="00263D77">
        <w:rPr>
          <w:rFonts w:eastAsia="Times New Roman"/>
          <w:kern w:val="0"/>
          <w:rtl/>
          <w14:ligatures w14:val="none"/>
        </w:rPr>
        <w:instrText>":[["2009"]]</w:instrText>
      </w:r>
      <w:r w:rsidRPr="00263D77">
        <w:rPr>
          <w:rFonts w:eastAsia="Times New Roman"/>
          <w:kern w:val="0"/>
          <w14:ligatures w14:val="none"/>
        </w:rPr>
        <w:instrText>}</w:instrText>
      </w:r>
      <w:r w:rsidRPr="00263D77">
        <w:rPr>
          <w:rFonts w:eastAsia="Times New Roman"/>
          <w:kern w:val="0"/>
          <w:rtl/>
          <w14:ligatures w14:val="none"/>
        </w:rPr>
        <w:instrText>}}],"</w:instrText>
      </w:r>
      <w:r w:rsidRPr="00263D77">
        <w:rPr>
          <w:rFonts w:eastAsia="Times New Roman"/>
          <w:kern w:val="0"/>
          <w14:ligatures w14:val="none"/>
        </w:rPr>
        <w:instrText>schema":"https://github.com/citation-style-language/schema/raw/master/csl-citation.json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kern w:val="0"/>
          <w:rtl/>
        </w:rPr>
        <w:t>(</w:t>
      </w:r>
      <w:r w:rsidRPr="00263D77">
        <w:rPr>
          <w:kern w:val="0"/>
        </w:rPr>
        <w:t>Jin et al., 2009</w:t>
      </w:r>
      <w:r w:rsidRPr="00263D77">
        <w:rPr>
          <w:kern w:val="0"/>
          <w:rtl/>
        </w:rPr>
        <w:t>)</w:t>
      </w:r>
      <w:r w:rsidRPr="00263D77">
        <w:rPr>
          <w:rFonts w:eastAsia="Times New Roman"/>
          <w:kern w:val="0"/>
          <w:rtl/>
          <w14:ligatures w14:val="none"/>
        </w:rPr>
        <w:fldChar w:fldCharType="end"/>
      </w:r>
    </w:p>
    <w:p w14:paraId="2345CAF4" w14:textId="77777777" w:rsidR="00263D77" w:rsidRPr="00263D77" w:rsidRDefault="00263D77" w:rsidP="00263D77">
      <w:pPr>
        <w:rPr>
          <w:rtl/>
        </w:rPr>
      </w:pPr>
      <w:r w:rsidRPr="00263D77">
        <w:rPr>
          <w:rtl/>
        </w:rPr>
        <w:t xml:space="preserve"> ويظهر هنا بوضوح أن مؤشرات الأداء لا تنفصل عن إدارة المخاطر؛ لأن أي قصور في تحديد بؤر الخطر أو تقييم خطورته أو اختيار أسلوب الاستجابة ينعكس مباشرة على جودة الاحتواء، وعلى سلامة الثروة الحيوانية، وعلى الصحة العامة. </w:t>
      </w:r>
      <w:sdt>
        <w:sdtPr>
          <w:rPr>
            <w:rtl/>
          </w:rPr>
          <w:id w:val="1113319065"/>
          <w:citation/>
        </w:sdtPr>
        <w:sdtEndPr/>
        <w:sdtContent>
          <w:r w:rsidRPr="00263D77">
            <w:rPr>
              <w:rtl/>
            </w:rPr>
            <w:fldChar w:fldCharType="begin"/>
          </w:r>
          <w:r w:rsidRPr="00263D77">
            <w:rPr>
              <w:rtl/>
              <w:lang w:bidi="ar-EG"/>
            </w:rPr>
            <w:instrText xml:space="preserve"> </w:instrText>
          </w:r>
          <w:r w:rsidRPr="00263D77">
            <w:instrText>CITATION</w:instrText>
          </w:r>
          <w:r w:rsidRPr="00263D77">
            <w:rPr>
              <w:rtl/>
              <w:lang w:bidi="ar-EG"/>
            </w:rPr>
            <w:instrText xml:space="preserve"> الر25 \</w:instrText>
          </w:r>
          <w:r w:rsidRPr="00263D77">
            <w:instrText>l 3073</w:instrText>
          </w:r>
          <w:r w:rsidRPr="00263D77">
            <w:rPr>
              <w:rtl/>
              <w:lang w:bidi="ar-EG"/>
            </w:rPr>
            <w:instrText xml:space="preserve"> </w:instrText>
          </w:r>
          <w:r w:rsidRPr="00263D77">
            <w:rPr>
              <w:rtl/>
            </w:rPr>
            <w:fldChar w:fldCharType="separate"/>
          </w:r>
          <w:r w:rsidRPr="00263D77">
            <w:rPr>
              <w:noProof/>
              <w:rtl/>
              <w:lang w:bidi="ar-EG"/>
            </w:rPr>
            <w:t>(الرويلي، 2025)</w:t>
          </w:r>
          <w:r w:rsidRPr="00263D77">
            <w:rPr>
              <w:rtl/>
            </w:rPr>
            <w:fldChar w:fldCharType="end"/>
          </w:r>
        </w:sdtContent>
      </w:sdt>
    </w:p>
    <w:p w14:paraId="4787ABD0" w14:textId="77777777" w:rsidR="00263D77" w:rsidRPr="00263D77" w:rsidRDefault="00263D77" w:rsidP="00263D77">
      <w:pPr>
        <w:numPr>
          <w:ilvl w:val="0"/>
          <w:numId w:val="23"/>
        </w:numPr>
        <w:rPr>
          <w:b/>
          <w:bCs/>
        </w:rPr>
      </w:pPr>
      <w:r w:rsidRPr="00263D77">
        <w:rPr>
          <w:b/>
          <w:bCs/>
          <w:rtl/>
        </w:rPr>
        <w:t>الفرع الثالث: المؤشرات التنظيمية المشتركة</w:t>
      </w:r>
    </w:p>
    <w:p w14:paraId="3AD714BE" w14:textId="77777777" w:rsidR="00263D77" w:rsidRPr="00263D77" w:rsidRDefault="00263D77" w:rsidP="00263D77">
      <w:pPr>
        <w:spacing w:before="100" w:beforeAutospacing="1" w:after="100" w:afterAutospacing="1"/>
        <w:rPr>
          <w:rFonts w:eastAsia="Times New Roman"/>
          <w:kern w:val="0"/>
          <w:rtl/>
          <w14:ligatures w14:val="none"/>
        </w:rPr>
      </w:pPr>
      <w:r w:rsidRPr="00263D77">
        <w:rPr>
          <w:rtl/>
        </w:rPr>
        <w:t xml:space="preserve">هناك مؤشرات مشتركة بين النظامين النباتي والحيواني، ترتبط بالقدرة التنظيمية للمركز، مثل فاعلية التنسيق الداخلي، وسرعة تداول المعلومات، وكفاءة إدارة الموارد، ونضج القواعد الإجرائية، وقدرة القيادة على اتخاذ القرار، واستدامة العمليات أثناء الأحداث الحرجة، ومدى رضا المستفيدين من الخدمات الوقائية والتنظيمية. وهذا النوع من المؤشرات يمثل الحلقة التي تربط الأداء الفني بالأداء المؤسسي، وهو الأكثر حساسية لتطبيق إدارة المخاطر بصورة متكاملة.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{"citationID":"T7ihNw6l","properties":{"unsorted":false,"formattedCitation":"(Montibeller \\uc0\\u1608{}\\uc0\\u1570{}\\uc0\\u1582{}\\uc0\\u1585{}\\uc0\\u1608{}\\uc0\\u1606{}, 2020)","plainCitation":"(Montibeller</w:instrText>
      </w:r>
      <w:r w:rsidRPr="00263D77">
        <w:rPr>
          <w:rFonts w:eastAsia="Times New Roman"/>
          <w:kern w:val="0"/>
          <w:rtl/>
          <w14:ligatures w14:val="none"/>
        </w:rPr>
        <w:instrText xml:space="preserve"> وآخرون, 2020)","</w:instrText>
      </w:r>
      <w:r w:rsidRPr="00263D77">
        <w:rPr>
          <w:rFonts w:eastAsia="Times New Roman"/>
          <w:kern w:val="0"/>
          <w14:ligatures w14:val="none"/>
        </w:rPr>
        <w:instrText>noteIndex":0},"citationItems":[{"id":883,"uris":["http://zotero.org/users/18677334/items/B7BJDGMC"],"itemData":{"id":883,"type":"article-journal","abstract":"The increasing need to manage biosecurity threats, such as diseases, zoonoses, and biological weapons, poses serious challenges for risk analysts and policymakers. These threats are large in number, can occur concurrently, and may cause multiple tangible and intangible impacts. They often have an emerging nature, exacerbated by incomplete evidence about their probability of occurrence and potential impacts. There is also a limited amount of time and resources available to evaluate the risks posed by each threat, and it is difficult to learn from past projects. On the other hand, there is also a</w:instrText>
      </w:r>
      <w:r w:rsidRPr="00263D77">
        <w:rPr>
          <w:rFonts w:eastAsia="Times New Roman"/>
          <w:kern w:val="0"/>
          <w:rtl/>
          <w14:ligatures w14:val="none"/>
        </w:rPr>
        <w:instrText xml:space="preserve"> </w:instrText>
      </w:r>
      <w:r w:rsidRPr="00263D77">
        <w:rPr>
          <w:rFonts w:eastAsia="Times New Roman"/>
          <w:kern w:val="0"/>
          <w14:ligatures w14:val="none"/>
        </w:rPr>
        <w:instrText>need to provide policymakers with transparent and consistent threat prioritizations, together with evidence-based recommendations. In response to these challenges, we propose a risk analysis framework for the prioritization and management of biosecurity</w:instrText>
      </w:r>
      <w:r w:rsidRPr="00263D77">
        <w:rPr>
          <w:rFonts w:eastAsia="Times New Roman"/>
          <w:kern w:val="0"/>
          <w:rtl/>
          <w14:ligatures w14:val="none"/>
        </w:rPr>
        <w:instrText xml:space="preserve"> </w:instrText>
      </w:r>
      <w:r w:rsidRPr="00263D77">
        <w:rPr>
          <w:rFonts w:eastAsia="Times New Roman"/>
          <w:kern w:val="0"/>
          <w14:ligatures w14:val="none"/>
        </w:rPr>
        <w:instrText>threats. The framework encompasses key design choices that analysts may use in risk analysis projects along three dimensions: risk support, risk group, and risk organization. The framework has prescriptive value, as a design tool to inform risk analysis projects in this context, along with descriptive value, as a learning tool to understand past projects. We applied the framework prescriptively in two biosecurity threat prioritization projects for the UK Department for Environment, Food and Rural Affairs</w:instrText>
      </w:r>
      <w:r w:rsidRPr="00263D77">
        <w:rPr>
          <w:rFonts w:eastAsia="Times New Roman"/>
          <w:kern w:val="0"/>
          <w:rtl/>
          <w14:ligatures w14:val="none"/>
        </w:rPr>
        <w:instrText xml:space="preserve">, </w:instrText>
      </w:r>
      <w:r w:rsidRPr="00263D77">
        <w:rPr>
          <w:rFonts w:eastAsia="Times New Roman"/>
          <w:kern w:val="0"/>
          <w14:ligatures w14:val="none"/>
        </w:rPr>
        <w:instrText>and illustrate its descriptive value by reporting our experience of these projects as in-depth case studies. Overall, the proposed framework provides important insights into the impact of different design choices on the success of risk analysis projects</w:instrText>
      </w:r>
      <w:r w:rsidRPr="00263D77">
        <w:rPr>
          <w:rFonts w:eastAsia="Times New Roman"/>
          <w:kern w:val="0"/>
          <w:rtl/>
          <w14:ligatures w14:val="none"/>
        </w:rPr>
        <w:instrText xml:space="preserve"> </w:instrText>
      </w:r>
      <w:r w:rsidRPr="00263D77">
        <w:rPr>
          <w:rFonts w:eastAsia="Times New Roman"/>
          <w:kern w:val="0"/>
          <w14:ligatures w14:val="none"/>
        </w:rPr>
        <w:instrText>for biosecurity threat prioritizations.","container-title":"Risk Analysis","DOI":"10.1111/risa.13542","ISSN":"1539-6924","issue":"11","language":"en","license":"© 2020 The Authors. Risk Analysis published by Wiley Periodicals, Inc. on behalf of Society for Risk Analysis","note":"_eprint: https://onlinelibrary.wiley.com/doi/pdf/10.1111/risa.13542","page":"2462-2477","source":"Wiley Online Library","title":"A Risk Analysis Framework for Prioritizing and Managing Biosecurity Threats","volume":"40","author</w:instrText>
      </w:r>
      <w:r w:rsidRPr="00263D77">
        <w:rPr>
          <w:rFonts w:eastAsia="Times New Roman"/>
          <w:kern w:val="0"/>
          <w:rtl/>
          <w14:ligatures w14:val="none"/>
        </w:rPr>
        <w:instrText>":[</w:instrText>
      </w:r>
      <w:r w:rsidRPr="00263D77">
        <w:rPr>
          <w:rFonts w:eastAsia="Times New Roman"/>
          <w:kern w:val="0"/>
          <w14:ligatures w14:val="none"/>
        </w:rPr>
        <w:instrText>{"family":"Montibeller","given":"Gilberto"},{"family":"Franco","given":"L. Alberto"},{"family":"Carreras","given":"Ashley"}],"issued":{"date-parts":[["2020"]]}}}],"schema":"https://github.com/citation-style-language/schema/raw/master/csl-citation.json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kern w:val="0"/>
          <w:rtl/>
        </w:rPr>
        <w:t>(</w:t>
      </w:r>
      <w:r w:rsidRPr="00263D77">
        <w:rPr>
          <w:kern w:val="0"/>
        </w:rPr>
        <w:t>Montibeller et al., 2020</w:t>
      </w:r>
      <w:r w:rsidRPr="00263D77">
        <w:rPr>
          <w:kern w:val="0"/>
          <w:rtl/>
        </w:rPr>
        <w:t>)</w:t>
      </w:r>
      <w:r w:rsidRPr="00263D77">
        <w:rPr>
          <w:rFonts w:eastAsia="Times New Roman"/>
          <w:kern w:val="0"/>
          <w:rtl/>
          <w14:ligatures w14:val="none"/>
        </w:rPr>
        <w:fldChar w:fldCharType="end"/>
      </w:r>
    </w:p>
    <w:p w14:paraId="6843901E" w14:textId="77777777" w:rsidR="00263D77" w:rsidRPr="00263D77" w:rsidRDefault="00263D77" w:rsidP="00263D77">
      <w:pPr>
        <w:keepNext/>
        <w:keepLines/>
        <w:spacing w:before="120"/>
        <w:outlineLvl w:val="1"/>
        <w:rPr>
          <w:rFonts w:asciiTheme="majorHAnsi" w:eastAsiaTheme="majorEastAsia" w:hAnsiTheme="majorHAnsi"/>
          <w:bCs/>
          <w:color w:val="7030A0"/>
          <w:kern w:val="0"/>
          <w:sz w:val="26"/>
          <w:szCs w:val="32"/>
          <w14:ligatures w14:val="none"/>
        </w:rPr>
      </w:pPr>
      <w:bookmarkStart w:id="31" w:name="_Toc234717623"/>
      <w:r w:rsidRPr="00263D77">
        <w:rPr>
          <w:rFonts w:asciiTheme="majorHAnsi" w:eastAsiaTheme="majorEastAsia" w:hAnsiTheme="majorHAnsi"/>
          <w:bCs/>
          <w:color w:val="7030A0"/>
          <w:kern w:val="0"/>
          <w:sz w:val="26"/>
          <w:szCs w:val="32"/>
          <w:rtl/>
          <w14:ligatures w14:val="none"/>
        </w:rPr>
        <w:t>المبحث الثالث: العلاقة بين المتغيرين</w:t>
      </w:r>
      <w:bookmarkEnd w:id="31"/>
    </w:p>
    <w:p w14:paraId="02FCB99A" w14:textId="77777777" w:rsidR="00263D77" w:rsidRPr="00263D77" w:rsidRDefault="00263D77" w:rsidP="00263D77">
      <w:pPr>
        <w:spacing w:before="100" w:beforeAutospacing="1"/>
        <w:ind w:left="-284"/>
        <w:outlineLvl w:val="2"/>
        <w:rPr>
          <w:rFonts w:ascii="Times New Roman" w:eastAsia="Times New Roman" w:hAnsi="Times New Roman"/>
          <w:b/>
          <w:bCs/>
          <w:kern w:val="0"/>
          <w:sz w:val="27"/>
          <w14:ligatures w14:val="none"/>
        </w:rPr>
      </w:pPr>
      <w:bookmarkStart w:id="32" w:name="_Toc234717624"/>
      <w:r w:rsidRPr="00263D77">
        <w:rPr>
          <w:rFonts w:ascii="Times New Roman" w:eastAsia="Times New Roman" w:hAnsi="Times New Roman"/>
          <w:b/>
          <w:bCs/>
          <w:kern w:val="0"/>
          <w:sz w:val="27"/>
          <w:rtl/>
          <w14:ligatures w14:val="none"/>
        </w:rPr>
        <w:t>المطلب الأول: التأصيل النظري للعلاقة بين منهجية إدارة المخاطر ومؤشرات الأداء</w:t>
      </w:r>
      <w:bookmarkEnd w:id="32"/>
    </w:p>
    <w:p w14:paraId="3468EF3C" w14:textId="77777777" w:rsidR="00263D77" w:rsidRPr="00263D77" w:rsidRDefault="00263D77" w:rsidP="00263D77">
      <w:pPr>
        <w:numPr>
          <w:ilvl w:val="0"/>
          <w:numId w:val="24"/>
        </w:numPr>
        <w:rPr>
          <w:b/>
          <w:bCs/>
        </w:rPr>
      </w:pPr>
      <w:r w:rsidRPr="00263D77">
        <w:rPr>
          <w:b/>
          <w:bCs/>
          <w:rtl/>
        </w:rPr>
        <w:t>الفرع الأول: أثر تحديد المخاطر في تحسين الأداء</w:t>
      </w:r>
    </w:p>
    <w:p w14:paraId="38AEA3AC" w14:textId="77777777" w:rsidR="00263D77" w:rsidRPr="00263D77" w:rsidRDefault="00263D77" w:rsidP="00263D77">
      <w:pPr>
        <w:spacing w:before="100" w:beforeAutospacing="1" w:after="100" w:afterAutospacing="1"/>
        <w:rPr>
          <w:rFonts w:eastAsia="Times New Roman"/>
          <w:kern w:val="0"/>
          <w14:ligatures w14:val="none"/>
        </w:rPr>
      </w:pPr>
      <w:r w:rsidRPr="00263D77">
        <w:rPr>
          <w:rtl/>
        </w:rPr>
        <w:lastRenderedPageBreak/>
        <w:t>تبدأ العلاقة بين إدارة المخاطر والأداء من مرحلة تحديد المخاطر؛ إذ إن المؤسسة التي تحدد المخاطر مبكرًا وبصورة دقيقة تكون أقدر على الوقاية، وعلى توجيه الجهد نحو النقاط الحرجة بدلًا من تشتيته.</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{"citationID":"31gY8cDL","properties":{"unsorted":false,"formattedCitation":"(Baker et al., 2014)","plainCitation":"(Baker et al., 2014)","noteIndex":0},"citationItems":[{"id":897,"uris":["http://zotero.org/users/18677334/items/FGKUBGBB"],"itemData":{"id":897,"type":"article-journal","abstract":"Following unprecedented publicity concerning pest threats to UK trees in 2012, a review body recommended that a UK Plant Health Risk Register (RR) be developed to assist with the prioritisation of actions to reduce the threats posed by the major pests of plant health importance. The RR that has been developed assigns relative risk ratings to pests according to appropriate scenarios, e.g. introduction for pests that are absent. The ratings were based on rules created to summarise the likelihoods of occurrence and impacts taking into account information on the pests and factors such as their pathways, hosts, distribution, spread and impacts. Expert judgement was used where information</w:instrText>
      </w:r>
      <w:r w:rsidRPr="00263D77">
        <w:rPr>
          <w:rFonts w:eastAsia="Times New Roman"/>
          <w:kern w:val="0"/>
          <w:rtl/>
          <w14:ligatures w14:val="none"/>
        </w:rPr>
        <w:instrText xml:space="preserve"> </w:instrText>
      </w:r>
      <w:r w:rsidRPr="00263D77">
        <w:rPr>
          <w:rFonts w:eastAsia="Times New Roman"/>
          <w:kern w:val="0"/>
          <w14:ligatures w14:val="none"/>
        </w:rPr>
        <w:instrText>is lacking. A score referred to as ‘the value at risk’ was obtained from economic and environmental data to produce risk ratings that reflect the value of the host sector to the UK. Risk ratings in the absence of mitigations (risk management actions) were compared with those that take existing actions into account to identify species that are priorities for additional actions, e.g. to enhance regulation or conduct pest risk analyses. The RR is now used routinely to support decision making and further developments are planned.","container-title":"EPPO Bulletin","DOI":"10.1111/epp.12130","ISSN":"1365-2338","issue":"2","language":"fr","license":"© 2014 Crown copyright. EPPO Bulletin © 2014 OEPP/EPPO","note":"_eprint: https://onlinelibrary.wiley.com/doi/pdf</w:instrText>
      </w:r>
      <w:r w:rsidRPr="00263D77">
        <w:rPr>
          <w:rFonts w:eastAsia="Times New Roman"/>
          <w:kern w:val="0"/>
          <w:rtl/>
          <w14:ligatures w14:val="none"/>
        </w:rPr>
        <w:instrText>/10.1111/</w:instrText>
      </w:r>
      <w:r w:rsidRPr="00263D77">
        <w:rPr>
          <w:rFonts w:eastAsia="Times New Roman"/>
          <w:kern w:val="0"/>
          <w14:ligatures w14:val="none"/>
        </w:rPr>
        <w:instrText>epp.12130","page":"187-194","source":"Wiley Online Library","title":"The UK Plant Health Risk Register: a tool for prioritizing actions","title-short":"The UK Plant Health Risk Register","volume":"44","author":[{"family":"Baker","given":"R. H. A</w:instrText>
      </w:r>
      <w:r w:rsidRPr="00263D77">
        <w:rPr>
          <w:rFonts w:eastAsia="Times New Roman"/>
          <w:kern w:val="0"/>
          <w:rtl/>
          <w14:ligatures w14:val="none"/>
        </w:rPr>
        <w:instrText>."},{"</w:instrText>
      </w:r>
      <w:r w:rsidRPr="00263D77">
        <w:rPr>
          <w:rFonts w:eastAsia="Times New Roman"/>
          <w:kern w:val="0"/>
          <w14:ligatures w14:val="none"/>
        </w:rPr>
        <w:instrText>family":"Anderson","given":"H."},{"family":"Bishop","given":"S."},{"family":"MacLeod","given":"A."},{"family":"Parkinson","given":"N."},{"family":"Tuffen","given":"M. G."}],"issued":{"date-parts":[["2014"]]}}}],"schema":"https://github.com/citation-style-language/schema/raw/master/csl-citation.json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szCs w:val="22"/>
        </w:rPr>
        <w:t>(Baker et al., 2014)</w:t>
      </w:r>
      <w:r w:rsidRPr="00263D77">
        <w:rPr>
          <w:rFonts w:eastAsia="Times New Roman"/>
          <w:kern w:val="0"/>
          <w:rtl/>
          <w14:ligatures w14:val="none"/>
        </w:rPr>
        <w:fldChar w:fldCharType="end"/>
      </w:r>
      <w:r w:rsidRPr="00263D77">
        <w:rPr>
          <w:rFonts w:eastAsia="Times New Roman"/>
          <w:kern w:val="0"/>
          <w:rtl/>
          <w14:ligatures w14:val="none"/>
        </w:rPr>
        <w:t xml:space="preserve"> </w:t>
      </w:r>
      <w:r w:rsidRPr="00263D77">
        <w:rPr>
          <w:rtl/>
        </w:rPr>
        <w:t xml:space="preserve">فالتحديد الدقيق يقلل من المفاجآت التشغيلية، ويساعد على تصميم خطط رقابة وتدخل أكثر واقعية، ويرفع جودة المتابعة، ويمنح الإدارة رؤية أفضل لخرائط التهديد. وفي سياق مركز وقاء، ينعكس ذلك على تحسين مؤشرات مثل سرعة الرصد، ودقة الإنذار المبكر، ونسبة التغطية الوقائية، وتقليل فجوات الاستجابة. </w:t>
      </w:r>
      <w:sdt>
        <w:sdtPr>
          <w:rPr>
            <w:rtl/>
          </w:rPr>
          <w:id w:val="-1912378824"/>
          <w:citation/>
        </w:sdtPr>
        <w:sdtEndPr/>
        <w:sdtContent>
          <w:r w:rsidRPr="00263D77">
            <w:rPr>
              <w:rtl/>
            </w:rPr>
            <w:fldChar w:fldCharType="begin"/>
          </w:r>
          <w:r w:rsidRPr="00263D77">
            <w:rPr>
              <w:rtl/>
              <w:lang w:bidi="ar-EG"/>
            </w:rPr>
            <w:instrText xml:space="preserve"> </w:instrText>
          </w:r>
          <w:r w:rsidRPr="00263D77">
            <w:instrText>CITATION</w:instrText>
          </w:r>
          <w:r w:rsidRPr="00263D77">
            <w:rPr>
              <w:rtl/>
              <w:lang w:bidi="ar-EG"/>
            </w:rPr>
            <w:instrText xml:space="preserve"> الع25 \</w:instrText>
          </w:r>
          <w:r w:rsidRPr="00263D77">
            <w:instrText>l 3073</w:instrText>
          </w:r>
          <w:r w:rsidRPr="00263D77">
            <w:rPr>
              <w:rtl/>
              <w:lang w:bidi="ar-EG"/>
            </w:rPr>
            <w:instrText xml:space="preserve"> </w:instrText>
          </w:r>
          <w:r w:rsidRPr="00263D77">
            <w:rPr>
              <w:rtl/>
            </w:rPr>
            <w:fldChar w:fldCharType="separate"/>
          </w:r>
          <w:r w:rsidRPr="00263D77">
            <w:rPr>
              <w:noProof/>
              <w:rtl/>
              <w:lang w:bidi="ar-EG"/>
            </w:rPr>
            <w:t>(العقيلي، 2025)</w:t>
          </w:r>
          <w:r w:rsidRPr="00263D77">
            <w:rPr>
              <w:rtl/>
            </w:rPr>
            <w:fldChar w:fldCharType="end"/>
          </w:r>
        </w:sdtContent>
      </w:sdt>
    </w:p>
    <w:p w14:paraId="1EC9C3EB" w14:textId="77777777" w:rsidR="00263D77" w:rsidRPr="00263D77" w:rsidRDefault="00263D77" w:rsidP="00263D77">
      <w:r w:rsidRPr="00263D77">
        <w:rPr>
          <w:rtl/>
        </w:rPr>
        <w:t>كما أن مرحلة تحديد المخاطر تؤثر في الأداء التنظيمي من خلال تحسين وضوح المسؤوليات وتوزيع الأولويات. فعندما تكون مصادر الخطر معروفة ومصنفة، يصبح من الممكن ربط كل خطر بالجهة المختصة، والموارد المطلوبة، وإجراءات التدخل، ومؤشرات القياس المناسبة. وهذا ما يجعل تحديد المخاطر ليس مجرد خطوة تحليلية، بل خطوة تأسيسية لتحسين الأداء التشغيلي والتنظيمي معًا.</w:t>
      </w:r>
      <w:r w:rsidRPr="00263D77">
        <w:t xml:space="preserve"> </w:t>
      </w:r>
      <w:sdt>
        <w:sdtPr>
          <w:rPr>
            <w:rtl/>
          </w:rPr>
          <w:id w:val="-1446925646"/>
          <w:citation/>
        </w:sdtPr>
        <w:sdtEndPr/>
        <w:sdtContent>
          <w:r w:rsidRPr="00263D77">
            <w:rPr>
              <w:rtl/>
            </w:rPr>
            <w:fldChar w:fldCharType="begin"/>
          </w:r>
          <w:r w:rsidRPr="00263D77">
            <w:rPr>
              <w:lang w:bidi="ar-EG"/>
            </w:rPr>
            <w:instrText>CITATION</w:instrText>
          </w:r>
          <w:r w:rsidRPr="00263D77">
            <w:rPr>
              <w:rtl/>
              <w:lang w:bidi="ar-EG"/>
            </w:rPr>
            <w:instrText xml:space="preserve"> الم19 \</w:instrText>
          </w:r>
          <w:r w:rsidRPr="00263D77">
            <w:rPr>
              <w:lang w:bidi="ar-EG"/>
            </w:rPr>
            <w:instrText>l 3073</w:instrText>
          </w:r>
          <w:r w:rsidRPr="00263D77">
            <w:rPr>
              <w:rtl/>
              <w:lang w:bidi="ar-EG"/>
            </w:rPr>
            <w:instrText xml:space="preserve"> </w:instrText>
          </w:r>
          <w:r w:rsidRPr="00263D77">
            <w:rPr>
              <w:rtl/>
            </w:rPr>
            <w:fldChar w:fldCharType="separate"/>
          </w:r>
          <w:r w:rsidRPr="00263D77">
            <w:rPr>
              <w:noProof/>
              <w:rtl/>
            </w:rPr>
            <w:t>(المدرع، 2019)</w:t>
          </w:r>
          <w:r w:rsidRPr="00263D77">
            <w:rPr>
              <w:rtl/>
            </w:rPr>
            <w:fldChar w:fldCharType="end"/>
          </w:r>
        </w:sdtContent>
      </w:sdt>
    </w:p>
    <w:p w14:paraId="3D6DDE52" w14:textId="77777777" w:rsidR="00263D77" w:rsidRPr="00263D77" w:rsidRDefault="00263D77" w:rsidP="00263D77">
      <w:pPr>
        <w:numPr>
          <w:ilvl w:val="0"/>
          <w:numId w:val="24"/>
        </w:numPr>
        <w:rPr>
          <w:b/>
          <w:bCs/>
        </w:rPr>
      </w:pPr>
      <w:r w:rsidRPr="00263D77">
        <w:rPr>
          <w:b/>
          <w:bCs/>
          <w:rtl/>
        </w:rPr>
        <w:t>الفرع الثاني: أثر تقييم المخاطر في كفاءة القرار</w:t>
      </w:r>
    </w:p>
    <w:p w14:paraId="3AF6C25C" w14:textId="77777777" w:rsidR="00263D77" w:rsidRPr="00263D77" w:rsidRDefault="00263D77" w:rsidP="00263D77">
      <w:pPr>
        <w:spacing w:before="100" w:beforeAutospacing="1" w:after="100" w:afterAutospacing="1"/>
        <w:rPr>
          <w:rFonts w:eastAsia="Times New Roman"/>
          <w:kern w:val="0"/>
          <w14:ligatures w14:val="none"/>
        </w:rPr>
      </w:pPr>
      <w:r w:rsidRPr="00263D77">
        <w:rPr>
          <w:rtl/>
        </w:rPr>
        <w:t>يُعد تقييم المخاطر المرحلة التي تترجم فيها المؤسسة معرفتها بالتهديدات إلى أولويات قرار. فليست كل المخاطر متساوية من حيث الاحتمال أو الأثر أو السرعة أو نطاق الضرر.</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{"citationID":"s8LGFlv8","properties":{"unsorted":false,"formattedCitation":"(Horigan et al., 2023)","plainCitation":"(Horigan et al., 2023)","noteIndex":0},"citationItems":[{"id":915,"uris":["http://zotero.org/users/186773</w:instrText>
      </w:r>
      <w:r w:rsidRPr="00263D77">
        <w:rPr>
          <w:rFonts w:eastAsia="Times New Roman"/>
          <w:kern w:val="0"/>
          <w:rtl/>
          <w14:ligatures w14:val="none"/>
        </w:rPr>
        <w:instrText>34/</w:instrText>
      </w:r>
      <w:r w:rsidRPr="00263D77">
        <w:rPr>
          <w:rFonts w:eastAsia="Times New Roman"/>
          <w:kern w:val="0"/>
          <w14:ligatures w14:val="none"/>
        </w:rPr>
        <w:instrText>items/46VLMSVW"],"itemData":{"id":915,"type":"article-journal","abstract":"Qualitative risk assessment (QRA) can provide a decision support system, but in order for it to be objective and consistently applied it is necessary to standardise the approach</w:instrText>
      </w:r>
      <w:r w:rsidRPr="00263D77">
        <w:rPr>
          <w:rFonts w:eastAsia="Times New Roman"/>
          <w:kern w:val="0"/>
          <w:rtl/>
          <w14:ligatures w14:val="none"/>
        </w:rPr>
        <w:instrText xml:space="preserve"> </w:instrText>
      </w:r>
      <w:r w:rsidRPr="00263D77">
        <w:rPr>
          <w:rFonts w:eastAsia="Times New Roman"/>
          <w:kern w:val="0"/>
          <w14:ligatures w14:val="none"/>
        </w:rPr>
        <w:instrText>as much as possible. This review considers how QRAs have historically been used for the benefit of animal health, what problems have been encountered during their development, and how these problems have been addressed.Four main elements were identified</w:instrText>
      </w:r>
      <w:r w:rsidRPr="00263D77">
        <w:rPr>
          <w:rFonts w:eastAsia="Times New Roman"/>
          <w:kern w:val="0"/>
          <w:rtl/>
          <w14:ligatures w14:val="none"/>
        </w:rPr>
        <w:instrText xml:space="preserve"> </w:instrText>
      </w:r>
      <w:r w:rsidRPr="00263D77">
        <w:rPr>
          <w:rFonts w:eastAsia="Times New Roman"/>
          <w:kern w:val="0"/>
          <w14:ligatures w14:val="none"/>
        </w:rPr>
        <w:instrText>as having been the subject of some proposed standard methodology: (i) the description of risk levels, (ii) combining probabilities, (iii) accounting for multiple products/animals and (iv) uncertainty. These elements were addressed in different ways but were highlighted as being fundamental to improving the accuracy in estimating the risk and conveying the results to the risk manager with minimal ambiguity. The development of standardisation of methodology thus represents an important advance in animal health QRA. It can also be concluded that QRAs are useful for identifying important chains of events and critical control points along risk pathways which can be used to inform risk management programs.Further work needs to be done regarding an objective uniform methodology for deriving an overall uncertainty estimate. In line with this, several tools have been developed which attempt to use mathematical reasoning to incorporate uncertainty and improve the objectivity of the qualitative framework. Ensuring a</w:instrText>
      </w:r>
      <w:r w:rsidRPr="00263D77">
        <w:rPr>
          <w:rFonts w:eastAsia="Times New Roman"/>
          <w:kern w:val="0"/>
          <w:rtl/>
          <w14:ligatures w14:val="none"/>
        </w:rPr>
        <w:instrText xml:space="preserve"> </w:instrText>
      </w:r>
      <w:r w:rsidRPr="00263D77">
        <w:rPr>
          <w:rFonts w:eastAsia="Times New Roman"/>
          <w:kern w:val="0"/>
          <w14:ligatures w14:val="none"/>
        </w:rPr>
        <w:instrText>robust objective methodology is used and that the reasons for differences in results, such as assumptions and uncertainty are clearly described to the customer is essential to maintain confidence in the QRA process.Overall, animal health QRAs have established their usefulness by providing a tool for rapid risk estimation which can be used to identify whether or not the risk exceeds a decision-making threshold above which action should be taken.","container-title":"Frontiers in Veterinary Science","DOI</w:instrText>
      </w:r>
      <w:r w:rsidRPr="00263D77">
        <w:rPr>
          <w:rFonts w:eastAsia="Times New Roman"/>
          <w:kern w:val="0"/>
          <w:rtl/>
          <w14:ligatures w14:val="none"/>
        </w:rPr>
        <w:instrText>":"10.3389/</w:instrText>
      </w:r>
      <w:r w:rsidRPr="00263D77">
        <w:rPr>
          <w:rFonts w:eastAsia="Times New Roman"/>
          <w:kern w:val="0"/>
          <w14:ligatures w14:val="none"/>
        </w:rPr>
        <w:instrText>fvets.2023.1102131","ISSN":"2297-1769","journalAbbreviation":"Front. Vet. Sci.","language":"English","publisher":"Frontiers","source":"Frontiers","title":"A review of qualitative risk assessment in animal health: Suggestions for best practice","title-short":"A review of qualitative risk assessment in animal health","URL":"https://www.frontiersin.org/journals/veterinary-science/articles/10.3389/fvets.2023.1102131/full","volume":"10","author":[{"family":"Horigan","given":"Verity"},{"family":"Simons</w:instrText>
      </w:r>
      <w:r w:rsidRPr="00263D77">
        <w:rPr>
          <w:rFonts w:eastAsia="Times New Roman"/>
          <w:kern w:val="0"/>
          <w:rtl/>
          <w14:ligatures w14:val="none"/>
        </w:rPr>
        <w:instrText>","</w:instrText>
      </w:r>
      <w:r w:rsidRPr="00263D77">
        <w:rPr>
          <w:rFonts w:eastAsia="Times New Roman"/>
          <w:kern w:val="0"/>
          <w14:ligatures w14:val="none"/>
        </w:rPr>
        <w:instrText>given":"Robin"},{"family":"Kavanagh","given":"Kim"},{"family":"Kelly","given":"Louise"}],"accessed":{"date-parts":[["2026",3,3]]},"issued":{"date-parts":[["2023",2,7]]}}}],"schema":"https://github.com/citation-style-language/schema/raw/master/csl-citation.json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szCs w:val="22"/>
        </w:rPr>
        <w:t>(Horigan et al., 2023)</w:t>
      </w:r>
      <w:r w:rsidRPr="00263D77">
        <w:rPr>
          <w:rFonts w:eastAsia="Times New Roman"/>
          <w:kern w:val="0"/>
          <w:rtl/>
          <w14:ligatures w14:val="none"/>
        </w:rPr>
        <w:fldChar w:fldCharType="end"/>
      </w:r>
      <w:r w:rsidRPr="00263D77">
        <w:rPr>
          <w:rFonts w:eastAsia="Times New Roman"/>
          <w:kern w:val="0"/>
          <w:rtl/>
          <w14:ligatures w14:val="none"/>
        </w:rPr>
        <w:t xml:space="preserve"> </w:t>
      </w:r>
      <w:r w:rsidRPr="00263D77">
        <w:rPr>
          <w:rtl/>
        </w:rPr>
        <w:t xml:space="preserve"> ومن ثمّ، يسمح التقييم الرشيد بتخصيص الموارد وفق سلم أولويات واضح، وتحديد المخاطر التي تستدعي المعالجة الفورية، والمخاطر التي يكفي بشأنها الرصد أو التحصين أو التوعية أو الإحالة. وهذه القدرة على المفاضلة تُعد من صميم تحسين الأداء، لأن الأداء المرتفع ليس في كثرة الإجراءات، بل في دقتها وملاءمتها وترشيدها. </w:t>
      </w:r>
      <w:sdt>
        <w:sdtPr>
          <w:rPr>
            <w:rtl/>
          </w:rPr>
          <w:id w:val="1905488457"/>
          <w:citation/>
        </w:sdtPr>
        <w:sdtEndPr/>
        <w:sdtContent>
          <w:r w:rsidRPr="00263D77">
            <w:rPr>
              <w:rtl/>
            </w:rPr>
            <w:fldChar w:fldCharType="begin"/>
          </w:r>
          <w:r w:rsidRPr="00263D77">
            <w:rPr>
              <w:lang w:bidi="ar-EG"/>
            </w:rPr>
            <w:instrText>CITATION</w:instrText>
          </w:r>
          <w:r w:rsidRPr="00263D77">
            <w:rPr>
              <w:rtl/>
              <w:lang w:bidi="ar-EG"/>
            </w:rPr>
            <w:instrText xml:space="preserve"> الم23 \</w:instrText>
          </w:r>
          <w:r w:rsidRPr="00263D77">
            <w:rPr>
              <w:lang w:bidi="ar-EG"/>
            </w:rPr>
            <w:instrText>l 3073</w:instrText>
          </w:r>
          <w:r w:rsidRPr="00263D77">
            <w:rPr>
              <w:rtl/>
              <w:lang w:bidi="ar-EG"/>
            </w:rPr>
            <w:instrText xml:space="preserve"> </w:instrText>
          </w:r>
          <w:r w:rsidRPr="00263D77">
            <w:rPr>
              <w:rtl/>
            </w:rPr>
            <w:fldChar w:fldCharType="separate"/>
          </w:r>
          <w:r w:rsidRPr="00263D77">
            <w:rPr>
              <w:noProof/>
              <w:rtl/>
            </w:rPr>
            <w:t>(المفيز، 2023)</w:t>
          </w:r>
          <w:r w:rsidRPr="00263D77">
            <w:rPr>
              <w:rtl/>
            </w:rPr>
            <w:fldChar w:fldCharType="end"/>
          </w:r>
        </w:sdtContent>
      </w:sdt>
    </w:p>
    <w:p w14:paraId="278B23B5" w14:textId="77777777" w:rsidR="00263D77" w:rsidRPr="00263D77" w:rsidRDefault="00263D77" w:rsidP="00263D77">
      <w:pPr>
        <w:spacing w:before="100" w:beforeAutospacing="1" w:after="100" w:afterAutospacing="1"/>
        <w:rPr>
          <w:rFonts w:eastAsia="Times New Roman"/>
          <w:kern w:val="0"/>
          <w:rtl/>
          <w14:ligatures w14:val="none"/>
        </w:rPr>
      </w:pPr>
      <w:r w:rsidRPr="00263D77">
        <w:rPr>
          <w:rtl/>
        </w:rPr>
        <w:t>وفي المؤسسات الوقائية، يسهم تقييم المخاطر في دعم جودة القرارات التشغيلية والتنظيمية، لأنه يقلل من التحيز والتقدير الشخصي، ويعزز القرار المبني على المعطيات.</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{"citationID":"8Hrvxorz","properties":{"unsorted":false,"formattedCitation":"(Jeger \\uc0\\u1608{}\\uc0\\u1570{}\\uc0\\u1582{}\\uc0\\u1585{}\\uc0\\u1608{}\\uc0\\u1606{}, 2012)","plainCitation":"(Jeger</w:instrText>
      </w:r>
      <w:r w:rsidRPr="00263D77">
        <w:rPr>
          <w:rFonts w:eastAsia="Times New Roman"/>
          <w:kern w:val="0"/>
          <w:rtl/>
          <w14:ligatures w14:val="none"/>
        </w:rPr>
        <w:instrText xml:space="preserve"> وآخرون, 2012)","</w:instrText>
      </w:r>
      <w:r w:rsidRPr="00263D77">
        <w:rPr>
          <w:rFonts w:eastAsia="Times New Roman"/>
          <w:kern w:val="0"/>
          <w14:ligatures w14:val="none"/>
        </w:rPr>
        <w:instrText>noteIndex":0},"citationItems":[{"id":894,"uris":["http://zotero.org/users/18677334/items/N68MTYA7"],"itemData":{"id":894,"type":"article-journal","abstract":"With the establishment of the Plant Health Panel in 2006, EFSA became the body responsible for risk assessment in the plant health area for the European Union (EU). Since then more than 70 outputs have been produced dealing with the full range of organisms harmful to plant health across all crop types and plants in the environment. There has been an increasing trend towards producing scientific opinions which are full pest risk assessments for the whole EU territory. In its work, and as a contribution to the wider development of risk assessment methodology, the Panel has developed a series of guidance documents. These deal with the peer review of existing pest risk assessments, a framework for conducting risk assessments which harmonise standards set by the International Plant Protection Convention and the legislative requirements of the EU, and extension</w:instrText>
      </w:r>
      <w:r w:rsidRPr="00263D77">
        <w:rPr>
          <w:rFonts w:eastAsia="Times New Roman"/>
          <w:kern w:val="0"/>
          <w:rtl/>
          <w14:ligatures w14:val="none"/>
        </w:rPr>
        <w:instrText xml:space="preserve"> </w:instrText>
      </w:r>
      <w:r w:rsidRPr="00263D77">
        <w:rPr>
          <w:rFonts w:eastAsia="Times New Roman"/>
          <w:kern w:val="0"/>
          <w14:ligatures w14:val="none"/>
        </w:rPr>
        <w:instrText>of this framework to include environmental risk assessment and the evaluation of risk reducing options. Quantitative approaches have become increasingly important during this time. The Panel has developed such methods in climatic mapping (in association with the Joint Research Councils), application of spatial spread models, re-evaluation of quantitative pathway analyses, and in statistical modelling of experimental data. A Plant Health Network has been established to facilitate interaction with EU Member</w:instrText>
      </w:r>
      <w:r w:rsidRPr="00263D77">
        <w:rPr>
          <w:rFonts w:eastAsia="Times New Roman"/>
          <w:kern w:val="0"/>
          <w:rtl/>
          <w14:ligatures w14:val="none"/>
        </w:rPr>
        <w:instrText xml:space="preserve"> </w:instrText>
      </w:r>
      <w:r w:rsidRPr="00263D77">
        <w:rPr>
          <w:rFonts w:eastAsia="Times New Roman"/>
          <w:kern w:val="0"/>
          <w14:ligatures w14:val="none"/>
        </w:rPr>
        <w:instrText>States, especially in relation to data collection and co-ordination of risk assessment activities. At the current time a revision of the EU Plant Health Regime is being formulated. The legislative consequences of the revision will be of considerable significance for the work of the Plant Health Panel.","container-title":"EFSA Journal","DOI":"10.2903/j.efsa.2012.s1012","ISSN":"1831-4732","issue":"10","language":"en","license":"© 2012 European Food Safety Authority","note":"_eprint: https://efsa.onlinelibrary.wiley.com/doi/pdf/10.2903/j.efsa.2012.s1012","page":"s1012","source":"Wiley Online Library","title":"Risk assessment in support of plant health","volume":"10","author":[{"family":"Jeger","given":"Michael"},{"family":"Schans","given":"Jan"},{"family</w:instrText>
      </w:r>
      <w:r w:rsidRPr="00263D77">
        <w:rPr>
          <w:rFonts w:eastAsia="Times New Roman"/>
          <w:kern w:val="0"/>
          <w:rtl/>
          <w14:ligatures w14:val="none"/>
        </w:rPr>
        <w:instrText>":"</w:instrText>
      </w:r>
      <w:r w:rsidRPr="00263D77">
        <w:rPr>
          <w:rFonts w:eastAsia="Times New Roman"/>
          <w:kern w:val="0"/>
          <w14:ligatures w14:val="none"/>
        </w:rPr>
        <w:instrText>Lövei","given":"Gabor L."},{"family":"Lenteren","given":"Joop","non-dropping-particle":"van"},{"family":"Navajas","given":"Maria"},{"family":"Makowski","given":"David"},{"family":"Stancanelli","given":"Giuseppe"},{"family":"Tramontini","given":"Sara"},{"family":"B. Ceglarska","given":"Elzbieta"}],"issued":{"date-parts":[["2012"]]}}}],"schema":"https://github.com/citation-style-language/schema/raw/master/csl-citation.json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kern w:val="0"/>
          <w:rtl/>
        </w:rPr>
        <w:t>(</w:t>
      </w:r>
      <w:r w:rsidRPr="00263D77">
        <w:rPr>
          <w:kern w:val="0"/>
        </w:rPr>
        <w:t>Jeger et al., 2012</w:t>
      </w:r>
      <w:r w:rsidRPr="00263D77">
        <w:rPr>
          <w:kern w:val="0"/>
          <w:rtl/>
        </w:rPr>
        <w:t>)</w:t>
      </w:r>
      <w:r w:rsidRPr="00263D77">
        <w:rPr>
          <w:rFonts w:eastAsia="Times New Roman"/>
          <w:kern w:val="0"/>
          <w:rtl/>
          <w14:ligatures w14:val="none"/>
        </w:rPr>
        <w:fldChar w:fldCharType="end"/>
      </w:r>
      <w:r w:rsidRPr="00263D77">
        <w:rPr>
          <w:rtl/>
        </w:rPr>
        <w:t xml:space="preserve"> ولذلك يمكن تفسير تحسن بعض مؤشرات الأداء مثل سرعة الحسم، ووضوح إجراءات المعالجة، وكفاءة توزيع الموارد، والقدرة على استمرارية الأعمال بوصفه نتيجة مباشرة لتحسن جودة تقييم المخاطر. </w:t>
      </w:r>
      <w:sdt>
        <w:sdtPr>
          <w:rPr>
            <w:rtl/>
          </w:rPr>
          <w:id w:val="-98869989"/>
          <w:citation/>
        </w:sdtPr>
        <w:sdtEndPr/>
        <w:sdtContent>
          <w:r w:rsidRPr="00263D77">
            <w:rPr>
              <w:rtl/>
            </w:rPr>
            <w:fldChar w:fldCharType="begin"/>
          </w:r>
          <w:r w:rsidRPr="00263D77">
            <w:rPr>
              <w:rtl/>
              <w:lang w:bidi="ar-EG"/>
            </w:rPr>
            <w:instrText xml:space="preserve"> </w:instrText>
          </w:r>
          <w:r w:rsidRPr="00263D77">
            <w:instrText>CITATION</w:instrText>
          </w:r>
          <w:r w:rsidRPr="00263D77">
            <w:rPr>
              <w:rtl/>
              <w:lang w:bidi="ar-EG"/>
            </w:rPr>
            <w:instrText xml:space="preserve"> الق20 \</w:instrText>
          </w:r>
          <w:r w:rsidRPr="00263D77">
            <w:instrText>l 3073</w:instrText>
          </w:r>
          <w:r w:rsidRPr="00263D77">
            <w:rPr>
              <w:rtl/>
              <w:lang w:bidi="ar-EG"/>
            </w:rPr>
            <w:instrText xml:space="preserve"> </w:instrText>
          </w:r>
          <w:r w:rsidRPr="00263D77">
            <w:rPr>
              <w:rtl/>
            </w:rPr>
            <w:fldChar w:fldCharType="separate"/>
          </w:r>
          <w:r w:rsidRPr="00263D77">
            <w:rPr>
              <w:noProof/>
              <w:rtl/>
              <w:lang w:bidi="ar-EG"/>
            </w:rPr>
            <w:t>(القحطاني، 2020)</w:t>
          </w:r>
          <w:r w:rsidRPr="00263D77">
            <w:rPr>
              <w:rtl/>
            </w:rPr>
            <w:fldChar w:fldCharType="end"/>
          </w:r>
        </w:sdtContent>
      </w:sdt>
    </w:p>
    <w:p w14:paraId="1FE599E4" w14:textId="77777777" w:rsidR="00263D77" w:rsidRPr="00263D77" w:rsidRDefault="00263D77" w:rsidP="00263D77">
      <w:pPr>
        <w:numPr>
          <w:ilvl w:val="0"/>
          <w:numId w:val="24"/>
        </w:numPr>
        <w:rPr>
          <w:b/>
          <w:bCs/>
        </w:rPr>
      </w:pPr>
      <w:r w:rsidRPr="00263D77">
        <w:rPr>
          <w:b/>
          <w:bCs/>
          <w:rtl/>
        </w:rPr>
        <w:t>الفرع الثالث: أثر استراتيجيات التعامل مع المخاطر في النتائج التشغيلية</w:t>
      </w:r>
    </w:p>
    <w:p w14:paraId="464D9014" w14:textId="77777777" w:rsidR="00263D77" w:rsidRPr="00263D77" w:rsidRDefault="00263D77" w:rsidP="00263D77">
      <w:pPr>
        <w:spacing w:before="100" w:beforeAutospacing="1" w:after="100" w:afterAutospacing="1"/>
        <w:rPr>
          <w:rFonts w:eastAsia="Times New Roman"/>
          <w:kern w:val="0"/>
          <w:rtl/>
          <w14:ligatures w14:val="none"/>
        </w:rPr>
      </w:pPr>
      <w:r w:rsidRPr="00263D77">
        <w:rPr>
          <w:rtl/>
        </w:rPr>
        <w:t>إذا كانت مرحلتا التحديد والتقييم تمثلان الجانب التحليلي من إدارة المخاطر، فإن استراتيجيات التعامل تمثل الجانب التنفيذي الذي يُختبر عنده الأثر الحقيقي على الأداء.</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{"citationID":"UaZq7qE9","properties":{"unsorted":false,"formattedCitation":"(Montibeller \\uc0\\u1608{}\\uc0\\u1570{}\\uc0\\u1582{}\\uc0\\u1585{}\\uc0\\u1608{}\\uc0\\u1606{}, 2020)","plainCitation":"(Montibeller</w:instrText>
      </w:r>
      <w:r w:rsidRPr="00263D77">
        <w:rPr>
          <w:rFonts w:eastAsia="Times New Roman"/>
          <w:kern w:val="0"/>
          <w:rtl/>
          <w14:ligatures w14:val="none"/>
        </w:rPr>
        <w:instrText xml:space="preserve"> وآخرون, 2020)","</w:instrText>
      </w:r>
      <w:r w:rsidRPr="00263D77">
        <w:rPr>
          <w:rFonts w:eastAsia="Times New Roman"/>
          <w:kern w:val="0"/>
          <w14:ligatures w14:val="none"/>
        </w:rPr>
        <w:instrText>noteIndex":0},"citationItems":[{"id":883,"uris":["http://zotero.org/users/18677334/items/B7BJDGMC"],"itemData":{"id":883,"type":"article-journal","abstract":"The increasing need to manage biosecurity threats, such as diseases, zoonoses, and biological weapons, poses serious challenges for risk analysts and policymakers. These threats are large in number, can occur concurrently, and may cause multiple tangible and intangible impacts. They often have an emerging nature, exacerbated by incomplete evidence about their probability of occurrence and potential impacts. There is also a limited amount of time and resources available to evaluate the risks posed by each threat, and it is difficult to learn from past projects. On the other hand, there is also a</w:instrText>
      </w:r>
      <w:r w:rsidRPr="00263D77">
        <w:rPr>
          <w:rFonts w:eastAsia="Times New Roman"/>
          <w:kern w:val="0"/>
          <w:rtl/>
          <w14:ligatures w14:val="none"/>
        </w:rPr>
        <w:instrText xml:space="preserve"> </w:instrText>
      </w:r>
      <w:r w:rsidRPr="00263D77">
        <w:rPr>
          <w:rFonts w:eastAsia="Times New Roman"/>
          <w:kern w:val="0"/>
          <w14:ligatures w14:val="none"/>
        </w:rPr>
        <w:instrText>need to provide policymakers with transparent and consistent threat prioritizations, together with evidence-based recommendations. In response to these challenges, we propose a risk analysis framework for the prioritization and management of biosecurity</w:instrText>
      </w:r>
      <w:r w:rsidRPr="00263D77">
        <w:rPr>
          <w:rFonts w:eastAsia="Times New Roman"/>
          <w:kern w:val="0"/>
          <w:rtl/>
          <w14:ligatures w14:val="none"/>
        </w:rPr>
        <w:instrText xml:space="preserve"> </w:instrText>
      </w:r>
      <w:r w:rsidRPr="00263D77">
        <w:rPr>
          <w:rFonts w:eastAsia="Times New Roman"/>
          <w:kern w:val="0"/>
          <w14:ligatures w14:val="none"/>
        </w:rPr>
        <w:instrText>threats. The framework encompasses key design choices that analysts may use in risk analysis projects along three dimensions: risk support, risk group, and risk organization. The framework has prescriptive value, as a design tool to inform risk analysis projects in this context, along with descriptive value, as a learning tool to understand past projects. We applied the framework prescriptively in two biosecurity threat prioritization projects for the UK Department for Environment, Food and Rural Affairs</w:instrText>
      </w:r>
      <w:r w:rsidRPr="00263D77">
        <w:rPr>
          <w:rFonts w:eastAsia="Times New Roman"/>
          <w:kern w:val="0"/>
          <w:rtl/>
          <w14:ligatures w14:val="none"/>
        </w:rPr>
        <w:instrText xml:space="preserve">, </w:instrText>
      </w:r>
      <w:r w:rsidRPr="00263D77">
        <w:rPr>
          <w:rFonts w:eastAsia="Times New Roman"/>
          <w:kern w:val="0"/>
          <w14:ligatures w14:val="none"/>
        </w:rPr>
        <w:instrText>and illustrate its descriptive value by reporting our experience of these projects as in-depth case studies. Overall, the proposed framework provides important insights into the impact of different design choices on the success of risk analysis projects</w:instrText>
      </w:r>
      <w:r w:rsidRPr="00263D77">
        <w:rPr>
          <w:rFonts w:eastAsia="Times New Roman"/>
          <w:kern w:val="0"/>
          <w:rtl/>
          <w14:ligatures w14:val="none"/>
        </w:rPr>
        <w:instrText xml:space="preserve"> </w:instrText>
      </w:r>
      <w:r w:rsidRPr="00263D77">
        <w:rPr>
          <w:rFonts w:eastAsia="Times New Roman"/>
          <w:kern w:val="0"/>
          <w14:ligatures w14:val="none"/>
        </w:rPr>
        <w:instrText>for biosecurity threat prioritizations.","container-title":"Risk Analysis","DOI":"10.1111/risa.13542","ISSN":"1539-6924","issue":"11","language":"en","license":"© 2020 The Authors. Risk Analysis published by Wiley Periodicals, Inc. on behalf of Society for Risk Analysis","note":"_eprint: https://onlinelibrary.wiley.com/doi/pdf/10.1111/risa.13542","page":"2462-2477","source":"Wiley Online Library","title":"A Risk Analysis Framework for Prioritizing and Managing Biosecurity Threats","volume":"40","author</w:instrText>
      </w:r>
      <w:r w:rsidRPr="00263D77">
        <w:rPr>
          <w:rFonts w:eastAsia="Times New Roman"/>
          <w:kern w:val="0"/>
          <w:rtl/>
          <w14:ligatures w14:val="none"/>
        </w:rPr>
        <w:instrText>":[</w:instrText>
      </w:r>
      <w:r w:rsidRPr="00263D77">
        <w:rPr>
          <w:rFonts w:eastAsia="Times New Roman"/>
          <w:kern w:val="0"/>
          <w14:ligatures w14:val="none"/>
        </w:rPr>
        <w:instrText>{"family":"Montibeller","given":"Gilberto"},{"family":"Franco","given":"L. Alberto"},{"family":"Carreras","given":"Ashley"}],"issued":{"date-parts":[["2020"]]}}}],"schema":"https://github.com/citation-style-language/schema/raw/master/csl-citation.json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kern w:val="0"/>
          <w:rtl/>
        </w:rPr>
        <w:t>(</w:t>
      </w:r>
      <w:r w:rsidRPr="00263D77">
        <w:rPr>
          <w:kern w:val="0"/>
        </w:rPr>
        <w:t xml:space="preserve">Montibeller et </w:t>
      </w:r>
      <w:r w:rsidRPr="00263D77">
        <w:rPr>
          <w:kern w:val="0"/>
        </w:rPr>
        <w:lastRenderedPageBreak/>
        <w:t>al., 2020</w:t>
      </w:r>
      <w:r w:rsidRPr="00263D77">
        <w:rPr>
          <w:kern w:val="0"/>
          <w:rtl/>
        </w:rPr>
        <w:t>)</w:t>
      </w:r>
      <w:r w:rsidRPr="00263D77">
        <w:rPr>
          <w:rFonts w:eastAsia="Times New Roman"/>
          <w:kern w:val="0"/>
          <w:rtl/>
          <w14:ligatures w14:val="none"/>
        </w:rPr>
        <w:fldChar w:fldCharType="end"/>
      </w:r>
      <w:r w:rsidRPr="00263D77">
        <w:rPr>
          <w:rFonts w:eastAsia="Times New Roman"/>
          <w:kern w:val="0"/>
          <w:rtl/>
          <w14:ligatures w14:val="none"/>
        </w:rPr>
        <w:t xml:space="preserve"> </w:t>
      </w:r>
      <w:r w:rsidRPr="00263D77">
        <w:rPr>
          <w:rtl/>
        </w:rPr>
        <w:t xml:space="preserve"> فحين تضع المؤسسة استجابات مناسبة ومسبقة للمخاطر، وتربطها بموارد ومسؤوليات وآليات متابعة، فإنها تقلل من الارتباك وقت الحدث، وتختصر زمن الاستجابة، وتخفض كلفة التدخل، وترفع مستوى السيطرة على النتائج (</w:t>
      </w:r>
      <w:r w:rsidRPr="00263D77">
        <w:t>Horigan et al., 2023</w:t>
      </w:r>
      <w:r w:rsidRPr="00263D77">
        <w:rPr>
          <w:rtl/>
        </w:rPr>
        <w:t xml:space="preserve">) وقد بينت الدراسات العربية أن وجود استراتيجيات معالجة واضحة ينعكس في رفع الكفاءة المؤسسية وتعزيز استمرارية الأعمال وتحسين النتائج التنظيمية. </w:t>
      </w:r>
      <w:sdt>
        <w:sdtPr>
          <w:rPr>
            <w:rtl/>
          </w:rPr>
          <w:id w:val="-1460646103"/>
          <w:citation/>
        </w:sdtPr>
        <w:sdtEndPr/>
        <w:sdtContent>
          <w:r w:rsidRPr="00263D77">
            <w:rPr>
              <w:rtl/>
            </w:rPr>
            <w:fldChar w:fldCharType="begin"/>
          </w:r>
          <w:r w:rsidRPr="00263D77">
            <w:rPr>
              <w:rtl/>
              <w:lang w:bidi="ar-EG"/>
            </w:rPr>
            <w:instrText xml:space="preserve"> </w:instrText>
          </w:r>
          <w:r w:rsidRPr="00263D77">
            <w:instrText>CITATION</w:instrText>
          </w:r>
          <w:r w:rsidRPr="00263D77">
            <w:rPr>
              <w:rtl/>
              <w:lang w:bidi="ar-EG"/>
            </w:rPr>
            <w:instrText xml:space="preserve"> الع23 \</w:instrText>
          </w:r>
          <w:r w:rsidRPr="00263D77">
            <w:instrText>l 3073</w:instrText>
          </w:r>
          <w:r w:rsidRPr="00263D77">
            <w:rPr>
              <w:rtl/>
              <w:lang w:bidi="ar-EG"/>
            </w:rPr>
            <w:instrText xml:space="preserve"> </w:instrText>
          </w:r>
          <w:r w:rsidRPr="00263D77">
            <w:rPr>
              <w:rtl/>
            </w:rPr>
            <w:fldChar w:fldCharType="separate"/>
          </w:r>
          <w:r w:rsidRPr="00263D77">
            <w:rPr>
              <w:noProof/>
              <w:rtl/>
              <w:lang w:bidi="ar-EG"/>
            </w:rPr>
            <w:t>(العرود، 2023)</w:t>
          </w:r>
          <w:r w:rsidRPr="00263D77">
            <w:rPr>
              <w:rtl/>
            </w:rPr>
            <w:fldChar w:fldCharType="end"/>
          </w:r>
        </w:sdtContent>
      </w:sdt>
    </w:p>
    <w:p w14:paraId="289D1759" w14:textId="77777777" w:rsidR="00263D77" w:rsidRPr="00263D77" w:rsidRDefault="00263D77" w:rsidP="00263D77">
      <w:r w:rsidRPr="00263D77">
        <w:rPr>
          <w:rtl/>
        </w:rPr>
        <w:t xml:space="preserve">وفي مركز وقاء، يتوقع أن يظهر هذا الأثر في مؤشرات مثل كفاءة إجراءات العزل أو المكافحة، وانخفاض حجم الانتشار، وتحسن الامتثال، وارتفاع كفاءة إدارة البلاغات، وتحسن تجربة المستفيد، ورفع الجاهزية الميدانية. وعليه، فإن تطوير استراتيجيات التعامل مع المخاطر ليس مرحلة تكميلية، بل هو المتغير الأكثر ارتباطًا بالمخرجات النهائية التي تلمسها المؤسسة والمستفيد والبيئة المحيطة. </w:t>
      </w:r>
    </w:p>
    <w:p w14:paraId="2D958122" w14:textId="77777777" w:rsidR="00263D77" w:rsidRPr="00263D77" w:rsidRDefault="00263D77" w:rsidP="00263D77">
      <w:pPr>
        <w:spacing w:before="100" w:beforeAutospacing="1"/>
        <w:ind w:left="-284"/>
        <w:outlineLvl w:val="2"/>
        <w:rPr>
          <w:rFonts w:ascii="Times New Roman" w:eastAsia="Times New Roman" w:hAnsi="Times New Roman"/>
          <w:b/>
          <w:bCs/>
          <w:kern w:val="0"/>
          <w:sz w:val="27"/>
          <w14:ligatures w14:val="none"/>
        </w:rPr>
      </w:pPr>
      <w:bookmarkStart w:id="33" w:name="_Toc234717625"/>
      <w:r w:rsidRPr="00263D77">
        <w:rPr>
          <w:rFonts w:ascii="Times New Roman" w:eastAsia="Times New Roman" w:hAnsi="Times New Roman"/>
          <w:b/>
          <w:bCs/>
          <w:kern w:val="0"/>
          <w:sz w:val="27"/>
          <w:rtl/>
          <w14:ligatures w14:val="none"/>
        </w:rPr>
        <w:t>المطلب الثاني: النموذج التفسيري للعلاقة في مركز وقاء</w:t>
      </w:r>
      <w:bookmarkEnd w:id="33"/>
    </w:p>
    <w:p w14:paraId="5B87B9FC" w14:textId="77777777" w:rsidR="00263D77" w:rsidRPr="00263D77" w:rsidRDefault="00263D77" w:rsidP="00263D77">
      <w:pPr>
        <w:numPr>
          <w:ilvl w:val="0"/>
          <w:numId w:val="25"/>
        </w:numPr>
        <w:rPr>
          <w:b/>
          <w:bCs/>
        </w:rPr>
      </w:pPr>
      <w:r w:rsidRPr="00263D77">
        <w:rPr>
          <w:b/>
          <w:bCs/>
          <w:rtl/>
        </w:rPr>
        <w:t>الفرع الأول: المسار الوقائي والتشغيلي</w:t>
      </w:r>
    </w:p>
    <w:p w14:paraId="00F6E113" w14:textId="77777777" w:rsidR="00263D77" w:rsidRPr="00263D77" w:rsidRDefault="00263D77" w:rsidP="00263D77">
      <w:r w:rsidRPr="00263D77">
        <w:rPr>
          <w:rtl/>
        </w:rPr>
        <w:t xml:space="preserve">يمكن تفسير العلاقة بين المتغيرين في الدراسة الحالية عبر مسار يبدأ من تطبيق منهجية إدارة المخاطر وينتهي بتحسن مؤشرات الأداء لأنظمة الصحة النباتية والحيوانية. ففي هذا المسار، يؤدي تحديد المخاطر إلى رفع جودة الرصد والتنبؤ، ويؤدي تقييم المخاطر إلى ترشيد القرار وتوجيه الموارد، بينما يؤدي تطوير استراتيجيات التعامل إلى تحسين الاستجابة والاحتواء. ونتيجة هذا التسلسل، تتحسن مؤشرات مثل سرعة الاكتشاف، وجودة التشخيص، وكفاءة الانتشار الميداني، وفعالية الضبط والرقابة، ونسب خفض الخسائر. </w:t>
      </w:r>
    </w:p>
    <w:p w14:paraId="1A25584B" w14:textId="77777777" w:rsidR="00263D77" w:rsidRPr="00263D77" w:rsidRDefault="00263D77" w:rsidP="00263D77">
      <w:pPr>
        <w:numPr>
          <w:ilvl w:val="0"/>
          <w:numId w:val="25"/>
        </w:numPr>
        <w:rPr>
          <w:b/>
          <w:bCs/>
        </w:rPr>
      </w:pPr>
      <w:r w:rsidRPr="00263D77">
        <w:rPr>
          <w:b/>
          <w:bCs/>
          <w:rtl/>
        </w:rPr>
        <w:t>الفرع الثاني: المسار التنظيمي والإداري</w:t>
      </w:r>
    </w:p>
    <w:p w14:paraId="25B8E62D" w14:textId="77777777" w:rsidR="00263D77" w:rsidRPr="00263D77" w:rsidRDefault="00263D77" w:rsidP="00263D77">
      <w:pPr>
        <w:rPr>
          <w:rtl/>
        </w:rPr>
      </w:pPr>
      <w:r w:rsidRPr="00263D77">
        <w:rPr>
          <w:rtl/>
        </w:rPr>
        <w:t xml:space="preserve">هناك مسار آخر يفسر العلاقة من الزاوية التنظيمية؛ إذ يسهم تطبيق إدارة المخاطر في تحسين الحوكمة الداخلية، ورفع وضوح الإجراءات، وتعزيز المساءلة، وتحسين التنسيق بين الإدارات، وتقوية استمرارية الأعمال، ودعم التعلم المؤسسي. وهذه كلها متغيرات وسيطة تنعكس في صورة تحسن عام في مؤشرات الأداء التنظيمي، حتى في الحالات التي لا تكون فيها المخاطر قد تحققت فعليًا. فمجرد وجود نظام مخاطر ناضج يرفع من جاهزية المؤسسة ويزيد من قدرتها على المحافظة على مستويات الأداء المستهدفة في البيئات غير المستقرة. </w:t>
      </w:r>
    </w:p>
    <w:p w14:paraId="416322C7" w14:textId="77777777" w:rsidR="00263D77" w:rsidRPr="00263D77" w:rsidRDefault="00263D77" w:rsidP="00263D77">
      <w:pPr>
        <w:numPr>
          <w:ilvl w:val="0"/>
          <w:numId w:val="25"/>
        </w:numPr>
        <w:rPr>
          <w:b/>
          <w:bCs/>
        </w:rPr>
      </w:pPr>
      <w:r w:rsidRPr="00263D77">
        <w:rPr>
          <w:b/>
          <w:bCs/>
          <w:rtl/>
        </w:rPr>
        <w:t>الفرع الثالث: دلالات ذلك على فرضيات الدراسة</w:t>
      </w:r>
    </w:p>
    <w:p w14:paraId="133A06FF" w14:textId="77777777" w:rsidR="00263D77" w:rsidRPr="00263D77" w:rsidRDefault="00263D77" w:rsidP="00263D77">
      <w:pPr>
        <w:rPr>
          <w:rtl/>
        </w:rPr>
      </w:pPr>
      <w:r w:rsidRPr="00263D77">
        <w:rPr>
          <w:rtl/>
        </w:rPr>
        <w:lastRenderedPageBreak/>
        <w:t xml:space="preserve">انطلاقًا من العرض السابق، يمكن القول إن الفرضية الرئيسة للدراسة تستند إلى أساس نظري متين؛ فالأدبيات العربية التي تناولت إدارة المخاطر في التعليم والصحة والإدارة العامة والمؤسسات المختلفة تتفق على أن تطبيق إدارة المخاطر يرتبط ـ بصورة مباشرة أو غير مباشرة ـ بتحسن الكفاءة والجاهزية والأداء التنظيمي واستمرارية الأعمال وجودة الخدمة. كما تدعم الأدبيات الفرعيات الثلاث التي افترضتها الدراسة، إذ يمكن نظريًا توقع أثر مستقل لكل من تحديد المخاطر، وتقييم المخاطر، وتطوير استراتيجيات التعامل معها في تحسين مؤشرات الأداء لأنظمة الصحة النباتية والحيوانية في مركز وقاء. </w:t>
      </w:r>
    </w:p>
    <w:p w14:paraId="342B2693" w14:textId="77777777" w:rsidR="00263D77" w:rsidRPr="00263D77" w:rsidRDefault="00263D77" w:rsidP="00263D77">
      <w:pPr>
        <w:keepNext/>
        <w:keepLines/>
        <w:spacing w:before="120"/>
        <w:outlineLvl w:val="1"/>
        <w:rPr>
          <w:rFonts w:asciiTheme="majorHAnsi" w:eastAsiaTheme="majorEastAsia" w:hAnsiTheme="majorHAnsi"/>
          <w:bCs/>
          <w:color w:val="7030A0"/>
          <w:kern w:val="0"/>
          <w:sz w:val="26"/>
          <w:szCs w:val="32"/>
          <w:rtl/>
          <w14:ligatures w14:val="none"/>
        </w:rPr>
      </w:pPr>
      <w:bookmarkStart w:id="34" w:name="_Toc234717626"/>
      <w:r w:rsidRPr="00263D77">
        <w:rPr>
          <w:rFonts w:asciiTheme="majorHAnsi" w:eastAsiaTheme="majorEastAsia" w:hAnsiTheme="majorHAnsi"/>
          <w:bCs/>
          <w:color w:val="7030A0"/>
          <w:kern w:val="0"/>
          <w:sz w:val="26"/>
          <w:szCs w:val="32"/>
          <w:rtl/>
          <w14:ligatures w14:val="none"/>
        </w:rPr>
        <w:t>المبحث الرابع: الصحة النباتية والصحة الحيوانية والأمن الحيوي في المملكة العربية السعودية</w:t>
      </w:r>
      <w:bookmarkEnd w:id="34"/>
    </w:p>
    <w:p w14:paraId="7673A93E" w14:textId="77777777" w:rsidR="00263D77" w:rsidRPr="00263D77" w:rsidRDefault="00263D77" w:rsidP="00263D77">
      <w:pPr>
        <w:spacing w:before="100" w:beforeAutospacing="1"/>
        <w:ind w:left="-284"/>
        <w:outlineLvl w:val="2"/>
        <w:rPr>
          <w:rFonts w:ascii="Times New Roman" w:eastAsia="Times New Roman" w:hAnsi="Times New Roman"/>
          <w:b/>
          <w:bCs/>
          <w:kern w:val="0"/>
          <w:sz w:val="27"/>
          <w:rtl/>
          <w14:ligatures w14:val="none"/>
        </w:rPr>
      </w:pPr>
      <w:bookmarkStart w:id="35" w:name="_Toc234717627"/>
      <w:r w:rsidRPr="00263D77">
        <w:rPr>
          <w:rFonts w:ascii="Times New Roman" w:eastAsia="Times New Roman" w:hAnsi="Times New Roman"/>
          <w:b/>
          <w:bCs/>
          <w:kern w:val="0"/>
          <w:sz w:val="27"/>
          <w:rtl/>
          <w14:ligatures w14:val="none"/>
        </w:rPr>
        <w:t>المطلب الأول: مفهوم الصحة النباتية وأهميتها</w:t>
      </w:r>
      <w:bookmarkEnd w:id="35"/>
    </w:p>
    <w:p w14:paraId="4E30B98A" w14:textId="77777777" w:rsidR="00263D77" w:rsidRPr="00263D77" w:rsidRDefault="00263D77" w:rsidP="00263D77">
      <w:pPr>
        <w:spacing w:before="100" w:beforeAutospacing="1" w:after="100" w:afterAutospacing="1"/>
        <w:rPr>
          <w:rFonts w:eastAsia="Times New Roman"/>
          <w:kern w:val="0"/>
          <w:rtl/>
          <w14:ligatures w14:val="none"/>
        </w:rPr>
      </w:pPr>
      <w:r w:rsidRPr="00263D77">
        <w:rPr>
          <w:rtl/>
        </w:rPr>
        <w:t>يشير مصطلح صحة النبات إلى مجموعة السياسات والإجراءات الفنية واللوائح التي تهدف إلى حماية النباتات والمحاصيل والموارد الزراعية من الآفات والأمراض والأعشاب الضارة، والحد من انتشارها أو دخولها إلى المناطق الزراعية.</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{"citationID":"s8LGFlv8","properties":{"unsorted":false,"formattedCitation":"(Horigan et al., 2023)","plainCitation":"(Horigan et al., 2023)","noteIndex":0},"citationItems":[{"id":915,"uris":["http://zotero.org/users/186773</w:instrText>
      </w:r>
      <w:r w:rsidRPr="00263D77">
        <w:rPr>
          <w:rFonts w:eastAsia="Times New Roman"/>
          <w:kern w:val="0"/>
          <w:rtl/>
          <w14:ligatures w14:val="none"/>
        </w:rPr>
        <w:instrText>34/</w:instrText>
      </w:r>
      <w:r w:rsidRPr="00263D77">
        <w:rPr>
          <w:rFonts w:eastAsia="Times New Roman"/>
          <w:kern w:val="0"/>
          <w14:ligatures w14:val="none"/>
        </w:rPr>
        <w:instrText>items/46VLMSVW"],"itemData":{"id":915,"type":"article-journal","abstract":"Qualitative risk assessment (QRA) can provide a decision support system, but in order for it to be objective and consistently applied it is necessary to standardise the approach</w:instrText>
      </w:r>
      <w:r w:rsidRPr="00263D77">
        <w:rPr>
          <w:rFonts w:eastAsia="Times New Roman"/>
          <w:kern w:val="0"/>
          <w:rtl/>
          <w14:ligatures w14:val="none"/>
        </w:rPr>
        <w:instrText xml:space="preserve"> </w:instrText>
      </w:r>
      <w:r w:rsidRPr="00263D77">
        <w:rPr>
          <w:rFonts w:eastAsia="Times New Roman"/>
          <w:kern w:val="0"/>
          <w14:ligatures w14:val="none"/>
        </w:rPr>
        <w:instrText>as much as possible. This review considers how QRAs have historically been used for the benefit of animal health, what problems have been encountered during their development, and how these problems have been addressed.Four main elements were identified</w:instrText>
      </w:r>
      <w:r w:rsidRPr="00263D77">
        <w:rPr>
          <w:rFonts w:eastAsia="Times New Roman"/>
          <w:kern w:val="0"/>
          <w:rtl/>
          <w14:ligatures w14:val="none"/>
        </w:rPr>
        <w:instrText xml:space="preserve"> </w:instrText>
      </w:r>
      <w:r w:rsidRPr="00263D77">
        <w:rPr>
          <w:rFonts w:eastAsia="Times New Roman"/>
          <w:kern w:val="0"/>
          <w14:ligatures w14:val="none"/>
        </w:rPr>
        <w:instrText>as having been the subject of some proposed standard methodology: (i) the description of risk levels, (ii) combining probabilities, (iii) accounting for multiple products/animals and (iv) uncertainty. These elements were addressed in different ways but were highlighted as being fundamental to improving the accuracy in estimating the risk and conveying the results to the risk manager with minimal ambiguity. The development of standardisation of methodology thus represents an important advance in animal health QRA. It can also be concluded that QRAs are useful for identifying important chains of events and critical control points along risk pathways which can be used to inform risk management programs.Further work needs to be done regarding an objective uniform methodology for deriving an overall uncertainty estimate. In line with this, several tools have been developed which attempt to use mathematical reasoning to incorporate uncertainty and improve the objectivity of the qualitative framework. Ensuring a</w:instrText>
      </w:r>
      <w:r w:rsidRPr="00263D77">
        <w:rPr>
          <w:rFonts w:eastAsia="Times New Roman"/>
          <w:kern w:val="0"/>
          <w:rtl/>
          <w14:ligatures w14:val="none"/>
        </w:rPr>
        <w:instrText xml:space="preserve"> </w:instrText>
      </w:r>
      <w:r w:rsidRPr="00263D77">
        <w:rPr>
          <w:rFonts w:eastAsia="Times New Roman"/>
          <w:kern w:val="0"/>
          <w14:ligatures w14:val="none"/>
        </w:rPr>
        <w:instrText>robust objective methodology is used and that the reasons for differences in results, such as assumptions and uncertainty are clearly described to the customer is essential to maintain confidence in the QRA process.Overall, animal health QRAs have established their usefulness by providing a tool for rapid risk estimation which can be used to identify whether or not the risk exceeds a decision-making threshold above which action should be taken.","container-title":"Frontiers in Veterinary Science","DOI</w:instrText>
      </w:r>
      <w:r w:rsidRPr="00263D77">
        <w:rPr>
          <w:rFonts w:eastAsia="Times New Roman"/>
          <w:kern w:val="0"/>
          <w:rtl/>
          <w14:ligatures w14:val="none"/>
        </w:rPr>
        <w:instrText>":"10.3389/</w:instrText>
      </w:r>
      <w:r w:rsidRPr="00263D77">
        <w:rPr>
          <w:rFonts w:eastAsia="Times New Roman"/>
          <w:kern w:val="0"/>
          <w14:ligatures w14:val="none"/>
        </w:rPr>
        <w:instrText>fvets.2023.1102131","ISSN":"2297-1769","journalAbbreviation":"Front. Vet. Sci.","language":"English","publisher":"Frontiers","source":"Frontiers","title":"A review of qualitative risk assessment in animal health: Suggestions for best practice","title-short":"A review of qualitative risk assessment in animal health","URL":"https://www.frontiersin.org/journals/veterinary-science/articles/10.3389/fvets.2023.1102131/full","volume":"10","author":[{"family":"Horigan","given":"Verity"},{"family":"Simons</w:instrText>
      </w:r>
      <w:r w:rsidRPr="00263D77">
        <w:rPr>
          <w:rFonts w:eastAsia="Times New Roman"/>
          <w:kern w:val="0"/>
          <w:rtl/>
          <w14:ligatures w14:val="none"/>
        </w:rPr>
        <w:instrText>","</w:instrText>
      </w:r>
      <w:r w:rsidRPr="00263D77">
        <w:rPr>
          <w:rFonts w:eastAsia="Times New Roman"/>
          <w:kern w:val="0"/>
          <w14:ligatures w14:val="none"/>
        </w:rPr>
        <w:instrText>given":"Robin"},{"family":"Kavanagh","given":"Kim"},{"family":"Kelly","given":"Louise"}],"accessed":{"date-parts":[["2026",3,3]]},"issued":{"date-parts":[["2023",2,7]]}}}],"schema":"https://github.com/citation-style-language/schema/raw/master/csl-citation.json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szCs w:val="22"/>
        </w:rPr>
        <w:t>(Horigan et al., 2023)</w:t>
      </w:r>
      <w:r w:rsidRPr="00263D77">
        <w:rPr>
          <w:rFonts w:eastAsia="Times New Roman"/>
          <w:kern w:val="0"/>
          <w:rtl/>
          <w14:ligatures w14:val="none"/>
        </w:rPr>
        <w:fldChar w:fldCharType="end"/>
      </w:r>
      <w:r w:rsidRPr="00263D77">
        <w:rPr>
          <w:rFonts w:eastAsia="Times New Roman"/>
          <w:kern w:val="0"/>
          <w:rtl/>
          <w14:ligatures w14:val="none"/>
        </w:rPr>
        <w:t xml:space="preserve">  </w:t>
      </w:r>
      <w:r w:rsidRPr="00263D77">
        <w:rPr>
          <w:rtl/>
        </w:rPr>
        <w:t>ويتجاوز مفهومها مكافحة الآفات بعد ظهورها ليشمل الكشف المبكر والتحقيق والحجر الصحي وتحليل المخاطر وتنظيم تجارة المنتجات والمدخلات الزراعية لضمان حماية الإنتاج واستدامته.</w:t>
      </w:r>
    </w:p>
    <w:p w14:paraId="3E4AD373" w14:textId="77777777" w:rsidR="00263D77" w:rsidRPr="00263D77" w:rsidRDefault="00263D77" w:rsidP="00263D77">
      <w:pPr>
        <w:spacing w:before="100" w:beforeAutospacing="1" w:after="100" w:afterAutospacing="1"/>
        <w:rPr>
          <w:rFonts w:eastAsia="Times New Roman"/>
          <w:kern w:val="0"/>
          <w:rtl/>
          <w14:ligatures w14:val="none"/>
        </w:rPr>
      </w:pPr>
      <w:r w:rsidRPr="00263D77">
        <w:rPr>
          <w:rtl/>
        </w:rPr>
        <w:t xml:space="preserve">وتُعدّ صحة النبات ذات أهمية قصوى في المملكة العربية السعودية لارتباطها المباشر بحماية الإنتاج الزراعي المحلي، وتعزيز الأمن الغذائي، والحفاظ على التنوع البيولوجي. إذ يمكن أن تؤدي مخاطر النبات إلى انخفاض الإنتاجية الزراعية، وزيادة تكاليف المكافحة، وتراجع جودة المنتجات، فضلاً عن تأثيرها المحتمل على الموارد الطبيعية والبيئة الزراعية.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{"citationID":"Xg4qjsJr","properties":{"unsorted":false,"formattedCitation":"(Almotairy \\uc0\\u1608{}\\uc0\\u1570{}\\uc0\\u1582{}\\uc0\\u1585{}\\uc0\\u1608{}\\uc0\\u1606{}, 2024)","plainCitation":"(Almotairy</w:instrText>
      </w:r>
      <w:r w:rsidRPr="00263D77">
        <w:rPr>
          <w:rFonts w:eastAsia="Times New Roman"/>
          <w:kern w:val="0"/>
          <w:rtl/>
          <w14:ligatures w14:val="none"/>
        </w:rPr>
        <w:instrText xml:space="preserve"> وآخرون, 2024)","</w:instrText>
      </w:r>
      <w:r w:rsidRPr="00263D77">
        <w:rPr>
          <w:rFonts w:eastAsia="Times New Roman"/>
          <w:kern w:val="0"/>
          <w14:ligatures w14:val="none"/>
        </w:rPr>
        <w:instrText>noteIndex":0},"citationItems":[{"id":2394,"uris":["http://zotero.org/users/18677334/items/GFYKJ53B"],"itemData":{"id":2394,"type":"book","abstract":"&lt;p id=\"p1\"&gt;This chapter investigates integrating agricultural biosecurity measures with environmental</w:instrText>
      </w:r>
      <w:r w:rsidRPr="00263D77">
        <w:rPr>
          <w:rFonts w:eastAsia="Times New Roman"/>
          <w:kern w:val="0"/>
          <w:rtl/>
          <w14:ligatures w14:val="none"/>
        </w:rPr>
        <w:instrText xml:space="preserve"> </w:instrText>
      </w:r>
      <w:r w:rsidRPr="00263D77">
        <w:rPr>
          <w:rFonts w:eastAsia="Times New Roman"/>
          <w:kern w:val="0"/>
          <w14:ligatures w14:val="none"/>
        </w:rPr>
        <w:instrText>sustainability practices to bolster food safety in Saudi Arabia. It emphasizes the synergy between cutting-edge technologies, effective stakeholder engagement, and adaptive strategies to climate change, underscoring their pivotal roles in developing resilient agricultural systems. Through a comparative analysis with global standards, the chapter elucidates Saudi Arabia&amp;rsquo;s position and advancements in agricultural biosecurity, presenting an array of innovative technologies&amp;mdash;from precision agriculture tools to AI-driven pest detection systems&amp;mdash;that exemplify the country&amp;rsquo;s commitment to sustainable food production. Specific initiatives, such as the National Center for Prevention and Control of Plant Pests and Animal Diseases (NCPCPPAD)</w:instrText>
      </w:r>
      <w:r w:rsidRPr="00263D77">
        <w:rPr>
          <w:rFonts w:eastAsia="Times New Roman"/>
          <w:kern w:val="0"/>
          <w:rtl/>
          <w14:ligatures w14:val="none"/>
        </w:rPr>
        <w:instrText xml:space="preserve">, </w:instrText>
      </w:r>
      <w:r w:rsidRPr="00263D77">
        <w:rPr>
          <w:rFonts w:eastAsia="Times New Roman"/>
          <w:kern w:val="0"/>
          <w14:ligatures w14:val="none"/>
        </w:rPr>
        <w:instrText>are highlighted to illustrate practical applications. The chapter offers a multifaceted view of the challenges and successes of implementing biosecurity measures by incorporating comprehensive stakeholder perspectives, including those from farmers, policymakers, and scientists. Furthermore, it explores the impacts of climate change on agricultural biosecurity and delineates Saudi Arabia&amp;rsquo;s proactive approaches to mitigating these effects. Key findings include significant improvements in water consumption efficiency and crop yields. By weaving together interdisciplinary research, case studies, and policy analysis, the chapter seeks to contribute to the global discourse on securing food systems against biosecurity threats while advancing environmental</w:instrText>
      </w:r>
      <w:r w:rsidRPr="00263D77">
        <w:rPr>
          <w:rFonts w:eastAsia="Times New Roman"/>
          <w:kern w:val="0"/>
          <w:rtl/>
          <w14:ligatures w14:val="none"/>
        </w:rPr>
        <w:instrText xml:space="preserve"> </w:instrText>
      </w:r>
      <w:r w:rsidRPr="00263D77">
        <w:rPr>
          <w:rFonts w:eastAsia="Times New Roman"/>
          <w:kern w:val="0"/>
          <w14:ligatures w14:val="none"/>
        </w:rPr>
        <w:instrText>sustainability. Future directions for research and policy are also discussed.&lt;/p&gt;","DOI":"10.5772/intechopen.1007967","ISBN":"978-0-85466-424-5","language":"en","note":"DOI: 10.5772/intechopen.1007967","publisher":"IntechOpen","source":"www.intechopen.com</w:instrText>
      </w:r>
      <w:r w:rsidRPr="00263D77">
        <w:rPr>
          <w:rFonts w:eastAsia="Times New Roman"/>
          <w:kern w:val="0"/>
          <w:rtl/>
          <w14:ligatures w14:val="none"/>
        </w:rPr>
        <w:instrText>","</w:instrText>
      </w:r>
      <w:r w:rsidRPr="00263D77">
        <w:rPr>
          <w:rFonts w:eastAsia="Times New Roman"/>
          <w:kern w:val="0"/>
          <w14:ligatures w14:val="none"/>
        </w:rPr>
        <w:instrText>title":"Enhancing Agricultural Biosecurity: Strategies for Food Safety and Environmental Sustainability in Saudi Arabia","title-short":"Enhancing Agricultural Biosecurity","URL":"https://www.intechopen.com/online-first/1188660","author":[{"family":"Almotairy","given":"Hany M."},{"family":"Alshehri","given":"Khalid A."},{"family":"Almutairi","given":"Othman A."},{"family":"Alenizi","given":"Hanaa O."},{"family":"Bokheder","given":"Sultan"},{"family":"Almotairy","given":"Hany M."},{"family":"Alshehri","given":"Khalid A."},{"family":"Almutairi","given":"Othman A."},{"family":"Alenizi","given":"Hanaa O."},{"family":"Bokheder","given":"Sultan"}],"accessed":{"date-parts":[["2026",7,12]]},"issued":{"date-parts":[["2024",12,2]]}}}],"schema":"https://github.com</w:instrText>
      </w:r>
      <w:r w:rsidRPr="00263D77">
        <w:rPr>
          <w:rFonts w:eastAsia="Times New Roman"/>
          <w:kern w:val="0"/>
          <w:rtl/>
          <w14:ligatures w14:val="none"/>
        </w:rPr>
        <w:instrText>/</w:instrText>
      </w:r>
      <w:r w:rsidRPr="00263D77">
        <w:rPr>
          <w:rFonts w:eastAsia="Times New Roman"/>
          <w:kern w:val="0"/>
          <w14:ligatures w14:val="none"/>
        </w:rPr>
        <w:instrText>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kern w:val="0"/>
          <w:rtl/>
        </w:rPr>
        <w:t>(</w:t>
      </w:r>
      <w:r w:rsidRPr="00263D77">
        <w:rPr>
          <w:kern w:val="0"/>
        </w:rPr>
        <w:t>Almotairy et al., 2024</w:t>
      </w:r>
      <w:r w:rsidRPr="00263D77">
        <w:rPr>
          <w:kern w:val="0"/>
          <w:rtl/>
        </w:rPr>
        <w:t>)</w:t>
      </w:r>
      <w:r w:rsidRPr="00263D77">
        <w:rPr>
          <w:rFonts w:eastAsia="Times New Roman"/>
          <w:kern w:val="0"/>
          <w:rtl/>
          <w14:ligatures w14:val="none"/>
        </w:rPr>
        <w:fldChar w:fldCharType="end"/>
      </w:r>
      <w:r w:rsidRPr="00263D77">
        <w:rPr>
          <w:rFonts w:eastAsia="Times New Roman"/>
          <w:kern w:val="0"/>
          <w:rtl/>
          <w14:ligatures w14:val="none"/>
        </w:rPr>
        <w:t xml:space="preserve"> </w:t>
      </w:r>
      <w:r w:rsidRPr="00263D77">
        <w:rPr>
          <w:rtl/>
        </w:rPr>
        <w:t>ولذلك، تعمل الجهات المختصة على تطبيق إجراءات الحجر الصحي، ومراقبة الآفات، وتنفيذ برامج الإدارة المتكاملة للآفات، إلى جانب تنظيم وتتبع تجارة مدخلات صحة النبات.</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{"citationID":"kGnjl7t6","properties":{"unsorted":false,"formattedCitation":"(Jeger \\uc0\\u1608{}\\uc0\\u1570{}\\uc0\\u1582{}\\uc0\\u1585{}\\uc0\\u1608{}\\uc0\\u1606{}, 2012)","plainCitation":"(Jeger</w:instrText>
      </w:r>
      <w:r w:rsidRPr="00263D77">
        <w:rPr>
          <w:rFonts w:eastAsia="Times New Roman"/>
          <w:kern w:val="0"/>
          <w:rtl/>
          <w14:ligatures w14:val="none"/>
        </w:rPr>
        <w:instrText xml:space="preserve"> وآخرون, 2012)","</w:instrText>
      </w:r>
      <w:r w:rsidRPr="00263D77">
        <w:rPr>
          <w:rFonts w:eastAsia="Times New Roman"/>
          <w:kern w:val="0"/>
          <w14:ligatures w14:val="none"/>
        </w:rPr>
        <w:instrText>noteIndex":0},"citationItems":[{"id":894,"uris":["http://zotero.org/users/18677334/items/N68MTYA7"],"itemData":{"id":894,"type":"article-journal","abstract":"With the establishment of the Plant Health Panel in 2006, EFSA became the body responsible for risk assessment in the plant health area for the European Union (EU). Since then more than 70 outputs have been produced dealing with the full range of organisms harmful to plant health across all crop types and plants in the environment. There has been an increasing trend towards producing scientific opinions which are full pest risk assessments for the whole EU territory. In its work, and as a contribution to the wider development of risk assessment methodology, the Panel has developed a series of guidance documents. These deal with the peer review of existing pest risk assessments, a framework for conducting risk assessments which harmonise standards set by the International Plant Protection Convention and the legislative requirements of the EU, and extension</w:instrText>
      </w:r>
      <w:r w:rsidRPr="00263D77">
        <w:rPr>
          <w:rFonts w:eastAsia="Times New Roman"/>
          <w:kern w:val="0"/>
          <w:rtl/>
          <w14:ligatures w14:val="none"/>
        </w:rPr>
        <w:instrText xml:space="preserve"> </w:instrText>
      </w:r>
      <w:r w:rsidRPr="00263D77">
        <w:rPr>
          <w:rFonts w:eastAsia="Times New Roman"/>
          <w:kern w:val="0"/>
          <w14:ligatures w14:val="none"/>
        </w:rPr>
        <w:instrText>of this framework to include environmental risk assessment and the evaluation of risk reducing options. Quantitative approaches have become increasingly important during this time. The Panel has developed such methods in climatic mapping (in association with the Joint Research Councils), application of spatial spread models, re-evaluation of quantitative pathway analyses, and in statistical modelling of experimental data. A Plant Health Network has been established to facilitate interaction with EU Member</w:instrText>
      </w:r>
      <w:r w:rsidRPr="00263D77">
        <w:rPr>
          <w:rFonts w:eastAsia="Times New Roman"/>
          <w:kern w:val="0"/>
          <w:rtl/>
          <w14:ligatures w14:val="none"/>
        </w:rPr>
        <w:instrText xml:space="preserve"> </w:instrText>
      </w:r>
      <w:r w:rsidRPr="00263D77">
        <w:rPr>
          <w:rFonts w:eastAsia="Times New Roman"/>
          <w:kern w:val="0"/>
          <w14:ligatures w14:val="none"/>
        </w:rPr>
        <w:instrText>States, especially in relation to data collection and co-ordination of risk assessment activities. At the current time a revision of the EU Plant Health Regime is being formulated. The legislative consequences of the revision will be of considerable significance for the work of the Plant Health Panel.","container-title":"EFSA Journal","DOI":"10.2903/j.efsa.2012.s1012","ISSN":"1831-4732","issue":"10","language":"en","license":"© 2012 European Food Safety Authority","note":"_eprint: https://efsa.onlinelibrary.wiley.com/doi/pdf/10.2903/j.efsa.2012.s1012","page":"s1012","source":"Wiley Online Library","title":"Risk assessment in support of plant health","volume":"10","author":[{"family":"Jeger","given":"Michael"},{"family":"Schans","given":"Jan"},{"family</w:instrText>
      </w:r>
      <w:r w:rsidRPr="00263D77">
        <w:rPr>
          <w:rFonts w:eastAsia="Times New Roman"/>
          <w:kern w:val="0"/>
          <w:rtl/>
          <w14:ligatures w14:val="none"/>
        </w:rPr>
        <w:instrText>":"</w:instrText>
      </w:r>
      <w:r w:rsidRPr="00263D77">
        <w:rPr>
          <w:rFonts w:eastAsia="Times New Roman"/>
          <w:kern w:val="0"/>
          <w14:ligatures w14:val="none"/>
        </w:rPr>
        <w:instrText>Lövei","given":"Gabor L."},{"family":"Lenteren","given":"Joop","non-dropping-particle":"van"},{"family":"Navajas","given":"Maria"},{"family":"Makowski","given":"David"},{"family":"Stancanelli","given":"Giuseppe"},{"family":"Tramontini","given":"Sara"},{"family":"B. Ceglarska","given":"Elzbieta"}],"issued":{"date-parts":[["2012"]]}}}],"schema":"https://github.com/citation-style-language/schema/raw/master/csl-citation.json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kern w:val="0"/>
          <w:rtl/>
        </w:rPr>
        <w:t>(</w:t>
      </w:r>
      <w:r w:rsidRPr="00263D77">
        <w:rPr>
          <w:kern w:val="0"/>
        </w:rPr>
        <w:t>Jeger et al., 2012</w:t>
      </w:r>
      <w:r w:rsidRPr="00263D77">
        <w:rPr>
          <w:kern w:val="0"/>
          <w:rtl/>
        </w:rPr>
        <w:t>)</w:t>
      </w:r>
      <w:r w:rsidRPr="00263D77">
        <w:rPr>
          <w:rFonts w:eastAsia="Times New Roman"/>
          <w:kern w:val="0"/>
          <w:rtl/>
          <w14:ligatures w14:val="none"/>
        </w:rPr>
        <w:fldChar w:fldCharType="end"/>
      </w:r>
    </w:p>
    <w:p w14:paraId="579EC754" w14:textId="77777777" w:rsidR="00263D77" w:rsidRPr="00263D77" w:rsidRDefault="00263D77" w:rsidP="00263D77">
      <w:pPr>
        <w:rPr>
          <w:rtl/>
        </w:rPr>
      </w:pPr>
      <w:r w:rsidRPr="00263D77">
        <w:rPr>
          <w:rtl/>
        </w:rPr>
        <w:t xml:space="preserve">ويضطلع مركز وقاء بدور محوري في هذا المجال من خلال تطبيق السياسات والبرامج المتعلقة بالوقاية من آفات النبات ومكافحتها، وتطبيق معايير صحة النبات، وتطوير أنشطة الرصد والتفتيش والتحقيق. كما يساهم ذلك في تحسين أداء الإدارة المتكاملة للآفات، مما يدعم الاستدامة الزراعية </w:t>
      </w:r>
      <w:r w:rsidRPr="00263D77">
        <w:rPr>
          <w:rtl/>
        </w:rPr>
        <w:lastRenderedPageBreak/>
        <w:t>ويحمي الموارد النباتية من التهديدات العابرة للحدود. وتؤكد هذه الأدوار أن صحة النبات تمثل جانبًا وقائيًا واستراتيجيًا من نظام الأمن الحيوي، وليست مجرد نشاط تقني يقتصر على المكافحة الحقلية.</w:t>
      </w:r>
    </w:p>
    <w:p w14:paraId="0151D895" w14:textId="77777777" w:rsidR="00263D77" w:rsidRPr="00263D77" w:rsidRDefault="00263D77" w:rsidP="00263D77">
      <w:pPr>
        <w:spacing w:before="100" w:beforeAutospacing="1"/>
        <w:ind w:left="-284"/>
        <w:outlineLvl w:val="2"/>
        <w:rPr>
          <w:rFonts w:ascii="Times New Roman" w:eastAsia="Times New Roman" w:hAnsi="Times New Roman"/>
          <w:b/>
          <w:bCs/>
          <w:kern w:val="0"/>
          <w:sz w:val="27"/>
          <w:rtl/>
          <w14:ligatures w14:val="none"/>
        </w:rPr>
      </w:pPr>
      <w:bookmarkStart w:id="36" w:name="_Toc234717628"/>
      <w:r w:rsidRPr="00263D77">
        <w:rPr>
          <w:rFonts w:ascii="Times New Roman" w:eastAsia="Times New Roman" w:hAnsi="Times New Roman"/>
          <w:b/>
          <w:bCs/>
          <w:kern w:val="0"/>
          <w:sz w:val="27"/>
          <w:rtl/>
          <w14:ligatures w14:val="none"/>
        </w:rPr>
        <w:t>المطلب الثاني: مفهوم الصحة الحيوانية وأهميتها</w:t>
      </w:r>
      <w:bookmarkEnd w:id="36"/>
    </w:p>
    <w:p w14:paraId="3BEE714B" w14:textId="77777777" w:rsidR="00263D77" w:rsidRPr="00263D77" w:rsidRDefault="00263D77" w:rsidP="00263D77">
      <w:pPr>
        <w:spacing w:before="100" w:beforeAutospacing="1" w:after="100" w:afterAutospacing="1"/>
        <w:rPr>
          <w:rFonts w:eastAsia="Times New Roman"/>
          <w:kern w:val="0"/>
          <w:rtl/>
          <w14:ligatures w14:val="none"/>
        </w:rPr>
      </w:pPr>
      <w:r w:rsidRPr="00263D77">
        <w:rPr>
          <w:rtl/>
        </w:rPr>
        <w:t>تعني صحة الحيوان الحفاظ على صحة الحيوانات وحمايتها من الأمراض المعدية والوبائية، والحد من انتشارها، وتحسين إنتاجيتها، وحماية الإنسان والبيئة من المخاطر المرتبطة بها، وترتبط صحة الحيوان ارتباطًا وثيقًا بالأمن الغذائي والصحة العامة، إذ يمكن أن تؤثر أمراض الحيوان على إنتاج الغذاء وتجارته وسلامة المنتجات الحيوانية، كما يمكن أن ينتقل بعضها إلى الإنسان أو يرتبط بانتشار نواقل الأمراض.</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{"citationID":"S5rzFOeA","properties":{"unsorted":false,"formattedCitation":"(Jin \\uc0\\u1608{}\\uc0\\u1570{}\\uc0\\u1582{}\\uc0\\u1585{}\\uc0\\u1608{}\\uc0\\u1606{}, 2009)","plainCitation":"(Jin</w:instrText>
      </w:r>
      <w:r w:rsidRPr="00263D77">
        <w:rPr>
          <w:rFonts w:eastAsia="Times New Roman"/>
          <w:kern w:val="0"/>
          <w:rtl/>
          <w14:ligatures w14:val="none"/>
        </w:rPr>
        <w:instrText xml:space="preserve"> وآخرون, 2009)","</w:instrText>
      </w:r>
      <w:r w:rsidRPr="00263D77">
        <w:rPr>
          <w:rFonts w:eastAsia="Times New Roman"/>
          <w:kern w:val="0"/>
          <w14:ligatures w14:val="none"/>
        </w:rPr>
        <w:instrText>noteIndex</w:instrText>
      </w:r>
      <w:r w:rsidRPr="00263D77">
        <w:rPr>
          <w:rFonts w:eastAsia="Times New Roman"/>
          <w:kern w:val="0"/>
          <w:rtl/>
          <w14:ligatures w14:val="none"/>
        </w:rPr>
        <w:instrText>":0},"</w:instrText>
      </w:r>
      <w:r w:rsidRPr="00263D77">
        <w:rPr>
          <w:rFonts w:eastAsia="Times New Roman"/>
          <w:kern w:val="0"/>
          <w14:ligatures w14:val="none"/>
        </w:rPr>
        <w:instrText>citationItems":[{"id":891,"uris":["http://zotero.org/users/18677334/items/LPFJSGX7"],"itemData":{"id":891,"type":"article-journal","abstract":"Animal agriculture is vulnerable to both intentional and unintentional biological threats. Outbreaks, especially intentional attacks, could cause enormous consequences extending well beyond agriculture. Nations, including the USA, are consolidating and coordinating efforts to protect against these biological threats. The efforts employed largely fall into the</w:instrText>
      </w:r>
      <w:r w:rsidRPr="00263D77">
        <w:rPr>
          <w:rFonts w:eastAsia="Times New Roman"/>
          <w:kern w:val="0"/>
          <w:rtl/>
          <w14:ligatures w14:val="none"/>
        </w:rPr>
        <w:instrText xml:space="preserve"> </w:instrText>
      </w:r>
      <w:r w:rsidRPr="00263D77">
        <w:rPr>
          <w:rFonts w:eastAsia="Times New Roman"/>
          <w:kern w:val="0"/>
          <w14:ligatures w14:val="none"/>
        </w:rPr>
        <w:instrText>categories of ex ante prevention/preparedness and ex post response/recovery. The optimal mix across these strategies depends on the event probability, expected economic consequences, costs and effectiveness of strategies, and disease spread rates along with other factors. We review the literature discussing vulnerability and mitigation strategies and issues of relevance to agricultural security and then develop strategic recommendations based on economic analyses. These recommendations address (1) what categories of mitigation strategies are likely to be most effective (2) what implementation issues exist and how these implementation challenges could be managed or overcome and (3) what leverages can be done on technology, scientific advancement and education.","container-title":"International Journal of Risk Assessment and Management","DOI":"10.1504/IJRAM.2009.025918","ISSN":"1466-8297, 1741-5241","issue":"2/3/4","journalAbbreviation":"IJRAM","language":"en","page":"186","source":"DOI.org (Crossref)","title":"Risk assessment and management of animal disease-related biosecurity","volume":"12","author":[{"family":"Jin","given":"Yanhong H."},{"family":"McCarl","given":"Bruce A."},{"family":"Elbakidze","given":"Levan"}],"issued":{"date-parts</w:instrText>
      </w:r>
      <w:r w:rsidRPr="00263D77">
        <w:rPr>
          <w:rFonts w:eastAsia="Times New Roman"/>
          <w:kern w:val="0"/>
          <w:rtl/>
          <w14:ligatures w14:val="none"/>
        </w:rPr>
        <w:instrText>":[["2009"]]</w:instrText>
      </w:r>
      <w:r w:rsidRPr="00263D77">
        <w:rPr>
          <w:rFonts w:eastAsia="Times New Roman"/>
          <w:kern w:val="0"/>
          <w14:ligatures w14:val="none"/>
        </w:rPr>
        <w:instrText>}</w:instrText>
      </w:r>
      <w:r w:rsidRPr="00263D77">
        <w:rPr>
          <w:rFonts w:eastAsia="Times New Roman"/>
          <w:kern w:val="0"/>
          <w:rtl/>
          <w14:ligatures w14:val="none"/>
        </w:rPr>
        <w:instrText>}}],"</w:instrText>
      </w:r>
      <w:r w:rsidRPr="00263D77">
        <w:rPr>
          <w:rFonts w:eastAsia="Times New Roman"/>
          <w:kern w:val="0"/>
          <w14:ligatures w14:val="none"/>
        </w:rPr>
        <w:instrText>schema":"https://github.com/citation-style-language/schema/raw/master/csl-citation.json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kern w:val="0"/>
          <w:rtl/>
        </w:rPr>
        <w:t>(</w:t>
      </w:r>
      <w:r w:rsidRPr="00263D77">
        <w:rPr>
          <w:kern w:val="0"/>
        </w:rPr>
        <w:t>Jin et al., 2009</w:t>
      </w:r>
      <w:r w:rsidRPr="00263D77">
        <w:rPr>
          <w:kern w:val="0"/>
          <w:rtl/>
        </w:rPr>
        <w:t>)</w:t>
      </w:r>
      <w:r w:rsidRPr="00263D77">
        <w:rPr>
          <w:rFonts w:eastAsia="Times New Roman"/>
          <w:kern w:val="0"/>
          <w:rtl/>
          <w14:ligatures w14:val="none"/>
        </w:rPr>
        <w:fldChar w:fldCharType="end"/>
      </w:r>
    </w:p>
    <w:p w14:paraId="457D27AF" w14:textId="77777777" w:rsidR="00263D77" w:rsidRPr="00263D77" w:rsidRDefault="00263D77" w:rsidP="00263D77">
      <w:pPr>
        <w:spacing w:before="100" w:beforeAutospacing="1" w:after="100" w:afterAutospacing="1"/>
        <w:rPr>
          <w:rFonts w:eastAsia="Times New Roman"/>
          <w:kern w:val="0"/>
          <w:rtl/>
          <w14:ligatures w14:val="none"/>
        </w:rPr>
      </w:pPr>
      <w:r w:rsidRPr="00263D77">
        <w:rPr>
          <w:rtl/>
        </w:rPr>
        <w:t>وتتبنى المملكة نهجًا متكاملًا في هذا المجال قائمًا على مفهوم "الصحة الواحدة"، الذي يربط بين صحة الإنسان والحيوان والبيئة، ويتجلى هذا النهج في الوقاية والتطعيم والمراقبة الوبائية ورصد أمراض الحيوان ونواقلها، ووضع برامج الاستجابة للطوارئ. كما يتضمن الإطار التنظيمي الوطني دليلًا لصحة الحيوان صادرًا استنادًا إلى قانون الزراعة ولائحته التنفيذية، مما يعكس أهمية توحيد الضوابط والإجراءات التي تحكم هذا القطاع.</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{"citationID":"A49kx5yO","properties":{"unsorted":false,"formattedCitation":"(Almotairy \\uc0\\u1608{}\\uc0\\u1570{}\\uc0\\u1582{}\\uc0\\u1585{}\\uc0\\u1608{}\\uc0\\u1606{}, 2024)","plainCitation":"(Almotairy</w:instrText>
      </w:r>
      <w:r w:rsidRPr="00263D77">
        <w:rPr>
          <w:rFonts w:eastAsia="Times New Roman"/>
          <w:kern w:val="0"/>
          <w:rtl/>
          <w14:ligatures w14:val="none"/>
        </w:rPr>
        <w:instrText xml:space="preserve"> وآخرون, 2024)","</w:instrText>
      </w:r>
      <w:r w:rsidRPr="00263D77">
        <w:rPr>
          <w:rFonts w:eastAsia="Times New Roman"/>
          <w:kern w:val="0"/>
          <w14:ligatures w14:val="none"/>
        </w:rPr>
        <w:instrText>noteIndex":0},"citationItems":[{"id":2394,"uris":["http://zotero.org/users/18677334/items/GFYKJ53B"],"itemData":{"id":2394,"type":"book","abstract":"&lt;p id=\"p1\"&gt;This chapter investigates integrating agricultural biosecurity measures with environmental</w:instrText>
      </w:r>
      <w:r w:rsidRPr="00263D77">
        <w:rPr>
          <w:rFonts w:eastAsia="Times New Roman"/>
          <w:kern w:val="0"/>
          <w:rtl/>
          <w14:ligatures w14:val="none"/>
        </w:rPr>
        <w:instrText xml:space="preserve"> </w:instrText>
      </w:r>
      <w:r w:rsidRPr="00263D77">
        <w:rPr>
          <w:rFonts w:eastAsia="Times New Roman"/>
          <w:kern w:val="0"/>
          <w14:ligatures w14:val="none"/>
        </w:rPr>
        <w:instrText>sustainability practices to bolster food safety in Saudi Arabia. It emphasizes the synergy between cutting-edge technologies, effective stakeholder engagement, and adaptive strategies to climate change, underscoring their pivotal roles in developing resilient agricultural systems. Through a comparative analysis with global standards, the chapter elucidates Saudi Arabia&amp;rsquo;s position and advancements in agricultural biosecurity, presenting an array of innovative technologies&amp;mdash;from precision agriculture tools to AI-driven pest detection systems&amp;mdash;that exemplify the country&amp;rsquo;s commitment to sustainable food production. Specific initiatives, such as the National Center for Prevention and Control of Plant Pests and Animal Diseases (NCPCPPAD)</w:instrText>
      </w:r>
      <w:r w:rsidRPr="00263D77">
        <w:rPr>
          <w:rFonts w:eastAsia="Times New Roman"/>
          <w:kern w:val="0"/>
          <w:rtl/>
          <w14:ligatures w14:val="none"/>
        </w:rPr>
        <w:instrText xml:space="preserve">, </w:instrText>
      </w:r>
      <w:r w:rsidRPr="00263D77">
        <w:rPr>
          <w:rFonts w:eastAsia="Times New Roman"/>
          <w:kern w:val="0"/>
          <w14:ligatures w14:val="none"/>
        </w:rPr>
        <w:instrText>are highlighted to illustrate practical applications. The chapter offers a multifaceted view of the challenges and successes of implementing biosecurity measures by incorporating comprehensive stakeholder perspectives, including those from farmers, policymakers, and scientists. Furthermore, it explores the impacts of climate change on agricultural biosecurity and delineates Saudi Arabia&amp;rsquo;s proactive approaches to mitigating these effects. Key findings include significant improvements in water consumption efficiency and crop yields. By weaving together interdisciplinary research, case studies, and policy analysis, the chapter seeks to contribute to the global discourse on securing food systems against biosecurity threats while advancing environmental</w:instrText>
      </w:r>
      <w:r w:rsidRPr="00263D77">
        <w:rPr>
          <w:rFonts w:eastAsia="Times New Roman"/>
          <w:kern w:val="0"/>
          <w:rtl/>
          <w14:ligatures w14:val="none"/>
        </w:rPr>
        <w:instrText xml:space="preserve"> </w:instrText>
      </w:r>
      <w:r w:rsidRPr="00263D77">
        <w:rPr>
          <w:rFonts w:eastAsia="Times New Roman"/>
          <w:kern w:val="0"/>
          <w14:ligatures w14:val="none"/>
        </w:rPr>
        <w:instrText>sustainability. Future directions for research and policy are also discussed.&lt;/p&gt;","DOI":"10.5772/intechopen.1007967","ISBN":"978-0-85466-424-5","language":"en","note":"DOI: 10.5772/intechopen.1007967","publisher":"IntechOpen","source":"www.intechopen.com</w:instrText>
      </w:r>
      <w:r w:rsidRPr="00263D77">
        <w:rPr>
          <w:rFonts w:eastAsia="Times New Roman"/>
          <w:kern w:val="0"/>
          <w:rtl/>
          <w14:ligatures w14:val="none"/>
        </w:rPr>
        <w:instrText>","</w:instrText>
      </w:r>
      <w:r w:rsidRPr="00263D77">
        <w:rPr>
          <w:rFonts w:eastAsia="Times New Roman"/>
          <w:kern w:val="0"/>
          <w14:ligatures w14:val="none"/>
        </w:rPr>
        <w:instrText>title":"Enhancing Agricultural Biosecurity: Strategies for Food Safety and Environmental Sustainability in Saudi Arabia","title-short":"Enhancing Agricultural Biosecurity","URL":"https://www.intechopen.com/online-first/1188660","author":[{"family":"Almotairy","given":"Hany M."},{"family":"Alshehri","given":"Khalid A."},{"family":"Almutairi","given":"Othman A."},{"family":"Alenizi","given":"Hanaa O."},{"family":"Bokheder","given":"Sultan"},{"family":"Almotairy","given":"Hany M."},{"family":"Alshehri","given":"Khalid A."},{"family":"Almutairi","given":"Othman A."},{"family":"Alenizi","given":"Hanaa O."},{"family":"Bokheder","given":"Sultan"}],"accessed":{"date-parts":[["2026",7,12]]},"issued":{"date-parts":[["2024",12,2]]}}}],"schema":"https://github.com</w:instrText>
      </w:r>
      <w:r w:rsidRPr="00263D77">
        <w:rPr>
          <w:rFonts w:eastAsia="Times New Roman"/>
          <w:kern w:val="0"/>
          <w:rtl/>
          <w14:ligatures w14:val="none"/>
        </w:rPr>
        <w:instrText>/</w:instrText>
      </w:r>
      <w:r w:rsidRPr="00263D77">
        <w:rPr>
          <w:rFonts w:eastAsia="Times New Roman"/>
          <w:kern w:val="0"/>
          <w14:ligatures w14:val="none"/>
        </w:rPr>
        <w:instrText>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kern w:val="0"/>
          <w:rtl/>
        </w:rPr>
        <w:t>(</w:t>
      </w:r>
      <w:r w:rsidRPr="00263D77">
        <w:rPr>
          <w:kern w:val="0"/>
        </w:rPr>
        <w:t>Almotairy et al., 2024</w:t>
      </w:r>
      <w:r w:rsidRPr="00263D77">
        <w:rPr>
          <w:kern w:val="0"/>
          <w:rtl/>
        </w:rPr>
        <w:t>)</w:t>
      </w:r>
      <w:r w:rsidRPr="00263D77">
        <w:rPr>
          <w:rFonts w:eastAsia="Times New Roman"/>
          <w:kern w:val="0"/>
          <w:rtl/>
          <w14:ligatures w14:val="none"/>
        </w:rPr>
        <w:fldChar w:fldCharType="end"/>
      </w:r>
    </w:p>
    <w:p w14:paraId="6D6836EB" w14:textId="77777777" w:rsidR="00263D77" w:rsidRPr="00263D77" w:rsidRDefault="00263D77" w:rsidP="00263D77">
      <w:pPr>
        <w:rPr>
          <w:rtl/>
        </w:rPr>
      </w:pPr>
      <w:r w:rsidRPr="00263D77">
        <w:rPr>
          <w:rtl/>
        </w:rPr>
        <w:t>وتكمن أهمية صحة الحيوان في مركز وقاء في دعم التأهب للكشف المبكر عن الأمراض، وتعزيز برامج التطعيم، وتحسين جودة التحقيقات الوبائية، وزيادة كفاءة إجراءات الاستجابة في حالات الاشتباه في تفشي الأمراض أو تفشيها فعليًا. يسعى المركز أيضاً إلى تطوير تدابير الوقاية والمكافحة، والاستفادة من التقنيات الحديثة في التأهب والإنذار المبكر، وتطبيق الممارسات الدولية المناسبة للسيطرة على تفشي الأمراض. وهذا يؤكد أن صحة الحيوان ركن أساسي في حماية الثروة الحيوانية، ودعم استدامة الإنتاج المحلي، والتخفيف من الآثار الاقتصادية والصحية لمخاطر الأوبئة.</w:t>
      </w:r>
    </w:p>
    <w:p w14:paraId="520FC71D" w14:textId="77777777" w:rsidR="00263D77" w:rsidRPr="00263D77" w:rsidRDefault="00263D77" w:rsidP="00263D77">
      <w:pPr>
        <w:spacing w:before="100" w:beforeAutospacing="1"/>
        <w:ind w:left="-284"/>
        <w:outlineLvl w:val="2"/>
        <w:rPr>
          <w:rFonts w:ascii="Times New Roman" w:eastAsia="Times New Roman" w:hAnsi="Times New Roman"/>
          <w:b/>
          <w:bCs/>
          <w:kern w:val="0"/>
          <w:sz w:val="27"/>
          <w:rtl/>
          <w14:ligatures w14:val="none"/>
        </w:rPr>
      </w:pPr>
      <w:bookmarkStart w:id="37" w:name="_Toc234717629"/>
      <w:r w:rsidRPr="00263D77">
        <w:rPr>
          <w:rFonts w:ascii="Times New Roman" w:eastAsia="Times New Roman" w:hAnsi="Times New Roman"/>
          <w:b/>
          <w:bCs/>
          <w:kern w:val="0"/>
          <w:sz w:val="27"/>
          <w:rtl/>
          <w14:ligatures w14:val="none"/>
        </w:rPr>
        <w:t>المطلب الثالث: الأمن الحيوي وعلاقته بالصحة النباتية والحيوانية</w:t>
      </w:r>
      <w:bookmarkEnd w:id="37"/>
    </w:p>
    <w:p w14:paraId="4256732F" w14:textId="77777777" w:rsidR="00263D77" w:rsidRPr="00263D77" w:rsidRDefault="00263D77" w:rsidP="00263D77">
      <w:pPr>
        <w:spacing w:before="100" w:beforeAutospacing="1" w:after="100" w:afterAutospacing="1"/>
        <w:rPr>
          <w:rFonts w:eastAsia="Times New Roman"/>
          <w:kern w:val="0"/>
          <w:rtl/>
          <w14:ligatures w14:val="none"/>
        </w:rPr>
      </w:pPr>
      <w:r w:rsidRPr="00263D77">
        <w:rPr>
          <w:rtl/>
        </w:rPr>
        <w:t>يشير الأمن الحيوي إلى مجموعة من التدابير الوقائية والتنظيمية والتقنية التي تهدف إلى منع دخول أو انتشار مسببات الأمراض والآفات بين الحيوانات والنباتات وبيئاتها. وهو يقوم على مبدأ الوقاية الاستباقية، ويركز على تقليل احتمالية تفاقم المخاطر إلى أزمة من خلال ضوابط الحركة، وإجراءات العزل، والتطهير، والمراقبة، والتطعيم، والتفتيش، والاستجابة السريعة.</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{"citationID":"1ItZfBem","properties":{"unsorted":false,"formattedCitation":"(Jeger \\uc0\\u1608{}\\uc0\\u1570{}\\uc0\\u1582{}\\uc0\\u1585{}\\uc0\\u1608{}\\uc0\\u1606{}, 2012)","plainCitation":"(Jeger</w:instrText>
      </w:r>
      <w:r w:rsidRPr="00263D77">
        <w:rPr>
          <w:rFonts w:eastAsia="Times New Roman"/>
          <w:kern w:val="0"/>
          <w:rtl/>
          <w14:ligatures w14:val="none"/>
        </w:rPr>
        <w:instrText xml:space="preserve"> وآخرون, 2012)","</w:instrText>
      </w:r>
      <w:r w:rsidRPr="00263D77">
        <w:rPr>
          <w:rFonts w:eastAsia="Times New Roman"/>
          <w:kern w:val="0"/>
          <w14:ligatures w14:val="none"/>
        </w:rPr>
        <w:instrText>noteIndex":0},"citationItems":[{"id":894,"uris":["http://zotero.org/users/18677334/items/N68MTYA7"],"itemData":{"id":894,"type":"article-journal","abstract":"With the establishment of the Plant Health Panel in 2006, EFSA became the body responsible for risk assessment in the plant health area for the European Union (EU). Since then more than 70 outputs have been produced dealing with the full range of organisms harmful to plant health across all crop types and plants in the environment. There has been an increasing trend towards producing scientific opinions which are full pest risk assessments for the whole EU territory. In its work, and as a contribution to the wider development of risk assessment methodology, the Panel has developed a series of guidance documents. These deal with the peer review of existing pest risk assessments, a framework for conducting risk assessments which harmonise standards set by the International Plant Protection Convention and the legislative requirements of the EU, and extension</w:instrText>
      </w:r>
      <w:r w:rsidRPr="00263D77">
        <w:rPr>
          <w:rFonts w:eastAsia="Times New Roman"/>
          <w:kern w:val="0"/>
          <w:rtl/>
          <w14:ligatures w14:val="none"/>
        </w:rPr>
        <w:instrText xml:space="preserve"> </w:instrText>
      </w:r>
      <w:r w:rsidRPr="00263D77">
        <w:rPr>
          <w:rFonts w:eastAsia="Times New Roman"/>
          <w:kern w:val="0"/>
          <w14:ligatures w14:val="none"/>
        </w:rPr>
        <w:instrText>of this framework to include environmental risk assessment and the evaluation of risk reducing options. Quantitative approaches have become increasingly important during this time. The Panel has developed such methods in climatic mapping (in association with the Joint Research Councils), application of spatial spread models, re-evaluation of quantitative pathway analyses, and in statistical modelling of experimental data. A Plant Health Network has been established to facilitate interaction with EU Member</w:instrText>
      </w:r>
      <w:r w:rsidRPr="00263D77">
        <w:rPr>
          <w:rFonts w:eastAsia="Times New Roman"/>
          <w:kern w:val="0"/>
          <w:rtl/>
          <w14:ligatures w14:val="none"/>
        </w:rPr>
        <w:instrText xml:space="preserve"> </w:instrText>
      </w:r>
      <w:r w:rsidRPr="00263D77">
        <w:rPr>
          <w:rFonts w:eastAsia="Times New Roman"/>
          <w:kern w:val="0"/>
          <w14:ligatures w14:val="none"/>
        </w:rPr>
        <w:instrText>States, especially in relation to data collection and co-ordination of risk assessment activities. At the current time a revision of the EU Plant Health Regime is being formulated. The legislative consequences of the revision will be of considerable significance for the work of the Plant Health Panel.","container-title":"EFSA Journal","DOI":"10.2903/j.efsa.2012.s1012","ISSN":"1831-4732","issue":"10","language":"en","license":"© 2012 European Food Safety Authority","note":"_eprint: https://efsa.onlinelibrary.wiley.com/doi/pdf/10.2903/j.efsa.2012.s1012","page":"s1012","source":"Wiley Online Library","title":"Risk assessment in support of plant health","volume":"10","author":[{"family":"Jeger","given":"Michael"},{"family":"Schans","given":"Jan"},{"family</w:instrText>
      </w:r>
      <w:r w:rsidRPr="00263D77">
        <w:rPr>
          <w:rFonts w:eastAsia="Times New Roman"/>
          <w:kern w:val="0"/>
          <w:rtl/>
          <w14:ligatures w14:val="none"/>
        </w:rPr>
        <w:instrText>":"</w:instrText>
      </w:r>
      <w:r w:rsidRPr="00263D77">
        <w:rPr>
          <w:rFonts w:eastAsia="Times New Roman"/>
          <w:kern w:val="0"/>
          <w14:ligatures w14:val="none"/>
        </w:rPr>
        <w:instrText>Lövei","given":"Gabor L."},{"family":"Lenteren","given":"Joop","non-dropping-particle":"van"},{"family":"Navajas","given":"Maria"},{"family":"Makowski","given":"David"},{"family":"Stancanelli","given":"Giuseppe"},{"family":"Tramontini","given":"Sara"},{"family":"B. Ceglarska","given":"Elzbieta"}],"issued":{"date-parts":[["2012"]]}}}],"schema":"https://github.com/citation-style-language/schema/raw/master/csl-citation.json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kern w:val="0"/>
          <w:rtl/>
        </w:rPr>
        <w:t>(</w:t>
      </w:r>
      <w:r w:rsidRPr="00263D77">
        <w:rPr>
          <w:kern w:val="0"/>
        </w:rPr>
        <w:t>Jeger et al., 2012</w:t>
      </w:r>
      <w:r w:rsidRPr="00263D77">
        <w:rPr>
          <w:kern w:val="0"/>
          <w:rtl/>
        </w:rPr>
        <w:t>)</w:t>
      </w:r>
      <w:r w:rsidRPr="00263D77">
        <w:rPr>
          <w:rFonts w:eastAsia="Times New Roman"/>
          <w:kern w:val="0"/>
          <w:rtl/>
          <w14:ligatures w14:val="none"/>
        </w:rPr>
        <w:fldChar w:fldCharType="end"/>
      </w:r>
    </w:p>
    <w:p w14:paraId="098DAF24" w14:textId="77777777" w:rsidR="00263D77" w:rsidRPr="00263D77" w:rsidRDefault="00263D77" w:rsidP="00263D77">
      <w:pPr>
        <w:spacing w:before="100" w:beforeAutospacing="1" w:after="100" w:afterAutospacing="1"/>
        <w:rPr>
          <w:rFonts w:eastAsia="Times New Roman"/>
          <w:kern w:val="0"/>
          <w:rtl/>
          <w14:ligatures w14:val="none"/>
        </w:rPr>
      </w:pPr>
      <w:r w:rsidRPr="00263D77">
        <w:rPr>
          <w:rtl/>
        </w:rPr>
        <w:lastRenderedPageBreak/>
        <w:t>في قطاع الثروة الحيوانية، يساهم الأمن الحيوي في الحد من انتقال مسببات الأمراض بين الحيوانات أو من الحيوانات إلى البشر، ويحمي منشآت الإنتاج من الخسائر الناجمة عن تفشي الأمراض. أما في قطاع النباتات، فيرتبط الأمن الحيوي بالحجر الزراعي، وتفتيش الشحنات، ومكافحة الآفات، وتطبيق التدابير الوقائية التي تقلل من احتمالية انتقال الآفات عبر المنتجات أو وسائل النقل أو المدخلات الزراعية.</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{"citationID":"s8LGFlv8","properties":{"unsorted":false,"formattedCitation":"(Horigan et al., 2023)","plainCitation":"(Horigan et al., 2023)","noteIndex":0},"citationItems":[{"id":915,"uris":["http://zotero.org/users/186773</w:instrText>
      </w:r>
      <w:r w:rsidRPr="00263D77">
        <w:rPr>
          <w:rFonts w:eastAsia="Times New Roman"/>
          <w:kern w:val="0"/>
          <w:rtl/>
          <w14:ligatures w14:val="none"/>
        </w:rPr>
        <w:instrText>34/</w:instrText>
      </w:r>
      <w:r w:rsidRPr="00263D77">
        <w:rPr>
          <w:rFonts w:eastAsia="Times New Roman"/>
          <w:kern w:val="0"/>
          <w14:ligatures w14:val="none"/>
        </w:rPr>
        <w:instrText>items/46VLMSVW"],"itemData":{"id":915,"type":"article-journal","abstract":"Qualitative risk assessment (QRA) can provide a decision support system, but in order for it to be objective and consistently applied it is necessary to standardise the approach</w:instrText>
      </w:r>
      <w:r w:rsidRPr="00263D77">
        <w:rPr>
          <w:rFonts w:eastAsia="Times New Roman"/>
          <w:kern w:val="0"/>
          <w:rtl/>
          <w14:ligatures w14:val="none"/>
        </w:rPr>
        <w:instrText xml:space="preserve"> </w:instrText>
      </w:r>
      <w:r w:rsidRPr="00263D77">
        <w:rPr>
          <w:rFonts w:eastAsia="Times New Roman"/>
          <w:kern w:val="0"/>
          <w14:ligatures w14:val="none"/>
        </w:rPr>
        <w:instrText>as much as possible. This review considers how QRAs have historically been used for the benefit of animal health, what problems have been encountered during their development, and how these problems have been addressed.Four main elements were identified</w:instrText>
      </w:r>
      <w:r w:rsidRPr="00263D77">
        <w:rPr>
          <w:rFonts w:eastAsia="Times New Roman"/>
          <w:kern w:val="0"/>
          <w:rtl/>
          <w14:ligatures w14:val="none"/>
        </w:rPr>
        <w:instrText xml:space="preserve"> </w:instrText>
      </w:r>
      <w:r w:rsidRPr="00263D77">
        <w:rPr>
          <w:rFonts w:eastAsia="Times New Roman"/>
          <w:kern w:val="0"/>
          <w14:ligatures w14:val="none"/>
        </w:rPr>
        <w:instrText>as having been the subject of some proposed standard methodology: (i) the description of risk levels, (ii) combining probabilities, (iii) accounting for multiple products/animals and (iv) uncertainty. These elements were addressed in different ways but were highlighted as being fundamental to improving the accuracy in estimating the risk and conveying the results to the risk manager with minimal ambiguity. The development of standardisation of methodology thus represents an important advance in animal health QRA. It can also be concluded that QRAs are useful for identifying important chains of events and critical control points along risk pathways which can be used to inform risk management programs.Further work needs to be done regarding an objective uniform methodology for deriving an overall uncertainty estimate. In line with this, several tools have been developed which attempt to use mathematical reasoning to incorporate uncertainty and improve the objectivity of the qualitative framework. Ensuring a</w:instrText>
      </w:r>
      <w:r w:rsidRPr="00263D77">
        <w:rPr>
          <w:rFonts w:eastAsia="Times New Roman"/>
          <w:kern w:val="0"/>
          <w:rtl/>
          <w14:ligatures w14:val="none"/>
        </w:rPr>
        <w:instrText xml:space="preserve"> </w:instrText>
      </w:r>
      <w:r w:rsidRPr="00263D77">
        <w:rPr>
          <w:rFonts w:eastAsia="Times New Roman"/>
          <w:kern w:val="0"/>
          <w14:ligatures w14:val="none"/>
        </w:rPr>
        <w:instrText>robust objective methodology is used and that the reasons for differences in results, such as assumptions and uncertainty are clearly described to the customer is essential to maintain confidence in the QRA process.Overall, animal health QRAs have established their usefulness by providing a tool for rapid risk estimation which can be used to identify whether or not the risk exceeds a decision-making threshold above which action should be taken.","container-title":"Frontiers in Veterinary Science","DOI</w:instrText>
      </w:r>
      <w:r w:rsidRPr="00263D77">
        <w:rPr>
          <w:rFonts w:eastAsia="Times New Roman"/>
          <w:kern w:val="0"/>
          <w:rtl/>
          <w14:ligatures w14:val="none"/>
        </w:rPr>
        <w:instrText>":"10.3389/</w:instrText>
      </w:r>
      <w:r w:rsidRPr="00263D77">
        <w:rPr>
          <w:rFonts w:eastAsia="Times New Roman"/>
          <w:kern w:val="0"/>
          <w14:ligatures w14:val="none"/>
        </w:rPr>
        <w:instrText>fvets.2023.1102131","ISSN":"2297-1769","journalAbbreviation":"Front. Vet. Sci.","language":"English","publisher":"Frontiers","source":"Frontiers","title":"A review of qualitative risk assessment in animal health: Suggestions for best practice","title-short":"A review of qualitative risk assessment in animal health","URL":"https://www.frontiersin.org/journals/veterinary-science/articles/10.3389/fvets.2023.1102131/full","volume":"10","author":[{"family":"Horigan","given":"Verity"},{"family":"Simons</w:instrText>
      </w:r>
      <w:r w:rsidRPr="00263D77">
        <w:rPr>
          <w:rFonts w:eastAsia="Times New Roman"/>
          <w:kern w:val="0"/>
          <w:rtl/>
          <w14:ligatures w14:val="none"/>
        </w:rPr>
        <w:instrText>","</w:instrText>
      </w:r>
      <w:r w:rsidRPr="00263D77">
        <w:rPr>
          <w:rFonts w:eastAsia="Times New Roman"/>
          <w:kern w:val="0"/>
          <w14:ligatures w14:val="none"/>
        </w:rPr>
        <w:instrText>given":"Robin"},{"family":"Kavanagh","given":"Kim"},{"family":"Kelly","given":"Louise"}],"accessed":{"date-parts":[["2026",3,3]]},"issued":{"date-parts":[["2023",2,7]]}}}],"schema":"https://github.com/citation-style-language/schema/raw/master/csl-citation.json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szCs w:val="22"/>
        </w:rPr>
        <w:t>(Horigan et al., 2023)</w:t>
      </w:r>
      <w:r w:rsidRPr="00263D77">
        <w:rPr>
          <w:rFonts w:eastAsia="Times New Roman"/>
          <w:kern w:val="0"/>
          <w:rtl/>
          <w14:ligatures w14:val="none"/>
        </w:rPr>
        <w:fldChar w:fldCharType="end"/>
      </w:r>
    </w:p>
    <w:p w14:paraId="1B849C1F" w14:textId="77777777" w:rsidR="00263D77" w:rsidRPr="00263D77" w:rsidRDefault="00263D77" w:rsidP="00263D77">
      <w:pPr>
        <w:spacing w:before="100" w:beforeAutospacing="1" w:after="100" w:afterAutospacing="1"/>
        <w:rPr>
          <w:rFonts w:eastAsia="Times New Roman"/>
          <w:kern w:val="0"/>
          <w:rtl/>
          <w14:ligatures w14:val="none"/>
        </w:rPr>
      </w:pPr>
      <w:r w:rsidRPr="00263D77">
        <w:rPr>
          <w:rtl/>
        </w:rPr>
        <w:t>وتتجلى العلاقة بين الأمن الحيوي وإدارة المخاطر في اعتماد كليهما على تحديد مصادر الخطر، وتقييم احتمالية حدوثه، وتحليل آثاره، ثم اختيار تدابير الوقاية أو العلاج المناسبة. لذا، يتطلب الأمن البيولوجي الفعال نظامًا متكاملًا لإدارة المخاطر يشمل قواعد بيانات محدثة، وبرامج رصد وإنذار مبكر، وخطط طوارئ، وتنسيقًا بين الجهات المعنية.</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{"citationID":"eT9S7wL5","properties":{"unsorted":false,"formattedCitation":"(Murugan &amp; Kumarasinghe, 2018)","plainCitation":"(Murugan &amp; Kumarasinghe, 2018)","noteIndex":0},"citationItems":[{"id":908,"uris":["http://zotero</w:instrText>
      </w:r>
      <w:r w:rsidRPr="00263D77">
        <w:rPr>
          <w:rFonts w:eastAsia="Times New Roman"/>
          <w:kern w:val="0"/>
          <w:rtl/>
          <w14:ligatures w14:val="none"/>
        </w:rPr>
        <w:instrText>.</w:instrText>
      </w:r>
      <w:r w:rsidRPr="00263D77">
        <w:rPr>
          <w:rFonts w:eastAsia="Times New Roman"/>
          <w:kern w:val="0"/>
          <w14:ligatures w14:val="none"/>
        </w:rPr>
        <w:instrText>org/users/18677334/items/JBEZVNU4"],"itemData":{"id":908,"type":"article-journal","abstract":"The establishment of an operational risk assessment framework (ORAF) for effective management of risks is vital to any organization. An ORAF at the Ministry for</w:instrText>
      </w:r>
      <w:r w:rsidRPr="00263D77">
        <w:rPr>
          <w:rFonts w:eastAsia="Times New Roman"/>
          <w:kern w:val="0"/>
          <w:rtl/>
          <w14:ligatures w14:val="none"/>
        </w:rPr>
        <w:instrText xml:space="preserve"> </w:instrText>
      </w:r>
      <w:r w:rsidRPr="00263D77">
        <w:rPr>
          <w:rFonts w:eastAsia="Times New Roman"/>
          <w:kern w:val="0"/>
          <w14:ligatures w14:val="none"/>
        </w:rPr>
        <w:instrText>Primary Industries (MPI) Plant Health and Environment Laboratory (PHEL), Auckland, New Zealand has identified the key risks in the laboratory operations and methods for mitigating and managing these risks. Ultimately, clear accountabilities have been set</w:instrText>
      </w:r>
      <w:r w:rsidRPr="00263D77">
        <w:rPr>
          <w:rFonts w:eastAsia="Times New Roman"/>
          <w:kern w:val="0"/>
          <w:rtl/>
          <w14:ligatures w14:val="none"/>
        </w:rPr>
        <w:instrText xml:space="preserve"> </w:instrText>
      </w:r>
      <w:r w:rsidRPr="00263D77">
        <w:rPr>
          <w:rFonts w:eastAsia="Times New Roman"/>
          <w:kern w:val="0"/>
          <w14:ligatures w14:val="none"/>
        </w:rPr>
        <w:instrText>for risk management so that PHEL can maximize its ability to meet its strategic objectives and the wider goals of MPI. In addition, this framework provides an opportunity to affirm the effectiveness of the existing business process and continuously builds</w:instrText>
      </w:r>
      <w:r w:rsidRPr="00263D77">
        <w:rPr>
          <w:rFonts w:eastAsia="Times New Roman"/>
          <w:kern w:val="0"/>
          <w:rtl/>
          <w14:ligatures w14:val="none"/>
        </w:rPr>
        <w:instrText xml:space="preserve"> </w:instrText>
      </w:r>
      <w:r w:rsidRPr="00263D77">
        <w:rPr>
          <w:rFonts w:eastAsia="Times New Roman"/>
          <w:kern w:val="0"/>
          <w14:ligatures w14:val="none"/>
        </w:rPr>
        <w:instrText>upon it to address gaps and also centralizes risk management information for staff. This study presents the steps that PHEL has undertaken to develop, implement and enhance its ORAF. The potential risks faced by plant diagnostic laboratories, planning of</w:instrText>
      </w:r>
      <w:r w:rsidRPr="00263D77">
        <w:rPr>
          <w:rFonts w:eastAsia="Times New Roman"/>
          <w:kern w:val="0"/>
          <w:rtl/>
          <w14:ligatures w14:val="none"/>
        </w:rPr>
        <w:instrText xml:space="preserve"> </w:instrText>
      </w:r>
      <w:r w:rsidRPr="00263D77">
        <w:rPr>
          <w:rFonts w:eastAsia="Times New Roman"/>
          <w:kern w:val="0"/>
          <w14:ligatures w14:val="none"/>
        </w:rPr>
        <w:instrText>staff resources and development of the tools required to undertake risk assessment activities are included. This study also explains how the laboratory implements treatment plans, mitigates risk events and monitors and maintains the framework. Finally, this study explains some of the challenges faced by PHEL during the establishment of the ORAF.","container-title":"EPPO Bulletin","DOI":"10.1111/epp.12477","ISSN":"1365-2338","issue":"2","language":"en","note":"_eprint: https://onlinelibrary.wiley.com/doi</w:instrText>
      </w:r>
      <w:r w:rsidRPr="00263D77">
        <w:rPr>
          <w:rFonts w:eastAsia="Times New Roman"/>
          <w:kern w:val="0"/>
          <w:rtl/>
          <w14:ligatures w14:val="none"/>
        </w:rPr>
        <w:instrText>/</w:instrText>
      </w:r>
      <w:r w:rsidRPr="00263D77">
        <w:rPr>
          <w:rFonts w:eastAsia="Times New Roman"/>
          <w:kern w:val="0"/>
          <w14:ligatures w14:val="none"/>
        </w:rPr>
        <w:instrText>pdf/10.1111/epp.12477","page":"225-233","source":"Wiley Online Library","title":"An operational risk assessment framework for a plant health diagnostic laboratory","volume":"48","author":[{"family":"Murugan","given":"S."},{"family":"Kumarasinghe","given</w:instrText>
      </w:r>
      <w:r w:rsidRPr="00263D77">
        <w:rPr>
          <w:rFonts w:eastAsia="Times New Roman"/>
          <w:kern w:val="0"/>
          <w:rtl/>
          <w14:ligatures w14:val="none"/>
        </w:rPr>
        <w:instrText>":"</w:instrText>
      </w:r>
      <w:r w:rsidRPr="00263D77">
        <w:rPr>
          <w:rFonts w:eastAsia="Times New Roman"/>
          <w:kern w:val="0"/>
          <w14:ligatures w14:val="none"/>
        </w:rPr>
        <w:instrText>L."}],"issued":{"date-parts":[["2018"]]}}}],"schema":"https://github.com/citation-style-language/schema/raw/master/csl-citation.json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szCs w:val="22"/>
        </w:rPr>
        <w:t>(Murugan &amp; Kumarasinghe, 2018)</w:t>
      </w:r>
      <w:r w:rsidRPr="00263D77">
        <w:rPr>
          <w:rFonts w:eastAsia="Times New Roman"/>
          <w:kern w:val="0"/>
          <w:rtl/>
          <w14:ligatures w14:val="none"/>
        </w:rPr>
        <w:fldChar w:fldCharType="end"/>
      </w:r>
      <w:r w:rsidRPr="00263D77">
        <w:rPr>
          <w:rFonts w:eastAsia="Times New Roman"/>
          <w:kern w:val="0"/>
          <w:rtl/>
          <w14:ligatures w14:val="none"/>
        </w:rPr>
        <w:t xml:space="preserve"> </w:t>
      </w:r>
      <w:r w:rsidRPr="00263D77">
        <w:rPr>
          <w:rtl/>
        </w:rPr>
        <w:t xml:space="preserve"> ويعزز نهج "الصحة الواحدة" هذا التكامل بربط المخاطر الحيوانية بالصحة العامة والبيئة، مما يجعل الاستجابة للمخاطر أكثر شمولية وفعالية.</w:t>
      </w:r>
    </w:p>
    <w:p w14:paraId="496612E6" w14:textId="77777777" w:rsidR="00263D77" w:rsidRPr="00263D77" w:rsidRDefault="00263D77" w:rsidP="00263D77">
      <w:pPr>
        <w:spacing w:before="100" w:beforeAutospacing="1"/>
        <w:ind w:left="-284"/>
        <w:outlineLvl w:val="2"/>
        <w:rPr>
          <w:rFonts w:ascii="Times New Roman" w:eastAsia="Times New Roman" w:hAnsi="Times New Roman"/>
          <w:b/>
          <w:bCs/>
          <w:kern w:val="0"/>
          <w:sz w:val="27"/>
          <w:rtl/>
          <w14:ligatures w14:val="none"/>
        </w:rPr>
      </w:pPr>
      <w:bookmarkStart w:id="38" w:name="_Toc234717630"/>
      <w:r w:rsidRPr="00263D77">
        <w:rPr>
          <w:rFonts w:ascii="Times New Roman" w:eastAsia="Times New Roman" w:hAnsi="Times New Roman"/>
          <w:b/>
          <w:bCs/>
          <w:kern w:val="0"/>
          <w:sz w:val="27"/>
          <w:rtl/>
          <w14:ligatures w14:val="none"/>
        </w:rPr>
        <w:t>المطلب الرابع: واقع الصحة النباتية والحيوانية والأمن الحيوي في المملكة والمخاطر التي تواجهها</w:t>
      </w:r>
      <w:bookmarkEnd w:id="38"/>
    </w:p>
    <w:p w14:paraId="6BEFDFE3" w14:textId="77777777" w:rsidR="00263D77" w:rsidRPr="00263D77" w:rsidRDefault="00263D77" w:rsidP="00263D77">
      <w:pPr>
        <w:spacing w:before="100" w:beforeAutospacing="1" w:after="100" w:afterAutospacing="1"/>
        <w:rPr>
          <w:rFonts w:eastAsia="Times New Roman"/>
          <w:kern w:val="0"/>
          <w:rtl/>
          <w14:ligatures w14:val="none"/>
        </w:rPr>
      </w:pPr>
      <w:r w:rsidRPr="00263D77">
        <w:rPr>
          <w:rtl/>
        </w:rPr>
        <w:t>يشهد واقع صحة النبات والحيوان في المملكة اهتمامًا مؤسسيًا متزايدًا، يتجسد في إنشاء مركز الوفاق كهيئة وطنية متخصصة ومستقلة تُعنى بمنع ومكافحة آفات النبات وأمراض الحيوان. ويعمل المركز على حماية الثروة النباتية والحيوانية، وضمان سلامة الإنتاج، والحد من مخاطر الأمراض المشتركة بين الإنسان والحيوان، من خلال برامج الرصد والتفتيش والحجر الصحي والمكافحة والتحقيق والاستجابة للطوارئ.</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{"citationID":"S8i7C8Mq","properties":{"unsorted":false,"formattedCitation":"(Almotairy \\uc0\\u1608{}\\uc0\\u1570{}\\uc0\\u1582{}\\uc0\\u1585{}\\uc0\\u1608{}\\uc0\\u1606{}, 2024)","plainCitation":"(Almotairy</w:instrText>
      </w:r>
      <w:r w:rsidRPr="00263D77">
        <w:rPr>
          <w:rFonts w:eastAsia="Times New Roman"/>
          <w:kern w:val="0"/>
          <w:rtl/>
          <w14:ligatures w14:val="none"/>
        </w:rPr>
        <w:instrText xml:space="preserve"> وآخرون, 2024)","</w:instrText>
      </w:r>
      <w:r w:rsidRPr="00263D77">
        <w:rPr>
          <w:rFonts w:eastAsia="Times New Roman"/>
          <w:kern w:val="0"/>
          <w14:ligatures w14:val="none"/>
        </w:rPr>
        <w:instrText>noteIndex":0},"citationItems":[{"id":2394,"uris":["http://zotero.org/users/18677334/items/GFYKJ53B"],"itemData":{"id":2394,"type":"book","abstract":"&lt;p id=\"p1\"&gt;This chapter investigates integrating agricultural biosecurity measures with environmental</w:instrText>
      </w:r>
      <w:r w:rsidRPr="00263D77">
        <w:rPr>
          <w:rFonts w:eastAsia="Times New Roman"/>
          <w:kern w:val="0"/>
          <w:rtl/>
          <w14:ligatures w14:val="none"/>
        </w:rPr>
        <w:instrText xml:space="preserve"> </w:instrText>
      </w:r>
      <w:r w:rsidRPr="00263D77">
        <w:rPr>
          <w:rFonts w:eastAsia="Times New Roman"/>
          <w:kern w:val="0"/>
          <w14:ligatures w14:val="none"/>
        </w:rPr>
        <w:instrText>sustainability practices to bolster food safety in Saudi Arabia. It emphasizes the synergy between cutting-edge technologies, effective stakeholder engagement, and adaptive strategies to climate change, underscoring their pivotal roles in developing resilient agricultural systems. Through a comparative analysis with global standards, the chapter elucidates Saudi Arabia&amp;rsquo;s position and advancements in agricultural biosecurity, presenting an array of innovative technologies&amp;mdash;from precision agriculture tools to AI-driven pest detection systems&amp;mdash;that exemplify the country&amp;rsquo;s commitment to sustainable food production. Specific initiatives, such as the National Center for Prevention and Control of Plant Pests and Animal Diseases (NCPCPPAD)</w:instrText>
      </w:r>
      <w:r w:rsidRPr="00263D77">
        <w:rPr>
          <w:rFonts w:eastAsia="Times New Roman"/>
          <w:kern w:val="0"/>
          <w:rtl/>
          <w14:ligatures w14:val="none"/>
        </w:rPr>
        <w:instrText xml:space="preserve">, </w:instrText>
      </w:r>
      <w:r w:rsidRPr="00263D77">
        <w:rPr>
          <w:rFonts w:eastAsia="Times New Roman"/>
          <w:kern w:val="0"/>
          <w14:ligatures w14:val="none"/>
        </w:rPr>
        <w:instrText>are highlighted to illustrate practical applications. The chapter offers a multifaceted view of the challenges and successes of implementing biosecurity measures by incorporating comprehensive stakeholder perspectives, including those from farmers, policymakers, and scientists. Furthermore, it explores the impacts of climate change on agricultural biosecurity and delineates Saudi Arabia&amp;rsquo;s proactive approaches to mitigating these effects. Key findings include significant improvements in water consumption efficiency and crop yields. By weaving together interdisciplinary research, case studies, and policy analysis, the chapter seeks to contribute to the global discourse on securing food systems against biosecurity threats while advancing environmental</w:instrText>
      </w:r>
      <w:r w:rsidRPr="00263D77">
        <w:rPr>
          <w:rFonts w:eastAsia="Times New Roman"/>
          <w:kern w:val="0"/>
          <w:rtl/>
          <w14:ligatures w14:val="none"/>
        </w:rPr>
        <w:instrText xml:space="preserve"> </w:instrText>
      </w:r>
      <w:r w:rsidRPr="00263D77">
        <w:rPr>
          <w:rFonts w:eastAsia="Times New Roman"/>
          <w:kern w:val="0"/>
          <w14:ligatures w14:val="none"/>
        </w:rPr>
        <w:instrText>sustainability. Future directions for research and policy are also discussed.&lt;/p&gt;","DOI":"10.5772/intechopen.1007967","ISBN":"978-0-85466-424-5","language":"en","note":"DOI: 10.5772/intechopen.1007967","publisher":"IntechOpen","source":"www.intechopen.com</w:instrText>
      </w:r>
      <w:r w:rsidRPr="00263D77">
        <w:rPr>
          <w:rFonts w:eastAsia="Times New Roman"/>
          <w:kern w:val="0"/>
          <w:rtl/>
          <w14:ligatures w14:val="none"/>
        </w:rPr>
        <w:instrText>","</w:instrText>
      </w:r>
      <w:r w:rsidRPr="00263D77">
        <w:rPr>
          <w:rFonts w:eastAsia="Times New Roman"/>
          <w:kern w:val="0"/>
          <w14:ligatures w14:val="none"/>
        </w:rPr>
        <w:instrText>title":"Enhancing Agricultural Biosecurity: Strategies for Food Safety and Environmental Sustainability in Saudi Arabia","title-short":"Enhancing Agricultural Biosecurity","URL":"https://www.intechopen.com/online-first/1188660","author":[{"family":"Almotairy","given":"Hany M."},{"family":"Alshehri","given":"Khalid A."},{"family":"Almutairi","given":"Othman A."},{"family":"Alenizi","given":"Hanaa O."},{"family":"Bokheder","given":"Sultan"},{"family":"Almotairy","given":"Hany M."},{"family":"Alshehri","given":"Khalid A."},{"family":"Almutairi","given":"Othman A."},{"family":"Alenizi","given":"Hanaa O."},{"family":"Bokheder","given":"Sultan"}],"accessed":{"date-parts":[["2026",7,12]]},"issued":{"date-parts":[["2024",12,2]]}}}],"schema":"https://github.com</w:instrText>
      </w:r>
      <w:r w:rsidRPr="00263D77">
        <w:rPr>
          <w:rFonts w:eastAsia="Times New Roman"/>
          <w:kern w:val="0"/>
          <w:rtl/>
          <w14:ligatures w14:val="none"/>
        </w:rPr>
        <w:instrText>/</w:instrText>
      </w:r>
      <w:r w:rsidRPr="00263D77">
        <w:rPr>
          <w:rFonts w:eastAsia="Times New Roman"/>
          <w:kern w:val="0"/>
          <w14:ligatures w14:val="none"/>
        </w:rPr>
        <w:instrText>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kern w:val="0"/>
          <w:rtl/>
        </w:rPr>
        <w:t>(</w:t>
      </w:r>
      <w:r w:rsidRPr="00263D77">
        <w:rPr>
          <w:kern w:val="0"/>
        </w:rPr>
        <w:t>Almotairy et al., 2024</w:t>
      </w:r>
      <w:r w:rsidRPr="00263D77">
        <w:rPr>
          <w:kern w:val="0"/>
          <w:rtl/>
        </w:rPr>
        <w:t>)</w:t>
      </w:r>
      <w:r w:rsidRPr="00263D77">
        <w:rPr>
          <w:rFonts w:eastAsia="Times New Roman"/>
          <w:kern w:val="0"/>
          <w:rtl/>
          <w14:ligatures w14:val="none"/>
        </w:rPr>
        <w:fldChar w:fldCharType="end"/>
      </w:r>
    </w:p>
    <w:p w14:paraId="6C6CFB9A" w14:textId="77777777" w:rsidR="00263D77" w:rsidRPr="00263D77" w:rsidRDefault="00263D77" w:rsidP="00263D77">
      <w:pPr>
        <w:rPr>
          <w:rtl/>
        </w:rPr>
      </w:pPr>
      <w:r w:rsidRPr="00263D77">
        <w:rPr>
          <w:rtl/>
        </w:rPr>
        <w:t>وتشير الممارسات الحالية إلى تطوير الجهود الوطنية في مجال الإنذار المبكر والمراقبة الميدانية، واستخدام التقنيات في جمع البيانات وتحليلها، وتنفيذ برامج التحصين ومكافحة نواقل الأمراض. ويُعدّ تطوير الأطر التنظيمية وخطط الطوارئ، ورفع كفاءة المختبرات، وتعزيز الرقابة على المعابر الزراعية والحيوانية والمزارع، عناصرَ مهمةً في دعم الجاهزية الوطنية لمواجهة المخاطر البيولوجية.</w:t>
      </w:r>
    </w:p>
    <w:p w14:paraId="2BFD31C4" w14:textId="77777777" w:rsidR="00263D77" w:rsidRPr="00263D77" w:rsidRDefault="00263D77" w:rsidP="00263D77">
      <w:pPr>
        <w:spacing w:before="100" w:beforeAutospacing="1" w:after="100" w:afterAutospacing="1"/>
        <w:rPr>
          <w:rFonts w:eastAsia="Times New Roman"/>
          <w:kern w:val="0"/>
          <w:rtl/>
          <w14:ligatures w14:val="none"/>
        </w:rPr>
      </w:pPr>
      <w:r w:rsidRPr="00263D77">
        <w:rPr>
          <w:rtl/>
        </w:rPr>
        <w:t xml:space="preserve">مع ذلك، يواجه قطاع صحة النبات في المملكة عدداً من المخاطر، أبرزها الآفات العابرة للحدود، وانتقالها عبر المنتجات الزراعية ووسائل النقل، والتغيرات المناخية والبيئية التي قد تهيئ ظروفاً ملائمة لانتشار بعض الآفات، فضلاً عن مخاطر الجراد الصحراوي والآفات التي تصيب المحاصيل وأشجار النخيل. تتطلب هذه المخاطر استمرار أعمال الرصد والتحقيق، ورفع كفاءة الحجر الزراعي، وتحديث قواعد بيانات المخاطر، وتوجيه برامج المكافحة وفقاً للأولويات العلمية. أما فيما يخص صحة الحيوان، </w:t>
      </w:r>
      <w:r w:rsidRPr="00263D77">
        <w:rPr>
          <w:rtl/>
        </w:rPr>
        <w:lastRenderedPageBreak/>
        <w:t>فهي تواجه مخاطر مرتبطة بالأمراض الوبائية، والأمراض الشائعة، ونواقل الأمراض، بالإضافة إلى المخاطر الناجمة عن نقل الحيوانات ومنتجاتها، وتفاوت مستويات الالتزام بإجراءات الأمن الحيوي في بعض بيئات الإنتاج. تُعد الأمراض المنقولة بالنواقل مشكلة هامة؛ إذ يشير مركز الوفاق إلى أن حمى الوادي المتصدع، وحمى غرب النيل، وحمى الضنك من أبرز الأمراض الفيروسية المنقولة بالنواقل في المملكة. تتطلب هذه المخاطر أيضاً دمج برامج التحصين والتحقيقات الوبائية، ورفع كفاءة الاستجابة، وتعزيز تبادل المعلومات بين القطاعات المعنية.</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{"citationID":"NGy6cGiZ","properties":{"unsorted":false,"formattedCitation":"(Almotairy \\uc0\\u1608{}\\uc0\\u1570{}\\uc0\\u1582{}\\uc0\\u1585{}\\uc0\\u1608{}\\uc0\\u1606{}, 2024)","plainCitation":"(Almotairy</w:instrText>
      </w:r>
      <w:r w:rsidRPr="00263D77">
        <w:rPr>
          <w:rFonts w:eastAsia="Times New Roman"/>
          <w:kern w:val="0"/>
          <w:rtl/>
          <w14:ligatures w14:val="none"/>
        </w:rPr>
        <w:instrText xml:space="preserve"> وآخرون, 2024)","</w:instrText>
      </w:r>
      <w:r w:rsidRPr="00263D77">
        <w:rPr>
          <w:rFonts w:eastAsia="Times New Roman"/>
          <w:kern w:val="0"/>
          <w14:ligatures w14:val="none"/>
        </w:rPr>
        <w:instrText>noteIndex":0},"citationItems":[{"id":2394,"uris":["http://zotero.org/users/18677334/items/GFYKJ53B"],"itemData":{"id":2394,"type":"book","abstract":"&lt;p id=\"p1\"&gt;This chapter investigates integrating agricultural biosecurity measures with environmental</w:instrText>
      </w:r>
      <w:r w:rsidRPr="00263D77">
        <w:rPr>
          <w:rFonts w:eastAsia="Times New Roman"/>
          <w:kern w:val="0"/>
          <w:rtl/>
          <w14:ligatures w14:val="none"/>
        </w:rPr>
        <w:instrText xml:space="preserve"> </w:instrText>
      </w:r>
      <w:r w:rsidRPr="00263D77">
        <w:rPr>
          <w:rFonts w:eastAsia="Times New Roman"/>
          <w:kern w:val="0"/>
          <w14:ligatures w14:val="none"/>
        </w:rPr>
        <w:instrText>sustainability practices to bolster food safety in Saudi Arabia. It emphasizes the synergy between cutting-edge technologies, effective stakeholder engagement, and adaptive strategies to climate change, underscoring their pivotal roles in developing resilient agricultural systems. Through a comparative analysis with global standards, the chapter elucidates Saudi Arabia&amp;rsquo;s position and advancements in agricultural biosecurity, presenting an array of innovative technologies&amp;mdash;from precision agriculture tools to AI-driven pest detection systems&amp;mdash;that exemplify the country&amp;rsquo;s commitment to sustainable food production. Specific initiatives, such as the National Center for Prevention and Control of Plant Pests and Animal Diseases (NCPCPPAD)</w:instrText>
      </w:r>
      <w:r w:rsidRPr="00263D77">
        <w:rPr>
          <w:rFonts w:eastAsia="Times New Roman"/>
          <w:kern w:val="0"/>
          <w:rtl/>
          <w14:ligatures w14:val="none"/>
        </w:rPr>
        <w:instrText xml:space="preserve">, </w:instrText>
      </w:r>
      <w:r w:rsidRPr="00263D77">
        <w:rPr>
          <w:rFonts w:eastAsia="Times New Roman"/>
          <w:kern w:val="0"/>
          <w14:ligatures w14:val="none"/>
        </w:rPr>
        <w:instrText>are highlighted to illustrate practical applications. The chapter offers a multifaceted view of the challenges and successes of implementing biosecurity measures by incorporating comprehensive stakeholder perspectives, including those from farmers, policymakers, and scientists. Furthermore, it explores the impacts of climate change on agricultural biosecurity and delineates Saudi Arabia&amp;rsquo;s proactive approaches to mitigating these effects. Key findings include significant improvements in water consumption efficiency and crop yields. By weaving together interdisciplinary research, case studies, and policy analysis, the chapter seeks to contribute to the global discourse on securing food systems against biosecurity threats while advancing environmental</w:instrText>
      </w:r>
      <w:r w:rsidRPr="00263D77">
        <w:rPr>
          <w:rFonts w:eastAsia="Times New Roman"/>
          <w:kern w:val="0"/>
          <w:rtl/>
          <w14:ligatures w14:val="none"/>
        </w:rPr>
        <w:instrText xml:space="preserve"> </w:instrText>
      </w:r>
      <w:r w:rsidRPr="00263D77">
        <w:rPr>
          <w:rFonts w:eastAsia="Times New Roman"/>
          <w:kern w:val="0"/>
          <w14:ligatures w14:val="none"/>
        </w:rPr>
        <w:instrText>sustainability. Future directions for research and policy are also discussed.&lt;/p&gt;","DOI":"10.5772/intechopen.1007967","ISBN":"978-0-85466-424-5","language":"en","note":"DOI: 10.5772/intechopen.1007967","publisher":"IntechOpen","source":"www.intechopen.com</w:instrText>
      </w:r>
      <w:r w:rsidRPr="00263D77">
        <w:rPr>
          <w:rFonts w:eastAsia="Times New Roman"/>
          <w:kern w:val="0"/>
          <w:rtl/>
          <w14:ligatures w14:val="none"/>
        </w:rPr>
        <w:instrText>","</w:instrText>
      </w:r>
      <w:r w:rsidRPr="00263D77">
        <w:rPr>
          <w:rFonts w:eastAsia="Times New Roman"/>
          <w:kern w:val="0"/>
          <w14:ligatures w14:val="none"/>
        </w:rPr>
        <w:instrText>title":"Enhancing Agricultural Biosecurity: Strategies for Food Safety and Environmental Sustainability in Saudi Arabia","title-short":"Enhancing Agricultural Biosecurity","URL":"https://www.intechopen.com/online-first/1188660","author":[{"family":"Almotairy","given":"Hany M."},{"family":"Alshehri","given":"Khalid A."},{"family":"Almutairi","given":"Othman A."},{"family":"Alenizi","given":"Hanaa O."},{"family":"Bokheder","given":"Sultan"},{"family":"Almotairy","given":"Hany M."},{"family":"Alshehri","given":"Khalid A."},{"family":"Almutairi","given":"Othman A."},{"family":"Alenizi","given":"Hanaa O."},{"family":"Bokheder","given":"Sultan"}],"accessed":{"date-parts":[["2026",7,12]]},"issued":{"date-parts":[["2024",12,2]]}}}],"schema":"https://github.com</w:instrText>
      </w:r>
      <w:r w:rsidRPr="00263D77">
        <w:rPr>
          <w:rFonts w:eastAsia="Times New Roman"/>
          <w:kern w:val="0"/>
          <w:rtl/>
          <w14:ligatures w14:val="none"/>
        </w:rPr>
        <w:instrText>/</w:instrText>
      </w:r>
      <w:r w:rsidRPr="00263D77">
        <w:rPr>
          <w:rFonts w:eastAsia="Times New Roman"/>
          <w:kern w:val="0"/>
          <w14:ligatures w14:val="none"/>
        </w:rPr>
        <w:instrText>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kern w:val="0"/>
          <w:rtl/>
        </w:rPr>
        <w:t>(</w:t>
      </w:r>
      <w:r w:rsidRPr="00263D77">
        <w:rPr>
          <w:kern w:val="0"/>
        </w:rPr>
        <w:t>Almotairy et al., 2024</w:t>
      </w:r>
      <w:r w:rsidRPr="00263D77">
        <w:rPr>
          <w:kern w:val="0"/>
          <w:rtl/>
        </w:rPr>
        <w:t>)</w:t>
      </w:r>
      <w:r w:rsidRPr="00263D77">
        <w:rPr>
          <w:rFonts w:eastAsia="Times New Roman"/>
          <w:kern w:val="0"/>
          <w:rtl/>
          <w14:ligatures w14:val="none"/>
        </w:rPr>
        <w:fldChar w:fldCharType="end"/>
      </w:r>
    </w:p>
    <w:p w14:paraId="2B6AF88E" w14:textId="77777777" w:rsidR="00263D77" w:rsidRPr="00263D77" w:rsidRDefault="00263D77" w:rsidP="00263D77">
      <w:pPr>
        <w:spacing w:before="100" w:beforeAutospacing="1" w:after="100" w:afterAutospacing="1"/>
        <w:rPr>
          <w:rFonts w:eastAsia="Times New Roman"/>
          <w:kern w:val="0"/>
          <w:rtl/>
          <w14:ligatures w14:val="none"/>
        </w:rPr>
      </w:pPr>
      <w:r w:rsidRPr="00263D77">
        <w:rPr>
          <w:rtl/>
        </w:rPr>
        <w:t>وعليه، فإن واقع الصحة النباتية والحيوانية والأمن الحيوي في المملكة يعكس وجود بنية مؤسسية وتنظيمية داعمة، إلا أن استدامة فاعليتها ترتبط بقدرة الجهات المعنية على تطوير إدارة المخاطر، وتحسين جودة البيانات، وتوسيع نطاق الرصد المبكر، ورفع كفاءة التنسيق بين الجهات المختصة. وتنسجم هذه النتيجة مع موضوع الدراسة الحالية، إذ إن تطبيق منهجية إدارة المخاطر بصورة منهجية يمثل مدخلاً أساسياً لتحسين مؤشرات الأداء الوقائية والتشغيلية والتنظيمية في بيئات العمل المرتبطة بالصحة النباتية والحيوانية.</w:t>
      </w:r>
      <w:r w:rsidRPr="00263D77">
        <w:rPr>
          <w:rFonts w:eastAsia="Times New Roman"/>
          <w:kern w:val="0"/>
          <w:rtl/>
          <w14:ligatures w14:val="none"/>
        </w:rPr>
        <w:t xml:space="preserve"> </w:t>
      </w:r>
      <w:r w:rsidRPr="00263D77">
        <w:rPr>
          <w:rFonts w:eastAsia="Times New Roman"/>
          <w:kern w:val="0"/>
          <w:rtl/>
          <w14:ligatures w14:val="none"/>
        </w:rPr>
        <w:fldChar w:fldCharType="begin"/>
      </w:r>
      <w:r w:rsidRPr="00263D77">
        <w:rPr>
          <w:rFonts w:eastAsia="Times New Roman"/>
          <w:kern w:val="0"/>
          <w:rtl/>
          <w14:ligatures w14:val="none"/>
        </w:rPr>
        <w:instrText xml:space="preserve"> </w:instrText>
      </w:r>
      <w:r w:rsidRPr="00263D77">
        <w:rPr>
          <w:rFonts w:eastAsia="Times New Roman"/>
          <w:kern w:val="0"/>
          <w14:ligatures w14:val="none"/>
        </w:rPr>
        <w:instrText>ADDIN ZOTERO_ITEM CSL_CITATION {"citationID":"rOq0zRAo","properties":{"unsorted":false,"formattedCitation":"(Almotairy \\uc0\\u1608{}\\uc0\\u1570{}\\uc0\\u1582{}\\uc0\\u1585{}\\uc0\\u1608{}\\uc0\\u1606{}, 2024)","plainCitation":"(Almotairy</w:instrText>
      </w:r>
      <w:r w:rsidRPr="00263D77">
        <w:rPr>
          <w:rFonts w:eastAsia="Times New Roman"/>
          <w:kern w:val="0"/>
          <w:rtl/>
          <w14:ligatures w14:val="none"/>
        </w:rPr>
        <w:instrText xml:space="preserve"> وآخرون, 2024)","</w:instrText>
      </w:r>
      <w:r w:rsidRPr="00263D77">
        <w:rPr>
          <w:rFonts w:eastAsia="Times New Roman"/>
          <w:kern w:val="0"/>
          <w14:ligatures w14:val="none"/>
        </w:rPr>
        <w:instrText>noteIndex":0},"citationItems":[{"id":2394,"uris":["http://zotero.org/users/18677334/items/GFYKJ53B"],"itemData":{"id":2394,"type":"book","abstract":"&lt;p id=\"p1\"&gt;This chapter investigates integrating agricultural biosecurity measures with environmental</w:instrText>
      </w:r>
      <w:r w:rsidRPr="00263D77">
        <w:rPr>
          <w:rFonts w:eastAsia="Times New Roman"/>
          <w:kern w:val="0"/>
          <w:rtl/>
          <w14:ligatures w14:val="none"/>
        </w:rPr>
        <w:instrText xml:space="preserve"> </w:instrText>
      </w:r>
      <w:r w:rsidRPr="00263D77">
        <w:rPr>
          <w:rFonts w:eastAsia="Times New Roman"/>
          <w:kern w:val="0"/>
          <w14:ligatures w14:val="none"/>
        </w:rPr>
        <w:instrText>sustainability practices to bolster food safety in Saudi Arabia. It emphasizes the synergy between cutting-edge technologies, effective stakeholder engagement, and adaptive strategies to climate change, underscoring their pivotal roles in developing resilient agricultural systems. Through a comparative analysis with global standards, the chapter elucidates Saudi Arabia&amp;rsquo;s position and advancements in agricultural biosecurity, presenting an array of innovative technologies&amp;mdash;from precision agriculture tools to AI-driven pest detection systems&amp;mdash;that exemplify the country&amp;rsquo;s commitment to sustainable food production. Specific initiatives, such as the National Center for Prevention and Control of Plant Pests and Animal Diseases (NCPCPPAD)</w:instrText>
      </w:r>
      <w:r w:rsidRPr="00263D77">
        <w:rPr>
          <w:rFonts w:eastAsia="Times New Roman"/>
          <w:kern w:val="0"/>
          <w:rtl/>
          <w14:ligatures w14:val="none"/>
        </w:rPr>
        <w:instrText xml:space="preserve">, </w:instrText>
      </w:r>
      <w:r w:rsidRPr="00263D77">
        <w:rPr>
          <w:rFonts w:eastAsia="Times New Roman"/>
          <w:kern w:val="0"/>
          <w14:ligatures w14:val="none"/>
        </w:rPr>
        <w:instrText>are highlighted to illustrate practical applications. The chapter offers a multifaceted view of the challenges and successes of implementing biosecurity measures by incorporating comprehensive stakeholder perspectives, including those from farmers, policymakers, and scientists. Furthermore, it explores the impacts of climate change on agricultural biosecurity and delineates Saudi Arabia&amp;rsquo;s proactive approaches to mitigating these effects. Key findings include significant improvements in water consumption efficiency and crop yields. By weaving together interdisciplinary research, case studies, and policy analysis, the chapter seeks to contribute to the global discourse on securing food systems against biosecurity threats while advancing environmental</w:instrText>
      </w:r>
      <w:r w:rsidRPr="00263D77">
        <w:rPr>
          <w:rFonts w:eastAsia="Times New Roman"/>
          <w:kern w:val="0"/>
          <w:rtl/>
          <w14:ligatures w14:val="none"/>
        </w:rPr>
        <w:instrText xml:space="preserve"> </w:instrText>
      </w:r>
      <w:r w:rsidRPr="00263D77">
        <w:rPr>
          <w:rFonts w:eastAsia="Times New Roman"/>
          <w:kern w:val="0"/>
          <w14:ligatures w14:val="none"/>
        </w:rPr>
        <w:instrText>sustainability. Future directions for research and policy are also discussed.&lt;/p&gt;","DOI":"10.5772/intechopen.1007967","ISBN":"978-0-85466-424-5","language":"en","note":"DOI: 10.5772/intechopen.1007967","publisher":"IntechOpen","source":"www.intechopen.com</w:instrText>
      </w:r>
      <w:r w:rsidRPr="00263D77">
        <w:rPr>
          <w:rFonts w:eastAsia="Times New Roman"/>
          <w:kern w:val="0"/>
          <w:rtl/>
          <w14:ligatures w14:val="none"/>
        </w:rPr>
        <w:instrText>","</w:instrText>
      </w:r>
      <w:r w:rsidRPr="00263D77">
        <w:rPr>
          <w:rFonts w:eastAsia="Times New Roman"/>
          <w:kern w:val="0"/>
          <w14:ligatures w14:val="none"/>
        </w:rPr>
        <w:instrText>title":"Enhancing Agricultural Biosecurity: Strategies for Food Safety and Environmental Sustainability in Saudi Arabia","title-short":"Enhancing Agricultural Biosecurity","URL":"https://www.intechopen.com/online-first/1188660","author":[{"family":"Almotairy","given":"Hany M."},{"family":"Alshehri","given":"Khalid A."},{"family":"Almutairi","given":"Othman A."},{"family":"Alenizi","given":"Hanaa O."},{"family":"Bokheder","given":"Sultan"},{"family":"Almotairy","given":"Hany M."},{"family":"Alshehri","given":"Khalid A."},{"family":"Almutairi","given":"Othman A."},{"family":"Alenizi","given":"Hanaa O."},{"family":"Bokheder","given":"Sultan"}],"accessed":{"date-parts":[["2026",7,12]]},"issued":{"date-parts":[["2024",12,2]]}}}],"schema":"https://github.com</w:instrText>
      </w:r>
      <w:r w:rsidRPr="00263D77">
        <w:rPr>
          <w:rFonts w:eastAsia="Times New Roman"/>
          <w:kern w:val="0"/>
          <w:rtl/>
          <w14:ligatures w14:val="none"/>
        </w:rPr>
        <w:instrText>/</w:instrText>
      </w:r>
      <w:r w:rsidRPr="00263D77">
        <w:rPr>
          <w:rFonts w:eastAsia="Times New Roman"/>
          <w:kern w:val="0"/>
          <w14:ligatures w14:val="none"/>
        </w:rPr>
        <w:instrText>citation-style-language/schema/raw/master/csl-citation.json</w:instrText>
      </w:r>
      <w:r w:rsidRPr="00263D77">
        <w:rPr>
          <w:rFonts w:eastAsia="Times New Roman"/>
          <w:kern w:val="0"/>
          <w:rtl/>
          <w14:ligatures w14:val="none"/>
        </w:rPr>
        <w:instrText xml:space="preserve">"} </w:instrText>
      </w:r>
      <w:r w:rsidRPr="00263D77">
        <w:rPr>
          <w:rFonts w:eastAsia="Times New Roman"/>
          <w:kern w:val="0"/>
          <w:rtl/>
          <w14:ligatures w14:val="none"/>
        </w:rPr>
        <w:fldChar w:fldCharType="separate"/>
      </w:r>
      <w:r w:rsidRPr="00263D77">
        <w:rPr>
          <w:kern w:val="0"/>
          <w:rtl/>
        </w:rPr>
        <w:t>(</w:t>
      </w:r>
      <w:r w:rsidRPr="00263D77">
        <w:rPr>
          <w:kern w:val="0"/>
        </w:rPr>
        <w:t>Almotairy et al., 2024</w:t>
      </w:r>
      <w:r w:rsidRPr="00263D77">
        <w:rPr>
          <w:kern w:val="0"/>
          <w:rtl/>
        </w:rPr>
        <w:t>)</w:t>
      </w:r>
      <w:r w:rsidRPr="00263D77">
        <w:rPr>
          <w:rFonts w:eastAsia="Times New Roman"/>
          <w:kern w:val="0"/>
          <w:rtl/>
          <w14:ligatures w14:val="none"/>
        </w:rPr>
        <w:fldChar w:fldCharType="end"/>
      </w:r>
    </w:p>
    <w:p w14:paraId="59B02597" w14:textId="77777777" w:rsidR="001604DA" w:rsidRDefault="001604DA"/>
    <w:sectPr w:rsidR="001604DA" w:rsidSect="00263D77">
      <w:pgSz w:w="11906" w:h="16838"/>
      <w:pgMar w:top="1418" w:right="1985" w:bottom="1418" w:left="1418" w:header="709" w:footer="709" w:gutter="0"/>
      <w:pgBorders w:offsetFrom="page">
        <w:top w:val="single" w:sz="36" w:space="24" w:color="auto"/>
        <w:left w:val="single" w:sz="36" w:space="24" w:color="auto"/>
        <w:bottom w:val="single" w:sz="36" w:space="24" w:color="auto"/>
        <w:right w:val="single" w:sz="36" w:space="24" w:color="auto"/>
      </w:pgBorders>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FB0F0" w14:textId="77777777" w:rsidR="008F64EB" w:rsidRDefault="008F64EB">
      <w:pPr>
        <w:spacing w:after="0"/>
      </w:pPr>
      <w:r>
        <w:separator/>
      </w:r>
    </w:p>
  </w:endnote>
  <w:endnote w:type="continuationSeparator" w:id="0">
    <w:p w14:paraId="157CBCEA" w14:textId="77777777" w:rsidR="008F64EB" w:rsidRDefault="008F64E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27588653"/>
      <w:docPartObj>
        <w:docPartGallery w:val="Page Numbers (Bottom of Page)"/>
        <w:docPartUnique/>
      </w:docPartObj>
    </w:sdtPr>
    <w:sdtEndPr/>
    <w:sdtContent>
      <w:p w14:paraId="4BF56723" w14:textId="77777777" w:rsidR="00263D77" w:rsidRDefault="00263D77">
        <w:pPr>
          <w:pStyle w:val="ae"/>
          <w:jc w:val="center"/>
        </w:pPr>
        <w:r>
          <w:fldChar w:fldCharType="begin"/>
        </w:r>
        <w:r>
          <w:instrText>PAGE   \* MERGEFORMAT</w:instrText>
        </w:r>
        <w:r>
          <w:fldChar w:fldCharType="separate"/>
        </w:r>
        <w:r>
          <w:rPr>
            <w:rtl/>
            <w:lang w:val="ar-SA"/>
          </w:rPr>
          <w:t>2</w:t>
        </w:r>
        <w:r>
          <w:fldChar w:fldCharType="end"/>
        </w:r>
      </w:p>
    </w:sdtContent>
  </w:sdt>
  <w:p w14:paraId="208281C2" w14:textId="77777777" w:rsidR="00263D77" w:rsidRDefault="00263D77">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2F57E" w14:textId="77777777" w:rsidR="008F64EB" w:rsidRDefault="008F64EB">
      <w:pPr>
        <w:spacing w:after="0"/>
      </w:pPr>
      <w:r>
        <w:separator/>
      </w:r>
    </w:p>
  </w:footnote>
  <w:footnote w:type="continuationSeparator" w:id="0">
    <w:p w14:paraId="58ACBB86" w14:textId="77777777" w:rsidR="008F64EB" w:rsidRDefault="008F64E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F078E"/>
    <w:multiLevelType w:val="hybridMultilevel"/>
    <w:tmpl w:val="178A56EA"/>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CD56B57"/>
    <w:multiLevelType w:val="hybridMultilevel"/>
    <w:tmpl w:val="90DCCC86"/>
    <w:lvl w:ilvl="0" w:tplc="FFFFFFFF">
      <w:start w:val="1"/>
      <w:numFmt w:val="decimal"/>
      <w:lvlText w:val="%1."/>
      <w:lvlJc w:val="left"/>
      <w:pPr>
        <w:ind w:left="1440" w:hanging="360"/>
      </w:pPr>
    </w:lvl>
    <w:lvl w:ilvl="1" w:tplc="0C000019" w:tentative="1">
      <w:start w:val="1"/>
      <w:numFmt w:val="lowerLetter"/>
      <w:lvlText w:val="%2."/>
      <w:lvlJc w:val="left"/>
      <w:pPr>
        <w:ind w:left="2160" w:hanging="360"/>
      </w:pPr>
    </w:lvl>
    <w:lvl w:ilvl="2" w:tplc="0C00001B" w:tentative="1">
      <w:start w:val="1"/>
      <w:numFmt w:val="lowerRoman"/>
      <w:lvlText w:val="%3."/>
      <w:lvlJc w:val="right"/>
      <w:pPr>
        <w:ind w:left="2880" w:hanging="180"/>
      </w:pPr>
    </w:lvl>
    <w:lvl w:ilvl="3" w:tplc="0C00000F" w:tentative="1">
      <w:start w:val="1"/>
      <w:numFmt w:val="decimal"/>
      <w:lvlText w:val="%4."/>
      <w:lvlJc w:val="left"/>
      <w:pPr>
        <w:ind w:left="3600" w:hanging="360"/>
      </w:pPr>
    </w:lvl>
    <w:lvl w:ilvl="4" w:tplc="0C000019" w:tentative="1">
      <w:start w:val="1"/>
      <w:numFmt w:val="lowerLetter"/>
      <w:lvlText w:val="%5."/>
      <w:lvlJc w:val="left"/>
      <w:pPr>
        <w:ind w:left="4320" w:hanging="360"/>
      </w:pPr>
    </w:lvl>
    <w:lvl w:ilvl="5" w:tplc="0C00001B" w:tentative="1">
      <w:start w:val="1"/>
      <w:numFmt w:val="lowerRoman"/>
      <w:lvlText w:val="%6."/>
      <w:lvlJc w:val="right"/>
      <w:pPr>
        <w:ind w:left="5040" w:hanging="180"/>
      </w:pPr>
    </w:lvl>
    <w:lvl w:ilvl="6" w:tplc="0C00000F" w:tentative="1">
      <w:start w:val="1"/>
      <w:numFmt w:val="decimal"/>
      <w:lvlText w:val="%7."/>
      <w:lvlJc w:val="left"/>
      <w:pPr>
        <w:ind w:left="5760" w:hanging="360"/>
      </w:pPr>
    </w:lvl>
    <w:lvl w:ilvl="7" w:tplc="0C000019" w:tentative="1">
      <w:start w:val="1"/>
      <w:numFmt w:val="lowerLetter"/>
      <w:lvlText w:val="%8."/>
      <w:lvlJc w:val="left"/>
      <w:pPr>
        <w:ind w:left="6480" w:hanging="360"/>
      </w:pPr>
    </w:lvl>
    <w:lvl w:ilvl="8" w:tplc="0C00001B" w:tentative="1">
      <w:start w:val="1"/>
      <w:numFmt w:val="lowerRoman"/>
      <w:lvlText w:val="%9."/>
      <w:lvlJc w:val="right"/>
      <w:pPr>
        <w:ind w:left="7200" w:hanging="180"/>
      </w:pPr>
    </w:lvl>
  </w:abstractNum>
  <w:abstractNum w:abstractNumId="2" w15:restartNumberingAfterBreak="0">
    <w:nsid w:val="0DC20050"/>
    <w:multiLevelType w:val="hybridMultilevel"/>
    <w:tmpl w:val="516E5470"/>
    <w:lvl w:ilvl="0" w:tplc="CC8CCD98">
      <w:start w:val="2"/>
      <w:numFmt w:val="bullet"/>
      <w:lvlText w:val="-"/>
      <w:lvlJc w:val="left"/>
      <w:pPr>
        <w:ind w:left="644" w:hanging="360"/>
      </w:pPr>
      <w:rPr>
        <w:rFonts w:ascii="Simplified Arabic" w:eastAsia="Times New Roman"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15:restartNumberingAfterBreak="0">
    <w:nsid w:val="0DF9392B"/>
    <w:multiLevelType w:val="hybridMultilevel"/>
    <w:tmpl w:val="D35C1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BA1167"/>
    <w:multiLevelType w:val="hybridMultilevel"/>
    <w:tmpl w:val="A216B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92350D"/>
    <w:multiLevelType w:val="hybridMultilevel"/>
    <w:tmpl w:val="760E8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801DC8"/>
    <w:multiLevelType w:val="hybridMultilevel"/>
    <w:tmpl w:val="63669446"/>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B8407B"/>
    <w:multiLevelType w:val="hybridMultilevel"/>
    <w:tmpl w:val="D05E4DF6"/>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248A7635"/>
    <w:multiLevelType w:val="hybridMultilevel"/>
    <w:tmpl w:val="4CFE1672"/>
    <w:lvl w:ilvl="0" w:tplc="04090003">
      <w:start w:val="1"/>
      <w:numFmt w:val="bullet"/>
      <w:lvlText w:val="o"/>
      <w:lvlJc w:val="left"/>
      <w:pPr>
        <w:ind w:left="1004" w:hanging="360"/>
      </w:pPr>
      <w:rPr>
        <w:rFonts w:ascii="Courier New" w:hAnsi="Courier New" w:cs="Courier New"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2BDB3B1B"/>
    <w:multiLevelType w:val="hybridMultilevel"/>
    <w:tmpl w:val="55BA5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2E0B39"/>
    <w:multiLevelType w:val="hybridMultilevel"/>
    <w:tmpl w:val="6E3C83D4"/>
    <w:lvl w:ilvl="0" w:tplc="CC8CCD98">
      <w:start w:val="2"/>
      <w:numFmt w:val="bullet"/>
      <w:lvlText w:val="-"/>
      <w:lvlJc w:val="left"/>
      <w:pPr>
        <w:ind w:left="644" w:hanging="360"/>
      </w:pPr>
      <w:rPr>
        <w:rFonts w:ascii="Simplified Arabic" w:eastAsia="Times New Roman"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2F230C01"/>
    <w:multiLevelType w:val="hybridMultilevel"/>
    <w:tmpl w:val="0E2283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33AE0"/>
    <w:multiLevelType w:val="hybridMultilevel"/>
    <w:tmpl w:val="E6063484"/>
    <w:lvl w:ilvl="0" w:tplc="FFFFFFF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3" w15:restartNumberingAfterBreak="0">
    <w:nsid w:val="33841D54"/>
    <w:multiLevelType w:val="hybridMultilevel"/>
    <w:tmpl w:val="9BF22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5594AEE"/>
    <w:multiLevelType w:val="hybridMultilevel"/>
    <w:tmpl w:val="C59C945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7CE23FC"/>
    <w:multiLevelType w:val="hybridMultilevel"/>
    <w:tmpl w:val="2FE236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8D1700"/>
    <w:multiLevelType w:val="hybridMultilevel"/>
    <w:tmpl w:val="80E0A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04645A"/>
    <w:multiLevelType w:val="hybridMultilevel"/>
    <w:tmpl w:val="7B3400D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8" w15:restartNumberingAfterBreak="0">
    <w:nsid w:val="478460B6"/>
    <w:multiLevelType w:val="hybridMultilevel"/>
    <w:tmpl w:val="03A6750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4DBF6566"/>
    <w:multiLevelType w:val="hybridMultilevel"/>
    <w:tmpl w:val="A216B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6700B9"/>
    <w:multiLevelType w:val="hybridMultilevel"/>
    <w:tmpl w:val="45DA38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E696AE0"/>
    <w:multiLevelType w:val="hybridMultilevel"/>
    <w:tmpl w:val="ABEAE23E"/>
    <w:lvl w:ilvl="0" w:tplc="86CE0F16">
      <w:start w:val="4"/>
      <w:numFmt w:val="bullet"/>
      <w:lvlText w:val="-"/>
      <w:lvlJc w:val="left"/>
      <w:pPr>
        <w:ind w:left="501" w:hanging="360"/>
      </w:pPr>
      <w:rPr>
        <w:rFonts w:ascii="Arial" w:eastAsiaTheme="minorHAnsi" w:hAnsi="Arial" w:cs="Arial" w:hint="default"/>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abstractNum w:abstractNumId="22" w15:restartNumberingAfterBreak="0">
    <w:nsid w:val="5133611C"/>
    <w:multiLevelType w:val="hybridMultilevel"/>
    <w:tmpl w:val="16DA186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1157F9"/>
    <w:multiLevelType w:val="hybridMultilevel"/>
    <w:tmpl w:val="64CED164"/>
    <w:lvl w:ilvl="0" w:tplc="FFFFFFF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4" w15:restartNumberingAfterBreak="0">
    <w:nsid w:val="5BB03CEB"/>
    <w:multiLevelType w:val="hybridMultilevel"/>
    <w:tmpl w:val="6FAA4B2C"/>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5" w15:restartNumberingAfterBreak="0">
    <w:nsid w:val="5C544515"/>
    <w:multiLevelType w:val="hybridMultilevel"/>
    <w:tmpl w:val="02F25428"/>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6" w15:restartNumberingAfterBreak="0">
    <w:nsid w:val="5D0A189E"/>
    <w:multiLevelType w:val="hybridMultilevel"/>
    <w:tmpl w:val="14429E80"/>
    <w:lvl w:ilvl="0" w:tplc="CC8CCD98">
      <w:start w:val="2"/>
      <w:numFmt w:val="bullet"/>
      <w:lvlText w:val="-"/>
      <w:lvlJc w:val="left"/>
      <w:pPr>
        <w:ind w:left="1004" w:hanging="360"/>
      </w:pPr>
      <w:rPr>
        <w:rFonts w:ascii="Simplified Arabic" w:eastAsia="Times New Roman" w:hAnsi="Simplified Arabic" w:cs="Simplified Arabic"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62C97FD5"/>
    <w:multiLevelType w:val="hybridMultilevel"/>
    <w:tmpl w:val="B816B12C"/>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6453C1"/>
    <w:multiLevelType w:val="hybridMultilevel"/>
    <w:tmpl w:val="C248D49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9" w15:restartNumberingAfterBreak="0">
    <w:nsid w:val="6F450828"/>
    <w:multiLevelType w:val="hybridMultilevel"/>
    <w:tmpl w:val="0A56DB92"/>
    <w:lvl w:ilvl="0" w:tplc="FFFFFFF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30" w15:restartNumberingAfterBreak="0">
    <w:nsid w:val="718C5F57"/>
    <w:multiLevelType w:val="hybridMultilevel"/>
    <w:tmpl w:val="9A0C4D60"/>
    <w:lvl w:ilvl="0" w:tplc="3D3449EA">
      <w:start w:val="1"/>
      <w:numFmt w:val="decimal"/>
      <w:lvlText w:val="%1."/>
      <w:lvlJc w:val="righ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777F13E6"/>
    <w:multiLevelType w:val="hybridMultilevel"/>
    <w:tmpl w:val="BE04544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15:restartNumberingAfterBreak="0">
    <w:nsid w:val="78250530"/>
    <w:multiLevelType w:val="hybridMultilevel"/>
    <w:tmpl w:val="593CB866"/>
    <w:lvl w:ilvl="0" w:tplc="CC8CCD98">
      <w:start w:val="2"/>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236F0B"/>
    <w:multiLevelType w:val="hybridMultilevel"/>
    <w:tmpl w:val="B7389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F872D1E"/>
    <w:multiLevelType w:val="hybridMultilevel"/>
    <w:tmpl w:val="16A8714A"/>
    <w:lvl w:ilvl="0" w:tplc="86CE0F16">
      <w:start w:val="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219678509">
    <w:abstractNumId w:val="31"/>
  </w:num>
  <w:num w:numId="2" w16cid:durableId="81881233">
    <w:abstractNumId w:val="17"/>
  </w:num>
  <w:num w:numId="3" w16cid:durableId="441993389">
    <w:abstractNumId w:val="22"/>
  </w:num>
  <w:num w:numId="4" w16cid:durableId="2003466512">
    <w:abstractNumId w:val="8"/>
  </w:num>
  <w:num w:numId="5" w16cid:durableId="1631133438">
    <w:abstractNumId w:val="7"/>
  </w:num>
  <w:num w:numId="6" w16cid:durableId="2108845850">
    <w:abstractNumId w:val="32"/>
  </w:num>
  <w:num w:numId="7" w16cid:durableId="1950235717">
    <w:abstractNumId w:val="26"/>
  </w:num>
  <w:num w:numId="8" w16cid:durableId="2001081186">
    <w:abstractNumId w:val="18"/>
  </w:num>
  <w:num w:numId="9" w16cid:durableId="606815934">
    <w:abstractNumId w:val="13"/>
  </w:num>
  <w:num w:numId="10" w16cid:durableId="1046182010">
    <w:abstractNumId w:val="9"/>
  </w:num>
  <w:num w:numId="11" w16cid:durableId="1852721436">
    <w:abstractNumId w:val="33"/>
  </w:num>
  <w:num w:numId="12" w16cid:durableId="2063215568">
    <w:abstractNumId w:val="0"/>
  </w:num>
  <w:num w:numId="13" w16cid:durableId="798575793">
    <w:abstractNumId w:val="6"/>
  </w:num>
  <w:num w:numId="14" w16cid:durableId="848713399">
    <w:abstractNumId w:val="5"/>
  </w:num>
  <w:num w:numId="15" w16cid:durableId="335379076">
    <w:abstractNumId w:val="14"/>
  </w:num>
  <w:num w:numId="16" w16cid:durableId="45222641">
    <w:abstractNumId w:val="16"/>
  </w:num>
  <w:num w:numId="17" w16cid:durableId="2101371690">
    <w:abstractNumId w:val="2"/>
  </w:num>
  <w:num w:numId="18" w16cid:durableId="877281164">
    <w:abstractNumId w:val="10"/>
  </w:num>
  <w:num w:numId="19" w16cid:durableId="83066236">
    <w:abstractNumId w:val="24"/>
  </w:num>
  <w:num w:numId="20" w16cid:durableId="625627211">
    <w:abstractNumId w:val="15"/>
  </w:num>
  <w:num w:numId="21" w16cid:durableId="851382402">
    <w:abstractNumId w:val="20"/>
  </w:num>
  <w:num w:numId="22" w16cid:durableId="1290169278">
    <w:abstractNumId w:val="11"/>
  </w:num>
  <w:num w:numId="23" w16cid:durableId="1876577934">
    <w:abstractNumId w:val="3"/>
  </w:num>
  <w:num w:numId="24" w16cid:durableId="1794984396">
    <w:abstractNumId w:val="19"/>
  </w:num>
  <w:num w:numId="25" w16cid:durableId="546651513">
    <w:abstractNumId w:val="4"/>
  </w:num>
  <w:num w:numId="26" w16cid:durableId="23219717">
    <w:abstractNumId w:val="27"/>
  </w:num>
  <w:num w:numId="27" w16cid:durableId="1140926745">
    <w:abstractNumId w:val="25"/>
  </w:num>
  <w:num w:numId="28" w16cid:durableId="1535464762">
    <w:abstractNumId w:val="21"/>
  </w:num>
  <w:num w:numId="29" w16cid:durableId="1408111222">
    <w:abstractNumId w:val="34"/>
  </w:num>
  <w:num w:numId="30" w16cid:durableId="1618099065">
    <w:abstractNumId w:val="28"/>
  </w:num>
  <w:num w:numId="31" w16cid:durableId="452210081">
    <w:abstractNumId w:val="30"/>
  </w:num>
  <w:num w:numId="32" w16cid:durableId="1298955880">
    <w:abstractNumId w:val="12"/>
  </w:num>
  <w:num w:numId="33" w16cid:durableId="571113210">
    <w:abstractNumId w:val="1"/>
  </w:num>
  <w:num w:numId="34" w16cid:durableId="304698102">
    <w:abstractNumId w:val="29"/>
  </w:num>
  <w:num w:numId="35" w16cid:durableId="27009180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D77"/>
    <w:rsid w:val="000F5D78"/>
    <w:rsid w:val="00152645"/>
    <w:rsid w:val="001604DA"/>
    <w:rsid w:val="00263D77"/>
    <w:rsid w:val="0027789B"/>
    <w:rsid w:val="002C05C2"/>
    <w:rsid w:val="0033692F"/>
    <w:rsid w:val="004840F2"/>
    <w:rsid w:val="00673234"/>
    <w:rsid w:val="00737B99"/>
    <w:rsid w:val="00884531"/>
    <w:rsid w:val="008F64EB"/>
    <w:rsid w:val="009135CE"/>
    <w:rsid w:val="00954572"/>
    <w:rsid w:val="009E1439"/>
    <w:rsid w:val="00C929AF"/>
    <w:rsid w:val="00D1411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24828"/>
  <w15:chartTrackingRefBased/>
  <w15:docId w15:val="{84ED6DDC-1066-4AE9-A922-219EBF305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Theme="minorHAnsi" w:hAnsi="Simplified Arabic" w:cs="Simplified Arabic"/>
        <w:kern w:val="2"/>
        <w:sz w:val="28"/>
        <w:szCs w:val="28"/>
        <w:lang w:val="en-US" w:eastAsia="en-US" w:bidi="ar-SA"/>
        <w14:ligatures w14:val="standardContextual"/>
      </w:rPr>
    </w:rPrDefault>
    <w:pPrDefault>
      <w:pPr>
        <w:bidi/>
        <w:spacing w:after="120"/>
        <w:ind w:firstLine="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9135CE"/>
    <w:pPr>
      <w:keepNext/>
      <w:keepLines/>
      <w:spacing w:before="120"/>
      <w:outlineLvl w:val="0"/>
    </w:pPr>
    <w:rPr>
      <w:rFonts w:asciiTheme="majorHAnsi" w:eastAsiaTheme="majorEastAsia" w:hAnsiTheme="majorHAnsi"/>
      <w:bCs/>
      <w:color w:val="4472C4" w:themeColor="accent1"/>
      <w:sz w:val="36"/>
      <w:szCs w:val="36"/>
    </w:rPr>
  </w:style>
  <w:style w:type="paragraph" w:styleId="2">
    <w:name w:val="heading 2"/>
    <w:basedOn w:val="a"/>
    <w:next w:val="a"/>
    <w:link w:val="2Char"/>
    <w:autoRedefine/>
    <w:uiPriority w:val="9"/>
    <w:unhideWhenUsed/>
    <w:qFormat/>
    <w:rsid w:val="009135CE"/>
    <w:pPr>
      <w:keepNext/>
      <w:keepLines/>
      <w:spacing w:before="120"/>
      <w:outlineLvl w:val="1"/>
    </w:pPr>
    <w:rPr>
      <w:rFonts w:asciiTheme="majorHAnsi" w:eastAsiaTheme="majorEastAsia" w:hAnsiTheme="majorHAnsi"/>
      <w:bCs/>
      <w:color w:val="7030A0"/>
      <w:kern w:val="0"/>
      <w:sz w:val="26"/>
      <w:szCs w:val="32"/>
      <w14:ligatures w14:val="none"/>
    </w:rPr>
  </w:style>
  <w:style w:type="paragraph" w:styleId="3">
    <w:name w:val="heading 3"/>
    <w:basedOn w:val="a"/>
    <w:link w:val="3Char"/>
    <w:autoRedefine/>
    <w:uiPriority w:val="9"/>
    <w:qFormat/>
    <w:rsid w:val="00152645"/>
    <w:pPr>
      <w:spacing w:before="100" w:beforeAutospacing="1"/>
      <w:ind w:left="-284"/>
      <w:jc w:val="left"/>
      <w:outlineLvl w:val="2"/>
    </w:pPr>
    <w:rPr>
      <w:rFonts w:ascii="Times New Roman" w:eastAsia="Times New Roman" w:hAnsi="Times New Roman"/>
      <w:b/>
      <w:bCs/>
      <w:kern w:val="0"/>
      <w:sz w:val="27"/>
      <w14:ligatures w14:val="none"/>
    </w:rPr>
  </w:style>
  <w:style w:type="paragraph" w:styleId="4">
    <w:name w:val="heading 4"/>
    <w:basedOn w:val="a"/>
    <w:next w:val="a"/>
    <w:link w:val="4Char"/>
    <w:uiPriority w:val="9"/>
    <w:semiHidden/>
    <w:unhideWhenUsed/>
    <w:qFormat/>
    <w:rsid w:val="00263D7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Char"/>
    <w:uiPriority w:val="9"/>
    <w:semiHidden/>
    <w:unhideWhenUsed/>
    <w:qFormat/>
    <w:rsid w:val="00263D77"/>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Char"/>
    <w:uiPriority w:val="9"/>
    <w:semiHidden/>
    <w:unhideWhenUsed/>
    <w:qFormat/>
    <w:rsid w:val="00263D77"/>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263D77"/>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263D77"/>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263D77"/>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rsid w:val="00152645"/>
    <w:rPr>
      <w:rFonts w:ascii="Times New Roman" w:eastAsia="Times New Roman" w:hAnsi="Times New Roman"/>
      <w:b/>
      <w:bCs/>
      <w:kern w:val="0"/>
      <w:sz w:val="27"/>
      <w14:ligatures w14:val="none"/>
    </w:rPr>
  </w:style>
  <w:style w:type="character" w:customStyle="1" w:styleId="1Char">
    <w:name w:val="العنوان 1 Char"/>
    <w:basedOn w:val="a0"/>
    <w:link w:val="1"/>
    <w:uiPriority w:val="9"/>
    <w:rsid w:val="009135CE"/>
    <w:rPr>
      <w:rFonts w:asciiTheme="majorHAnsi" w:eastAsiaTheme="majorEastAsia" w:hAnsiTheme="majorHAnsi" w:cs="Simplified Arabic"/>
      <w:bCs/>
      <w:color w:val="4472C4" w:themeColor="accent1"/>
      <w:sz w:val="36"/>
      <w:szCs w:val="36"/>
    </w:rPr>
  </w:style>
  <w:style w:type="character" w:customStyle="1" w:styleId="2Char">
    <w:name w:val="عنوان 2 Char"/>
    <w:basedOn w:val="a0"/>
    <w:link w:val="2"/>
    <w:uiPriority w:val="9"/>
    <w:rsid w:val="009135CE"/>
    <w:rPr>
      <w:rFonts w:asciiTheme="majorHAnsi" w:eastAsiaTheme="majorEastAsia" w:hAnsiTheme="majorHAnsi" w:cs="Simplified Arabic"/>
      <w:bCs/>
      <w:color w:val="7030A0"/>
      <w:kern w:val="0"/>
      <w:sz w:val="26"/>
      <w:szCs w:val="32"/>
      <w14:ligatures w14:val="none"/>
    </w:rPr>
  </w:style>
  <w:style w:type="paragraph" w:styleId="a3">
    <w:name w:val="TOC Heading"/>
    <w:basedOn w:val="1"/>
    <w:next w:val="a"/>
    <w:autoRedefine/>
    <w:uiPriority w:val="39"/>
    <w:unhideWhenUsed/>
    <w:qFormat/>
    <w:rsid w:val="00954572"/>
    <w:pPr>
      <w:jc w:val="center"/>
      <w:outlineLvl w:val="9"/>
    </w:pPr>
    <w:rPr>
      <w:rFonts w:ascii="Simplified Arabic" w:hAnsi="Simplified Arabic"/>
      <w:bCs w:val="0"/>
      <w:color w:val="44546A" w:themeColor="text2"/>
      <w:kern w:val="0"/>
      <w:szCs w:val="24"/>
      <w:lang w:bidi="ar-YE"/>
      <w14:ligatures w14:val="none"/>
    </w:rPr>
  </w:style>
  <w:style w:type="paragraph" w:customStyle="1" w:styleId="a4">
    <w:name w:val="الاشكال"/>
    <w:basedOn w:val="a"/>
    <w:link w:val="Char"/>
    <w:autoRedefine/>
    <w:qFormat/>
    <w:rsid w:val="004840F2"/>
    <w:pPr>
      <w:jc w:val="center"/>
    </w:pPr>
    <w:rPr>
      <w:sz w:val="24"/>
      <w:szCs w:val="24"/>
    </w:rPr>
  </w:style>
  <w:style w:type="character" w:customStyle="1" w:styleId="Char">
    <w:name w:val="الاشكال Char"/>
    <w:basedOn w:val="a0"/>
    <w:link w:val="a4"/>
    <w:rsid w:val="004840F2"/>
    <w:rPr>
      <w:sz w:val="24"/>
      <w:szCs w:val="24"/>
    </w:rPr>
  </w:style>
  <w:style w:type="paragraph" w:customStyle="1" w:styleId="a5">
    <w:name w:val="الجداول"/>
    <w:basedOn w:val="a"/>
    <w:link w:val="Char0"/>
    <w:autoRedefine/>
    <w:qFormat/>
    <w:rsid w:val="00673234"/>
    <w:pPr>
      <w:spacing w:line="276" w:lineRule="auto"/>
      <w:jc w:val="center"/>
    </w:pPr>
    <w:rPr>
      <w:b/>
      <w:szCs w:val="24"/>
    </w:rPr>
  </w:style>
  <w:style w:type="character" w:customStyle="1" w:styleId="Char0">
    <w:name w:val="الجداول Char"/>
    <w:basedOn w:val="a0"/>
    <w:link w:val="a5"/>
    <w:rsid w:val="00673234"/>
    <w:rPr>
      <w:b/>
      <w:szCs w:val="24"/>
    </w:rPr>
  </w:style>
  <w:style w:type="character" w:customStyle="1" w:styleId="4Char">
    <w:name w:val="عنوان 4 Char"/>
    <w:basedOn w:val="a0"/>
    <w:link w:val="4"/>
    <w:uiPriority w:val="9"/>
    <w:semiHidden/>
    <w:rsid w:val="00263D77"/>
    <w:rPr>
      <w:rFonts w:asciiTheme="minorHAnsi" w:eastAsiaTheme="majorEastAsia" w:hAnsiTheme="minorHAnsi" w:cstheme="majorBidi"/>
      <w:i/>
      <w:iCs/>
      <w:color w:val="2F5496" w:themeColor="accent1" w:themeShade="BF"/>
    </w:rPr>
  </w:style>
  <w:style w:type="character" w:customStyle="1" w:styleId="5Char">
    <w:name w:val="عنوان 5 Char"/>
    <w:basedOn w:val="a0"/>
    <w:link w:val="5"/>
    <w:uiPriority w:val="9"/>
    <w:semiHidden/>
    <w:rsid w:val="00263D77"/>
    <w:rPr>
      <w:rFonts w:asciiTheme="minorHAnsi" w:eastAsiaTheme="majorEastAsia" w:hAnsiTheme="minorHAnsi" w:cstheme="majorBidi"/>
      <w:color w:val="2F5496" w:themeColor="accent1" w:themeShade="BF"/>
    </w:rPr>
  </w:style>
  <w:style w:type="character" w:customStyle="1" w:styleId="6Char">
    <w:name w:val="عنوان 6 Char"/>
    <w:basedOn w:val="a0"/>
    <w:link w:val="6"/>
    <w:uiPriority w:val="9"/>
    <w:semiHidden/>
    <w:rsid w:val="00263D77"/>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263D77"/>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263D77"/>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263D77"/>
    <w:rPr>
      <w:rFonts w:asciiTheme="minorHAnsi" w:eastAsiaTheme="majorEastAsia" w:hAnsiTheme="minorHAnsi" w:cstheme="majorBidi"/>
      <w:color w:val="272727" w:themeColor="text1" w:themeTint="D8"/>
    </w:rPr>
  </w:style>
  <w:style w:type="paragraph" w:styleId="a6">
    <w:name w:val="Title"/>
    <w:basedOn w:val="a"/>
    <w:next w:val="a"/>
    <w:link w:val="Char1"/>
    <w:uiPriority w:val="10"/>
    <w:qFormat/>
    <w:rsid w:val="00263D77"/>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6"/>
    <w:uiPriority w:val="10"/>
    <w:rsid w:val="00263D77"/>
    <w:rPr>
      <w:rFonts w:asciiTheme="majorHAnsi" w:eastAsiaTheme="majorEastAsia" w:hAnsiTheme="majorHAnsi" w:cstheme="majorBidi"/>
      <w:spacing w:val="-10"/>
      <w:kern w:val="28"/>
      <w:sz w:val="56"/>
      <w:szCs w:val="56"/>
    </w:rPr>
  </w:style>
  <w:style w:type="paragraph" w:styleId="a7">
    <w:name w:val="Subtitle"/>
    <w:basedOn w:val="a"/>
    <w:next w:val="a"/>
    <w:link w:val="Char2"/>
    <w:uiPriority w:val="11"/>
    <w:qFormat/>
    <w:rsid w:val="00263D77"/>
    <w:pPr>
      <w:numPr>
        <w:ilvl w:val="1"/>
      </w:numPr>
      <w:spacing w:after="160"/>
      <w:ind w:firstLine="284"/>
    </w:pPr>
    <w:rPr>
      <w:rFonts w:asciiTheme="minorHAnsi" w:eastAsiaTheme="majorEastAsia" w:hAnsiTheme="minorHAnsi" w:cstheme="majorBidi"/>
      <w:color w:val="595959" w:themeColor="text1" w:themeTint="A6"/>
      <w:spacing w:val="15"/>
    </w:rPr>
  </w:style>
  <w:style w:type="character" w:customStyle="1" w:styleId="Char2">
    <w:name w:val="عنوان فرعي Char"/>
    <w:basedOn w:val="a0"/>
    <w:link w:val="a7"/>
    <w:uiPriority w:val="11"/>
    <w:rsid w:val="00263D77"/>
    <w:rPr>
      <w:rFonts w:asciiTheme="minorHAnsi" w:eastAsiaTheme="majorEastAsia" w:hAnsiTheme="minorHAnsi" w:cstheme="majorBidi"/>
      <w:color w:val="595959" w:themeColor="text1" w:themeTint="A6"/>
      <w:spacing w:val="15"/>
    </w:rPr>
  </w:style>
  <w:style w:type="paragraph" w:styleId="a8">
    <w:name w:val="Quote"/>
    <w:basedOn w:val="a"/>
    <w:next w:val="a"/>
    <w:link w:val="Char3"/>
    <w:uiPriority w:val="29"/>
    <w:qFormat/>
    <w:rsid w:val="00263D77"/>
    <w:pPr>
      <w:spacing w:before="160" w:after="160"/>
      <w:jc w:val="center"/>
    </w:pPr>
    <w:rPr>
      <w:i/>
      <w:iCs/>
      <w:color w:val="404040" w:themeColor="text1" w:themeTint="BF"/>
    </w:rPr>
  </w:style>
  <w:style w:type="character" w:customStyle="1" w:styleId="Char3">
    <w:name w:val="اقتباس Char"/>
    <w:basedOn w:val="a0"/>
    <w:link w:val="a8"/>
    <w:uiPriority w:val="29"/>
    <w:rsid w:val="00263D77"/>
    <w:rPr>
      <w:i/>
      <w:iCs/>
      <w:color w:val="404040" w:themeColor="text1" w:themeTint="BF"/>
    </w:rPr>
  </w:style>
  <w:style w:type="paragraph" w:styleId="a9">
    <w:name w:val="List Paragraph"/>
    <w:basedOn w:val="a"/>
    <w:uiPriority w:val="34"/>
    <w:qFormat/>
    <w:rsid w:val="00263D77"/>
    <w:pPr>
      <w:ind w:left="720"/>
      <w:contextualSpacing/>
    </w:pPr>
  </w:style>
  <w:style w:type="character" w:styleId="aa">
    <w:name w:val="Intense Emphasis"/>
    <w:basedOn w:val="a0"/>
    <w:uiPriority w:val="21"/>
    <w:qFormat/>
    <w:rsid w:val="00263D77"/>
    <w:rPr>
      <w:i/>
      <w:iCs/>
      <w:color w:val="2F5496" w:themeColor="accent1" w:themeShade="BF"/>
    </w:rPr>
  </w:style>
  <w:style w:type="paragraph" w:styleId="ab">
    <w:name w:val="Intense Quote"/>
    <w:basedOn w:val="a"/>
    <w:next w:val="a"/>
    <w:link w:val="Char4"/>
    <w:uiPriority w:val="30"/>
    <w:qFormat/>
    <w:rsid w:val="00263D7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b"/>
    <w:uiPriority w:val="30"/>
    <w:rsid w:val="00263D77"/>
    <w:rPr>
      <w:i/>
      <w:iCs/>
      <w:color w:val="2F5496" w:themeColor="accent1" w:themeShade="BF"/>
    </w:rPr>
  </w:style>
  <w:style w:type="character" w:styleId="ac">
    <w:name w:val="Intense Reference"/>
    <w:basedOn w:val="a0"/>
    <w:uiPriority w:val="32"/>
    <w:qFormat/>
    <w:rsid w:val="00263D77"/>
    <w:rPr>
      <w:b/>
      <w:bCs/>
      <w:smallCaps/>
      <w:color w:val="2F5496" w:themeColor="accent1" w:themeShade="BF"/>
      <w:spacing w:val="5"/>
    </w:rPr>
  </w:style>
  <w:style w:type="paragraph" w:styleId="ad">
    <w:name w:val="header"/>
    <w:basedOn w:val="a"/>
    <w:link w:val="Char5"/>
    <w:uiPriority w:val="99"/>
    <w:unhideWhenUsed/>
    <w:rsid w:val="00263D77"/>
    <w:pPr>
      <w:tabs>
        <w:tab w:val="center" w:pos="4153"/>
        <w:tab w:val="right" w:pos="8306"/>
      </w:tabs>
      <w:spacing w:after="0"/>
    </w:pPr>
  </w:style>
  <w:style w:type="character" w:customStyle="1" w:styleId="Char5">
    <w:name w:val="رأس الصفحة Char"/>
    <w:basedOn w:val="a0"/>
    <w:link w:val="ad"/>
    <w:uiPriority w:val="99"/>
    <w:rsid w:val="00263D77"/>
  </w:style>
  <w:style w:type="paragraph" w:styleId="ae">
    <w:name w:val="footer"/>
    <w:basedOn w:val="a"/>
    <w:link w:val="Char6"/>
    <w:uiPriority w:val="99"/>
    <w:unhideWhenUsed/>
    <w:rsid w:val="00263D77"/>
    <w:pPr>
      <w:tabs>
        <w:tab w:val="center" w:pos="4153"/>
        <w:tab w:val="right" w:pos="8306"/>
      </w:tabs>
      <w:spacing w:after="0"/>
    </w:pPr>
  </w:style>
  <w:style w:type="character" w:customStyle="1" w:styleId="Char6">
    <w:name w:val="تذييل الصفحة Char"/>
    <w:basedOn w:val="a0"/>
    <w:link w:val="ae"/>
    <w:uiPriority w:val="99"/>
    <w:rsid w:val="00263D77"/>
  </w:style>
  <w:style w:type="paragraph" w:styleId="af">
    <w:name w:val="Bibliography"/>
    <w:basedOn w:val="a"/>
    <w:next w:val="a"/>
    <w:uiPriority w:val="37"/>
    <w:unhideWhenUsed/>
    <w:rsid w:val="00263D77"/>
    <w:pPr>
      <w:spacing w:after="0" w:line="480" w:lineRule="auto"/>
      <w:ind w:left="720" w:hanging="720"/>
    </w:pPr>
  </w:style>
  <w:style w:type="character" w:styleId="Hyperlink">
    <w:name w:val="Hyperlink"/>
    <w:basedOn w:val="a0"/>
    <w:uiPriority w:val="99"/>
    <w:unhideWhenUsed/>
    <w:rsid w:val="00263D77"/>
    <w:rPr>
      <w:color w:val="0563C1" w:themeColor="hyperlink"/>
      <w:u w:val="single"/>
    </w:rPr>
  </w:style>
  <w:style w:type="character" w:styleId="af0">
    <w:name w:val="Unresolved Mention"/>
    <w:basedOn w:val="a0"/>
    <w:uiPriority w:val="99"/>
    <w:semiHidden/>
    <w:unhideWhenUsed/>
    <w:rsid w:val="00263D77"/>
    <w:rPr>
      <w:color w:val="605E5C"/>
      <w:shd w:val="clear" w:color="auto" w:fill="E1DFDD"/>
    </w:rPr>
  </w:style>
  <w:style w:type="paragraph" w:styleId="10">
    <w:name w:val="toc 1"/>
    <w:basedOn w:val="a"/>
    <w:next w:val="a"/>
    <w:autoRedefine/>
    <w:uiPriority w:val="39"/>
    <w:unhideWhenUsed/>
    <w:rsid w:val="00263D77"/>
    <w:pPr>
      <w:spacing w:after="100"/>
    </w:pPr>
  </w:style>
  <w:style w:type="paragraph" w:styleId="20">
    <w:name w:val="toc 2"/>
    <w:basedOn w:val="a"/>
    <w:next w:val="a"/>
    <w:autoRedefine/>
    <w:uiPriority w:val="39"/>
    <w:unhideWhenUsed/>
    <w:rsid w:val="00263D77"/>
    <w:pPr>
      <w:spacing w:after="100"/>
      <w:ind w:left="280"/>
    </w:pPr>
  </w:style>
  <w:style w:type="table" w:customStyle="1" w:styleId="11">
    <w:name w:val="شبكة جدول1"/>
    <w:basedOn w:val="a1"/>
    <w:next w:val="af1"/>
    <w:uiPriority w:val="39"/>
    <w:rsid w:val="00263D77"/>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uiPriority w:val="39"/>
    <w:rsid w:val="00263D7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
    <w:basedOn w:val="a1"/>
    <w:next w:val="af1"/>
    <w:uiPriority w:val="39"/>
    <w:rsid w:val="00263D77"/>
    <w:pPr>
      <w:bidi w:val="0"/>
      <w:spacing w:after="0"/>
      <w:ind w:firstLine="0"/>
      <w:jc w:val="left"/>
    </w:pPr>
    <w:rPr>
      <w:rFonts w:ascii="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f1"/>
    <w:uiPriority w:val="39"/>
    <w:rsid w:val="00263D77"/>
    <w:pPr>
      <w:bidi w:val="0"/>
      <w:spacing w:after="0"/>
      <w:ind w:firstLine="0"/>
      <w:jc w:val="left"/>
    </w:pPr>
    <w:rPr>
      <w:rFonts w:ascii="Calibri" w:eastAsia="Times New Roman" w:hAnsi="Calibri" w:cs="Arial"/>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 Spacing"/>
    <w:uiPriority w:val="1"/>
    <w:qFormat/>
    <w:rsid w:val="00263D77"/>
    <w:pPr>
      <w:spacing w:after="0"/>
    </w:pPr>
  </w:style>
  <w:style w:type="table" w:customStyle="1" w:styleId="40">
    <w:name w:val="شبكة جدول4"/>
    <w:basedOn w:val="a1"/>
    <w:next w:val="af1"/>
    <w:uiPriority w:val="39"/>
    <w:rsid w:val="00263D77"/>
    <w:pPr>
      <w:bidi w:val="0"/>
      <w:spacing w:after="0"/>
      <w:ind w:firstLine="0"/>
      <w:jc w:val="left"/>
    </w:pPr>
    <w:rPr>
      <w:rFonts w:asciiTheme="minorHAnsi" w:hAnsiTheme="minorHAnsi" w:cstheme="minorBid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toc 3"/>
    <w:basedOn w:val="a"/>
    <w:next w:val="a"/>
    <w:autoRedefine/>
    <w:uiPriority w:val="39"/>
    <w:unhideWhenUsed/>
    <w:rsid w:val="00263D77"/>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الع15</b:Tag>
    <b:SourceType>ArticleInAPeriodical</b:SourceType>
    <b:Guid>{676121DC-E627-456B-AC82-70D8BBB81319}</b:Guid>
    <b:LCID>ar-SA</b:LCID>
    <b:Title>تأثير إدارة املخاطر وفوائدها في املنظمات  مدخل نظري تحليلي</b:Title>
    <b:PeriodicalTitle>مجلة جامعة الانبار للعلوم الاقتصادية والادارية</b:PeriodicalTitle>
    <b:Year>2015</b:Year>
    <b:Author>
      <b:Author>
        <b:NameList>
          <b:Person>
            <b:Last>العنزي</b:Last>
            <b:First>سعد علي حمود</b:First>
          </b:Person>
          <b:Person>
            <b:Last>الديلمي</b:Last>
            <b:First>عاك عبود عمير</b:First>
          </b:Person>
        </b:NameList>
      </b:Author>
    </b:Author>
    <b:RefOrder>1</b:RefOrder>
  </b:Source>
  <b:Source>
    <b:Tag>الن15</b:Tag>
    <b:SourceType>Misc</b:SourceType>
    <b:Guid>{2B04C0AF-FC08-46D3-A86C-518358CFA8F5}</b:Guid>
    <b:Title>أثر إدارة المخاطر لدى أصحاب المشاريع الريادية في تحقيق الميزة التنافسية لمشاريعهم</b:Title>
    <b:Year>2015</b:Year>
    <b:Author>
      <b:Author>
        <b:NameList>
          <b:Person>
            <b:Last>النجار</b:Last>
            <b:First>غسان محمد خليل</b:First>
          </b:Person>
        </b:NameList>
      </b:Author>
    </b:Author>
    <b:StateProvince>غزة</b:StateProvince>
    <b:Publisher>رسالة ماجستير غير منشورة، الجامعةاإلسالمية،</b:Publisher>
    <b:RefOrder>2</b:RefOrder>
  </b:Source>
  <b:Source>
    <b:Tag>Hop18</b:Tag>
    <b:SourceType>Book</b:SourceType>
    <b:Guid>{17294563-68EC-44CA-8994-121853C1841C}</b:Guid>
    <b:LCID>en-US</b:LCID>
    <b:Title>Fundamentals of risk management: understanding, evaluating and implementing effective risk management</b:Title>
    <b:Year>2018</b:Year>
    <b:Author>
      <b:Author>
        <b:NameList>
          <b:Person>
            <b:Last>Hopkin</b:Last>
            <b:First>Paul</b:First>
          </b:Person>
        </b:NameList>
      </b:Author>
    </b:Author>
    <b:Publisher>Kogan Page Publishers</b:Publisher>
    <b:RefOrder>3</b:RefOrder>
  </b:Source>
  <b:Source>
    <b:Tag>سعد23</b:Tag>
    <b:SourceType>Report</b:SourceType>
    <b:Guid>{26B397E1-FEDA-4F5A-B253-B539EFA7A4FC}</b:Guid>
    <b:Author>
      <b:Author>
        <b:NameList>
          <b:Person>
            <b:Last>سعد</b:Last>
            <b:First>ياسر</b:First>
            <b:Middle>عبد الله عبد العال إبراهيم؛ محمد محمد</b:Middle>
          </b:Person>
        </b:NameList>
      </b:Author>
    </b:Author>
    <b:Title>دور ممارسات الإدارة الاستراتيجية في الأداء التنظيمي لشركات التشييد والبناء في منظمات القطاع الخاص: الدور الوسيط لعملية إدارة المخاطر الاستراتيجية</b:Title>
    <b:Year>2023</b:Year>
    <b:Publisher>كلية التجارة - جامعة قناة السويس (وهي الجهة المسؤولة عن إصدار المجلة العلمية للدراسات التجارية والبيئية)</b:Publisher>
    <b:City>الإسماعيلية (مقر جامعة قناة السويس الناشرة للمجلة)</b:City>
    <b:Pages>279–305</b:Pages>
    <b:RefOrder>4</b:RefOrder>
  </b:Source>
  <b:Source>
    <b:Tag>الو18</b:Tag>
    <b:SourceType>Book</b:SourceType>
    <b:Guid>{4BADE7EF-7391-489C-B1DF-7E151E5B70CD}</b:Guid>
    <b:LCID>ar-SA</b:LCID>
    <b:Title>ادارة المخاطر والتامين</b:Title>
    <b:Year>2018</b:Year>
    <b:Publisher>مكتبة التامين العراقي</b:Publisher>
    <b:Author>
      <b:Author>
        <b:NameList>
          <b:Person>
            <b:Last>الوردي</b:Last>
            <b:Middle>علي امين</b:Middle>
            <b:First>سليم </b:First>
          </b:Person>
        </b:NameList>
      </b:Author>
    </b:Author>
    <b:RefOrder>5</b:RefOrder>
  </b:Source>
  <b:Source>
    <b:Tag>الم23</b:Tag>
    <b:SourceType>ArticleInAPeriodical</b:SourceType>
    <b:Guid>{CC06E3F8-98C1-40BB-B711-A08E994C0B38}</b:Guid>
    <b:Author>
      <b:Author>
        <b:NameList>
          <b:Person>
            <b:Last>المفيز</b:Last>
            <b:First>خولة</b:First>
            <b:Middle>بنت عبدالله محمد</b:Middle>
          </b:Person>
        </b:NameList>
      </b:Author>
    </b:Author>
    <b:Title>متطلبات تطبيق إدارة المخاطر في مدارس التعليم العام بمدينة الرياض</b:Title>
    <b:PeriodicalTitle>مجلة الدراسات التربوية والنفسیة</b:PeriodicalTitle>
    <b:Year>2023</b:Year>
    <b:Pages>313–329</b:Pages>
    <b:City>القاهرة (مقر الجامعة الناشرة للمجلة)</b:City>
    <b:Publisher>معهد الدراسات والبحوث التربوية - جامعة القاهرة (وهي الجهة المسؤولة عن إصدار مجلة الدراسات التربوية والنفسیة التي نُشر فيها البحث)</b:Publisher>
    <b:LCID>ar-SA</b:LCID>
    <b:RefOrder>6</b:RefOrder>
  </b:Source>
  <b:Source>
    <b:Tag>الع25</b:Tag>
    <b:SourceType>ArticleInAPeriodical</b:SourceType>
    <b:Guid>{1434221C-C235-45B8-8075-C5BEE0E30DD7}</b:Guid>
    <b:Author>
      <b:Author>
        <b:NameList>
          <b:Person>
            <b:Last>العقيلي</b:Last>
            <b:First>حاتم</b:First>
          </b:Person>
        </b:NameList>
      </b:Author>
    </b:Author>
    <b:Title>دور مؤشرات الأداء الرئيسية في تقييم أداء إدارة الصحة العامة: دراسة تطبيقية على مستشفيات التجمع الصحي الثالث بالرياض</b:Title>
    <b:Year>2025</b:Year>
    <b:City>القاهرة</b:City>
    <b:Publisher>المكتبة الرقمية السعودية (بصفتها المستودع الرقمي الذي قام بنشر وإتاحة الرسالة)</b:Publisher>
    <b:RefOrder>7</b:RefOrder>
  </b:Source>
  <b:Source>
    <b:Tag>الق20</b:Tag>
    <b:SourceType>ArticleInAPeriodical</b:SourceType>
    <b:Guid>{7A2CB2FB-9E47-4CCD-A547-43B17CCC24CF}</b:Guid>
    <b:Author>
      <b:Author>
        <b:NameList>
          <b:Person>
            <b:Last>القحطاني</b:Last>
            <b:First>عبد</b:First>
            <b:Middle>الله بن حسن بن حلاص</b:Middle>
          </b:Person>
        </b:NameList>
      </b:Author>
    </b:Author>
    <b:Title>درجة تطبيق إدارة المخاطر لدى مديري مدارس الهيئة الملكية بالجبيل بالمملكة العربية السعودية</b:Title>
    <b:PeriodicalTitle>المجلة التربوية لتعليم الكبار</b:PeriodicalTitle>
    <b:Year>2020</b:Year>
    <b:City>القاهرة (مقر الجمعية الناشرة للمجلة)</b:City>
    <b:Publisher>الجمعية المصرية لتعليم الكبار (وهي الجهة المسؤولة عن إصدار المجلة)</b:Publisher>
    <b:RefOrder>8</b:RefOrder>
  </b:Source>
  <b:Source>
    <b:Tag>الغ24</b:Tag>
    <b:SourceType>ArticleInAPeriodical</b:SourceType>
    <b:Guid>{A1E6665B-8539-4E0B-ACA6-F32F5E318C26}</b:Guid>
    <b:Author>
      <b:Author>
        <b:NameList>
          <b:Person>
            <b:Last>الغامدي</b:Last>
            <b:First>عزة</b:First>
            <b:Middle>أحمد علي</b:Middle>
          </b:Person>
        </b:NameList>
      </b:Author>
    </b:Author>
    <b:Title>إدارة الأداء الاستراتيجي باستخدام بطاقة الأداء في الجامعات السعودية</b:Title>
    <b:Year>2024</b:Year>
    <b:Publisher>المجلة العربية للعلوم التربوية والنفسية (الجهة المسؤولة عن النشر والموجودة في قاعدة شمعة)</b:Publisher>
    <b:City>القاهرة (مقر المؤسسة العربية للتربية والعلوم والآداب الناشرة للمجلة)</b:City>
    <b:Institution>المجلة العربية للعلوم التربوية والنفسية</b:Institution>
    <b:PeriodicalTitle>المجلة العربية للعلوم التربوية والنفسية</b:PeriodicalTitle>
    <b:LCID>ar-SA</b:LCID>
    <b:RefOrder>9</b:RefOrder>
  </b:Source>
  <b:Source>
    <b:Tag>الم19</b:Tag>
    <b:SourceType>ArticleInAPeriodical</b:SourceType>
    <b:Guid>{B48D4983-2413-4EFF-A6A3-A9F84A2A070C}</b:Guid>
    <b:Author>
      <b:Author>
        <b:NameList>
          <b:Person>
            <b:Last>المدرع</b:Last>
            <b:First>سفر</b:First>
            <b:Middle>بن بخيت</b:Middle>
          </b:Person>
        </b:NameList>
      </b:Author>
    </b:Author>
    <b:Title>تقويم إدارة مخاطر الموارد البشرية بالجامعات السعودية وفقًا لمعيار ISO 31000:2018</b:Title>
    <b:PeriodicalTitle>مجلة كلية التربية (جامعة أسيوط)</b:PeriodicalTitle>
    <b:Year>2019</b:Year>
    <b:Pages>52–103</b:Pages>
    <b:City>أسيوط (مقر الجامعة الناشرة للمجلة في مصر)</b:City>
    <b:Publisher>كلية التربية - جامعة أسيوط (وهي الجهة المسؤولة عن إصدار المجلة التربوية التي نُشر فيها البحث)</b:Publisher>
    <b:LCID>ar-SA</b:LCID>
    <b:RefOrder>10</b:RefOrder>
  </b:Source>
  <b:Source>
    <b:Tag>خرد24</b:Tag>
    <b:SourceType>ArticleInAPeriodical</b:SourceType>
    <b:Guid>{D791C291-396A-41D8-B6D8-C8A39AFF161E}</b:Guid>
    <b:Author>
      <b:Author>
        <b:NameList>
          <b:Person>
            <b:Last>خردلي</b:Last>
            <b:First>علي</b:First>
            <b:Middle>حمد</b:Middle>
          </b:Person>
        </b:NameList>
      </b:Author>
    </b:Author>
    <b:Title>دور إدارة الأزمات في تحسين الأداء المؤسسي: دراسة تطبيقية على القطاع الصحي بمدينة جازان</b:Title>
    <b:Year>2024</b:Year>
    <b:City>الرياض (حيث يقع المقر الرئيسي للمكتبة الرقمية السعودية الناشرة للعمل)</b:City>
    <b:Publisher>المكتبة الرقمية السعودية (بصفتها المستودع الرقمي المستضيف والناشر للمستخلص والرسالة)</b:Publisher>
    <b:LCID>ar-SA</b:LCID>
    <b:RefOrder>11</b:RefOrder>
  </b:Source>
  <b:Source>
    <b:Tag>الر25</b:Tag>
    <b:SourceType>Report</b:SourceType>
    <b:Guid>{72B2F46E-0B60-4C8B-98E0-260BDFE3502D}</b:Guid>
    <b:Author>
      <b:Author>
        <b:NameList>
          <b:Person>
            <b:Last>الرويلي</b:Last>
            <b:First>موسى</b:First>
            <b:Middle>حمدان مسهوج</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City>السلط (مقر جامعة البلقاء التطبيقية في الأردن)</b:City>
    <b:Publisher>دار المنظومة (بصفتها القاعدة الرقمية الناشرة والمستضيفة للرسالة)</b:Publisher>
    <b:RefOrder>12</b:RefOrder>
  </b:Source>
  <b:Source>
    <b:Tag>الع23</b:Tag>
    <b:SourceType>ArticleInAPeriodical</b:SourceType>
    <b:Guid>{5ED519E9-874D-47EC-8041-44397FEC6CB0}</b:Guid>
    <b:Author>
      <b:Author>
        <b:NameList>
          <b:Person>
            <b:Last>العرود</b:Last>
            <b:First>نوره</b:First>
            <b:Middle>يحيى محمد</b:Middle>
          </b:Person>
        </b:NameList>
      </b:Author>
    </b:Author>
    <b:Title>إدارة المخاطر ودورها في تعزيز أداء أقسام البلديات في الأردن</b:Title>
    <b:PeriodicalTitle>إدارة المخاطر ودورها في تعزيز أداء أقسام البلديات في الأردن</b:PeriodicalTitle>
    <b:Year>2023</b:Year>
    <b:City>عمان (مقر ناشر المجلة في الأردن)</b:City>
    <b:Publisher>المجلة الدولية للعلوم الإنسانية والطبيعية (وهي الجهة المسؤولة عن النشر)</b:Publisher>
    <b:RefOrder>13</b:RefOrder>
  </b:Source>
</b:Sources>
</file>

<file path=customXml/itemProps1.xml><?xml version="1.0" encoding="utf-8"?>
<ds:datastoreItem xmlns:ds="http://schemas.openxmlformats.org/officeDocument/2006/customXml" ds:itemID="{82F8EA1B-6C57-4F22-BE31-2CB1DB713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21361</Words>
  <Characters>121764</Characters>
  <Application>Microsoft Office Word</Application>
  <DocSecurity>0</DocSecurity>
  <Lines>1014</Lines>
  <Paragraphs>285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albara hamid</dc:creator>
  <cp:keywords/>
  <dc:description/>
  <cp:lastModifiedBy>عبدالمنعم الشهري</cp:lastModifiedBy>
  <cp:revision>2</cp:revision>
  <dcterms:created xsi:type="dcterms:W3CDTF">2026-07-17T17:13:00Z</dcterms:created>
  <dcterms:modified xsi:type="dcterms:W3CDTF">2026-07-17T17:13:00Z</dcterms:modified>
</cp:coreProperties>
</file>