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A09C702" w14:textId="7777777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p>
    <w:p w14:paraId="2099547B" w14:textId="04409EE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p>
    <w:p w14:paraId="4EA1B8ED" w14:textId="77777777" w:rsidR="00F035EA" w:rsidRDefault="00F035EA" w:rsidP="00F035EA">
      <w:pPr>
        <w:pStyle w:val="a8"/>
        <w:bidi/>
        <w:spacing w:before="0" w:beforeAutospacing="0" w:after="0" w:afterAutospacing="0"/>
        <w:ind w:right="-270"/>
        <w:rPr>
          <w:rFonts w:ascii="Arial" w:hAnsi="Arial" w:cs="Arial"/>
          <w:b/>
          <w:bCs/>
          <w:color w:val="0000FF"/>
          <w:sz w:val="32"/>
          <w:szCs w:val="32"/>
        </w:rPr>
      </w:pPr>
    </w:p>
    <w:p w14:paraId="2D403BEF" w14:textId="77777777" w:rsidR="00F035EA" w:rsidRPr="00395E1F" w:rsidRDefault="00F035EA" w:rsidP="00F035EA">
      <w:pPr>
        <w:bidi/>
        <w:jc w:val="center"/>
        <w:rPr>
          <w:rFonts w:ascii="Arial" w:hAnsi="Arial" w:cs="Akhbar MT"/>
          <w:b/>
          <w:bCs/>
          <w:sz w:val="44"/>
          <w:szCs w:val="44"/>
          <w:rtl/>
        </w:rPr>
      </w:pPr>
    </w:p>
    <w:p w14:paraId="1447FF84" w14:textId="77777777" w:rsidR="00F035EA" w:rsidRPr="00BE609B" w:rsidRDefault="00F035EA" w:rsidP="00F035EA">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29222D91" w14:textId="77777777" w:rsidR="00F035EA" w:rsidRDefault="00F035EA" w:rsidP="00F035EA">
      <w:pPr>
        <w:pStyle w:val="a8"/>
        <w:bidi/>
        <w:spacing w:before="0" w:beforeAutospacing="0" w:after="0" w:afterAutospacing="0"/>
        <w:ind w:right="-270"/>
        <w:jc w:val="both"/>
        <w:rPr>
          <w:rFonts w:ascii="Arial" w:hAnsi="Arial" w:cs="Arial"/>
          <w:b/>
          <w:bCs/>
          <w:color w:val="0000FF"/>
          <w:sz w:val="32"/>
          <w:szCs w:val="32"/>
          <w:rtl/>
          <w:lang w:bidi="ar-JO"/>
        </w:rPr>
      </w:pPr>
    </w:p>
    <w:p w14:paraId="1F3AD983" w14:textId="77777777" w:rsidR="00F035EA" w:rsidRPr="0021414C" w:rsidRDefault="00F035EA" w:rsidP="00F035EA">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Pr>
          <w:rFonts w:ascii="Arial" w:hAnsi="Arial" w:cs="Arial"/>
          <w:b/>
          <w:bCs/>
          <w:noProof/>
          <w:sz w:val="28"/>
          <w:szCs w:val="28"/>
          <w:rtl/>
        </w:rPr>
        <w:t xml:space="preserve"> باللغة </w:t>
      </w:r>
      <w:r>
        <w:rPr>
          <w:rFonts w:ascii="Arial" w:hAnsi="Arial" w:cs="Arial" w:hint="cs"/>
          <w:b/>
          <w:bCs/>
          <w:noProof/>
          <w:sz w:val="28"/>
          <w:szCs w:val="28"/>
          <w:rtl/>
        </w:rPr>
        <w:t>العربية</w:t>
      </w:r>
      <w:r>
        <w:rPr>
          <w:rFonts w:ascii="Arial" w:hAnsi="Arial" w:cs="Arial"/>
          <w:b/>
          <w:bCs/>
          <w:noProof/>
          <w:sz w:val="28"/>
          <w:szCs w:val="28"/>
          <w:rtl/>
        </w:rPr>
        <w:t xml:space="preserve">: </w:t>
      </w:r>
    </w:p>
    <w:p w14:paraId="2FB73528"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r>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27F0CB6"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7F175909"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3DBFB3F1" w14:textId="77777777" w:rsidR="00F035EA" w:rsidRPr="004C1AE1" w:rsidRDefault="00F035EA" w:rsidP="00F035EA">
      <w:pPr>
        <w:spacing w:line="360" w:lineRule="auto"/>
        <w:ind w:left="534" w:hanging="340"/>
        <w:jc w:val="right"/>
        <w:rPr>
          <w:rFonts w:ascii="Arial" w:hAnsi="Arial" w:cs="Arial"/>
          <w:noProof/>
          <w:sz w:val="20"/>
          <w:szCs w:val="20"/>
        </w:rPr>
      </w:pPr>
    </w:p>
    <w:p w14:paraId="7E67002F" w14:textId="77777777" w:rsidR="00F035EA" w:rsidRPr="004C1AE1" w:rsidRDefault="00F035EA" w:rsidP="00F035EA">
      <w:pPr>
        <w:spacing w:line="360" w:lineRule="auto"/>
        <w:ind w:left="534" w:hanging="340"/>
        <w:jc w:val="right"/>
        <w:rPr>
          <w:rFonts w:ascii="Arial" w:hAnsi="Arial" w:cs="Arial"/>
          <w:b/>
          <w:bCs/>
          <w:noProof/>
          <w:sz w:val="20"/>
          <w:szCs w:val="20"/>
          <w:rtl/>
        </w:rPr>
      </w:pPr>
      <w:r>
        <w:rPr>
          <w:rFonts w:ascii="Arial" w:hAnsi="Arial" w:cs="Arial"/>
          <w:b/>
          <w:bCs/>
          <w:noProof/>
          <w:sz w:val="20"/>
          <w:szCs w:val="28"/>
          <w:rtl/>
        </w:rPr>
        <w:t xml:space="preserve">  ب. </w:t>
      </w:r>
      <w:r>
        <w:rPr>
          <w:rFonts w:ascii="Arial" w:hAnsi="Arial" w:cs="Arial" w:hint="cs"/>
          <w:b/>
          <w:bCs/>
          <w:noProof/>
          <w:sz w:val="20"/>
          <w:szCs w:val="28"/>
          <w:rtl/>
        </w:rPr>
        <w:t>العنوان</w:t>
      </w:r>
      <w:r>
        <w:rPr>
          <w:rFonts w:ascii="Arial" w:hAnsi="Arial" w:cs="Arial"/>
          <w:b/>
          <w:bCs/>
          <w:noProof/>
          <w:sz w:val="20"/>
          <w:szCs w:val="28"/>
          <w:rtl/>
        </w:rPr>
        <w:t xml:space="preserve"> </w:t>
      </w:r>
      <w:r>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35B80AC4" w14:textId="55F33B67" w:rsidR="00F035EA" w:rsidRPr="009A6864" w:rsidRDefault="00F035EA" w:rsidP="009A6864">
      <w:pPr>
        <w:pStyle w:val="a8"/>
        <w:bidi/>
        <w:spacing w:before="0" w:beforeAutospacing="0" w:after="0" w:afterAutospacing="0"/>
        <w:ind w:right="-270"/>
        <w:jc w:val="center"/>
        <w:rPr>
          <w:rFonts w:asciiTheme="majorBidi" w:hAnsiTheme="majorBidi" w:cstheme="majorBidi"/>
          <w:b/>
          <w:bCs/>
          <w:color w:val="0070C0"/>
          <w:szCs w:val="28"/>
          <w:rtl/>
        </w:rPr>
      </w:pPr>
      <w:r>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081D86B" w14:textId="77777777" w:rsidR="00F035EA"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p w14:paraId="40586B32" w14:textId="77777777" w:rsidR="00F035EA" w:rsidRPr="004B484B"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6210"/>
      </w:tblGrid>
      <w:tr w:rsidR="00F035EA" w14:paraId="2C3AFCAB" w14:textId="77777777" w:rsidTr="0085711F">
        <w:tc>
          <w:tcPr>
            <w:tcW w:w="1763" w:type="dxa"/>
          </w:tcPr>
          <w:p w14:paraId="1B152D6A"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87" w:type="dxa"/>
          </w:tcPr>
          <w:p w14:paraId="167C039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tbl>
            <w:tblPr>
              <w:tblStyle w:val="a7"/>
              <w:bidiVisual/>
              <w:tblW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94"/>
            </w:tblGrid>
            <w:tr w:rsidR="00DA0B72" w:rsidRPr="00DA0B72" w14:paraId="5B4C1189" w14:textId="77777777" w:rsidTr="00DA0B72">
              <w:tc>
                <w:tcPr>
                  <w:tcW w:w="5778" w:type="dxa"/>
                  <w:hideMark/>
                </w:tcPr>
                <w:tbl>
                  <w:tblPr>
                    <w:tblStyle w:val="a7"/>
                    <w:bidiVisual/>
                    <w:tblW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DA0B72" w:rsidRPr="00DA0B72" w14:paraId="0FDD136B" w14:textId="77777777">
                    <w:tc>
                      <w:tcPr>
                        <w:tcW w:w="5778" w:type="dxa"/>
                        <w:hideMark/>
                      </w:tcPr>
                      <w:p w14:paraId="6D772BED" w14:textId="77777777" w:rsidR="00DA0B72" w:rsidRPr="00DA0B72" w:rsidRDefault="00DA0B72" w:rsidP="00DA0B72">
                        <w:pPr>
                          <w:bidi/>
                          <w:spacing w:after="0" w:line="240" w:lineRule="auto"/>
                          <w:ind w:right="-270"/>
                          <w:jc w:val="center"/>
                          <w:rPr>
                            <w:rFonts w:ascii="Sakkal Majalla" w:eastAsia="Times New Roman" w:hAnsi="Sakkal Majalla" w:cs="Sakkal Majalla"/>
                            <w:b/>
                            <w:bCs/>
                            <w:color w:val="0000FF"/>
                            <w:sz w:val="36"/>
                            <w:szCs w:val="36"/>
                          </w:rPr>
                        </w:pPr>
                        <w:r w:rsidRPr="00DA0B72">
                          <w:rPr>
                            <w:rFonts w:ascii="Sakkal Majalla" w:eastAsia="Times New Roman" w:hAnsi="Sakkal Majalla" w:cs="Sakkal Majalla"/>
                            <w:b/>
                            <w:bCs/>
                            <w:color w:val="365F91"/>
                            <w:sz w:val="27"/>
                            <w:szCs w:val="27"/>
                            <w:rtl/>
                          </w:rPr>
                          <w:t>هبه عبد الله المنيع</w:t>
                        </w:r>
                        <w:r w:rsidRPr="00DA0B72">
                          <w:rPr>
                            <w:rFonts w:ascii="-webkit-standard" w:eastAsia="Times New Roman" w:hAnsi="-webkit-standard" w:cs="Times New Roman"/>
                            <w:color w:val="000000"/>
                            <w:sz w:val="18"/>
                            <w:szCs w:val="18"/>
                            <w:rtl/>
                          </w:rPr>
                          <w:t> </w:t>
                        </w:r>
                      </w:p>
                    </w:tc>
                  </w:tr>
                  <w:tr w:rsidR="00DA0B72" w:rsidRPr="00DA0B72" w14:paraId="12AB4C62" w14:textId="77777777">
                    <w:tc>
                      <w:tcPr>
                        <w:tcW w:w="5778" w:type="dxa"/>
                        <w:hideMark/>
                      </w:tcPr>
                      <w:p w14:paraId="2F3EAE23" w14:textId="77777777" w:rsidR="00DA0B72" w:rsidRPr="00DA0B72" w:rsidRDefault="00DA0B72" w:rsidP="00DA0B72">
                        <w:pPr>
                          <w:spacing w:line="256" w:lineRule="auto"/>
                          <w:rPr>
                            <w:rFonts w:ascii="Sakkal Majalla" w:eastAsia="Times New Roman" w:hAnsi="Sakkal Majalla" w:cs="Sakkal Majalla"/>
                            <w:b/>
                            <w:bCs/>
                            <w:color w:val="0000FF"/>
                            <w:sz w:val="36"/>
                            <w:szCs w:val="36"/>
                          </w:rPr>
                        </w:pPr>
                      </w:p>
                    </w:tc>
                  </w:tr>
                </w:tbl>
                <w:p w14:paraId="509E1302" w14:textId="77777777" w:rsidR="00DA0B72" w:rsidRPr="00DA0B72" w:rsidRDefault="00DA0B72" w:rsidP="00DA0B72">
                  <w:pPr>
                    <w:bidi/>
                    <w:spacing w:after="0" w:line="240" w:lineRule="auto"/>
                    <w:ind w:right="-270"/>
                    <w:jc w:val="center"/>
                    <w:rPr>
                      <w:rFonts w:ascii="Sakkal Majalla" w:eastAsia="Times New Roman" w:hAnsi="Sakkal Majalla" w:cs="Sakkal Majalla"/>
                      <w:b/>
                      <w:bCs/>
                      <w:color w:val="0000FF"/>
                      <w:sz w:val="36"/>
                      <w:szCs w:val="36"/>
                    </w:rPr>
                  </w:pPr>
                </w:p>
              </w:tc>
            </w:tr>
            <w:tr w:rsidR="00DA0B72" w:rsidRPr="00DA0B72" w14:paraId="73522CEC" w14:textId="77777777" w:rsidTr="00DA0B72">
              <w:tc>
                <w:tcPr>
                  <w:tcW w:w="5778" w:type="dxa"/>
                  <w:hideMark/>
                </w:tcPr>
                <w:p w14:paraId="10499E7F" w14:textId="51FED5B7" w:rsidR="00DA0B72" w:rsidRPr="00DA0B72" w:rsidRDefault="00DA0B72" w:rsidP="00DA0B72">
                  <w:pPr>
                    <w:bidi/>
                    <w:spacing w:after="0" w:line="240" w:lineRule="auto"/>
                    <w:ind w:right="-270"/>
                    <w:rPr>
                      <w:rFonts w:ascii="Sakkal Majalla" w:eastAsia="Times New Roman" w:hAnsi="Sakkal Majalla" w:cs="Sakkal Majalla"/>
                      <w:b/>
                      <w:bCs/>
                      <w:color w:val="0000FF"/>
                      <w:sz w:val="36"/>
                      <w:szCs w:val="36"/>
                      <w:rtl/>
                    </w:rPr>
                  </w:pPr>
                </w:p>
              </w:tc>
            </w:tr>
          </w:tbl>
          <w:p w14:paraId="2EA287A8" w14:textId="6B44DBCA" w:rsidR="00F035EA" w:rsidRDefault="00F035EA" w:rsidP="0085711F">
            <w:pPr>
              <w:pStyle w:val="a8"/>
              <w:bidi/>
              <w:spacing w:before="0" w:beforeAutospacing="0" w:after="0" w:afterAutospacing="0"/>
              <w:ind w:right="-270"/>
              <w:jc w:val="center"/>
              <w:rPr>
                <w:rFonts w:ascii="Sakkal Majalla" w:hAnsi="Sakkal Majalla" w:cs="Sakkal Majalla" w:hint="cs"/>
                <w:b/>
                <w:bCs/>
                <w:color w:val="0000FF"/>
                <w:sz w:val="36"/>
                <w:szCs w:val="36"/>
                <w:rtl/>
              </w:rPr>
            </w:pPr>
          </w:p>
        </w:tc>
      </w:tr>
      <w:tr w:rsidR="00F035EA" w14:paraId="40508968" w14:textId="77777777" w:rsidTr="0085711F">
        <w:tc>
          <w:tcPr>
            <w:tcW w:w="1763" w:type="dxa"/>
          </w:tcPr>
          <w:p w14:paraId="6DFBEE48"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74F128E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2BB2392" w14:textId="3859ACB7" w:rsidR="00F035EA" w:rsidRDefault="00DA0B72" w:rsidP="0056773D">
            <w:pPr>
              <w:pStyle w:val="a8"/>
              <w:bidi/>
              <w:spacing w:before="0" w:beforeAutospacing="0" w:after="0" w:afterAutospacing="0"/>
              <w:ind w:left="2880" w:right="-270"/>
              <w:rPr>
                <w:rFonts w:ascii="Sakkal Majalla" w:hAnsi="Sakkal Majalla" w:cs="Sakkal Majalla"/>
                <w:b/>
                <w:bCs/>
                <w:color w:val="0000FF"/>
                <w:sz w:val="36"/>
                <w:szCs w:val="36"/>
                <w:rtl/>
              </w:rPr>
            </w:pPr>
            <w:r w:rsidRPr="00DA0B72">
              <w:rPr>
                <w:rFonts w:ascii="Sakkal Majalla" w:hAnsi="Sakkal Majalla" w:cs="Sakkal Majalla"/>
                <w:b/>
                <w:bCs/>
                <w:color w:val="365F91"/>
                <w:sz w:val="27"/>
                <w:szCs w:val="27"/>
              </w:rPr>
              <w:t>242001374</w:t>
            </w:r>
          </w:p>
        </w:tc>
      </w:tr>
      <w:tr w:rsidR="00F035EA" w14:paraId="65BDD81F" w14:textId="77777777" w:rsidTr="0085711F">
        <w:tc>
          <w:tcPr>
            <w:tcW w:w="1763" w:type="dxa"/>
          </w:tcPr>
          <w:p w14:paraId="6CB42DCD"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574DF533"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4C49CBD" w14:textId="77777777" w:rsidR="00F035EA" w:rsidRDefault="00F035EA" w:rsidP="0085711F">
            <w:pPr>
              <w:pStyle w:val="a8"/>
              <w:bidi/>
              <w:spacing w:before="0" w:beforeAutospacing="0" w:after="0" w:afterAutospacing="0"/>
              <w:ind w:right="-270"/>
              <w:jc w:val="center"/>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F035EA" w14:paraId="41495A5A" w14:textId="77777777" w:rsidTr="0085711F">
        <w:tc>
          <w:tcPr>
            <w:tcW w:w="1763" w:type="dxa"/>
          </w:tcPr>
          <w:p w14:paraId="3F1918D2"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40D9F7EC"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0508E517" w14:textId="77777777" w:rsidR="00F035EA" w:rsidRDefault="00F035EA" w:rsidP="0085711F">
            <w:pPr>
              <w:pStyle w:val="a8"/>
              <w:bidi/>
              <w:spacing w:before="0" w:beforeAutospacing="0" w:after="0" w:afterAutospacing="0"/>
              <w:ind w:right="-270"/>
              <w:rPr>
                <w:rFonts w:ascii="Sakkal Majalla" w:hAnsi="Sakkal Majalla" w:cs="Sakkal Majalla"/>
                <w:b/>
                <w:bCs/>
                <w:color w:val="0000FF"/>
                <w:sz w:val="36"/>
                <w:szCs w:val="36"/>
                <w:rtl/>
              </w:rPr>
            </w:pPr>
          </w:p>
        </w:tc>
      </w:tr>
    </w:tbl>
    <w:p w14:paraId="6E5D6BF9"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11040F4B"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63CB7002" w14:textId="77777777" w:rsidR="00F035EA" w:rsidRPr="004C1AE1" w:rsidRDefault="00F035EA" w:rsidP="00F035EA">
      <w:pPr>
        <w:spacing w:line="240" w:lineRule="auto"/>
        <w:rPr>
          <w:rFonts w:ascii="Arial" w:hAnsi="Arial" w:cs="Arial"/>
          <w:noProof/>
          <w:rtl/>
          <w:lang w:bidi="ar-JO"/>
        </w:rPr>
      </w:pPr>
    </w:p>
    <w:p w14:paraId="0E94ECAC" w14:textId="77777777" w:rsidR="00F035EA" w:rsidRDefault="00F035EA" w:rsidP="00F035EA">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14٤٧</w:t>
      </w:r>
      <w:r w:rsidRPr="00444B1D">
        <w:rPr>
          <w:rFonts w:ascii="Calibri" w:hAnsi="Calibri" w:cs="Calibri" w:hint="cs"/>
          <w:b/>
          <w:bCs/>
          <w:color w:val="FF0000"/>
          <w:sz w:val="28"/>
          <w:szCs w:val="28"/>
          <w:rtl/>
        </w:rPr>
        <w:t xml:space="preserve">ه </w:t>
      </w:r>
      <w:r>
        <w:rPr>
          <w:rFonts w:ascii="Calibri" w:hAnsi="Calibri" w:cs="Calibri" w:hint="cs"/>
          <w:b/>
          <w:bCs/>
          <w:color w:val="FF0000"/>
          <w:sz w:val="28"/>
          <w:szCs w:val="28"/>
          <w:rtl/>
        </w:rPr>
        <w:t>-  202٦ م</w:t>
      </w:r>
    </w:p>
    <w:p w14:paraId="02484433" w14:textId="7A8F45F8" w:rsidR="00F035EA" w:rsidRDefault="00F035EA" w:rsidP="001F560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 الدراسة</w:t>
      </w:r>
    </w:p>
    <w:p w14:paraId="296D1778" w14:textId="77777777" w:rsidR="00F035EA" w:rsidRPr="004E0378"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lastRenderedPageBreak/>
        <w:t>يشهد العالم في العقد الثالث من القرن الحادي والعشرين طفرة غير مسبوقة في مجال التحول الرقمي، يقودها الذكاء الاصطناعي التوليدي</w:t>
      </w:r>
      <w:r>
        <w:rPr>
          <w:rFonts w:ascii="Simplified Arabic" w:hAnsi="Simplified Arabic" w:cs="Simplified Arabic"/>
        </w:rPr>
        <w:t xml:space="preserve"> (Generative AI) </w:t>
      </w:r>
      <w:r>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Pr>
          <w:rFonts w:ascii="Simplified Arabic" w:hAnsi="Simplified Arabic" w:cs="Simplified Arabic"/>
        </w:rPr>
        <w:t xml:space="preserve"> .(McKinsey &amp; Company, 2024) </w:t>
      </w:r>
    </w:p>
    <w:p w14:paraId="592A2040"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وتكشف الدراسات الحديثة أن أنظمة الذكاء الاصطناعي التوليدي</w:t>
      </w:r>
      <w:r>
        <w:rPr>
          <w:rFonts w:ascii="Simplified Arabic" w:hAnsi="Simplified Arabic" w:cs="Simplified Arabic" w:hint="cs"/>
          <w:rtl/>
        </w:rPr>
        <w:t xml:space="preserve"> </w:t>
      </w:r>
      <w:r>
        <w:rPr>
          <w:rFonts w:ascii="Simplified Arabic" w:hAnsi="Simplified Arabic" w:cs="Simplified Arabic"/>
          <w:rtl/>
        </w:rPr>
        <w:t xml:space="preserve">—مثل </w:t>
      </w:r>
      <w:r>
        <w:rPr>
          <w:rFonts w:ascii="Simplified Arabic" w:hAnsi="Simplified Arabic" w:cs="Simplified Arabic"/>
        </w:rPr>
        <w:t>ChatGPT</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 و</w:t>
      </w:r>
      <w:r>
        <w:rPr>
          <w:rFonts w:ascii="Simplified Arabic" w:hAnsi="Simplified Arabic" w:cs="Simplified Arabic"/>
        </w:rPr>
        <w:t>DALL·E</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Pr>
          <w:rFonts w:ascii="Simplified Arabic" w:hAnsi="Simplified Arabic" w:cs="Simplified Arabic"/>
        </w:rPr>
        <w:t>Heitmann, 2024; Islam et al., 2024</w:t>
      </w:r>
      <w:r>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Pr>
          <w:rFonts w:ascii="Simplified Arabic" w:hAnsi="Simplified Arabic" w:cs="Simplified Arabic"/>
        </w:rPr>
        <w:t>Nuremberg Institute for Market Decisions, 2024</w:t>
      </w:r>
      <w:r>
        <w:rPr>
          <w:rFonts w:ascii="Simplified Arabic" w:hAnsi="Simplified Arabic" w:cs="Simplified Arabic"/>
          <w:rtl/>
        </w:rPr>
        <w:t>).</w:t>
      </w:r>
    </w:p>
    <w:p w14:paraId="402416EF"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على الصعيد الإقليمي، تشير تقديرات</w:t>
      </w:r>
      <w:r>
        <w:rPr>
          <w:rFonts w:ascii="Simplified Arabic" w:hAnsi="Simplified Arabic" w:cs="Simplified Arabic"/>
        </w:rPr>
        <w:t xml:space="preserve"> (McKinsey, 2024) </w:t>
      </w:r>
      <w:r>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Pr>
          <w:rFonts w:ascii="Simplified Arabic" w:hAnsi="Simplified Arabic" w:cs="Simplified Arabic"/>
        </w:rPr>
        <w:t>.</w:t>
      </w:r>
    </w:p>
    <w:p w14:paraId="4390A6F1"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Pr>
          <w:rFonts w:ascii="Simplified Arabic" w:hAnsi="Simplified Arabic" w:cs="Simplified Arabic"/>
        </w:rPr>
        <w:t>SDAIA, 2024</w:t>
      </w:r>
      <w:r>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1F613668"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Pr>
          <w:rFonts w:ascii="Simplified Arabic" w:hAnsi="Simplified Arabic" w:cs="Simplified Arabic"/>
        </w:rPr>
        <w:t>Doshi et al., 2025; Sharabati et al., 2024</w:t>
      </w:r>
      <w:r>
        <w:rPr>
          <w:rFonts w:ascii="Simplified Arabic" w:hAnsi="Simplified Arabic" w:cs="Simplified Arabic"/>
          <w:rtl/>
        </w:rPr>
        <w:t>).</w:t>
      </w:r>
    </w:p>
    <w:p w14:paraId="6F70F8DD"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 xml:space="preserve">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w:t>
      </w:r>
      <w:r>
        <w:rPr>
          <w:rFonts w:ascii="Simplified Arabic" w:hAnsi="Simplified Arabic" w:cs="Simplified Arabic"/>
          <w:rtl/>
        </w:rPr>
        <w:lastRenderedPageBreak/>
        <w:t>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Pr>
          <w:rFonts w:ascii="Simplified Arabic" w:hAnsi="Simplified Arabic" w:cs="Simplified Arabic"/>
        </w:rPr>
        <w:t>.</w:t>
      </w:r>
    </w:p>
    <w:p w14:paraId="5C082241"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r>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3F170E13"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p>
    <w:p w14:paraId="7283CF68" w14:textId="77777777" w:rsidR="00F035EA" w:rsidRPr="00E940F8" w:rsidRDefault="00F035EA" w:rsidP="00F035EA">
      <w:pPr>
        <w:bidi/>
        <w:spacing w:after="200" w:line="276" w:lineRule="auto"/>
        <w:jc w:val="both"/>
        <w:rPr>
          <w:rFonts w:ascii="Sakkal Majalla" w:hAnsi="Sakkal Majalla" w:cs="Sakkal Majalla"/>
          <w:b/>
          <w:bCs/>
          <w:color w:val="1F497D" w:themeColor="text2"/>
          <w:sz w:val="36"/>
          <w:szCs w:val="36"/>
          <w:rtl/>
        </w:rPr>
      </w:pPr>
      <w:r>
        <w:rPr>
          <w:rFonts w:ascii="Sakkal Majalla" w:hAnsi="Sakkal Majalla" w:cs="Sakkal Majalla" w:hint="cs"/>
          <w:b/>
          <w:bCs/>
          <w:color w:val="00B0F0"/>
          <w:sz w:val="36"/>
          <w:szCs w:val="36"/>
          <w:u w:val="single"/>
          <w:rtl/>
        </w:rPr>
        <w:t>مشكلة الدراسة وأسئلتها</w:t>
      </w:r>
      <w:r>
        <w:rPr>
          <w:rFonts w:ascii="Sakkal Majalla" w:hAnsi="Sakkal Majalla" w:cs="Sakkal Majalla"/>
          <w:b/>
          <w:bCs/>
          <w:color w:val="00B0F0"/>
          <w:sz w:val="36"/>
          <w:szCs w:val="36"/>
          <w:u w:val="single"/>
          <w:rtl/>
        </w:rPr>
        <w:t>:</w:t>
      </w:r>
      <w:r>
        <w:rPr>
          <w:rFonts w:ascii="Sakkal Majalla" w:hAnsi="Sakkal Majalla" w:cs="Sakkal Majalla"/>
          <w:b/>
          <w:bCs/>
          <w:color w:val="00B0F0"/>
          <w:sz w:val="32"/>
          <w:szCs w:val="32"/>
          <w:rtl/>
        </w:rPr>
        <w:t xml:space="preserve"> </w:t>
      </w:r>
      <w:r>
        <w:rPr>
          <w:rFonts w:ascii="Sakkal Majalla" w:hAnsi="Sakkal Majalla" w:cs="Sakkal Majalla" w:hint="cs"/>
          <w:b/>
          <w:bCs/>
          <w:color w:val="00B0F0"/>
          <w:sz w:val="32"/>
          <w:szCs w:val="32"/>
          <w:rtl/>
        </w:rPr>
        <w:t xml:space="preserve">  </w:t>
      </w:r>
    </w:p>
    <w:p w14:paraId="45B8C72F" w14:textId="77777777" w:rsidR="00F035EA" w:rsidRPr="000D4873"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مشكلة الدراسة</w:t>
      </w:r>
    </w:p>
    <w:p w14:paraId="5CBE406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التوسع المتزايد في استخدام تقنيات الذكاء الاصطناعي التوليدي (</w:t>
      </w:r>
      <w:r>
        <w:rPr>
          <w:rFonts w:ascii="Simplified Arabic" w:hAnsi="Simplified Arabic" w:cs="Simplified Arabic"/>
        </w:rPr>
        <w:t>Generative AI</w:t>
      </w:r>
      <w:r>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Pr>
          <w:rFonts w:ascii="Simplified Arabic" w:hAnsi="Simplified Arabic" w:cs="Simplified Arabic"/>
        </w:rPr>
        <w:t>McKinsey &amp; Company, 2024</w:t>
      </w:r>
      <w:r>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Pr>
          <w:rFonts w:ascii="Simplified Arabic" w:hAnsi="Simplified Arabic" w:cs="Simplified Arabic"/>
        </w:rPr>
        <w:t>SDAIA, 2024</w:t>
      </w:r>
      <w:r>
        <w:rPr>
          <w:rFonts w:ascii="Simplified Arabic" w:hAnsi="Simplified Arabic" w:cs="Simplified Arabic"/>
          <w:rtl/>
        </w:rPr>
        <w:t>).</w:t>
      </w:r>
    </w:p>
    <w:p w14:paraId="09B9593B"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كما تُظهر البيانات الصادرة عن</w:t>
      </w:r>
      <w:r>
        <w:rPr>
          <w:rFonts w:ascii="Simplified Arabic" w:hAnsi="Simplified Arabic" w:cs="Simplified Arabic"/>
        </w:rPr>
        <w:t xml:space="preserve"> (Nuremberg Institute for Market Decisions, 2024) </w:t>
      </w:r>
      <w:r>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 Doshi et al., 2025</w:t>
      </w:r>
      <w:r>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26A0ED8C" w14:textId="77777777" w:rsidR="00F035EA" w:rsidRPr="00A22393"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 بناءً عليه، </w:t>
      </w:r>
      <w:r>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Pr>
          <w:rFonts w:ascii="Simplified Arabic" w:hAnsi="Simplified Arabic" w:cs="Simplified Arabic" w:hint="cs"/>
          <w:rtl/>
        </w:rPr>
        <w:t>و</w:t>
      </w:r>
      <w:r>
        <w:rPr>
          <w:rFonts w:ascii="Simplified Arabic" w:hAnsi="Simplified Arabic" w:cs="Simplified Arabic"/>
          <w:rtl/>
        </w:rPr>
        <w:t>بذلك، 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Pr>
          <w:rFonts w:ascii="Simplified Arabic" w:hAnsi="Simplified Arabic" w:cs="Simplified Arabic"/>
        </w:rPr>
        <w:t>.</w:t>
      </w:r>
    </w:p>
    <w:p w14:paraId="06C5E7C8" w14:textId="77777777" w:rsidR="00F035EA"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أسئلة الدراسة</w:t>
      </w:r>
    </w:p>
    <w:p w14:paraId="7159A7EA" w14:textId="77777777" w:rsidR="00F035EA" w:rsidRDefault="00F035EA" w:rsidP="00F035EA">
      <w:pPr>
        <w:bidi/>
        <w:rPr>
          <w:rFonts w:ascii="Simplified Arabic" w:hAnsi="Simplified Arabic" w:cs="Simplified Arabic"/>
          <w:rtl/>
        </w:rPr>
      </w:pPr>
      <w:r>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178BA80F"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السؤال الرئيس</w:t>
      </w:r>
      <w:r>
        <w:rPr>
          <w:rFonts w:ascii="Simplified Arabic" w:hAnsi="Simplified Arabic" w:cs="Simplified Arabic"/>
          <w:b/>
          <w:bCs/>
        </w:rPr>
        <w:t>:</w:t>
      </w:r>
    </w:p>
    <w:p w14:paraId="63BAF813" w14:textId="77777777" w:rsidR="00F035EA" w:rsidRPr="007E5B35" w:rsidRDefault="00F035EA" w:rsidP="00F035EA">
      <w:pPr>
        <w:bidi/>
        <w:rPr>
          <w:rFonts w:ascii="Simplified Arabic" w:hAnsi="Simplified Arabic" w:cs="Simplified Arabic"/>
          <w:rtl/>
        </w:rPr>
      </w:pPr>
      <w:r>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6CBECB0"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الأسئلة الفرعية</w:t>
      </w:r>
      <w:r>
        <w:rPr>
          <w:rFonts w:ascii="Simplified Arabic" w:hAnsi="Simplified Arabic" w:cs="Simplified Arabic"/>
          <w:b/>
          <w:bCs/>
        </w:rPr>
        <w:t>:</w:t>
      </w:r>
    </w:p>
    <w:p w14:paraId="2843D21D"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4CE06286"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57308D2A"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7CA45FF7" w14:textId="77777777" w:rsidR="00F035EA" w:rsidRDefault="00F035EA" w:rsidP="00F035EA">
      <w:pPr>
        <w:numPr>
          <w:ilvl w:val="0"/>
          <w:numId w:val="2"/>
        </w:numPr>
        <w:bidi/>
        <w:spacing w:after="0" w:line="276" w:lineRule="auto"/>
        <w:rPr>
          <w:rFonts w:ascii="Simplified Arabic" w:hAnsi="Simplified Arabic" w:cs="Simplified Arabic"/>
        </w:rPr>
      </w:pPr>
      <w:r>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49029385" w14:textId="77777777" w:rsidR="00F035EA" w:rsidRPr="007E5B35" w:rsidRDefault="00F035EA" w:rsidP="00F035EA">
      <w:pPr>
        <w:bidi/>
        <w:spacing w:after="0" w:line="276" w:lineRule="auto"/>
        <w:rPr>
          <w:rFonts w:ascii="Simplified Arabic" w:hAnsi="Simplified Arabic" w:cs="Simplified Arabic"/>
        </w:rPr>
      </w:pPr>
    </w:p>
    <w:p w14:paraId="02E23AD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(النظرية والتطبيقية)</w:t>
      </w:r>
      <w:r>
        <w:rPr>
          <w:rFonts w:ascii="Sakkal Majalla" w:hAnsi="Sakkal Majalla" w:cs="Sakkal Majalla"/>
          <w:b/>
          <w:bCs/>
          <w:color w:val="00B0F0"/>
          <w:sz w:val="36"/>
          <w:szCs w:val="36"/>
          <w:u w:val="single"/>
          <w:rtl/>
        </w:rPr>
        <w:t>:</w:t>
      </w:r>
    </w:p>
    <w:p w14:paraId="3BF84F07"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t>الأهمية النظرية</w:t>
      </w:r>
    </w:p>
    <w:p w14:paraId="3FFCA23A"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Pr>
          <w:rFonts w:ascii="Simplified Arabic" w:hAnsi="Simplified Arabic" w:cs="Simplified Arabic"/>
        </w:rPr>
        <w:t>.</w:t>
      </w:r>
    </w:p>
    <w:p w14:paraId="59E85E04"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Pr>
          <w:rFonts w:ascii="Simplified Arabic" w:hAnsi="Simplified Arabic" w:cs="Simplified Arabic"/>
        </w:rPr>
        <w:t>.</w:t>
      </w:r>
    </w:p>
    <w:p w14:paraId="426B9C37"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Pr>
          <w:rFonts w:ascii="Simplified Arabic" w:hAnsi="Simplified Arabic" w:cs="Simplified Arabic"/>
        </w:rPr>
        <w:t>.</w:t>
      </w:r>
    </w:p>
    <w:p w14:paraId="3554BEE0" w14:textId="77777777" w:rsidR="00F035EA" w:rsidRDefault="00F035EA" w:rsidP="00F035EA">
      <w:pPr>
        <w:numPr>
          <w:ilvl w:val="0"/>
          <w:numId w:val="5"/>
        </w:numPr>
        <w:bidi/>
        <w:spacing w:before="240" w:after="0"/>
        <w:rPr>
          <w:rFonts w:ascii="Simplified Arabic" w:hAnsi="Simplified Arabic" w:cs="Simplified Arabic"/>
        </w:rPr>
      </w:pPr>
      <w:r>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Pr>
          <w:rFonts w:ascii="Simplified Arabic" w:hAnsi="Simplified Arabic" w:cs="Simplified Arabic"/>
        </w:rPr>
        <w:t>.</w:t>
      </w:r>
    </w:p>
    <w:p w14:paraId="0F2B6980" w14:textId="77777777" w:rsidR="00F035EA" w:rsidRPr="00F15ECE" w:rsidRDefault="00F035EA" w:rsidP="00F035EA">
      <w:pPr>
        <w:numPr>
          <w:ilvl w:val="0"/>
          <w:numId w:val="5"/>
        </w:numPr>
        <w:tabs>
          <w:tab w:val="num" w:pos="720"/>
        </w:tabs>
        <w:bidi/>
        <w:spacing w:before="240" w:after="0"/>
        <w:rPr>
          <w:rFonts w:ascii="Simplified Arabic" w:hAnsi="Simplified Arabic" w:cs="Simplified Arabic"/>
          <w:rtl/>
        </w:rPr>
      </w:pPr>
      <w:r>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Pr>
          <w:rFonts w:ascii="Simplified Arabic" w:hAnsi="Simplified Arabic" w:cs="Simplified Arabic"/>
        </w:rPr>
        <w:t>.</w:t>
      </w:r>
    </w:p>
    <w:p w14:paraId="0F7B09FA" w14:textId="77777777" w:rsidR="00F035EA" w:rsidRDefault="00F035EA" w:rsidP="00F035EA">
      <w:pPr>
        <w:numPr>
          <w:ilvl w:val="0"/>
          <w:numId w:val="5"/>
        </w:numPr>
        <w:bidi/>
        <w:spacing w:before="240" w:after="0"/>
        <w:jc w:val="both"/>
        <w:rPr>
          <w:rFonts w:ascii="Simplified Arabic" w:hAnsi="Simplified Arabic" w:cs="Simplified Arabic"/>
        </w:rPr>
      </w:pPr>
      <w:r>
        <w:rPr>
          <w:rFonts w:ascii="Simplified Arabic" w:hAnsi="Simplified Arabic" w:cs="Simplified Arabic"/>
          <w:rtl/>
        </w:rPr>
        <w:t>تطبق النظرية في مجال جديد وهو تبني تقنيات الذكاء الاصطناعي التوليدي، مما يسهم في تطويرها نظرياً.</w:t>
      </w:r>
    </w:p>
    <w:p w14:paraId="7E3A7151" w14:textId="77777777" w:rsidR="00F035EA" w:rsidRPr="0085283F" w:rsidRDefault="00F035EA" w:rsidP="00F035EA">
      <w:pPr>
        <w:bidi/>
        <w:spacing w:after="0"/>
        <w:jc w:val="both"/>
        <w:rPr>
          <w:rFonts w:ascii="Simplified Arabic" w:hAnsi="Simplified Arabic" w:cs="Simplified Arabic"/>
          <w:rtl/>
        </w:rPr>
      </w:pPr>
    </w:p>
    <w:p w14:paraId="231A24CB"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lastRenderedPageBreak/>
        <w:t>الأهمية التطبيقية</w:t>
      </w:r>
    </w:p>
    <w:p w14:paraId="3D0236A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Pr>
          <w:rFonts w:ascii="Simplified Arabic" w:hAnsi="Simplified Arabic" w:cs="Simplified Arabic"/>
        </w:rPr>
        <w:t>.</w:t>
      </w:r>
    </w:p>
    <w:p w14:paraId="18F81D6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Pr>
          <w:rFonts w:ascii="Simplified Arabic" w:hAnsi="Simplified Arabic" w:cs="Simplified Arabic"/>
        </w:rPr>
        <w:t>.</w:t>
      </w:r>
    </w:p>
    <w:p w14:paraId="018DE09A"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Pr>
          <w:rFonts w:ascii="Simplified Arabic" w:hAnsi="Simplified Arabic" w:cs="Simplified Arabic"/>
        </w:rPr>
        <w:t>.</w:t>
      </w:r>
    </w:p>
    <w:p w14:paraId="3AEE2D0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تساعد الجهات التنظيمية مثل الهيئة السعودية للبيانات والذكاء الاصطناعي</w:t>
      </w:r>
      <w:r>
        <w:rPr>
          <w:rFonts w:ascii="Simplified Arabic" w:hAnsi="Simplified Arabic" w:cs="Simplified Arabic"/>
        </w:rPr>
        <w:t xml:space="preserve"> (SDAIA) </w:t>
      </w:r>
      <w:r>
        <w:rPr>
          <w:rFonts w:ascii="Simplified Arabic" w:hAnsi="Simplified Arabic" w:cs="Simplified Arabic"/>
          <w:rtl/>
        </w:rPr>
        <w:t>في تطوير أطر حوكمة لاستخدام الذكاء الاصطناعي التوليدي في القطاع التسويقي</w:t>
      </w:r>
      <w:r>
        <w:rPr>
          <w:rFonts w:ascii="Simplified Arabic" w:hAnsi="Simplified Arabic" w:cs="Simplified Arabic"/>
        </w:rPr>
        <w:t>.</w:t>
      </w:r>
    </w:p>
    <w:p w14:paraId="5E42C235"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Pr>
          <w:rFonts w:ascii="Simplified Arabic" w:hAnsi="Simplified Arabic" w:cs="Simplified Arabic"/>
        </w:rPr>
        <w:t>.</w:t>
      </w:r>
    </w:p>
    <w:p w14:paraId="42214DE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توفّر مؤشرات أداء قياسية</w:t>
      </w:r>
      <w:r>
        <w:rPr>
          <w:rFonts w:ascii="Simplified Arabic" w:hAnsi="Simplified Arabic" w:cs="Simplified Arabic"/>
        </w:rPr>
        <w:t xml:space="preserve"> (KPIs) </w:t>
      </w:r>
      <w:r>
        <w:rPr>
          <w:rFonts w:ascii="Simplified Arabic" w:hAnsi="Simplified Arabic" w:cs="Simplified Arabic"/>
          <w:rtl/>
        </w:rPr>
        <w:t>لقياس فعالية الحملات التسويقية المدعومة بالذكاء الاصطناعي التوليدي</w:t>
      </w:r>
      <w:r>
        <w:rPr>
          <w:rFonts w:ascii="Simplified Arabic" w:hAnsi="Simplified Arabic" w:cs="Simplified Arabic"/>
        </w:rPr>
        <w:t>.</w:t>
      </w:r>
    </w:p>
    <w:p w14:paraId="12B7AC22" w14:textId="77777777" w:rsidR="00F035EA" w:rsidRDefault="00F035EA" w:rsidP="00F035EA">
      <w:pPr>
        <w:numPr>
          <w:ilvl w:val="0"/>
          <w:numId w:val="4"/>
        </w:numPr>
        <w:bidi/>
        <w:spacing w:line="276" w:lineRule="auto"/>
        <w:rPr>
          <w:rFonts w:ascii="Simplified Arabic" w:hAnsi="Simplified Arabic" w:cs="Simplified Arabic"/>
        </w:rPr>
      </w:pPr>
      <w:r>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2B5353D1" w14:textId="77777777" w:rsidR="00F035EA" w:rsidRPr="004F2B23" w:rsidRDefault="00F035EA" w:rsidP="00F035EA">
      <w:pPr>
        <w:bidi/>
        <w:spacing w:line="276" w:lineRule="auto"/>
        <w:rPr>
          <w:rFonts w:ascii="Simplified Arabic" w:hAnsi="Simplified Arabic" w:cs="Simplified Arabic"/>
          <w:sz w:val="12"/>
          <w:szCs w:val="12"/>
          <w:rtl/>
        </w:rPr>
      </w:pPr>
    </w:p>
    <w:p w14:paraId="36C34CFF"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أهداف الدراسة</w:t>
      </w:r>
      <w:r>
        <w:rPr>
          <w:rFonts w:ascii="Sakkal Majalla" w:hAnsi="Sakkal Majalla" w:cs="Sakkal Majalla"/>
          <w:b/>
          <w:bCs/>
          <w:color w:val="00B0F0"/>
          <w:sz w:val="36"/>
          <w:szCs w:val="36"/>
          <w:u w:val="single"/>
          <w:rtl/>
        </w:rPr>
        <w:t>:</w:t>
      </w:r>
    </w:p>
    <w:p w14:paraId="7D6DA4D4" w14:textId="77777777" w:rsidR="00F035EA" w:rsidRPr="004223DC" w:rsidRDefault="00F035EA" w:rsidP="00F035EA">
      <w:pPr>
        <w:bidi/>
        <w:spacing w:before="240"/>
        <w:rPr>
          <w:rFonts w:ascii="Simplified Arabic" w:hAnsi="Simplified Arabic" w:cs="Simplified Arabic"/>
          <w:rtl/>
        </w:rPr>
      </w:pPr>
      <w:r>
        <w:rPr>
          <w:rFonts w:ascii="Simplified Arabic" w:hAnsi="Simplified Arabic" w:cs="Simplified Arabic"/>
          <w:rtl/>
        </w:rPr>
        <w:t>تسعى الدراسة إلى تحقيق الأهداف العلمية التالية:</w:t>
      </w:r>
    </w:p>
    <w:p w14:paraId="7259632E"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الهدف الرئيسي</w:t>
      </w:r>
    </w:p>
    <w:p w14:paraId="6A3ED9D0" w14:textId="77777777" w:rsidR="00F035EA" w:rsidRDefault="00F035EA" w:rsidP="00F035EA">
      <w:pPr>
        <w:bidi/>
        <w:spacing w:before="240"/>
        <w:rPr>
          <w:rFonts w:ascii="Simplified Arabic" w:hAnsi="Simplified Arabic" w:cs="Simplified Arabic"/>
          <w:b/>
          <w:bCs/>
          <w:rtl/>
        </w:rPr>
      </w:pPr>
      <w:r>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0836F561"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الأهداف الفرعية</w:t>
      </w:r>
    </w:p>
    <w:p w14:paraId="3F704488"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5101FB62"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5415C09B"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lastRenderedPageBreak/>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618AEAA0" w14:textId="77777777" w:rsidR="00F035EA"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2957E0AE" w14:textId="77777777" w:rsidR="00F035EA" w:rsidRPr="004F2B23" w:rsidRDefault="00F035EA" w:rsidP="00F035EA">
      <w:pPr>
        <w:bidi/>
        <w:rPr>
          <w:rFonts w:ascii="Simplified Arabic" w:hAnsi="Simplified Arabic" w:cs="Simplified Arabic"/>
          <w:sz w:val="18"/>
          <w:szCs w:val="18"/>
        </w:rPr>
      </w:pPr>
    </w:p>
    <w:p w14:paraId="2B5343E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bookmarkStart w:id="0" w:name="_Hlk214856741"/>
      <w:r>
        <w:rPr>
          <w:rFonts w:ascii="Sakkal Majalla" w:hAnsi="Sakkal Majalla" w:cs="Sakkal Majalla" w:hint="cs"/>
          <w:b/>
          <w:bCs/>
          <w:color w:val="00B0F0"/>
          <w:sz w:val="36"/>
          <w:szCs w:val="36"/>
          <w:u w:val="single"/>
          <w:rtl/>
        </w:rPr>
        <w:t>فرضيات الدراسة</w:t>
      </w:r>
      <w:r>
        <w:rPr>
          <w:rFonts w:ascii="Sakkal Majalla" w:hAnsi="Sakkal Majalla" w:cs="Sakkal Majalla"/>
          <w:b/>
          <w:bCs/>
          <w:color w:val="00B0F0"/>
          <w:sz w:val="36"/>
          <w:szCs w:val="36"/>
          <w:u w:val="single"/>
          <w:rtl/>
        </w:rPr>
        <w:t>:</w:t>
      </w:r>
    </w:p>
    <w:bookmarkEnd w:id="0"/>
    <w:p w14:paraId="34610D2C"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الفرضية الرئيسة</w:t>
      </w:r>
      <w:r>
        <w:rPr>
          <w:rFonts w:ascii="Simplified Arabic" w:hAnsi="Simplified Arabic" w:cs="Simplified Arabic"/>
          <w:b/>
          <w:bCs/>
        </w:rPr>
        <w:t>:</w:t>
      </w:r>
    </w:p>
    <w:p w14:paraId="0A432E6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Pr>
          <w:rFonts w:ascii="Simplified Arabic" w:hAnsi="Simplified Arabic" w:cs="Simplified Arabic"/>
        </w:rPr>
        <w:t>.</w:t>
      </w:r>
    </w:p>
    <w:p w14:paraId="4E58AC1E"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b/>
          <w:bCs/>
        </w:rPr>
        <w:t>:</w:t>
      </w:r>
    </w:p>
    <w:p w14:paraId="3ACFCE4B"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H1</w:t>
      </w:r>
      <w:r>
        <w:rPr>
          <w:rFonts w:ascii="Simplified Arabic" w:hAnsi="Simplified Arabic" w:cs="Simplified Arabic" w:hint="cs"/>
          <w:b/>
          <w:bCs/>
          <w:rtl/>
        </w:rPr>
        <w:t xml:space="preserve">: </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Pr>
          <w:rFonts w:ascii="Simplified Arabic" w:hAnsi="Simplified Arabic" w:cs="Simplified Arabic"/>
        </w:rPr>
        <w:t>.</w:t>
      </w:r>
    </w:p>
    <w:p w14:paraId="5129F374" w14:textId="77777777" w:rsidR="00F035EA" w:rsidRPr="00A20BAB" w:rsidRDefault="00F035EA" w:rsidP="00F035EA">
      <w:pPr>
        <w:bidi/>
        <w:rPr>
          <w:rFonts w:ascii="Simplified Arabic" w:hAnsi="Simplified Arabic" w:cs="Simplified Arabic"/>
          <w:rtl/>
        </w:rPr>
      </w:pPr>
      <w:r>
        <w:rPr>
          <w:rFonts w:ascii="Simplified Arabic" w:hAnsi="Simplified Arabic" w:cs="Simplified Arabic"/>
          <w:b/>
          <w:bCs/>
        </w:rPr>
        <w:t xml:space="preserve"> :H2</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Pr>
          <w:rFonts w:ascii="Simplified Arabic" w:hAnsi="Simplified Arabic" w:cs="Simplified Arabic"/>
        </w:rPr>
        <w:t>.</w:t>
      </w:r>
    </w:p>
    <w:p w14:paraId="516D8BA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H3</w:t>
      </w:r>
      <w:r>
        <w:rPr>
          <w:rFonts w:ascii="Simplified Arabic" w:hAnsi="Simplified Arabic" w:cs="Simplified Arabic" w:hint="cs"/>
          <w:b/>
          <w:bCs/>
          <w:rtl/>
        </w:rPr>
        <w:t>:</w:t>
      </w:r>
      <w:r>
        <w:rPr>
          <w:rFonts w:ascii="Simplified Arabic" w:hAnsi="Simplified Arabic" w:cs="Simplified Arabic" w:hint="cs"/>
          <w:rtl/>
        </w:rPr>
        <w:t xml:space="preserve"> </w:t>
      </w:r>
      <w:r>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729419DA" w14:textId="77777777" w:rsidR="00F035EA" w:rsidRDefault="00F035EA" w:rsidP="00F035EA">
      <w:pPr>
        <w:bidi/>
        <w:rPr>
          <w:rFonts w:ascii="Simplified Arabic" w:hAnsi="Simplified Arabic" w:cs="Simplified Arabic"/>
          <w:rtl/>
        </w:rPr>
      </w:pPr>
      <w:r>
        <w:rPr>
          <w:rFonts w:ascii="Simplified Arabic" w:hAnsi="Simplified Arabic" w:cs="Simplified Arabic"/>
          <w:b/>
          <w:bCs/>
        </w:rPr>
        <w:t>H4</w:t>
      </w:r>
      <w:r>
        <w:rPr>
          <w:rFonts w:ascii="Simplified Arabic" w:hAnsi="Simplified Arabic" w:cs="Simplified Arabic"/>
          <w:b/>
          <w:bCs/>
          <w:rtl/>
        </w:rPr>
        <w:t>:</w:t>
      </w:r>
      <w:r>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36B0AE44" w14:textId="77777777" w:rsidR="00F035EA" w:rsidRDefault="00F035EA" w:rsidP="00F035EA">
      <w:pPr>
        <w:bidi/>
        <w:rPr>
          <w:rFonts w:ascii="Simplified Arabic" w:hAnsi="Simplified Arabic" w:cs="Simplified Arabic"/>
          <w:b/>
          <w:bCs/>
          <w:rtl/>
        </w:rPr>
      </w:pPr>
    </w:p>
    <w:p w14:paraId="331A3A19" w14:textId="77777777" w:rsidR="00F035EA" w:rsidRDefault="00F035EA" w:rsidP="00F035EA">
      <w:pPr>
        <w:bidi/>
        <w:rPr>
          <w:rFonts w:ascii="Simplified Arabic" w:hAnsi="Simplified Arabic" w:cs="Simplified Arabic"/>
          <w:b/>
          <w:bCs/>
          <w:rtl/>
        </w:rPr>
      </w:pPr>
    </w:p>
    <w:p w14:paraId="1033B14B" w14:textId="77777777" w:rsidR="00F035EA" w:rsidRDefault="00F035EA" w:rsidP="00F035EA">
      <w:pPr>
        <w:bidi/>
        <w:rPr>
          <w:rFonts w:ascii="Simplified Arabic" w:hAnsi="Simplified Arabic" w:cs="Simplified Arabic"/>
          <w:b/>
          <w:bCs/>
          <w:rtl/>
        </w:rPr>
      </w:pPr>
    </w:p>
    <w:p w14:paraId="2A25466A" w14:textId="77777777" w:rsidR="00F035EA" w:rsidRDefault="00F035EA" w:rsidP="00F035EA">
      <w:pPr>
        <w:bidi/>
        <w:rPr>
          <w:rFonts w:ascii="Simplified Arabic" w:hAnsi="Simplified Arabic" w:cs="Simplified Arabic"/>
          <w:b/>
          <w:bCs/>
          <w:rtl/>
        </w:rPr>
      </w:pPr>
    </w:p>
    <w:p w14:paraId="730B24E0" w14:textId="77777777" w:rsidR="00F035EA" w:rsidRDefault="00F035EA" w:rsidP="00F035EA">
      <w:pPr>
        <w:bidi/>
        <w:rPr>
          <w:rFonts w:ascii="Simplified Arabic" w:hAnsi="Simplified Arabic" w:cs="Simplified Arabic"/>
          <w:b/>
          <w:bCs/>
          <w:rtl/>
        </w:rPr>
      </w:pPr>
    </w:p>
    <w:p w14:paraId="0D929373" w14:textId="77777777" w:rsidR="00F035EA" w:rsidRDefault="00F035EA" w:rsidP="00F035EA">
      <w:pPr>
        <w:bidi/>
        <w:rPr>
          <w:rFonts w:ascii="Simplified Arabic" w:hAnsi="Simplified Arabic" w:cs="Simplified Arabic"/>
          <w:b/>
          <w:bCs/>
          <w:rtl/>
        </w:rPr>
      </w:pPr>
    </w:p>
    <w:p w14:paraId="4B2F4FCF" w14:textId="77777777" w:rsidR="00F035EA" w:rsidRDefault="00F035EA" w:rsidP="00F035EA">
      <w:pPr>
        <w:bidi/>
        <w:rPr>
          <w:rFonts w:ascii="Simplified Arabic" w:hAnsi="Simplified Arabic" w:cs="Simplified Arabic"/>
          <w:b/>
          <w:bCs/>
          <w:rtl/>
        </w:rPr>
      </w:pPr>
      <w:r>
        <w:rPr>
          <w:rFonts w:ascii="Simplified Arabic" w:hAnsi="Simplified Arabic" w:cs="Simplified Arabic" w:hint="cs"/>
          <w:b/>
          <w:bCs/>
          <w:rtl/>
        </w:rPr>
        <w:t>نموذج الدراسة المقترح:</w:t>
      </w:r>
    </w:p>
    <w:p w14:paraId="71159868"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rtl/>
        </w:rPr>
        <w:t>شكل رقم (1): نموذج الدراسة المقترح</w:t>
      </w:r>
    </w:p>
    <w:p w14:paraId="6484B04F"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noProof/>
          <w:rtl/>
          <w:lang w:val="ar-SA"/>
        </w:rPr>
        <w:lastRenderedPageBreak/>
        <w:drawing>
          <wp:anchor distT="0" distB="0" distL="114300" distR="114300" simplePos="0" relativeHeight="251661824" behindDoc="0" locked="0" layoutInCell="1" allowOverlap="1" wp14:anchorId="3233FFEA" wp14:editId="0FED7905">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516CC182" w14:textId="77777777" w:rsidR="00F035EA" w:rsidRDefault="00F035EA" w:rsidP="00F035EA">
      <w:pPr>
        <w:bidi/>
        <w:rPr>
          <w:rFonts w:ascii="Simplified Arabic" w:hAnsi="Simplified Arabic" w:cs="Simplified Arabic"/>
          <w:b/>
          <w:bCs/>
          <w:rtl/>
        </w:rPr>
      </w:pPr>
    </w:p>
    <w:p w14:paraId="544866E6" w14:textId="77777777" w:rsidR="00F035EA" w:rsidRDefault="00F035EA" w:rsidP="00F035EA">
      <w:pPr>
        <w:bidi/>
        <w:rPr>
          <w:rFonts w:ascii="Simplified Arabic" w:hAnsi="Simplified Arabic" w:cs="Simplified Arabic"/>
          <w:b/>
          <w:bCs/>
          <w:rtl/>
        </w:rPr>
      </w:pPr>
    </w:p>
    <w:p w14:paraId="78A07B1D" w14:textId="77777777" w:rsidR="00F035EA" w:rsidRDefault="00F035EA" w:rsidP="00F035EA">
      <w:pPr>
        <w:bidi/>
        <w:rPr>
          <w:rFonts w:ascii="Simplified Arabic" w:hAnsi="Simplified Arabic" w:cs="Simplified Arabic"/>
          <w:b/>
          <w:bCs/>
          <w:rtl/>
        </w:rPr>
      </w:pPr>
    </w:p>
    <w:p w14:paraId="3FA00783" w14:textId="77777777" w:rsidR="00F035EA" w:rsidRDefault="00F035EA" w:rsidP="00F035EA">
      <w:pPr>
        <w:bidi/>
        <w:rPr>
          <w:rFonts w:ascii="Simplified Arabic" w:hAnsi="Simplified Arabic" w:cs="Simplified Arabic"/>
          <w:b/>
          <w:bCs/>
          <w:rtl/>
        </w:rPr>
      </w:pPr>
    </w:p>
    <w:p w14:paraId="794D0FB8" w14:textId="77777777" w:rsidR="00F035EA" w:rsidRDefault="00F035EA" w:rsidP="00F035EA">
      <w:pPr>
        <w:bidi/>
        <w:rPr>
          <w:rFonts w:ascii="Simplified Arabic" w:hAnsi="Simplified Arabic" w:cs="Simplified Arabic"/>
          <w:b/>
          <w:bCs/>
          <w:rtl/>
        </w:rPr>
      </w:pPr>
    </w:p>
    <w:p w14:paraId="1C60EB99" w14:textId="77777777" w:rsidR="00F035EA" w:rsidRDefault="00F035EA" w:rsidP="00F035EA">
      <w:pPr>
        <w:bidi/>
        <w:rPr>
          <w:rFonts w:ascii="Simplified Arabic" w:hAnsi="Simplified Arabic" w:cs="Simplified Arabic"/>
          <w:b/>
          <w:bCs/>
          <w:rtl/>
        </w:rPr>
      </w:pPr>
    </w:p>
    <w:p w14:paraId="4D3B19AF" w14:textId="77777777" w:rsidR="00F035EA" w:rsidRDefault="00F035EA" w:rsidP="00F035EA">
      <w:pPr>
        <w:bidi/>
        <w:rPr>
          <w:rFonts w:ascii="Simplified Arabic" w:hAnsi="Simplified Arabic" w:cs="Simplified Arabic"/>
          <w:b/>
          <w:bCs/>
          <w:rtl/>
        </w:rPr>
      </w:pPr>
    </w:p>
    <w:p w14:paraId="6F5524E4" w14:textId="77777777" w:rsidR="00F035EA" w:rsidRDefault="00F035EA" w:rsidP="00F035EA">
      <w:pPr>
        <w:bidi/>
        <w:rPr>
          <w:rFonts w:ascii="Simplified Arabic" w:hAnsi="Simplified Arabic" w:cs="Simplified Arabic"/>
          <w:b/>
          <w:bCs/>
          <w:rtl/>
        </w:rPr>
      </w:pPr>
    </w:p>
    <w:p w14:paraId="30752242" w14:textId="77777777" w:rsidR="00F035EA" w:rsidRDefault="00F035EA" w:rsidP="00F035EA">
      <w:pPr>
        <w:bidi/>
        <w:rPr>
          <w:rFonts w:ascii="Simplified Arabic" w:hAnsi="Simplified Arabic" w:cs="Simplified Arabic"/>
          <w:b/>
          <w:bCs/>
          <w:rtl/>
        </w:rPr>
      </w:pPr>
    </w:p>
    <w:p w14:paraId="18B01951" w14:textId="77777777" w:rsidR="00F035EA" w:rsidRDefault="00F035EA" w:rsidP="00F035EA">
      <w:pPr>
        <w:bidi/>
        <w:rPr>
          <w:rFonts w:ascii="Simplified Arabic" w:hAnsi="Simplified Arabic" w:cs="Simplified Arabic"/>
          <w:b/>
          <w:bCs/>
          <w:rtl/>
        </w:rPr>
      </w:pPr>
    </w:p>
    <w:p w14:paraId="36C7FC03" w14:textId="77777777" w:rsidR="00F035EA" w:rsidRDefault="00F035EA" w:rsidP="00F035EA">
      <w:pPr>
        <w:bidi/>
        <w:rPr>
          <w:rFonts w:ascii="Simplified Arabic" w:hAnsi="Simplified Arabic" w:cs="Simplified Arabic"/>
          <w:b/>
          <w:bCs/>
          <w:rtl/>
        </w:rPr>
      </w:pPr>
    </w:p>
    <w:p w14:paraId="311BD2C9" w14:textId="77777777" w:rsidR="00F035EA" w:rsidRDefault="00F035EA" w:rsidP="00F035EA">
      <w:pPr>
        <w:bidi/>
        <w:rPr>
          <w:rFonts w:ascii="Simplified Arabic" w:hAnsi="Simplified Arabic" w:cs="Simplified Arabic"/>
          <w:b/>
          <w:bCs/>
          <w:rtl/>
        </w:rPr>
      </w:pPr>
    </w:p>
    <w:p w14:paraId="13723EBE" w14:textId="77777777" w:rsidR="00F035EA" w:rsidRDefault="00F035EA" w:rsidP="00F035EA">
      <w:pPr>
        <w:bidi/>
        <w:rPr>
          <w:rFonts w:ascii="Simplified Arabic" w:hAnsi="Simplified Arabic" w:cs="Simplified Arabic"/>
          <w:b/>
          <w:bCs/>
          <w:rtl/>
        </w:rPr>
      </w:pPr>
    </w:p>
    <w:p w14:paraId="20DDAAB5" w14:textId="77777777" w:rsidR="00F035EA" w:rsidRDefault="00F035EA" w:rsidP="00F035EA">
      <w:pPr>
        <w:bidi/>
        <w:rPr>
          <w:rFonts w:ascii="Simplified Arabic" w:hAnsi="Simplified Arabic" w:cs="Simplified Arabic"/>
          <w:b/>
          <w:bCs/>
          <w:rtl/>
        </w:rPr>
      </w:pPr>
    </w:p>
    <w:p w14:paraId="72EAB79E" w14:textId="77777777" w:rsidR="00F035EA" w:rsidRDefault="00F035EA" w:rsidP="00F035EA">
      <w:pPr>
        <w:bidi/>
        <w:rPr>
          <w:rFonts w:ascii="Simplified Arabic" w:hAnsi="Simplified Arabic" w:cs="Simplified Arabic"/>
          <w:b/>
          <w:bCs/>
          <w:rtl/>
        </w:rPr>
      </w:pPr>
    </w:p>
    <w:p w14:paraId="31932EBF" w14:textId="77777777" w:rsidR="00F035EA" w:rsidRPr="004104AA" w:rsidRDefault="00F035EA" w:rsidP="00F035EA">
      <w:pPr>
        <w:bidi/>
        <w:rPr>
          <w:rFonts w:ascii="Simplified Arabic" w:hAnsi="Simplified Arabic" w:cs="Simplified Arabic"/>
          <w:b/>
          <w:bCs/>
          <w:rtl/>
        </w:rPr>
      </w:pPr>
    </w:p>
    <w:p w14:paraId="76752316" w14:textId="77777777" w:rsidR="00F035EA" w:rsidRDefault="00F035EA" w:rsidP="00F035EA">
      <w:pPr>
        <w:bidi/>
        <w:rPr>
          <w:rFonts w:ascii="Simplified Arabic" w:hAnsi="Simplified Arabic" w:cs="Simplified Arabic"/>
          <w:rtl/>
        </w:rPr>
      </w:pPr>
    </w:p>
    <w:p w14:paraId="06CFEAB2" w14:textId="77777777" w:rsidR="00F035EA" w:rsidRDefault="00F035EA" w:rsidP="00F035EA">
      <w:pPr>
        <w:bidi/>
        <w:rPr>
          <w:rFonts w:ascii="Simplified Arabic" w:hAnsi="Simplified Arabic" w:cs="Simplified Arabic"/>
          <w:rtl/>
        </w:rPr>
      </w:pPr>
    </w:p>
    <w:p w14:paraId="716B711F" w14:textId="77777777" w:rsidR="00F035EA" w:rsidRPr="004F2B23" w:rsidRDefault="00F035EA" w:rsidP="00F035EA">
      <w:pPr>
        <w:bidi/>
        <w:rPr>
          <w:rFonts w:ascii="Simplified Arabic" w:hAnsi="Simplified Arabic" w:cs="Simplified Arabic"/>
          <w:sz w:val="10"/>
          <w:szCs w:val="10"/>
          <w:rtl/>
        </w:rPr>
      </w:pPr>
    </w:p>
    <w:p w14:paraId="41DFB6E3" w14:textId="77777777" w:rsidR="00F035EA" w:rsidRDefault="00F035EA" w:rsidP="00F035EA">
      <w:pPr>
        <w:bidi/>
        <w:rPr>
          <w:rFonts w:ascii="Simplified Arabic" w:hAnsi="Simplified Arabic" w:cs="Simplified Arabic"/>
          <w:rtl/>
        </w:rPr>
      </w:pPr>
      <w:r>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3E77E946" w14:textId="77777777" w:rsidR="00F035EA" w:rsidRPr="004104AA" w:rsidRDefault="00F035EA" w:rsidP="00F035EA">
      <w:pPr>
        <w:bidi/>
        <w:rPr>
          <w:rFonts w:ascii="Simplified Arabic" w:hAnsi="Simplified Arabic" w:cs="Simplified Arabic"/>
          <w:rtl/>
        </w:rPr>
      </w:pPr>
    </w:p>
    <w:p w14:paraId="51A42BE3" w14:textId="43D2FD95" w:rsidR="00F035EA" w:rsidRPr="00173F7B" w:rsidRDefault="00F035EA" w:rsidP="00173F7B">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منهجية الدراسة</w:t>
      </w:r>
      <w:r>
        <w:rPr>
          <w:rFonts w:ascii="Sakkal Majalla" w:hAnsi="Sakkal Majalla" w:cs="Sakkal Majalla"/>
          <w:b/>
          <w:bCs/>
          <w:color w:val="00B0F0"/>
          <w:sz w:val="36"/>
          <w:szCs w:val="36"/>
          <w:u w:val="single"/>
          <w:rtl/>
        </w:rPr>
        <w:t>:</w:t>
      </w:r>
    </w:p>
    <w:p w14:paraId="7E2A60E6" w14:textId="70E2B816" w:rsidR="00173F7B" w:rsidRPr="00173F7B" w:rsidRDefault="00173F7B" w:rsidP="00173F7B">
      <w:pPr>
        <w:bidi/>
        <w:rPr>
          <w:rFonts w:ascii="Simplified Arabic" w:hAnsi="Simplified Arabic" w:cs="Simplified Arabic"/>
          <w:color w:val="EE0000"/>
          <w:rtl/>
        </w:rPr>
      </w:pPr>
      <w:r w:rsidRPr="00173F7B">
        <w:rPr>
          <w:rFonts w:ascii="Simplified Arabic" w:hAnsi="Simplified Arabic" w:cs="Simplified Arabic"/>
          <w:color w:val="EE0000"/>
          <w:rtl/>
        </w:rPr>
        <w:lastRenderedPageBreak/>
        <w:t>تعتمد الدراسة المنهج الوصفي التحليلي، لملاءمته طبيعة المشكلة وأهدافها؛ فهو لا يقتصر على وصف واقع توظيف تقنيات الذكاء الاصطناعي التوليدي في وكالات التسويق السعودية، بل يتجاوز ذلك إلى تحليل العلاقات بين متغيرات الدراسة وتفسير اتجاهها وقوتها. وتندرج الدراسة ضمن البحوث الكمية ذات التصميم المقطعي، إذ تُجمع البيانات في فترة زمنية واحدة تعكس واقع الممارسة المهنية وقت التطبيق</w:t>
      </w:r>
      <w:r w:rsidRPr="00173F7B">
        <w:rPr>
          <w:rFonts w:ascii="Simplified Arabic" w:hAnsi="Simplified Arabic" w:cs="Simplified Arabic" w:hint="cs"/>
          <w:color w:val="EE0000"/>
          <w:rtl/>
        </w:rPr>
        <w:t>.</w:t>
      </w:r>
    </w:p>
    <w:p w14:paraId="35CE21B0" w14:textId="15DC0091" w:rsidR="00173F7B" w:rsidRPr="00173F7B" w:rsidRDefault="00F035EA" w:rsidP="00173F7B">
      <w:pPr>
        <w:bidi/>
        <w:rPr>
          <w:rFonts w:ascii="Simplified Arabic" w:hAnsi="Simplified Arabic" w:cs="Simplified Arabic"/>
          <w:b/>
          <w:bCs/>
        </w:rPr>
      </w:pPr>
      <w:r>
        <w:rPr>
          <w:rFonts w:ascii="Simplified Arabic" w:hAnsi="Simplified Arabic" w:cs="Simplified Arabic" w:hint="cs"/>
          <w:b/>
          <w:bCs/>
          <w:rtl/>
        </w:rPr>
        <w:t xml:space="preserve">1. </w:t>
      </w:r>
      <w:r>
        <w:rPr>
          <w:rFonts w:ascii="Simplified Arabic" w:hAnsi="Simplified Arabic" w:cs="Simplified Arabic"/>
          <w:b/>
          <w:bCs/>
          <w:rtl/>
        </w:rPr>
        <w:t xml:space="preserve">أداة الدراسة  </w:t>
      </w:r>
    </w:p>
    <w:p w14:paraId="77C684A7" w14:textId="77777777" w:rsidR="00173F7B" w:rsidRPr="00173F7B" w:rsidRDefault="00173F7B" w:rsidP="00173F7B">
      <w:pPr>
        <w:bidi/>
        <w:rPr>
          <w:rFonts w:ascii="Simplified Arabic" w:hAnsi="Simplified Arabic" w:cs="Simplified Arabic"/>
          <w:b/>
          <w:bCs/>
          <w:color w:val="EE0000"/>
          <w:rtl/>
        </w:rPr>
      </w:pPr>
      <w:r w:rsidRPr="00173F7B">
        <w:rPr>
          <w:rFonts w:ascii="Simplified Arabic" w:hAnsi="Simplified Arabic" w:cs="Simplified Arabic"/>
          <w:color w:val="EE0000"/>
          <w:rtl/>
        </w:rPr>
        <w:t>تُستخدم الاستبانة الإلكترونية أداةً رئيسة لجمع البيانات، وتتكون من ثلاثة أقسام: أسئلة الأهلية والموافقة، ومحاور القياس، والبيانات الشخصية والوظيفية. وتُصاغ فقرات المحاور وفق مقياس ليكرت الخماسي، وتغطي خمسة متغيرات رئيسة هي: توظيف تقنيات الذكاء الاصطناعي التوليدي، وجودة عملية تصميم الحملات، ودوافع التبني، والعوائق التقنية والبشرية والتنظيمية، وفعالية الأداء التسويقي، بعدد إجمالي يبلغ 46 فقرة قياس.</w:t>
      </w:r>
    </w:p>
    <w:p w14:paraId="55FB1C9D" w14:textId="50872AFB" w:rsidR="00173F7B" w:rsidRPr="00173F7B" w:rsidRDefault="00F035EA" w:rsidP="00173F7B">
      <w:pPr>
        <w:bidi/>
        <w:rPr>
          <w:rFonts w:ascii="Simplified Arabic" w:hAnsi="Simplified Arabic" w:cs="Simplified Arabic"/>
          <w:b/>
          <w:bCs/>
          <w:rtl/>
        </w:rPr>
      </w:pPr>
      <w:r>
        <w:rPr>
          <w:rFonts w:ascii="Simplified Arabic" w:hAnsi="Simplified Arabic" w:cs="Simplified Arabic" w:hint="cs"/>
          <w:b/>
          <w:bCs/>
          <w:rtl/>
        </w:rPr>
        <w:t xml:space="preserve">2. </w:t>
      </w:r>
      <w:r>
        <w:rPr>
          <w:rFonts w:ascii="Simplified Arabic" w:hAnsi="Simplified Arabic" w:cs="Simplified Arabic"/>
          <w:b/>
          <w:bCs/>
          <w:rtl/>
        </w:rPr>
        <w:t xml:space="preserve">مجتمع وعينة الدراسة </w:t>
      </w:r>
    </w:p>
    <w:p w14:paraId="284EF57A" w14:textId="6C88B307" w:rsidR="00173F7B" w:rsidRPr="00173F7B" w:rsidRDefault="00173F7B" w:rsidP="00173F7B">
      <w:pPr>
        <w:bidi/>
        <w:rPr>
          <w:rFonts w:ascii="Simplified Arabic" w:hAnsi="Simplified Arabic" w:cs="Simplified Arabic"/>
          <w:color w:val="EE0000"/>
          <w:rtl/>
        </w:rPr>
      </w:pPr>
      <w:r w:rsidRPr="00173F7B">
        <w:rPr>
          <w:rFonts w:ascii="Simplified Arabic" w:hAnsi="Simplified Arabic" w:cs="Simplified Arabic"/>
          <w:color w:val="EE0000"/>
          <w:rtl/>
        </w:rPr>
        <w:t>يتمثل مجتمع الدراسة في العاملين في وكالات التسويق الرقمي المرخَّصة العاملة في الرياض وجدة والدمام، ممن ترتبط طبيعة عملهم بتخطيط الحملات التسويقية الرقمية أو تصميمها أو تنفيذها أو تحليل أدائها. ونظرًا لتعذر بناء إطار معاينة شامل بأسماء العاملين، تُعتمد المعاينة غير الاحتمالية بأسلوبي العينة الميسرة وكرة الثلج، مع ضبط شروط الأهلية وتنويع قنوات الوصول إلى المشاركين</w:t>
      </w:r>
      <w:r w:rsidRPr="00173F7B">
        <w:rPr>
          <w:rFonts w:ascii="Simplified Arabic" w:hAnsi="Simplified Arabic" w:cs="Simplified Arabic"/>
          <w:color w:val="EE0000"/>
        </w:rPr>
        <w:t>.</w:t>
      </w:r>
    </w:p>
    <w:p w14:paraId="2C0E7887" w14:textId="782C24A8" w:rsidR="00173F7B" w:rsidRPr="00173F7B" w:rsidRDefault="00173F7B" w:rsidP="00173F7B">
      <w:pPr>
        <w:bidi/>
        <w:rPr>
          <w:rFonts w:ascii="Simplified Arabic" w:hAnsi="Simplified Arabic" w:cs="Simplified Arabic"/>
          <w:color w:val="EE0000"/>
          <w:rtl/>
        </w:rPr>
      </w:pPr>
      <w:r w:rsidRPr="00173F7B">
        <w:rPr>
          <w:rFonts w:ascii="Simplified Arabic" w:hAnsi="Simplified Arabic" w:cs="Simplified Arabic"/>
          <w:color w:val="EE0000"/>
          <w:rtl/>
        </w:rPr>
        <w:t xml:space="preserve">أما حجم العينة، فيُعتمد تحليل القوة الإحصائية القبلي ببرنامج </w:t>
      </w:r>
      <w:r w:rsidRPr="00173F7B">
        <w:rPr>
          <w:rFonts w:ascii="Simplified Arabic" w:hAnsi="Simplified Arabic" w:cs="Simplified Arabic"/>
          <w:color w:val="EE0000"/>
        </w:rPr>
        <w:t>G*Power</w:t>
      </w:r>
      <w:r w:rsidRPr="00173F7B">
        <w:rPr>
          <w:rFonts w:ascii="Simplified Arabic" w:hAnsi="Simplified Arabic" w:cs="Simplified Arabic"/>
          <w:color w:val="EE0000"/>
          <w:rtl/>
        </w:rPr>
        <w:t xml:space="preserve"> مبررًا رئيسًا لكفايتها؛ إذ بلغ الحد الأدنى اللازم لاختبار أعقد معادلة في النموذج، وهي معادلة التنبؤ بجودة عملية التصميم من خمسة متنبئات، 138 مفردة عند حجم أثر متوسط (</w:t>
      </w:r>
      <w:r w:rsidRPr="00173F7B">
        <w:rPr>
          <w:rFonts w:ascii="Simplified Arabic" w:hAnsi="Simplified Arabic" w:cs="Simplified Arabic"/>
          <w:color w:val="EE0000"/>
        </w:rPr>
        <w:t>f² = 0.15</w:t>
      </w:r>
      <w:r w:rsidRPr="00173F7B">
        <w:rPr>
          <w:rFonts w:ascii="Simplified Arabic" w:hAnsi="Simplified Arabic" w:cs="Simplified Arabic"/>
          <w:color w:val="EE0000"/>
          <w:rtl/>
        </w:rPr>
        <w:t>) ومستوى دلالة (0.05) وقوة إحصائية (0.95). كما استُرشد بمعادلة كوكران فبلغ الحجم الاسترشادي 384 مفردة، ويُستخدم هذا الرقم هدفًا لتحسين استقرار التقديرات فقط، دون اعتباره ضامنًا لهامش خطأ محدد أو تمثيلًا احتماليًا، لأن أسلوب المعاينة غير الاحتمالية لا يسمح بذلك. وبناءً عليه، ستُفسر النتائج في حدود خصائص العينة المشاركة، مع الإقرار بهذا القيد عند التعميم.</w:t>
      </w:r>
    </w:p>
    <w:p w14:paraId="2C165F56"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3. </w:t>
      </w:r>
      <w:r>
        <w:rPr>
          <w:rFonts w:ascii="Simplified Arabic" w:hAnsi="Simplified Arabic" w:cs="Simplified Arabic"/>
          <w:b/>
          <w:bCs/>
          <w:rtl/>
        </w:rPr>
        <w:t>أساليب المعالجة الإحصائية</w:t>
      </w:r>
    </w:p>
    <w:p w14:paraId="534D7C88" w14:textId="6B3966F9" w:rsidR="00F035EA" w:rsidRPr="00173F7B" w:rsidRDefault="00173F7B" w:rsidP="00173F7B">
      <w:pPr>
        <w:bidi/>
        <w:rPr>
          <w:rFonts w:ascii="Simplified Arabic" w:hAnsi="Simplified Arabic" w:cs="Simplified Arabic"/>
          <w:color w:val="EE0000"/>
          <w:sz w:val="14"/>
          <w:szCs w:val="14"/>
          <w:rtl/>
        </w:rPr>
      </w:pPr>
      <w:r w:rsidRPr="00173F7B">
        <w:rPr>
          <w:rFonts w:ascii="Simplified Arabic" w:hAnsi="Simplified Arabic" w:cs="Simplified Arabic"/>
          <w:color w:val="EE0000"/>
          <w:rtl/>
        </w:rPr>
        <w:t xml:space="preserve">تُستخدم برمجيتان متكاملتان: برنامج </w:t>
      </w:r>
      <w:r w:rsidRPr="00173F7B">
        <w:rPr>
          <w:rFonts w:ascii="Simplified Arabic" w:hAnsi="Simplified Arabic" w:cs="Simplified Arabic"/>
          <w:color w:val="EE0000"/>
        </w:rPr>
        <w:t>SPSS</w:t>
      </w:r>
      <w:r w:rsidRPr="00173F7B">
        <w:rPr>
          <w:rFonts w:ascii="Simplified Arabic" w:hAnsi="Simplified Arabic" w:cs="Simplified Arabic"/>
          <w:color w:val="EE0000"/>
          <w:rtl/>
        </w:rPr>
        <w:t xml:space="preserve"> لإعداد البيانات وتنظيفها وإجراء الإحصاء الوصفي، وبرنامج </w:t>
      </w:r>
      <w:r w:rsidRPr="00173F7B">
        <w:rPr>
          <w:rFonts w:ascii="Simplified Arabic" w:hAnsi="Simplified Arabic" w:cs="Simplified Arabic"/>
          <w:color w:val="EE0000"/>
        </w:rPr>
        <w:t>SmartPLS 4</w:t>
      </w:r>
      <w:r w:rsidRPr="00173F7B">
        <w:rPr>
          <w:rFonts w:ascii="Simplified Arabic" w:hAnsi="Simplified Arabic" w:cs="Simplified Arabic"/>
          <w:color w:val="EE0000"/>
          <w:rtl/>
        </w:rPr>
        <w:t xml:space="preserve"> لتقييم نموذجي القياس والنموذج الهيكلي واختبار الفرضيات عبر نمذجة المعادلات البنائية بالمربعات الصغرى الجزئية </w:t>
      </w:r>
      <w:r w:rsidRPr="00173F7B">
        <w:rPr>
          <w:rFonts w:ascii="Simplified Arabic" w:hAnsi="Simplified Arabic" w:cs="Simplified Arabic"/>
          <w:color w:val="EE0000"/>
        </w:rPr>
        <w:t>PLS-SEM</w:t>
      </w:r>
      <w:r w:rsidRPr="00173F7B">
        <w:rPr>
          <w:rFonts w:ascii="Simplified Arabic" w:hAnsi="Simplified Arabic" w:cs="Simplified Arabic"/>
          <w:color w:val="EE0000"/>
          <w:rtl/>
        </w:rPr>
        <w:t xml:space="preserve">. ويشمل تقييم نموذج القياس فحص التحميلات الخارجية، والثبات المركب، ومعامل ألفا كرونباخ، ومعامل </w:t>
      </w:r>
      <w:r w:rsidRPr="00173F7B">
        <w:rPr>
          <w:rFonts w:ascii="Simplified Arabic" w:hAnsi="Simplified Arabic" w:cs="Simplified Arabic"/>
          <w:color w:val="EE0000"/>
        </w:rPr>
        <w:t>rho_A</w:t>
      </w:r>
      <w:r w:rsidRPr="00173F7B">
        <w:rPr>
          <w:rFonts w:ascii="Simplified Arabic" w:hAnsi="Simplified Arabic" w:cs="Simplified Arabic"/>
          <w:color w:val="EE0000"/>
          <w:rtl/>
        </w:rPr>
        <w:t xml:space="preserve">، ومتوسط التباين المستخرج </w:t>
      </w:r>
      <w:r w:rsidRPr="00173F7B">
        <w:rPr>
          <w:rFonts w:ascii="Simplified Arabic" w:hAnsi="Simplified Arabic" w:cs="Simplified Arabic"/>
          <w:color w:val="EE0000"/>
        </w:rPr>
        <w:t>AVE</w:t>
      </w:r>
      <w:r w:rsidRPr="00173F7B">
        <w:rPr>
          <w:rFonts w:ascii="Simplified Arabic" w:hAnsi="Simplified Arabic" w:cs="Simplified Arabic"/>
          <w:color w:val="EE0000"/>
          <w:rtl/>
        </w:rPr>
        <w:t xml:space="preserve">، ونسبة </w:t>
      </w:r>
      <w:r w:rsidRPr="00173F7B">
        <w:rPr>
          <w:rFonts w:ascii="Simplified Arabic" w:hAnsi="Simplified Arabic" w:cs="Simplified Arabic"/>
          <w:color w:val="EE0000"/>
        </w:rPr>
        <w:t>HTMT</w:t>
      </w:r>
      <w:r w:rsidRPr="00173F7B">
        <w:rPr>
          <w:rFonts w:ascii="Simplified Arabic" w:hAnsi="Simplified Arabic" w:cs="Simplified Arabic"/>
          <w:color w:val="EE0000"/>
          <w:rtl/>
        </w:rPr>
        <w:t xml:space="preserve"> للصدق التمايزي. كما يُختبر الدور الوسيط لجودة عملية التصميم، والدور المعدِّل للدوافع والعوائق، مع تقدير معاملات المسار ودلالاتها باستخدام </w:t>
      </w:r>
      <w:r w:rsidRPr="00173F7B">
        <w:rPr>
          <w:rFonts w:ascii="Simplified Arabic" w:hAnsi="Simplified Arabic" w:cs="Simplified Arabic"/>
          <w:color w:val="EE0000"/>
        </w:rPr>
        <w:t>Bootstrapping</w:t>
      </w:r>
      <w:r w:rsidRPr="00173F7B">
        <w:rPr>
          <w:rFonts w:ascii="Simplified Arabic" w:hAnsi="Simplified Arabic" w:cs="Simplified Arabic"/>
          <w:color w:val="EE0000"/>
          <w:rtl/>
        </w:rPr>
        <w:t>.</w:t>
      </w:r>
    </w:p>
    <w:p w14:paraId="199625CE" w14:textId="77777777" w:rsidR="00173F7B" w:rsidRDefault="00173F7B" w:rsidP="00173F7B">
      <w:pPr>
        <w:bidi/>
        <w:rPr>
          <w:rFonts w:ascii="Simplified Arabic" w:hAnsi="Simplified Arabic" w:cs="Simplified Arabic"/>
          <w:sz w:val="14"/>
          <w:szCs w:val="14"/>
          <w:rtl/>
        </w:rPr>
      </w:pPr>
    </w:p>
    <w:p w14:paraId="7CE104D3" w14:textId="77777777" w:rsidR="00173F7B" w:rsidRDefault="00173F7B" w:rsidP="00173F7B">
      <w:pPr>
        <w:bidi/>
        <w:rPr>
          <w:rFonts w:ascii="Simplified Arabic" w:hAnsi="Simplified Arabic" w:cs="Simplified Arabic"/>
          <w:sz w:val="14"/>
          <w:szCs w:val="14"/>
          <w:rtl/>
        </w:rPr>
      </w:pPr>
    </w:p>
    <w:p w14:paraId="780A9A69" w14:textId="77777777" w:rsidR="00173F7B" w:rsidRPr="004F2B23" w:rsidRDefault="00173F7B" w:rsidP="00173F7B">
      <w:pPr>
        <w:bidi/>
        <w:rPr>
          <w:rFonts w:ascii="Simplified Arabic" w:hAnsi="Simplified Arabic" w:cs="Simplified Arabic"/>
          <w:sz w:val="14"/>
          <w:szCs w:val="14"/>
          <w:rtl/>
        </w:rPr>
      </w:pPr>
    </w:p>
    <w:p w14:paraId="5EAF5182" w14:textId="77777777" w:rsidR="00F035EA" w:rsidRPr="0062589E" w:rsidRDefault="00F035EA" w:rsidP="00F035EA">
      <w:pPr>
        <w:bidi/>
        <w:spacing w:after="200" w:line="276" w:lineRule="auto"/>
        <w:rPr>
          <w:rFonts w:ascii="Sakkal Majalla" w:hAnsi="Sakkal Majalla" w:cs="Sakkal Majalla"/>
          <w:color w:val="00B0F0"/>
          <w:sz w:val="28"/>
          <w:szCs w:val="28"/>
          <w:rtl/>
        </w:rPr>
      </w:pPr>
      <w:r>
        <w:rPr>
          <w:rFonts w:ascii="Sakkal Majalla" w:hAnsi="Sakkal Majalla" w:cs="Sakkal Majalla" w:hint="cs"/>
          <w:b/>
          <w:bCs/>
          <w:color w:val="00B0F0"/>
          <w:sz w:val="32"/>
          <w:szCs w:val="32"/>
          <w:u w:val="single"/>
          <w:rtl/>
        </w:rPr>
        <w:t>مصطلحات الدراسة وتعريفاتها الإجرائية</w:t>
      </w:r>
    </w:p>
    <w:p w14:paraId="06D6DBD8" w14:textId="77777777" w:rsidR="00F035EA" w:rsidRDefault="00F035EA" w:rsidP="00F035EA">
      <w:pPr>
        <w:bidi/>
        <w:rPr>
          <w:rFonts w:ascii="Simplified Arabic" w:hAnsi="Simplified Arabic" w:cs="Simplified Arabic"/>
          <w:rtl/>
        </w:rPr>
      </w:pPr>
      <w:r>
        <w:rPr>
          <w:rFonts w:ascii="Simplified Arabic" w:hAnsi="Simplified Arabic" w:cs="Simplified Arabic"/>
          <w:b/>
          <w:bCs/>
          <w:rtl/>
        </w:rPr>
        <w:t>1.</w:t>
      </w:r>
      <w:r>
        <w:rPr>
          <w:rFonts w:ascii="Simplified Arabic" w:hAnsi="Simplified Arabic" w:cs="Simplified Arabic" w:hint="cs"/>
          <w:b/>
          <w:bCs/>
          <w:rtl/>
        </w:rPr>
        <w:t xml:space="preserve"> </w:t>
      </w:r>
      <w:r>
        <w:rPr>
          <w:rFonts w:ascii="Simplified Arabic" w:hAnsi="Simplified Arabic" w:cs="Simplified Arabic"/>
          <w:b/>
          <w:bCs/>
          <w:rtl/>
        </w:rPr>
        <w:t>الذكاء الاصطناعي التوليدي (</w:t>
      </w:r>
      <w:r>
        <w:rPr>
          <w:rFonts w:ascii="Simplified Arabic" w:hAnsi="Simplified Arabic" w:cs="Simplified Arabic"/>
          <w:b/>
          <w:bCs/>
        </w:rPr>
        <w:t>Generative AI</w:t>
      </w:r>
      <w:r>
        <w:rPr>
          <w:rFonts w:ascii="Simplified Arabic" w:hAnsi="Simplified Arabic" w:cs="Simplified Arabic"/>
          <w:b/>
          <w:bCs/>
          <w:rtl/>
        </w:rPr>
        <w:t>)</w:t>
      </w:r>
    </w:p>
    <w:p w14:paraId="7BBCAB5B"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lastRenderedPageBreak/>
        <w:t>التعري</w:t>
      </w:r>
      <w:r>
        <w:rPr>
          <w:rFonts w:ascii="Simplified Arabic" w:hAnsi="Simplified Arabic" w:cs="Simplified Arabic" w:hint="cs"/>
          <w:rtl/>
        </w:rPr>
        <w:t>ف</w:t>
      </w:r>
      <w:r>
        <w:rPr>
          <w:rFonts w:ascii="Simplified Arabic" w:hAnsi="Simplified Arabic" w:cs="Simplified Arabic"/>
          <w:rtl/>
        </w:rPr>
        <w:t xml:space="preserve">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استخدام الأدوات التوليدية مثل </w:t>
      </w:r>
      <w:r>
        <w:rPr>
          <w:rFonts w:ascii="Simplified Arabic" w:hAnsi="Simplified Arabic" w:cs="Simplified Arabic"/>
        </w:rPr>
        <w:t>ChatGPT</w:t>
      </w:r>
      <w:r>
        <w:rPr>
          <w:rFonts w:ascii="Simplified Arabic" w:hAnsi="Simplified Arabic" w:cs="Simplified Arabic"/>
          <w:rtl/>
        </w:rPr>
        <w:t xml:space="preserve"> و </w:t>
      </w:r>
      <w:r>
        <w:rPr>
          <w:rFonts w:ascii="Simplified Arabic" w:hAnsi="Simplified Arabic" w:cs="Simplified Arabic"/>
        </w:rPr>
        <w:t>Midjourney</w:t>
      </w:r>
      <w:r>
        <w:rPr>
          <w:rFonts w:ascii="Simplified Arabic" w:hAnsi="Simplified Arabic" w:cs="Simplified Arabic"/>
          <w:rtl/>
        </w:rPr>
        <w:t xml:space="preserve"> و </w:t>
      </w:r>
      <w:r>
        <w:rPr>
          <w:rFonts w:ascii="Simplified Arabic" w:hAnsi="Simplified Arabic" w:cs="Simplified Arabic"/>
        </w:rPr>
        <w:t>DALL·E</w:t>
      </w:r>
      <w:r>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1006C39D" w14:textId="77777777" w:rsidR="00F035EA" w:rsidRPr="004223DC" w:rsidRDefault="00F035EA" w:rsidP="00F035EA">
      <w:pPr>
        <w:numPr>
          <w:ilvl w:val="0"/>
          <w:numId w:val="6"/>
        </w:numPr>
        <w:bidi/>
        <w:spacing w:after="0"/>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 "الذكاء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Pr>
          <w:rFonts w:ascii="Simplified Arabic" w:hAnsi="Simplified Arabic" w:cs="Simplified Arabic" w:hint="cs"/>
          <w:rtl/>
        </w:rPr>
        <w:t>"</w:t>
      </w:r>
      <w:r>
        <w:rPr>
          <w:rFonts w:ascii="Simplified Arabic" w:hAnsi="Simplified Arabic" w:cs="Simplified Arabic"/>
          <w:rtl/>
        </w:rPr>
        <w:t>(</w:t>
      </w:r>
      <w:r>
        <w:rPr>
          <w:rFonts w:ascii="Simplified Arabic" w:hAnsi="Simplified Arabic" w:cs="Simplified Arabic"/>
        </w:rPr>
        <w:t>SDAIA, 2024</w:t>
      </w:r>
      <w:r>
        <w:rPr>
          <w:rFonts w:ascii="Simplified Arabic" w:hAnsi="Simplified Arabic" w:cs="Simplified Arabic" w:hint="cs"/>
          <w:rtl/>
        </w:rPr>
        <w:t>).</w:t>
      </w:r>
    </w:p>
    <w:p w14:paraId="6E8B13C2"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2. تصميم الحملات التسويقية الرقمية</w:t>
      </w:r>
    </w:p>
    <w:p w14:paraId="6881DC61" w14:textId="77777777" w:rsidR="00F035EA" w:rsidRPr="00173F7B" w:rsidRDefault="00F035EA" w:rsidP="00F035EA">
      <w:pPr>
        <w:numPr>
          <w:ilvl w:val="0"/>
          <w:numId w:val="6"/>
        </w:numPr>
        <w:bidi/>
        <w:rPr>
          <w:rFonts w:ascii="Simplified Arabic" w:hAnsi="Simplified Arabic" w:cs="Simplified Arabic"/>
          <w:color w:val="EE0000"/>
          <w:rtl/>
        </w:rPr>
      </w:pPr>
      <w:r w:rsidRPr="00173F7B">
        <w:rPr>
          <w:rFonts w:ascii="Simplified Arabic" w:hAnsi="Simplified Arabic" w:cs="Simplified Arabic"/>
          <w:color w:val="EE0000"/>
          <w:rtl/>
        </w:rPr>
        <w:t>التعريف الإجرائي:</w:t>
      </w:r>
      <w:r w:rsidRPr="00173F7B">
        <w:rPr>
          <w:rFonts w:ascii="Simplified Arabic" w:hAnsi="Simplified Arabic" w:cs="Simplified Arabic" w:hint="cs"/>
          <w:color w:val="EE0000"/>
          <w:rtl/>
        </w:rPr>
        <w:t xml:space="preserve"> </w:t>
      </w:r>
      <w:r w:rsidRPr="00173F7B">
        <w:rPr>
          <w:rFonts w:ascii="Simplified Arabic" w:hAnsi="Simplified Arabic" w:cs="Simplified Arabic"/>
          <w:color w:val="EE0000"/>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58F06C73"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w:t>
      </w:r>
      <w:r>
        <w:rPr>
          <w:rFonts w:ascii="Simplified Arabic" w:hAnsi="Simplified Arabic" w:cs="Simplified Arabic" w:hint="cs"/>
          <w:rtl/>
        </w:rPr>
        <w:t>ي</w:t>
      </w:r>
      <w:r>
        <w:rPr>
          <w:rFonts w:ascii="Simplified Arabic" w:hAnsi="Simplified Arabic" w:cs="Simplified Arabic"/>
          <w:rtl/>
        </w:rPr>
        <w:t>:</w:t>
      </w:r>
      <w:r>
        <w:rPr>
          <w:rFonts w:ascii="Simplified Arabic" w:hAnsi="Simplified Arabic" w:cs="Simplified Arabic" w:hint="cs"/>
          <w:rtl/>
        </w:rPr>
        <w:t xml:space="preserve"> تعرف بإنها </w:t>
      </w:r>
      <w:r>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Islam et al., 2024</w:t>
      </w:r>
      <w:r>
        <w:rPr>
          <w:rFonts w:ascii="Simplified Arabic" w:hAnsi="Simplified Arabic" w:cs="Simplified Arabic" w:hint="cs"/>
          <w:rtl/>
        </w:rPr>
        <w:t>).</w:t>
      </w:r>
    </w:p>
    <w:p w14:paraId="1A7D513F" w14:textId="77777777" w:rsidR="00F035EA" w:rsidRPr="00675F33"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t>3. توظيف تقنيات الذكاء الاصطناعي</w:t>
      </w:r>
    </w:p>
    <w:p w14:paraId="54A28CB7"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7AFD3679"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hint="cs"/>
          <w:rtl/>
        </w:rPr>
        <w:t>).</w:t>
      </w:r>
    </w:p>
    <w:p w14:paraId="5F1FB2AC"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4. فعالية الأداء التسويقي</w:t>
      </w:r>
    </w:p>
    <w:p w14:paraId="5E164DEB" w14:textId="7B5E04E1" w:rsidR="00F035EA" w:rsidRPr="00173F7B" w:rsidRDefault="00F035EA" w:rsidP="00F035EA">
      <w:pPr>
        <w:numPr>
          <w:ilvl w:val="0"/>
          <w:numId w:val="6"/>
        </w:numPr>
        <w:bidi/>
        <w:rPr>
          <w:rFonts w:ascii="Simplified Arabic" w:hAnsi="Simplified Arabic" w:cs="Simplified Arabic"/>
          <w:color w:val="EE0000"/>
          <w:rtl/>
        </w:rPr>
      </w:pPr>
      <w:r w:rsidRPr="00173F7B">
        <w:rPr>
          <w:rFonts w:ascii="Simplified Arabic" w:hAnsi="Simplified Arabic" w:cs="Simplified Arabic"/>
          <w:color w:val="EE0000"/>
          <w:rtl/>
        </w:rPr>
        <w:t>التعريف الإجرائي:</w:t>
      </w:r>
      <w:r w:rsidRPr="00173F7B">
        <w:rPr>
          <w:rFonts w:ascii="Simplified Arabic" w:hAnsi="Simplified Arabic" w:cs="Simplified Arabic" w:hint="cs"/>
          <w:color w:val="EE0000"/>
          <w:rtl/>
        </w:rPr>
        <w:t xml:space="preserve"> </w:t>
      </w:r>
      <w:r w:rsidRPr="00173F7B">
        <w:rPr>
          <w:rFonts w:ascii="Simplified Arabic" w:hAnsi="Simplified Arabic" w:cs="Simplified Arabic"/>
          <w:color w:val="EE0000"/>
          <w:rtl/>
        </w:rPr>
        <w:t xml:space="preserve">يقصد به في هذه الدراسة </w:t>
      </w:r>
      <w:r w:rsidR="00A87982" w:rsidRPr="00173F7B">
        <w:rPr>
          <w:rFonts w:ascii="Simplified Arabic" w:hAnsi="Simplified Arabic" w:cs="Simplified Arabic"/>
          <w:color w:val="EE0000"/>
          <w:rtl/>
        </w:rPr>
        <w:t>مستوى تحقيق الحملات التسويقية الرقمية في الوكالة لمؤشرات الأداء التسويقي المستهدفة، مثل جودة المحتوى، ومعدل التفاعل، ودقة الاستهداف، وكفاءة الإنفاق التسويقي.</w:t>
      </w:r>
    </w:p>
    <w:p w14:paraId="18B81D9F"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hint="cs"/>
          <w:rtl/>
        </w:rPr>
        <w:t>).</w:t>
      </w:r>
    </w:p>
    <w:p w14:paraId="6A5509CB" w14:textId="77777777" w:rsidR="00F035EA" w:rsidRDefault="00F035EA" w:rsidP="00F035EA">
      <w:pPr>
        <w:bidi/>
        <w:spacing w:before="240" w:after="0" w:line="240" w:lineRule="auto"/>
        <w:rPr>
          <w:rFonts w:ascii="Simplified Arabic" w:hAnsi="Simplified Arabic" w:cs="Simplified Arabic"/>
          <w:rtl/>
        </w:rPr>
      </w:pPr>
      <w:bookmarkStart w:id="1" w:name="_Hlk213563305"/>
      <w:r>
        <w:rPr>
          <w:rFonts w:ascii="Simplified Arabic" w:hAnsi="Simplified Arabic" w:cs="Simplified Arabic"/>
          <w:b/>
          <w:bCs/>
          <w:rtl/>
        </w:rPr>
        <w:t>5. جودة عملية التصميم</w:t>
      </w:r>
    </w:p>
    <w:bookmarkEnd w:id="1"/>
    <w:p w14:paraId="5B6590F4" w14:textId="5EE3D317" w:rsidR="00F035EA" w:rsidRPr="00A87982" w:rsidRDefault="00F035EA" w:rsidP="00A87982">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في هذه الدراسة تُشير إلى</w:t>
      </w:r>
      <w:r w:rsidR="00A87982">
        <w:rPr>
          <w:rFonts w:ascii="Simplified Arabic" w:hAnsi="Simplified Arabic" w:cs="Simplified Arabic" w:hint="cs"/>
          <w:rtl/>
        </w:rPr>
        <w:t xml:space="preserve"> </w:t>
      </w:r>
      <w:r w:rsidR="00A87982" w:rsidRPr="00A87982">
        <w:rPr>
          <w:rFonts w:ascii="Simplified Arabic" w:hAnsi="Simplified Arabic" w:cs="Simplified Arabic"/>
          <w:rtl/>
        </w:rPr>
        <w:t>مستوى جودة عملية تصميم الحملات الرقمية في الوكالة من حيث سرعة الإنجاز، وتنوع البدائل الإبداعية، ودقة استهداف الجمهور، ودرجة تخصيص المحتوى.</w:t>
      </w:r>
    </w:p>
    <w:p w14:paraId="6276C32B"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Pr>
          <w:rFonts w:ascii="Simplified Arabic" w:hAnsi="Simplified Arabic" w:cs="Simplified Arabic" w:hint="cs"/>
          <w:rtl/>
        </w:rPr>
        <w:t xml:space="preserve">" </w:t>
      </w:r>
      <w:r>
        <w:rPr>
          <w:rFonts w:ascii="Simplified Arabic" w:hAnsi="Simplified Arabic" w:cs="Simplified Arabic"/>
        </w:rPr>
        <w:t>.(McKinsey &amp; Company, 2024)</w:t>
      </w:r>
    </w:p>
    <w:p w14:paraId="012A435C" w14:textId="77777777" w:rsidR="00F035EA" w:rsidRPr="00A366CE"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lastRenderedPageBreak/>
        <w:t>6. الدوافع والعوائق</w:t>
      </w:r>
    </w:p>
    <w:p w14:paraId="4D66C1C4" w14:textId="77777777" w:rsidR="00F035EA" w:rsidRPr="00143016" w:rsidRDefault="00F035EA" w:rsidP="00F035EA">
      <w:pPr>
        <w:numPr>
          <w:ilvl w:val="0"/>
          <w:numId w:val="6"/>
        </w:numPr>
        <w:bidi/>
        <w:rPr>
          <w:rFonts w:ascii="Simplified Arabic" w:hAnsi="Simplified Arabic" w:cs="Simplified Arabic"/>
          <w:rtl/>
        </w:rPr>
      </w:pPr>
      <w:r>
        <w:rPr>
          <w:rFonts w:ascii="Simplified Arabic" w:hAnsi="Simplified Arabic" w:cs="Simplified Arabic" w:hint="cs"/>
          <w:rtl/>
        </w:rPr>
        <w:t xml:space="preserve">التعريف الإجرائي: </w:t>
      </w:r>
      <w:r>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7A244F85" w14:textId="77777777" w:rsidR="00F035EA" w:rsidRDefault="00F035EA" w:rsidP="00F035EA">
      <w:pPr>
        <w:numPr>
          <w:ilvl w:val="0"/>
          <w:numId w:val="6"/>
        </w:numPr>
        <w:bidi/>
        <w:rPr>
          <w:rFonts w:ascii="Simplified Arabic" w:hAnsi="Simplified Arabic" w:cs="Simplified Arabic"/>
        </w:rPr>
      </w:pPr>
      <w:r>
        <w:rPr>
          <w:rFonts w:ascii="Simplified Arabic" w:hAnsi="Simplified Arabic" w:cs="Simplified Arabic" w:hint="cs"/>
          <w:rtl/>
        </w:rPr>
        <w:t xml:space="preserve">التعريف المرجعي: </w:t>
      </w:r>
      <w:r>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Pr>
          <w:rFonts w:ascii="Simplified Arabic" w:hAnsi="Simplified Arabic" w:cs="Simplified Arabic" w:hint="cs"/>
          <w:rtl/>
        </w:rPr>
        <w:t xml:space="preserve">"               </w:t>
      </w:r>
      <w:r>
        <w:rPr>
          <w:rFonts w:ascii="Segoe UI" w:hAnsi="Segoe UI" w:cs="Segoe UI"/>
          <w:color w:val="0F1115"/>
          <w:sz w:val="23"/>
          <w:szCs w:val="23"/>
          <w:shd w:val="clear" w:color="auto" w:fill="FFFFFF"/>
        </w:rPr>
        <w:t>(</w:t>
      </w:r>
      <w:proofErr w:type="spellStart"/>
      <w:r>
        <w:rPr>
          <w:rFonts w:ascii="Segoe UI" w:hAnsi="Segoe UI" w:cs="Segoe UI"/>
          <w:color w:val="0F1115"/>
          <w:sz w:val="23"/>
          <w:szCs w:val="23"/>
          <w:shd w:val="clear" w:color="auto" w:fill="FFFFFF"/>
        </w:rPr>
        <w:t>Kılınç</w:t>
      </w:r>
      <w:proofErr w:type="spellEnd"/>
      <w:r>
        <w:rPr>
          <w:rFonts w:ascii="Segoe UI" w:hAnsi="Segoe UI" w:cs="Segoe UI"/>
          <w:color w:val="0F1115"/>
          <w:sz w:val="23"/>
          <w:szCs w:val="23"/>
          <w:shd w:val="clear" w:color="auto" w:fill="FFFFFF"/>
        </w:rPr>
        <w:t xml:space="preserve"> &amp; </w:t>
      </w:r>
      <w:proofErr w:type="spellStart"/>
      <w:r>
        <w:rPr>
          <w:rFonts w:ascii="Segoe UI" w:hAnsi="Segoe UI" w:cs="Segoe UI"/>
          <w:color w:val="0F1115"/>
          <w:sz w:val="23"/>
          <w:szCs w:val="23"/>
          <w:shd w:val="clear" w:color="auto" w:fill="FFFFFF"/>
        </w:rPr>
        <w:t>Keçecioğlu</w:t>
      </w:r>
      <w:proofErr w:type="spellEnd"/>
      <w:r>
        <w:rPr>
          <w:rFonts w:ascii="Segoe UI" w:hAnsi="Segoe UI" w:cs="Segoe UI"/>
          <w:color w:val="0F1115"/>
          <w:sz w:val="23"/>
          <w:szCs w:val="23"/>
          <w:shd w:val="clear" w:color="auto" w:fill="FFFFFF"/>
        </w:rPr>
        <w:t>, 2024)</w:t>
      </w:r>
      <w:r>
        <w:rPr>
          <w:rFonts w:ascii="Simplified Arabic" w:hAnsi="Simplified Arabic" w:cs="Simplified Arabic" w:hint="cs"/>
          <w:rtl/>
        </w:rPr>
        <w:t>.</w:t>
      </w:r>
    </w:p>
    <w:p w14:paraId="5E0BAC62" w14:textId="77777777" w:rsidR="00F035EA" w:rsidRPr="004F2B23" w:rsidRDefault="00F035EA" w:rsidP="00F035EA">
      <w:pPr>
        <w:bidi/>
        <w:ind w:left="360"/>
        <w:rPr>
          <w:rFonts w:ascii="Simplified Arabic" w:hAnsi="Simplified Arabic" w:cs="Simplified Arabic"/>
          <w:sz w:val="18"/>
          <w:szCs w:val="18"/>
          <w:rtl/>
        </w:rPr>
      </w:pPr>
    </w:p>
    <w:p w14:paraId="00E10A3D" w14:textId="77777777" w:rsidR="00F035EA" w:rsidRPr="0062589E" w:rsidRDefault="00F035EA" w:rsidP="00F035EA">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Pr>
          <w:rFonts w:ascii="Sakkal Majalla" w:hAnsi="Sakkal Majalla" w:cs="Sakkal Majalla" w:hint="cs"/>
          <w:b/>
          <w:bCs/>
          <w:color w:val="00B0F0"/>
          <w:sz w:val="32"/>
          <w:szCs w:val="32"/>
          <w:u w:val="single"/>
          <w:rtl/>
        </w:rPr>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(الموضوعية، المكانية ، الزمانية ، البشرية)</w:t>
      </w:r>
    </w:p>
    <w:p w14:paraId="54528972" w14:textId="77777777" w:rsidR="00F035EA" w:rsidRPr="004223DC" w:rsidRDefault="00F035EA" w:rsidP="00F035EA">
      <w:pPr>
        <w:bidi/>
        <w:rPr>
          <w:rFonts w:ascii="Simplified Arabic" w:hAnsi="Simplified Arabic" w:cs="Simplified Arabic"/>
          <w:rtl/>
        </w:rPr>
      </w:pPr>
      <w:r>
        <w:rPr>
          <w:rFonts w:ascii="Simplified Arabic" w:hAnsi="Simplified Arabic" w:cs="Simplified Arabic"/>
          <w:rtl/>
        </w:rPr>
        <w:t>ستلتزم الدراسة بالحدود التالية التي تحدد نطاقها الإجرائي والمعرفي:</w:t>
      </w:r>
    </w:p>
    <w:p w14:paraId="7D6FB899"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الموضوعية: 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4209B740"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المكانية: 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250158DA" w14:textId="77777777" w:rsidR="00407B68" w:rsidRPr="00407B68" w:rsidRDefault="00407B68" w:rsidP="00F035EA">
      <w:pPr>
        <w:numPr>
          <w:ilvl w:val="0"/>
          <w:numId w:val="1"/>
        </w:numPr>
        <w:bidi/>
        <w:rPr>
          <w:rFonts w:ascii="Simplified Arabic" w:hAnsi="Simplified Arabic" w:cs="Simplified Arabic"/>
          <w:color w:val="EE0000"/>
        </w:rPr>
      </w:pPr>
      <w:r w:rsidRPr="00407B68">
        <w:rPr>
          <w:rFonts w:ascii="Simplified Arabic" w:hAnsi="Simplified Arabic" w:cs="Simplified Arabic"/>
          <w:color w:val="EE0000"/>
          <w:rtl/>
        </w:rPr>
        <w:t>الحدود الزمانية: تغطي الدراسة الفترة الزمنية المخططة للتطبيق الميداني بعد الحصول على الموافقات اللازمة خلال العام 2026م، وهي الفترة التي سيُنجز فيها جمع البيانات وتحليلها.</w:t>
      </w:r>
    </w:p>
    <w:p w14:paraId="5323DDC5" w14:textId="7160AE08" w:rsidR="00F035EA" w:rsidRDefault="00F035EA" w:rsidP="00407B68">
      <w:pPr>
        <w:numPr>
          <w:ilvl w:val="0"/>
          <w:numId w:val="1"/>
        </w:numPr>
        <w:bidi/>
        <w:rPr>
          <w:rFonts w:ascii="Simplified Arabic" w:hAnsi="Simplified Arabic" w:cs="Simplified Arabic"/>
        </w:rPr>
      </w:pPr>
      <w:r>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2FBCDD6E" w14:textId="77777777" w:rsidR="00173F7B" w:rsidRDefault="00173F7B" w:rsidP="00173F7B">
      <w:pPr>
        <w:bidi/>
        <w:ind w:left="720"/>
        <w:rPr>
          <w:rFonts w:ascii="Simplified Arabic" w:hAnsi="Simplified Arabic" w:cs="Simplified Arabic"/>
        </w:rPr>
      </w:pPr>
    </w:p>
    <w:p w14:paraId="21FFC315" w14:textId="77777777" w:rsidR="00F035EA" w:rsidRPr="00A20BAB"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الإطار النظري</w:t>
      </w:r>
    </w:p>
    <w:p w14:paraId="6BEBC169" w14:textId="77777777" w:rsidR="00F035EA" w:rsidRPr="00A20BAB"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w:t>
      </w:r>
      <w:r>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4E67CF9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الذكاء الاصطناعي التوليدي وتقنياته</w:t>
      </w:r>
    </w:p>
    <w:p w14:paraId="7F944DE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تعريف الذكاء الاصطناعي التوليدي وكيف يختلف عن الأنواع الأخرى من الذكاء الاصطناعي</w:t>
      </w:r>
    </w:p>
    <w:p w14:paraId="777D02D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يشير الذكاء الاصطناعي التوليدي (</w:t>
      </w:r>
      <w:r>
        <w:rPr>
          <w:rFonts w:ascii="Simplified Arabic" w:hAnsi="Simplified Arabic" w:cs="Simplified Arabic"/>
        </w:rPr>
        <w:t>Generative AI</w:t>
      </w:r>
      <w:r>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proofErr w:type="spellStart"/>
      <w:r>
        <w:rPr>
          <w:rFonts w:ascii="Simplified Arabic" w:hAnsi="Simplified Arabic" w:cs="Simplified Arabic"/>
        </w:rPr>
        <w:t>Kılınç</w:t>
      </w:r>
      <w:proofErr w:type="spellEnd"/>
      <w:r>
        <w:rPr>
          <w:rFonts w:ascii="Simplified Arabic" w:hAnsi="Simplified Arabic" w:cs="Simplified Arabic"/>
        </w:rPr>
        <w:t xml:space="preserve"> &amp; </w:t>
      </w:r>
      <w:proofErr w:type="spellStart"/>
      <w:r>
        <w:rPr>
          <w:rFonts w:ascii="Simplified Arabic" w:hAnsi="Simplified Arabic" w:cs="Simplified Arabic"/>
        </w:rPr>
        <w:t>Keçecio</w:t>
      </w:r>
      <w:r>
        <w:rPr>
          <w:rFonts w:ascii="Cambria" w:hAnsi="Cambria" w:cs="Cambria"/>
        </w:rPr>
        <w:t>ğ</w:t>
      </w:r>
      <w:r>
        <w:rPr>
          <w:rFonts w:ascii="Simplified Arabic" w:hAnsi="Simplified Arabic" w:cs="Simplified Arabic"/>
        </w:rPr>
        <w:t>lu</w:t>
      </w:r>
      <w:proofErr w:type="spellEnd"/>
      <w:r>
        <w:rPr>
          <w:rFonts w:ascii="Simplified Arabic" w:hAnsi="Simplified Arabic" w:cs="Simplified Arabic"/>
        </w:rPr>
        <w:t>, 2024</w:t>
      </w:r>
      <w:r>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Pr>
          <w:rFonts w:ascii="Simplified Arabic" w:hAnsi="Simplified Arabic" w:cs="Simplified Arabic"/>
        </w:rPr>
        <w:t>Islam et al., 2024</w:t>
      </w:r>
      <w:r>
        <w:rPr>
          <w:rFonts w:ascii="Simplified Arabic" w:hAnsi="Simplified Arabic" w:cs="Simplified Arabic"/>
          <w:rtl/>
        </w:rPr>
        <w:t>).</w:t>
      </w:r>
    </w:p>
    <w:p w14:paraId="11E2B1D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lastRenderedPageBreak/>
        <w:t xml:space="preserve"> </w:t>
      </w:r>
      <w:r>
        <w:rPr>
          <w:rFonts w:ascii="Simplified Arabic" w:hAnsi="Simplified Arabic" w:cs="Simplified Arabic"/>
          <w:rtl/>
        </w:rPr>
        <w:t>ويمكن توضيح هذا الفرق في ثلاثة أبعاد مترابطة:</w:t>
      </w:r>
    </w:p>
    <w:p w14:paraId="40CE81A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الاختلاف في طبيعة الوظيفة</w:t>
      </w:r>
    </w:p>
    <w:p w14:paraId="4D5145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41EFAAA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الاختلاف في موقع الاستخدام داخل العملية التسويقية</w:t>
      </w:r>
    </w:p>
    <w:p w14:paraId="2272B9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rtl/>
        </w:rPr>
        <w:t>).</w:t>
      </w:r>
    </w:p>
    <w:p w14:paraId="26325FF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الاختلاف في مسار التأثير على النتائج التسويقية</w:t>
      </w:r>
    </w:p>
    <w:p w14:paraId="7598A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7B40452B"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تشغيلي مباشر: تقليل الوقت والجهد اللازمين لإنتاج المحتوى الأولي.</w:t>
      </w:r>
    </w:p>
    <w:p w14:paraId="6BAA82F9"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Pr>
          <w:rFonts w:ascii="Simplified Arabic" w:hAnsi="Simplified Arabic" w:cs="Simplified Arabic"/>
        </w:rPr>
        <w:t>Nuremberg Institute for Market Decisions, 2024</w:t>
      </w:r>
      <w:r>
        <w:rPr>
          <w:rFonts w:ascii="Simplified Arabic" w:hAnsi="Simplified Arabic" w:cs="Simplified Arabic"/>
          <w:rtl/>
        </w:rPr>
        <w:t>).</w:t>
      </w:r>
    </w:p>
    <w:p w14:paraId="076F6A2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أهم النماذج والأدوات وكيفية عملها</w:t>
      </w:r>
    </w:p>
    <w:p w14:paraId="5847BF4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1.</w:t>
      </w:r>
      <w:r>
        <w:rPr>
          <w:rFonts w:ascii="Simplified Arabic" w:hAnsi="Simplified Arabic" w:cs="Simplified Arabic"/>
          <w:rtl/>
        </w:rPr>
        <w:t xml:space="preserve"> النماذج التوليدية النصية (مثل </w:t>
      </w:r>
      <w:r>
        <w:rPr>
          <w:rFonts w:ascii="Simplified Arabic" w:hAnsi="Simplified Arabic" w:cs="Simplified Arabic"/>
        </w:rPr>
        <w:t>ChatGPT</w:t>
      </w:r>
      <w:r>
        <w:rPr>
          <w:rFonts w:ascii="Simplified Arabic" w:hAnsi="Simplified Arabic" w:cs="Simplified Arabic"/>
          <w:rtl/>
        </w:rPr>
        <w:t>)</w:t>
      </w:r>
    </w:p>
    <w:p w14:paraId="53818BE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Pr>
          <w:rFonts w:ascii="Simplified Arabic" w:hAnsi="Simplified Arabic" w:cs="Simplified Arabic"/>
        </w:rPr>
        <w:t>ChatGPT</w:t>
      </w:r>
      <w:r>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Pr>
          <w:rFonts w:ascii="Simplified Arabic" w:hAnsi="Simplified Arabic" w:cs="Simplified Arabic"/>
        </w:rPr>
        <w:t>Prompts</w:t>
      </w:r>
      <w:r>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Pr>
          <w:rFonts w:ascii="Simplified Arabic" w:hAnsi="Simplified Arabic" w:cs="Simplified Arabic"/>
        </w:rPr>
        <w:t>Islam et al., 2024</w:t>
      </w:r>
      <w:r>
        <w:rPr>
          <w:rFonts w:ascii="Simplified Arabic" w:hAnsi="Simplified Arabic" w:cs="Simplified Arabic"/>
          <w:rtl/>
        </w:rPr>
        <w:t>).</w:t>
      </w:r>
    </w:p>
    <w:p w14:paraId="2BE06AC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Pr>
          <w:rFonts w:ascii="Simplified Arabic" w:hAnsi="Simplified Arabic" w:cs="Simplified Arabic"/>
        </w:rPr>
        <w:t>Heitmann, 2024</w:t>
      </w:r>
      <w:r>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B6DB3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2.</w:t>
      </w:r>
      <w:r>
        <w:rPr>
          <w:rFonts w:ascii="Simplified Arabic" w:hAnsi="Simplified Arabic" w:cs="Simplified Arabic"/>
          <w:rtl/>
        </w:rPr>
        <w:t xml:space="preserve"> النماذج التوليدية البصرية (مثل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w:t>
      </w:r>
    </w:p>
    <w:p w14:paraId="1A94D97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تُستخدم الأدوات البصرية التوليدية—مثل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—في إنشاء صور أو تصورات بصرية انطلاقًا من وصف نصي، أو في تطوير بدائل متعددة للمشهد البصري الواحد. وتعتمد هذه الأدوات على نماذج توليد حديثة تُحوِّل </w:t>
      </w:r>
      <w:r>
        <w:rPr>
          <w:rFonts w:ascii="Simplified Arabic" w:hAnsi="Simplified Arabic" w:cs="Simplified Arabic"/>
          <w:rtl/>
        </w:rPr>
        <w:lastRenderedPageBreak/>
        <w:t>الوصف اللغوي إلى مخرجات بصرية، مع إمكانية تحسين النتائج تدريجيًا من خلال تعديل الوصف أو إضافة قيود متعلقة بالأسلوب أو التكوين أو الاستخدام الإعلاني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w:t>
      </w:r>
    </w:p>
    <w:p w14:paraId="5B6662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Pr>
          <w:rFonts w:ascii="Simplified Arabic" w:hAnsi="Simplified Arabic" w:cs="Simplified Arabic"/>
        </w:rPr>
        <w:t>Gujar &amp; Panyam, 2024</w:t>
      </w:r>
      <w:r>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Pr>
          <w:rFonts w:ascii="Simplified Arabic" w:hAnsi="Simplified Arabic" w:cs="Simplified Arabic"/>
        </w:rPr>
        <w:t>Heitmann, 2024</w:t>
      </w:r>
      <w:r>
        <w:rPr>
          <w:rFonts w:ascii="Simplified Arabic" w:hAnsi="Simplified Arabic" w:cs="Simplified Arabic"/>
          <w:rtl/>
        </w:rPr>
        <w:t>).</w:t>
      </w:r>
    </w:p>
    <w:p w14:paraId="01E24B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3.</w:t>
      </w:r>
      <w:r>
        <w:rPr>
          <w:rFonts w:ascii="Simplified Arabic" w:hAnsi="Simplified Arabic" w:cs="Simplified Arabic"/>
          <w:rtl/>
        </w:rPr>
        <w:t xml:space="preserve"> أدوات التوليد متعددة الوسائط ودعم المحتوى التسويقي المركب</w:t>
      </w:r>
    </w:p>
    <w:p w14:paraId="6182A96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w:t>
      </w:r>
    </w:p>
    <w:p w14:paraId="6CA8A0A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4.</w:t>
      </w:r>
      <w:r>
        <w:rPr>
          <w:rFonts w:ascii="Simplified Arabic" w:hAnsi="Simplified Arabic" w:cs="Simplified Arabic"/>
          <w:rtl/>
        </w:rPr>
        <w:t xml:space="preserve"> كيف تعمل هذه الأدوات عمليًا داخل السياق التسويقي؟</w:t>
      </w:r>
    </w:p>
    <w:p w14:paraId="1C2893F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5BC14E75"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21EBD5A4"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توليد مخرجات أولية: تنتج الأداة نصًا أو صورة أو بدائل متعددة تمثل نقطة انطلاق إبداعية.</w:t>
      </w:r>
    </w:p>
    <w:p w14:paraId="6F6FC712"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المراجعة والتوجيه التكراري: تُعدَّل الأوامر أو القيود لتحسين الملاءمة والجودة والاتساق.</w:t>
      </w:r>
    </w:p>
    <w:p w14:paraId="2E34FD38"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Pr>
          <w:rFonts w:ascii="Simplified Arabic" w:hAnsi="Simplified Arabic" w:cs="Simplified Arabic"/>
        </w:rPr>
        <w:t>IAB Tech Lab, 2024</w:t>
      </w:r>
      <w:r>
        <w:rPr>
          <w:rFonts w:ascii="Simplified Arabic" w:hAnsi="Simplified Arabic" w:cs="Simplified Arabic"/>
          <w:rtl/>
        </w:rPr>
        <w:t>).</w:t>
      </w:r>
    </w:p>
    <w:p w14:paraId="41E3149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rtl/>
        </w:rPr>
        <w:t xml:space="preserve"> هندسة التلقين بوصفها عاملًا حاكمًا لجودة مخرجات الأدوات</w:t>
      </w:r>
    </w:p>
    <w:p w14:paraId="3F9A27D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Pr>
          <w:rFonts w:ascii="Simplified Arabic" w:hAnsi="Simplified Arabic" w:cs="Simplified Arabic"/>
        </w:rPr>
        <w:t>Prompt Engineering</w:t>
      </w:r>
      <w:r>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17F66EE5" w14:textId="77777777" w:rsidR="00F035EA" w:rsidRPr="00A20BAB" w:rsidRDefault="00F035EA" w:rsidP="00F035EA">
      <w:pPr>
        <w:bidi/>
        <w:jc w:val="both"/>
        <w:rPr>
          <w:rFonts w:ascii="Simplified Arabic" w:hAnsi="Simplified Arabic" w:cs="Simplified Arabic"/>
          <w:rtl/>
        </w:rPr>
      </w:pPr>
    </w:p>
    <w:p w14:paraId="6409053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مراحل تصميم الحملات التسويقية الرقمية</w:t>
      </w:r>
    </w:p>
    <w:p w14:paraId="491A918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مراحل التخطيط للحملة</w:t>
      </w:r>
      <w:r>
        <w:rPr>
          <w:rFonts w:ascii="Simplified Arabic" w:hAnsi="Simplified Arabic" w:cs="Simplified Arabic" w:hint="cs"/>
          <w:b/>
          <w:bCs/>
          <w:rtl/>
        </w:rPr>
        <w:t xml:space="preserve"> التسويقية</w:t>
      </w:r>
    </w:p>
    <w:p w14:paraId="1B4EEEB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مركزية، وهي: تحديد الأهداف، تحليل الجمهور، اختيار القنوات، إنشاء المحتوى، التنفيذ والمتابعة (</w:t>
      </w:r>
      <w:r>
        <w:rPr>
          <w:rFonts w:ascii="Simplified Arabic" w:hAnsi="Simplified Arabic" w:cs="Simplified Arabic"/>
        </w:rPr>
        <w:t>Sharabati et al., 2024</w:t>
      </w:r>
      <w:r>
        <w:rPr>
          <w:rFonts w:ascii="Simplified Arabic" w:hAnsi="Simplified Arabic" w:cs="Simplified Arabic"/>
          <w:rtl/>
        </w:rPr>
        <w:t xml:space="preserve">؛ </w:t>
      </w:r>
      <w:r>
        <w:rPr>
          <w:rFonts w:ascii="Simplified Arabic" w:hAnsi="Simplified Arabic" w:cs="Simplified Arabic"/>
        </w:rPr>
        <w:t>Social Media Today, 2025</w:t>
      </w:r>
      <w:r>
        <w:rPr>
          <w:rFonts w:ascii="Simplified Arabic" w:hAnsi="Simplified Arabic" w:cs="Simplified Arabic"/>
          <w:rtl/>
        </w:rPr>
        <w:t>).</w:t>
      </w:r>
      <w:r>
        <w:rPr>
          <w:rFonts w:ascii="Simplified Arabic" w:hAnsi="Simplified Arabic" w:cs="Simplified Arabic" w:hint="cs"/>
          <w:rtl/>
        </w:rPr>
        <w:t xml:space="preserve"> </w:t>
      </w:r>
    </w:p>
    <w:p w14:paraId="3E28E58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مرحلة تحديد الأهداف التسويقية للحملة</w:t>
      </w:r>
    </w:p>
    <w:p w14:paraId="41FA605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Pr>
          <w:rFonts w:ascii="Simplified Arabic" w:hAnsi="Simplified Arabic" w:cs="Simplified Arabic"/>
        </w:rPr>
        <w:t>Sharabati et al., 2024</w:t>
      </w:r>
      <w:r>
        <w:rPr>
          <w:rFonts w:ascii="Simplified Arabic" w:hAnsi="Simplified Arabic" w:cs="Simplified Arabic"/>
          <w:rtl/>
        </w:rPr>
        <w:t>).</w:t>
      </w:r>
    </w:p>
    <w:p w14:paraId="3D4E731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مرحلة تحليل الجمهور المستهدف</w:t>
      </w:r>
    </w:p>
    <w:p w14:paraId="05A348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Pr>
          <w:rFonts w:ascii="Simplified Arabic" w:hAnsi="Simplified Arabic" w:cs="Simplified Arabic"/>
        </w:rPr>
        <w:t>Mendoza et al., 2025</w:t>
      </w:r>
      <w:r>
        <w:rPr>
          <w:rFonts w:ascii="Simplified Arabic" w:hAnsi="Simplified Arabic" w:cs="Simplified Arabic"/>
          <w:rtl/>
        </w:rPr>
        <w:t>).</w:t>
      </w:r>
    </w:p>
    <w:p w14:paraId="6429C09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مرحلة اختيار القنوات والمنصات الرقمية</w:t>
      </w:r>
    </w:p>
    <w:p w14:paraId="30CE437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Pr>
          <w:rFonts w:ascii="Simplified Arabic" w:hAnsi="Simplified Arabic" w:cs="Simplified Arabic"/>
        </w:rPr>
        <w:t>Sharabati et al., 2024</w:t>
      </w:r>
      <w:r>
        <w:rPr>
          <w:rFonts w:ascii="Simplified Arabic" w:hAnsi="Simplified Arabic" w:cs="Simplified Arabic"/>
          <w:rtl/>
        </w:rPr>
        <w:t>).</w:t>
      </w:r>
    </w:p>
    <w:p w14:paraId="73FEE13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مرحلة إنشاء المحتوى وتصميم الرسائل الإبداعية</w:t>
      </w:r>
    </w:p>
    <w:p w14:paraId="1D6B0A12" w14:textId="2E6E05C5" w:rsidR="00173F7B" w:rsidRPr="00A20BAB" w:rsidRDefault="00F035EA" w:rsidP="00173F7B">
      <w:pPr>
        <w:bidi/>
        <w:jc w:val="both"/>
        <w:rPr>
          <w:rFonts w:ascii="Simplified Arabic" w:hAnsi="Simplified Arabic" w:cs="Simplified Arabic"/>
          <w:rtl/>
        </w:rPr>
      </w:pPr>
      <w:r>
        <w:rPr>
          <w:rFonts w:ascii="Simplified Arabic" w:hAnsi="Simplified Arabic" w:cs="Simplified Arabic"/>
          <w:rtl/>
        </w:rPr>
        <w:t>تمثل</w:t>
      </w:r>
      <w:r>
        <w:rPr>
          <w:rFonts w:ascii="Simplified Arabic" w:hAnsi="Simplified Arabic" w:cs="Simplified Arabic" w:hint="cs"/>
          <w:rtl/>
        </w:rPr>
        <w:t xml:space="preserve"> هذه المرحلة</w:t>
      </w:r>
      <w:r>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22A618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5) مرحلة التنفيذ والمتابعة والتقويم</w:t>
      </w:r>
    </w:p>
    <w:p w14:paraId="5912463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Pr>
          <w:rFonts w:ascii="Simplified Arabic" w:hAnsi="Simplified Arabic" w:cs="Simplified Arabic" w:hint="cs"/>
          <w:rtl/>
        </w:rPr>
        <w:t xml:space="preserve"> </w:t>
      </w:r>
    </w:p>
    <w:p w14:paraId="169D35B4" w14:textId="77777777" w:rsidR="00F035EA" w:rsidRPr="00A20BAB" w:rsidRDefault="00F035EA" w:rsidP="00F035EA">
      <w:pPr>
        <w:bidi/>
        <w:jc w:val="both"/>
        <w:rPr>
          <w:rFonts w:ascii="Simplified Arabic" w:hAnsi="Simplified Arabic" w:cs="Simplified Arabic"/>
          <w:rtl/>
        </w:rPr>
      </w:pPr>
    </w:p>
    <w:p w14:paraId="2821F40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lastRenderedPageBreak/>
        <w:t xml:space="preserve">ثانياً: توضيح </w:t>
      </w:r>
      <w:r>
        <w:rPr>
          <w:rFonts w:ascii="Simplified Arabic" w:hAnsi="Simplified Arabic" w:cs="Simplified Arabic"/>
          <w:b/>
          <w:bCs/>
          <w:rtl/>
        </w:rPr>
        <w:t>كيف يمكن للذكاء الاصطناعي أن يدعم كل مرحلة</w:t>
      </w:r>
    </w:p>
    <w:p w14:paraId="399AE4B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Pr>
          <w:rFonts w:ascii="Simplified Arabic" w:hAnsi="Simplified Arabic" w:cs="Simplified Arabic"/>
        </w:rPr>
        <w:t>Nguyen et al., 2025</w:t>
      </w:r>
      <w:r>
        <w:rPr>
          <w:rFonts w:ascii="Simplified Arabic" w:hAnsi="Simplified Arabic" w:cs="Simplified Arabic"/>
          <w:rtl/>
        </w:rPr>
        <w:t>).</w:t>
      </w:r>
    </w:p>
    <w:p w14:paraId="0645213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دعم مرحلة تحديد الأهداف</w:t>
      </w:r>
    </w:p>
    <w:p w14:paraId="251801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Pr>
          <w:rFonts w:ascii="Simplified Arabic" w:hAnsi="Simplified Arabic" w:cs="Simplified Arabic"/>
        </w:rPr>
        <w:t>Doshi et al., 2025</w:t>
      </w:r>
      <w:r>
        <w:rPr>
          <w:rFonts w:ascii="Simplified Arabic" w:hAnsi="Simplified Arabic" w:cs="Simplified Arabic"/>
          <w:rtl/>
        </w:rPr>
        <w:t>).</w:t>
      </w:r>
    </w:p>
    <w:p w14:paraId="2500CF3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دعم مرحلة تحليل الجمهور المستهدف</w:t>
      </w:r>
    </w:p>
    <w:p w14:paraId="2B19A1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Pr>
          <w:rFonts w:ascii="Simplified Arabic" w:hAnsi="Simplified Arabic" w:cs="Simplified Arabic"/>
        </w:rPr>
        <w:t>Personas</w:t>
      </w:r>
      <w:r>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xml:space="preserve">؛ </w:t>
      </w:r>
      <w:r>
        <w:rPr>
          <w:rFonts w:ascii="Simplified Arabic" w:hAnsi="Simplified Arabic" w:cs="Simplified Arabic"/>
        </w:rPr>
        <w:t>SDAIA, 2024</w:t>
      </w:r>
      <w:r>
        <w:rPr>
          <w:rFonts w:ascii="Simplified Arabic" w:hAnsi="Simplified Arabic" w:cs="Simplified Arabic"/>
          <w:rtl/>
        </w:rPr>
        <w:t>).</w:t>
      </w:r>
    </w:p>
    <w:p w14:paraId="11632F9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مرحلة اختيار القنوات والمنصات</w:t>
      </w:r>
    </w:p>
    <w:p w14:paraId="2525965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Pr>
          <w:rFonts w:ascii="Simplified Arabic" w:hAnsi="Simplified Arabic" w:cs="Simplified Arabic"/>
        </w:rPr>
        <w:t>Islam et al., 2024</w:t>
      </w:r>
      <w:r>
        <w:rPr>
          <w:rFonts w:ascii="Simplified Arabic" w:hAnsi="Simplified Arabic" w:cs="Simplified Arabic"/>
          <w:rtl/>
        </w:rPr>
        <w:t>).</w:t>
      </w:r>
    </w:p>
    <w:p w14:paraId="2E04487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دعم مرحلة إنشاء المحتوى وتصميم الرسائل</w:t>
      </w:r>
    </w:p>
    <w:p w14:paraId="755CC90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يمثل هذا المجال الاستخدام الأكثر مركزية للذكاء الاصطناعي التوليدي، ويتجلى في:</w:t>
      </w:r>
    </w:p>
    <w:p w14:paraId="039A1766"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النصوص التسويقية عبر توليد نسخ إعلانية وعناوين ورسائل متعددة (</w:t>
      </w:r>
      <w:proofErr w:type="spellStart"/>
      <w:r>
        <w:rPr>
          <w:rFonts w:ascii="Simplified Arabic" w:hAnsi="Simplified Arabic" w:cs="Simplified Arabic"/>
        </w:rPr>
        <w:t>Heitmann</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49805A8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العناصر البصرية عبر بناء تصورات أولية وبدائل تصميمية قابلة للمقارنة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5C1DC8E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دعم التكامل الإبداعي عبر المنصات من خلال تكييف الرسالة نفسها بما يناسب خصائص كل قناة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w:t>
      </w:r>
    </w:p>
    <w:p w14:paraId="7FDF522A" w14:textId="4DE01701" w:rsidR="00F035EA" w:rsidRPr="00A20BAB" w:rsidRDefault="00F035EA" w:rsidP="00173F7B">
      <w:pPr>
        <w:bidi/>
        <w:jc w:val="both"/>
        <w:rPr>
          <w:rFonts w:ascii="Simplified Arabic" w:hAnsi="Simplified Arabic" w:cs="Simplified Arabic"/>
          <w:rtl/>
        </w:rPr>
      </w:pPr>
      <w:r>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35601AB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5. دعم مرحلة التنفيذ والمتابعة والتحسين أثناء الحملة</w:t>
      </w:r>
    </w:p>
    <w:p w14:paraId="42ED589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266B58BE" w14:textId="77777777" w:rsidR="00F035EA" w:rsidRPr="00A20BAB" w:rsidRDefault="00F035EA" w:rsidP="00F035EA">
      <w:pPr>
        <w:bidi/>
        <w:jc w:val="both"/>
        <w:rPr>
          <w:rFonts w:ascii="Simplified Arabic" w:hAnsi="Simplified Arabic" w:cs="Simplified Arabic"/>
          <w:rtl/>
        </w:rPr>
      </w:pPr>
    </w:p>
    <w:p w14:paraId="7F382EFC"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دور الذكاء الاصطناعي التوليدي في تصميم الحملات</w:t>
      </w:r>
    </w:p>
    <w:p w14:paraId="296F821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أفرع تطبيق الذكاء الاصطناعي التوليدي في تصميم الحملات</w:t>
      </w:r>
    </w:p>
    <w:p w14:paraId="35DD9E1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توليد النصوص التسويقية</w:t>
      </w:r>
    </w:p>
    <w:p w14:paraId="1205CE7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Pr>
          <w:rFonts w:ascii="Simplified Arabic" w:hAnsi="Simplified Arabic" w:cs="Simplified Arabic"/>
        </w:rPr>
        <w:t>Islam et al., 2024</w:t>
      </w:r>
      <w:r>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r>
        <w:rPr>
          <w:rFonts w:ascii="Simplified Arabic" w:hAnsi="Simplified Arabic" w:cs="Simplified Arabic" w:hint="cs"/>
          <w:rtl/>
        </w:rPr>
        <w:t xml:space="preserve"> </w:t>
      </w:r>
    </w:p>
    <w:p w14:paraId="03CF62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Pr>
          <w:rFonts w:ascii="Simplified Arabic" w:hAnsi="Simplified Arabic" w:cs="Simplified Arabic" w:hint="cs"/>
          <w:rtl/>
        </w:rPr>
        <w:t>.</w:t>
      </w:r>
    </w:p>
    <w:p w14:paraId="4610566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توليد الصور والتصاميم الإعلانية</w:t>
      </w:r>
    </w:p>
    <w:p w14:paraId="7BCFAE5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 كما تساعد الأدوات البصرية التوليدية على تسريع إنتاج النماذج الأولية (</w:t>
      </w:r>
      <w:r>
        <w:rPr>
          <w:rFonts w:ascii="Simplified Arabic" w:hAnsi="Simplified Arabic" w:cs="Simplified Arabic"/>
        </w:rPr>
        <w:t>Mockups</w:t>
      </w:r>
      <w:r>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Pr>
          <w:rFonts w:ascii="Simplified Arabic" w:hAnsi="Simplified Arabic" w:cs="Simplified Arabic"/>
        </w:rPr>
        <w:t>Gujar &amp; Panyam, 2024</w:t>
      </w:r>
      <w:r>
        <w:rPr>
          <w:rFonts w:ascii="Simplified Arabic" w:hAnsi="Simplified Arabic" w:cs="Simplified Arabic"/>
          <w:rtl/>
        </w:rPr>
        <w:t>).</w:t>
      </w:r>
    </w:p>
    <w:p w14:paraId="69613D2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ومن منظور ا</w:t>
      </w:r>
      <w:r>
        <w:rPr>
          <w:rFonts w:ascii="Simplified Arabic" w:hAnsi="Simplified Arabic" w:cs="Simplified Arabic" w:hint="cs"/>
          <w:rtl/>
        </w:rPr>
        <w:t>لباحث</w:t>
      </w:r>
      <w:r>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Pr>
          <w:rFonts w:ascii="Simplified Arabic" w:hAnsi="Simplified Arabic" w:cs="Simplified Arabic"/>
        </w:rPr>
        <w:t>Heitmann, 2024</w:t>
      </w:r>
      <w:r>
        <w:rPr>
          <w:rFonts w:ascii="Simplified Arabic" w:hAnsi="Simplified Arabic" w:cs="Simplified Arabic"/>
          <w:rtl/>
        </w:rPr>
        <w:t>).</w:t>
      </w:r>
    </w:p>
    <w:p w14:paraId="527364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إنتاج الفيديوهات التسويقية والمحتوى متعدد الوسائط</w:t>
      </w:r>
    </w:p>
    <w:p w14:paraId="2FE7F9B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 ويكتسب هذا البعد أهمية خاصة في الحملات الرقمية الحديثة التي تعتمد على المحتوى القصير والمتجدد والموجّه لمنصات متعددة.</w:t>
      </w:r>
    </w:p>
    <w:p w14:paraId="71647032"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lastRenderedPageBreak/>
        <w:t>ثانيًا: التخصيص الدقيق للمحتوى واستهداف الجمهور المناسب</w:t>
      </w:r>
    </w:p>
    <w:p w14:paraId="3531124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Pr>
          <w:rFonts w:ascii="Simplified Arabic" w:hAnsi="Simplified Arabic" w:cs="Simplified Arabic"/>
        </w:rPr>
        <w:t>Mendoza et al., 2025</w:t>
      </w:r>
      <w:r>
        <w:rPr>
          <w:rFonts w:ascii="Simplified Arabic" w:hAnsi="Simplified Arabic" w:cs="Simplified Arabic"/>
          <w:rtl/>
        </w:rPr>
        <w:t>).</w:t>
      </w:r>
    </w:p>
    <w:p w14:paraId="3696AE5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ويتجلى هذا الدور في ثلاث وظائف مترابطة:</w:t>
      </w:r>
    </w:p>
    <w:p w14:paraId="4DAA3DAE"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Pr>
          <w:rFonts w:ascii="Simplified Arabic" w:hAnsi="Simplified Arabic" w:cs="Simplified Arabic"/>
        </w:rPr>
        <w:t>Wang et al., 2025</w:t>
      </w:r>
      <w:r>
        <w:rPr>
          <w:rFonts w:ascii="Simplified Arabic" w:hAnsi="Simplified Arabic" w:cs="Simplified Arabic"/>
          <w:rtl/>
        </w:rPr>
        <w:t>).</w:t>
      </w:r>
    </w:p>
    <w:p w14:paraId="170D1767"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تكييف المحتوى بحسب المنصة الرقمية مع تعديل الطول والصياغة والإيقاع وفق خصائص كل قناة (</w:t>
      </w:r>
      <w:r>
        <w:rPr>
          <w:rFonts w:ascii="Simplified Arabic" w:hAnsi="Simplified Arabic" w:cs="Simplified Arabic"/>
        </w:rPr>
        <w:t>Islam et al., 2024</w:t>
      </w:r>
      <w:r>
        <w:rPr>
          <w:rFonts w:ascii="Simplified Arabic" w:hAnsi="Simplified Arabic" w:cs="Simplified Arabic"/>
          <w:rtl/>
        </w:rPr>
        <w:t>).</w:t>
      </w:r>
    </w:p>
    <w:p w14:paraId="6C478010"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تسريع إنتاج بدائل اختبارية للتخصيص بما يدعم التجريب والتحسين المستمر أثناء الحملة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0E08E81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Pr>
          <w:rFonts w:ascii="Simplified Arabic" w:hAnsi="Simplified Arabic" w:cs="Simplified Arabic"/>
        </w:rPr>
        <w:t>SDAIA, 2024</w:t>
      </w:r>
      <w:r>
        <w:rPr>
          <w:rFonts w:ascii="Simplified Arabic" w:hAnsi="Simplified Arabic" w:cs="Simplified Arabic"/>
          <w:rtl/>
        </w:rPr>
        <w:t>).</w:t>
      </w:r>
    </w:p>
    <w:p w14:paraId="06BD759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تحليل البيانات الضخمة وتحسين القرارات أثناء الحملة</w:t>
      </w:r>
    </w:p>
    <w:p w14:paraId="2D548E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Pr>
          <w:rFonts w:ascii="Simplified Arabic" w:hAnsi="Simplified Arabic" w:cs="Simplified Arabic"/>
        </w:rPr>
        <w:t>Islam et al., 2024</w:t>
      </w:r>
      <w:r>
        <w:rPr>
          <w:rFonts w:ascii="Simplified Arabic" w:hAnsi="Simplified Arabic" w:cs="Simplified Arabic"/>
          <w:rtl/>
        </w:rPr>
        <w:t>).</w:t>
      </w:r>
    </w:p>
    <w:p w14:paraId="1FF8094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ويظهر هذا الدور في ثلاثة مستويات رئيسة:</w:t>
      </w:r>
    </w:p>
    <w:p w14:paraId="09879280"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Pr>
          <w:rFonts w:ascii="Simplified Arabic" w:hAnsi="Simplified Arabic" w:cs="Simplified Arabic"/>
        </w:rPr>
        <w:t>Doshi et al., 2025</w:t>
      </w:r>
      <w:r>
        <w:rPr>
          <w:rFonts w:ascii="Simplified Arabic" w:hAnsi="Simplified Arabic" w:cs="Simplified Arabic"/>
          <w:rtl/>
        </w:rPr>
        <w:t>).</w:t>
      </w:r>
    </w:p>
    <w:p w14:paraId="310BFF75"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اقتراح بدائل تحسين أثناء التنفيذ عند ضعف أداء رسالة أو عنصر بصري، بما يعزز مرونة الاستجابة (</w:t>
      </w:r>
      <w:r>
        <w:rPr>
          <w:rFonts w:ascii="Simplified Arabic" w:hAnsi="Simplified Arabic" w:cs="Simplified Arabic"/>
        </w:rPr>
        <w:t>Heitmann, 2024</w:t>
      </w:r>
      <w:r>
        <w:rPr>
          <w:rFonts w:ascii="Simplified Arabic" w:hAnsi="Simplified Arabic" w:cs="Simplified Arabic"/>
          <w:rtl/>
        </w:rPr>
        <w:t>).</w:t>
      </w:r>
    </w:p>
    <w:p w14:paraId="345405DE" w14:textId="77777777" w:rsidR="00F035EA" w:rsidRDefault="00F035EA" w:rsidP="00F035EA">
      <w:pPr>
        <w:numPr>
          <w:ilvl w:val="0"/>
          <w:numId w:val="10"/>
        </w:numPr>
        <w:bidi/>
        <w:jc w:val="both"/>
        <w:rPr>
          <w:rFonts w:ascii="Simplified Arabic" w:hAnsi="Simplified Arabic" w:cs="Simplified Arabic"/>
        </w:rPr>
      </w:pPr>
      <w:r>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Pr>
          <w:rFonts w:ascii="Simplified Arabic" w:hAnsi="Simplified Arabic" w:cs="Simplified Arabic"/>
        </w:rPr>
        <w:t>Doshi et al., 2025</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2C539C34" w14:textId="77777777" w:rsidR="00F035EA" w:rsidRPr="00A20BAB" w:rsidRDefault="00F035EA" w:rsidP="00F035EA">
      <w:pPr>
        <w:bidi/>
        <w:jc w:val="both"/>
        <w:rPr>
          <w:rFonts w:ascii="Simplified Arabic" w:hAnsi="Simplified Arabic" w:cs="Simplified Arabic"/>
          <w:rtl/>
        </w:rPr>
      </w:pPr>
    </w:p>
    <w:p w14:paraId="1E9C47BE"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الرابع: التحديات والأخلاقيات</w:t>
      </w:r>
    </w:p>
    <w:p w14:paraId="6C78F71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التحديات التشغيلية والفنية في توظيف الذكاء الاصطناعي التوليدي</w:t>
      </w:r>
    </w:p>
    <w:p w14:paraId="77AD5BD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جودة البيانات ومدى ملاءمتها</w:t>
      </w:r>
    </w:p>
    <w:p w14:paraId="50A84EF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Pr>
          <w:rFonts w:ascii="Simplified Arabic" w:hAnsi="Simplified Arabic" w:cs="Simplified Arabic"/>
        </w:rPr>
        <w:t>Mendoza et al., 2025</w:t>
      </w:r>
      <w:r>
        <w:rPr>
          <w:rFonts w:ascii="Simplified Arabic" w:hAnsi="Simplified Arabic" w:cs="Simplified Arabic"/>
          <w:rtl/>
        </w:rPr>
        <w:t>).</w:t>
      </w:r>
    </w:p>
    <w:p w14:paraId="63EB6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تفاوت جودة المخرجات والحاجة إلى المراجعة البشرية</w:t>
      </w:r>
    </w:p>
    <w:p w14:paraId="57CFF31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FAE82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التكلفة الكلية للتبني والدمج التشغيلي</w:t>
      </w:r>
    </w:p>
    <w:p w14:paraId="44C09A8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Pr>
          <w:rFonts w:ascii="Simplified Arabic" w:hAnsi="Simplified Arabic" w:cs="Simplified Arabic"/>
        </w:rPr>
        <w:t>Nuremberg Institute for Market Decisions, 2024</w:t>
      </w:r>
      <w:r>
        <w:rPr>
          <w:rFonts w:ascii="Simplified Arabic" w:hAnsi="Simplified Arabic" w:cs="Simplified Arabic"/>
          <w:rtl/>
        </w:rPr>
        <w:t>).</w:t>
      </w:r>
    </w:p>
    <w:p w14:paraId="2BF5B4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صعوبات التكامل مع سير العمل والأنظمة القائمة</w:t>
      </w:r>
    </w:p>
    <w:p w14:paraId="0C1CF20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Pr>
          <w:rFonts w:ascii="Simplified Arabic" w:hAnsi="Simplified Arabic" w:cs="Simplified Arabic"/>
        </w:rPr>
        <w:t>Nguyen et al., 2025</w:t>
      </w:r>
      <w:r>
        <w:rPr>
          <w:rFonts w:ascii="Simplified Arabic" w:hAnsi="Simplified Arabic" w:cs="Simplified Arabic"/>
          <w:rtl/>
        </w:rPr>
        <w:t>).</w:t>
      </w:r>
    </w:p>
    <w:p w14:paraId="1CF11D99" w14:textId="77777777" w:rsidR="00173F7B" w:rsidRPr="00A20BAB" w:rsidRDefault="00173F7B" w:rsidP="00173F7B">
      <w:pPr>
        <w:bidi/>
        <w:jc w:val="both"/>
        <w:rPr>
          <w:rFonts w:ascii="Simplified Arabic" w:hAnsi="Simplified Arabic" w:cs="Simplified Arabic"/>
          <w:rtl/>
        </w:rPr>
      </w:pPr>
    </w:p>
    <w:p w14:paraId="4D7C9CE0"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الأبعاد الأخلاقية في استخدام الذكاء الاصطناعي التوليدي بالحملات التسويقية</w:t>
      </w:r>
    </w:p>
    <w:p w14:paraId="409B240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الخصوصية وأمن البيانات</w:t>
      </w:r>
    </w:p>
    <w:p w14:paraId="1AC1F48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حدود البيانات المستخدمة وآليات إدخالها وسياسات الحماية والمراجعة (الهيئة السعودية للبيانات والذكاء الاصطناعي [سدايا]، 2024).</w:t>
      </w:r>
    </w:p>
    <w:p w14:paraId="1DCF1D5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الملكية الفكرية وحقوق المحتوى</w:t>
      </w:r>
    </w:p>
    <w:p w14:paraId="2DA63A5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Pr>
          <w:rFonts w:ascii="Simplified Arabic" w:hAnsi="Simplified Arabic" w:cs="Simplified Arabic"/>
        </w:rPr>
        <w:t>Dwivedi et al., 2023</w:t>
      </w:r>
      <w:r>
        <w:rPr>
          <w:rFonts w:ascii="Simplified Arabic" w:hAnsi="Simplified Arabic" w:cs="Simplified Arabic"/>
          <w:rtl/>
        </w:rPr>
        <w:t>).</w:t>
      </w:r>
    </w:p>
    <w:p w14:paraId="5D193FB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التحيز والعدالة في المخرجات التسويقية</w:t>
      </w:r>
    </w:p>
    <w:p w14:paraId="2CAD87E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Pr>
          <w:rFonts w:ascii="Simplified Arabic" w:hAnsi="Simplified Arabic" w:cs="Simplified Arabic"/>
        </w:rPr>
        <w:t>IAB Tech Lab, 2024</w:t>
      </w:r>
      <w:r>
        <w:rPr>
          <w:rFonts w:ascii="Simplified Arabic" w:hAnsi="Simplified Arabic" w:cs="Simplified Arabic"/>
          <w:rtl/>
        </w:rPr>
        <w:t>). وتزداد أهمية ذلك في السياق السعودي بما يتطلبه من مواءمة للقيم والسياق المحلي (</w:t>
      </w:r>
      <w:r>
        <w:rPr>
          <w:rFonts w:ascii="Simplified Arabic" w:hAnsi="Simplified Arabic" w:cs="Simplified Arabic"/>
        </w:rPr>
        <w:t>SDAIA, 2024</w:t>
      </w:r>
      <w:r>
        <w:rPr>
          <w:rFonts w:ascii="Simplified Arabic" w:hAnsi="Simplified Arabic" w:cs="Simplified Arabic"/>
          <w:rtl/>
        </w:rPr>
        <w:t>).</w:t>
      </w:r>
    </w:p>
    <w:p w14:paraId="184457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الشفافية والمساءلة عن المحتوى المنشور</w:t>
      </w:r>
    </w:p>
    <w:p w14:paraId="10CB8FC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Pr>
          <w:rFonts w:ascii="Simplified Arabic" w:hAnsi="Simplified Arabic" w:cs="Simplified Arabic"/>
        </w:rPr>
        <w:t>Dwivedi et al., 2023</w:t>
      </w:r>
      <w:r>
        <w:rPr>
          <w:rFonts w:ascii="Simplified Arabic" w:hAnsi="Simplified Arabic" w:cs="Simplified Arabic"/>
          <w:rtl/>
        </w:rPr>
        <w:t>).</w:t>
      </w:r>
    </w:p>
    <w:p w14:paraId="6C57457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التوازن بين الكفاءة والضبط الأخلاقي في تصميم الحملات</w:t>
      </w:r>
    </w:p>
    <w:p w14:paraId="6B0FE7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C3D798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Pr>
          <w:rFonts w:ascii="Simplified Arabic" w:hAnsi="Simplified Arabic" w:cs="Simplified Arabic"/>
        </w:rPr>
        <w:t>SDAIA, 2024</w:t>
      </w:r>
      <w:r>
        <w:rPr>
          <w:rFonts w:ascii="Simplified Arabic" w:hAnsi="Simplified Arabic" w:cs="Simplified Arabic"/>
          <w:rtl/>
        </w:rPr>
        <w:t>).</w:t>
      </w:r>
    </w:p>
    <w:p w14:paraId="3D6BC480" w14:textId="77777777" w:rsidR="00F035EA" w:rsidRDefault="00F035EA" w:rsidP="00F035EA">
      <w:pPr>
        <w:bidi/>
        <w:jc w:val="both"/>
        <w:rPr>
          <w:rFonts w:ascii="Simplified Arabic" w:hAnsi="Simplified Arabic" w:cs="Simplified Arabic"/>
          <w:rtl/>
        </w:rPr>
      </w:pPr>
    </w:p>
    <w:p w14:paraId="21D87984" w14:textId="77777777" w:rsidR="00173F7B" w:rsidRDefault="00173F7B" w:rsidP="00173F7B">
      <w:pPr>
        <w:bidi/>
        <w:jc w:val="both"/>
        <w:rPr>
          <w:rFonts w:ascii="Simplified Arabic" w:hAnsi="Simplified Arabic" w:cs="Simplified Arabic"/>
          <w:rtl/>
        </w:rPr>
      </w:pPr>
    </w:p>
    <w:p w14:paraId="6A5E2C87"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39DF229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دوافع التبني</w:t>
      </w:r>
    </w:p>
    <w:p w14:paraId="403DE14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دافع تحسين الكفاءة التشغيلية وتسريع الإنجاز</w:t>
      </w:r>
    </w:p>
    <w:p w14:paraId="20F7468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w:t>
      </w:r>
      <w:r>
        <w:rPr>
          <w:rFonts w:ascii="Simplified Arabic" w:hAnsi="Simplified Arabic" w:cs="Simplified Arabic"/>
          <w:rtl/>
        </w:rPr>
        <w:lastRenderedPageBreak/>
        <w:t>مثل إعداد النسخ الأولى من المحتوى، وتوليد بدائل إبداعية، وصياغة رسائل متعددة للمنصات المختلفة، وهو ما يعزز سرعة دورة العمل داخل الوكالة (</w:t>
      </w:r>
      <w:r>
        <w:rPr>
          <w:rFonts w:ascii="Simplified Arabic" w:hAnsi="Simplified Arabic" w:cs="Simplified Arabic"/>
        </w:rPr>
        <w:t>Heitmann, 2024</w:t>
      </w:r>
      <w:r>
        <w:rPr>
          <w:rFonts w:ascii="Simplified Arabic" w:hAnsi="Simplified Arabic" w:cs="Simplified Arabic"/>
          <w:rtl/>
        </w:rPr>
        <w:t>).</w:t>
      </w:r>
    </w:p>
    <w:p w14:paraId="49590FD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8C2904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5B263C2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دافع خفض التكاليف وإعادة توزيع الموارد</w:t>
      </w:r>
    </w:p>
    <w:p w14:paraId="64DE72C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Pr>
          <w:rFonts w:ascii="Simplified Arabic" w:hAnsi="Simplified Arabic" w:cs="Simplified Arabic"/>
        </w:rPr>
        <w:t>Nuremberg Institute for Market Decisions, 2024</w:t>
      </w:r>
      <w:r>
        <w:rPr>
          <w:rFonts w:ascii="Simplified Arabic" w:hAnsi="Simplified Arabic" w:cs="Simplified Arabic"/>
          <w:rtl/>
        </w:rPr>
        <w:t>).</w:t>
      </w:r>
    </w:p>
    <w:p w14:paraId="44E5B7C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Pr>
          <w:rFonts w:ascii="Simplified Arabic" w:hAnsi="Simplified Arabic" w:cs="Simplified Arabic"/>
        </w:rPr>
        <w:t>Heitmann, 2024</w:t>
      </w:r>
      <w:r>
        <w:rPr>
          <w:rFonts w:ascii="Simplified Arabic" w:hAnsi="Simplified Arabic" w:cs="Simplified Arabic"/>
          <w:rtl/>
        </w:rPr>
        <w:t>).</w:t>
      </w:r>
    </w:p>
    <w:p w14:paraId="3BC8EAD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دافع زيادة القدرة على التخصيص وتحسين ملاءمة الرسائل</w:t>
      </w:r>
    </w:p>
    <w:p w14:paraId="25E6433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Pr>
          <w:rFonts w:ascii="Simplified Arabic" w:hAnsi="Simplified Arabic" w:cs="Simplified Arabic"/>
        </w:rPr>
        <w:t>Mendoza et al., 2025</w:t>
      </w:r>
      <w:r>
        <w:rPr>
          <w:rFonts w:ascii="Simplified Arabic" w:hAnsi="Simplified Arabic" w:cs="Simplified Arabic"/>
          <w:rtl/>
        </w:rPr>
        <w:t>).</w:t>
      </w:r>
    </w:p>
    <w:p w14:paraId="0DADCA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التوليدي جذابًا لوكالات التسويق التي تدير حملات لعملاء متنوعين وتحتاج إلى إنتاج محتوى متمايز دون مضاعفة الجهد بصورة خطية (</w:t>
      </w:r>
      <w:r>
        <w:rPr>
          <w:rFonts w:ascii="Simplified Arabic" w:hAnsi="Simplified Arabic" w:cs="Simplified Arabic"/>
        </w:rPr>
        <w:t>Islam et al., 2024</w:t>
      </w:r>
      <w:r>
        <w:rPr>
          <w:rFonts w:ascii="Simplified Arabic" w:hAnsi="Simplified Arabic" w:cs="Simplified Arabic"/>
          <w:rtl/>
        </w:rPr>
        <w:t>).</w:t>
      </w:r>
    </w:p>
    <w:p w14:paraId="5F50E0E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proofErr w:type="spellStart"/>
      <w:r>
        <w:rPr>
          <w:rFonts w:ascii="Simplified Arabic" w:hAnsi="Simplified Arabic" w:cs="Simplified Arabic"/>
        </w:rPr>
        <w:t>Beyari</w:t>
      </w:r>
      <w:proofErr w:type="spellEnd"/>
      <w:r>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CD05F4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دافع مواكبة المنافسة والتحول السوقي</w:t>
      </w:r>
    </w:p>
    <w:p w14:paraId="20E3CF1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E8D0E0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Pr>
          <w:rFonts w:ascii="Simplified Arabic" w:hAnsi="Simplified Arabic" w:cs="Simplified Arabic"/>
        </w:rPr>
        <w:t>McKinsey &amp; Company, 2024</w:t>
      </w:r>
      <w:r>
        <w:rPr>
          <w:rFonts w:ascii="Simplified Arabic" w:hAnsi="Simplified Arabic" w:cs="Simplified Arabic"/>
          <w:rtl/>
        </w:rPr>
        <w:t xml:space="preserve">؛ </w:t>
      </w:r>
      <w:r>
        <w:rPr>
          <w:rFonts w:ascii="Simplified Arabic" w:hAnsi="Simplified Arabic" w:cs="Simplified Arabic"/>
        </w:rPr>
        <w:t>Strategy&amp; (PwC Middle East), 2024</w:t>
      </w:r>
      <w:r>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proofErr w:type="spellStart"/>
      <w:r>
        <w:rPr>
          <w:rFonts w:ascii="Simplified Arabic" w:hAnsi="Simplified Arabic" w:cs="Simplified Arabic"/>
        </w:rPr>
        <w:t>Alotaibi</w:t>
      </w:r>
      <w:proofErr w:type="spellEnd"/>
      <w:r>
        <w:rPr>
          <w:rFonts w:ascii="Simplified Arabic" w:hAnsi="Simplified Arabic" w:cs="Simplified Arabic"/>
        </w:rPr>
        <w:t xml:space="preserve"> &amp; Al </w:t>
      </w:r>
      <w:proofErr w:type="spellStart"/>
      <w:r>
        <w:rPr>
          <w:rFonts w:ascii="Simplified Arabic" w:hAnsi="Simplified Arabic" w:cs="Simplified Arabic"/>
        </w:rPr>
        <w:t>Youbi</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Aljabari</w:t>
      </w:r>
      <w:proofErr w:type="spellEnd"/>
      <w:r>
        <w:rPr>
          <w:rFonts w:ascii="Simplified Arabic" w:hAnsi="Simplified Arabic" w:cs="Simplified Arabic"/>
        </w:rPr>
        <w:t xml:space="preserve"> et al., 2024</w:t>
      </w:r>
      <w:r>
        <w:rPr>
          <w:rFonts w:ascii="Simplified Arabic" w:hAnsi="Simplified Arabic" w:cs="Simplified Arabic"/>
          <w:rtl/>
        </w:rPr>
        <w:t>).</w:t>
      </w:r>
    </w:p>
    <w:p w14:paraId="645F3C57" w14:textId="77777777" w:rsidR="00F035EA" w:rsidRPr="00E04FE4" w:rsidRDefault="00F035EA" w:rsidP="00F035EA">
      <w:pPr>
        <w:bidi/>
        <w:jc w:val="both"/>
        <w:rPr>
          <w:rFonts w:ascii="Simplified Arabic" w:hAnsi="Simplified Arabic" w:cs="Simplified Arabic"/>
          <w:rtl/>
        </w:rPr>
      </w:pPr>
    </w:p>
    <w:p w14:paraId="349AB8B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العوائق الفنية</w:t>
      </w:r>
    </w:p>
    <w:p w14:paraId="2EADEA0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5C5CBA86" w14:textId="08BA8C02" w:rsidR="00F035EA" w:rsidRPr="00E04FE4" w:rsidRDefault="00F035EA" w:rsidP="00173F7B">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6C6C81F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نقص المهارات والمعرفة التقنية</w:t>
      </w:r>
    </w:p>
    <w:p w14:paraId="19C1DD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w:t>
      </w:r>
      <w:r>
        <w:rPr>
          <w:rFonts w:ascii="Simplified Arabic" w:hAnsi="Simplified Arabic" w:cs="Simplified Arabic"/>
          <w:rtl/>
        </w:rPr>
        <w:lastRenderedPageBreak/>
        <w:t>الأوامر، أو بمعايير تقييم جودة المخرجات، قد يستخدم الأداة استخدامًا سطحيًا لا يحقق قيمة فعلية، وقد ينعكس ذلك على جودة المحتوى واتساقه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3D5C824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20FF79E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03F5242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Pr>
          <w:rFonts w:ascii="Simplified Arabic" w:hAnsi="Simplified Arabic" w:cs="Simplified Arabic"/>
        </w:rPr>
        <w:t>Al-Emran et al., 2025</w:t>
      </w:r>
      <w:r>
        <w:rPr>
          <w:rFonts w:ascii="Simplified Arabic" w:hAnsi="Simplified Arabic" w:cs="Simplified Arabic"/>
          <w:rtl/>
        </w:rPr>
        <w:t>).</w:t>
      </w:r>
    </w:p>
    <w:p w14:paraId="6E79E38E"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الحاجة إلى بنية تحتية رقمية متقدمة</w:t>
      </w:r>
    </w:p>
    <w:p w14:paraId="551BBF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48FDBD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Pr>
          <w:rFonts w:ascii="Simplified Arabic" w:hAnsi="Simplified Arabic" w:cs="Simplified Arabic"/>
        </w:rPr>
        <w:t>Mendoza et al., 2025</w:t>
      </w:r>
      <w:r>
        <w:rPr>
          <w:rFonts w:ascii="Simplified Arabic" w:hAnsi="Simplified Arabic" w:cs="Simplified Arabic"/>
          <w:rtl/>
        </w:rPr>
        <w:t>).</w:t>
      </w:r>
    </w:p>
    <w:p w14:paraId="3DF17E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Pr>
          <w:rFonts w:ascii="Simplified Arabic" w:hAnsi="Simplified Arabic" w:cs="Simplified Arabic"/>
        </w:rPr>
        <w:t>Strategy&amp; (PwC Middle East), 2024</w:t>
      </w:r>
      <w:r>
        <w:rPr>
          <w:rFonts w:ascii="Simplified Arabic" w:hAnsi="Simplified Arabic" w:cs="Simplified Arabic"/>
          <w:rtl/>
        </w:rPr>
        <w:t>). كما تؤكد تقارير محلية أن الفرص الكبيرة للذكاء الاصطناعي التوليدي في المملكة ترتبط بقدرة الجهات على بناء بيئات تشغيل ملائمة وتطوير الجاهزية المؤسسية المصاحبة للتبني (الهيئة السعودية للبيانات والذكاء الاصطناعي [سدايا]، 2024).</w:t>
      </w:r>
    </w:p>
    <w:p w14:paraId="7485517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صعوبات التكامل مع الأنظمة والأدوات القائمة</w:t>
      </w:r>
    </w:p>
    <w:p w14:paraId="3993118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من العوائق الفنية المتكررة في البيئات المهنية أن الأدوات الجديدة</w:t>
      </w:r>
      <w:r>
        <w:rPr>
          <w:rFonts w:ascii="Simplified Arabic" w:hAnsi="Simplified Arabic" w:cs="Simplified Arabic" w:hint="cs"/>
          <w:rtl/>
        </w:rPr>
        <w:t xml:space="preserve"> </w:t>
      </w:r>
      <w:r>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Pr>
          <w:rFonts w:ascii="Simplified Arabic" w:hAnsi="Simplified Arabic" w:cs="Simplified Arabic"/>
        </w:rPr>
        <w:t>Nguyen et al., 2025</w:t>
      </w:r>
      <w:r>
        <w:rPr>
          <w:rFonts w:ascii="Simplified Arabic" w:hAnsi="Simplified Arabic" w:cs="Simplified Arabic"/>
          <w:rtl/>
        </w:rPr>
        <w:t>).</w:t>
      </w:r>
    </w:p>
    <w:p w14:paraId="5A13627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Pr>
          <w:rFonts w:ascii="Simplified Arabic" w:hAnsi="Simplified Arabic" w:cs="Simplified Arabic"/>
        </w:rPr>
        <w:t>Heitmann, 2024</w:t>
      </w:r>
      <w:r>
        <w:rPr>
          <w:rFonts w:ascii="Simplified Arabic" w:hAnsi="Simplified Arabic" w:cs="Simplified Arabic"/>
          <w:rtl/>
        </w:rPr>
        <w:t>).</w:t>
      </w:r>
    </w:p>
    <w:p w14:paraId="34B48E6D" w14:textId="77777777" w:rsidR="00F035EA" w:rsidRPr="00E04FE4" w:rsidRDefault="00F035EA" w:rsidP="00F035EA">
      <w:pPr>
        <w:bidi/>
        <w:jc w:val="both"/>
        <w:rPr>
          <w:rFonts w:ascii="Simplified Arabic" w:hAnsi="Simplified Arabic" w:cs="Simplified Arabic"/>
          <w:rtl/>
        </w:rPr>
      </w:pPr>
    </w:p>
    <w:p w14:paraId="0DC8AB5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العوائق التنظيمية والأخلاقية</w:t>
      </w:r>
    </w:p>
    <w:p w14:paraId="6662D85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Pr>
          <w:rFonts w:ascii="Simplified Arabic" w:hAnsi="Simplified Arabic" w:cs="Simplified Arabic"/>
        </w:rPr>
        <w:t>Dwivedi et al., 2023</w:t>
      </w:r>
      <w:r>
        <w:rPr>
          <w:rFonts w:ascii="Simplified Arabic" w:hAnsi="Simplified Arabic" w:cs="Simplified Arabic"/>
          <w:rtl/>
        </w:rPr>
        <w:t>).</w:t>
      </w:r>
    </w:p>
    <w:p w14:paraId="79134F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74EB903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0C08CABA"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مقاومة التغيير داخل المؤسسات</w:t>
      </w:r>
    </w:p>
    <w:p w14:paraId="48560A5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7D6FA4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7D4D483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Pr>
          <w:rFonts w:ascii="Simplified Arabic" w:hAnsi="Simplified Arabic" w:cs="Simplified Arabic"/>
        </w:rPr>
        <w:t>Nguyen et al., 2025</w:t>
      </w:r>
      <w:r>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18D95E6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المخاوف المتعلقة بالخصوصية وأمن البيانات</w:t>
      </w:r>
    </w:p>
    <w:p w14:paraId="66081E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Pr>
          <w:rFonts w:ascii="Simplified Arabic" w:hAnsi="Simplified Arabic" w:cs="Simplified Arabic"/>
        </w:rPr>
        <w:t>SDAIA, 2024</w:t>
      </w:r>
      <w:r>
        <w:rPr>
          <w:rFonts w:ascii="Simplified Arabic" w:hAnsi="Simplified Arabic" w:cs="Simplified Arabic"/>
          <w:rtl/>
        </w:rPr>
        <w:t>).</w:t>
      </w:r>
    </w:p>
    <w:p w14:paraId="607EDA8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Pr>
          <w:rFonts w:ascii="Simplified Arabic" w:hAnsi="Simplified Arabic" w:cs="Simplified Arabic"/>
        </w:rPr>
        <w:t>SDAIA, 2024</w:t>
      </w:r>
      <w:r>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7D92E24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غياب الأطر التنظيمية والسياسات الداخلية الواضحة</w:t>
      </w:r>
    </w:p>
    <w:p w14:paraId="06FFD18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Pr>
          <w:rFonts w:ascii="Simplified Arabic" w:hAnsi="Simplified Arabic" w:cs="Simplified Arabic"/>
        </w:rPr>
        <w:t>IAB Tech Lab, 2024</w:t>
      </w:r>
      <w:r>
        <w:rPr>
          <w:rFonts w:ascii="Simplified Arabic" w:hAnsi="Simplified Arabic" w:cs="Simplified Arabic"/>
          <w:rtl/>
        </w:rPr>
        <w:t>).</w:t>
      </w:r>
    </w:p>
    <w:p w14:paraId="1F16EF8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وعندما تغيب السياسات الداخلية، تظهر عدة مشكلات عملية داخل الوكالة، مثل:</w:t>
      </w:r>
    </w:p>
    <w:p w14:paraId="4DF0F28D"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تفاوت أساليب الاستخدام بين الأفراد دون معيار موحد.</w:t>
      </w:r>
    </w:p>
    <w:p w14:paraId="2F95EE8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غموض في مسؤولية مراجعة المخرجات واعتمادها.</w:t>
      </w:r>
    </w:p>
    <w:p w14:paraId="25EB983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اختلاف في حدود ما يجوز إدخاله إلى الأدوات من بيانات ومعلومات.</w:t>
      </w:r>
    </w:p>
    <w:p w14:paraId="5A3A54A9"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صعوبة تقييم جودة الاستخدام أو تحسينه بصورة مؤسسية.</w:t>
      </w:r>
    </w:p>
    <w:p w14:paraId="0ACEAE7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الاستخدام—ولو بصورة تدريجية—تمثل شرطًا مهمًا لتحويل التبني من استخدام تجريبي متفرق إلى ممارسة مستقرة قابلة للتوسع (</w:t>
      </w:r>
      <w:r>
        <w:rPr>
          <w:rFonts w:ascii="Simplified Arabic" w:hAnsi="Simplified Arabic" w:cs="Simplified Arabic"/>
        </w:rPr>
        <w:t>Nguyen et al., 2025</w:t>
      </w:r>
      <w:r>
        <w:rPr>
          <w:rFonts w:ascii="Simplified Arabic" w:hAnsi="Simplified Arabic" w:cs="Simplified Arabic"/>
          <w:rtl/>
        </w:rPr>
        <w:t>).</w:t>
      </w:r>
    </w:p>
    <w:p w14:paraId="3607C1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Pr>
          <w:rFonts w:ascii="Simplified Arabic" w:hAnsi="Simplified Arabic" w:cs="Simplified Arabic"/>
        </w:rPr>
        <w:t>Dwivedi et al., 2023</w:t>
      </w:r>
      <w:r>
        <w:rPr>
          <w:rFonts w:ascii="Simplified Arabic" w:hAnsi="Simplified Arabic" w:cs="Simplified Arabic"/>
          <w:rtl/>
        </w:rPr>
        <w:t>).</w:t>
      </w:r>
    </w:p>
    <w:p w14:paraId="628DB30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lastRenderedPageBreak/>
        <w:t xml:space="preserve">كما </w:t>
      </w:r>
      <w:r>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7119FA44" w14:textId="77777777" w:rsidR="00F035EA" w:rsidRPr="00EB385F" w:rsidRDefault="00F035EA" w:rsidP="00F035EA">
      <w:pPr>
        <w:bidi/>
        <w:jc w:val="both"/>
        <w:rPr>
          <w:rFonts w:ascii="Simplified Arabic" w:hAnsi="Simplified Arabic" w:cs="Simplified Arabic"/>
          <w:sz w:val="20"/>
          <w:szCs w:val="20"/>
          <w:rtl/>
        </w:rPr>
      </w:pPr>
    </w:p>
    <w:p w14:paraId="0CA3040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الرابع: واقع تبني الذكاء الاصطناعي في السعودية</w:t>
      </w:r>
    </w:p>
    <w:p w14:paraId="64DE6E03"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442F516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66523D2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ومن زاوية إقليمية أوسع، تعرض تقارير </w:t>
      </w:r>
      <w:r>
        <w:rPr>
          <w:rFonts w:ascii="Simplified Arabic" w:hAnsi="Simplified Arabic" w:cs="Simplified Arabic"/>
        </w:rPr>
        <w:t>McKinsey &amp; Company</w:t>
      </w:r>
      <w:r>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Pr>
          <w:rFonts w:ascii="Simplified Arabic" w:hAnsi="Simplified Arabic" w:cs="Simplified Arabic"/>
        </w:rPr>
        <w:t>McKinsey &amp; Company, 2024</w:t>
      </w:r>
      <w:r>
        <w:rPr>
          <w:rFonts w:ascii="Simplified Arabic" w:hAnsi="Simplified Arabic" w:cs="Simplified Arabic"/>
          <w:rtl/>
        </w:rPr>
        <w:t>).</w:t>
      </w:r>
    </w:p>
    <w:p w14:paraId="7C01A4A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الاتجاه نفسه، تشير تقارير </w:t>
      </w:r>
      <w:r>
        <w:rPr>
          <w:rFonts w:ascii="Simplified Arabic" w:hAnsi="Simplified Arabic" w:cs="Simplified Arabic"/>
        </w:rPr>
        <w:t>Strategy&amp; (PwC Middle East)</w:t>
      </w:r>
      <w:r>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Pr>
          <w:rFonts w:ascii="Simplified Arabic" w:hAnsi="Simplified Arabic" w:cs="Simplified Arabic"/>
        </w:rPr>
        <w:t>ecosystem</w:t>
      </w:r>
      <w:r>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6615F16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ثانياً</w:t>
      </w:r>
      <w:r>
        <w:rPr>
          <w:rFonts w:ascii="Simplified Arabic" w:hAnsi="Simplified Arabic" w:cs="Simplified Arabic"/>
          <w:b/>
          <w:bCs/>
          <w:rtl/>
        </w:rPr>
        <w:t>: مؤشرات الواقع السعودي من زاوية الجاهزية والاهتمام المؤسسي</w:t>
      </w:r>
    </w:p>
    <w:p w14:paraId="72DA13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يمكن قراءة واقع التبني في السعودية من خلال مؤشرات غير مباشرة لكنها ذات دلالة، أهمها:</w:t>
      </w:r>
    </w:p>
    <w:p w14:paraId="33230428"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الحضور المتزايد للذكاء الاصطناعي في الخطاب المؤسسي والمهني.</w:t>
      </w:r>
    </w:p>
    <w:p w14:paraId="61633930"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توسع الإرشادات والسياسات الوطنية المنظمة للاستخدام المسؤول.</w:t>
      </w:r>
    </w:p>
    <w:p w14:paraId="3695CB4B"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تنامي النقاشات التطبيقية حول توظيف الذكاء الاصطناعي في التسويق والإعلام وصناعة المحتوى.</w:t>
      </w:r>
    </w:p>
    <w:p w14:paraId="2BA4C27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Pr>
          <w:rFonts w:ascii="Simplified Arabic" w:hAnsi="Simplified Arabic" w:cs="Simplified Arabic"/>
        </w:rPr>
        <w:t>SDAIA, 2024</w:t>
      </w:r>
      <w:r>
        <w:rPr>
          <w:rFonts w:ascii="Simplified Arabic" w:hAnsi="Simplified Arabic" w:cs="Simplified Arabic"/>
          <w:rtl/>
        </w:rPr>
        <w:t xml:space="preserve">). كما أن التقارير </w:t>
      </w:r>
      <w:r>
        <w:rPr>
          <w:rFonts w:ascii="Simplified Arabic" w:hAnsi="Simplified Arabic" w:cs="Simplified Arabic"/>
          <w:rtl/>
        </w:rPr>
        <w:lastRenderedPageBreak/>
        <w:t>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6AC4BD8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8A882C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w:t>
      </w:r>
      <w:r>
        <w:rPr>
          <w:rFonts w:ascii="Simplified Arabic" w:hAnsi="Simplified Arabic" w:cs="Simplified Arabic" w:hint="cs"/>
          <w:b/>
          <w:bCs/>
          <w:rtl/>
        </w:rPr>
        <w:t>لثاً</w:t>
      </w:r>
      <w:r>
        <w:rPr>
          <w:rFonts w:ascii="Simplified Arabic" w:hAnsi="Simplified Arabic" w:cs="Simplified Arabic"/>
          <w:b/>
          <w:bCs/>
          <w:rtl/>
        </w:rPr>
        <w:t>: واقع التبني في المجال التسويقي والإعلامي بوصفه مؤشرًا على بيئة الوكالات</w:t>
      </w:r>
    </w:p>
    <w:p w14:paraId="13AE84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293065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proofErr w:type="spellStart"/>
      <w:r>
        <w:rPr>
          <w:rFonts w:ascii="Simplified Arabic" w:hAnsi="Simplified Arabic" w:cs="Simplified Arabic"/>
        </w:rPr>
        <w:t>Alotaibi</w:t>
      </w:r>
      <w:proofErr w:type="spellEnd"/>
      <w:r>
        <w:rPr>
          <w:rFonts w:ascii="Simplified Arabic" w:hAnsi="Simplified Arabic" w:cs="Simplified Arabic"/>
        </w:rPr>
        <w:t xml:space="preserve"> &amp; Al </w:t>
      </w:r>
      <w:proofErr w:type="spellStart"/>
      <w:r>
        <w:rPr>
          <w:rFonts w:ascii="Simplified Arabic" w:hAnsi="Simplified Arabic" w:cs="Simplified Arabic"/>
        </w:rPr>
        <w:t>Youbi</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Aljabari</w:t>
      </w:r>
      <w:proofErr w:type="spellEnd"/>
      <w:r>
        <w:rPr>
          <w:rFonts w:ascii="Simplified Arabic" w:hAnsi="Simplified Arabic" w:cs="Simplified Arabic"/>
        </w:rPr>
        <w:t xml:space="preserve"> et al., 2024</w:t>
      </w:r>
      <w:r>
        <w:rPr>
          <w:rFonts w:ascii="Simplified Arabic" w:hAnsi="Simplified Arabic" w:cs="Simplified Arabic"/>
          <w:rtl/>
        </w:rPr>
        <w:t xml:space="preserve">). كما أن دراسة </w:t>
      </w:r>
      <w:r>
        <w:rPr>
          <w:rFonts w:ascii="Simplified Arabic" w:hAnsi="Simplified Arabic" w:cs="Simplified Arabic"/>
        </w:rPr>
        <w:t>Ben Khalifa et al</w:t>
      </w:r>
      <w:r>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40C03FC6"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A5B782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رابعاً</w:t>
      </w:r>
      <w:r>
        <w:rPr>
          <w:rFonts w:ascii="Simplified Arabic" w:hAnsi="Simplified Arabic" w:cs="Simplified Arabic"/>
          <w:b/>
          <w:bCs/>
          <w:rtl/>
        </w:rPr>
        <w:t>: فرص النمو في السوق المحلي وانعكاسها على الوكالات التسويقية</w:t>
      </w:r>
    </w:p>
    <w:p w14:paraId="121C64B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6510C2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1) نمو الطلب على التسويق الرقمي والمحتوى المتخصص</w:t>
      </w:r>
    </w:p>
    <w:p w14:paraId="4E4B690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3E08912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2) تصاعد أهمية التخصيص وتجربة العميل</w:t>
      </w:r>
    </w:p>
    <w:p w14:paraId="69B6333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Pr>
          <w:rFonts w:ascii="Simplified Arabic" w:hAnsi="Simplified Arabic" w:cs="Simplified Arabic"/>
        </w:rPr>
        <w:t>Mendoza et al., 2025</w:t>
      </w:r>
      <w:r>
        <w:rPr>
          <w:rFonts w:ascii="Simplified Arabic" w:hAnsi="Simplified Arabic" w:cs="Simplified Arabic"/>
          <w:rtl/>
        </w:rPr>
        <w:t xml:space="preserve">؛ رمضان، 2025). كما أن نتائج الدراسات المتعلقة بولاء </w:t>
      </w:r>
      <w:r>
        <w:rPr>
          <w:rFonts w:ascii="Simplified Arabic" w:hAnsi="Simplified Arabic" w:cs="Simplified Arabic"/>
          <w:rtl/>
        </w:rPr>
        <w:lastRenderedPageBreak/>
        <w:t>العملاء الإلكتروني في السوق السعودي تدعم أهمية هذا المسار من زاوية المخرجات التسويقية طويلة الأثر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0DD7332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3) البيئة المؤسسية الداعمة للتحول الرقمي والذكاء الاصطناعي</w:t>
      </w:r>
    </w:p>
    <w:p w14:paraId="13D209CE"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Pr>
          <w:rFonts w:ascii="Simplified Arabic" w:hAnsi="Simplified Arabic" w:cs="Simplified Arabic"/>
        </w:rPr>
        <w:t>SDAIA, 2024</w:t>
      </w:r>
      <w:r>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BCEE4DF" w14:textId="77777777" w:rsidR="00F035EA" w:rsidRPr="00915B55" w:rsidRDefault="00F035EA" w:rsidP="00F035EA">
      <w:pPr>
        <w:bidi/>
        <w:jc w:val="both"/>
        <w:rPr>
          <w:rFonts w:ascii="Simplified Arabic" w:hAnsi="Simplified Arabic" w:cs="Simplified Arabic"/>
          <w:rtl/>
        </w:rPr>
      </w:pPr>
    </w:p>
    <w:p w14:paraId="4B2F3253" w14:textId="77777777" w:rsidR="00F035EA" w:rsidRPr="00915B55" w:rsidRDefault="00F035EA" w:rsidP="00F035EA">
      <w:pPr>
        <w:bidi/>
        <w:spacing w:after="200" w:line="240" w:lineRule="auto"/>
        <w:rPr>
          <w:rFonts w:ascii="Simplified Arabic" w:hAnsi="Simplified Arabic" w:cs="Simplified Arabic"/>
          <w:b/>
          <w:bCs/>
          <w:rtl/>
        </w:rPr>
      </w:pPr>
      <w:r>
        <w:rPr>
          <w:rFonts w:ascii="Sakkal Majalla" w:hAnsi="Sakkal Majalla" w:cs="Sakkal Majalla" w:hint="cs"/>
          <w:b/>
          <w:bCs/>
          <w:color w:val="1F497D" w:themeColor="text2"/>
          <w:sz w:val="32"/>
          <w:szCs w:val="32"/>
          <w:u w:val="single"/>
          <w:rtl/>
        </w:rPr>
        <w:t>ال</w:t>
      </w:r>
      <w:r>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CAA88F8"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الأداء التسويقي ومؤشراته</w:t>
      </w:r>
    </w:p>
    <w:p w14:paraId="655584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Pr>
          <w:rFonts w:ascii="Simplified Arabic" w:hAnsi="Simplified Arabic" w:cs="Simplified Arabic"/>
        </w:rPr>
        <w:t>Sharabati et al., 2024</w:t>
      </w:r>
      <w:r>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1CD1F6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3DF1A856"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تعريف الأداء التسويقي وأبرز مؤشرات قياسه</w:t>
      </w:r>
      <w:r>
        <w:rPr>
          <w:rFonts w:ascii="Simplified Arabic" w:hAnsi="Simplified Arabic" w:cs="Simplified Arabic" w:hint="cs"/>
          <w:b/>
          <w:bCs/>
          <w:rtl/>
        </w:rPr>
        <w:t xml:space="preserve"> </w:t>
      </w:r>
    </w:p>
    <w:p w14:paraId="7AD3C26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8D50CF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Pr>
          <w:rFonts w:ascii="Simplified Arabic" w:hAnsi="Simplified Arabic" w:cs="Simplified Arabic" w:hint="cs"/>
          <w:rtl/>
        </w:rPr>
        <w:t>، و</w:t>
      </w:r>
      <w:r>
        <w:rPr>
          <w:rFonts w:ascii="Simplified Arabic" w:hAnsi="Simplified Arabic" w:cs="Simplified Arabic"/>
          <w:rtl/>
        </w:rPr>
        <w:t>يمكن تنظيم أبرز مؤشرات الأداء التسويقي في المؤشرات الآتية:</w:t>
      </w:r>
    </w:p>
    <w:p w14:paraId="105EE74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حصة السوق</w:t>
      </w:r>
      <w:r>
        <w:rPr>
          <w:rFonts w:ascii="Simplified Arabic" w:hAnsi="Simplified Arabic" w:cs="Simplified Arabic" w:hint="cs"/>
          <w:rtl/>
        </w:rPr>
        <w:t xml:space="preserve"> </w:t>
      </w:r>
    </w:p>
    <w:p w14:paraId="23DC35B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Pr>
          <w:rFonts w:ascii="Simplified Arabic" w:hAnsi="Simplified Arabic" w:cs="Simplified Arabic"/>
        </w:rPr>
        <w:t>Sharabati et al., 2024</w:t>
      </w:r>
      <w:r>
        <w:rPr>
          <w:rFonts w:ascii="Simplified Arabic" w:hAnsi="Simplified Arabic" w:cs="Simplified Arabic"/>
          <w:rtl/>
        </w:rPr>
        <w:t>).</w:t>
      </w:r>
    </w:p>
    <w:p w14:paraId="52055E8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معدل التحويل</w:t>
      </w:r>
      <w:r>
        <w:rPr>
          <w:rFonts w:ascii="Simplified Arabic" w:hAnsi="Simplified Arabic" w:cs="Simplified Arabic" w:hint="cs"/>
          <w:rtl/>
        </w:rPr>
        <w:t xml:space="preserve"> </w:t>
      </w:r>
    </w:p>
    <w:p w14:paraId="33096CD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Pr>
          <w:rFonts w:ascii="Simplified Arabic" w:hAnsi="Simplified Arabic" w:cs="Simplified Arabic"/>
        </w:rPr>
        <w:t>Islam et al., 2024</w:t>
      </w:r>
      <w:r>
        <w:rPr>
          <w:rFonts w:ascii="Simplified Arabic" w:hAnsi="Simplified Arabic" w:cs="Simplified Arabic"/>
          <w:rtl/>
        </w:rPr>
        <w:t>).</w:t>
      </w:r>
    </w:p>
    <w:p w14:paraId="0BA051B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Pr>
          <w:rFonts w:ascii="Simplified Arabic" w:hAnsi="Simplified Arabic" w:cs="Simplified Arabic"/>
        </w:rPr>
        <w:t>Mendoza et al., 2025</w:t>
      </w:r>
      <w:r>
        <w:rPr>
          <w:rFonts w:ascii="Simplified Arabic" w:hAnsi="Simplified Arabic" w:cs="Simplified Arabic"/>
          <w:rtl/>
        </w:rPr>
        <w:t>).</w:t>
      </w:r>
    </w:p>
    <w:p w14:paraId="206C81E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العائد على الاستثمار التسويقي</w:t>
      </w:r>
    </w:p>
    <w:p w14:paraId="7DC01DE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Pr>
          <w:rFonts w:ascii="Simplified Arabic" w:hAnsi="Simplified Arabic" w:cs="Simplified Arabic"/>
        </w:rPr>
        <w:t>Nuremberg Institute for Market Decisions, 2024</w:t>
      </w:r>
      <w:r>
        <w:rPr>
          <w:rFonts w:ascii="Simplified Arabic" w:hAnsi="Simplified Arabic" w:cs="Simplified Arabic"/>
          <w:rtl/>
        </w:rPr>
        <w:t>).</w:t>
      </w:r>
    </w:p>
    <w:p w14:paraId="4E4846D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رضا العملاء</w:t>
      </w:r>
      <w:r>
        <w:rPr>
          <w:rFonts w:ascii="Simplified Arabic" w:hAnsi="Simplified Arabic" w:cs="Simplified Arabic" w:hint="cs"/>
          <w:rtl/>
        </w:rPr>
        <w:t xml:space="preserve"> </w:t>
      </w:r>
    </w:p>
    <w:p w14:paraId="45D18B3B"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Pr>
          <w:rFonts w:ascii="Simplified Arabic" w:hAnsi="Simplified Arabic" w:cs="Simplified Arabic"/>
        </w:rPr>
        <w:t>Alotaibi &amp; Al Youbi, 2024</w:t>
      </w:r>
      <w:r>
        <w:rPr>
          <w:rFonts w:ascii="Simplified Arabic" w:hAnsi="Simplified Arabic" w:cs="Simplified Arabic"/>
          <w:rtl/>
        </w:rPr>
        <w:t>).</w:t>
      </w:r>
    </w:p>
    <w:p w14:paraId="62824101" w14:textId="77777777" w:rsidR="00173F7B" w:rsidRPr="00915B55" w:rsidRDefault="00173F7B" w:rsidP="00173F7B">
      <w:pPr>
        <w:bidi/>
        <w:jc w:val="both"/>
        <w:rPr>
          <w:rFonts w:ascii="Simplified Arabic" w:hAnsi="Simplified Arabic" w:cs="Simplified Arabic"/>
          <w:rtl/>
        </w:rPr>
      </w:pPr>
    </w:p>
    <w:p w14:paraId="12D71E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5) ولاء العملاء </w:t>
      </w:r>
      <w:r>
        <w:rPr>
          <w:rFonts w:ascii="Simplified Arabic" w:hAnsi="Simplified Arabic" w:cs="Simplified Arabic" w:hint="cs"/>
          <w:rtl/>
        </w:rPr>
        <w:t xml:space="preserve"> </w:t>
      </w:r>
    </w:p>
    <w:p w14:paraId="61CBBCF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601D9517"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Pr>
          <w:rFonts w:ascii="Simplified Arabic" w:hAnsi="Simplified Arabic" w:cs="Simplified Arabic"/>
        </w:rPr>
        <w:t>Wang et al., 2025</w:t>
      </w:r>
      <w:r>
        <w:rPr>
          <w:rFonts w:ascii="Simplified Arabic" w:hAnsi="Simplified Arabic" w:cs="Simplified Arabic"/>
          <w:rtl/>
        </w:rPr>
        <w:t>).</w:t>
      </w:r>
    </w:p>
    <w:p w14:paraId="69ED7E20" w14:textId="77777777" w:rsidR="00F035EA" w:rsidRPr="00915B55" w:rsidRDefault="00F035EA" w:rsidP="00F035EA">
      <w:pPr>
        <w:bidi/>
        <w:jc w:val="both"/>
        <w:rPr>
          <w:rFonts w:ascii="Simplified Arabic" w:hAnsi="Simplified Arabic" w:cs="Simplified Arabic"/>
          <w:rtl/>
        </w:rPr>
      </w:pPr>
    </w:p>
    <w:p w14:paraId="570C8B9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أبعاد الأداء التسويقي في البيئة الرقمية</w:t>
      </w:r>
    </w:p>
    <w:p w14:paraId="1754AE6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26B43B6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البعد التشغيلي للأداء التسويقي الرقمي</w:t>
      </w:r>
    </w:p>
    <w:p w14:paraId="6B57B3E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Pr>
          <w:rFonts w:ascii="Simplified Arabic" w:hAnsi="Simplified Arabic" w:cs="Simplified Arabic"/>
        </w:rPr>
        <w:t>Heitmann, 2024</w:t>
      </w:r>
      <w:r>
        <w:rPr>
          <w:rFonts w:ascii="Simplified Arabic" w:hAnsi="Simplified Arabic" w:cs="Simplified Arabic"/>
          <w:rtl/>
        </w:rPr>
        <w:t>).</w:t>
      </w:r>
    </w:p>
    <w:p w14:paraId="1E9DD52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الناحية التطبيقية، يُقاس هذا البعد في التسويق الرقمي بمؤشرات تشغيلية مثل:</w:t>
      </w:r>
    </w:p>
    <w:p w14:paraId="2806F50A"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زمن إنتاج المحتوى أو تجهيز الحملة.</w:t>
      </w:r>
    </w:p>
    <w:p w14:paraId="2DF33921"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سرعة الاستجابة للتعديلات أثناء التنفيذ.</w:t>
      </w:r>
    </w:p>
    <w:p w14:paraId="66E37F2D"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عدد البدائل الإبداعية التي يمكن إنتاجها واختبارها ضمن إطار زمني محدد.</w:t>
      </w:r>
    </w:p>
    <w:p w14:paraId="4092D988"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معدل الالتزام بخطة النشر والتنفيذ عبر القنوات.</w:t>
      </w:r>
    </w:p>
    <w:p w14:paraId="5CB01D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Pr>
          <w:rFonts w:ascii="Simplified Arabic" w:hAnsi="Simplified Arabic" w:cs="Simplified Arabic"/>
        </w:rPr>
        <w:t>Nuremberg Institute for Market Decisions, 2024</w:t>
      </w:r>
      <w:r>
        <w:rPr>
          <w:rFonts w:ascii="Simplified Arabic" w:hAnsi="Simplified Arabic" w:cs="Simplified Arabic"/>
          <w:rtl/>
        </w:rPr>
        <w:t>).</w:t>
      </w:r>
    </w:p>
    <w:p w14:paraId="6B717B4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البعد التفاعلي والسلوكي في البيئة الرقمية</w:t>
      </w:r>
    </w:p>
    <w:p w14:paraId="7B9345A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ويشمل هذا البعد مؤشرات مثل:</w:t>
      </w:r>
    </w:p>
    <w:p w14:paraId="5BE42967"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التفاعل مع المحتوى (مثل النقر، المشاركة، التعليق، الحفظ بحسب طبيعة المنصة).</w:t>
      </w:r>
    </w:p>
    <w:p w14:paraId="5B15397F"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 التحويل إلى السلوك المستهدف (شراء، تسجيل، طلب خدمة، تعبئة نموذج).</w:t>
      </w:r>
    </w:p>
    <w:p w14:paraId="584B9840"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الاستجابة للعروض أو الرسائل المخصصة.</w:t>
      </w:r>
    </w:p>
    <w:p w14:paraId="671CA44B"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مؤشرات جودة التفاعل (مثل عمق التفاعل أو استمراريته، بحسب ما تتيحه المنصة).</w:t>
      </w:r>
    </w:p>
    <w:p w14:paraId="50D7B14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7DB9D1E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البعد الاقتصادي والنتائجي للأداء التسويقي</w:t>
      </w:r>
    </w:p>
    <w:p w14:paraId="5CB7741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Pr>
          <w:rFonts w:ascii="Simplified Arabic" w:hAnsi="Simplified Arabic" w:cs="Simplified Arabic"/>
        </w:rPr>
        <w:t>Sharabati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وفي التسويق الرقمي، يتجسد هذا البعد غالبًا عبر مؤشرات من أبرزها:</w:t>
      </w:r>
    </w:p>
    <w:p w14:paraId="04ECC3DD"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العائد على الاستثمار التسويقي (</w:t>
      </w:r>
      <w:r>
        <w:rPr>
          <w:rFonts w:ascii="Simplified Arabic" w:hAnsi="Simplified Arabic" w:cs="Simplified Arabic"/>
        </w:rPr>
        <w:t>Marketing ROI</w:t>
      </w:r>
      <w:r>
        <w:rPr>
          <w:rFonts w:ascii="Simplified Arabic" w:hAnsi="Simplified Arabic" w:cs="Simplified Arabic"/>
          <w:rtl/>
        </w:rPr>
        <w:t>): لقياس مردود الحملات مقارنة بالتكلفة.</w:t>
      </w:r>
    </w:p>
    <w:p w14:paraId="0A22A94A"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تكلفة التحويل أو تكلفة اكتساب العميل (بحسب طبيعة النشاط وبيانات القياس المتاحة).</w:t>
      </w:r>
    </w:p>
    <w:p w14:paraId="6EC5319B"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مساهمة الحملات في نمو المبيعات أو الطلبات خلال فترة زمنية محددة.</w:t>
      </w:r>
    </w:p>
    <w:p w14:paraId="1E0CEA37"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تحسن كفاءة الإنفاق الإعلاني عبر مقارنة نتائج القنوات أو الرسائل المختلفة.</w:t>
      </w:r>
    </w:p>
    <w:p w14:paraId="70821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Nuremberg Institute for Market Decisions, 2024</w:t>
      </w:r>
      <w:r>
        <w:rPr>
          <w:rFonts w:ascii="Simplified Arabic" w:hAnsi="Simplified Arabic" w:cs="Simplified Arabic"/>
          <w:rtl/>
        </w:rPr>
        <w:t>).</w:t>
      </w:r>
    </w:p>
    <w:p w14:paraId="48CC6E7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البعد العلاقاتي طويل الأجل</w:t>
      </w:r>
    </w:p>
    <w:p w14:paraId="65B739E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ويُقاس هذا البعد من خلال مؤشرات مثل:</w:t>
      </w:r>
    </w:p>
    <w:p w14:paraId="4134345F"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رضا العملاء عن التجربة الاتصالية أو التسويقية.</w:t>
      </w:r>
    </w:p>
    <w:p w14:paraId="0AC9ECDE"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الولاء (مثل تكرار التعامل أو الاستمرار في التفاعل).</w:t>
      </w:r>
    </w:p>
    <w:p w14:paraId="7F90B7A4"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الميل إلى التوصية بالعلامة التجارية أو تفضيلها.</w:t>
      </w:r>
    </w:p>
    <w:p w14:paraId="6DE21B37"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الاحتفاظ بالعملاء (بحسب طبيعة القطاع والبيانات المتاحة).</w:t>
      </w:r>
    </w:p>
    <w:p w14:paraId="163B0AF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Pr>
          <w:rFonts w:ascii="Simplified Arabic" w:hAnsi="Simplified Arabic" w:cs="Simplified Arabic"/>
        </w:rPr>
        <w:t>Wang et al., 2025</w:t>
      </w:r>
      <w:r>
        <w:rPr>
          <w:rFonts w:ascii="Simplified Arabic" w:hAnsi="Simplified Arabic" w:cs="Simplified Arabic"/>
          <w:rtl/>
        </w:rPr>
        <w:t>).</w:t>
      </w:r>
    </w:p>
    <w:p w14:paraId="721F59B3"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خصائص قياس الأداء التسويقي في البيئة الرقمية</w:t>
      </w:r>
    </w:p>
    <w:p w14:paraId="37C110E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04B3395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السرعة والتتابع الزمني للنتائج</w:t>
      </w:r>
    </w:p>
    <w:p w14:paraId="6AAB0E3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3F4CAD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كثافة البيانات وتعدد المؤشرات</w:t>
      </w:r>
    </w:p>
    <w:p w14:paraId="7BB0401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33983FB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ترابط الأبعاد وعدم كفاية المؤشر الواحد</w:t>
      </w:r>
    </w:p>
    <w:p w14:paraId="72D1760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hint="cs"/>
          <w:rtl/>
        </w:rPr>
        <w:t>).</w:t>
      </w:r>
    </w:p>
    <w:p w14:paraId="68AA7C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حساسية القياس لجودة التخصيص والمحتوى</w:t>
      </w:r>
    </w:p>
    <w:p w14:paraId="6F65184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p>
    <w:p w14:paraId="1461E9D6" w14:textId="77777777" w:rsidR="00F035EA" w:rsidRPr="00915B55" w:rsidRDefault="00F035EA" w:rsidP="00F035EA">
      <w:pPr>
        <w:bidi/>
        <w:jc w:val="both"/>
        <w:rPr>
          <w:rFonts w:ascii="Simplified Arabic" w:hAnsi="Simplified Arabic" w:cs="Simplified Arabic"/>
          <w:rtl/>
        </w:rPr>
      </w:pPr>
    </w:p>
    <w:p w14:paraId="0B548280"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العلاقة بين الذكاء الاصطناعي التوليدي والأداء التسويقي</w:t>
      </w:r>
    </w:p>
    <w:p w14:paraId="441F0E1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توضيح مسارات </w:t>
      </w:r>
      <w:r>
        <w:rPr>
          <w:rFonts w:ascii="Simplified Arabic" w:hAnsi="Simplified Arabic" w:cs="Simplified Arabic"/>
          <w:b/>
          <w:bCs/>
          <w:rtl/>
        </w:rPr>
        <w:t>أثر الذكاء الاصطناعي التوليدي في فعالية الأداء التسويقي</w:t>
      </w:r>
    </w:p>
    <w:p w14:paraId="766D4F6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5A8C906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مسار التوليد الإبداعي للمحتوى،</w:t>
      </w:r>
      <w:r>
        <w:rPr>
          <w:rFonts w:ascii="Simplified Arabic" w:hAnsi="Simplified Arabic" w:cs="Simplified Arabic" w:hint="cs"/>
          <w:rtl/>
        </w:rPr>
        <w:t xml:space="preserve"> </w:t>
      </w:r>
      <w:r>
        <w:rPr>
          <w:rFonts w:ascii="Simplified Arabic" w:hAnsi="Simplified Arabic" w:cs="Simplified Arabic"/>
          <w:rtl/>
        </w:rPr>
        <w:t>مسار التخصيص والاستهداف،</w:t>
      </w:r>
      <w:r>
        <w:rPr>
          <w:rFonts w:ascii="Simplified Arabic" w:hAnsi="Simplified Arabic" w:cs="Simplified Arabic" w:hint="cs"/>
          <w:rtl/>
        </w:rPr>
        <w:t xml:space="preserve"> </w:t>
      </w:r>
      <w:r>
        <w:rPr>
          <w:rFonts w:ascii="Simplified Arabic" w:hAnsi="Simplified Arabic" w:cs="Simplified Arabic"/>
          <w:rtl/>
        </w:rPr>
        <w:t>مسار التحليل والتحسين المستمر للقرارات.</w:t>
      </w:r>
    </w:p>
    <w:p w14:paraId="5D8C21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Pr>
          <w:rFonts w:ascii="Simplified Arabic" w:hAnsi="Simplified Arabic" w:cs="Simplified Arabic"/>
        </w:rPr>
        <w:t>Islam et al., 2024</w:t>
      </w:r>
      <w:r>
        <w:rPr>
          <w:rFonts w:ascii="Simplified Arabic" w:hAnsi="Simplified Arabic" w:cs="Simplified Arabic"/>
          <w:rtl/>
        </w:rPr>
        <w:t>).</w:t>
      </w:r>
    </w:p>
    <w:p w14:paraId="640018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Pr>
        <w:lastRenderedPageBreak/>
        <w:t>1</w:t>
      </w:r>
      <w:r>
        <w:rPr>
          <w:rFonts w:ascii="Simplified Arabic" w:hAnsi="Simplified Arabic" w:cs="Simplified Arabic" w:hint="cs"/>
          <w:rtl/>
        </w:rPr>
        <w:t xml:space="preserve">. </w:t>
      </w:r>
      <w:r>
        <w:rPr>
          <w:rFonts w:ascii="Simplified Arabic" w:hAnsi="Simplified Arabic" w:cs="Simplified Arabic"/>
          <w:rtl/>
        </w:rPr>
        <w:t>مسار التوليد الإبداعي للمحتوى وأثره في فعالية الأداء</w:t>
      </w:r>
    </w:p>
    <w:p w14:paraId="72BA19C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687B071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2CBA82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Heitmann, 2024</w:t>
      </w:r>
      <w:r>
        <w:rPr>
          <w:rFonts w:ascii="Simplified Arabic" w:hAnsi="Simplified Arabic" w:cs="Simplified Arabic"/>
          <w:rtl/>
        </w:rPr>
        <w:t>).</w:t>
      </w:r>
    </w:p>
    <w:p w14:paraId="69FE3C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2. </w:t>
      </w:r>
      <w:r>
        <w:rPr>
          <w:rFonts w:ascii="Simplified Arabic" w:hAnsi="Simplified Arabic" w:cs="Simplified Arabic"/>
          <w:rtl/>
        </w:rPr>
        <w:t>مسار التخصيص الدقيق للرسائل وتحسين الاستهداف</w:t>
      </w:r>
    </w:p>
    <w:p w14:paraId="5952A9C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5348C03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Pr>
          <w:rFonts w:ascii="Simplified Arabic" w:hAnsi="Simplified Arabic" w:cs="Simplified Arabic"/>
        </w:rPr>
        <w:t>Wang et al., 2025</w:t>
      </w:r>
      <w:r>
        <w:rPr>
          <w:rFonts w:ascii="Simplified Arabic" w:hAnsi="Simplified Arabic" w:cs="Simplified Arabic"/>
          <w:rtl/>
        </w:rPr>
        <w:t>).</w:t>
      </w:r>
    </w:p>
    <w:p w14:paraId="2903C8C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113AC5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Pr>
          <w:rFonts w:ascii="Simplified Arabic" w:hAnsi="Simplified Arabic" w:cs="Simplified Arabic"/>
        </w:rPr>
        <w:t>SDAIA, 2024</w:t>
      </w:r>
      <w:r>
        <w:rPr>
          <w:rFonts w:ascii="Simplified Arabic" w:hAnsi="Simplified Arabic" w:cs="Simplified Arabic"/>
          <w:rtl/>
        </w:rPr>
        <w:t>).</w:t>
      </w:r>
    </w:p>
    <w:p w14:paraId="16A64B2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3. </w:t>
      </w:r>
      <w:r>
        <w:rPr>
          <w:rFonts w:ascii="Simplified Arabic" w:hAnsi="Simplified Arabic" w:cs="Simplified Arabic"/>
          <w:rtl/>
        </w:rPr>
        <w:t>مسار التحليل والتحسين المستمر للقرارات أثناء الحملة</w:t>
      </w:r>
    </w:p>
    <w:p w14:paraId="049D0EC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Doshi et al., 2025</w:t>
      </w:r>
      <w:r>
        <w:rPr>
          <w:rFonts w:ascii="Simplified Arabic" w:hAnsi="Simplified Arabic" w:cs="Simplified Arabic"/>
          <w:rtl/>
        </w:rPr>
        <w:t>).</w:t>
      </w:r>
    </w:p>
    <w:p w14:paraId="184D91D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72E07D8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Pr>
          <w:rFonts w:ascii="Simplified Arabic" w:hAnsi="Simplified Arabic" w:cs="Simplified Arabic"/>
        </w:rPr>
        <w:t>Nguyen et al., 2025</w:t>
      </w:r>
      <w:r>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93CAC7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ذكر نماذج أو نظريات داعمة مع إبراز أثر الذكاء الاصطناعي على الكفاءة والإبداع</w:t>
      </w:r>
    </w:p>
    <w:p w14:paraId="17B2086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23F9652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منطق “القيمة التسويقية المتولدة” من الذكاء الاصطناعي</w:t>
      </w:r>
    </w:p>
    <w:p w14:paraId="31AB89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Pr>
          <w:rFonts w:ascii="Simplified Arabic" w:hAnsi="Simplified Arabic" w:cs="Simplified Arabic"/>
        </w:rPr>
        <w:t>Nuremberg Institute for Market Decisions</w:t>
      </w:r>
      <w:r>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1CB499E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5781DE68"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عبر تحسين الكفاءة في إنتاج المحتوى وإدارته</w:t>
      </w:r>
      <w:r>
        <w:rPr>
          <w:rFonts w:ascii="Simplified Arabic" w:hAnsi="Simplified Arabic" w:cs="Simplified Arabic" w:hint="cs"/>
          <w:rtl/>
        </w:rPr>
        <w:t>.</w:t>
      </w:r>
    </w:p>
    <w:p w14:paraId="2C3E164C"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تعزيز الإبداع العملي من خلال توسيع البدائل</w:t>
      </w:r>
      <w:r>
        <w:rPr>
          <w:rFonts w:ascii="Simplified Arabic" w:hAnsi="Simplified Arabic" w:cs="Simplified Arabic" w:hint="cs"/>
          <w:rtl/>
        </w:rPr>
        <w:t>.</w:t>
      </w:r>
    </w:p>
    <w:p w14:paraId="64EA2545"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رفع جودة التخصيص بما يخدم التفاعل والتحويل.</w:t>
      </w:r>
    </w:p>
    <w:p w14:paraId="05A4A2BC"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منطق التبني–الدمج–الأثر في فرق التسويق</w:t>
      </w:r>
    </w:p>
    <w:p w14:paraId="1803B1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Pr>
          <w:rFonts w:ascii="Simplified Arabic" w:hAnsi="Simplified Arabic" w:cs="Simplified Arabic"/>
        </w:rPr>
        <w:t>Nguyen et al., 2025</w:t>
      </w:r>
      <w:r>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60BE8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0761175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منطق الثقة/التجربة في تفسير الاستجابة للمخرجات الذكية</w:t>
      </w:r>
    </w:p>
    <w:p w14:paraId="32CA162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رغم أن بعض الأدبيات مثل </w:t>
      </w:r>
      <w:r>
        <w:rPr>
          <w:rFonts w:ascii="Simplified Arabic" w:hAnsi="Simplified Arabic" w:cs="Simplified Arabic"/>
        </w:rPr>
        <w:t>Ameen et al</w:t>
      </w:r>
      <w:r>
        <w:rPr>
          <w:rFonts w:ascii="Simplified Arabic" w:hAnsi="Simplified Arabic" w:cs="Simplified Arabic" w:hint="cs"/>
          <w:rtl/>
        </w:rPr>
        <w:t xml:space="preserve"> </w:t>
      </w:r>
      <w:r>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Pr>
          <w:rFonts w:ascii="Simplified Arabic" w:hAnsi="Simplified Arabic" w:cs="Simplified Arabic"/>
        </w:rPr>
        <w:t>Ameen et al., 2021</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0DC118C3" w14:textId="77777777" w:rsidR="00F035EA" w:rsidRPr="00A20BAB" w:rsidRDefault="00F035EA" w:rsidP="00F035EA">
      <w:pPr>
        <w:bidi/>
        <w:rPr>
          <w:rFonts w:ascii="Simplified Arabic" w:hAnsi="Simplified Arabic" w:cs="Simplified Arabic"/>
          <w:rtl/>
        </w:rPr>
      </w:pPr>
    </w:p>
    <w:p w14:paraId="43DF999A" w14:textId="77777777" w:rsidR="00F035EA" w:rsidRPr="00675F33"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الدراسات السابقة</w:t>
      </w:r>
      <w:r>
        <w:rPr>
          <w:rFonts w:ascii="Sakkal Majalla" w:hAnsi="Sakkal Majalla" w:cs="Sakkal Majalla"/>
          <w:b/>
          <w:bCs/>
          <w:color w:val="00B0F0"/>
          <w:sz w:val="32"/>
          <w:szCs w:val="32"/>
          <w:u w:val="single"/>
          <w:rtl/>
        </w:rPr>
        <w:t>:</w:t>
      </w:r>
    </w:p>
    <w:p w14:paraId="74147B97" w14:textId="77777777" w:rsidR="00F035EA" w:rsidRDefault="00F035EA" w:rsidP="00F035EA">
      <w:pPr>
        <w:bidi/>
        <w:spacing w:after="200" w:line="240" w:lineRule="auto"/>
        <w:rPr>
          <w:rFonts w:ascii="Simplified Arabic" w:hAnsi="Simplified Arabic" w:cs="Simplified Arabic"/>
          <w:b/>
          <w:bCs/>
          <w:color w:val="EE0000"/>
          <w:rtl/>
        </w:rPr>
      </w:pPr>
      <w:r>
        <w:rPr>
          <w:rFonts w:ascii="Sakkal Majalla" w:hAnsi="Sakkal Majalla" w:cs="Sakkal Majalla"/>
          <w:b/>
          <w:bCs/>
          <w:color w:val="1F497D" w:themeColor="text2"/>
          <w:sz w:val="32"/>
          <w:szCs w:val="32"/>
          <w:u w:val="single"/>
          <w:rtl/>
        </w:rPr>
        <w:t>المحور الأول: توظيف تقنيات الذكاء الاصطناعي التوليدي في تصميم الحملات التسويقية الرقمية</w:t>
      </w:r>
    </w:p>
    <w:p w14:paraId="50D6371B" w14:textId="77777777" w:rsidR="00F035EA" w:rsidRDefault="00F035EA" w:rsidP="00F035EA">
      <w:pPr>
        <w:bidi/>
        <w:spacing w:after="200" w:line="240" w:lineRule="auto"/>
        <w:jc w:val="both"/>
        <w:rPr>
          <w:rFonts w:ascii="Simplified Arabic" w:hAnsi="Simplified Arabic" w:cs="Simplified Arabic"/>
          <w:rtl/>
        </w:rPr>
      </w:pPr>
      <w:bookmarkStart w:id="2" w:name="_Hlk213567627"/>
      <w:r>
        <w:rPr>
          <w:rFonts w:ascii="Simplified Arabic" w:hAnsi="Simplified Arabic" w:cs="Simplified Arabic"/>
          <w:rtl/>
        </w:rPr>
        <w:t>أجرى</w:t>
      </w:r>
      <w:bookmarkEnd w:id="2"/>
      <w:r>
        <w:rPr>
          <w:rFonts w:ascii="Simplified Arabic" w:hAnsi="Simplified Arabic" w:cs="Simplified Arabic"/>
          <w:rtl/>
        </w:rPr>
        <w:t xml:space="preserve"> الخطيب </w:t>
      </w:r>
      <w:r>
        <w:rPr>
          <w:rFonts w:ascii="Simplified Arabic" w:hAnsi="Simplified Arabic" w:cs="Simplified Arabic"/>
        </w:rPr>
        <w:t xml:space="preserve"> (2024) </w:t>
      </w:r>
      <w:r>
        <w:rPr>
          <w:rFonts w:ascii="Simplified Arabic" w:hAnsi="Simplified Arabic" w:cs="Simplified Arabic"/>
          <w:rtl/>
        </w:rPr>
        <w:t xml:space="preserve">دراسة بعنوان </w:t>
      </w:r>
      <w:r>
        <w:rPr>
          <w:rFonts w:ascii="Simplified Arabic" w:hAnsi="Simplified Arabic" w:cs="Simplified Arabic"/>
        </w:rPr>
        <w:t>"</w:t>
      </w:r>
      <w:r>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Pr>
          <w:rFonts w:ascii="Simplified Arabic" w:hAnsi="Simplified Arabic" w:cs="Simplified Arabic"/>
        </w:rPr>
        <w:t xml:space="preserve">". </w:t>
      </w:r>
      <w:r>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Pr>
          <w:rFonts w:ascii="Simplified Arabic" w:hAnsi="Simplified Arabic" w:cs="Simplified Arabic"/>
        </w:rPr>
        <w:t xml:space="preserve"> . </w:t>
      </w:r>
      <w:r>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Pr>
          <w:rFonts w:ascii="Simplified Arabic" w:hAnsi="Simplified Arabic" w:cs="Simplified Arabic"/>
        </w:rPr>
        <w:t xml:space="preserve">. </w:t>
      </w:r>
      <w:r>
        <w:rPr>
          <w:rFonts w:ascii="Simplified Arabic" w:hAnsi="Simplified Arabic" w:cs="Simplified Arabic"/>
          <w:rtl/>
        </w:rPr>
        <w:t xml:space="preserve">بلغ حجم العينة (الحد الأدنى) </w:t>
      </w:r>
      <w:r>
        <w:rPr>
          <w:rFonts w:ascii="Simplified Arabic" w:hAnsi="Simplified Arabic" w:cs="Simplified Arabic"/>
        </w:rPr>
        <w:t xml:space="preserve"> 384 </w:t>
      </w:r>
      <w:r>
        <w:rPr>
          <w:rFonts w:ascii="Simplified Arabic" w:hAnsi="Simplified Arabic" w:cs="Simplified Arabic"/>
          <w:rtl/>
        </w:rPr>
        <w:t>مفردة من العملاء، وتم جمع البيانات الأولية من خلال استمارة إلكترونية باستخدام عينة كرة الثلج</w:t>
      </w:r>
      <w:r>
        <w:rPr>
          <w:rFonts w:ascii="Simplified Arabic" w:hAnsi="Simplified Arabic" w:cs="Simplified Arabic"/>
        </w:rPr>
        <w:t xml:space="preserve">(Snowball Sample) </w:t>
      </w:r>
      <w:r>
        <w:rPr>
          <w:rFonts w:ascii="Simplified Arabic" w:hAnsi="Simplified Arabic" w:cs="Simplified Arabic" w:hint="cs"/>
          <w:rtl/>
        </w:rPr>
        <w:t xml:space="preserve">. </w:t>
      </w:r>
      <w:r>
        <w:rPr>
          <w:rFonts w:ascii="Simplified Arabic" w:hAnsi="Simplified Arabic" w:cs="Simplified Arabic"/>
          <w:rtl/>
        </w:rPr>
        <w:t>وقد تضمنت أدوات التحليل الإحصائي المستخدمة معامل الثبات ألفا كرونباخ</w:t>
      </w:r>
      <w:r>
        <w:rPr>
          <w:rFonts w:ascii="Simplified Arabic" w:hAnsi="Simplified Arabic" w:cs="Simplified Arabic"/>
        </w:rPr>
        <w:t xml:space="preserve">(Cronbach's Alpha) </w:t>
      </w:r>
      <w:r>
        <w:rPr>
          <w:rFonts w:ascii="Simplified Arabic" w:hAnsi="Simplified Arabic" w:cs="Simplified Arabic"/>
          <w:rtl/>
        </w:rPr>
        <w:t>، ومعامل الارتباط بيرسون، بالإضافة إلى تحليل الانحدار</w:t>
      </w:r>
      <w:r>
        <w:rPr>
          <w:rFonts w:ascii="Simplified Arabic" w:hAnsi="Simplified Arabic" w:cs="Simplified Arabic"/>
        </w:rPr>
        <w:t xml:space="preserve"> (Regression Analysis) </w:t>
      </w:r>
      <w:r>
        <w:rPr>
          <w:rFonts w:ascii="Simplified Arabic" w:hAnsi="Simplified Arabic" w:cs="Simplified Arabic"/>
          <w:rtl/>
        </w:rPr>
        <w:t>واختبارات</w:t>
      </w:r>
      <w:r>
        <w:rPr>
          <w:rFonts w:ascii="Simplified Arabic" w:hAnsi="Simplified Arabic" w:cs="Simplified Arabic"/>
        </w:rPr>
        <w:t xml:space="preserve"> T-Test </w:t>
      </w:r>
      <w:r>
        <w:rPr>
          <w:rFonts w:ascii="Simplified Arabic" w:hAnsi="Simplified Arabic" w:cs="Simplified Arabic"/>
          <w:rtl/>
        </w:rPr>
        <w:t>و</w:t>
      </w:r>
      <w:r>
        <w:rPr>
          <w:rFonts w:ascii="Simplified Arabic" w:hAnsi="Simplified Arabic" w:cs="Simplified Arabic"/>
        </w:rPr>
        <w:t xml:space="preserve"> F- Test </w:t>
      </w:r>
      <w:r>
        <w:rPr>
          <w:rFonts w:ascii="Simplified Arabic" w:hAnsi="Simplified Arabic" w:cs="Simplified Arabic" w:hint="cs"/>
          <w:rtl/>
        </w:rPr>
        <w:t xml:space="preserve"> </w:t>
      </w:r>
      <w:r>
        <w:rPr>
          <w:rFonts w:ascii="Simplified Arabic" w:hAnsi="Simplified Arabic" w:cs="Simplified Arabic"/>
          <w:rtl/>
        </w:rPr>
        <w:t>لاختبار فروض الدراسة</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Pr>
          <w:rFonts w:ascii="Simplified Arabic" w:hAnsi="Simplified Arabic" w:cs="Simplified Arabic"/>
        </w:rPr>
        <w:t xml:space="preserve">: </w:t>
      </w:r>
      <w:r>
        <w:rPr>
          <w:rFonts w:ascii="Simplified Arabic" w:hAnsi="Simplified Arabic" w:cs="Simplified Arabic"/>
          <w:rtl/>
        </w:rPr>
        <w:t>جذب الانتباه، خلق الاهتمام، إثارة الرغبة، والشراء الفعلي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Pr>
          <w:rFonts w:ascii="Simplified Arabic" w:hAnsi="Simplified Arabic" w:cs="Simplified Arabic"/>
        </w:rPr>
        <w:t xml:space="preserve">. </w:t>
      </w:r>
      <w:r>
        <w:rPr>
          <w:rFonts w:ascii="Simplified Arabic" w:hAnsi="Simplified Arabic" w:cs="Simplified Arabic"/>
          <w:rtl/>
        </w:rPr>
        <w:t>كما أوصت بالتدريب المستمر للمسوقين على تقنية تحسين محركات البحث</w:t>
      </w:r>
      <w:r>
        <w:rPr>
          <w:rFonts w:ascii="Simplified Arabic" w:hAnsi="Simplified Arabic" w:cs="Simplified Arabic"/>
        </w:rPr>
        <w:t xml:space="preserve"> (SEO) </w:t>
      </w:r>
      <w:r>
        <w:rPr>
          <w:rFonts w:ascii="Simplified Arabic" w:hAnsi="Simplified Arabic" w:cs="Simplified Arabic"/>
          <w:rtl/>
        </w:rPr>
        <w:t>وروبوتات الدردشة</w:t>
      </w:r>
      <w:r>
        <w:rPr>
          <w:rFonts w:ascii="Simplified Arabic" w:hAnsi="Simplified Arabic" w:cs="Simplified Arabic"/>
        </w:rPr>
        <w:t>.</w:t>
      </w:r>
    </w:p>
    <w:p w14:paraId="450CEC30" w14:textId="77777777" w:rsidR="00F035EA" w:rsidRPr="0005238F"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1BCDBE10" w14:textId="77777777" w:rsidR="00F035EA" w:rsidRPr="00644BCE" w:rsidRDefault="00F035EA" w:rsidP="00F035EA">
      <w:pPr>
        <w:bidi/>
        <w:spacing w:after="200" w:line="240" w:lineRule="auto"/>
        <w:jc w:val="both"/>
        <w:rPr>
          <w:rFonts w:ascii="Simplified Arabic" w:hAnsi="Simplified Arabic" w:cs="Simplified Arabic"/>
        </w:rPr>
      </w:pPr>
    </w:p>
    <w:p w14:paraId="3F01305F"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implified Arabic" w:hAnsi="Simplified Arabic" w:cs="Simplified Arabic"/>
          <w:rtl/>
        </w:rPr>
        <w:t>أجرى</w:t>
      </w:r>
      <w:r>
        <w:rPr>
          <w:rFonts w:ascii="Simplified Arabic" w:hAnsi="Simplified Arabic" w:cs="Simplified Arabic" w:hint="cs"/>
          <w:rtl/>
        </w:rPr>
        <w:t xml:space="preserve"> الباحثان </w:t>
      </w:r>
      <w:r>
        <w:rPr>
          <w:rFonts w:ascii="Simplified Arabic" w:hAnsi="Simplified Arabic" w:cs="Simplified Arabic"/>
        </w:rPr>
        <w:t>(Gujar &amp; Panyam, 2024)</w:t>
      </w:r>
      <w:r>
        <w:rPr>
          <w:rFonts w:ascii="Simplified Arabic" w:hAnsi="Simplified Arabic" w:cs="Simplified Arabic" w:hint="cs"/>
          <w:rtl/>
        </w:rPr>
        <w:t xml:space="preserve"> دراسة و</w:t>
      </w:r>
      <w:r>
        <w:rPr>
          <w:rFonts w:ascii="Simplified Arabic" w:hAnsi="Simplified Arabic" w:cs="Simplified Arabic"/>
          <w:rtl/>
        </w:rPr>
        <w:t>التي حملت عنوان</w:t>
      </w:r>
      <w:r>
        <w:rPr>
          <w:rFonts w:ascii="Simplified Arabic" w:hAnsi="Simplified Arabic" w:cs="Simplified Arabic"/>
        </w:rPr>
        <w:t xml:space="preserve"> "Generative AI in Digital Advertising Campaigns"</w:t>
      </w:r>
      <w:r>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Pr>
          <w:rFonts w:ascii="Simplified Arabic" w:hAnsi="Simplified Arabic" w:cs="Simplified Arabic"/>
        </w:rPr>
        <w:t xml:space="preserve"> Netflix </w:t>
      </w:r>
      <w:r>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Pr>
          <w:rFonts w:ascii="Simplified Arabic" w:hAnsi="Simplified Arabic" w:cs="Simplified Arabic"/>
        </w:rPr>
        <w:t xml:space="preserve">. </w:t>
      </w:r>
    </w:p>
    <w:p w14:paraId="2BA98E12" w14:textId="77777777" w:rsidR="00F035EA" w:rsidRPr="0005238F"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22BC0F0C"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دراسة إسلام وزملاؤه (</w:t>
      </w:r>
      <w:r>
        <w:rPr>
          <w:rFonts w:ascii="Simplified Arabic" w:hAnsi="Simplified Arabic" w:cs="Simplified Arabic"/>
        </w:rPr>
        <w:t>Islam et al</w:t>
      </w:r>
      <w:r>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Pr>
          <w:rFonts w:ascii="Simplified Arabic" w:hAnsi="Simplified Arabic" w:cs="Simplified Arabic"/>
        </w:rPr>
        <w:t>MARK-GEN</w:t>
      </w:r>
      <w:r>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Pr>
          <w:rFonts w:ascii="Simplified Arabic" w:hAnsi="Simplified Arabic" w:cs="Simplified Arabic"/>
        </w:rPr>
        <w:t>MARK-GEN</w:t>
      </w:r>
      <w:r>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Pr>
          <w:rFonts w:ascii="Simplified Arabic" w:hAnsi="Simplified Arabic" w:cs="Simplified Arabic"/>
        </w:rPr>
        <w:t>Conceptual Framework</w:t>
      </w:r>
      <w:r>
        <w:rPr>
          <w:rFonts w:ascii="Simplified Arabic" w:hAnsi="Simplified Arabic" w:cs="Simplified Arabic"/>
          <w:rtl/>
        </w:rPr>
        <w:t>)، تم تدعيمه وعرضه من خلال دراستي حالة تطبيقيتين (القياس الافتراضي للملابس (</w:t>
      </w:r>
      <w:r>
        <w:rPr>
          <w:rFonts w:ascii="Simplified Arabic" w:hAnsi="Simplified Arabic" w:cs="Simplified Arabic"/>
        </w:rPr>
        <w:t>Virtual Try-On</w:t>
      </w:r>
      <w:r>
        <w:rPr>
          <w:rFonts w:ascii="Simplified Arabic" w:hAnsi="Simplified Arabic" w:cs="Simplified Arabic"/>
          <w:rtl/>
        </w:rPr>
        <w:t xml:space="preserve">) وتوليد الصور إلى فيديوهات </w:t>
      </w:r>
      <w:r>
        <w:rPr>
          <w:rFonts w:ascii="Simplified Arabic" w:hAnsi="Simplified Arabic" w:cs="Simplified Arabic"/>
        </w:rPr>
        <w:t>(Image-to-Video Generation)</w:t>
      </w:r>
      <w:r>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Pr>
          <w:rFonts w:ascii="Simplified Arabic" w:hAnsi="Simplified Arabic" w:cs="Simplified Arabic"/>
        </w:rPr>
        <w:t>GANs</w:t>
      </w:r>
      <w:r>
        <w:rPr>
          <w:rFonts w:ascii="Simplified Arabic" w:hAnsi="Simplified Arabic" w:cs="Simplified Arabic"/>
          <w:rtl/>
        </w:rPr>
        <w:t>) ونماذج الانتشار (</w:t>
      </w:r>
      <w:r>
        <w:rPr>
          <w:rFonts w:ascii="Simplified Arabic" w:hAnsi="Simplified Arabic" w:cs="Simplified Arabic"/>
        </w:rPr>
        <w:t>Diffusion Models</w:t>
      </w:r>
      <w:r>
        <w:rPr>
          <w:rFonts w:ascii="Simplified Arabic" w:hAnsi="Simplified Arabic" w:cs="Simplified Arabic"/>
          <w:rtl/>
        </w:rPr>
        <w:t>) وبنية (</w:t>
      </w:r>
      <w:r>
        <w:rPr>
          <w:rFonts w:ascii="Simplified Arabic" w:hAnsi="Simplified Arabic" w:cs="Simplified Arabic"/>
        </w:rPr>
        <w:t>U-Net</w:t>
      </w:r>
      <w:r>
        <w:rPr>
          <w:rFonts w:ascii="Simplified Arabic" w:hAnsi="Simplified Arabic" w:cs="Simplified Arabic"/>
          <w:rtl/>
        </w:rPr>
        <w:t xml:space="preserve">) (في تطوير نموذج </w:t>
      </w:r>
      <w:r>
        <w:rPr>
          <w:rFonts w:ascii="Simplified Arabic" w:hAnsi="Simplified Arabic" w:cs="Simplified Arabic"/>
        </w:rPr>
        <w:t>SVTON</w:t>
      </w:r>
      <w:r>
        <w:rPr>
          <w:rFonts w:ascii="Simplified Arabic" w:hAnsi="Simplified Arabic" w:cs="Simplified Arabic"/>
          <w:rtl/>
        </w:rPr>
        <w:t xml:space="preserve"> لعمليات القياس الافتراضي ونموذج </w:t>
      </w:r>
      <w:r>
        <w:rPr>
          <w:rFonts w:ascii="Simplified Arabic" w:hAnsi="Simplified Arabic" w:cs="Simplified Arabic"/>
        </w:rPr>
        <w:t>FashionFlow</w:t>
      </w:r>
      <w:r>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Pr>
          <w:rFonts w:ascii="Simplified Arabic" w:hAnsi="Simplified Arabic" w:cs="Simplified Arabic"/>
        </w:rPr>
        <w:t>ground truth</w:t>
      </w:r>
      <w:r>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Pr>
          <w:rFonts w:ascii="Simplified Arabic" w:hAnsi="Simplified Arabic" w:cs="Simplified Arabic"/>
        </w:rPr>
        <w:t>MARK-GEN</w:t>
      </w:r>
      <w:r>
        <w:rPr>
          <w:rFonts w:ascii="Simplified Arabic" w:hAnsi="Simplified Arabic" w:cs="Simplified Arabic"/>
          <w:rtl/>
        </w:rPr>
        <w:t xml:space="preserve">) </w:t>
      </w:r>
      <w:r>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Pr>
          <w:rFonts w:ascii="Simplified Arabic" w:hAnsi="Simplified Arabic" w:cs="Simplified Arabic"/>
        </w:rPr>
        <w:t>GPUs</w:t>
      </w:r>
      <w:r>
        <w:rPr>
          <w:rFonts w:ascii="Simplified Arabic" w:hAnsi="Simplified Arabic" w:cs="Simplified Arabic"/>
          <w:rtl/>
        </w:rPr>
        <w:t>) وطول فترة تدريب نماذج التعلم العميق.</w:t>
      </w:r>
    </w:p>
    <w:p w14:paraId="239A1647"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Islam</w:t>
      </w:r>
      <w:r>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Pr>
          <w:rFonts w:ascii="Simplified Arabic" w:hAnsi="Simplified Arabic" w:cs="Simplified Arabic"/>
        </w:rPr>
        <w:t>MARK-GEN</w:t>
      </w:r>
      <w:r>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5FBED229" w14:textId="77777777" w:rsidR="00173F7B" w:rsidRPr="0005238F" w:rsidRDefault="00173F7B" w:rsidP="00173F7B">
      <w:pPr>
        <w:bidi/>
        <w:spacing w:after="200" w:line="240" w:lineRule="auto"/>
        <w:jc w:val="both"/>
        <w:rPr>
          <w:rFonts w:ascii="Simplified Arabic" w:hAnsi="Simplified Arabic" w:cs="Simplified Arabic"/>
          <w:rtl/>
        </w:rPr>
      </w:pPr>
    </w:p>
    <w:p w14:paraId="6955703E" w14:textId="77777777" w:rsidR="00F035EA" w:rsidRPr="004F2B23" w:rsidRDefault="00F035EA" w:rsidP="00F035EA">
      <w:pPr>
        <w:bidi/>
        <w:spacing w:after="200" w:line="240" w:lineRule="auto"/>
        <w:jc w:val="both"/>
        <w:rPr>
          <w:rFonts w:ascii="Simplified Arabic" w:hAnsi="Simplified Arabic" w:cs="Simplified Arabic"/>
          <w:sz w:val="2"/>
          <w:szCs w:val="2"/>
          <w:rtl/>
        </w:rPr>
      </w:pPr>
    </w:p>
    <w:p w14:paraId="0DBFDB2F" w14:textId="77777777" w:rsidR="00F035EA" w:rsidRPr="004223DC"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الثاني: الدوافع والعوائق لتبني الذكاء الاصطناعي في وكالات التسويق السعودية</w:t>
      </w:r>
      <w:r>
        <w:rPr>
          <w:rFonts w:ascii="Simplified Arabic" w:hAnsi="Simplified Arabic" w:cs="Simplified Arabic" w:hint="cs"/>
          <w:b/>
          <w:bCs/>
          <w:color w:val="EE0000"/>
          <w:rtl/>
        </w:rPr>
        <w:t xml:space="preserve"> </w:t>
      </w:r>
    </w:p>
    <w:p w14:paraId="144859B1" w14:textId="77777777" w:rsidR="00F035EA" w:rsidRDefault="00F035EA" w:rsidP="00F035EA">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Pr>
          <w:rFonts w:ascii="Simplified Arabic" w:hAnsi="Simplified Arabic" w:cs="Simplified Arabic"/>
        </w:rPr>
        <w:t>AI</w:t>
      </w:r>
      <w:r>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36A596F2"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99C8BDF" w14:textId="77777777" w:rsidR="00F035EA" w:rsidRPr="00361EA9" w:rsidRDefault="00F035EA" w:rsidP="00F035EA">
      <w:pPr>
        <w:bidi/>
        <w:jc w:val="both"/>
        <w:rPr>
          <w:rFonts w:ascii="Simplified Arabic" w:hAnsi="Simplified Arabic" w:cs="Simplified Arabic"/>
          <w:rtl/>
        </w:rPr>
      </w:pPr>
    </w:p>
    <w:p w14:paraId="55AEA834"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lastRenderedPageBreak/>
        <w:t>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Pr>
          <w:rFonts w:ascii="Simplified Arabic" w:hAnsi="Simplified Arabic" w:cs="Simplified Arabic"/>
        </w:rPr>
        <w:t xml:space="preserve"> (Case Study) </w:t>
      </w:r>
      <w:r>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Pr>
          <w:rFonts w:ascii="Simplified Arabic" w:hAnsi="Simplified Arabic" w:cs="Simplified Arabic"/>
        </w:rPr>
        <w:t xml:space="preserve"> (Big Data) </w:t>
      </w:r>
      <w:r>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Pr>
          <w:rFonts w:ascii="Simplified Arabic" w:hAnsi="Simplified Arabic" w:cs="Simplified Arabic"/>
        </w:rPr>
        <w:t>.</w:t>
      </w:r>
    </w:p>
    <w:p w14:paraId="2877A397" w14:textId="77777777" w:rsidR="00F035EA" w:rsidRPr="00CD177D"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10CBA363" w14:textId="77777777" w:rsidR="00F035EA" w:rsidRDefault="00F035EA" w:rsidP="00F035EA">
      <w:pPr>
        <w:bidi/>
        <w:jc w:val="both"/>
        <w:rPr>
          <w:rFonts w:asciiTheme="majorBidi" w:hAnsiTheme="majorBidi" w:cstheme="majorBidi"/>
          <w:rtl/>
        </w:rPr>
      </w:pPr>
    </w:p>
    <w:p w14:paraId="6F47C40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تناولت دراسة كشتري وزملاؤه (</w:t>
      </w:r>
      <w:proofErr w:type="spellStart"/>
      <w:r>
        <w:rPr>
          <w:rFonts w:ascii="Simplified Arabic" w:hAnsi="Simplified Arabic" w:cs="Simplified Arabic"/>
        </w:rPr>
        <w:t>Kshetri</w:t>
      </w:r>
      <w:proofErr w:type="spellEnd"/>
      <w:r>
        <w:rPr>
          <w:rFonts w:ascii="Simplified Arabic" w:hAnsi="Simplified Arabic" w:cs="Simplified Arabic"/>
        </w:rPr>
        <w:t xml:space="preserve"> et al</w:t>
      </w:r>
      <w:r>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Pr>
          <w:rFonts w:ascii="Simplified Arabic" w:hAnsi="Simplified Arabic" w:cs="Simplified Arabic"/>
        </w:rPr>
        <w:t>GAI</w:t>
      </w:r>
      <w:r>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w:t>
      </w:r>
      <w:r>
        <w:rPr>
          <w:rFonts w:ascii="Simplified Arabic" w:hAnsi="Simplified Arabic" w:cs="Simplified Arabic"/>
          <w:rtl/>
        </w:rPr>
        <w:lastRenderedPageBreak/>
        <w:t>الإنتاجية). أما التوصيات فقد شملت ضرورة معالجة حواجز التكلفة التي تمثل عائقاً، خاصة للشركات الصغيرة والمتوسطة، 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2F387A84"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proofErr w:type="spellStart"/>
      <w:r>
        <w:rPr>
          <w:rFonts w:ascii="Simplified Arabic" w:hAnsi="Simplified Arabic" w:cs="Simplified Arabic"/>
        </w:rPr>
        <w:t>Kshetri</w:t>
      </w:r>
      <w:proofErr w:type="spellEnd"/>
      <w:r>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24C0ED5A" w14:textId="77777777" w:rsidR="00F035EA" w:rsidRPr="004F2B23" w:rsidRDefault="00F035EA" w:rsidP="00F035EA">
      <w:pPr>
        <w:bidi/>
        <w:jc w:val="both"/>
        <w:rPr>
          <w:rFonts w:ascii="Simplified Arabic" w:hAnsi="Simplified Arabic" w:cs="Simplified Arabic"/>
          <w:sz w:val="2"/>
          <w:szCs w:val="2"/>
          <w:rtl/>
        </w:rPr>
      </w:pPr>
    </w:p>
    <w:p w14:paraId="185E4F8B" w14:textId="77777777" w:rsidR="00F035EA"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الثالث: أثر توظيف الذكاء الاصطناعي التوليدي في فعالية الأداء التسويقي</w:t>
      </w:r>
      <w:r>
        <w:rPr>
          <w:rFonts w:ascii="Simplified Arabic" w:hAnsi="Simplified Arabic" w:cs="Simplified Arabic" w:hint="cs"/>
          <w:b/>
          <w:bCs/>
          <w:rtl/>
        </w:rPr>
        <w:t xml:space="preserve"> </w:t>
      </w:r>
    </w:p>
    <w:p w14:paraId="751E43A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Pr>
          <w:rFonts w:ascii="Simplified Arabic" w:hAnsi="Simplified Arabic" w:cs="Simplified Arabic"/>
        </w:rPr>
        <w:t>AI</w:t>
      </w:r>
      <w:r>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Pr>
          <w:rFonts w:ascii="Simplified Arabic" w:hAnsi="Simplified Arabic" w:cs="Simplified Arabic"/>
        </w:rPr>
        <w:t>(TBI)</w:t>
      </w:r>
      <w:r>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Pr>
          <w:rFonts w:ascii="Simplified Arabic" w:hAnsi="Simplified Arabic" w:cs="Simplified Arabic"/>
        </w:rPr>
        <w:t>SPSS v.25</w:t>
      </w:r>
      <w:r>
        <w:rPr>
          <w:rFonts w:ascii="Simplified Arabic" w:hAnsi="Simplified Arabic" w:cs="Simplified Arabic"/>
          <w:rtl/>
        </w:rPr>
        <w:t xml:space="preserve"> و</w:t>
      </w:r>
      <w:r>
        <w:rPr>
          <w:rFonts w:ascii="Simplified Arabic" w:hAnsi="Simplified Arabic" w:cs="Simplified Arabic"/>
        </w:rPr>
        <w:t>SMART PLS v.4.1.0.2</w:t>
      </w:r>
      <w:r>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Pr>
          <w:rFonts w:ascii="Simplified Arabic" w:hAnsi="Simplified Arabic" w:cs="Simplified Arabic"/>
        </w:rPr>
        <w:t>Expert Systems</w:t>
      </w:r>
      <w:r>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2516A521"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0C9AAB1" w14:textId="77777777" w:rsidR="00F035EA" w:rsidRDefault="00F035EA" w:rsidP="00F035EA">
      <w:pPr>
        <w:bidi/>
        <w:jc w:val="both"/>
        <w:rPr>
          <w:rFonts w:asciiTheme="majorBidi" w:hAnsiTheme="majorBidi" w:cstheme="majorBidi"/>
          <w:rtl/>
        </w:rPr>
      </w:pPr>
    </w:p>
    <w:p w14:paraId="03A641FD"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في إطار الدراسات التي تركز على تحليل الأدبيات القائمة حول دمج التقنيات الجديدة في التسويق، قدم مندوزا وزملاؤه (</w:t>
      </w:r>
      <w:r>
        <w:rPr>
          <w:rFonts w:ascii="Simplified Arabic" w:hAnsi="Simplified Arabic" w:cs="Simplified Arabic"/>
        </w:rPr>
        <w:t>Mendoza et al</w:t>
      </w:r>
      <w:r>
        <w:rPr>
          <w:rFonts w:ascii="Simplified Arabic" w:hAnsi="Simplified Arabic" w:cs="Simplified Arabic"/>
          <w:rtl/>
        </w:rPr>
        <w:t>.) دراستهم في عام 2025، تحت عنوان "الذكاء الاصطناعي في التسويق الرقمي: تحليل كمي لتأثيره على تخصيص العملاء". تمثّل الهدف الأساسي لهذا البحث في إجراء تحليل منهجي وكمي لتأثير الذكاء الاصطناعي (</w:t>
      </w:r>
      <w:r>
        <w:rPr>
          <w:rFonts w:ascii="Simplified Arabic" w:hAnsi="Simplified Arabic" w:cs="Simplified Arabic"/>
        </w:rPr>
        <w:t>AI</w:t>
      </w:r>
      <w:r>
        <w:rPr>
          <w:rFonts w:ascii="Simplified Arabic" w:hAnsi="Simplified Arabic" w:cs="Simplified Arabic"/>
          <w:rtl/>
        </w:rPr>
        <w:t>) على تخصيص العملاء</w:t>
      </w:r>
      <w:r>
        <w:rPr>
          <w:rFonts w:ascii="Simplified Arabic" w:hAnsi="Simplified Arabic" w:cs="Simplified Arabic" w:hint="cs"/>
          <w:rtl/>
        </w:rPr>
        <w:t xml:space="preserve"> </w:t>
      </w:r>
      <w:r>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Pr>
          <w:rFonts w:ascii="Simplified Arabic" w:hAnsi="Simplified Arabic" w:cs="Simplified Arabic"/>
        </w:rPr>
        <w:t>PRISMA</w:t>
      </w:r>
      <w:r>
        <w:rPr>
          <w:rFonts w:ascii="Simplified Arabic" w:hAnsi="Simplified Arabic" w:cs="Simplified Arabic"/>
          <w:rtl/>
        </w:rPr>
        <w:t xml:space="preserve"> لإجراء البحث في قواعد بيانات متخصصة مثل </w:t>
      </w:r>
      <w:r>
        <w:rPr>
          <w:rFonts w:ascii="Simplified Arabic" w:hAnsi="Simplified Arabic" w:cs="Simplified Arabic"/>
        </w:rPr>
        <w:t>Scopus</w:t>
      </w:r>
      <w:r>
        <w:rPr>
          <w:rFonts w:ascii="Simplified Arabic" w:hAnsi="Simplified Arabic" w:cs="Simplified Arabic"/>
          <w:rtl/>
        </w:rPr>
        <w:t xml:space="preserve"> و </w:t>
      </w:r>
      <w:r>
        <w:rPr>
          <w:rFonts w:ascii="Simplified Arabic" w:hAnsi="Simplified Arabic" w:cs="Simplified Arabic"/>
        </w:rPr>
        <w:t>Web of Science</w:t>
      </w:r>
      <w:r>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1C3E39C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Mendoza</w:t>
      </w:r>
      <w:r>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Pr>
          <w:rFonts w:ascii="Simplified Arabic" w:hAnsi="Simplified Arabic" w:cs="Simplified Arabic"/>
        </w:rPr>
        <w:t>PRISMA</w:t>
      </w:r>
      <w:r>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1A3BBAAD" w14:textId="77777777" w:rsidR="00F035EA" w:rsidRDefault="00F035EA" w:rsidP="00F035EA">
      <w:pPr>
        <w:spacing w:after="200" w:line="240" w:lineRule="auto"/>
        <w:rPr>
          <w:rFonts w:asciiTheme="majorBidi" w:hAnsiTheme="majorBidi" w:cstheme="majorBidi"/>
        </w:rPr>
      </w:pPr>
      <w:r>
        <w:rPr>
          <w:rFonts w:ascii="Simplified Arabic" w:hAnsi="Simplified Arabic" w:cs="Simplified Arabic"/>
        </w:rPr>
        <w:t xml:space="preserve"> </w:t>
      </w:r>
    </w:p>
    <w:p w14:paraId="00752C7C"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Pr>
          <w:rFonts w:ascii="Simplified Arabic" w:hAnsi="Simplified Arabic" w:cs="Simplified Arabic"/>
        </w:rPr>
        <w:t>AI</w:t>
      </w:r>
      <w:r>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Pr>
          <w:rFonts w:ascii="Simplified Arabic" w:hAnsi="Simplified Arabic" w:cs="Simplified Arabic"/>
        </w:rPr>
        <w:t>Purchase Intention</w:t>
      </w:r>
      <w:r>
        <w:rPr>
          <w:rFonts w:ascii="Simplified Arabic" w:hAnsi="Simplified Arabic" w:cs="Simplified Arabic"/>
          <w:rtl/>
        </w:rPr>
        <w:t xml:space="preserve">)، وتفضيل العلامة التجارية </w:t>
      </w:r>
      <w:r>
        <w:rPr>
          <w:rFonts w:ascii="Simplified Arabic" w:hAnsi="Simplified Arabic" w:cs="Simplified Arabic"/>
        </w:rPr>
        <w:t>(Brand Preference)</w:t>
      </w:r>
      <w:r>
        <w:rPr>
          <w:rFonts w:ascii="Simplified Arabic" w:hAnsi="Simplified Arabic" w:cs="Simplified Arabic"/>
          <w:rtl/>
        </w:rPr>
        <w:t>. ولتحقيق هذا الهدف، اعتمدت الدراسة على الإطار النظري لنموذج قبول التكنولوجيا (</w:t>
      </w:r>
      <w:r>
        <w:rPr>
          <w:rFonts w:ascii="Simplified Arabic" w:hAnsi="Simplified Arabic" w:cs="Simplified Arabic"/>
        </w:rPr>
        <w:t>TAM</w:t>
      </w:r>
      <w:r>
        <w:rPr>
          <w:rFonts w:ascii="Simplified Arabic" w:hAnsi="Simplified Arabic" w:cs="Simplified Arabic"/>
          <w:rtl/>
        </w:rPr>
        <w:t xml:space="preserve">) ونظرية الفعل المنطقي </w:t>
      </w:r>
      <w:r>
        <w:rPr>
          <w:rFonts w:ascii="Simplified Arabic" w:hAnsi="Simplified Arabic" w:cs="Simplified Arabic"/>
        </w:rPr>
        <w:t>(TRA)</w:t>
      </w:r>
      <w:r>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Pr>
          <w:rFonts w:ascii="Simplified Arabic" w:hAnsi="Simplified Arabic" w:cs="Simplified Arabic"/>
        </w:rPr>
        <w:t>(Structural Equation Model - SEM)</w:t>
      </w:r>
      <w:r>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Pr>
          <w:rFonts w:ascii="Simplified Arabic" w:hAnsi="Simplified Arabic" w:cs="Simplified Arabic"/>
        </w:rPr>
        <w:t>AVE</w:t>
      </w:r>
      <w:r>
        <w:rPr>
          <w:rFonts w:ascii="Simplified Arabic" w:hAnsi="Simplified Arabic" w:cs="Simplified Arabic"/>
          <w:rtl/>
        </w:rPr>
        <w:t>). وأكدت النتائج الإحصائية أن النموذج الهيكلي ذو دلالة إحصائية (</w:t>
      </w:r>
      <w:r>
        <w:rPr>
          <w:rFonts w:ascii="Simplified Arabic" w:hAnsi="Simplified Arabic" w:cs="Simplified Arabic"/>
        </w:rPr>
        <w:t>CMIN/DF = 3.117</w:t>
      </w:r>
      <w:r>
        <w:rPr>
          <w:rFonts w:ascii="Simplified Arabic" w:hAnsi="Simplified Arabic" w:cs="Simplified Arabic"/>
          <w:rtl/>
        </w:rPr>
        <w:t xml:space="preserve">)،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w:t>
      </w:r>
      <w:r>
        <w:rPr>
          <w:rFonts w:ascii="Simplified Arabic" w:hAnsi="Simplified Arabic" w:cs="Simplified Arabic"/>
          <w:rtl/>
        </w:rPr>
        <w:lastRenderedPageBreak/>
        <w:t>التأثير على القصد الشرائي (</w:t>
      </w:r>
      <w:r>
        <w:rPr>
          <w:rFonts w:ascii="Cambria" w:hAnsi="Cambria" w:cs="Cambria"/>
        </w:rPr>
        <w:t>β</w:t>
      </w:r>
      <w:r>
        <w:rPr>
          <w:rFonts w:ascii="Simplified Arabic" w:hAnsi="Simplified Arabic" w:cs="Simplified Arabic"/>
        </w:rPr>
        <w:t>=0.631</w:t>
      </w:r>
      <w:r>
        <w:rPr>
          <w:rFonts w:ascii="Simplified Arabic" w:hAnsi="Simplified Arabic" w:cs="Simplified Arabic"/>
          <w:rtl/>
        </w:rPr>
        <w:t>) وتفضيل العلامة التجارية (</w:t>
      </w:r>
      <w:r>
        <w:rPr>
          <w:rFonts w:ascii="Cambria" w:hAnsi="Cambria" w:cs="Cambria"/>
        </w:rPr>
        <w:t>β</w:t>
      </w:r>
      <w:r>
        <w:rPr>
          <w:rFonts w:ascii="Simplified Arabic" w:hAnsi="Simplified Arabic" w:cs="Simplified Arabic"/>
        </w:rPr>
        <w:t>=0.733</w:t>
      </w:r>
      <w:r>
        <w:rPr>
          <w:rFonts w:ascii="Simplified Arabic" w:hAnsi="Simplified Arabic" w:cs="Simplified Arabic"/>
          <w:rtl/>
        </w:rPr>
        <w:t>) مقارنة بالتعرض لوسائل التواصل الاجتماعي. كما أثبتت الدراسة أن كلاً من تفضيل العلامة التجارية والقصد الشرائي يؤثران إيجاباً وبشكل معنوي على ولاء 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2A3835E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تتفق دراسة </w:t>
      </w:r>
      <w:proofErr w:type="spellStart"/>
      <w:r>
        <w:rPr>
          <w:rFonts w:ascii="Simplified Arabic" w:hAnsi="Simplified Arabic" w:cs="Simplified Arabic"/>
        </w:rPr>
        <w:t>Beyari</w:t>
      </w:r>
      <w:proofErr w:type="spellEnd"/>
      <w:r>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49791392" w14:textId="77777777" w:rsidR="00F035EA" w:rsidRDefault="00F035EA" w:rsidP="00F035EA">
      <w:pPr>
        <w:bidi/>
        <w:rPr>
          <w:rFonts w:ascii="Simplified Arabic" w:hAnsi="Simplified Arabic" w:cs="Simplified Arabic"/>
          <w:rtl/>
        </w:rPr>
      </w:pPr>
    </w:p>
    <w:p w14:paraId="44F0AAE8" w14:textId="77777777" w:rsidR="00F035EA" w:rsidRPr="00D14DC7"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F035EA" w:rsidRPr="00BE56D1" w14:paraId="64363B48" w14:textId="77777777" w:rsidTr="0085711F">
        <w:trPr>
          <w:trHeight w:val="626"/>
        </w:trPr>
        <w:tc>
          <w:tcPr>
            <w:tcW w:w="0" w:type="auto"/>
            <w:hideMark/>
          </w:tcPr>
          <w:p w14:paraId="5FD966DD"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الدراسة والمرجع</w:t>
            </w:r>
          </w:p>
        </w:tc>
        <w:tc>
          <w:tcPr>
            <w:tcW w:w="0" w:type="auto"/>
            <w:hideMark/>
          </w:tcPr>
          <w:p w14:paraId="324C0B4C"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المنهجية</w:t>
            </w:r>
          </w:p>
        </w:tc>
        <w:tc>
          <w:tcPr>
            <w:tcW w:w="0" w:type="auto"/>
            <w:hideMark/>
          </w:tcPr>
          <w:p w14:paraId="2A5A2260"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العينة</w:t>
            </w:r>
          </w:p>
        </w:tc>
        <w:tc>
          <w:tcPr>
            <w:tcW w:w="0" w:type="auto"/>
            <w:hideMark/>
          </w:tcPr>
          <w:p w14:paraId="5EE58674"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النتائج الرئيسية</w:t>
            </w:r>
          </w:p>
        </w:tc>
        <w:tc>
          <w:tcPr>
            <w:tcW w:w="0" w:type="auto"/>
            <w:hideMark/>
          </w:tcPr>
          <w:p w14:paraId="2663F838"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الفجوات / أوجه التمايز</w:t>
            </w:r>
          </w:p>
        </w:tc>
      </w:tr>
      <w:tr w:rsidR="00F035EA" w:rsidRPr="00BE56D1" w14:paraId="3B792B63" w14:textId="77777777" w:rsidTr="0085711F">
        <w:trPr>
          <w:trHeight w:val="1891"/>
        </w:trPr>
        <w:tc>
          <w:tcPr>
            <w:tcW w:w="0" w:type="auto"/>
            <w:hideMark/>
          </w:tcPr>
          <w:p w14:paraId="0F8D292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الخطيب</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Pr>
                <w:rFonts w:ascii="Simplified Arabic" w:eastAsia="Times New Roman" w:hAnsi="Simplified Arabic" w:cs="Simplified Arabic"/>
                <w:i/>
                <w:iCs/>
                <w:sz w:val="20"/>
                <w:szCs w:val="20"/>
              </w:rPr>
              <w:t>.</w:t>
            </w:r>
          </w:p>
        </w:tc>
        <w:tc>
          <w:tcPr>
            <w:tcW w:w="0" w:type="auto"/>
            <w:hideMark/>
          </w:tcPr>
          <w:p w14:paraId="35716C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5B4A29B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384 </w:t>
            </w:r>
            <w:r>
              <w:rPr>
                <w:rFonts w:ascii="Simplified Arabic" w:eastAsia="Times New Roman" w:hAnsi="Simplified Arabic" w:cs="Simplified Arabic"/>
                <w:sz w:val="20"/>
                <w:szCs w:val="20"/>
                <w:rtl/>
              </w:rPr>
              <w:t>من عملاء المتاجر الإلكترونية في مصر (عينة كرة الثلج)</w:t>
            </w:r>
            <w:r>
              <w:rPr>
                <w:rFonts w:ascii="Simplified Arabic" w:eastAsia="Times New Roman" w:hAnsi="Simplified Arabic" w:cs="Simplified Arabic"/>
                <w:sz w:val="20"/>
                <w:szCs w:val="20"/>
              </w:rPr>
              <w:t>.</w:t>
            </w:r>
          </w:p>
        </w:tc>
        <w:tc>
          <w:tcPr>
            <w:tcW w:w="0" w:type="auto"/>
            <w:hideMark/>
          </w:tcPr>
          <w:p w14:paraId="472F8E9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Pr>
                <w:rFonts w:ascii="Simplified Arabic" w:eastAsia="Times New Roman" w:hAnsi="Simplified Arabic" w:cs="Simplified Arabic"/>
                <w:sz w:val="20"/>
                <w:szCs w:val="20"/>
              </w:rPr>
              <w:t>.</w:t>
            </w:r>
          </w:p>
        </w:tc>
        <w:tc>
          <w:tcPr>
            <w:tcW w:w="0" w:type="auto"/>
            <w:hideMark/>
          </w:tcPr>
          <w:p w14:paraId="067E6F1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Pr>
                <w:rFonts w:ascii="Simplified Arabic" w:eastAsia="Times New Roman" w:hAnsi="Simplified Arabic" w:cs="Simplified Arabic"/>
                <w:sz w:val="20"/>
                <w:szCs w:val="20"/>
              </w:rPr>
              <w:t>.</w:t>
            </w:r>
          </w:p>
        </w:tc>
      </w:tr>
      <w:tr w:rsidR="00F035EA" w:rsidRPr="00BE56D1" w14:paraId="1595951F" w14:textId="77777777" w:rsidTr="0085711F">
        <w:trPr>
          <w:trHeight w:val="1572"/>
        </w:trPr>
        <w:tc>
          <w:tcPr>
            <w:tcW w:w="0" w:type="auto"/>
            <w:hideMark/>
          </w:tcPr>
          <w:p w14:paraId="328240DE"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Gujar &amp; Panyam (2024) </w:t>
            </w:r>
            <w:r>
              <w:rPr>
                <w:rFonts w:ascii="Simplified Arabic" w:eastAsia="Times New Roman" w:hAnsi="Simplified Arabic" w:cs="Simplified Arabic"/>
                <w:i/>
                <w:iCs/>
                <w:sz w:val="20"/>
                <w:szCs w:val="20"/>
              </w:rPr>
              <w:t>Generative AI in Digital Advertising Campaigns.</w:t>
            </w:r>
          </w:p>
        </w:tc>
        <w:tc>
          <w:tcPr>
            <w:tcW w:w="0" w:type="auto"/>
            <w:hideMark/>
          </w:tcPr>
          <w:p w14:paraId="49FF5E9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أدبيات وتحليل دراسات حالة تطبيقية</w:t>
            </w:r>
            <w:r>
              <w:rPr>
                <w:rFonts w:ascii="Simplified Arabic" w:eastAsia="Times New Roman" w:hAnsi="Simplified Arabic" w:cs="Simplified Arabic"/>
                <w:sz w:val="20"/>
                <w:szCs w:val="20"/>
              </w:rPr>
              <w:t>.</w:t>
            </w:r>
          </w:p>
        </w:tc>
        <w:tc>
          <w:tcPr>
            <w:tcW w:w="0" w:type="auto"/>
            <w:hideMark/>
          </w:tcPr>
          <w:p w14:paraId="64DB92F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حملات إعلانية رقمية لشركات عالمية</w:t>
            </w:r>
            <w:r>
              <w:rPr>
                <w:rFonts w:ascii="Simplified Arabic" w:eastAsia="Times New Roman" w:hAnsi="Simplified Arabic" w:cs="Simplified Arabic"/>
                <w:sz w:val="20"/>
                <w:szCs w:val="20"/>
              </w:rPr>
              <w:t xml:space="preserve"> (Netflix </w:t>
            </w:r>
            <w:r>
              <w:rPr>
                <w:rFonts w:ascii="Simplified Arabic" w:eastAsia="Times New Roman" w:hAnsi="Simplified Arabic" w:cs="Simplified Arabic"/>
                <w:sz w:val="20"/>
                <w:szCs w:val="20"/>
                <w:rtl/>
              </w:rPr>
              <w:t>ومتجر أزياء</w:t>
            </w:r>
            <w:r>
              <w:rPr>
                <w:rFonts w:ascii="Simplified Arabic" w:eastAsia="Times New Roman" w:hAnsi="Simplified Arabic" w:cs="Simplified Arabic"/>
                <w:sz w:val="20"/>
                <w:szCs w:val="20"/>
              </w:rPr>
              <w:t>).</w:t>
            </w:r>
          </w:p>
        </w:tc>
        <w:tc>
          <w:tcPr>
            <w:tcW w:w="0" w:type="auto"/>
            <w:hideMark/>
          </w:tcPr>
          <w:p w14:paraId="56A16FE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Pr>
                <w:rFonts w:ascii="Simplified Arabic" w:eastAsia="Times New Roman" w:hAnsi="Simplified Arabic" w:cs="Simplified Arabic"/>
                <w:sz w:val="20"/>
                <w:szCs w:val="20"/>
              </w:rPr>
              <w:t>.</w:t>
            </w:r>
          </w:p>
        </w:tc>
        <w:tc>
          <w:tcPr>
            <w:tcW w:w="0" w:type="auto"/>
            <w:hideMark/>
          </w:tcPr>
          <w:p w14:paraId="0A4F0C3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Pr>
                <w:rFonts w:ascii="Simplified Arabic" w:eastAsia="Times New Roman" w:hAnsi="Simplified Arabic" w:cs="Simplified Arabic"/>
                <w:sz w:val="20"/>
                <w:szCs w:val="20"/>
              </w:rPr>
              <w:t>.</w:t>
            </w:r>
          </w:p>
        </w:tc>
      </w:tr>
      <w:tr w:rsidR="00F035EA" w:rsidRPr="00BE56D1" w14:paraId="397D0C1D" w14:textId="77777777" w:rsidTr="0085711F">
        <w:trPr>
          <w:trHeight w:val="1880"/>
        </w:trPr>
        <w:tc>
          <w:tcPr>
            <w:tcW w:w="0" w:type="auto"/>
            <w:hideMark/>
          </w:tcPr>
          <w:p w14:paraId="26867D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Islam et al. (2024) </w:t>
            </w:r>
            <w:r>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108E929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مفاهيمي مدعوم بدراسات حالة</w:t>
            </w:r>
            <w:r>
              <w:rPr>
                <w:rFonts w:ascii="Simplified Arabic" w:eastAsia="Times New Roman" w:hAnsi="Simplified Arabic" w:cs="Simplified Arabic"/>
                <w:sz w:val="20"/>
                <w:szCs w:val="20"/>
              </w:rPr>
              <w:t>.</w:t>
            </w:r>
          </w:p>
        </w:tc>
        <w:tc>
          <w:tcPr>
            <w:tcW w:w="0" w:type="auto"/>
            <w:hideMark/>
          </w:tcPr>
          <w:p w14:paraId="489B2D9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شركات في قطاع الأزياء والتجارة الإلكترونية</w:t>
            </w:r>
            <w:r>
              <w:rPr>
                <w:rFonts w:ascii="Simplified Arabic" w:eastAsia="Times New Roman" w:hAnsi="Simplified Arabic" w:cs="Simplified Arabic"/>
                <w:sz w:val="20"/>
                <w:szCs w:val="20"/>
              </w:rPr>
              <w:t>.</w:t>
            </w:r>
          </w:p>
        </w:tc>
        <w:tc>
          <w:tcPr>
            <w:tcW w:w="0" w:type="auto"/>
            <w:hideMark/>
          </w:tcPr>
          <w:p w14:paraId="04308ED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قدم إطار</w:t>
            </w:r>
            <w:r>
              <w:rPr>
                <w:rFonts w:ascii="Simplified Arabic" w:eastAsia="Times New Roman" w:hAnsi="Simplified Arabic" w:cs="Simplified Arabic"/>
                <w:sz w:val="20"/>
                <w:szCs w:val="20"/>
              </w:rPr>
              <w:t xml:space="preserve"> MARK-GEN </w:t>
            </w:r>
            <w:r>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Pr>
                <w:rFonts w:ascii="Simplified Arabic" w:eastAsia="Times New Roman" w:hAnsi="Simplified Arabic" w:cs="Simplified Arabic"/>
                <w:sz w:val="20"/>
                <w:szCs w:val="20"/>
              </w:rPr>
              <w:t>.</w:t>
            </w:r>
          </w:p>
        </w:tc>
        <w:tc>
          <w:tcPr>
            <w:tcW w:w="0" w:type="auto"/>
            <w:hideMark/>
          </w:tcPr>
          <w:p w14:paraId="55E47C2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يختبر الإطار ميدانياً، وتجاهل أثر جودة التصميم على الأداء التسويقي</w:t>
            </w:r>
            <w:r>
              <w:rPr>
                <w:rFonts w:ascii="Simplified Arabic" w:eastAsia="Times New Roman" w:hAnsi="Simplified Arabic" w:cs="Simplified Arabic"/>
                <w:sz w:val="20"/>
                <w:szCs w:val="20"/>
              </w:rPr>
              <w:t>.</w:t>
            </w:r>
          </w:p>
        </w:tc>
      </w:tr>
      <w:tr w:rsidR="00F035EA" w:rsidRPr="00BE56D1" w14:paraId="74C3272A" w14:textId="77777777" w:rsidTr="0085711F">
        <w:trPr>
          <w:trHeight w:val="1572"/>
        </w:trPr>
        <w:tc>
          <w:tcPr>
            <w:tcW w:w="0" w:type="auto"/>
            <w:hideMark/>
          </w:tcPr>
          <w:p w14:paraId="0D4683B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آل مرعي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Pr>
                <w:rFonts w:ascii="Simplified Arabic" w:eastAsia="Times New Roman" w:hAnsi="Simplified Arabic" w:cs="Simplified Arabic"/>
                <w:i/>
                <w:iCs/>
                <w:sz w:val="20"/>
                <w:szCs w:val="20"/>
              </w:rPr>
              <w:t>.</w:t>
            </w:r>
          </w:p>
        </w:tc>
        <w:tc>
          <w:tcPr>
            <w:tcW w:w="0" w:type="auto"/>
            <w:hideMark/>
          </w:tcPr>
          <w:p w14:paraId="65389CE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الميداني التحليلي</w:t>
            </w:r>
            <w:r>
              <w:rPr>
                <w:rFonts w:ascii="Simplified Arabic" w:eastAsia="Times New Roman" w:hAnsi="Simplified Arabic" w:cs="Simplified Arabic"/>
                <w:sz w:val="20"/>
                <w:szCs w:val="20"/>
              </w:rPr>
              <w:t>.</w:t>
            </w:r>
          </w:p>
        </w:tc>
        <w:tc>
          <w:tcPr>
            <w:tcW w:w="0" w:type="auto"/>
            <w:hideMark/>
          </w:tcPr>
          <w:p w14:paraId="47E879C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400 </w:t>
            </w:r>
            <w:r>
              <w:rPr>
                <w:rFonts w:ascii="Simplified Arabic" w:eastAsia="Times New Roman" w:hAnsi="Simplified Arabic" w:cs="Simplified Arabic"/>
                <w:sz w:val="20"/>
                <w:szCs w:val="20"/>
                <w:rtl/>
              </w:rPr>
              <w:t>شاب سعودي من متابعي المحتوى المرئي</w:t>
            </w:r>
            <w:r>
              <w:rPr>
                <w:rFonts w:ascii="Simplified Arabic" w:eastAsia="Times New Roman" w:hAnsi="Simplified Arabic" w:cs="Simplified Arabic"/>
                <w:sz w:val="20"/>
                <w:szCs w:val="20"/>
              </w:rPr>
              <w:t>.</w:t>
            </w:r>
          </w:p>
        </w:tc>
        <w:tc>
          <w:tcPr>
            <w:tcW w:w="0" w:type="auto"/>
            <w:hideMark/>
          </w:tcPr>
          <w:p w14:paraId="3C9486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Pr>
                <w:rFonts w:ascii="Simplified Arabic" w:eastAsia="Times New Roman" w:hAnsi="Simplified Arabic" w:cs="Simplified Arabic"/>
                <w:sz w:val="20"/>
                <w:szCs w:val="20"/>
              </w:rPr>
              <w:t>.</w:t>
            </w:r>
          </w:p>
        </w:tc>
        <w:tc>
          <w:tcPr>
            <w:tcW w:w="0" w:type="auto"/>
            <w:hideMark/>
          </w:tcPr>
          <w:p w14:paraId="28FFB4A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Pr>
                <w:rFonts w:ascii="Simplified Arabic" w:eastAsia="Times New Roman" w:hAnsi="Simplified Arabic" w:cs="Simplified Arabic"/>
                <w:sz w:val="20"/>
                <w:szCs w:val="20"/>
              </w:rPr>
              <w:t>.</w:t>
            </w:r>
          </w:p>
        </w:tc>
      </w:tr>
      <w:tr w:rsidR="00F035EA" w:rsidRPr="00BE56D1" w14:paraId="041F13C0" w14:textId="77777777" w:rsidTr="0085711F">
        <w:trPr>
          <w:trHeight w:val="1891"/>
        </w:trPr>
        <w:tc>
          <w:tcPr>
            <w:tcW w:w="0" w:type="auto"/>
            <w:hideMark/>
          </w:tcPr>
          <w:p w14:paraId="7DC259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lastRenderedPageBreak/>
              <w:t>العتيبي واليُوبي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Pr>
                <w:rFonts w:ascii="Simplified Arabic" w:eastAsia="Times New Roman" w:hAnsi="Simplified Arabic" w:cs="Simplified Arabic"/>
                <w:i/>
                <w:iCs/>
                <w:sz w:val="20"/>
                <w:szCs w:val="20"/>
              </w:rPr>
              <w:t>.</w:t>
            </w:r>
          </w:p>
        </w:tc>
        <w:tc>
          <w:tcPr>
            <w:tcW w:w="0" w:type="auto"/>
            <w:hideMark/>
          </w:tcPr>
          <w:p w14:paraId="23F7904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حالة</w:t>
            </w:r>
            <w:r>
              <w:rPr>
                <w:rFonts w:ascii="Simplified Arabic" w:eastAsia="Times New Roman" w:hAnsi="Simplified Arabic" w:cs="Simplified Arabic"/>
                <w:sz w:val="20"/>
                <w:szCs w:val="20"/>
              </w:rPr>
              <w:t>.</w:t>
            </w:r>
          </w:p>
        </w:tc>
        <w:tc>
          <w:tcPr>
            <w:tcW w:w="0" w:type="auto"/>
            <w:hideMark/>
          </w:tcPr>
          <w:p w14:paraId="6B66B77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موظفو شركة موبايلي بالمملكة العربية السعودية</w:t>
            </w:r>
            <w:r>
              <w:rPr>
                <w:rFonts w:ascii="Simplified Arabic" w:eastAsia="Times New Roman" w:hAnsi="Simplified Arabic" w:cs="Simplified Arabic"/>
                <w:sz w:val="20"/>
                <w:szCs w:val="20"/>
              </w:rPr>
              <w:t>.</w:t>
            </w:r>
          </w:p>
        </w:tc>
        <w:tc>
          <w:tcPr>
            <w:tcW w:w="0" w:type="auto"/>
            <w:hideMark/>
          </w:tcPr>
          <w:p w14:paraId="5E98B7C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Pr>
                <w:rFonts w:ascii="Simplified Arabic" w:eastAsia="Times New Roman" w:hAnsi="Simplified Arabic" w:cs="Simplified Arabic"/>
                <w:sz w:val="20"/>
                <w:szCs w:val="20"/>
              </w:rPr>
              <w:t>.</w:t>
            </w:r>
          </w:p>
        </w:tc>
        <w:tc>
          <w:tcPr>
            <w:tcW w:w="0" w:type="auto"/>
            <w:hideMark/>
          </w:tcPr>
          <w:p w14:paraId="23D02B6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Pr>
                <w:rFonts w:ascii="Simplified Arabic" w:eastAsia="Times New Roman" w:hAnsi="Simplified Arabic" w:cs="Simplified Arabic"/>
                <w:sz w:val="20"/>
                <w:szCs w:val="20"/>
              </w:rPr>
              <w:t>.</w:t>
            </w:r>
          </w:p>
        </w:tc>
      </w:tr>
      <w:tr w:rsidR="00F035EA" w:rsidRPr="00BE56D1" w14:paraId="4300E9F2" w14:textId="77777777" w:rsidTr="0085711F">
        <w:trPr>
          <w:trHeight w:val="626"/>
        </w:trPr>
        <w:tc>
          <w:tcPr>
            <w:tcW w:w="0" w:type="auto"/>
            <w:hideMark/>
          </w:tcPr>
          <w:p w14:paraId="374558BC" w14:textId="77777777" w:rsidR="00F035EA" w:rsidRPr="00BE56D1" w:rsidRDefault="00F035EA" w:rsidP="0085711F">
            <w:pPr>
              <w:spacing w:after="0" w:line="240" w:lineRule="auto"/>
              <w:rPr>
                <w:rFonts w:ascii="Simplified Arabic" w:eastAsia="Times New Roman" w:hAnsi="Simplified Arabic" w:cs="Simplified Arabic"/>
                <w:sz w:val="20"/>
                <w:szCs w:val="20"/>
              </w:rPr>
            </w:pPr>
            <w:proofErr w:type="spellStart"/>
            <w:r>
              <w:rPr>
                <w:rFonts w:ascii="Simplified Arabic" w:eastAsia="Times New Roman" w:hAnsi="Simplified Arabic" w:cs="Simplified Arabic"/>
                <w:sz w:val="20"/>
                <w:szCs w:val="20"/>
              </w:rPr>
              <w:t>Kshetri</w:t>
            </w:r>
            <w:proofErr w:type="spellEnd"/>
            <w:r>
              <w:rPr>
                <w:rFonts w:ascii="Simplified Arabic" w:eastAsia="Times New Roman" w:hAnsi="Simplified Arabic" w:cs="Simplified Arabic"/>
                <w:sz w:val="20"/>
                <w:szCs w:val="20"/>
              </w:rPr>
              <w:t xml:space="preserve"> et al. (2023) </w:t>
            </w:r>
            <w:r>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7A69EFA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مفاهيمية تحليلية</w:t>
            </w:r>
            <w:r>
              <w:rPr>
                <w:rFonts w:ascii="Simplified Arabic" w:eastAsia="Times New Roman" w:hAnsi="Simplified Arabic" w:cs="Simplified Arabic"/>
                <w:sz w:val="20"/>
                <w:szCs w:val="20"/>
              </w:rPr>
              <w:t>.</w:t>
            </w:r>
          </w:p>
        </w:tc>
        <w:tc>
          <w:tcPr>
            <w:tcW w:w="0" w:type="auto"/>
            <w:hideMark/>
          </w:tcPr>
          <w:p w14:paraId="4D1C8F5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منظمات تسويق وإعلان عالمية</w:t>
            </w:r>
            <w:r>
              <w:rPr>
                <w:rFonts w:ascii="Simplified Arabic" w:eastAsia="Times New Roman" w:hAnsi="Simplified Arabic" w:cs="Simplified Arabic"/>
                <w:sz w:val="20"/>
                <w:szCs w:val="20"/>
              </w:rPr>
              <w:t>.</w:t>
            </w:r>
          </w:p>
        </w:tc>
        <w:tc>
          <w:tcPr>
            <w:tcW w:w="0" w:type="auto"/>
            <w:hideMark/>
          </w:tcPr>
          <w:p w14:paraId="5BB4188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Pr>
                <w:rFonts w:ascii="Simplified Arabic" w:eastAsia="Times New Roman" w:hAnsi="Simplified Arabic" w:cs="Simplified Arabic"/>
                <w:sz w:val="20"/>
                <w:szCs w:val="20"/>
              </w:rPr>
              <w:t>.</w:t>
            </w:r>
          </w:p>
        </w:tc>
        <w:tc>
          <w:tcPr>
            <w:tcW w:w="0" w:type="auto"/>
            <w:hideMark/>
          </w:tcPr>
          <w:p w14:paraId="271DF30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Pr>
                <w:rFonts w:ascii="Simplified Arabic" w:eastAsia="Times New Roman" w:hAnsi="Simplified Arabic" w:cs="Simplified Arabic"/>
                <w:sz w:val="20"/>
                <w:szCs w:val="20"/>
              </w:rPr>
              <w:t>.</w:t>
            </w:r>
          </w:p>
        </w:tc>
      </w:tr>
      <w:tr w:rsidR="00F035EA" w:rsidRPr="00BE56D1" w14:paraId="22C96BAD" w14:textId="77777777" w:rsidTr="0085711F">
        <w:trPr>
          <w:trHeight w:val="136"/>
        </w:trPr>
        <w:tc>
          <w:tcPr>
            <w:tcW w:w="0" w:type="auto"/>
            <w:hideMark/>
          </w:tcPr>
          <w:p w14:paraId="151BCEAB"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اللهيبي وآخرون</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تطبيق الذكاء الاصطناعي على الأداء التسويقي المصرفي</w:t>
            </w:r>
            <w:r>
              <w:rPr>
                <w:rFonts w:ascii="Simplified Arabic" w:eastAsia="Times New Roman" w:hAnsi="Simplified Arabic" w:cs="Simplified Arabic"/>
                <w:i/>
                <w:iCs/>
                <w:sz w:val="20"/>
                <w:szCs w:val="20"/>
              </w:rPr>
              <w:t>.</w:t>
            </w:r>
          </w:p>
        </w:tc>
        <w:tc>
          <w:tcPr>
            <w:tcW w:w="0" w:type="auto"/>
            <w:hideMark/>
          </w:tcPr>
          <w:p w14:paraId="66D443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7823B80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120 </w:t>
            </w:r>
            <w:r>
              <w:rPr>
                <w:rFonts w:ascii="Simplified Arabic" w:eastAsia="Times New Roman" w:hAnsi="Simplified Arabic" w:cs="Simplified Arabic"/>
                <w:sz w:val="20"/>
                <w:szCs w:val="20"/>
                <w:rtl/>
              </w:rPr>
              <w:t>موظفاً في ثلاثة مصارف حكومية عراقية</w:t>
            </w:r>
            <w:r>
              <w:rPr>
                <w:rFonts w:ascii="Simplified Arabic" w:eastAsia="Times New Roman" w:hAnsi="Simplified Arabic" w:cs="Simplified Arabic"/>
                <w:sz w:val="20"/>
                <w:szCs w:val="20"/>
              </w:rPr>
              <w:t>.</w:t>
            </w:r>
          </w:p>
        </w:tc>
        <w:tc>
          <w:tcPr>
            <w:tcW w:w="0" w:type="auto"/>
            <w:hideMark/>
          </w:tcPr>
          <w:p w14:paraId="0D57A19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تأثير موجبة وذات دلالة معنوية بين تطبيق</w:t>
            </w:r>
            <w:r>
              <w:rPr>
                <w:rFonts w:ascii="Simplified Arabic" w:eastAsia="Times New Roman" w:hAnsi="Simplified Arabic" w:cs="Simplified Arabic"/>
                <w:sz w:val="20"/>
                <w:szCs w:val="20"/>
              </w:rPr>
              <w:t xml:space="preserve"> AI </w:t>
            </w:r>
            <w:r>
              <w:rPr>
                <w:rFonts w:ascii="Simplified Arabic" w:eastAsia="Times New Roman" w:hAnsi="Simplified Arabic" w:cs="Simplified Arabic"/>
                <w:sz w:val="20"/>
                <w:szCs w:val="20"/>
                <w:rtl/>
              </w:rPr>
              <w:t>والأداء التسويقي</w:t>
            </w:r>
            <w:r>
              <w:rPr>
                <w:rFonts w:ascii="Simplified Arabic" w:eastAsia="Times New Roman" w:hAnsi="Simplified Arabic" w:cs="Simplified Arabic"/>
                <w:sz w:val="20"/>
                <w:szCs w:val="20"/>
              </w:rPr>
              <w:t>.</w:t>
            </w:r>
          </w:p>
        </w:tc>
        <w:tc>
          <w:tcPr>
            <w:tcW w:w="0" w:type="auto"/>
            <w:hideMark/>
          </w:tcPr>
          <w:p w14:paraId="75DFB902"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Pr>
                <w:rFonts w:ascii="Simplified Arabic" w:eastAsia="Times New Roman" w:hAnsi="Simplified Arabic" w:cs="Simplified Arabic"/>
                <w:sz w:val="20"/>
                <w:szCs w:val="20"/>
              </w:rPr>
              <w:t>.</w:t>
            </w:r>
          </w:p>
        </w:tc>
      </w:tr>
      <w:tr w:rsidR="00F035EA" w:rsidRPr="00BE56D1" w14:paraId="28A52AB1" w14:textId="77777777" w:rsidTr="0085711F">
        <w:trPr>
          <w:trHeight w:val="136"/>
        </w:trPr>
        <w:tc>
          <w:tcPr>
            <w:tcW w:w="0" w:type="auto"/>
            <w:hideMark/>
          </w:tcPr>
          <w:p w14:paraId="24349F8B"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Mendoza et al. (2025) </w:t>
            </w:r>
            <w:r>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11D96D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منهجية وتحليل كمي</w:t>
            </w:r>
            <w:r>
              <w:rPr>
                <w:rFonts w:ascii="Simplified Arabic" w:eastAsia="Times New Roman" w:hAnsi="Simplified Arabic" w:cs="Simplified Arabic"/>
                <w:sz w:val="20"/>
                <w:szCs w:val="20"/>
              </w:rPr>
              <w:t xml:space="preserve"> (PRISMA).</w:t>
            </w:r>
          </w:p>
        </w:tc>
        <w:tc>
          <w:tcPr>
            <w:tcW w:w="0" w:type="auto"/>
            <w:hideMark/>
          </w:tcPr>
          <w:p w14:paraId="5D3FA9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18 </w:t>
            </w:r>
            <w:r>
              <w:rPr>
                <w:rFonts w:ascii="Simplified Arabic" w:eastAsia="Times New Roman" w:hAnsi="Simplified Arabic" w:cs="Simplified Arabic"/>
                <w:sz w:val="20"/>
                <w:szCs w:val="20"/>
                <w:rtl/>
              </w:rPr>
              <w:t>دراسة من</w:t>
            </w:r>
            <w:r>
              <w:rPr>
                <w:rFonts w:ascii="Simplified Arabic" w:eastAsia="Times New Roman" w:hAnsi="Simplified Arabic" w:cs="Simplified Arabic"/>
                <w:sz w:val="20"/>
                <w:szCs w:val="20"/>
              </w:rPr>
              <w:t xml:space="preserve"> Scopus </w:t>
            </w:r>
            <w:r>
              <w:rPr>
                <w:rFonts w:ascii="Simplified Arabic" w:eastAsia="Times New Roman" w:hAnsi="Simplified Arabic" w:cs="Simplified Arabic"/>
                <w:sz w:val="20"/>
                <w:szCs w:val="20"/>
                <w:rtl/>
              </w:rPr>
              <w:t>و</w:t>
            </w:r>
            <w:r>
              <w:rPr>
                <w:rFonts w:ascii="Simplified Arabic" w:eastAsia="Times New Roman" w:hAnsi="Simplified Arabic" w:cs="Simplified Arabic"/>
                <w:sz w:val="20"/>
                <w:szCs w:val="20"/>
              </w:rPr>
              <w:t xml:space="preserve"> Web of Science.</w:t>
            </w:r>
          </w:p>
        </w:tc>
        <w:tc>
          <w:tcPr>
            <w:tcW w:w="0" w:type="auto"/>
            <w:hideMark/>
          </w:tcPr>
          <w:p w14:paraId="6E44476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Pr>
                <w:rFonts w:ascii="Simplified Arabic" w:eastAsia="Times New Roman" w:hAnsi="Simplified Arabic" w:cs="Simplified Arabic"/>
                <w:sz w:val="20"/>
                <w:szCs w:val="20"/>
              </w:rPr>
              <w:t>.</w:t>
            </w:r>
          </w:p>
        </w:tc>
        <w:tc>
          <w:tcPr>
            <w:tcW w:w="0" w:type="auto"/>
            <w:hideMark/>
          </w:tcPr>
          <w:p w14:paraId="4C746721"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تحليل عالمي دون إسقاط على السياق السعودي أو مراحل التصميم التسويقي</w:t>
            </w:r>
            <w:r>
              <w:rPr>
                <w:rFonts w:ascii="Simplified Arabic" w:eastAsia="Times New Roman" w:hAnsi="Simplified Arabic" w:cs="Simplified Arabic"/>
                <w:sz w:val="20"/>
                <w:szCs w:val="20"/>
              </w:rPr>
              <w:t>.</w:t>
            </w:r>
          </w:p>
        </w:tc>
      </w:tr>
      <w:tr w:rsidR="00F035EA" w:rsidRPr="00BE56D1" w14:paraId="698409ED" w14:textId="77777777" w:rsidTr="0085711F">
        <w:trPr>
          <w:trHeight w:val="1891"/>
        </w:trPr>
        <w:tc>
          <w:tcPr>
            <w:tcW w:w="0" w:type="auto"/>
            <w:hideMark/>
          </w:tcPr>
          <w:p w14:paraId="636389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بياري</w:t>
            </w:r>
            <w:r>
              <w:rPr>
                <w:rFonts w:ascii="Simplified Arabic" w:eastAsia="Times New Roman" w:hAnsi="Simplified Arabic" w:cs="Simplified Arabic"/>
                <w:sz w:val="20"/>
                <w:szCs w:val="20"/>
              </w:rPr>
              <w:t xml:space="preserve"> (2025) </w:t>
            </w:r>
            <w:r>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CA41B0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كمي</w:t>
            </w:r>
            <w:r>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tl/>
              </w:rPr>
              <w:t>نمذجة معادلات هيكلية</w:t>
            </w:r>
            <w:r>
              <w:rPr>
                <w:rFonts w:ascii="Simplified Arabic" w:eastAsia="Times New Roman" w:hAnsi="Simplified Arabic" w:cs="Simplified Arabic"/>
                <w:sz w:val="20"/>
                <w:szCs w:val="20"/>
              </w:rPr>
              <w:t xml:space="preserve"> SEM.</w:t>
            </w:r>
          </w:p>
        </w:tc>
        <w:tc>
          <w:tcPr>
            <w:tcW w:w="0" w:type="auto"/>
            <w:hideMark/>
          </w:tcPr>
          <w:p w14:paraId="3EAE2CE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157 </w:t>
            </w:r>
            <w:r>
              <w:rPr>
                <w:rFonts w:ascii="Simplified Arabic" w:eastAsia="Times New Roman" w:hAnsi="Simplified Arabic" w:cs="Simplified Arabic"/>
                <w:sz w:val="20"/>
                <w:szCs w:val="20"/>
                <w:rtl/>
              </w:rPr>
              <w:t>مشاركاً في منصات التجارة الإلكترونية السعودية</w:t>
            </w:r>
            <w:r>
              <w:rPr>
                <w:rFonts w:ascii="Simplified Arabic" w:eastAsia="Times New Roman" w:hAnsi="Simplified Arabic" w:cs="Simplified Arabic"/>
                <w:sz w:val="20"/>
                <w:szCs w:val="20"/>
              </w:rPr>
              <w:t>.</w:t>
            </w:r>
          </w:p>
        </w:tc>
        <w:tc>
          <w:tcPr>
            <w:tcW w:w="0" w:type="auto"/>
            <w:hideMark/>
          </w:tcPr>
          <w:p w14:paraId="3AFD140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Pr>
                <w:rFonts w:ascii="Simplified Arabic" w:eastAsia="Times New Roman" w:hAnsi="Simplified Arabic" w:cs="Simplified Arabic"/>
                <w:sz w:val="20"/>
                <w:szCs w:val="20"/>
              </w:rPr>
              <w:t>.</w:t>
            </w:r>
          </w:p>
        </w:tc>
        <w:tc>
          <w:tcPr>
            <w:tcW w:w="0" w:type="auto"/>
            <w:hideMark/>
          </w:tcPr>
          <w:p w14:paraId="19F5106E"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Pr>
                <w:rFonts w:ascii="Simplified Arabic" w:eastAsia="Times New Roman" w:hAnsi="Simplified Arabic" w:cs="Simplified Arabic"/>
                <w:sz w:val="20"/>
                <w:szCs w:val="20"/>
              </w:rPr>
              <w:t>.</w:t>
            </w:r>
          </w:p>
        </w:tc>
      </w:tr>
    </w:tbl>
    <w:p w14:paraId="097DAB42" w14:textId="77777777" w:rsidR="00F035EA" w:rsidRPr="00BE56D1" w:rsidRDefault="00F035EA" w:rsidP="00F035EA">
      <w:pPr>
        <w:bidi/>
        <w:rPr>
          <w:rFonts w:ascii="Simplified Arabic" w:hAnsi="Simplified Arabic" w:cs="Simplified Arabic"/>
          <w:rtl/>
        </w:rPr>
      </w:pPr>
    </w:p>
    <w:p w14:paraId="351FB481"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مايميز الدراسة الحالية عن الدراسات السابقة</w:t>
      </w:r>
    </w:p>
    <w:p w14:paraId="1C5C952D"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Pr>
          <w:rFonts w:ascii="Simplified Arabic" w:hAnsi="Simplified Arabic" w:cs="Simplified Arabic"/>
          <w:rtl/>
        </w:rPr>
        <w:t xml:space="preserve">(الخطيب، 2024؛ </w:t>
      </w:r>
      <w:r>
        <w:rPr>
          <w:rFonts w:ascii="Simplified Arabic" w:hAnsi="Simplified Arabic" w:cs="Simplified Arabic"/>
        </w:rPr>
        <w:t>Gujar &amp; Panyam, 2024</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Pr>
          <w:rFonts w:ascii="Simplified Arabic" w:hAnsi="Simplified Arabic" w:cs="Simplified Arabic"/>
        </w:rPr>
        <w:t>.</w:t>
      </w:r>
    </w:p>
    <w:p w14:paraId="26D3B0CC"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Pr>
          <w:rFonts w:ascii="Simplified Arabic" w:hAnsi="Simplified Arabic" w:cs="Simplified Arabic"/>
          <w:rtl/>
        </w:rPr>
        <w:t>(</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Pr>
          <w:rFonts w:ascii="Simplified Arabic" w:hAnsi="Simplified Arabic" w:cs="Simplified Arabic"/>
        </w:rPr>
        <w:t>.</w:t>
      </w:r>
    </w:p>
    <w:p w14:paraId="22324699"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Pr>
          <w:rFonts w:ascii="Simplified Arabic" w:hAnsi="Simplified Arabic" w:cs="Simplified Arabic"/>
          <w:rtl/>
        </w:rPr>
        <w:t xml:space="preserve">(اللهيبي وآخرون، 2024؛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Pr>
          <w:rFonts w:ascii="Simplified Arabic" w:hAnsi="Simplified Arabic" w:cs="Simplified Arabic"/>
        </w:rPr>
        <w:t>.</w:t>
      </w:r>
    </w:p>
    <w:p w14:paraId="7DCB0FC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Pr>
          <w:rFonts w:ascii="Simplified Arabic" w:hAnsi="Simplified Arabic" w:cs="Simplified Arabic"/>
        </w:rPr>
        <w:t>.</w:t>
      </w:r>
    </w:p>
    <w:p w14:paraId="722A42D3"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Pr>
          <w:rFonts w:ascii="Simplified Arabic" w:hAnsi="Simplified Arabic" w:cs="Simplified Arabic"/>
        </w:rPr>
        <w:t>.</w:t>
      </w:r>
    </w:p>
    <w:p w14:paraId="5A52958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Pr>
          <w:rFonts w:ascii="Simplified Arabic" w:hAnsi="Simplified Arabic" w:cs="Simplified Arabic"/>
        </w:rPr>
        <w:t>.</w:t>
      </w:r>
    </w:p>
    <w:p w14:paraId="2D4060FF"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Pr>
          <w:rFonts w:ascii="Simplified Arabic" w:hAnsi="Simplified Arabic" w:cs="Simplified Arabic"/>
        </w:rPr>
        <w:t>.</w:t>
      </w:r>
    </w:p>
    <w:p w14:paraId="19D5EC82"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3EDEF0D9" w14:textId="77777777" w:rsidR="00F035EA" w:rsidRDefault="00F035EA" w:rsidP="00F035EA">
      <w:pPr>
        <w:bidi/>
        <w:spacing w:after="200" w:line="276" w:lineRule="auto"/>
        <w:jc w:val="both"/>
        <w:rPr>
          <w:rFonts w:ascii="Simplified Arabic" w:hAnsi="Simplified Arabic" w:cs="Simplified Arabic"/>
          <w:rtl/>
        </w:rPr>
      </w:pPr>
    </w:p>
    <w:p w14:paraId="09CA8276" w14:textId="77777777" w:rsidR="00F035EA" w:rsidRPr="00B65A24"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w:t>
      </w:r>
    </w:p>
    <w:p w14:paraId="38FBA33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تمهيد</w:t>
      </w:r>
    </w:p>
    <w:p w14:paraId="28B221B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يعرض هذا الفصل خطة الإجراءات المنهجية التي سيتّبعها الباحث في الجانب الميداني من الدراسة، بدءًا من تحديد المنهج المناسب لطبيعة المشكلة البحثية، ووصف مجتمع الدراسة وتعريفه إجرائيًا، وبيان أسلوب اختيار العينة وحجمها، مرورًا بخطوات بناء أداة جمع البيانات والتحقق من صدقها وثباتها، وانتهاءً ببيان الأساليب الإحصائية التي ستُستخدم في تنظيف البيانات وتحليلها واختبار الفرضيات. ولمّا كان هذا الفصل جزءًا من مقترح خطة الأطروحة ولم يُنفَّذ الجانب الميداني بعد، فقد رُوعي في صياغته استخدام صيغة الخطة والمستقبل («سيُجرى»، «ستُجمع»، «سيُعتمد») تمييزًا بين ما هو مخطَّط له وما سيُنفَّذ فعليًا بعد الحصول على الموافقات اللازمة، على أن تُحدَّث الصياغة إلى صيغة الماضي عند كتابة التقرير النهائي بعد إنجاز الجانب الميداني.</w:t>
      </w:r>
    </w:p>
    <w:p w14:paraId="54C553E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ويتناول الفصل في عناصره منهج الدراسة وتصميمها ومتغيراتها، ثم مجتمعها ووحدة تحليلها، وتعريف الفئة المستهدفة والمدن المشمولة ومبررات اختيارها، فعينتها وأسلوب اختيارها وحجمها وإجراءات تطبيقها الميدانية، ثم أداة الدراسة وبناءها وإجراءات التحقق من صدقها وثباتها، فالأساليب الإحصائية المستخدمة في تنظيف بياناتها ومعالجتها، وصولًا إلى الجوانب الأخلاقية لإجراءاتها، ويُختتم بملخص للفصل.</w:t>
      </w:r>
    </w:p>
    <w:p w14:paraId="3130DBFA" w14:textId="77777777" w:rsidR="00F035EA" w:rsidRPr="00FF3463" w:rsidRDefault="00F035EA" w:rsidP="00F035EA">
      <w:pPr>
        <w:bidi/>
        <w:spacing w:after="200" w:line="276" w:lineRule="auto"/>
        <w:rPr>
          <w:rFonts w:ascii="Simplified Arabic" w:hAnsi="Simplified Arabic" w:cs="Simplified Arabic"/>
          <w:rtl/>
        </w:rPr>
      </w:pPr>
    </w:p>
    <w:p w14:paraId="3A73C07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منهج الدراسة وتصميمها</w:t>
      </w:r>
    </w:p>
    <w:p w14:paraId="05AC5DDF"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ستعتمد الدراسة المنهج الوصفي التحليلي لملاءمته طبيعة المشكلة وأهداف الدراسة؛ إذ لا يكتفي هذا المنهج بوصف واقع توظيف تقنيات الذكاء الاصطناعي التوليدي في وكالات التسويق السعودية، بل يتجاوزه إلى تحليل العلاقات بين متغيرات الدراسة وتفسير اتجاه هذه العلاقات وقوتها، وهو ما تتطلبه دراسة تستهدف بناء نموذج تفسيري لا مجرد توصيف للظاهرة.</w:t>
      </w:r>
    </w:p>
    <w:p w14:paraId="4099DB0D"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وتندرج الدراسة ضمن البحوث الكمية لاعتمادها على بيانات رقمية ستُجمع بأداة مقنَّنة وتُعالَج إحصائيًا، وهي دراسة مقطعية (Cross-Sectional) ستُجمع بياناتها في فترة زمنية واحدة تعكس واقع الممارسة المهنية وقت التطبيق، دون متابعة تطور المتغيرات عبر الزمن (Creswell &amp; Creswell, 2018).</w:t>
      </w:r>
    </w:p>
    <w:p w14:paraId="69754D8C"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ونظرًا لأن التصميم المقطعي لا يسمح بضبط التتابع الزمني بين المتغيرات، فإن الدراسة تتجنّب وصف العلاقات المختبرة بأنها علاقات سببية بالمعنى التجريبي الصارم، وتستخدم بدلًا من ذلك عبارات أكثر تحفظًا مثل «الأثر الإحصائي» و«العلاقات التفسيرية» و«العلاقة التفسيرية-الترابطية»، بما ينسجم مع طبيعة نمذجة المعادلات البنائية القائمة على المربعات الصغرى الجزئية (PLS-SEM) التي تختبر شبكة من العلاقات الافتراضية بين المتغيرات دون أن تثبت سببية بالمعنى الصارم للكلمة، إذ يتيح هذا الأسلوب فحص أثر المتغير المستقل في المتغير التابع، ودور المتغير الوسيط، وتأثير المتغيرين المعدِّلين، ضمن نموذج واحد.</w:t>
      </w:r>
    </w:p>
    <w:p w14:paraId="542CED2B" w14:textId="77777777" w:rsidR="00F035EA" w:rsidRDefault="00F035EA" w:rsidP="00F035EA">
      <w:pPr>
        <w:bidi/>
        <w:spacing w:after="200" w:line="276" w:lineRule="auto"/>
        <w:jc w:val="both"/>
        <w:rPr>
          <w:rFonts w:ascii="Simplified Arabic" w:hAnsi="Simplified Arabic" w:cs="Simplified Arabic"/>
          <w:rtl/>
        </w:rPr>
      </w:pPr>
    </w:p>
    <w:p w14:paraId="5A93676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متغيرات الدراسة</w:t>
      </w:r>
    </w:p>
    <w:p w14:paraId="63F1EF7E" w14:textId="77777777" w:rsidR="00F035EA" w:rsidRPr="00B65A2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تقوم الدراسة على خمسة متغيرات يتحدد دور كل منها داخل النموذج التفسيري على النحو الآتي</w:t>
      </w:r>
      <w:r>
        <w:rPr>
          <w:rFonts w:ascii="Simplified Arabic" w:hAnsi="Simplified Arabic" w:cs="Simplified Arabic"/>
        </w:rPr>
        <w:t>:</w:t>
      </w:r>
    </w:p>
    <w:p w14:paraId="537DAD42"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توظيف تقنيات الذكاء الاصطناعي التوليدي في تصميم الحملات الرقمية، وهو المتغير المستقل، ويُقاس بعشر فقرات يرمز إليها بالرمز</w:t>
      </w:r>
      <w:r>
        <w:rPr>
          <w:rFonts w:ascii="Simplified Arabic" w:hAnsi="Simplified Arabic" w:cs="Simplified Arabic" w:hint="cs"/>
          <w:rtl/>
        </w:rPr>
        <w:t xml:space="preserve"> </w:t>
      </w:r>
      <w:r>
        <w:rPr>
          <w:rFonts w:ascii="Simplified Arabic" w:hAnsi="Simplified Arabic" w:cs="Simplified Arabic"/>
        </w:rPr>
        <w:t>.(GAIU)</w:t>
      </w:r>
    </w:p>
    <w:p w14:paraId="176C99D1"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جودة عملية تصميم الحملات الرقمية، وهو المتغير الوسيط، ويُقاس بثماني فقرات يرمز إليها بالرمز</w:t>
      </w:r>
      <w:r>
        <w:rPr>
          <w:rFonts w:ascii="Simplified Arabic" w:hAnsi="Simplified Arabic" w:cs="Simplified Arabic"/>
        </w:rPr>
        <w:t xml:space="preserve">.(CDQ) </w:t>
      </w:r>
    </w:p>
    <w:p w14:paraId="3C559C6D"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دوافع تبني التقنية، وهو متغير معدِّل معزِّز، ويُقاس بتسع فقرات يرمز إليها بالرمز</w:t>
      </w:r>
      <w:r>
        <w:rPr>
          <w:rFonts w:ascii="Simplified Arabic" w:hAnsi="Simplified Arabic" w:cs="Simplified Arabic"/>
        </w:rPr>
        <w:t xml:space="preserve">.(ADP) </w:t>
      </w:r>
    </w:p>
    <w:p w14:paraId="3B5ECF99"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العوائق التقنية والبشرية والتنظيمية والأخلاقية، وهو متغير معدِّل مثبِّط، ويُقاس بعشر فقرات يرمز إليها بالرمز</w:t>
      </w:r>
      <w:r>
        <w:rPr>
          <w:rFonts w:ascii="Simplified Arabic" w:hAnsi="Simplified Arabic" w:cs="Simplified Arabic"/>
        </w:rPr>
        <w:t xml:space="preserve"> (BAR)</w:t>
      </w:r>
      <w:r>
        <w:rPr>
          <w:rFonts w:ascii="Simplified Arabic" w:hAnsi="Simplified Arabic" w:cs="Simplified Arabic" w:hint="cs"/>
          <w:rtl/>
        </w:rPr>
        <w:t>.</w:t>
      </w:r>
    </w:p>
    <w:p w14:paraId="3F4EFDCB"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فعالية الأداء التسويقي للحملات الرقمية، وهو المتغير التابع، ويُقاس بتسع فقرات يرمز إليها بالرمز</w:t>
      </w:r>
      <w:r>
        <w:rPr>
          <w:rFonts w:ascii="Simplified Arabic" w:hAnsi="Simplified Arabic" w:cs="Simplified Arabic"/>
        </w:rPr>
        <w:t xml:space="preserve">.(MP) </w:t>
      </w:r>
    </w:p>
    <w:p w14:paraId="546B2D16" w14:textId="77777777" w:rsidR="00F035EA" w:rsidRPr="004F4747" w:rsidRDefault="00F035EA" w:rsidP="00F035EA">
      <w:pPr>
        <w:bidi/>
        <w:spacing w:after="200" w:line="276" w:lineRule="auto"/>
        <w:rPr>
          <w:rFonts w:ascii="Simplified Arabic" w:hAnsi="Simplified Arabic" w:cs="Simplified Arabic"/>
          <w:b/>
          <w:bCs/>
          <w:rtl/>
        </w:rPr>
      </w:pPr>
      <w:r>
        <w:rPr>
          <w:rFonts w:ascii="Simplified Arabic" w:hAnsi="Simplified Arabic" w:cs="Simplified Arabic"/>
          <w:b/>
          <w:bCs/>
          <w:rtl/>
        </w:rPr>
        <w:t>جدول: متغيرات الدراسة ودورها في النموذج</w:t>
      </w:r>
    </w:p>
    <w:tbl>
      <w:tblPr>
        <w:tblStyle w:val="ac"/>
        <w:bidiVisual/>
        <w:tblW w:w="8215" w:type="dxa"/>
        <w:tblInd w:w="612" w:type="dxa"/>
        <w:tblLook w:val="04A0" w:firstRow="1" w:lastRow="0" w:firstColumn="1" w:lastColumn="0" w:noHBand="0" w:noVBand="1"/>
      </w:tblPr>
      <w:tblGrid>
        <w:gridCol w:w="1855"/>
        <w:gridCol w:w="2400"/>
        <w:gridCol w:w="1560"/>
        <w:gridCol w:w="2400"/>
      </w:tblGrid>
      <w:tr w:rsidR="00F035EA" w:rsidRPr="004F4747" w14:paraId="52C303BE" w14:textId="77777777" w:rsidTr="0085711F">
        <w:tc>
          <w:tcPr>
            <w:tcW w:w="1855" w:type="dxa"/>
            <w:shd w:val="clear" w:color="auto" w:fill="BFBFBF" w:themeFill="background1" w:themeFillShade="BF"/>
          </w:tcPr>
          <w:p w14:paraId="2EAD84C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المتغير</w:t>
            </w:r>
          </w:p>
        </w:tc>
        <w:tc>
          <w:tcPr>
            <w:tcW w:w="2400" w:type="dxa"/>
            <w:shd w:val="clear" w:color="auto" w:fill="BFBFBF" w:themeFill="background1" w:themeFillShade="BF"/>
          </w:tcPr>
          <w:p w14:paraId="51CA98D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دوره في النموذج</w:t>
            </w:r>
          </w:p>
        </w:tc>
        <w:tc>
          <w:tcPr>
            <w:tcW w:w="1560" w:type="dxa"/>
            <w:shd w:val="clear" w:color="auto" w:fill="BFBFBF" w:themeFill="background1" w:themeFillShade="BF"/>
          </w:tcPr>
          <w:p w14:paraId="6456107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2400" w:type="dxa"/>
            <w:shd w:val="clear" w:color="auto" w:fill="BFBFBF" w:themeFill="background1" w:themeFillShade="BF"/>
          </w:tcPr>
          <w:p w14:paraId="54C2DDC7"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عدد الفقرات</w:t>
            </w:r>
          </w:p>
        </w:tc>
      </w:tr>
      <w:tr w:rsidR="00F035EA" w:rsidRPr="004F4747" w14:paraId="0CDED43E" w14:textId="77777777" w:rsidTr="0085711F">
        <w:tc>
          <w:tcPr>
            <w:tcW w:w="1855" w:type="dxa"/>
          </w:tcPr>
          <w:p w14:paraId="1E7371C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توظيف تقنيات الذكاء الاصطناعي التوليدي</w:t>
            </w:r>
          </w:p>
        </w:tc>
        <w:tc>
          <w:tcPr>
            <w:tcW w:w="2400" w:type="dxa"/>
          </w:tcPr>
          <w:p w14:paraId="4DE1C73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مستقل</w:t>
            </w:r>
          </w:p>
        </w:tc>
        <w:tc>
          <w:tcPr>
            <w:tcW w:w="1560" w:type="dxa"/>
          </w:tcPr>
          <w:p w14:paraId="69A5ACC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GAIU</w:t>
            </w:r>
          </w:p>
        </w:tc>
        <w:tc>
          <w:tcPr>
            <w:tcW w:w="2400" w:type="dxa"/>
          </w:tcPr>
          <w:p w14:paraId="13E32A6A"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1395E7FC" w14:textId="77777777" w:rsidTr="0085711F">
        <w:trPr>
          <w:trHeight w:val="485"/>
        </w:trPr>
        <w:tc>
          <w:tcPr>
            <w:tcW w:w="1855" w:type="dxa"/>
          </w:tcPr>
          <w:p w14:paraId="5B80F6A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جودة عملية تصميم الحملات</w:t>
            </w:r>
          </w:p>
        </w:tc>
        <w:tc>
          <w:tcPr>
            <w:tcW w:w="2400" w:type="dxa"/>
          </w:tcPr>
          <w:p w14:paraId="7D847F3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وسيط</w:t>
            </w:r>
          </w:p>
        </w:tc>
        <w:tc>
          <w:tcPr>
            <w:tcW w:w="1560" w:type="dxa"/>
          </w:tcPr>
          <w:p w14:paraId="5F10A96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CDQ</w:t>
            </w:r>
          </w:p>
        </w:tc>
        <w:tc>
          <w:tcPr>
            <w:tcW w:w="2400" w:type="dxa"/>
          </w:tcPr>
          <w:p w14:paraId="1D3EF6F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8</w:t>
            </w:r>
          </w:p>
        </w:tc>
      </w:tr>
      <w:tr w:rsidR="00F035EA" w:rsidRPr="004F4747" w14:paraId="64A6B2E3" w14:textId="77777777" w:rsidTr="0085711F">
        <w:tc>
          <w:tcPr>
            <w:tcW w:w="1855" w:type="dxa"/>
          </w:tcPr>
          <w:p w14:paraId="78F1582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دوافع التبني</w:t>
            </w:r>
          </w:p>
        </w:tc>
        <w:tc>
          <w:tcPr>
            <w:tcW w:w="2400" w:type="dxa"/>
          </w:tcPr>
          <w:p w14:paraId="5DCEE2E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معزِّز</w:t>
            </w:r>
          </w:p>
        </w:tc>
        <w:tc>
          <w:tcPr>
            <w:tcW w:w="1560" w:type="dxa"/>
          </w:tcPr>
          <w:p w14:paraId="64E4580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ADP</w:t>
            </w:r>
          </w:p>
        </w:tc>
        <w:tc>
          <w:tcPr>
            <w:tcW w:w="2400" w:type="dxa"/>
          </w:tcPr>
          <w:p w14:paraId="27117AF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219B52DA" w14:textId="77777777" w:rsidTr="0085711F">
        <w:tc>
          <w:tcPr>
            <w:tcW w:w="1855" w:type="dxa"/>
          </w:tcPr>
          <w:p w14:paraId="6A299CE8"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العوائق التقنية والبشرية والتنظيمية والأخلاقية</w:t>
            </w:r>
          </w:p>
        </w:tc>
        <w:tc>
          <w:tcPr>
            <w:tcW w:w="2400" w:type="dxa"/>
          </w:tcPr>
          <w:p w14:paraId="5975667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مثبِّط</w:t>
            </w:r>
          </w:p>
        </w:tc>
        <w:tc>
          <w:tcPr>
            <w:tcW w:w="1560" w:type="dxa"/>
          </w:tcPr>
          <w:p w14:paraId="07E7E80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BAR</w:t>
            </w:r>
          </w:p>
        </w:tc>
        <w:tc>
          <w:tcPr>
            <w:tcW w:w="2400" w:type="dxa"/>
          </w:tcPr>
          <w:p w14:paraId="66BDFCE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264DB95F" w14:textId="77777777" w:rsidTr="0085711F">
        <w:tc>
          <w:tcPr>
            <w:tcW w:w="1855" w:type="dxa"/>
          </w:tcPr>
          <w:p w14:paraId="5EC64C7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فعالية الأداء التسويقي</w:t>
            </w:r>
          </w:p>
        </w:tc>
        <w:tc>
          <w:tcPr>
            <w:tcW w:w="2400" w:type="dxa"/>
          </w:tcPr>
          <w:p w14:paraId="78712256"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تابع</w:t>
            </w:r>
          </w:p>
        </w:tc>
        <w:tc>
          <w:tcPr>
            <w:tcW w:w="1560" w:type="dxa"/>
          </w:tcPr>
          <w:p w14:paraId="273F2FA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MP</w:t>
            </w:r>
          </w:p>
        </w:tc>
        <w:tc>
          <w:tcPr>
            <w:tcW w:w="2400" w:type="dxa"/>
          </w:tcPr>
          <w:p w14:paraId="3E1427F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18E9BBEF" w14:textId="77777777" w:rsidTr="0085711F">
        <w:tc>
          <w:tcPr>
            <w:tcW w:w="1855" w:type="dxa"/>
            <w:shd w:val="clear" w:color="auto" w:fill="BFBFBF" w:themeFill="background1" w:themeFillShade="BF"/>
          </w:tcPr>
          <w:p w14:paraId="0ECD436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الإجمالي</w:t>
            </w:r>
          </w:p>
        </w:tc>
        <w:tc>
          <w:tcPr>
            <w:tcW w:w="2400" w:type="dxa"/>
            <w:shd w:val="clear" w:color="auto" w:fill="BFBFBF" w:themeFill="background1" w:themeFillShade="BF"/>
          </w:tcPr>
          <w:p w14:paraId="739FDB13"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1560" w:type="dxa"/>
            <w:shd w:val="clear" w:color="auto" w:fill="BFBFBF" w:themeFill="background1" w:themeFillShade="BF"/>
          </w:tcPr>
          <w:p w14:paraId="56A4502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2400" w:type="dxa"/>
            <w:shd w:val="clear" w:color="auto" w:fill="BFBFBF" w:themeFill="background1" w:themeFillShade="BF"/>
          </w:tcPr>
          <w:p w14:paraId="78A2CEF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46</w:t>
            </w:r>
          </w:p>
        </w:tc>
      </w:tr>
    </w:tbl>
    <w:p w14:paraId="59DB8522" w14:textId="77777777" w:rsidR="00F035EA" w:rsidRDefault="00F035EA" w:rsidP="00F035EA">
      <w:pPr>
        <w:bidi/>
        <w:spacing w:after="200" w:line="276" w:lineRule="auto"/>
        <w:jc w:val="both"/>
        <w:rPr>
          <w:rFonts w:ascii="Simplified Arabic" w:hAnsi="Simplified Arabic" w:cs="Simplified Arabic"/>
          <w:rtl/>
        </w:rPr>
      </w:pPr>
    </w:p>
    <w:p w14:paraId="03A7EC09" w14:textId="77777777" w:rsidR="00173F7B" w:rsidRDefault="00173F7B" w:rsidP="00173F7B">
      <w:pPr>
        <w:bidi/>
        <w:spacing w:after="200" w:line="276" w:lineRule="auto"/>
        <w:jc w:val="both"/>
        <w:rPr>
          <w:rFonts w:ascii="Simplified Arabic" w:hAnsi="Simplified Arabic" w:cs="Simplified Arabic"/>
          <w:rtl/>
        </w:rPr>
      </w:pPr>
    </w:p>
    <w:p w14:paraId="558F43DD"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 xml:space="preserve">مجتمع الدراسة </w:t>
      </w:r>
    </w:p>
    <w:p w14:paraId="742B5F4E" w14:textId="77777777" w:rsidR="00F035EA" w:rsidRPr="00AF7DF7"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 xml:space="preserve">يتحدد مجتمع الدراسة إجرائيًا بأنه: جميع العاملين في وكالات التسويق الرقمي المرخَّصة نظاميًا والعاملة فعليًا في ثلاث مدن رئيسة بالمملكة العربية السعودية هي الرياض وجدة والدمام، ممن ترتبط طبيعة عملهم بتخطيط الحملات التسويقية </w:t>
      </w:r>
      <w:r w:rsidRPr="00FF3463">
        <w:rPr>
          <w:rFonts w:ascii="Simplified Arabic" w:hAnsi="Simplified Arabic" w:cs="Simplified Arabic"/>
          <w:rtl/>
        </w:rPr>
        <w:lastRenderedPageBreak/>
        <w:t>الرقمية أو تصميمها أو تنفيذها أو تحليل أدائها. ويُعتمد هذا التحديد الجغرافي الثلاثي نطاقًا نهائيًا وموحدًا للدراسة في جميع أجزائها، بما يشمل شروط الأهلية، والمتغيرات الوصفية، وإجراءات الاستقطاب والمعاينة؛ ومن ثم لا تُدرج أي مدينة أخرى خارج الرياض وجدة والدمام ضمن المجتمع المستهدف أو العينة الفعلية.</w:t>
      </w:r>
    </w:p>
    <w:p w14:paraId="3EF4345D" w14:textId="77777777" w:rsidR="00F035EA" w:rsidRPr="00AF7DF7" w:rsidRDefault="00F035EA" w:rsidP="00F035EA">
      <w:pPr>
        <w:bidi/>
        <w:spacing w:after="200" w:line="276" w:lineRule="auto"/>
        <w:rPr>
          <w:rFonts w:ascii="Simplified Arabic" w:hAnsi="Simplified Arabic" w:cs="Simplified Arabic"/>
          <w:b/>
          <w:bCs/>
          <w:color w:val="EE0000"/>
        </w:rPr>
      </w:pPr>
      <w:r w:rsidRPr="00AF7DF7">
        <w:rPr>
          <w:rFonts w:ascii="Simplified Arabic" w:hAnsi="Simplified Arabic" w:cs="Simplified Arabic"/>
          <w:b/>
          <w:bCs/>
          <w:color w:val="EE0000"/>
          <w:rtl/>
        </w:rPr>
        <w:t>وحدة التحليل</w:t>
      </w:r>
    </w:p>
    <w:p w14:paraId="3989A562" w14:textId="77777777" w:rsidR="00F035EA" w:rsidRPr="00AF7DF7" w:rsidRDefault="00F035EA" w:rsidP="00F035EA">
      <w:pPr>
        <w:bidi/>
        <w:spacing w:after="200" w:line="276" w:lineRule="auto"/>
        <w:rPr>
          <w:rFonts w:ascii="Simplified Arabic" w:hAnsi="Simplified Arabic" w:cs="Simplified Arabic"/>
          <w:color w:val="EE0000"/>
        </w:rPr>
      </w:pPr>
      <w:r w:rsidRPr="00AF7DF7">
        <w:rPr>
          <w:rFonts w:ascii="Simplified Arabic" w:hAnsi="Simplified Arabic" w:cs="Simplified Arabic"/>
          <w:color w:val="EE0000"/>
          <w:rtl/>
        </w:rPr>
        <w:t>تتمثل وحدة التحليل في هذه الدراسة في الفرد العامل في وكالة التسويق الرقمي المرخصة، بوصفه مفردة الاستجابة والقياس والتحليل؛ فالبيانات تُجمع من الموظفين على مستوى الفرد، لا على مستوى الوكالة، لأن إدراك العاملين وممارساتهم اليومية هي التي تعكس واقع توظيف الذكاء الاصطناعي التوليدي وجودة تصميم الحملات وفعالية الأداء. أما خصائص الوكالة، مثل المدينة والحجم وطبيعة العملاء والسياسات الداخلية، فتُستخدم متغيرات وصفية مساعدة على تفسير الفروق بين الأفراد، دون أن تتحول الوكالة بسببها إلى وحدة تحليل. وعند وجود أكثر من مشارك من الوكالة الواحدة، يعامل كل موظف وحدة تحليل مستقلة، مع الاحتفاظ برمز الوكالة لأغراض فحص أثر البيئة التنظيمية المشتركة فقط</w:t>
      </w:r>
      <w:r w:rsidRPr="00AF7DF7">
        <w:rPr>
          <w:rFonts w:ascii="Simplified Arabic" w:hAnsi="Simplified Arabic" w:cs="Simplified Arabic"/>
          <w:color w:val="EE0000"/>
        </w:rPr>
        <w:t>.</w:t>
      </w:r>
    </w:p>
    <w:p w14:paraId="709A730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التعريف الإجرائي لوكالة التسويق الرقمي المرخَّصة</w:t>
      </w:r>
    </w:p>
    <w:p w14:paraId="703B7F86"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يُقصد بوكالة التسويق الرقمي المرخصة في هذه الدراسة كل منشأة تجارية تمتلك سجلًا تجاريًا ساري المفعول صادرًا وفق الأنظمة المعمول بها في المملكة العربية السعودية، ويتضمن نشاطها الرئيس أو أحد أنشطتها المرخصة تقديم خدمات التسويق أو الدعاية والإعلان أو الاتصال التسويقي لعملاء خارجيين، وتشمل خدماتها التخطيط للحملات التسويقية الرقمية أو إنتاج المحتوى وتصميمه أو تنفيذ الحملات أو إدارة قنواتها الرقمية أو تحليل أدائها. وسيُتحقق من الصفة النظامية للمنشأة من خلال بيانات السجل التجاري والأنشطة المسجلة عبر المصادر الحكومية ذات الصلة، ومنها منصة المركز السعودي للأعمال. وفي الحالات التي يتطلب فيها نوع النشاط الإعلامي ترخيصًا إضافيًا، سيُتحقق من الترخيص الصادر عن الهيئة العامة لتنظيم الإعلام وفق طبيعة النشاط.</w:t>
      </w:r>
    </w:p>
    <w:p w14:paraId="3598297F"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b/>
          <w:bCs/>
          <w:color w:val="EE0000"/>
          <w:rtl/>
        </w:rPr>
        <w:t>توثيق إطار الوكالات المشمولة</w:t>
      </w:r>
    </w:p>
    <w:p w14:paraId="297CC3AE" w14:textId="77777777" w:rsidR="00F035EA"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تشير نشرة قطاع الأعمال الصادرة عن وزارة التجارة إلى أن عدد السجلات التجارية القائمة في نشاط مؤسسات ووكالات الدعاية والإعلان على مستوى المملكة بلغ (26,016) سجلًا بنهاية الربع الأول من عام 2026م، بما يعكس اتساع القطاع محل الدراسة. أما إطار الوكالات المستهدفة في الدراسة الحالية، فسيُبنى بصورة مستقلة للرياض وجدة والدمام من خلال حصر المنشآت ذات الأنشطة ذات الصلة في المصادر الحكومية والمهنية المتاحة، مع استبعاد المنشآت التي لا تستوفي التعريف الإجرائي المعتمد في الدراسة. وسيُوثق العدد الناتج لكل مدينة، ومصدر الحصر، وتاريخ الاستخراج، قبل بدء الاستقطاب الميداني، ويُرفق إطار الوكالات المستخدم ضمن ملحق مستقل.</w:t>
      </w:r>
    </w:p>
    <w:p w14:paraId="7056E21C" w14:textId="77777777" w:rsidR="00173F7B" w:rsidRPr="00FF3463" w:rsidRDefault="00173F7B" w:rsidP="00173F7B">
      <w:pPr>
        <w:bidi/>
        <w:spacing w:after="200" w:line="276" w:lineRule="auto"/>
        <w:rPr>
          <w:rFonts w:ascii="Simplified Arabic" w:hAnsi="Simplified Arabic" w:cs="Simplified Arabic"/>
          <w:b/>
          <w:bCs/>
          <w:color w:val="EE0000"/>
          <w:rtl/>
        </w:rPr>
      </w:pPr>
    </w:p>
    <w:p w14:paraId="326BBC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التمييز بين إطار الوكالات وإطار العاملين</w:t>
      </w:r>
    </w:p>
    <w:p w14:paraId="6A1F25F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 xml:space="preserve">سيجري الباحث محاولة أولى للحصول على قائمة بالوكالات العاملة في المدن الثلاث من مصادرها الرسمية المذكورة أعلاه، تُستخدم إطارًا مرجعيًا لتوزيع قنوات الاستقطاب وتنويع نقاط الوصول إلى العاملين، حتى مع تعذّر إعداد إطار </w:t>
      </w:r>
      <w:r w:rsidRPr="00FF3463">
        <w:rPr>
          <w:rFonts w:ascii="Simplified Arabic" w:hAnsi="Simplified Arabic" w:cs="Simplified Arabic"/>
          <w:color w:val="EE0000"/>
          <w:rtl/>
        </w:rPr>
        <w:lastRenderedPageBreak/>
        <w:t>معاينة شامل بأسماء الأفراد العاملين داخل هذه الوكالات؛ إذ يظل تعذّر حصر العاملين أمرًا منفصلًا عن إمكان حصر الوكالات نفسها، وسيُستفاد من قائمة الوكالات في توجيه جهود الاستقطاب نحو تغطية أوسع وأكثر توازنًا.</w:t>
      </w:r>
    </w:p>
    <w:p w14:paraId="4800A590"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مبررات اختيار المدن المستهدفة</w:t>
      </w:r>
    </w:p>
    <w:p w14:paraId="5BDC5290" w14:textId="77777777" w:rsidR="00F035EA" w:rsidRPr="00FF3463" w:rsidRDefault="00F035EA" w:rsidP="00F035EA">
      <w:pPr>
        <w:bidi/>
        <w:spacing w:after="200" w:line="276" w:lineRule="auto"/>
        <w:rPr>
          <w:rFonts w:ascii="Simplified Arabic" w:hAnsi="Simplified Arabic" w:cs="Simplified Arabic"/>
          <w:b/>
          <w:bCs/>
          <w:rtl/>
        </w:rPr>
      </w:pPr>
      <w:r w:rsidRPr="00FF3463">
        <w:rPr>
          <w:rFonts w:ascii="Simplified Arabic" w:hAnsi="Simplified Arabic" w:cs="Simplified Arabic"/>
          <w:rtl/>
        </w:rPr>
        <w:t>اختيرت الرياض وجدة والدمام بوصفها ثلاثة مراكز اقتصادية وحضرية رئيسة في المملكة، وتتوافر فيها بيئة مؤسسية متنوعة تضم وكالات دعاية وإعلان وتسويق وقطاعات واسعة من العمالء الحكوميين والتجاريين، بما يتيح الوصول إلى وكالات متفاوتة في الحجم وطبيعة النشاط والأدوار الوظيفية. كما سيُستخدم الحصر الرسمي للوكالات المؤهلة في المدن الثلاث، المشار إليه في الفقرة السابقة، لتوثيق حجم النشاط الفعلي في كل مدينة ودعم هذا الاختيار بصورة كمية قبل بدء التطبيق الميداني.</w:t>
      </w:r>
    </w:p>
    <w:p w14:paraId="2E58429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الفئات الوظيفية المؤهلة للمشاركة</w:t>
      </w:r>
    </w:p>
    <w:p w14:paraId="0AFE8FD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حُدِّدت الفئات الوظيفية المؤهلة للمشاركة بمسميات وظيفية محددة تندرج تحت أربع مجموعات رئيسة، على النحو الآتي:</w:t>
      </w:r>
    </w:p>
    <w:p w14:paraId="62E1ED4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(3-2): الفئات الوظيفية المؤهلة للمشاركة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400"/>
      </w:tblGrid>
      <w:tr w:rsidR="00F035EA" w:rsidRPr="00FF3463" w14:paraId="6F4CE91A" w14:textId="77777777" w:rsidTr="0085711F">
        <w:tc>
          <w:tcPr>
            <w:tcW w:w="2200" w:type="dxa"/>
            <w:shd w:val="clear" w:color="auto" w:fill="D9D9D9"/>
            <w:tcMar>
              <w:top w:w="80" w:type="dxa"/>
              <w:left w:w="100" w:type="dxa"/>
              <w:bottom w:w="80" w:type="dxa"/>
              <w:right w:w="100" w:type="dxa"/>
            </w:tcMar>
            <w:vAlign w:val="center"/>
          </w:tcPr>
          <w:p w14:paraId="105958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المجموعة الوظيفية</w:t>
            </w:r>
          </w:p>
        </w:tc>
        <w:tc>
          <w:tcPr>
            <w:tcW w:w="5400" w:type="dxa"/>
            <w:shd w:val="clear" w:color="auto" w:fill="D9D9D9"/>
            <w:tcMar>
              <w:top w:w="80" w:type="dxa"/>
              <w:left w:w="100" w:type="dxa"/>
              <w:bottom w:w="80" w:type="dxa"/>
              <w:right w:w="100" w:type="dxa"/>
            </w:tcMar>
            <w:vAlign w:val="center"/>
          </w:tcPr>
          <w:p w14:paraId="4EA6C7D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أمثلة على المسميات الوظيفية المشمولة</w:t>
            </w:r>
          </w:p>
        </w:tc>
      </w:tr>
      <w:tr w:rsidR="00F035EA" w:rsidRPr="00FF3463" w14:paraId="7BE6C2EC" w14:textId="77777777" w:rsidTr="0085711F">
        <w:tc>
          <w:tcPr>
            <w:tcW w:w="2200" w:type="dxa"/>
            <w:tcMar>
              <w:top w:w="80" w:type="dxa"/>
              <w:left w:w="100" w:type="dxa"/>
              <w:bottom w:w="80" w:type="dxa"/>
              <w:right w:w="100" w:type="dxa"/>
            </w:tcMar>
            <w:vAlign w:val="center"/>
          </w:tcPr>
          <w:p w14:paraId="7497898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التخطيط والاستراتيجية</w:t>
            </w:r>
          </w:p>
        </w:tc>
        <w:tc>
          <w:tcPr>
            <w:tcW w:w="5400" w:type="dxa"/>
            <w:tcMar>
              <w:top w:w="80" w:type="dxa"/>
              <w:left w:w="100" w:type="dxa"/>
              <w:bottom w:w="80" w:type="dxa"/>
              <w:right w:w="100" w:type="dxa"/>
            </w:tcMar>
            <w:vAlign w:val="center"/>
          </w:tcPr>
          <w:p w14:paraId="7483B5E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مخطط استراتيجي، استراتيجي حملات، مدير حسابات استراتيجي، مخطط وسائط</w:t>
            </w:r>
          </w:p>
        </w:tc>
      </w:tr>
      <w:tr w:rsidR="00F035EA" w:rsidRPr="00FF3463" w14:paraId="2DE4E70E" w14:textId="77777777" w:rsidTr="0085711F">
        <w:tc>
          <w:tcPr>
            <w:tcW w:w="2200" w:type="dxa"/>
            <w:tcMar>
              <w:top w:w="80" w:type="dxa"/>
              <w:left w:w="100" w:type="dxa"/>
              <w:bottom w:w="80" w:type="dxa"/>
              <w:right w:w="100" w:type="dxa"/>
            </w:tcMar>
            <w:vAlign w:val="center"/>
          </w:tcPr>
          <w:p w14:paraId="5ED0CDB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الإبداع والتصميم</w:t>
            </w:r>
          </w:p>
        </w:tc>
        <w:tc>
          <w:tcPr>
            <w:tcW w:w="5400" w:type="dxa"/>
            <w:tcMar>
              <w:top w:w="80" w:type="dxa"/>
              <w:left w:w="100" w:type="dxa"/>
              <w:bottom w:w="80" w:type="dxa"/>
              <w:right w:w="100" w:type="dxa"/>
            </w:tcMar>
            <w:vAlign w:val="center"/>
          </w:tcPr>
          <w:p w14:paraId="0B71F5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مصمم جرافيك، مصمم موشن جرافيك، مدير إبداعي، مصمم محتوى بصري</w:t>
            </w:r>
          </w:p>
        </w:tc>
      </w:tr>
      <w:tr w:rsidR="00F035EA" w:rsidRPr="00FF3463" w14:paraId="48B56A49" w14:textId="77777777" w:rsidTr="0085711F">
        <w:tc>
          <w:tcPr>
            <w:tcW w:w="2200" w:type="dxa"/>
            <w:tcMar>
              <w:top w:w="80" w:type="dxa"/>
              <w:left w:w="100" w:type="dxa"/>
              <w:bottom w:w="80" w:type="dxa"/>
              <w:right w:w="100" w:type="dxa"/>
            </w:tcMar>
            <w:vAlign w:val="center"/>
          </w:tcPr>
          <w:p w14:paraId="4180C19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كتابة المحتوى والتنفيذ</w:t>
            </w:r>
          </w:p>
        </w:tc>
        <w:tc>
          <w:tcPr>
            <w:tcW w:w="5400" w:type="dxa"/>
            <w:tcMar>
              <w:top w:w="80" w:type="dxa"/>
              <w:left w:w="100" w:type="dxa"/>
              <w:bottom w:w="80" w:type="dxa"/>
              <w:right w:w="100" w:type="dxa"/>
            </w:tcMar>
            <w:vAlign w:val="center"/>
          </w:tcPr>
          <w:p w14:paraId="03900F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كاتب محتوى، منفذ حملات، أخصائي وسائل تواصل، أخصائي إعلانات مدفوعة</w:t>
            </w:r>
          </w:p>
        </w:tc>
      </w:tr>
      <w:tr w:rsidR="00F035EA" w:rsidRPr="00FF3463" w14:paraId="41BAAADB" w14:textId="77777777" w:rsidTr="0085711F">
        <w:tc>
          <w:tcPr>
            <w:tcW w:w="2200" w:type="dxa"/>
            <w:tcMar>
              <w:top w:w="80" w:type="dxa"/>
              <w:left w:w="100" w:type="dxa"/>
              <w:bottom w:w="80" w:type="dxa"/>
              <w:right w:w="100" w:type="dxa"/>
            </w:tcMar>
            <w:vAlign w:val="center"/>
          </w:tcPr>
          <w:p w14:paraId="72BB4C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تحليل الأداء</w:t>
            </w:r>
          </w:p>
        </w:tc>
        <w:tc>
          <w:tcPr>
            <w:tcW w:w="5400" w:type="dxa"/>
            <w:tcMar>
              <w:top w:w="80" w:type="dxa"/>
              <w:left w:w="100" w:type="dxa"/>
              <w:bottom w:w="80" w:type="dxa"/>
              <w:right w:w="100" w:type="dxa"/>
            </w:tcMar>
            <w:vAlign w:val="center"/>
          </w:tcPr>
          <w:p w14:paraId="1675D6B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محلل أداء تسويقي، محلل بيانات، أخصائي تحسين محركات البحث/الإعلانات</w:t>
            </w:r>
          </w:p>
        </w:tc>
      </w:tr>
    </w:tbl>
    <w:p w14:paraId="313969E1" w14:textId="77777777" w:rsidR="00F035EA" w:rsidRPr="00FF3463" w:rsidRDefault="00F035EA" w:rsidP="00F035EA">
      <w:pPr>
        <w:bidi/>
        <w:spacing w:after="200" w:line="276" w:lineRule="auto"/>
        <w:rPr>
          <w:rFonts w:ascii="Simplified Arabic" w:hAnsi="Simplified Arabic" w:cs="Simplified Arabic"/>
          <w:color w:val="EE0000"/>
          <w:rtl/>
        </w:rPr>
      </w:pPr>
    </w:p>
    <w:p w14:paraId="237335A2" w14:textId="502D397E" w:rsidR="00F035EA" w:rsidRPr="00173F7B" w:rsidRDefault="00F035EA" w:rsidP="00173F7B">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وتُستبعد المسميات الإدارية أو الفنية غير المرتبطة مباشرة بأي من هذه المراحل الأربع (كالمحاسبة أو تقنية المعلومات الداخلية)، ما لم يجمع الموظف بين مهامه الأساسية ومهام تندرج ضمن الفئات المذكورة.</w:t>
      </w:r>
    </w:p>
    <w:p w14:paraId="15DD542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عينة الدراسة</w:t>
      </w:r>
    </w:p>
    <w:p w14:paraId="66F1636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أسلوب المعاينة</w:t>
      </w:r>
    </w:p>
    <w:p w14:paraId="557E87EF"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lastRenderedPageBreak/>
        <w:t>نظرًا لتعذّر بناء إطار معاينة شامل بأسماء العاملين، ستُختار عينة الدراسة بأسلوب المعاينة غير الاحتمالية (Non-Probability Sampling)، عبر طريقتي العينة الميسرة (Convenience) وكرة الثلج (Snowball)، للوصول إلى المختصين في التخطيط والإبداع والتنفيذ والتحليل داخل الوكالات. وتُعد هاتان الطريقتان من الأساليب المقبولة منهجيًا حين يتعذّر الاختيار العشوائي لغياب إطار المعاينة، شريطة ضبط شروط الأهلية وتوثيق خصائص المستجيبين (Saunders et al., 2019; Etikan et al., 2016)، ويدرك الباحث أن هذا الأسلوب، بحكم طبيعته غير الاحتمالية، يحدّ من إمكانية تعميم النتائج على مجتمع الدراسة كافة؛ ولذلك ستُفسَّر النتائج في حدود خصائص العينة المشاركة، مع السعي إلى تخفيف هذا القيد عبر الإجراءات الموضحة في الفقرات التالية.</w:t>
      </w:r>
    </w:p>
    <w:p w14:paraId="7231B3CA" w14:textId="77777777" w:rsidR="00F035EA" w:rsidRPr="00FF3463" w:rsidRDefault="00F035EA" w:rsidP="00F035EA">
      <w:pPr>
        <w:bidi/>
        <w:spacing w:after="200" w:line="276" w:lineRule="auto"/>
        <w:rPr>
          <w:rFonts w:ascii="Simplified Arabic" w:hAnsi="Simplified Arabic" w:cs="Simplified Arabic"/>
          <w:color w:val="EE0000"/>
          <w:rtl/>
        </w:rPr>
      </w:pPr>
      <w:bookmarkStart w:id="3" w:name="_Hlk237109320"/>
      <w:r w:rsidRPr="00FF3463">
        <w:rPr>
          <w:rFonts w:ascii="Simplified Arabic" w:hAnsi="Simplified Arabic" w:cs="Simplified Arabic"/>
          <w:b/>
          <w:bCs/>
          <w:color w:val="EE0000"/>
          <w:rtl/>
        </w:rPr>
        <w:t>شروط الأهلية ومعايير الاستبعاد</w:t>
      </w:r>
    </w:p>
    <w:p w14:paraId="77CB2FA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تمكين المشارك من إكمال الاستبانة، سيُتحقق من استيفائه شروط الأهلية التالية من خلال أسئلة تمهيدية مبرمجة تُنهي المشاركة تلقائيًا وتعرض رسالة شكر عند عدم تحقق أي شرط منها:</w:t>
      </w:r>
    </w:p>
    <w:p w14:paraId="48F05A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(3-3): شروط أهلية المشاركة في الدراسة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6400"/>
      </w:tblGrid>
      <w:tr w:rsidR="00F035EA" w:rsidRPr="00FF3463" w14:paraId="19EC2CD3" w14:textId="77777777" w:rsidTr="0085711F">
        <w:tc>
          <w:tcPr>
            <w:tcW w:w="1200" w:type="dxa"/>
            <w:shd w:val="clear" w:color="auto" w:fill="D9D9D9"/>
            <w:tcMar>
              <w:top w:w="80" w:type="dxa"/>
              <w:left w:w="100" w:type="dxa"/>
              <w:bottom w:w="80" w:type="dxa"/>
              <w:right w:w="100" w:type="dxa"/>
            </w:tcMar>
            <w:vAlign w:val="center"/>
          </w:tcPr>
          <w:p w14:paraId="47BFA2C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الرمز</w:t>
            </w:r>
          </w:p>
        </w:tc>
        <w:tc>
          <w:tcPr>
            <w:tcW w:w="6400" w:type="dxa"/>
            <w:shd w:val="clear" w:color="auto" w:fill="D9D9D9"/>
            <w:tcMar>
              <w:top w:w="80" w:type="dxa"/>
              <w:left w:w="100" w:type="dxa"/>
              <w:bottom w:w="80" w:type="dxa"/>
              <w:right w:w="100" w:type="dxa"/>
            </w:tcMar>
            <w:vAlign w:val="center"/>
          </w:tcPr>
          <w:p w14:paraId="1DD5460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شرط الأهلية</w:t>
            </w:r>
          </w:p>
        </w:tc>
      </w:tr>
      <w:tr w:rsidR="00F035EA" w:rsidRPr="00FF3463" w14:paraId="51180674" w14:textId="77777777" w:rsidTr="0085711F">
        <w:tc>
          <w:tcPr>
            <w:tcW w:w="1200" w:type="dxa"/>
            <w:tcMar>
              <w:top w:w="80" w:type="dxa"/>
              <w:left w:w="100" w:type="dxa"/>
              <w:bottom w:w="80" w:type="dxa"/>
              <w:right w:w="100" w:type="dxa"/>
            </w:tcMar>
            <w:vAlign w:val="center"/>
          </w:tcPr>
          <w:p w14:paraId="1480498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S1</w:t>
            </w:r>
          </w:p>
        </w:tc>
        <w:tc>
          <w:tcPr>
            <w:tcW w:w="6400" w:type="dxa"/>
            <w:tcMar>
              <w:top w:w="80" w:type="dxa"/>
              <w:left w:w="100" w:type="dxa"/>
              <w:bottom w:w="80" w:type="dxa"/>
              <w:right w:w="100" w:type="dxa"/>
            </w:tcMar>
            <w:vAlign w:val="center"/>
          </w:tcPr>
          <w:p w14:paraId="1892C1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العمل الحالي في وكالة تسويق رقمي مرخَّصة عاملة في الرياض أو جدة أو الدمام.</w:t>
            </w:r>
          </w:p>
        </w:tc>
      </w:tr>
      <w:tr w:rsidR="00F035EA" w:rsidRPr="00FF3463" w14:paraId="4C949443" w14:textId="77777777" w:rsidTr="0085711F">
        <w:tc>
          <w:tcPr>
            <w:tcW w:w="1200" w:type="dxa"/>
            <w:tcMar>
              <w:top w:w="80" w:type="dxa"/>
              <w:left w:w="100" w:type="dxa"/>
              <w:bottom w:w="80" w:type="dxa"/>
              <w:right w:w="100" w:type="dxa"/>
            </w:tcMar>
            <w:vAlign w:val="center"/>
          </w:tcPr>
          <w:p w14:paraId="21BC6DE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S2</w:t>
            </w:r>
          </w:p>
        </w:tc>
        <w:tc>
          <w:tcPr>
            <w:tcW w:w="6400" w:type="dxa"/>
            <w:tcMar>
              <w:top w:w="80" w:type="dxa"/>
              <w:left w:w="100" w:type="dxa"/>
              <w:bottom w:w="80" w:type="dxa"/>
              <w:right w:w="100" w:type="dxa"/>
            </w:tcMar>
            <w:vAlign w:val="center"/>
          </w:tcPr>
          <w:p w14:paraId="54D00D2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ارتباط طبيعة العمل بتخطيط الحملات التسويقية الرقمية أو تصميمها أو تنفيذها أو تحليل أدائها، ضمن الفئات الوظيفية المحددة في الجدول (3-2).</w:t>
            </w:r>
          </w:p>
        </w:tc>
      </w:tr>
      <w:tr w:rsidR="00F035EA" w:rsidRPr="00FF3463" w14:paraId="6EFDFD95" w14:textId="77777777" w:rsidTr="0085711F">
        <w:tc>
          <w:tcPr>
            <w:tcW w:w="1200" w:type="dxa"/>
            <w:tcMar>
              <w:top w:w="80" w:type="dxa"/>
              <w:left w:w="100" w:type="dxa"/>
              <w:bottom w:w="80" w:type="dxa"/>
              <w:right w:w="100" w:type="dxa"/>
            </w:tcMar>
            <w:vAlign w:val="center"/>
          </w:tcPr>
          <w:p w14:paraId="7B08B00B"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S3</w:t>
            </w:r>
          </w:p>
        </w:tc>
        <w:tc>
          <w:tcPr>
            <w:tcW w:w="6400" w:type="dxa"/>
            <w:tcMar>
              <w:top w:w="80" w:type="dxa"/>
              <w:left w:w="100" w:type="dxa"/>
              <w:bottom w:w="80" w:type="dxa"/>
              <w:right w:w="100" w:type="dxa"/>
            </w:tcMar>
            <w:vAlign w:val="center"/>
          </w:tcPr>
          <w:p w14:paraId="175690CE"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استخدام مباشر وعملي (Hands-on) لأداة واحدة على الأقل من أدوات الذكاء الاصطناعي التوليدي في سياق العمل على الحملات التسويقية الرقمية خلال آخر اثني عشر شهرًا، بمعدل لا يقل عن مرة شهريًا.</w:t>
            </w:r>
          </w:p>
        </w:tc>
      </w:tr>
      <w:tr w:rsidR="00F035EA" w:rsidRPr="00FF3463" w14:paraId="526330F8" w14:textId="77777777" w:rsidTr="0085711F">
        <w:tc>
          <w:tcPr>
            <w:tcW w:w="1200" w:type="dxa"/>
            <w:tcMar>
              <w:top w:w="80" w:type="dxa"/>
              <w:left w:w="100" w:type="dxa"/>
              <w:bottom w:w="80" w:type="dxa"/>
              <w:right w:w="100" w:type="dxa"/>
            </w:tcMar>
            <w:vAlign w:val="center"/>
          </w:tcPr>
          <w:p w14:paraId="20F639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S4</w:t>
            </w:r>
          </w:p>
        </w:tc>
        <w:tc>
          <w:tcPr>
            <w:tcW w:w="6400" w:type="dxa"/>
            <w:tcMar>
              <w:top w:w="80" w:type="dxa"/>
              <w:left w:w="100" w:type="dxa"/>
              <w:bottom w:w="80" w:type="dxa"/>
              <w:right w:w="100" w:type="dxa"/>
            </w:tcMar>
            <w:vAlign w:val="center"/>
          </w:tcPr>
          <w:p w14:paraId="210EDD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استمرار العمل في الوكالة الحالية أو في مجال الحملات الرقمية مدة ستة أشهر فأكثر.</w:t>
            </w:r>
          </w:p>
        </w:tc>
      </w:tr>
      <w:tr w:rsidR="00F035EA" w:rsidRPr="00FF3463" w14:paraId="1F905A48" w14:textId="77777777" w:rsidTr="0085711F">
        <w:tc>
          <w:tcPr>
            <w:tcW w:w="1200" w:type="dxa"/>
            <w:tcMar>
              <w:top w:w="80" w:type="dxa"/>
              <w:left w:w="100" w:type="dxa"/>
              <w:bottom w:w="80" w:type="dxa"/>
              <w:right w:w="100" w:type="dxa"/>
            </w:tcMar>
            <w:vAlign w:val="center"/>
          </w:tcPr>
          <w:p w14:paraId="425A7C5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S5</w:t>
            </w:r>
          </w:p>
        </w:tc>
        <w:tc>
          <w:tcPr>
            <w:tcW w:w="6400" w:type="dxa"/>
            <w:tcMar>
              <w:top w:w="80" w:type="dxa"/>
              <w:left w:w="100" w:type="dxa"/>
              <w:bottom w:w="80" w:type="dxa"/>
              <w:right w:w="100" w:type="dxa"/>
            </w:tcMar>
            <w:vAlign w:val="center"/>
          </w:tcPr>
          <w:p w14:paraId="24605B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الموافقة الطوعية المستنيرة على المشاركة بعد الاطلاع على تعليمات الدراسة.</w:t>
            </w:r>
          </w:p>
        </w:tc>
      </w:tr>
    </w:tbl>
    <w:p w14:paraId="7FE44DF9" w14:textId="77777777" w:rsidR="00F035EA" w:rsidRPr="00FF3463" w:rsidRDefault="00F035EA" w:rsidP="00F035EA">
      <w:pPr>
        <w:bidi/>
        <w:spacing w:after="200" w:line="276" w:lineRule="auto"/>
        <w:rPr>
          <w:rFonts w:ascii="Simplified Arabic" w:hAnsi="Simplified Arabic" w:cs="Simplified Arabic"/>
          <w:color w:val="EE0000"/>
          <w:rtl/>
        </w:rPr>
      </w:pPr>
    </w:p>
    <w:p w14:paraId="7490572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 xml:space="preserve">وتُستبعد من الدراسة الفئات التالية على وجه التحديد: المتدربون، والعاملون المؤقتون أو بعقود أقل من ستة أشهر، والمستقلون (Freelancers) غير المرتبطين بوكالة، ومن لا يملكون تعاملًا مباشرًا وحديثًا (خلال آخر اثني عشر شهرًا) مع أدوات الذكاء الاصطناعي التوليدي؛ إذ استُبعدت عبارة «معرفة عملية أو تعامل غير مباشر» الواردة سابقًا في شرط </w:t>
      </w:r>
      <w:r w:rsidRPr="00FF3463">
        <w:rPr>
          <w:rFonts w:ascii="Simplified Arabic" w:hAnsi="Simplified Arabic" w:cs="Simplified Arabic"/>
          <w:color w:val="EE0000"/>
          <w:rtl/>
        </w:rPr>
        <w:lastRenderedPageBreak/>
        <w:t>الأهلية توحيدًا لمنطق الأهلية مع خيارات الأسئلة الوصفية، ولضمان أن العينة تتكوّن من مشاركين ذوي خبرة كافية بموضوع الدراسة.</w:t>
      </w:r>
    </w:p>
    <w:p w14:paraId="606C12D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قنوات الوصول إلى العينة</w:t>
      </w:r>
    </w:p>
    <w:p w14:paraId="2D1C7BD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سيُستقطب المشاركون عبر أربع قنوات رئيسة: (1) التواصل المباشر مع مسؤولي الموارد البشرية أو مديري الوكالات المدرجة في إطار الوكالات الموثَّق سلفًا، لطلب تعميم رابط الاستبانة على العاملين المؤهلين؛ (2) الجمعيات والمجموعات المهنية المتخصصة في التسويق والإعلان في المملكة؛ (3) منصات التواصل المهني، وعلى رأسها لينكدإن، عبر مجموعات ومنتديات التسويق الرقمي السعودية؛ (4) الشبكة الشخصية والمهنية للباحث، والتي ستُستخدم منطلقًا أوليًا لتطبيق أسلوب كرة الثلج.</w:t>
      </w:r>
    </w:p>
    <w:p w14:paraId="38C762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إجراءات تطبيق عينة كرة الثلج وضبط تنوعها</w:t>
      </w:r>
    </w:p>
    <w:p w14:paraId="540D99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ستنطلق سلسلة الإحالات من مجموعة أولية تضم من (15) إلى (20) مشاركًا (Seeds) يُختارون بأسلوب ميسر بحيث يمثّلون تنوعًا مبدئيًا في المدينة الثلاث وحجم الوكالة والدور الوظيفي، ويُسمح لكل مشارك بترشيح ما لا يزيد عن ثلاثة مشاركين آخرين ممن تنطبق عليهم شروط الأهلية. وللحدّ من احتمال سيطرة شبكة مهنية واحدة على العينة، ستُنوَّع نقاط البداية بين عدة وكالات ومجموعات مهنية مستقلة عن بعضها، وسيوضع سقف أقصى لعدد الاستجابات المقبولة من الوكالة الواحدة لا يتجاوز (5%) من حجم العينة المستهدف، وسقف مماثل لعدد الاستجابات الناتجة عن سلسلة الإحالة الواحدة، مع تتبّع مصدر الإحالة (قناة الاستقطاب) ضمن البيانات الوصفية للتحقق لاحقًا من مدى تنوع مصادر العينة.</w:t>
      </w:r>
    </w:p>
    <w:p w14:paraId="28BA753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الحصص الاسترشادية للعينة</w:t>
      </w:r>
    </w:p>
    <w:p w14:paraId="142EBFD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ستُعتمد حصص استرشادية غير ملزمة (لا تُستخدم لتبرير تمثيل احتمالي) لضبط تنوع العينة، على النحو الآتي:</w:t>
      </w:r>
    </w:p>
    <w:p w14:paraId="6081F87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(3-4): الحصص الاسترشادية وتوزيع العدد المستهدف على المدن</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000"/>
        <w:gridCol w:w="3000"/>
      </w:tblGrid>
      <w:tr w:rsidR="00F035EA" w:rsidRPr="00FF3463" w14:paraId="2D8DC65E" w14:textId="77777777" w:rsidTr="0085711F">
        <w:tc>
          <w:tcPr>
            <w:tcW w:w="2600" w:type="dxa"/>
            <w:shd w:val="clear" w:color="auto" w:fill="D9D9D9"/>
            <w:tcMar>
              <w:top w:w="80" w:type="dxa"/>
              <w:left w:w="100" w:type="dxa"/>
              <w:bottom w:w="80" w:type="dxa"/>
              <w:right w:w="100" w:type="dxa"/>
            </w:tcMar>
            <w:vAlign w:val="center"/>
          </w:tcPr>
          <w:p w14:paraId="7526B06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المدينة</w:t>
            </w:r>
          </w:p>
        </w:tc>
        <w:tc>
          <w:tcPr>
            <w:tcW w:w="2000" w:type="dxa"/>
            <w:shd w:val="clear" w:color="auto" w:fill="D9D9D9"/>
            <w:tcMar>
              <w:top w:w="80" w:type="dxa"/>
              <w:left w:w="100" w:type="dxa"/>
              <w:bottom w:w="80" w:type="dxa"/>
              <w:right w:w="100" w:type="dxa"/>
            </w:tcMar>
            <w:vAlign w:val="center"/>
          </w:tcPr>
          <w:p w14:paraId="6849FC7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النسبة الاسترشادية</w:t>
            </w:r>
          </w:p>
        </w:tc>
        <w:tc>
          <w:tcPr>
            <w:tcW w:w="3000" w:type="dxa"/>
            <w:shd w:val="clear" w:color="auto" w:fill="D9D9D9"/>
            <w:tcMar>
              <w:top w:w="80" w:type="dxa"/>
              <w:left w:w="100" w:type="dxa"/>
              <w:bottom w:w="80" w:type="dxa"/>
              <w:right w:w="100" w:type="dxa"/>
            </w:tcMar>
            <w:vAlign w:val="center"/>
          </w:tcPr>
          <w:p w14:paraId="796833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العدد التقريبي المستهدف (من أصل 384)</w:t>
            </w:r>
          </w:p>
        </w:tc>
      </w:tr>
      <w:tr w:rsidR="00F035EA" w:rsidRPr="00FF3463" w14:paraId="1625826E" w14:textId="77777777" w:rsidTr="0085711F">
        <w:tc>
          <w:tcPr>
            <w:tcW w:w="2600" w:type="dxa"/>
            <w:tcMar>
              <w:top w:w="80" w:type="dxa"/>
              <w:left w:w="100" w:type="dxa"/>
              <w:bottom w:w="80" w:type="dxa"/>
              <w:right w:w="100" w:type="dxa"/>
            </w:tcMar>
            <w:vAlign w:val="center"/>
          </w:tcPr>
          <w:p w14:paraId="32FFD572"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الرياض</w:t>
            </w:r>
          </w:p>
        </w:tc>
        <w:tc>
          <w:tcPr>
            <w:tcW w:w="2000" w:type="dxa"/>
            <w:tcMar>
              <w:top w:w="80" w:type="dxa"/>
              <w:left w:w="100" w:type="dxa"/>
              <w:bottom w:w="80" w:type="dxa"/>
              <w:right w:w="100" w:type="dxa"/>
            </w:tcMar>
            <w:vAlign w:val="center"/>
          </w:tcPr>
          <w:p w14:paraId="1BAC535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45%–50%</w:t>
            </w:r>
          </w:p>
        </w:tc>
        <w:tc>
          <w:tcPr>
            <w:tcW w:w="3000" w:type="dxa"/>
            <w:tcMar>
              <w:top w:w="80" w:type="dxa"/>
              <w:left w:w="100" w:type="dxa"/>
              <w:bottom w:w="80" w:type="dxa"/>
              <w:right w:w="100" w:type="dxa"/>
            </w:tcMar>
            <w:vAlign w:val="center"/>
          </w:tcPr>
          <w:p w14:paraId="3D0579F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175–190 مفردة</w:t>
            </w:r>
          </w:p>
        </w:tc>
      </w:tr>
      <w:tr w:rsidR="00F035EA" w:rsidRPr="00FF3463" w14:paraId="14F374EE" w14:textId="77777777" w:rsidTr="0085711F">
        <w:tc>
          <w:tcPr>
            <w:tcW w:w="2600" w:type="dxa"/>
            <w:tcMar>
              <w:top w:w="80" w:type="dxa"/>
              <w:left w:w="100" w:type="dxa"/>
              <w:bottom w:w="80" w:type="dxa"/>
              <w:right w:w="100" w:type="dxa"/>
            </w:tcMar>
            <w:vAlign w:val="center"/>
          </w:tcPr>
          <w:p w14:paraId="38096D2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جدة</w:t>
            </w:r>
          </w:p>
        </w:tc>
        <w:tc>
          <w:tcPr>
            <w:tcW w:w="2000" w:type="dxa"/>
            <w:tcMar>
              <w:top w:w="80" w:type="dxa"/>
              <w:left w:w="100" w:type="dxa"/>
              <w:bottom w:w="80" w:type="dxa"/>
              <w:right w:w="100" w:type="dxa"/>
            </w:tcMar>
            <w:vAlign w:val="center"/>
          </w:tcPr>
          <w:p w14:paraId="5CAE78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25%–30%</w:t>
            </w:r>
          </w:p>
        </w:tc>
        <w:tc>
          <w:tcPr>
            <w:tcW w:w="3000" w:type="dxa"/>
            <w:tcMar>
              <w:top w:w="80" w:type="dxa"/>
              <w:left w:w="100" w:type="dxa"/>
              <w:bottom w:w="80" w:type="dxa"/>
              <w:right w:w="100" w:type="dxa"/>
            </w:tcMar>
            <w:vAlign w:val="center"/>
          </w:tcPr>
          <w:p w14:paraId="2C60B45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95–115 مفردة</w:t>
            </w:r>
          </w:p>
        </w:tc>
      </w:tr>
      <w:tr w:rsidR="00F035EA" w:rsidRPr="00FF3463" w14:paraId="2B4F29C0" w14:textId="77777777" w:rsidTr="0085711F">
        <w:tc>
          <w:tcPr>
            <w:tcW w:w="2600" w:type="dxa"/>
            <w:tcMar>
              <w:top w:w="80" w:type="dxa"/>
              <w:left w:w="100" w:type="dxa"/>
              <w:bottom w:w="80" w:type="dxa"/>
              <w:right w:w="100" w:type="dxa"/>
            </w:tcMar>
            <w:vAlign w:val="center"/>
          </w:tcPr>
          <w:p w14:paraId="5AD983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الدمام</w:t>
            </w:r>
          </w:p>
        </w:tc>
        <w:tc>
          <w:tcPr>
            <w:tcW w:w="2000" w:type="dxa"/>
            <w:tcMar>
              <w:top w:w="80" w:type="dxa"/>
              <w:left w:w="100" w:type="dxa"/>
              <w:bottom w:w="80" w:type="dxa"/>
              <w:right w:w="100" w:type="dxa"/>
            </w:tcMar>
            <w:vAlign w:val="center"/>
          </w:tcPr>
          <w:p w14:paraId="6599E3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20%–25%</w:t>
            </w:r>
          </w:p>
        </w:tc>
        <w:tc>
          <w:tcPr>
            <w:tcW w:w="3000" w:type="dxa"/>
            <w:tcMar>
              <w:top w:w="80" w:type="dxa"/>
              <w:left w:w="100" w:type="dxa"/>
              <w:bottom w:w="80" w:type="dxa"/>
              <w:right w:w="100" w:type="dxa"/>
            </w:tcMar>
            <w:vAlign w:val="center"/>
          </w:tcPr>
          <w:p w14:paraId="5BA6DBE8"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75–95 مفردة</w:t>
            </w:r>
          </w:p>
        </w:tc>
      </w:tr>
    </w:tbl>
    <w:p w14:paraId="170175C2" w14:textId="77777777" w:rsidR="00F035EA" w:rsidRPr="00FF3463" w:rsidRDefault="00F035EA" w:rsidP="00F035EA">
      <w:pPr>
        <w:bidi/>
        <w:spacing w:after="200" w:line="276" w:lineRule="auto"/>
        <w:rPr>
          <w:rFonts w:ascii="Simplified Arabic" w:hAnsi="Simplified Arabic" w:cs="Simplified Arabic"/>
          <w:color w:val="EE0000"/>
          <w:rtl/>
        </w:rPr>
      </w:pPr>
    </w:p>
    <w:p w14:paraId="2E0F402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وتُطبَّق حصص استرشادية مماثلة لتنويع حجم الوكالة (صغيرة/متوسطة/كبيرة) والفئات الوظيفية الأربع، بحيث لا تقل نسبة أي فئة عن (10%) من إجمالي العينة، مع مراجعة دورية لنسب التوزيع أثناء جمع البيانات لتوجيه جهود الاستقطاب نحو الفئات الأقل تمثيلًا.</w:t>
      </w:r>
    </w:p>
    <w:p w14:paraId="1A1C3C1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حجم العينة</w:t>
      </w:r>
    </w:p>
    <w:p w14:paraId="4839C26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 حجم العينة بالجمع بين مدخلين متكاملين: أُجري تحليل القوة الإحصائية القبلي ببرنامج (G*Power 3.1) لتقدير الحد الأدنى اللازم لاختبار أعقد معادلة في نموذج الدراسة، وهي معادلة التنبؤ بجودة عملية التصميم من خمسة متنبئات (المتغير المستقل، والمتغيران المعدِّلان، وحدّا التفاعل)؛ فعند حجم أثر متوسط (f² = 0.15) ومستوى دلالة (0.05) وقوة إحصائية (0.95)، بلغ الحد الأدنى المطلوب (138) مفردة. ويُعتمد هذا الرقم المبرر الإحصائي الرئيس لكفاية العينة لأغراض اختبار الفرضيات في إطار PLS-SEM.</w:t>
      </w:r>
    </w:p>
    <w:p w14:paraId="6AE3BBE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وإلى جانب ذلك، استُرشد بمعادلة كوكران (Cochran, 1977) الشائعة لتقدير حجم العينة في المجتمعات الكبيرة وغير محددة العدد بدقة، فبلغ الحجم الاسترشادي (384) مفردة عند مستوى ثقة (95%) وهامش خطأ (5%). غير أن معادلة كوكران تفترض أساسًا معاينة احتمالية، بينما تستخدم الدراسة معاينة ميسرة وكرة ثلج؛ ولذلك لا يُفسَّر الرقم (384) على أنه يضمن هامش خطأ إحصائيًا محددًا أو تمثيلًا احتماليًا للمجتمع، وإنما يُستخدم هدفًا استرشاديًا لتحسين استقرار التقديرات ودقة النتائج، تحسبًا اختياريًا يتجاوز الحد الأدنى الذي يقتضيه تحليل القوة الإحصائية بما يزيد على الضعفين، بما يتفق مع طبيعة PLS-SEM التي لا تشترط أصلًا أحجام عينات كبيرة، مع الإقرار الصريح بأن الأنسب اعتماد تحليل القوة مبررًا منهجيًا رئيسًا لكفاية العينة، واعتبار العدد الأكبر (384) هدفًا لتحسين استقرار التقديرات فحسب، دون الادعاء بتمثيل احتمالي (Hair et al., 2022).</w:t>
      </w:r>
    </w:p>
    <w:p w14:paraId="3DACD953" w14:textId="77777777" w:rsidR="00F035EA"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وسيُعمم رابط الاستبانة على عدد يفوق العدد النهائي المستهدف، لمواجهة عدم الاستجابة وحالات عدم الأهلية أو عدم اكتمال الإجابات والاستجابات التي قد تُستبعد أثناء تنظيف البيانات. ولأغراض التخطيط الميداني الأولي، يُفترض معدل استجابة يتراوح تقريبًا بين (40% و50%) دون اعتباره معدلًا مضمونًا؛ وبناءً عليه، ومع إضافة هامش احتياطي للاستجابات غير الصالحة، سيُستهدف مبدئيًا إيصال دعوة المشاركة إلى نحو (900–1100) مشارك محتمل، مع متابعة معدل الاستجابة أسبوعيًا وتوسيع جهود الاستقطاب عند الحاجة حتى الحصول على ما لا يقل عن (384) استجابة صالحة للتحليل. وسيُميز في التقرير الميداني بوضوح بين عدد الأشخاص الذين وصلت إليهم الدعوة، وعدد الاستجابات المستلمة إجمالًا، وعدد الاستجابات الصالحة بعد تطبيق معايير الأهلية والتنظيف.</w:t>
      </w:r>
    </w:p>
    <w:p w14:paraId="46E2E8E0" w14:textId="77777777" w:rsidR="00D73443" w:rsidRDefault="00D73443" w:rsidP="00D73443">
      <w:pPr>
        <w:bidi/>
        <w:spacing w:after="200" w:line="276" w:lineRule="auto"/>
        <w:rPr>
          <w:rFonts w:ascii="Simplified Arabic" w:hAnsi="Simplified Arabic" w:cs="Simplified Arabic"/>
          <w:color w:val="EE0000"/>
          <w:rtl/>
        </w:rPr>
      </w:pPr>
    </w:p>
    <w:p w14:paraId="24B7117B" w14:textId="77777777" w:rsidR="00D73443" w:rsidRPr="00FF3463" w:rsidRDefault="00D73443" w:rsidP="00D73443">
      <w:pPr>
        <w:bidi/>
        <w:spacing w:after="200" w:line="276" w:lineRule="auto"/>
        <w:rPr>
          <w:rFonts w:ascii="Simplified Arabic" w:hAnsi="Simplified Arabic" w:cs="Simplified Arabic"/>
          <w:color w:val="EE0000"/>
        </w:rPr>
      </w:pPr>
    </w:p>
    <w:p w14:paraId="0AEBCC8D" w14:textId="72953140" w:rsidR="0006433B" w:rsidRPr="0006433B" w:rsidRDefault="00F035EA" w:rsidP="0006433B">
      <w:pPr>
        <w:bidi/>
        <w:spacing w:after="200" w:line="276" w:lineRule="auto"/>
        <w:rPr>
          <w:rFonts w:ascii="Simplified Arabic" w:hAnsi="Simplified Arabic" w:cs="Simplified Arabic"/>
          <w:color w:val="EE0000"/>
          <w:rtl/>
        </w:rPr>
      </w:pPr>
      <w:r w:rsidRPr="00FF3463">
        <w:rPr>
          <w:rFonts w:ascii="Simplified Arabic" w:hAnsi="Simplified Arabic" w:cs="Simplified Arabic"/>
          <w:b/>
          <w:bCs/>
          <w:color w:val="EE0000"/>
          <w:rtl/>
        </w:rPr>
        <w:t>معالجة تداخل المشاركين داخل الوكالة الواحدة</w:t>
      </w:r>
      <w:bookmarkEnd w:id="3"/>
    </w:p>
    <w:p w14:paraId="51F3E8A3" w14:textId="2430C7FC" w:rsidR="00D73443" w:rsidRDefault="0006433B" w:rsidP="0006433B">
      <w:pPr>
        <w:bidi/>
        <w:spacing w:after="200" w:line="276" w:lineRule="auto"/>
        <w:rPr>
          <w:rFonts w:ascii="Simplified Arabic" w:hAnsi="Simplified Arabic" w:cs="Simplified Arabic"/>
          <w:rtl/>
        </w:rPr>
      </w:pPr>
      <w:r w:rsidRPr="0006433B">
        <w:rPr>
          <w:rFonts w:ascii="Simplified Arabic" w:hAnsi="Simplified Arabic" w:cs="Simplified Arabic"/>
          <w:color w:val="EE0000"/>
          <w:rtl/>
        </w:rPr>
        <w:t>نظرًا لاحتمال مشاركة أكثر من موظف من الوكالة نفسها، ستُسجَّل استجابة كل مشارك بوصفها حالة مستقلة في قاعدة البيانات، مع الاحتفاظ برمز مجهول للوكالة لأغراض الفحص فقط دون كشف هوية المنشأة. ولا ي</w:t>
      </w:r>
      <w:r>
        <w:rPr>
          <w:rFonts w:ascii="Simplified Arabic" w:hAnsi="Simplified Arabic" w:cs="Simplified Arabic" w:hint="cs"/>
          <w:color w:val="EE0000"/>
          <w:rtl/>
        </w:rPr>
        <w:t>عتقد الباحث</w:t>
      </w:r>
      <w:r w:rsidRPr="0006433B">
        <w:rPr>
          <w:rFonts w:ascii="Simplified Arabic" w:hAnsi="Simplified Arabic" w:cs="Simplified Arabic"/>
          <w:color w:val="EE0000"/>
          <w:rtl/>
        </w:rPr>
        <w:t xml:space="preserve"> </w:t>
      </w:r>
      <w:r>
        <w:rPr>
          <w:rFonts w:ascii="Simplified Arabic" w:hAnsi="Simplified Arabic" w:cs="Simplified Arabic" w:hint="cs"/>
          <w:color w:val="EE0000"/>
          <w:rtl/>
        </w:rPr>
        <w:t xml:space="preserve">بأن </w:t>
      </w:r>
      <w:r w:rsidRPr="0006433B">
        <w:rPr>
          <w:rFonts w:ascii="Simplified Arabic" w:hAnsi="Simplified Arabic" w:cs="Simplified Arabic"/>
          <w:color w:val="EE0000"/>
          <w:rtl/>
        </w:rPr>
        <w:t xml:space="preserve">هذا </w:t>
      </w:r>
      <w:r w:rsidRPr="0006433B">
        <w:rPr>
          <w:rFonts w:ascii="Simplified Arabic" w:hAnsi="Simplified Arabic" w:cs="Simplified Arabic"/>
          <w:color w:val="EE0000"/>
          <w:rtl/>
        </w:rPr>
        <w:lastRenderedPageBreak/>
        <w:t>الإجراء كافيًا لإزالة أثر التجمع داخل الوكالة؛ ولذلك إذا ظهر تركّز كبير للاستجابات في وكالات محددة أو تشابه غير مهمل بين استجابات موظفي الوكالة الواحدة، فسيُعتمد تحليل حساسية يقوم على بناء نموذج بديل يُحتفظ فيه باستجابة واحدة فقط من كل وكالة تُختار عشوائيًا، ثم تُقارن النتائج بين النموذجين. وفي جميع الأحوال، سيُعامل أي ارتباط متبقٍ داخل الوكالة لم يُضبط إحصائيًا بوصفه قيدًا منهجيًا، ويُذكر عند تفسير النتائج في الفصل الرابع.</w:t>
      </w:r>
    </w:p>
    <w:p w14:paraId="71700C4F" w14:textId="77777777" w:rsidR="0006433B" w:rsidRPr="00FF3463" w:rsidRDefault="0006433B" w:rsidP="0006433B">
      <w:pPr>
        <w:bidi/>
        <w:spacing w:after="200" w:line="276" w:lineRule="auto"/>
        <w:rPr>
          <w:rFonts w:ascii="Simplified Arabic" w:hAnsi="Simplified Arabic" w:cs="Simplified Arabic"/>
          <w:rtl/>
        </w:rPr>
      </w:pPr>
    </w:p>
    <w:p w14:paraId="57529446" w14:textId="77777777" w:rsidR="00F035EA" w:rsidRPr="00B133F8"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المتغيرات الوصفية لأفراد العينة</w:t>
      </w:r>
    </w:p>
    <w:p w14:paraId="160F2A8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اشتملت الأداة على مجموعة من المتغيرات الشخصية والوظيفية لوصف خصائص أفراد العينة، تفيد لاحقًا في تفسير النتائج وقراءة التباين المحتمل في الاستجابات.</w:t>
      </w:r>
    </w:p>
    <w:p w14:paraId="5EE05D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(3-5): المتغيرات الوصفية لأفراد عينة الدراسة</w:t>
      </w:r>
    </w:p>
    <w:tbl>
      <w:tblPr>
        <w:bidiVisual/>
        <w:tblW w:w="8400" w:type="dxa"/>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2400"/>
        <w:gridCol w:w="5000"/>
      </w:tblGrid>
      <w:tr w:rsidR="00F035EA" w:rsidRPr="00FF3463" w14:paraId="20C230CD" w14:textId="77777777" w:rsidTr="0085711F">
        <w:tc>
          <w:tcPr>
            <w:tcW w:w="1000" w:type="dxa"/>
            <w:shd w:val="clear" w:color="auto" w:fill="D9D9D9"/>
            <w:tcMar>
              <w:top w:w="80" w:type="dxa"/>
              <w:left w:w="100" w:type="dxa"/>
              <w:bottom w:w="80" w:type="dxa"/>
              <w:right w:w="100" w:type="dxa"/>
            </w:tcMar>
            <w:vAlign w:val="center"/>
          </w:tcPr>
          <w:p w14:paraId="606A48B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2400" w:type="dxa"/>
            <w:shd w:val="clear" w:color="auto" w:fill="D9D9D9"/>
            <w:tcMar>
              <w:top w:w="80" w:type="dxa"/>
              <w:left w:w="100" w:type="dxa"/>
              <w:bottom w:w="80" w:type="dxa"/>
              <w:right w:w="100" w:type="dxa"/>
            </w:tcMar>
            <w:vAlign w:val="center"/>
          </w:tcPr>
          <w:p w14:paraId="687595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المتغير</w:t>
            </w:r>
          </w:p>
        </w:tc>
        <w:tc>
          <w:tcPr>
            <w:tcW w:w="5000" w:type="dxa"/>
            <w:shd w:val="clear" w:color="auto" w:fill="D9D9D9"/>
            <w:tcMar>
              <w:top w:w="80" w:type="dxa"/>
              <w:left w:w="100" w:type="dxa"/>
              <w:bottom w:w="80" w:type="dxa"/>
              <w:right w:w="100" w:type="dxa"/>
            </w:tcMar>
            <w:vAlign w:val="center"/>
          </w:tcPr>
          <w:p w14:paraId="01EDF4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الفئات</w:t>
            </w:r>
          </w:p>
        </w:tc>
      </w:tr>
      <w:tr w:rsidR="00F035EA" w:rsidRPr="00FF3463" w14:paraId="39FE8AC9" w14:textId="77777777" w:rsidTr="0085711F">
        <w:tc>
          <w:tcPr>
            <w:tcW w:w="1000" w:type="dxa"/>
            <w:tcMar>
              <w:top w:w="80" w:type="dxa"/>
              <w:left w:w="100" w:type="dxa"/>
              <w:bottom w:w="80" w:type="dxa"/>
              <w:right w:w="100" w:type="dxa"/>
            </w:tcMar>
            <w:vAlign w:val="center"/>
          </w:tcPr>
          <w:p w14:paraId="54D6E17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w:t>
            </w:r>
          </w:p>
        </w:tc>
        <w:tc>
          <w:tcPr>
            <w:tcW w:w="2400" w:type="dxa"/>
            <w:tcMar>
              <w:top w:w="80" w:type="dxa"/>
              <w:left w:w="100" w:type="dxa"/>
              <w:bottom w:w="80" w:type="dxa"/>
              <w:right w:w="100" w:type="dxa"/>
            </w:tcMar>
            <w:vAlign w:val="center"/>
          </w:tcPr>
          <w:p w14:paraId="529598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الجنس</w:t>
            </w:r>
          </w:p>
        </w:tc>
        <w:tc>
          <w:tcPr>
            <w:tcW w:w="5000" w:type="dxa"/>
            <w:tcMar>
              <w:top w:w="80" w:type="dxa"/>
              <w:left w:w="100" w:type="dxa"/>
              <w:bottom w:w="80" w:type="dxa"/>
              <w:right w:w="100" w:type="dxa"/>
            </w:tcMar>
            <w:vAlign w:val="center"/>
          </w:tcPr>
          <w:p w14:paraId="5003B9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ذكر، أنثى (اختيار واحد).</w:t>
            </w:r>
          </w:p>
        </w:tc>
      </w:tr>
      <w:tr w:rsidR="00F035EA" w:rsidRPr="00FF3463" w14:paraId="4E5D80F0" w14:textId="77777777" w:rsidTr="0085711F">
        <w:tc>
          <w:tcPr>
            <w:tcW w:w="1000" w:type="dxa"/>
            <w:tcMar>
              <w:top w:w="80" w:type="dxa"/>
              <w:left w:w="100" w:type="dxa"/>
              <w:bottom w:w="80" w:type="dxa"/>
              <w:right w:w="100" w:type="dxa"/>
            </w:tcMar>
            <w:vAlign w:val="center"/>
          </w:tcPr>
          <w:p w14:paraId="751F14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P2</w:t>
            </w:r>
          </w:p>
        </w:tc>
        <w:tc>
          <w:tcPr>
            <w:tcW w:w="2400" w:type="dxa"/>
            <w:tcMar>
              <w:top w:w="80" w:type="dxa"/>
              <w:left w:w="100" w:type="dxa"/>
              <w:bottom w:w="80" w:type="dxa"/>
              <w:right w:w="100" w:type="dxa"/>
            </w:tcMar>
            <w:vAlign w:val="center"/>
          </w:tcPr>
          <w:p w14:paraId="4467A6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الفئة العمرية</w:t>
            </w:r>
          </w:p>
        </w:tc>
        <w:tc>
          <w:tcPr>
            <w:tcW w:w="5000" w:type="dxa"/>
            <w:tcMar>
              <w:top w:w="80" w:type="dxa"/>
              <w:left w:w="100" w:type="dxa"/>
              <w:bottom w:w="80" w:type="dxa"/>
              <w:right w:w="100" w:type="dxa"/>
            </w:tcMar>
            <w:vAlign w:val="center"/>
          </w:tcPr>
          <w:p w14:paraId="5764BAC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25 سنة، 25–أقل من 35، 35–أقل من 45، 45 فأكثر (اختيار واحد).</w:t>
            </w:r>
          </w:p>
        </w:tc>
      </w:tr>
      <w:tr w:rsidR="00F035EA" w:rsidRPr="00FF3463" w14:paraId="2B1877BE" w14:textId="77777777" w:rsidTr="0085711F">
        <w:tc>
          <w:tcPr>
            <w:tcW w:w="1000" w:type="dxa"/>
            <w:tcMar>
              <w:top w:w="80" w:type="dxa"/>
              <w:left w:w="100" w:type="dxa"/>
              <w:bottom w:w="80" w:type="dxa"/>
              <w:right w:w="100" w:type="dxa"/>
            </w:tcMar>
            <w:vAlign w:val="center"/>
          </w:tcPr>
          <w:p w14:paraId="7428569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P3</w:t>
            </w:r>
          </w:p>
        </w:tc>
        <w:tc>
          <w:tcPr>
            <w:tcW w:w="2400" w:type="dxa"/>
            <w:tcMar>
              <w:top w:w="80" w:type="dxa"/>
              <w:left w:w="100" w:type="dxa"/>
              <w:bottom w:w="80" w:type="dxa"/>
              <w:right w:w="100" w:type="dxa"/>
            </w:tcMar>
            <w:vAlign w:val="center"/>
          </w:tcPr>
          <w:p w14:paraId="4A8E01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المؤهل العلمي</w:t>
            </w:r>
          </w:p>
        </w:tc>
        <w:tc>
          <w:tcPr>
            <w:tcW w:w="5000" w:type="dxa"/>
            <w:tcMar>
              <w:top w:w="80" w:type="dxa"/>
              <w:left w:w="100" w:type="dxa"/>
              <w:bottom w:w="80" w:type="dxa"/>
              <w:right w:w="100" w:type="dxa"/>
            </w:tcMar>
            <w:vAlign w:val="center"/>
          </w:tcPr>
          <w:p w14:paraId="44E1F2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دبلوم فأقل، بكالوريوس، ماجستير، دكتوراه، أخرى (اختيار واحد).</w:t>
            </w:r>
          </w:p>
        </w:tc>
      </w:tr>
      <w:tr w:rsidR="00F035EA" w:rsidRPr="00FF3463" w14:paraId="2747F84B" w14:textId="77777777" w:rsidTr="0085711F">
        <w:tc>
          <w:tcPr>
            <w:tcW w:w="1000" w:type="dxa"/>
            <w:tcMar>
              <w:top w:w="80" w:type="dxa"/>
              <w:left w:w="100" w:type="dxa"/>
              <w:bottom w:w="80" w:type="dxa"/>
              <w:right w:w="100" w:type="dxa"/>
            </w:tcMar>
            <w:vAlign w:val="center"/>
          </w:tcPr>
          <w:p w14:paraId="64B687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P4</w:t>
            </w:r>
          </w:p>
        </w:tc>
        <w:tc>
          <w:tcPr>
            <w:tcW w:w="2400" w:type="dxa"/>
            <w:tcMar>
              <w:top w:w="80" w:type="dxa"/>
              <w:left w:w="100" w:type="dxa"/>
              <w:bottom w:w="80" w:type="dxa"/>
              <w:right w:w="100" w:type="dxa"/>
            </w:tcMar>
            <w:vAlign w:val="center"/>
          </w:tcPr>
          <w:p w14:paraId="4981739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الدور الوظيفي</w:t>
            </w:r>
          </w:p>
        </w:tc>
        <w:tc>
          <w:tcPr>
            <w:tcW w:w="5000" w:type="dxa"/>
            <w:tcMar>
              <w:top w:w="80" w:type="dxa"/>
              <w:left w:w="100" w:type="dxa"/>
              <w:bottom w:w="80" w:type="dxa"/>
              <w:right w:w="100" w:type="dxa"/>
            </w:tcMar>
            <w:vAlign w:val="center"/>
          </w:tcPr>
          <w:p w14:paraId="063B2D5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تخطيط واستراتيجية، إبداع وتصميم، كتابة محتوى، تحليل بيانات وأداء، إدارة حسابات، إدارة حملات، إدارة عليا/إشرافية، أخرى (اختيار واحد).</w:t>
            </w:r>
          </w:p>
        </w:tc>
      </w:tr>
      <w:tr w:rsidR="00F035EA" w:rsidRPr="00FF3463" w14:paraId="3B2B9FD8" w14:textId="77777777" w:rsidTr="0085711F">
        <w:tc>
          <w:tcPr>
            <w:tcW w:w="1000" w:type="dxa"/>
            <w:tcMar>
              <w:top w:w="80" w:type="dxa"/>
              <w:left w:w="100" w:type="dxa"/>
              <w:bottom w:w="80" w:type="dxa"/>
              <w:right w:w="100" w:type="dxa"/>
            </w:tcMar>
            <w:vAlign w:val="center"/>
          </w:tcPr>
          <w:p w14:paraId="0F0D0E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P5</w:t>
            </w:r>
          </w:p>
        </w:tc>
        <w:tc>
          <w:tcPr>
            <w:tcW w:w="2400" w:type="dxa"/>
            <w:tcMar>
              <w:top w:w="80" w:type="dxa"/>
              <w:left w:w="100" w:type="dxa"/>
              <w:bottom w:w="80" w:type="dxa"/>
              <w:right w:w="100" w:type="dxa"/>
            </w:tcMar>
            <w:vAlign w:val="center"/>
          </w:tcPr>
          <w:p w14:paraId="030028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سنوات الخبرة</w:t>
            </w:r>
          </w:p>
        </w:tc>
        <w:tc>
          <w:tcPr>
            <w:tcW w:w="5000" w:type="dxa"/>
            <w:tcMar>
              <w:top w:w="80" w:type="dxa"/>
              <w:left w:w="100" w:type="dxa"/>
              <w:bottom w:w="80" w:type="dxa"/>
              <w:right w:w="100" w:type="dxa"/>
            </w:tcMar>
            <w:vAlign w:val="center"/>
          </w:tcPr>
          <w:p w14:paraId="3815E6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3 سنوات، 3–أقل من 7، 7–أقل من 10، 10 فأكثر (اختيار واحد).</w:t>
            </w:r>
          </w:p>
        </w:tc>
      </w:tr>
      <w:tr w:rsidR="00F035EA" w:rsidRPr="00FF3463" w14:paraId="18BC8D87" w14:textId="77777777" w:rsidTr="0085711F">
        <w:tc>
          <w:tcPr>
            <w:tcW w:w="1000" w:type="dxa"/>
            <w:tcMar>
              <w:top w:w="80" w:type="dxa"/>
              <w:left w:w="100" w:type="dxa"/>
              <w:bottom w:w="80" w:type="dxa"/>
              <w:right w:w="100" w:type="dxa"/>
            </w:tcMar>
            <w:vAlign w:val="center"/>
          </w:tcPr>
          <w:p w14:paraId="139FEFF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P6</w:t>
            </w:r>
          </w:p>
        </w:tc>
        <w:tc>
          <w:tcPr>
            <w:tcW w:w="2400" w:type="dxa"/>
            <w:tcMar>
              <w:top w:w="80" w:type="dxa"/>
              <w:left w:w="100" w:type="dxa"/>
              <w:bottom w:w="80" w:type="dxa"/>
              <w:right w:w="100" w:type="dxa"/>
            </w:tcMar>
            <w:vAlign w:val="center"/>
          </w:tcPr>
          <w:p w14:paraId="79C6CA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حجم الوكالة</w:t>
            </w:r>
          </w:p>
        </w:tc>
        <w:tc>
          <w:tcPr>
            <w:tcW w:w="5000" w:type="dxa"/>
            <w:tcMar>
              <w:top w:w="80" w:type="dxa"/>
              <w:left w:w="100" w:type="dxa"/>
              <w:bottom w:w="80" w:type="dxa"/>
              <w:right w:w="100" w:type="dxa"/>
            </w:tcMar>
            <w:vAlign w:val="center"/>
          </w:tcPr>
          <w:p w14:paraId="5A62BB6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صغيرة (أقل من 30 موظفًا)، متوسطة (30–أقل من 100)، كبيرة (100 فأكثر) — تصنيف إجرائي اعتمده الباحث لأغراض هذه الدراسة (اختيار واحد).</w:t>
            </w:r>
          </w:p>
        </w:tc>
      </w:tr>
      <w:tr w:rsidR="00F035EA" w:rsidRPr="00FF3463" w14:paraId="5CDE2C7F" w14:textId="77777777" w:rsidTr="0085711F">
        <w:tc>
          <w:tcPr>
            <w:tcW w:w="1000" w:type="dxa"/>
            <w:tcMar>
              <w:top w:w="80" w:type="dxa"/>
              <w:left w:w="100" w:type="dxa"/>
              <w:bottom w:w="80" w:type="dxa"/>
              <w:right w:w="100" w:type="dxa"/>
            </w:tcMar>
            <w:vAlign w:val="center"/>
          </w:tcPr>
          <w:p w14:paraId="148E3A7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P7</w:t>
            </w:r>
          </w:p>
        </w:tc>
        <w:tc>
          <w:tcPr>
            <w:tcW w:w="2400" w:type="dxa"/>
            <w:tcMar>
              <w:top w:w="80" w:type="dxa"/>
              <w:left w:w="100" w:type="dxa"/>
              <w:bottom w:w="80" w:type="dxa"/>
              <w:right w:w="100" w:type="dxa"/>
            </w:tcMar>
            <w:vAlign w:val="center"/>
          </w:tcPr>
          <w:p w14:paraId="2F662A4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مدينة الوكالة</w:t>
            </w:r>
          </w:p>
        </w:tc>
        <w:tc>
          <w:tcPr>
            <w:tcW w:w="5000" w:type="dxa"/>
            <w:tcMar>
              <w:top w:w="80" w:type="dxa"/>
              <w:left w:w="100" w:type="dxa"/>
              <w:bottom w:w="80" w:type="dxa"/>
              <w:right w:w="100" w:type="dxa"/>
            </w:tcMar>
            <w:vAlign w:val="center"/>
          </w:tcPr>
          <w:p w14:paraId="7D706BA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الرياض، جدة، الدمام (اختيار واحد؛ يقتصر على المدن الثلاث المستهدفة بما ينسجم مع شرط الأهلية S1).</w:t>
            </w:r>
          </w:p>
        </w:tc>
      </w:tr>
      <w:tr w:rsidR="00F035EA" w:rsidRPr="00FF3463" w14:paraId="2915AC24" w14:textId="77777777" w:rsidTr="0085711F">
        <w:tc>
          <w:tcPr>
            <w:tcW w:w="1000" w:type="dxa"/>
            <w:tcMar>
              <w:top w:w="80" w:type="dxa"/>
              <w:left w:w="100" w:type="dxa"/>
              <w:bottom w:w="80" w:type="dxa"/>
              <w:right w:w="100" w:type="dxa"/>
            </w:tcMar>
            <w:vAlign w:val="center"/>
          </w:tcPr>
          <w:p w14:paraId="525DEDB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P8</w:t>
            </w:r>
          </w:p>
        </w:tc>
        <w:tc>
          <w:tcPr>
            <w:tcW w:w="2400" w:type="dxa"/>
            <w:tcMar>
              <w:top w:w="80" w:type="dxa"/>
              <w:left w:w="100" w:type="dxa"/>
              <w:bottom w:w="80" w:type="dxa"/>
              <w:right w:w="100" w:type="dxa"/>
            </w:tcMar>
            <w:vAlign w:val="center"/>
          </w:tcPr>
          <w:p w14:paraId="7875365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العملاء</w:t>
            </w:r>
          </w:p>
        </w:tc>
        <w:tc>
          <w:tcPr>
            <w:tcW w:w="5000" w:type="dxa"/>
            <w:tcMar>
              <w:top w:w="80" w:type="dxa"/>
              <w:left w:w="100" w:type="dxa"/>
              <w:bottom w:w="80" w:type="dxa"/>
              <w:right w:w="100" w:type="dxa"/>
            </w:tcMar>
            <w:vAlign w:val="center"/>
          </w:tcPr>
          <w:p w14:paraId="43B24534"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جهات حكومية/شبه حكومية، شركات كبرى، منشآت صغيرة ومتوسطة، علامات ناشئة، قطاعات متعددة، أخرى (اختيار متعدد).</w:t>
            </w:r>
          </w:p>
        </w:tc>
      </w:tr>
      <w:tr w:rsidR="00F035EA" w:rsidRPr="00FF3463" w14:paraId="33A03A23" w14:textId="77777777" w:rsidTr="0085711F">
        <w:tc>
          <w:tcPr>
            <w:tcW w:w="1000" w:type="dxa"/>
            <w:tcMar>
              <w:top w:w="80" w:type="dxa"/>
              <w:left w:w="100" w:type="dxa"/>
              <w:bottom w:w="80" w:type="dxa"/>
              <w:right w:w="100" w:type="dxa"/>
            </w:tcMar>
            <w:vAlign w:val="center"/>
          </w:tcPr>
          <w:p w14:paraId="3F79A92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P9</w:t>
            </w:r>
          </w:p>
        </w:tc>
        <w:tc>
          <w:tcPr>
            <w:tcW w:w="2400" w:type="dxa"/>
            <w:tcMar>
              <w:top w:w="80" w:type="dxa"/>
              <w:left w:w="100" w:type="dxa"/>
              <w:bottom w:w="80" w:type="dxa"/>
              <w:right w:w="100" w:type="dxa"/>
            </w:tcMar>
            <w:vAlign w:val="center"/>
          </w:tcPr>
          <w:p w14:paraId="395B59B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نضج استخدام التقنية داخل الوكالة</w:t>
            </w:r>
          </w:p>
        </w:tc>
        <w:tc>
          <w:tcPr>
            <w:tcW w:w="5000" w:type="dxa"/>
            <w:tcMar>
              <w:top w:w="80" w:type="dxa"/>
              <w:left w:w="100" w:type="dxa"/>
              <w:bottom w:w="80" w:type="dxa"/>
              <w:right w:w="100" w:type="dxa"/>
            </w:tcMar>
            <w:vAlign w:val="center"/>
          </w:tcPr>
          <w:p w14:paraId="008CC6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فردي محدود، تجريبي، منتظم في بعض المشاريع، مؤسسي مدمج، لا أعلم (اختيار واحد).</w:t>
            </w:r>
          </w:p>
        </w:tc>
      </w:tr>
      <w:tr w:rsidR="00F035EA" w:rsidRPr="00FF3463" w14:paraId="59D06F29" w14:textId="77777777" w:rsidTr="0085711F">
        <w:tc>
          <w:tcPr>
            <w:tcW w:w="1000" w:type="dxa"/>
            <w:tcMar>
              <w:top w:w="80" w:type="dxa"/>
              <w:left w:w="100" w:type="dxa"/>
              <w:bottom w:w="80" w:type="dxa"/>
              <w:right w:w="100" w:type="dxa"/>
            </w:tcMar>
            <w:vAlign w:val="center"/>
          </w:tcPr>
          <w:p w14:paraId="24E3131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lastRenderedPageBreak/>
              <w:t>P10</w:t>
            </w:r>
          </w:p>
        </w:tc>
        <w:tc>
          <w:tcPr>
            <w:tcW w:w="2400" w:type="dxa"/>
            <w:tcMar>
              <w:top w:w="80" w:type="dxa"/>
              <w:left w:w="100" w:type="dxa"/>
              <w:bottom w:w="80" w:type="dxa"/>
              <w:right w:w="100" w:type="dxa"/>
            </w:tcMar>
            <w:vAlign w:val="center"/>
          </w:tcPr>
          <w:p w14:paraId="3660AF3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أنواع الأدوات المستخدمة</w:t>
            </w:r>
          </w:p>
        </w:tc>
        <w:tc>
          <w:tcPr>
            <w:tcW w:w="5000" w:type="dxa"/>
            <w:tcMar>
              <w:top w:w="80" w:type="dxa"/>
              <w:left w:w="100" w:type="dxa"/>
              <w:bottom w:w="80" w:type="dxa"/>
              <w:right w:w="100" w:type="dxa"/>
            </w:tcMar>
            <w:vAlign w:val="center"/>
          </w:tcPr>
          <w:p w14:paraId="362F90B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نماذج لغوية، توليد صور وتصاميم، توليد فيديو/صوت، تحليل وتلخيص، أتمتة وتسويق، أخرى (اختيار متعدد).</w:t>
            </w:r>
          </w:p>
        </w:tc>
      </w:tr>
      <w:tr w:rsidR="00F035EA" w:rsidRPr="00FF3463" w14:paraId="09CBB385" w14:textId="77777777" w:rsidTr="0085711F">
        <w:tc>
          <w:tcPr>
            <w:tcW w:w="1000" w:type="dxa"/>
            <w:tcMar>
              <w:top w:w="80" w:type="dxa"/>
              <w:left w:w="100" w:type="dxa"/>
              <w:bottom w:w="80" w:type="dxa"/>
              <w:right w:w="100" w:type="dxa"/>
            </w:tcMar>
            <w:vAlign w:val="center"/>
          </w:tcPr>
          <w:p w14:paraId="2C45633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P11</w:t>
            </w:r>
          </w:p>
        </w:tc>
        <w:tc>
          <w:tcPr>
            <w:tcW w:w="2400" w:type="dxa"/>
            <w:tcMar>
              <w:top w:w="80" w:type="dxa"/>
              <w:left w:w="100" w:type="dxa"/>
              <w:bottom w:w="80" w:type="dxa"/>
              <w:right w:w="100" w:type="dxa"/>
            </w:tcMar>
            <w:vAlign w:val="center"/>
          </w:tcPr>
          <w:p w14:paraId="7CFB2CD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عدد الحملات خلال 12 شهرًا</w:t>
            </w:r>
          </w:p>
        </w:tc>
        <w:tc>
          <w:tcPr>
            <w:tcW w:w="5000" w:type="dxa"/>
            <w:tcMar>
              <w:top w:w="80" w:type="dxa"/>
              <w:left w:w="100" w:type="dxa"/>
              <w:bottom w:w="80" w:type="dxa"/>
              <w:right w:w="100" w:type="dxa"/>
            </w:tcMar>
            <w:vAlign w:val="center"/>
          </w:tcPr>
          <w:p w14:paraId="4AF3E602"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لا يوجد، حملة واحدة، 2–5، 6–10، أكثر من 10 (اختيار واحد).</w:t>
            </w:r>
          </w:p>
        </w:tc>
      </w:tr>
      <w:tr w:rsidR="00F035EA" w:rsidRPr="00FF3463" w14:paraId="2B1D48EA" w14:textId="77777777" w:rsidTr="0085711F">
        <w:tc>
          <w:tcPr>
            <w:tcW w:w="1000" w:type="dxa"/>
            <w:tcMar>
              <w:top w:w="80" w:type="dxa"/>
              <w:left w:w="100" w:type="dxa"/>
              <w:bottom w:w="80" w:type="dxa"/>
              <w:right w:w="100" w:type="dxa"/>
            </w:tcMar>
            <w:vAlign w:val="center"/>
          </w:tcPr>
          <w:p w14:paraId="66B2B22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P12</w:t>
            </w:r>
          </w:p>
        </w:tc>
        <w:tc>
          <w:tcPr>
            <w:tcW w:w="2400" w:type="dxa"/>
            <w:tcMar>
              <w:top w:w="80" w:type="dxa"/>
              <w:left w:w="100" w:type="dxa"/>
              <w:bottom w:w="80" w:type="dxa"/>
              <w:right w:w="100" w:type="dxa"/>
            </w:tcMar>
            <w:vAlign w:val="center"/>
          </w:tcPr>
          <w:p w14:paraId="7069954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وجود سياسة داخلية للاستخدام</w:t>
            </w:r>
          </w:p>
        </w:tc>
        <w:tc>
          <w:tcPr>
            <w:tcW w:w="5000" w:type="dxa"/>
            <w:tcMar>
              <w:top w:w="80" w:type="dxa"/>
              <w:left w:w="100" w:type="dxa"/>
              <w:bottom w:w="80" w:type="dxa"/>
              <w:right w:w="100" w:type="dxa"/>
            </w:tcMar>
            <w:vAlign w:val="center"/>
          </w:tcPr>
          <w:p w14:paraId="1D8FA7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نعم مكتوبة، نعم غير مكتملة، لا توجد، لا أعلم (اختيار واحد).</w:t>
            </w:r>
          </w:p>
        </w:tc>
      </w:tr>
      <w:tr w:rsidR="00F035EA" w:rsidRPr="00FF3463" w14:paraId="77D61A71" w14:textId="77777777" w:rsidTr="0085711F">
        <w:tc>
          <w:tcPr>
            <w:tcW w:w="1000" w:type="dxa"/>
            <w:tcMar>
              <w:top w:w="80" w:type="dxa"/>
              <w:left w:w="100" w:type="dxa"/>
              <w:bottom w:w="80" w:type="dxa"/>
              <w:right w:w="100" w:type="dxa"/>
            </w:tcMar>
            <w:vAlign w:val="center"/>
          </w:tcPr>
          <w:p w14:paraId="1D82F28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P13</w:t>
            </w:r>
          </w:p>
        </w:tc>
        <w:tc>
          <w:tcPr>
            <w:tcW w:w="2400" w:type="dxa"/>
            <w:tcMar>
              <w:top w:w="80" w:type="dxa"/>
              <w:left w:w="100" w:type="dxa"/>
              <w:bottom w:w="80" w:type="dxa"/>
              <w:right w:w="100" w:type="dxa"/>
            </w:tcMar>
            <w:vAlign w:val="center"/>
          </w:tcPr>
          <w:p w14:paraId="439FF83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العلاقة بأدوات الذكاء الاصطناعي التوليدي</w:t>
            </w:r>
          </w:p>
        </w:tc>
        <w:tc>
          <w:tcPr>
            <w:tcW w:w="5000" w:type="dxa"/>
            <w:tcMar>
              <w:top w:w="80" w:type="dxa"/>
              <w:left w:w="100" w:type="dxa"/>
              <w:bottom w:w="80" w:type="dxa"/>
              <w:right w:w="100" w:type="dxa"/>
            </w:tcMar>
            <w:vAlign w:val="center"/>
          </w:tcPr>
          <w:p w14:paraId="6B03476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استخدام مباشر للأدوات، مراجعة أو تحرير المخرجات، المشاركة في قرار استخدام الأدوات أو اختيارها، الإشراف على المخرجات أو اعتمادها (اختيار متعدد).</w:t>
            </w:r>
          </w:p>
        </w:tc>
      </w:tr>
      <w:tr w:rsidR="00F035EA" w:rsidRPr="00FF3463" w14:paraId="78332863" w14:textId="77777777" w:rsidTr="0085711F">
        <w:tc>
          <w:tcPr>
            <w:tcW w:w="1000" w:type="dxa"/>
            <w:tcMar>
              <w:top w:w="80" w:type="dxa"/>
              <w:left w:w="100" w:type="dxa"/>
              <w:bottom w:w="80" w:type="dxa"/>
              <w:right w:w="100" w:type="dxa"/>
            </w:tcMar>
            <w:vAlign w:val="center"/>
          </w:tcPr>
          <w:p w14:paraId="6BC168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P14</w:t>
            </w:r>
          </w:p>
        </w:tc>
        <w:tc>
          <w:tcPr>
            <w:tcW w:w="2400" w:type="dxa"/>
            <w:tcMar>
              <w:top w:w="80" w:type="dxa"/>
              <w:left w:w="100" w:type="dxa"/>
              <w:bottom w:w="80" w:type="dxa"/>
              <w:right w:w="100" w:type="dxa"/>
            </w:tcMar>
            <w:vAlign w:val="center"/>
          </w:tcPr>
          <w:p w14:paraId="75E1FF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قناة الوصول للاستبانة</w:t>
            </w:r>
          </w:p>
        </w:tc>
        <w:tc>
          <w:tcPr>
            <w:tcW w:w="5000" w:type="dxa"/>
            <w:tcMar>
              <w:top w:w="80" w:type="dxa"/>
              <w:left w:w="100" w:type="dxa"/>
              <w:bottom w:w="80" w:type="dxa"/>
              <w:right w:w="100" w:type="dxa"/>
            </w:tcMar>
            <w:vAlign w:val="center"/>
          </w:tcPr>
          <w:p w14:paraId="7A06F6B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وكالة/مدير مباشر، جمعية/مجموعة مهنية، لينكدإن، شبكة شخصية (إحالة) — لأغراض تتبّع تنوع مصادر العينة (اختيار واحد).</w:t>
            </w:r>
          </w:p>
        </w:tc>
      </w:tr>
    </w:tbl>
    <w:p w14:paraId="5DA14570" w14:textId="77777777" w:rsidR="00F035EA" w:rsidRPr="00FF3463" w:rsidRDefault="00F035EA" w:rsidP="00F035EA">
      <w:pPr>
        <w:bidi/>
        <w:spacing w:after="200" w:line="276" w:lineRule="auto"/>
        <w:rPr>
          <w:rFonts w:ascii="Simplified Arabic" w:hAnsi="Simplified Arabic" w:cs="Simplified Arabic"/>
          <w:color w:val="EE0000"/>
          <w:rtl/>
        </w:rPr>
      </w:pPr>
    </w:p>
    <w:p w14:paraId="0EF1D40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وتقتصر أسئلة P8 وP10 على الاختيار المتعدد لطبيعتها الموضوعية، بينما تبقى بقية الأسئلة الوصفية اختيارًا واحدًا. وستُراجَع خلال الدراسة الاستطلاعية الحاجة إلى إضافة خيار «لا ينطبق» لأي فقرة من فقرات المحاور الموضوعية يتبيّن أن بعض المشاركين لا يستطيعون الحكم عليها بحكم طبيعة دورهم الوظيفي؛ فإن ثبتت الحاجة إلى هذا الخيار أُضيف، وإلا عُدِّلت شروط المشاركة بما يمنع وصول من لا يستطيعون الإجابة عنها.</w:t>
      </w:r>
    </w:p>
    <w:p w14:paraId="6E609B96"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u w:val="single"/>
          <w:rtl/>
        </w:rPr>
        <w:t>إجراءات التنفيذ الميداني</w:t>
      </w:r>
    </w:p>
    <w:p w14:paraId="0B3DB16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فترة جمع البيانات</w:t>
      </w:r>
    </w:p>
    <w:p w14:paraId="5F099302" w14:textId="1E2669B0" w:rsidR="00D73443" w:rsidRPr="00FF3463" w:rsidRDefault="00F035EA" w:rsidP="00D73443">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يُخطَّط لتنفيذ جمع البيانات الميدانية خلال فترة تمتد نحو ثلاثة أشهر تقريبًا، تبدأ بعد الحصول على موافقة لجنة أخلاقيات البحث العلمي والموافقات الرسمية اللازمة، وتشمل أسبوعين تمهيديين للدراسة الاستطلاعية والمقابلات الإدراكية، تليها فترة التطبيق الأساسي لجمع الاستجابات، وستُحدَّد التواريخ الفعلية بدقة عند اعتماد خطة الأطروحة نهائيًا وصدور الموافقات.</w:t>
      </w:r>
    </w:p>
    <w:p w14:paraId="2BF32EE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منصة الاستبانة الإلكترونية</w:t>
      </w:r>
    </w:p>
    <w:p w14:paraId="2B5C2446" w14:textId="77777777" w:rsidR="00F035EA"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ستُصمم الاستبانة الإلكترونية وتُطبق باستخدام منصة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لما توفره من سهولة الوصول للمشاركين، وإمكان استخدام المنطق الشرطي لإنهاء المشاركة عند عدم استيفاء شروط الأهلية، إضافة إلى إمكان ضبط إعدادات الاستجابة بما يتفق مع متطلبات الدراسة والخصوصية.</w:t>
      </w:r>
    </w:p>
    <w:p w14:paraId="788F9891" w14:textId="77777777" w:rsidR="0006433B" w:rsidRDefault="0006433B" w:rsidP="0006433B">
      <w:pPr>
        <w:bidi/>
        <w:spacing w:after="200" w:line="276" w:lineRule="auto"/>
        <w:rPr>
          <w:rFonts w:ascii="Simplified Arabic" w:hAnsi="Simplified Arabic" w:cs="Simplified Arabic"/>
          <w:b/>
          <w:bCs/>
          <w:color w:val="EE0000"/>
          <w:rtl/>
        </w:rPr>
      </w:pPr>
    </w:p>
    <w:p w14:paraId="30E3048F" w14:textId="77777777" w:rsidR="0006433B" w:rsidRDefault="0006433B" w:rsidP="0006433B">
      <w:pPr>
        <w:bidi/>
        <w:spacing w:after="200" w:line="276" w:lineRule="auto"/>
        <w:rPr>
          <w:rFonts w:ascii="Simplified Arabic" w:hAnsi="Simplified Arabic" w:cs="Simplified Arabic"/>
          <w:b/>
          <w:bCs/>
          <w:color w:val="EE0000"/>
          <w:rtl/>
        </w:rPr>
      </w:pPr>
    </w:p>
    <w:p w14:paraId="019DD120" w14:textId="77777777" w:rsidR="0006433B" w:rsidRPr="00FF3463" w:rsidRDefault="0006433B" w:rsidP="0006433B">
      <w:pPr>
        <w:bidi/>
        <w:spacing w:after="200" w:line="276" w:lineRule="auto"/>
        <w:rPr>
          <w:rFonts w:ascii="Simplified Arabic" w:hAnsi="Simplified Arabic" w:cs="Simplified Arabic"/>
          <w:b/>
          <w:bCs/>
          <w:color w:val="EE0000"/>
          <w:rtl/>
        </w:rPr>
      </w:pPr>
    </w:p>
    <w:p w14:paraId="77D02D58" w14:textId="77777777" w:rsidR="0006433B" w:rsidRPr="00FF3463" w:rsidRDefault="0006433B" w:rsidP="0006433B">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طريقة إرسال رابط الاستبانة</w:t>
      </w:r>
    </w:p>
    <w:p w14:paraId="1A762E04" w14:textId="1E6C62E3" w:rsidR="0006433B" w:rsidRPr="0006433B" w:rsidRDefault="0006433B" w:rsidP="0006433B">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lastRenderedPageBreak/>
        <w:t>سيُرسَل رابط الاستبانة عبر القنوات الأربع الموضحة في فقرة قنوات الوصول إلى العينة: البريد المهني لمسؤولي الوكالات لتعميمه داخليًا، ومجموعات الجمعيات والمنصات المهنية المتخصصة، ومجموعات لينكدإن التسويقية، والتواصل الشخصي المباشر ضمن أسلوب كرة الثلج، مصحوبًا في كل مرة برسالة تعريفية موجزة بهدف الدراسة ومدة الإجابة المتوقعة.</w:t>
      </w:r>
    </w:p>
    <w:p w14:paraId="4473A3C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مدة فتح الاستبانة والتذكيرات</w:t>
      </w:r>
    </w:p>
    <w:p w14:paraId="235F9C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سيظل رابط الاستبانة متاحًا مدة ستة أسابيع من تاريخ فتحه، مع إرسال تذكيرين اثنين للجهات والمجموعات التي عُمِّم عليها الرابط، الأول بعد أسبوعين من الفتح والثاني بعد أسبوعين من التذكير الأول، مراعاةً لعدم الإزعاج المتكرر مع إتاحة فرصة كافية لرفع معدل الاستجابة.</w:t>
      </w:r>
    </w:p>
    <w:p w14:paraId="25FE215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آلية منع تكرار الاستجابة</w:t>
      </w:r>
    </w:p>
    <w:p w14:paraId="21517E4A"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سيُفعّل في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xml:space="preserve"> خيار الحد من الاستجابة إلى مرة واحدة لكل حساب (</w:t>
      </w:r>
      <w:r w:rsidRPr="00FF3463">
        <w:rPr>
          <w:rFonts w:ascii="Simplified Arabic" w:hAnsi="Simplified Arabic" w:cs="Simplified Arabic"/>
          <w:color w:val="EE0000"/>
        </w:rPr>
        <w:t>Limit to 1 response</w:t>
      </w:r>
      <w:r w:rsidRPr="00FF3463">
        <w:rPr>
          <w:rFonts w:ascii="Simplified Arabic" w:hAnsi="Simplified Arabic" w:cs="Simplified Arabic"/>
          <w:color w:val="EE0000"/>
          <w:rtl/>
        </w:rPr>
        <w:t xml:space="preserve">)، وهو ما يتطلب تسجيل المشارك الدخول إلى حساب </w:t>
      </w:r>
      <w:r w:rsidRPr="00FF3463">
        <w:rPr>
          <w:rFonts w:ascii="Simplified Arabic" w:hAnsi="Simplified Arabic" w:cs="Simplified Arabic"/>
          <w:color w:val="EE0000"/>
        </w:rPr>
        <w:t>Google</w:t>
      </w:r>
      <w:r w:rsidRPr="00FF3463">
        <w:rPr>
          <w:rFonts w:ascii="Simplified Arabic" w:hAnsi="Simplified Arabic" w:cs="Simplified Arabic"/>
          <w:color w:val="EE0000"/>
          <w:rtl/>
        </w:rPr>
        <w:t xml:space="preserve"> للتحقق من عدم تكرار الإرسال، مع تعطيل خيار جمع عناوين البريد الإلكتروني؛ وبذلك لا يظهر للمُباحث اسم الحساب أو عنوان البريد الإلكتروني ضمن ملف البيانات. كما ستُراجع البيانات بعد الجمع للكشف عن أي أنماط تكرار غير اعتيادية باستخدام توقيت الاستجابة وتشابه أنماط الإجابة، دون جمع بيانات تعريفية شخصية غير لازمة.</w:t>
      </w:r>
    </w:p>
    <w:p w14:paraId="4E66B08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إنهاء الاستبانة لغير المؤهلين</w:t>
      </w:r>
    </w:p>
    <w:p w14:paraId="548E139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ستُبرمَج أسئلة الأهلية (S1–S5) في مقدمة الاستبانة بحيث تُنهي المشاركة تلقائيًا وتعرض رسالة شكر عند عدم تحقق أي شرط منها، دون الانتقال إلى محاور القياس، وذلك عبر ميزة المنطق الشرطي في منصة الاستبانة.</w:t>
      </w:r>
    </w:p>
    <w:p w14:paraId="6993443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الدراسة الاستطلاعية</w:t>
      </w:r>
    </w:p>
    <w:p w14:paraId="0FAE4428" w14:textId="3F1A6307" w:rsidR="00D73443" w:rsidRPr="00FF3463" w:rsidRDefault="00F035EA" w:rsidP="0006433B">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التطبيق الأساسي، ستُطبَّق الاستبانة على عينة استطلاعية ميسرة تضم من (30) إلى (40) مشاركًا من الفئة نفسها ومن المدن الثلاث المستهدفة، للتحقق من وضوح العبارات والتعليمات، وتقدير الزمن الفعلي اللازم للإجابة، وحساب مؤشرات أولية للاتساق الداخلي تساعد على اكتشاف الفقرات غير الواضحة أو الضعيفة قبل التطبيق الأساسي (تفصيلها في فقرة صدق أداة الدراسة وثباتها).</w:t>
      </w:r>
    </w:p>
    <w:p w14:paraId="5B2E171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المقابلات الإدراكية</w:t>
      </w:r>
    </w:p>
    <w:p w14:paraId="1239490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لحداثة موضوع الدراسة وتعدد مصطلحاته التقنية، ستُعرض الاستبانة قبل الدراسة الاستطلاعية على عدد محدود من المختصين (5 إلى 8 مختصين) في التسويق الرقمي والذكاء الاصطناعي التوليدي، في مقابلات إدراكية قصيرة (Cognitive Interviews) للتأكد من أن فقرات الأداة تُفهم بالمعنى المقصود منها، وتُعدَّل الصياغة بناءً على ملاحظاتهم قبل الدراسة الاستطلاعية.</w:t>
      </w:r>
    </w:p>
    <w:p w14:paraId="3AB3E37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الزمن المتوقع للإجابة</w:t>
      </w:r>
    </w:p>
    <w:p w14:paraId="222B30F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تتضمن الأداة خمسة أسئلة أهلية (S1–S5)، و46 فقرة قياس موزعة على خمسة محاور، و14 سؤالًا وصفيًا (P1–P14)، وهو عدد فقرات مرتفع نسبيًا قد يستغرق زمنًا معتبرًا للإجابة عنه؛ لذلك سيُقدَّر الزمن الفعلي المتوسط للإجابة من واقع الدراسة الاستطلاعية، ويُتوقَّع مبدئيًا أن يتراوح بين (10) و(15) دقيقة، وسيُذكَر هذا التقدير صراحةً في مقدمة الاستبانة، مع دراسة أثر طول الأداة في جودة الاستجابات ضمن تحليل تنظيف البيانات (فحص الاستجابات النمطية وزمن الإجابة).</w:t>
      </w:r>
    </w:p>
    <w:p w14:paraId="6E02458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المرجعية الزمنية والموضوعية للإجابة</w:t>
      </w:r>
    </w:p>
    <w:p w14:paraId="6833198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ستوضَّح في مقدمة الاستبانة وتعليماتها مرجعية إجابة المشارك: يُطلَب من كل مشارك الإجابة عن فقرات محاور القياس استنادًا إلى ممارسته الشخصية وخبرته داخل الوكالة (لا عن الوكالة ككل ولا عن حملة بعينها)، وذلك خلال الاثني عشر شهرًا الأخيرة تحديدًا؛ وستُوحَّد هذه الفترة المرجعية (آخر 12 شهرًا) في تعليمات الاستبانة العامة بحيث تنطبق على جميع فقرات محاور الممارسة والأداء دون استثناء، بدلًا من اقتصارها على شرط الأهلية S3 فحسب.</w:t>
      </w:r>
    </w:p>
    <w:p w14:paraId="0B67FC4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فقرات التحقق من الانتباه</w:t>
      </w:r>
    </w:p>
    <w:p w14:paraId="2F4629A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لطول الاستبانة الإلكترونية، ستُضاف فقرتان للتحقق من الانتباه (Attention Check Items) ضمن محاور القياس، بصياغة تطلب من المشارك اختيار درجة محددة («يُرجى اختيار موافق لهذه الفقرة»)، دون أن تؤثر هاتان الفقرتان في احتساب درجات المتغيرات، وتُستخدمان فقط ضمن معايير تنظيف البيانات لاحقًا.</w:t>
      </w:r>
    </w:p>
    <w:p w14:paraId="31B7C64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اختبار تحيز عدم الاستجابة</w:t>
      </w:r>
    </w:p>
    <w:p w14:paraId="723F566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سيُطبَّق إجراء مقارنة المستجيبين المبكرين بالمستجيبين المتأخرين (Early-vs-Late Respondents)، بتقسيم الاستجابات إلى ثلثين وفق ترتيب زمن الورود، ثم إجراء اختبار (t) لعينتين مستقلتين على متوسطات المحاور الرئيسة للتحقق من عدم وجود فروق دالة إحصائيًا تشير إلى تحيز محتمل في عدم الاستجابة.</w:t>
      </w:r>
    </w:p>
    <w:p w14:paraId="02E1C25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المخطط التسلسلي لتنفيذ الدراسة</w:t>
      </w:r>
    </w:p>
    <w:p w14:paraId="29E9949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ستمر إجراءات التنفيذ الميداني بالخطوات المتسلسلة التالية: (1) الحصول على موافقة لجنة أخلاقيات البحث العلمي؛ (2) الحصول على الموافقات الرسمية من الوكالات أو الجهات المهنية عند الحاجة؛ (3) عرض الأداة على المحكِّمين وحساب مؤشرات الصدق الظاهري والمحتوى؛ (4) إجراء المقابلات الإدراكية وتعديل الصياغة؛ (5) تطبيق الدراسة الاستطلاعية وحساب المؤشرات الأولية للاتساق الداخلي؛ (6) تعديل الأداة نهائيًا في ضوء نتائج الاستطلاع؛ (7) الاستقطاب وتوزيع رابط الاستبانة عبر القنوات المحددة؛ (8) متابعة معدل الاستجابة وإرسال التذكيرات؛ (9) إغلاق الاستبانة وتنظيف البيانات؛ (10) تحليل البيانات واختبار الفرضيات.</w:t>
      </w:r>
    </w:p>
    <w:p w14:paraId="00F650E9" w14:textId="77777777" w:rsidR="00F035EA" w:rsidRPr="00B133F8" w:rsidRDefault="00F035EA" w:rsidP="00F035EA">
      <w:pPr>
        <w:bidi/>
        <w:spacing w:after="200" w:line="276" w:lineRule="auto"/>
        <w:rPr>
          <w:rFonts w:ascii="Simplified Arabic" w:hAnsi="Simplified Arabic" w:cs="Simplified Arabic"/>
          <w:rtl/>
        </w:rPr>
      </w:pPr>
    </w:p>
    <w:p w14:paraId="048A9BEB"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أداة الدراسة وبناؤها</w:t>
      </w:r>
    </w:p>
    <w:p w14:paraId="548C2C5C"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lastRenderedPageBreak/>
        <w:t xml:space="preserve">ستُستخدَم الاستبانة الإلكترونية أداةً رئيسة لجمع البيانات الأولية، لمناسبتها للدراسات الكمية وإمكان وصولها إلى عدد كافٍ من المبحوثين الموزعين على مناطق متعددة، فضلًا عن تيسيرها تنظيم البيانات وتجهيزها للتحليل. وستُصاغ فقرات المحاور وفق مقياس ليكرت الخماسي، الذي يدرّج موافقة المبحوث على كل عبارة في خمسة مستويات، </w:t>
      </w:r>
      <w:r w:rsidRPr="00FF3463">
        <w:rPr>
          <w:rFonts w:ascii="Simplified Arabic" w:eastAsia="Arial" w:hAnsi="Simplified Arabic" w:cs="Simplified Arabic"/>
          <w:color w:val="EE0000"/>
          <w:rtl/>
        </w:rPr>
        <w:t>وستُرفَق الاستبانة في صورتها النهائية كاملة ضمن ملاحق الدراسة (ملحق أ) بعد اعتمادها.</w:t>
      </w:r>
    </w:p>
    <w:p w14:paraId="208EAE49"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(3-6): مستويات مقياس ليكرت الخماسي وتفسير المتوسطات</w:t>
      </w:r>
    </w:p>
    <w:tbl>
      <w:tblPr>
        <w:bidiVisual/>
        <w:tblW w:w="7000"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2600"/>
        <w:gridCol w:w="3200"/>
      </w:tblGrid>
      <w:tr w:rsidR="00F035EA" w:rsidRPr="00FF3463" w14:paraId="5B571EFB" w14:textId="77777777" w:rsidTr="0085711F">
        <w:tc>
          <w:tcPr>
            <w:tcW w:w="1200" w:type="dxa"/>
            <w:shd w:val="clear" w:color="auto" w:fill="D9D9D9"/>
            <w:tcMar>
              <w:top w:w="80" w:type="dxa"/>
              <w:left w:w="100" w:type="dxa"/>
              <w:bottom w:w="80" w:type="dxa"/>
              <w:right w:w="100" w:type="dxa"/>
            </w:tcMar>
            <w:vAlign w:val="center"/>
          </w:tcPr>
          <w:p w14:paraId="1CC0F51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الدرجة</w:t>
            </w:r>
          </w:p>
        </w:tc>
        <w:tc>
          <w:tcPr>
            <w:tcW w:w="2600" w:type="dxa"/>
            <w:shd w:val="clear" w:color="auto" w:fill="D9D9D9"/>
            <w:tcMar>
              <w:top w:w="80" w:type="dxa"/>
              <w:left w:w="100" w:type="dxa"/>
              <w:bottom w:w="80" w:type="dxa"/>
              <w:right w:w="100" w:type="dxa"/>
            </w:tcMar>
            <w:vAlign w:val="center"/>
          </w:tcPr>
          <w:p w14:paraId="31886E7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مستوى الموافقة</w:t>
            </w:r>
          </w:p>
        </w:tc>
        <w:tc>
          <w:tcPr>
            <w:tcW w:w="3200" w:type="dxa"/>
            <w:shd w:val="clear" w:color="auto" w:fill="D9D9D9"/>
            <w:tcMar>
              <w:top w:w="80" w:type="dxa"/>
              <w:left w:w="100" w:type="dxa"/>
              <w:bottom w:w="80" w:type="dxa"/>
              <w:right w:w="100" w:type="dxa"/>
            </w:tcMar>
            <w:vAlign w:val="center"/>
          </w:tcPr>
          <w:p w14:paraId="5A03B58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فئة المتوسط</w:t>
            </w:r>
          </w:p>
        </w:tc>
      </w:tr>
      <w:tr w:rsidR="00F035EA" w:rsidRPr="00FF3463" w14:paraId="33B2467D" w14:textId="77777777" w:rsidTr="0085711F">
        <w:tc>
          <w:tcPr>
            <w:tcW w:w="1200" w:type="dxa"/>
            <w:tcMar>
              <w:top w:w="80" w:type="dxa"/>
              <w:left w:w="100" w:type="dxa"/>
              <w:bottom w:w="80" w:type="dxa"/>
              <w:right w:w="100" w:type="dxa"/>
            </w:tcMar>
            <w:vAlign w:val="center"/>
          </w:tcPr>
          <w:p w14:paraId="384C6C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w:t>
            </w:r>
          </w:p>
        </w:tc>
        <w:tc>
          <w:tcPr>
            <w:tcW w:w="2600" w:type="dxa"/>
            <w:tcMar>
              <w:top w:w="80" w:type="dxa"/>
              <w:left w:w="100" w:type="dxa"/>
              <w:bottom w:w="80" w:type="dxa"/>
              <w:right w:w="100" w:type="dxa"/>
            </w:tcMar>
            <w:vAlign w:val="center"/>
          </w:tcPr>
          <w:p w14:paraId="66E9A63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 بشدة</w:t>
            </w:r>
          </w:p>
        </w:tc>
        <w:tc>
          <w:tcPr>
            <w:tcW w:w="3200" w:type="dxa"/>
            <w:tcMar>
              <w:top w:w="80" w:type="dxa"/>
              <w:left w:w="100" w:type="dxa"/>
              <w:bottom w:w="80" w:type="dxa"/>
              <w:right w:w="100" w:type="dxa"/>
            </w:tcMar>
            <w:vAlign w:val="center"/>
          </w:tcPr>
          <w:p w14:paraId="2C9A3A1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1.00 – 1.80</w:t>
            </w:r>
          </w:p>
        </w:tc>
      </w:tr>
      <w:tr w:rsidR="00F035EA" w:rsidRPr="00FF3463" w14:paraId="6885CF0E" w14:textId="77777777" w:rsidTr="0085711F">
        <w:tc>
          <w:tcPr>
            <w:tcW w:w="1200" w:type="dxa"/>
            <w:tcMar>
              <w:top w:w="80" w:type="dxa"/>
              <w:left w:w="100" w:type="dxa"/>
              <w:bottom w:w="80" w:type="dxa"/>
              <w:right w:w="100" w:type="dxa"/>
            </w:tcMar>
            <w:vAlign w:val="center"/>
          </w:tcPr>
          <w:p w14:paraId="5946F89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2</w:t>
            </w:r>
          </w:p>
        </w:tc>
        <w:tc>
          <w:tcPr>
            <w:tcW w:w="2600" w:type="dxa"/>
            <w:tcMar>
              <w:top w:w="80" w:type="dxa"/>
              <w:left w:w="100" w:type="dxa"/>
              <w:bottom w:w="80" w:type="dxa"/>
              <w:right w:w="100" w:type="dxa"/>
            </w:tcMar>
            <w:vAlign w:val="center"/>
          </w:tcPr>
          <w:p w14:paraId="12BC52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w:t>
            </w:r>
          </w:p>
        </w:tc>
        <w:tc>
          <w:tcPr>
            <w:tcW w:w="3200" w:type="dxa"/>
            <w:tcMar>
              <w:top w:w="80" w:type="dxa"/>
              <w:left w:w="100" w:type="dxa"/>
              <w:bottom w:w="80" w:type="dxa"/>
              <w:right w:w="100" w:type="dxa"/>
            </w:tcMar>
            <w:vAlign w:val="center"/>
          </w:tcPr>
          <w:p w14:paraId="5DAD9DA6"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1.81 – 2.60</w:t>
            </w:r>
          </w:p>
        </w:tc>
      </w:tr>
      <w:tr w:rsidR="00F035EA" w:rsidRPr="00FF3463" w14:paraId="541246A6" w14:textId="77777777" w:rsidTr="0085711F">
        <w:tc>
          <w:tcPr>
            <w:tcW w:w="1200" w:type="dxa"/>
            <w:tcMar>
              <w:top w:w="80" w:type="dxa"/>
              <w:left w:w="100" w:type="dxa"/>
              <w:bottom w:w="80" w:type="dxa"/>
              <w:right w:w="100" w:type="dxa"/>
            </w:tcMar>
            <w:vAlign w:val="center"/>
          </w:tcPr>
          <w:p w14:paraId="70653F8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3</w:t>
            </w:r>
          </w:p>
        </w:tc>
        <w:tc>
          <w:tcPr>
            <w:tcW w:w="2600" w:type="dxa"/>
            <w:tcMar>
              <w:top w:w="80" w:type="dxa"/>
              <w:left w:w="100" w:type="dxa"/>
              <w:bottom w:w="80" w:type="dxa"/>
              <w:right w:w="100" w:type="dxa"/>
            </w:tcMar>
            <w:vAlign w:val="center"/>
          </w:tcPr>
          <w:p w14:paraId="7743DA8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محايد</w:t>
            </w:r>
          </w:p>
        </w:tc>
        <w:tc>
          <w:tcPr>
            <w:tcW w:w="3200" w:type="dxa"/>
            <w:tcMar>
              <w:top w:w="80" w:type="dxa"/>
              <w:left w:w="100" w:type="dxa"/>
              <w:bottom w:w="80" w:type="dxa"/>
              <w:right w:w="100" w:type="dxa"/>
            </w:tcMar>
            <w:vAlign w:val="center"/>
          </w:tcPr>
          <w:p w14:paraId="0123C39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2.61 – 3.40</w:t>
            </w:r>
          </w:p>
        </w:tc>
      </w:tr>
      <w:tr w:rsidR="00F035EA" w:rsidRPr="00FF3463" w14:paraId="6A179130" w14:textId="77777777" w:rsidTr="0085711F">
        <w:tc>
          <w:tcPr>
            <w:tcW w:w="1200" w:type="dxa"/>
            <w:tcMar>
              <w:top w:w="80" w:type="dxa"/>
              <w:left w:w="100" w:type="dxa"/>
              <w:bottom w:w="80" w:type="dxa"/>
              <w:right w:w="100" w:type="dxa"/>
            </w:tcMar>
            <w:vAlign w:val="center"/>
          </w:tcPr>
          <w:p w14:paraId="5C2D384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4</w:t>
            </w:r>
          </w:p>
        </w:tc>
        <w:tc>
          <w:tcPr>
            <w:tcW w:w="2600" w:type="dxa"/>
            <w:tcMar>
              <w:top w:w="80" w:type="dxa"/>
              <w:left w:w="100" w:type="dxa"/>
              <w:bottom w:w="80" w:type="dxa"/>
              <w:right w:w="100" w:type="dxa"/>
            </w:tcMar>
            <w:vAlign w:val="center"/>
          </w:tcPr>
          <w:p w14:paraId="4DD3F4C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w:t>
            </w:r>
          </w:p>
        </w:tc>
        <w:tc>
          <w:tcPr>
            <w:tcW w:w="3200" w:type="dxa"/>
            <w:tcMar>
              <w:top w:w="80" w:type="dxa"/>
              <w:left w:w="100" w:type="dxa"/>
              <w:bottom w:w="80" w:type="dxa"/>
              <w:right w:w="100" w:type="dxa"/>
            </w:tcMar>
            <w:vAlign w:val="center"/>
          </w:tcPr>
          <w:p w14:paraId="57621DA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3.41 – 4.20</w:t>
            </w:r>
          </w:p>
        </w:tc>
      </w:tr>
      <w:tr w:rsidR="00F035EA" w:rsidRPr="00FF3463" w14:paraId="7218F58A" w14:textId="77777777" w:rsidTr="0085711F">
        <w:tc>
          <w:tcPr>
            <w:tcW w:w="1200" w:type="dxa"/>
            <w:tcMar>
              <w:top w:w="80" w:type="dxa"/>
              <w:left w:w="100" w:type="dxa"/>
              <w:bottom w:w="80" w:type="dxa"/>
              <w:right w:w="100" w:type="dxa"/>
            </w:tcMar>
            <w:vAlign w:val="center"/>
          </w:tcPr>
          <w:p w14:paraId="2529C74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5</w:t>
            </w:r>
          </w:p>
        </w:tc>
        <w:tc>
          <w:tcPr>
            <w:tcW w:w="2600" w:type="dxa"/>
            <w:tcMar>
              <w:top w:w="80" w:type="dxa"/>
              <w:left w:w="100" w:type="dxa"/>
              <w:bottom w:w="80" w:type="dxa"/>
              <w:right w:w="100" w:type="dxa"/>
            </w:tcMar>
            <w:vAlign w:val="center"/>
          </w:tcPr>
          <w:p w14:paraId="4ECE33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 بشدة</w:t>
            </w:r>
          </w:p>
        </w:tc>
        <w:tc>
          <w:tcPr>
            <w:tcW w:w="3200" w:type="dxa"/>
            <w:tcMar>
              <w:top w:w="80" w:type="dxa"/>
              <w:left w:w="100" w:type="dxa"/>
              <w:bottom w:w="80" w:type="dxa"/>
              <w:right w:w="100" w:type="dxa"/>
            </w:tcMar>
            <w:vAlign w:val="center"/>
          </w:tcPr>
          <w:p w14:paraId="579E61C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4.21 – 5.00</w:t>
            </w:r>
          </w:p>
        </w:tc>
      </w:tr>
    </w:tbl>
    <w:p w14:paraId="42909376"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وحدت فئات تفسير المتوسطات وفق دليل الجامعة بحيث لا تتداخل حدودها العليا والدنيا، وستُقرَّب القيم الواقعة عند حد فاصل بين فئتين (كـ 1.805 مثلًا) إلى الفئة الأعلى، اتساقًا مع قاعدة تقريب موحدة تُطبَّق على جميع نتائج التحليل الوصفي.</w:t>
      </w:r>
    </w:p>
    <w:p w14:paraId="3F75F81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مكوّنات الأداة</w:t>
      </w:r>
    </w:p>
    <w:p w14:paraId="2BBBB5F1"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جاءت الأداة في صورتها النهائية في ثلاثة أقسام:</w:t>
      </w:r>
    </w:p>
    <w:p w14:paraId="5B3FB6BD"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أسئلة الأهلية والموافقة، وعددها خمسة (S1–S5)، للتحقق من توافر شروط المشاركة قبل البدء.</w:t>
      </w:r>
    </w:p>
    <w:p w14:paraId="365268D9"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المحاور الموضوعية، وهي خمسة محاور تقابل متغيرات الدراسة، وتضم (46) فقرة قياس، إضافة إلى فقرتي تحقق من الانتباه لا تُحتسَب ضمن درجات المتغيرات.</w:t>
      </w:r>
    </w:p>
    <w:p w14:paraId="128D0DCC"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البيانات الشخصية والوظيفية، وعددها أربعة عشر متغيرًا (P1–P14) لوصف خصائص المبحوثين وبيئة عملهم، من بينها متغير قناة الوصول (P14) المستحدث لتتبع تنوع مصادر العينة.</w:t>
      </w:r>
    </w:p>
    <w:p w14:paraId="6BB2A7BE" w14:textId="77777777" w:rsidR="00D73443" w:rsidRDefault="00D73443" w:rsidP="00F035EA">
      <w:pPr>
        <w:bidi/>
        <w:spacing w:before="220" w:after="120" w:line="240" w:lineRule="auto"/>
        <w:rPr>
          <w:rFonts w:ascii="Simplified Arabic" w:eastAsia="Arial" w:hAnsi="Simplified Arabic" w:cs="Simplified Arabic"/>
          <w:b/>
          <w:bCs/>
          <w:color w:val="EE0000"/>
          <w:rtl/>
        </w:rPr>
      </w:pPr>
    </w:p>
    <w:p w14:paraId="48571118" w14:textId="2B7968B5" w:rsidR="00F035EA" w:rsidRPr="00FF3463" w:rsidRDefault="00F035EA" w:rsidP="00D73443">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مصادر بناء فقرات الأداة وربط الفقرات بمصادرها</w:t>
      </w:r>
    </w:p>
    <w:p w14:paraId="4F379238"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اشتُقّت فقرات الأداة من مصدرين متكاملين: دراسات أكاديمية محكَّمة تناولت الذكاء الاصطناعي التوليدي والتسويق الرقمي، وتقارير مؤسسية واستشارية متخصصة (كتقارير McKinsey وNuremberg Institute for Market Decisions) استُخدمت مصادر معلوماتية وسياقية لصياغة بعض الفقرات دون اعتبارها مقاييس سابقة معتمدة أو أدوات قياس محكَّمة، تمييزًا بين المصادر العلمية المحكَّمة والتقارير المهنية في بناء الأداة.</w:t>
      </w:r>
    </w:p>
    <w:p w14:paraId="21F159A5"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lastRenderedPageBreak/>
        <w:t>وسيُعَدّ جدول تفصيلي (ملحق ب) يبيّن لكل فقرة من فقرات الأداة: رقمها ورمزها، ومصدرها الأصلي المحدد (لا مجرد قائمة عامة بمصادر المحور)، وطريقة التعديل (فقرة مقتبسة بتصرف، أو مترجمة ومعدَّلة، أو مطوَّرة خصيصًا من الباحث)، وذلك تمييزًا واضحًا بين الفقرات المقتبسة من دراسات سابقة والفقرات التي صاغها الباحث خصيصًا لملاءمة سياق وكالات التسويق السعودية.</w:t>
      </w:r>
    </w:p>
    <w:p w14:paraId="4308C69D"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(3-7): توزيع فقرات الأداة على المحاور وأبرز مصادر الاشتقاق</w:t>
      </w:r>
    </w:p>
    <w:tbl>
      <w:tblPr>
        <w:bidiVisual/>
        <w:tblW w:w="7800"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300"/>
        <w:gridCol w:w="900"/>
        <w:gridCol w:w="3700"/>
      </w:tblGrid>
      <w:tr w:rsidR="00F035EA" w:rsidRPr="00FF3463" w14:paraId="015728E7" w14:textId="77777777" w:rsidTr="0085711F">
        <w:tc>
          <w:tcPr>
            <w:tcW w:w="1900" w:type="dxa"/>
            <w:shd w:val="clear" w:color="auto" w:fill="D9D9D9"/>
            <w:tcMar>
              <w:top w:w="80" w:type="dxa"/>
              <w:left w:w="100" w:type="dxa"/>
              <w:bottom w:w="80" w:type="dxa"/>
              <w:right w:w="100" w:type="dxa"/>
            </w:tcMar>
            <w:vAlign w:val="center"/>
          </w:tcPr>
          <w:p w14:paraId="42B84D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المحور (المتغير)</w:t>
            </w:r>
          </w:p>
        </w:tc>
        <w:tc>
          <w:tcPr>
            <w:tcW w:w="1300" w:type="dxa"/>
            <w:shd w:val="clear" w:color="auto" w:fill="D9D9D9"/>
            <w:tcMar>
              <w:top w:w="80" w:type="dxa"/>
              <w:left w:w="100" w:type="dxa"/>
              <w:bottom w:w="80" w:type="dxa"/>
              <w:right w:w="100" w:type="dxa"/>
            </w:tcMar>
            <w:vAlign w:val="center"/>
          </w:tcPr>
          <w:p w14:paraId="337A5BC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900" w:type="dxa"/>
            <w:shd w:val="clear" w:color="auto" w:fill="D9D9D9"/>
            <w:tcMar>
              <w:top w:w="80" w:type="dxa"/>
              <w:left w:w="100" w:type="dxa"/>
              <w:bottom w:w="80" w:type="dxa"/>
              <w:right w:w="100" w:type="dxa"/>
            </w:tcMar>
            <w:vAlign w:val="center"/>
          </w:tcPr>
          <w:p w14:paraId="781F2B0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الفقرات</w:t>
            </w:r>
          </w:p>
        </w:tc>
        <w:tc>
          <w:tcPr>
            <w:tcW w:w="3700" w:type="dxa"/>
            <w:shd w:val="clear" w:color="auto" w:fill="D9D9D9"/>
            <w:tcMar>
              <w:top w:w="80" w:type="dxa"/>
              <w:left w:w="100" w:type="dxa"/>
              <w:bottom w:w="80" w:type="dxa"/>
              <w:right w:w="100" w:type="dxa"/>
            </w:tcMar>
            <w:vAlign w:val="center"/>
          </w:tcPr>
          <w:p w14:paraId="5EC331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أبرز مصادر الاشتقاق</w:t>
            </w:r>
          </w:p>
        </w:tc>
      </w:tr>
      <w:tr w:rsidR="00F035EA" w:rsidRPr="00FF3463" w14:paraId="132A4321" w14:textId="77777777" w:rsidTr="0085711F">
        <w:tc>
          <w:tcPr>
            <w:tcW w:w="1900" w:type="dxa"/>
            <w:tcMar>
              <w:top w:w="80" w:type="dxa"/>
              <w:left w:w="100" w:type="dxa"/>
              <w:bottom w:w="80" w:type="dxa"/>
              <w:right w:w="100" w:type="dxa"/>
            </w:tcMar>
            <w:vAlign w:val="center"/>
          </w:tcPr>
          <w:p w14:paraId="07C8DD3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توظيف الذكاء الاصطناعي التوليدي</w:t>
            </w:r>
          </w:p>
        </w:tc>
        <w:tc>
          <w:tcPr>
            <w:tcW w:w="1300" w:type="dxa"/>
            <w:tcMar>
              <w:top w:w="80" w:type="dxa"/>
              <w:left w:w="100" w:type="dxa"/>
              <w:bottom w:w="80" w:type="dxa"/>
              <w:right w:w="100" w:type="dxa"/>
            </w:tcMar>
            <w:vAlign w:val="center"/>
          </w:tcPr>
          <w:p w14:paraId="3FDB62C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GAIU1–GAIU10</w:t>
            </w:r>
          </w:p>
        </w:tc>
        <w:tc>
          <w:tcPr>
            <w:tcW w:w="900" w:type="dxa"/>
            <w:tcMar>
              <w:top w:w="80" w:type="dxa"/>
              <w:left w:w="100" w:type="dxa"/>
              <w:bottom w:w="80" w:type="dxa"/>
              <w:right w:w="100" w:type="dxa"/>
            </w:tcMar>
            <w:vAlign w:val="center"/>
          </w:tcPr>
          <w:p w14:paraId="5E68F2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7B1C99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Islam et al. (2024); Gujar &amp; Panyam (2024); Kshetri et al. (2023); Mendoza et al. (2025)</w:t>
            </w:r>
          </w:p>
        </w:tc>
      </w:tr>
      <w:tr w:rsidR="00F035EA" w:rsidRPr="00FF3463" w14:paraId="4095BF03" w14:textId="77777777" w:rsidTr="0085711F">
        <w:tc>
          <w:tcPr>
            <w:tcW w:w="1900" w:type="dxa"/>
            <w:tcMar>
              <w:top w:w="80" w:type="dxa"/>
              <w:left w:w="100" w:type="dxa"/>
              <w:bottom w:w="80" w:type="dxa"/>
              <w:right w:w="100" w:type="dxa"/>
            </w:tcMar>
            <w:vAlign w:val="center"/>
          </w:tcPr>
          <w:p w14:paraId="575E03C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جودة عملية التصميم</w:t>
            </w:r>
          </w:p>
        </w:tc>
        <w:tc>
          <w:tcPr>
            <w:tcW w:w="1300" w:type="dxa"/>
            <w:tcMar>
              <w:top w:w="80" w:type="dxa"/>
              <w:left w:w="100" w:type="dxa"/>
              <w:bottom w:w="80" w:type="dxa"/>
              <w:right w:w="100" w:type="dxa"/>
            </w:tcMar>
            <w:vAlign w:val="center"/>
          </w:tcPr>
          <w:p w14:paraId="4CC4E63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CDQ1–CDQ8</w:t>
            </w:r>
          </w:p>
        </w:tc>
        <w:tc>
          <w:tcPr>
            <w:tcW w:w="900" w:type="dxa"/>
            <w:tcMar>
              <w:top w:w="80" w:type="dxa"/>
              <w:left w:w="100" w:type="dxa"/>
              <w:bottom w:w="80" w:type="dxa"/>
              <w:right w:w="100" w:type="dxa"/>
            </w:tcMar>
            <w:vAlign w:val="center"/>
          </w:tcPr>
          <w:p w14:paraId="38C12A9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8</w:t>
            </w:r>
          </w:p>
        </w:tc>
        <w:tc>
          <w:tcPr>
            <w:tcW w:w="3700" w:type="dxa"/>
            <w:tcMar>
              <w:top w:w="80" w:type="dxa"/>
              <w:left w:w="100" w:type="dxa"/>
              <w:bottom w:w="80" w:type="dxa"/>
              <w:right w:w="100" w:type="dxa"/>
            </w:tcMar>
            <w:vAlign w:val="center"/>
          </w:tcPr>
          <w:p w14:paraId="658BD5C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Heitmann (2024); McKinsey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Gujar &amp; Panyam (2024); Mendoza et al. (2025)</w:t>
            </w:r>
          </w:p>
        </w:tc>
      </w:tr>
      <w:tr w:rsidR="00F035EA" w:rsidRPr="00FF3463" w14:paraId="106A8960" w14:textId="77777777" w:rsidTr="0085711F">
        <w:tc>
          <w:tcPr>
            <w:tcW w:w="1900" w:type="dxa"/>
            <w:tcMar>
              <w:top w:w="80" w:type="dxa"/>
              <w:left w:w="100" w:type="dxa"/>
              <w:bottom w:w="80" w:type="dxa"/>
              <w:right w:w="100" w:type="dxa"/>
            </w:tcMar>
            <w:vAlign w:val="center"/>
          </w:tcPr>
          <w:p w14:paraId="4BCDB0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دوافع التبني</w:t>
            </w:r>
          </w:p>
        </w:tc>
        <w:tc>
          <w:tcPr>
            <w:tcW w:w="1300" w:type="dxa"/>
            <w:tcMar>
              <w:top w:w="80" w:type="dxa"/>
              <w:left w:w="100" w:type="dxa"/>
              <w:bottom w:w="80" w:type="dxa"/>
              <w:right w:w="100" w:type="dxa"/>
            </w:tcMar>
            <w:vAlign w:val="center"/>
          </w:tcPr>
          <w:p w14:paraId="2CE5EF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ADP1–ADP9</w:t>
            </w:r>
          </w:p>
        </w:tc>
        <w:tc>
          <w:tcPr>
            <w:tcW w:w="900" w:type="dxa"/>
            <w:tcMar>
              <w:top w:w="80" w:type="dxa"/>
              <w:left w:w="100" w:type="dxa"/>
              <w:bottom w:w="80" w:type="dxa"/>
              <w:right w:w="100" w:type="dxa"/>
            </w:tcMar>
            <w:vAlign w:val="center"/>
          </w:tcPr>
          <w:p w14:paraId="0C0ECE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2F19EB7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Kshetri et al. (2023); Masnita et al. (2024); Sharabati et al. (2024); العتيبي واليوبي (2024)</w:t>
            </w:r>
          </w:p>
        </w:tc>
      </w:tr>
      <w:tr w:rsidR="00F035EA" w:rsidRPr="00FF3463" w14:paraId="7598585C" w14:textId="77777777" w:rsidTr="0085711F">
        <w:tc>
          <w:tcPr>
            <w:tcW w:w="1900" w:type="dxa"/>
            <w:tcMar>
              <w:top w:w="80" w:type="dxa"/>
              <w:left w:w="100" w:type="dxa"/>
              <w:bottom w:w="80" w:type="dxa"/>
              <w:right w:w="100" w:type="dxa"/>
            </w:tcMar>
            <w:vAlign w:val="center"/>
          </w:tcPr>
          <w:p w14:paraId="6224DF3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العوائق التقنية والبشرية والتنظيمية</w:t>
            </w:r>
          </w:p>
        </w:tc>
        <w:tc>
          <w:tcPr>
            <w:tcW w:w="1300" w:type="dxa"/>
            <w:tcMar>
              <w:top w:w="80" w:type="dxa"/>
              <w:left w:w="100" w:type="dxa"/>
              <w:bottom w:w="80" w:type="dxa"/>
              <w:right w:w="100" w:type="dxa"/>
            </w:tcMar>
            <w:vAlign w:val="center"/>
          </w:tcPr>
          <w:p w14:paraId="3B9556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BAR1–BAR10</w:t>
            </w:r>
          </w:p>
        </w:tc>
        <w:tc>
          <w:tcPr>
            <w:tcW w:w="900" w:type="dxa"/>
            <w:tcMar>
              <w:top w:w="80" w:type="dxa"/>
              <w:left w:w="100" w:type="dxa"/>
              <w:bottom w:w="80" w:type="dxa"/>
              <w:right w:w="100" w:type="dxa"/>
            </w:tcMar>
            <w:vAlign w:val="center"/>
          </w:tcPr>
          <w:p w14:paraId="6B29BAD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3AF21EE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SDAIA (2024); Dwivedi et al. (2023); Kshetri et al. (2023); محيسن وآخرون (2025)</w:t>
            </w:r>
          </w:p>
        </w:tc>
      </w:tr>
      <w:tr w:rsidR="00F035EA" w:rsidRPr="00FF3463" w14:paraId="2DA4D23C" w14:textId="77777777" w:rsidTr="0085711F">
        <w:tc>
          <w:tcPr>
            <w:tcW w:w="1900" w:type="dxa"/>
            <w:tcMar>
              <w:top w:w="80" w:type="dxa"/>
              <w:left w:w="100" w:type="dxa"/>
              <w:bottom w:w="80" w:type="dxa"/>
              <w:right w:w="100" w:type="dxa"/>
            </w:tcMar>
            <w:vAlign w:val="center"/>
          </w:tcPr>
          <w:p w14:paraId="7082B6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فعالية الأداء التسويقي</w:t>
            </w:r>
          </w:p>
        </w:tc>
        <w:tc>
          <w:tcPr>
            <w:tcW w:w="1300" w:type="dxa"/>
            <w:tcMar>
              <w:top w:w="80" w:type="dxa"/>
              <w:left w:w="100" w:type="dxa"/>
              <w:bottom w:w="80" w:type="dxa"/>
              <w:right w:w="100" w:type="dxa"/>
            </w:tcMar>
            <w:vAlign w:val="center"/>
          </w:tcPr>
          <w:p w14:paraId="619E9C1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MP1–MP9</w:t>
            </w:r>
          </w:p>
        </w:tc>
        <w:tc>
          <w:tcPr>
            <w:tcW w:w="900" w:type="dxa"/>
            <w:tcMar>
              <w:top w:w="80" w:type="dxa"/>
              <w:left w:w="100" w:type="dxa"/>
              <w:bottom w:w="80" w:type="dxa"/>
              <w:right w:w="100" w:type="dxa"/>
            </w:tcMar>
            <w:vAlign w:val="center"/>
          </w:tcPr>
          <w:p w14:paraId="1CD611D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5B7835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Nuremberg Institute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Mendoza et al. (2025); Beyari (2025); اللهيبي وآخرون (2024)</w:t>
            </w:r>
          </w:p>
        </w:tc>
      </w:tr>
    </w:tbl>
    <w:p w14:paraId="299F1104" w14:textId="7255CA3C" w:rsidR="00D73443" w:rsidRPr="00FF3463" w:rsidRDefault="00F035EA" w:rsidP="0006433B">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 تشير المصادر المؤسسية والاستشارية (McKinsey وNuremberg Institute) إلى مصادر سياقية ومعلوماتية استُعين بها في صياغة بعض الفقرات، ولا تُعامَل بوصفها مقاييس سابقة محكَّمة؛ وسيُفصَّل هذا التمييز لكل فقرة في جدول ملحق (ب).</w:t>
      </w:r>
    </w:p>
    <w:p w14:paraId="6196F13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إجراءات الترجمة</w:t>
      </w:r>
    </w:p>
    <w:p w14:paraId="56EF89F6" w14:textId="565C8D7C" w:rsidR="00F035EA" w:rsidRPr="00FF3463" w:rsidRDefault="00F035EA" w:rsidP="00D73443">
      <w:pPr>
        <w:bidi/>
        <w:spacing w:before="220" w:after="120" w:line="240" w:lineRule="auto"/>
        <w:rPr>
          <w:rFonts w:ascii="Simplified Arabic" w:eastAsia="Arial" w:hAnsi="Simplified Arabic" w:cs="Simplified Arabic"/>
          <w:b/>
          <w:bCs/>
          <w:color w:val="EE0000"/>
          <w:rtl/>
        </w:rPr>
      </w:pPr>
      <w:r w:rsidRPr="00FF3463">
        <w:rPr>
          <w:rFonts w:ascii="Simplified Arabic" w:eastAsia="Arial" w:hAnsi="Simplified Arabic" w:cs="Simplified Arabic"/>
          <w:color w:val="EE0000"/>
          <w:rtl/>
        </w:rPr>
        <w:t>بالنسبة إلى جميع الفقرات التي يكون مصدرها الأصلي باللغة الإنجليزية، ستُترجم إلى العربية ترجمة أولية بواسطة مترجم متمكن من المجالين اللغوي والبحثي، ثم تُراجع لغويًا ومفاهيميًا للتأكد من وضوحها واحتفاظها بالمعنى المقصود. وبعد ذلك ستُطبق الترجمة العكسية (</w:t>
      </w:r>
      <w:r w:rsidRPr="00FF3463">
        <w:rPr>
          <w:rFonts w:ascii="Simplified Arabic" w:eastAsia="Arial" w:hAnsi="Simplified Arabic" w:cs="Simplified Arabic"/>
          <w:color w:val="EE0000"/>
        </w:rPr>
        <w:t>Back-Translation</w:t>
      </w:r>
      <w:r w:rsidRPr="00FF3463">
        <w:rPr>
          <w:rFonts w:ascii="Simplified Arabic" w:eastAsia="Arial" w:hAnsi="Simplified Arabic" w:cs="Simplified Arabic"/>
          <w:color w:val="EE0000"/>
          <w:rtl/>
        </w:rPr>
        <w:t>) على جميع الفقرات المترجمة بواسطة مترجم آخر مستقل لم يطلع على النص الأصلي أثناء الترجمة العكسية، ثم تُقارن النسخة المعادة بالنص الأصلي، وتُناقش أي فروق دلالية بين المترجمين والباحث حتى الوصول إلى صياغة عربية متكافئة مفاهيميًا مع الأصل.</w:t>
      </w:r>
    </w:p>
    <w:p w14:paraId="3E8C8D37"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lastRenderedPageBreak/>
        <w:t>حقوق استخدام المقاييس</w:t>
      </w:r>
    </w:p>
    <w:p w14:paraId="31125D09"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الباحث، قبل استخدام أي فقرة مقتبسة من مقياس منشور، من شروط إعادة الاستخدام أو التعديل المتاحة في المصدر الأصلي (ترخيص مفتوح، أو نص صريح بالإتاحة للأغراض الأكاديمية، أو غير ذلك)، وسيُطلب إذن مباشر من المؤلفين عند الحاجة، وستُوثَّق المراسلات أو الأذونات المتحصَّل عليها ضمن ملاحق الدراسة.</w:t>
      </w:r>
    </w:p>
    <w:p w14:paraId="2887E4E2"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تحكيم الأداة وصدق المحتوى الكمي</w:t>
      </w:r>
    </w:p>
    <w:p w14:paraId="006477F0"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ستُعرَض الأداة في صورتها الأولية على سبعة محكِّمين من ذوي الاختصاص، يوزَّعون بين التسويق الرقمي (3 محكِّمين)، ومناهج البحث والإحصاء (2 محكِّمين)، والذكاء الاصطناعي التوليدي وتطبيقاته (2 محكِّمين)، لإبداء الرأي في ملاءمة الفقرات لأبعاد المتغيرات، وسلامة صياغتها، ووضوح عباراتها، وانتماء كل فقرة إلى محورها.</w:t>
      </w:r>
    </w:p>
    <w:p w14:paraId="2959F0C1" w14:textId="77777777" w:rsidR="00F035EA" w:rsidRPr="00FF3463" w:rsidRDefault="00F035EA" w:rsidP="00F035EA">
      <w:pPr>
        <w:bidi/>
        <w:spacing w:before="220" w:after="120" w:line="240" w:lineRule="auto"/>
        <w:rPr>
          <w:rFonts w:ascii="Simplified Arabic" w:eastAsia="Arial" w:hAnsi="Simplified Arabic" w:cs="Simplified Arabic"/>
          <w:b/>
          <w:bCs/>
          <w:rtl/>
        </w:rPr>
      </w:pPr>
      <w:r w:rsidRPr="00FF3463">
        <w:rPr>
          <w:rFonts w:ascii="Simplified Arabic" w:eastAsia="Arial" w:hAnsi="Simplified Arabic" w:cs="Simplified Arabic"/>
          <w:rtl/>
        </w:rPr>
        <w:t>وإلى جانب التحكيم النوعي، سيُحسب مؤشر صدق المحتوى على مستوى كل فقرة (</w:t>
      </w:r>
      <w:r w:rsidRPr="00FF3463">
        <w:rPr>
          <w:rFonts w:ascii="Simplified Arabic" w:eastAsia="Arial" w:hAnsi="Simplified Arabic" w:cs="Simplified Arabic"/>
        </w:rPr>
        <w:t>Item-Level Content Validity Index: I-CVI</w:t>
      </w:r>
      <w:r w:rsidRPr="00FF3463">
        <w:rPr>
          <w:rFonts w:ascii="Simplified Arabic" w:eastAsia="Arial" w:hAnsi="Simplified Arabic" w:cs="Simplified Arabic"/>
          <w:rtl/>
        </w:rPr>
        <w:t>)، استنادًا إلى أحكام المحكمين بشأن ملاءمة الفقرة للمتغير الذي تقيسه. ويُعتمد حد لا يقل عن (0.78) لقبول الفقرة؛ وبوجود سبعة محكمين يعني ذلك عمليًا اتفاق ستة محكمين على الأقل من أصل سبعة على ملاءمتها. أما الفقرات التي لا تحقق هذا المستوى فستُراجع صياغتها أو تُحذف بحسب مضمون ملاحظات المحكمين ومدى ضرورتها المفاهيمية. وستوثق نتائج التحكيم وقرارات التعديل والحذف والإضافة في جدول مستقل.</w:t>
      </w:r>
    </w:p>
    <w:p w14:paraId="7A75E94A"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الفقرات العكسية</w:t>
      </w:r>
    </w:p>
    <w:p w14:paraId="1883A78F" w14:textId="77777777" w:rsidR="00F035EA" w:rsidRDefault="00F035EA" w:rsidP="00F035EA">
      <w:pPr>
        <w:bidi/>
        <w:spacing w:line="300" w:lineRule="auto"/>
        <w:jc w:val="both"/>
        <w:rPr>
          <w:rFonts w:ascii="Simplified Arabic" w:eastAsia="Arial" w:hAnsi="Simplified Arabic" w:cs="Simplified Arabic"/>
          <w:color w:val="EE0000"/>
          <w:rtl/>
        </w:rPr>
      </w:pPr>
      <w:r w:rsidRPr="00FF3463">
        <w:rPr>
          <w:rFonts w:ascii="Simplified Arabic" w:eastAsia="Arial" w:hAnsi="Simplified Arabic" w:cs="Simplified Arabic"/>
          <w:color w:val="EE0000"/>
          <w:rtl/>
        </w:rPr>
        <w:t>روجعت جميع فقرات محاور القياس عند الصياغة والتحكيم للتحقق من اتجاه الصياغة، ولم تتضمن الصورة الحالية للأداة فقرات سالبة الاتجاه تحتاج إلى عكس الترميز؛ وفي حال استُحدثت أي فقرة عكسية بناءً على ملاحظات المحكِّمين أو الدراسة الاستطلاعية، فستُحدَّد بوضوح في جدول فقرات الأداة (ملحق ب) وستُعكَس درجتها (Reverse-Coded) قبل احتساب درجة المحور الكلية في مرحلة تنظيف البيانات.</w:t>
      </w:r>
    </w:p>
    <w:p w14:paraId="0DBFCD2D" w14:textId="77777777" w:rsidR="00F035EA" w:rsidRPr="00FF3463" w:rsidRDefault="00F035EA" w:rsidP="00F035EA">
      <w:pPr>
        <w:bidi/>
        <w:spacing w:line="300" w:lineRule="auto"/>
        <w:jc w:val="both"/>
        <w:rPr>
          <w:rFonts w:ascii="Simplified Arabic" w:eastAsia="Arial" w:hAnsi="Simplified Arabic" w:cs="Simplified Arabic"/>
          <w:color w:val="EE0000"/>
          <w:rtl/>
        </w:rPr>
      </w:pPr>
    </w:p>
    <w:p w14:paraId="122F01FB" w14:textId="77777777" w:rsidR="00F035EA" w:rsidRPr="00FF3463" w:rsidRDefault="00F035EA" w:rsidP="00F035EA">
      <w:pPr>
        <w:bidi/>
        <w:spacing w:after="200" w:line="240" w:lineRule="auto"/>
        <w:jc w:val="both"/>
        <w:rPr>
          <w:rFonts w:ascii="Simplified Arabic" w:hAnsi="Simplified Arabic" w:cs="Simplified Arabic"/>
          <w:b/>
          <w:bCs/>
          <w:color w:val="1F497D" w:themeColor="text2"/>
          <w:u w:val="single"/>
          <w:rtl/>
        </w:rPr>
      </w:pPr>
      <w:r>
        <w:rPr>
          <w:rFonts w:ascii="Sakkal Majalla" w:hAnsi="Sakkal Majalla" w:cs="Sakkal Majalla"/>
          <w:b/>
          <w:bCs/>
          <w:color w:val="1F497D" w:themeColor="text2"/>
          <w:sz w:val="32"/>
          <w:szCs w:val="32"/>
          <w:u w:val="single"/>
          <w:rtl/>
        </w:rPr>
        <w:t>صدق أداة الدراسة</w:t>
      </w:r>
      <w:r>
        <w:rPr>
          <w:rFonts w:ascii="Sakkal Majalla" w:hAnsi="Sakkal Majalla" w:cs="Sakkal Majalla" w:hint="cs"/>
          <w:b/>
          <w:bCs/>
          <w:color w:val="1F497D" w:themeColor="text2"/>
          <w:sz w:val="32"/>
          <w:szCs w:val="32"/>
          <w:u w:val="single"/>
          <w:rtl/>
        </w:rPr>
        <w:t xml:space="preserve"> وثباتها</w:t>
      </w:r>
    </w:p>
    <w:p w14:paraId="306BAA5D" w14:textId="77777777" w:rsidR="00F035EA" w:rsidRPr="00FF3463" w:rsidRDefault="00F035EA" w:rsidP="00F035EA">
      <w:pPr>
        <w:bidi/>
        <w:spacing w:before="220" w:after="120"/>
        <w:rPr>
          <w:rFonts w:ascii="Simplified Arabic" w:eastAsia="Arial" w:hAnsi="Simplified Arabic" w:cs="Simplified Arabic"/>
        </w:rPr>
      </w:pPr>
      <w:r w:rsidRPr="00FF3463">
        <w:rPr>
          <w:rFonts w:ascii="Simplified Arabic" w:hAnsi="Simplified Arabic" w:cs="Simplified Arabic"/>
          <w:rtl/>
        </w:rPr>
        <w:t xml:space="preserve"> </w:t>
      </w:r>
      <w:r w:rsidRPr="00FF3463">
        <w:rPr>
          <w:rFonts w:ascii="Simplified Arabic" w:eastAsia="Arial" w:hAnsi="Simplified Arabic" w:cs="Simplified Arabic"/>
          <w:b/>
          <w:bCs/>
          <w:rtl/>
        </w:rPr>
        <w:t>الصدق الظاهري وصدق المحتوى (صدق المحكَّمين)</w:t>
      </w:r>
    </w:p>
    <w:p w14:paraId="2D7383C2"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سبق بيان إجراءات التحكيم واحتساب مؤشر صدق المحتوى الكمي (CVI) في الفقرة السابقة.</w:t>
      </w:r>
    </w:p>
    <w:p w14:paraId="43927860"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الدراسة الاستطلاعية ومؤشرات الاتساق الأولي</w:t>
      </w:r>
    </w:p>
    <w:p w14:paraId="6520DEFA"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قبل التطبيق الأساسي، ستُطبَّق الأداة على عينة استطلاعية ميسرة تضم من (30) إلى (40) مشاركًا من الفئة المستهدفة نفسها في المدن الثلاث، بما يقارب خصائص مجتمع الدراسة الأساسي، وذلك للتحقق من وضوح الفقرات والتعليمات وتقدير زمن الإجابة، ولحساب مؤشرات أولية للاتساق الداخلي (معامل ألفا كرونباخ المبدئي لكل محور) ومعامل ارتباط كل فقرة بالدرجة الكلية لمحورها (Corrected Item-Total Correlation)، بحيث تُراجَع أو تُحذف الفقرة التي يقل معامل ارتباطها بالدرجة الكلية عن (0.30)، إلى جانب مراجعة الفقرات التي تخفض حذفها معامل ألفا الكلي للمحور.</w:t>
      </w:r>
    </w:p>
    <w:p w14:paraId="3917106F"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lastRenderedPageBreak/>
        <w:t>صدق البناء (تقييم نموذج القياس)</w:t>
      </w:r>
    </w:p>
    <w:p w14:paraId="44DE5694"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من صدق البناء عبر تقييم نموذج القياس (Measurement Model Assessment) في إطار PLS-SEM، بدلًا من مساواته مباشرة بالتحليل العاملي التوكيدي التقليدي المستخدم في الأساليب القائمة على التغاير؛ إذ يعتمد تقييم نموذج القياس في PLS-SEM على مؤشرات مخصوصة تختلف جزئيًا عن مؤشرات CFA التقليدي. وينظر في هذا الإطار إلى نوعين من الصدق:</w:t>
      </w:r>
    </w:p>
    <w:p w14:paraId="20AC46F5" w14:textId="77777777" w:rsidR="00F035EA" w:rsidRPr="00FF3463" w:rsidRDefault="00F035EA" w:rsidP="00F035EA">
      <w:pPr>
        <w:numPr>
          <w:ilvl w:val="0"/>
          <w:numId w:val="22"/>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التقاربي (Convergent Validity): يُحكم عليه بدلالة تشبّع الفقرات على عواملها وبقيمة متوسط التباين المستخرج (AVE)، بحيث لا تقل عن (0.50) للمتغير الواحد.</w:t>
      </w:r>
    </w:p>
    <w:p w14:paraId="0C2ADAA8" w14:textId="77777777" w:rsidR="00F035EA" w:rsidRPr="00FF3463" w:rsidRDefault="00F035EA" w:rsidP="00F035EA">
      <w:pPr>
        <w:numPr>
          <w:ilvl w:val="0"/>
          <w:numId w:val="22"/>
        </w:numPr>
        <w:bidi/>
        <w:spacing w:after="120"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 (Discriminant Validity): يُحكم عليه باختبار نسبة الارتباط أحادي السمة إلى متعدد السمات (HTMT)، بحيث لا تتجاوز قيمته (0.85)، مع فحص فترات الثقة الناتجة عن إعادة المعاينة (Bootstrapping) للتأكد من عدم احتواء الحد الأعلى للفترة على القيمة (1)، إذ لا يكفي الاكتفاء بمقارنة القيمة النقطية بالحد المرجعي.</w:t>
      </w:r>
    </w:p>
    <w:p w14:paraId="6313149A"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معيار التحميل الخارجي وقواعد الاحتفاظ والحذف</w:t>
      </w:r>
    </w:p>
    <w:p w14:paraId="1D29A3E3" w14:textId="37ACAF61" w:rsidR="00F035EA" w:rsidRPr="00FF3463" w:rsidRDefault="00F035EA" w:rsidP="00D73443">
      <w:pPr>
        <w:bidi/>
        <w:spacing w:line="300" w:lineRule="auto"/>
        <w:rPr>
          <w:rFonts w:ascii="Simplified Arabic" w:eastAsia="Arial" w:hAnsi="Simplified Arabic" w:cs="Simplified Arabic"/>
        </w:rPr>
      </w:pPr>
      <w:r w:rsidRPr="00FF3463">
        <w:rPr>
          <w:rFonts w:ascii="Simplified Arabic" w:eastAsia="Arial" w:hAnsi="Simplified Arabic" w:cs="Simplified Arabic"/>
          <w:rtl/>
        </w:rPr>
        <w:t>ستُستبقى الفقرة التي تبلغ قيمة تحميلها الخارجي (Outer Loading) (0.70) فأكثر دون مراجعة إضافية، بينما تُدرَس الفقرات الواقعة بين (0.40) و(0.70) وفق أثر حذفها في قيمتي الثبات المركب (CR) ومتوسط التباين المستخرج (AVE) للمحور؛ فتُستبقى إذا لم يخفض حذفها هاتين القيمتين عن حديهما المرجعيين وكان محتواها مهمًا مفاهيميًا للمحور، وتُحذف إذا حسّن حذفها القيمتين المذكورتين. أما الفقرات التي يقل تحميلها عن (0.40) فتُحذف مباشرة دون حاجة لدراسة أثرها.</w:t>
      </w:r>
    </w:p>
    <w:p w14:paraId="6180EDE4"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ثبات أداة الدراسة</w:t>
      </w:r>
    </w:p>
    <w:p w14:paraId="2A332709" w14:textId="77777777" w:rsidR="00F035EA" w:rsidRPr="00FF3463" w:rsidRDefault="00F035EA" w:rsidP="00F035EA">
      <w:pPr>
        <w:bidi/>
        <w:spacing w:line="300" w:lineRule="auto"/>
        <w:rPr>
          <w:rFonts w:ascii="Simplified Arabic" w:eastAsia="Arial" w:hAnsi="Simplified Arabic" w:cs="Simplified Arabic"/>
        </w:rPr>
      </w:pPr>
      <w:r w:rsidRPr="00FF3463">
        <w:rPr>
          <w:rFonts w:ascii="Simplified Arabic" w:eastAsia="Arial" w:hAnsi="Simplified Arabic" w:cs="Simplified Arabic"/>
          <w:rtl/>
        </w:rPr>
        <w:t>اعتمد الباحث في قياس الثبات ثلاثة مؤشرات متكاملة تناسب أسلوب التحليل: معامل ألفا كرونباخ (Cronbach's Alpha)، والثبات المركب (CR)، ومعامل (rho_A) الذي يُعدّ تقديرًا أكثر دقة للاتساق الداخلي في نمذجة PLS-SEM مقارنة بألفا كرونباخ وحده؛ ويُعدّ المتغير مقبول الثبات إذا بلغ كل من هذه المؤشرات (0.70) فأكثر (Hair et al., 2022).</w:t>
      </w:r>
    </w:p>
    <w:p w14:paraId="076D4AA2"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(3-8): مؤشرات الصدق والثبات المعتمدة وقيمها المرجعية</w:t>
      </w:r>
    </w:p>
    <w:tbl>
      <w:tblPr>
        <w:bidiVisual/>
        <w:tblW w:w="7000" w:type="dxa"/>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600"/>
        <w:gridCol w:w="2400"/>
      </w:tblGrid>
      <w:tr w:rsidR="00F035EA" w:rsidRPr="00FF3463" w14:paraId="67A0AB9E" w14:textId="77777777" w:rsidTr="0085711F">
        <w:tc>
          <w:tcPr>
            <w:tcW w:w="2000" w:type="dxa"/>
            <w:shd w:val="clear" w:color="auto" w:fill="D9D9D9"/>
            <w:tcMar>
              <w:top w:w="80" w:type="dxa"/>
              <w:left w:w="100" w:type="dxa"/>
              <w:bottom w:w="80" w:type="dxa"/>
              <w:right w:w="100" w:type="dxa"/>
            </w:tcMar>
            <w:vAlign w:val="center"/>
          </w:tcPr>
          <w:p w14:paraId="06D4CB7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المؤشر</w:t>
            </w:r>
          </w:p>
        </w:tc>
        <w:tc>
          <w:tcPr>
            <w:tcW w:w="2600" w:type="dxa"/>
            <w:shd w:val="clear" w:color="auto" w:fill="D9D9D9"/>
            <w:tcMar>
              <w:top w:w="80" w:type="dxa"/>
              <w:left w:w="100" w:type="dxa"/>
              <w:bottom w:w="80" w:type="dxa"/>
              <w:right w:w="100" w:type="dxa"/>
            </w:tcMar>
            <w:vAlign w:val="center"/>
          </w:tcPr>
          <w:p w14:paraId="2C8E91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الغرض</w:t>
            </w:r>
          </w:p>
        </w:tc>
        <w:tc>
          <w:tcPr>
            <w:tcW w:w="2400" w:type="dxa"/>
            <w:shd w:val="clear" w:color="auto" w:fill="D9D9D9"/>
            <w:tcMar>
              <w:top w:w="80" w:type="dxa"/>
              <w:left w:w="100" w:type="dxa"/>
              <w:bottom w:w="80" w:type="dxa"/>
              <w:right w:w="100" w:type="dxa"/>
            </w:tcMar>
            <w:vAlign w:val="center"/>
          </w:tcPr>
          <w:p w14:paraId="74687D6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القيمة المرجعية</w:t>
            </w:r>
          </w:p>
        </w:tc>
      </w:tr>
      <w:tr w:rsidR="00F035EA" w:rsidRPr="00FF3463" w14:paraId="41E980E0" w14:textId="77777777" w:rsidTr="0085711F">
        <w:tc>
          <w:tcPr>
            <w:tcW w:w="2000" w:type="dxa"/>
            <w:tcMar>
              <w:top w:w="80" w:type="dxa"/>
              <w:left w:w="100" w:type="dxa"/>
              <w:bottom w:w="80" w:type="dxa"/>
              <w:right w:w="100" w:type="dxa"/>
            </w:tcMar>
            <w:vAlign w:val="center"/>
          </w:tcPr>
          <w:p w14:paraId="19E4B1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Cronbach's Alpha</w:t>
            </w:r>
          </w:p>
        </w:tc>
        <w:tc>
          <w:tcPr>
            <w:tcW w:w="2600" w:type="dxa"/>
            <w:tcMar>
              <w:top w:w="80" w:type="dxa"/>
              <w:left w:w="100" w:type="dxa"/>
              <w:bottom w:w="80" w:type="dxa"/>
              <w:right w:w="100" w:type="dxa"/>
            </w:tcMar>
            <w:vAlign w:val="center"/>
          </w:tcPr>
          <w:p w14:paraId="7573B0B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الاتساق الداخلي (الثبات)</w:t>
            </w:r>
          </w:p>
        </w:tc>
        <w:tc>
          <w:tcPr>
            <w:tcW w:w="2400" w:type="dxa"/>
            <w:tcMar>
              <w:top w:w="80" w:type="dxa"/>
              <w:left w:w="100" w:type="dxa"/>
              <w:bottom w:w="80" w:type="dxa"/>
              <w:right w:w="100" w:type="dxa"/>
            </w:tcMar>
            <w:vAlign w:val="center"/>
          </w:tcPr>
          <w:p w14:paraId="724E539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5B7BC399" w14:textId="77777777" w:rsidTr="0085711F">
        <w:tc>
          <w:tcPr>
            <w:tcW w:w="2000" w:type="dxa"/>
            <w:tcMar>
              <w:top w:w="80" w:type="dxa"/>
              <w:left w:w="100" w:type="dxa"/>
              <w:bottom w:w="80" w:type="dxa"/>
              <w:right w:w="100" w:type="dxa"/>
            </w:tcMar>
            <w:vAlign w:val="center"/>
          </w:tcPr>
          <w:p w14:paraId="3601F40E"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rho_A</w:t>
            </w:r>
          </w:p>
        </w:tc>
        <w:tc>
          <w:tcPr>
            <w:tcW w:w="2600" w:type="dxa"/>
            <w:tcMar>
              <w:top w:w="80" w:type="dxa"/>
              <w:left w:w="100" w:type="dxa"/>
              <w:bottom w:w="80" w:type="dxa"/>
              <w:right w:w="100" w:type="dxa"/>
            </w:tcMar>
            <w:vAlign w:val="center"/>
          </w:tcPr>
          <w:p w14:paraId="03FC9F65"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تقدير إضافي دقيق للاتساق الداخلي</w:t>
            </w:r>
          </w:p>
        </w:tc>
        <w:tc>
          <w:tcPr>
            <w:tcW w:w="2400" w:type="dxa"/>
            <w:tcMar>
              <w:top w:w="80" w:type="dxa"/>
              <w:left w:w="100" w:type="dxa"/>
              <w:bottom w:w="80" w:type="dxa"/>
              <w:right w:w="100" w:type="dxa"/>
            </w:tcMar>
            <w:vAlign w:val="center"/>
          </w:tcPr>
          <w:p w14:paraId="0D7BA52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w:t>
            </w:r>
          </w:p>
        </w:tc>
      </w:tr>
      <w:tr w:rsidR="00F035EA" w:rsidRPr="00FF3463" w14:paraId="636826EB" w14:textId="77777777" w:rsidTr="0085711F">
        <w:tc>
          <w:tcPr>
            <w:tcW w:w="2000" w:type="dxa"/>
            <w:tcMar>
              <w:top w:w="80" w:type="dxa"/>
              <w:left w:w="100" w:type="dxa"/>
              <w:bottom w:w="80" w:type="dxa"/>
              <w:right w:w="100" w:type="dxa"/>
            </w:tcMar>
            <w:vAlign w:val="center"/>
          </w:tcPr>
          <w:p w14:paraId="360BBD2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lastRenderedPageBreak/>
              <w:t>Composite Reliability (CR)</w:t>
            </w:r>
          </w:p>
        </w:tc>
        <w:tc>
          <w:tcPr>
            <w:tcW w:w="2600" w:type="dxa"/>
            <w:tcMar>
              <w:top w:w="80" w:type="dxa"/>
              <w:left w:w="100" w:type="dxa"/>
              <w:bottom w:w="80" w:type="dxa"/>
              <w:right w:w="100" w:type="dxa"/>
            </w:tcMar>
            <w:vAlign w:val="center"/>
          </w:tcPr>
          <w:p w14:paraId="7B63F1E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الثبات المركب للمتغير</w:t>
            </w:r>
          </w:p>
        </w:tc>
        <w:tc>
          <w:tcPr>
            <w:tcW w:w="2400" w:type="dxa"/>
            <w:tcMar>
              <w:top w:w="80" w:type="dxa"/>
              <w:left w:w="100" w:type="dxa"/>
              <w:bottom w:w="80" w:type="dxa"/>
              <w:right w:w="100" w:type="dxa"/>
            </w:tcMar>
            <w:vAlign w:val="center"/>
          </w:tcPr>
          <w:p w14:paraId="444342D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1E834A1C" w14:textId="77777777" w:rsidTr="0085711F">
        <w:tc>
          <w:tcPr>
            <w:tcW w:w="2000" w:type="dxa"/>
            <w:tcMar>
              <w:top w:w="80" w:type="dxa"/>
              <w:left w:w="100" w:type="dxa"/>
              <w:bottom w:w="80" w:type="dxa"/>
              <w:right w:w="100" w:type="dxa"/>
            </w:tcMar>
            <w:vAlign w:val="center"/>
          </w:tcPr>
          <w:p w14:paraId="2DA9E60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Average Variance Extracted (AVE)</w:t>
            </w:r>
          </w:p>
        </w:tc>
        <w:tc>
          <w:tcPr>
            <w:tcW w:w="2600" w:type="dxa"/>
            <w:tcMar>
              <w:top w:w="80" w:type="dxa"/>
              <w:left w:w="100" w:type="dxa"/>
              <w:bottom w:w="80" w:type="dxa"/>
              <w:right w:w="100" w:type="dxa"/>
            </w:tcMar>
            <w:vAlign w:val="center"/>
          </w:tcPr>
          <w:p w14:paraId="69EA808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الصدق التقاربي</w:t>
            </w:r>
          </w:p>
        </w:tc>
        <w:tc>
          <w:tcPr>
            <w:tcW w:w="2400" w:type="dxa"/>
            <w:tcMar>
              <w:top w:w="80" w:type="dxa"/>
              <w:left w:w="100" w:type="dxa"/>
              <w:bottom w:w="80" w:type="dxa"/>
              <w:right w:w="100" w:type="dxa"/>
            </w:tcMar>
            <w:vAlign w:val="center"/>
          </w:tcPr>
          <w:p w14:paraId="6451505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0.50 فأكثر</w:t>
            </w:r>
          </w:p>
        </w:tc>
      </w:tr>
      <w:tr w:rsidR="00F035EA" w:rsidRPr="00FF3463" w14:paraId="74539ED6" w14:textId="77777777" w:rsidTr="0085711F">
        <w:tc>
          <w:tcPr>
            <w:tcW w:w="2000" w:type="dxa"/>
            <w:tcMar>
              <w:top w:w="80" w:type="dxa"/>
              <w:left w:w="100" w:type="dxa"/>
              <w:bottom w:w="80" w:type="dxa"/>
              <w:right w:w="100" w:type="dxa"/>
            </w:tcMar>
            <w:vAlign w:val="center"/>
          </w:tcPr>
          <w:p w14:paraId="2DBED25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HTMT (مع فترة الثقة)</w:t>
            </w:r>
          </w:p>
        </w:tc>
        <w:tc>
          <w:tcPr>
            <w:tcW w:w="2600" w:type="dxa"/>
            <w:tcMar>
              <w:top w:w="80" w:type="dxa"/>
              <w:left w:w="100" w:type="dxa"/>
              <w:bottom w:w="80" w:type="dxa"/>
              <w:right w:w="100" w:type="dxa"/>
            </w:tcMar>
            <w:vAlign w:val="center"/>
          </w:tcPr>
          <w:p w14:paraId="0C990A7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w:t>
            </w:r>
          </w:p>
        </w:tc>
        <w:tc>
          <w:tcPr>
            <w:tcW w:w="2400" w:type="dxa"/>
            <w:tcMar>
              <w:top w:w="80" w:type="dxa"/>
              <w:left w:w="100" w:type="dxa"/>
              <w:bottom w:w="80" w:type="dxa"/>
              <w:right w:w="100" w:type="dxa"/>
            </w:tcMar>
            <w:vAlign w:val="center"/>
          </w:tcPr>
          <w:p w14:paraId="6634029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0.85 فأقل، ولا تحتوي فترة الثقة على 1</w:t>
            </w:r>
          </w:p>
        </w:tc>
      </w:tr>
      <w:tr w:rsidR="00F035EA" w:rsidRPr="00FF3463" w14:paraId="50F46007" w14:textId="77777777" w:rsidTr="0085711F">
        <w:tc>
          <w:tcPr>
            <w:tcW w:w="2000" w:type="dxa"/>
            <w:tcMar>
              <w:top w:w="80" w:type="dxa"/>
              <w:left w:w="100" w:type="dxa"/>
              <w:bottom w:w="80" w:type="dxa"/>
              <w:right w:w="100" w:type="dxa"/>
            </w:tcMar>
            <w:vAlign w:val="center"/>
          </w:tcPr>
          <w:p w14:paraId="470164F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تشبّع الفقرة (Outer Loading)</w:t>
            </w:r>
          </w:p>
        </w:tc>
        <w:tc>
          <w:tcPr>
            <w:tcW w:w="2600" w:type="dxa"/>
            <w:tcMar>
              <w:top w:w="80" w:type="dxa"/>
              <w:left w:w="100" w:type="dxa"/>
              <w:bottom w:w="80" w:type="dxa"/>
              <w:right w:w="100" w:type="dxa"/>
            </w:tcMar>
            <w:vAlign w:val="center"/>
          </w:tcPr>
          <w:p w14:paraId="1B8C114F"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ارتباط الفقرة بمتغيرها</w:t>
            </w:r>
          </w:p>
        </w:tc>
        <w:tc>
          <w:tcPr>
            <w:tcW w:w="2400" w:type="dxa"/>
            <w:tcMar>
              <w:top w:w="80" w:type="dxa"/>
              <w:left w:w="100" w:type="dxa"/>
              <w:bottom w:w="80" w:type="dxa"/>
              <w:right w:w="100" w:type="dxa"/>
            </w:tcMar>
            <w:vAlign w:val="center"/>
          </w:tcPr>
          <w:p w14:paraId="6780BD8B"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 (وفق قاعدة الاحتفاظ/الحذف أعلاه للقيم 0.40–0.70)</w:t>
            </w:r>
          </w:p>
        </w:tc>
      </w:tr>
    </w:tbl>
    <w:p w14:paraId="4A14C0E9" w14:textId="77777777" w:rsidR="00F035EA" w:rsidRPr="00FF3463" w:rsidRDefault="00F035EA" w:rsidP="00F035EA">
      <w:pPr>
        <w:bidi/>
        <w:spacing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وتمييزًا لمصدر كل مؤشر: ستُستخرَج المؤشرات الأولية للاتساق الداخلي (ألفا كرونباخ المبدئي ومعامل ارتباط الفقرة بالدرجة الكلية) من العينة الاستطلاعية، بينما تُحسَب جميع مؤشرات نموذج القياس الكاملة (التحميلات الخارجية، وCR، وrho_A، وAVE، وHTMT) من بيانات العينة الأساسية عبر برنامج SmartPLS.</w:t>
      </w:r>
    </w:p>
    <w:p w14:paraId="193998B8"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إجراءات التعامل مع فشل أحد المؤشرات</w:t>
      </w:r>
    </w:p>
    <w:p w14:paraId="51A477CD" w14:textId="77777777" w:rsidR="00F035EA" w:rsidRDefault="00F035EA" w:rsidP="00F035EA">
      <w:pPr>
        <w:bidi/>
        <w:spacing w:before="300" w:after="150" w:line="240" w:lineRule="auto"/>
        <w:outlineLvl w:val="1"/>
        <w:rPr>
          <w:rFonts w:ascii="Simplified Arabic" w:eastAsia="Arial" w:hAnsi="Simplified Arabic" w:cs="Simplified Arabic"/>
          <w:b/>
          <w:bCs/>
          <w:color w:val="EE0000"/>
          <w:u w:val="single"/>
          <w:rtl/>
        </w:rPr>
      </w:pPr>
      <w:r w:rsidRPr="00FF3463">
        <w:rPr>
          <w:rFonts w:ascii="Simplified Arabic" w:eastAsia="Arial" w:hAnsi="Simplified Arabic" w:cs="Simplified Arabic"/>
          <w:color w:val="EE0000"/>
          <w:rtl/>
        </w:rPr>
        <w:t>سيختلف الإجراء بحسب مرحلة الدراسة. ففي مرحلة الدراسة الاستطلاعية، إذا أظهرت مؤشرات الاتساق الداخلي أو ارتباط الفقرات بالدرجة الكلية وجود فقرة ضعيفة، يجوز تعديل صياغتها أو حذفها أو استبدالها قبل اعتماد النسخة النهائية للأداة. أما بعد جمع بيانات العينة الأساسية، فلن تُعاد صياغة أي فقرة أو تُستبدل بفقرة جديدة اعتمادًا على النتائج الإحصائية؛ وإنما تقتصر المعالجة على دراسة حذف الفقرات الضعيفة وفق قواعد التحميلات الخارجية والثبات والصدق المحددة مسبقًا، شريطة ألا يؤدي الحذف إلى إضعاف التغطية المفاهيمية للمتغير. وستوثق جميع قرارات الحذف وأسبابها والقيم الإحصائية التي استندت إليها. وإذا تعذر الوصول إلى نموذج قياس مقبول دون الإخلال بالمحتوى المفاهيمي، فستُعرض المشكلة بوصفها قيدًا في القياس بدل معالجة الفشل بإضافة فقرات لم تُجمع عنها بيانات.</w:t>
      </w:r>
    </w:p>
    <w:p w14:paraId="4935522C" w14:textId="77777777" w:rsidR="00D73443" w:rsidRPr="00FF3463" w:rsidRDefault="00D73443" w:rsidP="00D73443">
      <w:pPr>
        <w:bidi/>
        <w:spacing w:before="300" w:after="150" w:line="240" w:lineRule="auto"/>
        <w:outlineLvl w:val="1"/>
        <w:rPr>
          <w:rFonts w:ascii="Simplified Arabic" w:eastAsia="Arial" w:hAnsi="Simplified Arabic" w:cs="Simplified Arabic"/>
          <w:b/>
          <w:bCs/>
          <w:color w:val="EE0000"/>
          <w:u w:val="single"/>
          <w:rtl/>
        </w:rPr>
      </w:pPr>
    </w:p>
    <w:p w14:paraId="2D94CCB7"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أساليب المعالجة الإحصائية</w:t>
      </w:r>
    </w:p>
    <w:p w14:paraId="407E48C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hAnsi="Simplified Arabic" w:cs="Simplified Arabic"/>
          <w:rtl/>
        </w:rPr>
        <w:t xml:space="preserve"> </w:t>
      </w:r>
      <w:r w:rsidRPr="00B71AAA">
        <w:rPr>
          <w:rFonts w:ascii="Simplified Arabic" w:eastAsia="Arial" w:hAnsi="Simplified Arabic" w:cs="Simplified Arabic"/>
          <w:color w:val="EE0000"/>
          <w:rtl/>
        </w:rPr>
        <w:t>ستُستخدَم برمجيتان متكاملتان في المعالجة: برنامج (SPSS) الإصدار (29) أو الإصدار الأحدث المتاح وقت التحليل، لأغراض ترميز البيانات وتنظيفها وإجراء الإحصاء الوصفي (التكرارات والنسب والمتوسطات والانحرافات المعيارية)؛ وبرنامج (SmartPLS) الإصدار (4.1) أو أحدث، لتقييم نموذج القياس والنموذج الهيكلي واختبار الفرضيات عبر نمذجة المعادلات البنائية بالمربعات الصغرى الجزئية (PLS-SEM)، بما يسمح بتكرار الإجراءات والتحقق منها.</w:t>
      </w:r>
    </w:p>
    <w:p w14:paraId="47BA819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ويناسب أسلوب PLS-SEM النماذج التفسيرية متعددة العلاقات، إذ يقدر العلاقات مجتمعة ويختبر أثري الوساطة والتعديل، ولا يشترط التوزيع الطبيعي للبيانات أو حجم عينة كبيرًا كما هي الحال في الأساليب القائمة على التغاير (Hair et al., 2022).</w:t>
      </w:r>
    </w:p>
    <w:p w14:paraId="59093C8A"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lastRenderedPageBreak/>
        <w:t>تنظيف البيانات وتجهيزها للتحليل</w:t>
      </w:r>
    </w:p>
    <w:p w14:paraId="5264620F"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قبل الشروع في التحليل، ستخضع البيانات المجمَّعة لعملية فحص وتنظيف منهجية على النحو التالي:</w:t>
      </w:r>
    </w:p>
    <w:p w14:paraId="7012B0D0"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المفقودة: ستُفحص كمية القيم المفقودة ونمطها على مستوى كل مؤشر وكل استجابة قبل إجراء التحليل. وإذا كانت نسبة القيم المفقودة أقل من (5%) لكل مؤشر وظهر أنها موزعة عشوائيًا دون نمط منهجي، فيجوز استخدام التعويض بمتوسط المؤشر (</w:t>
      </w:r>
      <w:r w:rsidRPr="00B71AAA">
        <w:rPr>
          <w:rFonts w:ascii="Simplified Arabic" w:eastAsia="Arial" w:hAnsi="Simplified Arabic" w:cs="Simplified Arabic"/>
          <w:color w:val="EE0000"/>
        </w:rPr>
        <w:t>Mean Replacement</w:t>
      </w:r>
      <w:r w:rsidRPr="00B71AAA">
        <w:rPr>
          <w:rFonts w:ascii="Simplified Arabic" w:eastAsia="Arial" w:hAnsi="Simplified Arabic" w:cs="Simplified Arabic"/>
          <w:color w:val="EE0000"/>
          <w:rtl/>
        </w:rPr>
        <w:t xml:space="preserve">) وفق مبررات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أما إذا تجاوز الفقد هذا المستوى أو أظهر نمطًا غير عشوائي، فلن يُستخدم التعويض بالمتوسط تلقائيًا، بل ستُفحص آلية الفقد ويُنظر في بدائل أكثر ملاءمة، مثل الاستبعاد على مستوى الحالة عندما يكون عدد الحالات المتأثرة محدودًا، أو التعويض المتعدد باستخدام </w:t>
      </w:r>
      <w:r w:rsidRPr="00B71AAA">
        <w:rPr>
          <w:rFonts w:ascii="Simplified Arabic" w:eastAsia="Arial" w:hAnsi="Simplified Arabic" w:cs="Simplified Arabic"/>
          <w:color w:val="EE0000"/>
        </w:rPr>
        <w:t>SPSS</w:t>
      </w:r>
      <w:r w:rsidRPr="00B71AAA">
        <w:rPr>
          <w:rFonts w:ascii="Simplified Arabic" w:eastAsia="Arial" w:hAnsi="Simplified Arabic" w:cs="Simplified Arabic"/>
          <w:color w:val="EE0000"/>
          <w:rtl/>
        </w:rPr>
        <w:t xml:space="preserve"> عند الحاجة. كما ستُراجع الحالات أو المؤشرات التي تتجاوز فيها القيم المفقودة نسبة (15%) تمهيدًا لاتخاذ قرار مبرر بشأن استبعادها، مع توثيق جميع الإجراءات في التقرير النهائي.</w:t>
      </w:r>
    </w:p>
    <w:p w14:paraId="181613D3"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المتطرفة (Outliers): تُكتشف عبر مسافة ماهالانوبيس (Mahalanobis Distance) على مستوى المحاور، ويُدعَّم الفحص بمخططات الصندوق (Box Plots) ودرجات z للفقرات المفردة؛ وتُراجَع الاستجابات الشاذة يدويًا قبل قرار استبعادها.</w:t>
      </w:r>
    </w:p>
    <w:p w14:paraId="22034DA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النمطية أو غير الجادة: تُستخدم ثلاثة مؤشرات مجتمعة لا مؤشر واحد: التباين شبه المعدوم بين إجابات المشارك عبر جميع الفقرات (اختيار الدرجة نفسها)، والتناقض مع فقرتي التحقق من الانتباه، وزمن الإكمال غير المنطقي؛ وتُستبعد الاستجابة إذا تحقق فيها مؤشران من الثلاثة معًا.</w:t>
      </w:r>
    </w:p>
    <w:p w14:paraId="73C7153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الحد الأدنى لزمن الإجابة: يُقدَّر الزمن الطبيعي من متوسط زمن إكمال الدراسة الاستطلاعية، وتُراجَع الاستجابات المكتملة في أقل من ثلث هذا المتوسط تمهيدًا لاستبعادها إذا اقترن ذلك بمؤشر آخر من مؤشرات عدم الجدية.</w:t>
      </w:r>
    </w:p>
    <w:p w14:paraId="37861AD4"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المكررة: يُفحَص التكرار باستخدام رمز الجلسة المجهول الذي تولّده المنصة تلقائيًا وطابعها الزمني، مع احترام خصوصية المشاركين وعدم جمع أي بيانات تعريفية شخصية.</w:t>
      </w:r>
    </w:p>
    <w:p w14:paraId="2EBFF8E1"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غير المستوفية لشروط الأهلية أو غير المكتملة لمحاور الأداة: تُستبعد بالكامل من قاعدة البيانات النهائية.</w:t>
      </w:r>
    </w:p>
    <w:p w14:paraId="15BB9C9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وبعد اكتمال هذه الخطوات، ستُعتمَد قاعدة البيانات النهائية التي يُبنى عليها تقييم نموذج القياس ثم النموذج الهيكلي.</w:t>
      </w:r>
    </w:p>
    <w:p w14:paraId="59741ACF"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دليل ترميز البيانات</w:t>
      </w:r>
    </w:p>
    <w:p w14:paraId="563566F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سيُعَدّ دليل ترميز شامل (ملحق ج) يوضح رمز كل سؤال وفقرة، والقيم الرقمية المخصصة لكل فئة من فئات الإجابة، ومعالجة الأسئلة متعددة الاختيار (P8 وP10) عبر متغيرات ثنائية منفصلة (Dummy Variables) لكل خيار، وأي فقرات تحتاج إلى إعادة ترميز (Reverse Coding) إن استُحدثت، وذلك لضمان إمكانية تتبّع عملية الترميز والتحقق منها لاحقًا.</w:t>
      </w:r>
    </w:p>
    <w:p w14:paraId="59BCF869"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lastRenderedPageBreak/>
        <w:t>فحص تحيز الطريقة المشتركة</w:t>
      </w:r>
    </w:p>
    <w:p w14:paraId="4192C1B1"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لأن بيانات الدراسة ستُجمع من مصدر واحد وبأداة واحدة هي الاستبانة، فقد يظهر ما يُعرف بتحيز الطريقة المشتركة الذي قد يضخّم العلاقات بين المتغيرات (Podsakoff et al., 2003). وللحدّ من هذا الاحتمال، اعتُمدت أولًا إجراءات وقائية في تصميم الاستبانة نفسها، منها: ضمان سرية الاستجابات وعدم جمع بيانات تعريفية شخصية، وتوضيح صياغة الفقرات وتجنّب الغموض، والفصل المنطقي بصريًا بين أقسام الاستبانة الثلاثة (الأهلية، ومحاور القياس، والبيانات الوصفية) بحيث لا يستنتج المشارك الروابط النظرية المفترضة بين المحاور.</w:t>
      </w:r>
    </w:p>
    <w:p w14:paraId="361D6C3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وإلى جانب هذه الإجراءات الوقائية، ستُستخدَم اختبارات إحصائية لاحقة مكمِّلة لا بديلة عنها: اختبار العامل الوحيد لهارمان (Harman's Single-Factor Test) للتأكد من أن عاملًا واحدًا لا يفسر النسبة الأكبر من التباين الكلي، إلى جانب فحص الارتباط الخطي الكلي القائم على معاملات تضخم التباين (Full Collinearity VIF) في بيئة PLS-SEM؛ وتُفسَّر القيم الأدنى من (3.3) بوصفها مؤشرًا مساعدًا يدعم عدم وجود تحيز طريقة مشتركة حادّ، لا دليلًا قاطعًا على خلو البيانات كليًا من هذا التحيز (Kock, 2015).</w:t>
      </w:r>
    </w:p>
    <w:p w14:paraId="21CCFCFB"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الأساليب الوصفية</w:t>
      </w:r>
    </w:p>
    <w:p w14:paraId="5011E6D9"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تُستعمل لوصف خصائص أفراد العينة واستجاباتهم، وتشمل التكرارات والنسب المئوية لوصف المتغيرات الشخصية والوظيفية، والمتوسطات الحسابية والانحرافات المعيارية لتحديد مستوى استجابة العينة على الفقرات والمحاور وترتيبها.</w:t>
      </w:r>
    </w:p>
    <w:p w14:paraId="59D1FF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نموذج القياس</w:t>
      </w:r>
    </w:p>
    <w:p w14:paraId="6842D3B1" w14:textId="77777777" w:rsidR="00F035E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يُقصد به التحقق من جودة قياس المتغيرات الكامنة عبر فقراتها، ويشمل فحص التحميلات الخارجية، ومعاملات ألفا كرونباخ وrho_A والثبات المركب للاتساق الداخلي، ومتوسط التباين المستخرج (AVE) للصدق التقاربي، واختبار (HTMT) مع فترات ثقته للصدق التمايزي، وفق القيم المرجعية والإجراءات الموضحة سابقًا، باستخدام بيانات العينة الأساسية.</w:t>
      </w:r>
    </w:p>
    <w:p w14:paraId="588CB4CB" w14:textId="77777777" w:rsidR="00D73443" w:rsidRDefault="00D73443" w:rsidP="00D73443">
      <w:pPr>
        <w:bidi/>
        <w:spacing w:line="300" w:lineRule="auto"/>
        <w:rPr>
          <w:rFonts w:ascii="Simplified Arabic" w:eastAsia="Arial" w:hAnsi="Simplified Arabic" w:cs="Simplified Arabic"/>
          <w:color w:val="EE0000"/>
          <w:rtl/>
        </w:rPr>
      </w:pPr>
    </w:p>
    <w:p w14:paraId="068699D3" w14:textId="77777777" w:rsidR="0006433B" w:rsidRDefault="0006433B" w:rsidP="0006433B">
      <w:pPr>
        <w:bidi/>
        <w:spacing w:line="300" w:lineRule="auto"/>
        <w:rPr>
          <w:rFonts w:ascii="Simplified Arabic" w:eastAsia="Arial" w:hAnsi="Simplified Arabic" w:cs="Simplified Arabic"/>
          <w:color w:val="EE0000"/>
          <w:rtl/>
        </w:rPr>
      </w:pPr>
    </w:p>
    <w:p w14:paraId="186E3D11" w14:textId="77777777" w:rsidR="00D73443" w:rsidRPr="00B71AAA" w:rsidRDefault="00D73443" w:rsidP="00D73443">
      <w:pPr>
        <w:bidi/>
        <w:spacing w:line="300" w:lineRule="auto"/>
        <w:rPr>
          <w:rFonts w:ascii="Simplified Arabic" w:eastAsia="Arial" w:hAnsi="Simplified Arabic" w:cs="Simplified Arabic"/>
          <w:color w:val="EE0000"/>
        </w:rPr>
      </w:pPr>
    </w:p>
    <w:p w14:paraId="66C02E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النموذج الهيكلي واختبار الفرضيات</w:t>
      </w:r>
    </w:p>
    <w:p w14:paraId="75C3DDDA"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يُقصد به اختبار العلاقات بين المتغيرات، ويشمل تقييم النموذج الهيكلي تقدير معاملات المسار (</w:t>
      </w:r>
      <w:r w:rsidRPr="00B71AAA">
        <w:rPr>
          <w:rFonts w:ascii="Simplified Arabic" w:eastAsia="Arial" w:hAnsi="Simplified Arabic" w:cs="Simplified Arabic"/>
          <w:color w:val="EE0000"/>
        </w:rPr>
        <w:t>Path Coefficients</w:t>
      </w:r>
      <w:r w:rsidRPr="00B71AAA">
        <w:rPr>
          <w:rFonts w:ascii="Simplified Arabic" w:eastAsia="Arial" w:hAnsi="Simplified Arabic" w:cs="Simplified Arabic"/>
          <w:color w:val="EE0000"/>
          <w:rtl/>
        </w:rPr>
        <w:t>) واختبار دلالتها باستخدام إجراء إعادة المعاينة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بعدد (10,000) عينة فرعية عند مستوى ثقة (95%)، مع استخدام قيمة ثابتة لمولد الأرقام العشوائية (</w:t>
      </w:r>
      <w:r w:rsidRPr="00B71AAA">
        <w:rPr>
          <w:rFonts w:ascii="Simplified Arabic" w:eastAsia="Arial" w:hAnsi="Simplified Arabic" w:cs="Simplified Arabic"/>
          <w:color w:val="EE0000"/>
        </w:rPr>
        <w:t>Fixed Seed</w:t>
      </w:r>
      <w:r w:rsidRPr="00B71AAA">
        <w:rPr>
          <w:rFonts w:ascii="Simplified Arabic" w:eastAsia="Arial" w:hAnsi="Simplified Arabic" w:cs="Simplified Arabic"/>
          <w:color w:val="EE0000"/>
          <w:rtl/>
        </w:rPr>
        <w:t xml:space="preserve">) لدعم قابلية تكرار النتائج، واعتماد فترات الثقة غير </w:t>
      </w:r>
      <w:r w:rsidRPr="00B71AAA">
        <w:rPr>
          <w:rFonts w:ascii="Simplified Arabic" w:eastAsia="Arial" w:hAnsi="Simplified Arabic" w:cs="Simplified Arabic"/>
          <w:color w:val="EE0000"/>
          <w:rtl/>
        </w:rPr>
        <w:lastRenderedPageBreak/>
        <w:t xml:space="preserve">المعلمية المناسبة التي يوفرها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ومنها فترة الثقة المصححة للتحيز والمتسارعة (</w:t>
      </w:r>
      <w:proofErr w:type="spellStart"/>
      <w:r w:rsidRPr="00B71AAA">
        <w:rPr>
          <w:rFonts w:ascii="Simplified Arabic" w:eastAsia="Arial" w:hAnsi="Simplified Arabic" w:cs="Simplified Arabic"/>
          <w:color w:val="EE0000"/>
        </w:rPr>
        <w:t>BCa</w:t>
      </w:r>
      <w:proofErr w:type="spellEnd"/>
      <w:r w:rsidRPr="00B71AAA">
        <w:rPr>
          <w:rFonts w:ascii="Simplified Arabic" w:eastAsia="Arial" w:hAnsi="Simplified Arabic" w:cs="Simplified Arabic"/>
          <w:color w:val="EE0000"/>
          <w:rtl/>
        </w:rPr>
        <w:t>) عند اعتمادها في التحليل النهائي.</w:t>
      </w:r>
    </w:p>
    <w:p w14:paraId="7622E4BC"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وتكميلاً لتقييم النموذج الهيكلي، ستُفحص أحجام الأثر (</w:t>
      </w:r>
      <w:r w:rsidRPr="00B71AAA">
        <w:rPr>
          <w:rFonts w:ascii="Simplified Arabic" w:eastAsia="Arial" w:hAnsi="Simplified Arabic" w:cs="Simplified Arabic"/>
          <w:color w:val="EE0000"/>
        </w:rPr>
        <w:t>f²</w:t>
      </w:r>
      <w:r w:rsidRPr="00B71AAA">
        <w:rPr>
          <w:rFonts w:ascii="Simplified Arabic" w:eastAsia="Arial" w:hAnsi="Simplified Arabic" w:cs="Simplified Arabic"/>
          <w:color w:val="EE0000"/>
          <w:rtl/>
        </w:rPr>
        <w:t xml:space="preserve">) للمسارات التفسيرية، كما ستُقيَّم القدرة التنبؤية خارج العينة باستخدام إجراء </w:t>
      </w:r>
      <w:proofErr w:type="spellStart"/>
      <w:r w:rsidRPr="00B71AAA">
        <w:rPr>
          <w:rFonts w:ascii="Simplified Arabic" w:eastAsia="Arial" w:hAnsi="Simplified Arabic" w:cs="Simplified Arabic"/>
          <w:color w:val="EE0000"/>
        </w:rPr>
        <w:t>PLSpredict</w:t>
      </w:r>
      <w:proofErr w:type="spellEnd"/>
      <w:r w:rsidRPr="00B71AAA">
        <w:rPr>
          <w:rFonts w:ascii="Simplified Arabic" w:eastAsia="Arial" w:hAnsi="Simplified Arabic" w:cs="Simplified Arabic"/>
          <w:color w:val="EE0000"/>
          <w:rtl/>
        </w:rPr>
        <w:t xml:space="preserve"> في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بالاعتماد على التحقق المتقاطع ذي العشر طيات (10-</w:t>
      </w:r>
      <w:r w:rsidRPr="00B71AAA">
        <w:rPr>
          <w:rFonts w:ascii="Simplified Arabic" w:eastAsia="Arial" w:hAnsi="Simplified Arabic" w:cs="Simplified Arabic"/>
          <w:color w:val="EE0000"/>
        </w:rPr>
        <w:t>fold cross-validation</w:t>
      </w:r>
      <w:r w:rsidRPr="00B71AAA">
        <w:rPr>
          <w:rFonts w:ascii="Simplified Arabic" w:eastAsia="Arial" w:hAnsi="Simplified Arabic" w:cs="Simplified Arabic"/>
          <w:color w:val="EE0000"/>
          <w:rtl/>
        </w:rPr>
        <w:t xml:space="preserve">) مع عشر عمليات تكرار، وفحص قيم </w:t>
      </w:r>
      <w:r w:rsidRPr="00B71AAA">
        <w:rPr>
          <w:rFonts w:ascii="Simplified Arabic" w:eastAsia="Arial" w:hAnsi="Simplified Arabic" w:cs="Simplified Arabic"/>
          <w:color w:val="EE0000"/>
        </w:rPr>
        <w:t>Q²_predict</w:t>
      </w:r>
      <w:r w:rsidRPr="00B71AAA">
        <w:rPr>
          <w:rFonts w:ascii="Simplified Arabic" w:eastAsia="Arial" w:hAnsi="Simplified Arabic" w:cs="Simplified Arabic"/>
          <w:color w:val="EE0000"/>
          <w:rtl/>
        </w:rPr>
        <w:t xml:space="preserve"> ومؤشري الخطأ التنبؤي </w:t>
      </w:r>
      <w:r w:rsidRPr="00B71AAA">
        <w:rPr>
          <w:rFonts w:ascii="Simplified Arabic" w:eastAsia="Arial" w:hAnsi="Simplified Arabic" w:cs="Simplified Arabic"/>
          <w:color w:val="EE0000"/>
        </w:rPr>
        <w:t>RMSE</w:t>
      </w:r>
      <w:r w:rsidRPr="00B71AAA">
        <w:rPr>
          <w:rFonts w:ascii="Simplified Arabic" w:eastAsia="Arial" w:hAnsi="Simplified Arabic" w:cs="Simplified Arabic"/>
          <w:color w:val="EE0000"/>
          <w:rtl/>
        </w:rPr>
        <w:t xml:space="preserve"> و</w:t>
      </w:r>
      <w:r w:rsidRPr="00B71AAA">
        <w:rPr>
          <w:rFonts w:ascii="Simplified Arabic" w:eastAsia="Arial" w:hAnsi="Simplified Arabic" w:cs="Simplified Arabic"/>
          <w:color w:val="EE0000"/>
        </w:rPr>
        <w:t>MAE</w:t>
      </w:r>
      <w:r w:rsidRPr="00B71AAA">
        <w:rPr>
          <w:rFonts w:ascii="Simplified Arabic" w:eastAsia="Arial" w:hAnsi="Simplified Arabic" w:cs="Simplified Arabic"/>
          <w:color w:val="EE0000"/>
          <w:rtl/>
        </w:rPr>
        <w:t xml:space="preserve"> ومقارنتها بنتائج النموذج الخطي المرجعي (</w:t>
      </w:r>
      <w:r w:rsidRPr="00B71AAA">
        <w:rPr>
          <w:rFonts w:ascii="Simplified Arabic" w:eastAsia="Arial" w:hAnsi="Simplified Arabic" w:cs="Simplified Arabic"/>
          <w:color w:val="EE0000"/>
        </w:rPr>
        <w:t>LM</w:t>
      </w:r>
      <w:r w:rsidRPr="00B71AAA">
        <w:rPr>
          <w:rFonts w:ascii="Simplified Arabic" w:eastAsia="Arial" w:hAnsi="Simplified Arabic" w:cs="Simplified Arabic"/>
          <w:color w:val="EE0000"/>
          <w:rtl/>
        </w:rPr>
        <w:t>). كما سيُستفاد من اختبار القدرة التنبؤية المتحقق منها تقاطعيًا (</w:t>
      </w:r>
      <w:r w:rsidRPr="00B71AAA">
        <w:rPr>
          <w:rFonts w:ascii="Simplified Arabic" w:eastAsia="Arial" w:hAnsi="Simplified Arabic" w:cs="Simplified Arabic"/>
          <w:color w:val="EE0000"/>
        </w:rPr>
        <w:t>CVPAT</w:t>
      </w:r>
      <w:r w:rsidRPr="00B71AAA">
        <w:rPr>
          <w:rFonts w:ascii="Simplified Arabic" w:eastAsia="Arial" w:hAnsi="Simplified Arabic" w:cs="Simplified Arabic"/>
          <w:color w:val="EE0000"/>
          <w:rtl/>
        </w:rPr>
        <w:t xml:space="preserve">) بوصفه اختبارًا مكملًا للأداء التنبؤي عند الحاجة. وسيُعرض مؤشر </w:t>
      </w:r>
      <w:r w:rsidRPr="00B71AAA">
        <w:rPr>
          <w:rFonts w:ascii="Simplified Arabic" w:eastAsia="Arial" w:hAnsi="Simplified Arabic" w:cs="Simplified Arabic"/>
          <w:color w:val="EE0000"/>
        </w:rPr>
        <w:t>SRMR</w:t>
      </w:r>
      <w:r w:rsidRPr="00B71AAA">
        <w:rPr>
          <w:rFonts w:ascii="Simplified Arabic" w:eastAsia="Arial" w:hAnsi="Simplified Arabic" w:cs="Simplified Arabic"/>
          <w:color w:val="EE0000"/>
          <w:rtl/>
        </w:rPr>
        <w:t xml:space="preserve"> بوصفه مؤشرًا تشخيصيًا مساعدًا للملاءمة، لا معيارًا منفردًا للحكم على قبول نموذج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ككل.</w:t>
      </w:r>
    </w:p>
    <w:p w14:paraId="33ADF9C2"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 xml:space="preserve">وسيُختبر الدور الوسيط لجودة عملية التصميم من خلال تقدير الأثر غير المباشر لتوظيف الذكاء الاصطناعي التوليدي في فعالية الأداء التسويقي عبر جودة عملية التصميم، وفحص دلالته وفترة ثقته باستخدام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xml:space="preserve">. وبعد ذلك سيُحدد نمط النتيجة وفق تصنيف </w:t>
      </w:r>
      <w:r w:rsidRPr="00B71AAA">
        <w:rPr>
          <w:rFonts w:ascii="Simplified Arabic" w:eastAsia="Arial" w:hAnsi="Simplified Arabic" w:cs="Simplified Arabic"/>
          <w:color w:val="EE0000"/>
        </w:rPr>
        <w:t>Zhao et al</w:t>
      </w:r>
      <w:r w:rsidRPr="00B71AAA">
        <w:rPr>
          <w:rFonts w:ascii="Simplified Arabic" w:eastAsia="Arial" w:hAnsi="Simplified Arabic" w:cs="Simplified Arabic"/>
          <w:color w:val="EE0000"/>
          <w:rtl/>
        </w:rPr>
        <w:t>. (2010): وساطة غير مباشرة فقط (</w:t>
      </w:r>
      <w:r w:rsidRPr="00B71AAA">
        <w:rPr>
          <w:rFonts w:ascii="Simplified Arabic" w:eastAsia="Arial" w:hAnsi="Simplified Arabic" w:cs="Simplified Arabic"/>
          <w:color w:val="EE0000"/>
        </w:rPr>
        <w:t>Indirect-only Mediation</w:t>
      </w:r>
      <w:r w:rsidRPr="00B71AAA">
        <w:rPr>
          <w:rFonts w:ascii="Simplified Arabic" w:eastAsia="Arial" w:hAnsi="Simplified Arabic" w:cs="Simplified Arabic"/>
          <w:color w:val="EE0000"/>
          <w:rtl/>
        </w:rPr>
        <w:t>) عندما يكون الأثر غير المباشر دالًا والمباشر غير دال؛ ووساطة تكاملية (</w:t>
      </w:r>
      <w:r w:rsidRPr="00B71AAA">
        <w:rPr>
          <w:rFonts w:ascii="Simplified Arabic" w:eastAsia="Arial" w:hAnsi="Simplified Arabic" w:cs="Simplified Arabic"/>
          <w:color w:val="EE0000"/>
        </w:rPr>
        <w:t>Complementary Mediation</w:t>
      </w:r>
      <w:r w:rsidRPr="00B71AAA">
        <w:rPr>
          <w:rFonts w:ascii="Simplified Arabic" w:eastAsia="Arial" w:hAnsi="Simplified Arabic" w:cs="Simplified Arabic"/>
          <w:color w:val="EE0000"/>
          <w:rtl/>
        </w:rPr>
        <w:t>) عندما يكون الأثران المباشر وغير المباشر دالين وفي الاتجاه نفسه؛ ووساطة تنافسية (</w:t>
      </w:r>
      <w:r w:rsidRPr="00B71AAA">
        <w:rPr>
          <w:rFonts w:ascii="Simplified Arabic" w:eastAsia="Arial" w:hAnsi="Simplified Arabic" w:cs="Simplified Arabic"/>
          <w:color w:val="EE0000"/>
        </w:rPr>
        <w:t>Competitive Mediation</w:t>
      </w:r>
      <w:r w:rsidRPr="00B71AAA">
        <w:rPr>
          <w:rFonts w:ascii="Simplified Arabic" w:eastAsia="Arial" w:hAnsi="Simplified Arabic" w:cs="Simplified Arabic"/>
          <w:color w:val="EE0000"/>
          <w:rtl/>
        </w:rPr>
        <w:t>) عندما يكون الأثران دالين ولكن في اتجاهين متعاكسين. وإذا لم يكن الأثر غير المباشر دالًا، فسيُميز بين حالة الأثر المباشر فقط (</w:t>
      </w:r>
      <w:r w:rsidRPr="00B71AAA">
        <w:rPr>
          <w:rFonts w:ascii="Simplified Arabic" w:eastAsia="Arial" w:hAnsi="Simplified Arabic" w:cs="Simplified Arabic"/>
          <w:color w:val="EE0000"/>
        </w:rPr>
        <w:t xml:space="preserve">Direct-only </w:t>
      </w:r>
      <w:proofErr w:type="spellStart"/>
      <w:r w:rsidRPr="00B71AAA">
        <w:rPr>
          <w:rFonts w:ascii="Simplified Arabic" w:eastAsia="Arial" w:hAnsi="Simplified Arabic" w:cs="Simplified Arabic"/>
          <w:color w:val="EE0000"/>
        </w:rPr>
        <w:t>Nonmediation</w:t>
      </w:r>
      <w:proofErr w:type="spellEnd"/>
      <w:r w:rsidRPr="00B71AAA">
        <w:rPr>
          <w:rFonts w:ascii="Simplified Arabic" w:eastAsia="Arial" w:hAnsi="Simplified Arabic" w:cs="Simplified Arabic"/>
          <w:color w:val="EE0000"/>
          <w:rtl/>
        </w:rPr>
        <w:t>) وحالة عدم وجود أثر مباشر أو غير مباشر (</w:t>
      </w:r>
      <w:r w:rsidRPr="00B71AAA">
        <w:rPr>
          <w:rFonts w:ascii="Simplified Arabic" w:eastAsia="Arial" w:hAnsi="Simplified Arabic" w:cs="Simplified Arabic"/>
          <w:color w:val="EE0000"/>
        </w:rPr>
        <w:t xml:space="preserve">No-effect </w:t>
      </w:r>
      <w:proofErr w:type="spellStart"/>
      <w:r w:rsidRPr="00B71AAA">
        <w:rPr>
          <w:rFonts w:ascii="Simplified Arabic" w:eastAsia="Arial" w:hAnsi="Simplified Arabic" w:cs="Simplified Arabic"/>
          <w:color w:val="EE0000"/>
        </w:rPr>
        <w:t>Nonmediation</w:t>
      </w:r>
      <w:proofErr w:type="spellEnd"/>
      <w:r w:rsidRPr="00B71AAA">
        <w:rPr>
          <w:rFonts w:ascii="Simplified Arabic" w:eastAsia="Arial" w:hAnsi="Simplified Arabic" w:cs="Simplified Arabic"/>
          <w:color w:val="EE0000"/>
          <w:rtl/>
        </w:rPr>
        <w:t>).</w:t>
      </w:r>
    </w:p>
    <w:p w14:paraId="34534BE3" w14:textId="77777777" w:rsidR="00F035E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أما الدور المعدِّل فيُختبر من خلال أثر التفاعل في علاقة التوظيف بجودة التصميم، ويُجرى لكل متغير معدِّل على حدة؛ إذ يُبنى حد التفاعل بين المتغير المستقل وكل متغير معدِّل داخل برنامج (SmartPLS) بأسلوب المرحلتين (Two-Stage Approach) لما يوفره من قوة إحصائية أعلى وملاءمة لأغراض اختبار الفرضيات (Hair et al., 2022)، فيُختبر تفاعل الدوافع مع التوظيف (GAIU × ADP) في مسار واحد، ويُختبر تفاعل العوائق مع التوظيف (GAIU × BAR) في مسار مستقل، تمييزًا للأثر المعزز عن الأثر المثبط، ثم تُفحص دلالة كل أثر تفاعلي بأسلوب Bootstrapping.</w:t>
      </w:r>
      <w:r>
        <w:rPr>
          <w:rFonts w:ascii="Simplified Arabic" w:eastAsia="Arial" w:hAnsi="Simplified Arabic" w:cs="Simplified Arabic" w:hint="cs"/>
          <w:rtl/>
        </w:rPr>
        <w:t xml:space="preserve"> </w:t>
      </w:r>
    </w:p>
    <w:p w14:paraId="7A931715" w14:textId="77777777" w:rsidR="00F035EA" w:rsidRPr="00B71AA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وكما سبقت الإشارة، سيُستكمَل تقييم النموذج الهيكلي بتحليل حساسية يقارن نتائج النموذج الأساسي بنموذج بديل يضبط تداخل المشاركين داخل الوكالة الواحدة، للتحقق من ثبات الاستنتاجات.</w:t>
      </w:r>
    </w:p>
    <w:p w14:paraId="77E975BD" w14:textId="77777777" w:rsidR="00F035EA" w:rsidRPr="00B71AAA" w:rsidRDefault="00F035EA" w:rsidP="00F035EA">
      <w:pPr>
        <w:bidi/>
        <w:spacing w:line="300" w:lineRule="auto"/>
        <w:rPr>
          <w:rFonts w:ascii="Simplified Arabic" w:eastAsia="Arial" w:hAnsi="Simplified Arabic" w:cs="Simplified Arabic"/>
        </w:rPr>
      </w:pPr>
    </w:p>
    <w:p w14:paraId="5256D044" w14:textId="77777777" w:rsidR="00F035EA" w:rsidRPr="00B71AAA" w:rsidRDefault="00F035EA" w:rsidP="00F035EA">
      <w:pPr>
        <w:bidi/>
        <w:spacing w:before="240" w:after="8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جدول (3-9): ربط فرضيات الدراسة بأساليب اختبارها الإحصائية</w:t>
      </w:r>
    </w:p>
    <w:tbl>
      <w:tblPr>
        <w:bidiVisual/>
        <w:tblW w:w="8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4700"/>
        <w:gridCol w:w="2400"/>
      </w:tblGrid>
      <w:tr w:rsidR="00F035EA" w:rsidRPr="00B71AAA" w14:paraId="2FB91F9E" w14:textId="77777777" w:rsidTr="0085711F">
        <w:tc>
          <w:tcPr>
            <w:tcW w:w="900" w:type="dxa"/>
            <w:shd w:val="clear" w:color="auto" w:fill="D9D9D9"/>
            <w:tcMar>
              <w:top w:w="80" w:type="dxa"/>
              <w:left w:w="100" w:type="dxa"/>
              <w:bottom w:w="80" w:type="dxa"/>
              <w:right w:w="100" w:type="dxa"/>
            </w:tcMar>
            <w:vAlign w:val="center"/>
          </w:tcPr>
          <w:p w14:paraId="67809D3D"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الفرضية</w:t>
            </w:r>
          </w:p>
        </w:tc>
        <w:tc>
          <w:tcPr>
            <w:tcW w:w="4700" w:type="dxa"/>
            <w:shd w:val="clear" w:color="auto" w:fill="D9D9D9"/>
            <w:tcMar>
              <w:top w:w="80" w:type="dxa"/>
              <w:left w:w="100" w:type="dxa"/>
              <w:bottom w:w="80" w:type="dxa"/>
              <w:right w:w="100" w:type="dxa"/>
            </w:tcMar>
            <w:vAlign w:val="center"/>
          </w:tcPr>
          <w:p w14:paraId="4C1D138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مضمونها</w:t>
            </w:r>
          </w:p>
        </w:tc>
        <w:tc>
          <w:tcPr>
            <w:tcW w:w="2400" w:type="dxa"/>
            <w:shd w:val="clear" w:color="auto" w:fill="D9D9D9"/>
            <w:tcMar>
              <w:top w:w="80" w:type="dxa"/>
              <w:left w:w="100" w:type="dxa"/>
              <w:bottom w:w="80" w:type="dxa"/>
              <w:right w:w="100" w:type="dxa"/>
            </w:tcMar>
            <w:vAlign w:val="center"/>
          </w:tcPr>
          <w:p w14:paraId="12826714"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أسلوب الاختبار</w:t>
            </w:r>
          </w:p>
        </w:tc>
      </w:tr>
      <w:tr w:rsidR="00F035EA" w:rsidRPr="00B71AAA" w14:paraId="1DE2110B" w14:textId="77777777" w:rsidTr="0085711F">
        <w:tc>
          <w:tcPr>
            <w:tcW w:w="900" w:type="dxa"/>
            <w:tcMar>
              <w:top w:w="80" w:type="dxa"/>
              <w:left w:w="100" w:type="dxa"/>
              <w:bottom w:w="80" w:type="dxa"/>
              <w:right w:w="100" w:type="dxa"/>
            </w:tcMar>
            <w:vAlign w:val="center"/>
          </w:tcPr>
          <w:p w14:paraId="6BFEB07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H1</w:t>
            </w:r>
          </w:p>
        </w:tc>
        <w:tc>
          <w:tcPr>
            <w:tcW w:w="4700" w:type="dxa"/>
            <w:tcMar>
              <w:top w:w="80" w:type="dxa"/>
              <w:left w:w="100" w:type="dxa"/>
              <w:bottom w:w="80" w:type="dxa"/>
              <w:right w:w="100" w:type="dxa"/>
            </w:tcMar>
            <w:vAlign w:val="center"/>
          </w:tcPr>
          <w:p w14:paraId="24C4845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توظيف الذكاء الاصطناعي التوليدي بجودة عملية التصميم.</w:t>
            </w:r>
          </w:p>
        </w:tc>
        <w:tc>
          <w:tcPr>
            <w:tcW w:w="2400" w:type="dxa"/>
            <w:tcMar>
              <w:top w:w="80" w:type="dxa"/>
              <w:left w:w="100" w:type="dxa"/>
              <w:bottom w:w="80" w:type="dxa"/>
              <w:right w:w="100" w:type="dxa"/>
            </w:tcMar>
            <w:vAlign w:val="center"/>
          </w:tcPr>
          <w:p w14:paraId="2215156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5CAF39DC" w14:textId="77777777" w:rsidTr="0085711F">
        <w:tc>
          <w:tcPr>
            <w:tcW w:w="900" w:type="dxa"/>
            <w:tcMar>
              <w:top w:w="80" w:type="dxa"/>
              <w:left w:w="100" w:type="dxa"/>
              <w:bottom w:w="80" w:type="dxa"/>
              <w:right w:w="100" w:type="dxa"/>
            </w:tcMar>
            <w:vAlign w:val="center"/>
          </w:tcPr>
          <w:p w14:paraId="04B48E91"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lastRenderedPageBreak/>
              <w:t>H2</w:t>
            </w:r>
          </w:p>
        </w:tc>
        <w:tc>
          <w:tcPr>
            <w:tcW w:w="4700" w:type="dxa"/>
            <w:tcMar>
              <w:top w:w="80" w:type="dxa"/>
              <w:left w:w="100" w:type="dxa"/>
              <w:bottom w:w="80" w:type="dxa"/>
              <w:right w:w="100" w:type="dxa"/>
            </w:tcMar>
            <w:vAlign w:val="center"/>
          </w:tcPr>
          <w:p w14:paraId="1DCE13AA"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جودة عملية التصميم بفعالية الأداء التسويقي.</w:t>
            </w:r>
          </w:p>
        </w:tc>
        <w:tc>
          <w:tcPr>
            <w:tcW w:w="2400" w:type="dxa"/>
            <w:tcMar>
              <w:top w:w="80" w:type="dxa"/>
              <w:left w:w="100" w:type="dxa"/>
              <w:bottom w:w="80" w:type="dxa"/>
              <w:right w:w="100" w:type="dxa"/>
            </w:tcMar>
            <w:vAlign w:val="center"/>
          </w:tcPr>
          <w:p w14:paraId="05D5231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3A5B801A" w14:textId="77777777" w:rsidTr="0085711F">
        <w:tc>
          <w:tcPr>
            <w:tcW w:w="900" w:type="dxa"/>
            <w:tcMar>
              <w:top w:w="80" w:type="dxa"/>
              <w:left w:w="100" w:type="dxa"/>
              <w:bottom w:w="80" w:type="dxa"/>
              <w:right w:w="100" w:type="dxa"/>
            </w:tcMar>
            <w:vAlign w:val="center"/>
          </w:tcPr>
          <w:p w14:paraId="494BA2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H3</w:t>
            </w:r>
          </w:p>
        </w:tc>
        <w:tc>
          <w:tcPr>
            <w:tcW w:w="4700" w:type="dxa"/>
            <w:tcMar>
              <w:top w:w="80" w:type="dxa"/>
              <w:left w:w="100" w:type="dxa"/>
              <w:bottom w:w="80" w:type="dxa"/>
              <w:right w:w="100" w:type="dxa"/>
            </w:tcMar>
            <w:vAlign w:val="center"/>
          </w:tcPr>
          <w:p w14:paraId="759F88EB"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أثر التفاعل المعدِّل في علاقة التوظيف بجودة التصميم، ويُختبر في مسارين: تفاعل الدوافع (GAIU × ADP)، وتفاعل العوائق (GAIU × BAR).</w:t>
            </w:r>
          </w:p>
        </w:tc>
        <w:tc>
          <w:tcPr>
            <w:tcW w:w="2400" w:type="dxa"/>
            <w:tcMar>
              <w:top w:w="80" w:type="dxa"/>
              <w:left w:w="100" w:type="dxa"/>
              <w:bottom w:w="80" w:type="dxa"/>
              <w:right w:w="100" w:type="dxa"/>
            </w:tcMar>
            <w:vAlign w:val="center"/>
          </w:tcPr>
          <w:p w14:paraId="04548ABF"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التعديل لكل تفاعل على حدة (Moderation)</w:t>
            </w:r>
          </w:p>
        </w:tc>
      </w:tr>
      <w:tr w:rsidR="00F035EA" w:rsidRPr="00B71AAA" w14:paraId="3561D379" w14:textId="77777777" w:rsidTr="0085711F">
        <w:tc>
          <w:tcPr>
            <w:tcW w:w="900" w:type="dxa"/>
            <w:tcMar>
              <w:top w:w="80" w:type="dxa"/>
              <w:left w:w="100" w:type="dxa"/>
              <w:bottom w:w="80" w:type="dxa"/>
              <w:right w:w="100" w:type="dxa"/>
            </w:tcMar>
            <w:vAlign w:val="center"/>
          </w:tcPr>
          <w:p w14:paraId="634E408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H4</w:t>
            </w:r>
          </w:p>
        </w:tc>
        <w:tc>
          <w:tcPr>
            <w:tcW w:w="4700" w:type="dxa"/>
            <w:tcMar>
              <w:top w:w="80" w:type="dxa"/>
              <w:left w:w="100" w:type="dxa"/>
              <w:bottom w:w="80" w:type="dxa"/>
              <w:right w:w="100" w:type="dxa"/>
            </w:tcMar>
            <w:vAlign w:val="center"/>
          </w:tcPr>
          <w:p w14:paraId="4C0F82F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العلاقة غير المباشرة بين التوظيف وفعالية الأداء عبر وساطة جودة التصميم.</w:t>
            </w:r>
          </w:p>
        </w:tc>
        <w:tc>
          <w:tcPr>
            <w:tcW w:w="2400" w:type="dxa"/>
            <w:tcMar>
              <w:top w:w="80" w:type="dxa"/>
              <w:left w:w="100" w:type="dxa"/>
              <w:bottom w:w="80" w:type="dxa"/>
              <w:right w:w="100" w:type="dxa"/>
            </w:tcMar>
            <w:vAlign w:val="center"/>
          </w:tcPr>
          <w:p w14:paraId="0A212A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الوساطة (Mediation)</w:t>
            </w:r>
          </w:p>
        </w:tc>
      </w:tr>
    </w:tbl>
    <w:p w14:paraId="04FAA593" w14:textId="77777777" w:rsidR="00F035EA" w:rsidRDefault="00F035EA" w:rsidP="00F035EA">
      <w:pPr>
        <w:bidi/>
        <w:spacing w:after="200" w:line="276" w:lineRule="auto"/>
        <w:rPr>
          <w:rFonts w:ascii="Simplified Arabic" w:hAnsi="Simplified Arabic" w:cs="Simplified Arabic"/>
          <w:rtl/>
        </w:rPr>
      </w:pPr>
    </w:p>
    <w:p w14:paraId="1EAE9900"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الجوانب الأخلاقية لإجراءات الدراسة</w:t>
      </w:r>
    </w:p>
    <w:p w14:paraId="2B30490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سيلتزم الباحث بأخلاقيات البحث العلمي في جميع مراحل الجانب الميداني من الدراسة، على النحو التالي:</w:t>
      </w:r>
    </w:p>
    <w:p w14:paraId="766D6115"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موافقة لجنة أخلاقيات البحث العلمي</w:t>
      </w:r>
    </w:p>
    <w:p w14:paraId="5D326BE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سيُتقدَّم بطلب موافقة أخلاقية إلى لجنة أخلاقيات البحث العلمي بالجامعة قبل بدء أي تطبيق ميداني، بما في ذلك الدراسة الاستطلاعية والمقابلات الإدراكية، وستُدرَج بيانات هذه الموافقة (اسم اللجنة، ورقم الموافقة، وتاريخها) في هذا الموضع فور صدورها.</w:t>
      </w:r>
    </w:p>
    <w:p w14:paraId="72622766"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الموافقات الرسمية من الوكالات والجهات المهنية</w:t>
      </w:r>
    </w:p>
    <w:p w14:paraId="3A8E73E2"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سيُتحقَّق، حسب الحاجة، من متطلبات الحصول على موافقة رسمية من إدارات الوكالات أو الجهات المهنية المعنية قبل تعميم رابط الاستبانة داخليًا، وستُرفَق خطابات التسهيل أو الموافقة اللازمة ضمن ملاحق الدراسة عند الحصول عليها.</w:t>
      </w:r>
    </w:p>
    <w:p w14:paraId="06007A4D"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الموافقة المستنيرة</w:t>
      </w:r>
    </w:p>
    <w:p w14:paraId="5B607D3D"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ستتضمن صفحة الموافقة المستنيرة في مقدمة الاستبانة الإلكترونية: هدف الدراسة وأهميتها، والجهة القائمة عليها، ومدة الإجابة المتوقعة، وطبيعة المشاركة الطوعية وحق الانسحاب في أي وقت دون أي أثر سلبي، والمخاطر المحتملة (وهي محدودة نظرًا لطبيعة الأسئلة) والفوائد العلمية والمهنية المتوقعة، وضمانات السرية وعدم جمع بيانات تعريفية شخصية، ومعلومات التواصل مع الباحث والمشرف الأكاديمي وجهة الأخلاقيات المختصة عند وجود أي استفسار أو شكوى.</w:t>
      </w:r>
    </w:p>
    <w:p w14:paraId="3E21D8AE" w14:textId="77777777" w:rsidR="000E0A79" w:rsidRPr="00B71AAA" w:rsidRDefault="000E0A79" w:rsidP="000E0A79">
      <w:pPr>
        <w:bidi/>
        <w:spacing w:line="300" w:lineRule="auto"/>
        <w:rPr>
          <w:rFonts w:ascii="Simplified Arabic" w:eastAsia="Arial" w:hAnsi="Simplified Arabic" w:cs="Simplified Arabic"/>
          <w:color w:val="EE0000"/>
        </w:rPr>
      </w:pPr>
    </w:p>
    <w:p w14:paraId="0D0B9ABB" w14:textId="77777777" w:rsidR="00F035EA" w:rsidRPr="00B71AAA" w:rsidRDefault="00F035EA" w:rsidP="00F035EA">
      <w:pPr>
        <w:bidi/>
        <w:spacing w:before="300" w:after="150" w:line="240" w:lineRule="auto"/>
        <w:outlineLvl w:val="1"/>
        <w:rPr>
          <w:rFonts w:ascii="Simplified Arabic" w:eastAsia="Arial" w:hAnsi="Simplified Arabic" w:cs="Simplified Arabic"/>
          <w:color w:val="EE0000"/>
        </w:rPr>
      </w:pPr>
      <w:r w:rsidRPr="00B71AAA">
        <w:rPr>
          <w:rFonts w:ascii="Simplified Arabic" w:eastAsia="Arial" w:hAnsi="Simplified Arabic" w:cs="Simplified Arabic"/>
          <w:b/>
          <w:bCs/>
          <w:color w:val="EE0000"/>
          <w:u w:val="single"/>
          <w:rtl/>
        </w:rPr>
        <w:t>ملخص الفصل</w:t>
      </w:r>
    </w:p>
    <w:p w14:paraId="113BBA40"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t xml:space="preserve">استعرض هذا الفصل الإجراءات المنهجية المخطَّط لها لتنفيذ الجانب الميداني من الدراسة. فبعد بيان اعتماد المنهج الوصفي التحليلي وتصميم مقطعي يستخدم لغة تفسيرية-ترابطية متحفظة بدلًا من اللغة السببية، حُدِّد مجتمع الدراسة إجرائيًا بالعاملين في وكالات التسويق الرقمي المرخَّصة العاملة في الرياض وجدة والدمام ضمن فئات وظيفية محددة، مع توثيق مبررات هذا </w:t>
      </w:r>
      <w:r w:rsidRPr="00B71AAA">
        <w:rPr>
          <w:rFonts w:ascii="Simplified Arabic" w:eastAsia="Arial" w:hAnsi="Simplified Arabic" w:cs="Simplified Arabic"/>
          <w:color w:val="EE0000"/>
          <w:rtl/>
        </w:rPr>
        <w:lastRenderedPageBreak/>
        <w:t>التحديد الجغرافي والوظيفي. وحُدِّد أسلوب المعاينة غير الاحتمالية (ميسرة وكرة ثلج) وضوابط تنويعها وحصصها الاسترشادية، وحجم العينة المستهدف (384 استجابة صالحة فأكثر) استنادًا إلى تحليل القوة الإحصائية مبررًا رئيسًا.</w:t>
      </w:r>
    </w:p>
    <w:p w14:paraId="3B64D336"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t>كما عرضت خطوات بناء أداة الدراسة وتحكيمها وترجمتها وحساب صدق محتواها الكمي، وإجراءات دراستها الاستطلاعية ومقابلاتها الإدراكية، وخطة التحقق من صدقها التقاربي والتمايزي وثباتها عبر مؤشرات ألفا كرونباخ وrho_A والثبات المركب في إطار نمذجة PLS-SEM. وأخيرًا، فُصِّلت إجراءات تنظيف البيانات ومعالجتها إحصائيًا عبر برنامجي SPSS وSmartPLS، واختبار الفرضيات المباشرة والوسيطة والتفاعلية، والجوانب الأخلاقية التي ستُراعى طوال مراحل التنفيذ الميداني. وتمثل هذه الإجراءات مجتمعة الأساس الذي ستُبنى عليه نتائج الفصل الرابع وتفسيرها.</w:t>
      </w:r>
    </w:p>
    <w:p w14:paraId="26078DAB" w14:textId="77777777" w:rsidR="00F035EA" w:rsidRPr="00C07A59" w:rsidRDefault="00F035EA" w:rsidP="00F035EA">
      <w:pPr>
        <w:bidi/>
        <w:spacing w:after="200" w:line="276" w:lineRule="auto"/>
        <w:jc w:val="both"/>
        <w:rPr>
          <w:rFonts w:ascii="Simplified Arabic" w:hAnsi="Simplified Arabic" w:cs="Simplified Arabic"/>
          <w:rtl/>
        </w:rPr>
      </w:pPr>
    </w:p>
    <w:p w14:paraId="0AD2A4CD" w14:textId="77777777" w:rsidR="00F035EA" w:rsidRDefault="00F035EA" w:rsidP="00F035EA">
      <w:pPr>
        <w:bidi/>
        <w:spacing w:after="200" w:line="276" w:lineRule="auto"/>
        <w:jc w:val="both"/>
        <w:rPr>
          <w:rFonts w:ascii="Simplified Arabic" w:hAnsi="Simplified Arabic" w:cs="Simplified Arabic"/>
          <w:rtl/>
        </w:rPr>
      </w:pPr>
    </w:p>
    <w:p w14:paraId="4E09117B" w14:textId="77777777" w:rsidR="00F035EA" w:rsidRDefault="00F035EA" w:rsidP="00F035EA">
      <w:pPr>
        <w:bidi/>
        <w:spacing w:after="200" w:line="276" w:lineRule="auto"/>
        <w:jc w:val="both"/>
        <w:rPr>
          <w:rFonts w:ascii="Simplified Arabic" w:hAnsi="Simplified Arabic" w:cs="Simplified Arabic"/>
          <w:rtl/>
        </w:rPr>
      </w:pPr>
    </w:p>
    <w:p w14:paraId="4CF080B0" w14:textId="77777777" w:rsidR="00F035EA" w:rsidRDefault="00F035EA" w:rsidP="00F035EA">
      <w:pPr>
        <w:bidi/>
        <w:spacing w:after="200" w:line="276" w:lineRule="auto"/>
        <w:jc w:val="both"/>
        <w:rPr>
          <w:rFonts w:ascii="Simplified Arabic" w:hAnsi="Simplified Arabic" w:cs="Simplified Arabic"/>
          <w:rtl/>
        </w:rPr>
      </w:pPr>
    </w:p>
    <w:p w14:paraId="4185B415" w14:textId="77777777" w:rsidR="00F035EA" w:rsidRDefault="00F035EA" w:rsidP="00F035EA">
      <w:pPr>
        <w:bidi/>
        <w:spacing w:after="200" w:line="276" w:lineRule="auto"/>
        <w:jc w:val="both"/>
        <w:rPr>
          <w:rFonts w:ascii="Simplified Arabic" w:hAnsi="Simplified Arabic" w:cs="Simplified Arabic"/>
          <w:rtl/>
        </w:rPr>
      </w:pPr>
    </w:p>
    <w:p w14:paraId="415A62CB" w14:textId="77777777" w:rsidR="00F035EA" w:rsidRDefault="00F035EA" w:rsidP="00F035EA">
      <w:pPr>
        <w:bidi/>
        <w:spacing w:after="200" w:line="276" w:lineRule="auto"/>
        <w:jc w:val="both"/>
        <w:rPr>
          <w:rFonts w:ascii="Simplified Arabic" w:hAnsi="Simplified Arabic" w:cs="Simplified Arabic"/>
          <w:rtl/>
        </w:rPr>
      </w:pPr>
    </w:p>
    <w:p w14:paraId="438CE56E" w14:textId="77777777" w:rsidR="00F035EA" w:rsidRDefault="00F035EA" w:rsidP="00F035EA">
      <w:pPr>
        <w:bidi/>
        <w:spacing w:after="200" w:line="276" w:lineRule="auto"/>
        <w:jc w:val="both"/>
        <w:rPr>
          <w:rFonts w:ascii="Simplified Arabic" w:hAnsi="Simplified Arabic" w:cs="Simplified Arabic"/>
          <w:rtl/>
        </w:rPr>
      </w:pPr>
    </w:p>
    <w:p w14:paraId="0F4A8514" w14:textId="77777777" w:rsidR="00F035EA" w:rsidRDefault="00F035EA" w:rsidP="00F035EA">
      <w:pPr>
        <w:bidi/>
        <w:spacing w:after="200" w:line="276" w:lineRule="auto"/>
        <w:jc w:val="both"/>
        <w:rPr>
          <w:rFonts w:ascii="Simplified Arabic" w:hAnsi="Simplified Arabic" w:cs="Simplified Arabic"/>
          <w:rtl/>
        </w:rPr>
      </w:pPr>
    </w:p>
    <w:p w14:paraId="38E01B1F" w14:textId="77777777" w:rsidR="00F035EA" w:rsidRDefault="00F035EA" w:rsidP="00F035EA">
      <w:pPr>
        <w:bidi/>
        <w:spacing w:after="200" w:line="276" w:lineRule="auto"/>
        <w:jc w:val="both"/>
        <w:rPr>
          <w:rFonts w:ascii="Simplified Arabic" w:hAnsi="Simplified Arabic" w:cs="Simplified Arabic"/>
          <w:rtl/>
        </w:rPr>
      </w:pPr>
    </w:p>
    <w:p w14:paraId="087D3959" w14:textId="77777777" w:rsidR="00F035EA" w:rsidRDefault="00F035EA" w:rsidP="00F035EA">
      <w:pPr>
        <w:bidi/>
        <w:spacing w:after="200" w:line="276" w:lineRule="auto"/>
        <w:jc w:val="both"/>
        <w:rPr>
          <w:rFonts w:ascii="Simplified Arabic" w:hAnsi="Simplified Arabic" w:cs="Simplified Arabic"/>
          <w:rtl/>
        </w:rPr>
      </w:pPr>
    </w:p>
    <w:p w14:paraId="470DD0F1" w14:textId="77777777" w:rsidR="00F035EA" w:rsidRDefault="00F035EA" w:rsidP="00F035EA">
      <w:pPr>
        <w:bidi/>
        <w:spacing w:after="200" w:line="276" w:lineRule="auto"/>
        <w:jc w:val="both"/>
        <w:rPr>
          <w:rFonts w:ascii="Simplified Arabic" w:hAnsi="Simplified Arabic" w:cs="Simplified Arabic"/>
          <w:rtl/>
        </w:rPr>
      </w:pPr>
    </w:p>
    <w:p w14:paraId="78157D92" w14:textId="77777777" w:rsidR="00F035EA" w:rsidRDefault="00F035EA" w:rsidP="00F035EA">
      <w:pPr>
        <w:bidi/>
        <w:spacing w:after="200" w:line="276" w:lineRule="auto"/>
        <w:jc w:val="both"/>
        <w:rPr>
          <w:rFonts w:ascii="Simplified Arabic" w:hAnsi="Simplified Arabic" w:cs="Simplified Arabic"/>
          <w:rtl/>
        </w:rPr>
      </w:pPr>
    </w:p>
    <w:p w14:paraId="6B7F49F0" w14:textId="77777777" w:rsidR="00F035EA" w:rsidRPr="00C22AB7" w:rsidRDefault="00F035EA" w:rsidP="00F035EA">
      <w:pPr>
        <w:keepNext/>
        <w:bidi/>
        <w:spacing w:after="0" w:line="240" w:lineRule="auto"/>
        <w:jc w:val="center"/>
        <w:rPr>
          <w:rFonts w:ascii="Simplified Arabic" w:eastAsia="Arial" w:hAnsi="Simplified Arabic" w:cs="Simplified Arabic"/>
          <w:bCs/>
          <w:u w:val="single"/>
        </w:rPr>
      </w:pPr>
      <w:r w:rsidRPr="00C22AB7">
        <w:rPr>
          <w:rFonts w:ascii="Simplified Arabic" w:eastAsia="Noto Naskh Arabic" w:hAnsi="Simplified Arabic" w:cs="Simplified Arabic"/>
          <w:bCs/>
          <w:color w:val="FF0000"/>
          <w:u w:val="single"/>
          <w:rtl/>
        </w:rPr>
        <w:t>ملحق (أ): الاستبانة الخاصة بالمبحوثين</w:t>
      </w:r>
    </w:p>
    <w:p w14:paraId="0D447ECA"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17C0D5F0"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5BDC27C3" w14:textId="77777777" w:rsidR="00F035EA" w:rsidRPr="00C22AB7" w:rsidRDefault="00F035EA" w:rsidP="00F035EA">
      <w:pPr>
        <w:bidi/>
        <w:spacing w:after="60" w:line="240" w:lineRule="auto"/>
        <w:rPr>
          <w:rFonts w:ascii="Simplified Arabic" w:eastAsia="Noto Naskh Arabic" w:hAnsi="Simplified Arabic" w:cs="Simplified Arabic"/>
          <w:b/>
          <w:rtl/>
        </w:rPr>
      </w:pPr>
      <w:r w:rsidRPr="00C22AB7">
        <w:rPr>
          <w:rFonts w:ascii="Simplified Arabic" w:eastAsia="Noto Naskh Arabic" w:hAnsi="Simplified Arabic" w:cs="Simplified Arabic"/>
          <w:b/>
          <w:rtl/>
        </w:rPr>
        <w:t xml:space="preserve">أخي المبحوث المحترم، </w:t>
      </w:r>
    </w:p>
    <w:p w14:paraId="27EE39E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rtl/>
        </w:rPr>
        <w:t>أختي المبحوثة المحترمة،</w:t>
      </w:r>
    </w:p>
    <w:p w14:paraId="79315459"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تحية طيبة وبعد،</w:t>
      </w:r>
    </w:p>
    <w:p w14:paraId="747DC1F4" w14:textId="77777777" w:rsidR="00F035EA" w:rsidRPr="00C22AB7" w:rsidRDefault="00F035EA" w:rsidP="00F035EA">
      <w:pPr>
        <w:bidi/>
        <w:spacing w:after="60" w:line="240" w:lineRule="auto"/>
        <w:rPr>
          <w:rFonts w:ascii="Simplified Arabic" w:eastAsia="Noto Naskh Arabic" w:hAnsi="Simplified Arabic" w:cs="Simplified Arabic"/>
          <w:rtl/>
        </w:rPr>
      </w:pPr>
      <w:r w:rsidRPr="00C22AB7">
        <w:rPr>
          <w:rFonts w:ascii="Simplified Arabic" w:eastAsia="Noto Naskh Arabic" w:hAnsi="Simplified Arabic" w:cs="Simplified Arabic"/>
          <w:rtl/>
        </w:rPr>
        <w:t xml:space="preserve">يقوم الباحث بإجراء دراسة بعنوان: </w:t>
      </w:r>
    </w:p>
    <w:p w14:paraId="1786B5F0" w14:textId="77777777" w:rsidR="00F035EA" w:rsidRPr="00C22AB7" w:rsidRDefault="00F035EA" w:rsidP="00F035EA">
      <w:pPr>
        <w:bidi/>
        <w:spacing w:after="60" w:line="240" w:lineRule="auto"/>
        <w:jc w:val="center"/>
        <w:rPr>
          <w:rFonts w:ascii="Simplified Arabic" w:eastAsia="Noto Naskh Arabic" w:hAnsi="Simplified Arabic" w:cs="Simplified Arabic"/>
          <w:b/>
          <w:bCs/>
          <w:rtl/>
        </w:rPr>
      </w:pPr>
      <w:r w:rsidRPr="00C22AB7">
        <w:rPr>
          <w:rFonts w:ascii="Simplified Arabic" w:eastAsia="Noto Naskh Arabic" w:hAnsi="Simplified Arabic" w:cs="Simplified Arabic"/>
          <w:b/>
          <w:bCs/>
          <w:rtl/>
        </w:rPr>
        <w:lastRenderedPageBreak/>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5FE7B4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وذلك استكمالًا لمتطلبات الحصول على درجة الدكتوراه في تخصص التسويق.</w:t>
      </w:r>
    </w:p>
    <w:p w14:paraId="2ECB0F88" w14:textId="77777777" w:rsidR="00F035EA" w:rsidRPr="00C22AB7" w:rsidRDefault="00F035EA" w:rsidP="00F035EA">
      <w:pPr>
        <w:bidi/>
        <w:spacing w:after="60" w:line="240" w:lineRule="auto"/>
        <w:rPr>
          <w:rFonts w:ascii="Simplified Arabic" w:eastAsia="Noto Naskh Arabic" w:hAnsi="Simplified Arabic" w:cs="Simplified Arabic"/>
          <w:rtl/>
        </w:rPr>
      </w:pPr>
    </w:p>
    <w:p w14:paraId="3F1FA09C"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color w:val="FF0000"/>
          <w:rtl/>
        </w:rPr>
        <w:t>تهدف هذه الاستبانة إلى جمع البيانات اللازمة لاختبار نموذج تفسيري ميداني يربط بين توظيف تقنيات الذكاء الاصطناعي التوليدي في تصميم الحملات التسويقية الرقمية وبين فعالية الأداء التسويقي، من خلال تحليل الدور الوسيط لجودة عملية تصميم الحملات، مع فحص الدور المعدِّل لدوافع التبني والعوائق التقنية والبشرية والتنظيمية والأخلاقية.</w:t>
      </w:r>
    </w:p>
    <w:p w14:paraId="3B615019" w14:textId="77777777" w:rsidR="00F035EA" w:rsidRPr="00C22AB7" w:rsidRDefault="00F035EA" w:rsidP="00F035EA">
      <w:pPr>
        <w:bidi/>
        <w:spacing w:after="60" w:line="240" w:lineRule="auto"/>
        <w:rPr>
          <w:rFonts w:ascii="Simplified Arabic" w:eastAsia="Arial" w:hAnsi="Simplified Arabic" w:cs="Simplified Arabic"/>
        </w:rPr>
      </w:pPr>
    </w:p>
    <w:p w14:paraId="1F4A973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يتوقع مبدئيًا أن تستغرق الإجابة عن الاستبانة نحو 10–15 دقيقة، وسيُحدد الزمن المتوقع بصورة أدق في ضوء نتائج الدراسة الاستطلاعية. مشاركتك طوعية بالكامل، ويحق لك عدم المشاركة أو الانسحاب قبل إرسال الاستجابة دون أي أثر سلبي. لا تنطوي المشاركة على مخاطر جوهرية تتجاوز التأمل المعتاد في الممارسة المهنية، وتتمثل الفائدة المتوقعة في دعم المعرفة العلمية وتطوير الممارسات المهنية في مجال التسويق الرقمي. وستُعامل البيانات بسرية تامة، ولن تُجمع بيانات تعريفية شخصية غير لازمة، وستُحلل النتائج بصورة إجمالية لا تكشف هوية المشاركين أو الجهات التي يعملون بها. ويُطلب منك الإجابة استنادًا إلى خبرتك المباشرة وملاحظتك الفعلية لممارسات الوكالة ضمن نطاق عملك خلال الاثني عشر شهرًا الأخيرة. ولأي استفسار أو شكوى، ستُدرج قبل التطبيق الفعلي بيانات التواصل المعتمدة للباحث والمشرف الأكاديمي والجهة الأخلاقية المختصة.</w:t>
      </w:r>
    </w:p>
    <w:p w14:paraId="0B98D5EE" w14:textId="77777777" w:rsidR="00F035EA" w:rsidRPr="00C22AB7" w:rsidRDefault="00F035EA" w:rsidP="00F035EA">
      <w:pPr>
        <w:bidi/>
        <w:spacing w:after="60" w:line="240" w:lineRule="auto"/>
        <w:rPr>
          <w:rFonts w:ascii="Simplified Arabic" w:eastAsia="Arial" w:hAnsi="Simplified Arabic" w:cs="Simplified Arabic"/>
          <w:rtl/>
        </w:rPr>
      </w:pPr>
    </w:p>
    <w:p w14:paraId="0153CBF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شاكرًا لكم تعاونكم في مشاركتكم في إنجاز هذا العمل الأكاديمي الذي سوف تكون نتيجته مفيدة</w:t>
      </w:r>
      <w:r w:rsidRPr="00C22AB7">
        <w:rPr>
          <w:rFonts w:ascii="Simplified Arabic" w:eastAsia="Arial" w:hAnsi="Simplified Arabic" w:cs="Simplified Arabic"/>
        </w:rPr>
        <w:t>.</w:t>
      </w:r>
    </w:p>
    <w:p w14:paraId="06C4F85C" w14:textId="77777777" w:rsidR="00F035EA" w:rsidRPr="00C22AB7" w:rsidRDefault="00F035EA" w:rsidP="00F035EA">
      <w:pPr>
        <w:bidi/>
        <w:spacing w:after="60" w:line="240" w:lineRule="auto"/>
        <w:rPr>
          <w:rFonts w:ascii="Simplified Arabic" w:eastAsia="Arial" w:hAnsi="Simplified Arabic" w:cs="Simplified Arabic"/>
          <w:rtl/>
        </w:rPr>
      </w:pPr>
    </w:p>
    <w:p w14:paraId="4D78A04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وتفضلوا بقبول فائق الاحترام.</w:t>
      </w:r>
    </w:p>
    <w:p w14:paraId="27AA0513" w14:textId="77777777" w:rsidR="00F035EA" w:rsidRPr="00C22AB7" w:rsidRDefault="00F035EA" w:rsidP="00F035EA">
      <w:pPr>
        <w:bidi/>
        <w:spacing w:after="60" w:line="240" w:lineRule="auto"/>
        <w:rPr>
          <w:rFonts w:ascii="Simplified Arabic" w:eastAsia="Arial" w:hAnsi="Simplified Arabic" w:cs="Simplified Arabic"/>
          <w:rtl/>
        </w:rPr>
      </w:pPr>
    </w:p>
    <w:p w14:paraId="40915F07" w14:textId="77777777" w:rsidR="00F035EA" w:rsidRPr="00C22AB7" w:rsidRDefault="00F035EA" w:rsidP="00F035EA">
      <w:pPr>
        <w:bidi/>
        <w:spacing w:after="60" w:line="240" w:lineRule="auto"/>
        <w:rPr>
          <w:rFonts w:ascii="Simplified Arabic" w:eastAsia="Arial" w:hAnsi="Simplified Arabic" w:cs="Simplified Arabic"/>
          <w:rtl/>
        </w:rPr>
      </w:pPr>
    </w:p>
    <w:p w14:paraId="23F76111" w14:textId="77777777" w:rsidR="00F035EA" w:rsidRPr="00C22AB7" w:rsidRDefault="00F035EA" w:rsidP="00F035EA">
      <w:pPr>
        <w:bidi/>
        <w:spacing w:after="60" w:line="240" w:lineRule="auto"/>
        <w:rPr>
          <w:rFonts w:ascii="Simplified Arabic" w:eastAsia="Arial" w:hAnsi="Simplified Arabic" w:cs="Simplified Arabic"/>
          <w:rtl/>
        </w:rPr>
      </w:pPr>
    </w:p>
    <w:p w14:paraId="645394A0" w14:textId="77777777" w:rsidR="00F035EA" w:rsidRDefault="00F035EA" w:rsidP="00F035EA">
      <w:pPr>
        <w:bidi/>
        <w:spacing w:after="60" w:line="240" w:lineRule="auto"/>
        <w:rPr>
          <w:rFonts w:ascii="Simplified Arabic" w:eastAsia="Arial" w:hAnsi="Simplified Arabic" w:cs="Simplified Arabic"/>
          <w:rtl/>
        </w:rPr>
      </w:pPr>
    </w:p>
    <w:p w14:paraId="7579BAF4" w14:textId="77777777" w:rsidR="00F035EA" w:rsidRDefault="00F035EA" w:rsidP="00F035EA">
      <w:pPr>
        <w:bidi/>
        <w:spacing w:after="60" w:line="240" w:lineRule="auto"/>
        <w:rPr>
          <w:rFonts w:ascii="Simplified Arabic" w:eastAsia="Arial" w:hAnsi="Simplified Arabic" w:cs="Simplified Arabic"/>
          <w:rtl/>
        </w:rPr>
      </w:pPr>
    </w:p>
    <w:p w14:paraId="5A061402" w14:textId="77777777" w:rsidR="00F035EA" w:rsidRDefault="00F035EA" w:rsidP="00F035EA">
      <w:pPr>
        <w:bidi/>
        <w:spacing w:after="60" w:line="240" w:lineRule="auto"/>
        <w:rPr>
          <w:rFonts w:ascii="Simplified Arabic" w:eastAsia="Arial" w:hAnsi="Simplified Arabic" w:cs="Simplified Arabic"/>
          <w:rtl/>
        </w:rPr>
      </w:pPr>
    </w:p>
    <w:p w14:paraId="363A63D3" w14:textId="77777777" w:rsidR="00F035EA" w:rsidRPr="00C22AB7" w:rsidRDefault="00F035EA" w:rsidP="00F035EA">
      <w:pPr>
        <w:bidi/>
        <w:spacing w:after="60" w:line="240" w:lineRule="auto"/>
        <w:rPr>
          <w:rFonts w:ascii="Simplified Arabic" w:eastAsia="Arial" w:hAnsi="Simplified Arabic" w:cs="Simplified Arabic"/>
          <w:rtl/>
        </w:rPr>
      </w:pPr>
    </w:p>
    <w:p w14:paraId="791459FC" w14:textId="77777777" w:rsidR="00F035EA" w:rsidRPr="00C22AB7" w:rsidRDefault="00F035EA" w:rsidP="00F035EA">
      <w:pPr>
        <w:bidi/>
        <w:spacing w:after="6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t>أسئلة الأهلية والموافقة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2"/>
        <w:gridCol w:w="3582"/>
        <w:gridCol w:w="4036"/>
      </w:tblGrid>
      <w:tr w:rsidR="00F035EA" w:rsidRPr="00C22AB7" w14:paraId="3193FD8E" w14:textId="77777777" w:rsidTr="0085711F">
        <w:trPr>
          <w:cantSplit/>
          <w:jc w:val="center"/>
        </w:trPr>
        <w:tc>
          <w:tcPr>
            <w:tcW w:w="794" w:type="dxa"/>
            <w:shd w:val="clear" w:color="auto" w:fill="D9D9D9"/>
            <w:tcMar>
              <w:top w:w="60" w:type="dxa"/>
              <w:left w:w="80" w:type="dxa"/>
              <w:bottom w:w="60" w:type="dxa"/>
              <w:right w:w="80" w:type="dxa"/>
            </w:tcMar>
            <w:vAlign w:val="center"/>
          </w:tcPr>
          <w:p w14:paraId="1CCD0B9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الرمز</w:t>
            </w:r>
          </w:p>
        </w:tc>
        <w:tc>
          <w:tcPr>
            <w:tcW w:w="4422" w:type="dxa"/>
            <w:shd w:val="clear" w:color="auto" w:fill="D9D9D9"/>
            <w:tcMar>
              <w:top w:w="60" w:type="dxa"/>
              <w:left w:w="80" w:type="dxa"/>
              <w:bottom w:w="60" w:type="dxa"/>
              <w:right w:w="80" w:type="dxa"/>
            </w:tcMar>
            <w:vAlign w:val="center"/>
          </w:tcPr>
          <w:p w14:paraId="014166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السؤال</w:t>
            </w:r>
          </w:p>
        </w:tc>
        <w:tc>
          <w:tcPr>
            <w:tcW w:w="4989" w:type="dxa"/>
            <w:shd w:val="clear" w:color="auto" w:fill="D9D9D9"/>
            <w:tcMar>
              <w:top w:w="60" w:type="dxa"/>
              <w:left w:w="80" w:type="dxa"/>
              <w:bottom w:w="60" w:type="dxa"/>
              <w:right w:w="80" w:type="dxa"/>
            </w:tcMar>
            <w:vAlign w:val="center"/>
          </w:tcPr>
          <w:p w14:paraId="44FCCEB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الخيارات</w:t>
            </w:r>
          </w:p>
        </w:tc>
      </w:tr>
      <w:tr w:rsidR="00F035EA" w:rsidRPr="00C22AB7" w14:paraId="7A5041F0" w14:textId="77777777" w:rsidTr="0085711F">
        <w:trPr>
          <w:cantSplit/>
          <w:jc w:val="center"/>
        </w:trPr>
        <w:tc>
          <w:tcPr>
            <w:tcW w:w="794" w:type="dxa"/>
            <w:tcMar>
              <w:top w:w="60" w:type="dxa"/>
              <w:left w:w="80" w:type="dxa"/>
              <w:bottom w:w="60" w:type="dxa"/>
              <w:right w:w="80" w:type="dxa"/>
            </w:tcMar>
            <w:vAlign w:val="center"/>
          </w:tcPr>
          <w:p w14:paraId="15730E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S1</w:t>
            </w:r>
          </w:p>
        </w:tc>
        <w:tc>
          <w:tcPr>
            <w:tcW w:w="4422" w:type="dxa"/>
            <w:tcMar>
              <w:top w:w="60" w:type="dxa"/>
              <w:left w:w="80" w:type="dxa"/>
              <w:bottom w:w="60" w:type="dxa"/>
              <w:right w:w="80" w:type="dxa"/>
            </w:tcMar>
            <w:vAlign w:val="center"/>
          </w:tcPr>
          <w:p w14:paraId="79F382C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تعمل حاليًا في وكالة تسويق رقمي مرخَّصة عاملة في الرياض أو جدة أو الدمام؟</w:t>
            </w:r>
          </w:p>
        </w:tc>
        <w:tc>
          <w:tcPr>
            <w:tcW w:w="4989" w:type="dxa"/>
            <w:tcMar>
              <w:top w:w="60" w:type="dxa"/>
              <w:left w:w="80" w:type="dxa"/>
              <w:bottom w:w="60" w:type="dxa"/>
              <w:right w:w="80" w:type="dxa"/>
            </w:tcMar>
            <w:vAlign w:val="center"/>
          </w:tcPr>
          <w:p w14:paraId="0DEDE3FE"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7CB28BD" w14:textId="77777777" w:rsidTr="0085711F">
        <w:trPr>
          <w:cantSplit/>
          <w:jc w:val="center"/>
        </w:trPr>
        <w:tc>
          <w:tcPr>
            <w:tcW w:w="794" w:type="dxa"/>
            <w:tcMar>
              <w:top w:w="60" w:type="dxa"/>
              <w:left w:w="80" w:type="dxa"/>
              <w:bottom w:w="60" w:type="dxa"/>
              <w:right w:w="80" w:type="dxa"/>
            </w:tcMar>
            <w:vAlign w:val="center"/>
          </w:tcPr>
          <w:p w14:paraId="73FE9D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S2</w:t>
            </w:r>
          </w:p>
        </w:tc>
        <w:tc>
          <w:tcPr>
            <w:tcW w:w="4422" w:type="dxa"/>
            <w:tcMar>
              <w:top w:w="60" w:type="dxa"/>
              <w:left w:w="80" w:type="dxa"/>
              <w:bottom w:w="60" w:type="dxa"/>
              <w:right w:w="80" w:type="dxa"/>
            </w:tcMar>
            <w:vAlign w:val="center"/>
          </w:tcPr>
          <w:p w14:paraId="09DA232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يرتبط عملك بتخطيط الحملات التسويقية الرقمية أو تصميمها أو تنفيذها أو تحليل أدائها ضمن أحد الأدوار الوظيفية ذات الصلة؟</w:t>
            </w:r>
          </w:p>
        </w:tc>
        <w:tc>
          <w:tcPr>
            <w:tcW w:w="4989" w:type="dxa"/>
            <w:tcMar>
              <w:top w:w="60" w:type="dxa"/>
              <w:left w:w="80" w:type="dxa"/>
              <w:bottom w:w="60" w:type="dxa"/>
              <w:right w:w="80" w:type="dxa"/>
            </w:tcMar>
            <w:vAlign w:val="center"/>
          </w:tcPr>
          <w:p w14:paraId="108274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2549091" w14:textId="77777777" w:rsidTr="0085711F">
        <w:trPr>
          <w:cantSplit/>
          <w:jc w:val="center"/>
        </w:trPr>
        <w:tc>
          <w:tcPr>
            <w:tcW w:w="794" w:type="dxa"/>
            <w:tcMar>
              <w:top w:w="60" w:type="dxa"/>
              <w:left w:w="80" w:type="dxa"/>
              <w:bottom w:w="60" w:type="dxa"/>
              <w:right w:w="80" w:type="dxa"/>
            </w:tcMar>
            <w:vAlign w:val="center"/>
          </w:tcPr>
          <w:p w14:paraId="47E6D9A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lastRenderedPageBreak/>
              <w:t>S3</w:t>
            </w:r>
          </w:p>
        </w:tc>
        <w:tc>
          <w:tcPr>
            <w:tcW w:w="4422" w:type="dxa"/>
            <w:tcMar>
              <w:top w:w="60" w:type="dxa"/>
              <w:left w:w="80" w:type="dxa"/>
              <w:bottom w:w="60" w:type="dxa"/>
              <w:right w:w="80" w:type="dxa"/>
            </w:tcMar>
            <w:vAlign w:val="center"/>
          </w:tcPr>
          <w:p w14:paraId="7E3924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استخدمت بصورة مباشرة وعملية أداة واحدة على الأقل من أدوات الذكاء الاصطناعي التوليدي في سياق العمل على الحملات التسويقية الرقمية خلال آخر 12 شهرًا، وبمعدل لا يقل عن مرة شهريًا؟</w:t>
            </w:r>
          </w:p>
        </w:tc>
        <w:tc>
          <w:tcPr>
            <w:tcW w:w="4989" w:type="dxa"/>
            <w:tcMar>
              <w:top w:w="60" w:type="dxa"/>
              <w:left w:w="80" w:type="dxa"/>
              <w:bottom w:w="60" w:type="dxa"/>
              <w:right w:w="80" w:type="dxa"/>
            </w:tcMar>
            <w:vAlign w:val="center"/>
          </w:tcPr>
          <w:p w14:paraId="712ACF0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E509620" w14:textId="77777777" w:rsidTr="0085711F">
        <w:trPr>
          <w:cantSplit/>
          <w:jc w:val="center"/>
        </w:trPr>
        <w:tc>
          <w:tcPr>
            <w:tcW w:w="794" w:type="dxa"/>
            <w:tcMar>
              <w:top w:w="60" w:type="dxa"/>
              <w:left w:w="80" w:type="dxa"/>
              <w:bottom w:w="60" w:type="dxa"/>
              <w:right w:w="80" w:type="dxa"/>
            </w:tcMar>
            <w:vAlign w:val="center"/>
          </w:tcPr>
          <w:p w14:paraId="513AC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S4</w:t>
            </w:r>
          </w:p>
        </w:tc>
        <w:tc>
          <w:tcPr>
            <w:tcW w:w="4422" w:type="dxa"/>
            <w:tcMar>
              <w:top w:w="60" w:type="dxa"/>
              <w:left w:w="80" w:type="dxa"/>
              <w:bottom w:w="60" w:type="dxa"/>
              <w:right w:w="80" w:type="dxa"/>
            </w:tcMar>
            <w:vAlign w:val="center"/>
          </w:tcPr>
          <w:p w14:paraId="5644685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لديك خبرة مستمرة في الوكالة الحالية أو في مجال الحملات التسويقية الرقمية لمدة ستة أشهر فأكثر؟</w:t>
            </w:r>
          </w:p>
        </w:tc>
        <w:tc>
          <w:tcPr>
            <w:tcW w:w="4989" w:type="dxa"/>
            <w:tcMar>
              <w:top w:w="60" w:type="dxa"/>
              <w:left w:w="80" w:type="dxa"/>
              <w:bottom w:w="60" w:type="dxa"/>
              <w:right w:w="80" w:type="dxa"/>
            </w:tcMar>
            <w:vAlign w:val="center"/>
          </w:tcPr>
          <w:p w14:paraId="1963A22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87CFD24" w14:textId="77777777" w:rsidTr="0085711F">
        <w:trPr>
          <w:cantSplit/>
          <w:jc w:val="center"/>
        </w:trPr>
        <w:tc>
          <w:tcPr>
            <w:tcW w:w="794" w:type="dxa"/>
            <w:tcMar>
              <w:top w:w="60" w:type="dxa"/>
              <w:left w:w="80" w:type="dxa"/>
              <w:bottom w:w="60" w:type="dxa"/>
              <w:right w:w="80" w:type="dxa"/>
            </w:tcMar>
            <w:vAlign w:val="center"/>
          </w:tcPr>
          <w:p w14:paraId="149C08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S5</w:t>
            </w:r>
          </w:p>
        </w:tc>
        <w:tc>
          <w:tcPr>
            <w:tcW w:w="4422" w:type="dxa"/>
            <w:tcMar>
              <w:top w:w="60" w:type="dxa"/>
              <w:left w:w="80" w:type="dxa"/>
              <w:bottom w:w="60" w:type="dxa"/>
              <w:right w:w="80" w:type="dxa"/>
            </w:tcMar>
            <w:vAlign w:val="center"/>
          </w:tcPr>
          <w:p w14:paraId="410FCBA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توافق طوعًا على المشاركة في هذه الدراسة بعد الاطلاع على معلومات المشاركة والموافقة المستنيرة؟</w:t>
            </w:r>
          </w:p>
        </w:tc>
        <w:tc>
          <w:tcPr>
            <w:tcW w:w="4989" w:type="dxa"/>
            <w:tcMar>
              <w:top w:w="60" w:type="dxa"/>
              <w:left w:w="80" w:type="dxa"/>
              <w:bottom w:w="60" w:type="dxa"/>
              <w:right w:w="80" w:type="dxa"/>
            </w:tcMar>
            <w:vAlign w:val="center"/>
          </w:tcPr>
          <w:p w14:paraId="1605D3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bl>
    <w:p w14:paraId="6E085339" w14:textId="77777777" w:rsidR="00F035EA" w:rsidRPr="00C22AB7" w:rsidRDefault="00F035EA" w:rsidP="00F035EA">
      <w:pPr>
        <w:bidi/>
        <w:spacing w:after="40" w:line="240" w:lineRule="auto"/>
        <w:jc w:val="right"/>
        <w:rPr>
          <w:rFonts w:ascii="Simplified Arabic" w:eastAsia="Arial" w:hAnsi="Simplified Arabic" w:cs="Simplified Arabic"/>
        </w:rPr>
      </w:pPr>
    </w:p>
    <w:p w14:paraId="506DA95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color w:val="FF0000"/>
          <w:rtl/>
        </w:rPr>
        <w:t>ملاحظة: في حال كانت الإجابة بـ «لا» عن أي من الأسئلة S1 إلى S5، تُنهى المشاركة تلقائيًا ولا ينتقل المشارك إلى بقية أقسام الاستبانة.</w:t>
      </w:r>
    </w:p>
    <w:p w14:paraId="1A075823" w14:textId="77777777" w:rsidR="00F035EA" w:rsidRPr="00C22AB7" w:rsidRDefault="00F035EA" w:rsidP="00F035EA">
      <w:pPr>
        <w:bidi/>
        <w:spacing w:after="40" w:line="240" w:lineRule="auto"/>
        <w:jc w:val="right"/>
        <w:rPr>
          <w:rFonts w:ascii="Simplified Arabic" w:eastAsia="Arial" w:hAnsi="Simplified Arabic" w:cs="Simplified Arabic"/>
        </w:rPr>
      </w:pPr>
    </w:p>
    <w:p w14:paraId="26CCFA27" w14:textId="77777777" w:rsidR="00F035EA" w:rsidRPr="00C22AB7" w:rsidRDefault="00F035EA" w:rsidP="00F035EA">
      <w:pPr>
        <w:keepNext/>
        <w:bidi/>
        <w:spacing w:after="12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t>محاور الاستبانة الموضوعية</w:t>
      </w:r>
    </w:p>
    <w:p w14:paraId="20A56FE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يرجى تحديد درجة موافقتك على كل عبارة من العبارات الآتية وفق مقياس ليكرت الخماسي، واستند في إجاباتك إلى خبرتك المباشرة وملاحظتك الفعلية لممارسات الوكالة ضمن نطاق عملك خلال آخر 12 شهرًا، دون الحكم على جوانب لا تطلع عليها بحكم دورك الوظيفي: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90"/>
        <w:gridCol w:w="5700"/>
      </w:tblGrid>
      <w:tr w:rsidR="00F035EA" w:rsidRPr="00C22AB7" w14:paraId="3A4C694C" w14:textId="77777777" w:rsidTr="0085711F">
        <w:trPr>
          <w:jc w:val="center"/>
        </w:trPr>
        <w:tc>
          <w:tcPr>
            <w:tcW w:w="1417" w:type="dxa"/>
            <w:shd w:val="clear" w:color="auto" w:fill="D9D9D9"/>
            <w:tcMar>
              <w:top w:w="60" w:type="dxa"/>
              <w:left w:w="80" w:type="dxa"/>
              <w:bottom w:w="60" w:type="dxa"/>
              <w:right w:w="80" w:type="dxa"/>
            </w:tcMar>
            <w:vAlign w:val="center"/>
          </w:tcPr>
          <w:p w14:paraId="05C3B51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الدرجة</w:t>
            </w:r>
          </w:p>
        </w:tc>
        <w:tc>
          <w:tcPr>
            <w:tcW w:w="3118" w:type="dxa"/>
            <w:shd w:val="clear" w:color="auto" w:fill="D9D9D9"/>
            <w:tcMar>
              <w:top w:w="60" w:type="dxa"/>
              <w:left w:w="80" w:type="dxa"/>
              <w:bottom w:w="60" w:type="dxa"/>
              <w:right w:w="80" w:type="dxa"/>
            </w:tcMar>
            <w:vAlign w:val="center"/>
          </w:tcPr>
          <w:p w14:paraId="4005D1B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مستوى الموافقة</w:t>
            </w:r>
          </w:p>
        </w:tc>
      </w:tr>
      <w:tr w:rsidR="00F035EA" w:rsidRPr="00C22AB7" w14:paraId="2A8F630C" w14:textId="77777777" w:rsidTr="0085711F">
        <w:trPr>
          <w:jc w:val="center"/>
        </w:trPr>
        <w:tc>
          <w:tcPr>
            <w:tcW w:w="1417" w:type="dxa"/>
            <w:tcMar>
              <w:top w:w="60" w:type="dxa"/>
              <w:left w:w="80" w:type="dxa"/>
              <w:bottom w:w="60" w:type="dxa"/>
              <w:right w:w="80" w:type="dxa"/>
            </w:tcMar>
            <w:vAlign w:val="center"/>
          </w:tcPr>
          <w:p w14:paraId="20706B7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1</w:t>
            </w:r>
          </w:p>
        </w:tc>
        <w:tc>
          <w:tcPr>
            <w:tcW w:w="3118" w:type="dxa"/>
            <w:tcMar>
              <w:top w:w="60" w:type="dxa"/>
              <w:left w:w="80" w:type="dxa"/>
              <w:bottom w:w="60" w:type="dxa"/>
              <w:right w:w="80" w:type="dxa"/>
            </w:tcMar>
            <w:vAlign w:val="center"/>
          </w:tcPr>
          <w:p w14:paraId="13D697E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 بشدة</w:t>
            </w:r>
          </w:p>
        </w:tc>
      </w:tr>
      <w:tr w:rsidR="00F035EA" w:rsidRPr="00C22AB7" w14:paraId="7ACCEA3D" w14:textId="77777777" w:rsidTr="0085711F">
        <w:trPr>
          <w:jc w:val="center"/>
        </w:trPr>
        <w:tc>
          <w:tcPr>
            <w:tcW w:w="1417" w:type="dxa"/>
            <w:tcMar>
              <w:top w:w="60" w:type="dxa"/>
              <w:left w:w="80" w:type="dxa"/>
              <w:bottom w:w="60" w:type="dxa"/>
              <w:right w:w="80" w:type="dxa"/>
            </w:tcMar>
            <w:vAlign w:val="center"/>
          </w:tcPr>
          <w:p w14:paraId="59D798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2</w:t>
            </w:r>
          </w:p>
        </w:tc>
        <w:tc>
          <w:tcPr>
            <w:tcW w:w="3118" w:type="dxa"/>
            <w:tcMar>
              <w:top w:w="60" w:type="dxa"/>
              <w:left w:w="80" w:type="dxa"/>
              <w:bottom w:w="60" w:type="dxa"/>
              <w:right w:w="80" w:type="dxa"/>
            </w:tcMar>
            <w:vAlign w:val="center"/>
          </w:tcPr>
          <w:p w14:paraId="3EF5E7D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w:t>
            </w:r>
          </w:p>
        </w:tc>
      </w:tr>
      <w:tr w:rsidR="00F035EA" w:rsidRPr="00C22AB7" w14:paraId="3A534E5C" w14:textId="77777777" w:rsidTr="0085711F">
        <w:trPr>
          <w:jc w:val="center"/>
        </w:trPr>
        <w:tc>
          <w:tcPr>
            <w:tcW w:w="1417" w:type="dxa"/>
            <w:tcMar>
              <w:top w:w="60" w:type="dxa"/>
              <w:left w:w="80" w:type="dxa"/>
              <w:bottom w:w="60" w:type="dxa"/>
              <w:right w:w="80" w:type="dxa"/>
            </w:tcMar>
            <w:vAlign w:val="center"/>
          </w:tcPr>
          <w:p w14:paraId="2243280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3</w:t>
            </w:r>
          </w:p>
        </w:tc>
        <w:tc>
          <w:tcPr>
            <w:tcW w:w="3118" w:type="dxa"/>
            <w:tcMar>
              <w:top w:w="60" w:type="dxa"/>
              <w:left w:w="80" w:type="dxa"/>
              <w:bottom w:w="60" w:type="dxa"/>
              <w:right w:w="80" w:type="dxa"/>
            </w:tcMar>
            <w:vAlign w:val="center"/>
          </w:tcPr>
          <w:p w14:paraId="0562CCB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محايد</w:t>
            </w:r>
          </w:p>
        </w:tc>
      </w:tr>
      <w:tr w:rsidR="00F035EA" w:rsidRPr="00C22AB7" w14:paraId="55535C69" w14:textId="77777777" w:rsidTr="0085711F">
        <w:trPr>
          <w:jc w:val="center"/>
        </w:trPr>
        <w:tc>
          <w:tcPr>
            <w:tcW w:w="1417" w:type="dxa"/>
            <w:tcMar>
              <w:top w:w="60" w:type="dxa"/>
              <w:left w:w="80" w:type="dxa"/>
              <w:bottom w:w="60" w:type="dxa"/>
              <w:right w:w="80" w:type="dxa"/>
            </w:tcMar>
            <w:vAlign w:val="center"/>
          </w:tcPr>
          <w:p w14:paraId="28F1F1C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4</w:t>
            </w:r>
          </w:p>
        </w:tc>
        <w:tc>
          <w:tcPr>
            <w:tcW w:w="3118" w:type="dxa"/>
            <w:tcMar>
              <w:top w:w="60" w:type="dxa"/>
              <w:left w:w="80" w:type="dxa"/>
              <w:bottom w:w="60" w:type="dxa"/>
              <w:right w:w="80" w:type="dxa"/>
            </w:tcMar>
            <w:vAlign w:val="center"/>
          </w:tcPr>
          <w:p w14:paraId="64D4DD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w:t>
            </w:r>
          </w:p>
        </w:tc>
      </w:tr>
      <w:tr w:rsidR="00F035EA" w:rsidRPr="00C22AB7" w14:paraId="1F04C977" w14:textId="77777777" w:rsidTr="0085711F">
        <w:trPr>
          <w:jc w:val="center"/>
        </w:trPr>
        <w:tc>
          <w:tcPr>
            <w:tcW w:w="1417" w:type="dxa"/>
            <w:tcMar>
              <w:top w:w="60" w:type="dxa"/>
              <w:left w:w="80" w:type="dxa"/>
              <w:bottom w:w="60" w:type="dxa"/>
              <w:right w:w="80" w:type="dxa"/>
            </w:tcMar>
            <w:vAlign w:val="center"/>
          </w:tcPr>
          <w:p w14:paraId="7A0D1D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5</w:t>
            </w:r>
          </w:p>
        </w:tc>
        <w:tc>
          <w:tcPr>
            <w:tcW w:w="3118" w:type="dxa"/>
            <w:tcMar>
              <w:top w:w="60" w:type="dxa"/>
              <w:left w:w="80" w:type="dxa"/>
              <w:bottom w:w="60" w:type="dxa"/>
              <w:right w:w="80" w:type="dxa"/>
            </w:tcMar>
            <w:vAlign w:val="center"/>
          </w:tcPr>
          <w:p w14:paraId="6436A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 بشدة</w:t>
            </w:r>
          </w:p>
        </w:tc>
      </w:tr>
    </w:tbl>
    <w:p w14:paraId="1CD69BFC" w14:textId="77777777" w:rsidR="00F035EA" w:rsidRPr="00C22AB7" w:rsidRDefault="00F035EA" w:rsidP="00F035EA">
      <w:pPr>
        <w:keepNext/>
        <w:bidi/>
        <w:spacing w:after="10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0000"/>
          <w:rtl/>
        </w:rPr>
        <w:t>المحور: توظيف تقنيات الذكاء الاصطناعي التوليدي في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4FC1998" w14:textId="77777777" w:rsidTr="0085711F">
        <w:trPr>
          <w:jc w:val="center"/>
        </w:trPr>
        <w:tc>
          <w:tcPr>
            <w:tcW w:w="850" w:type="dxa"/>
            <w:shd w:val="clear" w:color="auto" w:fill="D9D9D9"/>
            <w:tcMar>
              <w:top w:w="60" w:type="dxa"/>
              <w:left w:w="80" w:type="dxa"/>
              <w:bottom w:w="60" w:type="dxa"/>
              <w:right w:w="80" w:type="dxa"/>
            </w:tcMar>
            <w:vAlign w:val="center"/>
          </w:tcPr>
          <w:p w14:paraId="702ACA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349C9E9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777D9F7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295B551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2FDB80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2D4535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768D47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1A06D166" w14:textId="77777777" w:rsidTr="0085711F">
        <w:trPr>
          <w:jc w:val="center"/>
        </w:trPr>
        <w:tc>
          <w:tcPr>
            <w:tcW w:w="850" w:type="dxa"/>
            <w:tcMar>
              <w:top w:w="60" w:type="dxa"/>
              <w:left w:w="80" w:type="dxa"/>
              <w:bottom w:w="60" w:type="dxa"/>
              <w:right w:w="80" w:type="dxa"/>
            </w:tcMar>
            <w:vAlign w:val="center"/>
          </w:tcPr>
          <w:p w14:paraId="766EA2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w:t>
            </w:r>
          </w:p>
        </w:tc>
        <w:tc>
          <w:tcPr>
            <w:tcW w:w="6520" w:type="dxa"/>
            <w:tcMar>
              <w:top w:w="60" w:type="dxa"/>
              <w:left w:w="80" w:type="dxa"/>
              <w:bottom w:w="60" w:type="dxa"/>
              <w:right w:w="80" w:type="dxa"/>
            </w:tcMar>
            <w:vAlign w:val="center"/>
          </w:tcPr>
          <w:p w14:paraId="0D6B50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الوكالة أدوات الذكاء الاصطناعي التوليدي في تحليل السوق والاتجاهات قبل تصميم الحملة.</w:t>
            </w:r>
          </w:p>
        </w:tc>
        <w:tc>
          <w:tcPr>
            <w:tcW w:w="567" w:type="dxa"/>
            <w:tcMar>
              <w:top w:w="60" w:type="dxa"/>
              <w:left w:w="80" w:type="dxa"/>
              <w:bottom w:w="60" w:type="dxa"/>
              <w:right w:w="80" w:type="dxa"/>
            </w:tcMar>
            <w:vAlign w:val="center"/>
          </w:tcPr>
          <w:p w14:paraId="68F1ADA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9F4DF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C7F9B7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67C9CD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99D8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2BC3807" w14:textId="77777777" w:rsidTr="0085711F">
        <w:trPr>
          <w:jc w:val="center"/>
        </w:trPr>
        <w:tc>
          <w:tcPr>
            <w:tcW w:w="850" w:type="dxa"/>
            <w:tcMar>
              <w:top w:w="60" w:type="dxa"/>
              <w:left w:w="80" w:type="dxa"/>
              <w:bottom w:w="60" w:type="dxa"/>
              <w:right w:w="80" w:type="dxa"/>
            </w:tcMar>
            <w:vAlign w:val="center"/>
          </w:tcPr>
          <w:p w14:paraId="129BFF7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GAIU2</w:t>
            </w:r>
          </w:p>
        </w:tc>
        <w:tc>
          <w:tcPr>
            <w:tcW w:w="6520" w:type="dxa"/>
            <w:tcMar>
              <w:top w:w="60" w:type="dxa"/>
              <w:left w:w="80" w:type="dxa"/>
              <w:bottom w:w="60" w:type="dxa"/>
              <w:right w:w="80" w:type="dxa"/>
            </w:tcMar>
            <w:vAlign w:val="center"/>
          </w:tcPr>
          <w:p w14:paraId="05A5123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الأدوات في بناء تصورات عن الجمهور المستهدف وتقسيمه إلى شرائح قابلة للاستهداف.</w:t>
            </w:r>
          </w:p>
        </w:tc>
        <w:tc>
          <w:tcPr>
            <w:tcW w:w="567" w:type="dxa"/>
            <w:tcMar>
              <w:top w:w="60" w:type="dxa"/>
              <w:left w:w="80" w:type="dxa"/>
              <w:bottom w:w="60" w:type="dxa"/>
              <w:right w:w="80" w:type="dxa"/>
            </w:tcMar>
            <w:vAlign w:val="center"/>
          </w:tcPr>
          <w:p w14:paraId="28B7829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AD6A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7AA2D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AD9B8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3343C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F12A14" w14:textId="77777777" w:rsidTr="0085711F">
        <w:trPr>
          <w:jc w:val="center"/>
        </w:trPr>
        <w:tc>
          <w:tcPr>
            <w:tcW w:w="850" w:type="dxa"/>
            <w:tcMar>
              <w:top w:w="60" w:type="dxa"/>
              <w:left w:w="80" w:type="dxa"/>
              <w:bottom w:w="60" w:type="dxa"/>
              <w:right w:w="80" w:type="dxa"/>
            </w:tcMar>
            <w:vAlign w:val="center"/>
          </w:tcPr>
          <w:p w14:paraId="39BE65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GAIU3</w:t>
            </w:r>
          </w:p>
        </w:tc>
        <w:tc>
          <w:tcPr>
            <w:tcW w:w="6520" w:type="dxa"/>
            <w:tcMar>
              <w:top w:w="60" w:type="dxa"/>
              <w:left w:w="80" w:type="dxa"/>
              <w:bottom w:w="60" w:type="dxa"/>
              <w:right w:w="80" w:type="dxa"/>
            </w:tcMar>
            <w:vAlign w:val="center"/>
          </w:tcPr>
          <w:p w14:paraId="58512360"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تقنيات الذكاء الاصطناعي التوليدي في توليد أفكار أولية ومفاهيم إبداعية للحملات الرقمية.</w:t>
            </w:r>
          </w:p>
        </w:tc>
        <w:tc>
          <w:tcPr>
            <w:tcW w:w="567" w:type="dxa"/>
            <w:tcMar>
              <w:top w:w="60" w:type="dxa"/>
              <w:left w:w="80" w:type="dxa"/>
              <w:bottom w:w="60" w:type="dxa"/>
              <w:right w:w="80" w:type="dxa"/>
            </w:tcMar>
            <w:vAlign w:val="center"/>
          </w:tcPr>
          <w:p w14:paraId="3BC70A6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DE77D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D85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9EE39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8ED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7D174D6" w14:textId="77777777" w:rsidTr="0085711F">
        <w:trPr>
          <w:jc w:val="center"/>
        </w:trPr>
        <w:tc>
          <w:tcPr>
            <w:tcW w:w="850" w:type="dxa"/>
            <w:tcMar>
              <w:top w:w="60" w:type="dxa"/>
              <w:left w:w="80" w:type="dxa"/>
              <w:bottom w:w="60" w:type="dxa"/>
              <w:right w:w="80" w:type="dxa"/>
            </w:tcMar>
            <w:vAlign w:val="center"/>
          </w:tcPr>
          <w:p w14:paraId="47E7F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GAIU4</w:t>
            </w:r>
          </w:p>
        </w:tc>
        <w:tc>
          <w:tcPr>
            <w:tcW w:w="6520" w:type="dxa"/>
            <w:tcMar>
              <w:top w:w="60" w:type="dxa"/>
              <w:left w:w="80" w:type="dxa"/>
              <w:bottom w:w="60" w:type="dxa"/>
              <w:right w:w="80" w:type="dxa"/>
            </w:tcMar>
            <w:vAlign w:val="center"/>
          </w:tcPr>
          <w:p w14:paraId="2885501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هذه التقنيات في صياغة بدائل متعددة للنصوص الإعلانية والعناوين والرسائل الرئيسة.</w:t>
            </w:r>
          </w:p>
        </w:tc>
        <w:tc>
          <w:tcPr>
            <w:tcW w:w="567" w:type="dxa"/>
            <w:tcMar>
              <w:top w:w="60" w:type="dxa"/>
              <w:left w:w="80" w:type="dxa"/>
              <w:bottom w:w="60" w:type="dxa"/>
              <w:right w:w="80" w:type="dxa"/>
            </w:tcMar>
            <w:vAlign w:val="center"/>
          </w:tcPr>
          <w:p w14:paraId="1D5F6F4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3C01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024EC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9430E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260D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76DCDC" w14:textId="77777777" w:rsidTr="0085711F">
        <w:trPr>
          <w:jc w:val="center"/>
        </w:trPr>
        <w:tc>
          <w:tcPr>
            <w:tcW w:w="850" w:type="dxa"/>
            <w:tcMar>
              <w:top w:w="60" w:type="dxa"/>
              <w:left w:w="80" w:type="dxa"/>
              <w:bottom w:w="60" w:type="dxa"/>
              <w:right w:w="80" w:type="dxa"/>
            </w:tcMar>
            <w:vAlign w:val="center"/>
          </w:tcPr>
          <w:p w14:paraId="697C20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GAIU5</w:t>
            </w:r>
          </w:p>
        </w:tc>
        <w:tc>
          <w:tcPr>
            <w:tcW w:w="6520" w:type="dxa"/>
            <w:tcMar>
              <w:top w:w="60" w:type="dxa"/>
              <w:left w:w="80" w:type="dxa"/>
              <w:bottom w:w="60" w:type="dxa"/>
              <w:right w:w="80" w:type="dxa"/>
            </w:tcMar>
            <w:vAlign w:val="center"/>
          </w:tcPr>
          <w:p w14:paraId="59ECBC1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التوليد البصري في إنتاج تصورات أو عناصر تصميمية مبدئية للحملة.</w:t>
            </w:r>
          </w:p>
        </w:tc>
        <w:tc>
          <w:tcPr>
            <w:tcW w:w="567" w:type="dxa"/>
            <w:tcMar>
              <w:top w:w="60" w:type="dxa"/>
              <w:left w:w="80" w:type="dxa"/>
              <w:bottom w:w="60" w:type="dxa"/>
              <w:right w:w="80" w:type="dxa"/>
            </w:tcMar>
            <w:vAlign w:val="center"/>
          </w:tcPr>
          <w:p w14:paraId="69F89D9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1C27E8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7CBE4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59BD32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0157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4327AC4" w14:textId="77777777" w:rsidTr="0085711F">
        <w:trPr>
          <w:jc w:val="center"/>
        </w:trPr>
        <w:tc>
          <w:tcPr>
            <w:tcW w:w="850" w:type="dxa"/>
            <w:tcMar>
              <w:top w:w="60" w:type="dxa"/>
              <w:left w:w="80" w:type="dxa"/>
              <w:bottom w:w="60" w:type="dxa"/>
              <w:right w:w="80" w:type="dxa"/>
            </w:tcMar>
            <w:vAlign w:val="center"/>
          </w:tcPr>
          <w:p w14:paraId="47038CA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AC1</w:t>
            </w:r>
          </w:p>
        </w:tc>
        <w:tc>
          <w:tcPr>
            <w:tcW w:w="6520" w:type="dxa"/>
            <w:tcMar>
              <w:top w:w="60" w:type="dxa"/>
              <w:left w:w="80" w:type="dxa"/>
              <w:bottom w:w="60" w:type="dxa"/>
              <w:right w:w="80" w:type="dxa"/>
            </w:tcMar>
            <w:vAlign w:val="center"/>
          </w:tcPr>
          <w:p w14:paraId="6E38E83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جودة الاستجابة، يرجى اختيار «موافق» لهذه العبارة.</w:t>
            </w:r>
          </w:p>
        </w:tc>
        <w:tc>
          <w:tcPr>
            <w:tcW w:w="567" w:type="dxa"/>
            <w:tcMar>
              <w:top w:w="60" w:type="dxa"/>
              <w:left w:w="80" w:type="dxa"/>
              <w:bottom w:w="60" w:type="dxa"/>
              <w:right w:w="80" w:type="dxa"/>
            </w:tcMar>
            <w:vAlign w:val="center"/>
          </w:tcPr>
          <w:p w14:paraId="18319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40F81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0814A53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B12A6D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5965B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618CBDD7" w14:textId="77777777" w:rsidTr="0085711F">
        <w:trPr>
          <w:jc w:val="center"/>
        </w:trPr>
        <w:tc>
          <w:tcPr>
            <w:tcW w:w="850" w:type="dxa"/>
            <w:tcMar>
              <w:top w:w="60" w:type="dxa"/>
              <w:left w:w="80" w:type="dxa"/>
              <w:bottom w:w="60" w:type="dxa"/>
              <w:right w:w="80" w:type="dxa"/>
            </w:tcMar>
            <w:vAlign w:val="center"/>
          </w:tcPr>
          <w:p w14:paraId="7F9CAE7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GAIU6</w:t>
            </w:r>
          </w:p>
        </w:tc>
        <w:tc>
          <w:tcPr>
            <w:tcW w:w="6520" w:type="dxa"/>
            <w:tcMar>
              <w:top w:w="60" w:type="dxa"/>
              <w:left w:w="80" w:type="dxa"/>
              <w:bottom w:w="60" w:type="dxa"/>
              <w:right w:w="80" w:type="dxa"/>
            </w:tcMar>
            <w:vAlign w:val="center"/>
          </w:tcPr>
          <w:p w14:paraId="38DE997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التقنيات في تكييف المحتوى مع خصائص المنصات الرقمية المختلفة.</w:t>
            </w:r>
          </w:p>
        </w:tc>
        <w:tc>
          <w:tcPr>
            <w:tcW w:w="567" w:type="dxa"/>
            <w:tcMar>
              <w:top w:w="60" w:type="dxa"/>
              <w:left w:w="80" w:type="dxa"/>
              <w:bottom w:w="60" w:type="dxa"/>
              <w:right w:w="80" w:type="dxa"/>
            </w:tcMar>
            <w:vAlign w:val="center"/>
          </w:tcPr>
          <w:p w14:paraId="4EB37D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F09A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6797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CB1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C46CB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56E8A6" w14:textId="77777777" w:rsidTr="0085711F">
        <w:trPr>
          <w:jc w:val="center"/>
        </w:trPr>
        <w:tc>
          <w:tcPr>
            <w:tcW w:w="850" w:type="dxa"/>
            <w:tcMar>
              <w:top w:w="60" w:type="dxa"/>
              <w:left w:w="80" w:type="dxa"/>
              <w:bottom w:w="60" w:type="dxa"/>
              <w:right w:w="80" w:type="dxa"/>
            </w:tcMar>
            <w:vAlign w:val="center"/>
          </w:tcPr>
          <w:p w14:paraId="6F5BD4D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GAIU7</w:t>
            </w:r>
          </w:p>
        </w:tc>
        <w:tc>
          <w:tcPr>
            <w:tcW w:w="6520" w:type="dxa"/>
            <w:tcMar>
              <w:top w:w="60" w:type="dxa"/>
              <w:left w:w="80" w:type="dxa"/>
              <w:bottom w:w="60" w:type="dxa"/>
              <w:right w:w="80" w:type="dxa"/>
            </w:tcMar>
            <w:vAlign w:val="center"/>
          </w:tcPr>
          <w:p w14:paraId="31023AD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الذكاء الاصطناعي التوليدي في اقتراح صيغ مختلفة للرسائل بما يتناسب مع شرائح الجمهور.</w:t>
            </w:r>
          </w:p>
        </w:tc>
        <w:tc>
          <w:tcPr>
            <w:tcW w:w="567" w:type="dxa"/>
            <w:tcMar>
              <w:top w:w="60" w:type="dxa"/>
              <w:left w:w="80" w:type="dxa"/>
              <w:bottom w:w="60" w:type="dxa"/>
              <w:right w:w="80" w:type="dxa"/>
            </w:tcMar>
            <w:vAlign w:val="center"/>
          </w:tcPr>
          <w:p w14:paraId="3D981D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9F587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1261F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F442C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729F5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23A460" w14:textId="77777777" w:rsidTr="0085711F">
        <w:trPr>
          <w:jc w:val="center"/>
        </w:trPr>
        <w:tc>
          <w:tcPr>
            <w:tcW w:w="850" w:type="dxa"/>
            <w:tcMar>
              <w:top w:w="60" w:type="dxa"/>
              <w:left w:w="80" w:type="dxa"/>
              <w:bottom w:w="60" w:type="dxa"/>
              <w:right w:w="80" w:type="dxa"/>
            </w:tcMar>
            <w:vAlign w:val="center"/>
          </w:tcPr>
          <w:p w14:paraId="16281C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GAIU8</w:t>
            </w:r>
          </w:p>
        </w:tc>
        <w:tc>
          <w:tcPr>
            <w:tcW w:w="6520" w:type="dxa"/>
            <w:tcMar>
              <w:top w:w="60" w:type="dxa"/>
              <w:left w:w="80" w:type="dxa"/>
              <w:bottom w:w="60" w:type="dxa"/>
              <w:right w:w="80" w:type="dxa"/>
            </w:tcMar>
            <w:vAlign w:val="center"/>
          </w:tcPr>
          <w:p w14:paraId="1BE0A96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تدخل مخرجات الذكاء الاصطناعي التوليدي ضمن جلسات العصف الذهني والمراجعة الإبداعية داخل الفريق.</w:t>
            </w:r>
          </w:p>
        </w:tc>
        <w:tc>
          <w:tcPr>
            <w:tcW w:w="567" w:type="dxa"/>
            <w:tcMar>
              <w:top w:w="60" w:type="dxa"/>
              <w:left w:w="80" w:type="dxa"/>
              <w:bottom w:w="60" w:type="dxa"/>
              <w:right w:w="80" w:type="dxa"/>
            </w:tcMar>
            <w:vAlign w:val="center"/>
          </w:tcPr>
          <w:p w14:paraId="14CFDA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EE7F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B112B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28798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A47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2A2B927" w14:textId="77777777" w:rsidTr="0085711F">
        <w:trPr>
          <w:jc w:val="center"/>
        </w:trPr>
        <w:tc>
          <w:tcPr>
            <w:tcW w:w="850" w:type="dxa"/>
            <w:tcMar>
              <w:top w:w="60" w:type="dxa"/>
              <w:left w:w="80" w:type="dxa"/>
              <w:bottom w:w="60" w:type="dxa"/>
              <w:right w:w="80" w:type="dxa"/>
            </w:tcMar>
            <w:vAlign w:val="center"/>
          </w:tcPr>
          <w:p w14:paraId="5465C71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GAIU9</w:t>
            </w:r>
          </w:p>
        </w:tc>
        <w:tc>
          <w:tcPr>
            <w:tcW w:w="6520" w:type="dxa"/>
            <w:tcMar>
              <w:top w:w="60" w:type="dxa"/>
              <w:left w:w="80" w:type="dxa"/>
              <w:bottom w:w="60" w:type="dxa"/>
              <w:right w:w="80" w:type="dxa"/>
            </w:tcMar>
            <w:vAlign w:val="center"/>
          </w:tcPr>
          <w:p w14:paraId="5F94DEB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هذه الأدوات في تلخيص بيانات الأداء واقتراح تحسينات أثناء تنفيذ الحملة أو بعدها.</w:t>
            </w:r>
          </w:p>
        </w:tc>
        <w:tc>
          <w:tcPr>
            <w:tcW w:w="567" w:type="dxa"/>
            <w:tcMar>
              <w:top w:w="60" w:type="dxa"/>
              <w:left w:w="80" w:type="dxa"/>
              <w:bottom w:w="60" w:type="dxa"/>
              <w:right w:w="80" w:type="dxa"/>
            </w:tcMar>
            <w:vAlign w:val="center"/>
          </w:tcPr>
          <w:p w14:paraId="6D3095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E62D3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61A5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251E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EE6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A8F6200" w14:textId="77777777" w:rsidTr="0085711F">
        <w:trPr>
          <w:jc w:val="center"/>
        </w:trPr>
        <w:tc>
          <w:tcPr>
            <w:tcW w:w="850" w:type="dxa"/>
            <w:tcMar>
              <w:top w:w="60" w:type="dxa"/>
              <w:left w:w="80" w:type="dxa"/>
              <w:bottom w:w="60" w:type="dxa"/>
              <w:right w:w="80" w:type="dxa"/>
            </w:tcMar>
            <w:vAlign w:val="center"/>
          </w:tcPr>
          <w:p w14:paraId="77A5D99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GAIU10</w:t>
            </w:r>
          </w:p>
        </w:tc>
        <w:tc>
          <w:tcPr>
            <w:tcW w:w="6520" w:type="dxa"/>
            <w:tcMar>
              <w:top w:w="60" w:type="dxa"/>
              <w:left w:w="80" w:type="dxa"/>
              <w:bottom w:w="60" w:type="dxa"/>
              <w:right w:w="80" w:type="dxa"/>
            </w:tcMar>
            <w:vAlign w:val="center"/>
          </w:tcPr>
          <w:p w14:paraId="3099808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أصبح توظيف الذكاء الاصطناعي التوليدي جزءًا واضحًا من سير عمل تصميم الحملات في الوكالة.</w:t>
            </w:r>
          </w:p>
        </w:tc>
        <w:tc>
          <w:tcPr>
            <w:tcW w:w="567" w:type="dxa"/>
            <w:tcMar>
              <w:top w:w="60" w:type="dxa"/>
              <w:left w:w="80" w:type="dxa"/>
              <w:bottom w:w="60" w:type="dxa"/>
              <w:right w:w="80" w:type="dxa"/>
            </w:tcMar>
            <w:vAlign w:val="center"/>
          </w:tcPr>
          <w:p w14:paraId="0BE55D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11A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7882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0BFD1E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9E3931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19AF891F" w14:textId="77777777" w:rsidR="00F035EA" w:rsidRPr="00C22AB7" w:rsidRDefault="00F035EA" w:rsidP="00F035EA">
      <w:pPr>
        <w:bidi/>
        <w:spacing w:after="40" w:line="240" w:lineRule="auto"/>
        <w:jc w:val="right"/>
        <w:rPr>
          <w:rFonts w:ascii="Simplified Arabic" w:eastAsia="Arial" w:hAnsi="Simplified Arabic" w:cs="Simplified Arabic"/>
        </w:rPr>
      </w:pPr>
    </w:p>
    <w:p w14:paraId="7E2C2C0C"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جودة عملية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B6066BC" w14:textId="77777777" w:rsidTr="0085711F">
        <w:trPr>
          <w:jc w:val="center"/>
        </w:trPr>
        <w:tc>
          <w:tcPr>
            <w:tcW w:w="850" w:type="dxa"/>
            <w:shd w:val="clear" w:color="auto" w:fill="D9D9D9"/>
            <w:tcMar>
              <w:top w:w="60" w:type="dxa"/>
              <w:left w:w="80" w:type="dxa"/>
              <w:bottom w:w="60" w:type="dxa"/>
              <w:right w:w="80" w:type="dxa"/>
            </w:tcMar>
            <w:vAlign w:val="center"/>
          </w:tcPr>
          <w:p w14:paraId="7FA2B4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FF8707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8FF2E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10B99A3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3B5EEE3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43E504C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43F50F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4A844DA0" w14:textId="77777777" w:rsidTr="0085711F">
        <w:trPr>
          <w:jc w:val="center"/>
        </w:trPr>
        <w:tc>
          <w:tcPr>
            <w:tcW w:w="850" w:type="dxa"/>
            <w:tcMar>
              <w:top w:w="60" w:type="dxa"/>
              <w:left w:w="80" w:type="dxa"/>
              <w:bottom w:w="60" w:type="dxa"/>
              <w:right w:w="80" w:type="dxa"/>
            </w:tcMar>
            <w:vAlign w:val="center"/>
          </w:tcPr>
          <w:p w14:paraId="2C520DD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CDQ1</w:t>
            </w:r>
          </w:p>
        </w:tc>
        <w:tc>
          <w:tcPr>
            <w:tcW w:w="6520" w:type="dxa"/>
            <w:tcMar>
              <w:top w:w="60" w:type="dxa"/>
              <w:left w:w="80" w:type="dxa"/>
              <w:bottom w:w="60" w:type="dxa"/>
              <w:right w:w="80" w:type="dxa"/>
            </w:tcMar>
            <w:vAlign w:val="center"/>
          </w:tcPr>
          <w:p w14:paraId="62E9DF40" w14:textId="42B1001A"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تتم عملية تصميم الحملات في الوكالة ضمن زمن مناسب للانتقال من موجز العميل إلى التصورات الأولية.</w:t>
            </w:r>
          </w:p>
        </w:tc>
        <w:tc>
          <w:tcPr>
            <w:tcW w:w="567" w:type="dxa"/>
            <w:tcMar>
              <w:top w:w="60" w:type="dxa"/>
              <w:left w:w="80" w:type="dxa"/>
              <w:bottom w:w="60" w:type="dxa"/>
              <w:right w:w="80" w:type="dxa"/>
            </w:tcMar>
            <w:vAlign w:val="center"/>
          </w:tcPr>
          <w:p w14:paraId="412674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51A74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8A29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5E595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9642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14A6885" w14:textId="77777777" w:rsidTr="0085711F">
        <w:trPr>
          <w:jc w:val="center"/>
        </w:trPr>
        <w:tc>
          <w:tcPr>
            <w:tcW w:w="850" w:type="dxa"/>
            <w:tcMar>
              <w:top w:w="60" w:type="dxa"/>
              <w:left w:w="80" w:type="dxa"/>
              <w:bottom w:w="60" w:type="dxa"/>
              <w:right w:w="80" w:type="dxa"/>
            </w:tcMar>
            <w:vAlign w:val="center"/>
          </w:tcPr>
          <w:p w14:paraId="50A2DF9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CDQ2</w:t>
            </w:r>
          </w:p>
        </w:tc>
        <w:tc>
          <w:tcPr>
            <w:tcW w:w="6520" w:type="dxa"/>
            <w:tcMar>
              <w:top w:w="60" w:type="dxa"/>
              <w:left w:w="80" w:type="dxa"/>
              <w:bottom w:w="60" w:type="dxa"/>
              <w:right w:w="80" w:type="dxa"/>
            </w:tcMar>
            <w:vAlign w:val="center"/>
          </w:tcPr>
          <w:p w14:paraId="1369B134" w14:textId="2DF05FFB"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تُنجز المهام المتكررة في التصميم والمحتوى بكفاءة عالية.</w:t>
            </w:r>
          </w:p>
        </w:tc>
        <w:tc>
          <w:tcPr>
            <w:tcW w:w="567" w:type="dxa"/>
            <w:tcMar>
              <w:top w:w="60" w:type="dxa"/>
              <w:left w:w="80" w:type="dxa"/>
              <w:bottom w:w="60" w:type="dxa"/>
              <w:right w:w="80" w:type="dxa"/>
            </w:tcMar>
            <w:vAlign w:val="center"/>
          </w:tcPr>
          <w:p w14:paraId="58BFD49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4B36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A86803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F22D6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C3A2D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E0DE3B" w14:textId="77777777" w:rsidTr="0085711F">
        <w:trPr>
          <w:jc w:val="center"/>
        </w:trPr>
        <w:tc>
          <w:tcPr>
            <w:tcW w:w="850" w:type="dxa"/>
            <w:tcMar>
              <w:top w:w="60" w:type="dxa"/>
              <w:left w:w="80" w:type="dxa"/>
              <w:bottom w:w="60" w:type="dxa"/>
              <w:right w:w="80" w:type="dxa"/>
            </w:tcMar>
            <w:vAlign w:val="center"/>
          </w:tcPr>
          <w:p w14:paraId="5E98976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CDQ3</w:t>
            </w:r>
          </w:p>
        </w:tc>
        <w:tc>
          <w:tcPr>
            <w:tcW w:w="6520" w:type="dxa"/>
            <w:tcMar>
              <w:top w:w="60" w:type="dxa"/>
              <w:left w:w="80" w:type="dxa"/>
              <w:bottom w:w="60" w:type="dxa"/>
              <w:right w:w="80" w:type="dxa"/>
            </w:tcMar>
            <w:vAlign w:val="center"/>
          </w:tcPr>
          <w:p w14:paraId="1EF5F3A9" w14:textId="694F996D"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تتوافر لدى الفريق بدائل إبداعية متعددة قبل اعتماد فكرة الحملة.</w:t>
            </w:r>
          </w:p>
        </w:tc>
        <w:tc>
          <w:tcPr>
            <w:tcW w:w="567" w:type="dxa"/>
            <w:tcMar>
              <w:top w:w="60" w:type="dxa"/>
              <w:left w:w="80" w:type="dxa"/>
              <w:bottom w:w="60" w:type="dxa"/>
              <w:right w:w="80" w:type="dxa"/>
            </w:tcMar>
            <w:vAlign w:val="center"/>
          </w:tcPr>
          <w:p w14:paraId="5C9163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A9B0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D3B2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6623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7E6B2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211FBCF0" w14:textId="77777777" w:rsidTr="0085711F">
        <w:trPr>
          <w:jc w:val="center"/>
        </w:trPr>
        <w:tc>
          <w:tcPr>
            <w:tcW w:w="850" w:type="dxa"/>
            <w:tcMar>
              <w:top w:w="60" w:type="dxa"/>
              <w:left w:w="80" w:type="dxa"/>
              <w:bottom w:w="60" w:type="dxa"/>
              <w:right w:w="80" w:type="dxa"/>
            </w:tcMar>
            <w:vAlign w:val="center"/>
          </w:tcPr>
          <w:p w14:paraId="56BA3F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CDQ4</w:t>
            </w:r>
          </w:p>
        </w:tc>
        <w:tc>
          <w:tcPr>
            <w:tcW w:w="6520" w:type="dxa"/>
            <w:tcMar>
              <w:top w:w="60" w:type="dxa"/>
              <w:left w:w="80" w:type="dxa"/>
              <w:bottom w:w="60" w:type="dxa"/>
              <w:right w:w="80" w:type="dxa"/>
            </w:tcMar>
            <w:vAlign w:val="center"/>
          </w:tcPr>
          <w:p w14:paraId="4234F252" w14:textId="6405EE5D"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تُقارن البدائل الإبداعية في ضوء أهداف الحملة والجمهور المستهدف قبل الاختيار.</w:t>
            </w:r>
          </w:p>
        </w:tc>
        <w:tc>
          <w:tcPr>
            <w:tcW w:w="567" w:type="dxa"/>
            <w:tcMar>
              <w:top w:w="60" w:type="dxa"/>
              <w:left w:w="80" w:type="dxa"/>
              <w:bottom w:w="60" w:type="dxa"/>
              <w:right w:w="80" w:type="dxa"/>
            </w:tcMar>
            <w:vAlign w:val="center"/>
          </w:tcPr>
          <w:p w14:paraId="04411C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FC3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ED15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4EE0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16FE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DCFD1E3" w14:textId="77777777" w:rsidTr="0085711F">
        <w:trPr>
          <w:jc w:val="center"/>
        </w:trPr>
        <w:tc>
          <w:tcPr>
            <w:tcW w:w="850" w:type="dxa"/>
            <w:tcMar>
              <w:top w:w="60" w:type="dxa"/>
              <w:left w:w="80" w:type="dxa"/>
              <w:bottom w:w="60" w:type="dxa"/>
              <w:right w:w="80" w:type="dxa"/>
            </w:tcMar>
            <w:vAlign w:val="center"/>
          </w:tcPr>
          <w:p w14:paraId="599FF63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CDQ5</w:t>
            </w:r>
          </w:p>
        </w:tc>
        <w:tc>
          <w:tcPr>
            <w:tcW w:w="6520" w:type="dxa"/>
            <w:tcMar>
              <w:top w:w="60" w:type="dxa"/>
              <w:left w:w="80" w:type="dxa"/>
              <w:bottom w:w="60" w:type="dxa"/>
              <w:right w:w="80" w:type="dxa"/>
            </w:tcMar>
            <w:vAlign w:val="center"/>
          </w:tcPr>
          <w:p w14:paraId="68B56A34" w14:textId="2735BFFA"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تتسم الرسائل والمخرجات التصميمية بالاتساق مع هوية العلامة التجارية.</w:t>
            </w:r>
          </w:p>
        </w:tc>
        <w:tc>
          <w:tcPr>
            <w:tcW w:w="567" w:type="dxa"/>
            <w:tcMar>
              <w:top w:w="60" w:type="dxa"/>
              <w:left w:w="80" w:type="dxa"/>
              <w:bottom w:w="60" w:type="dxa"/>
              <w:right w:w="80" w:type="dxa"/>
            </w:tcMar>
            <w:vAlign w:val="center"/>
          </w:tcPr>
          <w:p w14:paraId="12B83F0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55FBB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A609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EBE96F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B1BDE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3E1881" w14:textId="77777777" w:rsidTr="0085711F">
        <w:trPr>
          <w:jc w:val="center"/>
        </w:trPr>
        <w:tc>
          <w:tcPr>
            <w:tcW w:w="850" w:type="dxa"/>
            <w:tcMar>
              <w:top w:w="60" w:type="dxa"/>
              <w:left w:w="80" w:type="dxa"/>
              <w:bottom w:w="60" w:type="dxa"/>
              <w:right w:w="80" w:type="dxa"/>
            </w:tcMar>
            <w:vAlign w:val="center"/>
          </w:tcPr>
          <w:p w14:paraId="08B3D26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CDQ6</w:t>
            </w:r>
          </w:p>
        </w:tc>
        <w:tc>
          <w:tcPr>
            <w:tcW w:w="6520" w:type="dxa"/>
            <w:tcMar>
              <w:top w:w="60" w:type="dxa"/>
              <w:left w:w="80" w:type="dxa"/>
              <w:bottom w:w="60" w:type="dxa"/>
              <w:right w:w="80" w:type="dxa"/>
            </w:tcMar>
            <w:vAlign w:val="center"/>
          </w:tcPr>
          <w:p w14:paraId="759C54B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مخرجات الذكاء الاصطناعي التوليدي في تحسين دقة تصور الجمهور المناسب للحملة قبل إطلاقها.</w:t>
            </w:r>
          </w:p>
        </w:tc>
        <w:tc>
          <w:tcPr>
            <w:tcW w:w="567" w:type="dxa"/>
            <w:tcMar>
              <w:top w:w="60" w:type="dxa"/>
              <w:left w:w="80" w:type="dxa"/>
              <w:bottom w:w="60" w:type="dxa"/>
              <w:right w:w="80" w:type="dxa"/>
            </w:tcMar>
            <w:vAlign w:val="center"/>
          </w:tcPr>
          <w:p w14:paraId="096B0EB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20E7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599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13485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CA91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58811DA" w14:textId="77777777" w:rsidTr="0085711F">
        <w:trPr>
          <w:jc w:val="center"/>
        </w:trPr>
        <w:tc>
          <w:tcPr>
            <w:tcW w:w="850" w:type="dxa"/>
            <w:tcMar>
              <w:top w:w="60" w:type="dxa"/>
              <w:left w:w="80" w:type="dxa"/>
              <w:bottom w:w="60" w:type="dxa"/>
              <w:right w:w="80" w:type="dxa"/>
            </w:tcMar>
            <w:vAlign w:val="center"/>
          </w:tcPr>
          <w:p w14:paraId="453EB74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CDQ7</w:t>
            </w:r>
          </w:p>
        </w:tc>
        <w:tc>
          <w:tcPr>
            <w:tcW w:w="6520" w:type="dxa"/>
            <w:tcMar>
              <w:top w:w="60" w:type="dxa"/>
              <w:left w:w="80" w:type="dxa"/>
              <w:bottom w:w="60" w:type="dxa"/>
              <w:right w:w="80" w:type="dxa"/>
            </w:tcMar>
            <w:vAlign w:val="center"/>
          </w:tcPr>
          <w:p w14:paraId="1209CAEE" w14:textId="2CD60943"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يُخصص المحتوى بما يلائم خصائص الشرائح والمنصات المختلفة.</w:t>
            </w:r>
          </w:p>
        </w:tc>
        <w:tc>
          <w:tcPr>
            <w:tcW w:w="567" w:type="dxa"/>
            <w:tcMar>
              <w:top w:w="60" w:type="dxa"/>
              <w:left w:w="80" w:type="dxa"/>
              <w:bottom w:w="60" w:type="dxa"/>
              <w:right w:w="80" w:type="dxa"/>
            </w:tcMar>
            <w:vAlign w:val="center"/>
          </w:tcPr>
          <w:p w14:paraId="1CBABF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4E0CC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4C8B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8049D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F9EAE0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3E4ACAB" w14:textId="77777777" w:rsidTr="0085711F">
        <w:trPr>
          <w:jc w:val="center"/>
        </w:trPr>
        <w:tc>
          <w:tcPr>
            <w:tcW w:w="850" w:type="dxa"/>
            <w:tcMar>
              <w:top w:w="60" w:type="dxa"/>
              <w:left w:w="80" w:type="dxa"/>
              <w:bottom w:w="60" w:type="dxa"/>
              <w:right w:w="80" w:type="dxa"/>
            </w:tcMar>
            <w:vAlign w:val="center"/>
          </w:tcPr>
          <w:p w14:paraId="502185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CDQ8</w:t>
            </w:r>
          </w:p>
        </w:tc>
        <w:tc>
          <w:tcPr>
            <w:tcW w:w="6520" w:type="dxa"/>
            <w:tcMar>
              <w:top w:w="60" w:type="dxa"/>
              <w:left w:w="80" w:type="dxa"/>
              <w:bottom w:w="60" w:type="dxa"/>
              <w:right w:w="80" w:type="dxa"/>
            </w:tcMar>
            <w:vAlign w:val="center"/>
          </w:tcPr>
          <w:p w14:paraId="31122181" w14:textId="1D3F0272"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تمر عناصر الحملة بدورة مراجعة وتحسين فعالة قبل الاعتماد النهائي.</w:t>
            </w:r>
          </w:p>
        </w:tc>
        <w:tc>
          <w:tcPr>
            <w:tcW w:w="567" w:type="dxa"/>
            <w:tcMar>
              <w:top w:w="60" w:type="dxa"/>
              <w:left w:w="80" w:type="dxa"/>
              <w:bottom w:w="60" w:type="dxa"/>
              <w:right w:w="80" w:type="dxa"/>
            </w:tcMar>
            <w:vAlign w:val="center"/>
          </w:tcPr>
          <w:p w14:paraId="1F9C1B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DE45B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4263C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EFAAB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755FA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66C0EBC5" w14:textId="77777777" w:rsidR="00F035EA" w:rsidRPr="00C22AB7" w:rsidRDefault="00F035EA" w:rsidP="00F035EA">
      <w:pPr>
        <w:bidi/>
        <w:spacing w:after="40" w:line="240" w:lineRule="auto"/>
        <w:jc w:val="right"/>
        <w:rPr>
          <w:rFonts w:ascii="Simplified Arabic" w:eastAsia="Arial" w:hAnsi="Simplified Arabic" w:cs="Simplified Arabic"/>
        </w:rPr>
      </w:pPr>
    </w:p>
    <w:p w14:paraId="1221C1A1"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دوافع تبني تقنيات الذكاء الاصطناعي التوليدي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FADDD23" w14:textId="77777777" w:rsidTr="0085711F">
        <w:trPr>
          <w:jc w:val="center"/>
        </w:trPr>
        <w:tc>
          <w:tcPr>
            <w:tcW w:w="850" w:type="dxa"/>
            <w:shd w:val="clear" w:color="auto" w:fill="D9D9D9"/>
            <w:tcMar>
              <w:top w:w="60" w:type="dxa"/>
              <w:left w:w="80" w:type="dxa"/>
              <w:bottom w:w="60" w:type="dxa"/>
              <w:right w:w="80" w:type="dxa"/>
            </w:tcMar>
            <w:vAlign w:val="center"/>
          </w:tcPr>
          <w:p w14:paraId="340E07E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9519DD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B20AC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5F80C67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6A4AD8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5457670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3818EFA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325D2D98" w14:textId="77777777" w:rsidTr="0085711F">
        <w:trPr>
          <w:jc w:val="center"/>
        </w:trPr>
        <w:tc>
          <w:tcPr>
            <w:tcW w:w="850" w:type="dxa"/>
            <w:tcMar>
              <w:top w:w="60" w:type="dxa"/>
              <w:left w:w="80" w:type="dxa"/>
              <w:bottom w:w="60" w:type="dxa"/>
              <w:right w:w="80" w:type="dxa"/>
            </w:tcMar>
            <w:vAlign w:val="center"/>
          </w:tcPr>
          <w:p w14:paraId="3C096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ADP1</w:t>
            </w:r>
          </w:p>
        </w:tc>
        <w:tc>
          <w:tcPr>
            <w:tcW w:w="6520" w:type="dxa"/>
            <w:tcMar>
              <w:top w:w="60" w:type="dxa"/>
              <w:left w:w="80" w:type="dxa"/>
              <w:bottom w:w="60" w:type="dxa"/>
              <w:right w:w="80" w:type="dxa"/>
            </w:tcMar>
            <w:vAlign w:val="center"/>
          </w:tcPr>
          <w:p w14:paraId="4F970EC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تقليص الوقت اللازم لإنجاز مهام التخطيط والإنتاج أحد الدوافع الرئيسة لاستخدام هذه التقنيات.</w:t>
            </w:r>
          </w:p>
        </w:tc>
        <w:tc>
          <w:tcPr>
            <w:tcW w:w="567" w:type="dxa"/>
            <w:tcMar>
              <w:top w:w="60" w:type="dxa"/>
              <w:left w:w="80" w:type="dxa"/>
              <w:bottom w:w="60" w:type="dxa"/>
              <w:right w:w="80" w:type="dxa"/>
            </w:tcMar>
            <w:vAlign w:val="center"/>
          </w:tcPr>
          <w:p w14:paraId="711DF90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E73F2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36DE10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5EB60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7A781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ABE690" w14:textId="77777777" w:rsidTr="0085711F">
        <w:trPr>
          <w:jc w:val="center"/>
        </w:trPr>
        <w:tc>
          <w:tcPr>
            <w:tcW w:w="850" w:type="dxa"/>
            <w:tcMar>
              <w:top w:w="60" w:type="dxa"/>
              <w:left w:w="80" w:type="dxa"/>
              <w:bottom w:w="60" w:type="dxa"/>
              <w:right w:w="80" w:type="dxa"/>
            </w:tcMar>
            <w:vAlign w:val="center"/>
          </w:tcPr>
          <w:p w14:paraId="3BAAFF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ADP2</w:t>
            </w:r>
          </w:p>
        </w:tc>
        <w:tc>
          <w:tcPr>
            <w:tcW w:w="6520" w:type="dxa"/>
            <w:tcMar>
              <w:top w:w="60" w:type="dxa"/>
              <w:left w:w="80" w:type="dxa"/>
              <w:bottom w:w="60" w:type="dxa"/>
              <w:right w:w="80" w:type="dxa"/>
            </w:tcMar>
            <w:vAlign w:val="center"/>
          </w:tcPr>
          <w:p w14:paraId="2A059A9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رفع إنتاجية فرق العمل دافعًا مهمًا لتبني الذكاء الاصطناعي التوليدي في الوكالة.</w:t>
            </w:r>
          </w:p>
        </w:tc>
        <w:tc>
          <w:tcPr>
            <w:tcW w:w="567" w:type="dxa"/>
            <w:tcMar>
              <w:top w:w="60" w:type="dxa"/>
              <w:left w:w="80" w:type="dxa"/>
              <w:bottom w:w="60" w:type="dxa"/>
              <w:right w:w="80" w:type="dxa"/>
            </w:tcMar>
            <w:vAlign w:val="center"/>
          </w:tcPr>
          <w:p w14:paraId="3408427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BE983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5E044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D7B8B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3D62D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F47F59A" w14:textId="77777777" w:rsidTr="0085711F">
        <w:trPr>
          <w:jc w:val="center"/>
        </w:trPr>
        <w:tc>
          <w:tcPr>
            <w:tcW w:w="850" w:type="dxa"/>
            <w:tcMar>
              <w:top w:w="60" w:type="dxa"/>
              <w:left w:w="80" w:type="dxa"/>
              <w:bottom w:w="60" w:type="dxa"/>
              <w:right w:w="80" w:type="dxa"/>
            </w:tcMar>
            <w:vAlign w:val="center"/>
          </w:tcPr>
          <w:p w14:paraId="3FB8EE8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ADP3</w:t>
            </w:r>
          </w:p>
        </w:tc>
        <w:tc>
          <w:tcPr>
            <w:tcW w:w="6520" w:type="dxa"/>
            <w:tcMar>
              <w:top w:w="60" w:type="dxa"/>
              <w:left w:w="80" w:type="dxa"/>
              <w:bottom w:w="60" w:type="dxa"/>
              <w:right w:w="80" w:type="dxa"/>
            </w:tcMar>
            <w:vAlign w:val="center"/>
          </w:tcPr>
          <w:p w14:paraId="34A30D6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يساعد تبني هذه التقنيات على إعادة توجيه جهد الفريق من المهام الروتينية إلى المهام ذات القيمة الإبداعية والاستراتيجية.</w:t>
            </w:r>
          </w:p>
        </w:tc>
        <w:tc>
          <w:tcPr>
            <w:tcW w:w="567" w:type="dxa"/>
            <w:tcMar>
              <w:top w:w="60" w:type="dxa"/>
              <w:left w:w="80" w:type="dxa"/>
              <w:bottom w:w="60" w:type="dxa"/>
              <w:right w:w="80" w:type="dxa"/>
            </w:tcMar>
            <w:vAlign w:val="center"/>
          </w:tcPr>
          <w:p w14:paraId="6E450A6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AC9B7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D4BE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9878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45BBF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154246" w14:textId="77777777" w:rsidTr="0085711F">
        <w:trPr>
          <w:jc w:val="center"/>
        </w:trPr>
        <w:tc>
          <w:tcPr>
            <w:tcW w:w="850" w:type="dxa"/>
            <w:tcMar>
              <w:top w:w="60" w:type="dxa"/>
              <w:left w:w="80" w:type="dxa"/>
              <w:bottom w:w="60" w:type="dxa"/>
              <w:right w:w="80" w:type="dxa"/>
            </w:tcMar>
            <w:vAlign w:val="center"/>
          </w:tcPr>
          <w:p w14:paraId="26A5E1C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ADP4</w:t>
            </w:r>
          </w:p>
        </w:tc>
        <w:tc>
          <w:tcPr>
            <w:tcW w:w="6520" w:type="dxa"/>
            <w:tcMar>
              <w:top w:w="60" w:type="dxa"/>
              <w:left w:w="80" w:type="dxa"/>
              <w:bottom w:w="60" w:type="dxa"/>
              <w:right w:w="80" w:type="dxa"/>
            </w:tcMar>
            <w:vAlign w:val="center"/>
          </w:tcPr>
          <w:p w14:paraId="44D23D3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خفض تكاليف بعض المهام التشغيلية المتكررة دافعًا لاستخدام أدوات الذكاء الاصطناعي التوليدي.</w:t>
            </w:r>
          </w:p>
        </w:tc>
        <w:tc>
          <w:tcPr>
            <w:tcW w:w="567" w:type="dxa"/>
            <w:tcMar>
              <w:top w:w="60" w:type="dxa"/>
              <w:left w:w="80" w:type="dxa"/>
              <w:bottom w:w="60" w:type="dxa"/>
              <w:right w:w="80" w:type="dxa"/>
            </w:tcMar>
            <w:vAlign w:val="center"/>
          </w:tcPr>
          <w:p w14:paraId="508274B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7C46A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2CBD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72275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D0E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3D9EE24" w14:textId="77777777" w:rsidTr="0085711F">
        <w:trPr>
          <w:jc w:val="center"/>
        </w:trPr>
        <w:tc>
          <w:tcPr>
            <w:tcW w:w="850" w:type="dxa"/>
            <w:tcMar>
              <w:top w:w="60" w:type="dxa"/>
              <w:left w:w="80" w:type="dxa"/>
              <w:bottom w:w="60" w:type="dxa"/>
              <w:right w:w="80" w:type="dxa"/>
            </w:tcMar>
            <w:vAlign w:val="center"/>
          </w:tcPr>
          <w:p w14:paraId="099C580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ADP5</w:t>
            </w:r>
          </w:p>
        </w:tc>
        <w:tc>
          <w:tcPr>
            <w:tcW w:w="6520" w:type="dxa"/>
            <w:tcMar>
              <w:top w:w="60" w:type="dxa"/>
              <w:left w:w="80" w:type="dxa"/>
              <w:bottom w:w="60" w:type="dxa"/>
              <w:right w:w="80" w:type="dxa"/>
            </w:tcMar>
            <w:vAlign w:val="center"/>
          </w:tcPr>
          <w:p w14:paraId="4DE94A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تدفع توقعات العملاء بالحصول على مخرجات أسرع وأكثر تنوعًا الوكالة إلى تبني هذه التقنيات.</w:t>
            </w:r>
          </w:p>
        </w:tc>
        <w:tc>
          <w:tcPr>
            <w:tcW w:w="567" w:type="dxa"/>
            <w:tcMar>
              <w:top w:w="60" w:type="dxa"/>
              <w:left w:w="80" w:type="dxa"/>
              <w:bottom w:w="60" w:type="dxa"/>
              <w:right w:w="80" w:type="dxa"/>
            </w:tcMar>
            <w:vAlign w:val="center"/>
          </w:tcPr>
          <w:p w14:paraId="09CC87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6BEC3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5122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9B637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4395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A754EF" w14:textId="77777777" w:rsidTr="0085711F">
        <w:trPr>
          <w:jc w:val="center"/>
        </w:trPr>
        <w:tc>
          <w:tcPr>
            <w:tcW w:w="850" w:type="dxa"/>
            <w:tcMar>
              <w:top w:w="60" w:type="dxa"/>
              <w:left w:w="80" w:type="dxa"/>
              <w:bottom w:w="60" w:type="dxa"/>
              <w:right w:w="80" w:type="dxa"/>
            </w:tcMar>
            <w:vAlign w:val="center"/>
          </w:tcPr>
          <w:p w14:paraId="0A91E2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ADP6</w:t>
            </w:r>
          </w:p>
        </w:tc>
        <w:tc>
          <w:tcPr>
            <w:tcW w:w="6520" w:type="dxa"/>
            <w:tcMar>
              <w:top w:w="60" w:type="dxa"/>
              <w:left w:w="80" w:type="dxa"/>
              <w:bottom w:w="60" w:type="dxa"/>
              <w:right w:w="80" w:type="dxa"/>
            </w:tcMar>
            <w:vAlign w:val="center"/>
          </w:tcPr>
          <w:p w14:paraId="19AFDE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تمثل الرغبة في مواكبة المنافسين وتقديم خدمات أكثر تطورًا دافعًا رئيسًا لتوظيف الذكاء الاصطناعي التوليدي.</w:t>
            </w:r>
          </w:p>
        </w:tc>
        <w:tc>
          <w:tcPr>
            <w:tcW w:w="567" w:type="dxa"/>
            <w:tcMar>
              <w:top w:w="60" w:type="dxa"/>
              <w:left w:w="80" w:type="dxa"/>
              <w:bottom w:w="60" w:type="dxa"/>
              <w:right w:w="80" w:type="dxa"/>
            </w:tcMar>
            <w:vAlign w:val="center"/>
          </w:tcPr>
          <w:p w14:paraId="0AED49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2BE1C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810E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4234A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FBC45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6DB829" w14:textId="77777777" w:rsidTr="0085711F">
        <w:trPr>
          <w:jc w:val="center"/>
        </w:trPr>
        <w:tc>
          <w:tcPr>
            <w:tcW w:w="850" w:type="dxa"/>
            <w:tcMar>
              <w:top w:w="60" w:type="dxa"/>
              <w:left w:w="80" w:type="dxa"/>
              <w:bottom w:w="60" w:type="dxa"/>
              <w:right w:w="80" w:type="dxa"/>
            </w:tcMar>
            <w:vAlign w:val="center"/>
          </w:tcPr>
          <w:p w14:paraId="37721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ADP7</w:t>
            </w:r>
          </w:p>
        </w:tc>
        <w:tc>
          <w:tcPr>
            <w:tcW w:w="6520" w:type="dxa"/>
            <w:tcMar>
              <w:top w:w="60" w:type="dxa"/>
              <w:left w:w="80" w:type="dxa"/>
              <w:bottom w:w="60" w:type="dxa"/>
              <w:right w:w="80" w:type="dxa"/>
            </w:tcMar>
            <w:vAlign w:val="center"/>
          </w:tcPr>
          <w:p w14:paraId="2E22533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تحسين القدرة على تخصيص الرسائل والمحتوى لكل شريحة من الجمهور دافعًا مهمًا لاستخدام هذه التقنيات.</w:t>
            </w:r>
          </w:p>
        </w:tc>
        <w:tc>
          <w:tcPr>
            <w:tcW w:w="567" w:type="dxa"/>
            <w:tcMar>
              <w:top w:w="60" w:type="dxa"/>
              <w:left w:w="80" w:type="dxa"/>
              <w:bottom w:w="60" w:type="dxa"/>
              <w:right w:w="80" w:type="dxa"/>
            </w:tcMar>
            <w:vAlign w:val="center"/>
          </w:tcPr>
          <w:p w14:paraId="75DF72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3656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AEE8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A41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4725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B07F149" w14:textId="77777777" w:rsidTr="0085711F">
        <w:trPr>
          <w:jc w:val="center"/>
        </w:trPr>
        <w:tc>
          <w:tcPr>
            <w:tcW w:w="850" w:type="dxa"/>
            <w:tcMar>
              <w:top w:w="60" w:type="dxa"/>
              <w:left w:w="80" w:type="dxa"/>
              <w:bottom w:w="60" w:type="dxa"/>
              <w:right w:w="80" w:type="dxa"/>
            </w:tcMar>
            <w:vAlign w:val="center"/>
          </w:tcPr>
          <w:p w14:paraId="563ECC8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ADP8</w:t>
            </w:r>
          </w:p>
        </w:tc>
        <w:tc>
          <w:tcPr>
            <w:tcW w:w="6520" w:type="dxa"/>
            <w:tcMar>
              <w:top w:w="60" w:type="dxa"/>
              <w:left w:w="80" w:type="dxa"/>
              <w:bottom w:w="60" w:type="dxa"/>
              <w:right w:w="80" w:type="dxa"/>
            </w:tcMar>
            <w:vAlign w:val="center"/>
          </w:tcPr>
          <w:p w14:paraId="4239CD8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يسهم السعي إلى توليد أفكار وأساليب إبداعية جديدة في تعزيز توجه الوكالة نحو استخدام هذه الأدوات.</w:t>
            </w:r>
          </w:p>
        </w:tc>
        <w:tc>
          <w:tcPr>
            <w:tcW w:w="567" w:type="dxa"/>
            <w:tcMar>
              <w:top w:w="60" w:type="dxa"/>
              <w:left w:w="80" w:type="dxa"/>
              <w:bottom w:w="60" w:type="dxa"/>
              <w:right w:w="80" w:type="dxa"/>
            </w:tcMar>
            <w:vAlign w:val="center"/>
          </w:tcPr>
          <w:p w14:paraId="3E8FB1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93B1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14D8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AF45C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4AB9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66B7FAF" w14:textId="77777777" w:rsidTr="0085711F">
        <w:trPr>
          <w:jc w:val="center"/>
        </w:trPr>
        <w:tc>
          <w:tcPr>
            <w:tcW w:w="850" w:type="dxa"/>
            <w:tcMar>
              <w:top w:w="60" w:type="dxa"/>
              <w:left w:w="80" w:type="dxa"/>
              <w:bottom w:w="60" w:type="dxa"/>
              <w:right w:w="80" w:type="dxa"/>
            </w:tcMar>
            <w:vAlign w:val="center"/>
          </w:tcPr>
          <w:p w14:paraId="2AC05C2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ADP9</w:t>
            </w:r>
          </w:p>
        </w:tc>
        <w:tc>
          <w:tcPr>
            <w:tcW w:w="6520" w:type="dxa"/>
            <w:tcMar>
              <w:top w:w="60" w:type="dxa"/>
              <w:left w:w="80" w:type="dxa"/>
              <w:bottom w:w="60" w:type="dxa"/>
              <w:right w:w="80" w:type="dxa"/>
            </w:tcMar>
            <w:vAlign w:val="center"/>
          </w:tcPr>
          <w:p w14:paraId="309C2D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ترى الوكالة أن تبني الذكاء الاصطناعي التوليدي يعزز قدرتها على تقديم قيمة تسويقية أعلى للعملاء.</w:t>
            </w:r>
          </w:p>
        </w:tc>
        <w:tc>
          <w:tcPr>
            <w:tcW w:w="567" w:type="dxa"/>
            <w:tcMar>
              <w:top w:w="60" w:type="dxa"/>
              <w:left w:w="80" w:type="dxa"/>
              <w:bottom w:w="60" w:type="dxa"/>
              <w:right w:w="80" w:type="dxa"/>
            </w:tcMar>
            <w:vAlign w:val="center"/>
          </w:tcPr>
          <w:p w14:paraId="729968F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D47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F83CC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50D66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3F1D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450E4912" w14:textId="77777777" w:rsidR="00F035EA" w:rsidRPr="00C22AB7" w:rsidRDefault="00F035EA" w:rsidP="00F035EA">
      <w:pPr>
        <w:bidi/>
        <w:spacing w:after="40" w:line="240" w:lineRule="auto"/>
        <w:jc w:val="right"/>
        <w:rPr>
          <w:rFonts w:ascii="Simplified Arabic" w:eastAsia="Arial" w:hAnsi="Simplified Arabic" w:cs="Simplified Arabic"/>
        </w:rPr>
      </w:pPr>
    </w:p>
    <w:p w14:paraId="501611FA"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FF0000"/>
          <w:rtl/>
        </w:rPr>
        <w:t>المحور: العوائق التقنية والبشرية والتنظيمية والأخلاقية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3F9BFBB8" w14:textId="77777777" w:rsidTr="0085711F">
        <w:trPr>
          <w:jc w:val="center"/>
        </w:trPr>
        <w:tc>
          <w:tcPr>
            <w:tcW w:w="850" w:type="dxa"/>
            <w:shd w:val="clear" w:color="auto" w:fill="D9D9D9"/>
            <w:tcMar>
              <w:top w:w="60" w:type="dxa"/>
              <w:left w:w="80" w:type="dxa"/>
              <w:bottom w:w="60" w:type="dxa"/>
              <w:right w:w="80" w:type="dxa"/>
            </w:tcMar>
            <w:vAlign w:val="center"/>
          </w:tcPr>
          <w:p w14:paraId="79BC86D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508F1E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D84DC3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0D0020B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8F3C8F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B70DC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53BAC8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542B8ED5" w14:textId="77777777" w:rsidTr="0085711F">
        <w:trPr>
          <w:jc w:val="center"/>
        </w:trPr>
        <w:tc>
          <w:tcPr>
            <w:tcW w:w="850" w:type="dxa"/>
            <w:tcMar>
              <w:top w:w="60" w:type="dxa"/>
              <w:left w:w="80" w:type="dxa"/>
              <w:bottom w:w="60" w:type="dxa"/>
              <w:right w:w="80" w:type="dxa"/>
            </w:tcMar>
            <w:vAlign w:val="center"/>
          </w:tcPr>
          <w:p w14:paraId="5E148CF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BAR1</w:t>
            </w:r>
          </w:p>
        </w:tc>
        <w:tc>
          <w:tcPr>
            <w:tcW w:w="6520" w:type="dxa"/>
            <w:tcMar>
              <w:top w:w="60" w:type="dxa"/>
              <w:left w:w="80" w:type="dxa"/>
              <w:bottom w:w="60" w:type="dxa"/>
              <w:right w:w="80" w:type="dxa"/>
            </w:tcMar>
            <w:vAlign w:val="center"/>
          </w:tcPr>
          <w:p w14:paraId="5571F39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ضعف دقة بعض المخرجات التوليدية أو عدم ملاءمتها للسياق المحلي السعودي يحد من الاستفادة منها.</w:t>
            </w:r>
          </w:p>
        </w:tc>
        <w:tc>
          <w:tcPr>
            <w:tcW w:w="567" w:type="dxa"/>
            <w:tcMar>
              <w:top w:w="60" w:type="dxa"/>
              <w:left w:w="80" w:type="dxa"/>
              <w:bottom w:w="60" w:type="dxa"/>
              <w:right w:w="80" w:type="dxa"/>
            </w:tcMar>
            <w:vAlign w:val="center"/>
          </w:tcPr>
          <w:p w14:paraId="0F9AE9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0496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5ED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6B60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45C4E1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AC21ADA" w14:textId="77777777" w:rsidTr="0085711F">
        <w:trPr>
          <w:jc w:val="center"/>
        </w:trPr>
        <w:tc>
          <w:tcPr>
            <w:tcW w:w="850" w:type="dxa"/>
            <w:tcMar>
              <w:top w:w="60" w:type="dxa"/>
              <w:left w:w="80" w:type="dxa"/>
              <w:bottom w:w="60" w:type="dxa"/>
              <w:right w:w="80" w:type="dxa"/>
            </w:tcMar>
            <w:vAlign w:val="center"/>
          </w:tcPr>
          <w:p w14:paraId="2613651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BAR2</w:t>
            </w:r>
          </w:p>
        </w:tc>
        <w:tc>
          <w:tcPr>
            <w:tcW w:w="6520" w:type="dxa"/>
            <w:tcMar>
              <w:top w:w="60" w:type="dxa"/>
              <w:left w:w="80" w:type="dxa"/>
              <w:bottom w:w="60" w:type="dxa"/>
              <w:right w:w="80" w:type="dxa"/>
            </w:tcMar>
            <w:vAlign w:val="center"/>
          </w:tcPr>
          <w:p w14:paraId="511AB3F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وجود أخطاء لغوية أو مفاهيمية في المحتوى المولّد باللغة العربية يتطلب مراجعة بشرية مكثفة.</w:t>
            </w:r>
          </w:p>
        </w:tc>
        <w:tc>
          <w:tcPr>
            <w:tcW w:w="567" w:type="dxa"/>
            <w:tcMar>
              <w:top w:w="60" w:type="dxa"/>
              <w:left w:w="80" w:type="dxa"/>
              <w:bottom w:w="60" w:type="dxa"/>
              <w:right w:w="80" w:type="dxa"/>
            </w:tcMar>
            <w:vAlign w:val="center"/>
          </w:tcPr>
          <w:p w14:paraId="08761D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531E7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45C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0F07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9F851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B602BD6" w14:textId="77777777" w:rsidTr="0085711F">
        <w:trPr>
          <w:jc w:val="center"/>
        </w:trPr>
        <w:tc>
          <w:tcPr>
            <w:tcW w:w="850" w:type="dxa"/>
            <w:tcMar>
              <w:top w:w="60" w:type="dxa"/>
              <w:left w:w="80" w:type="dxa"/>
              <w:bottom w:w="60" w:type="dxa"/>
              <w:right w:w="80" w:type="dxa"/>
            </w:tcMar>
            <w:vAlign w:val="center"/>
          </w:tcPr>
          <w:p w14:paraId="438CDF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BAR3</w:t>
            </w:r>
          </w:p>
        </w:tc>
        <w:tc>
          <w:tcPr>
            <w:tcW w:w="6520" w:type="dxa"/>
            <w:tcMar>
              <w:top w:w="60" w:type="dxa"/>
              <w:left w:w="80" w:type="dxa"/>
              <w:bottom w:w="60" w:type="dxa"/>
              <w:right w:w="80" w:type="dxa"/>
            </w:tcMar>
            <w:vAlign w:val="center"/>
          </w:tcPr>
          <w:p w14:paraId="0E788DC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ارتفاع تكلفة الاشتراكات أو محدودية توفر الأدوات المناسبة داخل الوكالة يعيق التوظيف المنتظم لهذه التقنيات.</w:t>
            </w:r>
          </w:p>
        </w:tc>
        <w:tc>
          <w:tcPr>
            <w:tcW w:w="567" w:type="dxa"/>
            <w:tcMar>
              <w:top w:w="60" w:type="dxa"/>
              <w:left w:w="80" w:type="dxa"/>
              <w:bottom w:w="60" w:type="dxa"/>
              <w:right w:w="80" w:type="dxa"/>
            </w:tcMar>
            <w:vAlign w:val="center"/>
          </w:tcPr>
          <w:p w14:paraId="41E3C19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87985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EB7E6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CC5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C0448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EA972B" w14:textId="77777777" w:rsidTr="0085711F">
        <w:trPr>
          <w:jc w:val="center"/>
        </w:trPr>
        <w:tc>
          <w:tcPr>
            <w:tcW w:w="850" w:type="dxa"/>
            <w:tcMar>
              <w:top w:w="60" w:type="dxa"/>
              <w:left w:w="80" w:type="dxa"/>
              <w:bottom w:w="60" w:type="dxa"/>
              <w:right w:w="80" w:type="dxa"/>
            </w:tcMar>
            <w:vAlign w:val="center"/>
          </w:tcPr>
          <w:p w14:paraId="037E565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BAR4</w:t>
            </w:r>
          </w:p>
        </w:tc>
        <w:tc>
          <w:tcPr>
            <w:tcW w:w="6520" w:type="dxa"/>
            <w:tcMar>
              <w:top w:w="60" w:type="dxa"/>
              <w:left w:w="80" w:type="dxa"/>
              <w:bottom w:w="60" w:type="dxa"/>
              <w:right w:w="80" w:type="dxa"/>
            </w:tcMar>
            <w:vAlign w:val="center"/>
          </w:tcPr>
          <w:p w14:paraId="20C3C1F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صعوبة دمج أدوات الذكاء الاصطناعي التوليدي مع أنظمة العمل والمنصات المستخدمة في الوكالة تحد من فعاليتها.</w:t>
            </w:r>
          </w:p>
        </w:tc>
        <w:tc>
          <w:tcPr>
            <w:tcW w:w="567" w:type="dxa"/>
            <w:tcMar>
              <w:top w:w="60" w:type="dxa"/>
              <w:left w:w="80" w:type="dxa"/>
              <w:bottom w:w="60" w:type="dxa"/>
              <w:right w:w="80" w:type="dxa"/>
            </w:tcMar>
            <w:vAlign w:val="center"/>
          </w:tcPr>
          <w:p w14:paraId="10F40F1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F2FB2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B05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2183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3B175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FD0E39" w14:textId="77777777" w:rsidTr="0085711F">
        <w:trPr>
          <w:jc w:val="center"/>
        </w:trPr>
        <w:tc>
          <w:tcPr>
            <w:tcW w:w="850" w:type="dxa"/>
            <w:tcMar>
              <w:top w:w="60" w:type="dxa"/>
              <w:left w:w="80" w:type="dxa"/>
              <w:bottom w:w="60" w:type="dxa"/>
              <w:right w:w="80" w:type="dxa"/>
            </w:tcMar>
            <w:vAlign w:val="center"/>
          </w:tcPr>
          <w:p w14:paraId="37B644E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BAR5</w:t>
            </w:r>
          </w:p>
        </w:tc>
        <w:tc>
          <w:tcPr>
            <w:tcW w:w="6520" w:type="dxa"/>
            <w:tcMar>
              <w:top w:w="60" w:type="dxa"/>
              <w:left w:w="80" w:type="dxa"/>
              <w:bottom w:w="60" w:type="dxa"/>
              <w:right w:w="80" w:type="dxa"/>
            </w:tcMar>
            <w:vAlign w:val="center"/>
          </w:tcPr>
          <w:p w14:paraId="667D5A1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نقص مهارات الفريق في صياغة الأوامر التوليدية وتقييم المخرجات يضعف الاستفادة من هذه الأدوات.</w:t>
            </w:r>
          </w:p>
        </w:tc>
        <w:tc>
          <w:tcPr>
            <w:tcW w:w="567" w:type="dxa"/>
            <w:tcMar>
              <w:top w:w="60" w:type="dxa"/>
              <w:left w:w="80" w:type="dxa"/>
              <w:bottom w:w="60" w:type="dxa"/>
              <w:right w:w="80" w:type="dxa"/>
            </w:tcMar>
            <w:vAlign w:val="center"/>
          </w:tcPr>
          <w:p w14:paraId="71F6AD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F57C8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A50F2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8420B8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C015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6ED22A9" w14:textId="77777777" w:rsidTr="0085711F">
        <w:trPr>
          <w:jc w:val="center"/>
        </w:trPr>
        <w:tc>
          <w:tcPr>
            <w:tcW w:w="850" w:type="dxa"/>
            <w:tcMar>
              <w:top w:w="60" w:type="dxa"/>
              <w:left w:w="80" w:type="dxa"/>
              <w:bottom w:w="60" w:type="dxa"/>
              <w:right w:w="80" w:type="dxa"/>
            </w:tcMar>
            <w:vAlign w:val="center"/>
          </w:tcPr>
          <w:p w14:paraId="46177AD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AC2</w:t>
            </w:r>
          </w:p>
        </w:tc>
        <w:tc>
          <w:tcPr>
            <w:tcW w:w="6520" w:type="dxa"/>
            <w:tcMar>
              <w:top w:w="60" w:type="dxa"/>
              <w:left w:w="80" w:type="dxa"/>
              <w:bottom w:w="60" w:type="dxa"/>
              <w:right w:w="80" w:type="dxa"/>
            </w:tcMar>
            <w:vAlign w:val="center"/>
          </w:tcPr>
          <w:p w14:paraId="0DD09E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الانتباه، يرجى اختيار «غير موافق» لهذه العبارة.</w:t>
            </w:r>
          </w:p>
        </w:tc>
        <w:tc>
          <w:tcPr>
            <w:tcW w:w="567" w:type="dxa"/>
            <w:tcMar>
              <w:top w:w="60" w:type="dxa"/>
              <w:left w:w="80" w:type="dxa"/>
              <w:bottom w:w="60" w:type="dxa"/>
              <w:right w:w="80" w:type="dxa"/>
            </w:tcMar>
            <w:vAlign w:val="center"/>
          </w:tcPr>
          <w:p w14:paraId="174AC85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2AF541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DD10C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77D844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EBEC08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75D918B3" w14:textId="77777777" w:rsidTr="0085711F">
        <w:trPr>
          <w:jc w:val="center"/>
        </w:trPr>
        <w:tc>
          <w:tcPr>
            <w:tcW w:w="850" w:type="dxa"/>
            <w:tcMar>
              <w:top w:w="60" w:type="dxa"/>
              <w:left w:w="80" w:type="dxa"/>
              <w:bottom w:w="60" w:type="dxa"/>
              <w:right w:w="80" w:type="dxa"/>
            </w:tcMar>
            <w:vAlign w:val="center"/>
          </w:tcPr>
          <w:p w14:paraId="42576D8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BAR6</w:t>
            </w:r>
          </w:p>
        </w:tc>
        <w:tc>
          <w:tcPr>
            <w:tcW w:w="6520" w:type="dxa"/>
            <w:tcMar>
              <w:top w:w="60" w:type="dxa"/>
              <w:left w:w="80" w:type="dxa"/>
              <w:bottom w:w="60" w:type="dxa"/>
              <w:right w:w="80" w:type="dxa"/>
            </w:tcMar>
            <w:vAlign w:val="center"/>
          </w:tcPr>
          <w:p w14:paraId="2F11E6D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محدودية البرامج التدريبية المتخصصة في استخدام الذكاء الاصطناعي التوليدي داخل مجال التسويق تمثل عائقًا عمليًا.</w:t>
            </w:r>
          </w:p>
        </w:tc>
        <w:tc>
          <w:tcPr>
            <w:tcW w:w="567" w:type="dxa"/>
            <w:tcMar>
              <w:top w:w="60" w:type="dxa"/>
              <w:left w:w="80" w:type="dxa"/>
              <w:bottom w:w="60" w:type="dxa"/>
              <w:right w:w="80" w:type="dxa"/>
            </w:tcMar>
            <w:vAlign w:val="center"/>
          </w:tcPr>
          <w:p w14:paraId="5CD1267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EBE4A3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324B1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57892A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E88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DAB704" w14:textId="77777777" w:rsidTr="0085711F">
        <w:trPr>
          <w:jc w:val="center"/>
        </w:trPr>
        <w:tc>
          <w:tcPr>
            <w:tcW w:w="850" w:type="dxa"/>
            <w:tcMar>
              <w:top w:w="60" w:type="dxa"/>
              <w:left w:w="80" w:type="dxa"/>
              <w:bottom w:w="60" w:type="dxa"/>
              <w:right w:w="80" w:type="dxa"/>
            </w:tcMar>
            <w:vAlign w:val="center"/>
          </w:tcPr>
          <w:p w14:paraId="24958C9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BAR7</w:t>
            </w:r>
          </w:p>
        </w:tc>
        <w:tc>
          <w:tcPr>
            <w:tcW w:w="6520" w:type="dxa"/>
            <w:tcMar>
              <w:top w:w="60" w:type="dxa"/>
              <w:left w:w="80" w:type="dxa"/>
              <w:bottom w:w="60" w:type="dxa"/>
              <w:right w:w="80" w:type="dxa"/>
            </w:tcMar>
            <w:vAlign w:val="center"/>
          </w:tcPr>
          <w:p w14:paraId="183EE5D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مقاومة بعض العاملين للتغيير أو تفضيلهم للأساليب التقليدية يحد من دمج هذه التقنيات في سير العمل.</w:t>
            </w:r>
          </w:p>
        </w:tc>
        <w:tc>
          <w:tcPr>
            <w:tcW w:w="567" w:type="dxa"/>
            <w:tcMar>
              <w:top w:w="60" w:type="dxa"/>
              <w:left w:w="80" w:type="dxa"/>
              <w:bottom w:w="60" w:type="dxa"/>
              <w:right w:w="80" w:type="dxa"/>
            </w:tcMar>
            <w:vAlign w:val="center"/>
          </w:tcPr>
          <w:p w14:paraId="4004BF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124194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0EB2B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F8BA4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1056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DF49DF1" w14:textId="77777777" w:rsidTr="0085711F">
        <w:trPr>
          <w:jc w:val="center"/>
        </w:trPr>
        <w:tc>
          <w:tcPr>
            <w:tcW w:w="850" w:type="dxa"/>
            <w:tcMar>
              <w:top w:w="60" w:type="dxa"/>
              <w:left w:w="80" w:type="dxa"/>
              <w:bottom w:w="60" w:type="dxa"/>
              <w:right w:w="80" w:type="dxa"/>
            </w:tcMar>
            <w:vAlign w:val="center"/>
          </w:tcPr>
          <w:p w14:paraId="2BABF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BAR8</w:t>
            </w:r>
          </w:p>
        </w:tc>
        <w:tc>
          <w:tcPr>
            <w:tcW w:w="6520" w:type="dxa"/>
            <w:tcMar>
              <w:top w:w="60" w:type="dxa"/>
              <w:left w:w="80" w:type="dxa"/>
              <w:bottom w:w="60" w:type="dxa"/>
              <w:right w:w="80" w:type="dxa"/>
            </w:tcMar>
            <w:vAlign w:val="center"/>
          </w:tcPr>
          <w:p w14:paraId="7E689ED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تثير حماية بيانات العملاء وخصوصية الحملات مخاوف تحد من استخدام أدوات الذكاء الاصطناعي التوليدي.</w:t>
            </w:r>
          </w:p>
        </w:tc>
        <w:tc>
          <w:tcPr>
            <w:tcW w:w="567" w:type="dxa"/>
            <w:tcMar>
              <w:top w:w="60" w:type="dxa"/>
              <w:left w:w="80" w:type="dxa"/>
              <w:bottom w:w="60" w:type="dxa"/>
              <w:right w:w="80" w:type="dxa"/>
            </w:tcMar>
            <w:vAlign w:val="center"/>
          </w:tcPr>
          <w:p w14:paraId="0EA275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8734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F9914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B46ED0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084D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99BC23C" w14:textId="77777777" w:rsidTr="0085711F">
        <w:trPr>
          <w:jc w:val="center"/>
        </w:trPr>
        <w:tc>
          <w:tcPr>
            <w:tcW w:w="850" w:type="dxa"/>
            <w:tcMar>
              <w:top w:w="60" w:type="dxa"/>
              <w:left w:w="80" w:type="dxa"/>
              <w:bottom w:w="60" w:type="dxa"/>
              <w:right w:w="80" w:type="dxa"/>
            </w:tcMar>
            <w:vAlign w:val="center"/>
          </w:tcPr>
          <w:p w14:paraId="5C5C1A1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BAR9</w:t>
            </w:r>
          </w:p>
        </w:tc>
        <w:tc>
          <w:tcPr>
            <w:tcW w:w="6520" w:type="dxa"/>
            <w:tcMar>
              <w:top w:w="60" w:type="dxa"/>
              <w:left w:w="80" w:type="dxa"/>
              <w:bottom w:w="60" w:type="dxa"/>
              <w:right w:w="80" w:type="dxa"/>
            </w:tcMar>
            <w:vAlign w:val="center"/>
          </w:tcPr>
          <w:p w14:paraId="5461C1A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الغموض المرتبط بحقوق الملكية الفكرية والمسؤولية عن المحتوى المولّد يقيد الاستخدام الواسع لهذه التقنيات.</w:t>
            </w:r>
          </w:p>
        </w:tc>
        <w:tc>
          <w:tcPr>
            <w:tcW w:w="567" w:type="dxa"/>
            <w:tcMar>
              <w:top w:w="60" w:type="dxa"/>
              <w:left w:w="80" w:type="dxa"/>
              <w:bottom w:w="60" w:type="dxa"/>
              <w:right w:w="80" w:type="dxa"/>
            </w:tcMar>
            <w:vAlign w:val="center"/>
          </w:tcPr>
          <w:p w14:paraId="454E8F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F2D3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B996B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7CD66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E1C6F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28509B2" w14:textId="77777777" w:rsidTr="0085711F">
        <w:trPr>
          <w:jc w:val="center"/>
        </w:trPr>
        <w:tc>
          <w:tcPr>
            <w:tcW w:w="850" w:type="dxa"/>
            <w:tcMar>
              <w:top w:w="60" w:type="dxa"/>
              <w:left w:w="80" w:type="dxa"/>
              <w:bottom w:w="60" w:type="dxa"/>
              <w:right w:w="80" w:type="dxa"/>
            </w:tcMar>
            <w:vAlign w:val="center"/>
          </w:tcPr>
          <w:p w14:paraId="077747F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BAR10</w:t>
            </w:r>
          </w:p>
        </w:tc>
        <w:tc>
          <w:tcPr>
            <w:tcW w:w="6520" w:type="dxa"/>
            <w:tcMar>
              <w:top w:w="60" w:type="dxa"/>
              <w:left w:w="80" w:type="dxa"/>
              <w:bottom w:w="60" w:type="dxa"/>
              <w:right w:w="80" w:type="dxa"/>
            </w:tcMar>
            <w:vAlign w:val="center"/>
          </w:tcPr>
          <w:p w14:paraId="0610DC9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غياب سياسات داخلية واضحة تحدد ضوابط الاستخدام والمراجعة والاعتماد يعيق التبني المنظم لهذه الأدوات.</w:t>
            </w:r>
          </w:p>
        </w:tc>
        <w:tc>
          <w:tcPr>
            <w:tcW w:w="567" w:type="dxa"/>
            <w:tcMar>
              <w:top w:w="60" w:type="dxa"/>
              <w:left w:w="80" w:type="dxa"/>
              <w:bottom w:w="60" w:type="dxa"/>
              <w:right w:w="80" w:type="dxa"/>
            </w:tcMar>
            <w:vAlign w:val="center"/>
          </w:tcPr>
          <w:p w14:paraId="4FEAA0F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2DC1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16A03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885F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1089D3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01DB29F6" w14:textId="77777777" w:rsidR="0006433B" w:rsidRDefault="0006433B" w:rsidP="00F035EA">
      <w:pPr>
        <w:keepNext/>
        <w:bidi/>
        <w:spacing w:after="100" w:line="240" w:lineRule="auto"/>
        <w:rPr>
          <w:rFonts w:ascii="Simplified Arabic" w:eastAsia="Noto Naskh Arabic" w:hAnsi="Simplified Arabic" w:cs="Simplified Arabic"/>
          <w:bCs/>
          <w:color w:val="000000"/>
          <w:rtl/>
        </w:rPr>
      </w:pPr>
    </w:p>
    <w:p w14:paraId="24D1D805" w14:textId="5F455502" w:rsidR="00F035EA" w:rsidRPr="00C22AB7" w:rsidRDefault="00F035EA" w:rsidP="0006433B">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فعالية الأداء التسويقي للحملات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63C45828" w14:textId="77777777" w:rsidTr="0085711F">
        <w:trPr>
          <w:jc w:val="center"/>
        </w:trPr>
        <w:tc>
          <w:tcPr>
            <w:tcW w:w="850" w:type="dxa"/>
            <w:shd w:val="clear" w:color="auto" w:fill="D9D9D9"/>
            <w:tcMar>
              <w:top w:w="60" w:type="dxa"/>
              <w:left w:w="80" w:type="dxa"/>
              <w:bottom w:w="60" w:type="dxa"/>
              <w:right w:w="80" w:type="dxa"/>
            </w:tcMar>
            <w:vAlign w:val="center"/>
          </w:tcPr>
          <w:p w14:paraId="2158EF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6BF9A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35E4EF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3408D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26E9C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787D7B8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00F8CC5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65864374" w14:textId="77777777" w:rsidTr="0085711F">
        <w:trPr>
          <w:jc w:val="center"/>
        </w:trPr>
        <w:tc>
          <w:tcPr>
            <w:tcW w:w="850" w:type="dxa"/>
            <w:tcMar>
              <w:top w:w="60" w:type="dxa"/>
              <w:left w:w="80" w:type="dxa"/>
              <w:bottom w:w="60" w:type="dxa"/>
              <w:right w:w="80" w:type="dxa"/>
            </w:tcMar>
            <w:vAlign w:val="center"/>
          </w:tcPr>
          <w:p w14:paraId="7E76F0F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MP1</w:t>
            </w:r>
          </w:p>
        </w:tc>
        <w:tc>
          <w:tcPr>
            <w:tcW w:w="6520" w:type="dxa"/>
            <w:tcMar>
              <w:top w:w="60" w:type="dxa"/>
              <w:left w:w="80" w:type="dxa"/>
              <w:bottom w:w="60" w:type="dxa"/>
              <w:right w:w="80" w:type="dxa"/>
            </w:tcMar>
            <w:vAlign w:val="center"/>
          </w:tcPr>
          <w:p w14:paraId="34071164" w14:textId="20B227E7"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المحتوى النهائي للحملات الرقمية في الوكالة ملائم لأهداف الحملة.</w:t>
            </w:r>
          </w:p>
        </w:tc>
        <w:tc>
          <w:tcPr>
            <w:tcW w:w="567" w:type="dxa"/>
            <w:tcMar>
              <w:top w:w="60" w:type="dxa"/>
              <w:left w:w="80" w:type="dxa"/>
              <w:bottom w:w="60" w:type="dxa"/>
              <w:right w:w="80" w:type="dxa"/>
            </w:tcMar>
            <w:vAlign w:val="center"/>
          </w:tcPr>
          <w:p w14:paraId="0E3305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816E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7489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D70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76116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B5BE5EE" w14:textId="77777777" w:rsidTr="0085711F">
        <w:trPr>
          <w:jc w:val="center"/>
        </w:trPr>
        <w:tc>
          <w:tcPr>
            <w:tcW w:w="850" w:type="dxa"/>
            <w:tcMar>
              <w:top w:w="60" w:type="dxa"/>
              <w:left w:w="80" w:type="dxa"/>
              <w:bottom w:w="60" w:type="dxa"/>
              <w:right w:w="80" w:type="dxa"/>
            </w:tcMar>
            <w:vAlign w:val="center"/>
          </w:tcPr>
          <w:p w14:paraId="6AD6AB6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MP2</w:t>
            </w:r>
          </w:p>
        </w:tc>
        <w:tc>
          <w:tcPr>
            <w:tcW w:w="6520" w:type="dxa"/>
            <w:tcMar>
              <w:top w:w="60" w:type="dxa"/>
              <w:left w:w="80" w:type="dxa"/>
              <w:bottom w:w="60" w:type="dxa"/>
              <w:right w:w="80" w:type="dxa"/>
            </w:tcMar>
            <w:vAlign w:val="center"/>
          </w:tcPr>
          <w:p w14:paraId="487A8EB2" w14:textId="0B7E85DD"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تتصف الرسائل الإعلانية للحملات الرقمية بالوضوح والجاذبية والاتساق.</w:t>
            </w:r>
          </w:p>
        </w:tc>
        <w:tc>
          <w:tcPr>
            <w:tcW w:w="567" w:type="dxa"/>
            <w:tcMar>
              <w:top w:w="60" w:type="dxa"/>
              <w:left w:w="80" w:type="dxa"/>
              <w:bottom w:w="60" w:type="dxa"/>
              <w:right w:w="80" w:type="dxa"/>
            </w:tcMar>
            <w:vAlign w:val="center"/>
          </w:tcPr>
          <w:p w14:paraId="20C11B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B41549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578C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58E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07051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9CB8725" w14:textId="77777777" w:rsidTr="0085711F">
        <w:trPr>
          <w:jc w:val="center"/>
        </w:trPr>
        <w:tc>
          <w:tcPr>
            <w:tcW w:w="850" w:type="dxa"/>
            <w:tcMar>
              <w:top w:w="60" w:type="dxa"/>
              <w:left w:w="80" w:type="dxa"/>
              <w:bottom w:w="60" w:type="dxa"/>
              <w:right w:w="80" w:type="dxa"/>
            </w:tcMar>
            <w:vAlign w:val="center"/>
          </w:tcPr>
          <w:p w14:paraId="2F909E6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MP3</w:t>
            </w:r>
          </w:p>
        </w:tc>
        <w:tc>
          <w:tcPr>
            <w:tcW w:w="6520" w:type="dxa"/>
            <w:tcMar>
              <w:top w:w="60" w:type="dxa"/>
              <w:left w:w="80" w:type="dxa"/>
              <w:bottom w:w="60" w:type="dxa"/>
              <w:right w:w="80" w:type="dxa"/>
            </w:tcMar>
            <w:vAlign w:val="center"/>
          </w:tcPr>
          <w:p w14:paraId="5A188438" w14:textId="72655411"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تتناسب الرسالة التسويقية مع الجمهور المستهدف عند تنفيذ الحملات.</w:t>
            </w:r>
          </w:p>
        </w:tc>
        <w:tc>
          <w:tcPr>
            <w:tcW w:w="567" w:type="dxa"/>
            <w:tcMar>
              <w:top w:w="60" w:type="dxa"/>
              <w:left w:w="80" w:type="dxa"/>
              <w:bottom w:w="60" w:type="dxa"/>
              <w:right w:w="80" w:type="dxa"/>
            </w:tcMar>
            <w:vAlign w:val="center"/>
          </w:tcPr>
          <w:p w14:paraId="79952CC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E4100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48DEA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925FF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797D5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6C813E00" w14:textId="77777777" w:rsidTr="0085711F">
        <w:trPr>
          <w:jc w:val="center"/>
        </w:trPr>
        <w:tc>
          <w:tcPr>
            <w:tcW w:w="850" w:type="dxa"/>
            <w:tcMar>
              <w:top w:w="60" w:type="dxa"/>
              <w:left w:w="80" w:type="dxa"/>
              <w:bottom w:w="60" w:type="dxa"/>
              <w:right w:w="80" w:type="dxa"/>
            </w:tcMar>
            <w:vAlign w:val="center"/>
          </w:tcPr>
          <w:p w14:paraId="300C6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MP4</w:t>
            </w:r>
          </w:p>
        </w:tc>
        <w:tc>
          <w:tcPr>
            <w:tcW w:w="6520" w:type="dxa"/>
            <w:tcMar>
              <w:top w:w="60" w:type="dxa"/>
              <w:left w:w="80" w:type="dxa"/>
              <w:bottom w:w="60" w:type="dxa"/>
              <w:right w:w="80" w:type="dxa"/>
            </w:tcMar>
            <w:vAlign w:val="center"/>
          </w:tcPr>
          <w:p w14:paraId="6662012A" w14:textId="03F1AD56"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تحقق الحملات الرقمية للوكالة معدلات تفاعل مرتفعة مقارنة بالحملات المشابهة في السوق.</w:t>
            </w:r>
          </w:p>
        </w:tc>
        <w:tc>
          <w:tcPr>
            <w:tcW w:w="567" w:type="dxa"/>
            <w:tcMar>
              <w:top w:w="60" w:type="dxa"/>
              <w:left w:w="80" w:type="dxa"/>
              <w:bottom w:w="60" w:type="dxa"/>
              <w:right w:w="80" w:type="dxa"/>
            </w:tcMar>
            <w:vAlign w:val="center"/>
          </w:tcPr>
          <w:p w14:paraId="58D39D7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94BFB8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FE219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5BA81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4CA5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3C8446E6" w14:textId="77777777" w:rsidTr="0085711F">
        <w:trPr>
          <w:jc w:val="center"/>
        </w:trPr>
        <w:tc>
          <w:tcPr>
            <w:tcW w:w="850" w:type="dxa"/>
            <w:tcMar>
              <w:top w:w="60" w:type="dxa"/>
              <w:left w:w="80" w:type="dxa"/>
              <w:bottom w:w="60" w:type="dxa"/>
              <w:right w:w="80" w:type="dxa"/>
            </w:tcMar>
            <w:vAlign w:val="center"/>
          </w:tcPr>
          <w:p w14:paraId="35347D5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MP5</w:t>
            </w:r>
          </w:p>
        </w:tc>
        <w:tc>
          <w:tcPr>
            <w:tcW w:w="6520" w:type="dxa"/>
            <w:tcMar>
              <w:top w:w="60" w:type="dxa"/>
              <w:left w:w="80" w:type="dxa"/>
              <w:bottom w:w="60" w:type="dxa"/>
              <w:right w:w="80" w:type="dxa"/>
            </w:tcMar>
            <w:vAlign w:val="center"/>
          </w:tcPr>
          <w:p w14:paraId="39BA19E6" w14:textId="3ED7310E"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تسهم الحملات الرقمية في تحسين معدلات التحويل أو توليد العملاء المحتملين عند توافر أهداف قابلة للقياس.</w:t>
            </w:r>
          </w:p>
        </w:tc>
        <w:tc>
          <w:tcPr>
            <w:tcW w:w="567" w:type="dxa"/>
            <w:tcMar>
              <w:top w:w="60" w:type="dxa"/>
              <w:left w:w="80" w:type="dxa"/>
              <w:bottom w:w="60" w:type="dxa"/>
              <w:right w:w="80" w:type="dxa"/>
            </w:tcMar>
            <w:vAlign w:val="center"/>
          </w:tcPr>
          <w:p w14:paraId="338060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F01EC9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DDD5C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60638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D814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9362A0E" w14:textId="77777777" w:rsidTr="0085711F">
        <w:trPr>
          <w:jc w:val="center"/>
        </w:trPr>
        <w:tc>
          <w:tcPr>
            <w:tcW w:w="850" w:type="dxa"/>
            <w:tcMar>
              <w:top w:w="60" w:type="dxa"/>
              <w:left w:w="80" w:type="dxa"/>
              <w:bottom w:w="60" w:type="dxa"/>
              <w:right w:w="80" w:type="dxa"/>
            </w:tcMar>
            <w:vAlign w:val="center"/>
          </w:tcPr>
          <w:p w14:paraId="39A0CBE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MP6</w:t>
            </w:r>
          </w:p>
        </w:tc>
        <w:tc>
          <w:tcPr>
            <w:tcW w:w="6520" w:type="dxa"/>
            <w:tcMar>
              <w:top w:w="60" w:type="dxa"/>
              <w:left w:w="80" w:type="dxa"/>
              <w:bottom w:w="60" w:type="dxa"/>
              <w:right w:w="80" w:type="dxa"/>
            </w:tcMar>
            <w:vAlign w:val="center"/>
          </w:tcPr>
          <w:p w14:paraId="68BB61C3" w14:textId="591203F2"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يتسم الإنفاق الإعلاني في الحملات الرقمية بالكفاءة من خلال تقليل الهدر وتحسين توجيه الرسائل.</w:t>
            </w:r>
          </w:p>
        </w:tc>
        <w:tc>
          <w:tcPr>
            <w:tcW w:w="567" w:type="dxa"/>
            <w:tcMar>
              <w:top w:w="60" w:type="dxa"/>
              <w:left w:w="80" w:type="dxa"/>
              <w:bottom w:w="60" w:type="dxa"/>
              <w:right w:w="80" w:type="dxa"/>
            </w:tcMar>
            <w:vAlign w:val="center"/>
          </w:tcPr>
          <w:p w14:paraId="77A277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EDF32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9EB1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A19D6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508C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7D93E2E9" w14:textId="77777777" w:rsidTr="0085711F">
        <w:trPr>
          <w:jc w:val="center"/>
        </w:trPr>
        <w:tc>
          <w:tcPr>
            <w:tcW w:w="850" w:type="dxa"/>
            <w:tcMar>
              <w:top w:w="60" w:type="dxa"/>
              <w:left w:w="80" w:type="dxa"/>
              <w:bottom w:w="60" w:type="dxa"/>
              <w:right w:w="80" w:type="dxa"/>
            </w:tcMar>
            <w:vAlign w:val="center"/>
          </w:tcPr>
          <w:p w14:paraId="7DF81A8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MP7</w:t>
            </w:r>
          </w:p>
        </w:tc>
        <w:tc>
          <w:tcPr>
            <w:tcW w:w="6520" w:type="dxa"/>
            <w:tcMar>
              <w:top w:w="60" w:type="dxa"/>
              <w:left w:w="80" w:type="dxa"/>
              <w:bottom w:w="60" w:type="dxa"/>
              <w:right w:w="80" w:type="dxa"/>
            </w:tcMar>
            <w:vAlign w:val="center"/>
          </w:tcPr>
          <w:p w14:paraId="321F674B" w14:textId="55305992"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تحقق الحملات الرقمية مؤشرات الأداء المحددة مسبقًا.</w:t>
            </w:r>
          </w:p>
        </w:tc>
        <w:tc>
          <w:tcPr>
            <w:tcW w:w="567" w:type="dxa"/>
            <w:tcMar>
              <w:top w:w="60" w:type="dxa"/>
              <w:left w:w="80" w:type="dxa"/>
              <w:bottom w:w="60" w:type="dxa"/>
              <w:right w:w="80" w:type="dxa"/>
            </w:tcMar>
            <w:vAlign w:val="center"/>
          </w:tcPr>
          <w:p w14:paraId="79CA7A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C824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3ABD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7D01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A98D0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57FB8A5D" w14:textId="77777777" w:rsidTr="0085711F">
        <w:trPr>
          <w:jc w:val="center"/>
        </w:trPr>
        <w:tc>
          <w:tcPr>
            <w:tcW w:w="850" w:type="dxa"/>
            <w:tcMar>
              <w:top w:w="60" w:type="dxa"/>
              <w:left w:w="80" w:type="dxa"/>
              <w:bottom w:w="60" w:type="dxa"/>
              <w:right w:w="80" w:type="dxa"/>
            </w:tcMar>
            <w:vAlign w:val="center"/>
          </w:tcPr>
          <w:p w14:paraId="2D750CA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MP8</w:t>
            </w:r>
          </w:p>
        </w:tc>
        <w:tc>
          <w:tcPr>
            <w:tcW w:w="6520" w:type="dxa"/>
            <w:tcMar>
              <w:top w:w="60" w:type="dxa"/>
              <w:left w:w="80" w:type="dxa"/>
              <w:bottom w:w="60" w:type="dxa"/>
              <w:right w:w="80" w:type="dxa"/>
            </w:tcMar>
            <w:vAlign w:val="center"/>
          </w:tcPr>
          <w:p w14:paraId="7E72BD20" w14:textId="7A2BA5F8"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يرتفع رضا العملاء عن سرعة وجودة مخرجات الحملات الرقمية.</w:t>
            </w:r>
          </w:p>
        </w:tc>
        <w:tc>
          <w:tcPr>
            <w:tcW w:w="567" w:type="dxa"/>
            <w:tcMar>
              <w:top w:w="60" w:type="dxa"/>
              <w:left w:w="80" w:type="dxa"/>
              <w:bottom w:w="60" w:type="dxa"/>
              <w:right w:w="80" w:type="dxa"/>
            </w:tcMar>
            <w:vAlign w:val="center"/>
          </w:tcPr>
          <w:p w14:paraId="12CE74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561DAD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14616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EAD38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C2246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E367D3A" w14:textId="77777777" w:rsidTr="0085711F">
        <w:trPr>
          <w:jc w:val="center"/>
        </w:trPr>
        <w:tc>
          <w:tcPr>
            <w:tcW w:w="850" w:type="dxa"/>
            <w:tcMar>
              <w:top w:w="60" w:type="dxa"/>
              <w:left w:w="80" w:type="dxa"/>
              <w:bottom w:w="60" w:type="dxa"/>
              <w:right w:w="80" w:type="dxa"/>
            </w:tcMar>
            <w:vAlign w:val="center"/>
          </w:tcPr>
          <w:p w14:paraId="67F7F0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MP9</w:t>
            </w:r>
          </w:p>
        </w:tc>
        <w:tc>
          <w:tcPr>
            <w:tcW w:w="6520" w:type="dxa"/>
            <w:tcMar>
              <w:top w:w="60" w:type="dxa"/>
              <w:left w:w="80" w:type="dxa"/>
              <w:bottom w:w="60" w:type="dxa"/>
              <w:right w:w="80" w:type="dxa"/>
            </w:tcMar>
            <w:vAlign w:val="center"/>
          </w:tcPr>
          <w:p w14:paraId="2DDD81E0" w14:textId="58243809"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بصورة عامة، تتسم الحملات الرقمية للوكالة بفعالية تسويقية عالية.</w:t>
            </w:r>
          </w:p>
        </w:tc>
        <w:tc>
          <w:tcPr>
            <w:tcW w:w="567" w:type="dxa"/>
            <w:tcMar>
              <w:top w:w="60" w:type="dxa"/>
              <w:left w:w="80" w:type="dxa"/>
              <w:bottom w:w="60" w:type="dxa"/>
              <w:right w:w="80" w:type="dxa"/>
            </w:tcMar>
            <w:vAlign w:val="center"/>
          </w:tcPr>
          <w:p w14:paraId="25CC37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8B73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E318C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AA0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32D58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bl>
    <w:p w14:paraId="5B6EE419" w14:textId="77777777" w:rsidR="00F035EA" w:rsidRPr="00C22AB7" w:rsidRDefault="00F035EA" w:rsidP="00F035EA">
      <w:pPr>
        <w:bidi/>
        <w:spacing w:after="40" w:line="240" w:lineRule="auto"/>
        <w:jc w:val="right"/>
        <w:rPr>
          <w:rFonts w:ascii="Simplified Arabic" w:eastAsia="Arial" w:hAnsi="Simplified Arabic" w:cs="Simplified Arabic"/>
        </w:rPr>
      </w:pPr>
    </w:p>
    <w:p w14:paraId="48317E9B"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سؤال مفتوح اختياري</w:t>
      </w:r>
    </w:p>
    <w:p w14:paraId="2DD2CCE3"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إذا كانت لديك أي ملاحظات أو إضافات حول واقع توظيف الذكاء الاصطناعي التوليدي في تصميم الحملات التسويقية الرقمية داخل وكالات التسويق السعودية، فيرجى تدوينها أدناه:</w:t>
      </w:r>
    </w:p>
    <w:p w14:paraId="0B0AEC5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3D1AAC1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4347BA74"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rtl/>
        </w:rPr>
        <w:t>................................................................................................................................................................</w:t>
      </w:r>
    </w:p>
    <w:p w14:paraId="31C8C969" w14:textId="77777777" w:rsidR="00F035EA" w:rsidRDefault="00F035EA" w:rsidP="00F035EA">
      <w:pPr>
        <w:keepNext/>
        <w:bidi/>
        <w:spacing w:after="120" w:line="256" w:lineRule="auto"/>
        <w:rPr>
          <w:rFonts w:ascii="Simplified Arabic" w:eastAsia="Noto Naskh Arabic" w:hAnsi="Simplified Arabic" w:cs="Simplified Arabic"/>
          <w:b/>
          <w:color w:val="006699"/>
          <w:rtl/>
        </w:rPr>
      </w:pPr>
    </w:p>
    <w:p w14:paraId="480325D5" w14:textId="77777777" w:rsidR="000E0A79" w:rsidRPr="00C22AB7" w:rsidRDefault="000E0A79" w:rsidP="000E0A79">
      <w:pPr>
        <w:keepNext/>
        <w:bidi/>
        <w:spacing w:after="120" w:line="256" w:lineRule="auto"/>
        <w:rPr>
          <w:rFonts w:ascii="Simplified Arabic" w:eastAsia="Noto Naskh Arabic" w:hAnsi="Simplified Arabic" w:cs="Simplified Arabic"/>
          <w:b/>
          <w:color w:val="006699"/>
        </w:rPr>
      </w:pPr>
    </w:p>
    <w:p w14:paraId="7EE38FBE" w14:textId="77777777" w:rsidR="00F035EA" w:rsidRPr="00C22AB7" w:rsidRDefault="00F035EA" w:rsidP="00F035EA">
      <w:pPr>
        <w:keepNext/>
        <w:bidi/>
        <w:spacing w:after="120" w:line="256" w:lineRule="auto"/>
        <w:rPr>
          <w:rFonts w:ascii="Simplified Arabic" w:eastAsia="Calibri" w:hAnsi="Simplified Arabic" w:cs="Simplified Arabic"/>
          <w:bCs/>
          <w:rtl/>
        </w:rPr>
      </w:pPr>
      <w:r w:rsidRPr="00C22AB7">
        <w:rPr>
          <w:rFonts w:ascii="Simplified Arabic" w:eastAsia="Noto Naskh Arabic" w:hAnsi="Simplified Arabic" w:cs="Simplified Arabic"/>
          <w:bCs/>
          <w:color w:val="006699"/>
          <w:rtl/>
        </w:rPr>
        <w:t>البيانات الشخصية والوظيفية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3"/>
        <w:gridCol w:w="2445"/>
        <w:gridCol w:w="5172"/>
      </w:tblGrid>
      <w:tr w:rsidR="00F035EA" w:rsidRPr="00C22AB7" w14:paraId="66C5E9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B0E5A9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3005"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0B73D22"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البيان</w:t>
            </w:r>
          </w:p>
        </w:tc>
        <w:tc>
          <w:tcPr>
            <w:tcW w:w="6406"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40B1242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الخيارات</w:t>
            </w:r>
          </w:p>
        </w:tc>
      </w:tr>
      <w:tr w:rsidR="00F035EA" w:rsidRPr="00C22AB7" w14:paraId="3428518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1899619"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500DC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الجنس</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82D7D2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ذكر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أنثى</w:t>
            </w:r>
          </w:p>
        </w:tc>
      </w:tr>
      <w:tr w:rsidR="00F035EA" w:rsidRPr="00C22AB7" w14:paraId="4CFD727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CBD57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BC9565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الفئة العمرية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029AE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3AE64AE2"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1C7A26"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86CB8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المؤهل العلمي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33A33E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دبلوم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فأقل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بكالوريوس</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ماجستير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دكتوراه</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773017FA"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D3A6C1"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5B10E1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المسمى أو الدور الوظيفي الأقرب لطبيعة عملك</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77136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تخطيط</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واستراتيجية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إبداع</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كتابة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إعلانية</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محتوى</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بيانات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وأداء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حسابات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وعملاء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حملات</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شراء</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إعلامي</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عليا</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إشرافية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7C5AF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14CF8E"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P5</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6B261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سنوات الخبرة في التسويق الرقمي أو الاتصال التسويقي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A23B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638540B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5D86C6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P6</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AC4381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حجم الوكالة من حيث عدد الموظفين</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4A971F3"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صغيرة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موظفًا</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متوسطة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كبيرة</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5AF65C6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1039E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lastRenderedPageBreak/>
              <w:t>P7</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B89CD6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الموقع الرئيس للوكالة داخل المملكة العربية السعودية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098A4C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الرياض</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الدمام</w:t>
            </w:r>
          </w:p>
        </w:tc>
      </w:tr>
      <w:tr w:rsidR="00F035EA" w:rsidRPr="00C22AB7" w14:paraId="7F4982A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42D94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P8</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795F259"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العملاء الذين تخدمهم الوكالة غالبًا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E7F28B5"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جهات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شبه</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شركات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كبرى</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منشآت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صغيرة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ومتوسطة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علامات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تجارية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ناشئة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قطاعات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متعددة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أخرى</w:t>
            </w:r>
            <w:r w:rsidRPr="00C22AB7">
              <w:rPr>
                <w:rFonts w:ascii="Simplified Arabic" w:eastAsia="Noto Naskh Arabic" w:hAnsi="Simplified Arabic" w:cs="Simplified Arabic"/>
                <w:color w:val="FF0000"/>
                <w:rtl/>
              </w:rPr>
              <w:t>: .................</w:t>
            </w:r>
          </w:p>
        </w:tc>
      </w:tr>
      <w:tr w:rsidR="00F035EA" w:rsidRPr="00C22AB7" w14:paraId="3A470AF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225B41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P9</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B7A4FB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مستوى نضج استخدام الذكاء الاصطناعي التوليدي في الوكالة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E4FE66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فردي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محدود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تجريبي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داخل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الفرق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منتظم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المشاريع</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مؤسسي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مدمج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سير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العمل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4B8A163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27C376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P10</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266B24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أنواع أدوات الذكاء الاصطناعي التوليدي المستخدمة بانتظام في الوكالة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D12BC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نماذج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لغوية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مثل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rPr>
              <w:t>ChatGPT/Gemini</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صور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وتصاميم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فيديو</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صوت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تلخيص</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وتقارير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أتمتة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وتسويق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D1163AF"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82218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A4E109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عدد الحملات الرقمية التي شاركت فيها واستخدمت فيها أدوات ذكاء اصطناعي توليدي خلال آخر 12 شهرًا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FDE45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توجد</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واحدة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2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5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6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أكثر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p>
        </w:tc>
      </w:tr>
      <w:tr w:rsidR="00F035EA" w:rsidRPr="00C22AB7" w14:paraId="6ECEB46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2A0638"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A3D5D6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هل توجد في الوكالة سياسة أو ضوابط داخلية لاستخدام أدوات الذكاء الاصطناعي التوليدي؟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F35D23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مكتوبة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وواضحة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لكنها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مكتملة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توجد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7BCCC1C6"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EB3873"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CE1384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علاقتك بأدوات الذكاء الاصطناعي التوليدي في الحملات التسويقية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738742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أستخدم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مباشرة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عملي</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أراجع</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أحرر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أشارك</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قرار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استخدام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اختيارها</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أشرف</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على</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أعتمدها</w:t>
            </w:r>
          </w:p>
        </w:tc>
      </w:tr>
      <w:tr w:rsidR="00F035EA" w:rsidRPr="00C22AB7" w14:paraId="10498E9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932BF50"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AE25FF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قناة الوصول إلى الاستبانة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98862F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عن</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طريق</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الوكالة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المدير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المباشر</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جمعية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مجموعة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مهنية</w:t>
            </w:r>
            <w:r>
              <w:rPr>
                <w:rFonts w:ascii="Simplified Arabic" w:eastAsia="Noto Naskh Arabic" w:hAnsi="Simplified Arabic" w:cs="Simplified Arabic" w:hint="cs"/>
                <w:color w:val="FF0000"/>
                <w:rtl/>
              </w:rPr>
              <w:t xml:space="preserve">  </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LinkedIn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شبكة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شخصية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إحالة</w:t>
            </w:r>
          </w:p>
        </w:tc>
      </w:tr>
    </w:tbl>
    <w:p w14:paraId="2B2934F1" w14:textId="295F07BD" w:rsidR="00F035EA" w:rsidRPr="008E51DC" w:rsidRDefault="00F035EA" w:rsidP="008E51DC">
      <w:pPr>
        <w:bidi/>
        <w:spacing w:after="0" w:line="240" w:lineRule="auto"/>
        <w:jc w:val="center"/>
        <w:rPr>
          <w:rFonts w:ascii="Simplified Arabic" w:eastAsia="Arial" w:hAnsi="Simplified Arabic" w:cs="Simplified Arabic"/>
        </w:rPr>
      </w:pPr>
      <w:r w:rsidRPr="00C22AB7">
        <w:rPr>
          <w:rFonts w:ascii="Simplified Arabic" w:eastAsia="Arial" w:hAnsi="Simplified Arabic" w:cs="Simplified Arabic"/>
        </w:rPr>
        <w:br w:type="page"/>
      </w:r>
      <w:r w:rsidRPr="00C22AB7">
        <w:rPr>
          <w:rFonts w:ascii="Sakkal Majalla" w:eastAsia="Noto Naskh Arabic" w:hAnsi="Sakkal Majalla" w:cs="Sakkal Majalla"/>
          <w:bCs/>
          <w:color w:val="FF0000"/>
          <w:sz w:val="36"/>
          <w:szCs w:val="28"/>
          <w:u w:val="single"/>
          <w:rtl/>
        </w:rPr>
        <w:lastRenderedPageBreak/>
        <w:t>ملحق (ب): ربط فقرات أداة الدراسة بمصادرها وطبيعة التعديل</w:t>
      </w:r>
    </w:p>
    <w:p w14:paraId="66E0CFB3" w14:textId="77777777" w:rsidR="00F035EA" w:rsidRPr="00C22AB7" w:rsidRDefault="00F035EA" w:rsidP="00F035EA">
      <w:pPr>
        <w:bidi/>
        <w:spacing w:after="60" w:line="240" w:lineRule="auto"/>
        <w:rPr>
          <w:rFonts w:ascii="Arial" w:eastAsia="Arial" w:hAnsi="Arial" w:cs="Arial"/>
        </w:rPr>
      </w:pPr>
      <w:r w:rsidRPr="00C22AB7">
        <w:rPr>
          <w:rFonts w:ascii="Sakkal Majalla" w:eastAsia="Noto Naskh Arabic" w:hAnsi="Sakkal Majalla" w:cs="Sakkal Majalla"/>
          <w:color w:val="FF0000"/>
          <w:sz w:val="24"/>
          <w:szCs w:val="28"/>
          <w:rtl/>
        </w:rPr>
        <w:t>يعرض الجدول الآتي الفقرات المقترحة ومصادرها أو أساسها النظري الأقرب، مع بيان التعديل المنهجي الذي أُجري عليها لتتلاءم مع عنوان الدراسة ومجتمعها ومتغيراتها.</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7"/>
        <w:gridCol w:w="2589"/>
        <w:gridCol w:w="2413"/>
        <w:gridCol w:w="2501"/>
      </w:tblGrid>
      <w:tr w:rsidR="00F035EA" w:rsidRPr="00C22AB7" w14:paraId="204BBB2E" w14:textId="77777777" w:rsidTr="0085711F">
        <w:trPr>
          <w:trHeight w:val="503"/>
          <w:jc w:val="center"/>
        </w:trPr>
        <w:tc>
          <w:tcPr>
            <w:tcW w:w="964" w:type="dxa"/>
            <w:shd w:val="clear" w:color="auto" w:fill="D9D9D9"/>
            <w:tcMar>
              <w:top w:w="60" w:type="dxa"/>
              <w:left w:w="80" w:type="dxa"/>
              <w:bottom w:w="60" w:type="dxa"/>
              <w:right w:w="80" w:type="dxa"/>
            </w:tcMar>
            <w:vAlign w:val="center"/>
          </w:tcPr>
          <w:p w14:paraId="598CF12C"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رمز الفقرة</w:t>
            </w:r>
          </w:p>
        </w:tc>
        <w:tc>
          <w:tcPr>
            <w:tcW w:w="3288" w:type="dxa"/>
            <w:shd w:val="clear" w:color="auto" w:fill="D9D9D9"/>
            <w:tcMar>
              <w:top w:w="60" w:type="dxa"/>
              <w:left w:w="80" w:type="dxa"/>
              <w:bottom w:w="60" w:type="dxa"/>
              <w:right w:w="80" w:type="dxa"/>
            </w:tcMar>
            <w:vAlign w:val="center"/>
          </w:tcPr>
          <w:p w14:paraId="0F0D1B73"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الفقرة</w:t>
            </w:r>
          </w:p>
        </w:tc>
        <w:tc>
          <w:tcPr>
            <w:tcW w:w="3061" w:type="dxa"/>
            <w:shd w:val="clear" w:color="auto" w:fill="D9D9D9"/>
            <w:tcMar>
              <w:top w:w="60" w:type="dxa"/>
              <w:left w:w="80" w:type="dxa"/>
              <w:bottom w:w="60" w:type="dxa"/>
              <w:right w:w="80" w:type="dxa"/>
            </w:tcMar>
            <w:vAlign w:val="center"/>
          </w:tcPr>
          <w:p w14:paraId="04E2C4ED"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المصدر</w:t>
            </w:r>
          </w:p>
        </w:tc>
        <w:tc>
          <w:tcPr>
            <w:tcW w:w="3175" w:type="dxa"/>
            <w:shd w:val="clear" w:color="auto" w:fill="D9D9D9"/>
            <w:tcMar>
              <w:top w:w="60" w:type="dxa"/>
              <w:left w:w="80" w:type="dxa"/>
              <w:bottom w:w="60" w:type="dxa"/>
              <w:right w:w="80" w:type="dxa"/>
            </w:tcMar>
            <w:vAlign w:val="center"/>
          </w:tcPr>
          <w:p w14:paraId="0AA969C7"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طبيعة التعديل</w:t>
            </w:r>
          </w:p>
        </w:tc>
      </w:tr>
      <w:tr w:rsidR="00F035EA" w:rsidRPr="00C22AB7" w14:paraId="5B32F5E5" w14:textId="77777777" w:rsidTr="0085711F">
        <w:trPr>
          <w:jc w:val="center"/>
        </w:trPr>
        <w:tc>
          <w:tcPr>
            <w:tcW w:w="964" w:type="dxa"/>
            <w:tcMar>
              <w:top w:w="60" w:type="dxa"/>
              <w:left w:w="80" w:type="dxa"/>
              <w:bottom w:w="60" w:type="dxa"/>
              <w:right w:w="80" w:type="dxa"/>
            </w:tcMar>
            <w:vAlign w:val="center"/>
          </w:tcPr>
          <w:p w14:paraId="14589CE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w:t>
            </w:r>
          </w:p>
        </w:tc>
        <w:tc>
          <w:tcPr>
            <w:tcW w:w="3288" w:type="dxa"/>
            <w:tcMar>
              <w:top w:w="60" w:type="dxa"/>
              <w:left w:w="80" w:type="dxa"/>
              <w:bottom w:w="60" w:type="dxa"/>
              <w:right w:w="80" w:type="dxa"/>
            </w:tcMar>
            <w:vAlign w:val="center"/>
          </w:tcPr>
          <w:p w14:paraId="2688A89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تحليل السوق والاتجاهات قبل تصميم الحملة</w:t>
            </w:r>
          </w:p>
        </w:tc>
        <w:tc>
          <w:tcPr>
            <w:tcW w:w="3061" w:type="dxa"/>
            <w:tcMar>
              <w:top w:w="60" w:type="dxa"/>
              <w:left w:w="80" w:type="dxa"/>
              <w:bottom w:w="60" w:type="dxa"/>
              <w:right w:w="80" w:type="dxa"/>
            </w:tcMar>
            <w:vAlign w:val="center"/>
          </w:tcPr>
          <w:p w14:paraId="63B915DA" w14:textId="77777777" w:rsidR="00F035EA" w:rsidRPr="00C22AB7" w:rsidRDefault="00F035EA" w:rsidP="0085711F">
            <w:pPr>
              <w:bidi/>
              <w:spacing w:after="0" w:line="240" w:lineRule="auto"/>
              <w:jc w:val="right"/>
              <w:rPr>
                <w:rFonts w:ascii="Arial" w:eastAsia="Arial" w:hAnsi="Arial" w:cs="Arial"/>
              </w:rPr>
            </w:pPr>
            <w:r w:rsidRPr="00C22AB7">
              <w:rPr>
                <w:rFonts w:ascii="Times New Roman" w:eastAsia="Noto Naskh Arabic" w:hAnsi="Times New Roman" w:cs="Arial"/>
                <w:color w:val="FF0000"/>
                <w:sz w:val="18"/>
                <w:rtl/>
              </w:rPr>
              <w:t>Islam et al. (2024); Sharabati et al. (2024)</w:t>
            </w:r>
          </w:p>
        </w:tc>
        <w:tc>
          <w:tcPr>
            <w:tcW w:w="3175" w:type="dxa"/>
            <w:tcMar>
              <w:top w:w="60" w:type="dxa"/>
              <w:left w:w="80" w:type="dxa"/>
              <w:bottom w:w="60" w:type="dxa"/>
              <w:right w:w="80" w:type="dxa"/>
            </w:tcMar>
            <w:vAlign w:val="center"/>
          </w:tcPr>
          <w:p w14:paraId="4E883A5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ربطت الفقرة بمرحلة التخطيط والتحليل داخل وكالات التسويق السعودية.</w:t>
            </w:r>
          </w:p>
        </w:tc>
      </w:tr>
      <w:tr w:rsidR="00F035EA" w:rsidRPr="00C22AB7" w14:paraId="2FAA78FC" w14:textId="77777777" w:rsidTr="0085711F">
        <w:trPr>
          <w:jc w:val="center"/>
        </w:trPr>
        <w:tc>
          <w:tcPr>
            <w:tcW w:w="964" w:type="dxa"/>
            <w:tcMar>
              <w:top w:w="60" w:type="dxa"/>
              <w:left w:w="80" w:type="dxa"/>
              <w:bottom w:w="60" w:type="dxa"/>
              <w:right w:w="80" w:type="dxa"/>
            </w:tcMar>
            <w:vAlign w:val="center"/>
          </w:tcPr>
          <w:p w14:paraId="4D10274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GAIU2</w:t>
            </w:r>
          </w:p>
        </w:tc>
        <w:tc>
          <w:tcPr>
            <w:tcW w:w="3288" w:type="dxa"/>
            <w:tcMar>
              <w:top w:w="60" w:type="dxa"/>
              <w:left w:w="80" w:type="dxa"/>
              <w:bottom w:w="60" w:type="dxa"/>
              <w:right w:w="80" w:type="dxa"/>
            </w:tcMar>
            <w:vAlign w:val="center"/>
          </w:tcPr>
          <w:p w14:paraId="7FC0E8B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بناء تصورات عن الجمهور وتقسيمه</w:t>
            </w:r>
          </w:p>
        </w:tc>
        <w:tc>
          <w:tcPr>
            <w:tcW w:w="3061" w:type="dxa"/>
            <w:tcMar>
              <w:top w:w="60" w:type="dxa"/>
              <w:left w:w="80" w:type="dxa"/>
              <w:bottom w:w="60" w:type="dxa"/>
              <w:right w:w="80" w:type="dxa"/>
            </w:tcMar>
            <w:vAlign w:val="center"/>
          </w:tcPr>
          <w:p w14:paraId="26ACF80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Heitmann (2024)</w:t>
            </w:r>
          </w:p>
        </w:tc>
        <w:tc>
          <w:tcPr>
            <w:tcW w:w="3175" w:type="dxa"/>
            <w:tcMar>
              <w:top w:w="60" w:type="dxa"/>
              <w:left w:w="80" w:type="dxa"/>
              <w:bottom w:w="60" w:type="dxa"/>
              <w:right w:w="80" w:type="dxa"/>
            </w:tcMar>
            <w:vAlign w:val="center"/>
          </w:tcPr>
          <w:p w14:paraId="54B49AF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صياغة الفقرة لقياس فهم الجمهور ودقة الاستهداف.</w:t>
            </w:r>
          </w:p>
        </w:tc>
      </w:tr>
      <w:tr w:rsidR="00F035EA" w:rsidRPr="00C22AB7" w14:paraId="486942A2" w14:textId="77777777" w:rsidTr="0085711F">
        <w:trPr>
          <w:jc w:val="center"/>
        </w:trPr>
        <w:tc>
          <w:tcPr>
            <w:tcW w:w="964" w:type="dxa"/>
            <w:tcMar>
              <w:top w:w="60" w:type="dxa"/>
              <w:left w:w="80" w:type="dxa"/>
              <w:bottom w:w="60" w:type="dxa"/>
              <w:right w:w="80" w:type="dxa"/>
            </w:tcMar>
            <w:vAlign w:val="center"/>
          </w:tcPr>
          <w:p w14:paraId="39F0214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GAIU3</w:t>
            </w:r>
          </w:p>
        </w:tc>
        <w:tc>
          <w:tcPr>
            <w:tcW w:w="3288" w:type="dxa"/>
            <w:tcMar>
              <w:top w:w="60" w:type="dxa"/>
              <w:left w:w="80" w:type="dxa"/>
              <w:bottom w:w="60" w:type="dxa"/>
              <w:right w:w="80" w:type="dxa"/>
            </w:tcMar>
            <w:vAlign w:val="center"/>
          </w:tcPr>
          <w:p w14:paraId="4C3A8B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ومفاهيم إبداعية</w:t>
            </w:r>
          </w:p>
        </w:tc>
        <w:tc>
          <w:tcPr>
            <w:tcW w:w="3061" w:type="dxa"/>
            <w:tcMar>
              <w:top w:w="60" w:type="dxa"/>
              <w:left w:w="80" w:type="dxa"/>
              <w:bottom w:w="60" w:type="dxa"/>
              <w:right w:w="80" w:type="dxa"/>
            </w:tcMar>
            <w:vAlign w:val="center"/>
          </w:tcPr>
          <w:p w14:paraId="7CFEB3E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5248A83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لمرحلة الإبداع وتوليد المفاهيم الأولية.</w:t>
            </w:r>
          </w:p>
        </w:tc>
      </w:tr>
      <w:tr w:rsidR="00F035EA" w:rsidRPr="00C22AB7" w14:paraId="6E821E9A" w14:textId="77777777" w:rsidTr="0085711F">
        <w:trPr>
          <w:jc w:val="center"/>
        </w:trPr>
        <w:tc>
          <w:tcPr>
            <w:tcW w:w="964" w:type="dxa"/>
            <w:tcMar>
              <w:top w:w="60" w:type="dxa"/>
              <w:left w:w="80" w:type="dxa"/>
              <w:bottom w:w="60" w:type="dxa"/>
              <w:right w:w="80" w:type="dxa"/>
            </w:tcMar>
            <w:vAlign w:val="center"/>
          </w:tcPr>
          <w:p w14:paraId="092E0AB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GAIU4</w:t>
            </w:r>
          </w:p>
        </w:tc>
        <w:tc>
          <w:tcPr>
            <w:tcW w:w="3288" w:type="dxa"/>
            <w:tcMar>
              <w:top w:w="60" w:type="dxa"/>
              <w:left w:w="80" w:type="dxa"/>
              <w:bottom w:w="60" w:type="dxa"/>
              <w:right w:w="80" w:type="dxa"/>
            </w:tcMar>
            <w:vAlign w:val="center"/>
          </w:tcPr>
          <w:p w14:paraId="465E858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صياغة بدائل متعددة للنصوص والرسائل</w:t>
            </w:r>
          </w:p>
        </w:tc>
        <w:tc>
          <w:tcPr>
            <w:tcW w:w="3061" w:type="dxa"/>
            <w:tcMar>
              <w:top w:w="60" w:type="dxa"/>
              <w:left w:w="80" w:type="dxa"/>
              <w:bottom w:w="60" w:type="dxa"/>
              <w:right w:w="80" w:type="dxa"/>
            </w:tcMar>
            <w:vAlign w:val="center"/>
          </w:tcPr>
          <w:p w14:paraId="3335142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Gujar &amp; Panyam (2024)</w:t>
            </w:r>
          </w:p>
        </w:tc>
        <w:tc>
          <w:tcPr>
            <w:tcW w:w="3175" w:type="dxa"/>
            <w:tcMar>
              <w:top w:w="60" w:type="dxa"/>
              <w:left w:w="80" w:type="dxa"/>
              <w:bottom w:w="60" w:type="dxa"/>
              <w:right w:w="80" w:type="dxa"/>
            </w:tcMar>
            <w:vAlign w:val="center"/>
          </w:tcPr>
          <w:p w14:paraId="16524D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إنتاج النصوص التسويقية والرسائل الرئيسة للحملة.</w:t>
            </w:r>
          </w:p>
        </w:tc>
      </w:tr>
      <w:tr w:rsidR="00F035EA" w:rsidRPr="00C22AB7" w14:paraId="4A40A40B" w14:textId="77777777" w:rsidTr="0085711F">
        <w:trPr>
          <w:jc w:val="center"/>
        </w:trPr>
        <w:tc>
          <w:tcPr>
            <w:tcW w:w="964" w:type="dxa"/>
            <w:tcMar>
              <w:top w:w="60" w:type="dxa"/>
              <w:left w:w="80" w:type="dxa"/>
              <w:bottom w:w="60" w:type="dxa"/>
              <w:right w:w="80" w:type="dxa"/>
            </w:tcMar>
            <w:vAlign w:val="center"/>
          </w:tcPr>
          <w:p w14:paraId="10DCFBC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GAIU5</w:t>
            </w:r>
          </w:p>
        </w:tc>
        <w:tc>
          <w:tcPr>
            <w:tcW w:w="3288" w:type="dxa"/>
            <w:tcMar>
              <w:top w:w="60" w:type="dxa"/>
              <w:left w:w="80" w:type="dxa"/>
              <w:bottom w:w="60" w:type="dxa"/>
              <w:right w:w="80" w:type="dxa"/>
            </w:tcMar>
            <w:vAlign w:val="center"/>
          </w:tcPr>
          <w:p w14:paraId="08B492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إنتاج تصورات أو عناصر تصميمية مبدئية</w:t>
            </w:r>
          </w:p>
        </w:tc>
        <w:tc>
          <w:tcPr>
            <w:tcW w:w="3061" w:type="dxa"/>
            <w:tcMar>
              <w:top w:w="60" w:type="dxa"/>
              <w:left w:w="80" w:type="dxa"/>
              <w:bottom w:w="60" w:type="dxa"/>
              <w:right w:w="80" w:type="dxa"/>
            </w:tcMar>
            <w:vAlign w:val="center"/>
          </w:tcPr>
          <w:p w14:paraId="126CFC2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7A131CB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البعد البصري بوصفه جزءًا من تصميم الحملات الرقمية.</w:t>
            </w:r>
          </w:p>
        </w:tc>
      </w:tr>
      <w:tr w:rsidR="00F035EA" w:rsidRPr="00C22AB7" w14:paraId="1DF0615C" w14:textId="77777777" w:rsidTr="0085711F">
        <w:trPr>
          <w:jc w:val="center"/>
        </w:trPr>
        <w:tc>
          <w:tcPr>
            <w:tcW w:w="964" w:type="dxa"/>
            <w:tcMar>
              <w:top w:w="60" w:type="dxa"/>
              <w:left w:w="80" w:type="dxa"/>
              <w:bottom w:w="60" w:type="dxa"/>
              <w:right w:w="80" w:type="dxa"/>
            </w:tcMar>
            <w:vAlign w:val="center"/>
          </w:tcPr>
          <w:p w14:paraId="2CE2097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GAIU6</w:t>
            </w:r>
          </w:p>
        </w:tc>
        <w:tc>
          <w:tcPr>
            <w:tcW w:w="3288" w:type="dxa"/>
            <w:tcMar>
              <w:top w:w="60" w:type="dxa"/>
              <w:left w:w="80" w:type="dxa"/>
              <w:bottom w:w="60" w:type="dxa"/>
              <w:right w:w="80" w:type="dxa"/>
            </w:tcMar>
            <w:vAlign w:val="center"/>
          </w:tcPr>
          <w:p w14:paraId="76931C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تكييف المحتوى مع خصائص المنصات الرقمية</w:t>
            </w:r>
          </w:p>
        </w:tc>
        <w:tc>
          <w:tcPr>
            <w:tcW w:w="3061" w:type="dxa"/>
            <w:tcMar>
              <w:top w:w="60" w:type="dxa"/>
              <w:left w:w="80" w:type="dxa"/>
              <w:bottom w:w="60" w:type="dxa"/>
              <w:right w:w="80" w:type="dxa"/>
            </w:tcMar>
            <w:vAlign w:val="center"/>
          </w:tcPr>
          <w:p w14:paraId="04B008F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Heitmann (2024)</w:t>
            </w:r>
          </w:p>
        </w:tc>
        <w:tc>
          <w:tcPr>
            <w:tcW w:w="3175" w:type="dxa"/>
            <w:tcMar>
              <w:top w:w="60" w:type="dxa"/>
              <w:left w:w="80" w:type="dxa"/>
              <w:bottom w:w="60" w:type="dxa"/>
              <w:right w:w="80" w:type="dxa"/>
            </w:tcMar>
            <w:vAlign w:val="center"/>
          </w:tcPr>
          <w:p w14:paraId="705592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بملاءمة المحتوى للمنصات المختلفة.</w:t>
            </w:r>
          </w:p>
        </w:tc>
      </w:tr>
      <w:tr w:rsidR="00F035EA" w:rsidRPr="00C22AB7" w14:paraId="5B939AB7" w14:textId="77777777" w:rsidTr="0085711F">
        <w:trPr>
          <w:jc w:val="center"/>
        </w:trPr>
        <w:tc>
          <w:tcPr>
            <w:tcW w:w="964" w:type="dxa"/>
            <w:tcMar>
              <w:top w:w="60" w:type="dxa"/>
              <w:left w:w="80" w:type="dxa"/>
              <w:bottom w:w="60" w:type="dxa"/>
              <w:right w:w="80" w:type="dxa"/>
            </w:tcMar>
            <w:vAlign w:val="center"/>
          </w:tcPr>
          <w:p w14:paraId="29D3D2E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GAIU7</w:t>
            </w:r>
          </w:p>
        </w:tc>
        <w:tc>
          <w:tcPr>
            <w:tcW w:w="3288" w:type="dxa"/>
            <w:tcMar>
              <w:top w:w="60" w:type="dxa"/>
              <w:left w:w="80" w:type="dxa"/>
              <w:bottom w:w="60" w:type="dxa"/>
              <w:right w:w="80" w:type="dxa"/>
            </w:tcMar>
            <w:vAlign w:val="center"/>
          </w:tcPr>
          <w:p w14:paraId="3E4F930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اقتراح صيغ للرسائل بحسب شرائح الجمهور</w:t>
            </w:r>
          </w:p>
        </w:tc>
        <w:tc>
          <w:tcPr>
            <w:tcW w:w="3061" w:type="dxa"/>
            <w:tcMar>
              <w:top w:w="60" w:type="dxa"/>
              <w:left w:w="80" w:type="dxa"/>
              <w:bottom w:w="60" w:type="dxa"/>
              <w:right w:w="80" w:type="dxa"/>
            </w:tcMar>
            <w:vAlign w:val="center"/>
          </w:tcPr>
          <w:p w14:paraId="0DC877F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Nuremberg Institute for Market Decisions (2024)</w:t>
            </w:r>
          </w:p>
        </w:tc>
        <w:tc>
          <w:tcPr>
            <w:tcW w:w="3175" w:type="dxa"/>
            <w:tcMar>
              <w:top w:w="60" w:type="dxa"/>
              <w:left w:w="80" w:type="dxa"/>
              <w:bottom w:w="60" w:type="dxa"/>
              <w:right w:w="80" w:type="dxa"/>
            </w:tcMar>
            <w:vAlign w:val="center"/>
          </w:tcPr>
          <w:p w14:paraId="5EAE30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تنويع الرسائل وفق خصائص الجمهور.</w:t>
            </w:r>
          </w:p>
        </w:tc>
      </w:tr>
      <w:tr w:rsidR="00F035EA" w:rsidRPr="00C22AB7" w14:paraId="390770C5" w14:textId="77777777" w:rsidTr="0085711F">
        <w:trPr>
          <w:jc w:val="center"/>
        </w:trPr>
        <w:tc>
          <w:tcPr>
            <w:tcW w:w="964" w:type="dxa"/>
            <w:tcMar>
              <w:top w:w="60" w:type="dxa"/>
              <w:left w:w="80" w:type="dxa"/>
              <w:bottom w:w="60" w:type="dxa"/>
              <w:right w:w="80" w:type="dxa"/>
            </w:tcMar>
            <w:vAlign w:val="center"/>
          </w:tcPr>
          <w:p w14:paraId="48A341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GAIU8</w:t>
            </w:r>
          </w:p>
        </w:tc>
        <w:tc>
          <w:tcPr>
            <w:tcW w:w="3288" w:type="dxa"/>
            <w:tcMar>
              <w:top w:w="60" w:type="dxa"/>
              <w:left w:w="80" w:type="dxa"/>
              <w:bottom w:w="60" w:type="dxa"/>
              <w:right w:w="80" w:type="dxa"/>
            </w:tcMar>
            <w:vAlign w:val="center"/>
          </w:tcPr>
          <w:p w14:paraId="3A1BC3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إدخال المخرجات في العصف الذهني والمراجعة</w:t>
            </w:r>
          </w:p>
        </w:tc>
        <w:tc>
          <w:tcPr>
            <w:tcW w:w="3061" w:type="dxa"/>
            <w:tcMar>
              <w:top w:w="60" w:type="dxa"/>
              <w:left w:w="80" w:type="dxa"/>
              <w:bottom w:w="60" w:type="dxa"/>
              <w:right w:w="80" w:type="dxa"/>
            </w:tcMar>
            <w:vAlign w:val="center"/>
          </w:tcPr>
          <w:p w14:paraId="5620039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Doshi et al. (2025)</w:t>
            </w:r>
          </w:p>
        </w:tc>
        <w:tc>
          <w:tcPr>
            <w:tcW w:w="3175" w:type="dxa"/>
            <w:tcMar>
              <w:top w:w="60" w:type="dxa"/>
              <w:left w:w="80" w:type="dxa"/>
              <w:bottom w:w="60" w:type="dxa"/>
              <w:right w:w="80" w:type="dxa"/>
            </w:tcMar>
            <w:vAlign w:val="center"/>
          </w:tcPr>
          <w:p w14:paraId="25368E8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دمج مخرجات التقنية في سير العمل الجماعي.</w:t>
            </w:r>
          </w:p>
        </w:tc>
      </w:tr>
      <w:tr w:rsidR="00F035EA" w:rsidRPr="00C22AB7" w14:paraId="7C9A5C23" w14:textId="77777777" w:rsidTr="0085711F">
        <w:trPr>
          <w:jc w:val="center"/>
        </w:trPr>
        <w:tc>
          <w:tcPr>
            <w:tcW w:w="964" w:type="dxa"/>
            <w:tcMar>
              <w:top w:w="60" w:type="dxa"/>
              <w:left w:w="80" w:type="dxa"/>
              <w:bottom w:w="60" w:type="dxa"/>
              <w:right w:w="80" w:type="dxa"/>
            </w:tcMar>
            <w:vAlign w:val="center"/>
          </w:tcPr>
          <w:p w14:paraId="6D7DFC3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GAIU9</w:t>
            </w:r>
          </w:p>
        </w:tc>
        <w:tc>
          <w:tcPr>
            <w:tcW w:w="3288" w:type="dxa"/>
            <w:tcMar>
              <w:top w:w="60" w:type="dxa"/>
              <w:left w:w="80" w:type="dxa"/>
              <w:bottom w:w="60" w:type="dxa"/>
              <w:right w:w="80" w:type="dxa"/>
            </w:tcMar>
            <w:vAlign w:val="center"/>
          </w:tcPr>
          <w:p w14:paraId="1541FB9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تلخيص بيانات الأداء واقتراح تحسينات</w:t>
            </w:r>
          </w:p>
        </w:tc>
        <w:tc>
          <w:tcPr>
            <w:tcW w:w="3061" w:type="dxa"/>
            <w:tcMar>
              <w:top w:w="60" w:type="dxa"/>
              <w:left w:w="80" w:type="dxa"/>
              <w:bottom w:w="60" w:type="dxa"/>
              <w:right w:w="80" w:type="dxa"/>
            </w:tcMar>
            <w:vAlign w:val="center"/>
          </w:tcPr>
          <w:p w14:paraId="1F5C898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Doshi et al. (2025)</w:t>
            </w:r>
          </w:p>
        </w:tc>
        <w:tc>
          <w:tcPr>
            <w:tcW w:w="3175" w:type="dxa"/>
            <w:tcMar>
              <w:top w:w="60" w:type="dxa"/>
              <w:left w:w="80" w:type="dxa"/>
              <w:bottom w:w="60" w:type="dxa"/>
              <w:right w:w="80" w:type="dxa"/>
            </w:tcMar>
            <w:vAlign w:val="center"/>
          </w:tcPr>
          <w:p w14:paraId="3C1494B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بمرحلة التحليل والتحسين.</w:t>
            </w:r>
          </w:p>
        </w:tc>
      </w:tr>
      <w:tr w:rsidR="00F035EA" w:rsidRPr="00C22AB7" w14:paraId="017D20C2" w14:textId="77777777" w:rsidTr="0085711F">
        <w:trPr>
          <w:jc w:val="center"/>
        </w:trPr>
        <w:tc>
          <w:tcPr>
            <w:tcW w:w="964" w:type="dxa"/>
            <w:tcMar>
              <w:top w:w="60" w:type="dxa"/>
              <w:left w:w="80" w:type="dxa"/>
              <w:bottom w:w="60" w:type="dxa"/>
              <w:right w:w="80" w:type="dxa"/>
            </w:tcMar>
            <w:vAlign w:val="center"/>
          </w:tcPr>
          <w:p w14:paraId="48CDB0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GAIU10</w:t>
            </w:r>
          </w:p>
        </w:tc>
        <w:tc>
          <w:tcPr>
            <w:tcW w:w="3288" w:type="dxa"/>
            <w:tcMar>
              <w:top w:w="60" w:type="dxa"/>
              <w:left w:w="80" w:type="dxa"/>
              <w:bottom w:w="60" w:type="dxa"/>
              <w:right w:w="80" w:type="dxa"/>
            </w:tcMar>
            <w:vAlign w:val="center"/>
          </w:tcPr>
          <w:p w14:paraId="15EEE1D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دمج التقنية في سير عمل تصميم الحملات</w:t>
            </w:r>
          </w:p>
        </w:tc>
        <w:tc>
          <w:tcPr>
            <w:tcW w:w="3061" w:type="dxa"/>
            <w:tcMar>
              <w:top w:w="60" w:type="dxa"/>
              <w:left w:w="80" w:type="dxa"/>
              <w:bottom w:w="60" w:type="dxa"/>
              <w:right w:w="80" w:type="dxa"/>
            </w:tcMar>
            <w:vAlign w:val="center"/>
          </w:tcPr>
          <w:p w14:paraId="085B9CA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3D94689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مستوى الدمج المؤسسي لا الاستخدام الفردي العارض.</w:t>
            </w:r>
          </w:p>
        </w:tc>
      </w:tr>
      <w:tr w:rsidR="00F035EA" w:rsidRPr="00C22AB7" w14:paraId="0D6A5073" w14:textId="77777777" w:rsidTr="0085711F">
        <w:trPr>
          <w:jc w:val="center"/>
        </w:trPr>
        <w:tc>
          <w:tcPr>
            <w:tcW w:w="964" w:type="dxa"/>
            <w:tcMar>
              <w:top w:w="60" w:type="dxa"/>
              <w:left w:w="80" w:type="dxa"/>
              <w:bottom w:w="60" w:type="dxa"/>
              <w:right w:w="80" w:type="dxa"/>
            </w:tcMar>
            <w:vAlign w:val="center"/>
          </w:tcPr>
          <w:p w14:paraId="385E52E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CDQ1</w:t>
            </w:r>
          </w:p>
        </w:tc>
        <w:tc>
          <w:tcPr>
            <w:tcW w:w="3288" w:type="dxa"/>
            <w:tcMar>
              <w:top w:w="60" w:type="dxa"/>
              <w:left w:w="80" w:type="dxa"/>
              <w:bottom w:w="60" w:type="dxa"/>
              <w:right w:w="80" w:type="dxa"/>
            </w:tcMar>
            <w:vAlign w:val="center"/>
          </w:tcPr>
          <w:p w14:paraId="159FF42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زمن الانتقال من موجز العميل إلى التصورات</w:t>
            </w:r>
          </w:p>
        </w:tc>
        <w:tc>
          <w:tcPr>
            <w:tcW w:w="3061" w:type="dxa"/>
            <w:tcMar>
              <w:top w:w="60" w:type="dxa"/>
              <w:left w:w="80" w:type="dxa"/>
              <w:bottom w:w="60" w:type="dxa"/>
              <w:right w:w="80" w:type="dxa"/>
            </w:tcMar>
            <w:vAlign w:val="center"/>
          </w:tcPr>
          <w:p w14:paraId="3466B8B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McKinsey &amp; Company (2024)</w:t>
            </w:r>
          </w:p>
        </w:tc>
        <w:tc>
          <w:tcPr>
            <w:tcW w:w="3175" w:type="dxa"/>
            <w:tcMar>
              <w:top w:w="60" w:type="dxa"/>
              <w:left w:w="80" w:type="dxa"/>
              <w:bottom w:w="60" w:type="dxa"/>
              <w:right w:w="80" w:type="dxa"/>
            </w:tcMar>
            <w:vAlign w:val="center"/>
          </w:tcPr>
          <w:p w14:paraId="63C81213" w14:textId="2999B0D6"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سرعة الانتقال من الموجز إلى التصورات بوصفها مؤشرًا لجودة التصميم.</w:t>
            </w:r>
          </w:p>
        </w:tc>
      </w:tr>
      <w:tr w:rsidR="00F035EA" w:rsidRPr="00C22AB7" w14:paraId="3584754C" w14:textId="77777777" w:rsidTr="0085711F">
        <w:trPr>
          <w:jc w:val="center"/>
        </w:trPr>
        <w:tc>
          <w:tcPr>
            <w:tcW w:w="964" w:type="dxa"/>
            <w:tcMar>
              <w:top w:w="60" w:type="dxa"/>
              <w:left w:w="80" w:type="dxa"/>
              <w:bottom w:w="60" w:type="dxa"/>
              <w:right w:w="80" w:type="dxa"/>
            </w:tcMar>
            <w:vAlign w:val="center"/>
          </w:tcPr>
          <w:p w14:paraId="429D14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CDQ2</w:t>
            </w:r>
          </w:p>
        </w:tc>
        <w:tc>
          <w:tcPr>
            <w:tcW w:w="3288" w:type="dxa"/>
            <w:tcMar>
              <w:top w:w="60" w:type="dxa"/>
              <w:left w:w="80" w:type="dxa"/>
              <w:bottom w:w="60" w:type="dxa"/>
              <w:right w:w="80" w:type="dxa"/>
            </w:tcMar>
            <w:vAlign w:val="center"/>
          </w:tcPr>
          <w:p w14:paraId="1F2F4D4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إنجاز المهام المتكررة بكفاءة أعلى</w:t>
            </w:r>
          </w:p>
        </w:tc>
        <w:tc>
          <w:tcPr>
            <w:tcW w:w="3061" w:type="dxa"/>
            <w:tcMar>
              <w:top w:w="60" w:type="dxa"/>
              <w:left w:w="80" w:type="dxa"/>
              <w:bottom w:w="60" w:type="dxa"/>
              <w:right w:w="80" w:type="dxa"/>
            </w:tcMar>
            <w:vAlign w:val="center"/>
          </w:tcPr>
          <w:p w14:paraId="74B540A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McKinsey &amp; Company (2024)</w:t>
            </w:r>
          </w:p>
        </w:tc>
        <w:tc>
          <w:tcPr>
            <w:tcW w:w="3175" w:type="dxa"/>
            <w:tcMar>
              <w:top w:w="60" w:type="dxa"/>
              <w:left w:w="80" w:type="dxa"/>
              <w:bottom w:w="60" w:type="dxa"/>
              <w:right w:w="80" w:type="dxa"/>
            </w:tcMar>
            <w:vAlign w:val="center"/>
          </w:tcPr>
          <w:p w14:paraId="687D99D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الكفاءة التشغيلية داخل عملية التصميم.</w:t>
            </w:r>
          </w:p>
        </w:tc>
      </w:tr>
      <w:tr w:rsidR="00F035EA" w:rsidRPr="00C22AB7" w14:paraId="5D6EFF61" w14:textId="77777777" w:rsidTr="0085711F">
        <w:trPr>
          <w:jc w:val="center"/>
        </w:trPr>
        <w:tc>
          <w:tcPr>
            <w:tcW w:w="964" w:type="dxa"/>
            <w:tcMar>
              <w:top w:w="60" w:type="dxa"/>
              <w:left w:w="80" w:type="dxa"/>
              <w:bottom w:w="60" w:type="dxa"/>
              <w:right w:w="80" w:type="dxa"/>
            </w:tcMar>
            <w:vAlign w:val="center"/>
          </w:tcPr>
          <w:p w14:paraId="3594BF6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CDQ3</w:t>
            </w:r>
          </w:p>
        </w:tc>
        <w:tc>
          <w:tcPr>
            <w:tcW w:w="3288" w:type="dxa"/>
            <w:tcMar>
              <w:top w:w="60" w:type="dxa"/>
              <w:left w:w="80" w:type="dxa"/>
              <w:bottom w:w="60" w:type="dxa"/>
              <w:right w:w="80" w:type="dxa"/>
            </w:tcMar>
            <w:vAlign w:val="center"/>
          </w:tcPr>
          <w:p w14:paraId="268071C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زيادة تنوع البدائل الإبداعية</w:t>
            </w:r>
          </w:p>
        </w:tc>
        <w:tc>
          <w:tcPr>
            <w:tcW w:w="3061" w:type="dxa"/>
            <w:tcMar>
              <w:top w:w="60" w:type="dxa"/>
              <w:left w:w="80" w:type="dxa"/>
              <w:bottom w:w="60" w:type="dxa"/>
              <w:right w:w="80" w:type="dxa"/>
            </w:tcMar>
            <w:vAlign w:val="center"/>
          </w:tcPr>
          <w:p w14:paraId="28995CB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1E87DE7C" w14:textId="46AF0693"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تنوع البدائل الإبداعية المتاحة قبل اعتماد الفكرة.</w:t>
            </w:r>
          </w:p>
        </w:tc>
      </w:tr>
      <w:tr w:rsidR="00F035EA" w:rsidRPr="00C22AB7" w14:paraId="1B2DFD03" w14:textId="77777777" w:rsidTr="0085711F">
        <w:trPr>
          <w:jc w:val="center"/>
        </w:trPr>
        <w:tc>
          <w:tcPr>
            <w:tcW w:w="964" w:type="dxa"/>
            <w:tcMar>
              <w:top w:w="60" w:type="dxa"/>
              <w:left w:w="80" w:type="dxa"/>
              <w:bottom w:w="60" w:type="dxa"/>
              <w:right w:w="80" w:type="dxa"/>
            </w:tcMar>
            <w:vAlign w:val="center"/>
          </w:tcPr>
          <w:p w14:paraId="06481F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CDQ4</w:t>
            </w:r>
          </w:p>
        </w:tc>
        <w:tc>
          <w:tcPr>
            <w:tcW w:w="3288" w:type="dxa"/>
            <w:tcMar>
              <w:top w:w="60" w:type="dxa"/>
              <w:left w:w="80" w:type="dxa"/>
              <w:bottom w:w="60" w:type="dxa"/>
              <w:right w:w="80" w:type="dxa"/>
            </w:tcMar>
            <w:vAlign w:val="center"/>
          </w:tcPr>
          <w:p w14:paraId="17E3D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مقارنة البدائل وفق الأهداف والجمهور</w:t>
            </w:r>
          </w:p>
        </w:tc>
        <w:tc>
          <w:tcPr>
            <w:tcW w:w="3061" w:type="dxa"/>
            <w:tcMar>
              <w:top w:w="60" w:type="dxa"/>
              <w:left w:w="80" w:type="dxa"/>
              <w:bottom w:w="60" w:type="dxa"/>
              <w:right w:w="80" w:type="dxa"/>
            </w:tcMar>
            <w:vAlign w:val="center"/>
          </w:tcPr>
          <w:p w14:paraId="1A3511D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Nguyen et al. (2025)</w:t>
            </w:r>
          </w:p>
        </w:tc>
        <w:tc>
          <w:tcPr>
            <w:tcW w:w="3175" w:type="dxa"/>
            <w:tcMar>
              <w:top w:w="60" w:type="dxa"/>
              <w:left w:w="80" w:type="dxa"/>
              <w:bottom w:w="60" w:type="dxa"/>
              <w:right w:w="80" w:type="dxa"/>
            </w:tcMar>
            <w:vAlign w:val="center"/>
          </w:tcPr>
          <w:p w14:paraId="00FA3E20" w14:textId="78AE779F"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المفاضلة بين البدائل وفق الأهداف والجمهور.</w:t>
            </w:r>
          </w:p>
        </w:tc>
      </w:tr>
      <w:tr w:rsidR="00F035EA" w:rsidRPr="00C22AB7" w14:paraId="4AA2D840" w14:textId="77777777" w:rsidTr="0085711F">
        <w:trPr>
          <w:jc w:val="center"/>
        </w:trPr>
        <w:tc>
          <w:tcPr>
            <w:tcW w:w="964" w:type="dxa"/>
            <w:tcMar>
              <w:top w:w="60" w:type="dxa"/>
              <w:left w:w="80" w:type="dxa"/>
              <w:bottom w:w="60" w:type="dxa"/>
              <w:right w:w="80" w:type="dxa"/>
            </w:tcMar>
            <w:vAlign w:val="center"/>
          </w:tcPr>
          <w:p w14:paraId="4E5016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CDQ5</w:t>
            </w:r>
          </w:p>
        </w:tc>
        <w:tc>
          <w:tcPr>
            <w:tcW w:w="3288" w:type="dxa"/>
            <w:tcMar>
              <w:top w:w="60" w:type="dxa"/>
              <w:left w:w="80" w:type="dxa"/>
              <w:bottom w:w="60" w:type="dxa"/>
              <w:right w:w="80" w:type="dxa"/>
            </w:tcMar>
            <w:vAlign w:val="center"/>
          </w:tcPr>
          <w:p w14:paraId="716C1F9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اتساق الرسائل والمخرجات مع هوية العلامة</w:t>
            </w:r>
          </w:p>
        </w:tc>
        <w:tc>
          <w:tcPr>
            <w:tcW w:w="3061" w:type="dxa"/>
            <w:tcMar>
              <w:top w:w="60" w:type="dxa"/>
              <w:left w:w="80" w:type="dxa"/>
              <w:bottom w:w="60" w:type="dxa"/>
              <w:right w:w="80" w:type="dxa"/>
            </w:tcMar>
            <w:vAlign w:val="center"/>
          </w:tcPr>
          <w:p w14:paraId="5C050B6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4893013A" w14:textId="164D0047"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الاتساق مع الهوية لا الجودة العامة فقط.</w:t>
            </w:r>
          </w:p>
        </w:tc>
      </w:tr>
      <w:tr w:rsidR="00F035EA" w:rsidRPr="00C22AB7" w14:paraId="465D2444" w14:textId="77777777" w:rsidTr="0085711F">
        <w:trPr>
          <w:jc w:val="center"/>
        </w:trPr>
        <w:tc>
          <w:tcPr>
            <w:tcW w:w="964" w:type="dxa"/>
            <w:tcMar>
              <w:top w:w="60" w:type="dxa"/>
              <w:left w:w="80" w:type="dxa"/>
              <w:bottom w:w="60" w:type="dxa"/>
              <w:right w:w="80" w:type="dxa"/>
            </w:tcMar>
            <w:vAlign w:val="center"/>
          </w:tcPr>
          <w:p w14:paraId="644EE25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CDQ6</w:t>
            </w:r>
          </w:p>
        </w:tc>
        <w:tc>
          <w:tcPr>
            <w:tcW w:w="3288" w:type="dxa"/>
            <w:tcMar>
              <w:top w:w="60" w:type="dxa"/>
              <w:left w:w="80" w:type="dxa"/>
              <w:bottom w:w="60" w:type="dxa"/>
              <w:right w:w="80" w:type="dxa"/>
            </w:tcMar>
            <w:vAlign w:val="center"/>
          </w:tcPr>
          <w:p w14:paraId="414E3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دقة تصور الجمهور قبل الإطلاق</w:t>
            </w:r>
          </w:p>
        </w:tc>
        <w:tc>
          <w:tcPr>
            <w:tcW w:w="3061" w:type="dxa"/>
            <w:tcMar>
              <w:top w:w="60" w:type="dxa"/>
              <w:left w:w="80" w:type="dxa"/>
              <w:bottom w:w="60" w:type="dxa"/>
              <w:right w:w="80" w:type="dxa"/>
            </w:tcMar>
            <w:vAlign w:val="center"/>
          </w:tcPr>
          <w:p w14:paraId="704750C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Mendoza et al. (2025)</w:t>
            </w:r>
          </w:p>
        </w:tc>
        <w:tc>
          <w:tcPr>
            <w:tcW w:w="3175" w:type="dxa"/>
            <w:tcMar>
              <w:top w:w="60" w:type="dxa"/>
              <w:left w:w="80" w:type="dxa"/>
              <w:bottom w:w="60" w:type="dxa"/>
              <w:right w:w="80" w:type="dxa"/>
            </w:tcMar>
            <w:vAlign w:val="center"/>
          </w:tcPr>
          <w:p w14:paraId="7AF28ECC" w14:textId="0647B3AD"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دقة تصور الجمهور قبل الإطلاق.</w:t>
            </w:r>
          </w:p>
        </w:tc>
      </w:tr>
      <w:tr w:rsidR="00F035EA" w:rsidRPr="00C22AB7" w14:paraId="62A3C17D" w14:textId="77777777" w:rsidTr="0085711F">
        <w:trPr>
          <w:jc w:val="center"/>
        </w:trPr>
        <w:tc>
          <w:tcPr>
            <w:tcW w:w="964" w:type="dxa"/>
            <w:tcMar>
              <w:top w:w="60" w:type="dxa"/>
              <w:left w:w="80" w:type="dxa"/>
              <w:bottom w:w="60" w:type="dxa"/>
              <w:right w:w="80" w:type="dxa"/>
            </w:tcMar>
            <w:vAlign w:val="center"/>
          </w:tcPr>
          <w:p w14:paraId="7E451D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CDQ7</w:t>
            </w:r>
          </w:p>
        </w:tc>
        <w:tc>
          <w:tcPr>
            <w:tcW w:w="3288" w:type="dxa"/>
            <w:tcMar>
              <w:top w:w="60" w:type="dxa"/>
              <w:left w:w="80" w:type="dxa"/>
              <w:bottom w:w="60" w:type="dxa"/>
              <w:right w:w="80" w:type="dxa"/>
            </w:tcMar>
            <w:vAlign w:val="center"/>
          </w:tcPr>
          <w:p w14:paraId="3C94CD7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تخصيص المحتوى حسب الشرائح والمنصات</w:t>
            </w:r>
          </w:p>
        </w:tc>
        <w:tc>
          <w:tcPr>
            <w:tcW w:w="3061" w:type="dxa"/>
            <w:tcMar>
              <w:top w:w="60" w:type="dxa"/>
              <w:left w:w="80" w:type="dxa"/>
              <w:bottom w:w="60" w:type="dxa"/>
              <w:right w:w="80" w:type="dxa"/>
            </w:tcMar>
            <w:vAlign w:val="center"/>
          </w:tcPr>
          <w:p w14:paraId="339B041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5CF94A4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تخصيص المحتوى حسب الجمهور والمنصة.</w:t>
            </w:r>
          </w:p>
        </w:tc>
      </w:tr>
      <w:tr w:rsidR="00F035EA" w:rsidRPr="00C22AB7" w14:paraId="24A3C9CB" w14:textId="77777777" w:rsidTr="0085711F">
        <w:trPr>
          <w:jc w:val="center"/>
        </w:trPr>
        <w:tc>
          <w:tcPr>
            <w:tcW w:w="964" w:type="dxa"/>
            <w:tcMar>
              <w:top w:w="60" w:type="dxa"/>
              <w:left w:w="80" w:type="dxa"/>
              <w:bottom w:w="60" w:type="dxa"/>
              <w:right w:w="80" w:type="dxa"/>
            </w:tcMar>
            <w:vAlign w:val="center"/>
          </w:tcPr>
          <w:p w14:paraId="3F42B2A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CDQ8</w:t>
            </w:r>
          </w:p>
        </w:tc>
        <w:tc>
          <w:tcPr>
            <w:tcW w:w="3288" w:type="dxa"/>
            <w:tcMar>
              <w:top w:w="60" w:type="dxa"/>
              <w:left w:w="80" w:type="dxa"/>
              <w:bottom w:w="60" w:type="dxa"/>
              <w:right w:w="80" w:type="dxa"/>
            </w:tcMar>
            <w:vAlign w:val="center"/>
          </w:tcPr>
          <w:p w14:paraId="7CCB724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دعم دورة المراجعة والتحسين</w:t>
            </w:r>
          </w:p>
        </w:tc>
        <w:tc>
          <w:tcPr>
            <w:tcW w:w="3061" w:type="dxa"/>
            <w:tcMar>
              <w:top w:w="60" w:type="dxa"/>
              <w:left w:w="80" w:type="dxa"/>
              <w:bottom w:w="60" w:type="dxa"/>
              <w:right w:w="80" w:type="dxa"/>
            </w:tcMar>
            <w:vAlign w:val="center"/>
          </w:tcPr>
          <w:p w14:paraId="23EBD29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Nguyen et al. (2025)</w:t>
            </w:r>
          </w:p>
        </w:tc>
        <w:tc>
          <w:tcPr>
            <w:tcW w:w="3175" w:type="dxa"/>
            <w:tcMar>
              <w:top w:w="60" w:type="dxa"/>
              <w:left w:w="80" w:type="dxa"/>
              <w:bottom w:w="60" w:type="dxa"/>
              <w:right w:w="80" w:type="dxa"/>
            </w:tcMar>
            <w:vAlign w:val="center"/>
          </w:tcPr>
          <w:p w14:paraId="28FA47DE" w14:textId="6103F1DB"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فعالية دورة المراجعة والتحسين.</w:t>
            </w:r>
          </w:p>
        </w:tc>
      </w:tr>
      <w:tr w:rsidR="00F035EA" w:rsidRPr="00C22AB7" w14:paraId="77905C4D" w14:textId="77777777" w:rsidTr="0085711F">
        <w:trPr>
          <w:jc w:val="center"/>
        </w:trPr>
        <w:tc>
          <w:tcPr>
            <w:tcW w:w="964" w:type="dxa"/>
            <w:tcMar>
              <w:top w:w="60" w:type="dxa"/>
              <w:left w:w="80" w:type="dxa"/>
              <w:bottom w:w="60" w:type="dxa"/>
              <w:right w:w="80" w:type="dxa"/>
            </w:tcMar>
            <w:vAlign w:val="center"/>
          </w:tcPr>
          <w:p w14:paraId="3A8148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ADP1</w:t>
            </w:r>
          </w:p>
        </w:tc>
        <w:tc>
          <w:tcPr>
            <w:tcW w:w="3288" w:type="dxa"/>
            <w:tcMar>
              <w:top w:w="60" w:type="dxa"/>
              <w:left w:w="80" w:type="dxa"/>
              <w:bottom w:w="60" w:type="dxa"/>
              <w:right w:w="80" w:type="dxa"/>
            </w:tcMar>
            <w:vAlign w:val="center"/>
          </w:tcPr>
          <w:p w14:paraId="0CD2314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الوقت اللازم للتخطيط والإنتاج</w:t>
            </w:r>
          </w:p>
        </w:tc>
        <w:tc>
          <w:tcPr>
            <w:tcW w:w="3061" w:type="dxa"/>
            <w:tcMar>
              <w:top w:w="60" w:type="dxa"/>
              <w:left w:w="80" w:type="dxa"/>
              <w:bottom w:w="60" w:type="dxa"/>
              <w:right w:w="80" w:type="dxa"/>
            </w:tcMar>
            <w:vAlign w:val="center"/>
          </w:tcPr>
          <w:p w14:paraId="76B8ED4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Bazurto Pico &amp; Sánchez Bailón (2025)</w:t>
            </w:r>
          </w:p>
        </w:tc>
        <w:tc>
          <w:tcPr>
            <w:tcW w:w="3175" w:type="dxa"/>
            <w:tcMar>
              <w:top w:w="60" w:type="dxa"/>
              <w:left w:w="80" w:type="dxa"/>
              <w:bottom w:w="60" w:type="dxa"/>
              <w:right w:w="80" w:type="dxa"/>
            </w:tcMar>
            <w:vAlign w:val="center"/>
          </w:tcPr>
          <w:p w14:paraId="2F735B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التشغيلي المرتبط بتقليل الوقت.</w:t>
            </w:r>
          </w:p>
        </w:tc>
      </w:tr>
      <w:tr w:rsidR="00F035EA" w:rsidRPr="00C22AB7" w14:paraId="20260E67" w14:textId="77777777" w:rsidTr="0085711F">
        <w:trPr>
          <w:jc w:val="center"/>
        </w:trPr>
        <w:tc>
          <w:tcPr>
            <w:tcW w:w="964" w:type="dxa"/>
            <w:tcMar>
              <w:top w:w="60" w:type="dxa"/>
              <w:left w:w="80" w:type="dxa"/>
              <w:bottom w:w="60" w:type="dxa"/>
              <w:right w:w="80" w:type="dxa"/>
            </w:tcMar>
            <w:vAlign w:val="center"/>
          </w:tcPr>
          <w:p w14:paraId="7831E41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ADP2</w:t>
            </w:r>
          </w:p>
        </w:tc>
        <w:tc>
          <w:tcPr>
            <w:tcW w:w="3288" w:type="dxa"/>
            <w:tcMar>
              <w:top w:w="60" w:type="dxa"/>
              <w:left w:w="80" w:type="dxa"/>
              <w:bottom w:w="60" w:type="dxa"/>
              <w:right w:w="80" w:type="dxa"/>
            </w:tcMar>
            <w:vAlign w:val="center"/>
          </w:tcPr>
          <w:p w14:paraId="2D092D3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إنتاجية فرق العمل</w:t>
            </w:r>
          </w:p>
        </w:tc>
        <w:tc>
          <w:tcPr>
            <w:tcW w:w="3061" w:type="dxa"/>
            <w:tcMar>
              <w:top w:w="60" w:type="dxa"/>
              <w:left w:w="80" w:type="dxa"/>
              <w:bottom w:w="60" w:type="dxa"/>
              <w:right w:w="80" w:type="dxa"/>
            </w:tcMar>
            <w:vAlign w:val="center"/>
          </w:tcPr>
          <w:p w14:paraId="54175FA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Islam et al. (2024)</w:t>
            </w:r>
          </w:p>
        </w:tc>
        <w:tc>
          <w:tcPr>
            <w:tcW w:w="3175" w:type="dxa"/>
            <w:tcMar>
              <w:top w:w="60" w:type="dxa"/>
              <w:left w:w="80" w:type="dxa"/>
              <w:bottom w:w="60" w:type="dxa"/>
              <w:right w:w="80" w:type="dxa"/>
            </w:tcMar>
            <w:vAlign w:val="center"/>
          </w:tcPr>
          <w:p w14:paraId="1FBC91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الإنتاجية داخل الوكالات.</w:t>
            </w:r>
          </w:p>
        </w:tc>
      </w:tr>
      <w:tr w:rsidR="00F035EA" w:rsidRPr="00C22AB7" w14:paraId="3AC7D8E4" w14:textId="77777777" w:rsidTr="0085711F">
        <w:trPr>
          <w:jc w:val="center"/>
        </w:trPr>
        <w:tc>
          <w:tcPr>
            <w:tcW w:w="964" w:type="dxa"/>
            <w:tcMar>
              <w:top w:w="60" w:type="dxa"/>
              <w:left w:w="80" w:type="dxa"/>
              <w:bottom w:w="60" w:type="dxa"/>
              <w:right w:w="80" w:type="dxa"/>
            </w:tcMar>
            <w:vAlign w:val="center"/>
          </w:tcPr>
          <w:p w14:paraId="6F033C6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ADP3</w:t>
            </w:r>
          </w:p>
        </w:tc>
        <w:tc>
          <w:tcPr>
            <w:tcW w:w="3288" w:type="dxa"/>
            <w:tcMar>
              <w:top w:w="60" w:type="dxa"/>
              <w:left w:w="80" w:type="dxa"/>
              <w:bottom w:w="60" w:type="dxa"/>
              <w:right w:w="80" w:type="dxa"/>
            </w:tcMar>
            <w:vAlign w:val="center"/>
          </w:tcPr>
          <w:p w14:paraId="6A3194C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توجيه الجهد للمهام الإبداعية والاستراتيجية</w:t>
            </w:r>
          </w:p>
        </w:tc>
        <w:tc>
          <w:tcPr>
            <w:tcW w:w="3061" w:type="dxa"/>
            <w:tcMar>
              <w:top w:w="60" w:type="dxa"/>
              <w:left w:w="80" w:type="dxa"/>
              <w:bottom w:w="60" w:type="dxa"/>
              <w:right w:w="80" w:type="dxa"/>
            </w:tcMar>
            <w:vAlign w:val="center"/>
          </w:tcPr>
          <w:p w14:paraId="0B25BA9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Heitmann (2024)</w:t>
            </w:r>
          </w:p>
        </w:tc>
        <w:tc>
          <w:tcPr>
            <w:tcW w:w="3175" w:type="dxa"/>
            <w:tcMar>
              <w:top w:w="60" w:type="dxa"/>
              <w:left w:w="80" w:type="dxa"/>
              <w:bottom w:w="60" w:type="dxa"/>
              <w:right w:w="80" w:type="dxa"/>
            </w:tcMar>
            <w:vAlign w:val="center"/>
          </w:tcPr>
          <w:p w14:paraId="4174D97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بتحويل الجهد إلى المهام الأعلى قيمة.</w:t>
            </w:r>
          </w:p>
        </w:tc>
      </w:tr>
      <w:tr w:rsidR="00F035EA" w:rsidRPr="00C22AB7" w14:paraId="477A4BC2" w14:textId="77777777" w:rsidTr="0085711F">
        <w:trPr>
          <w:jc w:val="center"/>
        </w:trPr>
        <w:tc>
          <w:tcPr>
            <w:tcW w:w="964" w:type="dxa"/>
            <w:tcMar>
              <w:top w:w="60" w:type="dxa"/>
              <w:left w:w="80" w:type="dxa"/>
              <w:bottom w:w="60" w:type="dxa"/>
              <w:right w:w="80" w:type="dxa"/>
            </w:tcMar>
            <w:vAlign w:val="center"/>
          </w:tcPr>
          <w:p w14:paraId="1FD865D1"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ADP4</w:t>
            </w:r>
          </w:p>
        </w:tc>
        <w:tc>
          <w:tcPr>
            <w:tcW w:w="3288" w:type="dxa"/>
            <w:tcMar>
              <w:top w:w="60" w:type="dxa"/>
              <w:left w:w="80" w:type="dxa"/>
              <w:bottom w:w="60" w:type="dxa"/>
              <w:right w:w="80" w:type="dxa"/>
            </w:tcMar>
            <w:vAlign w:val="center"/>
          </w:tcPr>
          <w:p w14:paraId="4BC6C5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خفض تكاليف المهام التشغيلية المتكررة</w:t>
            </w:r>
          </w:p>
        </w:tc>
        <w:tc>
          <w:tcPr>
            <w:tcW w:w="3061" w:type="dxa"/>
            <w:tcMar>
              <w:top w:w="60" w:type="dxa"/>
              <w:left w:w="80" w:type="dxa"/>
              <w:bottom w:w="60" w:type="dxa"/>
              <w:right w:w="80" w:type="dxa"/>
            </w:tcMar>
            <w:vAlign w:val="center"/>
          </w:tcPr>
          <w:p w14:paraId="238985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Kumar (2023)</w:t>
            </w:r>
          </w:p>
        </w:tc>
        <w:tc>
          <w:tcPr>
            <w:tcW w:w="3175" w:type="dxa"/>
            <w:tcMar>
              <w:top w:w="60" w:type="dxa"/>
              <w:left w:w="80" w:type="dxa"/>
              <w:bottom w:w="60" w:type="dxa"/>
              <w:right w:w="80" w:type="dxa"/>
            </w:tcMar>
            <w:vAlign w:val="center"/>
          </w:tcPr>
          <w:p w14:paraId="6DD2B51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تقليل التكلفة.</w:t>
            </w:r>
          </w:p>
        </w:tc>
      </w:tr>
      <w:tr w:rsidR="00F035EA" w:rsidRPr="00C22AB7" w14:paraId="7A931F2B" w14:textId="77777777" w:rsidTr="0085711F">
        <w:trPr>
          <w:jc w:val="center"/>
        </w:trPr>
        <w:tc>
          <w:tcPr>
            <w:tcW w:w="964" w:type="dxa"/>
            <w:tcMar>
              <w:top w:w="60" w:type="dxa"/>
              <w:left w:w="80" w:type="dxa"/>
              <w:bottom w:w="60" w:type="dxa"/>
              <w:right w:w="80" w:type="dxa"/>
            </w:tcMar>
            <w:vAlign w:val="center"/>
          </w:tcPr>
          <w:p w14:paraId="39B93C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ADP5</w:t>
            </w:r>
          </w:p>
        </w:tc>
        <w:tc>
          <w:tcPr>
            <w:tcW w:w="3288" w:type="dxa"/>
            <w:tcMar>
              <w:top w:w="60" w:type="dxa"/>
              <w:left w:w="80" w:type="dxa"/>
              <w:bottom w:w="60" w:type="dxa"/>
              <w:right w:w="80" w:type="dxa"/>
            </w:tcMar>
            <w:vAlign w:val="center"/>
          </w:tcPr>
          <w:p w14:paraId="126035D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توقعات العملاء لمخرجات أسرع وأكثر تنوعًا</w:t>
            </w:r>
          </w:p>
        </w:tc>
        <w:tc>
          <w:tcPr>
            <w:tcW w:w="3061" w:type="dxa"/>
            <w:tcMar>
              <w:top w:w="60" w:type="dxa"/>
              <w:left w:w="80" w:type="dxa"/>
              <w:bottom w:w="60" w:type="dxa"/>
              <w:right w:w="80" w:type="dxa"/>
            </w:tcMar>
            <w:vAlign w:val="center"/>
          </w:tcPr>
          <w:p w14:paraId="0FFE26E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Masnita et al. (2024)</w:t>
            </w:r>
          </w:p>
        </w:tc>
        <w:tc>
          <w:tcPr>
            <w:tcW w:w="3175" w:type="dxa"/>
            <w:tcMar>
              <w:top w:w="60" w:type="dxa"/>
              <w:left w:w="80" w:type="dxa"/>
              <w:bottom w:w="60" w:type="dxa"/>
              <w:right w:w="80" w:type="dxa"/>
            </w:tcMar>
            <w:vAlign w:val="center"/>
          </w:tcPr>
          <w:p w14:paraId="2426AB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توقعات العملاء بوصفها دافعًا سوقيًا.</w:t>
            </w:r>
          </w:p>
        </w:tc>
      </w:tr>
      <w:tr w:rsidR="00F035EA" w:rsidRPr="00C22AB7" w14:paraId="66AAE45C" w14:textId="77777777" w:rsidTr="0085711F">
        <w:trPr>
          <w:jc w:val="center"/>
        </w:trPr>
        <w:tc>
          <w:tcPr>
            <w:tcW w:w="964" w:type="dxa"/>
            <w:tcMar>
              <w:top w:w="60" w:type="dxa"/>
              <w:left w:w="80" w:type="dxa"/>
              <w:bottom w:w="60" w:type="dxa"/>
              <w:right w:w="80" w:type="dxa"/>
            </w:tcMar>
            <w:vAlign w:val="center"/>
          </w:tcPr>
          <w:p w14:paraId="791FB31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ADP6</w:t>
            </w:r>
          </w:p>
        </w:tc>
        <w:tc>
          <w:tcPr>
            <w:tcW w:w="3288" w:type="dxa"/>
            <w:tcMar>
              <w:top w:w="60" w:type="dxa"/>
              <w:left w:w="80" w:type="dxa"/>
              <w:bottom w:w="60" w:type="dxa"/>
              <w:right w:w="80" w:type="dxa"/>
            </w:tcMar>
            <w:vAlign w:val="center"/>
          </w:tcPr>
          <w:p w14:paraId="5026B7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مواكبة المنافسين وتقديم خدمات أكثر تطورًا</w:t>
            </w:r>
          </w:p>
        </w:tc>
        <w:tc>
          <w:tcPr>
            <w:tcW w:w="3061" w:type="dxa"/>
            <w:tcMar>
              <w:top w:w="60" w:type="dxa"/>
              <w:left w:w="80" w:type="dxa"/>
              <w:bottom w:w="60" w:type="dxa"/>
              <w:right w:w="80" w:type="dxa"/>
            </w:tcMar>
            <w:vAlign w:val="center"/>
          </w:tcPr>
          <w:p w14:paraId="7852CA2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العتيبي واليوبي (2024)</w:t>
            </w:r>
          </w:p>
        </w:tc>
        <w:tc>
          <w:tcPr>
            <w:tcW w:w="3175" w:type="dxa"/>
            <w:tcMar>
              <w:top w:w="60" w:type="dxa"/>
              <w:left w:w="80" w:type="dxa"/>
              <w:bottom w:w="60" w:type="dxa"/>
              <w:right w:w="80" w:type="dxa"/>
            </w:tcMar>
            <w:vAlign w:val="center"/>
          </w:tcPr>
          <w:p w14:paraId="1B2146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التنافسي والابتكار التسويقي.</w:t>
            </w:r>
          </w:p>
        </w:tc>
      </w:tr>
      <w:tr w:rsidR="00F035EA" w:rsidRPr="00C22AB7" w14:paraId="169835B2" w14:textId="77777777" w:rsidTr="0085711F">
        <w:trPr>
          <w:jc w:val="center"/>
        </w:trPr>
        <w:tc>
          <w:tcPr>
            <w:tcW w:w="964" w:type="dxa"/>
            <w:tcMar>
              <w:top w:w="60" w:type="dxa"/>
              <w:left w:w="80" w:type="dxa"/>
              <w:bottom w:w="60" w:type="dxa"/>
              <w:right w:w="80" w:type="dxa"/>
            </w:tcMar>
            <w:vAlign w:val="center"/>
          </w:tcPr>
          <w:p w14:paraId="45079DB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ADP7</w:t>
            </w:r>
          </w:p>
        </w:tc>
        <w:tc>
          <w:tcPr>
            <w:tcW w:w="3288" w:type="dxa"/>
            <w:tcMar>
              <w:top w:w="60" w:type="dxa"/>
              <w:left w:w="80" w:type="dxa"/>
              <w:bottom w:w="60" w:type="dxa"/>
              <w:right w:w="80" w:type="dxa"/>
            </w:tcMar>
            <w:vAlign w:val="center"/>
          </w:tcPr>
          <w:p w14:paraId="5039B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تخصيص الرسائل والمحتوى</w:t>
            </w:r>
          </w:p>
        </w:tc>
        <w:tc>
          <w:tcPr>
            <w:tcW w:w="3061" w:type="dxa"/>
            <w:tcMar>
              <w:top w:w="60" w:type="dxa"/>
              <w:left w:w="80" w:type="dxa"/>
              <w:bottom w:w="60" w:type="dxa"/>
              <w:right w:w="80" w:type="dxa"/>
            </w:tcMar>
            <w:vAlign w:val="center"/>
          </w:tcPr>
          <w:p w14:paraId="50D4D9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10A49F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التخصيص.</w:t>
            </w:r>
          </w:p>
        </w:tc>
      </w:tr>
      <w:tr w:rsidR="00F035EA" w:rsidRPr="00C22AB7" w14:paraId="2A2BF826" w14:textId="77777777" w:rsidTr="0085711F">
        <w:trPr>
          <w:jc w:val="center"/>
        </w:trPr>
        <w:tc>
          <w:tcPr>
            <w:tcW w:w="964" w:type="dxa"/>
            <w:tcMar>
              <w:top w:w="60" w:type="dxa"/>
              <w:left w:w="80" w:type="dxa"/>
              <w:bottom w:w="60" w:type="dxa"/>
              <w:right w:w="80" w:type="dxa"/>
            </w:tcMar>
            <w:vAlign w:val="center"/>
          </w:tcPr>
          <w:p w14:paraId="6850A50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ADP8</w:t>
            </w:r>
          </w:p>
        </w:tc>
        <w:tc>
          <w:tcPr>
            <w:tcW w:w="3288" w:type="dxa"/>
            <w:tcMar>
              <w:top w:w="60" w:type="dxa"/>
              <w:left w:w="80" w:type="dxa"/>
              <w:bottom w:w="60" w:type="dxa"/>
              <w:right w:w="80" w:type="dxa"/>
            </w:tcMar>
            <w:vAlign w:val="center"/>
          </w:tcPr>
          <w:p w14:paraId="78D82D0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وأساليب إبداعية جديدة</w:t>
            </w:r>
          </w:p>
        </w:tc>
        <w:tc>
          <w:tcPr>
            <w:tcW w:w="3061" w:type="dxa"/>
            <w:tcMar>
              <w:top w:w="60" w:type="dxa"/>
              <w:left w:w="80" w:type="dxa"/>
              <w:bottom w:w="60" w:type="dxa"/>
              <w:right w:w="80" w:type="dxa"/>
            </w:tcMar>
            <w:vAlign w:val="center"/>
          </w:tcPr>
          <w:p w14:paraId="1844287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09D0CB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بالدافع الإبداعي.</w:t>
            </w:r>
          </w:p>
        </w:tc>
      </w:tr>
      <w:tr w:rsidR="00F035EA" w:rsidRPr="00C22AB7" w14:paraId="0C70AC22" w14:textId="77777777" w:rsidTr="0085711F">
        <w:trPr>
          <w:jc w:val="center"/>
        </w:trPr>
        <w:tc>
          <w:tcPr>
            <w:tcW w:w="964" w:type="dxa"/>
            <w:tcMar>
              <w:top w:w="60" w:type="dxa"/>
              <w:left w:w="80" w:type="dxa"/>
              <w:bottom w:w="60" w:type="dxa"/>
              <w:right w:w="80" w:type="dxa"/>
            </w:tcMar>
            <w:vAlign w:val="center"/>
          </w:tcPr>
          <w:p w14:paraId="73DB945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ADP9</w:t>
            </w:r>
          </w:p>
        </w:tc>
        <w:tc>
          <w:tcPr>
            <w:tcW w:w="3288" w:type="dxa"/>
            <w:tcMar>
              <w:top w:w="60" w:type="dxa"/>
              <w:left w:w="80" w:type="dxa"/>
              <w:bottom w:w="60" w:type="dxa"/>
              <w:right w:w="80" w:type="dxa"/>
            </w:tcMar>
            <w:vAlign w:val="center"/>
          </w:tcPr>
          <w:p w14:paraId="49D75CF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تقديم قيمة تسويقية أعلى للعملاء</w:t>
            </w:r>
          </w:p>
        </w:tc>
        <w:tc>
          <w:tcPr>
            <w:tcW w:w="3061" w:type="dxa"/>
            <w:tcMar>
              <w:top w:w="60" w:type="dxa"/>
              <w:left w:w="80" w:type="dxa"/>
              <w:bottom w:w="60" w:type="dxa"/>
              <w:right w:w="80" w:type="dxa"/>
            </w:tcMar>
            <w:vAlign w:val="center"/>
          </w:tcPr>
          <w:p w14:paraId="661778B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Nuremberg Institute for Market Decisions (2024)</w:t>
            </w:r>
          </w:p>
        </w:tc>
        <w:tc>
          <w:tcPr>
            <w:tcW w:w="3175" w:type="dxa"/>
            <w:tcMar>
              <w:top w:w="60" w:type="dxa"/>
              <w:left w:w="80" w:type="dxa"/>
              <w:bottom w:w="60" w:type="dxa"/>
              <w:right w:w="80" w:type="dxa"/>
            </w:tcMar>
            <w:vAlign w:val="center"/>
          </w:tcPr>
          <w:p w14:paraId="2D7F6C7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القيمة التسويقية المدركة من التبني.</w:t>
            </w:r>
          </w:p>
        </w:tc>
      </w:tr>
      <w:tr w:rsidR="00F035EA" w:rsidRPr="00C22AB7" w14:paraId="17374343" w14:textId="77777777" w:rsidTr="0085711F">
        <w:trPr>
          <w:jc w:val="center"/>
        </w:trPr>
        <w:tc>
          <w:tcPr>
            <w:tcW w:w="964" w:type="dxa"/>
            <w:tcMar>
              <w:top w:w="60" w:type="dxa"/>
              <w:left w:w="80" w:type="dxa"/>
              <w:bottom w:w="60" w:type="dxa"/>
              <w:right w:w="80" w:type="dxa"/>
            </w:tcMar>
            <w:vAlign w:val="center"/>
          </w:tcPr>
          <w:p w14:paraId="59884F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w:t>
            </w:r>
          </w:p>
        </w:tc>
        <w:tc>
          <w:tcPr>
            <w:tcW w:w="3288" w:type="dxa"/>
            <w:tcMar>
              <w:top w:w="60" w:type="dxa"/>
              <w:left w:w="80" w:type="dxa"/>
              <w:bottom w:w="60" w:type="dxa"/>
              <w:right w:w="80" w:type="dxa"/>
            </w:tcMar>
            <w:vAlign w:val="center"/>
          </w:tcPr>
          <w:p w14:paraId="5D6BF3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ضعف دقة المخرجات أو عدم ملاءمتها للسياق</w:t>
            </w:r>
          </w:p>
        </w:tc>
        <w:tc>
          <w:tcPr>
            <w:tcW w:w="3061" w:type="dxa"/>
            <w:tcMar>
              <w:top w:w="60" w:type="dxa"/>
              <w:left w:w="80" w:type="dxa"/>
              <w:bottom w:w="60" w:type="dxa"/>
              <w:right w:w="80" w:type="dxa"/>
            </w:tcMar>
            <w:vAlign w:val="center"/>
          </w:tcPr>
          <w:p w14:paraId="1176B8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Kshetri et al. (2023)</w:t>
            </w:r>
          </w:p>
        </w:tc>
        <w:tc>
          <w:tcPr>
            <w:tcW w:w="3175" w:type="dxa"/>
            <w:tcMar>
              <w:top w:w="60" w:type="dxa"/>
              <w:left w:w="80" w:type="dxa"/>
              <w:bottom w:w="60" w:type="dxa"/>
              <w:right w:w="80" w:type="dxa"/>
            </w:tcMar>
            <w:vAlign w:val="center"/>
          </w:tcPr>
          <w:p w14:paraId="1295C87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جودة المخرجات والملاءمة المحلية.</w:t>
            </w:r>
          </w:p>
        </w:tc>
      </w:tr>
      <w:tr w:rsidR="00F035EA" w:rsidRPr="00C22AB7" w14:paraId="7649BE0F" w14:textId="77777777" w:rsidTr="0085711F">
        <w:trPr>
          <w:jc w:val="center"/>
        </w:trPr>
        <w:tc>
          <w:tcPr>
            <w:tcW w:w="964" w:type="dxa"/>
            <w:tcMar>
              <w:top w:w="60" w:type="dxa"/>
              <w:left w:w="80" w:type="dxa"/>
              <w:bottom w:w="60" w:type="dxa"/>
              <w:right w:w="80" w:type="dxa"/>
            </w:tcMar>
            <w:vAlign w:val="center"/>
          </w:tcPr>
          <w:p w14:paraId="3E1C1B4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BAR2</w:t>
            </w:r>
          </w:p>
        </w:tc>
        <w:tc>
          <w:tcPr>
            <w:tcW w:w="3288" w:type="dxa"/>
            <w:tcMar>
              <w:top w:w="60" w:type="dxa"/>
              <w:left w:w="80" w:type="dxa"/>
              <w:bottom w:w="60" w:type="dxa"/>
              <w:right w:w="80" w:type="dxa"/>
            </w:tcMar>
            <w:vAlign w:val="center"/>
          </w:tcPr>
          <w:p w14:paraId="574E9C7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أخطاء لغوية أو مفاهيمية باللغة العربية</w:t>
            </w:r>
          </w:p>
        </w:tc>
        <w:tc>
          <w:tcPr>
            <w:tcW w:w="3061" w:type="dxa"/>
            <w:tcMar>
              <w:top w:w="60" w:type="dxa"/>
              <w:left w:w="80" w:type="dxa"/>
              <w:bottom w:w="60" w:type="dxa"/>
              <w:right w:w="80" w:type="dxa"/>
            </w:tcMar>
            <w:vAlign w:val="center"/>
          </w:tcPr>
          <w:p w14:paraId="7DD5C49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عبد الرزاق (2022); SDAIA (2024)</w:t>
            </w:r>
          </w:p>
        </w:tc>
        <w:tc>
          <w:tcPr>
            <w:tcW w:w="3175" w:type="dxa"/>
            <w:tcMar>
              <w:top w:w="60" w:type="dxa"/>
              <w:left w:w="80" w:type="dxa"/>
              <w:bottom w:w="60" w:type="dxa"/>
              <w:right w:w="80" w:type="dxa"/>
            </w:tcMar>
            <w:vAlign w:val="center"/>
          </w:tcPr>
          <w:p w14:paraId="0CE2DD2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لتحديات اللغة العربية والمراجعة البشرية.</w:t>
            </w:r>
          </w:p>
        </w:tc>
      </w:tr>
      <w:tr w:rsidR="00F035EA" w:rsidRPr="00C22AB7" w14:paraId="44C2479D" w14:textId="77777777" w:rsidTr="0085711F">
        <w:trPr>
          <w:jc w:val="center"/>
        </w:trPr>
        <w:tc>
          <w:tcPr>
            <w:tcW w:w="964" w:type="dxa"/>
            <w:tcMar>
              <w:top w:w="60" w:type="dxa"/>
              <w:left w:w="80" w:type="dxa"/>
              <w:bottom w:w="60" w:type="dxa"/>
              <w:right w:w="80" w:type="dxa"/>
            </w:tcMar>
            <w:vAlign w:val="center"/>
          </w:tcPr>
          <w:p w14:paraId="060D307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BAR3</w:t>
            </w:r>
          </w:p>
        </w:tc>
        <w:tc>
          <w:tcPr>
            <w:tcW w:w="3288" w:type="dxa"/>
            <w:tcMar>
              <w:top w:w="60" w:type="dxa"/>
              <w:left w:w="80" w:type="dxa"/>
              <w:bottom w:w="60" w:type="dxa"/>
              <w:right w:w="80" w:type="dxa"/>
            </w:tcMar>
            <w:vAlign w:val="center"/>
          </w:tcPr>
          <w:p w14:paraId="43086D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ارتفاع تكلفة الاشتراكات أو محدودية توفر الأدوات</w:t>
            </w:r>
          </w:p>
        </w:tc>
        <w:tc>
          <w:tcPr>
            <w:tcW w:w="3061" w:type="dxa"/>
            <w:tcMar>
              <w:top w:w="60" w:type="dxa"/>
              <w:left w:w="80" w:type="dxa"/>
              <w:bottom w:w="60" w:type="dxa"/>
              <w:right w:w="80" w:type="dxa"/>
            </w:tcMar>
            <w:vAlign w:val="center"/>
          </w:tcPr>
          <w:p w14:paraId="356E78F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Kumar (2023); McKinsey &amp; Company (2024)</w:t>
            </w:r>
          </w:p>
        </w:tc>
        <w:tc>
          <w:tcPr>
            <w:tcW w:w="3175" w:type="dxa"/>
            <w:tcMar>
              <w:top w:w="60" w:type="dxa"/>
              <w:left w:w="80" w:type="dxa"/>
              <w:bottom w:w="60" w:type="dxa"/>
              <w:right w:w="80" w:type="dxa"/>
            </w:tcMar>
            <w:vAlign w:val="center"/>
          </w:tcPr>
          <w:p w14:paraId="6A22667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التكلفة وتوفر الأدوات.</w:t>
            </w:r>
          </w:p>
        </w:tc>
      </w:tr>
      <w:tr w:rsidR="00F035EA" w:rsidRPr="00C22AB7" w14:paraId="4A6674AD" w14:textId="77777777" w:rsidTr="0085711F">
        <w:trPr>
          <w:jc w:val="center"/>
        </w:trPr>
        <w:tc>
          <w:tcPr>
            <w:tcW w:w="964" w:type="dxa"/>
            <w:tcMar>
              <w:top w:w="60" w:type="dxa"/>
              <w:left w:w="80" w:type="dxa"/>
              <w:bottom w:w="60" w:type="dxa"/>
              <w:right w:w="80" w:type="dxa"/>
            </w:tcMar>
            <w:vAlign w:val="center"/>
          </w:tcPr>
          <w:p w14:paraId="6C421E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BAR4</w:t>
            </w:r>
          </w:p>
        </w:tc>
        <w:tc>
          <w:tcPr>
            <w:tcW w:w="3288" w:type="dxa"/>
            <w:tcMar>
              <w:top w:w="60" w:type="dxa"/>
              <w:left w:w="80" w:type="dxa"/>
              <w:bottom w:w="60" w:type="dxa"/>
              <w:right w:w="80" w:type="dxa"/>
            </w:tcMar>
            <w:vAlign w:val="center"/>
          </w:tcPr>
          <w:p w14:paraId="3F8919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صعوبة الدمج مع أنظمة العمل والمنصات</w:t>
            </w:r>
          </w:p>
        </w:tc>
        <w:tc>
          <w:tcPr>
            <w:tcW w:w="3061" w:type="dxa"/>
            <w:tcMar>
              <w:top w:w="60" w:type="dxa"/>
              <w:left w:w="80" w:type="dxa"/>
              <w:bottom w:w="60" w:type="dxa"/>
              <w:right w:w="80" w:type="dxa"/>
            </w:tcMar>
            <w:vAlign w:val="center"/>
          </w:tcPr>
          <w:p w14:paraId="09B143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708571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التكامل التقني والتنظيمي.</w:t>
            </w:r>
          </w:p>
        </w:tc>
      </w:tr>
      <w:tr w:rsidR="00F035EA" w:rsidRPr="00C22AB7" w14:paraId="3FC0A0F2" w14:textId="77777777" w:rsidTr="0085711F">
        <w:trPr>
          <w:jc w:val="center"/>
        </w:trPr>
        <w:tc>
          <w:tcPr>
            <w:tcW w:w="964" w:type="dxa"/>
            <w:tcMar>
              <w:top w:w="60" w:type="dxa"/>
              <w:left w:w="80" w:type="dxa"/>
              <w:bottom w:w="60" w:type="dxa"/>
              <w:right w:w="80" w:type="dxa"/>
            </w:tcMar>
            <w:vAlign w:val="center"/>
          </w:tcPr>
          <w:p w14:paraId="5796FC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BAR5</w:t>
            </w:r>
          </w:p>
        </w:tc>
        <w:tc>
          <w:tcPr>
            <w:tcW w:w="3288" w:type="dxa"/>
            <w:tcMar>
              <w:top w:w="60" w:type="dxa"/>
              <w:left w:w="80" w:type="dxa"/>
              <w:bottom w:w="60" w:type="dxa"/>
              <w:right w:w="80" w:type="dxa"/>
            </w:tcMar>
            <w:vAlign w:val="center"/>
          </w:tcPr>
          <w:p w14:paraId="5668149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نقص مهارات صياغة الأوامر وتقييم المخرجات</w:t>
            </w:r>
          </w:p>
        </w:tc>
        <w:tc>
          <w:tcPr>
            <w:tcW w:w="3061" w:type="dxa"/>
            <w:tcMar>
              <w:top w:w="60" w:type="dxa"/>
              <w:left w:w="80" w:type="dxa"/>
              <w:bottom w:w="60" w:type="dxa"/>
              <w:right w:w="80" w:type="dxa"/>
            </w:tcMar>
            <w:vAlign w:val="center"/>
          </w:tcPr>
          <w:p w14:paraId="71EA06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محيسن، مجاهد، وبصبوص (2025)</w:t>
            </w:r>
          </w:p>
        </w:tc>
        <w:tc>
          <w:tcPr>
            <w:tcW w:w="3175" w:type="dxa"/>
            <w:tcMar>
              <w:top w:w="60" w:type="dxa"/>
              <w:left w:w="80" w:type="dxa"/>
              <w:bottom w:w="60" w:type="dxa"/>
              <w:right w:w="80" w:type="dxa"/>
            </w:tcMar>
            <w:vAlign w:val="center"/>
          </w:tcPr>
          <w:p w14:paraId="3A1481B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مهارات هندسة التلقين وتقييم الجودة.</w:t>
            </w:r>
          </w:p>
        </w:tc>
      </w:tr>
      <w:tr w:rsidR="00F035EA" w:rsidRPr="00C22AB7" w14:paraId="75C71EB6" w14:textId="77777777" w:rsidTr="0085711F">
        <w:trPr>
          <w:jc w:val="center"/>
        </w:trPr>
        <w:tc>
          <w:tcPr>
            <w:tcW w:w="964" w:type="dxa"/>
            <w:tcMar>
              <w:top w:w="60" w:type="dxa"/>
              <w:left w:w="80" w:type="dxa"/>
              <w:bottom w:w="60" w:type="dxa"/>
              <w:right w:w="80" w:type="dxa"/>
            </w:tcMar>
            <w:vAlign w:val="center"/>
          </w:tcPr>
          <w:p w14:paraId="5BEB3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BAR6</w:t>
            </w:r>
          </w:p>
        </w:tc>
        <w:tc>
          <w:tcPr>
            <w:tcW w:w="3288" w:type="dxa"/>
            <w:tcMar>
              <w:top w:w="60" w:type="dxa"/>
              <w:left w:w="80" w:type="dxa"/>
              <w:bottom w:w="60" w:type="dxa"/>
              <w:right w:w="80" w:type="dxa"/>
            </w:tcMar>
            <w:vAlign w:val="center"/>
          </w:tcPr>
          <w:p w14:paraId="692318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محدودية البرامج التدريبية المتخصصة</w:t>
            </w:r>
          </w:p>
        </w:tc>
        <w:tc>
          <w:tcPr>
            <w:tcW w:w="3061" w:type="dxa"/>
            <w:tcMar>
              <w:top w:w="60" w:type="dxa"/>
              <w:left w:w="80" w:type="dxa"/>
              <w:bottom w:w="60" w:type="dxa"/>
              <w:right w:w="80" w:type="dxa"/>
            </w:tcMar>
            <w:vAlign w:val="center"/>
          </w:tcPr>
          <w:p w14:paraId="026FDB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محيسن، مجاهد، وبصبوص (2025); Masnita et al. (2024)</w:t>
            </w:r>
          </w:p>
        </w:tc>
        <w:tc>
          <w:tcPr>
            <w:tcW w:w="3175" w:type="dxa"/>
            <w:tcMar>
              <w:top w:w="60" w:type="dxa"/>
              <w:left w:w="80" w:type="dxa"/>
              <w:bottom w:w="60" w:type="dxa"/>
              <w:right w:w="80" w:type="dxa"/>
            </w:tcMar>
            <w:vAlign w:val="center"/>
          </w:tcPr>
          <w:p w14:paraId="18404C9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بفجوة التدريب العملي.</w:t>
            </w:r>
          </w:p>
        </w:tc>
      </w:tr>
      <w:tr w:rsidR="00F035EA" w:rsidRPr="00C22AB7" w14:paraId="5E3956F4" w14:textId="77777777" w:rsidTr="0085711F">
        <w:trPr>
          <w:jc w:val="center"/>
        </w:trPr>
        <w:tc>
          <w:tcPr>
            <w:tcW w:w="964" w:type="dxa"/>
            <w:tcMar>
              <w:top w:w="60" w:type="dxa"/>
              <w:left w:w="80" w:type="dxa"/>
              <w:bottom w:w="60" w:type="dxa"/>
              <w:right w:w="80" w:type="dxa"/>
            </w:tcMar>
            <w:vAlign w:val="center"/>
          </w:tcPr>
          <w:p w14:paraId="72F225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BAR7</w:t>
            </w:r>
          </w:p>
        </w:tc>
        <w:tc>
          <w:tcPr>
            <w:tcW w:w="3288" w:type="dxa"/>
            <w:tcMar>
              <w:top w:w="60" w:type="dxa"/>
              <w:left w:w="80" w:type="dxa"/>
              <w:bottom w:w="60" w:type="dxa"/>
              <w:right w:w="80" w:type="dxa"/>
            </w:tcMar>
            <w:vAlign w:val="center"/>
          </w:tcPr>
          <w:p w14:paraId="4E95833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مقاومة التغيير وتفضيل الأساليب التقليدية</w:t>
            </w:r>
          </w:p>
        </w:tc>
        <w:tc>
          <w:tcPr>
            <w:tcW w:w="3061" w:type="dxa"/>
            <w:tcMar>
              <w:top w:w="60" w:type="dxa"/>
              <w:left w:w="80" w:type="dxa"/>
              <w:bottom w:w="60" w:type="dxa"/>
              <w:right w:w="80" w:type="dxa"/>
            </w:tcMar>
            <w:vAlign w:val="center"/>
          </w:tcPr>
          <w:p w14:paraId="58D83F4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Sharabati et al. (2024)</w:t>
            </w:r>
          </w:p>
        </w:tc>
        <w:tc>
          <w:tcPr>
            <w:tcW w:w="3175" w:type="dxa"/>
            <w:tcMar>
              <w:top w:w="60" w:type="dxa"/>
              <w:left w:w="80" w:type="dxa"/>
              <w:bottom w:w="60" w:type="dxa"/>
              <w:right w:w="80" w:type="dxa"/>
            </w:tcMar>
            <w:vAlign w:val="center"/>
          </w:tcPr>
          <w:p w14:paraId="7B00869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مقاومة التغيير داخل الوكالات.</w:t>
            </w:r>
          </w:p>
        </w:tc>
      </w:tr>
      <w:tr w:rsidR="00F035EA" w:rsidRPr="00C22AB7" w14:paraId="12437DBF" w14:textId="77777777" w:rsidTr="0085711F">
        <w:trPr>
          <w:jc w:val="center"/>
        </w:trPr>
        <w:tc>
          <w:tcPr>
            <w:tcW w:w="964" w:type="dxa"/>
            <w:tcMar>
              <w:top w:w="60" w:type="dxa"/>
              <w:left w:w="80" w:type="dxa"/>
              <w:bottom w:w="60" w:type="dxa"/>
              <w:right w:w="80" w:type="dxa"/>
            </w:tcMar>
            <w:vAlign w:val="center"/>
          </w:tcPr>
          <w:p w14:paraId="58C9BC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BAR8</w:t>
            </w:r>
          </w:p>
        </w:tc>
        <w:tc>
          <w:tcPr>
            <w:tcW w:w="3288" w:type="dxa"/>
            <w:tcMar>
              <w:top w:w="60" w:type="dxa"/>
              <w:left w:w="80" w:type="dxa"/>
              <w:bottom w:w="60" w:type="dxa"/>
              <w:right w:w="80" w:type="dxa"/>
            </w:tcMar>
            <w:vAlign w:val="center"/>
          </w:tcPr>
          <w:p w14:paraId="4E5965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مخاوف حماية البيانات وخصوصية الحملات</w:t>
            </w:r>
          </w:p>
        </w:tc>
        <w:tc>
          <w:tcPr>
            <w:tcW w:w="3061" w:type="dxa"/>
            <w:tcMar>
              <w:top w:w="60" w:type="dxa"/>
              <w:left w:w="80" w:type="dxa"/>
              <w:bottom w:w="60" w:type="dxa"/>
              <w:right w:w="80" w:type="dxa"/>
            </w:tcMar>
            <w:vAlign w:val="center"/>
          </w:tcPr>
          <w:p w14:paraId="569552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هيئة الحكومة الرقمية (2023)</w:t>
            </w:r>
          </w:p>
        </w:tc>
        <w:tc>
          <w:tcPr>
            <w:tcW w:w="3175" w:type="dxa"/>
            <w:tcMar>
              <w:top w:w="60" w:type="dxa"/>
              <w:left w:w="80" w:type="dxa"/>
              <w:bottom w:w="60" w:type="dxa"/>
              <w:right w:w="80" w:type="dxa"/>
            </w:tcMar>
            <w:vAlign w:val="center"/>
          </w:tcPr>
          <w:p w14:paraId="399B34C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بالخصوصية وأمن البيانات.</w:t>
            </w:r>
          </w:p>
        </w:tc>
      </w:tr>
      <w:tr w:rsidR="00F035EA" w:rsidRPr="00C22AB7" w14:paraId="12F9492C" w14:textId="77777777" w:rsidTr="0085711F">
        <w:trPr>
          <w:jc w:val="center"/>
        </w:trPr>
        <w:tc>
          <w:tcPr>
            <w:tcW w:w="964" w:type="dxa"/>
            <w:tcMar>
              <w:top w:w="60" w:type="dxa"/>
              <w:left w:w="80" w:type="dxa"/>
              <w:bottom w:w="60" w:type="dxa"/>
              <w:right w:w="80" w:type="dxa"/>
            </w:tcMar>
            <w:vAlign w:val="center"/>
          </w:tcPr>
          <w:p w14:paraId="423BD39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BAR9</w:t>
            </w:r>
          </w:p>
        </w:tc>
        <w:tc>
          <w:tcPr>
            <w:tcW w:w="3288" w:type="dxa"/>
            <w:tcMar>
              <w:top w:w="60" w:type="dxa"/>
              <w:left w:w="80" w:type="dxa"/>
              <w:bottom w:w="60" w:type="dxa"/>
              <w:right w:w="80" w:type="dxa"/>
            </w:tcMar>
            <w:vAlign w:val="center"/>
          </w:tcPr>
          <w:p w14:paraId="0C3215F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غموض الملكية الفكرية والمسؤولية عن المحتوى</w:t>
            </w:r>
          </w:p>
        </w:tc>
        <w:tc>
          <w:tcPr>
            <w:tcW w:w="3061" w:type="dxa"/>
            <w:tcMar>
              <w:top w:w="60" w:type="dxa"/>
              <w:left w:w="80" w:type="dxa"/>
              <w:bottom w:w="60" w:type="dxa"/>
              <w:right w:w="80" w:type="dxa"/>
            </w:tcMar>
            <w:vAlign w:val="center"/>
          </w:tcPr>
          <w:p w14:paraId="788155B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ملتقى أسبار (2023); SDAIA (2024)</w:t>
            </w:r>
          </w:p>
        </w:tc>
        <w:tc>
          <w:tcPr>
            <w:tcW w:w="3175" w:type="dxa"/>
            <w:tcMar>
              <w:top w:w="60" w:type="dxa"/>
              <w:left w:w="80" w:type="dxa"/>
              <w:bottom w:w="60" w:type="dxa"/>
              <w:right w:w="80" w:type="dxa"/>
            </w:tcMar>
            <w:vAlign w:val="center"/>
          </w:tcPr>
          <w:p w14:paraId="14C2DF3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لعائق الملكية الفكرية والمسؤولية القانونية.</w:t>
            </w:r>
          </w:p>
        </w:tc>
      </w:tr>
      <w:tr w:rsidR="00F035EA" w:rsidRPr="00C22AB7" w14:paraId="5B5D8969" w14:textId="77777777" w:rsidTr="0085711F">
        <w:trPr>
          <w:jc w:val="center"/>
        </w:trPr>
        <w:tc>
          <w:tcPr>
            <w:tcW w:w="964" w:type="dxa"/>
            <w:tcMar>
              <w:top w:w="60" w:type="dxa"/>
              <w:left w:w="80" w:type="dxa"/>
              <w:bottom w:w="60" w:type="dxa"/>
              <w:right w:w="80" w:type="dxa"/>
            </w:tcMar>
            <w:vAlign w:val="center"/>
          </w:tcPr>
          <w:p w14:paraId="0078E5D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BAR10</w:t>
            </w:r>
          </w:p>
        </w:tc>
        <w:tc>
          <w:tcPr>
            <w:tcW w:w="3288" w:type="dxa"/>
            <w:tcMar>
              <w:top w:w="60" w:type="dxa"/>
              <w:left w:w="80" w:type="dxa"/>
              <w:bottom w:w="60" w:type="dxa"/>
              <w:right w:w="80" w:type="dxa"/>
            </w:tcMar>
            <w:vAlign w:val="center"/>
          </w:tcPr>
          <w:p w14:paraId="39154B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غياب السياسات الداخلية للاستخدام والمراجعة</w:t>
            </w:r>
          </w:p>
        </w:tc>
        <w:tc>
          <w:tcPr>
            <w:tcW w:w="3061" w:type="dxa"/>
            <w:tcMar>
              <w:top w:w="60" w:type="dxa"/>
              <w:left w:w="80" w:type="dxa"/>
              <w:bottom w:w="60" w:type="dxa"/>
              <w:right w:w="80" w:type="dxa"/>
            </w:tcMar>
            <w:vAlign w:val="center"/>
          </w:tcPr>
          <w:p w14:paraId="01053A5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SDAIA (2024)</w:t>
            </w:r>
          </w:p>
        </w:tc>
        <w:tc>
          <w:tcPr>
            <w:tcW w:w="3175" w:type="dxa"/>
            <w:tcMar>
              <w:top w:w="60" w:type="dxa"/>
              <w:left w:w="80" w:type="dxa"/>
              <w:bottom w:w="60" w:type="dxa"/>
              <w:right w:w="80" w:type="dxa"/>
            </w:tcMar>
            <w:vAlign w:val="center"/>
          </w:tcPr>
          <w:p w14:paraId="409CD32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الحوكمة والسياسات الداخلية.</w:t>
            </w:r>
          </w:p>
        </w:tc>
      </w:tr>
      <w:tr w:rsidR="00F035EA" w:rsidRPr="00C22AB7" w14:paraId="29AE60E0" w14:textId="77777777" w:rsidTr="0085711F">
        <w:trPr>
          <w:jc w:val="center"/>
        </w:trPr>
        <w:tc>
          <w:tcPr>
            <w:tcW w:w="964" w:type="dxa"/>
            <w:tcMar>
              <w:top w:w="60" w:type="dxa"/>
              <w:left w:w="80" w:type="dxa"/>
              <w:bottom w:w="60" w:type="dxa"/>
              <w:right w:w="80" w:type="dxa"/>
            </w:tcMar>
            <w:vAlign w:val="center"/>
          </w:tcPr>
          <w:p w14:paraId="2E6D6B5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MP1</w:t>
            </w:r>
          </w:p>
        </w:tc>
        <w:tc>
          <w:tcPr>
            <w:tcW w:w="3288" w:type="dxa"/>
            <w:tcMar>
              <w:top w:w="60" w:type="dxa"/>
              <w:left w:w="80" w:type="dxa"/>
              <w:bottom w:w="60" w:type="dxa"/>
              <w:right w:w="80" w:type="dxa"/>
            </w:tcMar>
            <w:vAlign w:val="center"/>
          </w:tcPr>
          <w:p w14:paraId="36BAEB07" w14:textId="62C92121" w:rsidR="00F035EA" w:rsidRPr="00C22AB7" w:rsidRDefault="008E51DC" w:rsidP="0085711F">
            <w:pPr>
              <w:bidi/>
              <w:spacing w:after="0" w:line="240" w:lineRule="auto"/>
              <w:jc w:val="center"/>
              <w:rPr>
                <w:rFonts w:ascii="Arial" w:eastAsia="Arial" w:hAnsi="Arial" w:cs="Arial"/>
              </w:rPr>
            </w:pPr>
            <w:r w:rsidRPr="008E51DC">
              <w:rPr>
                <w:rFonts w:ascii="Times New Roman" w:eastAsia="Noto Naskh Arabic" w:hAnsi="Times New Roman" w:cs="Arial"/>
                <w:color w:val="FF0000"/>
                <w:sz w:val="18"/>
                <w:rtl/>
              </w:rPr>
              <w:t>المحتوى النهائي للحملات الرقمية في الوكالة ملائم لأهداف الحملة.</w:t>
            </w:r>
          </w:p>
        </w:tc>
        <w:tc>
          <w:tcPr>
            <w:tcW w:w="3061" w:type="dxa"/>
            <w:tcMar>
              <w:top w:w="60" w:type="dxa"/>
              <w:left w:w="80" w:type="dxa"/>
              <w:bottom w:w="60" w:type="dxa"/>
              <w:right w:w="80" w:type="dxa"/>
            </w:tcMar>
            <w:vAlign w:val="center"/>
          </w:tcPr>
          <w:p w14:paraId="3BD734E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Nuremberg Institute for Market Decisions (2024); Islam et al. (2024)</w:t>
            </w:r>
          </w:p>
        </w:tc>
        <w:tc>
          <w:tcPr>
            <w:tcW w:w="3175" w:type="dxa"/>
            <w:tcMar>
              <w:top w:w="60" w:type="dxa"/>
              <w:left w:w="80" w:type="dxa"/>
              <w:bottom w:w="60" w:type="dxa"/>
              <w:right w:w="80" w:type="dxa"/>
            </w:tcMar>
            <w:vAlign w:val="center"/>
          </w:tcPr>
          <w:p w14:paraId="4A152EBA" w14:textId="19E1E6A0"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جودة المحتوى النهائي وملاءمته للأهداف.</w:t>
            </w:r>
          </w:p>
        </w:tc>
      </w:tr>
      <w:tr w:rsidR="00F035EA" w:rsidRPr="00C22AB7" w14:paraId="1289815E" w14:textId="77777777" w:rsidTr="0085711F">
        <w:trPr>
          <w:jc w:val="center"/>
        </w:trPr>
        <w:tc>
          <w:tcPr>
            <w:tcW w:w="964" w:type="dxa"/>
            <w:tcMar>
              <w:top w:w="60" w:type="dxa"/>
              <w:left w:w="80" w:type="dxa"/>
              <w:bottom w:w="60" w:type="dxa"/>
              <w:right w:w="80" w:type="dxa"/>
            </w:tcMar>
            <w:vAlign w:val="center"/>
          </w:tcPr>
          <w:p w14:paraId="21C739E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MP2</w:t>
            </w:r>
          </w:p>
        </w:tc>
        <w:tc>
          <w:tcPr>
            <w:tcW w:w="3288" w:type="dxa"/>
            <w:tcMar>
              <w:top w:w="60" w:type="dxa"/>
              <w:left w:w="80" w:type="dxa"/>
              <w:bottom w:w="60" w:type="dxa"/>
              <w:right w:w="80" w:type="dxa"/>
            </w:tcMar>
            <w:vAlign w:val="center"/>
          </w:tcPr>
          <w:p w14:paraId="73054C8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جودة الرسائل من حيث الوضوح والجاذبية والاتساق</w:t>
            </w:r>
          </w:p>
        </w:tc>
        <w:tc>
          <w:tcPr>
            <w:tcW w:w="3061" w:type="dxa"/>
            <w:tcMar>
              <w:top w:w="60" w:type="dxa"/>
              <w:left w:w="80" w:type="dxa"/>
              <w:bottom w:w="60" w:type="dxa"/>
              <w:right w:w="80" w:type="dxa"/>
            </w:tcMar>
            <w:vAlign w:val="center"/>
          </w:tcPr>
          <w:p w14:paraId="2D55A9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Heitmann (2024)</w:t>
            </w:r>
          </w:p>
        </w:tc>
        <w:tc>
          <w:tcPr>
            <w:tcW w:w="3175" w:type="dxa"/>
            <w:tcMar>
              <w:top w:w="60" w:type="dxa"/>
              <w:left w:w="80" w:type="dxa"/>
              <w:bottom w:w="60" w:type="dxa"/>
              <w:right w:w="80" w:type="dxa"/>
            </w:tcMar>
            <w:vAlign w:val="center"/>
          </w:tcPr>
          <w:p w14:paraId="4A4D4CD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جودة الرسائل الإعلانية.</w:t>
            </w:r>
          </w:p>
        </w:tc>
      </w:tr>
      <w:tr w:rsidR="00F035EA" w:rsidRPr="00C22AB7" w14:paraId="095E34B7" w14:textId="77777777" w:rsidTr="0085711F">
        <w:trPr>
          <w:jc w:val="center"/>
        </w:trPr>
        <w:tc>
          <w:tcPr>
            <w:tcW w:w="964" w:type="dxa"/>
            <w:tcMar>
              <w:top w:w="60" w:type="dxa"/>
              <w:left w:w="80" w:type="dxa"/>
              <w:bottom w:w="60" w:type="dxa"/>
              <w:right w:w="80" w:type="dxa"/>
            </w:tcMar>
            <w:vAlign w:val="center"/>
          </w:tcPr>
          <w:p w14:paraId="40349B8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MP3</w:t>
            </w:r>
          </w:p>
        </w:tc>
        <w:tc>
          <w:tcPr>
            <w:tcW w:w="3288" w:type="dxa"/>
            <w:tcMar>
              <w:top w:w="60" w:type="dxa"/>
              <w:left w:w="80" w:type="dxa"/>
              <w:bottom w:w="60" w:type="dxa"/>
              <w:right w:w="80" w:type="dxa"/>
            </w:tcMar>
            <w:vAlign w:val="center"/>
          </w:tcPr>
          <w:p w14:paraId="3D3FAC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ملاءمة الرسالة للجمهور المستهدف</w:t>
            </w:r>
          </w:p>
        </w:tc>
        <w:tc>
          <w:tcPr>
            <w:tcW w:w="3061" w:type="dxa"/>
            <w:tcMar>
              <w:top w:w="60" w:type="dxa"/>
              <w:left w:w="80" w:type="dxa"/>
              <w:bottom w:w="60" w:type="dxa"/>
              <w:right w:w="80" w:type="dxa"/>
            </w:tcMar>
            <w:vAlign w:val="center"/>
          </w:tcPr>
          <w:p w14:paraId="4EDA48A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27231EB8" w14:textId="257A4BF1"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دقة ملاءمة الرسالة للجمهور.</w:t>
            </w:r>
          </w:p>
        </w:tc>
      </w:tr>
      <w:tr w:rsidR="00F035EA" w:rsidRPr="00C22AB7" w14:paraId="3ED6E455" w14:textId="77777777" w:rsidTr="0085711F">
        <w:trPr>
          <w:jc w:val="center"/>
        </w:trPr>
        <w:tc>
          <w:tcPr>
            <w:tcW w:w="964" w:type="dxa"/>
            <w:tcMar>
              <w:top w:w="60" w:type="dxa"/>
              <w:left w:w="80" w:type="dxa"/>
              <w:bottom w:w="60" w:type="dxa"/>
              <w:right w:w="80" w:type="dxa"/>
            </w:tcMar>
            <w:vAlign w:val="center"/>
          </w:tcPr>
          <w:p w14:paraId="7E1908F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MP4</w:t>
            </w:r>
          </w:p>
        </w:tc>
        <w:tc>
          <w:tcPr>
            <w:tcW w:w="3288" w:type="dxa"/>
            <w:tcMar>
              <w:top w:w="60" w:type="dxa"/>
              <w:left w:w="80" w:type="dxa"/>
              <w:bottom w:w="60" w:type="dxa"/>
              <w:right w:w="80" w:type="dxa"/>
            </w:tcMar>
            <w:vAlign w:val="center"/>
          </w:tcPr>
          <w:p w14:paraId="217A370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معدلات التفاعل الرقمي</w:t>
            </w:r>
          </w:p>
        </w:tc>
        <w:tc>
          <w:tcPr>
            <w:tcW w:w="3061" w:type="dxa"/>
            <w:tcMar>
              <w:top w:w="60" w:type="dxa"/>
              <w:left w:w="80" w:type="dxa"/>
              <w:bottom w:w="60" w:type="dxa"/>
              <w:right w:w="80" w:type="dxa"/>
            </w:tcMar>
            <w:vAlign w:val="center"/>
          </w:tcPr>
          <w:p w14:paraId="689D3FF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الخطيب (2024); Gujar &amp; Panyam (2024)</w:t>
            </w:r>
          </w:p>
        </w:tc>
        <w:tc>
          <w:tcPr>
            <w:tcW w:w="3175" w:type="dxa"/>
            <w:tcMar>
              <w:top w:w="60" w:type="dxa"/>
              <w:left w:w="80" w:type="dxa"/>
              <w:bottom w:w="60" w:type="dxa"/>
              <w:right w:w="80" w:type="dxa"/>
            </w:tcMar>
            <w:vAlign w:val="center"/>
          </w:tcPr>
          <w:p w14:paraId="73AC94D7" w14:textId="3E52CA41"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مستوى التفاعل الرقمي المتحقق.</w:t>
            </w:r>
          </w:p>
        </w:tc>
      </w:tr>
      <w:tr w:rsidR="00F035EA" w:rsidRPr="00C22AB7" w14:paraId="7F2CC372" w14:textId="77777777" w:rsidTr="0085711F">
        <w:trPr>
          <w:jc w:val="center"/>
        </w:trPr>
        <w:tc>
          <w:tcPr>
            <w:tcW w:w="964" w:type="dxa"/>
            <w:tcMar>
              <w:top w:w="60" w:type="dxa"/>
              <w:left w:w="80" w:type="dxa"/>
              <w:bottom w:w="60" w:type="dxa"/>
              <w:right w:w="80" w:type="dxa"/>
            </w:tcMar>
            <w:vAlign w:val="center"/>
          </w:tcPr>
          <w:p w14:paraId="55025DD4"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MP5</w:t>
            </w:r>
          </w:p>
        </w:tc>
        <w:tc>
          <w:tcPr>
            <w:tcW w:w="3288" w:type="dxa"/>
            <w:tcMar>
              <w:top w:w="60" w:type="dxa"/>
              <w:left w:w="80" w:type="dxa"/>
              <w:bottom w:w="60" w:type="dxa"/>
              <w:right w:w="80" w:type="dxa"/>
            </w:tcMar>
            <w:vAlign w:val="center"/>
          </w:tcPr>
          <w:p w14:paraId="56D67CC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معدلات التحويل أو توليد العملاء المحتملين</w:t>
            </w:r>
          </w:p>
        </w:tc>
        <w:tc>
          <w:tcPr>
            <w:tcW w:w="3061" w:type="dxa"/>
            <w:tcMar>
              <w:top w:w="60" w:type="dxa"/>
              <w:left w:w="80" w:type="dxa"/>
              <w:bottom w:w="60" w:type="dxa"/>
              <w:right w:w="80" w:type="dxa"/>
            </w:tcMar>
            <w:vAlign w:val="center"/>
          </w:tcPr>
          <w:p w14:paraId="7D7D0A2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Nuremberg Institute for Market Decisions (2024)</w:t>
            </w:r>
          </w:p>
        </w:tc>
        <w:tc>
          <w:tcPr>
            <w:tcW w:w="3175" w:type="dxa"/>
            <w:tcMar>
              <w:top w:w="60" w:type="dxa"/>
              <w:left w:w="80" w:type="dxa"/>
              <w:bottom w:w="60" w:type="dxa"/>
              <w:right w:w="80" w:type="dxa"/>
            </w:tcMar>
            <w:vAlign w:val="center"/>
          </w:tcPr>
          <w:p w14:paraId="40FB2E51" w14:textId="31C4D556"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التحويل وتوليد العملاء المحتملين.</w:t>
            </w:r>
          </w:p>
        </w:tc>
      </w:tr>
      <w:tr w:rsidR="00F035EA" w:rsidRPr="00C22AB7" w14:paraId="0E2AB8A5" w14:textId="77777777" w:rsidTr="0085711F">
        <w:trPr>
          <w:jc w:val="center"/>
        </w:trPr>
        <w:tc>
          <w:tcPr>
            <w:tcW w:w="964" w:type="dxa"/>
            <w:tcMar>
              <w:top w:w="60" w:type="dxa"/>
              <w:left w:w="80" w:type="dxa"/>
              <w:bottom w:w="60" w:type="dxa"/>
              <w:right w:w="80" w:type="dxa"/>
            </w:tcMar>
            <w:vAlign w:val="center"/>
          </w:tcPr>
          <w:p w14:paraId="7352ED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MP6</w:t>
            </w:r>
          </w:p>
        </w:tc>
        <w:tc>
          <w:tcPr>
            <w:tcW w:w="3288" w:type="dxa"/>
            <w:tcMar>
              <w:top w:w="60" w:type="dxa"/>
              <w:left w:w="80" w:type="dxa"/>
              <w:bottom w:w="60" w:type="dxa"/>
              <w:right w:w="80" w:type="dxa"/>
            </w:tcMar>
            <w:vAlign w:val="center"/>
          </w:tcPr>
          <w:p w14:paraId="4F6BD9A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كفاءة الإنفاق الإعلاني وتقليل الهدر</w:t>
            </w:r>
          </w:p>
        </w:tc>
        <w:tc>
          <w:tcPr>
            <w:tcW w:w="3061" w:type="dxa"/>
            <w:tcMar>
              <w:top w:w="60" w:type="dxa"/>
              <w:left w:w="80" w:type="dxa"/>
              <w:bottom w:w="60" w:type="dxa"/>
              <w:right w:w="80" w:type="dxa"/>
            </w:tcMar>
            <w:vAlign w:val="center"/>
          </w:tcPr>
          <w:p w14:paraId="778987C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Islam et al. (2024)</w:t>
            </w:r>
          </w:p>
        </w:tc>
        <w:tc>
          <w:tcPr>
            <w:tcW w:w="3175" w:type="dxa"/>
            <w:tcMar>
              <w:top w:w="60" w:type="dxa"/>
              <w:left w:w="80" w:type="dxa"/>
              <w:bottom w:w="60" w:type="dxa"/>
              <w:right w:w="80" w:type="dxa"/>
            </w:tcMar>
            <w:vAlign w:val="center"/>
          </w:tcPr>
          <w:p w14:paraId="722B9CC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كفاءة الإنفاق الإعلاني.</w:t>
            </w:r>
          </w:p>
        </w:tc>
      </w:tr>
      <w:tr w:rsidR="00F035EA" w:rsidRPr="00C22AB7" w14:paraId="6588DB4A" w14:textId="77777777" w:rsidTr="0085711F">
        <w:trPr>
          <w:jc w:val="center"/>
        </w:trPr>
        <w:tc>
          <w:tcPr>
            <w:tcW w:w="964" w:type="dxa"/>
            <w:tcMar>
              <w:top w:w="60" w:type="dxa"/>
              <w:left w:w="80" w:type="dxa"/>
              <w:bottom w:w="60" w:type="dxa"/>
              <w:right w:w="80" w:type="dxa"/>
            </w:tcMar>
            <w:vAlign w:val="center"/>
          </w:tcPr>
          <w:p w14:paraId="17FA3B8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MP7</w:t>
            </w:r>
          </w:p>
        </w:tc>
        <w:tc>
          <w:tcPr>
            <w:tcW w:w="3288" w:type="dxa"/>
            <w:tcMar>
              <w:top w:w="60" w:type="dxa"/>
              <w:left w:w="80" w:type="dxa"/>
              <w:bottom w:w="60" w:type="dxa"/>
              <w:right w:w="80" w:type="dxa"/>
            </w:tcMar>
            <w:vAlign w:val="center"/>
          </w:tcPr>
          <w:p w14:paraId="75CA7C9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تحقيق مؤشرات الأداء المحددة مسبقًا</w:t>
            </w:r>
          </w:p>
        </w:tc>
        <w:tc>
          <w:tcPr>
            <w:tcW w:w="3061" w:type="dxa"/>
            <w:tcMar>
              <w:top w:w="60" w:type="dxa"/>
              <w:left w:w="80" w:type="dxa"/>
              <w:bottom w:w="60" w:type="dxa"/>
              <w:right w:w="80" w:type="dxa"/>
            </w:tcMar>
            <w:vAlign w:val="center"/>
          </w:tcPr>
          <w:p w14:paraId="741B73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Nuremberg Institute for Market Decisions (2024)</w:t>
            </w:r>
          </w:p>
        </w:tc>
        <w:tc>
          <w:tcPr>
            <w:tcW w:w="3175" w:type="dxa"/>
            <w:tcMar>
              <w:top w:w="60" w:type="dxa"/>
              <w:left w:w="80" w:type="dxa"/>
              <w:bottom w:w="60" w:type="dxa"/>
              <w:right w:w="80" w:type="dxa"/>
            </w:tcMar>
            <w:vAlign w:val="center"/>
          </w:tcPr>
          <w:p w14:paraId="5C23D400" w14:textId="6ED96B1F"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تحقيق مؤشرات الأداء المحددة.</w:t>
            </w:r>
          </w:p>
        </w:tc>
      </w:tr>
      <w:tr w:rsidR="00F035EA" w:rsidRPr="00C22AB7" w14:paraId="2188563B" w14:textId="77777777" w:rsidTr="0085711F">
        <w:trPr>
          <w:jc w:val="center"/>
        </w:trPr>
        <w:tc>
          <w:tcPr>
            <w:tcW w:w="964" w:type="dxa"/>
            <w:tcMar>
              <w:top w:w="60" w:type="dxa"/>
              <w:left w:w="80" w:type="dxa"/>
              <w:bottom w:w="60" w:type="dxa"/>
              <w:right w:w="80" w:type="dxa"/>
            </w:tcMar>
            <w:vAlign w:val="center"/>
          </w:tcPr>
          <w:p w14:paraId="4E51972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MP8</w:t>
            </w:r>
          </w:p>
        </w:tc>
        <w:tc>
          <w:tcPr>
            <w:tcW w:w="3288" w:type="dxa"/>
            <w:tcMar>
              <w:top w:w="60" w:type="dxa"/>
              <w:left w:w="80" w:type="dxa"/>
              <w:bottom w:w="60" w:type="dxa"/>
              <w:right w:w="80" w:type="dxa"/>
            </w:tcMar>
            <w:vAlign w:val="center"/>
          </w:tcPr>
          <w:p w14:paraId="2B21656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رضا العملاء عن سرعة وجودة المخرجات</w:t>
            </w:r>
          </w:p>
        </w:tc>
        <w:tc>
          <w:tcPr>
            <w:tcW w:w="3061" w:type="dxa"/>
            <w:tcMar>
              <w:top w:w="60" w:type="dxa"/>
              <w:left w:w="80" w:type="dxa"/>
              <w:bottom w:w="60" w:type="dxa"/>
              <w:right w:w="80" w:type="dxa"/>
            </w:tcMar>
            <w:vAlign w:val="center"/>
          </w:tcPr>
          <w:p w14:paraId="3B3BE1E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بياري (2025); Mendoza et al. (2025)</w:t>
            </w:r>
          </w:p>
        </w:tc>
        <w:tc>
          <w:tcPr>
            <w:tcW w:w="3175" w:type="dxa"/>
            <w:tcMar>
              <w:top w:w="60" w:type="dxa"/>
              <w:left w:w="80" w:type="dxa"/>
              <w:bottom w:w="60" w:type="dxa"/>
              <w:right w:w="80" w:type="dxa"/>
            </w:tcMar>
            <w:vAlign w:val="center"/>
          </w:tcPr>
          <w:p w14:paraId="035651A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رضا العملاء عن مخرجات الحملة.</w:t>
            </w:r>
          </w:p>
        </w:tc>
      </w:tr>
      <w:tr w:rsidR="00F035EA" w:rsidRPr="00C22AB7" w14:paraId="202F8AD0" w14:textId="77777777" w:rsidTr="0085711F">
        <w:trPr>
          <w:jc w:val="center"/>
        </w:trPr>
        <w:tc>
          <w:tcPr>
            <w:tcW w:w="964" w:type="dxa"/>
            <w:tcMar>
              <w:top w:w="60" w:type="dxa"/>
              <w:left w:w="80" w:type="dxa"/>
              <w:bottom w:w="60" w:type="dxa"/>
              <w:right w:w="80" w:type="dxa"/>
            </w:tcMar>
            <w:vAlign w:val="center"/>
          </w:tcPr>
          <w:p w14:paraId="0660DCF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MP9</w:t>
            </w:r>
          </w:p>
        </w:tc>
        <w:tc>
          <w:tcPr>
            <w:tcW w:w="3288" w:type="dxa"/>
            <w:tcMar>
              <w:top w:w="60" w:type="dxa"/>
              <w:left w:w="80" w:type="dxa"/>
              <w:bottom w:w="60" w:type="dxa"/>
              <w:right w:w="80" w:type="dxa"/>
            </w:tcMar>
            <w:vAlign w:val="center"/>
          </w:tcPr>
          <w:p w14:paraId="4D0AC1A8" w14:textId="02986159" w:rsidR="00F035EA" w:rsidRPr="00C22AB7" w:rsidRDefault="008E51DC" w:rsidP="0085711F">
            <w:pPr>
              <w:bidi/>
              <w:spacing w:after="0" w:line="240" w:lineRule="auto"/>
              <w:jc w:val="center"/>
              <w:rPr>
                <w:rFonts w:ascii="Arial" w:eastAsia="Arial" w:hAnsi="Arial" w:cs="Arial"/>
              </w:rPr>
            </w:pPr>
            <w:r w:rsidRPr="008E51DC">
              <w:rPr>
                <w:rFonts w:ascii="Times New Roman" w:eastAsia="Noto Naskh Arabic" w:hAnsi="Times New Roman" w:cs="Arial"/>
                <w:color w:val="FF0000"/>
                <w:sz w:val="18"/>
                <w:rtl/>
              </w:rPr>
              <w:t>بصورة عامة، تتسم الحملات الرقمية للوكالة بفعالية تسويقية عالية.</w:t>
            </w:r>
          </w:p>
        </w:tc>
        <w:tc>
          <w:tcPr>
            <w:tcW w:w="3061" w:type="dxa"/>
            <w:tcMar>
              <w:top w:w="60" w:type="dxa"/>
              <w:left w:w="80" w:type="dxa"/>
              <w:bottom w:w="60" w:type="dxa"/>
              <w:right w:w="80" w:type="dxa"/>
            </w:tcMar>
            <w:vAlign w:val="center"/>
          </w:tcPr>
          <w:p w14:paraId="30B42B8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بياري (2025)</w:t>
            </w:r>
          </w:p>
        </w:tc>
        <w:tc>
          <w:tcPr>
            <w:tcW w:w="3175" w:type="dxa"/>
            <w:tcMar>
              <w:top w:w="60" w:type="dxa"/>
              <w:left w:w="80" w:type="dxa"/>
              <w:bottom w:w="60" w:type="dxa"/>
              <w:right w:w="80" w:type="dxa"/>
            </w:tcMar>
            <w:vAlign w:val="center"/>
          </w:tcPr>
          <w:p w14:paraId="0AF6267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الفعالية التسويقية العامة المدركة.</w:t>
            </w:r>
          </w:p>
        </w:tc>
      </w:tr>
    </w:tbl>
    <w:p w14:paraId="5AED1BA3" w14:textId="77777777" w:rsidR="00F035EA" w:rsidRPr="00C22AB7" w:rsidRDefault="00F035EA" w:rsidP="00F035EA">
      <w:pPr>
        <w:bidi/>
        <w:spacing w:after="0" w:line="240" w:lineRule="auto"/>
        <w:rPr>
          <w:rFonts w:ascii="Arial" w:eastAsia="Arial" w:hAnsi="Arial" w:cs="Arial"/>
          <w:rtl/>
        </w:rPr>
      </w:pPr>
      <w:r w:rsidRPr="00C22AB7">
        <w:rPr>
          <w:rFonts w:ascii="Arial" w:eastAsia="Arial" w:hAnsi="Arial" w:cs="Arial"/>
        </w:rPr>
        <w:br w:type="page"/>
      </w:r>
    </w:p>
    <w:p w14:paraId="554A2065" w14:textId="77777777" w:rsidR="00F035EA" w:rsidRPr="002E4425" w:rsidRDefault="00F035EA" w:rsidP="00F035EA">
      <w:pPr>
        <w:keepNext/>
        <w:bidi/>
        <w:spacing w:after="120" w:line="240" w:lineRule="auto"/>
        <w:jc w:val="center"/>
        <w:rPr>
          <w:rFonts w:ascii="Sakkal Majalla" w:eastAsia="Noto Naskh Arabic" w:hAnsi="Sakkal Majalla" w:cs="Sakkal Majalla"/>
          <w:bCs/>
          <w:color w:val="FF0000"/>
          <w:sz w:val="36"/>
          <w:szCs w:val="28"/>
          <w:u w:val="single"/>
        </w:rPr>
      </w:pPr>
      <w:r w:rsidRPr="002E4425">
        <w:rPr>
          <w:rFonts w:ascii="Sakkal Majalla" w:eastAsia="Noto Naskh Arabic" w:hAnsi="Sakkal Majalla" w:cs="Sakkal Majalla"/>
          <w:bCs/>
          <w:color w:val="FF0000"/>
          <w:sz w:val="36"/>
          <w:szCs w:val="28"/>
          <w:u w:val="single"/>
          <w:rtl/>
        </w:rPr>
        <w:lastRenderedPageBreak/>
        <w:t>ملحق (ج): دليل ترميز بيانات الاستبانة</w:t>
      </w:r>
    </w:p>
    <w:p w14:paraId="17C996EA"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يوضح هذا الملحق رموز أسئلة الأداة وفقراتها وقواعد الترميز المسبقة لإعداد ملف البيانات للتحليل الإحصائي. ولا تمثل القيم الواردة نتائج للدراسة، وإنما قواعد تشغيلية للترميز والتحقق من جودة البيانات.</w:t>
      </w:r>
    </w:p>
    <w:tbl>
      <w:tblPr>
        <w:bidiVisual/>
        <w:tblW w:w="0" w:type="auto"/>
        <w:jc w:val="center"/>
        <w:tblLook w:val="04A0" w:firstRow="1" w:lastRow="0" w:firstColumn="1" w:lastColumn="0" w:noHBand="0" w:noVBand="1"/>
      </w:tblPr>
      <w:tblGrid>
        <w:gridCol w:w="826"/>
        <w:gridCol w:w="5209"/>
        <w:gridCol w:w="2261"/>
      </w:tblGrid>
      <w:tr w:rsidR="00F035EA" w:rsidRPr="002E4425" w14:paraId="4DC8B9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2BAF48C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الرمز</w:t>
            </w:r>
          </w:p>
        </w:tc>
        <w:tc>
          <w:tcPr>
            <w:tcW w:w="5209"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7E87D5DA" w14:textId="77777777" w:rsidR="00F035EA" w:rsidRPr="002E4425" w:rsidRDefault="00F035EA" w:rsidP="0085711F">
            <w:pPr>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rPr>
              <w:t>السؤال أو الفقرة</w:t>
            </w:r>
          </w:p>
        </w:tc>
        <w:tc>
          <w:tcPr>
            <w:tcW w:w="2261"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3C240B0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قاعدة الترميز</w:t>
            </w:r>
          </w:p>
        </w:tc>
      </w:tr>
      <w:tr w:rsidR="00F035EA" w:rsidRPr="002E4425" w14:paraId="469A7A7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7304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8BEFD5" w14:textId="77777777" w:rsidR="00F035EA" w:rsidRPr="002E4425" w:rsidRDefault="00F035EA" w:rsidP="0085711F">
            <w:pPr>
              <w:keepLines/>
              <w:bidi/>
              <w:spacing w:after="0" w:line="240" w:lineRule="auto"/>
              <w:rPr>
                <w:rFonts w:ascii="Simplified Arabic" w:eastAsia="Arial" w:hAnsi="Simplified Arabic" w:cs="Simplified Arabic"/>
                <w:rtl/>
              </w:rPr>
            </w:pPr>
            <w:r w:rsidRPr="002E4425">
              <w:rPr>
                <w:rFonts w:ascii="Simplified Arabic" w:eastAsia="Arial" w:hAnsi="Simplified Arabic" w:cs="Simplified Arabic"/>
                <w:color w:val="FF0000"/>
                <w:rtl/>
                <w:lang w:val="ar-SA"/>
              </w:rPr>
              <w:t>هل تعمل حاليًا في وكالة تسويق رقمي مرخَّصة عاملة في الرياض أو جدة أو الدمام؟</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7CA38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0DF77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F59DE5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B343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يرتبط عملك بتخطيط الحملات التسويقية الرقمية أو تصميمها أو تنفيذها أو تحليل أدائها ضمن أحد الأدوار الوظيفية ذات الصلة؟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2A2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766383C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800BD0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60F16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استخدمت بصورة مباشرة وعملية أداة واحدة على الأقل من أدوات الذكاء الاصطناعي التوليدي في سياق العمل على الحملات التسويقية الرقمية خلال آخر اثني عشر شهرًا، وبمعدل لا يقل عن مرة واحدة شهريًا؟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194B1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04B072D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2C461B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2E632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لديك خبرة مستمرة في الوكالة الحالية أو في مجال الحملات التسويقية الرقمية لمدة ستة أشهر فأكثر؟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26845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412F42A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032B5F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7AA07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توافق طوعًا على المشاركة في هذه الدراسة بعد الاطلاع على معلومات المشاركة والموافقة المستنيرة؟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6BAF4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75A5F9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D1CEC0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9820A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الوكالة أدوات الذكاء الاصطناعي التوليدي في تحليل السوق والاتجاهات قبل تصميم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28E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10539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11DD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5EDF7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الأدوات في بناء تصورات عن الجمهور المستهدف وتقسيمه إلى شرائح قابلة للاستهداف.</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AFA31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3380D9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63290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2B0B8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تقنيات الذكاء الاصطناعي التوليدي في توليد أفكار أولية ومفاهيم إبداعية للحملات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266F7A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06CD8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6F76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32976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تساعد هذه التقنيات في صياغة بدائل متعددة للنصوص الإعلانية والعناوين والرسائل الرئيسة.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E7F9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E165F4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C66ED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GAIU5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98032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التوليد البصري في إنتاج تصورات أو عناصر تصميمية مبدئية للحملة.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BECE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BD37E8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B51EB3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AC1</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40B8FD96"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جودة الاستجابة، يرجى اختيار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13E5394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موافق، وقيمتها ٤</w:t>
            </w:r>
          </w:p>
        </w:tc>
      </w:tr>
      <w:tr w:rsidR="00F035EA" w:rsidRPr="002E4425" w14:paraId="20D40BC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BAA1F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87EB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التقنيات في تكييف المحتوى مع خصائص المنصات الرقمية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5B262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BA32B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D38D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D020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الذكاء الاصطناعي التوليدي في اقتراح صيغ مختلفة للرسائل بما يتناسب مع شرائح الجمهور.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8A3D1F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01B8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38EAD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95980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تدخل مخرجات الذكاء الاصطناعي التوليدي ضمن جلسات العصف الذهني والمراجعة الإبداعية داخل الفريق.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5927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2581B6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87F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3F178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هذه الأدوات في تلخيص بيانات الأداء واقتراح تحسينات أثناء تنفيذ الحملة أو بعدها.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B9DC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A0F1EF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203F7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52ECA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أصبح توظيف الذكاء الاصطناعي التوليدي جزءًا واضحًا من سير عمل تصميم الحملات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08A78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612B4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22A8A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AC720C" w14:textId="54259973" w:rsidR="00F035EA" w:rsidRPr="002E4425" w:rsidRDefault="008E51DC" w:rsidP="0085711F">
            <w:pPr>
              <w:keepLines/>
              <w:bidi/>
              <w:spacing w:after="0" w:line="240" w:lineRule="auto"/>
              <w:rPr>
                <w:rFonts w:ascii="Simplified Arabic" w:eastAsia="Arial" w:hAnsi="Simplified Arabic" w:cs="Simplified Arabic"/>
              </w:rPr>
            </w:pPr>
            <w:r w:rsidRPr="008E51DC">
              <w:rPr>
                <w:rFonts w:ascii="Simplified Arabic" w:eastAsia="Arial" w:hAnsi="Simplified Arabic" w:cs="Simplified Arabic"/>
                <w:color w:val="FF0000"/>
                <w:rtl/>
                <w:lang w:val="ar-SA"/>
              </w:rPr>
              <w:t>تتم عملية تصميم الحملات في الوكالة ضمن زمن مناسب للانتقال من موجز العميل إلى التصورات الأولية.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A00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A19F3F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C741C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324A99" w14:textId="4481739A" w:rsidR="00F035EA" w:rsidRPr="002E4425" w:rsidRDefault="008E51DC" w:rsidP="0085711F">
            <w:pPr>
              <w:keepLines/>
              <w:bidi/>
              <w:spacing w:after="0" w:line="240" w:lineRule="auto"/>
              <w:rPr>
                <w:rFonts w:ascii="Simplified Arabic" w:eastAsia="Arial" w:hAnsi="Simplified Arabic" w:cs="Simplified Arabic"/>
              </w:rPr>
            </w:pPr>
            <w:r w:rsidRPr="008E51DC">
              <w:rPr>
                <w:rFonts w:ascii="Simplified Arabic" w:eastAsia="Arial" w:hAnsi="Simplified Arabic" w:cs="Simplified Arabic"/>
                <w:color w:val="FF0000"/>
                <w:rtl/>
                <w:lang w:val="ar-SA"/>
              </w:rPr>
              <w:t>تُنجز المهام المتكررة في التصميم والمحتوى بكفاءة عالية.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64C65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990FF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0B1F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95D8FB" w14:textId="5A9E7BD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تتوافر لدى الفريق بدائل إبداعية متعددة قبل اعتماد فكرة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DB1D0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D31E7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B50F6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1D23A9" w14:textId="44A4203F"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تُقارن البدائل الإبداعية في ضوء أهداف الحملة والجمهور المستهدف قبل الاختيار.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BEDCF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0BFBF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6D0B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D187CC" w14:textId="3B5FD59C"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تتسم الرسائل والمخرجات التصميمية بالاتساق مع هوية العلامة التجارية.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53611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2C7A12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2A909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F9EB38" w14:textId="12F6841C"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يكون تصور الجمهور المستهدف قبل إطلاق الحملة دقيقًا وواضحًا.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C168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E9036A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F391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BD8629" w14:textId="4CBDBCD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يُخصص المحتوى بما يلائم خصائص الشرائح والمنصات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D0C13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8798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8DE4B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8BE27F" w14:textId="396A25E9"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تمر عناصر الحملة بدورة مراجعة وتحسين فعالة قبل الاعتماد النهائي.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7D0DC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31B072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0FA682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7A07B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تقليص الوقت اللازم لإنجاز مهام التخطيط والإنتاج أحد الدوافع الرئيسة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7D59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AA130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EF686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85C2A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رفع إنتاجية فرق العمل دافعًا مهمًا لتبني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AB0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E19DF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D74B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283D77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تبني هذه التقنيات على إعادة توجيه جهد الفريق من المهام الروتينية إلى المهام ذات القيمة الإبداعية والاستراتيجية.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6ED712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FF9112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A882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8AE5D4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خفض تكاليف بعض المهام التشغيلية المتكررة دافعًا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3CE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EBCB87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538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633CC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تدفع توقعات العملاء بالحصول على مخرجات أسرع وأكثر تنوعًا الوكالة إلى تبني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39569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1DDBC5"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FEDCD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46A21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تمثل الرغبة في مواكبة المنافسين وتقديم خدمات أكثر تطورًا دافعًا رئيسًا لتوظيف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8E7B5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B2AE2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84EC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ADP7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6D40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تحسين القدرة على تخصيص الرسائل والمحتوى لكل شريحة من الجمهور دافعًا مهمًا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6159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2C2970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1D012A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67FCD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يسهم السعي إلى توليد أفكار وأساليب إبداعية جديدة في تعزيز توجه الوكالة نحو استخدام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5A8C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E0A51C"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E28374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DDEC9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ترى الوكالة أن تبني الذكاء الاصطناعي التوليدي يعزز قدرتها على تقديم قيمة تسويقية أعلى للعملاء.</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7CB7F5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ABD9B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2B1D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607766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ضعف دقة بعض المخرجات التوليدية أو عدم ملاءمتها للسياق المحلي السعودي يحد من الاستفادة منها.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56747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93FF6B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01251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F840B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وجود أخطاء لغوية أو مفاهيمية في المحتوى المولّد باللغة العربية يتطلب مراجعة بشرية مكثفة.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86FA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B18FD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E9B3C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2FAE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ارتفاع تكلفة الاشتراكات أو محدودية توفر الأدوات المناسبة داخل الوكالة يعيق التوظيف المنتظم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80B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6933A8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E76D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612EF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صعوبة دمج أدوات الذكاء الاصطناعي التوليدي مع أنظمة العمل والمنصات المستخدمة في الوكالة تحد من فعاليتها.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5323D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80B6D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9799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BAR5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AEF0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نقص مهارات الفريق في صياغة الأوامر التوليدية وتقييم المخرجات يضعف الاستفادة من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AF959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539D7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0982C2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AC2</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786F74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الانتباه، يرجى اختيار «غير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6E61ED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غير موافق، وقيمتها ٢</w:t>
            </w:r>
          </w:p>
        </w:tc>
      </w:tr>
      <w:tr w:rsidR="00F035EA" w:rsidRPr="002E4425" w14:paraId="27799DA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FEC9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7AB7C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محدودية البرامج التدريبية المتخصصة في استخدام الذكاء الاصطناعي التوليدي داخل مجال التسويق تمثل عائقًا عمليًا.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E8EA8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2E7981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A1BF0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B2A1B3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مقاومة بعض العاملين للتغيير أو تفضيلهم للأساليب التقليدية يحد من دمج هذه التقنيات في سير العمل.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63560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B968DF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C3875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2D248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تثير حماية بيانات العملاء وخصوصية الحملات مخاوف تحد من 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DE05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D7DF08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9D05A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3B14A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الغموض المرتبط بحقوق الملكية الفكرية والمسؤولية عن المحتوى المولّد يقيد الاستخدام الواسع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A94E7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AB010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10E8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918618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غياب سياسات داخلية واضحة تحدد ضوابط الاستخدام والمراجعة والاعتماد يعيق التبني المنظم لهذه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762999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767D8B3"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7528AB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9F3710" w14:textId="3EAF26E6"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المحتوى النهائي للحملات الرقمية في الوكالة ملائم لأهداف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10325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69FE2F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5F0FB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8DF125A" w14:textId="630DE1F7"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تتصف الرسائل الإعلانية للحملات الرقمية بالوضوح والجاذبية والاتساق.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0D000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FD77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D4216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128BA4" w14:textId="0416BA25"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تتناسب الرسالة التسويقية مع الجمهور المستهدف عند تنفيذ الحملات.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3EBE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70AAA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DC46A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F4045" w14:textId="075D58D3"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تحقق الحملات الرقمية للوكالة معدلات تفاعل مرتفعة مقارنة بالحملات المشابهة في السوق.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A17B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A0FBE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4445E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AD92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استخدام هذه التقنيات على تحسين معدلات التحويل أو توليد العملاء المحتملين عند توافر أهداف قابلة للقياس.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9A1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6B68F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EBA0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8AB6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تدعم هذه التقنيات كفاءة الإنفاق الإعلاني من خلال تقليل الهدر وتحسين توجيه الرسائل.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577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B7E6F5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A7EDA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4560D66" w14:textId="152CB47E"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تحقق الحملات الرقمية مؤشرات الأداء المحددة مسبقًا.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4CA5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230ED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8335C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0B3CC58" w14:textId="751AEB0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يرتفع رضا العملاء عن سرعة وجودة مخرجات الحملات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CB321C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B19DCB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FDB94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BAC5B3" w14:textId="1394CBA5"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بصورة عامة، تتسم الحملات الرقمية للوكالة بفعالية تسويقية عالية.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63F07C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018FAF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34611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7EAE9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الجنس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FD9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ذكر، القيمة ١</w:t>
            </w:r>
            <w:r w:rsidRPr="002E4425">
              <w:rPr>
                <w:rFonts w:ascii="Simplified Arabic" w:eastAsia="Arial" w:hAnsi="Simplified Arabic" w:cs="Simplified Arabic"/>
                <w:color w:val="FF0000"/>
                <w:rtl/>
                <w:lang w:val="ar-SA"/>
              </w:rPr>
              <w:br/>
              <w:t>أنثى، القيمة ٢</w:t>
            </w:r>
          </w:p>
        </w:tc>
      </w:tr>
      <w:tr w:rsidR="00F035EA" w:rsidRPr="002E4425" w14:paraId="5FFE93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60D39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2A2E7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الفئة العمرية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833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٢٥ سنة، القيمة ١</w:t>
            </w:r>
            <w:r w:rsidRPr="002E4425">
              <w:rPr>
                <w:rFonts w:ascii="Simplified Arabic" w:eastAsia="Arial" w:hAnsi="Simplified Arabic" w:cs="Simplified Arabic"/>
                <w:color w:val="FF0000"/>
                <w:rtl/>
                <w:lang w:val="ar-SA"/>
              </w:rPr>
              <w:br/>
              <w:t>من ٢٥ إلى أقل من ٣٥ سنة، القيمة ٢</w:t>
            </w:r>
            <w:r w:rsidRPr="002E4425">
              <w:rPr>
                <w:rFonts w:ascii="Simplified Arabic" w:eastAsia="Arial" w:hAnsi="Simplified Arabic" w:cs="Simplified Arabic"/>
                <w:color w:val="FF0000"/>
                <w:rtl/>
                <w:lang w:val="ar-SA"/>
              </w:rPr>
              <w:br/>
              <w:t>من ٣٥ إلى أقل من ٤٥ سنة، القيمة ٣</w:t>
            </w:r>
            <w:r w:rsidRPr="002E4425">
              <w:rPr>
                <w:rFonts w:ascii="Simplified Arabic" w:eastAsia="Arial" w:hAnsi="Simplified Arabic" w:cs="Simplified Arabic"/>
                <w:color w:val="FF0000"/>
                <w:rtl/>
                <w:lang w:val="ar-SA"/>
              </w:rPr>
              <w:br/>
              <w:t>٤٥ سنة فأكثر، القيمة ٤</w:t>
            </w:r>
          </w:p>
        </w:tc>
      </w:tr>
      <w:tr w:rsidR="00F035EA" w:rsidRPr="002E4425" w14:paraId="34806B9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6B538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7151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المؤهل العلمي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615ED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دبلوم فأقل، القيمة ١</w:t>
            </w:r>
            <w:r w:rsidRPr="002E4425">
              <w:rPr>
                <w:rFonts w:ascii="Simplified Arabic" w:eastAsia="Arial" w:hAnsi="Simplified Arabic" w:cs="Simplified Arabic"/>
                <w:color w:val="FF0000"/>
                <w:rtl/>
                <w:lang w:val="ar-SA"/>
              </w:rPr>
              <w:br/>
              <w:t>بكالوريوس، القيمة ٢</w:t>
            </w:r>
            <w:r w:rsidRPr="002E4425">
              <w:rPr>
                <w:rFonts w:ascii="Simplified Arabic" w:eastAsia="Arial" w:hAnsi="Simplified Arabic" w:cs="Simplified Arabic"/>
                <w:color w:val="FF0000"/>
                <w:rtl/>
                <w:lang w:val="ar-SA"/>
              </w:rPr>
              <w:br/>
              <w:t>ماجستير، القيمة ٣</w:t>
            </w:r>
            <w:r w:rsidRPr="002E4425">
              <w:rPr>
                <w:rFonts w:ascii="Simplified Arabic" w:eastAsia="Arial" w:hAnsi="Simplified Arabic" w:cs="Simplified Arabic"/>
                <w:color w:val="FF0000"/>
                <w:rtl/>
                <w:lang w:val="ar-SA"/>
              </w:rPr>
              <w:br/>
              <w:t>دكتوراه، القيمة ٤</w:t>
            </w:r>
            <w:r w:rsidRPr="002E4425">
              <w:rPr>
                <w:rFonts w:ascii="Simplified Arabic" w:eastAsia="Arial" w:hAnsi="Simplified Arabic" w:cs="Simplified Arabic"/>
                <w:color w:val="FF0000"/>
                <w:rtl/>
                <w:lang w:val="ar-SA"/>
              </w:rPr>
              <w:br/>
              <w:t>أخرى، القيمة ٥</w:t>
            </w:r>
          </w:p>
        </w:tc>
      </w:tr>
      <w:tr w:rsidR="00F035EA" w:rsidRPr="002E4425" w14:paraId="11A7FE9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AB97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ADF228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المسمى أو الدور الوظيفي الأقرب لطبيعة عملك</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D3D3F0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تخطيط واستراتيجية، القيمة ١</w:t>
            </w:r>
            <w:r w:rsidRPr="002E4425">
              <w:rPr>
                <w:rFonts w:ascii="Simplified Arabic" w:eastAsia="Arial" w:hAnsi="Simplified Arabic" w:cs="Simplified Arabic"/>
                <w:color w:val="FF0000"/>
                <w:rtl/>
                <w:lang w:val="ar-SA"/>
              </w:rPr>
              <w:br/>
              <w:t>إبداع وتصميم، القيمة ٢</w:t>
            </w:r>
            <w:r w:rsidRPr="002E4425">
              <w:rPr>
                <w:rFonts w:ascii="Simplified Arabic" w:eastAsia="Arial" w:hAnsi="Simplified Arabic" w:cs="Simplified Arabic"/>
                <w:color w:val="FF0000"/>
                <w:rtl/>
                <w:lang w:val="ar-SA"/>
              </w:rPr>
              <w:br/>
              <w:t>كتابة إعلانية أو محتوى، القيمة ٣</w:t>
            </w:r>
            <w:r w:rsidRPr="002E4425">
              <w:rPr>
                <w:rFonts w:ascii="Simplified Arabic" w:eastAsia="Arial" w:hAnsi="Simplified Arabic" w:cs="Simplified Arabic"/>
                <w:color w:val="FF0000"/>
                <w:rtl/>
                <w:lang w:val="ar-SA"/>
              </w:rPr>
              <w:br/>
              <w:t>تحليل بيانات وأداء، القيمة ٤</w:t>
            </w:r>
            <w:r w:rsidRPr="002E4425">
              <w:rPr>
                <w:rFonts w:ascii="Simplified Arabic" w:eastAsia="Arial" w:hAnsi="Simplified Arabic" w:cs="Simplified Arabic"/>
                <w:color w:val="FF0000"/>
                <w:rtl/>
                <w:lang w:val="ar-SA"/>
              </w:rPr>
              <w:br/>
              <w:t>إدارة حسابات وعملاء، القيمة ٥</w:t>
            </w:r>
            <w:r w:rsidRPr="002E4425">
              <w:rPr>
                <w:rFonts w:ascii="Simplified Arabic" w:eastAsia="Arial" w:hAnsi="Simplified Arabic" w:cs="Simplified Arabic"/>
                <w:color w:val="FF0000"/>
                <w:rtl/>
                <w:lang w:val="ar-SA"/>
              </w:rPr>
              <w:br/>
              <w:t>إدارة حملات أو شراء إعلامي، القيمة ٦</w:t>
            </w:r>
            <w:r w:rsidRPr="002E4425">
              <w:rPr>
                <w:rFonts w:ascii="Simplified Arabic" w:eastAsia="Arial" w:hAnsi="Simplified Arabic" w:cs="Simplified Arabic"/>
                <w:color w:val="FF0000"/>
                <w:rtl/>
                <w:lang w:val="ar-SA"/>
              </w:rPr>
              <w:br/>
              <w:t>إدارة عليا أو إشرافية، القيمة ٧</w:t>
            </w:r>
            <w:r w:rsidRPr="002E4425">
              <w:rPr>
                <w:rFonts w:ascii="Simplified Arabic" w:eastAsia="Arial" w:hAnsi="Simplified Arabic" w:cs="Simplified Arabic"/>
                <w:color w:val="FF0000"/>
                <w:rtl/>
                <w:lang w:val="ar-SA"/>
              </w:rPr>
              <w:br/>
              <w:t>أخرى، القيمة ٨</w:t>
            </w:r>
          </w:p>
        </w:tc>
      </w:tr>
      <w:tr w:rsidR="00F035EA" w:rsidRPr="002E4425" w14:paraId="7BAE558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DE6A7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3A6B33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سنوات الخبرة في التسويق الرقمي أو الاتصال التسويقي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D352A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٣ سنوات، القيمة ١</w:t>
            </w:r>
            <w:r w:rsidRPr="002E4425">
              <w:rPr>
                <w:rFonts w:ascii="Simplified Arabic" w:eastAsia="Arial" w:hAnsi="Simplified Arabic" w:cs="Simplified Arabic"/>
                <w:color w:val="FF0000"/>
                <w:rtl/>
                <w:lang w:val="ar-SA"/>
              </w:rPr>
              <w:br/>
              <w:t>من ٣ إلى أقل من ٧ سنوات، القيمة ٢</w:t>
            </w:r>
            <w:r w:rsidRPr="002E4425">
              <w:rPr>
                <w:rFonts w:ascii="Simplified Arabic" w:eastAsia="Arial" w:hAnsi="Simplified Arabic" w:cs="Simplified Arabic"/>
                <w:color w:val="FF0000"/>
                <w:rtl/>
                <w:lang w:val="ar-SA"/>
              </w:rPr>
              <w:br/>
              <w:t>من ٧ إلى أقل من ١٠ سنوات، القيمة ٣</w:t>
            </w:r>
            <w:r w:rsidRPr="002E4425">
              <w:rPr>
                <w:rFonts w:ascii="Simplified Arabic" w:eastAsia="Arial" w:hAnsi="Simplified Arabic" w:cs="Simplified Arabic"/>
                <w:color w:val="FF0000"/>
                <w:rtl/>
                <w:lang w:val="ar-SA"/>
              </w:rPr>
              <w:br/>
              <w:t>١٠ سنوات فأكثر، القيمة ٤</w:t>
            </w:r>
          </w:p>
        </w:tc>
      </w:tr>
      <w:tr w:rsidR="00F035EA" w:rsidRPr="002E4425" w14:paraId="43DF1C5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15563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F9890C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حجم الوكالة من حيث عدد الموظفين</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F63F1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صغيرة: أقل من ٣٠ موظفًا، القيمة ١</w:t>
            </w:r>
            <w:r w:rsidRPr="002E4425">
              <w:rPr>
                <w:rFonts w:ascii="Simplified Arabic" w:eastAsia="Arial" w:hAnsi="Simplified Arabic" w:cs="Simplified Arabic"/>
                <w:color w:val="FF0000"/>
                <w:rtl/>
                <w:lang w:val="ar-SA"/>
              </w:rPr>
              <w:br/>
              <w:t>متوسطة: من ٣٠ إلى أقل من ١٠٠ موظف، القيمة ٢</w:t>
            </w:r>
            <w:r w:rsidRPr="002E4425">
              <w:rPr>
                <w:rFonts w:ascii="Simplified Arabic" w:eastAsia="Arial" w:hAnsi="Simplified Arabic" w:cs="Simplified Arabic"/>
                <w:color w:val="FF0000"/>
                <w:rtl/>
                <w:lang w:val="ar-SA"/>
              </w:rPr>
              <w:br/>
              <w:t>كبيرة: ١٠٠ موظف فأكثر، القيمة ٣</w:t>
            </w:r>
          </w:p>
        </w:tc>
      </w:tr>
      <w:tr w:rsidR="00F035EA" w:rsidRPr="002E4425" w14:paraId="7E72F38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4E036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8E648B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الموقع الرئيس للوكالة داخل المملكة العربية السعودية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57F44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الرياض، القيمة ١</w:t>
            </w:r>
            <w:r w:rsidRPr="002E4425">
              <w:rPr>
                <w:rFonts w:ascii="Simplified Arabic" w:eastAsia="Arial" w:hAnsi="Simplified Arabic" w:cs="Simplified Arabic"/>
                <w:color w:val="FF0000"/>
                <w:rtl/>
                <w:lang w:val="ar-SA"/>
              </w:rPr>
              <w:br/>
              <w:t>جدة، القيمة ٢</w:t>
            </w:r>
            <w:r w:rsidRPr="002E4425">
              <w:rPr>
                <w:rFonts w:ascii="Simplified Arabic" w:eastAsia="Arial" w:hAnsi="Simplified Arabic" w:cs="Simplified Arabic"/>
                <w:color w:val="FF0000"/>
                <w:rtl/>
                <w:lang w:val="ar-SA"/>
              </w:rPr>
              <w:br/>
              <w:t>الدمام، القيمة ٣</w:t>
            </w:r>
          </w:p>
        </w:tc>
      </w:tr>
      <w:tr w:rsidR="00F035EA" w:rsidRPr="002E4425" w14:paraId="68296DD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F581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41D3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العملاء الذين تخدمهم الوكالة غالبًا؛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6141E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50E7E96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866C84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A1E95C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مستوى نضج استخدام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265A7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استخدام فردي محدود، القيمة ١</w:t>
            </w:r>
            <w:r w:rsidRPr="002E4425">
              <w:rPr>
                <w:rFonts w:ascii="Simplified Arabic" w:eastAsia="Arial" w:hAnsi="Simplified Arabic" w:cs="Simplified Arabic"/>
                <w:color w:val="FF0000"/>
                <w:rtl/>
                <w:lang w:val="ar-SA"/>
              </w:rPr>
              <w:br/>
              <w:t>استخدام تجريبي داخل بعض الفرق، القيمة ٢</w:t>
            </w:r>
            <w:r w:rsidRPr="002E4425">
              <w:rPr>
                <w:rFonts w:ascii="Simplified Arabic" w:eastAsia="Arial" w:hAnsi="Simplified Arabic" w:cs="Simplified Arabic"/>
                <w:color w:val="FF0000"/>
                <w:rtl/>
                <w:lang w:val="ar-SA"/>
              </w:rPr>
              <w:br/>
              <w:t>استخدام منتظم في بعض المشاريع، القيمة ٣</w:t>
            </w:r>
            <w:r w:rsidRPr="002E4425">
              <w:rPr>
                <w:rFonts w:ascii="Simplified Arabic" w:eastAsia="Arial" w:hAnsi="Simplified Arabic" w:cs="Simplified Arabic"/>
                <w:color w:val="FF0000"/>
                <w:rtl/>
                <w:lang w:val="ar-SA"/>
              </w:rPr>
              <w:br/>
              <w:t>استخدام مؤسسي مدمج في سير العمل، القيمة ٤</w:t>
            </w:r>
            <w:r w:rsidRPr="002E4425">
              <w:rPr>
                <w:rFonts w:ascii="Simplified Arabic" w:eastAsia="Arial" w:hAnsi="Simplified Arabic" w:cs="Simplified Arabic"/>
                <w:color w:val="FF0000"/>
                <w:rtl/>
                <w:lang w:val="ar-SA"/>
              </w:rPr>
              <w:br/>
              <w:t>لا أعلم، القيمة ٥</w:t>
            </w:r>
          </w:p>
        </w:tc>
      </w:tr>
      <w:tr w:rsidR="00F035EA" w:rsidRPr="002E4425" w14:paraId="38D9FC4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BF187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E09D5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أنواع أدوات الذكاء الاصطناعي التوليدي المستخدمة بانتظام في الوكالة؛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0102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22CFA7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B073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P11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4EE6A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عدد الحملات الرقمية التي شاركت فيها واستخدمت فيها أدوات ذكاء اصطناعي توليدي خلال آخر اثني عشر شهرًا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EF39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لا توجد حملات، القيمة ٠</w:t>
            </w:r>
            <w:r w:rsidRPr="002E4425">
              <w:rPr>
                <w:rFonts w:ascii="Simplified Arabic" w:eastAsia="Arial" w:hAnsi="Simplified Arabic" w:cs="Simplified Arabic"/>
                <w:color w:val="FF0000"/>
                <w:rtl/>
                <w:lang w:val="ar-SA"/>
              </w:rPr>
              <w:br/>
              <w:t>حملة واحدة، القيمة ١</w:t>
            </w:r>
            <w:r w:rsidRPr="002E4425">
              <w:rPr>
                <w:rFonts w:ascii="Simplified Arabic" w:eastAsia="Arial" w:hAnsi="Simplified Arabic" w:cs="Simplified Arabic"/>
                <w:color w:val="FF0000"/>
                <w:rtl/>
                <w:lang w:val="ar-SA"/>
              </w:rPr>
              <w:br/>
              <w:t>من حملتين إلى ٥ حملات، القيمة ٢</w:t>
            </w:r>
            <w:r w:rsidRPr="002E4425">
              <w:rPr>
                <w:rFonts w:ascii="Simplified Arabic" w:eastAsia="Arial" w:hAnsi="Simplified Arabic" w:cs="Simplified Arabic"/>
                <w:color w:val="FF0000"/>
                <w:rtl/>
                <w:lang w:val="ar-SA"/>
              </w:rPr>
              <w:br/>
              <w:t>من ٦ إلى ١٠ حملات، القيمة ٣</w:t>
            </w:r>
            <w:r w:rsidRPr="002E4425">
              <w:rPr>
                <w:rFonts w:ascii="Simplified Arabic" w:eastAsia="Arial" w:hAnsi="Simplified Arabic" w:cs="Simplified Arabic"/>
                <w:color w:val="FF0000"/>
                <w:rtl/>
                <w:lang w:val="ar-SA"/>
              </w:rPr>
              <w:br/>
              <w:t>أكثر من ١٠ حملات، القيمة ٤</w:t>
            </w:r>
          </w:p>
        </w:tc>
      </w:tr>
      <w:tr w:rsidR="00F035EA" w:rsidRPr="002E4425" w14:paraId="77EF2DF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91ED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5965B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توجد في الوكالة سياسة أو ضوابط داخلية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9EF3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مكتوبة وواضحة، القيمة ١</w:t>
            </w:r>
            <w:r w:rsidRPr="002E4425">
              <w:rPr>
                <w:rFonts w:ascii="Simplified Arabic" w:eastAsia="Arial" w:hAnsi="Simplified Arabic" w:cs="Simplified Arabic"/>
                <w:color w:val="FF0000"/>
                <w:rtl/>
                <w:lang w:val="ar-SA"/>
              </w:rPr>
              <w:br/>
              <w:t>نعم، لكنها غير مكتملة، القيمة ٢</w:t>
            </w:r>
            <w:r w:rsidRPr="002E4425">
              <w:rPr>
                <w:rFonts w:ascii="Simplified Arabic" w:eastAsia="Arial" w:hAnsi="Simplified Arabic" w:cs="Simplified Arabic"/>
                <w:color w:val="FF0000"/>
                <w:rtl/>
                <w:lang w:val="ar-SA"/>
              </w:rPr>
              <w:br/>
              <w:t>لا توجد، القيمة ٣</w:t>
            </w:r>
            <w:r w:rsidRPr="002E4425">
              <w:rPr>
                <w:rFonts w:ascii="Simplified Arabic" w:eastAsia="Arial" w:hAnsi="Simplified Arabic" w:cs="Simplified Arabic"/>
                <w:color w:val="FF0000"/>
                <w:rtl/>
                <w:lang w:val="ar-SA"/>
              </w:rPr>
              <w:br/>
              <w:t>لا أعلم، القيمة ٤</w:t>
            </w:r>
          </w:p>
        </w:tc>
      </w:tr>
      <w:tr w:rsidR="00F035EA" w:rsidRPr="002E4425" w14:paraId="7B600AA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C341B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BD9D7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علاقتك بأدوات الذكاء الاصطناعي التوليدي في الحملات التسويقية؛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34DD1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3EA5AE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E85F3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E9A33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قناة الوصول إلى الاستبانة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27D38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عن طريق الوكالة أو المدير المباشر، القيمة ١</w:t>
            </w:r>
            <w:r w:rsidRPr="002E4425">
              <w:rPr>
                <w:rFonts w:ascii="Simplified Arabic" w:eastAsia="Arial" w:hAnsi="Simplified Arabic" w:cs="Simplified Arabic"/>
                <w:color w:val="FF0000"/>
                <w:rtl/>
                <w:lang w:val="ar-SA"/>
              </w:rPr>
              <w:br/>
              <w:t>جمعية أو مجموعة مهنية، القيمة ٢</w:t>
            </w:r>
            <w:r w:rsidRPr="002E4425">
              <w:rPr>
                <w:rFonts w:ascii="Simplified Arabic" w:eastAsia="Arial" w:hAnsi="Simplified Arabic" w:cs="Simplified Arabic"/>
                <w:color w:val="FF0000"/>
                <w:rtl/>
                <w:lang w:val="ar-SA"/>
              </w:rPr>
              <w:br/>
              <w:t>لينكدإن، القيمة ٣</w:t>
            </w:r>
            <w:r w:rsidRPr="002E4425">
              <w:rPr>
                <w:rFonts w:ascii="Simplified Arabic" w:eastAsia="Arial" w:hAnsi="Simplified Arabic" w:cs="Simplified Arabic"/>
                <w:color w:val="FF0000"/>
                <w:rtl/>
                <w:lang w:val="ar-SA"/>
              </w:rPr>
              <w:br/>
              <w:t>شبكة شخصية أو إحالة، القيمة ٤</w:t>
            </w:r>
          </w:p>
        </w:tc>
      </w:tr>
    </w:tbl>
    <w:p w14:paraId="40AF061F"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ملاحظة: تُترك الخلايا ذات القيم المفقودة فارغة في ملف البيانات، ثم تُعالج وفق بروتوكول تنظيف البيانات الوارد في الفصل الثالث. ولا تتضمن الصورة الحالية للأداة أي فقرة عكسية؛ وإذا استُحدثت فقرة عكسية بعد التحكيم أو الدراسة الاستطلاعية، فتُوثق صراحةً قبل بدء التحليل.</w:t>
      </w:r>
    </w:p>
    <w:p w14:paraId="158AACCE" w14:textId="77777777" w:rsidR="00F035EA" w:rsidRPr="002E4425" w:rsidRDefault="00F035EA" w:rsidP="00F035EA">
      <w:pPr>
        <w:bidi/>
        <w:spacing w:after="200" w:line="276" w:lineRule="auto"/>
        <w:jc w:val="both"/>
        <w:rPr>
          <w:rFonts w:ascii="Simplified Arabic" w:hAnsi="Simplified Arabic" w:cs="Simplified Arabic"/>
          <w:rtl/>
        </w:rPr>
      </w:pPr>
    </w:p>
    <w:p w14:paraId="041410A3" w14:textId="77777777" w:rsidR="00F035EA" w:rsidRDefault="00F035EA" w:rsidP="00F035EA">
      <w:pPr>
        <w:bidi/>
        <w:spacing w:after="200" w:line="276" w:lineRule="auto"/>
        <w:jc w:val="both"/>
        <w:rPr>
          <w:rFonts w:ascii="Simplified Arabic" w:hAnsi="Simplified Arabic" w:cs="Simplified Arabic"/>
          <w:rtl/>
        </w:rPr>
      </w:pPr>
    </w:p>
    <w:p w14:paraId="10CF00BA" w14:textId="77777777" w:rsidR="00F035EA" w:rsidRDefault="00F035EA" w:rsidP="00F035EA">
      <w:pPr>
        <w:bidi/>
        <w:spacing w:after="200" w:line="276" w:lineRule="auto"/>
        <w:jc w:val="both"/>
        <w:rPr>
          <w:rFonts w:ascii="Simplified Arabic" w:hAnsi="Simplified Arabic" w:cs="Simplified Arabic"/>
          <w:rtl/>
        </w:rPr>
      </w:pPr>
    </w:p>
    <w:p w14:paraId="705BAC4B" w14:textId="77777777" w:rsidR="00F035EA" w:rsidRDefault="00F035EA" w:rsidP="00F035EA">
      <w:pPr>
        <w:bidi/>
        <w:spacing w:after="200" w:line="276" w:lineRule="auto"/>
        <w:jc w:val="both"/>
        <w:rPr>
          <w:rFonts w:ascii="Simplified Arabic" w:hAnsi="Simplified Arabic" w:cs="Simplified Arabic"/>
          <w:rtl/>
        </w:rPr>
      </w:pPr>
    </w:p>
    <w:p w14:paraId="07EDB974" w14:textId="77777777" w:rsidR="00F035EA" w:rsidRDefault="00F035EA" w:rsidP="00F035EA">
      <w:pPr>
        <w:bidi/>
        <w:spacing w:after="200" w:line="276" w:lineRule="auto"/>
        <w:jc w:val="both"/>
        <w:rPr>
          <w:rFonts w:ascii="Simplified Arabic" w:hAnsi="Simplified Arabic" w:cs="Simplified Arabic"/>
          <w:rtl/>
        </w:rPr>
      </w:pPr>
    </w:p>
    <w:p w14:paraId="45F04286" w14:textId="77777777" w:rsidR="00F035EA" w:rsidRPr="00E04FE4" w:rsidRDefault="00F035EA" w:rsidP="00F035EA">
      <w:pPr>
        <w:bidi/>
        <w:spacing w:after="200" w:line="276" w:lineRule="auto"/>
        <w:jc w:val="both"/>
        <w:rPr>
          <w:rFonts w:ascii="Simplified Arabic" w:hAnsi="Simplified Arabic" w:cs="Simplified Arabic"/>
          <w:rtl/>
        </w:rPr>
      </w:pPr>
    </w:p>
    <w:p w14:paraId="013AF322"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Pr>
          <w:rFonts w:ascii="Sakkal Majalla" w:hAnsi="Sakkal Majalla" w:cs="Sakkal Majalla"/>
          <w:b/>
          <w:bCs/>
          <w:color w:val="00B0F0"/>
          <w:sz w:val="36"/>
          <w:szCs w:val="36"/>
          <w:u w:val="single"/>
          <w:rtl/>
        </w:rPr>
        <w:t>:</w:t>
      </w:r>
    </w:p>
    <w:p w14:paraId="4D8E209D" w14:textId="77777777" w:rsidR="00F035EA" w:rsidRPr="00ED07DE"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w:t>
      </w:r>
      <w:r>
        <w:rPr>
          <w:rFonts w:ascii="Sakkal Majalla" w:hAnsi="Sakkal Majalla" w:cs="Sakkal Majalla" w:hint="cs"/>
          <w:b/>
          <w:bCs/>
          <w:color w:val="1F497D" w:themeColor="text2"/>
          <w:sz w:val="32"/>
          <w:szCs w:val="32"/>
          <w:u w:val="single"/>
          <w:rtl/>
        </w:rPr>
        <w:t>راجع العربية</w:t>
      </w:r>
    </w:p>
    <w:p w14:paraId="608608E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rtl/>
        </w:rPr>
        <w:t xml:space="preserve"> </w:t>
      </w:r>
      <w:r w:rsidRPr="00081602">
        <w:rPr>
          <w:rFonts w:ascii="Simplified Arabic" w:hAnsi="Simplified Arabic" w:cs="Simplified Arabic"/>
          <w:b/>
          <w:bCs/>
          <w:color w:val="EE0000"/>
          <w:sz w:val="28"/>
          <w:szCs w:val="28"/>
          <w:rtl/>
        </w:rPr>
        <w:t xml:space="preserve">الأسدودي، ن. ن. </w:t>
      </w:r>
      <w:r w:rsidRPr="00081602">
        <w:rPr>
          <w:rFonts w:ascii="Simplified Arabic" w:hAnsi="Simplified Arabic" w:cs="Simplified Arabic"/>
          <w:color w:val="EE0000"/>
          <w:sz w:val="28"/>
          <w:szCs w:val="28"/>
          <w:rtl/>
        </w:rPr>
        <w:t xml:space="preserve">(2023). تطبيق آليات الذكاء الاصطناعي في التسويق الرقمي وآثارها في تحقيق المزايا التنافسية: دراسة ميدانية على الخبراء.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67(2), 837–902.</w:t>
      </w:r>
    </w:p>
    <w:p w14:paraId="111000A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1" w:history="1">
        <w:r w:rsidRPr="00081602">
          <w:rPr>
            <w:rStyle w:val="Hyperlink"/>
            <w:rFonts w:ascii="Simplified Arabic" w:hAnsi="Simplified Arabic" w:cs="Simplified Arabic"/>
            <w:color w:val="EE0000"/>
            <w:sz w:val="20"/>
            <w:szCs w:val="20"/>
          </w:rPr>
          <w:t>https://doi.org/10.21608/jsb.2023.230616.1633</w:t>
        </w:r>
      </w:hyperlink>
      <w:r w:rsidRPr="00081602">
        <w:rPr>
          <w:rFonts w:ascii="Simplified Arabic" w:hAnsi="Simplified Arabic" w:cs="Simplified Arabic"/>
          <w:color w:val="EE0000"/>
          <w:sz w:val="27"/>
          <w:szCs w:val="27"/>
        </w:rPr>
        <w:t xml:space="preserve"> </w:t>
      </w:r>
    </w:p>
    <w:p w14:paraId="2DF6AB4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آل مرعي، ع. ب. ع. </w:t>
      </w:r>
      <w:r w:rsidRPr="00081602">
        <w:rPr>
          <w:rFonts w:ascii="Simplified Arabic" w:hAnsi="Simplified Arabic" w:cs="Simplified Arabic"/>
          <w:color w:val="EE0000"/>
          <w:sz w:val="28"/>
          <w:szCs w:val="28"/>
          <w:rtl/>
        </w:rPr>
        <w:t xml:space="preserve">(2024). إدراك الشباب السعودي لتقنيات الذكاء الاصطناعي وتأثيراتها على تحقيق جودة المحتوى المرئي عبر وسائل الإعلام: دراسة ميدانية.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72(2), 957–1054.</w:t>
      </w:r>
    </w:p>
    <w:p w14:paraId="6B150EF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2" w:history="1">
        <w:r w:rsidRPr="00081602">
          <w:rPr>
            <w:rStyle w:val="Hyperlink"/>
            <w:rFonts w:ascii="Simplified Arabic" w:hAnsi="Simplified Arabic" w:cs="Simplified Arabic"/>
            <w:color w:val="EE0000"/>
            <w:sz w:val="20"/>
            <w:szCs w:val="20"/>
          </w:rPr>
          <w:t>https://doi.org/10.21608/jsb.2024.307517.1782</w:t>
        </w:r>
      </w:hyperlink>
      <w:r w:rsidRPr="00081602">
        <w:rPr>
          <w:rFonts w:ascii="Simplified Arabic" w:hAnsi="Simplified Arabic" w:cs="Simplified Arabic"/>
          <w:color w:val="EE0000"/>
          <w:sz w:val="27"/>
          <w:szCs w:val="27"/>
        </w:rPr>
        <w:t xml:space="preserve"> </w:t>
      </w:r>
    </w:p>
    <w:p w14:paraId="21EB191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البخيت، م. ع. </w:t>
      </w:r>
      <w:r w:rsidRPr="00081602">
        <w:rPr>
          <w:rFonts w:ascii="Simplified Arabic" w:hAnsi="Simplified Arabic" w:cs="Simplified Arabic"/>
          <w:color w:val="EE0000"/>
          <w:sz w:val="28"/>
          <w:szCs w:val="28"/>
          <w:rtl/>
        </w:rPr>
        <w:t xml:space="preserve">(2025). واقع استخدام تطبيقات الذكاء الاصطناعي لدى أعضاء هيئة التدريس بكلية الآداب والفنون بجامعة حائل: دراسة ميدانية. </w:t>
      </w:r>
      <w:r w:rsidRPr="00081602">
        <w:rPr>
          <w:rFonts w:ascii="Simplified Arabic" w:hAnsi="Simplified Arabic" w:cs="Simplified Arabic"/>
          <w:i/>
          <w:iCs/>
          <w:color w:val="EE0000"/>
          <w:sz w:val="28"/>
          <w:szCs w:val="28"/>
          <w:rtl/>
        </w:rPr>
        <w:t>مجلة جامعة الملك عبدالعزيز: الاتصال والدراسات الإعلامية</w:t>
      </w:r>
      <w:r w:rsidRPr="00081602">
        <w:rPr>
          <w:rFonts w:ascii="Simplified Arabic" w:hAnsi="Simplified Arabic" w:cs="Simplified Arabic"/>
          <w:color w:val="EE0000"/>
          <w:sz w:val="28"/>
          <w:szCs w:val="28"/>
          <w:rtl/>
        </w:rPr>
        <w:t>، 2(1), 178–203.</w:t>
      </w:r>
    </w:p>
    <w:p w14:paraId="532DF2E6"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3" w:history="1">
        <w:r w:rsidRPr="00081602">
          <w:rPr>
            <w:rStyle w:val="Hyperlink"/>
            <w:rFonts w:ascii="Simplified Arabic" w:hAnsi="Simplified Arabic" w:cs="Simplified Arabic"/>
            <w:color w:val="EE0000"/>
            <w:sz w:val="20"/>
            <w:szCs w:val="20"/>
          </w:rPr>
          <w:t>https://doi.org/10.4197/Comm.2-1.5</w:t>
        </w:r>
      </w:hyperlink>
      <w:r w:rsidRPr="00081602">
        <w:rPr>
          <w:rFonts w:ascii="Simplified Arabic" w:hAnsi="Simplified Arabic" w:cs="Simplified Arabic"/>
          <w:color w:val="EE0000"/>
          <w:sz w:val="27"/>
          <w:szCs w:val="27"/>
        </w:rPr>
        <w:t xml:space="preserve"> </w:t>
      </w:r>
    </w:p>
    <w:p w14:paraId="24CC4B3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الخطيب، أ. س. م. ع. </w:t>
      </w:r>
      <w:r w:rsidRPr="00081602">
        <w:rPr>
          <w:rFonts w:ascii="Simplified Arabic" w:hAnsi="Simplified Arabic" w:cs="Simplified Arabic"/>
          <w:color w:val="EE0000"/>
          <w:sz w:val="28"/>
          <w:szCs w:val="28"/>
          <w:rtl/>
        </w:rPr>
        <w:t xml:space="preserve">(2024). تأثير تقنيات التسويق الرقمي المدعومة بالذكاء الاصطناعي في السلوك الشرائي: دراسة ميدانية على عملاء المتاجر الإلكترونية. </w:t>
      </w:r>
      <w:r w:rsidRPr="00081602">
        <w:rPr>
          <w:rFonts w:ascii="Simplified Arabic" w:hAnsi="Simplified Arabic" w:cs="Simplified Arabic"/>
          <w:i/>
          <w:iCs/>
          <w:color w:val="EE0000"/>
          <w:sz w:val="28"/>
          <w:szCs w:val="28"/>
          <w:rtl/>
        </w:rPr>
        <w:t>مجلة جامعة الصالحية الجديدة للعلوم الإدارية والاقتصادية</w:t>
      </w:r>
      <w:r w:rsidRPr="00081602">
        <w:rPr>
          <w:rFonts w:ascii="Simplified Arabic" w:hAnsi="Simplified Arabic" w:cs="Simplified Arabic"/>
          <w:color w:val="EE0000"/>
          <w:sz w:val="28"/>
          <w:szCs w:val="28"/>
          <w:rtl/>
        </w:rPr>
        <w:t>، 1(2), 159–219.</w:t>
      </w:r>
    </w:p>
    <w:p w14:paraId="4C6DE813"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4" w:history="1">
        <w:r w:rsidRPr="00081602">
          <w:rPr>
            <w:rStyle w:val="Hyperlink"/>
            <w:rFonts w:ascii="Simplified Arabic" w:hAnsi="Simplified Arabic" w:cs="Simplified Arabic"/>
            <w:color w:val="EE0000"/>
            <w:sz w:val="20"/>
            <w:szCs w:val="20"/>
          </w:rPr>
          <w:t>https://doi.org/10.21608/jsasc.2024.335098.1016</w:t>
        </w:r>
      </w:hyperlink>
      <w:r w:rsidRPr="00081602">
        <w:rPr>
          <w:rFonts w:ascii="Simplified Arabic" w:hAnsi="Simplified Arabic" w:cs="Simplified Arabic"/>
          <w:color w:val="EE0000"/>
          <w:sz w:val="27"/>
          <w:szCs w:val="27"/>
        </w:rPr>
        <w:t xml:space="preserve"> </w:t>
      </w:r>
    </w:p>
    <w:p w14:paraId="2F6D071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رمضان، ن. </w:t>
      </w:r>
      <w:r w:rsidRPr="00081602">
        <w:rPr>
          <w:rFonts w:ascii="Simplified Arabic" w:hAnsi="Simplified Arabic" w:cs="Simplified Arabic"/>
          <w:color w:val="EE0000"/>
          <w:sz w:val="28"/>
          <w:szCs w:val="28"/>
          <w:rtl/>
        </w:rPr>
        <w:t xml:space="preserve">(2025، 27 مايو). </w:t>
      </w:r>
      <w:r w:rsidRPr="00081602">
        <w:rPr>
          <w:rFonts w:ascii="Simplified Arabic" w:hAnsi="Simplified Arabic" w:cs="Simplified Arabic"/>
          <w:i/>
          <w:iCs/>
          <w:color w:val="EE0000"/>
          <w:sz w:val="28"/>
          <w:szCs w:val="28"/>
          <w:rtl/>
        </w:rPr>
        <w:t>من العام إلى الفردي... كيف يغيّر الذكاء الاصطناعي قواعد التسويق في السعودية؟</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الشرق الأوسط.</w:t>
      </w:r>
    </w:p>
    <w:p w14:paraId="04B6675C"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5" w:history="1">
        <w:r w:rsidRPr="00081602">
          <w:rPr>
            <w:rStyle w:val="Hyperlink"/>
            <w:rFonts w:ascii="Simplified Arabic" w:hAnsi="Simplified Arabic" w:cs="Simplified Arabic"/>
            <w:color w:val="EE0000"/>
            <w:sz w:val="20"/>
            <w:szCs w:val="20"/>
          </w:rPr>
          <w: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w:t>
        </w:r>
      </w:hyperlink>
      <w:r w:rsidRPr="00081602">
        <w:rPr>
          <w:rFonts w:ascii="Simplified Arabic" w:hAnsi="Simplified Arabic" w:cs="Simplified Arabic"/>
          <w:color w:val="EE0000"/>
          <w:sz w:val="27"/>
          <w:szCs w:val="27"/>
        </w:rPr>
        <w:t xml:space="preserve"> </w:t>
      </w:r>
    </w:p>
    <w:p w14:paraId="64A7F203"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عبد الرازق، م. م. </w:t>
      </w:r>
      <w:r w:rsidRPr="00081602">
        <w:rPr>
          <w:rFonts w:ascii="Simplified Arabic" w:hAnsi="Simplified Arabic" w:cs="Simplified Arabic"/>
          <w:color w:val="EE0000"/>
          <w:sz w:val="28"/>
          <w:szCs w:val="28"/>
          <w:rtl/>
        </w:rPr>
        <w:t xml:space="preserve">(2022). تقنيات الذكاء الاصطناعي في الإعلام: الواقع والتطورات المستقبلية: دراسة تطبيقية على القائمين بالاتصال بالوسائل الإعلامية المصرية والعربية. </w:t>
      </w:r>
      <w:r w:rsidRPr="00081602">
        <w:rPr>
          <w:rFonts w:ascii="Simplified Arabic" w:hAnsi="Simplified Arabic" w:cs="Simplified Arabic"/>
          <w:i/>
          <w:iCs/>
          <w:color w:val="EE0000"/>
          <w:sz w:val="28"/>
          <w:szCs w:val="28"/>
          <w:rtl/>
        </w:rPr>
        <w:t>المجلة المصرية لبحوث الإعلام</w:t>
      </w:r>
      <w:r w:rsidRPr="00081602">
        <w:rPr>
          <w:rFonts w:ascii="Simplified Arabic" w:hAnsi="Simplified Arabic" w:cs="Simplified Arabic"/>
          <w:color w:val="EE0000"/>
          <w:sz w:val="28"/>
          <w:szCs w:val="28"/>
          <w:rtl/>
        </w:rPr>
        <w:t>، 81, 1–74.</w:t>
      </w:r>
    </w:p>
    <w:p w14:paraId="19FC42C5"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16" w:history="1">
        <w:r w:rsidRPr="00081602">
          <w:rPr>
            <w:rStyle w:val="Hyperlink"/>
            <w:rFonts w:ascii="Simplified Arabic" w:hAnsi="Simplified Arabic" w:cs="Simplified Arabic"/>
            <w:color w:val="EE0000"/>
            <w:sz w:val="20"/>
            <w:szCs w:val="20"/>
          </w:rPr>
          <w:t>https://doi.org/10.21608/ejsc.2022.272038</w:t>
        </w:r>
      </w:hyperlink>
      <w:r w:rsidRPr="00081602">
        <w:rPr>
          <w:rFonts w:ascii="Simplified Arabic" w:hAnsi="Simplified Arabic" w:cs="Simplified Arabic"/>
          <w:color w:val="EE0000"/>
          <w:sz w:val="27"/>
          <w:szCs w:val="27"/>
        </w:rPr>
        <w:t xml:space="preserve"> </w:t>
      </w:r>
    </w:p>
    <w:p w14:paraId="7D9A45B2"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lastRenderedPageBreak/>
        <w:t xml:space="preserve">العتيبي، ع. </w:t>
      </w:r>
      <w:r w:rsidRPr="00081602">
        <w:rPr>
          <w:rFonts w:ascii="Simplified Arabic" w:hAnsi="Simplified Arabic" w:cs="Simplified Arabic"/>
          <w:color w:val="EE0000"/>
          <w:sz w:val="28"/>
          <w:szCs w:val="28"/>
          <w:rtl/>
        </w:rPr>
        <w:t xml:space="preserve">(2024). </w:t>
      </w:r>
      <w:r w:rsidRPr="00081602">
        <w:rPr>
          <w:rFonts w:ascii="Simplified Arabic" w:hAnsi="Simplified Arabic" w:cs="Simplified Arabic"/>
          <w:i/>
          <w:iCs/>
          <w:color w:val="EE0000"/>
          <w:sz w:val="28"/>
          <w:szCs w:val="28"/>
          <w:rtl/>
        </w:rPr>
        <w:t>أهم إحصائيات عن التسويق الإلكتروني بشكل عام لسنة 2024.</w:t>
      </w:r>
      <w:r w:rsidRPr="00081602">
        <w:rPr>
          <w:rFonts w:ascii="Simplified Arabic" w:hAnsi="Simplified Arabic" w:cs="Simplified Arabic"/>
          <w:color w:val="EE0000"/>
          <w:sz w:val="28"/>
          <w:szCs w:val="28"/>
          <w:rtl/>
        </w:rPr>
        <w:t xml:space="preserve"> عبد الرحمن العتيبي.</w:t>
      </w:r>
    </w:p>
    <w:p w14:paraId="2270BE7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7" w:history="1">
        <w:r w:rsidRPr="00081602">
          <w:rPr>
            <w:rStyle w:val="Hyperlink"/>
            <w:rFonts w:ascii="Simplified Arabic" w:hAnsi="Simplified Arabic" w:cs="Simplified Arabic"/>
            <w:color w:val="EE0000"/>
            <w:sz w:val="20"/>
            <w:szCs w:val="20"/>
          </w:rPr>
          <w:t>https://abdulrahmanalotaibi.sa/%D8%A7%D8%AD%D8%B5%D8%A7%D8%A6%D9%8A%D8%A7%D8%AA-%D8%B9%D9%86-%D8%A7%D9%84%D8%AA%D8%B3%D9%88%D9%8A%D9%82-%D8%A7%D9%84%D8%A7%D9%84%D9%83%D8%AA%D8%B1%D9%88%D9%86%D9%8A/</w:t>
        </w:r>
      </w:hyperlink>
      <w:r w:rsidRPr="00081602">
        <w:rPr>
          <w:rFonts w:ascii="Simplified Arabic" w:hAnsi="Simplified Arabic" w:cs="Simplified Arabic"/>
          <w:color w:val="EE0000"/>
          <w:sz w:val="27"/>
          <w:szCs w:val="27"/>
        </w:rPr>
        <w:t xml:space="preserve"> </w:t>
      </w:r>
    </w:p>
    <w:p w14:paraId="5A47BE5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اللهيبي، س. ع.، وسماكة، ع. م. ع. </w:t>
      </w:r>
      <w:r w:rsidRPr="00081602">
        <w:rPr>
          <w:rFonts w:ascii="Simplified Arabic" w:hAnsi="Simplified Arabic" w:cs="Simplified Arabic"/>
          <w:color w:val="EE0000"/>
          <w:sz w:val="28"/>
          <w:szCs w:val="28"/>
          <w:rtl/>
        </w:rPr>
        <w:t xml:space="preserve">(2024). أثر تطبيق الذكاء الاصطناعي على الأداء التسويقي المصرفي: دراسة تحليلية لآراء عينة من العاملين في القطاع المصرفي الحكومي في محافظة النجف الأشرف. </w:t>
      </w:r>
      <w:r w:rsidRPr="00081602">
        <w:rPr>
          <w:rFonts w:ascii="Simplified Arabic" w:hAnsi="Simplified Arabic" w:cs="Simplified Arabic"/>
          <w:i/>
          <w:iCs/>
          <w:color w:val="EE0000"/>
          <w:sz w:val="28"/>
          <w:szCs w:val="28"/>
          <w:rtl/>
        </w:rPr>
        <w:t>مجلة الغري للعلوم الاقتصادية والإدارية</w:t>
      </w:r>
      <w:r w:rsidRPr="00081602">
        <w:rPr>
          <w:rFonts w:ascii="Simplified Arabic" w:hAnsi="Simplified Arabic" w:cs="Simplified Arabic"/>
          <w:color w:val="EE0000"/>
          <w:sz w:val="28"/>
          <w:szCs w:val="28"/>
          <w:rtl/>
        </w:rPr>
        <w:t>، 20(3), 438–469.</w:t>
      </w:r>
    </w:p>
    <w:p w14:paraId="0D5EB52E"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8" w:history="1">
        <w:r w:rsidRPr="00081602">
          <w:rPr>
            <w:rStyle w:val="Hyperlink"/>
            <w:rFonts w:ascii="Simplified Arabic" w:hAnsi="Simplified Arabic" w:cs="Simplified Arabic"/>
            <w:color w:val="EE0000"/>
            <w:sz w:val="20"/>
            <w:szCs w:val="20"/>
          </w:rPr>
          <w:t>https://doi.org/10.36325/ghjec.v20i3.16786</w:t>
        </w:r>
      </w:hyperlink>
      <w:r w:rsidRPr="00081602">
        <w:rPr>
          <w:rFonts w:ascii="Simplified Arabic" w:hAnsi="Simplified Arabic" w:cs="Simplified Arabic"/>
          <w:color w:val="EE0000"/>
          <w:sz w:val="27"/>
          <w:szCs w:val="27"/>
        </w:rPr>
        <w:t xml:space="preserve"> </w:t>
      </w:r>
    </w:p>
    <w:p w14:paraId="05594C7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محيسن، ح. أ.، مجاهد، ح.، وبصبوص، ر. </w:t>
      </w:r>
      <w:r w:rsidRPr="00081602">
        <w:rPr>
          <w:rFonts w:ascii="Simplified Arabic" w:hAnsi="Simplified Arabic" w:cs="Simplified Arabic"/>
          <w:color w:val="EE0000"/>
          <w:sz w:val="28"/>
          <w:szCs w:val="28"/>
          <w:rtl/>
        </w:rPr>
        <w:t xml:space="preserve">(2025). أثر هندسة التلقين لأدوات الذكاء الاصطناعي التوليدي في جودة إنتاج المحتوى النصي التسويقي العربي. </w:t>
      </w:r>
      <w:r w:rsidRPr="00081602">
        <w:rPr>
          <w:rFonts w:ascii="Simplified Arabic" w:hAnsi="Simplified Arabic" w:cs="Simplified Arabic"/>
          <w:i/>
          <w:iCs/>
          <w:color w:val="EE0000"/>
          <w:sz w:val="28"/>
          <w:szCs w:val="28"/>
          <w:rtl/>
        </w:rPr>
        <w:t>مجلة جامعة فلسطين الأهلية للبحوث والدراسات</w:t>
      </w:r>
      <w:r w:rsidRPr="00081602">
        <w:rPr>
          <w:rFonts w:ascii="Simplified Arabic" w:hAnsi="Simplified Arabic" w:cs="Simplified Arabic"/>
          <w:color w:val="EE0000"/>
          <w:sz w:val="28"/>
          <w:szCs w:val="28"/>
          <w:rtl/>
        </w:rPr>
        <w:t>، 4(2), 161–198.</w:t>
      </w:r>
    </w:p>
    <w:p w14:paraId="4DD6AE1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9" w:history="1">
        <w:r w:rsidRPr="00081602">
          <w:rPr>
            <w:rStyle w:val="Hyperlink"/>
            <w:rFonts w:ascii="Simplified Arabic" w:hAnsi="Simplified Arabic" w:cs="Simplified Arabic"/>
            <w:color w:val="EE0000"/>
            <w:sz w:val="20"/>
            <w:szCs w:val="20"/>
          </w:rPr>
          <w:t>https://doi.org/10.59994/pau.2025.2.161</w:t>
        </w:r>
      </w:hyperlink>
      <w:r w:rsidRPr="00081602">
        <w:rPr>
          <w:rFonts w:ascii="Simplified Arabic" w:hAnsi="Simplified Arabic" w:cs="Simplified Arabic"/>
          <w:color w:val="EE0000"/>
          <w:sz w:val="27"/>
          <w:szCs w:val="27"/>
        </w:rPr>
        <w:t xml:space="preserve"> </w:t>
      </w:r>
    </w:p>
    <w:p w14:paraId="3FE1B226"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ملتقى أسبار. </w:t>
      </w:r>
      <w:r w:rsidRPr="00081602">
        <w:rPr>
          <w:rFonts w:ascii="Simplified Arabic" w:hAnsi="Simplified Arabic" w:cs="Simplified Arabic"/>
          <w:color w:val="EE0000"/>
          <w:sz w:val="28"/>
          <w:szCs w:val="28"/>
          <w:rtl/>
        </w:rPr>
        <w:t xml:space="preserve">(2023، 1 أكتوبر). </w:t>
      </w:r>
      <w:r w:rsidRPr="00081602">
        <w:rPr>
          <w:rFonts w:ascii="Simplified Arabic" w:hAnsi="Simplified Arabic" w:cs="Simplified Arabic"/>
          <w:i/>
          <w:iCs/>
          <w:color w:val="EE0000"/>
          <w:sz w:val="28"/>
          <w:szCs w:val="28"/>
          <w:rtl/>
        </w:rPr>
        <w:t>استشراف تطبيقات الذكاء الاصطناعي في خدمة الإعلام السعودي وقضايا المملكة</w:t>
      </w:r>
      <w:r w:rsidRPr="00081602">
        <w:rPr>
          <w:rFonts w:ascii="Simplified Arabic" w:hAnsi="Simplified Arabic" w:cs="Simplified Arabic"/>
          <w:color w:val="EE0000"/>
          <w:sz w:val="28"/>
          <w:szCs w:val="28"/>
          <w:rtl/>
        </w:rPr>
        <w:t xml:space="preserve"> [تقرير رقم 115].</w:t>
      </w:r>
    </w:p>
    <w:p w14:paraId="507C371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0" w:history="1">
        <w:r w:rsidRPr="00081602">
          <w:rPr>
            <w:rStyle w:val="Hyperlink"/>
            <w:rFonts w:ascii="Simplified Arabic" w:hAnsi="Simplified Arabic" w:cs="Simplified Arabic"/>
            <w:color w:val="EE0000"/>
            <w:sz w:val="20"/>
            <w:szCs w:val="20"/>
          </w:rPr>
          <w:t>https://asbar.com/report/%D8%AA%D9%82%D8%B1%D9%8A%D8%B1-%D8%B1%D9%82%D9%85-115/</w:t>
        </w:r>
      </w:hyperlink>
      <w:r w:rsidRPr="00081602">
        <w:rPr>
          <w:rFonts w:ascii="Simplified Arabic" w:hAnsi="Simplified Arabic" w:cs="Simplified Arabic"/>
          <w:color w:val="EE0000"/>
          <w:sz w:val="27"/>
          <w:szCs w:val="27"/>
        </w:rPr>
        <w:t xml:space="preserve"> </w:t>
      </w:r>
    </w:p>
    <w:p w14:paraId="48596A28"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السعودية للبيانات والذكاء الاصطناعي (سدايا). </w:t>
      </w:r>
      <w:r w:rsidRPr="00081602">
        <w:rPr>
          <w:rFonts w:ascii="Simplified Arabic" w:hAnsi="Simplified Arabic" w:cs="Simplified Arabic"/>
          <w:color w:val="EE0000"/>
          <w:sz w:val="28"/>
          <w:szCs w:val="28"/>
          <w:rtl/>
        </w:rPr>
        <w:t>(2024</w:t>
      </w:r>
      <w:r w:rsidRPr="00081602">
        <w:rPr>
          <w:rFonts w:ascii="Simplified Arabic" w:hAnsi="Simplified Arabic" w:cs="Simplified Arabic"/>
          <w:color w:val="EE0000"/>
          <w:sz w:val="28"/>
          <w:szCs w:val="28"/>
        </w:rPr>
        <w:t>b</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معادلة النمو الجديدة: فرصة الذكاء الاصطناعي التوليدي في المملكة العربية السعودية.</w:t>
      </w:r>
    </w:p>
    <w:p w14:paraId="294A5859"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1" w:history="1">
        <w:r w:rsidRPr="00081602">
          <w:rPr>
            <w:rStyle w:val="Hyperlink"/>
            <w:rFonts w:ascii="Simplified Arabic" w:hAnsi="Simplified Arabic" w:cs="Simplified Arabic"/>
            <w:color w:val="EE0000"/>
            <w:sz w:val="20"/>
            <w:szCs w:val="20"/>
          </w:rPr>
          <w:t>https://sdaia.gov.sa/ar/MediaCenter/KnowledgeCenter/Pages/SDAIAPublications.aspx</w:t>
        </w:r>
      </w:hyperlink>
      <w:r w:rsidRPr="00081602">
        <w:rPr>
          <w:rFonts w:ascii="Simplified Arabic" w:hAnsi="Simplified Arabic" w:cs="Simplified Arabic"/>
          <w:color w:val="EE0000"/>
          <w:sz w:val="27"/>
          <w:szCs w:val="27"/>
        </w:rPr>
        <w:t xml:space="preserve"> </w:t>
      </w:r>
    </w:p>
    <w:p w14:paraId="242C23AD"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العامة لتنظيم الإعلام.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قطاع الإعلانات.</w:t>
      </w:r>
      <w:r w:rsidRPr="00081602">
        <w:rPr>
          <w:rFonts w:ascii="Simplified Arabic" w:hAnsi="Simplified Arabic" w:cs="Simplified Arabic"/>
          <w:color w:val="EE0000"/>
          <w:sz w:val="28"/>
          <w:szCs w:val="28"/>
          <w:rtl/>
        </w:rPr>
        <w:t xml:space="preserve"> تم الاسترجاع في 9 أغسطس 2026، من</w:t>
      </w:r>
    </w:p>
    <w:p w14:paraId="4C61796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2" w:history="1">
        <w:r w:rsidRPr="00081602">
          <w:rPr>
            <w:rStyle w:val="Hyperlink"/>
            <w:rFonts w:ascii="Simplified Arabic" w:hAnsi="Simplified Arabic" w:cs="Simplified Arabic"/>
            <w:color w:val="EE0000"/>
            <w:sz w:val="20"/>
            <w:szCs w:val="20"/>
          </w:rPr>
          <w:t>https://investment.gmedia.gov.sa/details/advertising.html</w:t>
        </w:r>
      </w:hyperlink>
      <w:r w:rsidRPr="00081602">
        <w:rPr>
          <w:rFonts w:ascii="Simplified Arabic" w:hAnsi="Simplified Arabic" w:cs="Simplified Arabic"/>
          <w:color w:val="EE0000"/>
          <w:sz w:val="27"/>
          <w:szCs w:val="27"/>
        </w:rPr>
        <w:t xml:space="preserve"> </w:t>
      </w:r>
    </w:p>
    <w:p w14:paraId="527BC1F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المركز السعودي للأعمال.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مكاتب الدعاية والإعلان الإعلامية المرئية والمسموعة ومكاتب التسويق ووكالات الدعاية.</w:t>
      </w:r>
      <w:r w:rsidRPr="00081602">
        <w:rPr>
          <w:rFonts w:ascii="Simplified Arabic" w:hAnsi="Simplified Arabic" w:cs="Simplified Arabic"/>
          <w:color w:val="EE0000"/>
          <w:sz w:val="28"/>
          <w:szCs w:val="28"/>
          <w:rtl/>
        </w:rPr>
        <w:t xml:space="preserve"> تم الاسترجاع في 9 أغسطس 2026، من</w:t>
      </w:r>
    </w:p>
    <w:p w14:paraId="70CD984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3" w:history="1">
        <w:r w:rsidRPr="00081602">
          <w:rPr>
            <w:rStyle w:val="Hyperlink"/>
            <w:rFonts w:ascii="Simplified Arabic" w:hAnsi="Simplified Arabic" w:cs="Simplified Arabic"/>
            <w:color w:val="EE0000"/>
            <w:sz w:val="20"/>
            <w:szCs w:val="20"/>
          </w:rPr>
          <w:t>https://business.sa/eservices/details/3871715e-ab32-4b90-e2c3-08dc6d4c5607</w:t>
        </w:r>
      </w:hyperlink>
      <w:r w:rsidRPr="00081602">
        <w:rPr>
          <w:rFonts w:ascii="Simplified Arabic" w:hAnsi="Simplified Arabic" w:cs="Simplified Arabic"/>
          <w:color w:val="EE0000"/>
          <w:sz w:val="27"/>
          <w:szCs w:val="27"/>
        </w:rPr>
        <w:t xml:space="preserve"> </w:t>
      </w:r>
    </w:p>
    <w:p w14:paraId="1A58547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وزارة التجارة. </w:t>
      </w:r>
      <w:r w:rsidRPr="00081602">
        <w:rPr>
          <w:rFonts w:ascii="Simplified Arabic" w:hAnsi="Simplified Arabic" w:cs="Simplified Arabic"/>
          <w:color w:val="EE0000"/>
          <w:sz w:val="28"/>
          <w:szCs w:val="28"/>
          <w:rtl/>
        </w:rPr>
        <w:t xml:space="preserve">(2026، 7 أبريل). </w:t>
      </w:r>
      <w:r w:rsidRPr="00081602">
        <w:rPr>
          <w:rFonts w:ascii="Simplified Arabic" w:hAnsi="Simplified Arabic" w:cs="Simplified Arabic"/>
          <w:i/>
          <w:iCs/>
          <w:color w:val="EE0000"/>
          <w:sz w:val="28"/>
          <w:szCs w:val="28"/>
          <w:rtl/>
        </w:rPr>
        <w:t>«التجارة» تُصدر نشرة قطاع الأعمال.. وتبرز نمو سجلات الذكاء الاصطناعي والقطاعات الواعدة ضمن رؤية 2030.</w:t>
      </w:r>
    </w:p>
    <w:p w14:paraId="49ADC76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24" w:history="1">
        <w:r w:rsidRPr="00081602">
          <w:rPr>
            <w:rStyle w:val="Hyperlink"/>
            <w:rFonts w:ascii="Simplified Arabic" w:hAnsi="Simplified Arabic" w:cs="Simplified Arabic"/>
            <w:color w:val="EE0000"/>
            <w:sz w:val="20"/>
            <w:szCs w:val="20"/>
          </w:rPr>
          <w:t>https://mc.gov.sa/ar/mediacenter/News/Pages/07-04-26-01.aspx</w:t>
        </w:r>
      </w:hyperlink>
      <w:r w:rsidRPr="00081602">
        <w:rPr>
          <w:rFonts w:ascii="Simplified Arabic" w:hAnsi="Simplified Arabic" w:cs="Simplified Arabic"/>
          <w:color w:val="EE0000"/>
          <w:sz w:val="27"/>
          <w:szCs w:val="27"/>
        </w:rPr>
        <w:t xml:space="preserve"> </w:t>
      </w:r>
    </w:p>
    <w:p w14:paraId="2AC88B26" w14:textId="77777777" w:rsidR="00F035EA" w:rsidRDefault="00F035EA" w:rsidP="00F035EA">
      <w:pPr>
        <w:bidi/>
        <w:spacing w:after="200" w:line="240" w:lineRule="auto"/>
        <w:rPr>
          <w:rFonts w:asciiTheme="majorBidi" w:hAnsiTheme="majorBidi" w:cstheme="majorBidi"/>
          <w:rtl/>
        </w:rPr>
      </w:pPr>
    </w:p>
    <w:p w14:paraId="35B68BC8" w14:textId="77777777" w:rsidR="00063F89" w:rsidRDefault="00063F89" w:rsidP="00F035EA">
      <w:pPr>
        <w:bidi/>
        <w:spacing w:after="200" w:line="240" w:lineRule="auto"/>
        <w:rPr>
          <w:rFonts w:ascii="Sakkal Majalla" w:hAnsi="Sakkal Majalla" w:cs="Sakkal Majalla"/>
          <w:b/>
          <w:bCs/>
          <w:color w:val="1F497D" w:themeColor="text2"/>
          <w:sz w:val="32"/>
          <w:szCs w:val="32"/>
          <w:u w:val="single"/>
          <w:rtl/>
        </w:rPr>
      </w:pPr>
    </w:p>
    <w:p w14:paraId="78AFDF1E"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050D250A"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6A8EEF84" w14:textId="0E0F8926" w:rsidR="00F035EA" w:rsidRPr="00081602" w:rsidRDefault="00F035EA" w:rsidP="00063F89">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 xml:space="preserve">المراجع الأجنبية </w:t>
      </w:r>
    </w:p>
    <w:p w14:paraId="08879C6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Al-Emran, M., Al-Qaysi, N., Al-Sharafi, M. A., Khoshkam, M., Foroughi, B., &amp; </w:t>
      </w:r>
      <w:proofErr w:type="spellStart"/>
      <w:r w:rsidRPr="00081602">
        <w:rPr>
          <w:rFonts w:asciiTheme="majorBidi" w:hAnsiTheme="majorBidi" w:cstheme="majorBidi"/>
          <w:b/>
          <w:bCs/>
          <w:color w:val="EE0000"/>
        </w:rPr>
        <w:t>Ghobakhloo</w:t>
      </w:r>
      <w:proofErr w:type="spellEnd"/>
      <w:r w:rsidRPr="00081602">
        <w:rPr>
          <w:rFonts w:asciiTheme="majorBidi" w:hAnsiTheme="majorBidi" w:cstheme="majorBidi"/>
          <w:b/>
          <w:bCs/>
          <w:color w:val="EE0000"/>
        </w:rPr>
        <w:t>, M.</w:t>
      </w:r>
      <w:r w:rsidRPr="00081602">
        <w:rPr>
          <w:rFonts w:asciiTheme="majorBidi" w:hAnsiTheme="majorBidi" w:cstheme="majorBidi"/>
          <w:color w:val="EE0000"/>
        </w:rPr>
        <w:t xml:space="preserve"> (2025). Role of perceived threats and knowledge management in shaping generative AI use in education and its impact on social sustainability. </w:t>
      </w:r>
      <w:r w:rsidRPr="00081602">
        <w:rPr>
          <w:rFonts w:asciiTheme="majorBidi" w:hAnsiTheme="majorBidi" w:cstheme="majorBidi"/>
          <w:i/>
          <w:iCs/>
          <w:color w:val="EE0000"/>
        </w:rPr>
        <w:t>The International Journal of Management Education</w:t>
      </w:r>
      <w:r w:rsidRPr="00081602">
        <w:rPr>
          <w:rFonts w:asciiTheme="majorBidi" w:hAnsiTheme="majorBidi" w:cstheme="majorBidi"/>
          <w:color w:val="EE0000"/>
        </w:rPr>
        <w:t xml:space="preserve">, </w:t>
      </w:r>
      <w:r w:rsidRPr="00081602">
        <w:rPr>
          <w:rFonts w:asciiTheme="majorBidi" w:hAnsiTheme="majorBidi" w:cstheme="majorBidi"/>
          <w:i/>
          <w:iCs/>
          <w:color w:val="EE0000"/>
        </w:rPr>
        <w:t>23</w:t>
      </w:r>
      <w:r w:rsidRPr="00081602">
        <w:rPr>
          <w:rFonts w:asciiTheme="majorBidi" w:hAnsiTheme="majorBidi" w:cstheme="majorBidi"/>
          <w:color w:val="EE0000"/>
        </w:rPr>
        <w:t xml:space="preserve">(1), Article 101105. </w:t>
      </w:r>
      <w:hyperlink r:id="rId25" w:history="1">
        <w:r w:rsidRPr="00081602">
          <w:rPr>
            <w:rStyle w:val="Hyperlink"/>
            <w:rFonts w:asciiTheme="majorBidi" w:hAnsiTheme="majorBidi" w:cstheme="majorBidi"/>
            <w:color w:val="EE0000"/>
          </w:rPr>
          <w:t>https://doi.org/10.1016/j.ijme.2024.101105</w:t>
        </w:r>
      </w:hyperlink>
      <w:r w:rsidRPr="00081602">
        <w:rPr>
          <w:rFonts w:asciiTheme="majorBidi" w:hAnsiTheme="majorBidi" w:cstheme="majorBidi"/>
          <w:color w:val="EE0000"/>
        </w:rPr>
        <w:t xml:space="preserve"> </w:t>
      </w:r>
    </w:p>
    <w:p w14:paraId="5588FD01" w14:textId="77777777" w:rsidR="00F035EA" w:rsidRPr="00081602" w:rsidRDefault="00F035EA" w:rsidP="00F035EA">
      <w:pPr>
        <w:spacing w:after="200" w:line="276" w:lineRule="auto"/>
        <w:ind w:left="720" w:hanging="720"/>
        <w:rPr>
          <w:rFonts w:asciiTheme="majorBidi" w:hAnsiTheme="majorBidi" w:cstheme="majorBidi"/>
          <w:color w:val="EE0000"/>
        </w:rPr>
      </w:pPr>
      <w:proofErr w:type="spellStart"/>
      <w:r w:rsidRPr="00081602">
        <w:rPr>
          <w:rFonts w:asciiTheme="majorBidi" w:hAnsiTheme="majorBidi" w:cstheme="majorBidi"/>
          <w:b/>
          <w:bCs/>
          <w:color w:val="EE0000"/>
        </w:rPr>
        <w:t>Aljabari</w:t>
      </w:r>
      <w:proofErr w:type="spellEnd"/>
      <w:r w:rsidRPr="00081602">
        <w:rPr>
          <w:rFonts w:asciiTheme="majorBidi" w:hAnsiTheme="majorBidi" w:cstheme="majorBidi"/>
          <w:b/>
          <w:bCs/>
          <w:color w:val="EE0000"/>
        </w:rPr>
        <w:t xml:space="preserve">, M., </w:t>
      </w:r>
      <w:proofErr w:type="spellStart"/>
      <w:r w:rsidRPr="00081602">
        <w:rPr>
          <w:rFonts w:asciiTheme="majorBidi" w:hAnsiTheme="majorBidi" w:cstheme="majorBidi"/>
          <w:b/>
          <w:bCs/>
          <w:color w:val="EE0000"/>
        </w:rPr>
        <w:t>Althuwaini</w:t>
      </w:r>
      <w:proofErr w:type="spellEnd"/>
      <w:r w:rsidRPr="00081602">
        <w:rPr>
          <w:rFonts w:asciiTheme="majorBidi" w:hAnsiTheme="majorBidi" w:cstheme="majorBidi"/>
          <w:b/>
          <w:bCs/>
          <w:color w:val="EE0000"/>
        </w:rPr>
        <w:t xml:space="preserve">, S., Bouguerra, A., Sharabati, A., </w:t>
      </w:r>
      <w:proofErr w:type="spellStart"/>
      <w:r w:rsidRPr="00081602">
        <w:rPr>
          <w:rFonts w:asciiTheme="majorBidi" w:hAnsiTheme="majorBidi" w:cstheme="majorBidi"/>
          <w:b/>
          <w:bCs/>
          <w:color w:val="EE0000"/>
        </w:rPr>
        <w:t>Allahham</w:t>
      </w:r>
      <w:proofErr w:type="spellEnd"/>
      <w:r w:rsidRPr="00081602">
        <w:rPr>
          <w:rFonts w:asciiTheme="majorBidi" w:hAnsiTheme="majorBidi" w:cstheme="majorBidi"/>
          <w:b/>
          <w:bCs/>
          <w:color w:val="EE0000"/>
        </w:rPr>
        <w:t>, M., &amp; Allan, M.</w:t>
      </w:r>
      <w:r w:rsidRPr="00081602">
        <w:rPr>
          <w:rFonts w:asciiTheme="majorBidi" w:hAnsiTheme="majorBidi" w:cstheme="majorBidi"/>
          <w:color w:val="EE0000"/>
        </w:rPr>
        <w:t xml:space="preserve"> (2024). The impact of digital marketing strategies on innovation: The mediating role of AI: A critical study of SMEs in the KSA market. </w:t>
      </w:r>
      <w:r w:rsidRPr="00081602">
        <w:rPr>
          <w:rFonts w:asciiTheme="majorBidi" w:hAnsiTheme="majorBidi" w:cstheme="majorBidi"/>
          <w:i/>
          <w:iCs/>
          <w:color w:val="EE0000"/>
        </w:rPr>
        <w:t>International Journal of Data and Network Science</w:t>
      </w:r>
      <w:r w:rsidRPr="00081602">
        <w:rPr>
          <w:rFonts w:asciiTheme="majorBidi" w:hAnsiTheme="majorBidi" w:cstheme="majorBidi"/>
          <w:color w:val="EE0000"/>
        </w:rPr>
        <w:t xml:space="preserve">, </w:t>
      </w:r>
      <w:r w:rsidRPr="00081602">
        <w:rPr>
          <w:rFonts w:asciiTheme="majorBidi" w:hAnsiTheme="majorBidi" w:cstheme="majorBidi"/>
          <w:i/>
          <w:iCs/>
          <w:color w:val="EE0000"/>
        </w:rPr>
        <w:t>8</w:t>
      </w:r>
      <w:r w:rsidRPr="00081602">
        <w:rPr>
          <w:rFonts w:asciiTheme="majorBidi" w:hAnsiTheme="majorBidi" w:cstheme="majorBidi"/>
          <w:color w:val="EE0000"/>
        </w:rPr>
        <w:t xml:space="preserve">(4), 2029–2036. </w:t>
      </w:r>
      <w:hyperlink r:id="rId26" w:history="1">
        <w:r w:rsidRPr="00081602">
          <w:rPr>
            <w:rStyle w:val="Hyperlink"/>
            <w:rFonts w:asciiTheme="majorBidi" w:hAnsiTheme="majorBidi" w:cstheme="majorBidi"/>
            <w:color w:val="EE0000"/>
          </w:rPr>
          <w:t>https://doi.org/10.5267/j.ijdns.2024.7.006</w:t>
        </w:r>
      </w:hyperlink>
      <w:r w:rsidRPr="00081602">
        <w:rPr>
          <w:rFonts w:asciiTheme="majorBidi" w:hAnsiTheme="majorBidi" w:cstheme="majorBidi"/>
          <w:color w:val="EE0000"/>
        </w:rPr>
        <w:t xml:space="preserve"> </w:t>
      </w:r>
    </w:p>
    <w:p w14:paraId="035EEF6D"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Alotaibi, M. M., &amp; </w:t>
      </w:r>
      <w:proofErr w:type="spellStart"/>
      <w:r w:rsidRPr="00081602">
        <w:rPr>
          <w:rFonts w:asciiTheme="majorBidi" w:hAnsiTheme="majorBidi" w:cstheme="majorBidi"/>
          <w:b/>
          <w:bCs/>
          <w:color w:val="EE0000"/>
        </w:rPr>
        <w:t>Al-Youbi</w:t>
      </w:r>
      <w:proofErr w:type="spellEnd"/>
      <w:r w:rsidRPr="00081602">
        <w:rPr>
          <w:rFonts w:asciiTheme="majorBidi" w:hAnsiTheme="majorBidi" w:cstheme="majorBidi"/>
          <w:b/>
          <w:bCs/>
          <w:color w:val="EE0000"/>
        </w:rPr>
        <w:t>, L. A.</w:t>
      </w:r>
      <w:r w:rsidRPr="00081602">
        <w:rPr>
          <w:rFonts w:asciiTheme="majorBidi" w:hAnsiTheme="majorBidi" w:cstheme="majorBidi"/>
          <w:color w:val="EE0000"/>
        </w:rPr>
        <w:t xml:space="preserve"> (2024). The impact of artificial intelligence techniques on marketing innovation: An applied study on Mobily company in Saudi Arabia. </w:t>
      </w:r>
      <w:r w:rsidRPr="00081602">
        <w:rPr>
          <w:rFonts w:asciiTheme="majorBidi" w:hAnsiTheme="majorBidi" w:cstheme="majorBidi"/>
          <w:i/>
          <w:iCs/>
          <w:color w:val="EE0000"/>
        </w:rPr>
        <w:t>Journal of Humanities &amp; Social Sciences, 8</w:t>
      </w:r>
      <w:r w:rsidRPr="00081602">
        <w:rPr>
          <w:rFonts w:asciiTheme="majorBidi" w:hAnsiTheme="majorBidi" w:cstheme="majorBidi"/>
          <w:color w:val="EE0000"/>
        </w:rPr>
        <w:t xml:space="preserve">(11), 10–26. </w:t>
      </w:r>
      <w:hyperlink r:id="rId27" w:history="1">
        <w:r w:rsidRPr="00081602">
          <w:rPr>
            <w:rStyle w:val="Hyperlink"/>
            <w:rFonts w:asciiTheme="majorBidi" w:hAnsiTheme="majorBidi" w:cstheme="majorBidi"/>
            <w:color w:val="EE0000"/>
          </w:rPr>
          <w:t>https://doi.org/10.26389/AJSRP.L180924</w:t>
        </w:r>
      </w:hyperlink>
      <w:r w:rsidRPr="00081602">
        <w:rPr>
          <w:rFonts w:asciiTheme="majorBidi" w:hAnsiTheme="majorBidi" w:cstheme="majorBidi"/>
          <w:color w:val="EE0000"/>
        </w:rPr>
        <w:t xml:space="preserve"> </w:t>
      </w:r>
    </w:p>
    <w:p w14:paraId="6C13D6D3"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Ameen, N., </w:t>
      </w:r>
      <w:proofErr w:type="spellStart"/>
      <w:r w:rsidRPr="00081602">
        <w:rPr>
          <w:rFonts w:asciiTheme="majorBidi" w:hAnsiTheme="majorBidi" w:cstheme="majorBidi"/>
          <w:b/>
          <w:bCs/>
          <w:color w:val="EE0000"/>
        </w:rPr>
        <w:t>Tarhini</w:t>
      </w:r>
      <w:proofErr w:type="spellEnd"/>
      <w:r w:rsidRPr="00081602">
        <w:rPr>
          <w:rFonts w:asciiTheme="majorBidi" w:hAnsiTheme="majorBidi" w:cstheme="majorBidi"/>
          <w:b/>
          <w:bCs/>
          <w:color w:val="EE0000"/>
        </w:rPr>
        <w:t>, A., Reppel, A., &amp; Anand, A.</w:t>
      </w:r>
      <w:r w:rsidRPr="00081602">
        <w:rPr>
          <w:rFonts w:asciiTheme="majorBidi" w:hAnsiTheme="majorBidi" w:cstheme="majorBidi"/>
          <w:color w:val="EE0000"/>
        </w:rPr>
        <w:t xml:space="preserve"> (2021). Customer experiences in the age of artificial intelligence. </w:t>
      </w:r>
      <w:r w:rsidRPr="00081602">
        <w:rPr>
          <w:rFonts w:asciiTheme="majorBidi" w:hAnsiTheme="majorBidi" w:cstheme="majorBidi"/>
          <w:i/>
          <w:iCs/>
          <w:color w:val="EE0000"/>
        </w:rPr>
        <w:t>Computers in Human Behavior</w:t>
      </w:r>
      <w:r w:rsidRPr="00081602">
        <w:rPr>
          <w:rFonts w:asciiTheme="majorBidi" w:hAnsiTheme="majorBidi" w:cstheme="majorBidi"/>
          <w:color w:val="EE0000"/>
        </w:rPr>
        <w:t xml:space="preserve">, </w:t>
      </w:r>
      <w:r w:rsidRPr="00081602">
        <w:rPr>
          <w:rFonts w:asciiTheme="majorBidi" w:hAnsiTheme="majorBidi" w:cstheme="majorBidi"/>
          <w:i/>
          <w:iCs/>
          <w:color w:val="EE0000"/>
        </w:rPr>
        <w:t>114</w:t>
      </w:r>
      <w:r w:rsidRPr="00081602">
        <w:rPr>
          <w:rFonts w:asciiTheme="majorBidi" w:hAnsiTheme="majorBidi" w:cstheme="majorBidi"/>
          <w:color w:val="EE0000"/>
        </w:rPr>
        <w:t xml:space="preserve">, Article 106548. </w:t>
      </w:r>
      <w:hyperlink r:id="rId28" w:history="1">
        <w:r w:rsidRPr="00081602">
          <w:rPr>
            <w:rStyle w:val="Hyperlink"/>
            <w:rFonts w:asciiTheme="majorBidi" w:hAnsiTheme="majorBidi" w:cstheme="majorBidi"/>
            <w:color w:val="EE0000"/>
          </w:rPr>
          <w:t>https://doi.org/10.1016/j.chb.2020.106548</w:t>
        </w:r>
      </w:hyperlink>
      <w:r w:rsidRPr="00081602">
        <w:rPr>
          <w:rFonts w:asciiTheme="majorBidi" w:hAnsiTheme="majorBidi" w:cstheme="majorBidi"/>
          <w:color w:val="EE0000"/>
        </w:rPr>
        <w:t xml:space="preserve"> </w:t>
      </w:r>
    </w:p>
    <w:p w14:paraId="50255FA0"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Ben Khalifa, W. A., Alshorman, B. A., Seddik, W. A. S., Zahou, A. M. E., </w:t>
      </w:r>
      <w:proofErr w:type="spellStart"/>
      <w:r w:rsidRPr="00081602">
        <w:rPr>
          <w:rFonts w:asciiTheme="majorBidi" w:hAnsiTheme="majorBidi" w:cstheme="majorBidi"/>
          <w:b/>
          <w:bCs/>
          <w:color w:val="EE0000"/>
        </w:rPr>
        <w:t>Torky</w:t>
      </w:r>
      <w:proofErr w:type="spellEnd"/>
      <w:r w:rsidRPr="00081602">
        <w:rPr>
          <w:rFonts w:asciiTheme="majorBidi" w:hAnsiTheme="majorBidi" w:cstheme="majorBidi"/>
          <w:b/>
          <w:bCs/>
          <w:color w:val="EE0000"/>
        </w:rPr>
        <w:t>, M. S., Rizk, M. F., Hussein, W. A. M., Rabie, M. H., &amp; Yousif, M. A. A. B.</w:t>
      </w:r>
      <w:r w:rsidRPr="00081602">
        <w:rPr>
          <w:rFonts w:asciiTheme="majorBidi" w:hAnsiTheme="majorBidi" w:cstheme="majorBidi"/>
          <w:color w:val="EE0000"/>
        </w:rPr>
        <w:t xml:space="preserve"> (2023). The reality of using artificial intelligence applications in developing e-marketing in the Kingdom of Saudi Arabia. </w:t>
      </w:r>
      <w:r w:rsidRPr="00081602">
        <w:rPr>
          <w:rFonts w:asciiTheme="majorBidi" w:hAnsiTheme="majorBidi" w:cstheme="majorBidi"/>
          <w:i/>
          <w:iCs/>
          <w:color w:val="EE0000"/>
        </w:rPr>
        <w:t>Migration Letters</w:t>
      </w:r>
      <w:r w:rsidRPr="00081602">
        <w:rPr>
          <w:rFonts w:asciiTheme="majorBidi" w:hAnsiTheme="majorBidi" w:cstheme="majorBidi"/>
          <w:color w:val="EE0000"/>
        </w:rPr>
        <w:t xml:space="preserve">, </w:t>
      </w:r>
      <w:r w:rsidRPr="00081602">
        <w:rPr>
          <w:rFonts w:asciiTheme="majorBidi" w:hAnsiTheme="majorBidi" w:cstheme="majorBidi"/>
          <w:i/>
          <w:iCs/>
          <w:color w:val="EE0000"/>
        </w:rPr>
        <w:t>20</w:t>
      </w:r>
      <w:r w:rsidRPr="00081602">
        <w:rPr>
          <w:rFonts w:asciiTheme="majorBidi" w:hAnsiTheme="majorBidi" w:cstheme="majorBidi"/>
          <w:color w:val="EE0000"/>
        </w:rPr>
        <w:t xml:space="preserve">(S3), 146–158. </w:t>
      </w:r>
      <w:hyperlink r:id="rId29" w:history="1">
        <w:r w:rsidRPr="00081602">
          <w:rPr>
            <w:rStyle w:val="Hyperlink"/>
            <w:rFonts w:asciiTheme="majorBidi" w:hAnsiTheme="majorBidi" w:cstheme="majorBidi"/>
            <w:color w:val="EE0000"/>
          </w:rPr>
          <w:t>https://doi.org/10.59670/ml.v20iS3.3768</w:t>
        </w:r>
      </w:hyperlink>
      <w:r w:rsidRPr="00081602">
        <w:rPr>
          <w:rFonts w:asciiTheme="majorBidi" w:hAnsiTheme="majorBidi" w:cstheme="majorBidi"/>
          <w:color w:val="EE0000"/>
        </w:rPr>
        <w:t xml:space="preserve"> </w:t>
      </w:r>
    </w:p>
    <w:p w14:paraId="44D26A72"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Beyari</w:t>
      </w:r>
      <w:proofErr w:type="spellEnd"/>
      <w:r w:rsidRPr="00081602">
        <w:rPr>
          <w:rFonts w:asciiTheme="majorBidi" w:hAnsiTheme="majorBidi" w:cstheme="majorBidi"/>
          <w:b/>
          <w:bCs/>
        </w:rPr>
        <w:t>, H.</w:t>
      </w:r>
      <w:r w:rsidRPr="00081602">
        <w:rPr>
          <w:rFonts w:asciiTheme="majorBidi" w:hAnsiTheme="majorBidi" w:cstheme="majorBidi"/>
        </w:rPr>
        <w:t xml:space="preserve"> (2025). Assessing artificial intelligence’s impact on </w:t>
      </w:r>
      <w:proofErr w:type="spellStart"/>
      <w:r w:rsidRPr="00081602">
        <w:rPr>
          <w:rFonts w:asciiTheme="majorBidi" w:hAnsiTheme="majorBidi" w:cstheme="majorBidi"/>
        </w:rPr>
        <w:t>ecustomer</w:t>
      </w:r>
      <w:proofErr w:type="spellEnd"/>
      <w:r w:rsidRPr="00081602">
        <w:rPr>
          <w:rFonts w:asciiTheme="majorBidi" w:hAnsiTheme="majorBidi" w:cstheme="majorBidi"/>
        </w:rPr>
        <w:t xml:space="preserve"> loyalty in the Saudi Arabian market. </w:t>
      </w:r>
      <w:r w:rsidRPr="00081602">
        <w:rPr>
          <w:rFonts w:asciiTheme="majorBidi" w:hAnsiTheme="majorBidi" w:cstheme="majorBidi"/>
          <w:i/>
          <w:iCs/>
        </w:rPr>
        <w:t>Frontiers in Artificial Intelligence, 8</w:t>
      </w:r>
      <w:r w:rsidRPr="00081602">
        <w:rPr>
          <w:rFonts w:asciiTheme="majorBidi" w:hAnsiTheme="majorBidi" w:cstheme="majorBidi"/>
        </w:rPr>
        <w:t xml:space="preserve">, Article 1541678. </w:t>
      </w:r>
      <w:hyperlink r:id="rId30" w:history="1">
        <w:r w:rsidRPr="00081602">
          <w:rPr>
            <w:rStyle w:val="Hyperlink"/>
            <w:rFonts w:asciiTheme="majorBidi" w:hAnsiTheme="majorBidi" w:cstheme="majorBidi"/>
            <w:color w:val="auto"/>
          </w:rPr>
          <w:t>https://doi.org/10.3389/frai.2025.1541678</w:t>
        </w:r>
      </w:hyperlink>
      <w:r w:rsidRPr="00081602">
        <w:rPr>
          <w:rFonts w:asciiTheme="majorBidi" w:hAnsiTheme="majorBidi" w:cstheme="majorBidi"/>
        </w:rPr>
        <w:t xml:space="preserve">  </w:t>
      </w:r>
    </w:p>
    <w:p w14:paraId="574A71C7"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Buder, F., Hesel, N., &amp; </w:t>
      </w:r>
      <w:proofErr w:type="spellStart"/>
      <w:r w:rsidRPr="00081602">
        <w:rPr>
          <w:rFonts w:asciiTheme="majorBidi" w:hAnsiTheme="majorBidi" w:cstheme="majorBidi"/>
          <w:b/>
          <w:bCs/>
          <w:color w:val="EE0000"/>
        </w:rPr>
        <w:t>Heimstädt</w:t>
      </w:r>
      <w:proofErr w:type="spellEnd"/>
      <w:r w:rsidRPr="00081602">
        <w:rPr>
          <w:rFonts w:asciiTheme="majorBidi" w:hAnsiTheme="majorBidi" w:cstheme="majorBidi"/>
          <w:b/>
          <w:bCs/>
          <w:color w:val="EE0000"/>
        </w:rPr>
        <w:t>, A.</w:t>
      </w:r>
      <w:r w:rsidRPr="00081602">
        <w:rPr>
          <w:rFonts w:asciiTheme="majorBidi" w:hAnsiTheme="majorBidi" w:cstheme="majorBidi"/>
          <w:color w:val="EE0000"/>
        </w:rPr>
        <w:t xml:space="preserve"> (2024). </w:t>
      </w:r>
      <w:r w:rsidRPr="00081602">
        <w:rPr>
          <w:rFonts w:asciiTheme="majorBidi" w:hAnsiTheme="majorBidi" w:cstheme="majorBidi"/>
          <w:i/>
          <w:iCs/>
          <w:color w:val="EE0000"/>
        </w:rPr>
        <w:t>Beyond the buzz: Creating marketing value with generative AI</w:t>
      </w:r>
      <w:r w:rsidRPr="00081602">
        <w:rPr>
          <w:rFonts w:asciiTheme="majorBidi" w:hAnsiTheme="majorBidi" w:cstheme="majorBidi"/>
          <w:color w:val="EE0000"/>
        </w:rPr>
        <w:t xml:space="preserve"> [Research report]. Nuremberg Institute for Market Decisions. </w:t>
      </w:r>
      <w:hyperlink r:id="rId31" w:history="1">
        <w:r w:rsidRPr="00081602">
          <w:rPr>
            <w:rStyle w:val="Hyperlink"/>
            <w:rFonts w:asciiTheme="majorBidi" w:hAnsiTheme="majorBidi" w:cstheme="majorBidi"/>
            <w:color w:val="EE0000"/>
          </w:rPr>
          <w:t>https://www.nim.org/en/research/projects-overview/detail-research-project/beyond-the-buzz-creating-marketing-value-with-generative-ai-research-report</w:t>
        </w:r>
      </w:hyperlink>
      <w:r w:rsidRPr="00081602">
        <w:rPr>
          <w:rFonts w:asciiTheme="majorBidi" w:hAnsiTheme="majorBidi" w:cstheme="majorBidi"/>
          <w:color w:val="EE0000"/>
        </w:rPr>
        <w:t xml:space="preserve"> </w:t>
      </w:r>
    </w:p>
    <w:p w14:paraId="5DFBBB61"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Cochran, W. G.</w:t>
      </w:r>
      <w:r w:rsidRPr="00081602">
        <w:rPr>
          <w:rFonts w:asciiTheme="majorBidi" w:hAnsiTheme="majorBidi" w:cstheme="majorBidi"/>
        </w:rPr>
        <w:t xml:space="preserve"> (1977). </w:t>
      </w:r>
      <w:r w:rsidRPr="00081602">
        <w:rPr>
          <w:rFonts w:asciiTheme="majorBidi" w:hAnsiTheme="majorBidi" w:cstheme="majorBidi"/>
          <w:i/>
          <w:iCs/>
        </w:rPr>
        <w:t>Sampling techniques</w:t>
      </w:r>
      <w:r w:rsidRPr="00081602">
        <w:rPr>
          <w:rFonts w:asciiTheme="majorBidi" w:hAnsiTheme="majorBidi" w:cstheme="majorBidi"/>
        </w:rPr>
        <w:t xml:space="preserve"> (3rd ed.). John Wiley &amp; Sons. </w:t>
      </w:r>
    </w:p>
    <w:p w14:paraId="1D505B25"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Creswell, J. W., &amp; Creswell, J. D.</w:t>
      </w:r>
      <w:r w:rsidRPr="00081602">
        <w:rPr>
          <w:rFonts w:asciiTheme="majorBidi" w:hAnsiTheme="majorBidi" w:cstheme="majorBidi"/>
        </w:rPr>
        <w:t xml:space="preserve"> (2018). </w:t>
      </w:r>
      <w:r w:rsidRPr="00081602">
        <w:rPr>
          <w:rFonts w:asciiTheme="majorBidi" w:hAnsiTheme="majorBidi" w:cstheme="majorBidi"/>
          <w:i/>
          <w:iCs/>
        </w:rPr>
        <w:t>Research design: Qualitative, quantitative, and mixed methods approaches</w:t>
      </w:r>
      <w:r w:rsidRPr="00081602">
        <w:rPr>
          <w:rFonts w:asciiTheme="majorBidi" w:hAnsiTheme="majorBidi" w:cstheme="majorBidi"/>
        </w:rPr>
        <w:t xml:space="preserve"> (5th ed.). SAGE Publications. </w:t>
      </w:r>
    </w:p>
    <w:p w14:paraId="2EC56B4A"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Dimitrieska</w:t>
      </w:r>
      <w:proofErr w:type="spellEnd"/>
      <w:r w:rsidRPr="00081602">
        <w:rPr>
          <w:rFonts w:asciiTheme="majorBidi" w:hAnsiTheme="majorBidi" w:cstheme="majorBidi"/>
          <w:b/>
          <w:bCs/>
        </w:rPr>
        <w:t>, S.</w:t>
      </w:r>
      <w:r w:rsidRPr="00081602">
        <w:rPr>
          <w:rFonts w:asciiTheme="majorBidi" w:hAnsiTheme="majorBidi" w:cstheme="majorBidi"/>
        </w:rPr>
        <w:t xml:space="preserve"> (2024). Generative artificial intelligence and advertising. </w:t>
      </w:r>
      <w:r w:rsidRPr="00081602">
        <w:rPr>
          <w:rFonts w:asciiTheme="majorBidi" w:hAnsiTheme="majorBidi" w:cstheme="majorBidi"/>
          <w:i/>
          <w:iCs/>
        </w:rPr>
        <w:t>Trends in Economics, Finance and Management Journal, 6</w:t>
      </w:r>
      <w:r w:rsidRPr="00081602">
        <w:rPr>
          <w:rFonts w:asciiTheme="majorBidi" w:hAnsiTheme="majorBidi" w:cstheme="majorBidi"/>
        </w:rPr>
        <w:t xml:space="preserve">(1), 23–33. </w:t>
      </w:r>
      <w:hyperlink r:id="rId32" w:history="1">
        <w:r w:rsidRPr="00081602">
          <w:rPr>
            <w:rStyle w:val="Hyperlink"/>
            <w:rFonts w:asciiTheme="majorBidi" w:hAnsiTheme="majorBidi" w:cstheme="majorBidi"/>
            <w:color w:val="auto"/>
          </w:rPr>
          <w:t>https://doi.org/10.69648/EYZI2281</w:t>
        </w:r>
      </w:hyperlink>
      <w:r w:rsidRPr="00081602">
        <w:rPr>
          <w:rFonts w:asciiTheme="majorBidi" w:hAnsiTheme="majorBidi" w:cstheme="majorBidi"/>
        </w:rPr>
        <w:t xml:space="preserve">   </w:t>
      </w:r>
    </w:p>
    <w:p w14:paraId="66B1CF5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Doshi, A. R., Bell, J. J., Mirzayev, E., &amp; Vanneste, B. S.</w:t>
      </w:r>
      <w:r w:rsidRPr="00081602">
        <w:rPr>
          <w:rFonts w:asciiTheme="majorBidi" w:hAnsiTheme="majorBidi" w:cstheme="majorBidi"/>
        </w:rPr>
        <w:t xml:space="preserve"> (2025). Generative artificial intelligence and evaluating strategic decisions. </w:t>
      </w:r>
      <w:r w:rsidRPr="00081602">
        <w:rPr>
          <w:rFonts w:asciiTheme="majorBidi" w:hAnsiTheme="majorBidi" w:cstheme="majorBidi"/>
          <w:i/>
          <w:iCs/>
        </w:rPr>
        <w:t>Strategic Management Journal, 46</w:t>
      </w:r>
      <w:r w:rsidRPr="00081602">
        <w:rPr>
          <w:rFonts w:asciiTheme="majorBidi" w:hAnsiTheme="majorBidi" w:cstheme="majorBidi"/>
        </w:rPr>
        <w:t xml:space="preserve">(3), 583–610. </w:t>
      </w:r>
      <w:hyperlink r:id="rId33" w:history="1">
        <w:r w:rsidRPr="00081602">
          <w:rPr>
            <w:rStyle w:val="Hyperlink"/>
            <w:rFonts w:asciiTheme="majorBidi" w:hAnsiTheme="majorBidi" w:cstheme="majorBidi"/>
            <w:color w:val="auto"/>
          </w:rPr>
          <w:t>https://doi.org/10.1002/smj.3677</w:t>
        </w:r>
      </w:hyperlink>
      <w:r w:rsidRPr="00081602">
        <w:rPr>
          <w:rFonts w:asciiTheme="majorBidi" w:hAnsiTheme="majorBidi" w:cstheme="majorBidi"/>
        </w:rPr>
        <w:t xml:space="preserve"> </w:t>
      </w:r>
    </w:p>
    <w:p w14:paraId="4E6C5E8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lastRenderedPageBreak/>
        <w:t xml:space="preserve">Dwivedi, Y. K., </w:t>
      </w:r>
      <w:proofErr w:type="spellStart"/>
      <w:r w:rsidRPr="00081602">
        <w:rPr>
          <w:rFonts w:asciiTheme="majorBidi" w:hAnsiTheme="majorBidi" w:cstheme="majorBidi"/>
          <w:b/>
          <w:bCs/>
          <w:color w:val="EE0000"/>
        </w:rPr>
        <w:t>Kshetri</w:t>
      </w:r>
      <w:proofErr w:type="spellEnd"/>
      <w:r w:rsidRPr="00081602">
        <w:rPr>
          <w:rFonts w:asciiTheme="majorBidi" w:hAnsiTheme="majorBidi" w:cstheme="majorBidi"/>
          <w:b/>
          <w:bCs/>
          <w:color w:val="EE0000"/>
        </w:rPr>
        <w:t xml:space="preserve">, N., Hughes, L., Slade, E. L., Jeyaraj, A., Kar, A. K., </w:t>
      </w:r>
      <w:proofErr w:type="spellStart"/>
      <w:r w:rsidRPr="00081602">
        <w:rPr>
          <w:rFonts w:asciiTheme="majorBidi" w:hAnsiTheme="majorBidi" w:cstheme="majorBidi"/>
          <w:b/>
          <w:bCs/>
          <w:color w:val="EE0000"/>
        </w:rPr>
        <w:t>Baabdullah</w:t>
      </w:r>
      <w:proofErr w:type="spellEnd"/>
      <w:r w:rsidRPr="00081602">
        <w:rPr>
          <w:rFonts w:asciiTheme="majorBidi" w:hAnsiTheme="majorBidi" w:cstheme="majorBidi"/>
          <w:b/>
          <w:bCs/>
          <w:color w:val="EE0000"/>
        </w:rPr>
        <w:t xml:space="preserve">, A. M., </w:t>
      </w:r>
      <w:proofErr w:type="spellStart"/>
      <w:r w:rsidRPr="00081602">
        <w:rPr>
          <w:rFonts w:asciiTheme="majorBidi" w:hAnsiTheme="majorBidi" w:cstheme="majorBidi"/>
          <w:b/>
          <w:bCs/>
          <w:color w:val="EE0000"/>
        </w:rPr>
        <w:t>Koohang</w:t>
      </w:r>
      <w:proofErr w:type="spellEnd"/>
      <w:r w:rsidRPr="00081602">
        <w:rPr>
          <w:rFonts w:asciiTheme="majorBidi" w:hAnsiTheme="majorBidi" w:cstheme="majorBidi"/>
          <w:b/>
          <w:bCs/>
          <w:color w:val="EE0000"/>
        </w:rPr>
        <w:t xml:space="preserve">, A., Raghavan, V., Ahuja, M., Albanna, H., </w:t>
      </w:r>
      <w:proofErr w:type="spellStart"/>
      <w:r w:rsidRPr="00081602">
        <w:rPr>
          <w:rFonts w:asciiTheme="majorBidi" w:hAnsiTheme="majorBidi" w:cstheme="majorBidi"/>
          <w:b/>
          <w:bCs/>
          <w:color w:val="EE0000"/>
        </w:rPr>
        <w:t>Albashrawi</w:t>
      </w:r>
      <w:proofErr w:type="spellEnd"/>
      <w:r w:rsidRPr="00081602">
        <w:rPr>
          <w:rFonts w:asciiTheme="majorBidi" w:hAnsiTheme="majorBidi" w:cstheme="majorBidi"/>
          <w:b/>
          <w:bCs/>
          <w:color w:val="EE0000"/>
        </w:rPr>
        <w:t xml:space="preserve">, M. A., Al-Busaidi, A. S., Balakrishnan, J., Barlette, Y., Basu, S., Bose, I., Brooks, L., </w:t>
      </w:r>
      <w:proofErr w:type="spellStart"/>
      <w:r w:rsidRPr="00081602">
        <w:rPr>
          <w:rFonts w:asciiTheme="majorBidi" w:hAnsiTheme="majorBidi" w:cstheme="majorBidi"/>
          <w:b/>
          <w:bCs/>
          <w:color w:val="EE0000"/>
        </w:rPr>
        <w:t>Buhalis</w:t>
      </w:r>
      <w:proofErr w:type="spellEnd"/>
      <w:r w:rsidRPr="00081602">
        <w:rPr>
          <w:rFonts w:asciiTheme="majorBidi" w:hAnsiTheme="majorBidi" w:cstheme="majorBidi"/>
          <w:b/>
          <w:bCs/>
          <w:color w:val="EE0000"/>
        </w:rPr>
        <w:t>, D., … Wright, R.</w:t>
      </w:r>
      <w:r w:rsidRPr="00081602">
        <w:rPr>
          <w:rFonts w:asciiTheme="majorBidi" w:hAnsiTheme="majorBidi" w:cstheme="majorBidi"/>
          <w:color w:val="EE0000"/>
        </w:rPr>
        <w:t xml:space="preserve"> (2023). Opinion paper: “So what if ChatGPT wrote it?” Multidisciplinary perspectives on opportunities, challenges and implications of generative conversational AI for research, practice and policy. </w:t>
      </w:r>
      <w:r w:rsidRPr="00081602">
        <w:rPr>
          <w:rFonts w:asciiTheme="majorBidi" w:hAnsiTheme="majorBidi" w:cstheme="majorBidi"/>
          <w:i/>
          <w:iCs/>
          <w:color w:val="EE0000"/>
        </w:rPr>
        <w:t>International Journal of Information Management</w:t>
      </w:r>
      <w:r w:rsidRPr="00081602">
        <w:rPr>
          <w:rFonts w:asciiTheme="majorBidi" w:hAnsiTheme="majorBidi" w:cstheme="majorBidi"/>
          <w:color w:val="EE0000"/>
        </w:rPr>
        <w:t xml:space="preserve">, </w:t>
      </w:r>
      <w:r w:rsidRPr="00081602">
        <w:rPr>
          <w:rFonts w:asciiTheme="majorBidi" w:hAnsiTheme="majorBidi" w:cstheme="majorBidi"/>
          <w:i/>
          <w:iCs/>
          <w:color w:val="EE0000"/>
        </w:rPr>
        <w:t>71</w:t>
      </w:r>
      <w:r w:rsidRPr="00081602">
        <w:rPr>
          <w:rFonts w:asciiTheme="majorBidi" w:hAnsiTheme="majorBidi" w:cstheme="majorBidi"/>
          <w:color w:val="EE0000"/>
        </w:rPr>
        <w:t xml:space="preserve">, Article 102642. </w:t>
      </w:r>
      <w:hyperlink r:id="rId34" w:history="1">
        <w:r w:rsidRPr="00081602">
          <w:rPr>
            <w:rStyle w:val="Hyperlink"/>
            <w:rFonts w:asciiTheme="majorBidi" w:hAnsiTheme="majorBidi" w:cstheme="majorBidi"/>
            <w:color w:val="EE0000"/>
          </w:rPr>
          <w:t>https://doi.org/10.1016/j.ijinfomgt.2023.102642</w:t>
        </w:r>
      </w:hyperlink>
      <w:r w:rsidRPr="00081602">
        <w:rPr>
          <w:rFonts w:asciiTheme="majorBidi" w:hAnsiTheme="majorBidi" w:cstheme="majorBidi"/>
          <w:color w:val="EE0000"/>
        </w:rPr>
        <w:t xml:space="preserve"> </w:t>
      </w:r>
    </w:p>
    <w:p w14:paraId="2E7328AD"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Etikan</w:t>
      </w:r>
      <w:proofErr w:type="spellEnd"/>
      <w:r w:rsidRPr="00081602">
        <w:rPr>
          <w:rFonts w:asciiTheme="majorBidi" w:hAnsiTheme="majorBidi" w:cstheme="majorBidi"/>
          <w:b/>
          <w:bCs/>
        </w:rPr>
        <w:t>, I., Musa, S. A., &amp; Alkassim, R. S.</w:t>
      </w:r>
      <w:r w:rsidRPr="00081602">
        <w:rPr>
          <w:rFonts w:asciiTheme="majorBidi" w:hAnsiTheme="majorBidi" w:cstheme="majorBidi"/>
        </w:rPr>
        <w:t xml:space="preserve"> (2016). Comparison of convenience sampling and purposive sampling. </w:t>
      </w:r>
      <w:r w:rsidRPr="00081602">
        <w:rPr>
          <w:rFonts w:asciiTheme="majorBidi" w:hAnsiTheme="majorBidi" w:cstheme="majorBidi"/>
          <w:i/>
          <w:iCs/>
        </w:rPr>
        <w:t>American Journal of Theoretical and Applied Statistics, 5</w:t>
      </w:r>
      <w:r w:rsidRPr="00081602">
        <w:rPr>
          <w:rFonts w:asciiTheme="majorBidi" w:hAnsiTheme="majorBidi" w:cstheme="majorBidi"/>
        </w:rPr>
        <w:t xml:space="preserve">(1), 1–5. </w:t>
      </w:r>
      <w:hyperlink r:id="rId35" w:history="1">
        <w:r w:rsidRPr="00081602">
          <w:rPr>
            <w:rStyle w:val="Hyperlink"/>
            <w:rFonts w:asciiTheme="majorBidi" w:hAnsiTheme="majorBidi" w:cstheme="majorBidi"/>
            <w:color w:val="auto"/>
          </w:rPr>
          <w:t>https://doi.org/10.11648/j.ajtas.20160501.11</w:t>
        </w:r>
      </w:hyperlink>
      <w:r w:rsidRPr="00081602">
        <w:rPr>
          <w:rFonts w:asciiTheme="majorBidi" w:hAnsiTheme="majorBidi" w:cstheme="majorBidi"/>
        </w:rPr>
        <w:t xml:space="preserve">  </w:t>
      </w:r>
    </w:p>
    <w:p w14:paraId="12EC413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Gujar, P., &amp; Panyam, S.</w:t>
      </w:r>
      <w:r w:rsidRPr="00081602">
        <w:rPr>
          <w:rFonts w:asciiTheme="majorBidi" w:hAnsiTheme="majorBidi" w:cstheme="majorBidi"/>
        </w:rPr>
        <w:t xml:space="preserve"> (2024). Generative AI in digital advertising campaigns. </w:t>
      </w:r>
      <w:r w:rsidRPr="00081602">
        <w:rPr>
          <w:rFonts w:asciiTheme="majorBidi" w:hAnsiTheme="majorBidi" w:cstheme="majorBidi"/>
          <w:i/>
          <w:iCs/>
        </w:rPr>
        <w:t>International Journal of Computer Trends and Technology, 72</w:t>
      </w:r>
      <w:r w:rsidRPr="00081602">
        <w:rPr>
          <w:rFonts w:asciiTheme="majorBidi" w:hAnsiTheme="majorBidi" w:cstheme="majorBidi"/>
        </w:rPr>
        <w:t xml:space="preserve">(5), 51–55. </w:t>
      </w:r>
      <w:hyperlink r:id="rId36" w:history="1">
        <w:r w:rsidRPr="00081602">
          <w:rPr>
            <w:rStyle w:val="Hyperlink"/>
            <w:rFonts w:asciiTheme="majorBidi" w:hAnsiTheme="majorBidi" w:cstheme="majorBidi"/>
            <w:color w:val="auto"/>
          </w:rPr>
          <w:t>https://doi.org/10.14445/22312803/IJCTT-V72I5P106</w:t>
        </w:r>
      </w:hyperlink>
      <w:r w:rsidRPr="00081602">
        <w:rPr>
          <w:rFonts w:asciiTheme="majorBidi" w:hAnsiTheme="majorBidi" w:cstheme="majorBidi"/>
        </w:rPr>
        <w:t xml:space="preserve">  </w:t>
      </w:r>
    </w:p>
    <w:p w14:paraId="0C8E1EE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Hair, J. F., Hult, G. T. M., Ringle, C. M., &amp; Sarstedt, M.</w:t>
      </w:r>
      <w:r w:rsidRPr="00081602">
        <w:rPr>
          <w:rFonts w:asciiTheme="majorBidi" w:hAnsiTheme="majorBidi" w:cstheme="majorBidi"/>
        </w:rPr>
        <w:t xml:space="preserve"> (2022). </w:t>
      </w:r>
      <w:r w:rsidRPr="00081602">
        <w:rPr>
          <w:rFonts w:asciiTheme="majorBidi" w:hAnsiTheme="majorBidi" w:cstheme="majorBidi"/>
          <w:i/>
          <w:iCs/>
        </w:rPr>
        <w:t>A primer on partial least squares structural equation modeling (PLS-SEM)</w:t>
      </w:r>
      <w:r w:rsidRPr="00081602">
        <w:rPr>
          <w:rFonts w:asciiTheme="majorBidi" w:hAnsiTheme="majorBidi" w:cstheme="majorBidi"/>
        </w:rPr>
        <w:t xml:space="preserve"> (3rd ed.). SAGE Publications. </w:t>
      </w:r>
    </w:p>
    <w:p w14:paraId="4343D0BE"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Heitmann, M.</w:t>
      </w:r>
      <w:r w:rsidRPr="00081602">
        <w:rPr>
          <w:rFonts w:asciiTheme="majorBidi" w:hAnsiTheme="majorBidi" w:cstheme="majorBidi"/>
        </w:rPr>
        <w:t xml:space="preserve"> (2024). Generative AI for marketing content creation: New rules for an old game. </w:t>
      </w:r>
      <w:r w:rsidRPr="00081602">
        <w:rPr>
          <w:rFonts w:asciiTheme="majorBidi" w:hAnsiTheme="majorBidi" w:cstheme="majorBidi"/>
          <w:i/>
          <w:iCs/>
        </w:rPr>
        <w:t>NIM Marketing Intelligence Review, 16</w:t>
      </w:r>
      <w:r w:rsidRPr="00081602">
        <w:rPr>
          <w:rFonts w:asciiTheme="majorBidi" w:hAnsiTheme="majorBidi" w:cstheme="majorBidi"/>
        </w:rPr>
        <w:t xml:space="preserve">(1), 10–17. </w:t>
      </w:r>
      <w:hyperlink r:id="rId37" w:history="1">
        <w:r w:rsidRPr="00081602">
          <w:rPr>
            <w:rStyle w:val="Hyperlink"/>
            <w:rFonts w:asciiTheme="majorBidi" w:hAnsiTheme="majorBidi" w:cstheme="majorBidi"/>
            <w:color w:val="auto"/>
          </w:rPr>
          <w:t>https://doi.org/10.2478/nimmir-2024-0002</w:t>
        </w:r>
      </w:hyperlink>
      <w:r w:rsidRPr="00081602">
        <w:rPr>
          <w:rFonts w:asciiTheme="majorBidi" w:hAnsiTheme="majorBidi" w:cstheme="majorBidi"/>
        </w:rPr>
        <w:t xml:space="preserve">  </w:t>
      </w:r>
    </w:p>
    <w:p w14:paraId="1BABE08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IAB Tech Lab.</w:t>
      </w:r>
      <w:r w:rsidRPr="00081602">
        <w:rPr>
          <w:rFonts w:asciiTheme="majorBidi" w:hAnsiTheme="majorBidi" w:cstheme="majorBidi"/>
          <w:color w:val="EE0000"/>
        </w:rPr>
        <w:t xml:space="preserve"> (2024, October 16). </w:t>
      </w:r>
      <w:r w:rsidRPr="00081602">
        <w:rPr>
          <w:rFonts w:asciiTheme="majorBidi" w:hAnsiTheme="majorBidi" w:cstheme="majorBidi"/>
          <w:i/>
          <w:iCs/>
          <w:color w:val="EE0000"/>
        </w:rPr>
        <w:t>AI in advertising primer</w:t>
      </w:r>
      <w:r w:rsidRPr="00081602">
        <w:rPr>
          <w:rFonts w:asciiTheme="majorBidi" w:hAnsiTheme="majorBidi" w:cstheme="majorBidi"/>
          <w:color w:val="EE0000"/>
        </w:rPr>
        <w:t xml:space="preserve">. </w:t>
      </w:r>
      <w:hyperlink r:id="rId38" w:history="1">
        <w:r w:rsidRPr="00081602">
          <w:rPr>
            <w:rStyle w:val="Hyperlink"/>
            <w:rFonts w:asciiTheme="majorBidi" w:hAnsiTheme="majorBidi" w:cstheme="majorBidi"/>
            <w:color w:val="EE0000"/>
          </w:rPr>
          <w:t>https://iabtechlab.com/iab-tech-lab-releases-ai-in-advertising-primer/</w:t>
        </w:r>
      </w:hyperlink>
      <w:r w:rsidRPr="00081602">
        <w:rPr>
          <w:rFonts w:asciiTheme="majorBidi" w:hAnsiTheme="majorBidi" w:cstheme="majorBidi"/>
          <w:color w:val="EE0000"/>
        </w:rPr>
        <w:t xml:space="preserve"> </w:t>
      </w:r>
    </w:p>
    <w:p w14:paraId="2BD1EDF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Islam, T., Miron, A., Nandy, M., </w:t>
      </w:r>
      <w:proofErr w:type="spellStart"/>
      <w:r w:rsidRPr="00081602">
        <w:rPr>
          <w:rFonts w:asciiTheme="majorBidi" w:hAnsiTheme="majorBidi" w:cstheme="majorBidi"/>
          <w:b/>
          <w:bCs/>
        </w:rPr>
        <w:t>Choudrie</w:t>
      </w:r>
      <w:proofErr w:type="spellEnd"/>
      <w:r w:rsidRPr="00081602">
        <w:rPr>
          <w:rFonts w:asciiTheme="majorBidi" w:hAnsiTheme="majorBidi" w:cstheme="majorBidi"/>
          <w:b/>
          <w:bCs/>
        </w:rPr>
        <w:t>, J., Liu, X., &amp; Li, Y.</w:t>
      </w:r>
      <w:r w:rsidRPr="00081602">
        <w:rPr>
          <w:rFonts w:asciiTheme="majorBidi" w:hAnsiTheme="majorBidi" w:cstheme="majorBidi"/>
        </w:rPr>
        <w:t xml:space="preserve"> (2024). Transforming digital marketing with generative AI. </w:t>
      </w:r>
      <w:r w:rsidRPr="00081602">
        <w:rPr>
          <w:rFonts w:asciiTheme="majorBidi" w:hAnsiTheme="majorBidi" w:cstheme="majorBidi"/>
          <w:i/>
          <w:iCs/>
        </w:rPr>
        <w:t>Computers, 13</w:t>
      </w:r>
      <w:r w:rsidRPr="00081602">
        <w:rPr>
          <w:rFonts w:asciiTheme="majorBidi" w:hAnsiTheme="majorBidi" w:cstheme="majorBidi"/>
        </w:rPr>
        <w:t xml:space="preserve">(7), 168. </w:t>
      </w:r>
      <w:hyperlink r:id="rId39" w:history="1">
        <w:r w:rsidRPr="00081602">
          <w:rPr>
            <w:rStyle w:val="Hyperlink"/>
            <w:rFonts w:asciiTheme="majorBidi" w:hAnsiTheme="majorBidi" w:cstheme="majorBidi"/>
            <w:color w:val="auto"/>
          </w:rPr>
          <w:t>https://doi.org/10.3390/computers13070168</w:t>
        </w:r>
      </w:hyperlink>
      <w:r w:rsidRPr="00081602">
        <w:rPr>
          <w:rFonts w:asciiTheme="majorBidi" w:hAnsiTheme="majorBidi" w:cstheme="majorBidi"/>
        </w:rPr>
        <w:t xml:space="preserve"> </w:t>
      </w:r>
    </w:p>
    <w:p w14:paraId="2FA302C9"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Kılınç</w:t>
      </w:r>
      <w:proofErr w:type="spellEnd"/>
      <w:r w:rsidRPr="00081602">
        <w:rPr>
          <w:rFonts w:asciiTheme="majorBidi" w:hAnsiTheme="majorBidi" w:cstheme="majorBidi"/>
          <w:b/>
          <w:bCs/>
        </w:rPr>
        <w:t xml:space="preserve">, H. K., &amp; </w:t>
      </w:r>
      <w:proofErr w:type="spellStart"/>
      <w:r w:rsidRPr="00081602">
        <w:rPr>
          <w:rFonts w:asciiTheme="majorBidi" w:hAnsiTheme="majorBidi" w:cstheme="majorBidi"/>
          <w:b/>
          <w:bCs/>
        </w:rPr>
        <w:t>Keçecioğlu</w:t>
      </w:r>
      <w:proofErr w:type="spellEnd"/>
      <w:r w:rsidRPr="00081602">
        <w:rPr>
          <w:rFonts w:asciiTheme="majorBidi" w:hAnsiTheme="majorBidi" w:cstheme="majorBidi"/>
          <w:b/>
          <w:bCs/>
        </w:rPr>
        <w:t>, Ö. F.</w:t>
      </w:r>
      <w:r w:rsidRPr="00081602">
        <w:rPr>
          <w:rFonts w:asciiTheme="majorBidi" w:hAnsiTheme="majorBidi" w:cstheme="majorBidi"/>
        </w:rPr>
        <w:t xml:space="preserve"> (2024). Generative artificial intelligence: A historical and future perspective. </w:t>
      </w:r>
      <w:r w:rsidRPr="00081602">
        <w:rPr>
          <w:rFonts w:asciiTheme="majorBidi" w:hAnsiTheme="majorBidi" w:cstheme="majorBidi"/>
          <w:i/>
          <w:iCs/>
        </w:rPr>
        <w:t>Academic Platform Journal of Engineering and Smart Systems, 12</w:t>
      </w:r>
      <w:r w:rsidRPr="00081602">
        <w:rPr>
          <w:rFonts w:asciiTheme="majorBidi" w:hAnsiTheme="majorBidi" w:cstheme="majorBidi"/>
        </w:rPr>
        <w:t xml:space="preserve">(2), 47–58. </w:t>
      </w:r>
      <w:hyperlink r:id="rId40" w:history="1">
        <w:r w:rsidRPr="00081602">
          <w:rPr>
            <w:rStyle w:val="Hyperlink"/>
            <w:rFonts w:asciiTheme="majorBidi" w:hAnsiTheme="majorBidi" w:cstheme="majorBidi"/>
            <w:color w:val="auto"/>
          </w:rPr>
          <w:t>https://doi.org/10.21541/apjess.1398155</w:t>
        </w:r>
      </w:hyperlink>
      <w:r w:rsidRPr="00081602">
        <w:rPr>
          <w:rFonts w:asciiTheme="majorBidi" w:hAnsiTheme="majorBidi" w:cstheme="majorBidi"/>
        </w:rPr>
        <w:t xml:space="preserve"> </w:t>
      </w:r>
    </w:p>
    <w:p w14:paraId="1BAE9BA2"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Kock, N.</w:t>
      </w:r>
      <w:r w:rsidRPr="00081602">
        <w:rPr>
          <w:rFonts w:asciiTheme="majorBidi" w:hAnsiTheme="majorBidi" w:cstheme="majorBidi"/>
        </w:rPr>
        <w:t xml:space="preserve"> (2015). Common method bias in PLS-SEM: A full collinearity assessment approach. </w:t>
      </w:r>
      <w:r w:rsidRPr="00081602">
        <w:rPr>
          <w:rFonts w:asciiTheme="majorBidi" w:hAnsiTheme="majorBidi" w:cstheme="majorBidi"/>
          <w:i/>
          <w:iCs/>
        </w:rPr>
        <w:t>International Journal of e-Collaboration, 11</w:t>
      </w:r>
      <w:r w:rsidRPr="00081602">
        <w:rPr>
          <w:rFonts w:asciiTheme="majorBidi" w:hAnsiTheme="majorBidi" w:cstheme="majorBidi"/>
        </w:rPr>
        <w:t xml:space="preserve">(4), 1–10. </w:t>
      </w:r>
      <w:hyperlink r:id="rId41" w:history="1">
        <w:r w:rsidRPr="00081602">
          <w:rPr>
            <w:rStyle w:val="Hyperlink"/>
            <w:rFonts w:asciiTheme="majorBidi" w:hAnsiTheme="majorBidi" w:cstheme="majorBidi"/>
            <w:color w:val="auto"/>
          </w:rPr>
          <w:t>https://doi.org/10.4018/ijec.2015100101</w:t>
        </w:r>
      </w:hyperlink>
      <w:r w:rsidRPr="00081602">
        <w:rPr>
          <w:rFonts w:asciiTheme="majorBidi" w:hAnsiTheme="majorBidi" w:cstheme="majorBidi"/>
        </w:rPr>
        <w:t xml:space="preserve">  </w:t>
      </w:r>
    </w:p>
    <w:p w14:paraId="14955BB0"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Kshetri</w:t>
      </w:r>
      <w:proofErr w:type="spellEnd"/>
      <w:r w:rsidRPr="00081602">
        <w:rPr>
          <w:rFonts w:asciiTheme="majorBidi" w:hAnsiTheme="majorBidi" w:cstheme="majorBidi"/>
          <w:b/>
          <w:bCs/>
        </w:rPr>
        <w:t>, N., Dwivedi, Y., Davenport, T., &amp; Panteli, N.</w:t>
      </w:r>
      <w:r w:rsidRPr="00081602">
        <w:rPr>
          <w:rFonts w:asciiTheme="majorBidi" w:hAnsiTheme="majorBidi" w:cstheme="majorBidi"/>
        </w:rPr>
        <w:t xml:space="preserve"> (2023). Generative artificial intelligence in marketing: Applications, opportunities, challenges, and research agenda. </w:t>
      </w:r>
      <w:r w:rsidRPr="00081602">
        <w:rPr>
          <w:rFonts w:asciiTheme="majorBidi" w:hAnsiTheme="majorBidi" w:cstheme="majorBidi"/>
          <w:i/>
          <w:iCs/>
        </w:rPr>
        <w:t>International Journal of Information Management, 75</w:t>
      </w:r>
      <w:r w:rsidRPr="00081602">
        <w:rPr>
          <w:rFonts w:asciiTheme="majorBidi" w:hAnsiTheme="majorBidi" w:cstheme="majorBidi"/>
        </w:rPr>
        <w:t xml:space="preserve">, Article 102716. </w:t>
      </w:r>
      <w:hyperlink r:id="rId42" w:history="1">
        <w:r w:rsidRPr="00081602">
          <w:rPr>
            <w:rStyle w:val="Hyperlink"/>
            <w:rFonts w:asciiTheme="majorBidi" w:hAnsiTheme="majorBidi" w:cstheme="majorBidi"/>
            <w:color w:val="auto"/>
          </w:rPr>
          <w:t>https://doi.org/10.1016/j.ijinfomgt.2023.102716</w:t>
        </w:r>
      </w:hyperlink>
      <w:r w:rsidRPr="00081602">
        <w:rPr>
          <w:rFonts w:asciiTheme="majorBidi" w:hAnsiTheme="majorBidi" w:cstheme="majorBidi"/>
        </w:rPr>
        <w:t xml:space="preserve"> </w:t>
      </w:r>
    </w:p>
    <w:p w14:paraId="40EB2D81"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Kujore</w:t>
      </w:r>
      <w:proofErr w:type="spellEnd"/>
      <w:r w:rsidRPr="00081602">
        <w:rPr>
          <w:rFonts w:asciiTheme="majorBidi" w:hAnsiTheme="majorBidi" w:cstheme="majorBidi"/>
          <w:b/>
          <w:bCs/>
        </w:rPr>
        <w:t xml:space="preserve">, V., Adebayo, A., </w:t>
      </w:r>
      <w:proofErr w:type="spellStart"/>
      <w:r w:rsidRPr="00081602">
        <w:rPr>
          <w:rFonts w:asciiTheme="majorBidi" w:hAnsiTheme="majorBidi" w:cstheme="majorBidi"/>
          <w:b/>
          <w:bCs/>
        </w:rPr>
        <w:t>Sambakiu</w:t>
      </w:r>
      <w:proofErr w:type="spellEnd"/>
      <w:r w:rsidRPr="00081602">
        <w:rPr>
          <w:rFonts w:asciiTheme="majorBidi" w:hAnsiTheme="majorBidi" w:cstheme="majorBidi"/>
          <w:b/>
          <w:bCs/>
        </w:rPr>
        <w:t xml:space="preserve">, O., &amp; </w:t>
      </w:r>
      <w:proofErr w:type="spellStart"/>
      <w:r w:rsidRPr="00081602">
        <w:rPr>
          <w:rFonts w:asciiTheme="majorBidi" w:hAnsiTheme="majorBidi" w:cstheme="majorBidi"/>
          <w:b/>
          <w:bCs/>
        </w:rPr>
        <w:t>Segbenu</w:t>
      </w:r>
      <w:proofErr w:type="spellEnd"/>
      <w:r w:rsidRPr="00081602">
        <w:rPr>
          <w:rFonts w:asciiTheme="majorBidi" w:hAnsiTheme="majorBidi" w:cstheme="majorBidi"/>
          <w:b/>
          <w:bCs/>
        </w:rPr>
        <w:t>, B. S.</w:t>
      </w:r>
      <w:r w:rsidRPr="00081602">
        <w:rPr>
          <w:rFonts w:asciiTheme="majorBidi" w:hAnsiTheme="majorBidi" w:cstheme="majorBidi"/>
        </w:rPr>
        <w:t xml:space="preserve"> (2025). Transformative role of generative AI in marketing content creation and brand engagement strategies. </w:t>
      </w:r>
      <w:r w:rsidRPr="00081602">
        <w:rPr>
          <w:rFonts w:asciiTheme="majorBidi" w:hAnsiTheme="majorBidi" w:cstheme="majorBidi"/>
          <w:i/>
          <w:iCs/>
        </w:rPr>
        <w:t>GSC Advanced Research and Reviews, 23</w:t>
      </w:r>
      <w:r w:rsidRPr="00081602">
        <w:rPr>
          <w:rFonts w:asciiTheme="majorBidi" w:hAnsiTheme="majorBidi" w:cstheme="majorBidi"/>
        </w:rPr>
        <w:t xml:space="preserve">(3), 1–11. </w:t>
      </w:r>
      <w:hyperlink r:id="rId43" w:history="1">
        <w:r w:rsidRPr="00081602">
          <w:rPr>
            <w:rStyle w:val="Hyperlink"/>
            <w:rFonts w:asciiTheme="majorBidi" w:hAnsiTheme="majorBidi" w:cstheme="majorBidi"/>
            <w:color w:val="auto"/>
          </w:rPr>
          <w:t>https://doi.org/10.30574/gscarr.2025.23.3.0145</w:t>
        </w:r>
      </w:hyperlink>
      <w:r w:rsidRPr="00081602">
        <w:rPr>
          <w:rFonts w:asciiTheme="majorBidi" w:hAnsiTheme="majorBidi" w:cstheme="majorBidi"/>
        </w:rPr>
        <w:t xml:space="preserve">  </w:t>
      </w:r>
    </w:p>
    <w:p w14:paraId="193D7B0B"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Masnita</w:t>
      </w:r>
      <w:proofErr w:type="spellEnd"/>
      <w:r w:rsidRPr="00081602">
        <w:rPr>
          <w:rFonts w:asciiTheme="majorBidi" w:hAnsiTheme="majorBidi" w:cstheme="majorBidi"/>
          <w:b/>
          <w:bCs/>
        </w:rPr>
        <w:t xml:space="preserve">, Y., </w:t>
      </w:r>
      <w:proofErr w:type="spellStart"/>
      <w:r w:rsidRPr="00081602">
        <w:rPr>
          <w:rFonts w:asciiTheme="majorBidi" w:hAnsiTheme="majorBidi" w:cstheme="majorBidi"/>
          <w:b/>
          <w:bCs/>
        </w:rPr>
        <w:t>Kasuma</w:t>
      </w:r>
      <w:proofErr w:type="spellEnd"/>
      <w:r w:rsidRPr="00081602">
        <w:rPr>
          <w:rFonts w:asciiTheme="majorBidi" w:hAnsiTheme="majorBidi" w:cstheme="majorBidi"/>
          <w:b/>
          <w:bCs/>
        </w:rPr>
        <w:t xml:space="preserve"> Ali, J., Zahra, A., Wilson, N., &amp; </w:t>
      </w:r>
      <w:proofErr w:type="spellStart"/>
      <w:r w:rsidRPr="00081602">
        <w:rPr>
          <w:rFonts w:asciiTheme="majorBidi" w:hAnsiTheme="majorBidi" w:cstheme="majorBidi"/>
          <w:b/>
          <w:bCs/>
        </w:rPr>
        <w:t>Murwonugroho</w:t>
      </w:r>
      <w:proofErr w:type="spellEnd"/>
      <w:r w:rsidRPr="00081602">
        <w:rPr>
          <w:rFonts w:asciiTheme="majorBidi" w:hAnsiTheme="majorBidi" w:cstheme="majorBidi"/>
          <w:b/>
          <w:bCs/>
        </w:rPr>
        <w:t>, W.</w:t>
      </w:r>
      <w:r w:rsidRPr="00081602">
        <w:rPr>
          <w:rFonts w:asciiTheme="majorBidi" w:hAnsiTheme="majorBidi" w:cstheme="majorBidi"/>
        </w:rPr>
        <w:t xml:space="preserve"> (2024). Artificial intelligence in marketing: Literature review and future research agenda. </w:t>
      </w:r>
      <w:r w:rsidRPr="00081602">
        <w:rPr>
          <w:rFonts w:asciiTheme="majorBidi" w:hAnsiTheme="majorBidi" w:cstheme="majorBidi"/>
          <w:i/>
          <w:iCs/>
        </w:rPr>
        <w:lastRenderedPageBreak/>
        <w:t>Journal of System and Management Sciences, 14</w:t>
      </w:r>
      <w:r w:rsidRPr="00081602">
        <w:rPr>
          <w:rFonts w:asciiTheme="majorBidi" w:hAnsiTheme="majorBidi" w:cstheme="majorBidi"/>
        </w:rPr>
        <w:t xml:space="preserve">(1), 120–140. </w:t>
      </w:r>
      <w:hyperlink r:id="rId44" w:history="1">
        <w:r w:rsidRPr="00081602">
          <w:rPr>
            <w:rStyle w:val="Hyperlink"/>
            <w:rFonts w:asciiTheme="majorBidi" w:hAnsiTheme="majorBidi" w:cstheme="majorBidi"/>
            <w:color w:val="auto"/>
          </w:rPr>
          <w:t>https://doi.org/10.33168/JSMS.2024.0108</w:t>
        </w:r>
      </w:hyperlink>
      <w:r w:rsidRPr="00081602">
        <w:rPr>
          <w:rFonts w:asciiTheme="majorBidi" w:hAnsiTheme="majorBidi" w:cstheme="majorBidi"/>
        </w:rPr>
        <w:t xml:space="preserve"> </w:t>
      </w:r>
    </w:p>
    <w:p w14:paraId="66A60BE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McKinsey &amp; Company.</w:t>
      </w:r>
      <w:r w:rsidRPr="00081602">
        <w:rPr>
          <w:rFonts w:asciiTheme="majorBidi" w:hAnsiTheme="majorBidi" w:cstheme="majorBidi"/>
          <w:color w:val="EE0000"/>
        </w:rPr>
        <w:t xml:space="preserve"> (2024, November 6). </w:t>
      </w:r>
      <w:r w:rsidRPr="00081602">
        <w:rPr>
          <w:rFonts w:asciiTheme="majorBidi" w:hAnsiTheme="majorBidi" w:cstheme="majorBidi"/>
          <w:i/>
          <w:iCs/>
          <w:color w:val="EE0000"/>
        </w:rPr>
        <w:t>The state of gen AI in the Middle East’s GCC countries: A 2024 report card</w:t>
      </w:r>
      <w:r w:rsidRPr="00081602">
        <w:rPr>
          <w:rFonts w:asciiTheme="majorBidi" w:hAnsiTheme="majorBidi" w:cstheme="majorBidi"/>
          <w:color w:val="EE0000"/>
        </w:rPr>
        <w:t xml:space="preserve">. </w:t>
      </w:r>
      <w:hyperlink r:id="rId45" w:history="1">
        <w:r w:rsidRPr="00081602">
          <w:rPr>
            <w:rStyle w:val="Hyperlink"/>
            <w:rFonts w:asciiTheme="majorBidi" w:hAnsiTheme="majorBidi" w:cstheme="majorBidi"/>
            <w:color w:val="EE0000"/>
          </w:rPr>
          <w:t>https://www.mckinsey.com/capabilities/quantumblack/our-insights/the-state-of-gen-ai-in-the-middle-easts-gcc-countries-a-2024-report-card</w:t>
        </w:r>
      </w:hyperlink>
      <w:r w:rsidRPr="00081602">
        <w:rPr>
          <w:rFonts w:asciiTheme="majorBidi" w:hAnsiTheme="majorBidi" w:cstheme="majorBidi"/>
          <w:color w:val="EE0000"/>
        </w:rPr>
        <w:t xml:space="preserve"> </w:t>
      </w:r>
    </w:p>
    <w:p w14:paraId="0B2415A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Mendoza, J. A. G., Franco, H. H. M., &amp; Torres, O. A. P.</w:t>
      </w:r>
      <w:r w:rsidRPr="00081602">
        <w:rPr>
          <w:rFonts w:asciiTheme="majorBidi" w:hAnsiTheme="majorBidi" w:cstheme="majorBidi"/>
          <w:color w:val="EE0000"/>
        </w:rPr>
        <w:t xml:space="preserve"> (2025). Artificial intelligence in digital marketing: Quantitative analysis of its impact on customer personalization. </w:t>
      </w:r>
      <w:r w:rsidRPr="00081602">
        <w:rPr>
          <w:rFonts w:asciiTheme="majorBidi" w:hAnsiTheme="majorBidi" w:cstheme="majorBidi"/>
          <w:i/>
          <w:iCs/>
          <w:color w:val="EE0000"/>
        </w:rPr>
        <w:t>Journal of Posthumanism</w:t>
      </w:r>
      <w:r w:rsidRPr="00081602">
        <w:rPr>
          <w:rFonts w:asciiTheme="majorBidi" w:hAnsiTheme="majorBidi" w:cstheme="majorBidi"/>
          <w:color w:val="EE0000"/>
        </w:rPr>
        <w:t xml:space="preserve">, </w:t>
      </w:r>
      <w:r w:rsidRPr="00081602">
        <w:rPr>
          <w:rFonts w:asciiTheme="majorBidi" w:hAnsiTheme="majorBidi" w:cstheme="majorBidi"/>
          <w:i/>
          <w:iCs/>
          <w:color w:val="EE0000"/>
        </w:rPr>
        <w:t>5</w:t>
      </w:r>
      <w:r w:rsidRPr="00081602">
        <w:rPr>
          <w:rFonts w:asciiTheme="majorBidi" w:hAnsiTheme="majorBidi" w:cstheme="majorBidi"/>
          <w:color w:val="EE0000"/>
        </w:rPr>
        <w:t xml:space="preserve">(6), 4206–4218. </w:t>
      </w:r>
      <w:hyperlink r:id="rId46" w:history="1">
        <w:r w:rsidRPr="00081602">
          <w:rPr>
            <w:rStyle w:val="Hyperlink"/>
            <w:rFonts w:asciiTheme="majorBidi" w:hAnsiTheme="majorBidi" w:cstheme="majorBidi"/>
            <w:color w:val="EE0000"/>
          </w:rPr>
          <w:t>https://doi.org/10.63332/joph.v5i6.2596</w:t>
        </w:r>
      </w:hyperlink>
      <w:r w:rsidRPr="00081602">
        <w:rPr>
          <w:rFonts w:asciiTheme="majorBidi" w:hAnsiTheme="majorBidi" w:cstheme="majorBidi"/>
          <w:color w:val="EE0000"/>
        </w:rPr>
        <w:t xml:space="preserve"> </w:t>
      </w:r>
    </w:p>
    <w:p w14:paraId="02608FD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Nguyen, C. A., Langan, R. J., &amp; Anderson, J. E.</w:t>
      </w:r>
      <w:r w:rsidRPr="00081602">
        <w:rPr>
          <w:rFonts w:asciiTheme="majorBidi" w:hAnsiTheme="majorBidi" w:cstheme="majorBidi"/>
          <w:color w:val="EE0000"/>
        </w:rPr>
        <w:t xml:space="preserve"> (2025). Integrating generative AI into team-based marketing workflows. </w:t>
      </w:r>
      <w:r w:rsidRPr="00081602">
        <w:rPr>
          <w:rFonts w:asciiTheme="majorBidi" w:hAnsiTheme="majorBidi" w:cstheme="majorBidi"/>
          <w:i/>
          <w:iCs/>
          <w:color w:val="EE0000"/>
        </w:rPr>
        <w:t>Business Forum, 30</w:t>
      </w:r>
      <w:r w:rsidRPr="00081602">
        <w:rPr>
          <w:rFonts w:asciiTheme="majorBidi" w:hAnsiTheme="majorBidi" w:cstheme="majorBidi"/>
          <w:color w:val="EE0000"/>
        </w:rPr>
        <w:t xml:space="preserve">(2). </w:t>
      </w:r>
      <w:hyperlink r:id="rId47" w:history="1">
        <w:r w:rsidRPr="00081602">
          <w:rPr>
            <w:rStyle w:val="Hyperlink"/>
            <w:rFonts w:asciiTheme="majorBidi" w:hAnsiTheme="majorBidi" w:cstheme="majorBidi"/>
            <w:color w:val="EE0000"/>
          </w:rPr>
          <w:t>https://www.calstatela.edu/business/businessforum/business-forum-vol-30-issue-2</w:t>
        </w:r>
      </w:hyperlink>
      <w:r w:rsidRPr="00081602">
        <w:rPr>
          <w:rFonts w:asciiTheme="majorBidi" w:hAnsiTheme="majorBidi" w:cstheme="majorBidi"/>
          <w:color w:val="EE0000"/>
        </w:rPr>
        <w:t xml:space="preserve"> </w:t>
      </w:r>
    </w:p>
    <w:p w14:paraId="4D7B574A"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Podsakoff, P. M., MacKenzie, S. B., Lee, J.-Y., &amp; Podsakoff, N. P.</w:t>
      </w:r>
      <w:r w:rsidRPr="00081602">
        <w:rPr>
          <w:rFonts w:asciiTheme="majorBidi" w:hAnsiTheme="majorBidi" w:cstheme="majorBidi"/>
        </w:rPr>
        <w:t xml:space="preserve"> (2003). Common method biases in behavioral research: A critical review of the literature and recommended remedies. </w:t>
      </w:r>
      <w:r w:rsidRPr="00081602">
        <w:rPr>
          <w:rFonts w:asciiTheme="majorBidi" w:hAnsiTheme="majorBidi" w:cstheme="majorBidi"/>
          <w:i/>
          <w:iCs/>
        </w:rPr>
        <w:t>Journal of Applied Psychology, 88</w:t>
      </w:r>
      <w:r w:rsidRPr="00081602">
        <w:rPr>
          <w:rFonts w:asciiTheme="majorBidi" w:hAnsiTheme="majorBidi" w:cstheme="majorBidi"/>
        </w:rPr>
        <w:t xml:space="preserve">(5), 879–903. </w:t>
      </w:r>
      <w:hyperlink r:id="rId48" w:history="1">
        <w:r w:rsidRPr="00081602">
          <w:rPr>
            <w:rStyle w:val="Hyperlink"/>
            <w:rFonts w:asciiTheme="majorBidi" w:hAnsiTheme="majorBidi" w:cstheme="majorBidi"/>
            <w:color w:val="auto"/>
          </w:rPr>
          <w:t>https://doi.org/10.1037/0021-9010.88.5.879</w:t>
        </w:r>
      </w:hyperlink>
      <w:r w:rsidRPr="00081602">
        <w:rPr>
          <w:rFonts w:asciiTheme="majorBidi" w:hAnsiTheme="majorBidi" w:cstheme="majorBidi"/>
        </w:rPr>
        <w:t xml:space="preserve">  </w:t>
      </w:r>
    </w:p>
    <w:p w14:paraId="0FD09B7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Saudi Data &amp; AI Authority (SDAIA).</w:t>
      </w:r>
      <w:r w:rsidRPr="00081602">
        <w:rPr>
          <w:rFonts w:asciiTheme="majorBidi" w:hAnsiTheme="majorBidi" w:cstheme="majorBidi"/>
          <w:color w:val="EE0000"/>
        </w:rPr>
        <w:t xml:space="preserve"> (2024a). </w:t>
      </w:r>
      <w:r w:rsidRPr="00081602">
        <w:rPr>
          <w:rFonts w:asciiTheme="majorBidi" w:hAnsiTheme="majorBidi" w:cstheme="majorBidi"/>
          <w:i/>
          <w:iCs/>
          <w:color w:val="EE0000"/>
        </w:rPr>
        <w:t>Generative artificial intelligence guidelines for the public</w:t>
      </w:r>
      <w:r w:rsidRPr="00081602">
        <w:rPr>
          <w:rFonts w:asciiTheme="majorBidi" w:hAnsiTheme="majorBidi" w:cstheme="majorBidi"/>
          <w:color w:val="EE0000"/>
        </w:rPr>
        <w:t xml:space="preserve">. </w:t>
      </w:r>
      <w:hyperlink r:id="rId49" w:history="1">
        <w:r w:rsidRPr="00081602">
          <w:rPr>
            <w:rStyle w:val="Hyperlink"/>
            <w:rFonts w:asciiTheme="majorBidi" w:hAnsiTheme="majorBidi" w:cstheme="majorBidi"/>
            <w:color w:val="EE0000"/>
          </w:rPr>
          <w:t>https://sdaia.gov.sa/en/SDAIA/about/Files/GenerativeAIPublicEN.pdf</w:t>
        </w:r>
      </w:hyperlink>
      <w:r w:rsidRPr="00081602">
        <w:rPr>
          <w:rFonts w:asciiTheme="majorBidi" w:hAnsiTheme="majorBidi" w:cstheme="majorBidi"/>
          <w:color w:val="EE0000"/>
        </w:rPr>
        <w:t xml:space="preserve"> </w:t>
      </w:r>
    </w:p>
    <w:p w14:paraId="50E8C5B9"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Saunders, M., Lewis, P., &amp; Thornhill, A.</w:t>
      </w:r>
      <w:r w:rsidRPr="00081602">
        <w:rPr>
          <w:rFonts w:asciiTheme="majorBidi" w:hAnsiTheme="majorBidi" w:cstheme="majorBidi"/>
        </w:rPr>
        <w:t xml:space="preserve"> (2019). </w:t>
      </w:r>
      <w:r w:rsidRPr="00081602">
        <w:rPr>
          <w:rFonts w:asciiTheme="majorBidi" w:hAnsiTheme="majorBidi" w:cstheme="majorBidi"/>
          <w:i/>
          <w:iCs/>
        </w:rPr>
        <w:t>Research methods for business students</w:t>
      </w:r>
      <w:r w:rsidRPr="00081602">
        <w:rPr>
          <w:rFonts w:asciiTheme="majorBidi" w:hAnsiTheme="majorBidi" w:cstheme="majorBidi"/>
        </w:rPr>
        <w:t xml:space="preserve"> (8th ed.). Pearson Education. </w:t>
      </w:r>
    </w:p>
    <w:p w14:paraId="0CF62B7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Sharabati, A.-A. A., Ali, A. A. A., </w:t>
      </w:r>
      <w:proofErr w:type="spellStart"/>
      <w:r w:rsidRPr="00081602">
        <w:rPr>
          <w:rFonts w:asciiTheme="majorBidi" w:hAnsiTheme="majorBidi" w:cstheme="majorBidi"/>
          <w:b/>
          <w:bCs/>
        </w:rPr>
        <w:t>Allahham</w:t>
      </w:r>
      <w:proofErr w:type="spellEnd"/>
      <w:r w:rsidRPr="00081602">
        <w:rPr>
          <w:rFonts w:asciiTheme="majorBidi" w:hAnsiTheme="majorBidi" w:cstheme="majorBidi"/>
          <w:b/>
          <w:bCs/>
        </w:rPr>
        <w:t xml:space="preserve">, M. I., Hussein, A. A., </w:t>
      </w:r>
      <w:proofErr w:type="spellStart"/>
      <w:r w:rsidRPr="00081602">
        <w:rPr>
          <w:rFonts w:asciiTheme="majorBidi" w:hAnsiTheme="majorBidi" w:cstheme="majorBidi"/>
          <w:b/>
          <w:bCs/>
        </w:rPr>
        <w:t>Alheet</w:t>
      </w:r>
      <w:proofErr w:type="spellEnd"/>
      <w:r w:rsidRPr="00081602">
        <w:rPr>
          <w:rFonts w:asciiTheme="majorBidi" w:hAnsiTheme="majorBidi" w:cstheme="majorBidi"/>
          <w:b/>
          <w:bCs/>
        </w:rPr>
        <w:t>, A. F., &amp; Mohammad, A. S.</w:t>
      </w:r>
      <w:r w:rsidRPr="00081602">
        <w:rPr>
          <w:rFonts w:asciiTheme="majorBidi" w:hAnsiTheme="majorBidi" w:cstheme="majorBidi"/>
        </w:rPr>
        <w:t xml:space="preserve"> (2024). The impact of digital marketing on the performance of SMEs: An analytical study in light of modern digital transformations. </w:t>
      </w:r>
      <w:r w:rsidRPr="00081602">
        <w:rPr>
          <w:rFonts w:asciiTheme="majorBidi" w:hAnsiTheme="majorBidi" w:cstheme="majorBidi"/>
          <w:i/>
          <w:iCs/>
        </w:rPr>
        <w:t>Sustainability, 16</w:t>
      </w:r>
      <w:r w:rsidRPr="00081602">
        <w:rPr>
          <w:rFonts w:asciiTheme="majorBidi" w:hAnsiTheme="majorBidi" w:cstheme="majorBidi"/>
        </w:rPr>
        <w:t xml:space="preserve">(19), 8667. </w:t>
      </w:r>
      <w:hyperlink r:id="rId50" w:history="1">
        <w:r w:rsidRPr="00081602">
          <w:rPr>
            <w:rStyle w:val="Hyperlink"/>
            <w:rFonts w:asciiTheme="majorBidi" w:hAnsiTheme="majorBidi" w:cstheme="majorBidi"/>
            <w:color w:val="auto"/>
          </w:rPr>
          <w:t>https://doi.org/10.3390/su16198667</w:t>
        </w:r>
      </w:hyperlink>
      <w:r w:rsidRPr="00081602">
        <w:rPr>
          <w:rFonts w:asciiTheme="majorBidi" w:hAnsiTheme="majorBidi" w:cstheme="majorBidi"/>
        </w:rPr>
        <w:t xml:space="preserve">  </w:t>
      </w:r>
    </w:p>
    <w:p w14:paraId="5AEE453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Social Media Today.</w:t>
      </w:r>
      <w:r w:rsidRPr="00081602">
        <w:rPr>
          <w:rFonts w:asciiTheme="majorBidi" w:hAnsiTheme="majorBidi" w:cstheme="majorBidi"/>
          <w:color w:val="EE0000"/>
        </w:rPr>
        <w:t xml:space="preserve"> (2025, July 8). </w:t>
      </w:r>
      <w:r w:rsidRPr="00081602">
        <w:rPr>
          <w:rFonts w:asciiTheme="majorBidi" w:hAnsiTheme="majorBidi" w:cstheme="majorBidi"/>
          <w:i/>
          <w:iCs/>
          <w:color w:val="EE0000"/>
        </w:rPr>
        <w:t>Digital marketing statistics of 2025: H1 by the numbers</w:t>
      </w:r>
      <w:r w:rsidRPr="00081602">
        <w:rPr>
          <w:rFonts w:asciiTheme="majorBidi" w:hAnsiTheme="majorBidi" w:cstheme="majorBidi"/>
          <w:color w:val="EE0000"/>
        </w:rPr>
        <w:t xml:space="preserve">. </w:t>
      </w:r>
      <w:hyperlink r:id="rId51" w:history="1">
        <w:r w:rsidRPr="00081602">
          <w:rPr>
            <w:rStyle w:val="Hyperlink"/>
            <w:rFonts w:asciiTheme="majorBidi" w:hAnsiTheme="majorBidi" w:cstheme="majorBidi"/>
            <w:color w:val="EE0000"/>
          </w:rPr>
          <w:t>https://www.socialmediatoday.com/news/digital-marketing-statistics-2025-h1-by-the-numbers/752547/</w:t>
        </w:r>
      </w:hyperlink>
      <w:r w:rsidRPr="00081602">
        <w:rPr>
          <w:rFonts w:asciiTheme="majorBidi" w:hAnsiTheme="majorBidi" w:cstheme="majorBidi"/>
          <w:color w:val="EE0000"/>
        </w:rPr>
        <w:t xml:space="preserve"> </w:t>
      </w:r>
    </w:p>
    <w:p w14:paraId="01E2A97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Strategy&amp; (PwC Middle East).</w:t>
      </w:r>
      <w:r w:rsidRPr="00081602">
        <w:rPr>
          <w:rFonts w:asciiTheme="majorBidi" w:hAnsiTheme="majorBidi" w:cstheme="majorBidi"/>
          <w:color w:val="EE0000"/>
        </w:rPr>
        <w:t xml:space="preserve"> (2024). </w:t>
      </w:r>
      <w:r w:rsidRPr="00081602">
        <w:rPr>
          <w:rFonts w:asciiTheme="majorBidi" w:hAnsiTheme="majorBidi" w:cstheme="majorBidi"/>
          <w:i/>
          <w:iCs/>
          <w:color w:val="EE0000"/>
        </w:rPr>
        <w:t>Overcoming regional ecosystem challenges in AI</w:t>
      </w:r>
      <w:r w:rsidRPr="00081602">
        <w:rPr>
          <w:rFonts w:asciiTheme="majorBidi" w:hAnsiTheme="majorBidi" w:cstheme="majorBidi"/>
          <w:color w:val="EE0000"/>
        </w:rPr>
        <w:t xml:space="preserve">. </w:t>
      </w:r>
      <w:hyperlink r:id="rId52" w:history="1">
        <w:r w:rsidRPr="00081602">
          <w:rPr>
            <w:rStyle w:val="Hyperlink"/>
            <w:rFonts w:asciiTheme="majorBidi" w:hAnsiTheme="majorBidi" w:cstheme="majorBidi"/>
            <w:color w:val="EE0000"/>
          </w:rPr>
          <w:t>https://www.strategyand.pwc.com/m1/en/industries/technology/regional-ecosystem-challenges-in-ai.html</w:t>
        </w:r>
      </w:hyperlink>
      <w:r w:rsidRPr="00081602">
        <w:rPr>
          <w:rFonts w:asciiTheme="majorBidi" w:hAnsiTheme="majorBidi" w:cstheme="majorBidi"/>
          <w:color w:val="EE0000"/>
        </w:rPr>
        <w:t xml:space="preserve"> </w:t>
      </w:r>
    </w:p>
    <w:p w14:paraId="6F8C53E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Wang, Y., </w:t>
      </w:r>
      <w:proofErr w:type="spellStart"/>
      <w:r w:rsidRPr="00081602">
        <w:rPr>
          <w:rFonts w:asciiTheme="majorBidi" w:hAnsiTheme="majorBidi" w:cstheme="majorBidi"/>
          <w:b/>
          <w:bCs/>
        </w:rPr>
        <w:t>Sauka</w:t>
      </w:r>
      <w:proofErr w:type="spellEnd"/>
      <w:r w:rsidRPr="00081602">
        <w:rPr>
          <w:rFonts w:asciiTheme="majorBidi" w:hAnsiTheme="majorBidi" w:cstheme="majorBidi"/>
          <w:b/>
          <w:bCs/>
        </w:rPr>
        <w:t xml:space="preserve">, K., &amp; </w:t>
      </w:r>
      <w:proofErr w:type="spellStart"/>
      <w:r w:rsidRPr="00081602">
        <w:rPr>
          <w:rFonts w:asciiTheme="majorBidi" w:hAnsiTheme="majorBidi" w:cstheme="majorBidi"/>
          <w:b/>
          <w:bCs/>
        </w:rPr>
        <w:t>Situmeang</w:t>
      </w:r>
      <w:proofErr w:type="spellEnd"/>
      <w:r w:rsidRPr="00081602">
        <w:rPr>
          <w:rFonts w:asciiTheme="majorBidi" w:hAnsiTheme="majorBidi" w:cstheme="majorBidi"/>
          <w:b/>
          <w:bCs/>
        </w:rPr>
        <w:t>, F. B. I.</w:t>
      </w:r>
      <w:r w:rsidRPr="00081602">
        <w:rPr>
          <w:rFonts w:asciiTheme="majorBidi" w:hAnsiTheme="majorBidi" w:cstheme="majorBidi"/>
        </w:rPr>
        <w:t xml:space="preserve"> (2025). Anthropomorphism and transparency interplay on consumer </w:t>
      </w:r>
      <w:proofErr w:type="spellStart"/>
      <w:r w:rsidRPr="00081602">
        <w:rPr>
          <w:rFonts w:asciiTheme="majorBidi" w:hAnsiTheme="majorBidi" w:cstheme="majorBidi"/>
        </w:rPr>
        <w:t>behaviour</w:t>
      </w:r>
      <w:proofErr w:type="spellEnd"/>
      <w:r w:rsidRPr="00081602">
        <w:rPr>
          <w:rFonts w:asciiTheme="majorBidi" w:hAnsiTheme="majorBidi" w:cstheme="majorBidi"/>
        </w:rPr>
        <w:t xml:space="preserve"> in generative </w:t>
      </w:r>
      <w:proofErr w:type="spellStart"/>
      <w:r w:rsidRPr="00081602">
        <w:rPr>
          <w:rFonts w:asciiTheme="majorBidi" w:hAnsiTheme="majorBidi" w:cstheme="majorBidi"/>
        </w:rPr>
        <w:t>AIdriven</w:t>
      </w:r>
      <w:proofErr w:type="spellEnd"/>
      <w:r w:rsidRPr="00081602">
        <w:rPr>
          <w:rFonts w:asciiTheme="majorBidi" w:hAnsiTheme="majorBidi" w:cstheme="majorBidi"/>
        </w:rPr>
        <w:t xml:space="preserve"> marketing communication. </w:t>
      </w:r>
      <w:r w:rsidRPr="00081602">
        <w:rPr>
          <w:rFonts w:asciiTheme="majorBidi" w:hAnsiTheme="majorBidi" w:cstheme="majorBidi"/>
          <w:i/>
          <w:iCs/>
        </w:rPr>
        <w:t>Journal of Consumer Marketing, 42</w:t>
      </w:r>
      <w:r w:rsidRPr="00081602">
        <w:rPr>
          <w:rFonts w:asciiTheme="majorBidi" w:hAnsiTheme="majorBidi" w:cstheme="majorBidi"/>
        </w:rPr>
        <w:t xml:space="preserve">(4), 512–536. </w:t>
      </w:r>
      <w:hyperlink r:id="rId53" w:history="1">
        <w:r w:rsidRPr="00081602">
          <w:rPr>
            <w:rStyle w:val="Hyperlink"/>
            <w:rFonts w:asciiTheme="majorBidi" w:hAnsiTheme="majorBidi" w:cstheme="majorBidi"/>
            <w:color w:val="auto"/>
          </w:rPr>
          <w:t>https://doi.org/10.1108/JCM-04-2024-6806</w:t>
        </w:r>
      </w:hyperlink>
      <w:r w:rsidRPr="00081602">
        <w:rPr>
          <w:rFonts w:asciiTheme="majorBidi" w:hAnsiTheme="majorBidi" w:cstheme="majorBidi"/>
        </w:rPr>
        <w:t xml:space="preserve">  </w:t>
      </w:r>
    </w:p>
    <w:p w14:paraId="757BDA06"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Zhao, X., Lynch, J. G., Jr., &amp; Chen, Q.</w:t>
      </w:r>
      <w:r w:rsidRPr="00081602">
        <w:rPr>
          <w:rFonts w:asciiTheme="majorBidi" w:hAnsiTheme="majorBidi" w:cstheme="majorBidi"/>
        </w:rPr>
        <w:t xml:space="preserve"> (2010). Reconsidering Baron and Kenny: Myths and truths about mediation analysis. </w:t>
      </w:r>
      <w:r w:rsidRPr="00081602">
        <w:rPr>
          <w:rFonts w:asciiTheme="majorBidi" w:hAnsiTheme="majorBidi" w:cstheme="majorBidi"/>
          <w:i/>
          <w:iCs/>
        </w:rPr>
        <w:t>Journal of Consumer Research, 37</w:t>
      </w:r>
      <w:r w:rsidRPr="00081602">
        <w:rPr>
          <w:rFonts w:asciiTheme="majorBidi" w:hAnsiTheme="majorBidi" w:cstheme="majorBidi"/>
        </w:rPr>
        <w:t xml:space="preserve">(2), 197–206. </w:t>
      </w:r>
      <w:hyperlink r:id="rId54" w:history="1">
        <w:r w:rsidRPr="00081602">
          <w:rPr>
            <w:rStyle w:val="Hyperlink"/>
            <w:rFonts w:asciiTheme="majorBidi" w:hAnsiTheme="majorBidi" w:cstheme="majorBidi"/>
            <w:color w:val="auto"/>
          </w:rPr>
          <w:t>https://doi.org/10.1086/651257</w:t>
        </w:r>
      </w:hyperlink>
      <w:r w:rsidRPr="00081602">
        <w:rPr>
          <w:rFonts w:asciiTheme="majorBidi" w:hAnsiTheme="majorBidi" w:cstheme="majorBidi"/>
        </w:rPr>
        <w:t xml:space="preserve">  </w:t>
      </w:r>
    </w:p>
    <w:p w14:paraId="2521E6A0" w14:textId="6452A6E1" w:rsidR="00F035EA" w:rsidRPr="00063F89" w:rsidRDefault="00F035EA" w:rsidP="00063F89">
      <w:pPr>
        <w:spacing w:after="200" w:line="276" w:lineRule="auto"/>
        <w:ind w:left="720" w:hanging="720"/>
        <w:rPr>
          <w:rFonts w:asciiTheme="majorBidi" w:hAnsiTheme="majorBidi" w:cstheme="majorBidi"/>
          <w:rtl/>
        </w:rPr>
      </w:pPr>
      <w:r>
        <w:rPr>
          <w:rFonts w:asciiTheme="majorBidi" w:hAnsiTheme="majorBidi" w:cstheme="majorBidi"/>
        </w:rPr>
        <w:t xml:space="preserve"> </w:t>
      </w:r>
    </w:p>
    <w:sectPr w:rsidR="00F035EA" w:rsidRPr="00063F89" w:rsidSect="00395E1F">
      <w:headerReference w:type="even" r:id="rId55"/>
      <w:headerReference w:type="default" r:id="rId56"/>
      <w:footerReference w:type="even" r:id="rId57"/>
      <w:footerReference w:type="default" r:id="rId58"/>
      <w:headerReference w:type="first" r:id="rId59"/>
      <w:footerReference w:type="first" r:id="rId6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A8A2C6" w14:textId="77777777" w:rsidR="00E72844" w:rsidRDefault="00E72844" w:rsidP="00F628F0">
      <w:pPr>
        <w:spacing w:after="0" w:line="240" w:lineRule="auto"/>
      </w:pPr>
      <w:r>
        <w:separator/>
      </w:r>
    </w:p>
  </w:endnote>
  <w:endnote w:type="continuationSeparator" w:id="0">
    <w:p w14:paraId="5A3780FA" w14:textId="77777777" w:rsidR="00E72844" w:rsidRDefault="00E7284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webkit-standard">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oto Naskh Arabic">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607896" w14:textId="77777777" w:rsidR="0045025F" w:rsidRDefault="0045025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5EE23A21" w:rsidR="00883E09" w:rsidRPr="00883E09" w:rsidRDefault="00264677" w:rsidP="0045025F">
    <w:pPr>
      <w:pStyle w:val="a5"/>
      <w:bidi/>
      <w:rPr>
        <w:sz w:val="24"/>
        <w:szCs w:val="24"/>
      </w:rPr>
    </w:pPr>
    <w:r>
      <w:rPr>
        <w:rFonts w:ascii="Times New Roman"/>
        <w:b/>
        <w:noProof/>
        <w:sz w:val="20"/>
      </w:rPr>
      <w:drawing>
        <wp:anchor distT="0" distB="0" distL="114300" distR="114300" simplePos="0" relativeHeight="251656192"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45025F" w:rsidRPr="0045025F">
      <w:rPr>
        <w:rFonts w:ascii="Arial" w:hAnsi="Arial" w:cs="Arial"/>
        <w:b/>
        <w:bCs/>
        <w:color w:val="0070C0"/>
        <w:sz w:val="18"/>
        <w:szCs w:val="18"/>
        <w:rtl/>
      </w:rPr>
      <w:t xml:space="preserve"> </w:t>
    </w:r>
    <w:r w:rsidR="0045025F"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EBE05C" w14:textId="77777777" w:rsidR="00E72844" w:rsidRDefault="00E72844" w:rsidP="00F628F0">
      <w:pPr>
        <w:spacing w:after="0" w:line="240" w:lineRule="auto"/>
      </w:pPr>
      <w:r>
        <w:separator/>
      </w:r>
    </w:p>
  </w:footnote>
  <w:footnote w:type="continuationSeparator" w:id="0">
    <w:p w14:paraId="1259C4AA" w14:textId="77777777" w:rsidR="00E72844" w:rsidRDefault="00E7284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DA0B72">
    <w:pPr>
      <w:pStyle w:val="a4"/>
    </w:pPr>
    <w:r>
      <w:rPr>
        <w:noProof/>
      </w:rPr>
    </w:r>
    <w:r w:rsidR="00DA0B72">
      <w:rPr>
        <w:noProof/>
      </w:rPr>
      <w:pict w14:anchorId="29DBC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DA0B72">
    <w:pPr>
      <w:pStyle w:val="a4"/>
    </w:pPr>
    <w:r>
      <w:rPr>
        <w:noProof/>
      </w:rPr>
    </w:r>
    <w:r w:rsidR="00DA0B72">
      <w:rPr>
        <w:noProof/>
      </w:rPr>
      <w:pict w14:anchorId="069C3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EndPr/>
    <w:sdtContent>
      <w:p w14:paraId="2C592018" w14:textId="2BE52E38" w:rsidR="003235C8" w:rsidRDefault="00DA0B72">
        <w:pPr>
          <w:pStyle w:val="a4"/>
        </w:pPr>
        <w:r>
          <w:rPr>
            <w:noProof/>
          </w:rPr>
        </w:r>
        <w:r w:rsidR="00DA0B72">
          <w:rPr>
            <w:noProof/>
          </w:rPr>
          <w:pict w14:anchorId="2EDCC9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002F6"/>
    <w:multiLevelType w:val="hybridMultilevel"/>
    <w:tmpl w:val="FFFFFFFF"/>
    <w:lvl w:ilvl="0" w:tplc="A1B65FBE">
      <w:start w:val="1"/>
      <w:numFmt w:val="bullet"/>
      <w:lvlText w:val="•"/>
      <w:lvlJc w:val="right"/>
      <w:pPr>
        <w:ind w:right="720" w:hanging="260"/>
      </w:pPr>
    </w:lvl>
    <w:lvl w:ilvl="1" w:tplc="902C85B0">
      <w:numFmt w:val="decimal"/>
      <w:lvlText w:val=""/>
      <w:lvlJc w:val="left"/>
    </w:lvl>
    <w:lvl w:ilvl="2" w:tplc="33CEB5CA">
      <w:numFmt w:val="decimal"/>
      <w:lvlText w:val=""/>
      <w:lvlJc w:val="left"/>
    </w:lvl>
    <w:lvl w:ilvl="3" w:tplc="A7FACB16">
      <w:numFmt w:val="decimal"/>
      <w:lvlText w:val=""/>
      <w:lvlJc w:val="left"/>
    </w:lvl>
    <w:lvl w:ilvl="4" w:tplc="7EAAAC00">
      <w:numFmt w:val="decimal"/>
      <w:lvlText w:val=""/>
      <w:lvlJc w:val="left"/>
    </w:lvl>
    <w:lvl w:ilvl="5" w:tplc="17D0D3D8">
      <w:numFmt w:val="decimal"/>
      <w:lvlText w:val=""/>
      <w:lvlJc w:val="left"/>
    </w:lvl>
    <w:lvl w:ilvl="6" w:tplc="B6F2193A">
      <w:numFmt w:val="decimal"/>
      <w:lvlText w:val=""/>
      <w:lvlJc w:val="left"/>
    </w:lvl>
    <w:lvl w:ilvl="7" w:tplc="38A20624">
      <w:numFmt w:val="decimal"/>
      <w:lvlText w:val=""/>
      <w:lvlJc w:val="left"/>
    </w:lvl>
    <w:lvl w:ilvl="8" w:tplc="04E8AA0A">
      <w:numFmt w:val="decimal"/>
      <w:lvlText w:val=""/>
      <w:lvlJc w:val="left"/>
    </w:lvl>
  </w:abstractNum>
  <w:abstractNum w:abstractNumId="4"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080E34"/>
    <w:multiLevelType w:val="hybridMultilevel"/>
    <w:tmpl w:val="FFFFFFFF"/>
    <w:lvl w:ilvl="0" w:tplc="0F686EEA">
      <w:start w:val="1"/>
      <w:numFmt w:val="decimal"/>
      <w:lvlText w:val="%1."/>
      <w:lvlJc w:val="right"/>
      <w:pPr>
        <w:ind w:right="720" w:hanging="260"/>
      </w:pPr>
    </w:lvl>
    <w:lvl w:ilvl="1" w:tplc="681A24DE">
      <w:numFmt w:val="decimal"/>
      <w:lvlText w:val=""/>
      <w:lvlJc w:val="left"/>
    </w:lvl>
    <w:lvl w:ilvl="2" w:tplc="C79A148E">
      <w:numFmt w:val="decimal"/>
      <w:lvlText w:val=""/>
      <w:lvlJc w:val="left"/>
    </w:lvl>
    <w:lvl w:ilvl="3" w:tplc="CF3A8A74">
      <w:numFmt w:val="decimal"/>
      <w:lvlText w:val=""/>
      <w:lvlJc w:val="left"/>
    </w:lvl>
    <w:lvl w:ilvl="4" w:tplc="1550F57C">
      <w:numFmt w:val="decimal"/>
      <w:lvlText w:val=""/>
      <w:lvlJc w:val="left"/>
    </w:lvl>
    <w:lvl w:ilvl="5" w:tplc="60A86B90">
      <w:numFmt w:val="decimal"/>
      <w:lvlText w:val=""/>
      <w:lvlJc w:val="left"/>
    </w:lvl>
    <w:lvl w:ilvl="6" w:tplc="F6CA2D9A">
      <w:numFmt w:val="decimal"/>
      <w:lvlText w:val=""/>
      <w:lvlJc w:val="left"/>
    </w:lvl>
    <w:lvl w:ilvl="7" w:tplc="BCF80B34">
      <w:numFmt w:val="decimal"/>
      <w:lvlText w:val=""/>
      <w:lvlJc w:val="left"/>
    </w:lvl>
    <w:lvl w:ilvl="8" w:tplc="09707934">
      <w:numFmt w:val="decimal"/>
      <w:lvlText w:val=""/>
      <w:lvlJc w:val="left"/>
    </w:lvl>
  </w:abstractNum>
  <w:abstractNum w:abstractNumId="18"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206252">
    <w:abstractNumId w:val="21"/>
  </w:num>
  <w:num w:numId="2" w16cid:durableId="1854802837">
    <w:abstractNumId w:val="1"/>
  </w:num>
  <w:num w:numId="3" w16cid:durableId="1539509467">
    <w:abstractNumId w:val="16"/>
  </w:num>
  <w:num w:numId="4" w16cid:durableId="1909067862">
    <w:abstractNumId w:val="13"/>
  </w:num>
  <w:num w:numId="5" w16cid:durableId="1679650334">
    <w:abstractNumId w:val="12"/>
  </w:num>
  <w:num w:numId="6" w16cid:durableId="592784671">
    <w:abstractNumId w:val="20"/>
  </w:num>
  <w:num w:numId="7" w16cid:durableId="435633386">
    <w:abstractNumId w:val="2"/>
  </w:num>
  <w:num w:numId="8" w16cid:durableId="1979451528">
    <w:abstractNumId w:val="0"/>
  </w:num>
  <w:num w:numId="9" w16cid:durableId="589242404">
    <w:abstractNumId w:val="8"/>
  </w:num>
  <w:num w:numId="10" w16cid:durableId="1600747370">
    <w:abstractNumId w:val="18"/>
  </w:num>
  <w:num w:numId="11" w16cid:durableId="948900132">
    <w:abstractNumId w:val="9"/>
  </w:num>
  <w:num w:numId="12" w16cid:durableId="1541357767">
    <w:abstractNumId w:val="11"/>
  </w:num>
  <w:num w:numId="13" w16cid:durableId="1862162929">
    <w:abstractNumId w:val="7"/>
  </w:num>
  <w:num w:numId="14" w16cid:durableId="2129277972">
    <w:abstractNumId w:val="6"/>
  </w:num>
  <w:num w:numId="15" w16cid:durableId="954756250">
    <w:abstractNumId w:val="4"/>
  </w:num>
  <w:num w:numId="16" w16cid:durableId="2140219028">
    <w:abstractNumId w:val="5"/>
  </w:num>
  <w:num w:numId="17" w16cid:durableId="2119525575">
    <w:abstractNumId w:val="19"/>
  </w:num>
  <w:num w:numId="18" w16cid:durableId="949312272">
    <w:abstractNumId w:val="10"/>
  </w:num>
  <w:num w:numId="19" w16cid:durableId="919213346">
    <w:abstractNumId w:val="15"/>
  </w:num>
  <w:num w:numId="20" w16cid:durableId="1335955242">
    <w:abstractNumId w:val="14"/>
  </w:num>
  <w:num w:numId="21" w16cid:durableId="1316956123">
    <w:abstractNumId w:val="17"/>
    <w:lvlOverride w:ilvl="0">
      <w:startOverride w:val="1"/>
    </w:lvlOverride>
  </w:num>
  <w:num w:numId="22" w16cid:durableId="1904103729">
    <w:abstractNumId w:val="3"/>
    <w:lvlOverride w:ilvl="0">
      <w:startOverride w:val="1"/>
    </w:lvlOverride>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010"/>
    <w:rsid w:val="00015F0D"/>
    <w:rsid w:val="00022442"/>
    <w:rsid w:val="000252C0"/>
    <w:rsid w:val="00027A34"/>
    <w:rsid w:val="000322E7"/>
    <w:rsid w:val="000343D5"/>
    <w:rsid w:val="00044CFD"/>
    <w:rsid w:val="0005238F"/>
    <w:rsid w:val="000528EF"/>
    <w:rsid w:val="0005455F"/>
    <w:rsid w:val="00061A09"/>
    <w:rsid w:val="00063F89"/>
    <w:rsid w:val="0006433B"/>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0A79"/>
    <w:rsid w:val="000E12E4"/>
    <w:rsid w:val="000E23AB"/>
    <w:rsid w:val="000E6887"/>
    <w:rsid w:val="000F0A0D"/>
    <w:rsid w:val="000F7F04"/>
    <w:rsid w:val="00104C2B"/>
    <w:rsid w:val="00110665"/>
    <w:rsid w:val="0011126E"/>
    <w:rsid w:val="001123D7"/>
    <w:rsid w:val="00116AE4"/>
    <w:rsid w:val="00117CA1"/>
    <w:rsid w:val="00127653"/>
    <w:rsid w:val="00137276"/>
    <w:rsid w:val="00143016"/>
    <w:rsid w:val="00146682"/>
    <w:rsid w:val="001475E2"/>
    <w:rsid w:val="00152104"/>
    <w:rsid w:val="001603EF"/>
    <w:rsid w:val="001618EF"/>
    <w:rsid w:val="001624C4"/>
    <w:rsid w:val="0016375F"/>
    <w:rsid w:val="001654CD"/>
    <w:rsid w:val="001717DE"/>
    <w:rsid w:val="00173F7B"/>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609"/>
    <w:rsid w:val="001F5CB8"/>
    <w:rsid w:val="002010FC"/>
    <w:rsid w:val="0020239B"/>
    <w:rsid w:val="0021414C"/>
    <w:rsid w:val="0022051E"/>
    <w:rsid w:val="002209EB"/>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0DD5"/>
    <w:rsid w:val="002D3349"/>
    <w:rsid w:val="002D46ED"/>
    <w:rsid w:val="002D638C"/>
    <w:rsid w:val="002D68BB"/>
    <w:rsid w:val="002D72E5"/>
    <w:rsid w:val="002E03CF"/>
    <w:rsid w:val="002E33D3"/>
    <w:rsid w:val="002E7312"/>
    <w:rsid w:val="002E7D73"/>
    <w:rsid w:val="002F0EEA"/>
    <w:rsid w:val="002F20A7"/>
    <w:rsid w:val="002F20B5"/>
    <w:rsid w:val="002F4C38"/>
    <w:rsid w:val="003078A4"/>
    <w:rsid w:val="00315FBB"/>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0A5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07B68"/>
    <w:rsid w:val="004104AA"/>
    <w:rsid w:val="0043449E"/>
    <w:rsid w:val="00436B59"/>
    <w:rsid w:val="004413CD"/>
    <w:rsid w:val="0044258D"/>
    <w:rsid w:val="00443A60"/>
    <w:rsid w:val="00444B1D"/>
    <w:rsid w:val="00444B3C"/>
    <w:rsid w:val="0045025F"/>
    <w:rsid w:val="00453369"/>
    <w:rsid w:val="004613A1"/>
    <w:rsid w:val="00466097"/>
    <w:rsid w:val="004667A1"/>
    <w:rsid w:val="0047054C"/>
    <w:rsid w:val="004737B5"/>
    <w:rsid w:val="00473F99"/>
    <w:rsid w:val="004839F8"/>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6773D"/>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931A2"/>
    <w:rsid w:val="006A7DC3"/>
    <w:rsid w:val="006B1075"/>
    <w:rsid w:val="006B3147"/>
    <w:rsid w:val="006B366F"/>
    <w:rsid w:val="006B51C2"/>
    <w:rsid w:val="006C10F3"/>
    <w:rsid w:val="006C2E76"/>
    <w:rsid w:val="006C54C9"/>
    <w:rsid w:val="006F0B1E"/>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54FEB"/>
    <w:rsid w:val="007565F1"/>
    <w:rsid w:val="0076684E"/>
    <w:rsid w:val="00766A58"/>
    <w:rsid w:val="00767A1C"/>
    <w:rsid w:val="00772432"/>
    <w:rsid w:val="00772F74"/>
    <w:rsid w:val="007738FE"/>
    <w:rsid w:val="007764F4"/>
    <w:rsid w:val="00776AB8"/>
    <w:rsid w:val="00781550"/>
    <w:rsid w:val="00781E83"/>
    <w:rsid w:val="007822A3"/>
    <w:rsid w:val="00790119"/>
    <w:rsid w:val="00793616"/>
    <w:rsid w:val="00794E5F"/>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57B50"/>
    <w:rsid w:val="0086333D"/>
    <w:rsid w:val="00864B2B"/>
    <w:rsid w:val="008806D9"/>
    <w:rsid w:val="0088301D"/>
    <w:rsid w:val="00883E09"/>
    <w:rsid w:val="00886510"/>
    <w:rsid w:val="00886B5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51DC"/>
    <w:rsid w:val="008E7947"/>
    <w:rsid w:val="008F5423"/>
    <w:rsid w:val="0090102E"/>
    <w:rsid w:val="009139AE"/>
    <w:rsid w:val="00915B55"/>
    <w:rsid w:val="00916122"/>
    <w:rsid w:val="00916A30"/>
    <w:rsid w:val="00917C97"/>
    <w:rsid w:val="009200DC"/>
    <w:rsid w:val="00922314"/>
    <w:rsid w:val="009227E9"/>
    <w:rsid w:val="0093756B"/>
    <w:rsid w:val="009400C2"/>
    <w:rsid w:val="009462FA"/>
    <w:rsid w:val="00947CBD"/>
    <w:rsid w:val="009505DD"/>
    <w:rsid w:val="00955905"/>
    <w:rsid w:val="009603A0"/>
    <w:rsid w:val="00962E14"/>
    <w:rsid w:val="0096761A"/>
    <w:rsid w:val="009705B3"/>
    <w:rsid w:val="00971016"/>
    <w:rsid w:val="009813A6"/>
    <w:rsid w:val="00997F9A"/>
    <w:rsid w:val="009A22B4"/>
    <w:rsid w:val="009A6864"/>
    <w:rsid w:val="009B3649"/>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0FD0"/>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87982"/>
    <w:rsid w:val="00A90432"/>
    <w:rsid w:val="00AB0DB7"/>
    <w:rsid w:val="00AB0E27"/>
    <w:rsid w:val="00AC24D4"/>
    <w:rsid w:val="00AC46F5"/>
    <w:rsid w:val="00AC4F32"/>
    <w:rsid w:val="00AC68E2"/>
    <w:rsid w:val="00AC6DEF"/>
    <w:rsid w:val="00AD191A"/>
    <w:rsid w:val="00AD2143"/>
    <w:rsid w:val="00AD5DDB"/>
    <w:rsid w:val="00AD783C"/>
    <w:rsid w:val="00AE3D96"/>
    <w:rsid w:val="00AE6B9C"/>
    <w:rsid w:val="00AF5EDA"/>
    <w:rsid w:val="00AF62C2"/>
    <w:rsid w:val="00B00D76"/>
    <w:rsid w:val="00B03D10"/>
    <w:rsid w:val="00B05FDA"/>
    <w:rsid w:val="00B133F8"/>
    <w:rsid w:val="00B146C0"/>
    <w:rsid w:val="00B154C6"/>
    <w:rsid w:val="00B16B50"/>
    <w:rsid w:val="00B32E4E"/>
    <w:rsid w:val="00B40794"/>
    <w:rsid w:val="00B4283F"/>
    <w:rsid w:val="00B43F32"/>
    <w:rsid w:val="00B4456F"/>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1E3D"/>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7A1"/>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5018"/>
    <w:rsid w:val="00D66F8C"/>
    <w:rsid w:val="00D70797"/>
    <w:rsid w:val="00D73443"/>
    <w:rsid w:val="00D73F64"/>
    <w:rsid w:val="00D776C9"/>
    <w:rsid w:val="00D9067F"/>
    <w:rsid w:val="00D9144F"/>
    <w:rsid w:val="00D922B7"/>
    <w:rsid w:val="00DA0B72"/>
    <w:rsid w:val="00DA5FAE"/>
    <w:rsid w:val="00DA6668"/>
    <w:rsid w:val="00DB23C9"/>
    <w:rsid w:val="00DB67ED"/>
    <w:rsid w:val="00DC034B"/>
    <w:rsid w:val="00DC5EEF"/>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72844"/>
    <w:rsid w:val="00E84D58"/>
    <w:rsid w:val="00E90953"/>
    <w:rsid w:val="00E93246"/>
    <w:rsid w:val="00E940F8"/>
    <w:rsid w:val="00EA0044"/>
    <w:rsid w:val="00EA16F8"/>
    <w:rsid w:val="00EA2C08"/>
    <w:rsid w:val="00EA69AC"/>
    <w:rsid w:val="00EB385F"/>
    <w:rsid w:val="00EB684E"/>
    <w:rsid w:val="00EC1847"/>
    <w:rsid w:val="00EC25CF"/>
    <w:rsid w:val="00EC36A7"/>
    <w:rsid w:val="00EC4694"/>
    <w:rsid w:val="00ED07DE"/>
    <w:rsid w:val="00ED72DC"/>
    <w:rsid w:val="00ED75B0"/>
    <w:rsid w:val="00EE1A99"/>
    <w:rsid w:val="00EE2921"/>
    <w:rsid w:val="00EE664C"/>
    <w:rsid w:val="00EE7D55"/>
    <w:rsid w:val="00EF040F"/>
    <w:rsid w:val="00EF1678"/>
    <w:rsid w:val="00F035EA"/>
    <w:rsid w:val="00F05002"/>
    <w:rsid w:val="00F13C08"/>
    <w:rsid w:val="00F14098"/>
    <w:rsid w:val="00F14591"/>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34EA"/>
    <w:rsid w:val="00FA4160"/>
    <w:rsid w:val="00FB1E42"/>
    <w:rsid w:val="00FB40CE"/>
    <w:rsid w:val="00FB4EC1"/>
    <w:rsid w:val="00FB5943"/>
    <w:rsid w:val="00FB599B"/>
    <w:rsid w:val="00FB67F2"/>
    <w:rsid w:val="00FB7B59"/>
    <w:rsid w:val="00FC3BCE"/>
    <w:rsid w:val="00FC4679"/>
    <w:rsid w:val="00FD057B"/>
    <w:rsid w:val="00FD131E"/>
    <w:rsid w:val="00FD24BA"/>
    <w:rsid w:val="00FD65D4"/>
    <w:rsid w:val="00FE6577"/>
    <w:rsid w:val="00FF0A80"/>
    <w:rsid w:val="00FF193A"/>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97/Comm.2-1.5" TargetMode="External"/><Relationship Id="rId18" Type="http://schemas.openxmlformats.org/officeDocument/2006/relationships/hyperlink" Target="https://doi.org/10.36325/ghjec.v20i3.16786" TargetMode="External"/><Relationship Id="rId26" Type="http://schemas.openxmlformats.org/officeDocument/2006/relationships/hyperlink" Target="https://doi.org/10.5267/j.ijdns.2024.7.006" TargetMode="External"/><Relationship Id="rId39" Type="http://schemas.openxmlformats.org/officeDocument/2006/relationships/hyperlink" Target="https://doi.org/10.3390/computers13070168" TargetMode="External"/><Relationship Id="rId21" Type="http://schemas.openxmlformats.org/officeDocument/2006/relationships/hyperlink" Target="https://sdaia.gov.sa/ar/MediaCenter/KnowledgeCenter/Pages/SDAIAPublications.aspx" TargetMode="External"/><Relationship Id="rId34" Type="http://schemas.openxmlformats.org/officeDocument/2006/relationships/hyperlink" Target="https://doi.org/10.1016/j.ijinfomgt.2023.102642" TargetMode="External"/><Relationship Id="rId42" Type="http://schemas.openxmlformats.org/officeDocument/2006/relationships/hyperlink" Target="https://doi.org/10.1016/j.ijinfomgt.2023.102716" TargetMode="External"/><Relationship Id="rId47" Type="http://schemas.openxmlformats.org/officeDocument/2006/relationships/hyperlink" Target="https://www.calstatela.edu/business/businessforum/business-forum-vol-30-issue-2" TargetMode="External"/><Relationship Id="rId50" Type="http://schemas.openxmlformats.org/officeDocument/2006/relationships/hyperlink" Target="https://doi.org/10.3390/su16198667"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59670/ml.v20iS3.3768" TargetMode="External"/><Relationship Id="rId11" Type="http://schemas.openxmlformats.org/officeDocument/2006/relationships/hyperlink" Target="https://doi.org/10.21608/jsb.2023.230616.1633" TargetMode="External"/><Relationship Id="rId24" Type="http://schemas.openxmlformats.org/officeDocument/2006/relationships/hyperlink" Target="https://mc.gov.sa/ar/mediacenter/News/Pages/07-04-26-01.aspx" TargetMode="External"/><Relationship Id="rId32" Type="http://schemas.openxmlformats.org/officeDocument/2006/relationships/hyperlink" Target="https://doi.org/10.69648/EYZI2281" TargetMode="External"/><Relationship Id="rId37" Type="http://schemas.openxmlformats.org/officeDocument/2006/relationships/hyperlink" Target="https://doi.org/10.2478/nimmir-2024-0002" TargetMode="External"/><Relationship Id="rId40" Type="http://schemas.openxmlformats.org/officeDocument/2006/relationships/hyperlink" Target="https://doi.org/10.21541/apjess.1398155" TargetMode="External"/><Relationship Id="rId45" Type="http://schemas.openxmlformats.org/officeDocument/2006/relationships/hyperlink" Target="https://www.mckinsey.com/capabilities/quantumblack/our-insights/the-state-of-gen-ai-in-the-middle-easts-gcc-countries-a-2024-report-card" TargetMode="External"/><Relationship Id="rId53" Type="http://schemas.openxmlformats.org/officeDocument/2006/relationships/hyperlink" Target="https://doi.org/10.1108/JCM-04-2024-6806" TargetMode="External"/><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59994/pau.2025.2.161" TargetMode="External"/><Relationship Id="rId14" Type="http://schemas.openxmlformats.org/officeDocument/2006/relationships/hyperlink" Target="https://doi.org/10.21608/jsasc.2024.335098.1016" TargetMode="External"/><Relationship Id="rId22" Type="http://schemas.openxmlformats.org/officeDocument/2006/relationships/hyperlink" Target="https://investment.gmedia.gov.sa/details/advertising.html" TargetMode="External"/><Relationship Id="rId27" Type="http://schemas.openxmlformats.org/officeDocument/2006/relationships/hyperlink" Target="https://doi.org/10.26389/AJSRP.L180924" TargetMode="External"/><Relationship Id="rId30" Type="http://schemas.openxmlformats.org/officeDocument/2006/relationships/hyperlink" Target="https://doi.org/10.3389/frai.2025.1541678" TargetMode="External"/><Relationship Id="rId35" Type="http://schemas.openxmlformats.org/officeDocument/2006/relationships/hyperlink" Target="https://doi.org/10.11648/j.ajtas.20160501.11" TargetMode="External"/><Relationship Id="rId43" Type="http://schemas.openxmlformats.org/officeDocument/2006/relationships/hyperlink" Target="https://doi.org/10.30574/gscarr.2025.23.3.0145" TargetMode="External"/><Relationship Id="rId48" Type="http://schemas.openxmlformats.org/officeDocument/2006/relationships/hyperlink" Target="https://doi.org/10.1037/0021-9010.88.5.879"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socialmediatoday.com/news/digital-marketing-statistics-2025-h1-by-the-numbers/752547/" TargetMode="External"/><Relationship Id="rId3" Type="http://schemas.openxmlformats.org/officeDocument/2006/relationships/styles" Target="styles.xml"/><Relationship Id="rId12" Type="http://schemas.openxmlformats.org/officeDocument/2006/relationships/hyperlink" Target="https://doi.org/10.21608/jsb.2024.307517.1782" TargetMode="External"/><Relationship Id="rId17" Type="http://schemas.openxmlformats.org/officeDocument/2006/relationships/hyperlink" Target="https://abdulrahmanalotaibi.sa/%D8%A7%D8%AD%D8%B5%D8%A7%D8%A6%D9%8A%D8%A7%D8%AA-%D8%B9%D9%86-%D8%A7%D9%84%D8%AA%D8%B3%D9%88%D9%8A%D9%82-%D8%A7%D9%84%D8%A7%D9%84%D9%83%D8%AA%D8%B1%D9%88%D9%86%D9%8A/" TargetMode="External"/><Relationship Id="rId25" Type="http://schemas.openxmlformats.org/officeDocument/2006/relationships/hyperlink" Target="https://doi.org/10.1016/j.ijme.2024.101105" TargetMode="External"/><Relationship Id="rId33" Type="http://schemas.openxmlformats.org/officeDocument/2006/relationships/hyperlink" Target="https://doi.org/10.1002/smj.3677" TargetMode="External"/><Relationship Id="rId38" Type="http://schemas.openxmlformats.org/officeDocument/2006/relationships/hyperlink" Target="https://iabtechlab.com/iab-tech-lab-releases-ai-in-advertising-primer/" TargetMode="External"/><Relationship Id="rId46" Type="http://schemas.openxmlformats.org/officeDocument/2006/relationships/hyperlink" Target="https://doi.org/10.63332/joph.v5i6.2596" TargetMode="External"/><Relationship Id="rId59" Type="http://schemas.openxmlformats.org/officeDocument/2006/relationships/header" Target="header3.xml"/><Relationship Id="rId20" Type="http://schemas.openxmlformats.org/officeDocument/2006/relationships/hyperlink" Target="https://asbar.com/report/%D8%AA%D9%82%D8%B1%D9%8A%D8%B1-%D8%B1%D9%82%D9%85-115/" TargetMode="External"/><Relationship Id="rId41" Type="http://schemas.openxmlformats.org/officeDocument/2006/relationships/hyperlink" Target="https://doi.org/10.4018/ijec.2015100101" TargetMode="External"/><Relationship Id="rId54" Type="http://schemas.openxmlformats.org/officeDocument/2006/relationships/hyperlink" Target="https://doi.org/10.1086/65125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 TargetMode="External"/><Relationship Id="rId23" Type="http://schemas.openxmlformats.org/officeDocument/2006/relationships/hyperlink" Target="https://business.sa/eservices/details/3871715e-ab32-4b90-e2c3-08dc6d4c5607" TargetMode="External"/><Relationship Id="rId28" Type="http://schemas.openxmlformats.org/officeDocument/2006/relationships/hyperlink" Target="https://doi.org/10.1016/j.chb.2020.106548" TargetMode="External"/><Relationship Id="rId36" Type="http://schemas.openxmlformats.org/officeDocument/2006/relationships/hyperlink" Target="https://doi.org/10.14445/22312803/IJCTT-V72I5P106" TargetMode="External"/><Relationship Id="rId49" Type="http://schemas.openxmlformats.org/officeDocument/2006/relationships/hyperlink" Target="https://sdaia.gov.sa/en/SDAIA/about/Files/GenerativeAIPublicEN.pdf" TargetMode="External"/><Relationship Id="rId57" Type="http://schemas.openxmlformats.org/officeDocument/2006/relationships/footer" Target="footer1.xml"/><Relationship Id="rId10" Type="http://schemas.microsoft.com/office/2007/relationships/hdphoto" Target="media/hdphoto1.wdp"/><Relationship Id="rId31" Type="http://schemas.openxmlformats.org/officeDocument/2006/relationships/hyperlink" Target="https://www.nim.org/en/research/projects-overview/detail-research-project/beyond-the-buzz-creating-marketing-value-with-generative-ai-research-report" TargetMode="External"/><Relationship Id="rId44" Type="http://schemas.openxmlformats.org/officeDocument/2006/relationships/hyperlink" Target="https://doi.org/10.33168/JSMS.2024.0108" TargetMode="External"/><Relationship Id="rId52" Type="http://schemas.openxmlformats.org/officeDocument/2006/relationships/hyperlink" Target="https://www.strategyand.pwc.com/m1/en/industries/technology/regional-ecosystem-challenges-in-ai.html"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27898</Words>
  <Characters>159024</Characters>
  <Application>Microsoft Office Word</Application>
  <DocSecurity>0</DocSecurity>
  <Lines>1325</Lines>
  <Paragraphs>373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2</cp:revision>
  <cp:lastPrinted>2025-07-06T06:14:00Z</cp:lastPrinted>
  <dcterms:created xsi:type="dcterms:W3CDTF">2026-08-20T07:14:00Z</dcterms:created>
  <dcterms:modified xsi:type="dcterms:W3CDTF">2026-08-20T07:14:00Z</dcterms:modified>
</cp:coreProperties>
</file>