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5F5C" w:rsidRDefault="00C55F5C" w:rsidP="00C55F5C">
      <w:pPr>
        <w:bidi/>
        <w:jc w:val="right"/>
        <w:rPr>
          <w:rFonts w:ascii="Simplified Arabic" w:hAnsi="Simplified Arabic" w:cs="Simplified Arabic"/>
          <w:sz w:val="32"/>
          <w:szCs w:val="32"/>
          <w:rtl/>
        </w:rPr>
      </w:pPr>
      <w:r>
        <w:rPr>
          <w:rFonts w:ascii="Simplified Arabic" w:hAnsi="Simplified Arabic" w:cs="Simplified Arabic"/>
          <w:noProof/>
          <w:sz w:val="34"/>
          <w:szCs w:val="34"/>
        </w:rPr>
        <w:drawing>
          <wp:inline distT="0" distB="0" distL="0" distR="0" wp14:anchorId="74046348" wp14:editId="6761C9AC">
            <wp:extent cx="1823085" cy="859790"/>
            <wp:effectExtent l="0" t="0" r="5715"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3085" cy="859790"/>
                    </a:xfrm>
                    <a:prstGeom prst="rect">
                      <a:avLst/>
                    </a:prstGeom>
                    <a:noFill/>
                  </pic:spPr>
                </pic:pic>
              </a:graphicData>
            </a:graphic>
          </wp:inline>
        </w:drawing>
      </w:r>
    </w:p>
    <w:p w:rsidR="00C55F5C" w:rsidRDefault="00C55F5C" w:rsidP="00C55F5C">
      <w:pPr>
        <w:bidi/>
        <w:jc w:val="center"/>
        <w:rPr>
          <w:rFonts w:ascii="Simplified Arabic" w:hAnsi="Simplified Arabic" w:cs="Simplified Arabic"/>
          <w:sz w:val="32"/>
          <w:szCs w:val="32"/>
          <w:rtl/>
        </w:rPr>
      </w:pPr>
      <w:r w:rsidRPr="00454CC0">
        <w:rPr>
          <w:rFonts w:ascii="Simplified Arabic" w:hAnsi="Simplified Arabic" w:cs="Simplified Arabic"/>
          <w:sz w:val="32"/>
          <w:szCs w:val="32"/>
          <w:rtl/>
        </w:rPr>
        <w:t>بسم الله الرحمن الرحيم</w:t>
      </w:r>
    </w:p>
    <w:p w:rsidR="00C55F5C" w:rsidRPr="00E5739E" w:rsidRDefault="00C55F5C" w:rsidP="00C55F5C">
      <w:pPr>
        <w:bidi/>
        <w:jc w:val="center"/>
        <w:rPr>
          <w:rFonts w:ascii="Simplified Arabic" w:hAnsi="Simplified Arabic" w:cs="Simplified Arabic"/>
          <w:b/>
          <w:bCs/>
          <w:sz w:val="28"/>
          <w:szCs w:val="28"/>
          <w:rtl/>
        </w:rPr>
      </w:pPr>
      <w:r w:rsidRPr="00E5739E">
        <w:rPr>
          <w:rFonts w:ascii="Simplified Arabic" w:hAnsi="Simplified Arabic" w:cs="Simplified Arabic"/>
          <w:b/>
          <w:bCs/>
          <w:sz w:val="28"/>
          <w:szCs w:val="28"/>
          <w:rtl/>
        </w:rPr>
        <w:t xml:space="preserve">تقرير </w:t>
      </w:r>
      <w:proofErr w:type="spellStart"/>
      <w:r w:rsidRPr="00E5739E">
        <w:rPr>
          <w:rFonts w:ascii="Simplified Arabic" w:hAnsi="Simplified Arabic" w:cs="Simplified Arabic"/>
          <w:b/>
          <w:bCs/>
          <w:sz w:val="28"/>
          <w:szCs w:val="28"/>
          <w:rtl/>
        </w:rPr>
        <w:t>علمى</w:t>
      </w:r>
      <w:proofErr w:type="spellEnd"/>
      <w:r w:rsidRPr="00E5739E">
        <w:rPr>
          <w:rFonts w:ascii="Simplified Arabic" w:hAnsi="Simplified Arabic" w:cs="Simplified Arabic"/>
          <w:b/>
          <w:bCs/>
          <w:sz w:val="28"/>
          <w:szCs w:val="28"/>
          <w:rtl/>
        </w:rPr>
        <w:t xml:space="preserve"> عن مدى صلاحية الفصل الثاني للأطروحة</w:t>
      </w:r>
    </w:p>
    <w:p w:rsidR="00C55F5C" w:rsidRDefault="00C55F5C" w:rsidP="003A3276">
      <w:pPr>
        <w:bidi/>
        <w:jc w:val="both"/>
        <w:rPr>
          <w:rFonts w:cs="Arial"/>
          <w:rtl/>
        </w:rPr>
      </w:pPr>
    </w:p>
    <w:p w:rsidR="003A3276" w:rsidRPr="00C55F5C" w:rsidRDefault="003A3276" w:rsidP="00C55F5C">
      <w:pPr>
        <w:bidi/>
        <w:jc w:val="both"/>
        <w:rPr>
          <w:rFonts w:ascii="Simplified Arabic" w:hAnsi="Simplified Arabic" w:cs="Simplified Arabic"/>
          <w:b/>
          <w:bCs/>
          <w:sz w:val="24"/>
          <w:szCs w:val="24"/>
        </w:rPr>
      </w:pPr>
      <w:r w:rsidRPr="00C55F5C">
        <w:rPr>
          <w:rFonts w:ascii="Simplified Arabic" w:hAnsi="Simplified Arabic" w:cs="Simplified Arabic"/>
          <w:b/>
          <w:bCs/>
          <w:sz w:val="24"/>
          <w:szCs w:val="24"/>
          <w:rtl/>
        </w:rPr>
        <w:t>التقييم العام</w:t>
      </w:r>
    </w:p>
    <w:p w:rsidR="003A3276" w:rsidRPr="00C55F5C" w:rsidRDefault="003A3276" w:rsidP="00C55F5C">
      <w:pPr>
        <w:bidi/>
        <w:jc w:val="both"/>
        <w:rPr>
          <w:rFonts w:ascii="Simplified Arabic" w:hAnsi="Simplified Arabic" w:cs="Simplified Arabic"/>
          <w:sz w:val="24"/>
          <w:szCs w:val="24"/>
        </w:rPr>
      </w:pPr>
      <w:r w:rsidRPr="00C55F5C">
        <w:rPr>
          <w:rFonts w:ascii="Simplified Arabic" w:hAnsi="Simplified Arabic" w:cs="Simplified Arabic"/>
          <w:sz w:val="24"/>
          <w:szCs w:val="24"/>
          <w:rtl/>
        </w:rPr>
        <w:t>تتناول هذه الأطروحة المقترحة أثر تقنيات الذكاء الاصطناعي والتحول الرقمي على أساليب الإثبات في النظام القانوني السعودي. يُعدّ الموضوع آنيًا وهامًا، إذ يُعالج فجوة حقيقية عند تقاطع التكنولوجيا الناشئة والفقه الإسلامي. يُظهر الباحث إلمامًا بالأبعاد التقنية والقانونية، مع تركيز خاص على السياق السعودي ورؤية 2030. مع ذلك، يُعاني المقترح من قصور منهجي ملحوظ، وغموض مفاهيمي، وضعف في توضيح إجراءات البحث. يتطلب الانتقال من مشكلة بحثية واعدة إلى دراسة دكتوراه قابلة للتنفيذ تحسينًا كبيرًا.</w:t>
      </w:r>
    </w:p>
    <w:p w:rsidR="003A3276" w:rsidRPr="00C55F5C" w:rsidRDefault="003A3276" w:rsidP="00C55F5C">
      <w:pPr>
        <w:bidi/>
        <w:jc w:val="both"/>
        <w:rPr>
          <w:rFonts w:ascii="Simplified Arabic" w:hAnsi="Simplified Arabic" w:cs="Simplified Arabic"/>
          <w:b/>
          <w:bCs/>
          <w:sz w:val="24"/>
          <w:szCs w:val="24"/>
        </w:rPr>
      </w:pPr>
      <w:r w:rsidRPr="00C55F5C">
        <w:rPr>
          <w:rFonts w:ascii="Simplified Arabic" w:hAnsi="Simplified Arabic" w:cs="Simplified Arabic"/>
          <w:b/>
          <w:bCs/>
          <w:sz w:val="24"/>
          <w:szCs w:val="24"/>
          <w:rtl/>
        </w:rPr>
        <w:t>نقاط قوة الباحث</w:t>
      </w:r>
    </w:p>
    <w:p w:rsidR="003A3276" w:rsidRPr="00C55F5C" w:rsidRDefault="003A3276" w:rsidP="00C55F5C">
      <w:pPr>
        <w:bidi/>
        <w:jc w:val="both"/>
        <w:rPr>
          <w:rFonts w:ascii="Simplified Arabic" w:hAnsi="Simplified Arabic" w:cs="Simplified Arabic"/>
          <w:sz w:val="24"/>
          <w:szCs w:val="24"/>
        </w:rPr>
      </w:pPr>
      <w:r w:rsidRPr="00C55F5C">
        <w:rPr>
          <w:rFonts w:ascii="Simplified Arabic" w:hAnsi="Simplified Arabic" w:cs="Simplified Arabic"/>
          <w:sz w:val="24"/>
          <w:szCs w:val="24"/>
          <w:rtl/>
        </w:rPr>
        <w:t>الوعي متعدد التخصصات: يُظهر الباحث قدرةً جديرة بالثناء على الربط بين مجالين متميزين: الدراسات القانونية (الفقه الإسلامي، والتشريع السعودي، وقانون الإثبات) والتكنولوجيا (خوارزميات الذكاء الاصطناعي، والتحول الرقمي، وتقنية سلسلة الكتل). يُعدّ هذا التوجه متعدد التخصصات أساسيًا للبحث المقترح.</w:t>
      </w:r>
    </w:p>
    <w:p w:rsidR="003A3276" w:rsidRPr="00C55F5C" w:rsidRDefault="003A3276" w:rsidP="00C55F5C">
      <w:pPr>
        <w:bidi/>
        <w:jc w:val="both"/>
        <w:rPr>
          <w:rFonts w:ascii="Simplified Arabic" w:hAnsi="Simplified Arabic" w:cs="Simplified Arabic"/>
          <w:sz w:val="24"/>
          <w:szCs w:val="24"/>
        </w:rPr>
      </w:pPr>
      <w:r w:rsidRPr="00C55F5C">
        <w:rPr>
          <w:rFonts w:ascii="Simplified Arabic" w:hAnsi="Simplified Arabic" w:cs="Simplified Arabic"/>
          <w:sz w:val="24"/>
          <w:szCs w:val="24"/>
          <w:rtl/>
        </w:rPr>
        <w:t>الأهمية السياقية: يضع البحث بفعالية ضمن أجندة التحول الرقمي في المملكة العربية السعودية ورؤية 2030، مما يُظهر فهمًا للأولويات الوطنية والأهمية العملية لسؤال البحث.</w:t>
      </w:r>
    </w:p>
    <w:p w:rsidR="003A3276" w:rsidRPr="00C55F5C" w:rsidRDefault="003A3276" w:rsidP="00C55F5C">
      <w:pPr>
        <w:bidi/>
        <w:jc w:val="both"/>
        <w:rPr>
          <w:rFonts w:ascii="Simplified Arabic" w:hAnsi="Simplified Arabic" w:cs="Simplified Arabic"/>
          <w:sz w:val="24"/>
          <w:szCs w:val="24"/>
        </w:rPr>
      </w:pPr>
      <w:r w:rsidRPr="00C55F5C">
        <w:rPr>
          <w:rFonts w:ascii="Simplified Arabic" w:hAnsi="Simplified Arabic" w:cs="Simplified Arabic"/>
          <w:sz w:val="24"/>
          <w:szCs w:val="24"/>
          <w:rtl/>
        </w:rPr>
        <w:t>تحديد واضح للمشكلة: مشكلة البحث محددة بدقة، وهي الفجوة بين "الأدلة الرقمية الثابتة" (الوثائق الإلكترونية التقليدية) و"الأدلة الرقمية الديناميكية ذاتية التوليد" (الأدلة المُنتجة بواسطة الذكاء الاصطناعي، والعقود الذكية)، وهذا التمييز يُوفر أساسًا تحليليًا واعدًا.</w:t>
      </w:r>
    </w:p>
    <w:p w:rsidR="003A3276" w:rsidRPr="00C55F5C" w:rsidRDefault="003A3276" w:rsidP="00C55F5C">
      <w:pPr>
        <w:bidi/>
        <w:jc w:val="both"/>
        <w:rPr>
          <w:rFonts w:ascii="Simplified Arabic" w:hAnsi="Simplified Arabic" w:cs="Simplified Arabic"/>
          <w:sz w:val="24"/>
          <w:szCs w:val="24"/>
        </w:rPr>
      </w:pPr>
      <w:r w:rsidRPr="00C55F5C">
        <w:rPr>
          <w:rFonts w:ascii="Simplified Arabic" w:hAnsi="Simplified Arabic" w:cs="Simplified Arabic"/>
          <w:sz w:val="24"/>
          <w:szCs w:val="24"/>
          <w:rtl/>
        </w:rPr>
        <w:t>الإلمام بالنقاشات القانونية المعاصرة: يُظهر الباحث إلمامًا بالتطورات التشريعية السعودية الحديثة (نظام الأدلة 1443هـ، ونظام المعاملات المدنية 1444هـ) ويتفاعل مع الأدبيات الأكاديمية ذات الصلة بالأدلة الرقمية ومساءلة الذكاء الاصطناعي.</w:t>
      </w:r>
    </w:p>
    <w:p w:rsidR="003A3276" w:rsidRPr="00C55F5C" w:rsidRDefault="003A3276" w:rsidP="00C55F5C">
      <w:pPr>
        <w:bidi/>
        <w:jc w:val="both"/>
        <w:rPr>
          <w:rFonts w:ascii="Simplified Arabic" w:hAnsi="Simplified Arabic" w:cs="Simplified Arabic"/>
          <w:b/>
          <w:bCs/>
          <w:sz w:val="24"/>
          <w:szCs w:val="24"/>
        </w:rPr>
      </w:pPr>
      <w:r w:rsidRPr="00C55F5C">
        <w:rPr>
          <w:rFonts w:ascii="Simplified Arabic" w:hAnsi="Simplified Arabic" w:cs="Simplified Arabic"/>
          <w:b/>
          <w:bCs/>
          <w:sz w:val="24"/>
          <w:szCs w:val="24"/>
          <w:rtl/>
        </w:rPr>
        <w:t>نقاط ضعف الباحث</w:t>
      </w:r>
    </w:p>
    <w:p w:rsidR="003A3276" w:rsidRPr="00C55F5C" w:rsidRDefault="003A3276" w:rsidP="00C55F5C">
      <w:pPr>
        <w:bidi/>
        <w:jc w:val="both"/>
        <w:rPr>
          <w:rFonts w:ascii="Simplified Arabic" w:hAnsi="Simplified Arabic" w:cs="Simplified Arabic"/>
          <w:sz w:val="24"/>
          <w:szCs w:val="24"/>
        </w:rPr>
      </w:pPr>
      <w:r w:rsidRPr="00C55F5C">
        <w:rPr>
          <w:rFonts w:ascii="Simplified Arabic" w:hAnsi="Simplified Arabic" w:cs="Simplified Arabic"/>
          <w:sz w:val="24"/>
          <w:szCs w:val="24"/>
          <w:rtl/>
        </w:rPr>
        <w:lastRenderedPageBreak/>
        <w:t>قصور في المنهجية: يُشير المقترح إلى مناهج متعددة (مقابلات نوعية، استبيانات كمية، تحليل مقارن، تحليل قضائي استقرائي) دون توضيح كيفية دمج هذه المناهج أو ترتيبها أو تبريرها. التصميم "التحليلي الوصفي" غامضٌ للغاية بحيث لا يُمكن الاعتماد عليه في دراسة الدكتوراه. يذكر الباحث استخدام المقابلات والاستبيانات، لكنه لا يُقدم أي تفاصيل حول استراتيجيات أخذ العينات، أو أحجام العينات، أو بروتوكولات المقابلات، أو الأطر التحليلية.</w:t>
      </w:r>
    </w:p>
    <w:p w:rsidR="003A3276" w:rsidRPr="00C55F5C" w:rsidRDefault="003A3276" w:rsidP="00C55F5C">
      <w:pPr>
        <w:bidi/>
        <w:jc w:val="both"/>
        <w:rPr>
          <w:rFonts w:ascii="Simplified Arabic" w:hAnsi="Simplified Arabic" w:cs="Simplified Arabic"/>
          <w:sz w:val="24"/>
          <w:szCs w:val="24"/>
        </w:rPr>
      </w:pPr>
      <w:r w:rsidRPr="00C55F5C">
        <w:rPr>
          <w:rFonts w:ascii="Simplified Arabic" w:hAnsi="Simplified Arabic" w:cs="Simplified Arabic"/>
          <w:sz w:val="24"/>
          <w:szCs w:val="24"/>
          <w:rtl/>
        </w:rPr>
        <w:t>غموض في أخذ العينات وجمع البيانات: يذكر الباحث أنه سيتم إجراء مقابلات مع "محامين وقضاة وخبراء تقنيين"، وأنه سيتم توزيع استبيان، لكنه لا يُحدد ما يلي: (أ) عدد المشاركين، (ب) معايير الاختيار، (ج) كيفية استقطاب المشاركين، (د) كيفية التحقق من صحة الاستبيان، (هـ) التحليلات الإحصائية المُطبقة، أو (و) كيفية تحليل البيانات النوعية (تحليل موضوعي؟ نظرية تأسيسية؟ تحليل محتوى؟). هذا الغموض يُضعف الثقة في جدوى الدراسة.</w:t>
      </w:r>
    </w:p>
    <w:p w:rsidR="003A3276" w:rsidRPr="00C55F5C" w:rsidRDefault="003A3276" w:rsidP="00C55F5C">
      <w:pPr>
        <w:bidi/>
        <w:jc w:val="both"/>
        <w:rPr>
          <w:rFonts w:ascii="Simplified Arabic" w:hAnsi="Simplified Arabic" w:cs="Simplified Arabic"/>
          <w:sz w:val="24"/>
          <w:szCs w:val="24"/>
        </w:rPr>
      </w:pPr>
      <w:r w:rsidRPr="00C55F5C">
        <w:rPr>
          <w:rFonts w:ascii="Simplified Arabic" w:hAnsi="Simplified Arabic" w:cs="Simplified Arabic"/>
          <w:sz w:val="24"/>
          <w:szCs w:val="24"/>
          <w:rtl/>
        </w:rPr>
        <w:t>مساهمة نظرية أصلية محدودة: على الرغم من أن المقترح يُحدد فجوة بحثية حقيقية، إلا أنه لا يُوضح بوضوح الإطار النظري الجديد، أو النموذج المفاهيمي، أو المذهب القانوني الذي يعتزم الباحث تقديمه. يُعد التمييز بين الأدلة الرقمية "الثابتة" و"الديناميكية" واعدًا، ولكنه يتطلب مزيدًا من التطوير النظري والتكامل مع كلٍ من مبادئ الشريعة الإسلامية وأطر حوكمة الذكاء الاصطناعي.</w:t>
      </w:r>
    </w:p>
    <w:p w:rsidR="003A3276" w:rsidRPr="00C55F5C" w:rsidRDefault="003A3276" w:rsidP="00C55F5C">
      <w:pPr>
        <w:bidi/>
        <w:jc w:val="both"/>
        <w:rPr>
          <w:rFonts w:ascii="Simplified Arabic" w:hAnsi="Simplified Arabic" w:cs="Simplified Arabic"/>
          <w:sz w:val="24"/>
          <w:szCs w:val="24"/>
        </w:rPr>
      </w:pPr>
      <w:r w:rsidRPr="00C55F5C">
        <w:rPr>
          <w:rFonts w:ascii="Simplified Arabic" w:hAnsi="Simplified Arabic" w:cs="Simplified Arabic"/>
          <w:sz w:val="24"/>
          <w:szCs w:val="24"/>
          <w:rtl/>
        </w:rPr>
        <w:t>الجدوى العملية وإمكانية الوصول غير واضحة: يُقر الباحث بالحاجة إلى "تصاريح" للوصول إلى المحاكم والمؤسسات الحكومية، ولكنه لا يُوضح ما يلي: (أ) ما إذا كان هذا الوصول قد تم الحصول عليه، (ب) ما هي ملفات القضايا أو القرارات القضائية المحددة التي سيتم فحصها، (ج) كيفية التعامل مع البيانات القانونية الحساسة بشكل أخلاقي، أو (د) ما هي الخطط البديلة في حال رفض الوصول. يُثير هذا الأمر شكوكًا كبيرة حول إمكانية إتمام الدراسة كما هو مُقترح.</w:t>
      </w:r>
    </w:p>
    <w:p w:rsidR="003A3276" w:rsidRPr="00C55F5C" w:rsidRDefault="003A3276" w:rsidP="00C55F5C">
      <w:pPr>
        <w:bidi/>
        <w:jc w:val="both"/>
        <w:rPr>
          <w:rFonts w:ascii="Simplified Arabic" w:hAnsi="Simplified Arabic" w:cs="Simplified Arabic"/>
          <w:sz w:val="24"/>
          <w:szCs w:val="24"/>
        </w:rPr>
      </w:pPr>
      <w:r w:rsidRPr="00C55F5C">
        <w:rPr>
          <w:rFonts w:ascii="Simplified Arabic" w:hAnsi="Simplified Arabic" w:cs="Simplified Arabic"/>
          <w:sz w:val="24"/>
          <w:szCs w:val="24"/>
          <w:rtl/>
        </w:rPr>
        <w:t>ملخص: يتناول مقترح هذه الأطروحة مشكلة بحثية هامة وفي وقتها المناسب، تقع عند تقاطع الذكاء الاصطناعي والتحول الرقمي والأدلة القانونية في المملكة العربية السعودية. يُظهر الباحث وعيًا متعدد التخصصات، وفهمًا سياقيًا، وإدراكًا واضحًا للتحديات الناشئة التي تُطرحها الأدلة الرقمية "ذاتية التوليد". ويُوفر التمييز بين الأدلة الرقمية الثابتة والديناميكية أساسًا تحليليًا واعدًا.</w:t>
      </w:r>
    </w:p>
    <w:p w:rsidR="003A3276" w:rsidRPr="00C55F5C" w:rsidRDefault="003A3276" w:rsidP="00C55F5C">
      <w:pPr>
        <w:bidi/>
        <w:jc w:val="both"/>
        <w:rPr>
          <w:rFonts w:ascii="Simplified Arabic" w:hAnsi="Simplified Arabic" w:cs="Simplified Arabic"/>
          <w:sz w:val="24"/>
          <w:szCs w:val="24"/>
        </w:rPr>
      </w:pPr>
      <w:r w:rsidRPr="00C55F5C">
        <w:rPr>
          <w:rFonts w:ascii="Simplified Arabic" w:hAnsi="Simplified Arabic" w:cs="Simplified Arabic"/>
          <w:sz w:val="24"/>
          <w:szCs w:val="24"/>
          <w:rtl/>
        </w:rPr>
        <w:t>مع ذلك، يُعاني المقترح من قصور منهجي كبير. إذ يذكر الباحث مناهج متعددة (مقابلات، استبيانات، تحليل مقارن، تحليل استقرائي) دون توضيح كيفية دمجها، أو الإجراءات المحددة المُتبعة، أو كيفية بناء العينات، أو كيفية تحليل البيانات. ويُقرّ الباحث بالجدوى العملية للوصول إلى المؤسسات القانونية والبيانات القانونية الحساسة، لكنه لا يُقدم حلولًا لها. أما المساهمة النظرية، التي تتجاوز مجرد تحديد ثغرة، فتبقى غير واضحة.</w:t>
      </w:r>
    </w:p>
    <w:p w:rsidR="008713E9" w:rsidRPr="00C55F5C" w:rsidRDefault="003A3276" w:rsidP="00C55F5C">
      <w:pPr>
        <w:bidi/>
        <w:jc w:val="both"/>
        <w:rPr>
          <w:rFonts w:ascii="Simplified Arabic" w:hAnsi="Simplified Arabic" w:cs="Simplified Arabic"/>
          <w:sz w:val="24"/>
          <w:szCs w:val="24"/>
        </w:rPr>
      </w:pPr>
      <w:bookmarkStart w:id="0" w:name="_GoBack"/>
      <w:bookmarkEnd w:id="0"/>
      <w:r w:rsidRPr="00C55F5C">
        <w:rPr>
          <w:rFonts w:ascii="Simplified Arabic" w:hAnsi="Simplified Arabic" w:cs="Simplified Arabic"/>
          <w:sz w:val="24"/>
          <w:szCs w:val="24"/>
          <w:rtl/>
        </w:rPr>
        <w:t>التقييم العام: موضوع بحثي واعد، وباحث يُظهر وعيًا متعدد التخصصات وأهمية سياقية، لكن المقترح يحتاج إلى تنقيح منهجي جوهري.</w:t>
      </w:r>
    </w:p>
    <w:sectPr w:rsidR="008713E9" w:rsidRPr="00C55F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013"/>
    <w:rsid w:val="003A3276"/>
    <w:rsid w:val="006769D5"/>
    <w:rsid w:val="008713E9"/>
    <w:rsid w:val="00C55F5C"/>
    <w:rsid w:val="00D060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0B8F1C-5FFD-48CD-B56A-83CAD95B7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606</Words>
  <Characters>3457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Ayman Ibrahim Ghaben</dc:creator>
  <cp:keywords/>
  <dc:description/>
  <cp:lastModifiedBy>count</cp:lastModifiedBy>
  <cp:revision>4</cp:revision>
  <dcterms:created xsi:type="dcterms:W3CDTF">2026-04-03T12:38:00Z</dcterms:created>
  <dcterms:modified xsi:type="dcterms:W3CDTF">2026-07-05T12:51:00Z</dcterms:modified>
</cp:coreProperties>
</file>