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2E4E9CF" w:rsidR="009125CE" w:rsidRPr="00C316C8" w:rsidRDefault="00036825" w:rsidP="00036825">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316C8">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E40071A">
            <wp:simplePos x="0" y="0"/>
            <wp:positionH relativeFrom="margin">
              <wp:posOffset>432435</wp:posOffset>
            </wp:positionH>
            <wp:positionV relativeFrom="margin">
              <wp:posOffset>-133350</wp:posOffset>
            </wp:positionV>
            <wp:extent cx="1691005" cy="1569720"/>
            <wp:effectExtent l="0" t="0" r="444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1005" cy="1569720"/>
                    </a:xfrm>
                    <a:prstGeom prst="rect">
                      <a:avLst/>
                    </a:prstGeom>
                  </pic:spPr>
                </pic:pic>
              </a:graphicData>
            </a:graphic>
            <wp14:sizeRelH relativeFrom="margin">
              <wp14:pctWidth>0</wp14:pctWidth>
            </wp14:sizeRelH>
            <wp14:sizeRelV relativeFrom="margin">
              <wp14:pctHeight>0</wp14:pctHeight>
            </wp14:sizeRelV>
          </wp:anchor>
        </w:drawing>
      </w:r>
      <w:r w:rsidR="009125CE" w:rsidRPr="00C316C8">
        <w:rPr>
          <w:rFonts w:ascii="Simplified Arabic" w:hAnsi="Simplified Arabic" w:cs="Simplified Arabic"/>
          <w:b/>
          <w:bCs/>
          <w:color w:val="000000" w:themeColor="text1"/>
          <w:sz w:val="32"/>
          <w:szCs w:val="32"/>
          <w:rtl/>
          <w:lang w:bidi="ar-EG"/>
        </w:rPr>
        <w:t xml:space="preserve">جامعة ميدأوشن </w:t>
      </w:r>
    </w:p>
    <w:p w14:paraId="1E957002" w14:textId="1F386E1C" w:rsidR="00F546CE" w:rsidRPr="00C316C8" w:rsidRDefault="009125CE" w:rsidP="0003682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C316C8">
        <w:rPr>
          <w:rFonts w:ascii="Simplified Arabic" w:hAnsi="Simplified Arabic" w:cs="Simplified Arabic"/>
          <w:b/>
          <w:bCs/>
          <w:color w:val="000000" w:themeColor="text1"/>
          <w:sz w:val="32"/>
          <w:szCs w:val="32"/>
          <w:rtl/>
          <w:lang w:bidi="ar-EG"/>
        </w:rPr>
        <w:t xml:space="preserve">كلية </w:t>
      </w:r>
      <w:r w:rsidR="008C42C1" w:rsidRPr="00C316C8">
        <w:rPr>
          <w:rFonts w:ascii="Simplified Arabic" w:hAnsi="Simplified Arabic" w:cs="Simplified Arabic"/>
          <w:b/>
          <w:bCs/>
          <w:color w:val="000000" w:themeColor="text1"/>
          <w:sz w:val="32"/>
          <w:szCs w:val="32"/>
          <w:rtl/>
          <w:lang w:bidi="ar-EG"/>
        </w:rPr>
        <w:t>الإدارة</w:t>
      </w:r>
      <w:r w:rsidRPr="00C316C8">
        <w:rPr>
          <w:rFonts w:ascii="Simplified Arabic" w:hAnsi="Simplified Arabic" w:cs="Simplified Arabic"/>
          <w:b/>
          <w:bCs/>
          <w:color w:val="000000" w:themeColor="text1"/>
          <w:sz w:val="32"/>
          <w:szCs w:val="32"/>
          <w:rtl/>
          <w:lang w:bidi="ar-EG"/>
        </w:rPr>
        <w:t xml:space="preserve"> </w:t>
      </w:r>
    </w:p>
    <w:p w14:paraId="0217C513" w14:textId="21B178D8" w:rsidR="009125CE" w:rsidRPr="00C316C8" w:rsidRDefault="009125CE" w:rsidP="0003682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C316C8">
        <w:rPr>
          <w:rFonts w:ascii="Simplified Arabic" w:hAnsi="Simplified Arabic" w:cs="Simplified Arabic"/>
          <w:b/>
          <w:bCs/>
          <w:color w:val="000000" w:themeColor="text1"/>
          <w:sz w:val="32"/>
          <w:szCs w:val="32"/>
          <w:rtl/>
          <w:lang w:bidi="ar-EG"/>
        </w:rPr>
        <w:t>تخصص</w:t>
      </w:r>
      <w:r w:rsidR="00B15A9E" w:rsidRPr="00C316C8">
        <w:rPr>
          <w:rFonts w:ascii="Simplified Arabic" w:hAnsi="Simplified Arabic" w:cs="Simplified Arabic"/>
          <w:b/>
          <w:bCs/>
          <w:color w:val="000000" w:themeColor="text1"/>
          <w:sz w:val="32"/>
          <w:szCs w:val="32"/>
          <w:rtl/>
          <w:lang w:bidi="ar-EG"/>
        </w:rPr>
        <w:t xml:space="preserve"> </w:t>
      </w:r>
      <w:r w:rsidR="00466730" w:rsidRPr="00C316C8">
        <w:rPr>
          <w:rFonts w:ascii="Simplified Arabic" w:hAnsi="Simplified Arabic" w:cs="Simplified Arabic"/>
          <w:b/>
          <w:bCs/>
          <w:color w:val="000000" w:themeColor="text1"/>
          <w:sz w:val="32"/>
          <w:szCs w:val="32"/>
          <w:rtl/>
          <w:lang w:bidi="ar-EG"/>
        </w:rPr>
        <w:t>موارد بشرية</w:t>
      </w:r>
    </w:p>
    <w:p w14:paraId="0A25F43C" w14:textId="77777777" w:rsidR="008C7BB4" w:rsidRPr="00C316C8" w:rsidRDefault="008C7BB4" w:rsidP="00036825">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59EFF43B" w14:textId="77777777" w:rsidR="00F7243B" w:rsidRPr="00C316C8" w:rsidRDefault="00F7243B" w:rsidP="00036825">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C316C8">
        <w:rPr>
          <w:rFonts w:ascii="Simplified Arabic" w:hAnsi="Simplified Arabic" w:cs="Simplified Arabic"/>
          <w:b/>
          <w:bCs/>
          <w:color w:val="000000" w:themeColor="text1"/>
          <w:sz w:val="40"/>
          <w:szCs w:val="40"/>
          <w:rtl/>
        </w:rPr>
        <w:t>أثر تكامل إدارة الموارد البشرية  على الامتثال التنظيمي وتقليل المخاطر التشغيلية: دراسة ميدانية على الشركات الصناعية في المدينه الصناعية الثانيه في الرياض</w:t>
      </w:r>
    </w:p>
    <w:p w14:paraId="751A7E65" w14:textId="379DE606" w:rsidR="009125CE" w:rsidRPr="00C316C8" w:rsidRDefault="009125CE" w:rsidP="0003682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316C8">
        <w:rPr>
          <w:rFonts w:ascii="Simplified Arabic" w:hAnsi="Simplified Arabic" w:cs="Simplified Arabic"/>
          <w:b/>
          <w:bCs/>
          <w:color w:val="000000" w:themeColor="text1"/>
          <w:sz w:val="36"/>
          <w:szCs w:val="36"/>
          <w:rtl/>
          <w:lang w:bidi="ar-EG"/>
        </w:rPr>
        <w:t>إعداد الطالب/</w:t>
      </w:r>
    </w:p>
    <w:p w14:paraId="24797CEA" w14:textId="77777777" w:rsidR="00466730" w:rsidRPr="00C316C8" w:rsidRDefault="00466730" w:rsidP="00036825">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C316C8">
        <w:rPr>
          <w:rFonts w:ascii="Simplified Arabic" w:hAnsi="Simplified Arabic" w:cs="Simplified Arabic"/>
          <w:color w:val="000000" w:themeColor="text1"/>
          <w:sz w:val="36"/>
          <w:szCs w:val="36"/>
          <w:rtl/>
          <w:lang w:bidi="ar-EG"/>
        </w:rPr>
        <w:t>عبدالله مقعد كميخ العتيبي</w:t>
      </w:r>
    </w:p>
    <w:p w14:paraId="72AE4360" w14:textId="6D00F9E0" w:rsidR="00854B0B" w:rsidRPr="00C316C8" w:rsidRDefault="00466730" w:rsidP="00036825">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C316C8">
        <w:rPr>
          <w:rFonts w:ascii="Simplified Arabic" w:hAnsi="Simplified Arabic" w:cs="Simplified Arabic"/>
          <w:color w:val="000000" w:themeColor="text1"/>
          <w:sz w:val="36"/>
          <w:szCs w:val="36"/>
          <w:rtl/>
          <w:lang w:bidi="ar-EG"/>
        </w:rPr>
        <w:t>253002225</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316C8" w:rsidRPr="00C316C8" w14:paraId="6642D2FD" w14:textId="77777777" w:rsidTr="00036825">
        <w:tc>
          <w:tcPr>
            <w:tcW w:w="4530" w:type="dxa"/>
          </w:tcPr>
          <w:p w14:paraId="2CB27BDC" w14:textId="77777777" w:rsidR="00036825" w:rsidRPr="00C316C8" w:rsidRDefault="00036825" w:rsidP="0003682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316C8">
              <w:rPr>
                <w:rFonts w:ascii="Simplified Arabic" w:hAnsi="Simplified Arabic" w:cs="Simplified Arabic" w:hint="cs"/>
                <w:b/>
                <w:bCs/>
                <w:color w:val="000000" w:themeColor="text1"/>
                <w:sz w:val="36"/>
                <w:szCs w:val="36"/>
                <w:rtl/>
                <w:lang w:bidi="ar-EG"/>
              </w:rPr>
              <w:t>المشرف الرئيسي/</w:t>
            </w:r>
          </w:p>
        </w:tc>
        <w:tc>
          <w:tcPr>
            <w:tcW w:w="4531" w:type="dxa"/>
          </w:tcPr>
          <w:p w14:paraId="5646694F" w14:textId="77777777" w:rsidR="00036825" w:rsidRPr="00C316C8" w:rsidRDefault="00036825" w:rsidP="0003682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316C8">
              <w:rPr>
                <w:rFonts w:ascii="Simplified Arabic" w:hAnsi="Simplified Arabic" w:cs="Simplified Arabic" w:hint="cs"/>
                <w:b/>
                <w:bCs/>
                <w:color w:val="000000" w:themeColor="text1"/>
                <w:sz w:val="36"/>
                <w:szCs w:val="36"/>
                <w:rtl/>
                <w:lang w:bidi="ar-EG"/>
              </w:rPr>
              <w:t>المشرف الثاني/</w:t>
            </w:r>
          </w:p>
        </w:tc>
      </w:tr>
      <w:tr w:rsidR="00C316C8" w:rsidRPr="00C316C8" w14:paraId="14EA9068" w14:textId="77777777" w:rsidTr="00036825">
        <w:tc>
          <w:tcPr>
            <w:tcW w:w="4530" w:type="dxa"/>
          </w:tcPr>
          <w:p w14:paraId="2CA52534" w14:textId="77777777" w:rsidR="00036825" w:rsidRPr="00C316C8" w:rsidRDefault="00036825" w:rsidP="0003682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316C8">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69107F1" w14:textId="77777777" w:rsidR="00036825" w:rsidRPr="00C316C8" w:rsidRDefault="00036825" w:rsidP="0003682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316C8">
              <w:rPr>
                <w:rFonts w:ascii="Simplified Arabic" w:eastAsia="Calibri" w:hAnsi="Simplified Arabic" w:cs="Simplified Arabic"/>
                <w:color w:val="000000" w:themeColor="text1"/>
                <w:kern w:val="0"/>
                <w:sz w:val="36"/>
                <w:szCs w:val="36"/>
                <w:rtl/>
                <w:lang w:bidi="ar-EG"/>
                <w14:ligatures w14:val="none"/>
              </w:rPr>
              <w:t>د.فايز جراد</w:t>
            </w:r>
          </w:p>
        </w:tc>
      </w:tr>
    </w:tbl>
    <w:p w14:paraId="05B28FD2" w14:textId="77777777" w:rsidR="00036825" w:rsidRPr="00C316C8" w:rsidRDefault="00036825" w:rsidP="0003682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316C8">
        <w:rPr>
          <w:rFonts w:ascii="Simplified Arabic" w:hAnsi="Simplified Arabic" w:cs="Simplified Arabic"/>
          <w:b/>
          <w:bCs/>
          <w:color w:val="000000" w:themeColor="text1"/>
          <w:sz w:val="36"/>
          <w:szCs w:val="36"/>
          <w:rtl/>
          <w:lang w:bidi="ar-EG"/>
        </w:rPr>
        <w:t>العام الدراسي:</w:t>
      </w:r>
    </w:p>
    <w:p w14:paraId="2E441AF2" w14:textId="77777777" w:rsidR="00036825" w:rsidRPr="00C316C8" w:rsidRDefault="00036825" w:rsidP="00036825">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C316C8">
        <w:rPr>
          <w:rFonts w:ascii="Simplified Arabic" w:hAnsi="Simplified Arabic" w:cs="Simplified Arabic" w:hint="cs"/>
          <w:color w:val="000000" w:themeColor="text1"/>
          <w:sz w:val="36"/>
          <w:szCs w:val="36"/>
          <w:rtl/>
          <w:lang w:bidi="ar-EG"/>
        </w:rPr>
        <w:t xml:space="preserve">1448 </w:t>
      </w:r>
      <w:r w:rsidRPr="00C316C8">
        <w:rPr>
          <w:rFonts w:ascii="Simplified Arabic" w:hAnsi="Simplified Arabic" w:cs="Simplified Arabic"/>
          <w:color w:val="000000" w:themeColor="text1"/>
          <w:sz w:val="36"/>
          <w:szCs w:val="36"/>
          <w:rtl/>
          <w:lang w:bidi="ar-EG"/>
        </w:rPr>
        <w:t>–</w:t>
      </w:r>
      <w:r w:rsidRPr="00C316C8">
        <w:rPr>
          <w:rFonts w:ascii="Simplified Arabic" w:hAnsi="Simplified Arabic" w:cs="Simplified Arabic" w:hint="cs"/>
          <w:color w:val="000000" w:themeColor="text1"/>
          <w:sz w:val="36"/>
          <w:szCs w:val="36"/>
          <w:rtl/>
          <w:lang w:bidi="ar-EG"/>
        </w:rPr>
        <w:t xml:space="preserve"> 2026</w:t>
      </w:r>
    </w:p>
    <w:p w14:paraId="1A024F57" w14:textId="77777777" w:rsidR="00036825" w:rsidRPr="00C316C8" w:rsidRDefault="00036825" w:rsidP="00036825">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036825" w:rsidRPr="00C316C8" w:rsidSect="00036825">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0BF4C017" w14:textId="21A6C8A2" w:rsidR="00036825" w:rsidRPr="00C316C8" w:rsidRDefault="000D0143" w:rsidP="006F62E0">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380445"/>
      <w:r w:rsidRPr="00C316C8">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1F84B6DC" w14:textId="423F2560" w:rsidR="00036825" w:rsidRPr="00C316C8" w:rsidRDefault="000D0143" w:rsidP="006F62E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 w:name="_Hlk172151144"/>
      <w:bookmarkStart w:id="2" w:name="_Toc169790489"/>
      <w:bookmarkStart w:id="3" w:name="_Toc233380446"/>
      <w:r w:rsidRPr="00C316C8">
        <w:rPr>
          <w:rFonts w:ascii="Simplified Arabic" w:hAnsi="Simplified Arabic" w:cs="Simplified Arabic" w:hint="cs"/>
          <w:b/>
          <w:bCs/>
          <w:color w:val="000000" w:themeColor="text1"/>
          <w:sz w:val="36"/>
          <w:szCs w:val="36"/>
          <w:rtl/>
        </w:rPr>
        <w:t>1.1 المقدمة</w:t>
      </w:r>
      <w:bookmarkEnd w:id="3"/>
    </w:p>
    <w:p w14:paraId="79F89500" w14:textId="661CE6ED" w:rsidR="00F7243B" w:rsidRPr="00C316C8" w:rsidRDefault="00F7243B" w:rsidP="006F62E0">
      <w:pPr>
        <w:pStyle w:val="NormalWeb"/>
        <w:bidi/>
        <w:spacing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تُعد إدارة الموارد البشرية من أهم الركائز الاستراتيجية التي تعتمد عليها المنظمات المعاصرة في تحقيق أهدافها وبناء قدراتها التنافسية، إذ تمثل العنصر البشري المورد الأكثر قيمة والأصعب تقليداً بين موارد المنظمة، وقد تطور مفهوم إدارة الموارد البشرية من مجرد وظيفة إدارية تقليدية تُعنى بشؤون التوظيف والأجور إلى شريك استراتيجي يُسهم في صياغة التوجهات المؤسسية وتنفيذها، ويربط بين ممارسات الاستقطاب والتدريب وتقييم الأداء والتعويضات في منظومة متسقة تخدم الأهداف الكلية للمنظمة</w:t>
      </w:r>
      <w:r w:rsidRPr="00C316C8">
        <w:rPr>
          <w:rFonts w:ascii="Simplified Arabic" w:hAnsi="Simplified Arabic" w:cs="Simplified Arabic"/>
          <w:color w:val="000000" w:themeColor="text1"/>
          <w:sz w:val="28"/>
          <w:szCs w:val="28"/>
        </w:rPr>
        <w:t xml:space="preserve"> (Mwambela, 2024).</w:t>
      </w:r>
    </w:p>
    <w:p w14:paraId="5079136A" w14:textId="77777777" w:rsidR="00F7243B" w:rsidRPr="00C316C8" w:rsidRDefault="00F7243B" w:rsidP="006F62E0">
      <w:pPr>
        <w:pStyle w:val="NormalWeb"/>
        <w:bidi/>
        <w:spacing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وفي ظل التحولات الاقتصادية والتقنية المتسارعة التي يشهدها عالم الأعمال، برزت الحاجة إلى تجاوز المقاربة التجزيئية لوظائف الموارد البشرية نحو مفهوم أشمل وأعمق يتمثل في تكامل إدارة الموارد البشرية، والذي يعني المواءمة الاستراتيجية والتقنية والثقافية بين مختلف وظائف الموارد البشرية من جهة وبينها وبين الوظائف التنظيمية الأخرى من جهة أخرى، بما يضمن تناغم السياسات والإجراءات وتوحيد مخرجاتها نحو تحقيق الأداء المؤسسي المتميز. وقد أثبتت الدراسات أن التكامل بين الإدارة الاستراتيجية للموارد البشرية وإدارة المعرفة يُنتج ميزات تنافسية مرتبطة بالتكاليف والكفاءة والخدمات الوظيفية من خلال فرق العمل والتعاون والاتصال الفعال (تلخوخ، 2024)</w:t>
      </w:r>
      <w:r w:rsidRPr="00C316C8">
        <w:rPr>
          <w:rFonts w:ascii="Simplified Arabic" w:hAnsi="Simplified Arabic" w:cs="Simplified Arabic"/>
          <w:color w:val="000000" w:themeColor="text1"/>
          <w:sz w:val="28"/>
          <w:szCs w:val="28"/>
        </w:rPr>
        <w:t>.</w:t>
      </w:r>
    </w:p>
    <w:p w14:paraId="4FEAB16F" w14:textId="3D29757F" w:rsidR="00F7243B" w:rsidRPr="00C316C8" w:rsidRDefault="00F7243B" w:rsidP="006F62E0">
      <w:pPr>
        <w:pStyle w:val="NormalWeb"/>
        <w:bidi/>
        <w:spacing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 يحتل الامتثال التنظيمي مكانة محورية في منظومة الحوكمة المؤسسية، إذ يُشير إلى مدى التزام المنظمة بالتشريعات والأنظمة والمعايير والسياسات الداخلية التي تحكم عملياتها، ويُعد شرطاً أساسياً لاستمرارية الأعمال وحماية سمعة المنظمة وتجنب العقوبات القانونية والمالية. كما أن تقليل المخاطر التشغيلية الناجمة عن قصور العمليات الداخلية أو الأخطاء البشرية أو أعطال الأنظمة يمثل هدفاً استراتيجياً تسعى إليه المنظمات لضمان استقرار عملياتها وتعظيم عوائدها، وقد أكدت الدراسات أن إدارة المخاطر التشغيلية تؤثر تأثيراً إيجابياً دالاً على تحسين ربحية المؤسسات وتقليل مديونيتها وتعزيز قدرتها على الوفاء بالتزاماتها</w:t>
      </w:r>
      <w:r w:rsidRPr="00C316C8">
        <w:rPr>
          <w:rFonts w:ascii="Simplified Arabic" w:hAnsi="Simplified Arabic" w:cs="Simplified Arabic"/>
          <w:color w:val="000000" w:themeColor="text1"/>
          <w:sz w:val="28"/>
          <w:szCs w:val="28"/>
        </w:rPr>
        <w:t xml:space="preserve"> (Hud</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kov</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 xml:space="preserve"> et al., 2023).</w:t>
      </w:r>
    </w:p>
    <w:p w14:paraId="79A5C6B0" w14:textId="77777777" w:rsidR="00F7243B" w:rsidRPr="00C316C8" w:rsidRDefault="00F7243B" w:rsidP="006F62E0">
      <w:pPr>
        <w:pStyle w:val="NormalWeb"/>
        <w:bidi/>
        <w:spacing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وتتعاظم أهمية الامتثال التنظيمي وإدارة المخاطر التشغيلية في القطاع الصناعي تحديداً نظراً لطبيعته التي تتسم بكثافة العمليات وتعدد مصادر المخاطر وصرامة الاشتراطات التنظيمية المتعلقة بالسلامة والبيئة والجودة، وقد أوضحت الدراسات أن تفعيل وظيفة الرقابة الداخلية وتصميم هيكل تنظيمي مرن وتبني نظام حوكمة فعال يُسهم في تدنية المخاطر التشغيلية التي تتعرض لها المنظمات (خوجة وعلمي، 2022)</w:t>
      </w:r>
      <w:r w:rsidRPr="00C316C8">
        <w:rPr>
          <w:rFonts w:ascii="Simplified Arabic" w:hAnsi="Simplified Arabic" w:cs="Simplified Arabic"/>
          <w:color w:val="000000" w:themeColor="text1"/>
          <w:sz w:val="28"/>
          <w:szCs w:val="28"/>
        </w:rPr>
        <w:t>.</w:t>
      </w:r>
    </w:p>
    <w:p w14:paraId="67C44632" w14:textId="1D59EEE3" w:rsidR="00F7243B" w:rsidRPr="00C316C8" w:rsidRDefault="00F7243B" w:rsidP="006F62E0">
      <w:pPr>
        <w:pStyle w:val="NormalWeb"/>
        <w:bidi/>
        <w:spacing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وتتضح العلاقة بين تكامل إدارة الموارد البشرية من جهة والامتثال التنظيمي وتقليل المخاطر التشغيلية من جهة أخرى، إذ إن بناء منظومة متكاملة لإدارة الموارد البشرية تجمع بين التخطيط الاستراتيجي للقوى العاملة والرقمنة وتطوير الكفاءات وترسيخ ثقافة الالتزام يُعد مدخلاً جوهرياً لتعزيز وعي العاملين بمتطلبات الامتثال وتمكينهم من التعامل الاستباقي مع المخاطر، وقد أثبتت الدراسات أن ممارسات إدارة الموارد البشرية تؤثر تأثيراً مباشراً وغير مباشر في الأداء التشغيلي للمنظمات وفي استبقاء كفاءاتها البشرية</w:t>
      </w:r>
      <w:r w:rsidRPr="00C316C8">
        <w:rPr>
          <w:rFonts w:ascii="Simplified Arabic" w:hAnsi="Simplified Arabic" w:cs="Simplified Arabic"/>
          <w:color w:val="000000" w:themeColor="text1"/>
          <w:sz w:val="28"/>
          <w:szCs w:val="28"/>
        </w:rPr>
        <w:t xml:space="preserve"> (Ciobanu et al., 2023).</w:t>
      </w:r>
    </w:p>
    <w:p w14:paraId="6FC5DA88" w14:textId="6BF0305E" w:rsidR="00F7243B" w:rsidRPr="00C316C8" w:rsidRDefault="00F7243B" w:rsidP="006F62E0">
      <w:pPr>
        <w:pStyle w:val="NormalWeb"/>
        <w:bidi/>
        <w:spacing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وانطلاقاً مما سبق، تأتي هذه الدراسة لتتناول أثر تكامل إدارة الموارد البشرية بأبعاده الأربعة على الامتثال التنظيمي وتقليل المخاطر التشغيلية في الشركات الصناعية في المدينة الصناعية الثانية في الرياض، وذلك في سياق التحولات التي تشهدها البيئة الصناعية السعودية ضمن رؤية المملكة 2030 التي تستهدف تعزيز حوكمة القطاع الصناعي ورفع كفاءته وتنافسيته، ساعيةً إلى تقديم إطار علمي وتطبيقي يُسهم في تعزيز فهم هذه العلاقة وتوجيه الممارسات الإدارية نحو تحقيق التميز المؤسسي المستدام .</w:t>
      </w:r>
    </w:p>
    <w:p w14:paraId="27E57B86" w14:textId="66B80D1A" w:rsidR="006F62E0" w:rsidRPr="00C316C8" w:rsidRDefault="006F62E0" w:rsidP="006F62E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490"/>
      <w:bookmarkStart w:id="5" w:name="_Toc233380447"/>
      <w:bookmarkEnd w:id="1"/>
      <w:bookmarkEnd w:id="2"/>
      <w:r w:rsidRPr="00C316C8">
        <w:rPr>
          <w:rFonts w:ascii="Simplified Arabic" w:hAnsi="Simplified Arabic" w:cs="Simplified Arabic"/>
          <w:b/>
          <w:bCs/>
          <w:color w:val="000000" w:themeColor="text1"/>
          <w:sz w:val="36"/>
          <w:szCs w:val="36"/>
          <w:rtl/>
        </w:rPr>
        <w:t>2.1 مشكلة الدراسة</w:t>
      </w:r>
      <w:bookmarkEnd w:id="5"/>
    </w:p>
    <w:p w14:paraId="6D326A5F" w14:textId="77777777" w:rsidR="00F7243B" w:rsidRPr="00C316C8" w:rsidRDefault="00F7243B" w:rsidP="006F62E0">
      <w:pPr>
        <w:pStyle w:val="NormalWeb"/>
        <w:bidi/>
        <w:spacing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يشهد القطاع الصناعي السعودي تحولات هيكلية واسعة النطاق في إطار رؤية المملكة 2030 وبرنامج تطوير الصناعة الوطنية واللوجستيات، حيث تتصاعد متطلبات الامتثال التنظيمي وتتزايد تعقيدات المخاطر التشغيلية في بيئة أعمال تتسم بالتنافسية الحادة والتغيرات التقنية المتسارعة. وتواجه الشركات الصناعية في المدينة الصناعية الثانية في الرياض — بوصفها واحدة من أكبر التجمعات الصناعية في المملكة بما تضم من أكثر من خمسمائة منشأة صناعية — تحديات متشعبة ومركبة تتمثل في ضرورة الالتزام بمنظومة متنامية من الاشتراطات التنظيمية والبيئية والسلامة المهنية ومعايير الجودة، في الوقت الذي تتعرض فيه لمخاطر تشغيلية متعددة المصادر تشمل الأعطال التقنية وانقطاع سلاسل الإمداد وتذبذب مستويات الكفاءة البشرية وقصور أنظمة الرقابة الداخلية، مما ينعكس سلباً على أدائها المالي واستدامتها التنافسية</w:t>
      </w:r>
      <w:r w:rsidRPr="00C316C8">
        <w:rPr>
          <w:rFonts w:ascii="Simplified Arabic" w:hAnsi="Simplified Arabic" w:cs="Simplified Arabic"/>
          <w:color w:val="000000" w:themeColor="text1"/>
          <w:sz w:val="28"/>
          <w:szCs w:val="28"/>
        </w:rPr>
        <w:t>.</w:t>
      </w:r>
    </w:p>
    <w:p w14:paraId="4227BFEA" w14:textId="0610F818" w:rsidR="00F7243B" w:rsidRPr="00C316C8" w:rsidRDefault="00F7243B" w:rsidP="006F62E0">
      <w:pPr>
        <w:pStyle w:val="NormalWeb"/>
        <w:bidi/>
        <w:spacing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وعلى الرغم من أن إدارة الموارد البشرية تُعد من أكثر الوظائف التنظيمية تأثيراً في تشكيل سلوك العاملين وبناء القدرات المؤسسية وترسيخ ثقافة الامتثال، إلا أن الواقع التطبيقي يكشف عن فجوة جوهرية تتمثل في أن كثيراً من الشركات الصناعية لا تزال تُدير وظائف الموارد البشرية بمنهجية تجزيئية منعزلة، بحيث تعمل وظائف الاستقطاب والتدريب وتقييم الأداء والتعويضات كجزر منفصلة لا رابط استراتيجي بينها ولا تكامل مع أنظمة الامتثال وإدارة المخاطر. وقد أشارت دراسة تلخوخ</w:t>
      </w:r>
      <w:r w:rsidRPr="00C316C8">
        <w:rPr>
          <w:rFonts w:ascii="Simplified Arabic" w:hAnsi="Simplified Arabic" w:cs="Simplified Arabic"/>
          <w:color w:val="000000" w:themeColor="text1"/>
          <w:sz w:val="28"/>
          <w:szCs w:val="28"/>
        </w:rPr>
        <w:t xml:space="preserve"> (2024) </w:t>
      </w:r>
      <w:r w:rsidRPr="00C316C8">
        <w:rPr>
          <w:rFonts w:ascii="Simplified Arabic" w:hAnsi="Simplified Arabic" w:cs="Simplified Arabic"/>
          <w:color w:val="000000" w:themeColor="text1"/>
          <w:sz w:val="28"/>
          <w:szCs w:val="28"/>
          <w:rtl/>
        </w:rPr>
        <w:t>إلى أن غياب التكامل الاستراتيجي بين وظائف الموارد البشرية يُفضي إلى هدر الطاقات وضعف الميزة التنافسية، كما أكدت دراسة</w:t>
      </w:r>
      <w:r w:rsidRPr="00C316C8">
        <w:rPr>
          <w:rFonts w:ascii="Simplified Arabic" w:hAnsi="Simplified Arabic" w:cs="Simplified Arabic"/>
          <w:color w:val="000000" w:themeColor="text1"/>
          <w:sz w:val="28"/>
          <w:szCs w:val="28"/>
        </w:rPr>
        <w:t xml:space="preserve"> Hud</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kov</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 xml:space="preserve"> et al. (2023) </w:t>
      </w:r>
      <w:r w:rsidRPr="00C316C8">
        <w:rPr>
          <w:rFonts w:ascii="Simplified Arabic" w:hAnsi="Simplified Arabic" w:cs="Simplified Arabic"/>
          <w:color w:val="000000" w:themeColor="text1"/>
          <w:sz w:val="28"/>
          <w:szCs w:val="28"/>
          <w:rtl/>
        </w:rPr>
        <w:t>أن قصور إدارة المخاطر التشغيلية يؤثر سلباً على ربحية المؤسسات وقدرتها على الوفاء بالتزاماتها المالية. وفي السياق ذاته كشفت دراسة خوجة وعلمي</w:t>
      </w:r>
      <w:r w:rsidRPr="00C316C8">
        <w:rPr>
          <w:rFonts w:ascii="Simplified Arabic" w:hAnsi="Simplified Arabic" w:cs="Simplified Arabic"/>
          <w:color w:val="000000" w:themeColor="text1"/>
          <w:sz w:val="28"/>
          <w:szCs w:val="28"/>
        </w:rPr>
        <w:t xml:space="preserve"> (2022) </w:t>
      </w:r>
      <w:r w:rsidRPr="00C316C8">
        <w:rPr>
          <w:rFonts w:ascii="Simplified Arabic" w:hAnsi="Simplified Arabic" w:cs="Simplified Arabic"/>
          <w:color w:val="000000" w:themeColor="text1"/>
          <w:sz w:val="28"/>
          <w:szCs w:val="28"/>
          <w:rtl/>
        </w:rPr>
        <w:t>أن ضعف أنظمة الرقابة الداخلية وغياب الحوكمة الفعالة يزيدان من حدة المخاطر التشغيلية، بينما أوضحت دراسة</w:t>
      </w:r>
      <w:r w:rsidRPr="00C316C8">
        <w:rPr>
          <w:rFonts w:ascii="Simplified Arabic" w:hAnsi="Simplified Arabic" w:cs="Simplified Arabic"/>
          <w:color w:val="000000" w:themeColor="text1"/>
          <w:sz w:val="28"/>
          <w:szCs w:val="28"/>
        </w:rPr>
        <w:t xml:space="preserve"> Ciobanu et al. (2023) </w:t>
      </w:r>
      <w:r w:rsidRPr="00C316C8">
        <w:rPr>
          <w:rFonts w:ascii="Simplified Arabic" w:hAnsi="Simplified Arabic" w:cs="Simplified Arabic"/>
          <w:color w:val="000000" w:themeColor="text1"/>
          <w:sz w:val="28"/>
          <w:szCs w:val="28"/>
          <w:rtl/>
        </w:rPr>
        <w:t>أن ممارسات إدارة الموارد البشرية المتكاملة تؤثر تأثيراً مباشراً وغير مباشر في الأداء التشغيلي واستبقاء الكفاءات</w:t>
      </w:r>
      <w:r w:rsidRPr="00C316C8">
        <w:rPr>
          <w:rFonts w:ascii="Simplified Arabic" w:hAnsi="Simplified Arabic" w:cs="Simplified Arabic"/>
          <w:color w:val="000000" w:themeColor="text1"/>
          <w:sz w:val="28"/>
          <w:szCs w:val="28"/>
        </w:rPr>
        <w:t>.</w:t>
      </w:r>
    </w:p>
    <w:p w14:paraId="09FA4229" w14:textId="77777777" w:rsidR="00F7243B" w:rsidRPr="00C316C8" w:rsidRDefault="00F7243B" w:rsidP="006F62E0">
      <w:pPr>
        <w:pStyle w:val="NormalWeb"/>
        <w:bidi/>
        <w:spacing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وتتبلور مشكلة الدراسة في التساؤل الجوهري حول ما إذا كان تكامل إدارة الموارد البشرية — بوصفه منظومة متكاملة تجمع بين التكامل الاستراتيجي والتقني وإدارة الكفاءات والتكامل الثقافي — يمثل مدخلاً فاعلاً لتعزيز الامتثال التنظيمي وتقليل المخاطر التشغيلية في البيئة الصناعية السعودية. إذ إن المتتبع للأدبيات الأكاديمية يلحظ أن معظم الدراسات السابقة تناولت ممارسات إدارة الموارد البشرية بشكل مجزأ وربطتها بمتغيرات تابعة مثل الأداء التنظيمي أو الالتزام الوظيفي أو رضا العاملين، في حين تندر الدراسات التي عالجت مفهوم التكامل الشامل لإدارة الموارد البشرية وعلاقته بالامتثال التنظيمي والمخاطر التشغيلية مجتمعين، ولا سيما في القطاع الصناعي الذي يتميز بخصوصية واضحة من حيث كثافة العمالة وتنوع المخاطر وصرامة المتطلبات التنظيمية. وتزداد الحاجة البحثية إلحاحاً في ضوء التقارير الرسمية التي تشير إلى تسجيل عدد من الشركات الصناعية السعودية مخالفات تنظيمية وحوادث تشغيلية يُعزى جزء كبير منها إلى قصور في إدارة العنصر البشري وضعف التنسيق بين الوظائف الإدارية</w:t>
      </w:r>
      <w:r w:rsidRPr="00C316C8">
        <w:rPr>
          <w:rFonts w:ascii="Simplified Arabic" w:hAnsi="Simplified Arabic" w:cs="Simplified Arabic"/>
          <w:color w:val="000000" w:themeColor="text1"/>
          <w:sz w:val="28"/>
          <w:szCs w:val="28"/>
        </w:rPr>
        <w:t>.</w:t>
      </w:r>
    </w:p>
    <w:p w14:paraId="60C8E3AD" w14:textId="77777777" w:rsidR="00F7243B" w:rsidRPr="00C316C8" w:rsidRDefault="00F7243B" w:rsidP="006F62E0">
      <w:pPr>
        <w:pStyle w:val="NormalWeb"/>
        <w:bidi/>
        <w:spacing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وبناءً على ما سبق، تتحدد مشكلة الدراسة في السؤال الرئيسي التالي</w:t>
      </w:r>
      <w:r w:rsidRPr="00C316C8">
        <w:rPr>
          <w:rFonts w:ascii="Simplified Arabic" w:hAnsi="Simplified Arabic" w:cs="Simplified Arabic"/>
          <w:color w:val="000000" w:themeColor="text1"/>
          <w:sz w:val="28"/>
          <w:szCs w:val="28"/>
        </w:rPr>
        <w:t xml:space="preserve">: </w:t>
      </w:r>
      <w:r w:rsidRPr="00C316C8">
        <w:rPr>
          <w:rStyle w:val="Strong"/>
          <w:rFonts w:ascii="Simplified Arabic" w:hAnsi="Simplified Arabic" w:cs="Simplified Arabic"/>
          <w:b w:val="0"/>
          <w:bCs w:val="0"/>
          <w:color w:val="000000" w:themeColor="text1"/>
          <w:sz w:val="28"/>
          <w:szCs w:val="28"/>
          <w:rtl/>
        </w:rPr>
        <w:t>ما أثر تكامل إدارة الموارد البشرية بأبعاده (التكامل الاستراتيجي لوظائف الموارد البشرية، التكامل التقني ورقمنة عمليات الموارد البشرية، تكامل إدارة الكفاءات وتطوير رأس المال البشري، التكامل الثقافي وبناء بيئة العمل الداعمة) على الامتثال التنظيمي وتقليل المخاطر التشغيلية في الشركات الصناعية في المدينة الصناعية الثانية في الرياض؟</w:t>
      </w:r>
    </w:p>
    <w:p w14:paraId="7E4D5DDC" w14:textId="666C2DF5" w:rsidR="006F62E0" w:rsidRPr="00C316C8" w:rsidRDefault="006F62E0" w:rsidP="006F62E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169790500"/>
      <w:bookmarkStart w:id="7" w:name="_Toc233380448"/>
      <w:bookmarkEnd w:id="4"/>
      <w:r w:rsidRPr="00C316C8">
        <w:rPr>
          <w:rFonts w:ascii="Simplified Arabic" w:eastAsia="Times New Roman" w:hAnsi="Simplified Arabic" w:cs="Simplified Arabic"/>
          <w:b/>
          <w:bCs/>
          <w:color w:val="000000" w:themeColor="text1"/>
          <w:kern w:val="0"/>
          <w:sz w:val="36"/>
          <w:szCs w:val="36"/>
          <w:rtl/>
          <w14:ligatures w14:val="none"/>
        </w:rPr>
        <w:lastRenderedPageBreak/>
        <w:t>3.1 أهداف الدراسة:</w:t>
      </w:r>
      <w:bookmarkEnd w:id="7"/>
    </w:p>
    <w:p w14:paraId="1462FA3E" w14:textId="77777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تكامل إدارة الموارد البشرية بأبعاده (التكامل الاستراتيجي لوظائف الموارد البشرية، التكامل التقني ورقمنة عمليات الموارد البشرية، تكامل إدارة الكفاءات وتطوير رأس المال البشري، التكامل الثقافي وبناء بيئة العمل الداعمة) على الامتثال التنظيمي وتقليل المخاطر التشغيلية في الشركات الصناعية في المدينة الصناعية الثانية في الرياض</w:t>
      </w:r>
      <w:r w:rsidRPr="00C316C8">
        <w:rPr>
          <w:rFonts w:ascii="Simplified Arabic" w:eastAsia="Times New Roman" w:hAnsi="Simplified Arabic" w:cs="Simplified Arabic"/>
          <w:color w:val="000000" w:themeColor="text1"/>
          <w:kern w:val="0"/>
          <w:sz w:val="28"/>
          <w:szCs w:val="28"/>
          <w14:ligatures w14:val="none"/>
        </w:rPr>
        <w:t>.</w:t>
      </w:r>
    </w:p>
    <w:p w14:paraId="5319FE3C" w14:textId="3F11EA2C" w:rsidR="00F7243B" w:rsidRPr="00C316C8" w:rsidRDefault="00F7243B" w:rsidP="0003682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316C8">
        <w:rPr>
          <w:rFonts w:ascii="Simplified Arabic" w:eastAsia="Times New Roman" w:hAnsi="Simplified Arabic" w:cs="Simplified Arabic"/>
          <w:b/>
          <w:bCs/>
          <w:color w:val="000000" w:themeColor="text1"/>
          <w:kern w:val="0"/>
          <w:sz w:val="28"/>
          <w:szCs w:val="28"/>
          <w:rtl/>
          <w14:ligatures w14:val="none"/>
        </w:rPr>
        <w:t>يتفرع من الهدف الرئيسي الأهداف الفرعية التالية</w:t>
      </w:r>
      <w:r w:rsidRPr="00C316C8">
        <w:rPr>
          <w:rFonts w:ascii="Simplified Arabic" w:eastAsia="Times New Roman" w:hAnsi="Simplified Arabic" w:cs="Simplified Arabic"/>
          <w:b/>
          <w:bCs/>
          <w:color w:val="000000" w:themeColor="text1"/>
          <w:kern w:val="0"/>
          <w:sz w:val="28"/>
          <w:szCs w:val="28"/>
          <w14:ligatures w14:val="none"/>
        </w:rPr>
        <w:t>:</w:t>
      </w:r>
    </w:p>
    <w:p w14:paraId="273B32EB" w14:textId="435E77C7" w:rsidR="00F7243B" w:rsidRPr="00C316C8" w:rsidRDefault="00F7243B" w:rsidP="006F62E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التعرف على أثر التكامل الاستراتيجي لوظائف الموارد البشرية (من حيث مواءمة سياسات الاستقطاب والتدريب والتقييم والتعويضات مع الأهداف الاستراتيجية للمنظمة) على تعزيز الامتثال التنظيمي وتقليل المخاطر التشغيلية في الشركات الصناعية محل الدراسة</w:t>
      </w:r>
      <w:r w:rsidRPr="00C316C8">
        <w:rPr>
          <w:rFonts w:ascii="Simplified Arabic" w:eastAsia="Times New Roman" w:hAnsi="Simplified Arabic" w:cs="Simplified Arabic"/>
          <w:color w:val="000000" w:themeColor="text1"/>
          <w:kern w:val="0"/>
          <w:sz w:val="28"/>
          <w:szCs w:val="28"/>
          <w14:ligatures w14:val="none"/>
        </w:rPr>
        <w:t>.</w:t>
      </w:r>
    </w:p>
    <w:p w14:paraId="251D2329" w14:textId="0A177516" w:rsidR="00F7243B" w:rsidRPr="00C316C8" w:rsidRDefault="00F7243B" w:rsidP="006F62E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تحديد أثر التكامل التقني ورقمنة عمليات الموارد البشرية (من حيث استخدام نظم المعلومات المتكاملة وأتمتة إجراءات العمل وتحليل بيانات الموارد البشرية) على تعزيز الامتثال التنظيمي وتقليل المخاطر التشغيلية في الشركات الصناعية محل الدراسة</w:t>
      </w:r>
      <w:r w:rsidRPr="00C316C8">
        <w:rPr>
          <w:rFonts w:ascii="Simplified Arabic" w:eastAsia="Times New Roman" w:hAnsi="Simplified Arabic" w:cs="Simplified Arabic"/>
          <w:color w:val="000000" w:themeColor="text1"/>
          <w:kern w:val="0"/>
          <w:sz w:val="28"/>
          <w:szCs w:val="28"/>
          <w14:ligatures w14:val="none"/>
        </w:rPr>
        <w:t>.</w:t>
      </w:r>
    </w:p>
    <w:p w14:paraId="69DAA1CD" w14:textId="4559E61E" w:rsidR="00F7243B" w:rsidRPr="00C316C8" w:rsidRDefault="00F7243B" w:rsidP="006F62E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الكشف عن أثر تكامل إدارة الكفاءات وتطوير رأس المال البشري (من حيث التخطيط الاستراتيجي للقوى العاملة وبرامج التطوير المهني المستمر وإدارة المواهب وتخطيط المسارات الوظيفية) على تعزيز الامتثال التنظيمي وتقليل المخاطر التشغيلية في الشركات الصناعية محل الدراسة</w:t>
      </w:r>
      <w:r w:rsidRPr="00C316C8">
        <w:rPr>
          <w:rFonts w:ascii="Simplified Arabic" w:eastAsia="Times New Roman" w:hAnsi="Simplified Arabic" w:cs="Simplified Arabic"/>
          <w:color w:val="000000" w:themeColor="text1"/>
          <w:kern w:val="0"/>
          <w:sz w:val="28"/>
          <w:szCs w:val="28"/>
          <w14:ligatures w14:val="none"/>
        </w:rPr>
        <w:t>.</w:t>
      </w:r>
    </w:p>
    <w:p w14:paraId="037E2160" w14:textId="3659CD91" w:rsidR="00F7243B" w:rsidRPr="00C316C8" w:rsidRDefault="00F7243B" w:rsidP="006F62E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قياس أثر التكامل الثقافي وبناء بيئة العمل الداعمة (من حيث ترسيخ قيم الشفافية والمساءلة وتعزيز ثقافة الالتزام المؤسسي وتمكين العاملين وتشجيع المبادرة والإبلاغ عن المخاطر) على تعزيز الامتثال التنظيمي وتقليل المخاطر التشغيلية في الشركات الصناعية محل الدراسة</w:t>
      </w:r>
      <w:r w:rsidRPr="00C316C8">
        <w:rPr>
          <w:rFonts w:ascii="Simplified Arabic" w:eastAsia="Times New Roman" w:hAnsi="Simplified Arabic" w:cs="Simplified Arabic"/>
          <w:color w:val="000000" w:themeColor="text1"/>
          <w:kern w:val="0"/>
          <w:sz w:val="28"/>
          <w:szCs w:val="28"/>
          <w14:ligatures w14:val="none"/>
        </w:rPr>
        <w:t>.</w:t>
      </w:r>
    </w:p>
    <w:p w14:paraId="18D30292" w14:textId="7491A22B" w:rsidR="00F7243B" w:rsidRPr="00C316C8" w:rsidRDefault="00F7243B" w:rsidP="006F62E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تحديد مستوى تطبيق أبعاد تكامل إدارة الموارد البشرية في الشركات الصناعية في المدينة الصناعية الثانية في الرياض، والوقوف على مدى التفاوت بين هذه الشركات في مستوى التطبيق</w:t>
      </w:r>
      <w:r w:rsidRPr="00C316C8">
        <w:rPr>
          <w:rFonts w:ascii="Simplified Arabic" w:eastAsia="Times New Roman" w:hAnsi="Simplified Arabic" w:cs="Simplified Arabic"/>
          <w:color w:val="000000" w:themeColor="text1"/>
          <w:kern w:val="0"/>
          <w:sz w:val="28"/>
          <w:szCs w:val="28"/>
          <w14:ligatures w14:val="none"/>
        </w:rPr>
        <w:t>.</w:t>
      </w:r>
    </w:p>
    <w:p w14:paraId="72165255" w14:textId="28F4105D" w:rsidR="00F7243B" w:rsidRPr="00C316C8" w:rsidRDefault="00F7243B" w:rsidP="006F62E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تقييم مستوى الامتثال التنظيمي السائد في الشركات الصناعية محل الدراسة وتشخيص أبرز المخاطر التشغيلية التي تواجهها</w:t>
      </w:r>
      <w:r w:rsidRPr="00C316C8">
        <w:rPr>
          <w:rFonts w:ascii="Simplified Arabic" w:eastAsia="Times New Roman" w:hAnsi="Simplified Arabic" w:cs="Simplified Arabic"/>
          <w:color w:val="000000" w:themeColor="text1"/>
          <w:kern w:val="0"/>
          <w:sz w:val="28"/>
          <w:szCs w:val="28"/>
          <w14:ligatures w14:val="none"/>
        </w:rPr>
        <w:t>.</w:t>
      </w:r>
    </w:p>
    <w:p w14:paraId="0CF6BE65" w14:textId="3767BEB8" w:rsidR="00F7243B" w:rsidRPr="00C316C8" w:rsidRDefault="00F7243B" w:rsidP="006F62E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تقديم إطار مقترح لتعزيز تكامل إدارة الموارد البشرية بما يسهم في رفع مستوى الامتثال التنظيمي والحد من المخاطر التشغيلية في البيئة الصناعية السعودية</w:t>
      </w:r>
      <w:r w:rsidRPr="00C316C8">
        <w:rPr>
          <w:rFonts w:ascii="Simplified Arabic" w:eastAsia="Times New Roman" w:hAnsi="Simplified Arabic" w:cs="Simplified Arabic"/>
          <w:color w:val="000000" w:themeColor="text1"/>
          <w:kern w:val="0"/>
          <w:sz w:val="28"/>
          <w:szCs w:val="28"/>
          <w14:ligatures w14:val="none"/>
        </w:rPr>
        <w:t>.</w:t>
      </w:r>
    </w:p>
    <w:p w14:paraId="3C1B3452" w14:textId="294F3A90" w:rsidR="006F62E0" w:rsidRPr="00C316C8" w:rsidRDefault="006F62E0" w:rsidP="006F62E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380449"/>
      <w:r w:rsidRPr="00C316C8">
        <w:rPr>
          <w:rFonts w:ascii="Simplified Arabic" w:eastAsia="Times New Roman" w:hAnsi="Simplified Arabic" w:cs="Simplified Arabic"/>
          <w:b/>
          <w:bCs/>
          <w:color w:val="000000" w:themeColor="text1"/>
          <w:kern w:val="0"/>
          <w:sz w:val="36"/>
          <w:szCs w:val="36"/>
          <w:rtl/>
          <w14:ligatures w14:val="none"/>
        </w:rPr>
        <w:lastRenderedPageBreak/>
        <w:t>4.1 أسئلة الدراسة</w:t>
      </w:r>
      <w:bookmarkEnd w:id="8"/>
    </w:p>
    <w:p w14:paraId="6B2F0B55" w14:textId="77777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ما أثر تكامل إدارة الموارد البشرية بأبعاده (التكامل الاستراتيجي لوظائف الموارد البشرية، التكامل التقني ورقمنة عمليات الموارد البشرية، تكامل إدارة الكفاءات وتطوير رأس المال البشري، التكامل الثقافي وبناء بيئة العمل الداعمة) على الامتثال التنظيمي وتقليل المخاطر التشغيلية في الشركات الصناعية في المدينة الصناعية الثانية في الرياض؟</w:t>
      </w:r>
    </w:p>
    <w:p w14:paraId="5C4451DC" w14:textId="77777777" w:rsidR="00F7243B" w:rsidRPr="00C316C8" w:rsidRDefault="00F7243B" w:rsidP="006F62E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س1</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ما أثر التكامل الاستراتيجي لوظائف الموارد البشرية على تعزيز الامتثال التنظيمي وتقليل المخاطر التشغيلية في الشركات الصناعية في المدينة الصناعية الثانية في الرياض؟</w:t>
      </w:r>
    </w:p>
    <w:p w14:paraId="4405467B" w14:textId="77777777" w:rsidR="00F7243B" w:rsidRPr="00C316C8" w:rsidRDefault="00F7243B" w:rsidP="006F62E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س2</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ما أثر التكامل التقني ورقمنة عمليات الموارد البشرية على تعزيز الامتثال التنظيمي وتقليل المخاطر التشغيلية في الشركات الصناعية في المدينة الصناعية الثانية في الرياض؟</w:t>
      </w:r>
    </w:p>
    <w:p w14:paraId="196DA332" w14:textId="77777777" w:rsidR="00F7243B" w:rsidRPr="00C316C8" w:rsidRDefault="00F7243B" w:rsidP="006F62E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س3</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ما أثر تكامل إدارة الكفاءات وتطوير رأس المال البشري على تعزيز الامتثال التنظيمي وتقليل المخاطر التشغيلية في الشركات الصناعية في المدينة الصناعية الثانية في الرياض؟</w:t>
      </w:r>
    </w:p>
    <w:p w14:paraId="1E1A65B8" w14:textId="77777777" w:rsidR="00F7243B" w:rsidRPr="00C316C8" w:rsidRDefault="00F7243B" w:rsidP="006F62E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س4</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ما أثر التكامل الثقافي وبناء بيئة العمل الداعمة على تعزيز الامتثال التنظيمي وتقليل المخاطر التشغيلية في الشركات الصناعية في المدينة الصناعية الثانية في الرياض؟</w:t>
      </w:r>
    </w:p>
    <w:p w14:paraId="75BD124A" w14:textId="77777777" w:rsidR="00F7243B" w:rsidRPr="00C316C8" w:rsidRDefault="00F7243B" w:rsidP="006F62E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س5</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ما مستوى تطبيق أبعاد تكامل إدارة الموارد البشرية في الشركات الصناعية في المدينة الصناعية الثانية في الرياض؟</w:t>
      </w:r>
    </w:p>
    <w:p w14:paraId="7173A7E7" w14:textId="77777777" w:rsidR="00F7243B" w:rsidRPr="00C316C8" w:rsidRDefault="00F7243B" w:rsidP="006F62E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س6</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ما مستوى الامتثال التنظيمي السائد وما أبرز المخاطر التشغيلية التي تواجه الشركات الصناعية في المدينة الصناعية الثانية في الرياض؟</w:t>
      </w:r>
    </w:p>
    <w:p w14:paraId="4559199B" w14:textId="77777777" w:rsidR="006F62E0" w:rsidRPr="00C316C8" w:rsidRDefault="006F62E0" w:rsidP="006F62E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380450"/>
      <w:r w:rsidRPr="00C316C8">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0605F434" w14:textId="0638354A" w:rsidR="006F62E0" w:rsidRPr="00C316C8" w:rsidRDefault="006F62E0" w:rsidP="006F62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316C8">
        <w:rPr>
          <w:rFonts w:ascii="Simplified Arabic" w:eastAsia="Times New Roman" w:hAnsi="Simplified Arabic" w:cs="Simplified Arabic"/>
          <w:b/>
          <w:bCs/>
          <w:color w:val="000000" w:themeColor="text1"/>
          <w:kern w:val="0"/>
          <w:sz w:val="32"/>
          <w:szCs w:val="32"/>
          <w:rtl/>
          <w14:ligatures w14:val="none"/>
        </w:rPr>
        <w:t>الفرض الرئيسي</w:t>
      </w:r>
    </w:p>
    <w:p w14:paraId="46879ED6" w14:textId="583820FD"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14:ligatures w14:val="none"/>
        </w:rPr>
        <w:t>H</w:t>
      </w:r>
      <w:r w:rsidRPr="00C316C8">
        <w:rPr>
          <w:rFonts w:ascii="Times New Roman" w:eastAsia="Times New Roman" w:hAnsi="Times New Roman" w:cs="Times New Roman"/>
          <w:color w:val="000000" w:themeColor="text1"/>
          <w:kern w:val="0"/>
          <w:sz w:val="28"/>
          <w:szCs w:val="28"/>
          <w14:ligatures w14:val="none"/>
        </w:rPr>
        <w:t>₀</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Cambria" w:eastAsia="Times New Roman" w:hAnsi="Cambria" w:cs="Cambria"/>
          <w:color w:val="000000" w:themeColor="text1"/>
          <w:kern w:val="0"/>
          <w:sz w:val="28"/>
          <w:szCs w:val="28"/>
          <w14:ligatures w14:val="none"/>
        </w:rPr>
        <w:t>α</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Times New Roman" w:eastAsia="Times New Roman" w:hAnsi="Times New Roman" w:cs="Times New Roman"/>
          <w:color w:val="000000" w:themeColor="text1"/>
          <w:kern w:val="0"/>
          <w:sz w:val="28"/>
          <w:szCs w:val="28"/>
          <w14:ligatures w14:val="none"/>
        </w:rPr>
        <w:t>≤</w:t>
      </w:r>
      <w:r w:rsidRPr="00C316C8">
        <w:rPr>
          <w:rFonts w:ascii="Simplified Arabic" w:eastAsia="Times New Roman" w:hAnsi="Simplified Arabic" w:cs="Simplified Arabic"/>
          <w:color w:val="000000" w:themeColor="text1"/>
          <w:kern w:val="0"/>
          <w:sz w:val="28"/>
          <w:szCs w:val="28"/>
          <w14:ligatures w14:val="none"/>
        </w:rPr>
        <w:t xml:space="preserve"> 0.05) </w:t>
      </w:r>
      <w:r w:rsidRPr="00C316C8">
        <w:rPr>
          <w:rFonts w:ascii="Simplified Arabic" w:eastAsia="Times New Roman" w:hAnsi="Simplified Arabic" w:cs="Simplified Arabic"/>
          <w:color w:val="000000" w:themeColor="text1"/>
          <w:kern w:val="0"/>
          <w:sz w:val="28"/>
          <w:szCs w:val="28"/>
          <w:rtl/>
          <w14:ligatures w14:val="none"/>
        </w:rPr>
        <w:t xml:space="preserve">لتكامل إدارة الموارد البشرية بأبعاده </w:t>
      </w:r>
      <w:r w:rsidR="006F62E0" w:rsidRPr="00C316C8">
        <w:rPr>
          <w:rFonts w:ascii="Simplified Arabic" w:eastAsia="Times New Roman" w:hAnsi="Simplified Arabic" w:cs="Simplified Arabic" w:hint="cs"/>
          <w:color w:val="000000" w:themeColor="text1"/>
          <w:kern w:val="0"/>
          <w:sz w:val="28"/>
          <w:szCs w:val="28"/>
          <w:rtl/>
          <w14:ligatures w14:val="none"/>
        </w:rPr>
        <w:t>(</w:t>
      </w:r>
      <w:r w:rsidRPr="00C316C8">
        <w:rPr>
          <w:rFonts w:ascii="Simplified Arabic" w:eastAsia="Times New Roman" w:hAnsi="Simplified Arabic" w:cs="Simplified Arabic"/>
          <w:color w:val="000000" w:themeColor="text1"/>
          <w:kern w:val="0"/>
          <w:sz w:val="28"/>
          <w:szCs w:val="28"/>
          <w:rtl/>
          <w14:ligatures w14:val="none"/>
        </w:rPr>
        <w:t>التكامل الاستراتيجي لوظائف الموارد البشرية، التكامل التقني ورقمنة عمليات الموارد البشرية، تكامل إدارة الكفاءات وتطوير رأس المال البشري، التكامل الثقافي وبناء بيئة العمل الداعمة) على الامتثال التنظيمي وتقليل المخاطر التشغيلية في الشركات الصناعية في المدينة الصناعية الثانية في الرياض</w:t>
      </w:r>
      <w:r w:rsidRPr="00C316C8">
        <w:rPr>
          <w:rFonts w:ascii="Simplified Arabic" w:eastAsia="Times New Roman" w:hAnsi="Simplified Arabic" w:cs="Simplified Arabic"/>
          <w:color w:val="000000" w:themeColor="text1"/>
          <w:kern w:val="0"/>
          <w:sz w:val="28"/>
          <w:szCs w:val="28"/>
          <w14:ligatures w14:val="none"/>
        </w:rPr>
        <w:t>.</w:t>
      </w:r>
    </w:p>
    <w:p w14:paraId="5BE540CC" w14:textId="77777777" w:rsidR="00F7243B" w:rsidRPr="00C316C8" w:rsidRDefault="00F7243B" w:rsidP="006F62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603151"/>
      <w:r w:rsidRPr="00C316C8">
        <w:rPr>
          <w:rFonts w:ascii="Simplified Arabic" w:eastAsia="Times New Roman" w:hAnsi="Simplified Arabic" w:cs="Simplified Arabic"/>
          <w:b/>
          <w:bCs/>
          <w:color w:val="000000" w:themeColor="text1"/>
          <w:kern w:val="0"/>
          <w:sz w:val="32"/>
          <w:szCs w:val="32"/>
          <w:rtl/>
          <w14:ligatures w14:val="none"/>
        </w:rPr>
        <w:lastRenderedPageBreak/>
        <w:t>الفروض الفرعية</w:t>
      </w:r>
      <w:bookmarkEnd w:id="10"/>
    </w:p>
    <w:p w14:paraId="04F3AFC6" w14:textId="77777777"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14:ligatures w14:val="none"/>
        </w:rPr>
        <w:t>H</w:t>
      </w:r>
      <w:r w:rsidRPr="00C316C8">
        <w:rPr>
          <w:rFonts w:ascii="Times New Roman" w:eastAsia="Times New Roman" w:hAnsi="Times New Roman" w:cs="Times New Roman"/>
          <w:color w:val="000000" w:themeColor="text1"/>
          <w:kern w:val="0"/>
          <w:sz w:val="28"/>
          <w:szCs w:val="28"/>
          <w14:ligatures w14:val="none"/>
        </w:rPr>
        <w:t>₀₁</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Cambria" w:eastAsia="Times New Roman" w:hAnsi="Cambria" w:cs="Cambria"/>
          <w:color w:val="000000" w:themeColor="text1"/>
          <w:kern w:val="0"/>
          <w:sz w:val="28"/>
          <w:szCs w:val="28"/>
          <w14:ligatures w14:val="none"/>
        </w:rPr>
        <w:t>α</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Times New Roman" w:eastAsia="Times New Roman" w:hAnsi="Times New Roman" w:cs="Times New Roman"/>
          <w:color w:val="000000" w:themeColor="text1"/>
          <w:kern w:val="0"/>
          <w:sz w:val="28"/>
          <w:szCs w:val="28"/>
          <w14:ligatures w14:val="none"/>
        </w:rPr>
        <w:t>≤</w:t>
      </w:r>
      <w:r w:rsidRPr="00C316C8">
        <w:rPr>
          <w:rFonts w:ascii="Simplified Arabic" w:eastAsia="Times New Roman" w:hAnsi="Simplified Arabic" w:cs="Simplified Arabic"/>
          <w:color w:val="000000" w:themeColor="text1"/>
          <w:kern w:val="0"/>
          <w:sz w:val="28"/>
          <w:szCs w:val="28"/>
          <w14:ligatures w14:val="none"/>
        </w:rPr>
        <w:t xml:space="preserve"> 0.05) </w:t>
      </w:r>
      <w:r w:rsidRPr="00C316C8">
        <w:rPr>
          <w:rFonts w:ascii="Simplified Arabic" w:eastAsia="Times New Roman" w:hAnsi="Simplified Arabic" w:cs="Simplified Arabic"/>
          <w:color w:val="000000" w:themeColor="text1"/>
          <w:kern w:val="0"/>
          <w:sz w:val="28"/>
          <w:szCs w:val="28"/>
          <w:rtl/>
          <w14:ligatures w14:val="none"/>
        </w:rPr>
        <w:t>للتكامل الاستراتيجي لوظائف الموارد البشرية على تعزيز الامتثال التنظيمي وتقليل المخاطر التشغيلية في الشركات الصناعية في المدينة الصناعية الثانية في الرياض</w:t>
      </w:r>
      <w:r w:rsidRPr="00C316C8">
        <w:rPr>
          <w:rFonts w:ascii="Simplified Arabic" w:eastAsia="Times New Roman" w:hAnsi="Simplified Arabic" w:cs="Simplified Arabic"/>
          <w:color w:val="000000" w:themeColor="text1"/>
          <w:kern w:val="0"/>
          <w:sz w:val="28"/>
          <w:szCs w:val="28"/>
          <w14:ligatures w14:val="none"/>
        </w:rPr>
        <w:t>.</w:t>
      </w:r>
    </w:p>
    <w:p w14:paraId="13AAF45B" w14:textId="77777777"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14:ligatures w14:val="none"/>
        </w:rPr>
        <w:t>H</w:t>
      </w:r>
      <w:r w:rsidRPr="00C316C8">
        <w:rPr>
          <w:rFonts w:ascii="Times New Roman" w:eastAsia="Times New Roman" w:hAnsi="Times New Roman" w:cs="Times New Roman"/>
          <w:color w:val="000000" w:themeColor="text1"/>
          <w:kern w:val="0"/>
          <w:sz w:val="28"/>
          <w:szCs w:val="28"/>
          <w14:ligatures w14:val="none"/>
        </w:rPr>
        <w:t>₀₂</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Cambria" w:eastAsia="Times New Roman" w:hAnsi="Cambria" w:cs="Cambria"/>
          <w:color w:val="000000" w:themeColor="text1"/>
          <w:kern w:val="0"/>
          <w:sz w:val="28"/>
          <w:szCs w:val="28"/>
          <w14:ligatures w14:val="none"/>
        </w:rPr>
        <w:t>α</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Times New Roman" w:eastAsia="Times New Roman" w:hAnsi="Times New Roman" w:cs="Times New Roman"/>
          <w:color w:val="000000" w:themeColor="text1"/>
          <w:kern w:val="0"/>
          <w:sz w:val="28"/>
          <w:szCs w:val="28"/>
          <w14:ligatures w14:val="none"/>
        </w:rPr>
        <w:t>≤</w:t>
      </w:r>
      <w:r w:rsidRPr="00C316C8">
        <w:rPr>
          <w:rFonts w:ascii="Simplified Arabic" w:eastAsia="Times New Roman" w:hAnsi="Simplified Arabic" w:cs="Simplified Arabic"/>
          <w:color w:val="000000" w:themeColor="text1"/>
          <w:kern w:val="0"/>
          <w:sz w:val="28"/>
          <w:szCs w:val="28"/>
          <w14:ligatures w14:val="none"/>
        </w:rPr>
        <w:t xml:space="preserve"> 0.05) </w:t>
      </w:r>
      <w:r w:rsidRPr="00C316C8">
        <w:rPr>
          <w:rFonts w:ascii="Simplified Arabic" w:eastAsia="Times New Roman" w:hAnsi="Simplified Arabic" w:cs="Simplified Arabic"/>
          <w:color w:val="000000" w:themeColor="text1"/>
          <w:kern w:val="0"/>
          <w:sz w:val="28"/>
          <w:szCs w:val="28"/>
          <w:rtl/>
          <w14:ligatures w14:val="none"/>
        </w:rPr>
        <w:t>للتكامل التقني ورقمنة عمليات الموارد البشرية على تعزيز الامتثال التنظيمي وتقليل المخاطر التشغيلية في الشركات الصناعية في المدينة الصناعية الثانية في الرياض</w:t>
      </w:r>
      <w:r w:rsidRPr="00C316C8">
        <w:rPr>
          <w:rFonts w:ascii="Simplified Arabic" w:eastAsia="Times New Roman" w:hAnsi="Simplified Arabic" w:cs="Simplified Arabic"/>
          <w:color w:val="000000" w:themeColor="text1"/>
          <w:kern w:val="0"/>
          <w:sz w:val="28"/>
          <w:szCs w:val="28"/>
          <w14:ligatures w14:val="none"/>
        </w:rPr>
        <w:t>.</w:t>
      </w:r>
    </w:p>
    <w:p w14:paraId="206D0E18" w14:textId="77777777"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14:ligatures w14:val="none"/>
        </w:rPr>
        <w:t>H</w:t>
      </w:r>
      <w:r w:rsidRPr="00C316C8">
        <w:rPr>
          <w:rFonts w:ascii="Times New Roman" w:eastAsia="Times New Roman" w:hAnsi="Times New Roman" w:cs="Times New Roman"/>
          <w:color w:val="000000" w:themeColor="text1"/>
          <w:kern w:val="0"/>
          <w:sz w:val="28"/>
          <w:szCs w:val="28"/>
          <w14:ligatures w14:val="none"/>
        </w:rPr>
        <w:t>₀₃</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Cambria" w:eastAsia="Times New Roman" w:hAnsi="Cambria" w:cs="Cambria"/>
          <w:color w:val="000000" w:themeColor="text1"/>
          <w:kern w:val="0"/>
          <w:sz w:val="28"/>
          <w:szCs w:val="28"/>
          <w14:ligatures w14:val="none"/>
        </w:rPr>
        <w:t>α</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Times New Roman" w:eastAsia="Times New Roman" w:hAnsi="Times New Roman" w:cs="Times New Roman"/>
          <w:color w:val="000000" w:themeColor="text1"/>
          <w:kern w:val="0"/>
          <w:sz w:val="28"/>
          <w:szCs w:val="28"/>
          <w14:ligatures w14:val="none"/>
        </w:rPr>
        <w:t>≤</w:t>
      </w:r>
      <w:r w:rsidRPr="00C316C8">
        <w:rPr>
          <w:rFonts w:ascii="Simplified Arabic" w:eastAsia="Times New Roman" w:hAnsi="Simplified Arabic" w:cs="Simplified Arabic"/>
          <w:color w:val="000000" w:themeColor="text1"/>
          <w:kern w:val="0"/>
          <w:sz w:val="28"/>
          <w:szCs w:val="28"/>
          <w14:ligatures w14:val="none"/>
        </w:rPr>
        <w:t xml:space="preserve"> 0.05) </w:t>
      </w:r>
      <w:r w:rsidRPr="00C316C8">
        <w:rPr>
          <w:rFonts w:ascii="Simplified Arabic" w:eastAsia="Times New Roman" w:hAnsi="Simplified Arabic" w:cs="Simplified Arabic"/>
          <w:color w:val="000000" w:themeColor="text1"/>
          <w:kern w:val="0"/>
          <w:sz w:val="28"/>
          <w:szCs w:val="28"/>
          <w:rtl/>
          <w14:ligatures w14:val="none"/>
        </w:rPr>
        <w:t>لتكامل إدارة الكفاءات وتطوير رأس المال البشري على تعزيز الامتثال التنظيمي وتقليل المخاطر التشغيلية في الشركات الصناعية في المدينة الصناعية الثانية في الرياض</w:t>
      </w:r>
      <w:r w:rsidRPr="00C316C8">
        <w:rPr>
          <w:rFonts w:ascii="Simplified Arabic" w:eastAsia="Times New Roman" w:hAnsi="Simplified Arabic" w:cs="Simplified Arabic"/>
          <w:color w:val="000000" w:themeColor="text1"/>
          <w:kern w:val="0"/>
          <w:sz w:val="28"/>
          <w:szCs w:val="28"/>
          <w14:ligatures w14:val="none"/>
        </w:rPr>
        <w:t>.</w:t>
      </w:r>
    </w:p>
    <w:p w14:paraId="12C269B1" w14:textId="77777777"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14:ligatures w14:val="none"/>
        </w:rPr>
        <w:t>H</w:t>
      </w:r>
      <w:r w:rsidRPr="00C316C8">
        <w:rPr>
          <w:rFonts w:ascii="Times New Roman" w:eastAsia="Times New Roman" w:hAnsi="Times New Roman" w:cs="Times New Roman"/>
          <w:color w:val="000000" w:themeColor="text1"/>
          <w:kern w:val="0"/>
          <w:sz w:val="28"/>
          <w:szCs w:val="28"/>
          <w14:ligatures w14:val="none"/>
        </w:rPr>
        <w:t>₀₄</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Cambria" w:eastAsia="Times New Roman" w:hAnsi="Cambria" w:cs="Cambria"/>
          <w:color w:val="000000" w:themeColor="text1"/>
          <w:kern w:val="0"/>
          <w:sz w:val="28"/>
          <w:szCs w:val="28"/>
          <w14:ligatures w14:val="none"/>
        </w:rPr>
        <w:t>α</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Times New Roman" w:eastAsia="Times New Roman" w:hAnsi="Times New Roman" w:cs="Times New Roman"/>
          <w:color w:val="000000" w:themeColor="text1"/>
          <w:kern w:val="0"/>
          <w:sz w:val="28"/>
          <w:szCs w:val="28"/>
          <w14:ligatures w14:val="none"/>
        </w:rPr>
        <w:t>≤</w:t>
      </w:r>
      <w:r w:rsidRPr="00C316C8">
        <w:rPr>
          <w:rFonts w:ascii="Simplified Arabic" w:eastAsia="Times New Roman" w:hAnsi="Simplified Arabic" w:cs="Simplified Arabic"/>
          <w:color w:val="000000" w:themeColor="text1"/>
          <w:kern w:val="0"/>
          <w:sz w:val="28"/>
          <w:szCs w:val="28"/>
          <w14:ligatures w14:val="none"/>
        </w:rPr>
        <w:t xml:space="preserve"> 0.05) </w:t>
      </w:r>
      <w:r w:rsidRPr="00C316C8">
        <w:rPr>
          <w:rFonts w:ascii="Simplified Arabic" w:eastAsia="Times New Roman" w:hAnsi="Simplified Arabic" w:cs="Simplified Arabic"/>
          <w:color w:val="000000" w:themeColor="text1"/>
          <w:kern w:val="0"/>
          <w:sz w:val="28"/>
          <w:szCs w:val="28"/>
          <w:rtl/>
          <w14:ligatures w14:val="none"/>
        </w:rPr>
        <w:t>للتكامل الثقافي وبناء بيئة العمل الداعمة على تعزيز الامتثال التنظيمي وتقليل المخاطر التشغيلية في الشركات الصناعية في المدينة الصناعية الثانية في الرياض</w:t>
      </w:r>
      <w:r w:rsidRPr="00C316C8">
        <w:rPr>
          <w:rFonts w:ascii="Simplified Arabic" w:eastAsia="Times New Roman" w:hAnsi="Simplified Arabic" w:cs="Simplified Arabic"/>
          <w:color w:val="000000" w:themeColor="text1"/>
          <w:kern w:val="0"/>
          <w:sz w:val="28"/>
          <w:szCs w:val="28"/>
          <w14:ligatures w14:val="none"/>
        </w:rPr>
        <w:t>.</w:t>
      </w:r>
    </w:p>
    <w:p w14:paraId="21A9658E" w14:textId="77777777" w:rsidR="006F62E0" w:rsidRPr="00C316C8" w:rsidRDefault="006F62E0" w:rsidP="006F62E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380451"/>
      <w:r w:rsidRPr="00C316C8">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66F1B051" w14:textId="7AA9B8F2" w:rsidR="006F62E0" w:rsidRPr="00C316C8" w:rsidRDefault="006F62E0" w:rsidP="006F62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316C8">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2D079A6" w14:textId="0D015355"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تسهم هذه الدراسة في سد فجوة بحثية واضحة في الأدبيات العربية والأجنبية، إذ تندر الدراسات التي تناولت تكامل إدارة الموارد البشرية كمتغير شامل متعدد الأبعاد وربطه بالامتثال التنظيمي وتقليل المخاطر التشغيلية في آن واحد، وخاصة في السياق الصناعي السعودي الذي يشهد تحولات جذرية في إطار رؤية المملكة 2030</w:t>
      </w:r>
      <w:r w:rsidRPr="00C316C8">
        <w:rPr>
          <w:rFonts w:ascii="Simplified Arabic" w:eastAsia="Times New Roman" w:hAnsi="Simplified Arabic" w:cs="Simplified Arabic"/>
          <w:color w:val="000000" w:themeColor="text1"/>
          <w:kern w:val="0"/>
          <w:sz w:val="28"/>
          <w:szCs w:val="28"/>
          <w14:ligatures w14:val="none"/>
        </w:rPr>
        <w:t>.</w:t>
      </w:r>
    </w:p>
    <w:p w14:paraId="42D7D6A2" w14:textId="1B9B1C87"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تقدم الدراسة إطاراً نظرياً متكاملاً يربط بين أربعة أبعاد لتكامل إدارة الموارد البشرية (الاستراتيجي، التقني، الكفاءات، الثقافي) والمخرجات التنظيمية المتمثلة في الامتثال وتقليل المخاطر، مما يُثري النظريات الإدارية المعاصرة كنظرية الموارد ونظرية أصحاب المصلحة ونظرية رأس المال البشري بأبعاد جديدة تتعلق بالتكامل الوظيفي</w:t>
      </w:r>
      <w:r w:rsidRPr="00C316C8">
        <w:rPr>
          <w:rFonts w:ascii="Simplified Arabic" w:eastAsia="Times New Roman" w:hAnsi="Simplified Arabic" w:cs="Simplified Arabic"/>
          <w:color w:val="000000" w:themeColor="text1"/>
          <w:kern w:val="0"/>
          <w:sz w:val="28"/>
          <w:szCs w:val="28"/>
          <w14:ligatures w14:val="none"/>
        </w:rPr>
        <w:t>.</w:t>
      </w:r>
    </w:p>
    <w:p w14:paraId="6D51CC1B" w14:textId="07258A43"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lastRenderedPageBreak/>
        <w:t>تُعد الدراسة من الدراسات القليلة التي تتناول العلاقة بين ممارسات إدارة الموارد البشرية والمخاطر التشغيلية في القطاع الصناعي، حيث ركزت معظم الدراسات السابقة على القطاعين المصرفي والخدمي، مما يوفر إضافة علمية نوعية للأدبيات المتخصصة في إدارة الموارد البشرية وإدارة المخاطر</w:t>
      </w:r>
      <w:r w:rsidRPr="00C316C8">
        <w:rPr>
          <w:rFonts w:ascii="Simplified Arabic" w:eastAsia="Times New Roman" w:hAnsi="Simplified Arabic" w:cs="Simplified Arabic"/>
          <w:color w:val="000000" w:themeColor="text1"/>
          <w:kern w:val="0"/>
          <w:sz w:val="28"/>
          <w:szCs w:val="28"/>
          <w14:ligatures w14:val="none"/>
        </w:rPr>
        <w:t>.</w:t>
      </w:r>
    </w:p>
    <w:p w14:paraId="76101E0B" w14:textId="448C9C40"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تُسهم الدراسة في بناء نموذج بحثي قابل للاختبار والتكرار في بيئات صناعية مختلفة، مما يفتح آفاقاً لدراسات مستقبلية مقارنة بين مدن صناعية وقطاعات متعددة، ويعزز التراكم المعرفي في هذا المجال البحثي الناشئ</w:t>
      </w:r>
      <w:r w:rsidRPr="00C316C8">
        <w:rPr>
          <w:rFonts w:ascii="Simplified Arabic" w:eastAsia="Times New Roman" w:hAnsi="Simplified Arabic" w:cs="Simplified Arabic"/>
          <w:color w:val="000000" w:themeColor="text1"/>
          <w:kern w:val="0"/>
          <w:sz w:val="28"/>
          <w:szCs w:val="28"/>
          <w14:ligatures w14:val="none"/>
        </w:rPr>
        <w:t>.</w:t>
      </w:r>
    </w:p>
    <w:p w14:paraId="14BBEA97" w14:textId="68FB506C"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تُسهم الدراسة في تعزيز فهم العلاقة بين الرقمنة والتحول التقني في إدارة الموارد البشرية من جهة، والامتثال التنظيمي من جهة أخرى، وهو موضوع ذو أولوية بحثية متصاعدة في ظل التحول الرقمي المتسارع الذي تشهده المملكة العربية السعودية</w:t>
      </w:r>
      <w:r w:rsidRPr="00C316C8">
        <w:rPr>
          <w:rFonts w:ascii="Simplified Arabic" w:eastAsia="Times New Roman" w:hAnsi="Simplified Arabic" w:cs="Simplified Arabic"/>
          <w:color w:val="000000" w:themeColor="text1"/>
          <w:kern w:val="0"/>
          <w:sz w:val="28"/>
          <w:szCs w:val="28"/>
          <w14:ligatures w14:val="none"/>
        </w:rPr>
        <w:t>.</w:t>
      </w:r>
    </w:p>
    <w:p w14:paraId="50CD545E" w14:textId="77777777" w:rsidR="00F7243B" w:rsidRPr="00C316C8" w:rsidRDefault="00F7243B" w:rsidP="006F62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603154"/>
      <w:r w:rsidRPr="00C316C8">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2"/>
    </w:p>
    <w:p w14:paraId="702A702A" w14:textId="53DA5948"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تقدم الدراسة توصيات عملية قابلة للتطبيق لصانعي القرار ومديري الموارد البشرية في الشركات الصناعية السعودية حول كيفية تصميم وتنفيذ نظم متكاملة لإدارة الموارد البشرية تعزز الامتثال التنظيمي وتحد من المخاطر التشغيلية، مما يُسهم في رفع كفاءة الأداء المؤسسي</w:t>
      </w:r>
      <w:r w:rsidRPr="00C316C8">
        <w:rPr>
          <w:rFonts w:ascii="Simplified Arabic" w:eastAsia="Times New Roman" w:hAnsi="Simplified Arabic" w:cs="Simplified Arabic"/>
          <w:color w:val="000000" w:themeColor="text1"/>
          <w:kern w:val="0"/>
          <w:sz w:val="28"/>
          <w:szCs w:val="28"/>
          <w14:ligatures w14:val="none"/>
        </w:rPr>
        <w:t>.</w:t>
      </w:r>
    </w:p>
    <w:p w14:paraId="271DE92E" w14:textId="5716BE97"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تساعد نتائج الدراسة الشركات الصناعية في المدينة الصناعية الثانية في الرياض على تشخيص نقاط القوة والضعف في ممارسات تكامل إدارة الموارد البشرية لديها، وتحديد الأبعاد الأكثر تأثيراً على الامتثال وتقليل المخاطر، مما يُمكّنها من توجيه مواردها واستثماراتها بفاعلية أكبر</w:t>
      </w:r>
      <w:r w:rsidRPr="00C316C8">
        <w:rPr>
          <w:rFonts w:ascii="Simplified Arabic" w:eastAsia="Times New Roman" w:hAnsi="Simplified Arabic" w:cs="Simplified Arabic"/>
          <w:color w:val="000000" w:themeColor="text1"/>
          <w:kern w:val="0"/>
          <w:sz w:val="28"/>
          <w:szCs w:val="28"/>
          <w14:ligatures w14:val="none"/>
        </w:rPr>
        <w:t>.</w:t>
      </w:r>
    </w:p>
    <w:p w14:paraId="41874F2B" w14:textId="0E99772C"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تدعم الدراسة جهود هيئة المدن والمناطق الاقتصادية الخاصة</w:t>
      </w:r>
      <w:r w:rsidRPr="00C316C8">
        <w:rPr>
          <w:rFonts w:ascii="Simplified Arabic" w:eastAsia="Times New Roman" w:hAnsi="Simplified Arabic" w:cs="Simplified Arabic"/>
          <w:color w:val="000000" w:themeColor="text1"/>
          <w:kern w:val="0"/>
          <w:sz w:val="28"/>
          <w:szCs w:val="28"/>
          <w14:ligatures w14:val="none"/>
        </w:rPr>
        <w:t xml:space="preserve"> (ECZA) </w:t>
      </w:r>
      <w:r w:rsidRPr="00C316C8">
        <w:rPr>
          <w:rFonts w:ascii="Simplified Arabic" w:eastAsia="Times New Roman" w:hAnsi="Simplified Arabic" w:cs="Simplified Arabic"/>
          <w:color w:val="000000" w:themeColor="text1"/>
          <w:kern w:val="0"/>
          <w:sz w:val="28"/>
          <w:szCs w:val="28"/>
          <w:rtl/>
          <w14:ligatures w14:val="none"/>
        </w:rPr>
        <w:t>والهيئة العامة للصناعة وغيرها من الجهات الرقابية والتنظيمية في المملكة من خلال توفير بيانات ميدانية حديثة حول واقع الامتثال والمخاطر التشغيلية في البيئة الصناعية، مما يساعد في صياغة سياسات وتشريعات أكثر فاعلية</w:t>
      </w:r>
      <w:r w:rsidRPr="00C316C8">
        <w:rPr>
          <w:rFonts w:ascii="Simplified Arabic" w:eastAsia="Times New Roman" w:hAnsi="Simplified Arabic" w:cs="Simplified Arabic"/>
          <w:color w:val="000000" w:themeColor="text1"/>
          <w:kern w:val="0"/>
          <w:sz w:val="28"/>
          <w:szCs w:val="28"/>
          <w14:ligatures w14:val="none"/>
        </w:rPr>
        <w:t>.</w:t>
      </w:r>
    </w:p>
    <w:p w14:paraId="7EF50D11" w14:textId="379F4F10" w:rsidR="00F7243B" w:rsidRPr="00C316C8" w:rsidRDefault="00F7243B" w:rsidP="006F62E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تُسهم نتائج الدراسة في تعزيز القدرة التنافسية للشركات الصناعية السعودية من خلال تقديم أدلة تطبيقية على أن الاستثمار في تكامل إدارة الموارد البشرية لا يُعد تكلفة إضافية بل استثمار استراتيجي يعود بمنافع ملموسة تتمثل في تقليل الخسائر الناجمة عن المخاطر التشغيلية وتجنب الغرامات والعقوبات المرتبطة بعدم الامتثال</w:t>
      </w:r>
      <w:r w:rsidRPr="00C316C8">
        <w:rPr>
          <w:rFonts w:ascii="Simplified Arabic" w:eastAsia="Times New Roman" w:hAnsi="Simplified Arabic" w:cs="Simplified Arabic"/>
          <w:color w:val="000000" w:themeColor="text1"/>
          <w:kern w:val="0"/>
          <w:sz w:val="28"/>
          <w:szCs w:val="28"/>
          <w14:ligatures w14:val="none"/>
        </w:rPr>
        <w:t>.</w:t>
      </w:r>
    </w:p>
    <w:p w14:paraId="43B6A7CD" w14:textId="77777777" w:rsidR="006F62E0" w:rsidRPr="00C316C8" w:rsidRDefault="006F62E0" w:rsidP="006F62E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170243312"/>
      <w:bookmarkStart w:id="14" w:name="_Toc233380452"/>
      <w:bookmarkEnd w:id="6"/>
      <w:r w:rsidRPr="00C316C8">
        <w:rPr>
          <w:rFonts w:ascii="Simplified Arabic" w:eastAsia="Times New Roman" w:hAnsi="Simplified Arabic" w:cs="Simplified Arabic"/>
          <w:b/>
          <w:bCs/>
          <w:color w:val="000000" w:themeColor="text1"/>
          <w:kern w:val="0"/>
          <w:sz w:val="36"/>
          <w:szCs w:val="36"/>
          <w:rtl/>
          <w14:ligatures w14:val="none"/>
        </w:rPr>
        <w:lastRenderedPageBreak/>
        <w:t>7.1 الدراسات السابقة:</w:t>
      </w:r>
      <w:bookmarkEnd w:id="14"/>
    </w:p>
    <w:p w14:paraId="515030B9" w14:textId="77777777" w:rsidR="006F62E0" w:rsidRPr="00C316C8" w:rsidRDefault="006F62E0" w:rsidP="006F62E0">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C316C8">
        <w:rPr>
          <w:rFonts w:ascii="Simplified Arabic" w:eastAsia="Times New Roman" w:hAnsi="Simplified Arabic" w:cs="Simplified Arabic"/>
          <w:b/>
          <w:bCs/>
          <w:color w:val="000000" w:themeColor="text1"/>
          <w:kern w:val="0"/>
          <w:sz w:val="32"/>
          <w:szCs w:val="32"/>
          <w:rtl/>
          <w14:ligatures w14:val="none"/>
        </w:rPr>
        <w:t>المحور الأول: المتغير المستقل (تكامل إدارة الموارد البشرية) وعلاقته بمتغيرات أخرى</w:t>
      </w:r>
    </w:p>
    <w:p w14:paraId="6D31E355" w14:textId="0C6A0D77" w:rsidR="006F62E0" w:rsidRPr="00C316C8" w:rsidRDefault="006F62E0" w:rsidP="006F62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25C9CC34" w14:textId="77777777" w:rsidR="006F62E0" w:rsidRPr="00C316C8" w:rsidRDefault="006F62E0"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 القرالة</w:t>
      </w:r>
      <w:r w:rsidRPr="00C316C8">
        <w:rPr>
          <w:rFonts w:ascii="Simplified Arabic" w:eastAsia="Times New Roman" w:hAnsi="Simplified Arabic" w:cs="Simplified Arabic"/>
          <w:b/>
          <w:bCs/>
          <w:color w:val="000000" w:themeColor="text1"/>
          <w:kern w:val="0"/>
          <w:sz w:val="28"/>
          <w:szCs w:val="28"/>
          <w14:ligatures w14:val="none"/>
        </w:rPr>
        <w:t xml:space="preserve"> (2018): "</w:t>
      </w:r>
      <w:r w:rsidRPr="00C316C8">
        <w:rPr>
          <w:rFonts w:ascii="Simplified Arabic" w:eastAsia="Times New Roman" w:hAnsi="Simplified Arabic" w:cs="Simplified Arabic"/>
          <w:b/>
          <w:bCs/>
          <w:color w:val="000000" w:themeColor="text1"/>
          <w:kern w:val="0"/>
          <w:sz w:val="28"/>
          <w:szCs w:val="28"/>
          <w:rtl/>
          <w14:ligatures w14:val="none"/>
        </w:rPr>
        <w:t xml:space="preserve">أثر ممارسات إدارة الموارد البشرية على الالتزام التنظيمي في وزارة التربية والتعليم: دراسة ميدانية في مديريات التربية والتعليم في محافظات جنوب الأردن." </w:t>
      </w:r>
    </w:p>
    <w:p w14:paraId="423E8DB6" w14:textId="49AB9E43" w:rsidR="006F62E0" w:rsidRPr="00C316C8" w:rsidRDefault="006F62E0"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16C8">
        <w:rPr>
          <w:rFonts w:ascii="Simplified Arabic" w:eastAsia="Times New Roman" w:hAnsi="Simplified Arabic" w:cs="Simplified Arabic"/>
          <w:color w:val="000000" w:themeColor="text1"/>
          <w:kern w:val="0"/>
          <w:sz w:val="28"/>
          <w:szCs w:val="28"/>
          <w:rtl/>
          <w14:ligatures w14:val="none"/>
        </w:rPr>
        <w:t>هدفت الدراسة إلى التعرف على دور ممارسات إدارة الموارد البشرية بأبعادها (الاستقطاب والتعيين، تقييم الأداء، التدريب والتنمية، الحوافز والمكافآت، التمكين) على الالتزام التنظيمي بأبعاده الثلاثة (الوجداني، الاستمراري، المعياري) في مديريات التربية والتعليم بجنوب الأردن. واشتمل مجتمع الدراسة على العاملين في (11) مديرية تربية وتعليم. وتوصلت نتائج الدراسة إلى وجود قصور بدرجة متوسطة في ممارسات إدارة الموارد البشرية، واهتمام بدرجة مرتفعة بتحقيق الالتزام التنظيمي، ووجود علاقة إيجابية بين جميع ممارسات إدارة الموارد البشرية وأبعاد الالتزام التنظيمي الثلاثة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وأوصت الدراسة بضرورة أداء ممارسات إدارة الموارد البشرية ضمن إطار استراتيجي يأخذ بالاعتبار الظروف البيئية والشخصية للموظفين لتحسين مستوى الالتزام التنظيمي</w:t>
      </w:r>
      <w:r w:rsidRPr="00C316C8">
        <w:rPr>
          <w:rFonts w:ascii="Simplified Arabic" w:eastAsia="Times New Roman" w:hAnsi="Simplified Arabic" w:cs="Simplified Arabic"/>
          <w:color w:val="000000" w:themeColor="text1"/>
          <w:kern w:val="0"/>
          <w:sz w:val="28"/>
          <w:szCs w:val="28"/>
          <w14:ligatures w14:val="none"/>
        </w:rPr>
        <w:t>.</w:t>
      </w:r>
    </w:p>
    <w:p w14:paraId="57E35318" w14:textId="77777777" w:rsidR="006F62E0" w:rsidRPr="00C316C8" w:rsidRDefault="006F62E0"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 العفيف</w:t>
      </w:r>
      <w:r w:rsidRPr="00C316C8">
        <w:rPr>
          <w:rFonts w:ascii="Simplified Arabic" w:eastAsia="Times New Roman" w:hAnsi="Simplified Arabic" w:cs="Simplified Arabic"/>
          <w:b/>
          <w:bCs/>
          <w:color w:val="000000" w:themeColor="text1"/>
          <w:kern w:val="0"/>
          <w:sz w:val="28"/>
          <w:szCs w:val="28"/>
          <w14:ligatures w14:val="none"/>
        </w:rPr>
        <w:t xml:space="preserve"> (2021): "</w:t>
      </w:r>
      <w:r w:rsidRPr="00C316C8">
        <w:rPr>
          <w:rFonts w:ascii="Simplified Arabic" w:eastAsia="Times New Roman" w:hAnsi="Simplified Arabic" w:cs="Simplified Arabic"/>
          <w:b/>
          <w:bCs/>
          <w:color w:val="000000" w:themeColor="text1"/>
          <w:kern w:val="0"/>
          <w:sz w:val="28"/>
          <w:szCs w:val="28"/>
          <w:rtl/>
          <w14:ligatures w14:val="none"/>
        </w:rPr>
        <w:t xml:space="preserve">تأثير ممارسات إدارة الموارد البشرية في الالتزام التنظيمي: دراسة تحليلية في وزارة الثقافة الأردنية." </w:t>
      </w:r>
    </w:p>
    <w:p w14:paraId="100B6303" w14:textId="46F7A8FE" w:rsidR="006F62E0" w:rsidRPr="00C316C8" w:rsidRDefault="006F62E0"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هدفت الدراسة إلى التعرف على تأثير ممارسات إدارة الموارد البشرية بأبعادها (التخطيط، الاستقطاب والاختيار والتعيين، التعويضات والحوافز، التدريب، تقييم الأداء) على الالتزام التنظيمي بأبعاده (الوجداني، الاستمراري، المعياري) في وزارة الثقافة الأردنية. واستخدمت الدراسة المنهج الوصفي التحليلي باستخدام استبانة من (58) فقرة. وتكونت العينة من جميع الموظفين الإشرافيين البالغ عددهم (58) موظفاً، واستُرد منها (56) استبانة صالحة بنسبة استجابة (92.7%). وتوصلت نتائج الدراسة إلى أن اتجاهات المبحوثين نحو ممارسات إدارة الموارد البشرية جاءت بدرجة متوسطة، وأن الالتزام الاستمراري والمعياري جاء بدرجة متوسطة بينما جاء الالتزام الوجداني بدرجة منخفضة، كما وُجد أثر دال إحصائياً</w:t>
      </w:r>
      <w:r w:rsidRPr="00C316C8">
        <w:rPr>
          <w:rFonts w:ascii="Simplified Arabic" w:eastAsia="Times New Roman" w:hAnsi="Simplified Arabic" w:cs="Simplified Arabic"/>
          <w:color w:val="000000" w:themeColor="text1"/>
          <w:kern w:val="0"/>
          <w:sz w:val="28"/>
          <w:szCs w:val="28"/>
          <w14:ligatures w14:val="none"/>
        </w:rPr>
        <w:t xml:space="preserve"> (F </w:t>
      </w:r>
      <w:r w:rsidRPr="00C316C8">
        <w:rPr>
          <w:rFonts w:ascii="Times New Roman" w:eastAsia="Times New Roman" w:hAnsi="Times New Roman" w:cs="Times New Roman"/>
          <w:color w:val="000000" w:themeColor="text1"/>
          <w:kern w:val="0"/>
          <w:sz w:val="28"/>
          <w:szCs w:val="28"/>
          <w14:ligatures w14:val="none"/>
        </w:rPr>
        <w:t>≤</w:t>
      </w:r>
      <w:r w:rsidRPr="00C316C8">
        <w:rPr>
          <w:rFonts w:ascii="Simplified Arabic" w:eastAsia="Times New Roman" w:hAnsi="Simplified Arabic" w:cs="Simplified Arabic"/>
          <w:color w:val="000000" w:themeColor="text1"/>
          <w:kern w:val="0"/>
          <w:sz w:val="28"/>
          <w:szCs w:val="28"/>
          <w14:ligatures w14:val="none"/>
        </w:rPr>
        <w:t xml:space="preserve"> 0.05) </w:t>
      </w:r>
      <w:r w:rsidRPr="00C316C8">
        <w:rPr>
          <w:rFonts w:ascii="Simplified Arabic" w:eastAsia="Times New Roman" w:hAnsi="Simplified Arabic" w:cs="Simplified Arabic"/>
          <w:color w:val="000000" w:themeColor="text1"/>
          <w:kern w:val="0"/>
          <w:sz w:val="28"/>
          <w:szCs w:val="28"/>
          <w:rtl/>
          <w14:ligatures w14:val="none"/>
        </w:rPr>
        <w:t xml:space="preserve">لممارسات </w:t>
      </w:r>
      <w:r w:rsidRPr="00C316C8">
        <w:rPr>
          <w:rFonts w:ascii="Simplified Arabic" w:eastAsia="Times New Roman" w:hAnsi="Simplified Arabic" w:cs="Simplified Arabic"/>
          <w:color w:val="000000" w:themeColor="text1"/>
          <w:kern w:val="0"/>
          <w:sz w:val="28"/>
          <w:szCs w:val="28"/>
          <w:rtl/>
          <w14:ligatures w14:val="none"/>
        </w:rPr>
        <w:lastRenderedPageBreak/>
        <w:t>إدارة الموارد البشرية مجتمعة على الالتزام التنظيمي. وأوصت بتعزيز تخطيط الموارد البشرية والتوظيف والتعويضات والحوافز وتقييم الأداء العادل ومنظومة القيم التنظيمية لتحسين التزام الموظفين</w:t>
      </w:r>
      <w:r w:rsidRPr="00C316C8">
        <w:rPr>
          <w:rFonts w:ascii="Simplified Arabic" w:eastAsia="Times New Roman" w:hAnsi="Simplified Arabic" w:cs="Simplified Arabic"/>
          <w:color w:val="000000" w:themeColor="text1"/>
          <w:kern w:val="0"/>
          <w:sz w:val="28"/>
          <w:szCs w:val="28"/>
          <w14:ligatures w14:val="none"/>
        </w:rPr>
        <w:t>.</w:t>
      </w:r>
    </w:p>
    <w:p w14:paraId="1B287ED6" w14:textId="77777777" w:rsidR="006F62E0" w:rsidRPr="00C316C8" w:rsidRDefault="006F62E0"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 تلي وكارش ومعطالله</w:t>
      </w:r>
      <w:r w:rsidRPr="00C316C8">
        <w:rPr>
          <w:rFonts w:ascii="Simplified Arabic" w:eastAsia="Times New Roman" w:hAnsi="Simplified Arabic" w:cs="Simplified Arabic"/>
          <w:b/>
          <w:bCs/>
          <w:color w:val="000000" w:themeColor="text1"/>
          <w:kern w:val="0"/>
          <w:sz w:val="28"/>
          <w:szCs w:val="28"/>
          <w14:ligatures w14:val="none"/>
        </w:rPr>
        <w:t xml:space="preserve"> (2023): "</w:t>
      </w:r>
      <w:r w:rsidRPr="00C316C8">
        <w:rPr>
          <w:rFonts w:ascii="Simplified Arabic" w:eastAsia="Times New Roman" w:hAnsi="Simplified Arabic" w:cs="Simplified Arabic"/>
          <w:b/>
          <w:bCs/>
          <w:color w:val="000000" w:themeColor="text1"/>
          <w:kern w:val="0"/>
          <w:sz w:val="28"/>
          <w:szCs w:val="28"/>
          <w:rtl/>
          <w14:ligatures w14:val="none"/>
        </w:rPr>
        <w:t xml:space="preserve">ممارسات إدارة الموارد البشرية وأثرها على الالتزام التنظيمي في المؤسسات الخاصة بذوي الإعاقة بالجنوب الكبير." </w:t>
      </w:r>
    </w:p>
    <w:p w14:paraId="3CF091AA" w14:textId="7B9687EB" w:rsidR="006F62E0" w:rsidRPr="00C316C8" w:rsidRDefault="006F62E0"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16C8">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إدارة الموارد البشرية بأبعادها (الاستقطاب والاختيار، التدريب، التحفيز، تقييم الأداء) على الالتزام التنظيمي في مؤسسات ذوي الإعاقة بمنطقة الجنوب الكبير الجزائري. واستخدمت الدراسة المنهج الوصفي التحليلي باستخدام الاستبانة وبرنامج</w:t>
      </w:r>
      <w:r w:rsidRPr="00C316C8">
        <w:rPr>
          <w:rFonts w:ascii="Simplified Arabic" w:eastAsia="Times New Roman" w:hAnsi="Simplified Arabic" w:cs="Simplified Arabic"/>
          <w:color w:val="000000" w:themeColor="text1"/>
          <w:kern w:val="0"/>
          <w:sz w:val="28"/>
          <w:szCs w:val="28"/>
          <w14:ligatures w14:val="none"/>
        </w:rPr>
        <w:t xml:space="preserve"> SPSS. </w:t>
      </w:r>
      <w:r w:rsidRPr="00C316C8">
        <w:rPr>
          <w:rFonts w:ascii="Simplified Arabic" w:eastAsia="Times New Roman" w:hAnsi="Simplified Arabic" w:cs="Simplified Arabic"/>
          <w:color w:val="000000" w:themeColor="text1"/>
          <w:kern w:val="0"/>
          <w:sz w:val="28"/>
          <w:szCs w:val="28"/>
          <w:rtl/>
          <w14:ligatures w14:val="none"/>
        </w:rPr>
        <w:t>وتكونت العينة من (245) موظفاً تم اختيارهم بطريقة تناسبية من أصل (660) موظفاً موزعين على مؤسسات في تندوف وأدرار وتيمنون وعين صالح وتمنراست وجانت وإليزي. وتوصلت نتائج الدراسة إلى وجود أثر إيجابي ودال إحصائياً لممارسات إدارة الموارد البشرية على الالتزام التنظيمي. وأوصت بضرورة تبني ممارسات إدارة الموارد البشرية من خلال سياسات وتعليمات تنفيذية توازن بين حاجات المؤسسة والأهداف التنظيمية</w:t>
      </w:r>
      <w:r w:rsidRPr="00C316C8">
        <w:rPr>
          <w:rFonts w:ascii="Simplified Arabic" w:eastAsia="Times New Roman" w:hAnsi="Simplified Arabic" w:cs="Simplified Arabic"/>
          <w:color w:val="000000" w:themeColor="text1"/>
          <w:kern w:val="0"/>
          <w:sz w:val="28"/>
          <w:szCs w:val="28"/>
          <w14:ligatures w14:val="none"/>
        </w:rPr>
        <w:t>.</w:t>
      </w:r>
    </w:p>
    <w:p w14:paraId="58E93AB4" w14:textId="77777777" w:rsidR="006F62E0" w:rsidRPr="00C316C8" w:rsidRDefault="006F62E0"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w:t>
      </w:r>
      <w:r w:rsidRPr="00C316C8">
        <w:rPr>
          <w:rFonts w:ascii="Simplified Arabic" w:eastAsia="Times New Roman" w:hAnsi="Simplified Arabic" w:cs="Simplified Arabic"/>
          <w:b/>
          <w:bCs/>
          <w:color w:val="000000" w:themeColor="text1"/>
          <w:kern w:val="0"/>
          <w:sz w:val="28"/>
          <w:szCs w:val="28"/>
          <w14:ligatures w14:val="none"/>
        </w:rPr>
        <w:t xml:space="preserve"> Ciobanu et al. (2023) </w:t>
      </w:r>
    </w:p>
    <w:p w14:paraId="23AA8E95" w14:textId="067E00CF" w:rsidR="006F62E0" w:rsidRPr="00C316C8" w:rsidRDefault="006F62E0"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هدفت الدراسة إلى التعرف على العلاقات المباشرة وغير المباشرة بين ممارسات إدارة الموارد البشرية بأبعادها (الاستقطاب والاختيار، التدريب والتطوير، التقييم، المكافآت، مشاركة الموظفين) على الأداء التنظيمي بأبعاده (الأداء التشغيلي</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الكفاءة والفاعلية، استبقاء الموظفين، الهجران التنظيمي) في المنظمات الصحية الرومانية، مع دراسة الدور الوسيط لعملية التغيير التنظيمي بأبعادها (تخطيط التغيير، توصيل التغيير). واستخدمت الدراسة منهج نمذجة المعادلات الهيكلية</w:t>
      </w:r>
      <w:r w:rsidRPr="00C316C8">
        <w:rPr>
          <w:rFonts w:ascii="Simplified Arabic" w:eastAsia="Times New Roman" w:hAnsi="Simplified Arabic" w:cs="Simplified Arabic"/>
          <w:color w:val="000000" w:themeColor="text1"/>
          <w:kern w:val="0"/>
          <w:sz w:val="28"/>
          <w:szCs w:val="28"/>
          <w14:ligatures w14:val="none"/>
        </w:rPr>
        <w:t xml:space="preserve"> (SEM) </w:t>
      </w:r>
      <w:r w:rsidRPr="00C316C8">
        <w:rPr>
          <w:rFonts w:ascii="Simplified Arabic" w:eastAsia="Times New Roman" w:hAnsi="Simplified Arabic" w:cs="Simplified Arabic"/>
          <w:color w:val="000000" w:themeColor="text1"/>
          <w:kern w:val="0"/>
          <w:sz w:val="28"/>
          <w:szCs w:val="28"/>
          <w:rtl/>
          <w14:ligatures w14:val="none"/>
        </w:rPr>
        <w:t>باستخدام برنامج</w:t>
      </w:r>
      <w:r w:rsidRPr="00C316C8">
        <w:rPr>
          <w:rFonts w:ascii="Simplified Arabic" w:eastAsia="Times New Roman" w:hAnsi="Simplified Arabic" w:cs="Simplified Arabic"/>
          <w:color w:val="000000" w:themeColor="text1"/>
          <w:kern w:val="0"/>
          <w:sz w:val="28"/>
          <w:szCs w:val="28"/>
          <w14:ligatures w14:val="none"/>
        </w:rPr>
        <w:t xml:space="preserve"> SmartPLS v.3 </w:t>
      </w:r>
      <w:r w:rsidRPr="00C316C8">
        <w:rPr>
          <w:rFonts w:ascii="Simplified Arabic" w:eastAsia="Times New Roman" w:hAnsi="Simplified Arabic" w:cs="Simplified Arabic"/>
          <w:color w:val="000000" w:themeColor="text1"/>
          <w:kern w:val="0"/>
          <w:sz w:val="28"/>
          <w:szCs w:val="28"/>
          <w:rtl/>
          <w14:ligatures w14:val="none"/>
        </w:rPr>
        <w:t>ومقياس ليكرت الخماسي. وتكونت العينة من (441) موظفاً في منظمات صحية رومانية (174 ذكور، 267 إناث)</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وتوصلت نتائج الدراسة إلى أن ممارسات إدارة الموارد البشرية تؤثر تأثيراً مباشراً إيجابياً ودالاً على الأداء التشغيلي</w:t>
      </w:r>
      <w:r w:rsidRPr="00C316C8">
        <w:rPr>
          <w:rFonts w:ascii="Simplified Arabic" w:eastAsia="Times New Roman" w:hAnsi="Simplified Arabic" w:cs="Simplified Arabic"/>
          <w:color w:val="000000" w:themeColor="text1"/>
          <w:kern w:val="0"/>
          <w:sz w:val="28"/>
          <w:szCs w:val="28"/>
          <w14:ligatures w14:val="none"/>
        </w:rPr>
        <w:t xml:space="preserve"> (c = 0.449)</w:t>
      </w:r>
      <w:r w:rsidRPr="00C316C8">
        <w:rPr>
          <w:rFonts w:ascii="Simplified Arabic" w:eastAsia="Times New Roman" w:hAnsi="Simplified Arabic" w:cs="Simplified Arabic"/>
          <w:color w:val="000000" w:themeColor="text1"/>
          <w:kern w:val="0"/>
          <w:sz w:val="28"/>
          <w:szCs w:val="28"/>
          <w:rtl/>
          <w14:ligatures w14:val="none"/>
        </w:rPr>
        <w:t>، واستبقاء الموظفين</w:t>
      </w:r>
      <w:r w:rsidRPr="00C316C8">
        <w:rPr>
          <w:rFonts w:ascii="Simplified Arabic" w:eastAsia="Times New Roman" w:hAnsi="Simplified Arabic" w:cs="Simplified Arabic"/>
          <w:color w:val="000000" w:themeColor="text1"/>
          <w:kern w:val="0"/>
          <w:sz w:val="28"/>
          <w:szCs w:val="28"/>
          <w14:ligatures w14:val="none"/>
        </w:rPr>
        <w:t xml:space="preserve"> (c = 0.355)</w:t>
      </w:r>
      <w:r w:rsidRPr="00C316C8">
        <w:rPr>
          <w:rFonts w:ascii="Simplified Arabic" w:eastAsia="Times New Roman" w:hAnsi="Simplified Arabic" w:cs="Simplified Arabic"/>
          <w:color w:val="000000" w:themeColor="text1"/>
          <w:kern w:val="0"/>
          <w:sz w:val="28"/>
          <w:szCs w:val="28"/>
          <w:rtl/>
          <w14:ligatures w14:val="none"/>
        </w:rPr>
        <w:t>، وسلبياً على الهجران التنظيمي</w:t>
      </w:r>
      <w:r w:rsidRPr="00C316C8">
        <w:rPr>
          <w:rFonts w:ascii="Simplified Arabic" w:eastAsia="Times New Roman" w:hAnsi="Simplified Arabic" w:cs="Simplified Arabic"/>
          <w:color w:val="000000" w:themeColor="text1"/>
          <w:kern w:val="0"/>
          <w:sz w:val="28"/>
          <w:szCs w:val="28"/>
          <w14:ligatures w14:val="none"/>
        </w:rPr>
        <w:t xml:space="preserve"> (c = -0.162)</w:t>
      </w:r>
      <w:r w:rsidRPr="00C316C8">
        <w:rPr>
          <w:rFonts w:ascii="Simplified Arabic" w:eastAsia="Times New Roman" w:hAnsi="Simplified Arabic" w:cs="Simplified Arabic"/>
          <w:color w:val="000000" w:themeColor="text1"/>
          <w:kern w:val="0"/>
          <w:sz w:val="28"/>
          <w:szCs w:val="28"/>
          <w:rtl/>
          <w14:ligatures w14:val="none"/>
        </w:rPr>
        <w:t>، كما أن عملية التغيير التنظيمي تتوسط هذه العلاقات بشكل دال إحصائياً</w:t>
      </w:r>
      <w:r w:rsidRPr="00C316C8">
        <w:rPr>
          <w:rFonts w:ascii="Simplified Arabic" w:eastAsia="Times New Roman" w:hAnsi="Simplified Arabic" w:cs="Simplified Arabic"/>
          <w:color w:val="000000" w:themeColor="text1"/>
          <w:kern w:val="0"/>
          <w:sz w:val="28"/>
          <w:szCs w:val="28"/>
          <w14:ligatures w14:val="none"/>
        </w:rPr>
        <w:t xml:space="preserve"> (p &lt; 0.001). </w:t>
      </w:r>
      <w:r w:rsidRPr="00C316C8">
        <w:rPr>
          <w:rFonts w:ascii="Simplified Arabic" w:eastAsia="Times New Roman" w:hAnsi="Simplified Arabic" w:cs="Simplified Arabic"/>
          <w:color w:val="000000" w:themeColor="text1"/>
          <w:kern w:val="0"/>
          <w:sz w:val="28"/>
          <w:szCs w:val="28"/>
          <w:rtl/>
          <w14:ligatures w14:val="none"/>
        </w:rPr>
        <w:t>وكانت موثوقية النموذج ممتازة</w:t>
      </w:r>
      <w:r w:rsidRPr="00C316C8">
        <w:rPr>
          <w:rFonts w:ascii="Simplified Arabic" w:eastAsia="Times New Roman" w:hAnsi="Simplified Arabic" w:cs="Simplified Arabic"/>
          <w:color w:val="000000" w:themeColor="text1"/>
          <w:kern w:val="0"/>
          <w:sz w:val="28"/>
          <w:szCs w:val="28"/>
          <w14:ligatures w14:val="none"/>
        </w:rPr>
        <w:t xml:space="preserve"> (Cronbach's Alpha &gt; 0.8</w:t>
      </w:r>
      <w:r w:rsidRPr="00C316C8">
        <w:rPr>
          <w:rFonts w:ascii="Simplified Arabic" w:eastAsia="Times New Roman" w:hAnsi="Simplified Arabic" w:cs="Simplified Arabic"/>
          <w:color w:val="000000" w:themeColor="text1"/>
          <w:kern w:val="0"/>
          <w:sz w:val="28"/>
          <w:szCs w:val="28"/>
          <w:rtl/>
          <w14:ligatures w14:val="none"/>
        </w:rPr>
        <w:t xml:space="preserve">، </w:t>
      </w:r>
      <w:r w:rsidRPr="00C316C8">
        <w:rPr>
          <w:rFonts w:ascii="Simplified Arabic" w:eastAsia="Times New Roman" w:hAnsi="Simplified Arabic" w:cs="Simplified Arabic"/>
          <w:color w:val="000000" w:themeColor="text1"/>
          <w:kern w:val="0"/>
          <w:sz w:val="28"/>
          <w:szCs w:val="28"/>
          <w14:ligatures w14:val="none"/>
        </w:rPr>
        <w:t xml:space="preserve">SRMR = 0.056). </w:t>
      </w:r>
      <w:r w:rsidRPr="00C316C8">
        <w:rPr>
          <w:rFonts w:ascii="Simplified Arabic" w:eastAsia="Times New Roman" w:hAnsi="Simplified Arabic" w:cs="Simplified Arabic"/>
          <w:color w:val="000000" w:themeColor="text1"/>
          <w:kern w:val="0"/>
          <w:sz w:val="28"/>
          <w:szCs w:val="28"/>
          <w:rtl/>
          <w14:ligatures w14:val="none"/>
        </w:rPr>
        <w:t>وأوصت بضرورة دمج ممارسات إدارة الموارد البشرية مع إدارة عمليات التغيير التنظيمي لتحقيق أداء متميز</w:t>
      </w:r>
      <w:r w:rsidRPr="00C316C8">
        <w:rPr>
          <w:rFonts w:ascii="Simplified Arabic" w:eastAsia="Times New Roman" w:hAnsi="Simplified Arabic" w:cs="Simplified Arabic"/>
          <w:color w:val="000000" w:themeColor="text1"/>
          <w:kern w:val="0"/>
          <w:sz w:val="28"/>
          <w:szCs w:val="28"/>
          <w14:ligatures w14:val="none"/>
        </w:rPr>
        <w:t>.</w:t>
      </w:r>
    </w:p>
    <w:p w14:paraId="522E77B6" w14:textId="77777777" w:rsidR="006F62E0" w:rsidRPr="00C316C8" w:rsidRDefault="006F62E0"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w:t>
      </w:r>
      <w:r w:rsidRPr="00C316C8">
        <w:rPr>
          <w:rFonts w:ascii="Simplified Arabic" w:eastAsia="Times New Roman" w:hAnsi="Simplified Arabic" w:cs="Simplified Arabic"/>
          <w:b/>
          <w:bCs/>
          <w:color w:val="000000" w:themeColor="text1"/>
          <w:kern w:val="0"/>
          <w:sz w:val="28"/>
          <w:szCs w:val="28"/>
          <w14:ligatures w14:val="none"/>
        </w:rPr>
        <w:t xml:space="preserve"> Teng et al. (2023) </w:t>
      </w:r>
    </w:p>
    <w:p w14:paraId="7C0695B7" w14:textId="5BB35975" w:rsidR="006F62E0" w:rsidRPr="00C316C8" w:rsidRDefault="006F62E0"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أثر الجمع بين مرونة المؤسسة بأبعادها (القدرات المعرفية، القدرات السلوكية، القدرات السياقية) وممارسات إدارة الموارد البشرية بأبعادها (التوظيف، التدريب، تقييم الأداء، المكافآت والحوافز، الفرص الوظيفية الداخلية، مشاركة المعلومات) على أداء المؤسسة. واستخدمت الدراسة منهج التحليل النوعي المقارن للمجموعات الضبابية </w:t>
      </w:r>
      <w:r w:rsidRPr="00C316C8">
        <w:rPr>
          <w:rFonts w:ascii="Simplified Arabic" w:eastAsia="Times New Roman" w:hAnsi="Simplified Arabic" w:cs="Simplified Arabic"/>
          <w:color w:val="000000" w:themeColor="text1"/>
          <w:kern w:val="0"/>
          <w:sz w:val="28"/>
          <w:szCs w:val="28"/>
          <w14:ligatures w14:val="none"/>
        </w:rPr>
        <w:t xml:space="preserve">(fsQCA 2.5) </w:t>
      </w:r>
      <w:r w:rsidRPr="00C316C8">
        <w:rPr>
          <w:rFonts w:ascii="Simplified Arabic" w:eastAsia="Times New Roman" w:hAnsi="Simplified Arabic" w:cs="Simplified Arabic"/>
          <w:color w:val="000000" w:themeColor="text1"/>
          <w:kern w:val="0"/>
          <w:sz w:val="28"/>
          <w:szCs w:val="28"/>
          <w:rtl/>
          <w14:ligatures w14:val="none"/>
        </w:rPr>
        <w:t>مع مقياس ليكرت السباعي. وتكونت العينة من (119) استبانة صالحة من أصل (150) تم جمعها خلال الفترة يناير - مارس 2021 (82 ذكور، 37 إناث)، وشملت مستويات إدارية مختلفة (4% إدارة عليا، 35% إدارة وسطى، 25</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 xml:space="preserve">إدارة دنيا، 25% موظفون). وتنوعت القطاعات: 35% تصنيع، 21.7% إنترنت. وكانت قيم ألفا كرونباخ </w:t>
      </w:r>
      <w:r w:rsidRPr="00C316C8">
        <w:rPr>
          <w:rFonts w:ascii="Simplified Arabic" w:eastAsia="Times New Roman" w:hAnsi="Simplified Arabic" w:cs="Simplified Arabic"/>
          <w:color w:val="000000" w:themeColor="text1"/>
          <w:kern w:val="0"/>
          <w:sz w:val="28"/>
          <w:szCs w:val="28"/>
          <w14:ligatures w14:val="none"/>
        </w:rPr>
        <w:t xml:space="preserve">&gt; 0.70 </w:t>
      </w:r>
      <w:r w:rsidRPr="00C316C8">
        <w:rPr>
          <w:rFonts w:ascii="Simplified Arabic" w:eastAsia="Times New Roman" w:hAnsi="Simplified Arabic" w:cs="Simplified Arabic"/>
          <w:color w:val="000000" w:themeColor="text1"/>
          <w:kern w:val="0"/>
          <w:sz w:val="28"/>
          <w:szCs w:val="28"/>
          <w:rtl/>
          <w14:ligatures w14:val="none"/>
        </w:rPr>
        <w:t>لجميع المتغيرات. وتوصلت نتائج الدراسة إلى أن تقييم الأداء والتدريب يمثلان شروطاً جوهرية في جميع تكوينات الأداء العالي، وأن مشاركة المعلومات ظهرت كشرط جوهري في خمسة من ستة تكوينات، وأن ست مسارات تحقق أداءً عالياً باتساق إجمالي (0.99) وتغطية (0.75). وأوصت بضرورة السعي لتطوير مرونة المؤسسة وممارسات الموارد البشرية معاً وإنشاء نظام اجتماعات فعال لمشاركة المعلومات</w:t>
      </w:r>
      <w:r w:rsidRPr="00C316C8">
        <w:rPr>
          <w:rFonts w:ascii="Simplified Arabic" w:eastAsia="Times New Roman" w:hAnsi="Simplified Arabic" w:cs="Simplified Arabic"/>
          <w:color w:val="000000" w:themeColor="text1"/>
          <w:kern w:val="0"/>
          <w:sz w:val="28"/>
          <w:szCs w:val="28"/>
          <w14:ligatures w14:val="none"/>
        </w:rPr>
        <w:t>.</w:t>
      </w:r>
    </w:p>
    <w:p w14:paraId="0A7BBD44" w14:textId="77777777" w:rsidR="006F62E0" w:rsidRPr="00C316C8" w:rsidRDefault="006F62E0"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 بوعبدالله وعياد</w:t>
      </w:r>
      <w:r w:rsidRPr="00C316C8">
        <w:rPr>
          <w:rFonts w:ascii="Simplified Arabic" w:eastAsia="Times New Roman" w:hAnsi="Simplified Arabic" w:cs="Simplified Arabic"/>
          <w:b/>
          <w:bCs/>
          <w:color w:val="000000" w:themeColor="text1"/>
          <w:kern w:val="0"/>
          <w:sz w:val="28"/>
          <w:szCs w:val="28"/>
          <w14:ligatures w14:val="none"/>
        </w:rPr>
        <w:t xml:space="preserve"> (2023): "</w:t>
      </w:r>
      <w:r w:rsidRPr="00C316C8">
        <w:rPr>
          <w:rFonts w:ascii="Simplified Arabic" w:eastAsia="Times New Roman" w:hAnsi="Simplified Arabic" w:cs="Simplified Arabic"/>
          <w:b/>
          <w:bCs/>
          <w:color w:val="000000" w:themeColor="text1"/>
          <w:kern w:val="0"/>
          <w:sz w:val="28"/>
          <w:szCs w:val="28"/>
          <w:rtl/>
          <w14:ligatures w14:val="none"/>
        </w:rPr>
        <w:t xml:space="preserve">أثر ممارسات إدارة الموارد البشرية على الأداء التنظيمي في ظل تبني نهج الجودة الشاملة." </w:t>
      </w:r>
    </w:p>
    <w:p w14:paraId="4DF8E010" w14:textId="4818926C" w:rsidR="006F62E0" w:rsidRPr="00C316C8" w:rsidRDefault="006F62E0"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إدارة الموارد البشرية بأبعادها (الاستقطاب، التدريب، التحفيز، الصحة والسلامة المهنية) على الأداء التنظيمي بأبعاده (العمليات الداخلية، النمو والتعلم، الأداء المالي) في ظل تبني أبعاد الجودة الشاملة (دعم الإدارة العليا، مشاركة العاملين، التركيز على العملاء، التحسين المستمر) في مؤسسة لصناعة القفازات والمعدات الطبية بعين تموشنت. واستخدمت الدراسة المنهج الوصفي التحليلي باستخدام برنامج</w:t>
      </w:r>
      <w:r w:rsidRPr="00C316C8">
        <w:rPr>
          <w:rFonts w:ascii="Simplified Arabic" w:eastAsia="Times New Roman" w:hAnsi="Simplified Arabic" w:cs="Simplified Arabic"/>
          <w:color w:val="000000" w:themeColor="text1"/>
          <w:kern w:val="0"/>
          <w:sz w:val="28"/>
          <w:szCs w:val="28"/>
          <w14:ligatures w14:val="none"/>
        </w:rPr>
        <w:t xml:space="preserve"> SPSS. </w:t>
      </w:r>
      <w:r w:rsidRPr="00C316C8">
        <w:rPr>
          <w:rFonts w:ascii="Simplified Arabic" w:eastAsia="Times New Roman" w:hAnsi="Simplified Arabic" w:cs="Simplified Arabic"/>
          <w:color w:val="000000" w:themeColor="text1"/>
          <w:kern w:val="0"/>
          <w:sz w:val="28"/>
          <w:szCs w:val="28"/>
          <w:rtl/>
          <w14:ligatures w14:val="none"/>
        </w:rPr>
        <w:t>وتكونت العينة من (65) عاملاً على مختلف المستويات الإدارية. وتوصلت نتائج الدراسة إلى وجود علاقات إيجابية قوية ودالة إحصائياً</w:t>
      </w:r>
      <w:r w:rsidRPr="00C316C8">
        <w:rPr>
          <w:rFonts w:ascii="Simplified Arabic" w:eastAsia="Times New Roman" w:hAnsi="Simplified Arabic" w:cs="Simplified Arabic"/>
          <w:color w:val="000000" w:themeColor="text1"/>
          <w:kern w:val="0"/>
          <w:sz w:val="28"/>
          <w:szCs w:val="28"/>
          <w14:ligatures w14:val="none"/>
        </w:rPr>
        <w:t xml:space="preserve"> (p &lt; 0.05) </w:t>
      </w:r>
      <w:r w:rsidRPr="00C316C8">
        <w:rPr>
          <w:rFonts w:ascii="Simplified Arabic" w:eastAsia="Times New Roman" w:hAnsi="Simplified Arabic" w:cs="Simplified Arabic"/>
          <w:color w:val="000000" w:themeColor="text1"/>
          <w:kern w:val="0"/>
          <w:sz w:val="28"/>
          <w:szCs w:val="28"/>
          <w:rtl/>
          <w14:ligatures w14:val="none"/>
        </w:rPr>
        <w:t>بين ممارسات إدارة الموارد البشرية وأبعاد الجودة الشاملة، وبين هذه الأبعاد والأداء التنظيمي. وأوصت بتعزيز التكامل بين ممارسات إدارة الموارد البشرية ونهج الجودة الشاملة لتحسين الأداء التنظيمي</w:t>
      </w:r>
      <w:r w:rsidRPr="00C316C8">
        <w:rPr>
          <w:rFonts w:ascii="Simplified Arabic" w:eastAsia="Times New Roman" w:hAnsi="Simplified Arabic" w:cs="Simplified Arabic"/>
          <w:color w:val="000000" w:themeColor="text1"/>
          <w:kern w:val="0"/>
          <w:sz w:val="28"/>
          <w:szCs w:val="28"/>
          <w14:ligatures w14:val="none"/>
        </w:rPr>
        <w:t>.</w:t>
      </w:r>
    </w:p>
    <w:p w14:paraId="1C1A3B9E" w14:textId="77777777" w:rsidR="006F62E0" w:rsidRPr="00C316C8" w:rsidRDefault="00F7243B"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 تلخوخ</w:t>
      </w:r>
      <w:r w:rsidRPr="00C316C8">
        <w:rPr>
          <w:rFonts w:ascii="Simplified Arabic" w:eastAsia="Times New Roman" w:hAnsi="Simplified Arabic" w:cs="Simplified Arabic"/>
          <w:b/>
          <w:bCs/>
          <w:color w:val="000000" w:themeColor="text1"/>
          <w:kern w:val="0"/>
          <w:sz w:val="28"/>
          <w:szCs w:val="28"/>
          <w14:ligatures w14:val="none"/>
        </w:rPr>
        <w:t xml:space="preserve"> (2024): "</w:t>
      </w:r>
      <w:r w:rsidRPr="00C316C8">
        <w:rPr>
          <w:rFonts w:ascii="Simplified Arabic" w:eastAsia="Times New Roman" w:hAnsi="Simplified Arabic" w:cs="Simplified Arabic"/>
          <w:b/>
          <w:bCs/>
          <w:color w:val="000000" w:themeColor="text1"/>
          <w:kern w:val="0"/>
          <w:sz w:val="28"/>
          <w:szCs w:val="28"/>
          <w:rtl/>
          <w14:ligatures w14:val="none"/>
        </w:rPr>
        <w:t xml:space="preserve">تكامل الإدارة الاستراتيجية للموارد البشرية مع إدارة المعرفة لتحقيق الميزة التنافسية في منظمات الأعمال." </w:t>
      </w:r>
    </w:p>
    <w:p w14:paraId="591809A4" w14:textId="356DE4A1"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مساهمة الإدارة الاستراتيجية للموارد البشرية بأبعادها (وحدات العمل، الفرق، التعاون، الاتصال، خدمة رأس المال البشري، تسهيل المعرفة، إنشاء العلاقات، والانتشار السريع) على الميزة التنافسية (التكاليف، الكفاءة، الخدمات الوظيفية) في منظمات الأعمال. واستخدمت الدراسة المنهج الوصفي التحليلي. وتوصلت نتائج الدراسة إلى أن الإدارة الاستراتيجية للموارد البشرية تسمح بالتكامل مع إدارة المعرفة لإنتاج ميزات تنافسية مرتبطة بالتكاليف والكفاءة والخدمات الوظيفية. وأوصت بضرورة تبني منهج تكاملي بين إدارة الموارد البشرية وإدارة المعرفة لتعزيز القدرة التنافسية</w:t>
      </w:r>
      <w:r w:rsidRPr="00C316C8">
        <w:rPr>
          <w:rFonts w:ascii="Simplified Arabic" w:eastAsia="Times New Roman" w:hAnsi="Simplified Arabic" w:cs="Simplified Arabic"/>
          <w:color w:val="000000" w:themeColor="text1"/>
          <w:kern w:val="0"/>
          <w:sz w:val="28"/>
          <w:szCs w:val="28"/>
          <w14:ligatures w14:val="none"/>
        </w:rPr>
        <w:t>.</w:t>
      </w:r>
    </w:p>
    <w:p w14:paraId="53E8D239" w14:textId="77777777" w:rsidR="006F62E0" w:rsidRPr="00C316C8" w:rsidRDefault="00F7243B"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w:t>
      </w:r>
      <w:r w:rsidRPr="00C316C8">
        <w:rPr>
          <w:rFonts w:ascii="Simplified Arabic" w:eastAsia="Times New Roman" w:hAnsi="Simplified Arabic" w:cs="Simplified Arabic"/>
          <w:b/>
          <w:bCs/>
          <w:color w:val="000000" w:themeColor="text1"/>
          <w:kern w:val="0"/>
          <w:sz w:val="28"/>
          <w:szCs w:val="28"/>
          <w14:ligatures w14:val="none"/>
        </w:rPr>
        <w:t xml:space="preserve"> Aburumman et al. (2024): </w:t>
      </w:r>
    </w:p>
    <w:p w14:paraId="5F02FF27" w14:textId="25D5B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ممارسات إدارة الموارد البشرية بأبعادها </w:t>
      </w:r>
      <w:r w:rsidRPr="00C316C8">
        <w:rPr>
          <w:rFonts w:ascii="Simplified Arabic" w:eastAsia="Times New Roman" w:hAnsi="Simplified Arabic" w:cs="Simplified Arabic"/>
          <w:color w:val="000000" w:themeColor="text1"/>
          <w:kern w:val="0"/>
          <w:sz w:val="28"/>
          <w:szCs w:val="28"/>
          <w14:ligatures w14:val="none"/>
        </w:rPr>
        <w:t>(</w:t>
      </w:r>
      <w:r w:rsidRPr="00C316C8">
        <w:rPr>
          <w:rFonts w:ascii="Simplified Arabic" w:eastAsia="Times New Roman" w:hAnsi="Simplified Arabic" w:cs="Simplified Arabic"/>
          <w:color w:val="000000" w:themeColor="text1"/>
          <w:kern w:val="0"/>
          <w:sz w:val="28"/>
          <w:szCs w:val="28"/>
          <w:rtl/>
          <w14:ligatures w14:val="none"/>
        </w:rPr>
        <w:t>التوظيف والاختيار، التدريب والتطوير، إدارة الأداء، التعويضات، علاقات الموظفين) على الأداء التنظيمي من خلال مراجعة منهجية وتحليل مسحي لـ(40</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دراسة سابقة منشورة. واستخدمت الدراسة منهج المراجعة المنهجية والتحليل المسحي. وتوصلت نتائج الدراسة إلى وجود علاقة إيجابية قوية ودالة إحصائياً بين ممارسات إدارة الموارد البشرية والأداء التنظيمي، وأن فشل المنظمات في تبني ممارسات فعالة يؤدي لارتفاع معدل دوران العمالة وتراجع الإنتاجية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وأوصت بضرورة دمج ممارسات إدارة الموارد البشرية مع الاستراتيجية التنظيمية الشاملة لتحقيق أقصى أداء</w:t>
      </w:r>
      <w:r w:rsidRPr="00C316C8">
        <w:rPr>
          <w:rFonts w:ascii="Simplified Arabic" w:eastAsia="Times New Roman" w:hAnsi="Simplified Arabic" w:cs="Simplified Arabic"/>
          <w:color w:val="000000" w:themeColor="text1"/>
          <w:kern w:val="0"/>
          <w:sz w:val="28"/>
          <w:szCs w:val="28"/>
          <w14:ligatures w14:val="none"/>
        </w:rPr>
        <w:t>.</w:t>
      </w:r>
    </w:p>
    <w:p w14:paraId="5A586A2A" w14:textId="77777777" w:rsidR="006F62E0" w:rsidRPr="00C316C8" w:rsidRDefault="00F7243B"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w:t>
      </w:r>
      <w:r w:rsidRPr="00C316C8">
        <w:rPr>
          <w:rFonts w:ascii="Simplified Arabic" w:eastAsia="Times New Roman" w:hAnsi="Simplified Arabic" w:cs="Simplified Arabic"/>
          <w:b/>
          <w:bCs/>
          <w:color w:val="000000" w:themeColor="text1"/>
          <w:kern w:val="0"/>
          <w:sz w:val="28"/>
          <w:szCs w:val="28"/>
          <w14:ligatures w14:val="none"/>
        </w:rPr>
        <w:t xml:space="preserve"> Mwambela (2024): </w:t>
      </w:r>
    </w:p>
    <w:p w14:paraId="110366FE" w14:textId="0CEDAC6C"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مكونات الإدارة الاستراتيجية للموارد البشرية بأبعادها </w:t>
      </w:r>
      <w:r w:rsidRPr="00C316C8">
        <w:rPr>
          <w:rFonts w:ascii="Simplified Arabic" w:eastAsia="Times New Roman" w:hAnsi="Simplified Arabic" w:cs="Simplified Arabic"/>
          <w:color w:val="000000" w:themeColor="text1"/>
          <w:kern w:val="0"/>
          <w:sz w:val="28"/>
          <w:szCs w:val="28"/>
          <w14:ligatures w14:val="none"/>
        </w:rPr>
        <w:t>(</w:t>
      </w:r>
      <w:r w:rsidRPr="00C316C8">
        <w:rPr>
          <w:rFonts w:ascii="Simplified Arabic" w:eastAsia="Times New Roman" w:hAnsi="Simplified Arabic" w:cs="Simplified Arabic"/>
          <w:color w:val="000000" w:themeColor="text1"/>
          <w:kern w:val="0"/>
          <w:sz w:val="28"/>
          <w:szCs w:val="28"/>
          <w:rtl/>
          <w14:ligatures w14:val="none"/>
        </w:rPr>
        <w:t>الحوافز والمكافآت، نظام التدريب الرسمي، الاستقطاب والاختيار، تقييم الأداء الرسمي، التطوير الوظيفي، الفرص الوظيفية الداخلية، التطوير التنظيمي) على الأداء التنظيمي في الشركات الربحية بزامبيا. واستخدمت الدراسة المنهج الكمي مع الاستبانة على مقياس ليكرت الخماسي، وأُرسلت أربع استبانات لكل شركة لرئيس الموارد البشرية ورؤساء الأقسام والمدراء. وتكونت العينة من (169) شركة ربحية تم اختيارها بالعينة العشوائية الطبقية (55.6</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 xml:space="preserve">ذكور، 44.4% إناث؛ 52.1% ماجستير). وكان معامل ألفا كرونباخ الإجمالي </w:t>
      </w:r>
      <w:r w:rsidRPr="00C316C8">
        <w:rPr>
          <w:rFonts w:ascii="Simplified Arabic" w:eastAsia="Times New Roman" w:hAnsi="Simplified Arabic" w:cs="Simplified Arabic"/>
          <w:color w:val="000000" w:themeColor="text1"/>
          <w:kern w:val="0"/>
          <w:sz w:val="28"/>
          <w:szCs w:val="28"/>
          <w14:ligatures w14:val="none"/>
        </w:rPr>
        <w:t xml:space="preserve">(0.831). </w:t>
      </w:r>
      <w:r w:rsidRPr="00C316C8">
        <w:rPr>
          <w:rFonts w:ascii="Simplified Arabic" w:eastAsia="Times New Roman" w:hAnsi="Simplified Arabic" w:cs="Simplified Arabic"/>
          <w:color w:val="000000" w:themeColor="text1"/>
          <w:kern w:val="0"/>
          <w:sz w:val="28"/>
          <w:szCs w:val="28"/>
          <w:rtl/>
          <w14:ligatures w14:val="none"/>
        </w:rPr>
        <w:t>وأظهرت النتائج معامل ارتباط متعدد</w:t>
      </w:r>
      <w:r w:rsidRPr="00C316C8">
        <w:rPr>
          <w:rFonts w:ascii="Simplified Arabic" w:eastAsia="Times New Roman" w:hAnsi="Simplified Arabic" w:cs="Simplified Arabic"/>
          <w:color w:val="000000" w:themeColor="text1"/>
          <w:kern w:val="0"/>
          <w:sz w:val="28"/>
          <w:szCs w:val="28"/>
          <w14:ligatures w14:val="none"/>
        </w:rPr>
        <w:t xml:space="preserve"> (R = 0.644)</w:t>
      </w:r>
      <w:r w:rsidRPr="00C316C8">
        <w:rPr>
          <w:rFonts w:ascii="Simplified Arabic" w:eastAsia="Times New Roman" w:hAnsi="Simplified Arabic" w:cs="Simplified Arabic"/>
          <w:color w:val="000000" w:themeColor="text1"/>
          <w:kern w:val="0"/>
          <w:sz w:val="28"/>
          <w:szCs w:val="28"/>
          <w:rtl/>
          <w14:ligatures w14:val="none"/>
        </w:rPr>
        <w:t>، ومعامل تحديد معدّل</w:t>
      </w:r>
      <w:r w:rsidRPr="00C316C8">
        <w:rPr>
          <w:rFonts w:ascii="Simplified Arabic" w:eastAsia="Times New Roman" w:hAnsi="Simplified Arabic" w:cs="Simplified Arabic"/>
          <w:color w:val="000000" w:themeColor="text1"/>
          <w:kern w:val="0"/>
          <w:sz w:val="28"/>
          <w:szCs w:val="28"/>
          <w14:ligatures w14:val="none"/>
        </w:rPr>
        <w:t xml:space="preserve"> (Adjusted R² = 0.389)</w:t>
      </w:r>
      <w:r w:rsidRPr="00C316C8">
        <w:rPr>
          <w:rFonts w:ascii="Simplified Arabic" w:eastAsia="Times New Roman" w:hAnsi="Simplified Arabic" w:cs="Simplified Arabic"/>
          <w:color w:val="000000" w:themeColor="text1"/>
          <w:kern w:val="0"/>
          <w:sz w:val="28"/>
          <w:szCs w:val="28"/>
          <w:rtl/>
          <w14:ligatures w14:val="none"/>
        </w:rPr>
        <w:t>، أي أن 41.5% من التباين في الأداء التنظيمي يُعزى للممارسات الاستراتيجية. وتوصلت نتائج الدراسة إلى أن الاستقطاب والاختيار</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Cambria" w:eastAsia="Times New Roman" w:hAnsi="Cambria" w:cs="Cambria"/>
          <w:color w:val="000000" w:themeColor="text1"/>
          <w:kern w:val="0"/>
          <w:sz w:val="28"/>
          <w:szCs w:val="28"/>
          <w14:ligatures w14:val="none"/>
        </w:rPr>
        <w:t>β</w:t>
      </w:r>
      <w:r w:rsidRPr="00C316C8">
        <w:rPr>
          <w:rFonts w:ascii="Simplified Arabic" w:eastAsia="Times New Roman" w:hAnsi="Simplified Arabic" w:cs="Simplified Arabic"/>
          <w:color w:val="000000" w:themeColor="text1"/>
          <w:kern w:val="0"/>
          <w:sz w:val="28"/>
          <w:szCs w:val="28"/>
          <w14:ligatures w14:val="none"/>
        </w:rPr>
        <w:t xml:space="preserve"> = 0.268)</w:t>
      </w:r>
      <w:r w:rsidRPr="00C316C8">
        <w:rPr>
          <w:rFonts w:ascii="Simplified Arabic" w:eastAsia="Times New Roman" w:hAnsi="Simplified Arabic" w:cs="Simplified Arabic"/>
          <w:color w:val="000000" w:themeColor="text1"/>
          <w:kern w:val="0"/>
          <w:sz w:val="28"/>
          <w:szCs w:val="28"/>
          <w:rtl/>
          <w14:ligatures w14:val="none"/>
        </w:rPr>
        <w:t>، والحوافز والمكافآت</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Cambria" w:eastAsia="Times New Roman" w:hAnsi="Cambria" w:cs="Cambria"/>
          <w:color w:val="000000" w:themeColor="text1"/>
          <w:kern w:val="0"/>
          <w:sz w:val="28"/>
          <w:szCs w:val="28"/>
          <w14:ligatures w14:val="none"/>
        </w:rPr>
        <w:t>β</w:t>
      </w:r>
      <w:r w:rsidRPr="00C316C8">
        <w:rPr>
          <w:rFonts w:ascii="Simplified Arabic" w:eastAsia="Times New Roman" w:hAnsi="Simplified Arabic" w:cs="Simplified Arabic"/>
          <w:color w:val="000000" w:themeColor="text1"/>
          <w:kern w:val="0"/>
          <w:sz w:val="28"/>
          <w:szCs w:val="28"/>
          <w14:ligatures w14:val="none"/>
        </w:rPr>
        <w:t xml:space="preserve"> = 0.258)</w:t>
      </w:r>
      <w:r w:rsidRPr="00C316C8">
        <w:rPr>
          <w:rFonts w:ascii="Simplified Arabic" w:eastAsia="Times New Roman" w:hAnsi="Simplified Arabic" w:cs="Simplified Arabic"/>
          <w:color w:val="000000" w:themeColor="text1"/>
          <w:kern w:val="0"/>
          <w:sz w:val="28"/>
          <w:szCs w:val="28"/>
          <w:rtl/>
          <w14:ligatures w14:val="none"/>
        </w:rPr>
        <w:t xml:space="preserve">، والتطوير </w:t>
      </w:r>
      <w:r w:rsidRPr="00C316C8">
        <w:rPr>
          <w:rFonts w:ascii="Simplified Arabic" w:eastAsia="Times New Roman" w:hAnsi="Simplified Arabic" w:cs="Simplified Arabic"/>
          <w:color w:val="000000" w:themeColor="text1"/>
          <w:kern w:val="0"/>
          <w:sz w:val="28"/>
          <w:szCs w:val="28"/>
          <w:rtl/>
          <w14:ligatures w14:val="none"/>
        </w:rPr>
        <w:lastRenderedPageBreak/>
        <w:t xml:space="preserve">التنظيمي </w:t>
      </w:r>
      <w:r w:rsidRPr="00C316C8">
        <w:rPr>
          <w:rFonts w:ascii="Simplified Arabic" w:eastAsia="Times New Roman" w:hAnsi="Simplified Arabic" w:cs="Simplified Arabic"/>
          <w:color w:val="000000" w:themeColor="text1"/>
          <w:kern w:val="0"/>
          <w:sz w:val="28"/>
          <w:szCs w:val="28"/>
          <w14:ligatures w14:val="none"/>
        </w:rPr>
        <w:t>(</w:t>
      </w:r>
      <w:r w:rsidRPr="00C316C8">
        <w:rPr>
          <w:rFonts w:ascii="Cambria" w:eastAsia="Times New Roman" w:hAnsi="Cambria" w:cs="Cambria"/>
          <w:color w:val="000000" w:themeColor="text1"/>
          <w:kern w:val="0"/>
          <w:sz w:val="28"/>
          <w:szCs w:val="28"/>
          <w14:ligatures w14:val="none"/>
        </w:rPr>
        <w:t>β</w:t>
      </w:r>
      <w:r w:rsidRPr="00C316C8">
        <w:rPr>
          <w:rFonts w:ascii="Simplified Arabic" w:eastAsia="Times New Roman" w:hAnsi="Simplified Arabic" w:cs="Simplified Arabic"/>
          <w:color w:val="000000" w:themeColor="text1"/>
          <w:kern w:val="0"/>
          <w:sz w:val="28"/>
          <w:szCs w:val="28"/>
          <w14:ligatures w14:val="none"/>
        </w:rPr>
        <w:t xml:space="preserve"> = 0.248)</w:t>
      </w:r>
      <w:r w:rsidRPr="00C316C8">
        <w:rPr>
          <w:rFonts w:ascii="Simplified Arabic" w:eastAsia="Times New Roman" w:hAnsi="Simplified Arabic" w:cs="Simplified Arabic"/>
          <w:color w:val="000000" w:themeColor="text1"/>
          <w:kern w:val="0"/>
          <w:sz w:val="28"/>
          <w:szCs w:val="28"/>
          <w:rtl/>
          <w14:ligatures w14:val="none"/>
        </w:rPr>
        <w:t>، وتقييم الأداء الرسمي</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Cambria" w:eastAsia="Times New Roman" w:hAnsi="Cambria" w:cs="Cambria"/>
          <w:color w:val="000000" w:themeColor="text1"/>
          <w:kern w:val="0"/>
          <w:sz w:val="28"/>
          <w:szCs w:val="28"/>
          <w14:ligatures w14:val="none"/>
        </w:rPr>
        <w:t>β</w:t>
      </w:r>
      <w:r w:rsidRPr="00C316C8">
        <w:rPr>
          <w:rFonts w:ascii="Simplified Arabic" w:eastAsia="Times New Roman" w:hAnsi="Simplified Arabic" w:cs="Simplified Arabic"/>
          <w:color w:val="000000" w:themeColor="text1"/>
          <w:kern w:val="0"/>
          <w:sz w:val="28"/>
          <w:szCs w:val="28"/>
          <w14:ligatures w14:val="none"/>
        </w:rPr>
        <w:t xml:space="preserve"> = 0.184) </w:t>
      </w:r>
      <w:r w:rsidRPr="00C316C8">
        <w:rPr>
          <w:rFonts w:ascii="Simplified Arabic" w:eastAsia="Times New Roman" w:hAnsi="Simplified Arabic" w:cs="Simplified Arabic"/>
          <w:color w:val="000000" w:themeColor="text1"/>
          <w:kern w:val="0"/>
          <w:sz w:val="28"/>
          <w:szCs w:val="28"/>
          <w:rtl/>
          <w14:ligatures w14:val="none"/>
        </w:rPr>
        <w:t>لها تأثير دال إحصائياً</w:t>
      </w:r>
      <w:r w:rsidRPr="00C316C8">
        <w:rPr>
          <w:rFonts w:ascii="Simplified Arabic" w:eastAsia="Times New Roman" w:hAnsi="Simplified Arabic" w:cs="Simplified Arabic"/>
          <w:color w:val="000000" w:themeColor="text1"/>
          <w:kern w:val="0"/>
          <w:sz w:val="28"/>
          <w:szCs w:val="28"/>
          <w14:ligatures w14:val="none"/>
        </w:rPr>
        <w:t xml:space="preserve"> (p &lt; 0.05) </w:t>
      </w:r>
      <w:r w:rsidRPr="00C316C8">
        <w:rPr>
          <w:rFonts w:ascii="Simplified Arabic" w:eastAsia="Times New Roman" w:hAnsi="Simplified Arabic" w:cs="Simplified Arabic"/>
          <w:color w:val="000000" w:themeColor="text1"/>
          <w:kern w:val="0"/>
          <w:sz w:val="28"/>
          <w:szCs w:val="28"/>
          <w:rtl/>
          <w14:ligatures w14:val="none"/>
        </w:rPr>
        <w:t>على الأداء التنظيمي، بينما لم يكن تأثير التطوير الوظيفي دالاً. وأوصت بضرورة تعزيز أنظمة الحوافز والاستقطاب وتقييم الأداء كأولويات استراتيجية لتحقيق التميز التنظيمي</w:t>
      </w:r>
      <w:r w:rsidRPr="00C316C8">
        <w:rPr>
          <w:rFonts w:ascii="Simplified Arabic" w:eastAsia="Times New Roman" w:hAnsi="Simplified Arabic" w:cs="Simplified Arabic"/>
          <w:color w:val="000000" w:themeColor="text1"/>
          <w:kern w:val="0"/>
          <w:sz w:val="28"/>
          <w:szCs w:val="28"/>
          <w14:ligatures w14:val="none"/>
        </w:rPr>
        <w:t>.</w:t>
      </w:r>
    </w:p>
    <w:p w14:paraId="658AF4BA" w14:textId="77777777" w:rsidR="006F62E0" w:rsidRPr="00C316C8" w:rsidRDefault="00F7243B"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w:t>
      </w:r>
      <w:r w:rsidRPr="00C316C8">
        <w:rPr>
          <w:rFonts w:ascii="Simplified Arabic" w:eastAsia="Times New Roman" w:hAnsi="Simplified Arabic" w:cs="Simplified Arabic"/>
          <w:b/>
          <w:bCs/>
          <w:color w:val="000000" w:themeColor="text1"/>
          <w:kern w:val="0"/>
          <w:sz w:val="28"/>
          <w:szCs w:val="28"/>
          <w14:ligatures w14:val="none"/>
        </w:rPr>
        <w:t xml:space="preserve"> Aloulou &amp; Alshohail (2026): </w:t>
      </w:r>
    </w:p>
    <w:p w14:paraId="4A92E05C" w14:textId="1EDB6EDF"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الحوكمة وإدارة المخاطر والامتثال</w:t>
      </w:r>
      <w:r w:rsidRPr="00C316C8">
        <w:rPr>
          <w:rFonts w:ascii="Simplified Arabic" w:eastAsia="Times New Roman" w:hAnsi="Simplified Arabic" w:cs="Simplified Arabic"/>
          <w:color w:val="000000" w:themeColor="text1"/>
          <w:kern w:val="0"/>
          <w:sz w:val="28"/>
          <w:szCs w:val="28"/>
          <w14:ligatures w14:val="none"/>
        </w:rPr>
        <w:t xml:space="preserve"> (GRC) </w:t>
      </w:r>
      <w:r w:rsidRPr="00C316C8">
        <w:rPr>
          <w:rFonts w:ascii="Simplified Arabic" w:eastAsia="Times New Roman" w:hAnsi="Simplified Arabic" w:cs="Simplified Arabic"/>
          <w:color w:val="000000" w:themeColor="text1"/>
          <w:kern w:val="0"/>
          <w:sz w:val="28"/>
          <w:szCs w:val="28"/>
          <w:rtl/>
          <w14:ligatures w14:val="none"/>
        </w:rPr>
        <w:t>بأبعادها (الحوكمة، إدارة المخاطر، الامتثال) على الكفاءة التشغيلية وسمعة الشركة في الشركات السعودية القائمة على التكنولوجيا، مع دراسة الدور الوسيط للكفاءة التشغيلية. واستخدمت الدراسة المنهج الكمي باستخدام استبانة على مقياس ليكرت الخماسي وتحليل الانحدار الهرمي المتعدد واختبار</w:t>
      </w:r>
      <w:r w:rsidRPr="00C316C8">
        <w:rPr>
          <w:rFonts w:ascii="Simplified Arabic" w:eastAsia="Times New Roman" w:hAnsi="Simplified Arabic" w:cs="Simplified Arabic"/>
          <w:color w:val="000000" w:themeColor="text1"/>
          <w:kern w:val="0"/>
          <w:sz w:val="28"/>
          <w:szCs w:val="28"/>
          <w14:ligatures w14:val="none"/>
        </w:rPr>
        <w:t xml:space="preserve"> Sobel </w:t>
      </w:r>
      <w:r w:rsidRPr="00C316C8">
        <w:rPr>
          <w:rFonts w:ascii="Simplified Arabic" w:eastAsia="Times New Roman" w:hAnsi="Simplified Arabic" w:cs="Simplified Arabic"/>
          <w:color w:val="000000" w:themeColor="text1"/>
          <w:kern w:val="0"/>
          <w:sz w:val="28"/>
          <w:szCs w:val="28"/>
          <w:rtl/>
          <w14:ligatures w14:val="none"/>
        </w:rPr>
        <w:t>وطريقة</w:t>
      </w:r>
      <w:r w:rsidRPr="00C316C8">
        <w:rPr>
          <w:rFonts w:ascii="Simplified Arabic" w:eastAsia="Times New Roman" w:hAnsi="Simplified Arabic" w:cs="Simplified Arabic"/>
          <w:color w:val="000000" w:themeColor="text1"/>
          <w:kern w:val="0"/>
          <w:sz w:val="28"/>
          <w:szCs w:val="28"/>
          <w14:ligatures w14:val="none"/>
        </w:rPr>
        <w:t xml:space="preserve"> Hayes PROCESS. </w:t>
      </w:r>
      <w:r w:rsidRPr="00C316C8">
        <w:rPr>
          <w:rFonts w:ascii="Simplified Arabic" w:eastAsia="Times New Roman" w:hAnsi="Simplified Arabic" w:cs="Simplified Arabic"/>
          <w:color w:val="000000" w:themeColor="text1"/>
          <w:kern w:val="0"/>
          <w:sz w:val="28"/>
          <w:szCs w:val="28"/>
          <w:rtl/>
          <w14:ligatures w14:val="none"/>
        </w:rPr>
        <w:t>وتكونت العينة من (126) مديراً ومهنياً في شركات سعودية (46</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اتصالات، 26.2% تكنولوجيا، 7.9% مالية) جُمعت خلال أبريل - مايو 2025</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وتوصلت نتائج الدراسة إلى أن الحوكمة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Cambria" w:eastAsia="Times New Roman" w:hAnsi="Cambria" w:cs="Cambria"/>
          <w:color w:val="000000" w:themeColor="text1"/>
          <w:kern w:val="0"/>
          <w:sz w:val="28"/>
          <w:szCs w:val="28"/>
          <w14:ligatures w14:val="none"/>
        </w:rPr>
        <w:t>β</w:t>
      </w:r>
      <w:r w:rsidRPr="00C316C8">
        <w:rPr>
          <w:rFonts w:ascii="Simplified Arabic" w:eastAsia="Times New Roman" w:hAnsi="Simplified Arabic" w:cs="Simplified Arabic"/>
          <w:color w:val="000000" w:themeColor="text1"/>
          <w:kern w:val="0"/>
          <w:sz w:val="28"/>
          <w:szCs w:val="28"/>
          <w14:ligatures w14:val="none"/>
        </w:rPr>
        <w:t xml:space="preserve"> = 0.314)</w:t>
      </w:r>
      <w:r w:rsidRPr="00C316C8">
        <w:rPr>
          <w:rFonts w:ascii="Simplified Arabic" w:eastAsia="Times New Roman" w:hAnsi="Simplified Arabic" w:cs="Simplified Arabic"/>
          <w:color w:val="000000" w:themeColor="text1"/>
          <w:kern w:val="0"/>
          <w:sz w:val="28"/>
          <w:szCs w:val="28"/>
          <w:rtl/>
          <w14:ligatures w14:val="none"/>
        </w:rPr>
        <w:t>، وإدارة المخاطر</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Cambria" w:eastAsia="Times New Roman" w:hAnsi="Cambria" w:cs="Cambria"/>
          <w:color w:val="000000" w:themeColor="text1"/>
          <w:kern w:val="0"/>
          <w:sz w:val="28"/>
          <w:szCs w:val="28"/>
          <w14:ligatures w14:val="none"/>
        </w:rPr>
        <w:t>β</w:t>
      </w:r>
      <w:r w:rsidRPr="00C316C8">
        <w:rPr>
          <w:rFonts w:ascii="Simplified Arabic" w:eastAsia="Times New Roman" w:hAnsi="Simplified Arabic" w:cs="Simplified Arabic"/>
          <w:color w:val="000000" w:themeColor="text1"/>
          <w:kern w:val="0"/>
          <w:sz w:val="28"/>
          <w:szCs w:val="28"/>
          <w14:ligatures w14:val="none"/>
        </w:rPr>
        <w:t xml:space="preserve"> = 0.235)</w:t>
      </w:r>
      <w:r w:rsidRPr="00C316C8">
        <w:rPr>
          <w:rFonts w:ascii="Simplified Arabic" w:eastAsia="Times New Roman" w:hAnsi="Simplified Arabic" w:cs="Simplified Arabic"/>
          <w:color w:val="000000" w:themeColor="text1"/>
          <w:kern w:val="0"/>
          <w:sz w:val="28"/>
          <w:szCs w:val="28"/>
          <w:rtl/>
          <w14:ligatures w14:val="none"/>
        </w:rPr>
        <w:t>، والامتثال</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Cambria" w:eastAsia="Times New Roman" w:hAnsi="Cambria" w:cs="Cambria"/>
          <w:color w:val="000000" w:themeColor="text1"/>
          <w:kern w:val="0"/>
          <w:sz w:val="28"/>
          <w:szCs w:val="28"/>
          <w14:ligatures w14:val="none"/>
        </w:rPr>
        <w:t>β</w:t>
      </w:r>
      <w:r w:rsidRPr="00C316C8">
        <w:rPr>
          <w:rFonts w:ascii="Simplified Arabic" w:eastAsia="Times New Roman" w:hAnsi="Simplified Arabic" w:cs="Simplified Arabic"/>
          <w:color w:val="000000" w:themeColor="text1"/>
          <w:kern w:val="0"/>
          <w:sz w:val="28"/>
          <w:szCs w:val="28"/>
          <w14:ligatures w14:val="none"/>
        </w:rPr>
        <w:t xml:space="preserve"> = 0.228) </w:t>
      </w:r>
      <w:r w:rsidRPr="00C316C8">
        <w:rPr>
          <w:rFonts w:ascii="Simplified Arabic" w:eastAsia="Times New Roman" w:hAnsi="Simplified Arabic" w:cs="Simplified Arabic"/>
          <w:color w:val="000000" w:themeColor="text1"/>
          <w:kern w:val="0"/>
          <w:sz w:val="28"/>
          <w:szCs w:val="28"/>
          <w:rtl/>
          <w14:ligatures w14:val="none"/>
        </w:rPr>
        <w:t>جميعها تؤثر إيجابياً وبدلالة إحصائية</w:t>
      </w:r>
      <w:r w:rsidRPr="00C316C8">
        <w:rPr>
          <w:rFonts w:ascii="Simplified Arabic" w:eastAsia="Times New Roman" w:hAnsi="Simplified Arabic" w:cs="Simplified Arabic"/>
          <w:color w:val="000000" w:themeColor="text1"/>
          <w:kern w:val="0"/>
          <w:sz w:val="28"/>
          <w:szCs w:val="28"/>
          <w14:ligatures w14:val="none"/>
        </w:rPr>
        <w:t xml:space="preserve"> (p &lt; 0.01) </w:t>
      </w:r>
      <w:r w:rsidRPr="00C316C8">
        <w:rPr>
          <w:rFonts w:ascii="Simplified Arabic" w:eastAsia="Times New Roman" w:hAnsi="Simplified Arabic" w:cs="Simplified Arabic"/>
          <w:color w:val="000000" w:themeColor="text1"/>
          <w:kern w:val="0"/>
          <w:sz w:val="28"/>
          <w:szCs w:val="28"/>
          <w:rtl/>
          <w14:ligatures w14:val="none"/>
        </w:rPr>
        <w:t>على الكفاءة التشغيلية، وأن الكفاءة التشغيلية تتوسط جزئياً العلاقة بين الحوكمة والسمعة</w:t>
      </w:r>
      <w:r w:rsidRPr="00C316C8">
        <w:rPr>
          <w:rFonts w:ascii="Simplified Arabic" w:eastAsia="Times New Roman" w:hAnsi="Simplified Arabic" w:cs="Simplified Arabic"/>
          <w:color w:val="000000" w:themeColor="text1"/>
          <w:kern w:val="0"/>
          <w:sz w:val="28"/>
          <w:szCs w:val="28"/>
          <w14:ligatures w14:val="none"/>
        </w:rPr>
        <w:t xml:space="preserve"> (z = 2.64, p &lt; 0.05)</w:t>
      </w:r>
      <w:r w:rsidRPr="00C316C8">
        <w:rPr>
          <w:rFonts w:ascii="Simplified Arabic" w:eastAsia="Times New Roman" w:hAnsi="Simplified Arabic" w:cs="Simplified Arabic"/>
          <w:color w:val="000000" w:themeColor="text1"/>
          <w:kern w:val="0"/>
          <w:sz w:val="28"/>
          <w:szCs w:val="28"/>
          <w:rtl/>
          <w14:ligatures w14:val="none"/>
        </w:rPr>
        <w:t>، وتتوسط كلياً بين الامتثال والسمعة. وأوصت بضرورة تبني أطر حوكمة ومخاطر وامتثال متكاملة كأداة استراتيجية وليس مجرد متطلب تنظيمي</w:t>
      </w:r>
      <w:r w:rsidRPr="00C316C8">
        <w:rPr>
          <w:rFonts w:ascii="Simplified Arabic" w:eastAsia="Times New Roman" w:hAnsi="Simplified Arabic" w:cs="Simplified Arabic"/>
          <w:color w:val="000000" w:themeColor="text1"/>
          <w:kern w:val="0"/>
          <w:sz w:val="28"/>
          <w:szCs w:val="28"/>
          <w14:ligatures w14:val="none"/>
        </w:rPr>
        <w:t>.</w:t>
      </w:r>
    </w:p>
    <w:p w14:paraId="05D8A54F" w14:textId="77777777" w:rsidR="00F7243B" w:rsidRPr="00C316C8" w:rsidRDefault="00F7243B" w:rsidP="006F62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3603158"/>
      <w:r w:rsidRPr="00C316C8">
        <w:rPr>
          <w:rFonts w:ascii="Simplified Arabic" w:eastAsia="Times New Roman" w:hAnsi="Simplified Arabic" w:cs="Simplified Arabic"/>
          <w:b/>
          <w:bCs/>
          <w:color w:val="000000" w:themeColor="text1"/>
          <w:kern w:val="0"/>
          <w:sz w:val="32"/>
          <w:szCs w:val="32"/>
          <w:rtl/>
          <w14:ligatures w14:val="none"/>
        </w:rPr>
        <w:t>المحور الثاني: المتغير التابع (الامتثال التنظيمي وتقليل المخاطر التشغيلية) وعلاقته بمتغيرات أخرى</w:t>
      </w:r>
      <w:bookmarkEnd w:id="15"/>
    </w:p>
    <w:p w14:paraId="78469C02" w14:textId="77777777" w:rsidR="006F62E0" w:rsidRPr="00C316C8" w:rsidRDefault="006F62E0"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 سعيد</w:t>
      </w:r>
      <w:r w:rsidRPr="00C316C8">
        <w:rPr>
          <w:rFonts w:ascii="Simplified Arabic" w:eastAsia="Times New Roman" w:hAnsi="Simplified Arabic" w:cs="Simplified Arabic"/>
          <w:b/>
          <w:bCs/>
          <w:color w:val="000000" w:themeColor="text1"/>
          <w:kern w:val="0"/>
          <w:sz w:val="28"/>
          <w:szCs w:val="28"/>
          <w14:ligatures w14:val="none"/>
        </w:rPr>
        <w:t xml:space="preserve"> (2020): "</w:t>
      </w:r>
      <w:r w:rsidRPr="00C316C8">
        <w:rPr>
          <w:rFonts w:ascii="Simplified Arabic" w:eastAsia="Times New Roman" w:hAnsi="Simplified Arabic" w:cs="Simplified Arabic"/>
          <w:b/>
          <w:bCs/>
          <w:color w:val="000000" w:themeColor="text1"/>
          <w:kern w:val="0"/>
          <w:sz w:val="28"/>
          <w:szCs w:val="28"/>
          <w:rtl/>
          <w14:ligatures w14:val="none"/>
        </w:rPr>
        <w:t xml:space="preserve">أثر تحسين أداء الموارد البشرية على التقليل من المخاطر التشغيلية في البنوك التجارية الجزائرية: دراسة حالة لعينة من البنوك الجزائرية." </w:t>
      </w:r>
    </w:p>
    <w:p w14:paraId="3C3FAD93" w14:textId="47DBF110" w:rsidR="006F62E0" w:rsidRPr="00C316C8" w:rsidRDefault="006F62E0"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تحسين أداء الموارد البشرية بأبعاده (التدريب والتطوير، تقييم الأداء، التحفيز، تحسين بيئة العمل ودعم الابتكار) على التقليل من المخاطر التشغيلية في البنوك التجارية الجزائرية. واستخدمت الدراسة المنهج الوصفي التحليلي مع دراسة حالة. وتكونت العينة من مجموعة من العاملين في عينة من البنوك التجارية الجزائرية. وتوصلت نتائج الدراسة إلى أن عملية تحسين أداء الموارد البشرية تساهم بشكل كبير في التقليل من المخاطر التشغيلية، وخاصة بُعد التدريب والتطوير الذي كان </w:t>
      </w:r>
      <w:r w:rsidRPr="00C316C8">
        <w:rPr>
          <w:rFonts w:ascii="Simplified Arabic" w:eastAsia="Times New Roman" w:hAnsi="Simplified Arabic" w:cs="Simplified Arabic"/>
          <w:color w:val="000000" w:themeColor="text1"/>
          <w:kern w:val="0"/>
          <w:sz w:val="28"/>
          <w:szCs w:val="28"/>
          <w:rtl/>
          <w14:ligatures w14:val="none"/>
        </w:rPr>
        <w:lastRenderedPageBreak/>
        <w:t>الأكثر تأثيراً. وأوصت بضرورة تكثيف برامج تدريب وتطوير الموارد البشرية وتحسين بيئة العمل لتقليل المخاطر التشغيلية</w:t>
      </w:r>
      <w:r w:rsidRPr="00C316C8">
        <w:rPr>
          <w:rFonts w:ascii="Simplified Arabic" w:eastAsia="Times New Roman" w:hAnsi="Simplified Arabic" w:cs="Simplified Arabic"/>
          <w:color w:val="000000" w:themeColor="text1"/>
          <w:kern w:val="0"/>
          <w:sz w:val="28"/>
          <w:szCs w:val="28"/>
          <w14:ligatures w14:val="none"/>
        </w:rPr>
        <w:t>.</w:t>
      </w:r>
    </w:p>
    <w:p w14:paraId="1FD9D4D0" w14:textId="77777777" w:rsidR="006F62E0" w:rsidRPr="00C316C8" w:rsidRDefault="006F62E0"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 شكر</w:t>
      </w:r>
      <w:r w:rsidRPr="00C316C8">
        <w:rPr>
          <w:rFonts w:ascii="Simplified Arabic" w:eastAsia="Times New Roman" w:hAnsi="Simplified Arabic" w:cs="Simplified Arabic"/>
          <w:b/>
          <w:bCs/>
          <w:color w:val="000000" w:themeColor="text1"/>
          <w:kern w:val="0"/>
          <w:sz w:val="28"/>
          <w:szCs w:val="28"/>
          <w14:ligatures w14:val="none"/>
        </w:rPr>
        <w:t xml:space="preserve"> (2020): "</w:t>
      </w:r>
      <w:r w:rsidRPr="00C316C8">
        <w:rPr>
          <w:rFonts w:ascii="Simplified Arabic" w:eastAsia="Times New Roman" w:hAnsi="Simplified Arabic" w:cs="Simplified Arabic"/>
          <w:b/>
          <w:bCs/>
          <w:color w:val="000000" w:themeColor="text1"/>
          <w:kern w:val="0"/>
          <w:sz w:val="28"/>
          <w:szCs w:val="28"/>
          <w:rtl/>
          <w14:ligatures w14:val="none"/>
        </w:rPr>
        <w:t xml:space="preserve">دور الامتثال التنظيمي في تقليل المخاطر التشغيلية: دراسة ميدانية." </w:t>
      </w:r>
    </w:p>
    <w:p w14:paraId="571A2908" w14:textId="02C5F374" w:rsidR="006F62E0" w:rsidRPr="00C316C8" w:rsidRDefault="006F62E0"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الدراسة إلى التعرف على دور الامتثال التنظيمي بأبعاده (الامتثال القانوني، الامتثال الإداري، الامتثال الأخلاقي) على تقليل المخاطر التشغيلية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باستخدام الاستبانة. وتوصلت نتائج الدراسة إلى أن الامتثال التنظيمي يسهم بشكل ملحوظ في تقليل المخاطر التشغيلية، وأن بُعد الامتثال القانوني هو الأكثر تأثيراً. وأوصت بضرورة التدريب المستمر على متطلبات الامتثال وتحديث السياسات التنظيمية بشكل دوري</w:t>
      </w:r>
      <w:r w:rsidRPr="00C316C8">
        <w:rPr>
          <w:rFonts w:ascii="Simplified Arabic" w:eastAsia="Times New Roman" w:hAnsi="Simplified Arabic" w:cs="Simplified Arabic"/>
          <w:color w:val="000000" w:themeColor="text1"/>
          <w:kern w:val="0"/>
          <w:sz w:val="28"/>
          <w:szCs w:val="28"/>
          <w14:ligatures w14:val="none"/>
        </w:rPr>
        <w:t>.</w:t>
      </w:r>
    </w:p>
    <w:p w14:paraId="5BBBC1DC" w14:textId="77777777" w:rsidR="006F62E0" w:rsidRPr="00C316C8" w:rsidRDefault="00F7243B"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 خوجة وعلمي</w:t>
      </w:r>
      <w:r w:rsidRPr="00C316C8">
        <w:rPr>
          <w:rFonts w:ascii="Simplified Arabic" w:eastAsia="Times New Roman" w:hAnsi="Simplified Arabic" w:cs="Simplified Arabic"/>
          <w:b/>
          <w:bCs/>
          <w:color w:val="000000" w:themeColor="text1"/>
          <w:kern w:val="0"/>
          <w:sz w:val="28"/>
          <w:szCs w:val="28"/>
          <w14:ligatures w14:val="none"/>
        </w:rPr>
        <w:t xml:space="preserve"> (2022): "</w:t>
      </w:r>
      <w:r w:rsidRPr="00C316C8">
        <w:rPr>
          <w:rFonts w:ascii="Simplified Arabic" w:eastAsia="Times New Roman" w:hAnsi="Simplified Arabic" w:cs="Simplified Arabic"/>
          <w:b/>
          <w:bCs/>
          <w:color w:val="000000" w:themeColor="text1"/>
          <w:kern w:val="0"/>
          <w:sz w:val="28"/>
          <w:szCs w:val="28"/>
          <w:rtl/>
          <w14:ligatures w14:val="none"/>
        </w:rPr>
        <w:t xml:space="preserve">أثر مؤشرات المخاطر الرئيسية على المخاطر التشغيلية بالتطبيق على شركات التأمين الجزائرية." </w:t>
      </w:r>
    </w:p>
    <w:p w14:paraId="3919D967" w14:textId="4D0906F6"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هدفت الدراسة إلى التعرف على أثر مؤشرات المخاطر الرئيسية بأبعادها (مؤشرات البيئة الداخلية، مؤشرات البيئة الخارجية، التغيرات في ظروف السوق، العيوب الاستراتيجية) على المخاطر التشغيلية في شركات التأمين الجزائرية. واستخدمت الدراسة المنهج الوصفي التحليلي بأداة الاستبانة، وتم تحليل البيانات باستخدام برنامج</w:t>
      </w:r>
      <w:r w:rsidRPr="00C316C8">
        <w:rPr>
          <w:rFonts w:ascii="Simplified Arabic" w:eastAsia="Times New Roman" w:hAnsi="Simplified Arabic" w:cs="Simplified Arabic"/>
          <w:color w:val="000000" w:themeColor="text1"/>
          <w:kern w:val="0"/>
          <w:sz w:val="28"/>
          <w:szCs w:val="28"/>
          <w14:ligatures w14:val="none"/>
        </w:rPr>
        <w:t xml:space="preserve"> SPSS v.20 </w:t>
      </w:r>
      <w:r w:rsidRPr="00C316C8">
        <w:rPr>
          <w:rFonts w:ascii="Simplified Arabic" w:eastAsia="Times New Roman" w:hAnsi="Simplified Arabic" w:cs="Simplified Arabic"/>
          <w:color w:val="000000" w:themeColor="text1"/>
          <w:kern w:val="0"/>
          <w:sz w:val="28"/>
          <w:szCs w:val="28"/>
          <w:rtl/>
          <w14:ligatures w14:val="none"/>
        </w:rPr>
        <w:t>وطريقة المربعات الجزئية الصغرى للمعادلات الهيكلية ببرنامج</w:t>
      </w:r>
      <w:r w:rsidRPr="00C316C8">
        <w:rPr>
          <w:rFonts w:ascii="Simplified Arabic" w:eastAsia="Times New Roman" w:hAnsi="Simplified Arabic" w:cs="Simplified Arabic"/>
          <w:color w:val="000000" w:themeColor="text1"/>
          <w:kern w:val="0"/>
          <w:sz w:val="28"/>
          <w:szCs w:val="28"/>
          <w14:ligatures w14:val="none"/>
        </w:rPr>
        <w:t xml:space="preserve"> SmartPLS v3.2.8. </w:t>
      </w:r>
      <w:r w:rsidRPr="00C316C8">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ودال إحصائياً لجميع مؤشرات المخاطر الرئيسية على المخاطر التشغيلية ما عدا التغيرات في ظروف السوق والعيوب الاستراتيجية. وأوصت بضرورة تفعيل وظيفة الرقابة الداخلية، وتصميم هيكل تنظيمي مرن، وتبني نظام حوكمة فعال لتدنية المخاطر التشغيلية</w:t>
      </w:r>
      <w:r w:rsidRPr="00C316C8">
        <w:rPr>
          <w:rFonts w:ascii="Simplified Arabic" w:eastAsia="Times New Roman" w:hAnsi="Simplified Arabic" w:cs="Simplified Arabic"/>
          <w:color w:val="000000" w:themeColor="text1"/>
          <w:kern w:val="0"/>
          <w:sz w:val="28"/>
          <w:szCs w:val="28"/>
          <w14:ligatures w14:val="none"/>
        </w:rPr>
        <w:t>.</w:t>
      </w:r>
    </w:p>
    <w:p w14:paraId="661E0429" w14:textId="77777777" w:rsidR="006F62E0" w:rsidRPr="00C316C8" w:rsidRDefault="006F62E0"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w:t>
      </w:r>
      <w:r w:rsidRPr="00C316C8">
        <w:rPr>
          <w:rFonts w:ascii="Simplified Arabic" w:eastAsia="Times New Roman" w:hAnsi="Simplified Arabic" w:cs="Simplified Arabic"/>
          <w:b/>
          <w:bCs/>
          <w:color w:val="000000" w:themeColor="text1"/>
          <w:kern w:val="0"/>
          <w:sz w:val="28"/>
          <w:szCs w:val="28"/>
          <w14:ligatures w14:val="none"/>
        </w:rPr>
        <w:t xml:space="preserve"> Hud</w:t>
      </w:r>
      <w:r w:rsidRPr="00C316C8">
        <w:rPr>
          <w:rFonts w:ascii="Cambria" w:eastAsia="Times New Roman" w:hAnsi="Cambria" w:cs="Cambria"/>
          <w:b/>
          <w:bCs/>
          <w:color w:val="000000" w:themeColor="text1"/>
          <w:kern w:val="0"/>
          <w:sz w:val="28"/>
          <w:szCs w:val="28"/>
          <w14:ligatures w14:val="none"/>
        </w:rPr>
        <w:t>á</w:t>
      </w:r>
      <w:r w:rsidRPr="00C316C8">
        <w:rPr>
          <w:rFonts w:ascii="Simplified Arabic" w:eastAsia="Times New Roman" w:hAnsi="Simplified Arabic" w:cs="Simplified Arabic"/>
          <w:b/>
          <w:bCs/>
          <w:color w:val="000000" w:themeColor="text1"/>
          <w:kern w:val="0"/>
          <w:sz w:val="28"/>
          <w:szCs w:val="28"/>
          <w14:ligatures w14:val="none"/>
        </w:rPr>
        <w:t>kov</w:t>
      </w:r>
      <w:r w:rsidRPr="00C316C8">
        <w:rPr>
          <w:rFonts w:ascii="Cambria" w:eastAsia="Times New Roman" w:hAnsi="Cambria" w:cs="Cambria"/>
          <w:b/>
          <w:bCs/>
          <w:color w:val="000000" w:themeColor="text1"/>
          <w:kern w:val="0"/>
          <w:sz w:val="28"/>
          <w:szCs w:val="28"/>
          <w14:ligatures w14:val="none"/>
        </w:rPr>
        <w:t>á</w:t>
      </w:r>
      <w:r w:rsidRPr="00C316C8">
        <w:rPr>
          <w:rFonts w:ascii="Simplified Arabic" w:eastAsia="Times New Roman" w:hAnsi="Simplified Arabic" w:cs="Simplified Arabic"/>
          <w:b/>
          <w:bCs/>
          <w:color w:val="000000" w:themeColor="text1"/>
          <w:kern w:val="0"/>
          <w:sz w:val="28"/>
          <w:szCs w:val="28"/>
          <w14:ligatures w14:val="none"/>
        </w:rPr>
        <w:t xml:space="preserve"> et al. (2023): </w:t>
      </w:r>
    </w:p>
    <w:p w14:paraId="32CFB846" w14:textId="28927B94" w:rsidR="006F62E0" w:rsidRPr="00C316C8" w:rsidRDefault="006F62E0"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التشغيلية بأبعادها (الاستفادة الكافية من الطاقة الإنتاجية</w:t>
      </w:r>
      <w:r w:rsidRPr="00C316C8">
        <w:rPr>
          <w:rFonts w:ascii="Simplified Arabic" w:eastAsia="Times New Roman" w:hAnsi="Simplified Arabic" w:cs="Simplified Arabic"/>
          <w:color w:val="000000" w:themeColor="text1"/>
          <w:kern w:val="0"/>
          <w:sz w:val="28"/>
          <w:szCs w:val="28"/>
          <w14:ligatures w14:val="none"/>
        </w:rPr>
        <w:t xml:space="preserve"> ORS1</w:t>
      </w:r>
      <w:r w:rsidRPr="00C316C8">
        <w:rPr>
          <w:rFonts w:ascii="Simplified Arabic" w:eastAsia="Times New Roman" w:hAnsi="Simplified Arabic" w:cs="Simplified Arabic"/>
          <w:color w:val="000000" w:themeColor="text1"/>
          <w:kern w:val="0"/>
          <w:sz w:val="28"/>
          <w:szCs w:val="28"/>
          <w:rtl/>
          <w14:ligatures w14:val="none"/>
        </w:rPr>
        <w:t>، مدى ملاءمة أسعار الموردين</w:t>
      </w:r>
      <w:r w:rsidRPr="00C316C8">
        <w:rPr>
          <w:rFonts w:ascii="Simplified Arabic" w:eastAsia="Times New Roman" w:hAnsi="Simplified Arabic" w:cs="Simplified Arabic"/>
          <w:color w:val="000000" w:themeColor="text1"/>
          <w:kern w:val="0"/>
          <w:sz w:val="28"/>
          <w:szCs w:val="28"/>
          <w14:ligatures w14:val="none"/>
        </w:rPr>
        <w:t xml:space="preserve"> ORS2</w:t>
      </w:r>
      <w:r w:rsidRPr="00C316C8">
        <w:rPr>
          <w:rFonts w:ascii="Simplified Arabic" w:eastAsia="Times New Roman" w:hAnsi="Simplified Arabic" w:cs="Simplified Arabic"/>
          <w:color w:val="000000" w:themeColor="text1"/>
          <w:kern w:val="0"/>
          <w:sz w:val="28"/>
          <w:szCs w:val="28"/>
          <w:rtl/>
          <w14:ligatures w14:val="none"/>
        </w:rPr>
        <w:t>، توزيع المنتجات/الخدمات</w:t>
      </w:r>
      <w:r w:rsidRPr="00C316C8">
        <w:rPr>
          <w:rFonts w:ascii="Simplified Arabic" w:eastAsia="Times New Roman" w:hAnsi="Simplified Arabic" w:cs="Simplified Arabic"/>
          <w:color w:val="000000" w:themeColor="text1"/>
          <w:kern w:val="0"/>
          <w:sz w:val="28"/>
          <w:szCs w:val="28"/>
          <w14:ligatures w14:val="none"/>
        </w:rPr>
        <w:t xml:space="preserve"> ORS3</w:t>
      </w:r>
      <w:r w:rsidRPr="00C316C8">
        <w:rPr>
          <w:rFonts w:ascii="Simplified Arabic" w:eastAsia="Times New Roman" w:hAnsi="Simplified Arabic" w:cs="Simplified Arabic"/>
          <w:color w:val="000000" w:themeColor="text1"/>
          <w:kern w:val="0"/>
          <w:sz w:val="28"/>
          <w:szCs w:val="28"/>
          <w:rtl/>
          <w14:ligatures w14:val="none"/>
        </w:rPr>
        <w:t>، العلاقة مع الموردين</w:t>
      </w:r>
      <w:r w:rsidRPr="00C316C8">
        <w:rPr>
          <w:rFonts w:ascii="Simplified Arabic" w:eastAsia="Times New Roman" w:hAnsi="Simplified Arabic" w:cs="Simplified Arabic"/>
          <w:color w:val="000000" w:themeColor="text1"/>
          <w:kern w:val="0"/>
          <w:sz w:val="28"/>
          <w:szCs w:val="28"/>
          <w14:ligatures w14:val="none"/>
        </w:rPr>
        <w:t xml:space="preserve"> ORS4) </w:t>
      </w:r>
      <w:r w:rsidRPr="00C316C8">
        <w:rPr>
          <w:rFonts w:ascii="Simplified Arabic" w:eastAsia="Times New Roman" w:hAnsi="Simplified Arabic" w:cs="Simplified Arabic"/>
          <w:color w:val="000000" w:themeColor="text1"/>
          <w:kern w:val="0"/>
          <w:sz w:val="28"/>
          <w:szCs w:val="28"/>
          <w:rtl/>
          <w14:ligatures w14:val="none"/>
        </w:rPr>
        <w:t>على الأداء المالي بأبعاده (ربحية المؤسسة</w:t>
      </w:r>
      <w:r w:rsidRPr="00C316C8">
        <w:rPr>
          <w:rFonts w:ascii="Simplified Arabic" w:eastAsia="Times New Roman" w:hAnsi="Simplified Arabic" w:cs="Simplified Arabic"/>
          <w:color w:val="000000" w:themeColor="text1"/>
          <w:kern w:val="0"/>
          <w:sz w:val="28"/>
          <w:szCs w:val="28"/>
          <w14:ligatures w14:val="none"/>
        </w:rPr>
        <w:t xml:space="preserve"> FPS1</w:t>
      </w:r>
      <w:r w:rsidRPr="00C316C8">
        <w:rPr>
          <w:rFonts w:ascii="Simplified Arabic" w:eastAsia="Times New Roman" w:hAnsi="Simplified Arabic" w:cs="Simplified Arabic"/>
          <w:color w:val="000000" w:themeColor="text1"/>
          <w:kern w:val="0"/>
          <w:sz w:val="28"/>
          <w:szCs w:val="28"/>
          <w:rtl/>
          <w14:ligatures w14:val="none"/>
        </w:rPr>
        <w:t xml:space="preserve">، مدى ملاءمة المديونية </w:t>
      </w:r>
      <w:r w:rsidRPr="00C316C8">
        <w:rPr>
          <w:rFonts w:ascii="Simplified Arabic" w:eastAsia="Times New Roman" w:hAnsi="Simplified Arabic" w:cs="Simplified Arabic"/>
          <w:color w:val="000000" w:themeColor="text1"/>
          <w:kern w:val="0"/>
          <w:sz w:val="28"/>
          <w:szCs w:val="28"/>
          <w14:ligatures w14:val="none"/>
        </w:rPr>
        <w:t>FPS2</w:t>
      </w:r>
      <w:r w:rsidRPr="00C316C8">
        <w:rPr>
          <w:rFonts w:ascii="Simplified Arabic" w:eastAsia="Times New Roman" w:hAnsi="Simplified Arabic" w:cs="Simplified Arabic"/>
          <w:color w:val="000000" w:themeColor="text1"/>
          <w:kern w:val="0"/>
          <w:sz w:val="28"/>
          <w:szCs w:val="28"/>
          <w:rtl/>
          <w14:ligatures w14:val="none"/>
        </w:rPr>
        <w:t>، القدرة على سداد الالتزامات</w:t>
      </w:r>
      <w:r w:rsidRPr="00C316C8">
        <w:rPr>
          <w:rFonts w:ascii="Simplified Arabic" w:eastAsia="Times New Roman" w:hAnsi="Simplified Arabic" w:cs="Simplified Arabic"/>
          <w:color w:val="000000" w:themeColor="text1"/>
          <w:kern w:val="0"/>
          <w:sz w:val="28"/>
          <w:szCs w:val="28"/>
          <w14:ligatures w14:val="none"/>
        </w:rPr>
        <w:t xml:space="preserve"> FPS3) </w:t>
      </w:r>
      <w:r w:rsidRPr="00C316C8">
        <w:rPr>
          <w:rFonts w:ascii="Simplified Arabic" w:eastAsia="Times New Roman" w:hAnsi="Simplified Arabic" w:cs="Simplified Arabic"/>
          <w:color w:val="000000" w:themeColor="text1"/>
          <w:kern w:val="0"/>
          <w:sz w:val="28"/>
          <w:szCs w:val="28"/>
          <w:rtl/>
          <w14:ligatures w14:val="none"/>
        </w:rPr>
        <w:t xml:space="preserve">في المؤسسات الصغيرة والمتوسطة بدول مجموعة فيشغراد الأربع. </w:t>
      </w:r>
      <w:r w:rsidRPr="00C316C8">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الكمي مع الاستبانة على مقياس ليكرت الخماسي وتحليل الارتباط ونمذجة الانحدار الخطي. وتكونت العينة من (1090) مالكاً ومديراً تنفيذياً في المؤسسات الصغيرة والمتوسطة (301 بولندا، 362 التشيك، 162 سلوفاكيا، 265 المجر)، جُمعت البيانات خلال ديسمبر 2022 - يناير 2023، بنسبة 64.6% مؤسسات صغرى و78.8% من الملاك</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وتوصلت نتائج الدراسة إلى أن إدارة المخاطر التشغيلية لها أثر إيجابي دال إحصائياً على تحسين ربحية المؤسسة وتقليل مديونيتها وتعزيز قدرتها على سداد التزاماتها، مع وجود فروق بين الدول في إدراك هذا الأثر. وأوصت بضرورة تبني نهج استباقي لإدارة المخاطر التشغيلية لتحسين الأداء المالي والاستدامة</w:t>
      </w:r>
      <w:r w:rsidRPr="00C316C8">
        <w:rPr>
          <w:rFonts w:ascii="Simplified Arabic" w:eastAsia="Times New Roman" w:hAnsi="Simplified Arabic" w:cs="Simplified Arabic"/>
          <w:color w:val="000000" w:themeColor="text1"/>
          <w:kern w:val="0"/>
          <w:sz w:val="28"/>
          <w:szCs w:val="28"/>
          <w14:ligatures w14:val="none"/>
        </w:rPr>
        <w:t>.</w:t>
      </w:r>
    </w:p>
    <w:p w14:paraId="169B98B6" w14:textId="77777777" w:rsidR="006F62E0" w:rsidRPr="00C316C8" w:rsidRDefault="006F62E0"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w:t>
      </w:r>
      <w:r w:rsidRPr="00C316C8">
        <w:rPr>
          <w:rFonts w:ascii="Simplified Arabic" w:eastAsia="Times New Roman" w:hAnsi="Simplified Arabic" w:cs="Simplified Arabic"/>
          <w:b/>
          <w:bCs/>
          <w:color w:val="000000" w:themeColor="text1"/>
          <w:kern w:val="0"/>
          <w:sz w:val="28"/>
          <w:szCs w:val="28"/>
          <w14:ligatures w14:val="none"/>
        </w:rPr>
        <w:t xml:space="preserve"> Cornwell et al. (2023): </w:t>
      </w:r>
    </w:p>
    <w:p w14:paraId="1C2A5AF1" w14:textId="6A3E3D94" w:rsidR="006F62E0" w:rsidRPr="00C316C8" w:rsidRDefault="006F62E0"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هدفت الدراسة إلى التعرف على كيفية استخدام تحليلات البيانات بأبعادها (تحديد المخاطر، العوامل السببية، تقدير المخاطر، التنبؤ بالمخاطر، اتخاذ قرارات المخاطر) في إدارة المخاطر التشغيلية في قطاعي الخدمات المالية والطاقة والموارد الطبيعية. واستخدمت الدراسة منهج المراجعة المنهجية للأدبيات مع تحليل ببليومتري وتحليل محتوى. وتكونت العينة من (191) دراسة ذات صلة تم اختيارها من (2538) منشوراً عبر قواعد بيانات</w:t>
      </w:r>
      <w:r w:rsidRPr="00C316C8">
        <w:rPr>
          <w:rFonts w:ascii="Simplified Arabic" w:eastAsia="Times New Roman" w:hAnsi="Simplified Arabic" w:cs="Simplified Arabic"/>
          <w:color w:val="000000" w:themeColor="text1"/>
          <w:kern w:val="0"/>
          <w:sz w:val="28"/>
          <w:szCs w:val="28"/>
          <w14:ligatures w14:val="none"/>
        </w:rPr>
        <w:t xml:space="preserve"> Scopus </w:t>
      </w:r>
      <w:r w:rsidRPr="00C316C8">
        <w:rPr>
          <w:rFonts w:ascii="Simplified Arabic" w:eastAsia="Times New Roman" w:hAnsi="Simplified Arabic" w:cs="Simplified Arabic"/>
          <w:color w:val="000000" w:themeColor="text1"/>
          <w:kern w:val="0"/>
          <w:sz w:val="28"/>
          <w:szCs w:val="28"/>
          <w:rtl/>
          <w14:ligatures w14:val="none"/>
        </w:rPr>
        <w:t>و</w:t>
      </w:r>
      <w:r w:rsidRPr="00C316C8">
        <w:rPr>
          <w:rFonts w:ascii="Simplified Arabic" w:eastAsia="Times New Roman" w:hAnsi="Simplified Arabic" w:cs="Simplified Arabic"/>
          <w:color w:val="000000" w:themeColor="text1"/>
          <w:kern w:val="0"/>
          <w:sz w:val="28"/>
          <w:szCs w:val="28"/>
          <w14:ligatures w14:val="none"/>
        </w:rPr>
        <w:t xml:space="preserve">Web of Science. </w:t>
      </w:r>
      <w:r w:rsidRPr="00C316C8">
        <w:rPr>
          <w:rFonts w:ascii="Simplified Arabic" w:eastAsia="Times New Roman" w:hAnsi="Simplified Arabic" w:cs="Simplified Arabic"/>
          <w:color w:val="000000" w:themeColor="text1"/>
          <w:kern w:val="0"/>
          <w:sz w:val="28"/>
          <w:szCs w:val="28"/>
          <w:rtl/>
          <w14:ligatures w14:val="none"/>
        </w:rPr>
        <w:t>وتوصلت نتائج الدراسة إلى خمسة محاور رئيسية لاستخدام تحليلات البيانات في إدارة المخاطر التشغيلية، وأن قطاع الطاقة يركز على تحديد العوامل السببية والتنبؤ بالحوادث بينما قطاع الخدمات المالية أكثر نضجاً في تقدير المخاطر</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وأوصت بتبني منظور المخاطر المتعددة وتوسيع استخدام تحليلات البيانات المتقدمة لتعزيز إدارة المخاطر التشغيلية</w:t>
      </w:r>
      <w:r w:rsidRPr="00C316C8">
        <w:rPr>
          <w:rFonts w:ascii="Simplified Arabic" w:eastAsia="Times New Roman" w:hAnsi="Simplified Arabic" w:cs="Simplified Arabic"/>
          <w:color w:val="000000" w:themeColor="text1"/>
          <w:kern w:val="0"/>
          <w:sz w:val="28"/>
          <w:szCs w:val="28"/>
          <w14:ligatures w14:val="none"/>
        </w:rPr>
        <w:t>.</w:t>
      </w:r>
    </w:p>
    <w:p w14:paraId="3F45E507" w14:textId="77777777" w:rsidR="006F62E0" w:rsidRPr="00C316C8" w:rsidRDefault="00F7243B"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 اليمني</w:t>
      </w:r>
      <w:r w:rsidRPr="00C316C8">
        <w:rPr>
          <w:rFonts w:ascii="Simplified Arabic" w:eastAsia="Times New Roman" w:hAnsi="Simplified Arabic" w:cs="Simplified Arabic"/>
          <w:b/>
          <w:bCs/>
          <w:color w:val="000000" w:themeColor="text1"/>
          <w:kern w:val="0"/>
          <w:sz w:val="28"/>
          <w:szCs w:val="28"/>
          <w14:ligatures w14:val="none"/>
        </w:rPr>
        <w:t xml:space="preserve"> (2024): "</w:t>
      </w:r>
      <w:r w:rsidRPr="00C316C8">
        <w:rPr>
          <w:rFonts w:ascii="Simplified Arabic" w:eastAsia="Times New Roman" w:hAnsi="Simplified Arabic" w:cs="Simplified Arabic"/>
          <w:b/>
          <w:bCs/>
          <w:color w:val="000000" w:themeColor="text1"/>
          <w:kern w:val="0"/>
          <w:sz w:val="28"/>
          <w:szCs w:val="28"/>
          <w:rtl/>
          <w14:ligatures w14:val="none"/>
        </w:rPr>
        <w:t xml:space="preserve">أثر إدارة المخاطر التشغيلية على رفع كفاءة نظم الرقابة الداخلية." </w:t>
      </w:r>
    </w:p>
    <w:p w14:paraId="7823E21D" w14:textId="777011AF"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التشغيلية بأبعادها (تحديد المخاطر، تقييم المخاطر، معالجة المخاطر، متابعة المخاطر) على كفاءة نظم الرقابة الداخلية. واستخدمت الدراسة المنهج الوصفي التحليلي. وتوصلت نتائج الدراسة إلى وجود أثر إيجابي ودال إحصائياً لإدارة المخاطر التشغيلية على كفاءة نظم الرقابة الداخلية. وأوصت بتعزيز الربط بين إدارة المخاطر التشغيلية ونظم الرقابة الداخلية وتطوير آليات المتابعة المستمرة</w:t>
      </w:r>
      <w:r w:rsidRPr="00C316C8">
        <w:rPr>
          <w:rFonts w:ascii="Simplified Arabic" w:eastAsia="Times New Roman" w:hAnsi="Simplified Arabic" w:cs="Simplified Arabic"/>
          <w:color w:val="000000" w:themeColor="text1"/>
          <w:kern w:val="0"/>
          <w:sz w:val="28"/>
          <w:szCs w:val="28"/>
          <w14:ligatures w14:val="none"/>
        </w:rPr>
        <w:t>.</w:t>
      </w:r>
    </w:p>
    <w:p w14:paraId="2163661B" w14:textId="77777777" w:rsidR="006F62E0" w:rsidRPr="00C316C8" w:rsidRDefault="00F7243B" w:rsidP="006F62E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دراسة الرحاحلة</w:t>
      </w:r>
      <w:r w:rsidRPr="00C316C8">
        <w:rPr>
          <w:rFonts w:ascii="Simplified Arabic" w:eastAsia="Times New Roman" w:hAnsi="Simplified Arabic" w:cs="Simplified Arabic"/>
          <w:b/>
          <w:bCs/>
          <w:color w:val="000000" w:themeColor="text1"/>
          <w:kern w:val="0"/>
          <w:sz w:val="28"/>
          <w:szCs w:val="28"/>
          <w14:ligatures w14:val="none"/>
        </w:rPr>
        <w:t xml:space="preserve"> (2025): "</w:t>
      </w:r>
      <w:r w:rsidRPr="00C316C8">
        <w:rPr>
          <w:rFonts w:ascii="Simplified Arabic" w:eastAsia="Times New Roman" w:hAnsi="Simplified Arabic" w:cs="Simplified Arabic"/>
          <w:b/>
          <w:bCs/>
          <w:color w:val="000000" w:themeColor="text1"/>
          <w:kern w:val="0"/>
          <w:sz w:val="28"/>
          <w:szCs w:val="28"/>
          <w:rtl/>
          <w14:ligatures w14:val="none"/>
        </w:rPr>
        <w:t xml:space="preserve">دور الذكاء الاصطناعي في تعزيز الامتثال لإدارة مخاطر الأمن السيبراني." </w:t>
      </w:r>
    </w:p>
    <w:p w14:paraId="6FDDB8D3" w14:textId="7D50D346"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الذكاء الاصطناعي بأبعاده (التعلم الآلي، معالجة اللغة الطبيعية، التحليل التنبؤي) في تعزيز الامتثال لإدارة مخاطر الأمن السيبراني. واستخدمت الدراسة المنهج الوصفي التحليلي ومنهج المراجعة الأدبية المنهجية. وتوصلت نتائج الدراسة إلى أن تقنيات الذكاء الاصطناعي تسهم بشكل ملحوظ في تعزيز الامتثال وإدارة المخاطر السيبرانية عبر الكشف الاستباقي عن التهديدات وتحليل الأنماط السلوكية. وأوصت بضرورة تبني المنظمات لتقنيات الذكاء الاصطناعي في أنظمة الامتثال وإدارة المخاطر</w:t>
      </w:r>
      <w:r w:rsidRPr="00C316C8">
        <w:rPr>
          <w:rFonts w:ascii="Simplified Arabic" w:eastAsia="Times New Roman" w:hAnsi="Simplified Arabic" w:cs="Simplified Arabic"/>
          <w:color w:val="000000" w:themeColor="text1"/>
          <w:kern w:val="0"/>
          <w:sz w:val="28"/>
          <w:szCs w:val="28"/>
          <w14:ligatures w14:val="none"/>
        </w:rPr>
        <w:t>.</w:t>
      </w:r>
    </w:p>
    <w:p w14:paraId="2B77E0D6" w14:textId="670B720A" w:rsidR="006F62E0" w:rsidRPr="00C316C8" w:rsidRDefault="006F62E0" w:rsidP="006F62E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6" w:name="_Toc169790501"/>
      <w:bookmarkStart w:id="17" w:name="_Toc233380453"/>
      <w:bookmarkEnd w:id="13"/>
      <w:r w:rsidRPr="00C316C8">
        <w:rPr>
          <w:rFonts w:ascii="Simplified Arabic" w:eastAsia="Times New Roman" w:hAnsi="Simplified Arabic" w:cs="Simplified Arabic"/>
          <w:b/>
          <w:bCs/>
          <w:color w:val="000000" w:themeColor="text1"/>
          <w:kern w:val="0"/>
          <w:sz w:val="36"/>
          <w:szCs w:val="36"/>
          <w:rtl/>
          <w14:ligatures w14:val="none"/>
        </w:rPr>
        <w:t>8.1 الفجوة البحثية:</w:t>
      </w:r>
      <w:bookmarkEnd w:id="17"/>
    </w:p>
    <w:p w14:paraId="4AEAF944" w14:textId="77777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 xml:space="preserve">تتفق الدراسة الحالية مع عدد كبير من الدراسات السابقة في عدة جوانب جوهرية، إذ تشترك مع دراسة تلخوخ (2024) ودراسة </w:t>
      </w:r>
      <w:r w:rsidRPr="00C316C8">
        <w:rPr>
          <w:rFonts w:ascii="Simplified Arabic" w:eastAsia="Times New Roman" w:hAnsi="Simplified Arabic" w:cs="Simplified Arabic"/>
          <w:color w:val="000000" w:themeColor="text1"/>
          <w:kern w:val="0"/>
          <w:sz w:val="28"/>
          <w:szCs w:val="28"/>
          <w14:ligatures w14:val="none"/>
        </w:rPr>
        <w:t xml:space="preserve">Ciobanu et al. (2023) </w:t>
      </w:r>
      <w:r w:rsidRPr="00C316C8">
        <w:rPr>
          <w:rFonts w:ascii="Simplified Arabic" w:eastAsia="Times New Roman" w:hAnsi="Simplified Arabic" w:cs="Simplified Arabic"/>
          <w:color w:val="000000" w:themeColor="text1"/>
          <w:kern w:val="0"/>
          <w:sz w:val="28"/>
          <w:szCs w:val="28"/>
          <w:rtl/>
          <w14:ligatures w14:val="none"/>
        </w:rPr>
        <w:t>ودراسة</w:t>
      </w:r>
      <w:r w:rsidRPr="00C316C8">
        <w:rPr>
          <w:rFonts w:ascii="Simplified Arabic" w:eastAsia="Times New Roman" w:hAnsi="Simplified Arabic" w:cs="Simplified Arabic"/>
          <w:color w:val="000000" w:themeColor="text1"/>
          <w:kern w:val="0"/>
          <w:sz w:val="28"/>
          <w:szCs w:val="28"/>
          <w14:ligatures w14:val="none"/>
        </w:rPr>
        <w:t xml:space="preserve"> Mwambela (2024) </w:t>
      </w:r>
      <w:r w:rsidRPr="00C316C8">
        <w:rPr>
          <w:rFonts w:ascii="Simplified Arabic" w:eastAsia="Times New Roman" w:hAnsi="Simplified Arabic" w:cs="Simplified Arabic"/>
          <w:color w:val="000000" w:themeColor="text1"/>
          <w:kern w:val="0"/>
          <w:sz w:val="28"/>
          <w:szCs w:val="28"/>
          <w:rtl/>
          <w14:ligatures w14:val="none"/>
        </w:rPr>
        <w:t>في التأكيد على أهمية تكامل ممارسات إدارة الموارد البشرية بوصفه رافعة استراتيجية لتحسين الأداء التنظيمي، كما تلتقي مع دراسة الزغيلات القرالة (2018) ودراسة</w:t>
      </w:r>
      <w:r w:rsidRPr="00C316C8">
        <w:rPr>
          <w:rFonts w:ascii="Simplified Arabic" w:eastAsia="Times New Roman" w:hAnsi="Simplified Arabic" w:cs="Simplified Arabic"/>
          <w:color w:val="000000" w:themeColor="text1"/>
          <w:kern w:val="0"/>
          <w:sz w:val="28"/>
          <w:szCs w:val="28"/>
          <w14:ligatures w14:val="none"/>
        </w:rPr>
        <w:t xml:space="preserve"> Aburumman (2024) </w:t>
      </w:r>
      <w:r w:rsidRPr="00C316C8">
        <w:rPr>
          <w:rFonts w:ascii="Simplified Arabic" w:eastAsia="Times New Roman" w:hAnsi="Simplified Arabic" w:cs="Simplified Arabic"/>
          <w:color w:val="000000" w:themeColor="text1"/>
          <w:kern w:val="0"/>
          <w:sz w:val="28"/>
          <w:szCs w:val="28"/>
          <w:rtl/>
          <w14:ligatures w14:val="none"/>
        </w:rPr>
        <w:t>في تناول أبعاد محددة لممارسات الموارد البشرية كالاستقطاب والتدريب وتقييم الأداء والحوافز وأثرها على الالتزام والأداء، فضلًا عن اتفاقها مع دراسة خوجة وعلمي (2022) ودراسة</w:t>
      </w:r>
      <w:r w:rsidRPr="00C316C8">
        <w:rPr>
          <w:rFonts w:ascii="Simplified Arabic" w:eastAsia="Times New Roman" w:hAnsi="Simplified Arabic" w:cs="Simplified Arabic"/>
          <w:color w:val="000000" w:themeColor="text1"/>
          <w:kern w:val="0"/>
          <w:sz w:val="28"/>
          <w:szCs w:val="28"/>
          <w14:ligatures w14:val="none"/>
        </w:rPr>
        <w:t xml:space="preserve"> Hud</w:t>
      </w:r>
      <w:r w:rsidRPr="00C316C8">
        <w:rPr>
          <w:rFonts w:ascii="Cambria" w:eastAsia="Times New Roman" w:hAnsi="Cambria" w:cs="Cambria"/>
          <w:color w:val="000000" w:themeColor="text1"/>
          <w:kern w:val="0"/>
          <w:sz w:val="28"/>
          <w:szCs w:val="28"/>
          <w14:ligatures w14:val="none"/>
        </w:rPr>
        <w:t>á</w:t>
      </w:r>
      <w:r w:rsidRPr="00C316C8">
        <w:rPr>
          <w:rFonts w:ascii="Simplified Arabic" w:eastAsia="Times New Roman" w:hAnsi="Simplified Arabic" w:cs="Simplified Arabic"/>
          <w:color w:val="000000" w:themeColor="text1"/>
          <w:kern w:val="0"/>
          <w:sz w:val="28"/>
          <w:szCs w:val="28"/>
          <w14:ligatures w14:val="none"/>
        </w:rPr>
        <w:t>kov</w:t>
      </w:r>
      <w:r w:rsidRPr="00C316C8">
        <w:rPr>
          <w:rFonts w:ascii="Cambria" w:eastAsia="Times New Roman" w:hAnsi="Cambria" w:cs="Cambria"/>
          <w:color w:val="000000" w:themeColor="text1"/>
          <w:kern w:val="0"/>
          <w:sz w:val="28"/>
          <w:szCs w:val="28"/>
          <w14:ligatures w14:val="none"/>
        </w:rPr>
        <w:t>á</w:t>
      </w:r>
      <w:r w:rsidRPr="00C316C8">
        <w:rPr>
          <w:rFonts w:ascii="Simplified Arabic" w:eastAsia="Times New Roman" w:hAnsi="Simplified Arabic" w:cs="Simplified Arabic"/>
          <w:color w:val="000000" w:themeColor="text1"/>
          <w:kern w:val="0"/>
          <w:sz w:val="28"/>
          <w:szCs w:val="28"/>
          <w14:ligatures w14:val="none"/>
        </w:rPr>
        <w:t xml:space="preserve"> et al. (2023) </w:t>
      </w:r>
      <w:r w:rsidRPr="00C316C8">
        <w:rPr>
          <w:rFonts w:ascii="Simplified Arabic" w:eastAsia="Times New Roman" w:hAnsi="Simplified Arabic" w:cs="Simplified Arabic"/>
          <w:color w:val="000000" w:themeColor="text1"/>
          <w:kern w:val="0"/>
          <w:sz w:val="28"/>
          <w:szCs w:val="28"/>
          <w:rtl/>
          <w14:ligatures w14:val="none"/>
        </w:rPr>
        <w:t>في التركيز على المخاطر التشغيلية وآليات تقليلها من خلال الرقابة الداخلية والحوكمة الفعّالة. وتتوافق كذلك مع معظم الدراسات السابقة في اعتماد المنهج الوصفي التحليلي أداةً منهجية، واستخدام الاستبانة وسيلةً رئيسة لجمع البيانات الأولية، وتوظيف الأساليب الإحصائية المتقدمة كتحليل الانحدار ومعاملات الارتباط ونمذجة المعادلات الهيكلية لاختبار الفرضيات</w:t>
      </w:r>
      <w:r w:rsidRPr="00C316C8">
        <w:rPr>
          <w:rFonts w:ascii="Simplified Arabic" w:eastAsia="Times New Roman" w:hAnsi="Simplified Arabic" w:cs="Simplified Arabic"/>
          <w:color w:val="000000" w:themeColor="text1"/>
          <w:kern w:val="0"/>
          <w:sz w:val="28"/>
          <w:szCs w:val="28"/>
          <w14:ligatures w14:val="none"/>
        </w:rPr>
        <w:t>.</w:t>
      </w:r>
    </w:p>
    <w:p w14:paraId="33697D38" w14:textId="77777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غير أن الدراسة الحالية تتميز عن الدراسات السابقة وتختلف معها في عدة أبعاد جوهرية تمنحها إضافة علمية مستقلة؛ فمن حيث النموذج المفاهيمي، لم تتناول أيٌّ من الدراسات السابقة تكامل إدارة الموارد البشرية بأبعاده الأربعة مجتمعةً — الاستراتيجي والتقني/الرقمي والكفاءات وتطوير رأس المال البشري والثقافي/البيئة الداعمة — في نموذج واحد يربطها بمتغير تابع مركّب يجمع بين الامتثال التنظيمي وتقليل المخاطر التشغيلية، حيث ركّزت دراسة تلخوخ (2024) على البُعد المعرفي فقط، واقتصرت دراسة</w:t>
      </w:r>
      <w:r w:rsidRPr="00C316C8">
        <w:rPr>
          <w:rFonts w:ascii="Simplified Arabic" w:eastAsia="Times New Roman" w:hAnsi="Simplified Arabic" w:cs="Simplified Arabic"/>
          <w:color w:val="000000" w:themeColor="text1"/>
          <w:kern w:val="0"/>
          <w:sz w:val="28"/>
          <w:szCs w:val="28"/>
          <w14:ligatures w14:val="none"/>
        </w:rPr>
        <w:t xml:space="preserve"> Teng et al. (2023) </w:t>
      </w:r>
      <w:r w:rsidRPr="00C316C8">
        <w:rPr>
          <w:rFonts w:ascii="Simplified Arabic" w:eastAsia="Times New Roman" w:hAnsi="Simplified Arabic" w:cs="Simplified Arabic"/>
          <w:color w:val="000000" w:themeColor="text1"/>
          <w:kern w:val="0"/>
          <w:sz w:val="28"/>
          <w:szCs w:val="28"/>
          <w:rtl/>
          <w14:ligatures w14:val="none"/>
        </w:rPr>
        <w:t xml:space="preserve">على ممارسات الموارد البشرية التقليدية دون إدماج البُعد الثقافي والتقني. ومن حيث السياق التطبيقي، تنفرد الدراسة الحالية بتطبيقها على الشركات الصناعية في المدينة الصناعية الثانية بالرياض — وهو قطاع حيوي مرتبط برؤية المملكة العربية السعودية 2030 — في حين طُبّقت الدراسات السابقة في </w:t>
      </w:r>
      <w:r w:rsidRPr="00C316C8">
        <w:rPr>
          <w:rFonts w:ascii="Simplified Arabic" w:eastAsia="Times New Roman" w:hAnsi="Simplified Arabic" w:cs="Simplified Arabic"/>
          <w:color w:val="000000" w:themeColor="text1"/>
          <w:kern w:val="0"/>
          <w:sz w:val="28"/>
          <w:szCs w:val="28"/>
          <w:rtl/>
          <w14:ligatures w14:val="none"/>
        </w:rPr>
        <w:lastRenderedPageBreak/>
        <w:t>بيئات مختلفة كوزارات التربية الأردنية (الزغيلات القرالة، 2018)، وشركات التأمين الجزائرية (خوجة وعلمي، 2022)، ومؤسسات القطاع العام الروماني</w:t>
      </w:r>
      <w:r w:rsidRPr="00C316C8">
        <w:rPr>
          <w:rFonts w:ascii="Simplified Arabic" w:eastAsia="Times New Roman" w:hAnsi="Simplified Arabic" w:cs="Simplified Arabic"/>
          <w:color w:val="000000" w:themeColor="text1"/>
          <w:kern w:val="0"/>
          <w:sz w:val="28"/>
          <w:szCs w:val="28"/>
          <w14:ligatures w14:val="none"/>
        </w:rPr>
        <w:t xml:space="preserve"> (Ciobanu et al., 2023</w:t>
      </w:r>
      <w:proofErr w:type="gramStart"/>
      <w:r w:rsidRPr="00C316C8">
        <w:rPr>
          <w:rFonts w:ascii="Simplified Arabic" w:eastAsia="Times New Roman" w:hAnsi="Simplified Arabic" w:cs="Simplified Arabic"/>
          <w:color w:val="000000" w:themeColor="text1"/>
          <w:kern w:val="0"/>
          <w:sz w:val="28"/>
          <w:szCs w:val="28"/>
          <w14:ligatures w14:val="none"/>
        </w:rPr>
        <w:t>)</w:t>
      </w:r>
      <w:r w:rsidRPr="00C316C8">
        <w:rPr>
          <w:rFonts w:ascii="Simplified Arabic" w:eastAsia="Times New Roman" w:hAnsi="Simplified Arabic" w:cs="Simplified Arabic"/>
          <w:color w:val="000000" w:themeColor="text1"/>
          <w:kern w:val="0"/>
          <w:sz w:val="28"/>
          <w:szCs w:val="28"/>
          <w:rtl/>
          <w14:ligatures w14:val="none"/>
        </w:rPr>
        <w:t>،</w:t>
      </w:r>
      <w:proofErr w:type="gramEnd"/>
      <w:r w:rsidRPr="00C316C8">
        <w:rPr>
          <w:rFonts w:ascii="Simplified Arabic" w:eastAsia="Times New Roman" w:hAnsi="Simplified Arabic" w:cs="Simplified Arabic"/>
          <w:color w:val="000000" w:themeColor="text1"/>
          <w:kern w:val="0"/>
          <w:sz w:val="28"/>
          <w:szCs w:val="28"/>
          <w:rtl/>
          <w14:ligatures w14:val="none"/>
        </w:rPr>
        <w:t xml:space="preserve"> والمؤسسات الصغيرة والمتوسطة في تنزانيا</w:t>
      </w:r>
      <w:r w:rsidRPr="00C316C8">
        <w:rPr>
          <w:rFonts w:ascii="Simplified Arabic" w:eastAsia="Times New Roman" w:hAnsi="Simplified Arabic" w:cs="Simplified Arabic"/>
          <w:color w:val="000000" w:themeColor="text1"/>
          <w:kern w:val="0"/>
          <w:sz w:val="28"/>
          <w:szCs w:val="28"/>
          <w14:ligatures w14:val="none"/>
        </w:rPr>
        <w:t xml:space="preserve"> (Mwambela, 2024). </w:t>
      </w:r>
      <w:r w:rsidRPr="00C316C8">
        <w:rPr>
          <w:rFonts w:ascii="Simplified Arabic" w:eastAsia="Times New Roman" w:hAnsi="Simplified Arabic" w:cs="Simplified Arabic"/>
          <w:color w:val="000000" w:themeColor="text1"/>
          <w:kern w:val="0"/>
          <w:sz w:val="28"/>
          <w:szCs w:val="28"/>
          <w:rtl/>
          <w14:ligatures w14:val="none"/>
        </w:rPr>
        <w:t>كما تختلف الدراسة الحالية في حجم عينتها المستهدف البالغ 420 استبانة موزعة وفق أسلوب العينة العشوائية الطبقية، وهو ما يفوق عينات عدد من الدراسات السابقة ويعزز القدرة على تعميم النتائج ضمن المجتمع المستهدف</w:t>
      </w:r>
      <w:r w:rsidRPr="00C316C8">
        <w:rPr>
          <w:rFonts w:ascii="Simplified Arabic" w:eastAsia="Times New Roman" w:hAnsi="Simplified Arabic" w:cs="Simplified Arabic"/>
          <w:color w:val="000000" w:themeColor="text1"/>
          <w:kern w:val="0"/>
          <w:sz w:val="28"/>
          <w:szCs w:val="28"/>
          <w14:ligatures w14:val="none"/>
        </w:rPr>
        <w:t>.</w:t>
      </w:r>
    </w:p>
    <w:p w14:paraId="508A83FB" w14:textId="77777777" w:rsidR="006F62E0" w:rsidRPr="00C316C8" w:rsidRDefault="006F62E0" w:rsidP="006F62E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169790502"/>
      <w:bookmarkStart w:id="19" w:name="_Toc233380454"/>
      <w:bookmarkEnd w:id="16"/>
      <w:r w:rsidRPr="00C316C8">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9"/>
    </w:p>
    <w:p w14:paraId="06A8A539" w14:textId="6CF62180" w:rsidR="006F62E0" w:rsidRPr="00C316C8" w:rsidRDefault="006F62E0" w:rsidP="006F62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316C8">
        <w:rPr>
          <w:rFonts w:ascii="Simplified Arabic" w:eastAsia="Times New Roman" w:hAnsi="Simplified Arabic" w:cs="Simplified Arabic"/>
          <w:b/>
          <w:bCs/>
          <w:color w:val="000000" w:themeColor="text1"/>
          <w:kern w:val="0"/>
          <w:sz w:val="32"/>
          <w:szCs w:val="32"/>
          <w:rtl/>
          <w14:ligatures w14:val="none"/>
        </w:rPr>
        <w:t>أولاً: تكامل إدارة الموارد البشرية</w:t>
      </w:r>
    </w:p>
    <w:p w14:paraId="46F963A0" w14:textId="77777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يُعد مفهوم تكامل إدارة الموارد البشرية من المفاهيم الإدارية الحديثة التي تطورت استجابة للتحولات الجذرية في بيئة الأعمال المعاصرة، وينبثق هذا المفهوم من الانتقال الفكري الذي شهده حقل إدارة الموارد البشرية من المقاربة التقليدية التي تتعامل مع وظائف الموارد البشرية كأنشطة إدارية منفصلة ومستقلة عن بعضها بعضاً إلى المقاربة الاستراتيجية التي تنظر إليها بوصفها منظومة متكاملة ومترابطة تعمل في تناغم مع الأهداف الاستراتيجية الكلية للمنظمة. ويُشير تكامل إدارة الموارد البشرية في هذه الدراسة إلى المواءمة المنهجية والشاملة بين مختلف وظائف وعمليات إدارة الموارد البشرية على المستويات الاستراتيجية والتقنية والبشرية والثقافية بما يضمن اتساق السياسات والإجراءات وتعاضد مخرجاتها في تحقيق الأداء المؤسسي المتميز. وقد أكدت الأدبيات الإدارية أن الإدارة الاستراتيجية للموارد البشرية حين تتكامل مع الوظائف المعرفية والتنظيمية الأخرى تُنتج ميزات تنافسية مرتبطة بالكفاءة والتكاليف وجودة الخدمات من خلال آليات التعاون والاتصال وتسهيل المعرفة (تلخوخ، 2024). كما أثبتت الدراسات أن التطوير المتزامن لممارسات الموارد البشرية مع القدرات المؤسسية الأخرى يُفضي إلى مسارات متعددة لتحقيق أداء مؤسسي عالٍ لا يمكن بلوغه من خلال ممارسة فردية بمعزل عن غيرها</w:t>
      </w:r>
      <w:r w:rsidRPr="00C316C8">
        <w:rPr>
          <w:rFonts w:ascii="Simplified Arabic" w:eastAsia="Times New Roman" w:hAnsi="Simplified Arabic" w:cs="Simplified Arabic"/>
          <w:color w:val="000000" w:themeColor="text1"/>
          <w:kern w:val="0"/>
          <w:sz w:val="28"/>
          <w:szCs w:val="28"/>
          <w14:ligatures w14:val="none"/>
        </w:rPr>
        <w:t xml:space="preserve"> (Teng et al., 2023).</w:t>
      </w:r>
    </w:p>
    <w:p w14:paraId="686FD5D4" w14:textId="77777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 xml:space="preserve">وتتحدد أبعاد تكامل إدارة الموارد البشرية في هذه الدراسة في أربعة أبعاد رئيسية. يتمثل البُعد الأول في التكامل الاستراتيجي لوظائف الموارد البشرية والذي يُعرّف إجرائياً بأنه درجة المواءمة بين سياسات وممارسات الاستقطاب والتدريب وتقييم الأداء والتعويضات من جهة والأهداف الاستراتيجية الكلية للمنظمة من جهة أخرى، بحيث تعمل هذه الوظائف كمنظومة متسقة تدعم التوجه الاستراتيجي وتُسهم في تنفيذه. وقد أوضحت الدراسات أن الإدارة الاستراتيجية للموارد البشرية تستلزم مشاركة فاعلة لمديري الموارد البشرية </w:t>
      </w:r>
      <w:r w:rsidRPr="00C316C8">
        <w:rPr>
          <w:rFonts w:ascii="Simplified Arabic" w:eastAsia="Times New Roman" w:hAnsi="Simplified Arabic" w:cs="Simplified Arabic"/>
          <w:color w:val="000000" w:themeColor="text1"/>
          <w:kern w:val="0"/>
          <w:sz w:val="28"/>
          <w:szCs w:val="28"/>
          <w:rtl/>
          <w14:ligatures w14:val="none"/>
        </w:rPr>
        <w:lastRenderedPageBreak/>
        <w:t>في صنع القرار الاستراتيجي إلى جانب كبار المديرين لتحقيق التكامل الحقيقي بين أهداف الموارد البشرية وأهداف المنظمة</w:t>
      </w:r>
      <w:r w:rsidRPr="00C316C8">
        <w:rPr>
          <w:rFonts w:ascii="Simplified Arabic" w:eastAsia="Times New Roman" w:hAnsi="Simplified Arabic" w:cs="Simplified Arabic"/>
          <w:color w:val="000000" w:themeColor="text1"/>
          <w:kern w:val="0"/>
          <w:sz w:val="28"/>
          <w:szCs w:val="28"/>
          <w14:ligatures w14:val="none"/>
        </w:rPr>
        <w:t xml:space="preserve"> (Mwambela, 2024).</w:t>
      </w:r>
    </w:p>
    <w:p w14:paraId="256B04A7" w14:textId="77777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أما البُعد الثاني فيتمثل في التكامل التقني ورقمنة عمليات الموارد البشرية ويُعرّف إجرائياً بأنه مستوى توظيف نظم المعلومات المتكاملة والتقنيات الرقمية في أتمتة إجراءات الموارد البشرية وتحليل بياناتها وربطها بالأنظمة التنظيمية الأخرى كأنظمة الجودة والسلامة والامتثال، مما يُتيح تدفقاً سلساً للمعلومات واتخاذ قرارات مبنية على البيانات. ويُعد التكامل التقني ركيزة أساسية في المنظمات المعاصرة حيث أثبتت الدراسات أن الرقمنة تُحدث تحولاً جوهرياً في إدارة المخاطر والامتثال من خلال تمكين المراقبة الاستباقية واتخاذ القرارات في الوقت الحقيقي</w:t>
      </w:r>
      <w:r w:rsidRPr="00C316C8">
        <w:rPr>
          <w:rFonts w:ascii="Simplified Arabic" w:eastAsia="Times New Roman" w:hAnsi="Simplified Arabic" w:cs="Simplified Arabic"/>
          <w:color w:val="000000" w:themeColor="text1"/>
          <w:kern w:val="0"/>
          <w:sz w:val="28"/>
          <w:szCs w:val="28"/>
          <w14:ligatures w14:val="none"/>
        </w:rPr>
        <w:t xml:space="preserve"> (Cornwell et al., 2023).</w:t>
      </w:r>
    </w:p>
    <w:p w14:paraId="159E3DF5" w14:textId="77777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ويتناول البُعد الثالث تكامل إدارة الكفاءات وتطوير رأس المال البشري والذي يُعرّف إجرائياً بأنه مدى تبني المنظمة لمنهجية شاملة في التخطيط الاستراتيجي للقوى العاملة وتصميم برامج التطوير المهني المستمر وإدارة المواهب وتخطيط المسارات الوظيفية بشكل مترابط يضمن توفير الكفاءات المناسبة في الوقت المناسب. وقد أشارت الأدبيات إلى أن التدريب وتقييم الأداء يمثلان شروطاً جوهرية في جميع تكوينات الأداء العالي وأن الاستثمار في تطوير مهارات العاملين يُسهم بشكل مباشر في تحسين جودة العمليات وتقليل الأخطاء التشغيلية</w:t>
      </w:r>
      <w:r w:rsidRPr="00C316C8">
        <w:rPr>
          <w:rFonts w:ascii="Simplified Arabic" w:eastAsia="Times New Roman" w:hAnsi="Simplified Arabic" w:cs="Simplified Arabic"/>
          <w:color w:val="000000" w:themeColor="text1"/>
          <w:kern w:val="0"/>
          <w:sz w:val="28"/>
          <w:szCs w:val="28"/>
          <w14:ligatures w14:val="none"/>
        </w:rPr>
        <w:t xml:space="preserve"> (Teng et al., 2023).</w:t>
      </w:r>
    </w:p>
    <w:p w14:paraId="72BB97D3" w14:textId="77777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ويتصل البُعد الرابع بـ التكامل الثقافي وبناء بيئة العمل الداعمة والذي يُعرّف إجرائياً بأنه درجة نجاح المنظمة في ترسيخ منظومة من القيم المشتركة كالشفافية والمساءلة والنزاهة وتعزيز ثقافة الالتزام المؤسسي وتمكين العاملين وتشجيعهم على المبادرة والإبلاغ عن المخاطر والمخالفات</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وقد بيّنت الدراسات أن القيم التنظيمية المشتركة تلعب دوراً محورياً في تعزيز ثقافة الامتثال وأن المنظمات التي تنجح في دمج هذه القيم في ممارساتها اليومية تحقق مستويات أعلى من الالتزام التنظيمي</w:t>
      </w:r>
      <w:r w:rsidRPr="00C316C8">
        <w:rPr>
          <w:rFonts w:ascii="Simplified Arabic" w:eastAsia="Times New Roman" w:hAnsi="Simplified Arabic" w:cs="Simplified Arabic"/>
          <w:color w:val="000000" w:themeColor="text1"/>
          <w:kern w:val="0"/>
          <w:sz w:val="28"/>
          <w:szCs w:val="28"/>
          <w14:ligatures w14:val="none"/>
        </w:rPr>
        <w:t xml:space="preserve"> (Plasencia Soler et al., 2023).</w:t>
      </w:r>
    </w:p>
    <w:p w14:paraId="21BC5FDB" w14:textId="6EB02FDB" w:rsidR="00F7243B" w:rsidRPr="00C316C8" w:rsidRDefault="00F7243B" w:rsidP="006F62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3603162"/>
      <w:r w:rsidRPr="00C316C8">
        <w:rPr>
          <w:rFonts w:ascii="Simplified Arabic" w:eastAsia="Times New Roman" w:hAnsi="Simplified Arabic" w:cs="Simplified Arabic"/>
          <w:b/>
          <w:bCs/>
          <w:color w:val="000000" w:themeColor="text1"/>
          <w:kern w:val="0"/>
          <w:sz w:val="32"/>
          <w:szCs w:val="32"/>
          <w:rtl/>
          <w14:ligatures w14:val="none"/>
        </w:rPr>
        <w:t>ثانياً: الامتثال التنظيمي وتقليل المخاطر التشغيلية</w:t>
      </w:r>
      <w:bookmarkEnd w:id="20"/>
    </w:p>
    <w:p w14:paraId="52B6251B" w14:textId="77777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يمثل الامتثال التنظيمي وتقليل المخاطر التشغيلية المتغير التابع في هذه الدراسة، ويُعالَج بوصفه محوراً واحداً متكاملاً يعكس الوجهين المتلازمين لحماية المنظمة واستدامة عملياتها</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 xml:space="preserve">ويُعرّف الامتثال التنظيمي إجرائياً في هذه الدراسة بأنه درجة التزام الشركات الصناعية بالأنظمة والتشريعات واللوائح الحكومية والمعايير الصناعية والسياسات الداخلية المنظمة لعملياتها، بما يشمل اشتراطات السلامة والصحة المهنية والبيئة </w:t>
      </w:r>
      <w:r w:rsidRPr="00C316C8">
        <w:rPr>
          <w:rFonts w:ascii="Simplified Arabic" w:eastAsia="Times New Roman" w:hAnsi="Simplified Arabic" w:cs="Simplified Arabic"/>
          <w:color w:val="000000" w:themeColor="text1"/>
          <w:kern w:val="0"/>
          <w:sz w:val="28"/>
          <w:szCs w:val="28"/>
          <w:rtl/>
          <w14:ligatures w14:val="none"/>
        </w:rPr>
        <w:lastRenderedPageBreak/>
        <w:t>ومعايير الجودة وأنظمة العمل والتوظيف. أما المخاطر التشغيلية فتُعرّف بأنها احتمالية تعرض المنظمة لخسائر مادية أو معنوية ناجمة عن قصور أو فشل في العمليات الداخلية أو الموارد البشرية أو الأنظمة التقنية أو أحداث خارجية، وتشمل الأخطاء البشرية والأعطال التقنية وانقطاع سلاسل الإمداد وعدم كفاية الطاقة الإنتاجية. وقد عرّف</w:t>
      </w:r>
      <w:r w:rsidRPr="00C316C8">
        <w:rPr>
          <w:rFonts w:ascii="Simplified Arabic" w:eastAsia="Times New Roman" w:hAnsi="Simplified Arabic" w:cs="Simplified Arabic"/>
          <w:color w:val="000000" w:themeColor="text1"/>
          <w:kern w:val="0"/>
          <w:sz w:val="28"/>
          <w:szCs w:val="28"/>
          <w14:ligatures w14:val="none"/>
        </w:rPr>
        <w:t xml:space="preserve"> Lopez </w:t>
      </w:r>
      <w:r w:rsidRPr="00C316C8">
        <w:rPr>
          <w:rFonts w:ascii="Simplified Arabic" w:eastAsia="Times New Roman" w:hAnsi="Simplified Arabic" w:cs="Simplified Arabic"/>
          <w:color w:val="000000" w:themeColor="text1"/>
          <w:kern w:val="0"/>
          <w:sz w:val="28"/>
          <w:szCs w:val="28"/>
          <w:rtl/>
          <w14:ligatures w14:val="none"/>
        </w:rPr>
        <w:t>المخاطر التشغيلية بأنها مخاطر الخسارة الناشئة عن عدم كفاية أو فشل العمليات الداخلية والأفراد والأنظمة أو الأحداث الخارجية</w:t>
      </w:r>
      <w:r w:rsidRPr="00C316C8">
        <w:rPr>
          <w:rFonts w:ascii="Simplified Arabic" w:eastAsia="Times New Roman" w:hAnsi="Simplified Arabic" w:cs="Simplified Arabic"/>
          <w:color w:val="000000" w:themeColor="text1"/>
          <w:kern w:val="0"/>
          <w:sz w:val="28"/>
          <w:szCs w:val="28"/>
          <w14:ligatures w14:val="none"/>
        </w:rPr>
        <w:t xml:space="preserve"> (Hud</w:t>
      </w:r>
      <w:r w:rsidRPr="00C316C8">
        <w:rPr>
          <w:rFonts w:ascii="Cambria" w:eastAsia="Times New Roman" w:hAnsi="Cambria" w:cs="Cambria"/>
          <w:color w:val="000000" w:themeColor="text1"/>
          <w:kern w:val="0"/>
          <w:sz w:val="28"/>
          <w:szCs w:val="28"/>
          <w14:ligatures w14:val="none"/>
        </w:rPr>
        <w:t>á</w:t>
      </w:r>
      <w:r w:rsidRPr="00C316C8">
        <w:rPr>
          <w:rFonts w:ascii="Simplified Arabic" w:eastAsia="Times New Roman" w:hAnsi="Simplified Arabic" w:cs="Simplified Arabic"/>
          <w:color w:val="000000" w:themeColor="text1"/>
          <w:kern w:val="0"/>
          <w:sz w:val="28"/>
          <w:szCs w:val="28"/>
          <w14:ligatures w14:val="none"/>
        </w:rPr>
        <w:t>kov</w:t>
      </w:r>
      <w:r w:rsidRPr="00C316C8">
        <w:rPr>
          <w:rFonts w:ascii="Cambria" w:eastAsia="Times New Roman" w:hAnsi="Cambria" w:cs="Cambria"/>
          <w:color w:val="000000" w:themeColor="text1"/>
          <w:kern w:val="0"/>
          <w:sz w:val="28"/>
          <w:szCs w:val="28"/>
          <w14:ligatures w14:val="none"/>
        </w:rPr>
        <w:t>á</w:t>
      </w:r>
      <w:r w:rsidRPr="00C316C8">
        <w:rPr>
          <w:rFonts w:ascii="Simplified Arabic" w:eastAsia="Times New Roman" w:hAnsi="Simplified Arabic" w:cs="Simplified Arabic"/>
          <w:color w:val="000000" w:themeColor="text1"/>
          <w:kern w:val="0"/>
          <w:sz w:val="28"/>
          <w:szCs w:val="28"/>
          <w14:ligatures w14:val="none"/>
        </w:rPr>
        <w:t xml:space="preserve"> et al., 2023).</w:t>
      </w:r>
    </w:p>
    <w:p w14:paraId="30BA60C4" w14:textId="460C85C3"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ويُعرّف تقليل المخاطر التشغيلية إجرائياً بأنه مجموعة الجهود والإجراءات المنهجية التي تتخذها المنظمة للحد من احتمالية وقوع المخاطر التشغيلية وتخفيف آثارها السلبية على العمليات والأداء المؤسسي، وذلك من خلال آليات التحديد المبكر والتقييم المنتظم والمعالجة الاستباقية والمتابعة المستمرة. وقد أوضحت الأدبيات أن تفعيل وظيفة الرقابة الداخلية وتبني نظام حوكمة فعال يُسهمان في تدنية المخاطر التشغيلية وتعزيز قدرة المنظمة على مواجهة التهديدات المحتملة (خوجة وعلمي، 2022)</w:t>
      </w:r>
    </w:p>
    <w:p w14:paraId="791EFE84" w14:textId="23DCDDD4" w:rsidR="00F7243B" w:rsidRPr="00C316C8" w:rsidRDefault="00F7243B" w:rsidP="006F62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3603163"/>
      <w:r w:rsidRPr="00C316C8">
        <w:rPr>
          <w:rFonts w:ascii="Simplified Arabic" w:eastAsia="Times New Roman" w:hAnsi="Simplified Arabic" w:cs="Simplified Arabic"/>
          <w:b/>
          <w:bCs/>
          <w:color w:val="000000" w:themeColor="text1"/>
          <w:kern w:val="0"/>
          <w:sz w:val="32"/>
          <w:szCs w:val="32"/>
          <w:rtl/>
          <w14:ligatures w14:val="none"/>
        </w:rPr>
        <w:t>ثالثاً: الأسس النظرية  للدراسة</w:t>
      </w:r>
      <w:bookmarkEnd w:id="21"/>
    </w:p>
    <w:p w14:paraId="3516FA73" w14:textId="77777777" w:rsidR="00F7243B" w:rsidRPr="00C316C8" w:rsidRDefault="00F7243B" w:rsidP="006F62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 xml:space="preserve">تستند هذه الدراسة إلى عدة نظريات إدارية تُشكّل إطارها التفسيري. تأتي في مقدمتها نظرية الموارد </w:t>
      </w:r>
      <w:r w:rsidRPr="00C316C8">
        <w:rPr>
          <w:rFonts w:ascii="Simplified Arabic" w:eastAsia="Times New Roman" w:hAnsi="Simplified Arabic" w:cs="Simplified Arabic"/>
          <w:color w:val="000000" w:themeColor="text1"/>
          <w:kern w:val="0"/>
          <w:sz w:val="28"/>
          <w:szCs w:val="28"/>
          <w14:ligatures w14:val="none"/>
        </w:rPr>
        <w:t xml:space="preserve">(Resource-Based View) </w:t>
      </w:r>
      <w:r w:rsidRPr="00C316C8">
        <w:rPr>
          <w:rFonts w:ascii="Simplified Arabic" w:eastAsia="Times New Roman" w:hAnsi="Simplified Arabic" w:cs="Simplified Arabic"/>
          <w:color w:val="000000" w:themeColor="text1"/>
          <w:kern w:val="0"/>
          <w:sz w:val="28"/>
          <w:szCs w:val="28"/>
          <w:rtl/>
          <w14:ligatures w14:val="none"/>
        </w:rPr>
        <w:t xml:space="preserve">التي ترى أن الموارد الداخلية الفريدة وغير القابلة للتقليد تمثل مصدر الميزة التنافسية المستدامة، وأن تكامل إدارة الموارد البشرية يُعد قدرة تنظيمية استراتيجية تُعزز الأداء وتُقلل المخاطر </w:t>
      </w:r>
      <w:r w:rsidRPr="00C316C8">
        <w:rPr>
          <w:rFonts w:ascii="Simplified Arabic" w:eastAsia="Times New Roman" w:hAnsi="Simplified Arabic" w:cs="Simplified Arabic"/>
          <w:color w:val="000000" w:themeColor="text1"/>
          <w:kern w:val="0"/>
          <w:sz w:val="28"/>
          <w:szCs w:val="28"/>
          <w14:ligatures w14:val="none"/>
        </w:rPr>
        <w:t xml:space="preserve">(Aloulou &amp; Alshohail, 2026). </w:t>
      </w:r>
      <w:r w:rsidRPr="00C316C8">
        <w:rPr>
          <w:rFonts w:ascii="Simplified Arabic" w:eastAsia="Times New Roman" w:hAnsi="Simplified Arabic" w:cs="Simplified Arabic"/>
          <w:color w:val="000000" w:themeColor="text1"/>
          <w:kern w:val="0"/>
          <w:sz w:val="28"/>
          <w:szCs w:val="28"/>
          <w:rtl/>
          <w14:ligatures w14:val="none"/>
        </w:rPr>
        <w:t>كما تستند الدراسة إلى نظرية رأس المال البشري التي تؤكد أن الاستثمار في تطوير معارف ومهارات العاملين يعود بعوائد إيجابية على المنظمة من حيث الإنتاجية والجودة والالتزام، وهو ما يتحقق بصورة أفضل حين تتكامل وظائف التدريب والتطوير مع التقييم والتعويضات في منظومة متسقة (تلي وكارش ومعطالله، 2023). وتستفيد الدراسة كذلك من نظرية أصحاب المصلحة التي تُبرر أهمية الامتثال التنظيمي بوصفه استجابة لتوقعات مختلف الأطراف ذات العلاقة من جهات تنظيمية ومستثمرين وعملاء ومجتمع، وأن تكامل إدارة الموارد البشرية يُسهم في بناء الثقة مع هذه الأطراف من خلال تعزيز الشفافية والمساءلة والكفاءة التشغيلية. وأخيراً تستند الدراسة إلى نظرية التبادل الاجتماعي التي تُفسر كيف تؤثر ممارسات إدارة الموارد البشرية في تشكيل اتجاهات العاملين وسلوكياتهم نحو الالتزام التنظيمي، حيث أثبتت الدراسات أن إدراك العاملين لفاعلية ممارسات الموارد البشرية يؤثر إيجابياً في مواقفهم وسلوكياتهم المعززة للأداء التنظيمي والامتثال</w:t>
      </w:r>
      <w:r w:rsidRPr="00C316C8">
        <w:rPr>
          <w:rFonts w:ascii="Simplified Arabic" w:eastAsia="Times New Roman" w:hAnsi="Simplified Arabic" w:cs="Simplified Arabic"/>
          <w:color w:val="000000" w:themeColor="text1"/>
          <w:kern w:val="0"/>
          <w:sz w:val="28"/>
          <w:szCs w:val="28"/>
          <w14:ligatures w14:val="none"/>
        </w:rPr>
        <w:t xml:space="preserve"> (Ciobanu et al., 2023).</w:t>
      </w:r>
    </w:p>
    <w:p w14:paraId="4D92E837" w14:textId="77777777" w:rsidR="00F7243B" w:rsidRPr="00C316C8" w:rsidRDefault="00F7243B" w:rsidP="00BA7C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lastRenderedPageBreak/>
        <w:t>وبناءً على ما تقدم من أسس نظرية ومفاهيمية، يتبلور النموذج البحثي لهذه الدراسة في افتراض وجود علاقة أثر ذات دلالة إحصائية بين تكامل إدارة الموارد البشرية بأبعاده الأربعة والامتثال التنظيمي وتقليل المخاطر التشغيلية في الشركات الصناعية في المدينة الصناعية الثانية في الرياض، وهو ما ستسعى الدراسة إلى اختباره ميدانياً والتحقق من صحته</w:t>
      </w:r>
      <w:r w:rsidRPr="00C316C8">
        <w:rPr>
          <w:rFonts w:ascii="Simplified Arabic" w:eastAsia="Times New Roman" w:hAnsi="Simplified Arabic" w:cs="Simplified Arabic"/>
          <w:color w:val="000000" w:themeColor="text1"/>
          <w:kern w:val="0"/>
          <w:sz w:val="28"/>
          <w:szCs w:val="28"/>
          <w14:ligatures w14:val="none"/>
        </w:rPr>
        <w:t>.</w:t>
      </w:r>
    </w:p>
    <w:p w14:paraId="2E53B725" w14:textId="30EF0D5D" w:rsidR="00BA7C59" w:rsidRPr="00C316C8" w:rsidRDefault="00BA7C59" w:rsidP="00BA7C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169790506"/>
      <w:bookmarkStart w:id="23" w:name="_Toc233380455"/>
      <w:bookmarkEnd w:id="18"/>
      <w:r w:rsidRPr="00C316C8">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3"/>
    </w:p>
    <w:p w14:paraId="2C120607" w14:textId="77777777" w:rsidR="00F7243B" w:rsidRPr="00C316C8" w:rsidRDefault="00F7243B" w:rsidP="00BA7C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حيث يُمكّن الباحث من وصف الظاهرة محل الدراسة وصفاً دقيقاً وتحليل العلاقات بين متغيراتها. وسيُستخدم هذا المنهج في شقين متكاملين: الشق النظري الذي سيتضمن مراجعة الأدبيات والدراسات السابقة العربية والأجنبية ذات الصلة بتكامل إدارة الموارد البشرية والامتثال التنظيمي وتقليل المخاطر التشغيلية لبناء الإطار النظري للدراسة، والشق الميداني الذي سيعتمد على جمع البيانات الأولية من مجتمع الدراسة باستخدام أداة الاستبانة المُصممة خصيصاً لهذا الغرض</w:t>
      </w:r>
      <w:r w:rsidRPr="00C316C8">
        <w:rPr>
          <w:rFonts w:ascii="Simplified Arabic" w:eastAsia="Times New Roman" w:hAnsi="Simplified Arabic" w:cs="Simplified Arabic"/>
          <w:color w:val="000000" w:themeColor="text1"/>
          <w:kern w:val="0"/>
          <w:sz w:val="28"/>
          <w:szCs w:val="28"/>
          <w14:ligatures w14:val="none"/>
        </w:rPr>
        <w:t>.</w:t>
      </w:r>
    </w:p>
    <w:p w14:paraId="4A7E0E16" w14:textId="77777777" w:rsidR="00F7243B" w:rsidRPr="00C316C8" w:rsidRDefault="00F7243B" w:rsidP="00BA7C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وسيتم توظيف المنهج الوصفي التحليلي في رصد واقع تطبيق أبعاد تكامل إدارة الموارد البشرية ومستوى الامتثال التنظيمي والمخاطر التشغيلية في الشركات الصناعية في المدينة الصناعية الثانية في الرياض، ثم تحليل البيانات المجمعة إحصائياً لاختبار فرضيات الدراسة وتحديد طبيعة العلاقة وقوة الأثر بين المتغير المستقل بأبعاده الأربعة والمتغير التابع، وصولاً إلى استخلاص النتائج وتقديم التوصيات المبنية على الأدلة الميدانية</w:t>
      </w:r>
      <w:r w:rsidRPr="00C316C8">
        <w:rPr>
          <w:rFonts w:ascii="Simplified Arabic" w:eastAsia="Times New Roman" w:hAnsi="Simplified Arabic" w:cs="Simplified Arabic"/>
          <w:color w:val="000000" w:themeColor="text1"/>
          <w:kern w:val="0"/>
          <w:sz w:val="28"/>
          <w:szCs w:val="28"/>
          <w14:ligatures w14:val="none"/>
        </w:rPr>
        <w:t>.</w:t>
      </w:r>
    </w:p>
    <w:p w14:paraId="56111F7F" w14:textId="182D6603" w:rsidR="00BA7C59" w:rsidRPr="00C316C8" w:rsidRDefault="00BA7C59" w:rsidP="00BA7C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233380456"/>
      <w:r w:rsidRPr="00C316C8">
        <w:rPr>
          <w:rFonts w:ascii="Simplified Arabic" w:eastAsia="Times New Roman" w:hAnsi="Simplified Arabic" w:cs="Simplified Arabic"/>
          <w:b/>
          <w:bCs/>
          <w:color w:val="000000" w:themeColor="text1"/>
          <w:kern w:val="0"/>
          <w:sz w:val="36"/>
          <w:szCs w:val="36"/>
          <w:rtl/>
          <w14:ligatures w14:val="none"/>
        </w:rPr>
        <w:t>11.1 مجتمع وعينة الدراسة</w:t>
      </w:r>
      <w:bookmarkEnd w:id="24"/>
    </w:p>
    <w:p w14:paraId="1A4BE07C" w14:textId="77777777" w:rsidR="00F7243B" w:rsidRPr="00C316C8" w:rsidRDefault="00F7243B" w:rsidP="00BA7C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المستويات الإدارية (العليا والوسطى والتنفيذية) في الشركات الصناعية العاملة في المدينة الصناعية الثانية في الرياض، والتي تضم وفقاً لبيانات هيئة المدن والمناطق الاقتصادية الخاصة ما يزيد عن (500) منشأة صناعية تعمل في قطاعات متنوعة تشمل الصناعات الغذائية والكيميائية والمعدنية والبلاستيكية ومواد البناء والصناعات الهندسية وغيرها. ويُقدّر إجمالي عدد العاملين في هذه المنشآت بما يتجاوز (30,000) عامل، ويُقدّر عدد العاملين في المستويات </w:t>
      </w:r>
      <w:r w:rsidRPr="00C316C8">
        <w:rPr>
          <w:rFonts w:ascii="Simplified Arabic" w:eastAsia="Times New Roman" w:hAnsi="Simplified Arabic" w:cs="Simplified Arabic"/>
          <w:color w:val="000000" w:themeColor="text1"/>
          <w:kern w:val="0"/>
          <w:sz w:val="28"/>
          <w:szCs w:val="28"/>
          <w:rtl/>
          <w14:ligatures w14:val="none"/>
        </w:rPr>
        <w:lastRenderedPageBreak/>
        <w:t>الإدارية المستهدفة (مديرون، رؤساء أقسام، مشرفون، ومسؤولو الموارد البشرية والامتثال والجودة وإدارة المخاطر) بنحو (5,000) موظف يمثلون مجتمع الدراسة المستهدف</w:t>
      </w:r>
      <w:r w:rsidRPr="00C316C8">
        <w:rPr>
          <w:rFonts w:ascii="Simplified Arabic" w:eastAsia="Times New Roman" w:hAnsi="Simplified Arabic" w:cs="Simplified Arabic"/>
          <w:color w:val="000000" w:themeColor="text1"/>
          <w:kern w:val="0"/>
          <w:sz w:val="28"/>
          <w:szCs w:val="28"/>
          <w14:ligatures w14:val="none"/>
        </w:rPr>
        <w:t>.</w:t>
      </w:r>
    </w:p>
    <w:p w14:paraId="6BEFB5B5" w14:textId="77777777" w:rsidR="00F7243B" w:rsidRPr="00C316C8" w:rsidRDefault="00F7243B" w:rsidP="00BA7C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ونظراً لكبر حجم مجتمع الدراسة وصعوبة إجراء مسح شامل، سيتم اختيار عينة عشوائية طبقية تناسبية من العاملين في المستويات الإدارية المذكورة، وذلك وفقاً لمعادلة ستيفن ثومبسون لتحديد حجم العينة عند مستوى ثقة (95%) وهامش خطأ (5%). وبناءً على ذلك سيبلغ الحد الأدنى المطلوب للعينة نحو (357) مفردة، وسيتم توزيع (420) استبانة لضمان الحصول على عدد كافٍ من الاستبانات الصالحة للتحليل الإحصائي بعد استبعاد الاستبانات غير المكتملة أو غير الصالحة. وسيُراعى في اختيار العينة التمثيل المتناسب لحجم الشركات (صغيرة، متوسطة، كبيرة) والقطاعات الصناعية المختلفة والمستويات الإدارية المتعددة لضمان تمثيل مجتمع الدراسة بشكل دقيق ومتوازن</w:t>
      </w:r>
      <w:r w:rsidRPr="00C316C8">
        <w:rPr>
          <w:rFonts w:ascii="Simplified Arabic" w:eastAsia="Times New Roman" w:hAnsi="Simplified Arabic" w:cs="Simplified Arabic"/>
          <w:color w:val="000000" w:themeColor="text1"/>
          <w:kern w:val="0"/>
          <w:sz w:val="28"/>
          <w:szCs w:val="28"/>
          <w14:ligatures w14:val="none"/>
        </w:rPr>
        <w:t>.</w:t>
      </w:r>
    </w:p>
    <w:p w14:paraId="2ECD98FE" w14:textId="0989D7E9" w:rsidR="00F7243B" w:rsidRPr="00C316C8" w:rsidRDefault="00BA7C59" w:rsidP="00BA7C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5" w:name="_Toc223603166"/>
      <w:bookmarkStart w:id="26" w:name="_Toc233380457"/>
      <w:r w:rsidRPr="00C316C8">
        <w:rPr>
          <w:rFonts w:ascii="Simplified Arabic" w:eastAsia="Times New Roman" w:hAnsi="Simplified Arabic" w:cs="Simplified Arabic" w:hint="cs"/>
          <w:b/>
          <w:bCs/>
          <w:color w:val="000000" w:themeColor="text1"/>
          <w:kern w:val="0"/>
          <w:sz w:val="36"/>
          <w:szCs w:val="36"/>
          <w:rtl/>
          <w14:ligatures w14:val="none"/>
        </w:rPr>
        <w:t xml:space="preserve">12.1 </w:t>
      </w:r>
      <w:r w:rsidR="00F7243B" w:rsidRPr="00C316C8">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5"/>
      <w:bookmarkEnd w:id="26"/>
    </w:p>
    <w:p w14:paraId="207319A6" w14:textId="77777777" w:rsidR="00F7243B" w:rsidRPr="00C316C8" w:rsidRDefault="00F7243B" w:rsidP="0003682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316C8">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البيانات</w:t>
      </w:r>
      <w:r w:rsidRPr="00C316C8">
        <w:rPr>
          <w:rFonts w:ascii="Simplified Arabic" w:eastAsia="Times New Roman" w:hAnsi="Simplified Arabic" w:cs="Simplified Arabic"/>
          <w:b/>
          <w:bCs/>
          <w:color w:val="000000" w:themeColor="text1"/>
          <w:kern w:val="0"/>
          <w:sz w:val="28"/>
          <w:szCs w:val="28"/>
          <w14:ligatures w14:val="none"/>
        </w:rPr>
        <w:t>:</w:t>
      </w:r>
    </w:p>
    <w:p w14:paraId="7AABB2D1" w14:textId="77777777" w:rsidR="00F7243B" w:rsidRPr="00C316C8" w:rsidRDefault="00F7243B" w:rsidP="00BA7C5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b/>
          <w:bCs/>
          <w:color w:val="000000" w:themeColor="text1"/>
          <w:kern w:val="0"/>
          <w:sz w:val="28"/>
          <w:szCs w:val="28"/>
          <w:rtl/>
          <w14:ligatures w14:val="none"/>
        </w:rPr>
        <w:t>المصادر الثانوية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والدوريات والمجلات العلمية المحكمة العربية والأجنبية، والرسائل الجامعية (ماجستير ودكتوراه)، والتقارير الرسمية الصادرة عن الجهات الحكومية السعودية ذات العلاقة (هيئة المدن والمناطق الاقتصادية الخاصة، وزارة الصناعة والثروة المعدنية، وزارة الموارد البشرية والتنمية الاجتماعية)، وقواعد البيانات الإلكترونية العالمية مثل</w:t>
      </w:r>
      <w:r w:rsidRPr="00C316C8">
        <w:rPr>
          <w:rFonts w:ascii="Simplified Arabic" w:eastAsia="Times New Roman" w:hAnsi="Simplified Arabic" w:cs="Simplified Arabic"/>
          <w:color w:val="000000" w:themeColor="text1"/>
          <w:kern w:val="0"/>
          <w:sz w:val="28"/>
          <w:szCs w:val="28"/>
          <w14:ligatures w14:val="none"/>
        </w:rPr>
        <w:t xml:space="preserve"> Scopus </w:t>
      </w:r>
      <w:r w:rsidRPr="00C316C8">
        <w:rPr>
          <w:rFonts w:ascii="Simplified Arabic" w:eastAsia="Times New Roman" w:hAnsi="Simplified Arabic" w:cs="Simplified Arabic"/>
          <w:color w:val="000000" w:themeColor="text1"/>
          <w:kern w:val="0"/>
          <w:sz w:val="28"/>
          <w:szCs w:val="28"/>
          <w:rtl/>
          <w14:ligatures w14:val="none"/>
        </w:rPr>
        <w:t>و</w:t>
      </w:r>
      <w:r w:rsidRPr="00C316C8">
        <w:rPr>
          <w:rFonts w:ascii="Simplified Arabic" w:eastAsia="Times New Roman" w:hAnsi="Simplified Arabic" w:cs="Simplified Arabic"/>
          <w:color w:val="000000" w:themeColor="text1"/>
          <w:kern w:val="0"/>
          <w:sz w:val="28"/>
          <w:szCs w:val="28"/>
          <w14:ligatures w14:val="none"/>
        </w:rPr>
        <w:t xml:space="preserve">Web of Science </w:t>
      </w:r>
      <w:r w:rsidRPr="00C316C8">
        <w:rPr>
          <w:rFonts w:ascii="Simplified Arabic" w:eastAsia="Times New Roman" w:hAnsi="Simplified Arabic" w:cs="Simplified Arabic"/>
          <w:color w:val="000000" w:themeColor="text1"/>
          <w:kern w:val="0"/>
          <w:sz w:val="28"/>
          <w:szCs w:val="28"/>
          <w:rtl/>
          <w14:ligatures w14:val="none"/>
        </w:rPr>
        <w:t>و</w:t>
      </w:r>
      <w:r w:rsidRPr="00C316C8">
        <w:rPr>
          <w:rFonts w:ascii="Simplified Arabic" w:eastAsia="Times New Roman" w:hAnsi="Simplified Arabic" w:cs="Simplified Arabic"/>
          <w:color w:val="000000" w:themeColor="text1"/>
          <w:kern w:val="0"/>
          <w:sz w:val="28"/>
          <w:szCs w:val="28"/>
          <w14:ligatures w14:val="none"/>
        </w:rPr>
        <w:t xml:space="preserve">Google Scholar </w:t>
      </w:r>
      <w:r w:rsidRPr="00C316C8">
        <w:rPr>
          <w:rFonts w:ascii="Simplified Arabic" w:eastAsia="Times New Roman" w:hAnsi="Simplified Arabic" w:cs="Simplified Arabic"/>
          <w:color w:val="000000" w:themeColor="text1"/>
          <w:kern w:val="0"/>
          <w:sz w:val="28"/>
          <w:szCs w:val="28"/>
          <w:rtl/>
          <w14:ligatures w14:val="none"/>
        </w:rPr>
        <w:t>و</w:t>
      </w:r>
      <w:r w:rsidRPr="00C316C8">
        <w:rPr>
          <w:rFonts w:ascii="Simplified Arabic" w:eastAsia="Times New Roman" w:hAnsi="Simplified Arabic" w:cs="Simplified Arabic"/>
          <w:color w:val="000000" w:themeColor="text1"/>
          <w:kern w:val="0"/>
          <w:sz w:val="28"/>
          <w:szCs w:val="28"/>
          <w14:ligatures w14:val="none"/>
        </w:rPr>
        <w:t xml:space="preserve">Emerald </w:t>
      </w:r>
      <w:r w:rsidRPr="00C316C8">
        <w:rPr>
          <w:rFonts w:ascii="Simplified Arabic" w:eastAsia="Times New Roman" w:hAnsi="Simplified Arabic" w:cs="Simplified Arabic"/>
          <w:color w:val="000000" w:themeColor="text1"/>
          <w:kern w:val="0"/>
          <w:sz w:val="28"/>
          <w:szCs w:val="28"/>
          <w:rtl/>
          <w14:ligatures w14:val="none"/>
        </w:rPr>
        <w:t>و</w:t>
      </w:r>
      <w:r w:rsidRPr="00C316C8">
        <w:rPr>
          <w:rFonts w:ascii="Simplified Arabic" w:eastAsia="Times New Roman" w:hAnsi="Simplified Arabic" w:cs="Simplified Arabic"/>
          <w:color w:val="000000" w:themeColor="text1"/>
          <w:kern w:val="0"/>
          <w:sz w:val="28"/>
          <w:szCs w:val="28"/>
          <w14:ligatures w14:val="none"/>
        </w:rPr>
        <w:t>ScienceDirect</w:t>
      </w:r>
      <w:r w:rsidRPr="00C316C8">
        <w:rPr>
          <w:rFonts w:ascii="Simplified Arabic" w:eastAsia="Times New Roman" w:hAnsi="Simplified Arabic" w:cs="Simplified Arabic"/>
          <w:color w:val="000000" w:themeColor="text1"/>
          <w:kern w:val="0"/>
          <w:sz w:val="28"/>
          <w:szCs w:val="28"/>
          <w:rtl/>
          <w14:ligatures w14:val="none"/>
        </w:rPr>
        <w:t>، وذلك لبناء الإطار النظري ومراجعة الدراسات السابقة</w:t>
      </w:r>
      <w:r w:rsidRPr="00C316C8">
        <w:rPr>
          <w:rFonts w:ascii="Simplified Arabic" w:eastAsia="Times New Roman" w:hAnsi="Simplified Arabic" w:cs="Simplified Arabic"/>
          <w:color w:val="000000" w:themeColor="text1"/>
          <w:kern w:val="0"/>
          <w:sz w:val="28"/>
          <w:szCs w:val="28"/>
          <w14:ligatures w14:val="none"/>
        </w:rPr>
        <w:t>.</w:t>
      </w:r>
    </w:p>
    <w:p w14:paraId="27F80100" w14:textId="77777777" w:rsidR="00F7243B" w:rsidRPr="00C316C8" w:rsidRDefault="00F7243B" w:rsidP="00BA7C5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b/>
          <w:bCs/>
          <w:color w:val="000000" w:themeColor="text1"/>
          <w:kern w:val="0"/>
          <w:sz w:val="28"/>
          <w:szCs w:val="28"/>
          <w:rtl/>
          <w14:ligatures w14:val="none"/>
        </w:rPr>
        <w:t>المصادر الأولية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سيتم جمعها مباشرة من أفراد عينة الدراسة باستخدام أداة الاستبانة المُصممة لهذا الغرض، والتي ستُوزّع إلكترونياً وورقياً على العاملين في المستويات الإدارية في الشركات الصناعية محل الدراسة</w:t>
      </w:r>
      <w:r w:rsidRPr="00C316C8">
        <w:rPr>
          <w:rFonts w:ascii="Simplified Arabic" w:eastAsia="Times New Roman" w:hAnsi="Simplified Arabic" w:cs="Simplified Arabic"/>
          <w:color w:val="000000" w:themeColor="text1"/>
          <w:kern w:val="0"/>
          <w:sz w:val="28"/>
          <w:szCs w:val="28"/>
          <w14:ligatures w14:val="none"/>
        </w:rPr>
        <w:t>.</w:t>
      </w:r>
    </w:p>
    <w:p w14:paraId="0E2DC2AE" w14:textId="46704BF7" w:rsidR="00F7243B" w:rsidRPr="00C316C8" w:rsidRDefault="00BA7C59" w:rsidP="00BA7C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7" w:name="_Toc223603167"/>
      <w:bookmarkStart w:id="28" w:name="_Toc233380458"/>
      <w:r w:rsidRPr="00C316C8">
        <w:rPr>
          <w:rFonts w:ascii="Simplified Arabic" w:eastAsia="Times New Roman" w:hAnsi="Simplified Arabic" w:cs="Simplified Arabic" w:hint="cs"/>
          <w:b/>
          <w:bCs/>
          <w:color w:val="000000" w:themeColor="text1"/>
          <w:kern w:val="0"/>
          <w:sz w:val="36"/>
          <w:szCs w:val="36"/>
          <w:rtl/>
          <w14:ligatures w14:val="none"/>
        </w:rPr>
        <w:t xml:space="preserve">13.1 </w:t>
      </w:r>
      <w:r w:rsidR="00F7243B" w:rsidRPr="00C316C8">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27"/>
      <w:bookmarkEnd w:id="28"/>
    </w:p>
    <w:p w14:paraId="0C924D94" w14:textId="77777777" w:rsidR="00F7243B" w:rsidRPr="00C316C8" w:rsidRDefault="00F7243B" w:rsidP="0003682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316C8">
        <w:rPr>
          <w:rFonts w:ascii="Simplified Arabic" w:eastAsia="Times New Roman" w:hAnsi="Simplified Arabic" w:cs="Simplified Arabic"/>
          <w:b/>
          <w:bCs/>
          <w:color w:val="000000" w:themeColor="text1"/>
          <w:kern w:val="0"/>
          <w:sz w:val="28"/>
          <w:szCs w:val="28"/>
          <w:rtl/>
          <w14:ligatures w14:val="none"/>
        </w:rPr>
        <w:t>سيتم تصميم استبانة مُحكّمة كأداة رئيسية لجمع البيانات الأولية، وستتكون من ثلاثة أقسام رئيسية</w:t>
      </w:r>
      <w:r w:rsidRPr="00C316C8">
        <w:rPr>
          <w:rFonts w:ascii="Simplified Arabic" w:eastAsia="Times New Roman" w:hAnsi="Simplified Arabic" w:cs="Simplified Arabic"/>
          <w:b/>
          <w:bCs/>
          <w:color w:val="000000" w:themeColor="text1"/>
          <w:kern w:val="0"/>
          <w:sz w:val="28"/>
          <w:szCs w:val="28"/>
          <w14:ligatures w14:val="none"/>
        </w:rPr>
        <w:t>:</w:t>
      </w:r>
    </w:p>
    <w:p w14:paraId="63B6DB5D" w14:textId="77777777" w:rsidR="00F7243B" w:rsidRPr="00C316C8" w:rsidRDefault="00F7243B" w:rsidP="00BA7C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b/>
          <w:bCs/>
          <w:color w:val="000000" w:themeColor="text1"/>
          <w:kern w:val="0"/>
          <w:sz w:val="28"/>
          <w:szCs w:val="28"/>
          <w:rtl/>
          <w14:ligatures w14:val="none"/>
        </w:rPr>
        <w:lastRenderedPageBreak/>
        <w:t>القسم الأول</w:t>
      </w:r>
      <w:r w:rsidRPr="00C316C8">
        <w:rPr>
          <w:rFonts w:ascii="Simplified Arabic" w:eastAsia="Times New Roman" w:hAnsi="Simplified Arabic" w:cs="Simplified Arabic"/>
          <w:color w:val="000000" w:themeColor="text1"/>
          <w:kern w:val="0"/>
          <w:sz w:val="28"/>
          <w:szCs w:val="28"/>
          <w:rtl/>
          <w14:ligatures w14:val="none"/>
        </w:rPr>
        <w:t xml:space="preserve">: البيانات الديموغرافية والتنظيمية </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وسيتضمن (6) فقرات تشمل: الجنس، المؤهل العلمي، سنوات الخبرة، المستوى الإداري، حجم الشركة، والقطاع الصناعي</w:t>
      </w:r>
      <w:r w:rsidRPr="00C316C8">
        <w:rPr>
          <w:rFonts w:ascii="Simplified Arabic" w:eastAsia="Times New Roman" w:hAnsi="Simplified Arabic" w:cs="Simplified Arabic"/>
          <w:color w:val="000000" w:themeColor="text1"/>
          <w:kern w:val="0"/>
          <w:sz w:val="28"/>
          <w:szCs w:val="28"/>
          <w14:ligatures w14:val="none"/>
        </w:rPr>
        <w:t>.</w:t>
      </w:r>
    </w:p>
    <w:p w14:paraId="790A6C41" w14:textId="77777777" w:rsidR="00F7243B" w:rsidRPr="00C316C8" w:rsidRDefault="00F7243B" w:rsidP="00BA7C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b/>
          <w:bCs/>
          <w:color w:val="000000" w:themeColor="text1"/>
          <w:kern w:val="0"/>
          <w:sz w:val="28"/>
          <w:szCs w:val="28"/>
          <w:rtl/>
          <w14:ligatures w14:val="none"/>
        </w:rPr>
        <w:t>القسم الثاني</w:t>
      </w:r>
      <w:r w:rsidRPr="00C316C8">
        <w:rPr>
          <w:rFonts w:ascii="Simplified Arabic" w:eastAsia="Times New Roman" w:hAnsi="Simplified Arabic" w:cs="Simplified Arabic"/>
          <w:color w:val="000000" w:themeColor="text1"/>
          <w:kern w:val="0"/>
          <w:sz w:val="28"/>
          <w:szCs w:val="28"/>
          <w:rtl/>
          <w14:ligatures w14:val="none"/>
        </w:rPr>
        <w:t xml:space="preserve">: المتغير المستقل (تكامل إدارة الموارد البشرية) </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وسيتكون من (16) فقرة موزعة على أربعة أبعاد، بواقع (4) فقرات لكل بُعد، على النحو التالي</w:t>
      </w:r>
      <w:r w:rsidRPr="00C316C8">
        <w:rPr>
          <w:rFonts w:ascii="Simplified Arabic" w:eastAsia="Times New Roman" w:hAnsi="Simplified Arabic" w:cs="Simplified Arabic"/>
          <w:color w:val="000000" w:themeColor="text1"/>
          <w:kern w:val="0"/>
          <w:sz w:val="28"/>
          <w:szCs w:val="28"/>
          <w14:ligatures w14:val="none"/>
        </w:rPr>
        <w:t>:</w:t>
      </w:r>
    </w:p>
    <w:p w14:paraId="1FE7E1EA" w14:textId="77777777" w:rsidR="00F7243B" w:rsidRPr="00C316C8" w:rsidRDefault="00F7243B" w:rsidP="00BA7C5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البُعد الأول</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التكامل الاستراتيجي لوظائف الموارد البشرية — (4) فقرات</w:t>
      </w:r>
      <w:r w:rsidRPr="00C316C8">
        <w:rPr>
          <w:rFonts w:ascii="Simplified Arabic" w:eastAsia="Times New Roman" w:hAnsi="Simplified Arabic" w:cs="Simplified Arabic"/>
          <w:color w:val="000000" w:themeColor="text1"/>
          <w:kern w:val="0"/>
          <w:sz w:val="28"/>
          <w:szCs w:val="28"/>
          <w14:ligatures w14:val="none"/>
        </w:rPr>
        <w:t>.</w:t>
      </w:r>
    </w:p>
    <w:p w14:paraId="1DD2A1DB" w14:textId="77777777" w:rsidR="00F7243B" w:rsidRPr="00C316C8" w:rsidRDefault="00F7243B" w:rsidP="00BA7C5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البُعد الثاني</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التكامل التقني ورقمنة عمليات الموارد البشرية — (4) فقرات</w:t>
      </w:r>
      <w:r w:rsidRPr="00C316C8">
        <w:rPr>
          <w:rFonts w:ascii="Simplified Arabic" w:eastAsia="Times New Roman" w:hAnsi="Simplified Arabic" w:cs="Simplified Arabic"/>
          <w:color w:val="000000" w:themeColor="text1"/>
          <w:kern w:val="0"/>
          <w:sz w:val="28"/>
          <w:szCs w:val="28"/>
          <w14:ligatures w14:val="none"/>
        </w:rPr>
        <w:t>.</w:t>
      </w:r>
    </w:p>
    <w:p w14:paraId="34980BDA" w14:textId="77777777" w:rsidR="00F7243B" w:rsidRPr="00C316C8" w:rsidRDefault="00F7243B" w:rsidP="00BA7C5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البُعد الثالث</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تكامل إدارة الكفاءات وتطوير رأس المال البشري — (4) فقرات</w:t>
      </w:r>
      <w:r w:rsidRPr="00C316C8">
        <w:rPr>
          <w:rFonts w:ascii="Simplified Arabic" w:eastAsia="Times New Roman" w:hAnsi="Simplified Arabic" w:cs="Simplified Arabic"/>
          <w:color w:val="000000" w:themeColor="text1"/>
          <w:kern w:val="0"/>
          <w:sz w:val="28"/>
          <w:szCs w:val="28"/>
          <w14:ligatures w14:val="none"/>
        </w:rPr>
        <w:t>.</w:t>
      </w:r>
    </w:p>
    <w:p w14:paraId="480B7400" w14:textId="77777777" w:rsidR="00F7243B" w:rsidRPr="00C316C8" w:rsidRDefault="00F7243B" w:rsidP="00BA7C59">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البُعد الرابع</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التكامل الثقافي وبناء بيئة العمل الداعمة — (4) فقرات</w:t>
      </w:r>
      <w:r w:rsidRPr="00C316C8">
        <w:rPr>
          <w:rFonts w:ascii="Simplified Arabic" w:eastAsia="Times New Roman" w:hAnsi="Simplified Arabic" w:cs="Simplified Arabic"/>
          <w:color w:val="000000" w:themeColor="text1"/>
          <w:kern w:val="0"/>
          <w:sz w:val="28"/>
          <w:szCs w:val="28"/>
          <w14:ligatures w14:val="none"/>
        </w:rPr>
        <w:t>.</w:t>
      </w:r>
    </w:p>
    <w:p w14:paraId="7A6DFA9D" w14:textId="77777777" w:rsidR="00F7243B" w:rsidRPr="00C316C8" w:rsidRDefault="00F7243B" w:rsidP="00BA7C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b/>
          <w:bCs/>
          <w:color w:val="000000" w:themeColor="text1"/>
          <w:kern w:val="0"/>
          <w:sz w:val="28"/>
          <w:szCs w:val="28"/>
          <w:rtl/>
          <w14:ligatures w14:val="none"/>
        </w:rPr>
        <w:t>القسم الثالث</w:t>
      </w:r>
      <w:r w:rsidRPr="00C316C8">
        <w:rPr>
          <w:rFonts w:ascii="Simplified Arabic" w:eastAsia="Times New Roman" w:hAnsi="Simplified Arabic" w:cs="Simplified Arabic"/>
          <w:color w:val="000000" w:themeColor="text1"/>
          <w:kern w:val="0"/>
          <w:sz w:val="28"/>
          <w:szCs w:val="28"/>
          <w:rtl/>
          <w14:ligatures w14:val="none"/>
        </w:rPr>
        <w:t xml:space="preserve">: المتغير التابع (الامتثال التنظيمي وتقليل المخاطر التشغيلية) </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وسيتكون من (10) فقرات في محور واحد تقيس مستوى الامتثال التنظيمي وتقليل المخاطر التشغيلية بشكل متكامل</w:t>
      </w:r>
      <w:r w:rsidRPr="00C316C8">
        <w:rPr>
          <w:rFonts w:ascii="Simplified Arabic" w:eastAsia="Times New Roman" w:hAnsi="Simplified Arabic" w:cs="Simplified Arabic"/>
          <w:color w:val="000000" w:themeColor="text1"/>
          <w:kern w:val="0"/>
          <w:sz w:val="28"/>
          <w:szCs w:val="28"/>
          <w14:ligatures w14:val="none"/>
        </w:rPr>
        <w:t>.</w:t>
      </w:r>
    </w:p>
    <w:p w14:paraId="68345856" w14:textId="77777777" w:rsidR="00F7243B" w:rsidRPr="00C316C8" w:rsidRDefault="00F7243B" w:rsidP="00BA7C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وبذلك يكون إجمالي فقرات الاستبانة (32) فقرة (6 ديموغرافية + 16 للمتغير المستقل + 10 للمتغير التابع). وستُقاس فقرات المتغيرين المستقل والتابع باستخدام مقياس ليكرت الخماسي المتدرج من (1</w:t>
      </w:r>
      <w:r w:rsidRPr="00C316C8">
        <w:rPr>
          <w:rFonts w:ascii="Simplified Arabic" w:eastAsia="Times New Roman" w:hAnsi="Simplified Arabic" w:cs="Simplified Arabic"/>
          <w:color w:val="000000" w:themeColor="text1"/>
          <w:kern w:val="0"/>
          <w:sz w:val="28"/>
          <w:szCs w:val="28"/>
          <w14:ligatures w14:val="none"/>
        </w:rPr>
        <w:t xml:space="preserve"> = </w:t>
      </w:r>
      <w:r w:rsidRPr="00C316C8">
        <w:rPr>
          <w:rFonts w:ascii="Simplified Arabic" w:eastAsia="Times New Roman" w:hAnsi="Simplified Arabic" w:cs="Simplified Arabic"/>
          <w:color w:val="000000" w:themeColor="text1"/>
          <w:kern w:val="0"/>
          <w:sz w:val="28"/>
          <w:szCs w:val="28"/>
          <w:rtl/>
          <w14:ligatures w14:val="none"/>
        </w:rPr>
        <w:t>غير موافق بشدة) إلى (5 = موافق بشدة). وسيتم التحقق من صدق الأ</w:t>
      </w:r>
    </w:p>
    <w:p w14:paraId="6A64BFC1" w14:textId="6A41DE1F" w:rsidR="00F7243B" w:rsidRPr="00C316C8" w:rsidRDefault="00BA7C59" w:rsidP="00BA7C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23603168"/>
      <w:bookmarkStart w:id="30" w:name="_Toc233380459"/>
      <w:r w:rsidRPr="00C316C8">
        <w:rPr>
          <w:rFonts w:ascii="Simplified Arabic" w:eastAsia="Times New Roman" w:hAnsi="Simplified Arabic" w:cs="Simplified Arabic" w:hint="cs"/>
          <w:b/>
          <w:bCs/>
          <w:color w:val="000000" w:themeColor="text1"/>
          <w:kern w:val="0"/>
          <w:sz w:val="36"/>
          <w:szCs w:val="36"/>
          <w:rtl/>
          <w14:ligatures w14:val="none"/>
        </w:rPr>
        <w:t xml:space="preserve">14.1 </w:t>
      </w:r>
      <w:r w:rsidR="00F7243B" w:rsidRPr="00C316C8">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9"/>
      <w:bookmarkEnd w:id="30"/>
    </w:p>
    <w:p w14:paraId="361D43A1" w14:textId="77777777" w:rsidR="00F7243B" w:rsidRPr="00C316C8" w:rsidRDefault="00F7243B" w:rsidP="00BA7C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الحزمة الإحصائية للعلوم الاجتماعية</w:t>
      </w:r>
      <w:r w:rsidRPr="00C316C8">
        <w:rPr>
          <w:rFonts w:ascii="Simplified Arabic" w:eastAsia="Times New Roman" w:hAnsi="Simplified Arabic" w:cs="Simplified Arabic"/>
          <w:color w:val="000000" w:themeColor="text1"/>
          <w:kern w:val="0"/>
          <w:sz w:val="28"/>
          <w:szCs w:val="28"/>
          <w14:ligatures w14:val="none"/>
        </w:rPr>
        <w:t xml:space="preserve"> (SPSS v.28) </w:t>
      </w:r>
      <w:r w:rsidRPr="00C316C8">
        <w:rPr>
          <w:rFonts w:ascii="Simplified Arabic" w:eastAsia="Times New Roman" w:hAnsi="Simplified Arabic" w:cs="Simplified Arabic"/>
          <w:color w:val="000000" w:themeColor="text1"/>
          <w:kern w:val="0"/>
          <w:sz w:val="28"/>
          <w:szCs w:val="28"/>
          <w:rtl/>
          <w14:ligatures w14:val="none"/>
        </w:rPr>
        <w:t>وبرنامج</w:t>
      </w:r>
      <w:r w:rsidRPr="00C316C8">
        <w:rPr>
          <w:rFonts w:ascii="Simplified Arabic" w:eastAsia="Times New Roman" w:hAnsi="Simplified Arabic" w:cs="Simplified Arabic"/>
          <w:color w:val="000000" w:themeColor="text1"/>
          <w:kern w:val="0"/>
          <w:sz w:val="28"/>
          <w:szCs w:val="28"/>
          <w14:ligatures w14:val="none"/>
        </w:rPr>
        <w:t xml:space="preserve"> (AMOS v.26) </w:t>
      </w:r>
      <w:r w:rsidRPr="00C316C8">
        <w:rPr>
          <w:rFonts w:ascii="Simplified Arabic" w:eastAsia="Times New Roman" w:hAnsi="Simplified Arabic" w:cs="Simplified Arabic"/>
          <w:color w:val="000000" w:themeColor="text1"/>
          <w:kern w:val="0"/>
          <w:sz w:val="28"/>
          <w:szCs w:val="28"/>
          <w:rtl/>
          <w14:ligatures w14:val="none"/>
        </w:rPr>
        <w:t>لنمذجة المعادلات الهيكلية، وستُوظّف الأساليب الإحصائية التالية</w:t>
      </w:r>
      <w:r w:rsidRPr="00C316C8">
        <w:rPr>
          <w:rFonts w:ascii="Simplified Arabic" w:eastAsia="Times New Roman" w:hAnsi="Simplified Arabic" w:cs="Simplified Arabic"/>
          <w:color w:val="000000" w:themeColor="text1"/>
          <w:kern w:val="0"/>
          <w:sz w:val="28"/>
          <w:szCs w:val="28"/>
          <w14:ligatures w14:val="none"/>
        </w:rPr>
        <w:t>:</w:t>
      </w:r>
    </w:p>
    <w:p w14:paraId="1BB83C46" w14:textId="77777777" w:rsidR="00F7243B" w:rsidRPr="00C316C8" w:rsidRDefault="00F7243B" w:rsidP="00BA7C59">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أساليب الإحصاء الوصفي</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والتنظيمية، والمتوسطات الحسابية والانحرافات المعيارية لتحديد مستوى استجابات أفراد العينة على فقرات الاستبانة وأبعادها وترتيب أهميتها النسبية</w:t>
      </w:r>
      <w:r w:rsidRPr="00C316C8">
        <w:rPr>
          <w:rFonts w:ascii="Simplified Arabic" w:eastAsia="Times New Roman" w:hAnsi="Simplified Arabic" w:cs="Simplified Arabic"/>
          <w:color w:val="000000" w:themeColor="text1"/>
          <w:kern w:val="0"/>
          <w:sz w:val="28"/>
          <w:szCs w:val="28"/>
          <w14:ligatures w14:val="none"/>
        </w:rPr>
        <w:t>.</w:t>
      </w:r>
    </w:p>
    <w:p w14:paraId="05ED1988" w14:textId="77777777" w:rsidR="00F7243B" w:rsidRPr="00C316C8" w:rsidRDefault="00F7243B" w:rsidP="00BA7C59">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أساليب التحقق من صدق الأداة وثباتها</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وتشمل معامل ارتباط بيرسون لحساب صدق الاتساق الداخلي، ومعامل ألفا كرونباخ لحساب الثبات، والتحليل العاملي التوكيدي</w:t>
      </w:r>
      <w:r w:rsidRPr="00C316C8">
        <w:rPr>
          <w:rFonts w:ascii="Simplified Arabic" w:eastAsia="Times New Roman" w:hAnsi="Simplified Arabic" w:cs="Simplified Arabic"/>
          <w:color w:val="000000" w:themeColor="text1"/>
          <w:kern w:val="0"/>
          <w:sz w:val="28"/>
          <w:szCs w:val="28"/>
          <w14:ligatures w14:val="none"/>
        </w:rPr>
        <w:t xml:space="preserve"> (CFA) </w:t>
      </w:r>
      <w:r w:rsidRPr="00C316C8">
        <w:rPr>
          <w:rFonts w:ascii="Simplified Arabic" w:eastAsia="Times New Roman" w:hAnsi="Simplified Arabic" w:cs="Simplified Arabic"/>
          <w:color w:val="000000" w:themeColor="text1"/>
          <w:kern w:val="0"/>
          <w:sz w:val="28"/>
          <w:szCs w:val="28"/>
          <w:rtl/>
          <w14:ligatures w14:val="none"/>
        </w:rPr>
        <w:t>لاختبار الصدق البنائي</w:t>
      </w:r>
      <w:r w:rsidRPr="00C316C8">
        <w:rPr>
          <w:rFonts w:ascii="Simplified Arabic" w:eastAsia="Times New Roman" w:hAnsi="Simplified Arabic" w:cs="Simplified Arabic"/>
          <w:color w:val="000000" w:themeColor="text1"/>
          <w:kern w:val="0"/>
          <w:sz w:val="28"/>
          <w:szCs w:val="28"/>
          <w14:ligatures w14:val="none"/>
        </w:rPr>
        <w:t>.</w:t>
      </w:r>
    </w:p>
    <w:p w14:paraId="73F9308C" w14:textId="77777777" w:rsidR="00F7243B" w:rsidRPr="00C316C8" w:rsidRDefault="00F7243B" w:rsidP="00BA7C59">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lastRenderedPageBreak/>
        <w:t>أساليب اختبار التوزيع الطبيعي</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وتشمل اختبار كولموجروف–سميرنوف</w:t>
      </w:r>
      <w:r w:rsidRPr="00C316C8">
        <w:rPr>
          <w:rFonts w:ascii="Simplified Arabic" w:eastAsia="Times New Roman" w:hAnsi="Simplified Arabic" w:cs="Simplified Arabic"/>
          <w:color w:val="000000" w:themeColor="text1"/>
          <w:kern w:val="0"/>
          <w:sz w:val="28"/>
          <w:szCs w:val="28"/>
          <w14:ligatures w14:val="none"/>
        </w:rPr>
        <w:t xml:space="preserve"> (Kolmogorov-Smirnov) </w:t>
      </w:r>
      <w:r w:rsidRPr="00C316C8">
        <w:rPr>
          <w:rFonts w:ascii="Simplified Arabic" w:eastAsia="Times New Roman" w:hAnsi="Simplified Arabic" w:cs="Simplified Arabic"/>
          <w:color w:val="000000" w:themeColor="text1"/>
          <w:kern w:val="0"/>
          <w:sz w:val="28"/>
          <w:szCs w:val="28"/>
          <w:rtl/>
          <w14:ligatures w14:val="none"/>
        </w:rPr>
        <w:t>ومعاملات الالتواء والتفلطح</w:t>
      </w:r>
      <w:r w:rsidRPr="00C316C8">
        <w:rPr>
          <w:rFonts w:ascii="Simplified Arabic" w:eastAsia="Times New Roman" w:hAnsi="Simplified Arabic" w:cs="Simplified Arabic"/>
          <w:color w:val="000000" w:themeColor="text1"/>
          <w:kern w:val="0"/>
          <w:sz w:val="28"/>
          <w:szCs w:val="28"/>
          <w14:ligatures w14:val="none"/>
        </w:rPr>
        <w:t xml:space="preserve"> (Skewness &amp; Kurtosis) </w:t>
      </w:r>
      <w:r w:rsidRPr="00C316C8">
        <w:rPr>
          <w:rFonts w:ascii="Simplified Arabic" w:eastAsia="Times New Roman" w:hAnsi="Simplified Arabic" w:cs="Simplified Arabic"/>
          <w:color w:val="000000" w:themeColor="text1"/>
          <w:kern w:val="0"/>
          <w:sz w:val="28"/>
          <w:szCs w:val="28"/>
          <w:rtl/>
          <w14:ligatures w14:val="none"/>
        </w:rPr>
        <w:t>للتحقق من اعتدالية توزيع البيانات وتحديد مدى ملاءمتها للاختبارات البارامترية</w:t>
      </w:r>
      <w:r w:rsidRPr="00C316C8">
        <w:rPr>
          <w:rFonts w:ascii="Simplified Arabic" w:eastAsia="Times New Roman" w:hAnsi="Simplified Arabic" w:cs="Simplified Arabic"/>
          <w:color w:val="000000" w:themeColor="text1"/>
          <w:kern w:val="0"/>
          <w:sz w:val="28"/>
          <w:szCs w:val="28"/>
          <w14:ligatures w14:val="none"/>
        </w:rPr>
        <w:t>.</w:t>
      </w:r>
    </w:p>
    <w:p w14:paraId="39C86944" w14:textId="77777777" w:rsidR="00F7243B" w:rsidRPr="00C316C8" w:rsidRDefault="00F7243B" w:rsidP="00BA7C59">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وتشمل تحليل الارتباط البسيط والمتعدد</w:t>
      </w:r>
      <w:r w:rsidRPr="00C316C8">
        <w:rPr>
          <w:rFonts w:ascii="Simplified Arabic" w:eastAsia="Times New Roman" w:hAnsi="Simplified Arabic" w:cs="Simplified Arabic"/>
          <w:color w:val="000000" w:themeColor="text1"/>
          <w:kern w:val="0"/>
          <w:sz w:val="28"/>
          <w:szCs w:val="28"/>
          <w14:ligatures w14:val="none"/>
        </w:rPr>
        <w:t xml:space="preserve"> (Pearson Correlation) </w:t>
      </w:r>
      <w:r w:rsidRPr="00C316C8">
        <w:rPr>
          <w:rFonts w:ascii="Simplified Arabic" w:eastAsia="Times New Roman" w:hAnsi="Simplified Arabic" w:cs="Simplified Arabic"/>
          <w:color w:val="000000" w:themeColor="text1"/>
          <w:kern w:val="0"/>
          <w:sz w:val="28"/>
          <w:szCs w:val="28"/>
          <w:rtl/>
          <w14:ligatures w14:val="none"/>
        </w:rPr>
        <w:t>لقياس قوة واتجاه العلاقة بين المتغيرات، وتحليل الانحدار الخطي البسيط</w:t>
      </w:r>
      <w:r w:rsidRPr="00C316C8">
        <w:rPr>
          <w:rFonts w:ascii="Simplified Arabic" w:eastAsia="Times New Roman" w:hAnsi="Simplified Arabic" w:cs="Simplified Arabic"/>
          <w:color w:val="000000" w:themeColor="text1"/>
          <w:kern w:val="0"/>
          <w:sz w:val="28"/>
          <w:szCs w:val="28"/>
          <w14:ligatures w14:val="none"/>
        </w:rPr>
        <w:t xml:space="preserve"> (Simple Linear Regression) </w:t>
      </w:r>
      <w:r w:rsidRPr="00C316C8">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بشكل منفرد، وتحليل الانحدار الخطي المتعدد</w:t>
      </w:r>
      <w:r w:rsidRPr="00C316C8">
        <w:rPr>
          <w:rFonts w:ascii="Simplified Arabic" w:eastAsia="Times New Roman" w:hAnsi="Simplified Arabic" w:cs="Simplified Arabic"/>
          <w:color w:val="000000" w:themeColor="text1"/>
          <w:kern w:val="0"/>
          <w:sz w:val="28"/>
          <w:szCs w:val="28"/>
          <w14:ligatures w14:val="none"/>
        </w:rPr>
        <w:t xml:space="preserve"> (Multiple Linear Regression) </w:t>
      </w:r>
      <w:r w:rsidRPr="00C316C8">
        <w:rPr>
          <w:rFonts w:ascii="Simplified Arabic" w:eastAsia="Times New Roman" w:hAnsi="Simplified Arabic" w:cs="Simplified Arabic"/>
          <w:color w:val="000000" w:themeColor="text1"/>
          <w:kern w:val="0"/>
          <w:sz w:val="28"/>
          <w:szCs w:val="28"/>
          <w:rtl/>
          <w14:ligatures w14:val="none"/>
        </w:rPr>
        <w:t>لاختبار الأثر المشترك لأبعاد المتغير المستقل مجتمعة على المتغير التابع وتحديد الأهمية النسبية لكل بُعد، وتحليل الانحدار التدريجي</w:t>
      </w:r>
      <w:r w:rsidRPr="00C316C8">
        <w:rPr>
          <w:rFonts w:ascii="Simplified Arabic" w:eastAsia="Times New Roman" w:hAnsi="Simplified Arabic" w:cs="Simplified Arabic"/>
          <w:color w:val="000000" w:themeColor="text1"/>
          <w:kern w:val="0"/>
          <w:sz w:val="28"/>
          <w:szCs w:val="28"/>
          <w14:ligatures w14:val="none"/>
        </w:rPr>
        <w:t xml:space="preserve"> (Stepwise Regression) </w:t>
      </w:r>
      <w:r w:rsidRPr="00C316C8">
        <w:rPr>
          <w:rFonts w:ascii="Simplified Arabic" w:eastAsia="Times New Roman" w:hAnsi="Simplified Arabic" w:cs="Simplified Arabic"/>
          <w:color w:val="000000" w:themeColor="text1"/>
          <w:kern w:val="0"/>
          <w:sz w:val="28"/>
          <w:szCs w:val="28"/>
          <w:rtl/>
          <w14:ligatures w14:val="none"/>
        </w:rPr>
        <w:t>لتحديد الأبعاد الأكثر إسهاماً في تفسير التباين في المتغير التابع</w:t>
      </w:r>
      <w:r w:rsidRPr="00C316C8">
        <w:rPr>
          <w:rFonts w:ascii="Simplified Arabic" w:eastAsia="Times New Roman" w:hAnsi="Simplified Arabic" w:cs="Simplified Arabic"/>
          <w:color w:val="000000" w:themeColor="text1"/>
          <w:kern w:val="0"/>
          <w:sz w:val="28"/>
          <w:szCs w:val="28"/>
          <w14:ligatures w14:val="none"/>
        </w:rPr>
        <w:t>.</w:t>
      </w:r>
    </w:p>
    <w:p w14:paraId="1C71646F" w14:textId="0091AD52" w:rsidR="00F7243B" w:rsidRPr="00C316C8" w:rsidRDefault="00BA7C59" w:rsidP="00BA7C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1" w:name="_Toc223603169"/>
      <w:bookmarkStart w:id="32" w:name="_Toc233380460"/>
      <w:r w:rsidRPr="00C316C8">
        <w:rPr>
          <w:rFonts w:ascii="Simplified Arabic" w:eastAsia="Times New Roman" w:hAnsi="Simplified Arabic" w:cs="Simplified Arabic" w:hint="cs"/>
          <w:b/>
          <w:bCs/>
          <w:color w:val="000000" w:themeColor="text1"/>
          <w:kern w:val="0"/>
          <w:sz w:val="36"/>
          <w:szCs w:val="36"/>
          <w:rtl/>
          <w14:ligatures w14:val="none"/>
        </w:rPr>
        <w:t>15.1</w:t>
      </w:r>
      <w:r w:rsidR="00F7243B" w:rsidRPr="00C316C8">
        <w:rPr>
          <w:rFonts w:ascii="Simplified Arabic" w:eastAsia="Times New Roman" w:hAnsi="Simplified Arabic" w:cs="Simplified Arabic"/>
          <w:b/>
          <w:bCs/>
          <w:color w:val="000000" w:themeColor="text1"/>
          <w:kern w:val="0"/>
          <w:sz w:val="36"/>
          <w:szCs w:val="36"/>
          <w:rtl/>
          <w14:ligatures w14:val="none"/>
        </w:rPr>
        <w:t xml:space="preserve"> حدود الدراسة</w:t>
      </w:r>
      <w:bookmarkEnd w:id="31"/>
      <w:bookmarkEnd w:id="32"/>
    </w:p>
    <w:p w14:paraId="4526BC02" w14:textId="55BA7848" w:rsidR="00F7243B" w:rsidRPr="00C316C8" w:rsidRDefault="00F7243B" w:rsidP="00BA7C59">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b/>
          <w:bCs/>
          <w:color w:val="000000" w:themeColor="text1"/>
          <w:kern w:val="0"/>
          <w:sz w:val="28"/>
          <w:szCs w:val="28"/>
          <w:rtl/>
          <w14:ligatures w14:val="none"/>
        </w:rPr>
        <w:t>الحدود الموضوعية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تكامل إدارة الموارد البشرية بأبعاده الأربعة </w:t>
      </w:r>
      <w:r w:rsidR="00BA7C59" w:rsidRPr="00C316C8">
        <w:rPr>
          <w:rFonts w:ascii="Simplified Arabic" w:eastAsia="Times New Roman" w:hAnsi="Simplified Arabic" w:cs="Simplified Arabic" w:hint="cs"/>
          <w:color w:val="000000" w:themeColor="text1"/>
          <w:kern w:val="0"/>
          <w:sz w:val="28"/>
          <w:szCs w:val="28"/>
          <w:rtl/>
          <w14:ligatures w14:val="none"/>
        </w:rPr>
        <w:t>(</w:t>
      </w:r>
      <w:r w:rsidRPr="00C316C8">
        <w:rPr>
          <w:rFonts w:ascii="Simplified Arabic" w:eastAsia="Times New Roman" w:hAnsi="Simplified Arabic" w:cs="Simplified Arabic"/>
          <w:color w:val="000000" w:themeColor="text1"/>
          <w:kern w:val="0"/>
          <w:sz w:val="28"/>
          <w:szCs w:val="28"/>
          <w:rtl/>
          <w14:ligatures w14:val="none"/>
        </w:rPr>
        <w:t>التكامل الاستراتيجي لوظائف الموارد البشرية، التكامل التقني ورقمنة عمليات الموارد البشرية، تكامل إدارة الكفاءات وتطوير رأس المال البشري، التكامل الثقافي وبناء بيئة العمل الداعمة) كمتغير مستقل، على الامتثال التنظيمي وتقليل المخاطر التشغيلية كمتغير تابع</w:t>
      </w:r>
      <w:r w:rsidRPr="00C316C8">
        <w:rPr>
          <w:rFonts w:ascii="Simplified Arabic" w:eastAsia="Times New Roman" w:hAnsi="Simplified Arabic" w:cs="Simplified Arabic"/>
          <w:color w:val="000000" w:themeColor="text1"/>
          <w:kern w:val="0"/>
          <w:sz w:val="28"/>
          <w:szCs w:val="28"/>
          <w14:ligatures w14:val="none"/>
        </w:rPr>
        <w:t>.</w:t>
      </w:r>
    </w:p>
    <w:p w14:paraId="7A076FB7" w14:textId="6BB36F68" w:rsidR="00F7243B" w:rsidRPr="00C316C8" w:rsidRDefault="00F7243B" w:rsidP="00BA7C59">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b/>
          <w:bCs/>
          <w:color w:val="000000" w:themeColor="text1"/>
          <w:kern w:val="0"/>
          <w:sz w:val="28"/>
          <w:szCs w:val="28"/>
          <w:rtl/>
          <w14:ligatures w14:val="none"/>
        </w:rPr>
        <w:t>الحدود المكانية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ستُطبّق الدراسة على الشركات الصناعية العاملة في المدينة الصناعية الثانية في الرياض بالمملكة العربية السعودية</w:t>
      </w:r>
      <w:r w:rsidRPr="00C316C8">
        <w:rPr>
          <w:rFonts w:ascii="Simplified Arabic" w:eastAsia="Times New Roman" w:hAnsi="Simplified Arabic" w:cs="Simplified Arabic"/>
          <w:color w:val="000000" w:themeColor="text1"/>
          <w:kern w:val="0"/>
          <w:sz w:val="28"/>
          <w:szCs w:val="28"/>
          <w14:ligatures w14:val="none"/>
        </w:rPr>
        <w:t>.</w:t>
      </w:r>
    </w:p>
    <w:p w14:paraId="0A55BB44" w14:textId="0E1F4FAD" w:rsidR="00F7243B" w:rsidRPr="00C316C8" w:rsidRDefault="00F7243B" w:rsidP="00BA7C59">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16C8">
        <w:rPr>
          <w:rFonts w:ascii="Simplified Arabic" w:eastAsia="Times New Roman" w:hAnsi="Simplified Arabic" w:cs="Simplified Arabic"/>
          <w:b/>
          <w:bCs/>
          <w:color w:val="000000" w:themeColor="text1"/>
          <w:kern w:val="0"/>
          <w:sz w:val="28"/>
          <w:szCs w:val="28"/>
          <w:rtl/>
          <w14:ligatures w14:val="none"/>
        </w:rPr>
        <w:t>الحدود الزمانية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الفصل الدراسي الثاني من العام الجامعي 1447هـ</w:t>
      </w:r>
      <w:r w:rsidRPr="00C316C8">
        <w:rPr>
          <w:rFonts w:ascii="Simplified Arabic" w:eastAsia="Times New Roman" w:hAnsi="Simplified Arabic" w:cs="Simplified Arabic"/>
          <w:color w:val="000000" w:themeColor="text1"/>
          <w:kern w:val="0"/>
          <w:sz w:val="28"/>
          <w:szCs w:val="28"/>
          <w14:ligatures w14:val="none"/>
        </w:rPr>
        <w:t xml:space="preserve"> / 2026</w:t>
      </w:r>
      <w:r w:rsidRPr="00C316C8">
        <w:rPr>
          <w:rFonts w:ascii="Simplified Arabic" w:eastAsia="Times New Roman" w:hAnsi="Simplified Arabic" w:cs="Simplified Arabic"/>
          <w:color w:val="000000" w:themeColor="text1"/>
          <w:kern w:val="0"/>
          <w:sz w:val="28"/>
          <w:szCs w:val="28"/>
          <w:rtl/>
          <w14:ligatures w14:val="none"/>
        </w:rPr>
        <w:t>م</w:t>
      </w:r>
      <w:r w:rsidRPr="00C316C8">
        <w:rPr>
          <w:rFonts w:ascii="Simplified Arabic" w:eastAsia="Times New Roman" w:hAnsi="Simplified Arabic" w:cs="Simplified Arabic"/>
          <w:color w:val="000000" w:themeColor="text1"/>
          <w:kern w:val="0"/>
          <w:sz w:val="28"/>
          <w:szCs w:val="28"/>
          <w14:ligatures w14:val="none"/>
        </w:rPr>
        <w:t>.</w:t>
      </w:r>
    </w:p>
    <w:p w14:paraId="15FDD5E1" w14:textId="62406561" w:rsidR="00F7243B" w:rsidRPr="00C316C8" w:rsidRDefault="00F7243B" w:rsidP="00BA7C59">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16C8">
        <w:rPr>
          <w:rFonts w:ascii="Simplified Arabic" w:eastAsia="Times New Roman" w:hAnsi="Simplified Arabic" w:cs="Simplified Arabic"/>
          <w:b/>
          <w:bCs/>
          <w:color w:val="000000" w:themeColor="text1"/>
          <w:kern w:val="0"/>
          <w:sz w:val="28"/>
          <w:szCs w:val="28"/>
          <w:rtl/>
          <w14:ligatures w14:val="none"/>
        </w:rPr>
        <w:t>الحدود البشرية</w:t>
      </w:r>
      <w:r w:rsidRPr="00C316C8">
        <w:rPr>
          <w:rFonts w:ascii="Simplified Arabic" w:eastAsia="Times New Roman" w:hAnsi="Simplified Arabic" w:cs="Simplified Arabic"/>
          <w:color w:val="000000" w:themeColor="text1"/>
          <w:kern w:val="0"/>
          <w:sz w:val="28"/>
          <w:szCs w:val="28"/>
          <w14:ligatures w14:val="none"/>
        </w:rPr>
        <w:t xml:space="preserve">: </w:t>
      </w:r>
      <w:r w:rsidRPr="00C316C8">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(مديرون، رؤساء أقسام، مشرفون، ومسؤولو الموارد البشرية والامتثال والجودة وإدارة المخاطر) في الشركات الصناعية محل الدراسة،</w:t>
      </w:r>
      <w:r w:rsidRPr="00C316C8">
        <w:rPr>
          <w:rFonts w:ascii="Simplified Arabic" w:eastAsia="Times New Roman" w:hAnsi="Simplified Arabic" w:cs="Simplified Arabic"/>
          <w:color w:val="000000" w:themeColor="text1"/>
          <w:kern w:val="0"/>
          <w:sz w:val="28"/>
          <w:szCs w:val="28"/>
          <w14:ligatures w14:val="none"/>
        </w:rPr>
        <w:t>.</w:t>
      </w:r>
    </w:p>
    <w:p w14:paraId="5CA2B1CC" w14:textId="05F2B7B9" w:rsidR="00C12508" w:rsidRPr="00C316C8" w:rsidRDefault="00036825" w:rsidP="00036825">
      <w:pPr>
        <w:jc w:val="center"/>
        <w:outlineLvl w:val="0"/>
        <w:rPr>
          <w:rFonts w:ascii="Simplified Arabic" w:hAnsi="Simplified Arabic" w:cs="Simplified Arabic"/>
          <w:b/>
          <w:bCs/>
          <w:color w:val="000000" w:themeColor="text1"/>
          <w:sz w:val="40"/>
          <w:szCs w:val="40"/>
        </w:rPr>
      </w:pPr>
      <w:r w:rsidRPr="00C316C8">
        <w:rPr>
          <w:rFonts w:ascii="Simplified Arabic" w:hAnsi="Simplified Arabic" w:cs="Simplified Arabic"/>
          <w:b/>
          <w:bCs/>
          <w:color w:val="000000" w:themeColor="text1"/>
          <w:sz w:val="40"/>
          <w:szCs w:val="40"/>
          <w:rtl/>
        </w:rPr>
        <w:br w:type="page"/>
      </w:r>
      <w:bookmarkStart w:id="33" w:name="_Toc233380461"/>
      <w:r w:rsidRPr="00C316C8">
        <w:rPr>
          <w:rFonts w:ascii="Simplified Arabic" w:hAnsi="Simplified Arabic" w:cs="Simplified Arabic" w:hint="cs"/>
          <w:b/>
          <w:bCs/>
          <w:color w:val="000000" w:themeColor="text1"/>
          <w:sz w:val="40"/>
          <w:szCs w:val="40"/>
          <w:rtl/>
        </w:rPr>
        <w:lastRenderedPageBreak/>
        <w:t xml:space="preserve">الفصل الثاني: </w:t>
      </w:r>
      <w:r w:rsidR="00C12508" w:rsidRPr="00C316C8">
        <w:rPr>
          <w:rFonts w:ascii="Simplified Arabic" w:hAnsi="Simplified Arabic" w:cs="Simplified Arabic"/>
          <w:b/>
          <w:bCs/>
          <w:color w:val="000000" w:themeColor="text1"/>
          <w:sz w:val="40"/>
          <w:szCs w:val="40"/>
          <w:rtl/>
        </w:rPr>
        <w:t>الإطار النظري للدراسة</w:t>
      </w:r>
      <w:bookmarkEnd w:id="33"/>
    </w:p>
    <w:p w14:paraId="688BC576" w14:textId="77777777" w:rsidR="00C12508" w:rsidRPr="00C316C8" w:rsidRDefault="00C12508" w:rsidP="00036825">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34" w:name="_Toc233380462"/>
      <w:r w:rsidRPr="00C316C8">
        <w:rPr>
          <w:rFonts w:ascii="Simplified Arabic" w:hAnsi="Simplified Arabic" w:cs="Simplified Arabic"/>
          <w:b/>
          <w:bCs/>
          <w:color w:val="000000" w:themeColor="text1"/>
          <w:sz w:val="36"/>
          <w:szCs w:val="36"/>
          <w:rtl/>
        </w:rPr>
        <w:t>المبحث الأول: تكامل إدارة الموارد البشرية</w:t>
      </w:r>
      <w:bookmarkEnd w:id="34"/>
    </w:p>
    <w:p w14:paraId="55231E5A" w14:textId="70093412"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5" w:name="_Toc233380463"/>
      <w:r w:rsidRPr="00C316C8">
        <w:rPr>
          <w:rFonts w:ascii="Simplified Arabic" w:hAnsi="Simplified Arabic" w:cs="Simplified Arabic" w:hint="cs"/>
          <w:b/>
          <w:bCs/>
          <w:color w:val="000000" w:themeColor="text1"/>
          <w:sz w:val="32"/>
          <w:szCs w:val="32"/>
          <w:rtl/>
        </w:rPr>
        <w:t xml:space="preserve">1.1.2 </w:t>
      </w:r>
      <w:r w:rsidR="00C12508" w:rsidRPr="00C316C8">
        <w:rPr>
          <w:rFonts w:ascii="Simplified Arabic" w:hAnsi="Simplified Arabic" w:cs="Simplified Arabic"/>
          <w:b/>
          <w:bCs/>
          <w:color w:val="000000" w:themeColor="text1"/>
          <w:sz w:val="32"/>
          <w:szCs w:val="32"/>
          <w:rtl/>
        </w:rPr>
        <w:t>تمهيد</w:t>
      </w:r>
      <w:bookmarkEnd w:id="35"/>
    </w:p>
    <w:p w14:paraId="3F503E68"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شهد الفكر الإداري المعاصر تحولات جوهرية في النظر إلى وظيفة الموارد البشرية، إذ انتقلت هذه الوظيفة من كونها نشاطًا إداريًا تقليديًا يُعنى بالشؤون الوظيفية والإجرائية، إلى كونها وظيفة استراتيجية محورية تُسهم في صياغة التوجهات الكبرى للمنظمة وتُحدد قدرتها على الاستجابة لمتغيرات البيئة التنافسية. وفي خضم هذا التحول، برز مفهوم “تكامل إدارة الموارد البشرية” بوصفه استجابةً نظرية وتطبيقية لمحدودية المقاربات الجزئية التي عالجت ممارسات الموارد البشرية باعتبارها أنشطة منفصلة كالاستقطاب والتدريب والتقييم والتعويض، دون النظر إلى ما بينها من ترابط بنيوي ووظيفي. ويعكس هذا التكامل توجهًا حديثًا يقوم على الموائمة بين السياسات والممارسات داخل الوظيفة الواحدة من جهة، وبين هذه الوظيفة والاستراتيجية العامة للمنظمة من جهة أخرى، بما يُحقق اتساقًا داخليًا وخارجيًا يُعزز من فاعلية رأس المال البشري</w:t>
      </w:r>
      <w:r w:rsidRPr="00C316C8">
        <w:rPr>
          <w:rFonts w:ascii="Simplified Arabic" w:hAnsi="Simplified Arabic" w:cs="Simplified Arabic"/>
          <w:color w:val="000000" w:themeColor="text1"/>
          <w:sz w:val="28"/>
          <w:szCs w:val="28"/>
        </w:rPr>
        <w:t>.</w:t>
      </w:r>
    </w:p>
    <w:p w14:paraId="04770236"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ويستمد هذا التوجه أهميته من كون البيئة الصناعية المعاصرة، ولا سيما في القطاعات كثيفة التنظيم كالقطاع الصناعي السعودي، باتت تتسم بتعقد متزايد في المتطلبات التشريعية، وتسارع في التحولات التقنية، وارتفاع في معايير الامتثال والحوكمة. ومن ثَمّ، لم يعد بمقدور إدارات الموارد البشرية أن تعمل بمعزل عن المنظومة الشاملة للمنظمة، بل أصبح لزامًا عليها أن تتكامل أفقيًا ورأسيًا، وتقنيًا وثقافيًا، لضمان مساهمتها في بناء قدرات تنظيمية مستدامة. ويأتي هذا المبحث ليُؤسس نظريًا لمفهوم التكامل في إدارة الموارد البشرية، مستعرضًا تعريفاته وأهميته وأهدافه وأبعاده، مع إبراز المداخل الفكرية المختلفة التي عالجته، وموقع هذه الدراسة من تلك المداخل</w:t>
      </w:r>
      <w:r w:rsidRPr="00C316C8">
        <w:rPr>
          <w:rFonts w:ascii="Simplified Arabic" w:hAnsi="Simplified Arabic" w:cs="Simplified Arabic"/>
          <w:color w:val="000000" w:themeColor="text1"/>
          <w:sz w:val="28"/>
          <w:szCs w:val="28"/>
        </w:rPr>
        <w:t>.</w:t>
      </w:r>
    </w:p>
    <w:p w14:paraId="649C90B4" w14:textId="37B6C03B"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6" w:name="_Toc233380464"/>
      <w:r w:rsidRPr="00C316C8">
        <w:rPr>
          <w:rFonts w:ascii="Simplified Arabic" w:hAnsi="Simplified Arabic" w:cs="Simplified Arabic" w:hint="cs"/>
          <w:b/>
          <w:bCs/>
          <w:color w:val="000000" w:themeColor="text1"/>
          <w:sz w:val="32"/>
          <w:szCs w:val="32"/>
          <w:rtl/>
        </w:rPr>
        <w:t xml:space="preserve">2.1.2 </w:t>
      </w:r>
      <w:r w:rsidR="00C12508" w:rsidRPr="00C316C8">
        <w:rPr>
          <w:rFonts w:ascii="Simplified Arabic" w:hAnsi="Simplified Arabic" w:cs="Simplified Arabic"/>
          <w:b/>
          <w:bCs/>
          <w:color w:val="000000" w:themeColor="text1"/>
          <w:sz w:val="32"/>
          <w:szCs w:val="32"/>
          <w:rtl/>
        </w:rPr>
        <w:t xml:space="preserve"> مفهوم تكامل إدارة الموارد البشرية</w:t>
      </w:r>
      <w:bookmarkEnd w:id="36"/>
    </w:p>
    <w:p w14:paraId="65684758"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 xml:space="preserve">يُمثل تكامل إدارة الموارد البشرية حقلًا مفاهيميًا ثريًا تعددت فيه المداخل النظرية وتنوعت التعريفات بحسب الزاوية التي ينظر منها الباحثون. فمن منظور استراتيجي، يُعرَّف التكامل بوصفه عملية مواءمة </w:t>
      </w:r>
      <w:r w:rsidRPr="00C316C8">
        <w:rPr>
          <w:rFonts w:ascii="Simplified Arabic" w:hAnsi="Simplified Arabic" w:cs="Simplified Arabic"/>
          <w:color w:val="000000" w:themeColor="text1"/>
          <w:sz w:val="28"/>
          <w:szCs w:val="28"/>
          <w:rtl/>
        </w:rPr>
        <w:lastRenderedPageBreak/>
        <w:t>شاملة بين سياسات الموارد البشرية وممارساتها وبين التوجه الاستراتيجي للمنظمة، بحيث تتحول هذه الإدارة من وظيفة مساندة إلى شريك استراتيجي فاعل في صياغة القرارات الكبرى وتنفيذها. وفي هذا السياق، يُشير التيجاني (٢٠٢٢) إلى أن استراتيجية إدارة الموارد البشرية تكتسب معناها الحقيقي حين تندمج في منظومة التخطيط الاستراتيجي العام للمنظمة، فتُسهم في بناء قدرات تنظيمية متجددة ترتبط برسالة المنظمة وأهدافها بعيدة المدى، لا أن تظل أسيرة الممارسات الإجرائية اليومية</w:t>
      </w:r>
      <w:r w:rsidRPr="00C316C8">
        <w:rPr>
          <w:rFonts w:ascii="Simplified Arabic" w:hAnsi="Simplified Arabic" w:cs="Simplified Arabic"/>
          <w:color w:val="000000" w:themeColor="text1"/>
          <w:sz w:val="28"/>
          <w:szCs w:val="28"/>
        </w:rPr>
        <w:t>.</w:t>
      </w:r>
    </w:p>
    <w:p w14:paraId="6C85E1C5"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ومن زاوية مغايرة، يتناول تلخوخ (٢٠٢٤) المفهوم بوصفه عملية تكامل بين الإدارة الاستراتيجية للموارد البشرية وإدارة المعرفة، إذ يرى أن التكامل لا يقتصر على المواءمة الداخلية بين الوظائف، بل يمتد ليشمل التقاء الموارد البشرية مع الأصول المعرفية للمنظمة في إطار سعيها لتحقيق ميزة تنافسية مستدامة. ويُضيف هذا التعريف بُعدًا معرفيًا للمفهوم، يجعل من الموارد البشرية حاضنةً للمعرفة التنظيمية ووسيطًا في توليدها ونشرها وتوظيفها</w:t>
      </w:r>
      <w:r w:rsidRPr="00C316C8">
        <w:rPr>
          <w:rFonts w:ascii="Simplified Arabic" w:hAnsi="Simplified Arabic" w:cs="Simplified Arabic"/>
          <w:color w:val="000000" w:themeColor="text1"/>
          <w:sz w:val="28"/>
          <w:szCs w:val="28"/>
        </w:rPr>
        <w:t>.</w:t>
      </w:r>
    </w:p>
    <w:p w14:paraId="6733247F"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أما الشيذاني (٢٠٢٦)، فيتبنى منظورًا قياديًا تكامليًا، إذ يربط بين القيادة الإدارية واستراتيجيات إدارة الموارد البشرية، معتبرًا أن التكامل يتحقق حين تتلاقى الرؤية القيادية مع أدوات الموارد البشرية في منظومة موحدة تُعزز الأداء المؤسسي. ويُبرز هذا التعريف الدور المحوري للقيادة بوصفها العامل الذي يُحوّل التكامل من تصور نظري إلى ممارسة فعلية داخل البيئة التنظيمية</w:t>
      </w:r>
      <w:r w:rsidRPr="00C316C8">
        <w:rPr>
          <w:rFonts w:ascii="Simplified Arabic" w:hAnsi="Simplified Arabic" w:cs="Simplified Arabic"/>
          <w:color w:val="000000" w:themeColor="text1"/>
          <w:sz w:val="28"/>
          <w:szCs w:val="28"/>
        </w:rPr>
        <w:t>.</w:t>
      </w:r>
    </w:p>
    <w:p w14:paraId="300C0590"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ويتجه أحمد (٢٠٢٣) في توصيفه للمفهوم إلى ربطه بالاستدامة، فتُعرَّف ممارسات إدارة الموارد البشرية المستدامة بوصفها منظومة متكاملة من السياسات التي تستهدف تحقيق توازن بين الأبعاد الاقتصادية والاجتماعية والبيئية، بما يُحقق أداءً تنافسيًا متجددًا. ويُسهم هذا التعريف في توسيع نطاق المفهوم ليشمل البعد الزمني طويل المدى، والاهتمام بالأطراف ذات المصلحة المتعددة، لا الموظفين فحسب</w:t>
      </w:r>
      <w:r w:rsidRPr="00C316C8">
        <w:rPr>
          <w:rFonts w:ascii="Simplified Arabic" w:hAnsi="Simplified Arabic" w:cs="Simplified Arabic"/>
          <w:color w:val="000000" w:themeColor="text1"/>
          <w:sz w:val="28"/>
          <w:szCs w:val="28"/>
        </w:rPr>
        <w:t>.</w:t>
      </w:r>
    </w:p>
    <w:p w14:paraId="583E2E97"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ومن منظور وظيفي تطبيقي، يُشير بلعربي وعيسى (٢٠٢٣) إلى أن ممارسات إدارة الموارد البشرية تكتسب فاعليتها حين تتكامل مع مدخل الجودة الشاملة، بحيث تُصاغ السياسات والإجراءات بصورة منسجمة مع متطلبات التحسين المستمر ومعايير الجودة في مختلف الوظائف التنظيمية. ويُؤكد هذا الطرح أن التكامل ليس عملية داخلية بحتة، بل يمتد ليشمل العلاقة بين إدارة الموارد البشرية والمنظومات الإدارية الأخرى داخل المنظمة</w:t>
      </w:r>
      <w:r w:rsidRPr="00C316C8">
        <w:rPr>
          <w:rFonts w:ascii="Simplified Arabic" w:hAnsi="Simplified Arabic" w:cs="Simplified Arabic"/>
          <w:color w:val="000000" w:themeColor="text1"/>
          <w:sz w:val="28"/>
          <w:szCs w:val="28"/>
        </w:rPr>
        <w:t>.</w:t>
      </w:r>
    </w:p>
    <w:p w14:paraId="648E496B"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وفي السياق الدولي، يطرح</w:t>
      </w:r>
      <w:r w:rsidRPr="00C316C8">
        <w:rPr>
          <w:rFonts w:ascii="Simplified Arabic" w:hAnsi="Simplified Arabic" w:cs="Simplified Arabic"/>
          <w:color w:val="000000" w:themeColor="text1"/>
          <w:sz w:val="28"/>
          <w:szCs w:val="28"/>
        </w:rPr>
        <w:t xml:space="preserve"> Mwita (2024) </w:t>
      </w:r>
      <w:r w:rsidRPr="00C316C8">
        <w:rPr>
          <w:rFonts w:ascii="Simplified Arabic" w:hAnsi="Simplified Arabic" w:cs="Simplified Arabic"/>
          <w:color w:val="000000" w:themeColor="text1"/>
          <w:sz w:val="28"/>
          <w:szCs w:val="28"/>
          <w:rtl/>
        </w:rPr>
        <w:t>مفهوم الإدارة الاستراتيجية للموارد البشرية بوصفها عملية تكامل بين الممارسات الإدارية والأهداف التنظيمية، تقوم على مبدأ المواءمة بين الموارد البشرية المتاحة والتوجهات المستقبلية للمنظمة في سياق تنافسي متغير. ويُعزز</w:t>
      </w:r>
      <w:r w:rsidRPr="00C316C8">
        <w:rPr>
          <w:rFonts w:ascii="Simplified Arabic" w:hAnsi="Simplified Arabic" w:cs="Simplified Arabic"/>
          <w:color w:val="000000" w:themeColor="text1"/>
          <w:sz w:val="28"/>
          <w:szCs w:val="28"/>
        </w:rPr>
        <w:t xml:space="preserve"> Aloulou et al. (2024) </w:t>
      </w:r>
      <w:r w:rsidRPr="00C316C8">
        <w:rPr>
          <w:rFonts w:ascii="Simplified Arabic" w:hAnsi="Simplified Arabic" w:cs="Simplified Arabic"/>
          <w:color w:val="000000" w:themeColor="text1"/>
          <w:sz w:val="28"/>
          <w:szCs w:val="28"/>
          <w:rtl/>
        </w:rPr>
        <w:t>هذا الفهم بطرحهم لممارسات الموارد البشرية الاستراتيجية بوصفها منظومة متكاملة تستهدف الاحتفاظ بالكفاءات وتعزيز الأداء التنظيمي في آن واحد، فالتكامل في هذا التصور يقوم على ترابط بين سياسات الجذب والتطوير والاحتفاظ ضمن إطار استراتيجي موحد</w:t>
      </w:r>
      <w:r w:rsidRPr="00C316C8">
        <w:rPr>
          <w:rFonts w:ascii="Simplified Arabic" w:hAnsi="Simplified Arabic" w:cs="Simplified Arabic"/>
          <w:color w:val="000000" w:themeColor="text1"/>
          <w:sz w:val="28"/>
          <w:szCs w:val="28"/>
        </w:rPr>
        <w:t>.</w:t>
      </w:r>
    </w:p>
    <w:p w14:paraId="41A383A9"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ويُقدم</w:t>
      </w:r>
      <w:r w:rsidRPr="00C316C8">
        <w:rPr>
          <w:rFonts w:ascii="Simplified Arabic" w:hAnsi="Simplified Arabic" w:cs="Simplified Arabic"/>
          <w:color w:val="000000" w:themeColor="text1"/>
          <w:sz w:val="28"/>
          <w:szCs w:val="28"/>
        </w:rPr>
        <w:t xml:space="preserve"> Ciobanu et al. (2023) </w:t>
      </w:r>
      <w:r w:rsidRPr="00C316C8">
        <w:rPr>
          <w:rFonts w:ascii="Simplified Arabic" w:hAnsi="Simplified Arabic" w:cs="Simplified Arabic"/>
          <w:color w:val="000000" w:themeColor="text1"/>
          <w:sz w:val="28"/>
          <w:szCs w:val="28"/>
          <w:rtl/>
        </w:rPr>
        <w:t>تصورًا يربط بين ممارسات الموارد البشرية وعمليات التغيير التنظيمي، إذ يرون أن التكامل يتجلى في قدرة هذه الممارسات على تفعيل عمليات التغيير ودعمها، بحيث تعمل الموارد البشرية بوصفها ميسرًا للتحول التنظيمي لا مجرد مستجيب له. ومن زاوية مغايرة، يطرح</w:t>
      </w:r>
      <w:r w:rsidRPr="00C316C8">
        <w:rPr>
          <w:rFonts w:ascii="Simplified Arabic" w:hAnsi="Simplified Arabic" w:cs="Simplified Arabic"/>
          <w:color w:val="000000" w:themeColor="text1"/>
          <w:sz w:val="28"/>
          <w:szCs w:val="28"/>
        </w:rPr>
        <w:t xml:space="preserve"> Aburumman et al. (2024) </w:t>
      </w:r>
      <w:r w:rsidRPr="00C316C8">
        <w:rPr>
          <w:rFonts w:ascii="Simplified Arabic" w:hAnsi="Simplified Arabic" w:cs="Simplified Arabic"/>
          <w:color w:val="000000" w:themeColor="text1"/>
          <w:sz w:val="28"/>
          <w:szCs w:val="28"/>
          <w:rtl/>
        </w:rPr>
        <w:t>المفهوم في سياق ممارسات الموارد البشرية بوصفها حزمة متناسقة من السياسات والإجراءات التي تتفاعل فيما بينها لتحقيق أثر تراكمي على الأداء التنظيمي، وهو ما يُعرف في الأدبيات بمنظور “الحزم” أو “النظم” في إدارة الموارد البشرية</w:t>
      </w:r>
      <w:r w:rsidRPr="00C316C8">
        <w:rPr>
          <w:rFonts w:ascii="Simplified Arabic" w:hAnsi="Simplified Arabic" w:cs="Simplified Arabic"/>
          <w:color w:val="000000" w:themeColor="text1"/>
          <w:sz w:val="28"/>
          <w:szCs w:val="28"/>
        </w:rPr>
        <w:t>.</w:t>
      </w:r>
    </w:p>
    <w:p w14:paraId="38FEB28D"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وفي مدخل أكثر حداثة، يُسهم</w:t>
      </w:r>
      <w:r w:rsidRPr="00C316C8">
        <w:rPr>
          <w:rFonts w:ascii="Simplified Arabic" w:hAnsi="Simplified Arabic" w:cs="Simplified Arabic"/>
          <w:color w:val="000000" w:themeColor="text1"/>
          <w:sz w:val="28"/>
          <w:szCs w:val="28"/>
        </w:rPr>
        <w:t xml:space="preserve"> Teng et al. (2023) </w:t>
      </w:r>
      <w:r w:rsidRPr="00C316C8">
        <w:rPr>
          <w:rFonts w:ascii="Simplified Arabic" w:hAnsi="Simplified Arabic" w:cs="Simplified Arabic"/>
          <w:color w:val="000000" w:themeColor="text1"/>
          <w:sz w:val="28"/>
          <w:szCs w:val="28"/>
          <w:rtl/>
        </w:rPr>
        <w:t>في إثراء المفهوم بربطه بمرونة المنظمة، إذ يُقدمون ممارسات الموارد البشرية المتكاملة بوصفها قدرة على بناء الصمود التنظيمي في مواجهة الاضطرابات البيئية. ويُكمل</w:t>
      </w:r>
      <w:r w:rsidRPr="00C316C8">
        <w:rPr>
          <w:rFonts w:ascii="Simplified Arabic" w:hAnsi="Simplified Arabic" w:cs="Simplified Arabic"/>
          <w:color w:val="000000" w:themeColor="text1"/>
          <w:sz w:val="28"/>
          <w:szCs w:val="28"/>
        </w:rPr>
        <w:t xml:space="preserve"> Acquah et al. (2021) </w:t>
      </w:r>
      <w:r w:rsidRPr="00C316C8">
        <w:rPr>
          <w:rFonts w:ascii="Simplified Arabic" w:hAnsi="Simplified Arabic" w:cs="Simplified Arabic"/>
          <w:color w:val="000000" w:themeColor="text1"/>
          <w:sz w:val="28"/>
          <w:szCs w:val="28"/>
          <w:rtl/>
        </w:rPr>
        <w:t>هذا الطرح بإدخال البعد البيئي عبر مفهوم الممارسات الخضراء للموارد البشرية، التي تُمثل تكاملًا بين الاعتبارات البيئية وممارسات إدارة الأفراد ضمن سلاسل التوريد المستدامة</w:t>
      </w:r>
      <w:r w:rsidRPr="00C316C8">
        <w:rPr>
          <w:rFonts w:ascii="Simplified Arabic" w:hAnsi="Simplified Arabic" w:cs="Simplified Arabic"/>
          <w:color w:val="000000" w:themeColor="text1"/>
          <w:sz w:val="28"/>
          <w:szCs w:val="28"/>
        </w:rPr>
        <w:t>.</w:t>
      </w:r>
    </w:p>
    <w:p w14:paraId="1E14A1FE"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 xml:space="preserve">ومن خلال استعراض هذه التعريفات يتضح أن مفهوم تكامل إدارة الموارد البشرية يتسم بتعدد المداخل وتنوع الزوايا، فمنها ما يُركز على الاستراتيجية، ومنها ما يُبرز البعد المعرفي، ومنها ما يستحضر القيادة، ومنها ما يُدمج الاستدامة، ومنها ما يربطه بالتحول الرقمي والمرونة التنظيمية. ويرى الباحث في ضوء ما تقدم أن تكامل إدارة الموارد البشرية يُمثل منظومة متعددة الأبعاد تقوم على المواءمة المتزامنة بين الاستراتيجية التنظيمية وممارسات الموارد البشرية، وعلى الترابط الداخلي بين هذه الممارسات ذاتها، وعلى اندماجها مع المنظومات التقنية والثقافية والمعرفية للمنظمة، بما يُمكّنها من بناء قدرات بشرية متكاملة قادرة على الاستجابة لمتطلبات الامتثال التنظيمي ومواجهة المخاطر التشغيلية في البيئات الصناعية المعاصرة. </w:t>
      </w:r>
      <w:r w:rsidRPr="00C316C8">
        <w:rPr>
          <w:rFonts w:ascii="Simplified Arabic" w:hAnsi="Simplified Arabic" w:cs="Simplified Arabic"/>
          <w:color w:val="000000" w:themeColor="text1"/>
          <w:sz w:val="28"/>
          <w:szCs w:val="28"/>
          <w:rtl/>
        </w:rPr>
        <w:lastRenderedPageBreak/>
        <w:t>ويتميز هذا التصور بأنه يتجاوز النظرة الجزئية إلى ممارسات الموارد البشرية، ويُؤسس لرؤية شمولية تتسق مع طبيعة المنظمات الصناعية الحديثة التي تعمل في بيئات عالية التعقيد والتنظيم</w:t>
      </w:r>
      <w:r w:rsidRPr="00C316C8">
        <w:rPr>
          <w:rFonts w:ascii="Simplified Arabic" w:hAnsi="Simplified Arabic" w:cs="Simplified Arabic"/>
          <w:color w:val="000000" w:themeColor="text1"/>
          <w:sz w:val="28"/>
          <w:szCs w:val="28"/>
        </w:rPr>
        <w:t>.</w:t>
      </w:r>
    </w:p>
    <w:p w14:paraId="18974DCA" w14:textId="17184536"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7" w:name="_Toc233380465"/>
      <w:r w:rsidRPr="00C316C8">
        <w:rPr>
          <w:rFonts w:ascii="Simplified Arabic" w:hAnsi="Simplified Arabic" w:cs="Simplified Arabic" w:hint="cs"/>
          <w:b/>
          <w:bCs/>
          <w:color w:val="000000" w:themeColor="text1"/>
          <w:sz w:val="32"/>
          <w:szCs w:val="32"/>
          <w:rtl/>
        </w:rPr>
        <w:t>3.1.2</w:t>
      </w:r>
      <w:r w:rsidR="00C12508" w:rsidRPr="00C316C8">
        <w:rPr>
          <w:rFonts w:ascii="Simplified Arabic" w:hAnsi="Simplified Arabic" w:cs="Simplified Arabic"/>
          <w:b/>
          <w:bCs/>
          <w:color w:val="000000" w:themeColor="text1"/>
          <w:sz w:val="32"/>
          <w:szCs w:val="32"/>
          <w:rtl/>
        </w:rPr>
        <w:t xml:space="preserve"> أهمية تكامل إدارة الموارد البشرية</w:t>
      </w:r>
      <w:bookmarkEnd w:id="37"/>
    </w:p>
    <w:p w14:paraId="7F9000EA"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تنبع أهمية تكامل إدارة الموارد البشرية من كونه يُمثل الإطار الذي تتحول من خلاله ممارسات إدارة الأفراد من نشاطات متناثرة إلى منظومة متماسكة قادرة على إحداث أثر تراكمي في الأداء التنظيمي. فالمنظمات الصناعية التي تعمل في بيئات معقدة، كتلك الموجودة في المدن الصناعية الكبرى، تواجه تحديات لا يمكن مواجهتها بممارسات منعزلة، بل تستدعي رؤية متكاملة تربط بين السياسات والإجراءات والثقافة والتقنية، بما يُتيح للمنظمة استثمار رأس مالها البشري بأقصى كفاءة ممكنة</w:t>
      </w:r>
      <w:r w:rsidRPr="00C316C8">
        <w:rPr>
          <w:rFonts w:ascii="Simplified Arabic" w:hAnsi="Simplified Arabic" w:cs="Simplified Arabic"/>
          <w:color w:val="000000" w:themeColor="text1"/>
          <w:sz w:val="28"/>
          <w:szCs w:val="28"/>
        </w:rPr>
        <w:t>.</w:t>
      </w:r>
    </w:p>
    <w:p w14:paraId="52801C99"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ويُشير التيجاني (٢٠٢٢) إلى أن أهمية تكامل إدارة الموارد البشرية تتجلى في عدة محاور؛ فهو، أولًا، يُحقق التكامل الاستراتيجي بين الموارد البشرية والمنظومة الإدارية الشاملة، بحيث تتحول هذه الإدارة إلى شريك في صياغة القرارات لا مجرد منفذ لها. وهو، ثانيًا، يُسهم في تعزيز قدرة المنظمة على استشراف المستقبل واستيعاب التحولات البيئية من خلال بناء قدرات بشرية قادرة على التكيف. وهو، ثالثًا، يُرسخ مبدأ الاتساق بين الأهداف الكلية والأهداف الوظيفية، فيرتفع مستوى الانسجام التنظيمي ويتقلص هدر الموارد الناتج عن تعارض التوجهات</w:t>
      </w:r>
      <w:r w:rsidRPr="00C316C8">
        <w:rPr>
          <w:rFonts w:ascii="Simplified Arabic" w:hAnsi="Simplified Arabic" w:cs="Simplified Arabic"/>
          <w:color w:val="000000" w:themeColor="text1"/>
          <w:sz w:val="28"/>
          <w:szCs w:val="28"/>
        </w:rPr>
        <w:t>.</w:t>
      </w:r>
    </w:p>
    <w:p w14:paraId="17D602B6"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ويرى تلخوخ (٢٠٢٤) أن أهمية التكامل تتجلى في كونه يُمكّن المنظمة من بناء ميزة تنافسية مستدامة عبر الدمج بين الموارد البشرية والمعرفة التنظيمية؛ إذ تتحول الموارد البشرية إلى وعاء حافظ للمعرفة الضمنية والصريحة، وإلى وسيط ناقل لها بين الأجيال الوظيفية المتعاقبة، مما يحول دون ضياع الذاكرة التنظيمية. كما تتجلى أهمية التكامل في توفيره بيئة محفزة على الابتكار، إذ يُتيح للأفراد فرصة المشاركة في توليد المعرفة وتطبيقها، فيرتفع مستوى الإنتاجية الفكرية للمنظمة</w:t>
      </w:r>
      <w:r w:rsidRPr="00C316C8">
        <w:rPr>
          <w:rFonts w:ascii="Simplified Arabic" w:hAnsi="Simplified Arabic" w:cs="Simplified Arabic"/>
          <w:color w:val="000000" w:themeColor="text1"/>
          <w:sz w:val="28"/>
          <w:szCs w:val="28"/>
        </w:rPr>
        <w:t>.</w:t>
      </w:r>
    </w:p>
    <w:p w14:paraId="0832AD87"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ويُضيف الشيذاني (٢٠٢٦) أن أهمية تكامل إدارة الموارد البشرية تتجلى في تعزيز الأداء المؤسسي عبر الجمع بين الرؤية القيادية وأدوات الموارد البشرية في إطار موحد، إذ يُحقق هذا التكامل اتساقًا بين القرارات القيادية والممارسات التطبيقية، ويرفع من قدرة المنظمة على تحقيق رؤيتها بعيدة المدى. كما يُسهم في تعزيز ثقافة القيادة التشاركية، حيث تنتقل ممارسات الموارد البشرية من نطاق الإدارة الوسطى إلى مستوى القرار الاستراتيجي</w:t>
      </w:r>
      <w:r w:rsidRPr="00C316C8">
        <w:rPr>
          <w:rFonts w:ascii="Simplified Arabic" w:hAnsi="Simplified Arabic" w:cs="Simplified Arabic"/>
          <w:color w:val="000000" w:themeColor="text1"/>
          <w:sz w:val="28"/>
          <w:szCs w:val="28"/>
        </w:rPr>
        <w:t>.</w:t>
      </w:r>
    </w:p>
    <w:p w14:paraId="1B37CA5E"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ويرى أحمد (٢٠٢٣) أن أهمية ممارسات الموارد البشرية المستدامة المتكاملة تتجلى في تمكين المنظمة من بناء أداء تنافسي يقوم على المسؤولية الاجتماعية ومراعاة الأطراف ذات المصلحة المتعددة. ويُكسب هذا التكامل المنظمة سمعة تنظيمية قوية، ويُعزز من قدرتها على استقطاب أفضل الكفاءات، فضلًا عن أنه يُتيح لها التكيف مع المتغيرات البيئية والاجتماعية في آن واحد. ويُسهم هذا الطرح في إبراز البعد الاجتماعي للتكامل، الذي يتجاوز حدود المنظمة إلى مجتمعها الأشمل</w:t>
      </w:r>
      <w:r w:rsidRPr="00C316C8">
        <w:rPr>
          <w:rFonts w:ascii="Simplified Arabic" w:hAnsi="Simplified Arabic" w:cs="Simplified Arabic"/>
          <w:color w:val="000000" w:themeColor="text1"/>
          <w:sz w:val="28"/>
          <w:szCs w:val="28"/>
        </w:rPr>
        <w:t>.</w:t>
      </w:r>
    </w:p>
    <w:p w14:paraId="465B4613"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ويُؤكد بلعربي وعيسى (٢٠٢٣) أن أهمية التكامل تتجلى أيضًا في ربط ممارسات الموارد البشرية بمنظومة الجودة الشاملة، بما يُحقق تحسينًا مستمرًا في مختلف العمليات التنظيمية، ويُرسخ ثقافة الإتقان والمساءلة. ويُضيف هذا الربط بُعدًا تشغيليًا للتكامل، يجعل منه آلية لرفع كفاءة العمليات لا مجرد سياسة إدارية. كما يُشير تلي وآخرون (٢٠٢٣) إلى أن لهذا التكامل أهمية بالغة في تعزيز الالتزام التنظيمي للأفراد، إذ تخلق الممارسات المتكاملة شعورًا بالعدالة التنظيمية والانتماء، فيرتفع مستوى الارتباط النفسي للموظفين بالمنظمة، وهو ما ينعكس على استقرارهم الوظيفي ومشاركتهم الفاعلة</w:t>
      </w:r>
      <w:r w:rsidRPr="00C316C8">
        <w:rPr>
          <w:rFonts w:ascii="Simplified Arabic" w:hAnsi="Simplified Arabic" w:cs="Simplified Arabic"/>
          <w:color w:val="000000" w:themeColor="text1"/>
          <w:sz w:val="28"/>
          <w:szCs w:val="28"/>
        </w:rPr>
        <w:t>.</w:t>
      </w:r>
    </w:p>
    <w:p w14:paraId="369C1D25"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ويُسهم</w:t>
      </w:r>
      <w:r w:rsidRPr="00C316C8">
        <w:rPr>
          <w:rFonts w:ascii="Simplified Arabic" w:hAnsi="Simplified Arabic" w:cs="Simplified Arabic"/>
          <w:color w:val="000000" w:themeColor="text1"/>
          <w:sz w:val="28"/>
          <w:szCs w:val="28"/>
        </w:rPr>
        <w:t xml:space="preserve"> Aburumman et al. (2024) </w:t>
      </w:r>
      <w:r w:rsidRPr="00C316C8">
        <w:rPr>
          <w:rFonts w:ascii="Simplified Arabic" w:hAnsi="Simplified Arabic" w:cs="Simplified Arabic"/>
          <w:color w:val="000000" w:themeColor="text1"/>
          <w:sz w:val="28"/>
          <w:szCs w:val="28"/>
          <w:rtl/>
        </w:rPr>
        <w:t>في إبراز أهمية التكامل من زاوية الأداء التنظيمي، إذ يطرحون فكرة أن الممارسات المتكاملة تُحقق أثرًا تراكميًا أعمق من الأثر الذي تُحدثه الممارسات المنفردة، وذلك بفعل التفاعل الإيجابي بين عناصرها. ويرى</w:t>
      </w:r>
      <w:r w:rsidRPr="00C316C8">
        <w:rPr>
          <w:rFonts w:ascii="Simplified Arabic" w:hAnsi="Simplified Arabic" w:cs="Simplified Arabic"/>
          <w:color w:val="000000" w:themeColor="text1"/>
          <w:sz w:val="28"/>
          <w:szCs w:val="28"/>
        </w:rPr>
        <w:t xml:space="preserve"> Mwita (2024) </w:t>
      </w:r>
      <w:r w:rsidRPr="00C316C8">
        <w:rPr>
          <w:rFonts w:ascii="Simplified Arabic" w:hAnsi="Simplified Arabic" w:cs="Simplified Arabic"/>
          <w:color w:val="000000" w:themeColor="text1"/>
          <w:sz w:val="28"/>
          <w:szCs w:val="28"/>
          <w:rtl/>
        </w:rPr>
        <w:t>أن أهمية الإدارة الاستراتيجية المتكاملة للموارد البشرية تتجلى في توفير إطار لاتخاذ القرارات يقوم على البيانات والمؤشرات الاستراتيجية، بدلًا من الاجتهادات الإدارية الفردية، مما يرفع من مستوى الرشد التنظيمي</w:t>
      </w:r>
      <w:r w:rsidRPr="00C316C8">
        <w:rPr>
          <w:rFonts w:ascii="Simplified Arabic" w:hAnsi="Simplified Arabic" w:cs="Simplified Arabic"/>
          <w:color w:val="000000" w:themeColor="text1"/>
          <w:sz w:val="28"/>
          <w:szCs w:val="28"/>
        </w:rPr>
        <w:t>.</w:t>
      </w:r>
    </w:p>
    <w:p w14:paraId="1E16F0E8"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ويُبرز</w:t>
      </w:r>
      <w:r w:rsidRPr="00C316C8">
        <w:rPr>
          <w:rFonts w:ascii="Simplified Arabic" w:hAnsi="Simplified Arabic" w:cs="Simplified Arabic"/>
          <w:color w:val="000000" w:themeColor="text1"/>
          <w:sz w:val="28"/>
          <w:szCs w:val="28"/>
        </w:rPr>
        <w:t xml:space="preserve"> Teng et al. (2023) </w:t>
      </w:r>
      <w:r w:rsidRPr="00C316C8">
        <w:rPr>
          <w:rFonts w:ascii="Simplified Arabic" w:hAnsi="Simplified Arabic" w:cs="Simplified Arabic"/>
          <w:color w:val="000000" w:themeColor="text1"/>
          <w:sz w:val="28"/>
          <w:szCs w:val="28"/>
          <w:rtl/>
        </w:rPr>
        <w:t>أهمية التكامل في بناء الصمود التنظيمي، إذ يُمكّن المنظمة من امتصاص الصدمات البيئية والتعافي منها بسرعة، وذلك بفضل ما يُتيحه من مرونة في إعادة توزيع الموارد البشرية وتكييف ممارساتها وفق متطلبات الأزمات. ويُكمل</w:t>
      </w:r>
      <w:r w:rsidRPr="00C316C8">
        <w:rPr>
          <w:rFonts w:ascii="Simplified Arabic" w:hAnsi="Simplified Arabic" w:cs="Simplified Arabic"/>
          <w:color w:val="000000" w:themeColor="text1"/>
          <w:sz w:val="28"/>
          <w:szCs w:val="28"/>
        </w:rPr>
        <w:t xml:space="preserve"> Aloulou et al. (2024) </w:t>
      </w:r>
      <w:r w:rsidRPr="00C316C8">
        <w:rPr>
          <w:rFonts w:ascii="Simplified Arabic" w:hAnsi="Simplified Arabic" w:cs="Simplified Arabic"/>
          <w:color w:val="000000" w:themeColor="text1"/>
          <w:sz w:val="28"/>
          <w:szCs w:val="28"/>
          <w:rtl/>
        </w:rPr>
        <w:t>هذا التصور بإبراز أهمية التكامل في الاحتفاظ بالكفاءات وتقليل معدلات الدوران الوظيفي، عبر بناء منظومة متماسكة من سياسات التحفيز والتطوير والمكافأة</w:t>
      </w:r>
      <w:r w:rsidRPr="00C316C8">
        <w:rPr>
          <w:rFonts w:ascii="Simplified Arabic" w:hAnsi="Simplified Arabic" w:cs="Simplified Arabic"/>
          <w:color w:val="000000" w:themeColor="text1"/>
          <w:sz w:val="28"/>
          <w:szCs w:val="28"/>
        </w:rPr>
        <w:t>.</w:t>
      </w:r>
    </w:p>
    <w:p w14:paraId="7124AD4D"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ويُضيف</w:t>
      </w:r>
      <w:r w:rsidRPr="00C316C8">
        <w:rPr>
          <w:rFonts w:ascii="Simplified Arabic" w:hAnsi="Simplified Arabic" w:cs="Simplified Arabic"/>
          <w:color w:val="000000" w:themeColor="text1"/>
          <w:sz w:val="28"/>
          <w:szCs w:val="28"/>
        </w:rPr>
        <w:t xml:space="preserve"> Ciobanu et al. (2023) </w:t>
      </w:r>
      <w:r w:rsidRPr="00C316C8">
        <w:rPr>
          <w:rFonts w:ascii="Simplified Arabic" w:hAnsi="Simplified Arabic" w:cs="Simplified Arabic"/>
          <w:color w:val="000000" w:themeColor="text1"/>
          <w:sz w:val="28"/>
          <w:szCs w:val="28"/>
          <w:rtl/>
        </w:rPr>
        <w:t>بُعدًا آخر للأهمية، يتمثل في دور الممارسات المتكاملة في تسهيل عمليات التغيير التنظيمي وتقليل المقاومة الداخلية له، إذ يُهيئ التكامل الأرضية المعرفية والنفسية لدى الموظفين لاستيعاب التحولات. ويرى</w:t>
      </w:r>
      <w:r w:rsidRPr="00C316C8">
        <w:rPr>
          <w:rFonts w:ascii="Simplified Arabic" w:hAnsi="Simplified Arabic" w:cs="Simplified Arabic"/>
          <w:color w:val="000000" w:themeColor="text1"/>
          <w:sz w:val="28"/>
          <w:szCs w:val="28"/>
        </w:rPr>
        <w:t xml:space="preserve"> Acquah et al. (2021) </w:t>
      </w:r>
      <w:r w:rsidRPr="00C316C8">
        <w:rPr>
          <w:rFonts w:ascii="Simplified Arabic" w:hAnsi="Simplified Arabic" w:cs="Simplified Arabic"/>
          <w:color w:val="000000" w:themeColor="text1"/>
          <w:sz w:val="28"/>
          <w:szCs w:val="28"/>
          <w:rtl/>
        </w:rPr>
        <w:t xml:space="preserve">أن أهمية التكامل تمتد لتشمل الإسهام </w:t>
      </w:r>
      <w:r w:rsidRPr="00C316C8">
        <w:rPr>
          <w:rFonts w:ascii="Simplified Arabic" w:hAnsi="Simplified Arabic" w:cs="Simplified Arabic"/>
          <w:color w:val="000000" w:themeColor="text1"/>
          <w:sz w:val="28"/>
          <w:szCs w:val="28"/>
          <w:rtl/>
        </w:rPr>
        <w:lastRenderedPageBreak/>
        <w:t>في تحقيق الأهداف البيئية للمنظمة، عبر دمج الاعتبارات الخضراء في ممارسات الموارد البشرية وسلاسل التوريد، مما يُعزز من المسؤولية البيئية للمنظمة وامتثالها للمعايير الدولية</w:t>
      </w:r>
      <w:r w:rsidRPr="00C316C8">
        <w:rPr>
          <w:rFonts w:ascii="Simplified Arabic" w:hAnsi="Simplified Arabic" w:cs="Simplified Arabic"/>
          <w:color w:val="000000" w:themeColor="text1"/>
          <w:sz w:val="28"/>
          <w:szCs w:val="28"/>
        </w:rPr>
        <w:t>.</w:t>
      </w:r>
    </w:p>
    <w:p w14:paraId="27194595"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ومن منظور إداري شامل، يرى</w:t>
      </w:r>
      <w:r w:rsidRPr="00C316C8">
        <w:rPr>
          <w:rFonts w:ascii="Simplified Arabic" w:hAnsi="Simplified Arabic" w:cs="Simplified Arabic"/>
          <w:color w:val="000000" w:themeColor="text1"/>
          <w:sz w:val="28"/>
          <w:szCs w:val="28"/>
        </w:rPr>
        <w:t xml:space="preserve"> Filemon et al. (2024) </w:t>
      </w:r>
      <w:r w:rsidRPr="00C316C8">
        <w:rPr>
          <w:rFonts w:ascii="Simplified Arabic" w:hAnsi="Simplified Arabic" w:cs="Simplified Arabic"/>
          <w:color w:val="000000" w:themeColor="text1"/>
          <w:sz w:val="28"/>
          <w:szCs w:val="28"/>
          <w:rtl/>
        </w:rPr>
        <w:t>أن أهمية تكامل ممارسات الموارد البشرية تتجلى في القطاع العام في كونه يُسهم في إدارة المخاطر المرتبطة برأس المال البشري، ويُحقق تقاطعًا بين سياسات الأفراد ومنظومات إدارة المخاطر. ويُكمل</w:t>
      </w:r>
      <w:r w:rsidRPr="00C316C8">
        <w:rPr>
          <w:rFonts w:ascii="Simplified Arabic" w:hAnsi="Simplified Arabic" w:cs="Simplified Arabic"/>
          <w:color w:val="000000" w:themeColor="text1"/>
          <w:sz w:val="28"/>
          <w:szCs w:val="28"/>
        </w:rPr>
        <w:t xml:space="preserve"> Koeplin &amp; Lélé (2023) </w:t>
      </w:r>
      <w:r w:rsidRPr="00C316C8">
        <w:rPr>
          <w:rFonts w:ascii="Simplified Arabic" w:hAnsi="Simplified Arabic" w:cs="Simplified Arabic"/>
          <w:color w:val="000000" w:themeColor="text1"/>
          <w:sz w:val="28"/>
          <w:szCs w:val="28"/>
          <w:rtl/>
        </w:rPr>
        <w:t>هذا التصور بربط محاسبة رأس المال البشري بمتطلبات الامتثال وفق معايير بازل، مما يُبرز أهمية التكامل في تعزيز قدرة المنظمة على الاستجابة للمتطلبات التنظيمية الدولية</w:t>
      </w:r>
      <w:r w:rsidRPr="00C316C8">
        <w:rPr>
          <w:rFonts w:ascii="Simplified Arabic" w:hAnsi="Simplified Arabic" w:cs="Simplified Arabic"/>
          <w:color w:val="000000" w:themeColor="text1"/>
          <w:sz w:val="28"/>
          <w:szCs w:val="28"/>
        </w:rPr>
        <w:t>.</w:t>
      </w:r>
    </w:p>
    <w:p w14:paraId="0F8F1A1B" w14:textId="37188DEA"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8" w:name="_Toc233380466"/>
      <w:r w:rsidRPr="00C316C8">
        <w:rPr>
          <w:rFonts w:ascii="Simplified Arabic" w:hAnsi="Simplified Arabic" w:cs="Simplified Arabic" w:hint="cs"/>
          <w:b/>
          <w:bCs/>
          <w:color w:val="000000" w:themeColor="text1"/>
          <w:sz w:val="32"/>
          <w:szCs w:val="32"/>
          <w:rtl/>
        </w:rPr>
        <w:t>4.1.2</w:t>
      </w:r>
      <w:r w:rsidR="00C12508" w:rsidRPr="00C316C8">
        <w:rPr>
          <w:rFonts w:ascii="Simplified Arabic" w:hAnsi="Simplified Arabic" w:cs="Simplified Arabic"/>
          <w:b/>
          <w:bCs/>
          <w:color w:val="000000" w:themeColor="text1"/>
          <w:sz w:val="32"/>
          <w:szCs w:val="32"/>
          <w:rtl/>
        </w:rPr>
        <w:t xml:space="preserve"> أهداف تكامل إدارة الموارد البشرية</w:t>
      </w:r>
      <w:bookmarkEnd w:id="38"/>
    </w:p>
    <w:p w14:paraId="7FE94164"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تتعدد الأهداف التي يسعى تكامل إدارة الموارد البشرية إلى تحقيقها، وتتنوع بحسب السياق التنظيمي والبيئي الذي تعمل فيه المنظمة. ويعرض الباحثون لهذه الأهداف من زوايا متعددة تعكس ثراء المفهوم وتعدد تطبيقاته</w:t>
      </w:r>
      <w:r w:rsidRPr="00C316C8">
        <w:rPr>
          <w:rFonts w:ascii="Simplified Arabic" w:hAnsi="Simplified Arabic" w:cs="Simplified Arabic"/>
          <w:color w:val="000000" w:themeColor="text1"/>
          <w:sz w:val="28"/>
          <w:szCs w:val="28"/>
        </w:rPr>
        <w:t>.</w:t>
      </w:r>
    </w:p>
    <w:p w14:paraId="327E9363"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يُحدد التيجاني (٢٠٢٢) جملة من الأهداف التي يسعى التكامل الاستراتيجي للموارد البشرية إلى تحقيقها، تتمثل في: تحقيق التوافق بين استراتيجية الموارد البشرية والاستراتيجية الكلية للمنظمة، وبناء قدرات بشرية قادرة على تنفيذ التوجهات الاستراتيجية، وتعزيز قدرة المنظمة على استشراف المتطلبات البشرية المستقبلية، وتطوير منظومة معلومات استراتيجية حول الموارد البشرية تدعم اتخاذ القرار، فضلًا عن ترسيخ مكانة إدارة الموارد البشرية بوصفها شريكًا في صياغة القرار التنظيمي</w:t>
      </w:r>
      <w:r w:rsidRPr="00C316C8">
        <w:rPr>
          <w:rFonts w:ascii="Simplified Arabic" w:hAnsi="Simplified Arabic" w:cs="Simplified Arabic"/>
          <w:color w:val="000000" w:themeColor="text1"/>
          <w:sz w:val="28"/>
          <w:szCs w:val="28"/>
        </w:rPr>
        <w:t>.</w:t>
      </w:r>
    </w:p>
    <w:p w14:paraId="3CE912C2"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ويرى تلخوخ (٢٠٢٤) أن تكامل إدارة الموارد البشرية مع إدارة المعرفة يستهدف تحقيق جملة من الغايات تشمل: بناء ميزة تنافسية مستدامة قائمة على المعرفة، وتعزيز قدرة المنظمة على توليد المعرفة الجديدة وتوظيفها، وحماية الذاكرة التنظيمية من الضياع جراء دوران العمالة، وتطوير بيئة تعلم تنظيمي مستمر، وربط التطوير الوظيفي بمسارات اكتساب المعرفة وتطبيقها</w:t>
      </w:r>
      <w:r w:rsidRPr="00C316C8">
        <w:rPr>
          <w:rFonts w:ascii="Simplified Arabic" w:hAnsi="Simplified Arabic" w:cs="Simplified Arabic"/>
          <w:color w:val="000000" w:themeColor="text1"/>
          <w:sz w:val="28"/>
          <w:szCs w:val="28"/>
        </w:rPr>
        <w:t>.</w:t>
      </w:r>
    </w:p>
    <w:p w14:paraId="5481757E"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 xml:space="preserve">ويُشير الشيذاني (٢٠٢٦) إلى أن التكامل بين القيادة الإدارية واستراتيجيات الموارد البشرية يستهدف تعزيز الأداء المؤسسي من خلال: مواءمة القرارات القيادية مع قدرات الموارد البشرية المتاحة، ورفع مستوى الانسجام بين مستويات الإدارة المختلفة، وبناء ثقافة قيادية تشاركية، وتطوير قدرات قيادية متوسطة قادرة </w:t>
      </w:r>
      <w:r w:rsidRPr="00C316C8">
        <w:rPr>
          <w:rFonts w:ascii="Simplified Arabic" w:hAnsi="Simplified Arabic" w:cs="Simplified Arabic"/>
          <w:color w:val="000000" w:themeColor="text1"/>
          <w:sz w:val="28"/>
          <w:szCs w:val="28"/>
          <w:rtl/>
        </w:rPr>
        <w:lastRenderedPageBreak/>
        <w:t>على ترجمة الرؤية الاستراتيجية إلى ممارسات تنفيذية، وتعزيز قدرة المنظمة على تحقيق أهدافها بعيدة المدى</w:t>
      </w:r>
      <w:r w:rsidRPr="00C316C8">
        <w:rPr>
          <w:rFonts w:ascii="Simplified Arabic" w:hAnsi="Simplified Arabic" w:cs="Simplified Arabic"/>
          <w:color w:val="000000" w:themeColor="text1"/>
          <w:sz w:val="28"/>
          <w:szCs w:val="28"/>
        </w:rPr>
        <w:t>.</w:t>
      </w:r>
    </w:p>
    <w:p w14:paraId="05853486"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ويُضيف أحمد (٢٠٢٣) أهدافًا أخرى تتعلق بممارسات الموارد البشرية المستدامة، تشمل: تحقيق التوازن بين الأبعاد الاقتصادية والاجتماعية والبيئية، وبناء أداء تنافسي يقوم على المسؤولية تجاه الأطراف ذات المصلحة، وتطوير مرونة استراتيجية تُمكّن المنظمة من التكيف مع المتغيرات، وتعزيز السمعة المؤسسية، واستقطاب الكفاءات المتميزة والاحتفاظ بها على المدى الطويل</w:t>
      </w:r>
      <w:r w:rsidRPr="00C316C8">
        <w:rPr>
          <w:rFonts w:ascii="Simplified Arabic" w:hAnsi="Simplified Arabic" w:cs="Simplified Arabic"/>
          <w:color w:val="000000" w:themeColor="text1"/>
          <w:sz w:val="28"/>
          <w:szCs w:val="28"/>
        </w:rPr>
        <w:t>.</w:t>
      </w:r>
    </w:p>
    <w:p w14:paraId="623CB2AC"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وتتجلى أهداف التكامل وفق طرح بلعربي وعيسى (٢٠٢٣) في الربط بين ممارسات الموارد البشرية ومنهج الجودة الشاملة، بما يستهدف: تحسين كفاءة العمليات التنظيمية، وترسيخ ثقافة الإتقان، وبناء منظومة تحسين مستمر تشمل جميع وظائف المنظمة، وتطوير قدرات الأفراد على المشاركة في حلقات الجودة وفرق التحسين</w:t>
      </w:r>
      <w:r w:rsidRPr="00C316C8">
        <w:rPr>
          <w:rFonts w:ascii="Simplified Arabic" w:hAnsi="Simplified Arabic" w:cs="Simplified Arabic"/>
          <w:color w:val="000000" w:themeColor="text1"/>
          <w:sz w:val="28"/>
          <w:szCs w:val="28"/>
        </w:rPr>
        <w:t>.</w:t>
      </w:r>
    </w:p>
    <w:p w14:paraId="4D9F60F4"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ويعرض تلي وآخرون (٢٠٢٣) أهدافًا تتمحور حول الالتزام التنظيمي، تشمل: تعزيز الارتباط النفسي للموظفين بالمنظمة، وبناء شعور بالعدالة التنظيمية، وتقليل معدلات الدوران الوظيفي، وتطوير ثقافة الانتماء، ورفع مستوى المشاركة الفاعلة في تحقيق الأهداف التنظيمية</w:t>
      </w:r>
      <w:r w:rsidRPr="00C316C8">
        <w:rPr>
          <w:rFonts w:ascii="Simplified Arabic" w:hAnsi="Simplified Arabic" w:cs="Simplified Arabic"/>
          <w:color w:val="000000" w:themeColor="text1"/>
          <w:sz w:val="28"/>
          <w:szCs w:val="28"/>
        </w:rPr>
        <w:t>.</w:t>
      </w:r>
    </w:p>
    <w:p w14:paraId="76573CC4"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ومن منظور دولي، يُحدد</w:t>
      </w:r>
      <w:r w:rsidRPr="00C316C8">
        <w:rPr>
          <w:rFonts w:ascii="Simplified Arabic" w:hAnsi="Simplified Arabic" w:cs="Simplified Arabic"/>
          <w:color w:val="000000" w:themeColor="text1"/>
          <w:sz w:val="28"/>
          <w:szCs w:val="28"/>
        </w:rPr>
        <w:t xml:space="preserve"> Mwita (2024) </w:t>
      </w:r>
      <w:r w:rsidRPr="00C316C8">
        <w:rPr>
          <w:rFonts w:ascii="Simplified Arabic" w:hAnsi="Simplified Arabic" w:cs="Simplified Arabic"/>
          <w:color w:val="000000" w:themeColor="text1"/>
          <w:sz w:val="28"/>
          <w:szCs w:val="28"/>
          <w:rtl/>
        </w:rPr>
        <w:t>أهدافًا تتعلق بالإدارة الاستراتيجية للموارد البشرية تشمل: بناء منظومة قرار قائمة على البيانات، وتعزيز قدرة المنظمة على المنافسة في الأسواق العالمية، وتطوير ممارسات إدارية تتسق مع المعايير الدولية، وبناء قدرات تنبؤية في مجال التخطيط للموارد البشرية</w:t>
      </w:r>
      <w:r w:rsidRPr="00C316C8">
        <w:rPr>
          <w:rFonts w:ascii="Simplified Arabic" w:hAnsi="Simplified Arabic" w:cs="Simplified Arabic"/>
          <w:color w:val="000000" w:themeColor="text1"/>
          <w:sz w:val="28"/>
          <w:szCs w:val="28"/>
        </w:rPr>
        <w:t>.</w:t>
      </w:r>
    </w:p>
    <w:p w14:paraId="0BC31A07"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ويُضيف</w:t>
      </w:r>
      <w:r w:rsidRPr="00C316C8">
        <w:rPr>
          <w:rFonts w:ascii="Simplified Arabic" w:hAnsi="Simplified Arabic" w:cs="Simplified Arabic"/>
          <w:color w:val="000000" w:themeColor="text1"/>
          <w:sz w:val="28"/>
          <w:szCs w:val="28"/>
        </w:rPr>
        <w:t xml:space="preserve"> Aloulou et al. (2024) </w:t>
      </w:r>
      <w:r w:rsidRPr="00C316C8">
        <w:rPr>
          <w:rFonts w:ascii="Simplified Arabic" w:hAnsi="Simplified Arabic" w:cs="Simplified Arabic"/>
          <w:color w:val="000000" w:themeColor="text1"/>
          <w:sz w:val="28"/>
          <w:szCs w:val="28"/>
          <w:rtl/>
        </w:rPr>
        <w:t>أهدافًا تتعلق بالاحتفاظ بالكفاءات، تشمل: تطوير منظومة تحفيز شاملة، وبناء مسارات وظيفية واضحة، وتعزيز التوازن بين العمل والحياة، وتطوير بيئة عمل جاذبة للكفاءات النادرة</w:t>
      </w:r>
      <w:r w:rsidRPr="00C316C8">
        <w:rPr>
          <w:rFonts w:ascii="Simplified Arabic" w:hAnsi="Simplified Arabic" w:cs="Simplified Arabic"/>
          <w:color w:val="000000" w:themeColor="text1"/>
          <w:sz w:val="28"/>
          <w:szCs w:val="28"/>
        </w:rPr>
        <w:t>.</w:t>
      </w:r>
    </w:p>
    <w:p w14:paraId="56CA2488"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ويرى</w:t>
      </w:r>
      <w:r w:rsidRPr="00C316C8">
        <w:rPr>
          <w:rFonts w:ascii="Simplified Arabic" w:hAnsi="Simplified Arabic" w:cs="Simplified Arabic"/>
          <w:color w:val="000000" w:themeColor="text1"/>
          <w:sz w:val="28"/>
          <w:szCs w:val="28"/>
        </w:rPr>
        <w:t xml:space="preserve"> Ciobanu et al. (2023) </w:t>
      </w:r>
      <w:r w:rsidRPr="00C316C8">
        <w:rPr>
          <w:rFonts w:ascii="Simplified Arabic" w:hAnsi="Simplified Arabic" w:cs="Simplified Arabic"/>
          <w:color w:val="000000" w:themeColor="text1"/>
          <w:sz w:val="28"/>
          <w:szCs w:val="28"/>
          <w:rtl/>
        </w:rPr>
        <w:t>أن من أهداف التكامل تيسير عمليات التغيير التنظيمي من خلال: تهيئة البيئة المعرفية والنفسية للتحول، وتقليل مقاومة التغيير، وبناء قدرات التغيير لدى الأفراد. ويُكمل</w:t>
      </w:r>
      <w:r w:rsidRPr="00C316C8">
        <w:rPr>
          <w:rFonts w:ascii="Simplified Arabic" w:hAnsi="Simplified Arabic" w:cs="Simplified Arabic"/>
          <w:color w:val="000000" w:themeColor="text1"/>
          <w:sz w:val="28"/>
          <w:szCs w:val="28"/>
        </w:rPr>
        <w:t xml:space="preserve"> Teng et al. (2023) </w:t>
      </w:r>
      <w:r w:rsidRPr="00C316C8">
        <w:rPr>
          <w:rFonts w:ascii="Simplified Arabic" w:hAnsi="Simplified Arabic" w:cs="Simplified Arabic"/>
          <w:color w:val="000000" w:themeColor="text1"/>
          <w:sz w:val="28"/>
          <w:szCs w:val="28"/>
          <w:rtl/>
        </w:rPr>
        <w:t>ذلك بأهداف تتعلق ببناء الصمود التنظيمي، تشمل: تطوير قدرات استجابة سريعة للأزمات، ومرونة في إعادة توزيع الموارد، وقدرة على التعافي من الصدمات البيئية</w:t>
      </w:r>
      <w:r w:rsidRPr="00C316C8">
        <w:rPr>
          <w:rFonts w:ascii="Simplified Arabic" w:hAnsi="Simplified Arabic" w:cs="Simplified Arabic"/>
          <w:color w:val="000000" w:themeColor="text1"/>
          <w:sz w:val="28"/>
          <w:szCs w:val="28"/>
        </w:rPr>
        <w:t>.</w:t>
      </w:r>
    </w:p>
    <w:p w14:paraId="23E852C5"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ويُضيف</w:t>
      </w:r>
      <w:r w:rsidRPr="00C316C8">
        <w:rPr>
          <w:rFonts w:ascii="Simplified Arabic" w:hAnsi="Simplified Arabic" w:cs="Simplified Arabic"/>
          <w:color w:val="000000" w:themeColor="text1"/>
          <w:sz w:val="28"/>
          <w:szCs w:val="28"/>
        </w:rPr>
        <w:t xml:space="preserve"> Acquah et al. (2021) </w:t>
      </w:r>
      <w:r w:rsidRPr="00C316C8">
        <w:rPr>
          <w:rFonts w:ascii="Simplified Arabic" w:hAnsi="Simplified Arabic" w:cs="Simplified Arabic"/>
          <w:color w:val="000000" w:themeColor="text1"/>
          <w:sz w:val="28"/>
          <w:szCs w:val="28"/>
          <w:rtl/>
        </w:rPr>
        <w:t>أهدافًا بيئية تشمل: دمج الاعتبارات الخضراء في ممارسات الموارد البشرية، وتطوير وعي بيئي لدى الموظفين، وربط ممارسات الموارد البشرية بسلاسل التوريد المستدامة. ويرى</w:t>
      </w:r>
      <w:r w:rsidRPr="00C316C8">
        <w:rPr>
          <w:rFonts w:ascii="Simplified Arabic" w:hAnsi="Simplified Arabic" w:cs="Simplified Arabic"/>
          <w:color w:val="000000" w:themeColor="text1"/>
          <w:sz w:val="28"/>
          <w:szCs w:val="28"/>
        </w:rPr>
        <w:t xml:space="preserve"> Filemon et al. (2024) </w:t>
      </w:r>
      <w:r w:rsidRPr="00C316C8">
        <w:rPr>
          <w:rFonts w:ascii="Simplified Arabic" w:hAnsi="Simplified Arabic" w:cs="Simplified Arabic"/>
          <w:color w:val="000000" w:themeColor="text1"/>
          <w:sz w:val="28"/>
          <w:szCs w:val="28"/>
          <w:rtl/>
        </w:rPr>
        <w:t>أن من الأهداف الجوهرية إدارة المخاطر المرتبطة برأس المال البشري وتقاطعها مع منظومات الحوكمة</w:t>
      </w:r>
      <w:r w:rsidRPr="00C316C8">
        <w:rPr>
          <w:rFonts w:ascii="Simplified Arabic" w:hAnsi="Simplified Arabic" w:cs="Simplified Arabic"/>
          <w:color w:val="000000" w:themeColor="text1"/>
          <w:sz w:val="28"/>
          <w:szCs w:val="28"/>
        </w:rPr>
        <w:t>.</w:t>
      </w:r>
    </w:p>
    <w:p w14:paraId="22BC0F7B" w14:textId="29B4325B"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9" w:name="_Toc233380467"/>
      <w:r w:rsidRPr="00C316C8">
        <w:rPr>
          <w:rFonts w:ascii="Simplified Arabic" w:hAnsi="Simplified Arabic" w:cs="Simplified Arabic" w:hint="cs"/>
          <w:b/>
          <w:bCs/>
          <w:color w:val="000000" w:themeColor="text1"/>
          <w:sz w:val="32"/>
          <w:szCs w:val="32"/>
          <w:rtl/>
        </w:rPr>
        <w:t>5.1.2</w:t>
      </w:r>
      <w:r w:rsidR="00C12508" w:rsidRPr="00C316C8">
        <w:rPr>
          <w:rFonts w:ascii="Simplified Arabic" w:hAnsi="Simplified Arabic" w:cs="Simplified Arabic"/>
          <w:b/>
          <w:bCs/>
          <w:color w:val="000000" w:themeColor="text1"/>
          <w:sz w:val="32"/>
          <w:szCs w:val="32"/>
          <w:rtl/>
        </w:rPr>
        <w:t xml:space="preserve"> أبعاد تكامل إدارة الموارد البشرية</w:t>
      </w:r>
      <w:bookmarkEnd w:id="39"/>
    </w:p>
    <w:p w14:paraId="23AAB934"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تم تحديد أبعاد تكامل إدارة الموارد البشرية في هذه الدراسة بناءً على مراجعة معمقة لطروحات التيجاني (٢٠٢٢) في التكامل الاستراتيجي، وتلخوخ (٢٠٢٤) في التكامل المعرفي، والشيذاني (٢٠٢٦) في التكامل القيادي، وأحمد (٢٠٢٣) في الممارسات المستدامة، وبلعربي وعيسى (٢٠٢٣) في الربط بالجودة، فضلًا عن إسهامات</w:t>
      </w:r>
      <w:r w:rsidRPr="00C316C8">
        <w:rPr>
          <w:rFonts w:ascii="Simplified Arabic" w:hAnsi="Simplified Arabic" w:cs="Simplified Arabic"/>
          <w:color w:val="000000" w:themeColor="text1"/>
          <w:sz w:val="28"/>
          <w:szCs w:val="28"/>
        </w:rPr>
        <w:t xml:space="preserve"> Mwita (2024) </w:t>
      </w:r>
      <w:r w:rsidRPr="00C316C8">
        <w:rPr>
          <w:rFonts w:ascii="Simplified Arabic" w:hAnsi="Simplified Arabic" w:cs="Simplified Arabic"/>
          <w:color w:val="000000" w:themeColor="text1"/>
          <w:sz w:val="28"/>
          <w:szCs w:val="28"/>
          <w:rtl/>
        </w:rPr>
        <w:t>و</w:t>
      </w:r>
      <w:r w:rsidRPr="00C316C8">
        <w:rPr>
          <w:rFonts w:ascii="Simplified Arabic" w:hAnsi="Simplified Arabic" w:cs="Simplified Arabic"/>
          <w:color w:val="000000" w:themeColor="text1"/>
          <w:sz w:val="28"/>
          <w:szCs w:val="28"/>
        </w:rPr>
        <w:t xml:space="preserve">Aloulou et al. (2024) </w:t>
      </w:r>
      <w:r w:rsidRPr="00C316C8">
        <w:rPr>
          <w:rFonts w:ascii="Simplified Arabic" w:hAnsi="Simplified Arabic" w:cs="Simplified Arabic"/>
          <w:color w:val="000000" w:themeColor="text1"/>
          <w:sz w:val="28"/>
          <w:szCs w:val="28"/>
          <w:rtl/>
        </w:rPr>
        <w:t>و</w:t>
      </w:r>
      <w:r w:rsidRPr="00C316C8">
        <w:rPr>
          <w:rFonts w:ascii="Simplified Arabic" w:hAnsi="Simplified Arabic" w:cs="Simplified Arabic"/>
          <w:color w:val="000000" w:themeColor="text1"/>
          <w:sz w:val="28"/>
          <w:szCs w:val="28"/>
        </w:rPr>
        <w:t xml:space="preserve">Ciobanu et al. (2023) </w:t>
      </w:r>
      <w:r w:rsidRPr="00C316C8">
        <w:rPr>
          <w:rFonts w:ascii="Simplified Arabic" w:hAnsi="Simplified Arabic" w:cs="Simplified Arabic"/>
          <w:color w:val="000000" w:themeColor="text1"/>
          <w:sz w:val="28"/>
          <w:szCs w:val="28"/>
          <w:rtl/>
        </w:rPr>
        <w:t>و</w:t>
      </w:r>
      <w:r w:rsidRPr="00C316C8">
        <w:rPr>
          <w:rFonts w:ascii="Simplified Arabic" w:hAnsi="Simplified Arabic" w:cs="Simplified Arabic"/>
          <w:color w:val="000000" w:themeColor="text1"/>
          <w:sz w:val="28"/>
          <w:szCs w:val="28"/>
        </w:rPr>
        <w:t xml:space="preserve">Teng et al. (2023) </w:t>
      </w:r>
      <w:r w:rsidRPr="00C316C8">
        <w:rPr>
          <w:rFonts w:ascii="Simplified Arabic" w:hAnsi="Simplified Arabic" w:cs="Simplified Arabic"/>
          <w:color w:val="000000" w:themeColor="text1"/>
          <w:sz w:val="28"/>
          <w:szCs w:val="28"/>
          <w:rtl/>
        </w:rPr>
        <w:t>في الأدبيات الدولية. وقد أسفر هذا التحليل عن تحديد أربعة أبعاد رئيسية تعكس الطبيعة المتعددة لمفهوم التكامل، وهي: التكامل الاستراتيجي لوظائف الموارد البشرية، والتكامل التقني ورقمنة عمليات الموارد البشرية، وتكامل إدارة الكفاءات وتطوير رأس المال البشري، والتكامل الثقافي وبناء بيئة العمل الداعمة</w:t>
      </w:r>
      <w:r w:rsidRPr="00C316C8">
        <w:rPr>
          <w:rFonts w:ascii="Simplified Arabic" w:hAnsi="Simplified Arabic" w:cs="Simplified Arabic"/>
          <w:color w:val="000000" w:themeColor="text1"/>
          <w:sz w:val="28"/>
          <w:szCs w:val="28"/>
        </w:rPr>
        <w:t>.</w:t>
      </w:r>
    </w:p>
    <w:p w14:paraId="678FB95C"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البُعد الأول: التكامل الاستراتيجي لوظائف الموارد البشرية</w:t>
      </w:r>
      <w:r w:rsidRPr="00C316C8">
        <w:rPr>
          <w:rFonts w:ascii="Simplified Arabic" w:hAnsi="Simplified Arabic" w:cs="Simplified Arabic"/>
          <w:color w:val="000000" w:themeColor="text1"/>
          <w:sz w:val="28"/>
          <w:szCs w:val="28"/>
        </w:rPr>
        <w:t xml:space="preserve">: </w:t>
      </w:r>
      <w:r w:rsidRPr="00C316C8">
        <w:rPr>
          <w:rFonts w:ascii="Simplified Arabic" w:hAnsi="Simplified Arabic" w:cs="Simplified Arabic"/>
          <w:color w:val="000000" w:themeColor="text1"/>
          <w:sz w:val="28"/>
          <w:szCs w:val="28"/>
          <w:rtl/>
        </w:rPr>
        <w:t>يُمثل هذا البُعد الركيزة الأولى التي يقوم عليها مفهوم تكامل إدارة الموارد البشرية، ويُشير إلى عملية المواءمة الشاملة بين سياسات الموارد البشرية وممارساتها وبين التوجه الاستراتيجي للمنظمة. ويذهب التيجاني (٢٠٢٢) إلى أن هذا التكامل يتطلب وجود ترابط واضح بين الخطط الاستراتيجية للمنظمة وبين خطط الموارد البشرية، بحيث تُصاغ سياسات الاستقطاب والتدريب والتقييم والتعويض في ضوء التوجهات الاستراتيجية، لا بمعزل عنها. ويتجلى هذا البعد في عدة مظاهر، منها: مشاركة إدارة الموارد البشرية في صياغة الاستراتيجية العامة، وترجمة الأهداف الاستراتيجية إلى أهداف تشغيلية لوظائف الموارد البشرية، وبناء مؤشرات أداء استراتيجية للموارد البشرية، وتطوير قدرات تنبؤية تُمكّن من استشراف الاحتياجات البشرية المستقبلية. ويُكمل</w:t>
      </w:r>
      <w:r w:rsidRPr="00C316C8">
        <w:rPr>
          <w:rFonts w:ascii="Simplified Arabic" w:hAnsi="Simplified Arabic" w:cs="Simplified Arabic"/>
          <w:color w:val="000000" w:themeColor="text1"/>
          <w:sz w:val="28"/>
          <w:szCs w:val="28"/>
        </w:rPr>
        <w:t xml:space="preserve"> Mwita (2024) </w:t>
      </w:r>
      <w:r w:rsidRPr="00C316C8">
        <w:rPr>
          <w:rFonts w:ascii="Simplified Arabic" w:hAnsi="Simplified Arabic" w:cs="Simplified Arabic"/>
          <w:color w:val="000000" w:themeColor="text1"/>
          <w:sz w:val="28"/>
          <w:szCs w:val="28"/>
          <w:rtl/>
        </w:rPr>
        <w:t>هذا الطرح بإبراز أن التكامل الاستراتيجي يستلزم وجود منظومة معلومات إدارية تربط بين بيانات الموارد البشرية والمؤشرات الاستراتيجية للمنظمة، بما يُتيح اتخاذ قرارات مستندة إلى أدلة. ويرى</w:t>
      </w:r>
      <w:r w:rsidRPr="00C316C8">
        <w:rPr>
          <w:rFonts w:ascii="Simplified Arabic" w:hAnsi="Simplified Arabic" w:cs="Simplified Arabic"/>
          <w:color w:val="000000" w:themeColor="text1"/>
          <w:sz w:val="28"/>
          <w:szCs w:val="28"/>
        </w:rPr>
        <w:t xml:space="preserve"> Aloulou et al. (2024) </w:t>
      </w:r>
      <w:r w:rsidRPr="00C316C8">
        <w:rPr>
          <w:rFonts w:ascii="Simplified Arabic" w:hAnsi="Simplified Arabic" w:cs="Simplified Arabic"/>
          <w:color w:val="000000" w:themeColor="text1"/>
          <w:sz w:val="28"/>
          <w:szCs w:val="28"/>
          <w:rtl/>
        </w:rPr>
        <w:t>أن التكامل الاستراتيجي يتجلى أيضًا في ربط ممارسات الموارد البشرية بسياسات الاحتفاظ بالكفاءات، فلا تكون هذه السياسات منفصلة عن منظومة التطوير الوظيفي والتحفيز</w:t>
      </w:r>
      <w:r w:rsidRPr="00C316C8">
        <w:rPr>
          <w:rFonts w:ascii="Simplified Arabic" w:hAnsi="Simplified Arabic" w:cs="Simplified Arabic"/>
          <w:color w:val="000000" w:themeColor="text1"/>
          <w:sz w:val="28"/>
          <w:szCs w:val="28"/>
        </w:rPr>
        <w:t>.</w:t>
      </w:r>
    </w:p>
    <w:p w14:paraId="0FC6E47A"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البُعد الثاني: التكامل التقني ورقمنة عمليات الموارد البشرية</w:t>
      </w:r>
      <w:r w:rsidRPr="00C316C8">
        <w:rPr>
          <w:rFonts w:ascii="Simplified Arabic" w:hAnsi="Simplified Arabic" w:cs="Simplified Arabic"/>
          <w:color w:val="000000" w:themeColor="text1"/>
          <w:sz w:val="28"/>
          <w:szCs w:val="28"/>
        </w:rPr>
        <w:t xml:space="preserve">: </w:t>
      </w:r>
      <w:r w:rsidRPr="00C316C8">
        <w:rPr>
          <w:rFonts w:ascii="Simplified Arabic" w:hAnsi="Simplified Arabic" w:cs="Simplified Arabic"/>
          <w:color w:val="000000" w:themeColor="text1"/>
          <w:sz w:val="28"/>
          <w:szCs w:val="28"/>
          <w:rtl/>
        </w:rPr>
        <w:t>يعكس هذا البُعد التحول العميق الذي شهدته إدارة الموارد البشرية في ظل الثورة الرقمية، إذ لم يعد بالإمكان الفصل بين ممارسات الموارد البشرية والمنظومات التقنية التي تُديرها. ويُمثل هذا التكامل عملية دمج التقنيات الحديثة في مختلف عمليات الموارد البشرية، بدءًا من الاستقطاب الإلكتروني وانتهاءً بالتحليلات التنبؤية لأداء الموظفين. ويرى الرحاحلة (٢٠٢٥) أن توظيف التقنيات الذكية في النظم الإدارية بات ضرورة لا غنى عنها، نظرًا لما توفره من قدرة على معالجة كميات هائلة من البيانات واستخلاص أنماط تُسهم في تعزيز الامتثال وإدارة المخاطر. ويتجلى هذا البعد في عدة مظاهر، منها: استخدام نظم معلومات الموارد البشرية المتكاملة، وتوظيف منصات التعلم الإلكتروني، واعتماد الذكاء الاصطناعي في عمليات الاستقطاب والاختيار، واستخدام تحليلات الموارد البشرية في اتخاذ القرارات. ويُسهم</w:t>
      </w:r>
      <w:r w:rsidRPr="00C316C8">
        <w:rPr>
          <w:rFonts w:ascii="Simplified Arabic" w:hAnsi="Simplified Arabic" w:cs="Simplified Arabic"/>
          <w:color w:val="000000" w:themeColor="text1"/>
          <w:sz w:val="28"/>
          <w:szCs w:val="28"/>
        </w:rPr>
        <w:t xml:space="preserve"> Cornwell et al. (2023) </w:t>
      </w:r>
      <w:r w:rsidRPr="00C316C8">
        <w:rPr>
          <w:rFonts w:ascii="Simplified Arabic" w:hAnsi="Simplified Arabic" w:cs="Simplified Arabic"/>
          <w:color w:val="000000" w:themeColor="text1"/>
          <w:sz w:val="28"/>
          <w:szCs w:val="28"/>
          <w:rtl/>
        </w:rPr>
        <w:t>في إبراز أهمية تحليلات البيانات في الحقل الإداري بوصفها أداة لرصد المخاطر واتخاذ قرارات استباقية، وهو ما ينعكس على عمليات الموارد البشرية في مجالات التنبؤ بالدوران الوظيفي وتحديد فجوات المهارات. ويُكمل</w:t>
      </w:r>
      <w:r w:rsidRPr="00C316C8">
        <w:rPr>
          <w:rFonts w:ascii="Simplified Arabic" w:hAnsi="Simplified Arabic" w:cs="Simplified Arabic"/>
          <w:color w:val="000000" w:themeColor="text1"/>
          <w:sz w:val="28"/>
          <w:szCs w:val="28"/>
        </w:rPr>
        <w:t xml:space="preserve"> Teng et al. (2023) </w:t>
      </w:r>
      <w:r w:rsidRPr="00C316C8">
        <w:rPr>
          <w:rFonts w:ascii="Simplified Arabic" w:hAnsi="Simplified Arabic" w:cs="Simplified Arabic"/>
          <w:color w:val="000000" w:themeColor="text1"/>
          <w:sz w:val="28"/>
          <w:szCs w:val="28"/>
          <w:rtl/>
        </w:rPr>
        <w:t>ذلك بإبراز دور المنظومات التقنية في بناء مرونة المنظمة وقدرتها على إعادة تشكيل ممارسات الموارد البشرية بسرعة استجابة للمتغيرات البيئية</w:t>
      </w:r>
      <w:r w:rsidRPr="00C316C8">
        <w:rPr>
          <w:rFonts w:ascii="Simplified Arabic" w:hAnsi="Simplified Arabic" w:cs="Simplified Arabic"/>
          <w:color w:val="000000" w:themeColor="text1"/>
          <w:sz w:val="28"/>
          <w:szCs w:val="28"/>
        </w:rPr>
        <w:t>.</w:t>
      </w:r>
    </w:p>
    <w:p w14:paraId="5C37DEEE"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البُعد الثالث: تكامل إدارة الكفاءات وتطوير رأس المال البشري</w:t>
      </w:r>
      <w:r w:rsidRPr="00C316C8">
        <w:rPr>
          <w:rFonts w:ascii="Simplified Arabic" w:hAnsi="Simplified Arabic" w:cs="Simplified Arabic"/>
          <w:color w:val="000000" w:themeColor="text1"/>
          <w:sz w:val="28"/>
          <w:szCs w:val="28"/>
        </w:rPr>
        <w:t xml:space="preserve">: </w:t>
      </w:r>
      <w:r w:rsidRPr="00C316C8">
        <w:rPr>
          <w:rFonts w:ascii="Simplified Arabic" w:hAnsi="Simplified Arabic" w:cs="Simplified Arabic"/>
          <w:color w:val="000000" w:themeColor="text1"/>
          <w:sz w:val="28"/>
          <w:szCs w:val="28"/>
          <w:rtl/>
        </w:rPr>
        <w:t>يُعنى هذا البُعد بالربط بين منظومات اكتشاف الكفاءات وتطويرها والاحتفاظ بها في إطار متكامل يُعزز من قيمة رأس المال البشري للمنظمة. ويرى تلخوخ (٢٠٢٤) أن هذا التكامل يتجلى في ربط منظومات إدارة الكفاءات بإدارة المعرفة، بحيث يُنظر إلى الكفاءات بوصفها وعاءً للمعرفة التنظيمية ومصدرًا لتوليدها. ويتطلب هذا البعد بناء منظومة متكاملة من السياسات تشمل: تحديد الكفاءات الجوهرية المطلوبة، وتقييم مخزون الكفاءات الحالي، وتخطيط التعاقب الوظيفي، وتصميم برامج تطوير مستهدفة، وبناء مسارات وظيفية واضحة. وتُشير ثريا (٢٠٢٠) إلى أن تحسين أداء الموارد البشرية يستلزم منظومة متكاملة لتطوير القدرات، تربط بين التدريب والتقييم والتطوير المستمر، بما يُسهم في رفع كفاءة الأداء البشري وتقليل المخاطر المرتبطة بالعنصر البشري. ويُؤكد</w:t>
      </w:r>
      <w:r w:rsidRPr="00C316C8">
        <w:rPr>
          <w:rFonts w:ascii="Simplified Arabic" w:hAnsi="Simplified Arabic" w:cs="Simplified Arabic"/>
          <w:color w:val="000000" w:themeColor="text1"/>
          <w:sz w:val="28"/>
          <w:szCs w:val="28"/>
        </w:rPr>
        <w:t xml:space="preserve"> Aloulou et al. (2024) </w:t>
      </w:r>
      <w:r w:rsidRPr="00C316C8">
        <w:rPr>
          <w:rFonts w:ascii="Simplified Arabic" w:hAnsi="Simplified Arabic" w:cs="Simplified Arabic"/>
          <w:color w:val="000000" w:themeColor="text1"/>
          <w:sz w:val="28"/>
          <w:szCs w:val="28"/>
          <w:rtl/>
        </w:rPr>
        <w:t>أن تكامل إدارة الكفاءات يستلزم ربط سياسات الاستقطاب بسياسات التطوير والاحتفاظ، بحيث تعمل هذه السياسات بوصفها منظومة متكاملة لا حلقات منفصلة. ويُسهم العفيف (٢٠٢١) في إبراز أن ممارسات تنمية الموارد البشرية لها أثر امتدادي يصل إلى الالتزام التنظيمي للأفراد، مما يجعل من تطوير رأس المال البشري أداة لبناء الانتماء التنظيمي</w:t>
      </w:r>
      <w:r w:rsidRPr="00C316C8">
        <w:rPr>
          <w:rFonts w:ascii="Simplified Arabic" w:hAnsi="Simplified Arabic" w:cs="Simplified Arabic"/>
          <w:color w:val="000000" w:themeColor="text1"/>
          <w:sz w:val="28"/>
          <w:szCs w:val="28"/>
        </w:rPr>
        <w:t>.</w:t>
      </w:r>
    </w:p>
    <w:p w14:paraId="66703CA8"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البُعد الرابع: التكامل الثقافي وبناء بيئة العمل الداعمة</w:t>
      </w:r>
      <w:r w:rsidRPr="00C316C8">
        <w:rPr>
          <w:rFonts w:ascii="Simplified Arabic" w:hAnsi="Simplified Arabic" w:cs="Simplified Arabic"/>
          <w:color w:val="000000" w:themeColor="text1"/>
          <w:sz w:val="28"/>
          <w:szCs w:val="28"/>
        </w:rPr>
        <w:t xml:space="preserve">: </w:t>
      </w:r>
      <w:r w:rsidRPr="00C316C8">
        <w:rPr>
          <w:rFonts w:ascii="Simplified Arabic" w:hAnsi="Simplified Arabic" w:cs="Simplified Arabic"/>
          <w:color w:val="000000" w:themeColor="text1"/>
          <w:sz w:val="28"/>
          <w:szCs w:val="28"/>
          <w:rtl/>
        </w:rPr>
        <w:t>يتناول هذا البُعد الجانب الناعم من التكامل، ويُعنى ببناء ثقافة تنظيمية تدعم ممارسات الموارد البشرية وتُعزز من فاعليتها. ويرى</w:t>
      </w:r>
      <w:r w:rsidRPr="00C316C8">
        <w:rPr>
          <w:rFonts w:ascii="Simplified Arabic" w:hAnsi="Simplified Arabic" w:cs="Simplified Arabic"/>
          <w:color w:val="000000" w:themeColor="text1"/>
          <w:sz w:val="28"/>
          <w:szCs w:val="28"/>
        </w:rPr>
        <w:t xml:space="preserve"> Ciobanu et al. (2023) </w:t>
      </w:r>
      <w:r w:rsidRPr="00C316C8">
        <w:rPr>
          <w:rFonts w:ascii="Simplified Arabic" w:hAnsi="Simplified Arabic" w:cs="Simplified Arabic"/>
          <w:color w:val="000000" w:themeColor="text1"/>
          <w:sz w:val="28"/>
          <w:szCs w:val="28"/>
          <w:rtl/>
        </w:rPr>
        <w:t>أن التكامل الثقافي يُمثل البيئة الحاضنة التي تتجلى من خلالها الممارسات المتكاملة، فبدون ثقافة داعمة تبقى السياسات والإجراءات حبرًا على ورق. ويتجلى هذا البعد في عدة مظاهر، منها: ترسيخ قيم العدالة والشفافية، وبناء بيئة عمل آمنة ومحفزة، وتعزيز التواصل المفتوح بين المستويات الإدارية، وتطوير ممارسات قيادية تشاركية، وبناء شعور بالانتماء التنظيمي. ويُشير تلي وآخرون (٢٠٢٣) إلى أن ممارسات الموارد البشرية تُسهم في بناء الالتزام التنظيمي حين تتكامل مع بيئة عمل تدعم العدالة والاحترام المتبادل. ويُكمل</w:t>
      </w:r>
      <w:r w:rsidRPr="00C316C8">
        <w:rPr>
          <w:rFonts w:ascii="Simplified Arabic" w:hAnsi="Simplified Arabic" w:cs="Simplified Arabic"/>
          <w:color w:val="000000" w:themeColor="text1"/>
          <w:sz w:val="28"/>
          <w:szCs w:val="28"/>
        </w:rPr>
        <w:t xml:space="preserve"> Plasencia Soler et al. (2023) </w:t>
      </w:r>
      <w:r w:rsidRPr="00C316C8">
        <w:rPr>
          <w:rFonts w:ascii="Simplified Arabic" w:hAnsi="Simplified Arabic" w:cs="Simplified Arabic"/>
          <w:color w:val="000000" w:themeColor="text1"/>
          <w:sz w:val="28"/>
          <w:szCs w:val="28"/>
          <w:rtl/>
        </w:rPr>
        <w:t>هذا الطرح بإبراز أن إدارة مخاطر الامتثال تستلزم وجود قيم تنظيمية مشتركة، فالقيم تُمثل الإطار الذي تتجلى من خلاله السلوكيات الممتثلة. ويُسهم</w:t>
      </w:r>
      <w:r w:rsidRPr="00C316C8">
        <w:rPr>
          <w:rFonts w:ascii="Simplified Arabic" w:hAnsi="Simplified Arabic" w:cs="Simplified Arabic"/>
          <w:color w:val="000000" w:themeColor="text1"/>
          <w:sz w:val="28"/>
          <w:szCs w:val="28"/>
        </w:rPr>
        <w:t xml:space="preserve"> Acquah et al. (2021) </w:t>
      </w:r>
      <w:r w:rsidRPr="00C316C8">
        <w:rPr>
          <w:rFonts w:ascii="Simplified Arabic" w:hAnsi="Simplified Arabic" w:cs="Simplified Arabic"/>
          <w:color w:val="000000" w:themeColor="text1"/>
          <w:sz w:val="28"/>
          <w:szCs w:val="28"/>
          <w:rtl/>
        </w:rPr>
        <w:t>في إثراء هذا البعد بإبراز الجانب البيئي للثقافة التنظيمية، إذ ترتبط الممارسات الخضراء للموارد البشرية بثقافة بيئية تُعزز من الوعي بالمسؤولية تجاه الموارد الطبيعية</w:t>
      </w:r>
      <w:r w:rsidRPr="00C316C8">
        <w:rPr>
          <w:rFonts w:ascii="Simplified Arabic" w:hAnsi="Simplified Arabic" w:cs="Simplified Arabic"/>
          <w:color w:val="000000" w:themeColor="text1"/>
          <w:sz w:val="28"/>
          <w:szCs w:val="28"/>
        </w:rPr>
        <w:t>.</w:t>
      </w:r>
    </w:p>
    <w:p w14:paraId="7AD3DDF5" w14:textId="0D76EAA8"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0" w:name="_Toc233380468"/>
      <w:r w:rsidRPr="00C316C8">
        <w:rPr>
          <w:rFonts w:ascii="Simplified Arabic" w:hAnsi="Simplified Arabic" w:cs="Simplified Arabic" w:hint="cs"/>
          <w:b/>
          <w:bCs/>
          <w:color w:val="000000" w:themeColor="text1"/>
          <w:sz w:val="32"/>
          <w:szCs w:val="32"/>
          <w:rtl/>
        </w:rPr>
        <w:t>6.1.2</w:t>
      </w:r>
      <w:r w:rsidR="00C12508" w:rsidRPr="00C316C8">
        <w:rPr>
          <w:rFonts w:ascii="Simplified Arabic" w:hAnsi="Simplified Arabic" w:cs="Simplified Arabic"/>
          <w:b/>
          <w:bCs/>
          <w:color w:val="000000" w:themeColor="text1"/>
          <w:sz w:val="32"/>
          <w:szCs w:val="32"/>
          <w:rtl/>
        </w:rPr>
        <w:t xml:space="preserve"> استراتيجيات تفعيل تكامل إدارة الموارد البشرية</w:t>
      </w:r>
      <w:bookmarkEnd w:id="40"/>
    </w:p>
    <w:p w14:paraId="2CF6F38B"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تتعدد الاستراتيجيات التي يُمكن من خلالها تفعيل تكامل إدارة الموارد البشرية في البيئات الصناعية المعاصرة. وتتمثل الاستراتيجية الأولى في “استراتيجية المواءمة الاستراتيجية الشاملة”، التي تقوم على ربط جميع ممارسات الموارد البشرية بالتوجه الاستراتيجي للمنظمة، عبر آليات منهجية تشمل التخطيط الاستراتيجي للموارد البشرية، وبناء بطاقات أداء متوازنة، وتطوير منظومات حوكمة تربط بين القرارات الاستراتيجية والممارسات التنفيذية. وتأتي الاستراتيجية الثانية متمثلةً في “استراتيجية التحول الرقمي للموارد البشرية”، التي تقوم على رقمنة شاملة لعمليات الموارد البشرية، واعتماد منصات تكنولوجية متكاملة، وتوظيف الذكاء الاصطناعي وتحليلات البيانات في اتخاذ القرار. أما الاستراتيجية الثالثة فتتمثل في “استراتيجية تنمية الكفاءات وبناء رأس المال البشري”، التي تقوم على تطوير منظومات متكاملة لاكتشاف الكفاءات وتطويرها والاحتفاظ بها، عبر برامج تطوير قيادي، وتخطيط للتعاقب الوظيفي، ومسارات تطوير وظيفي. والاستراتيجية الرابعة هي “استراتيجية بناء الثقافة التنظيمية الداعمة”، التي تقوم على ترسيخ قيم تنظيمية مشتركة، وتطوير ممارسات قيادية تشاركية، وبناء بيئة عمل محفزة، وتعزيز التواصل التنظيمي</w:t>
      </w:r>
      <w:r w:rsidRPr="00C316C8">
        <w:rPr>
          <w:rFonts w:ascii="Simplified Arabic" w:hAnsi="Simplified Arabic" w:cs="Simplified Arabic"/>
          <w:color w:val="000000" w:themeColor="text1"/>
          <w:sz w:val="28"/>
          <w:szCs w:val="28"/>
        </w:rPr>
        <w:t>.</w:t>
      </w:r>
    </w:p>
    <w:p w14:paraId="2369E1B4" w14:textId="58D6B56E" w:rsidR="00C12508" w:rsidRPr="00C316C8" w:rsidRDefault="00036825" w:rsidP="00036825">
      <w:pPr>
        <w:jc w:val="center"/>
        <w:outlineLvl w:val="1"/>
        <w:rPr>
          <w:rFonts w:ascii="Simplified Arabic" w:hAnsi="Simplified Arabic" w:cs="Simplified Arabic"/>
          <w:b/>
          <w:bCs/>
          <w:color w:val="000000" w:themeColor="text1"/>
          <w:sz w:val="36"/>
          <w:szCs w:val="36"/>
        </w:rPr>
      </w:pPr>
      <w:r w:rsidRPr="00C316C8">
        <w:rPr>
          <w:rFonts w:ascii="Simplified Arabic" w:hAnsi="Simplified Arabic" w:cs="Simplified Arabic"/>
          <w:b/>
          <w:bCs/>
          <w:color w:val="000000" w:themeColor="text1"/>
          <w:sz w:val="36"/>
          <w:szCs w:val="36"/>
          <w:rtl/>
          <w:lang w:bidi="ar-EG"/>
        </w:rPr>
        <w:br w:type="page"/>
      </w:r>
      <w:bookmarkStart w:id="41" w:name="_Toc233380469"/>
      <w:r w:rsidR="00C12508" w:rsidRPr="00C316C8">
        <w:rPr>
          <w:rFonts w:ascii="Simplified Arabic" w:hAnsi="Simplified Arabic" w:cs="Simplified Arabic"/>
          <w:b/>
          <w:bCs/>
          <w:color w:val="000000" w:themeColor="text1"/>
          <w:sz w:val="36"/>
          <w:szCs w:val="36"/>
          <w:rtl/>
        </w:rPr>
        <w:lastRenderedPageBreak/>
        <w:t>المبحث الثاني: الامتثال التنظيمي وتقليل المخاطر التشغيلية</w:t>
      </w:r>
      <w:bookmarkEnd w:id="41"/>
    </w:p>
    <w:p w14:paraId="30048D89" w14:textId="2E5AFB44"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2" w:name="_Toc233380470"/>
      <w:r w:rsidRPr="00C316C8">
        <w:rPr>
          <w:rFonts w:ascii="Simplified Arabic" w:hAnsi="Simplified Arabic" w:cs="Simplified Arabic" w:hint="cs"/>
          <w:b/>
          <w:bCs/>
          <w:color w:val="000000" w:themeColor="text1"/>
          <w:sz w:val="32"/>
          <w:szCs w:val="32"/>
          <w:rtl/>
        </w:rPr>
        <w:t xml:space="preserve">1.2.2 </w:t>
      </w:r>
      <w:r w:rsidR="00C12508" w:rsidRPr="00C316C8">
        <w:rPr>
          <w:rFonts w:ascii="Simplified Arabic" w:hAnsi="Simplified Arabic" w:cs="Simplified Arabic"/>
          <w:b/>
          <w:bCs/>
          <w:color w:val="000000" w:themeColor="text1"/>
          <w:sz w:val="32"/>
          <w:szCs w:val="32"/>
          <w:rtl/>
        </w:rPr>
        <w:t>تمهيد</w:t>
      </w:r>
      <w:bookmarkEnd w:id="42"/>
    </w:p>
    <w:p w14:paraId="39B67DC3"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تشكّل منظومة الامتثال التنظيمي وإدارة المخاطر التشغيلية اليوم أحد أهم محاور الفكر الإداري في المنظمات الصناعية المعاصرة، وذلك في ظل تنامي التعقيدات التشريعية والتنظيمية، وتسارع التحولات في بيئة الأعمال، وارتفاع كلفة الإخفاقات التشغيلية على مستوى الأداء والسمعة والاستدامة. ولم تعد المنظمات في وضع يسمح لها بمعالجة الامتثال والمخاطر التشغيلية بوصفهما حقلين منفصلين، بل أصبح التكامل بينهما ضرورة عملية تفرضها طبيعة المخاطر المعاصرة، التي تنشأ في الغالب من إخفاقات الامتثال أو من ثغرات في منظومات الحوكمة الداخلية. ويُمثل هذا التكامل استجابة طبيعية للتطورات الفكرية في حقل الحوكمة، التي اتجهت نحو الدمج بين أبعاد الحوكمة وإدارة المخاطر والامتثال في إطار واحد يُعرف اختصارًا بـ</w:t>
      </w:r>
      <w:r w:rsidRPr="00C316C8">
        <w:rPr>
          <w:rFonts w:ascii="Simplified Arabic" w:hAnsi="Simplified Arabic" w:cs="Simplified Arabic"/>
          <w:color w:val="000000" w:themeColor="text1"/>
          <w:sz w:val="28"/>
          <w:szCs w:val="28"/>
        </w:rPr>
        <w:t xml:space="preserve"> GRC.</w:t>
      </w:r>
    </w:p>
    <w:p w14:paraId="29037623"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وتتضاعف أهمية هذا التوجه في البيئة الصناعية السعودية، ولا سيما في المدن الصناعية الكبرى، إذ تعمل المنظمات في سياق تنظيمي شديد الكثافة يستلزم استجابات فاعلة لمتطلبات متعددة، تشمل اللوائح المحلية والمعايير الدولية واشتراطات السلامة والجودة والبيئة. كما تواجه هذه المنظمات مخاطر تشغيلية متنوعة، تنشأ من العمليات الداخلية والأنظمة التقنية والعنصر البشري والأحداث الخارجية، مما يجعل من وجود منظومة متكاملة للامتثال والمخاطر مسألة حيوية لاستدامتها. ويأتي هذا المبحث ليُؤسس نظريًا لمفهوم الامتثال التنظيمي وتقليل المخاطر التشغيلية بوصفه متغيرًا تابعًا في الدراسة، مستعرضًا تعريفاته وأهميته وأهدافه وأبعاده، ومُبرزًا تقاطعاته مع ممارسات الموارد البشرية المتكاملة</w:t>
      </w:r>
      <w:r w:rsidRPr="00C316C8">
        <w:rPr>
          <w:rFonts w:ascii="Simplified Arabic" w:hAnsi="Simplified Arabic" w:cs="Simplified Arabic"/>
          <w:color w:val="000000" w:themeColor="text1"/>
          <w:sz w:val="28"/>
          <w:szCs w:val="28"/>
        </w:rPr>
        <w:t>.</w:t>
      </w:r>
    </w:p>
    <w:p w14:paraId="04D7DD75" w14:textId="5284E122"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380471"/>
      <w:r w:rsidRPr="00C316C8">
        <w:rPr>
          <w:rFonts w:ascii="Simplified Arabic" w:hAnsi="Simplified Arabic" w:cs="Simplified Arabic" w:hint="cs"/>
          <w:b/>
          <w:bCs/>
          <w:color w:val="000000" w:themeColor="text1"/>
          <w:sz w:val="32"/>
          <w:szCs w:val="32"/>
          <w:rtl/>
        </w:rPr>
        <w:t>2.2.2</w:t>
      </w:r>
      <w:r w:rsidR="00C12508" w:rsidRPr="00C316C8">
        <w:rPr>
          <w:rFonts w:ascii="Simplified Arabic" w:hAnsi="Simplified Arabic" w:cs="Simplified Arabic"/>
          <w:b/>
          <w:bCs/>
          <w:color w:val="000000" w:themeColor="text1"/>
          <w:sz w:val="32"/>
          <w:szCs w:val="32"/>
          <w:rtl/>
        </w:rPr>
        <w:t xml:space="preserve"> مفهوم الامتثال التنظيمي وتقليل المخاطر التشغيلية</w:t>
      </w:r>
      <w:bookmarkEnd w:id="43"/>
    </w:p>
    <w:p w14:paraId="68578294"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يتقاطع مفهوما الامتثال التنظيمي والمخاطر التشغيلية في كونهما يعالجان جانبًا جوهريًا من الأداء التنظيمي يتعلق بقدرة المنظمة على الالتزام بالقواعد والمعايير من جهة، وعلى تجنب الإخفاقات التشغيلية من جهة أخرى. ويعرض الباحثون هذين المفهومين من زوايا متعددة تعكس ثراء الحقل المعرفي وتعدد المداخل التحليلية فيه</w:t>
      </w:r>
      <w:r w:rsidRPr="00C316C8">
        <w:rPr>
          <w:rFonts w:ascii="Simplified Arabic" w:hAnsi="Simplified Arabic" w:cs="Simplified Arabic"/>
          <w:color w:val="000000" w:themeColor="text1"/>
          <w:sz w:val="28"/>
          <w:szCs w:val="28"/>
        </w:rPr>
        <w:t>.</w:t>
      </w:r>
    </w:p>
    <w:p w14:paraId="00396700"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يُعرّف شكر (٢٠٢٠) الامتثال التنظيمي بوصفه التزام المنظمة بمنظومة القوانين واللوائح والسياسات الداخلية والخارجية التي تحكم نشاطها، بما يُحقق توافقًا بين سلوكها التنظيمي والمتطلبات التشريعية والأخلاقية. ويُسهم هذا التعريف في تأطير المفهوم بوصفه عملية شاملة تتجاوز الالتزام القانوني الشكلي إلى الالتزام السلوكي والأخلاقي، وتتجاوز المتطلبات الخارجية لتشمل السياسات الداخلية للمنظمة</w:t>
      </w:r>
      <w:r w:rsidRPr="00C316C8">
        <w:rPr>
          <w:rFonts w:ascii="Simplified Arabic" w:hAnsi="Simplified Arabic" w:cs="Simplified Arabic"/>
          <w:color w:val="000000" w:themeColor="text1"/>
          <w:sz w:val="28"/>
          <w:szCs w:val="28"/>
        </w:rPr>
        <w:t>.</w:t>
      </w:r>
    </w:p>
    <w:p w14:paraId="35310873"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ومن منظور مغاير، يطرح جمال والزعبي (٢٠٢٤) مفهوم الامتثال التنظيمي بوصفه آلية للحد من الغموض الاستراتيجي عبر منظومة الحوكمة، فالامتثال في هذا التصور لا يُمثل فقط استجابة لمتطلبات خارجية، بل يُمثل أداة لتوضيح المسار الاستراتيجي للمنظمة وتقليل حالات اللايقين فيه. ويُكسب هذا الطرح المفهوم بُعدًا استراتيجيًا يربطه بقدرة المنظمة على التخطيط واتخاذ القرار في بيئات معقدة</w:t>
      </w:r>
      <w:r w:rsidRPr="00C316C8">
        <w:rPr>
          <w:rFonts w:ascii="Simplified Arabic" w:hAnsi="Simplified Arabic" w:cs="Simplified Arabic"/>
          <w:color w:val="000000" w:themeColor="text1"/>
          <w:sz w:val="28"/>
          <w:szCs w:val="28"/>
        </w:rPr>
        <w:t>.</w:t>
      </w:r>
    </w:p>
    <w:p w14:paraId="351DE604"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أما الرحاحلة (٢٠٢٥)، فيتناول الامتثال من زاوية حديثة تربطه بمنظومة الأمن السيبراني والذكاء الاصطناعي، إذ يُعرّف الامتثال بوصفه عملية متكاملة تستفيد من التقنيات الذكية لرصد المخالفات وتعزيز الاستجابة للمتطلبات التنظيمية. ويُبرز هذا التعريف البعد التقني للامتثال في البيئات الرقمية المعاصرة، التي تتسم بتعدد القنوات والمخاطر السيبرانية</w:t>
      </w:r>
      <w:r w:rsidRPr="00C316C8">
        <w:rPr>
          <w:rFonts w:ascii="Simplified Arabic" w:hAnsi="Simplified Arabic" w:cs="Simplified Arabic"/>
          <w:color w:val="000000" w:themeColor="text1"/>
          <w:sz w:val="28"/>
          <w:szCs w:val="28"/>
        </w:rPr>
        <w:t>.</w:t>
      </w:r>
    </w:p>
    <w:p w14:paraId="570DFF31"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وفي معالجة أكثر شمولًا، يطرح</w:t>
      </w:r>
      <w:r w:rsidRPr="00C316C8">
        <w:rPr>
          <w:rFonts w:ascii="Simplified Arabic" w:hAnsi="Simplified Arabic" w:cs="Simplified Arabic"/>
          <w:color w:val="000000" w:themeColor="text1"/>
          <w:sz w:val="28"/>
          <w:szCs w:val="28"/>
        </w:rPr>
        <w:t xml:space="preserve"> Plasencia Soler et al. (2023) </w:t>
      </w:r>
      <w:r w:rsidRPr="00C316C8">
        <w:rPr>
          <w:rFonts w:ascii="Simplified Arabic" w:hAnsi="Simplified Arabic" w:cs="Simplified Arabic"/>
          <w:color w:val="000000" w:themeColor="text1"/>
          <w:sz w:val="28"/>
          <w:szCs w:val="28"/>
          <w:rtl/>
        </w:rPr>
        <w:t>مفهوم إدارة مخاطر الامتثال بوصفها عملية ترتكز على القيم التنظيمية المشتركة، فالامتثال في هذا التصور لا يُمثل مجرد منظومة من الإجراءات، بل ثقافة تنظيمية تنبع من قيم مشتركة بين الأفراد. ويُسهم هذا الطرح في توسيع نطاق المفهوم ليشمل البعد الثقافي، بحيث يُنظر إلى الامتثال بوصفه نتاجًا لتفاعل القيم والإجراءات لا الإجراءات وحدها</w:t>
      </w:r>
      <w:r w:rsidRPr="00C316C8">
        <w:rPr>
          <w:rFonts w:ascii="Simplified Arabic" w:hAnsi="Simplified Arabic" w:cs="Simplified Arabic"/>
          <w:color w:val="000000" w:themeColor="text1"/>
          <w:sz w:val="28"/>
          <w:szCs w:val="28"/>
        </w:rPr>
        <w:t>.</w:t>
      </w:r>
    </w:p>
    <w:p w14:paraId="4F03EF8A"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C316C8">
        <w:rPr>
          <w:rFonts w:ascii="Simplified Arabic" w:hAnsi="Simplified Arabic" w:cs="Simplified Arabic"/>
          <w:color w:val="000000" w:themeColor="text1"/>
          <w:sz w:val="28"/>
          <w:szCs w:val="28"/>
          <w:rtl/>
        </w:rPr>
        <w:t>ويُقدم</w:t>
      </w:r>
      <w:r w:rsidRPr="00C316C8">
        <w:rPr>
          <w:rFonts w:ascii="Simplified Arabic" w:hAnsi="Simplified Arabic" w:cs="Simplified Arabic"/>
          <w:color w:val="000000" w:themeColor="text1"/>
          <w:sz w:val="28"/>
          <w:szCs w:val="28"/>
        </w:rPr>
        <w:t xml:space="preserve"> Aloulou et al. (2026) </w:t>
      </w:r>
      <w:r w:rsidRPr="00C316C8">
        <w:rPr>
          <w:rFonts w:ascii="Simplified Arabic" w:hAnsi="Simplified Arabic" w:cs="Simplified Arabic"/>
          <w:color w:val="000000" w:themeColor="text1"/>
          <w:sz w:val="28"/>
          <w:szCs w:val="28"/>
          <w:rtl/>
        </w:rPr>
        <w:t>معالجة شاملة لمفهوم الحوكمة وإدارة المخاطر والامتثال في إطار متكامل، إذ يُنظر إلى هذه المكونات الثلاثة بوصفها منظومة موحدة تستهدف تعزيز الكفاءة التشغيلية والسمعة المؤسسية. ويُكمل</w:t>
      </w:r>
      <w:r w:rsidRPr="00C316C8">
        <w:rPr>
          <w:rFonts w:ascii="Simplified Arabic" w:hAnsi="Simplified Arabic" w:cs="Simplified Arabic"/>
          <w:color w:val="000000" w:themeColor="text1"/>
          <w:sz w:val="28"/>
          <w:szCs w:val="28"/>
        </w:rPr>
        <w:t xml:space="preserve"> Aloulou &amp; Alshohail (2026) </w:t>
      </w:r>
      <w:r w:rsidRPr="00C316C8">
        <w:rPr>
          <w:rFonts w:ascii="Simplified Arabic" w:hAnsi="Simplified Arabic" w:cs="Simplified Arabic"/>
          <w:color w:val="000000" w:themeColor="text1"/>
          <w:sz w:val="28"/>
          <w:szCs w:val="28"/>
          <w:rtl/>
        </w:rPr>
        <w:t>هذا التصور بتطبيقه على الشركات السعودية ذات التوجه التقني، مما يُتيح فهمًا أعمق لكيفية تطبيق هذا الإطار في السياقات الصناعية والتقنية</w:t>
      </w:r>
      <w:r w:rsidRPr="00C316C8">
        <w:rPr>
          <w:rFonts w:ascii="Simplified Arabic" w:hAnsi="Simplified Arabic" w:cs="Simplified Arabic"/>
          <w:color w:val="000000" w:themeColor="text1"/>
          <w:sz w:val="28"/>
          <w:szCs w:val="28"/>
        </w:rPr>
        <w:t>.</w:t>
      </w:r>
    </w:p>
    <w:p w14:paraId="65095AD2"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وعلى صعيد مفهوم المخاطر التشغيلية، تُعرّف اليمني (٢٠٢٤) إدارة المخاطر التشغيلية بوصفها منظومة متكاملة تستهدف رصد المخاطر الناشئة عن العمليات الداخلية والأنظمة والعنصر البشري والأحداث الخارجية، ومعالجتها بما يُعزز كفاءة نظم الرقابة الداخلية. ويُسهم هذا التعريف في تأطير المفهوم بوصفه منظومة شاملة تتقاطع مع الرقابة الداخلية، لا مجرد نشاط منعزل</w:t>
      </w:r>
      <w:r w:rsidRPr="00C316C8">
        <w:rPr>
          <w:rFonts w:ascii="Simplified Arabic" w:hAnsi="Simplified Arabic" w:cs="Simplified Arabic"/>
          <w:color w:val="000000" w:themeColor="text1"/>
          <w:sz w:val="28"/>
          <w:szCs w:val="28"/>
        </w:rPr>
        <w:t>.</w:t>
      </w:r>
    </w:p>
    <w:p w14:paraId="32EE1463"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ويُقدم بوعظمات وآخرون (٢٠٢٢) معالجة للمخاطر التشغيلية في السياق المصرفي الليبي، حيث يُعرّفون هذه المخاطر بوصفها الخسائر المحتملة الناجمة عن إخفاقات في العمليات الداخلية أو الأفراد أو الأنظمة أو الأحداث الخارجية، ويربطون إدارتها بدور المراجع الداخلي. ويُكسب هذا التعريف المفهوم بُعدًا رقابيًا يُبرز دور أنظمة المراجعة في الحد من هذه المخاطر</w:t>
      </w:r>
      <w:r w:rsidRPr="00C316C8">
        <w:rPr>
          <w:rFonts w:ascii="Simplified Arabic" w:hAnsi="Simplified Arabic" w:cs="Simplified Arabic"/>
          <w:color w:val="000000" w:themeColor="text1"/>
          <w:sz w:val="28"/>
          <w:szCs w:val="28"/>
        </w:rPr>
        <w:t>.</w:t>
      </w:r>
    </w:p>
    <w:p w14:paraId="7290FB98"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أما الشيخ (٢٠٢٥)، فيُعرّف المخاطر التشغيلية في السياق المصرفي السوري بوصفها مخاطر تؤثر على عوائد الأسهم، مما يربط المفهوم بالأداء المالي والقيمة السوقية للمنظمة. ويُسهم هذا التعريف في إبراز البعد المالي للمخاطر التشغيلية وتأثيرها الممتد على قيمة المنظمة</w:t>
      </w:r>
      <w:r w:rsidRPr="00C316C8">
        <w:rPr>
          <w:rFonts w:ascii="Simplified Arabic" w:hAnsi="Simplified Arabic" w:cs="Simplified Arabic"/>
          <w:color w:val="000000" w:themeColor="text1"/>
          <w:sz w:val="28"/>
          <w:szCs w:val="28"/>
        </w:rPr>
        <w:t>.</w:t>
      </w:r>
    </w:p>
    <w:p w14:paraId="3F10EA0F"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ويُعالج خوجة وعلمي (٢٠٢٢) المخاطر التشغيلية من زاوية مؤشرات المخاطر الرئيسية في شركات التأمين الجزائرية، حيث يُعرّفون هذه المخاطر بوصفها ظواهر قابلة للقياس عبر مؤشرات إنذار مبكر تُسهم في الاستجابة الاستباقية. ويُكسب هذا التعريف المفهوم بُعدًا قياسيًا يُتيح تحويله من تصور نظري إلى ممارسة قابلة للرصد والمتابعة</w:t>
      </w:r>
      <w:r w:rsidRPr="00C316C8">
        <w:rPr>
          <w:rFonts w:ascii="Simplified Arabic" w:hAnsi="Simplified Arabic" w:cs="Simplified Arabic"/>
          <w:color w:val="000000" w:themeColor="text1"/>
          <w:sz w:val="28"/>
          <w:szCs w:val="28"/>
        </w:rPr>
        <w:t>.</w:t>
      </w:r>
    </w:p>
    <w:p w14:paraId="06F01466"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ويُقدم</w:t>
      </w:r>
      <w:r w:rsidRPr="00C316C8">
        <w:rPr>
          <w:rFonts w:ascii="Simplified Arabic" w:hAnsi="Simplified Arabic" w:cs="Simplified Arabic"/>
          <w:color w:val="000000" w:themeColor="text1"/>
          <w:sz w:val="28"/>
          <w:szCs w:val="28"/>
        </w:rPr>
        <w:t xml:space="preserve"> Hud</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kov</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 xml:space="preserve"> et al. (2023) </w:t>
      </w:r>
      <w:r w:rsidRPr="00C316C8">
        <w:rPr>
          <w:rFonts w:ascii="Simplified Arabic" w:hAnsi="Simplified Arabic" w:cs="Simplified Arabic"/>
          <w:color w:val="000000" w:themeColor="text1"/>
          <w:sz w:val="28"/>
          <w:szCs w:val="28"/>
          <w:rtl/>
        </w:rPr>
        <w:t>معالجة لإدارة المخاطر التشغيلية في سياق المؤسسات الصغيرة والمتوسطة، حيث يُعرّفون هذه الإدارة بوصفها عملية ترتبط بالأداء المالي، فالمخاطر التشغيلية ليست شأنًا تشغيليًا فحسب، بل لها انعكاسات مالية مباشرة على المنظمة. ويُسهم</w:t>
      </w:r>
      <w:r w:rsidRPr="00C316C8">
        <w:rPr>
          <w:rFonts w:ascii="Simplified Arabic" w:hAnsi="Simplified Arabic" w:cs="Simplified Arabic"/>
          <w:color w:val="000000" w:themeColor="text1"/>
          <w:sz w:val="28"/>
          <w:szCs w:val="28"/>
        </w:rPr>
        <w:t xml:space="preserve"> Cornwell et al. (2023) </w:t>
      </w:r>
      <w:r w:rsidRPr="00C316C8">
        <w:rPr>
          <w:rFonts w:ascii="Simplified Arabic" w:hAnsi="Simplified Arabic" w:cs="Simplified Arabic"/>
          <w:color w:val="000000" w:themeColor="text1"/>
          <w:sz w:val="28"/>
          <w:szCs w:val="28"/>
          <w:rtl/>
        </w:rPr>
        <w:t>في إثراء المفهوم بإبراز دور تحليلات البيانات في إدارة المخاطر التشغيلية في القطاعين المالي والطاقي، فيُصبح المفهوم متضمنًا لبعد تحليلي قائم على البيانات</w:t>
      </w:r>
      <w:r w:rsidRPr="00C316C8">
        <w:rPr>
          <w:rFonts w:ascii="Simplified Arabic" w:hAnsi="Simplified Arabic" w:cs="Simplified Arabic"/>
          <w:color w:val="000000" w:themeColor="text1"/>
          <w:sz w:val="28"/>
          <w:szCs w:val="28"/>
        </w:rPr>
        <w:t>.</w:t>
      </w:r>
    </w:p>
    <w:p w14:paraId="434B4374"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ويُقدم أحمد والشكري (٢٠٢٥) معالجة للمخاطر التشغيلية من زاوية أنشطة المراجعة الداخلية الحديثة في المصارف السودانية، ضمن منظور يربط بين المخاطر ومنظومات الرقابة. ويُكمل</w:t>
      </w:r>
      <w:r w:rsidRPr="00C316C8">
        <w:rPr>
          <w:rFonts w:ascii="Simplified Arabic" w:hAnsi="Simplified Arabic" w:cs="Simplified Arabic"/>
          <w:color w:val="000000" w:themeColor="text1"/>
          <w:sz w:val="28"/>
          <w:szCs w:val="28"/>
        </w:rPr>
        <w:t xml:space="preserve"> Zainuddin et al. (2022) </w:t>
      </w:r>
      <w:r w:rsidRPr="00C316C8">
        <w:rPr>
          <w:rFonts w:ascii="Simplified Arabic" w:hAnsi="Simplified Arabic" w:cs="Simplified Arabic"/>
          <w:color w:val="000000" w:themeColor="text1"/>
          <w:sz w:val="28"/>
          <w:szCs w:val="28"/>
          <w:rtl/>
        </w:rPr>
        <w:t>هذا الطرح بإدخال مفهوم إدارة المخاطر المستدامة، الذي يُوسّع نطاق المفهوم ليشمل المخاطر البيئية والاجتماعية إلى جانب المخاطر التشغيلية التقليدية</w:t>
      </w:r>
      <w:r w:rsidRPr="00C316C8">
        <w:rPr>
          <w:rFonts w:ascii="Simplified Arabic" w:hAnsi="Simplified Arabic" w:cs="Simplified Arabic"/>
          <w:color w:val="000000" w:themeColor="text1"/>
          <w:sz w:val="28"/>
          <w:szCs w:val="28"/>
        </w:rPr>
        <w:t>.</w:t>
      </w:r>
    </w:p>
    <w:p w14:paraId="39678E09"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ويُقدم</w:t>
      </w:r>
      <w:r w:rsidRPr="00C316C8">
        <w:rPr>
          <w:rFonts w:ascii="Simplified Arabic" w:hAnsi="Simplified Arabic" w:cs="Simplified Arabic"/>
          <w:color w:val="000000" w:themeColor="text1"/>
          <w:sz w:val="28"/>
          <w:szCs w:val="28"/>
        </w:rPr>
        <w:t xml:space="preserve"> Koeplin &amp; Lélé (2023) </w:t>
      </w:r>
      <w:r w:rsidRPr="00C316C8">
        <w:rPr>
          <w:rFonts w:ascii="Simplified Arabic" w:hAnsi="Simplified Arabic" w:cs="Simplified Arabic"/>
          <w:color w:val="000000" w:themeColor="text1"/>
          <w:sz w:val="28"/>
          <w:szCs w:val="28"/>
          <w:rtl/>
        </w:rPr>
        <w:t>معالجة للمخاطر التشغيلية في سياق متطلبات الامتثال وفق معايير بازل الثالثة، مع التركيز على محاسبة رأس المال البشري، مما يُبرز التقاطع بين المخاطر التشغيلية والعنصر البشري وأنظمة الامتثال الدولية. ويُكمل</w:t>
      </w:r>
      <w:r w:rsidRPr="00C316C8">
        <w:rPr>
          <w:rFonts w:ascii="Simplified Arabic" w:hAnsi="Simplified Arabic" w:cs="Simplified Arabic"/>
          <w:color w:val="000000" w:themeColor="text1"/>
          <w:sz w:val="28"/>
          <w:szCs w:val="28"/>
        </w:rPr>
        <w:t xml:space="preserve"> Filemon et al. (2024) </w:t>
      </w:r>
      <w:r w:rsidRPr="00C316C8">
        <w:rPr>
          <w:rFonts w:ascii="Simplified Arabic" w:hAnsi="Simplified Arabic" w:cs="Simplified Arabic"/>
          <w:color w:val="000000" w:themeColor="text1"/>
          <w:sz w:val="28"/>
          <w:szCs w:val="28"/>
          <w:rtl/>
        </w:rPr>
        <w:t>هذا الطرح بتقييم إدارة المخاطر في ممارسات الموارد البشرية في القطاع العام</w:t>
      </w:r>
      <w:r w:rsidRPr="00C316C8">
        <w:rPr>
          <w:rFonts w:ascii="Simplified Arabic" w:hAnsi="Simplified Arabic" w:cs="Simplified Arabic"/>
          <w:color w:val="000000" w:themeColor="text1"/>
          <w:sz w:val="28"/>
          <w:szCs w:val="28"/>
        </w:rPr>
        <w:t>.</w:t>
      </w:r>
    </w:p>
    <w:p w14:paraId="54C0C164"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ومن خلال استعراض هذه التعريفات يتضح أن مفهوم الامتثال التنظيمي وتقليل المخاطر التشغيلية يتسم بالشمولية وتعدد الأبعاد، فهو يتضمن جانبًا قانونيًا يتعلق بالالتزام بالتشريعات، وجانبًا أخلاقيًا يتعلق بالقيم التنظيمية، وجانبًا استراتيجيًا يتعلق بالحد من اللايقين، وجانبًا تقنيًا يتعلق بتوظيف التقنية في الامتثال، وجانبًا تشغيليًا يتعلق برصد المخاطر ومعالجتها. ويرى الباحث أن الامتثال التنظيمي وتقليل المخاطر التشغيلية يُمثلان منظومة متكاملة تستهدف تعزيز قدرة المنظمة على الالتزام بالمتطلبات التشريعية والأخلاقية، مع تقليص احتمالات الإخفاق التشغيلي الناجم عن العمليات الداخلية والأنظمة والعنصر البشري والأحداث الخارجية، عبر منظومة من السياسات والإجراءات والثقافة التنظيمية والتقنيات الداعمة، بما يُسهم في تحقيق استدامة الأداء وحماية السمعة المؤسسية. ويتميز هذا التصور بكونه يدمج بين الجانبين الوقائي والتصحيحي، وبين الأبعاد الرسمية والثقافية، بما يتسق مع طبيعة البيئة الصناعية المعاصرة</w:t>
      </w:r>
      <w:r w:rsidRPr="00C316C8">
        <w:rPr>
          <w:rFonts w:ascii="Simplified Arabic" w:hAnsi="Simplified Arabic" w:cs="Simplified Arabic"/>
          <w:color w:val="000000" w:themeColor="text1"/>
          <w:sz w:val="28"/>
          <w:szCs w:val="28"/>
        </w:rPr>
        <w:t>.</w:t>
      </w:r>
    </w:p>
    <w:p w14:paraId="01C7F62B" w14:textId="11B9E21B"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380472"/>
      <w:r w:rsidRPr="00C316C8">
        <w:rPr>
          <w:rFonts w:ascii="Simplified Arabic" w:hAnsi="Simplified Arabic" w:cs="Simplified Arabic" w:hint="cs"/>
          <w:b/>
          <w:bCs/>
          <w:color w:val="000000" w:themeColor="text1"/>
          <w:sz w:val="32"/>
          <w:szCs w:val="32"/>
          <w:rtl/>
        </w:rPr>
        <w:t>3.2.2</w:t>
      </w:r>
      <w:r w:rsidR="00C12508" w:rsidRPr="00C316C8">
        <w:rPr>
          <w:rFonts w:ascii="Simplified Arabic" w:hAnsi="Simplified Arabic" w:cs="Simplified Arabic"/>
          <w:b/>
          <w:bCs/>
          <w:color w:val="000000" w:themeColor="text1"/>
          <w:sz w:val="32"/>
          <w:szCs w:val="32"/>
          <w:rtl/>
        </w:rPr>
        <w:t xml:space="preserve"> أهمية الامتثال التنظيمي وتقليل المخاطر التشغيلية</w:t>
      </w:r>
      <w:bookmarkEnd w:id="44"/>
    </w:p>
    <w:p w14:paraId="6F3B851E"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تنبع أهمية الامتثال التنظيمي وتقليل المخاطر التشغيلية من كونهما يُمثلان خط الدفاع الأول لاستدامة المنظمات في بيئة الأعمال المعاصرة، التي تتسم بتعقد المتطلبات التشريعية وارتفاع كلفة الإخفاقات. ويُسهم هذا التكامل في حماية المنظمة من الخسائر المالية المباشرة وغير المباشرة، ويُعزز من قدرتها على الاستمرار والنمو في بيئات شديدة التنافسية</w:t>
      </w:r>
      <w:r w:rsidRPr="00C316C8">
        <w:rPr>
          <w:rFonts w:ascii="Simplified Arabic" w:hAnsi="Simplified Arabic" w:cs="Simplified Arabic"/>
          <w:color w:val="000000" w:themeColor="text1"/>
          <w:sz w:val="28"/>
          <w:szCs w:val="28"/>
        </w:rPr>
        <w:t>.</w:t>
      </w:r>
    </w:p>
    <w:p w14:paraId="596EC443"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يُشير شكر (٢٠٢٠) إلى أن أهمية الامتثال التنظيمي تتجلى في عدة محاور؛ فهو، أولًا، يُمثل أداة لتقليل المخاطر التشغيلية عبر بناء منظومة سياسات وإجراءات تحول دون وقوع الإخفاقات. وهو، ثانيًا، يُعزز من ثقة الأطراف ذات المصلحة في المنظمة، ويُحسّن من سمعتها في السوق. وهو، ثالثًا، يُسهم في حماية المنظمة من العقوبات القانونية والمالية الناجمة عن مخالفة التشريعات. وهو، رابعًا، يُرسخ ثقافة تنظيمية تقوم على الانضباط والمساءلة، فيرتفع مستوى الأداء العام للمنظمة</w:t>
      </w:r>
      <w:r w:rsidRPr="00C316C8">
        <w:rPr>
          <w:rFonts w:ascii="Simplified Arabic" w:hAnsi="Simplified Arabic" w:cs="Simplified Arabic"/>
          <w:color w:val="000000" w:themeColor="text1"/>
          <w:sz w:val="28"/>
          <w:szCs w:val="28"/>
        </w:rPr>
        <w:t>.</w:t>
      </w:r>
    </w:p>
    <w:p w14:paraId="096C328F"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ويرى جمال والزعبي (٢٠٢٤) أن أهمية الامتثال التنظيمي تتجلى في الحد من الغموض الاستراتيجي عبر منظومة الحوكمة، فالامتثال يُتيح للمنظمة وضوحًا في المسار الاستراتيجي ويُقلل من حالات اللايقين التي قد تواجهها في اتخاذ القرارات. كما يُسهم في تعزيز قدرة المنظمة على التخطيط بعيد المدى، نظرًا لما يوفره من إطار مستقر للقرارات الاستراتيجية. ويتجلى ذلك بصورة خاصة في القطاعات الاستخراجية وما يماثلها من قطاعات صناعية تخضع لرقابة تنظيمية مكثفة</w:t>
      </w:r>
      <w:r w:rsidRPr="00C316C8">
        <w:rPr>
          <w:rFonts w:ascii="Simplified Arabic" w:hAnsi="Simplified Arabic" w:cs="Simplified Arabic"/>
          <w:color w:val="000000" w:themeColor="text1"/>
          <w:sz w:val="28"/>
          <w:szCs w:val="28"/>
        </w:rPr>
        <w:t>.</w:t>
      </w:r>
    </w:p>
    <w:p w14:paraId="16DC40DD"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ويُضيف الرحاحلة (٢٠٢٥) أهمية أخرى للامتثال تتعلق بالأمن السيبراني، إذ تُمثل منظومة الامتثال خط دفاع أساسي في مواجهة المخاطر السيبرانية المتزايدة في البيئات الرقمية. ويتجلى ذلك في توظيف الذكاء الاصطناعي لرصد المخالفات والتنبؤ بالتهديدات والاستجابة الاستباقية لها، مما يرفع من كفاءة المنظومة الأمنية للمنظمة</w:t>
      </w:r>
      <w:r w:rsidRPr="00C316C8">
        <w:rPr>
          <w:rFonts w:ascii="Simplified Arabic" w:hAnsi="Simplified Arabic" w:cs="Simplified Arabic"/>
          <w:color w:val="000000" w:themeColor="text1"/>
          <w:sz w:val="28"/>
          <w:szCs w:val="28"/>
        </w:rPr>
        <w:t>.</w:t>
      </w:r>
    </w:p>
    <w:p w14:paraId="1AB11882"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ويُسهم</w:t>
      </w:r>
      <w:r w:rsidRPr="00C316C8">
        <w:rPr>
          <w:rFonts w:ascii="Simplified Arabic" w:hAnsi="Simplified Arabic" w:cs="Simplified Arabic"/>
          <w:color w:val="000000" w:themeColor="text1"/>
          <w:sz w:val="28"/>
          <w:szCs w:val="28"/>
        </w:rPr>
        <w:t xml:space="preserve"> Plasencia Soler et al. (2023) </w:t>
      </w:r>
      <w:r w:rsidRPr="00C316C8">
        <w:rPr>
          <w:rFonts w:ascii="Simplified Arabic" w:hAnsi="Simplified Arabic" w:cs="Simplified Arabic"/>
          <w:color w:val="000000" w:themeColor="text1"/>
          <w:sz w:val="28"/>
          <w:szCs w:val="28"/>
          <w:rtl/>
        </w:rPr>
        <w:t>في إبراز أهمية إدارة مخاطر الامتثال من زاوية قيمية، إذ يرون أن لها أهمية بالغة في بناء ثقافة تنظيمية تقوم على قيم مشتركة، فيرتفع مستوى الانسجام السلوكي بين الأفراد، ويصبح الامتثال جزءًا من الهوية التنظيمية لا مجرد متطلب خارجي. ويُكمل</w:t>
      </w:r>
      <w:r w:rsidRPr="00C316C8">
        <w:rPr>
          <w:rFonts w:ascii="Simplified Arabic" w:hAnsi="Simplified Arabic" w:cs="Simplified Arabic"/>
          <w:color w:val="000000" w:themeColor="text1"/>
          <w:sz w:val="28"/>
          <w:szCs w:val="28"/>
        </w:rPr>
        <w:t xml:space="preserve"> Aloulou et al. (2026) </w:t>
      </w:r>
      <w:r w:rsidRPr="00C316C8">
        <w:rPr>
          <w:rFonts w:ascii="Simplified Arabic" w:hAnsi="Simplified Arabic" w:cs="Simplified Arabic"/>
          <w:color w:val="000000" w:themeColor="text1"/>
          <w:sz w:val="28"/>
          <w:szCs w:val="28"/>
          <w:rtl/>
        </w:rPr>
        <w:t>هذا الطرح بإبراز أن منظومة الحوكمة وإدارة المخاطر والامتثال المتكاملة تُسهم في تعزيز الكفاءة التشغيلية وتحسين السمعة المؤسسية، مما يرفع من القيمة الإجمالية للمنظمة</w:t>
      </w:r>
      <w:r w:rsidRPr="00C316C8">
        <w:rPr>
          <w:rFonts w:ascii="Simplified Arabic" w:hAnsi="Simplified Arabic" w:cs="Simplified Arabic"/>
          <w:color w:val="000000" w:themeColor="text1"/>
          <w:sz w:val="28"/>
          <w:szCs w:val="28"/>
        </w:rPr>
        <w:t>.</w:t>
      </w:r>
    </w:p>
    <w:p w14:paraId="1705EBE0"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ويُؤكد</w:t>
      </w:r>
      <w:r w:rsidRPr="00C316C8">
        <w:rPr>
          <w:rFonts w:ascii="Simplified Arabic" w:hAnsi="Simplified Arabic" w:cs="Simplified Arabic"/>
          <w:color w:val="000000" w:themeColor="text1"/>
          <w:sz w:val="28"/>
          <w:szCs w:val="28"/>
        </w:rPr>
        <w:t xml:space="preserve"> Aloulou &amp; Alshohail (2026) </w:t>
      </w:r>
      <w:r w:rsidRPr="00C316C8">
        <w:rPr>
          <w:rFonts w:ascii="Simplified Arabic" w:hAnsi="Simplified Arabic" w:cs="Simplified Arabic"/>
          <w:color w:val="000000" w:themeColor="text1"/>
          <w:sz w:val="28"/>
          <w:szCs w:val="28"/>
          <w:rtl/>
        </w:rPr>
        <w:t>على أهمية هذه المنظومة في الشركات التقنية، حيث تُسهم في تحويل أنشطة الرقابة والمتابعة من أدوات للتحكم إلى أدوات لخلق القيمة، فالامتثال في التصور الحديث ليس عبئًا، بل مصدرًا للميزة التنافسية. ويُسهم هذا الطرح في إعادة تأطير دور الامتثال في الفكر الإداري المعاصر</w:t>
      </w:r>
      <w:r w:rsidRPr="00C316C8">
        <w:rPr>
          <w:rFonts w:ascii="Simplified Arabic" w:hAnsi="Simplified Arabic" w:cs="Simplified Arabic"/>
          <w:color w:val="000000" w:themeColor="text1"/>
          <w:sz w:val="28"/>
          <w:szCs w:val="28"/>
        </w:rPr>
        <w:t>.</w:t>
      </w:r>
    </w:p>
    <w:p w14:paraId="5936B023"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أما على صعيد أهمية إدارة المخاطر التشغيلية، فتُشير اليمني (٢٠٢٤) إلى أن أهميتها تتجلى في رفع كفاءة نظم الرقابة الداخلية، إذ تُمثل إدارة المخاطر آلية متكاملة لرصد الثغرات في العمليات ومعالجتها، فترتفع كفاءة المنظومة الرقابية برمتها. كما تُسهم في حماية الأصول التنظيمية من الإخفاقات المحتملة، وتُعزز من قدرة المنظمة على الاستجابة للأحداث الطارئة</w:t>
      </w:r>
      <w:r w:rsidRPr="00C316C8">
        <w:rPr>
          <w:rFonts w:ascii="Simplified Arabic" w:hAnsi="Simplified Arabic" w:cs="Simplified Arabic"/>
          <w:color w:val="000000" w:themeColor="text1"/>
          <w:sz w:val="28"/>
          <w:szCs w:val="28"/>
        </w:rPr>
        <w:t>.</w:t>
      </w:r>
    </w:p>
    <w:p w14:paraId="22101EA9"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ويرى بوعظمات وآخرون (٢٠٢٢) أن أهمية إدارة المخاطر التشغيلية في السياق المصرفي تتجلى في تعزيز دور المراجعة الداخلية بوصفها خط دفاع متقدم في مواجهة الإخفاقات التشغيلية. كما تُسهم في حماية المنظومة المصرفية من الأزمات التي قد تنشأ من تراكم المخاطر غير المُدارة. وتتسع هذه الأهمية لتشمل القطاعات الصناعية التي تتشابه مع القطاع المصرفي في تعقد عملياتها وتعدد مخاطرها</w:t>
      </w:r>
      <w:r w:rsidRPr="00C316C8">
        <w:rPr>
          <w:rFonts w:ascii="Simplified Arabic" w:hAnsi="Simplified Arabic" w:cs="Simplified Arabic"/>
          <w:color w:val="000000" w:themeColor="text1"/>
          <w:sz w:val="28"/>
          <w:szCs w:val="28"/>
        </w:rPr>
        <w:t>.</w:t>
      </w:r>
    </w:p>
    <w:p w14:paraId="5F74FB1B"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 xml:space="preserve">ويُضيف خوجة وعلمي (٢٠٢٢) أن أهمية إدارة المخاطر التشغيلية تتجلى في توفير منظومة مؤشرات إنذار مبكر تُتيح الاستجابة الاستباقية للمخاطر قبل تحولها إلى أزمات. ويُمثل هذا البعد قيمة بالغة في البيئات الصناعية التي تتسم بسرعة تطور الأحداث وتشعب العمليات. ويُؤكد ذلك أحمد والشكري (٢٠٢٥) </w:t>
      </w:r>
      <w:r w:rsidRPr="00C316C8">
        <w:rPr>
          <w:rFonts w:ascii="Simplified Arabic" w:hAnsi="Simplified Arabic" w:cs="Simplified Arabic"/>
          <w:color w:val="000000" w:themeColor="text1"/>
          <w:sz w:val="28"/>
          <w:szCs w:val="28"/>
          <w:rtl/>
        </w:rPr>
        <w:lastRenderedPageBreak/>
        <w:t>في معالجتهما لدور المراجعة الداخلية الحديثة في إدارة المخاطر التشغيلية، مع إبراز التحول الحاصل في أساليب المراجعة وأدواتها</w:t>
      </w:r>
      <w:r w:rsidRPr="00C316C8">
        <w:rPr>
          <w:rFonts w:ascii="Simplified Arabic" w:hAnsi="Simplified Arabic" w:cs="Simplified Arabic"/>
          <w:color w:val="000000" w:themeColor="text1"/>
          <w:sz w:val="28"/>
          <w:szCs w:val="28"/>
        </w:rPr>
        <w:t>.</w:t>
      </w:r>
    </w:p>
    <w:p w14:paraId="25D2201D"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ويرى</w:t>
      </w:r>
      <w:r w:rsidRPr="00C316C8">
        <w:rPr>
          <w:rFonts w:ascii="Simplified Arabic" w:hAnsi="Simplified Arabic" w:cs="Simplified Arabic"/>
          <w:color w:val="000000" w:themeColor="text1"/>
          <w:sz w:val="28"/>
          <w:szCs w:val="28"/>
        </w:rPr>
        <w:t xml:space="preserve"> Hud</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kov</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 xml:space="preserve"> et al. (2023) </w:t>
      </w:r>
      <w:r w:rsidRPr="00C316C8">
        <w:rPr>
          <w:rFonts w:ascii="Simplified Arabic" w:hAnsi="Simplified Arabic" w:cs="Simplified Arabic"/>
          <w:color w:val="000000" w:themeColor="text1"/>
          <w:sz w:val="28"/>
          <w:szCs w:val="28"/>
          <w:rtl/>
        </w:rPr>
        <w:t>أن أهمية إدارة المخاطر التشغيلية تتجلى في تأثيرها المباشر على الأداء المالي للمنظمات، فالمخاطر غير المُدارة تتحول إلى خسائر مالية تُؤثر على ربحية المنظمة واستدامتها. ويُكمل ذلك</w:t>
      </w:r>
      <w:r w:rsidRPr="00C316C8">
        <w:rPr>
          <w:rFonts w:ascii="Simplified Arabic" w:hAnsi="Simplified Arabic" w:cs="Simplified Arabic"/>
          <w:color w:val="000000" w:themeColor="text1"/>
          <w:sz w:val="28"/>
          <w:szCs w:val="28"/>
        </w:rPr>
        <w:t xml:space="preserve"> Cornwell et al. (2023) </w:t>
      </w:r>
      <w:r w:rsidRPr="00C316C8">
        <w:rPr>
          <w:rFonts w:ascii="Simplified Arabic" w:hAnsi="Simplified Arabic" w:cs="Simplified Arabic"/>
          <w:color w:val="000000" w:themeColor="text1"/>
          <w:sz w:val="28"/>
          <w:szCs w:val="28"/>
          <w:rtl/>
        </w:rPr>
        <w:t>بإبراز الدور المتنامي لتحليلات البيانات في إدارة هذه المخاطر، مما يرفع من كفاءة المنظومة ويُتيح اتخاذ قرارات مستندة إلى أدلة</w:t>
      </w:r>
      <w:r w:rsidRPr="00C316C8">
        <w:rPr>
          <w:rFonts w:ascii="Simplified Arabic" w:hAnsi="Simplified Arabic" w:cs="Simplified Arabic"/>
          <w:color w:val="000000" w:themeColor="text1"/>
          <w:sz w:val="28"/>
          <w:szCs w:val="28"/>
        </w:rPr>
        <w:t>.</w:t>
      </w:r>
    </w:p>
    <w:p w14:paraId="0926C231"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ويُسهم</w:t>
      </w:r>
      <w:r w:rsidRPr="00C316C8">
        <w:rPr>
          <w:rFonts w:ascii="Simplified Arabic" w:hAnsi="Simplified Arabic" w:cs="Simplified Arabic"/>
          <w:color w:val="000000" w:themeColor="text1"/>
          <w:sz w:val="28"/>
          <w:szCs w:val="28"/>
        </w:rPr>
        <w:t xml:space="preserve"> Zainuddin et al. (2022) </w:t>
      </w:r>
      <w:r w:rsidRPr="00C316C8">
        <w:rPr>
          <w:rFonts w:ascii="Simplified Arabic" w:hAnsi="Simplified Arabic" w:cs="Simplified Arabic"/>
          <w:color w:val="000000" w:themeColor="text1"/>
          <w:sz w:val="28"/>
          <w:szCs w:val="28"/>
          <w:rtl/>
        </w:rPr>
        <w:t>في توسيع نطاق أهمية إدارة المخاطر لتشمل البعد المستدام، فإدارة المخاطر المستدامة تتجاوز المخاطر التشغيلية التقليدية لتشمل المخاطر البيئية والاجتماعية، مما يُعزز من قدرة المنظمة على البقاء في بيئة تتزايد فيها متطلبات الاستدامة. ويرى الشيخ (٢٠٢٥) أن أهمية إدارة المخاطر التشغيلية تتجلى أيضًا في تأثيرها على عوائد الأسهم والقيمة السوقية للمنظمة، مما يُعزز من جاذبيتها للمستثمرين</w:t>
      </w:r>
      <w:r w:rsidRPr="00C316C8">
        <w:rPr>
          <w:rFonts w:ascii="Simplified Arabic" w:hAnsi="Simplified Arabic" w:cs="Simplified Arabic"/>
          <w:color w:val="000000" w:themeColor="text1"/>
          <w:sz w:val="28"/>
          <w:szCs w:val="28"/>
        </w:rPr>
        <w:t>.</w:t>
      </w:r>
    </w:p>
    <w:p w14:paraId="2EF49A7C"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ويُسهم ثريا (٢٠٢٠) في إبراز التقاطع بين إدارة المخاطر التشغيلية وممارسات الموارد البشرية، فتحسين أداء الموارد البشرية يُسهم في تقليل المخاطر التشغيلية الناجمة عن العنصر البشري، الذي يُمثل أحد المصادر الأساسية لهذه المخاطر. ويُكمل</w:t>
      </w:r>
      <w:r w:rsidRPr="00C316C8">
        <w:rPr>
          <w:rFonts w:ascii="Simplified Arabic" w:hAnsi="Simplified Arabic" w:cs="Simplified Arabic"/>
          <w:color w:val="000000" w:themeColor="text1"/>
          <w:sz w:val="28"/>
          <w:szCs w:val="28"/>
        </w:rPr>
        <w:t xml:space="preserve"> Filemon et al. (2024) </w:t>
      </w:r>
      <w:r w:rsidRPr="00C316C8">
        <w:rPr>
          <w:rFonts w:ascii="Simplified Arabic" w:hAnsi="Simplified Arabic" w:cs="Simplified Arabic"/>
          <w:color w:val="000000" w:themeColor="text1"/>
          <w:sz w:val="28"/>
          <w:szCs w:val="28"/>
          <w:rtl/>
        </w:rPr>
        <w:t>ذلك بإبراز أن إدارة المخاطر في ممارسات الموارد البشرية تُمثل مكونًا حيويًا في منظومة إدارة المخاطر الشاملة للمنظمة. ويُؤكد</w:t>
      </w:r>
      <w:r w:rsidRPr="00C316C8">
        <w:rPr>
          <w:rFonts w:ascii="Simplified Arabic" w:hAnsi="Simplified Arabic" w:cs="Simplified Arabic"/>
          <w:color w:val="000000" w:themeColor="text1"/>
          <w:sz w:val="28"/>
          <w:szCs w:val="28"/>
        </w:rPr>
        <w:t xml:space="preserve"> Koeplin &amp; Lélé (2023) </w:t>
      </w:r>
      <w:r w:rsidRPr="00C316C8">
        <w:rPr>
          <w:rFonts w:ascii="Simplified Arabic" w:hAnsi="Simplified Arabic" w:cs="Simplified Arabic"/>
          <w:color w:val="000000" w:themeColor="text1"/>
          <w:sz w:val="28"/>
          <w:szCs w:val="28"/>
          <w:rtl/>
        </w:rPr>
        <w:t>أن أهمية هذا التقاطع تتجلى في متطلبات معايير بازل المتعلقة بالمخاطر التشغيلية ورأس المال البشري، مما يُبرز البعد الدولي لهذه الأهمية</w:t>
      </w:r>
      <w:r w:rsidRPr="00C316C8">
        <w:rPr>
          <w:rFonts w:ascii="Simplified Arabic" w:hAnsi="Simplified Arabic" w:cs="Simplified Arabic"/>
          <w:color w:val="000000" w:themeColor="text1"/>
          <w:sz w:val="28"/>
          <w:szCs w:val="28"/>
        </w:rPr>
        <w:t>.</w:t>
      </w:r>
    </w:p>
    <w:p w14:paraId="78D741DD" w14:textId="4972CD9B"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380473"/>
      <w:r w:rsidRPr="00C316C8">
        <w:rPr>
          <w:rFonts w:ascii="Simplified Arabic" w:hAnsi="Simplified Arabic" w:cs="Simplified Arabic" w:hint="cs"/>
          <w:b/>
          <w:bCs/>
          <w:color w:val="000000" w:themeColor="text1"/>
          <w:sz w:val="32"/>
          <w:szCs w:val="32"/>
          <w:rtl/>
        </w:rPr>
        <w:t>4.2.2</w:t>
      </w:r>
      <w:r w:rsidR="00C12508" w:rsidRPr="00C316C8">
        <w:rPr>
          <w:rFonts w:ascii="Simplified Arabic" w:hAnsi="Simplified Arabic" w:cs="Simplified Arabic"/>
          <w:b/>
          <w:bCs/>
          <w:color w:val="000000" w:themeColor="text1"/>
          <w:sz w:val="32"/>
          <w:szCs w:val="32"/>
          <w:rtl/>
        </w:rPr>
        <w:t xml:space="preserve"> أهداف الامتثال التنظيمي وتقليل المخاطر التشغيلية</w:t>
      </w:r>
      <w:bookmarkEnd w:id="45"/>
    </w:p>
    <w:p w14:paraId="7506ABAD"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تتعدد الأهداف التي تسعى منظومة الامتثال التنظيمي وتقليل المخاطر التشغيلية إلى تحقيقها، وتتنوع بحسب القطاع والسياق التنظيمي. ويعرض الباحثون لهذه الأهداف من زوايا تكشف عن ثراء هذا الحقل المعرفي</w:t>
      </w:r>
      <w:r w:rsidRPr="00C316C8">
        <w:rPr>
          <w:rFonts w:ascii="Simplified Arabic" w:hAnsi="Simplified Arabic" w:cs="Simplified Arabic"/>
          <w:color w:val="000000" w:themeColor="text1"/>
          <w:sz w:val="28"/>
          <w:szCs w:val="28"/>
        </w:rPr>
        <w:t>.</w:t>
      </w:r>
    </w:p>
    <w:p w14:paraId="1BF4F75F"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 xml:space="preserve">يُحدد شكر (٢٠٢٠) جملة من الأهداف للامتثال التنظيمي تشمل: ضمان التزام المنظمة بالتشريعات واللوائح المعمول بها، وبناء منظومة سياسات وإجراءات داخلية تُرسخ الانضباط التنظيمي، وحماية المنظمة </w:t>
      </w:r>
      <w:r w:rsidRPr="00C316C8">
        <w:rPr>
          <w:rFonts w:ascii="Simplified Arabic" w:hAnsi="Simplified Arabic" w:cs="Simplified Arabic"/>
          <w:color w:val="000000" w:themeColor="text1"/>
          <w:sz w:val="28"/>
          <w:szCs w:val="28"/>
          <w:rtl/>
        </w:rPr>
        <w:lastRenderedPageBreak/>
        <w:t>من العقوبات القانونية والمالية، وتعزيز ثقة الأطراف ذات المصلحة، وتقليل المخاطر التشغيلية المرتبطة بمخالفة المتطلبات التنظيمية، وبناء ثقافة تنظيمية تقوم على المساءلة والشفافية</w:t>
      </w:r>
      <w:r w:rsidRPr="00C316C8">
        <w:rPr>
          <w:rFonts w:ascii="Simplified Arabic" w:hAnsi="Simplified Arabic" w:cs="Simplified Arabic"/>
          <w:color w:val="000000" w:themeColor="text1"/>
          <w:sz w:val="28"/>
          <w:szCs w:val="28"/>
        </w:rPr>
        <w:t>.</w:t>
      </w:r>
    </w:p>
    <w:p w14:paraId="1FC2C42A"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ويرى جمال والزعبي (٢٠٢٤) أن الامتثال التنظيمي يستهدف الحد من الغموض الاستراتيجي عبر تحقيق جملة من الغايات تشمل: توضيح المسار الاستراتيجي للمنظمة، وتقليل حالات اللايقين في اتخاذ القرارات، وبناء منظومة حوكمة فاعلة، وتعزيز قدرة المنظمة على التخطيط بعيد المدى، وتوفير إطار مستقر للقرارات الاستراتيجية في البيئات الصناعية شديدة التنظيم</w:t>
      </w:r>
      <w:r w:rsidRPr="00C316C8">
        <w:rPr>
          <w:rFonts w:ascii="Simplified Arabic" w:hAnsi="Simplified Arabic" w:cs="Simplified Arabic"/>
          <w:color w:val="000000" w:themeColor="text1"/>
          <w:sz w:val="28"/>
          <w:szCs w:val="28"/>
        </w:rPr>
        <w:t>.</w:t>
      </w:r>
    </w:p>
    <w:p w14:paraId="0DEC5222"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ويُضيف الرحاحلة (٢٠٢٥) أهدافًا تتعلق بتعزيز الامتثال في مجال الأمن السيبراني، تشمل: رصد المخالفات السيبرانية المحتملة، والتنبؤ بالتهديدات الرقمية، وتطوير قدرات استجابة استباقية للمخاطر السيبرانية، وتوظيف الذكاء الاصطناعي في تحليل البيانات الأمنية، وبناء منظومة أمن متكاملة تتسق مع المعايير الدولية</w:t>
      </w:r>
      <w:r w:rsidRPr="00C316C8">
        <w:rPr>
          <w:rFonts w:ascii="Simplified Arabic" w:hAnsi="Simplified Arabic" w:cs="Simplified Arabic"/>
          <w:color w:val="000000" w:themeColor="text1"/>
          <w:sz w:val="28"/>
          <w:szCs w:val="28"/>
        </w:rPr>
        <w:t>.</w:t>
      </w:r>
    </w:p>
    <w:p w14:paraId="3E1791C8"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ويُحدد</w:t>
      </w:r>
      <w:r w:rsidRPr="00C316C8">
        <w:rPr>
          <w:rFonts w:ascii="Simplified Arabic" w:hAnsi="Simplified Arabic" w:cs="Simplified Arabic"/>
          <w:color w:val="000000" w:themeColor="text1"/>
          <w:sz w:val="28"/>
          <w:szCs w:val="28"/>
        </w:rPr>
        <w:t xml:space="preserve"> Plasencia Soler et al. (2023) </w:t>
      </w:r>
      <w:r w:rsidRPr="00C316C8">
        <w:rPr>
          <w:rFonts w:ascii="Simplified Arabic" w:hAnsi="Simplified Arabic" w:cs="Simplified Arabic"/>
          <w:color w:val="000000" w:themeColor="text1"/>
          <w:sz w:val="28"/>
          <w:szCs w:val="28"/>
          <w:rtl/>
        </w:rPr>
        <w:t>أهدافًا لإدارة مخاطر الامتثال ترتكز على القيم، تشمل: بناء ثقافة تنظيمية تقوم على قيم مشتركة، وتعزيز الانسجام السلوكي بين الأفراد، وترسيخ الامتثال بوصفه جزءًا من الهوية التنظيمية، وتطوير وعي قيمي لدى الموظفين بأهمية الامتثال</w:t>
      </w:r>
      <w:r w:rsidRPr="00C316C8">
        <w:rPr>
          <w:rFonts w:ascii="Simplified Arabic" w:hAnsi="Simplified Arabic" w:cs="Simplified Arabic"/>
          <w:color w:val="000000" w:themeColor="text1"/>
          <w:sz w:val="28"/>
          <w:szCs w:val="28"/>
        </w:rPr>
        <w:t>.</w:t>
      </w:r>
    </w:p>
    <w:p w14:paraId="29407EAC"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ويعرض</w:t>
      </w:r>
      <w:r w:rsidRPr="00C316C8">
        <w:rPr>
          <w:rFonts w:ascii="Simplified Arabic" w:hAnsi="Simplified Arabic" w:cs="Simplified Arabic"/>
          <w:color w:val="000000" w:themeColor="text1"/>
          <w:sz w:val="28"/>
          <w:szCs w:val="28"/>
        </w:rPr>
        <w:t xml:space="preserve"> Aloulou et al. (2026) </w:t>
      </w:r>
      <w:r w:rsidRPr="00C316C8">
        <w:rPr>
          <w:rFonts w:ascii="Simplified Arabic" w:hAnsi="Simplified Arabic" w:cs="Simplified Arabic"/>
          <w:color w:val="000000" w:themeColor="text1"/>
          <w:sz w:val="28"/>
          <w:szCs w:val="28"/>
          <w:rtl/>
        </w:rPr>
        <w:t>أهدافًا متكاملة لمنظومة الحوكمة وإدارة المخاطر والامتثال تشمل: تعزيز الكفاءة التشغيلية للمنظمة، وتحسين السمعة المؤسسية، وبناء منظومة قيمة متكاملة من ممارسات الحوكمة، وتطوير قدرة المنظمة على الاستجابة للمتطلبات التنظيمية الدولية، وتحويل أنشطة الرقابة من أدوات للتحكم إلى أدوات لخلق القيمة. ويُضيف</w:t>
      </w:r>
      <w:r w:rsidRPr="00C316C8">
        <w:rPr>
          <w:rFonts w:ascii="Simplified Arabic" w:hAnsi="Simplified Arabic" w:cs="Simplified Arabic"/>
          <w:color w:val="000000" w:themeColor="text1"/>
          <w:sz w:val="28"/>
          <w:szCs w:val="28"/>
        </w:rPr>
        <w:t xml:space="preserve"> Aloulou &amp; Alshohail (2026) </w:t>
      </w:r>
      <w:r w:rsidRPr="00C316C8">
        <w:rPr>
          <w:rFonts w:ascii="Simplified Arabic" w:hAnsi="Simplified Arabic" w:cs="Simplified Arabic"/>
          <w:color w:val="000000" w:themeColor="text1"/>
          <w:sz w:val="28"/>
          <w:szCs w:val="28"/>
          <w:rtl/>
        </w:rPr>
        <w:t>أهدافًا تتعلق بالشركات التقنية تشمل: تعزيز الكفاءة التشغيلية في البيئات الرقمية، وبناء سمعة قوية تجذب الاستثمارات، وتطوير ممارسات حوكمة تتسق مع طبيعة الأعمال التقنية</w:t>
      </w:r>
      <w:r w:rsidRPr="00C316C8">
        <w:rPr>
          <w:rFonts w:ascii="Simplified Arabic" w:hAnsi="Simplified Arabic" w:cs="Simplified Arabic"/>
          <w:color w:val="000000" w:themeColor="text1"/>
          <w:sz w:val="28"/>
          <w:szCs w:val="28"/>
        </w:rPr>
        <w:t>.</w:t>
      </w:r>
    </w:p>
    <w:p w14:paraId="2A485E3C"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وعلى صعيد أهداف إدارة المخاطر التشغيلية، تُحدد اليمني (٢٠٢٤) جملة من الأهداف تشمل: رفع كفاءة نظم الرقابة الداخلية، ورصد المخاطر التشغيلية في مراحلها المبكرة، ومعالجتها قبل تحولها إلى أزمات، وحماية الأصول التنظيمية، وتطوير قدرات المنظمة على الاستجابة للأحداث الطارئة، وبناء منظومة معلومات إدارية تدعم اتخاذ القرار في مواجهة المخاطر</w:t>
      </w:r>
      <w:r w:rsidRPr="00C316C8">
        <w:rPr>
          <w:rFonts w:ascii="Simplified Arabic" w:hAnsi="Simplified Arabic" w:cs="Simplified Arabic"/>
          <w:color w:val="000000" w:themeColor="text1"/>
          <w:sz w:val="28"/>
          <w:szCs w:val="28"/>
        </w:rPr>
        <w:t>.</w:t>
      </w:r>
    </w:p>
    <w:p w14:paraId="3553DDCB"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lastRenderedPageBreak/>
        <w:t>ويُحدد بوعظمات وآخرون (٢٠٢٢) أهدافًا للمراجعة الداخلية في الحد من المخاطر التشغيلية تشمل: تعزيز خطوط الدفاع ضد الإخفاقات التشغيلية، وكشف الثغرات في العمليات والأنظمة، وتقديم توصيات تحسينية، وبناء قدرات استجابة استباقية. ويُضيف خوجة وعلمي (٢٠٢٢) أهدافًا تتعلق بمؤشرات المخاطر الرئيسية تشمل: بناء منظومة إنذار مبكر، ورصد التطورات التشغيلية، وتحديد العتبات الحرجة، وتطوير استجابات استباقية للمخاطر المحتملة</w:t>
      </w:r>
      <w:r w:rsidRPr="00C316C8">
        <w:rPr>
          <w:rFonts w:ascii="Simplified Arabic" w:hAnsi="Simplified Arabic" w:cs="Simplified Arabic"/>
          <w:color w:val="000000" w:themeColor="text1"/>
          <w:sz w:val="28"/>
          <w:szCs w:val="28"/>
        </w:rPr>
        <w:t>.</w:t>
      </w:r>
    </w:p>
    <w:p w14:paraId="6D707ED9"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ويُضيف أحمد والشكري (٢٠٢٥) أهدافًا للمراجعة الداخلية الحديثة تشمل: مواكبة التطورات في أساليب المراجعة، وتطوير أدوات رصد المخاطر، وتعزيز دور المراجعة في الحوكمة، وبناء منظومة متكاملة بين المراجعة وإدارة المخاطر. ويُحدد</w:t>
      </w:r>
      <w:r w:rsidRPr="00C316C8">
        <w:rPr>
          <w:rFonts w:ascii="Simplified Arabic" w:hAnsi="Simplified Arabic" w:cs="Simplified Arabic"/>
          <w:color w:val="000000" w:themeColor="text1"/>
          <w:sz w:val="28"/>
          <w:szCs w:val="28"/>
        </w:rPr>
        <w:t xml:space="preserve"> Hud</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kov</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 xml:space="preserve"> et al. (2023) </w:t>
      </w:r>
      <w:r w:rsidRPr="00C316C8">
        <w:rPr>
          <w:rFonts w:ascii="Simplified Arabic" w:hAnsi="Simplified Arabic" w:cs="Simplified Arabic"/>
          <w:color w:val="000000" w:themeColor="text1"/>
          <w:sz w:val="28"/>
          <w:szCs w:val="28"/>
          <w:rtl/>
        </w:rPr>
        <w:t>أهدافًا تتعلق بربط إدارة المخاطر التشغيلية بالأداء المالي تشمل: تقليل الخسائر المالية الناجمة عن الإخفاقات التشغيلية، وتحسين الربحية، وتعزيز الاستدامة المالية</w:t>
      </w:r>
      <w:r w:rsidRPr="00C316C8">
        <w:rPr>
          <w:rFonts w:ascii="Simplified Arabic" w:hAnsi="Simplified Arabic" w:cs="Simplified Arabic"/>
          <w:color w:val="000000" w:themeColor="text1"/>
          <w:sz w:val="28"/>
          <w:szCs w:val="28"/>
        </w:rPr>
        <w:t>.</w:t>
      </w:r>
    </w:p>
    <w:p w14:paraId="0FBF3D53"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ويعرض</w:t>
      </w:r>
      <w:r w:rsidRPr="00C316C8">
        <w:rPr>
          <w:rFonts w:ascii="Simplified Arabic" w:hAnsi="Simplified Arabic" w:cs="Simplified Arabic"/>
          <w:color w:val="000000" w:themeColor="text1"/>
          <w:sz w:val="28"/>
          <w:szCs w:val="28"/>
        </w:rPr>
        <w:t xml:space="preserve"> Cornwell et al. (2023) </w:t>
      </w:r>
      <w:r w:rsidRPr="00C316C8">
        <w:rPr>
          <w:rFonts w:ascii="Simplified Arabic" w:hAnsi="Simplified Arabic" w:cs="Simplified Arabic"/>
          <w:color w:val="000000" w:themeColor="text1"/>
          <w:sz w:val="28"/>
          <w:szCs w:val="28"/>
          <w:rtl/>
        </w:rPr>
        <w:t>أهدافًا لتحليلات البيانات في إدارة المخاطر التشغيلية تشمل: بناء قدرات تنبؤية بالمخاطر، وتطوير نماذج قياس متقدمة، ودعم اتخاذ القرار بالأدلة، وتحويل البيانات إلى رؤى استراتيجية. ويُضيف</w:t>
      </w:r>
      <w:r w:rsidRPr="00C316C8">
        <w:rPr>
          <w:rFonts w:ascii="Simplified Arabic" w:hAnsi="Simplified Arabic" w:cs="Simplified Arabic"/>
          <w:color w:val="000000" w:themeColor="text1"/>
          <w:sz w:val="28"/>
          <w:szCs w:val="28"/>
        </w:rPr>
        <w:t xml:space="preserve"> Zainuddin et al. (2022) </w:t>
      </w:r>
      <w:r w:rsidRPr="00C316C8">
        <w:rPr>
          <w:rFonts w:ascii="Simplified Arabic" w:hAnsi="Simplified Arabic" w:cs="Simplified Arabic"/>
          <w:color w:val="000000" w:themeColor="text1"/>
          <w:sz w:val="28"/>
          <w:szCs w:val="28"/>
          <w:rtl/>
        </w:rPr>
        <w:t>أهدافًا للممارسات المستدامة لإدارة المخاطر تشمل: دمج الأبعاد البيئية والاجتماعية في منظومة المخاطر، وبناء استدامة شاملة، وتعزيز المسؤولية تجاه الأطراف ذات المصلحة</w:t>
      </w:r>
      <w:r w:rsidRPr="00C316C8">
        <w:rPr>
          <w:rFonts w:ascii="Simplified Arabic" w:hAnsi="Simplified Arabic" w:cs="Simplified Arabic"/>
          <w:color w:val="000000" w:themeColor="text1"/>
          <w:sz w:val="28"/>
          <w:szCs w:val="28"/>
        </w:rPr>
        <w:t>.</w:t>
      </w:r>
    </w:p>
    <w:p w14:paraId="36A0619C"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ويُحدد الشيخ (٢٠٢٥) أهدافًا تتعلق بقياس أثر المخاطر التشغيلية على الأداء المالي تشمل: حماية القيمة السوقية للمنظمة، وتعزيز عوائد المساهمين، وتطوير منظومة قياس أثر المخاطر. ويُضيف ثريا (٢٠٢٠) أهدافًا تتعلق بدور الموارد البشرية في تقليل المخاطر التشغيلية تشمل: تحسين أداء العنصر البشري، وتقليل المخاطر الناجمة عن الأخطاء البشرية، وبناء قدرات تشغيلية متقدمة. ويُكمل</w:t>
      </w:r>
      <w:r w:rsidRPr="00C316C8">
        <w:rPr>
          <w:rFonts w:ascii="Simplified Arabic" w:hAnsi="Simplified Arabic" w:cs="Simplified Arabic"/>
          <w:color w:val="000000" w:themeColor="text1"/>
          <w:sz w:val="28"/>
          <w:szCs w:val="28"/>
        </w:rPr>
        <w:t xml:space="preserve"> Koeplin &amp; Lélé (2023) </w:t>
      </w:r>
      <w:r w:rsidRPr="00C316C8">
        <w:rPr>
          <w:rFonts w:ascii="Simplified Arabic" w:hAnsi="Simplified Arabic" w:cs="Simplified Arabic"/>
          <w:color w:val="000000" w:themeColor="text1"/>
          <w:sz w:val="28"/>
          <w:szCs w:val="28"/>
          <w:rtl/>
        </w:rPr>
        <w:t>ذلك بأهداف تتعلق بمحاسبة رأس المال البشري وفق معايير بازل، تشمل: قياس مساهمة العنصر البشري في الأداء، وتقدير المخاطر المرتبطة به، والامتثال للمتطلبات الدولية</w:t>
      </w:r>
      <w:r w:rsidRPr="00C316C8">
        <w:rPr>
          <w:rFonts w:ascii="Simplified Arabic" w:hAnsi="Simplified Arabic" w:cs="Simplified Arabic"/>
          <w:color w:val="000000" w:themeColor="text1"/>
          <w:sz w:val="28"/>
          <w:szCs w:val="28"/>
        </w:rPr>
        <w:t>.</w:t>
      </w:r>
    </w:p>
    <w:p w14:paraId="41CD69F3" w14:textId="411678DD"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380474"/>
      <w:r w:rsidRPr="00C316C8">
        <w:rPr>
          <w:rFonts w:ascii="Simplified Arabic" w:hAnsi="Simplified Arabic" w:cs="Simplified Arabic" w:hint="cs"/>
          <w:b/>
          <w:bCs/>
          <w:color w:val="000000" w:themeColor="text1"/>
          <w:sz w:val="32"/>
          <w:szCs w:val="32"/>
          <w:rtl/>
        </w:rPr>
        <w:t>5.2.2</w:t>
      </w:r>
      <w:r w:rsidR="00C12508" w:rsidRPr="00C316C8">
        <w:rPr>
          <w:rFonts w:ascii="Simplified Arabic" w:hAnsi="Simplified Arabic" w:cs="Simplified Arabic"/>
          <w:b/>
          <w:bCs/>
          <w:color w:val="000000" w:themeColor="text1"/>
          <w:sz w:val="32"/>
          <w:szCs w:val="32"/>
          <w:rtl/>
        </w:rPr>
        <w:t xml:space="preserve"> أبعاد ومحاور قياس الامتثال التنظيمي وتقليل المخاطر التشغيلية</w:t>
      </w:r>
      <w:bookmarkEnd w:id="46"/>
    </w:p>
    <w:p w14:paraId="006665AD"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 xml:space="preserve">تم تحديد محور قياس الامتثال التنظيمي وتقليل المخاطر التشغيلية في هذه الدراسة بناءً على مراجعة معمقة لطروحات شكر (٢٠٢٠)، وجمال والزعبي (٢٠٢٤)، واليمني (٢٠٢٤)، وبوعظمات وآخرون </w:t>
      </w:r>
      <w:r w:rsidRPr="00C316C8">
        <w:rPr>
          <w:rFonts w:ascii="Simplified Arabic" w:hAnsi="Simplified Arabic" w:cs="Simplified Arabic"/>
          <w:color w:val="000000" w:themeColor="text1"/>
          <w:sz w:val="28"/>
          <w:szCs w:val="28"/>
          <w:rtl/>
        </w:rPr>
        <w:lastRenderedPageBreak/>
        <w:t>(٢٠٢٢)، وخوجة وعلمي (٢٠٢٢)، فضلًا عن إسهامات</w:t>
      </w:r>
      <w:r w:rsidRPr="00C316C8">
        <w:rPr>
          <w:rFonts w:ascii="Simplified Arabic" w:hAnsi="Simplified Arabic" w:cs="Simplified Arabic"/>
          <w:color w:val="000000" w:themeColor="text1"/>
          <w:sz w:val="28"/>
          <w:szCs w:val="28"/>
        </w:rPr>
        <w:t xml:space="preserve"> Aloulou et al. (2026) </w:t>
      </w:r>
      <w:r w:rsidRPr="00C316C8">
        <w:rPr>
          <w:rFonts w:ascii="Simplified Arabic" w:hAnsi="Simplified Arabic" w:cs="Simplified Arabic"/>
          <w:color w:val="000000" w:themeColor="text1"/>
          <w:sz w:val="28"/>
          <w:szCs w:val="28"/>
          <w:rtl/>
        </w:rPr>
        <w:t>و</w:t>
      </w:r>
      <w:r w:rsidRPr="00C316C8">
        <w:rPr>
          <w:rFonts w:ascii="Simplified Arabic" w:hAnsi="Simplified Arabic" w:cs="Simplified Arabic"/>
          <w:color w:val="000000" w:themeColor="text1"/>
          <w:sz w:val="28"/>
          <w:szCs w:val="28"/>
        </w:rPr>
        <w:t xml:space="preserve">Plasencia Soler et al. (2023) </w:t>
      </w:r>
      <w:r w:rsidRPr="00C316C8">
        <w:rPr>
          <w:rFonts w:ascii="Simplified Arabic" w:hAnsi="Simplified Arabic" w:cs="Simplified Arabic"/>
          <w:color w:val="000000" w:themeColor="text1"/>
          <w:sz w:val="28"/>
          <w:szCs w:val="28"/>
          <w:rtl/>
        </w:rPr>
        <w:t>و</w:t>
      </w:r>
      <w:r w:rsidRPr="00C316C8">
        <w:rPr>
          <w:rFonts w:ascii="Simplified Arabic" w:hAnsi="Simplified Arabic" w:cs="Simplified Arabic"/>
          <w:color w:val="000000" w:themeColor="text1"/>
          <w:sz w:val="28"/>
          <w:szCs w:val="28"/>
        </w:rPr>
        <w:t>Hud</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kov</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 xml:space="preserve"> et al. (2023) </w:t>
      </w:r>
      <w:r w:rsidRPr="00C316C8">
        <w:rPr>
          <w:rFonts w:ascii="Simplified Arabic" w:hAnsi="Simplified Arabic" w:cs="Simplified Arabic"/>
          <w:color w:val="000000" w:themeColor="text1"/>
          <w:sz w:val="28"/>
          <w:szCs w:val="28"/>
          <w:rtl/>
        </w:rPr>
        <w:t>في الأدبيات الدولية. وقد أسفر هذا التحليل عن تحديد محور متكامل يقيس الامتثال التنظيمي وتقليل المخاطر التشغيلية بوصفهما منظومة واحدة، مع تناولهما من خلال عدة عناصر فرعية تتكامل فيما بينها</w:t>
      </w:r>
      <w:r w:rsidRPr="00C316C8">
        <w:rPr>
          <w:rFonts w:ascii="Simplified Arabic" w:hAnsi="Simplified Arabic" w:cs="Simplified Arabic"/>
          <w:color w:val="000000" w:themeColor="text1"/>
          <w:sz w:val="28"/>
          <w:szCs w:val="28"/>
        </w:rPr>
        <w:t>.</w:t>
      </w:r>
    </w:p>
    <w:p w14:paraId="73573B84"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العنصر الأول: منظومة السياسات والإجراءات الرسمية</w:t>
      </w:r>
      <w:r w:rsidRPr="00C316C8">
        <w:rPr>
          <w:rFonts w:ascii="Simplified Arabic" w:hAnsi="Simplified Arabic" w:cs="Simplified Arabic"/>
          <w:color w:val="000000" w:themeColor="text1"/>
          <w:sz w:val="28"/>
          <w:szCs w:val="28"/>
        </w:rPr>
        <w:t xml:space="preserve">: </w:t>
      </w:r>
      <w:r w:rsidRPr="00C316C8">
        <w:rPr>
          <w:rFonts w:ascii="Simplified Arabic" w:hAnsi="Simplified Arabic" w:cs="Simplified Arabic"/>
          <w:color w:val="000000" w:themeColor="text1"/>
          <w:sz w:val="28"/>
          <w:szCs w:val="28"/>
          <w:rtl/>
        </w:rPr>
        <w:t>يُمثل هذا العنصر الركيزة الأولى التي تقوم عليها منظومة الامتثال وتقليل المخاطر، ويُشير إلى وجود سياسات وإجراءات مكتوبة وواضحة تحكم سلوك المنظمة وتُحدد متطلبات الامتثال للتشريعات الداخلية والخارجية. وتُشير شكر (٢٠٢٠) إلى أن وجود هذه المنظومة يُمثل شرطًا أوليًا لفاعلية الامتثال، إذ تُتيح للأفراد إطارًا مرجعيًا واضحًا يحكم تصرفاتهم وقراراتهم. ويتجلى هذا العنصر في وجود سياسات معتمدة لإدارة الامتثال، وإجراءات تشغيلية موثقة، ودلائل عمل واضحة، ومنظومة تحديث دوري لهذه السياسات. ويُكمل ذلك</w:t>
      </w:r>
      <w:r w:rsidRPr="00C316C8">
        <w:rPr>
          <w:rFonts w:ascii="Simplified Arabic" w:hAnsi="Simplified Arabic" w:cs="Simplified Arabic"/>
          <w:color w:val="000000" w:themeColor="text1"/>
          <w:sz w:val="28"/>
          <w:szCs w:val="28"/>
        </w:rPr>
        <w:t xml:space="preserve"> Aloulou et al. (2026) </w:t>
      </w:r>
      <w:r w:rsidRPr="00C316C8">
        <w:rPr>
          <w:rFonts w:ascii="Simplified Arabic" w:hAnsi="Simplified Arabic" w:cs="Simplified Arabic"/>
          <w:color w:val="000000" w:themeColor="text1"/>
          <w:sz w:val="28"/>
          <w:szCs w:val="28"/>
          <w:rtl/>
        </w:rPr>
        <w:t>بإبراز أن السياسات المكتوبة تُمثل المكون الرسمي لمنظومة الحوكمة وإدارة المخاطر والامتثال، الذي يتكامل مع المكونات غير الرسمية الأخرى</w:t>
      </w:r>
      <w:r w:rsidRPr="00C316C8">
        <w:rPr>
          <w:rFonts w:ascii="Simplified Arabic" w:hAnsi="Simplified Arabic" w:cs="Simplified Arabic"/>
          <w:color w:val="000000" w:themeColor="text1"/>
          <w:sz w:val="28"/>
          <w:szCs w:val="28"/>
        </w:rPr>
        <w:t>.</w:t>
      </w:r>
    </w:p>
    <w:p w14:paraId="74933475"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العنصر الثاني: منظومة الرقابة الداخلية والمراجعة</w:t>
      </w:r>
      <w:r w:rsidRPr="00C316C8">
        <w:rPr>
          <w:rFonts w:ascii="Simplified Arabic" w:hAnsi="Simplified Arabic" w:cs="Simplified Arabic"/>
          <w:color w:val="000000" w:themeColor="text1"/>
          <w:sz w:val="28"/>
          <w:szCs w:val="28"/>
        </w:rPr>
        <w:t xml:space="preserve">: </w:t>
      </w:r>
      <w:r w:rsidRPr="00C316C8">
        <w:rPr>
          <w:rFonts w:ascii="Simplified Arabic" w:hAnsi="Simplified Arabic" w:cs="Simplified Arabic"/>
          <w:color w:val="000000" w:themeColor="text1"/>
          <w:sz w:val="28"/>
          <w:szCs w:val="28"/>
          <w:rtl/>
        </w:rPr>
        <w:t>يُمثل هذا العنصر خط الدفاع المتقدم في مواجهة الإخفاقات التشغيلية، ويُشير إلى وجود منظومة رقابة فاعلة تتولى رصد الالتزام بالسياسات والإجراءات وكشف الثغرات. وتُشير اليمني (٢٠٢٤) إلى أن كفاءة نظم الرقابة الداخلية تتعزز عبر تكاملها مع إدارة المخاطر التشغيلية، فتُصبح الرقابة أداة استباقية لا مجرد آلية تصحيحية. ويتجلى هذا العنصر في وجود وظيفة مراجعة داخلية مستقلة، ومنظومة رقابة مالية وتشغيلية، وآليات تقييم ذاتي للمخاطر، وتقارير دورية للإدارة العليا. ويُكمل بوعظمات وآخرون (٢٠٢٢) ذلك بإبراز دور المراجع الداخلي في الحد من المخاطر التشغيلية، فيما يُضيف أحمد والشكري (٢٠٢٥) البعد الحديث للمراجعة الداخلية ودورها المتنامي في الحوكمة</w:t>
      </w:r>
      <w:r w:rsidRPr="00C316C8">
        <w:rPr>
          <w:rFonts w:ascii="Simplified Arabic" w:hAnsi="Simplified Arabic" w:cs="Simplified Arabic"/>
          <w:color w:val="000000" w:themeColor="text1"/>
          <w:sz w:val="28"/>
          <w:szCs w:val="28"/>
        </w:rPr>
        <w:t>.</w:t>
      </w:r>
    </w:p>
    <w:p w14:paraId="4E505E52"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العنصر الثالث: منظومة رصد المخاطر ومؤشرات الإنذار المبكر</w:t>
      </w:r>
      <w:r w:rsidRPr="00C316C8">
        <w:rPr>
          <w:rFonts w:ascii="Simplified Arabic" w:hAnsi="Simplified Arabic" w:cs="Simplified Arabic"/>
          <w:color w:val="000000" w:themeColor="text1"/>
          <w:sz w:val="28"/>
          <w:szCs w:val="28"/>
        </w:rPr>
        <w:t xml:space="preserve">: </w:t>
      </w:r>
      <w:r w:rsidRPr="00C316C8">
        <w:rPr>
          <w:rFonts w:ascii="Simplified Arabic" w:hAnsi="Simplified Arabic" w:cs="Simplified Arabic"/>
          <w:color w:val="000000" w:themeColor="text1"/>
          <w:sz w:val="28"/>
          <w:szCs w:val="28"/>
          <w:rtl/>
        </w:rPr>
        <w:t xml:space="preserve">يُمثل هذا العنصر الجانب الاستباقي لمنظومة الامتثال وإدارة المخاطر، ويُشير إلى وجود منظومة مؤشرات تُتيح رصد التطورات في بيئة المخاطر قبل تحولها إلى أحداث ضارة. ويُشير خوجة وعلمي (٢٠٢٢) إلى أن مؤشرات المخاطر الرئيسية تُمثل أداة جوهرية في الإدارة الاستباقية للمخاطر، إذ توفر إنذارًا مبكرًا يُتيح اتخاذ إجراءات وقائية. ويتجلى هذا العنصر في وجود منظومة مؤشرات معتمدة، وعتبات حرجة محددة، ونظم متابعة مستمرة، وآليات استجابة سريعة. </w:t>
      </w:r>
      <w:r w:rsidRPr="00C316C8">
        <w:rPr>
          <w:rFonts w:ascii="Simplified Arabic" w:hAnsi="Simplified Arabic" w:cs="Simplified Arabic"/>
          <w:color w:val="000000" w:themeColor="text1"/>
          <w:sz w:val="28"/>
          <w:szCs w:val="28"/>
          <w:rtl/>
        </w:rPr>
        <w:lastRenderedPageBreak/>
        <w:t>ويُكمل</w:t>
      </w:r>
      <w:r w:rsidRPr="00C316C8">
        <w:rPr>
          <w:rFonts w:ascii="Simplified Arabic" w:hAnsi="Simplified Arabic" w:cs="Simplified Arabic"/>
          <w:color w:val="000000" w:themeColor="text1"/>
          <w:sz w:val="28"/>
          <w:szCs w:val="28"/>
        </w:rPr>
        <w:t xml:space="preserve"> Cornwell et al. (2023) </w:t>
      </w:r>
      <w:r w:rsidRPr="00C316C8">
        <w:rPr>
          <w:rFonts w:ascii="Simplified Arabic" w:hAnsi="Simplified Arabic" w:cs="Simplified Arabic"/>
          <w:color w:val="000000" w:themeColor="text1"/>
          <w:sz w:val="28"/>
          <w:szCs w:val="28"/>
          <w:rtl/>
        </w:rPr>
        <w:t>ذلك بإبراز دور تحليلات البيانات في تطوير قدرات تنبؤية متقدمة في إدارة المخاطر التشغيلية</w:t>
      </w:r>
      <w:r w:rsidRPr="00C316C8">
        <w:rPr>
          <w:rFonts w:ascii="Simplified Arabic" w:hAnsi="Simplified Arabic" w:cs="Simplified Arabic"/>
          <w:color w:val="000000" w:themeColor="text1"/>
          <w:sz w:val="28"/>
          <w:szCs w:val="28"/>
        </w:rPr>
        <w:t>.</w:t>
      </w:r>
    </w:p>
    <w:p w14:paraId="7C3F4654"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العنصر الرابع: الثقافة التنظيمية الداعمة للامتثال</w:t>
      </w:r>
      <w:r w:rsidRPr="00C316C8">
        <w:rPr>
          <w:rFonts w:ascii="Simplified Arabic" w:hAnsi="Simplified Arabic" w:cs="Simplified Arabic"/>
          <w:color w:val="000000" w:themeColor="text1"/>
          <w:sz w:val="28"/>
          <w:szCs w:val="28"/>
        </w:rPr>
        <w:t xml:space="preserve">: </w:t>
      </w:r>
      <w:r w:rsidRPr="00C316C8">
        <w:rPr>
          <w:rFonts w:ascii="Simplified Arabic" w:hAnsi="Simplified Arabic" w:cs="Simplified Arabic"/>
          <w:color w:val="000000" w:themeColor="text1"/>
          <w:sz w:val="28"/>
          <w:szCs w:val="28"/>
          <w:rtl/>
        </w:rPr>
        <w:t>يُمثل هذا العنصر الجانب الناعم من منظومة الامتثال وإدارة المخاطر، ويُشير إلى وجود ثقافة تنظيمية تُعزز قيم الامتثال والمسؤولية. ويرى</w:t>
      </w:r>
      <w:r w:rsidRPr="00C316C8">
        <w:rPr>
          <w:rFonts w:ascii="Simplified Arabic" w:hAnsi="Simplified Arabic" w:cs="Simplified Arabic"/>
          <w:color w:val="000000" w:themeColor="text1"/>
          <w:sz w:val="28"/>
          <w:szCs w:val="28"/>
        </w:rPr>
        <w:t xml:space="preserve"> Plasencia Soler et al. (2023) </w:t>
      </w:r>
      <w:r w:rsidRPr="00C316C8">
        <w:rPr>
          <w:rFonts w:ascii="Simplified Arabic" w:hAnsi="Simplified Arabic" w:cs="Simplified Arabic"/>
          <w:color w:val="000000" w:themeColor="text1"/>
          <w:sz w:val="28"/>
          <w:szCs w:val="28"/>
          <w:rtl/>
        </w:rPr>
        <w:t>أن القيم المشتركة تُمثل الأساس الذي تقوم عليه إدارة مخاطر الامتثال، فالامتثال ليس مجرد منظومة إجراءات، بل ثقافة تنبع من قيم مشتركة. ويتجلى هذا العنصر في وجود ميثاق أخلاقي معتمد، وممارسات قيادية داعمة للامتثال، وبرامج توعية وتدريب على الامتثال، وآليات للإبلاغ عن المخالفات دون خوف من العواقب. ويُكمل ذلك</w:t>
      </w:r>
      <w:r w:rsidRPr="00C316C8">
        <w:rPr>
          <w:rFonts w:ascii="Simplified Arabic" w:hAnsi="Simplified Arabic" w:cs="Simplified Arabic"/>
          <w:color w:val="000000" w:themeColor="text1"/>
          <w:sz w:val="28"/>
          <w:szCs w:val="28"/>
        </w:rPr>
        <w:t xml:space="preserve"> Filemon et al. (2024) </w:t>
      </w:r>
      <w:r w:rsidRPr="00C316C8">
        <w:rPr>
          <w:rFonts w:ascii="Simplified Arabic" w:hAnsi="Simplified Arabic" w:cs="Simplified Arabic"/>
          <w:color w:val="000000" w:themeColor="text1"/>
          <w:sz w:val="28"/>
          <w:szCs w:val="28"/>
          <w:rtl/>
        </w:rPr>
        <w:t>بإبراز دور ممارسات الموارد البشرية في بناء هذه الثقافة عبر التدريب والتقييم والتحفيز</w:t>
      </w:r>
      <w:r w:rsidRPr="00C316C8">
        <w:rPr>
          <w:rFonts w:ascii="Simplified Arabic" w:hAnsi="Simplified Arabic" w:cs="Simplified Arabic"/>
          <w:color w:val="000000" w:themeColor="text1"/>
          <w:sz w:val="28"/>
          <w:szCs w:val="28"/>
        </w:rPr>
        <w:t>.</w:t>
      </w:r>
    </w:p>
    <w:p w14:paraId="2279FCDA"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العنصر الخامس: التكامل التقني في منظومة الامتثال والمخاطر</w:t>
      </w:r>
      <w:r w:rsidRPr="00C316C8">
        <w:rPr>
          <w:rFonts w:ascii="Simplified Arabic" w:hAnsi="Simplified Arabic" w:cs="Simplified Arabic"/>
          <w:color w:val="000000" w:themeColor="text1"/>
          <w:sz w:val="28"/>
          <w:szCs w:val="28"/>
        </w:rPr>
        <w:t xml:space="preserve">: </w:t>
      </w:r>
      <w:r w:rsidRPr="00C316C8">
        <w:rPr>
          <w:rFonts w:ascii="Simplified Arabic" w:hAnsi="Simplified Arabic" w:cs="Simplified Arabic"/>
          <w:color w:val="000000" w:themeColor="text1"/>
          <w:sz w:val="28"/>
          <w:szCs w:val="28"/>
          <w:rtl/>
        </w:rPr>
        <w:t>يُمثل هذا العنصر الجانب الحديث لمنظومة الامتثال وإدارة المخاطر، ويُشير إلى توظيف التقنيات الذكية في رصد المخالفات وتحليل البيانات وإدارة المخاطر. ويُشير الرحاحلة (٢٠٢٥) إلى أن الذكاء الاصطناعي بات يُمثل أداة جوهرية في تعزيز الامتثال لإدارة مخاطر الأمن السيبراني، عبر قدراته في معالجة البيانات والتنبؤ بالتهديدات. ويتجلى هذا العنصر في وجود نظم معلومات متكاملة لإدارة الامتثال، ومنصات تحليل بيانات المخاطر، وأدوات ذكاء اصطناعي للرصد والتنبؤ، ومنظومات أمن سيبراني متقدمة. ويُكمل ذلك</w:t>
      </w:r>
      <w:r w:rsidRPr="00C316C8">
        <w:rPr>
          <w:rFonts w:ascii="Simplified Arabic" w:hAnsi="Simplified Arabic" w:cs="Simplified Arabic"/>
          <w:color w:val="000000" w:themeColor="text1"/>
          <w:sz w:val="28"/>
          <w:szCs w:val="28"/>
        </w:rPr>
        <w:t xml:space="preserve"> Aloulou &amp; Alshohail (2026) </w:t>
      </w:r>
      <w:r w:rsidRPr="00C316C8">
        <w:rPr>
          <w:rFonts w:ascii="Simplified Arabic" w:hAnsi="Simplified Arabic" w:cs="Simplified Arabic"/>
          <w:color w:val="000000" w:themeColor="text1"/>
          <w:sz w:val="28"/>
          <w:szCs w:val="28"/>
          <w:rtl/>
        </w:rPr>
        <w:t>بإبراز كيفية توظيف التقنية في الشركات التقنية لتعزيز الكفاءة التشغيلية والسمعة</w:t>
      </w:r>
      <w:r w:rsidRPr="00C316C8">
        <w:rPr>
          <w:rFonts w:ascii="Simplified Arabic" w:hAnsi="Simplified Arabic" w:cs="Simplified Arabic"/>
          <w:color w:val="000000" w:themeColor="text1"/>
          <w:sz w:val="28"/>
          <w:szCs w:val="28"/>
        </w:rPr>
        <w:t>.</w:t>
      </w:r>
    </w:p>
    <w:p w14:paraId="3CE6063F"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C316C8">
        <w:rPr>
          <w:rFonts w:ascii="Simplified Arabic" w:hAnsi="Simplified Arabic" w:cs="Simplified Arabic"/>
          <w:color w:val="000000" w:themeColor="text1"/>
          <w:sz w:val="28"/>
          <w:szCs w:val="28"/>
          <w:rtl/>
        </w:rPr>
        <w:t>العنصر السادس: منظومة الاستجابة وإدارة الأزمات</w:t>
      </w:r>
      <w:r w:rsidRPr="00C316C8">
        <w:rPr>
          <w:rFonts w:ascii="Simplified Arabic" w:hAnsi="Simplified Arabic" w:cs="Simplified Arabic"/>
          <w:color w:val="000000" w:themeColor="text1"/>
          <w:sz w:val="28"/>
          <w:szCs w:val="28"/>
        </w:rPr>
        <w:t xml:space="preserve">: </w:t>
      </w:r>
      <w:r w:rsidRPr="00C316C8">
        <w:rPr>
          <w:rFonts w:ascii="Simplified Arabic" w:hAnsi="Simplified Arabic" w:cs="Simplified Arabic"/>
          <w:color w:val="000000" w:themeColor="text1"/>
          <w:sz w:val="28"/>
          <w:szCs w:val="28"/>
          <w:rtl/>
        </w:rPr>
        <w:t>يُمثل هذا العنصر الجانب التصحيحي لمنظومة الامتثال وإدارة المخاطر، ويُشير إلى وجود قدرات لمواجهة الأحداث الضارة عند وقوعها. وتُشير اليمني (٢٠٢٤) إلى أن نظم الرقابة الداخلية الفاعلة تتضمن آليات استجابة سريعة للأحداث التشغيلية. ويتجلى هذا العنصر في وجود خطط طوارئ معتمدة، ومنظومة استجابة سريعة، وفرق إدارة أزمات مدربة، وآليات تعلم من الأحداث. ويُكمل</w:t>
      </w:r>
      <w:r w:rsidRPr="00C316C8">
        <w:rPr>
          <w:rFonts w:ascii="Simplified Arabic" w:hAnsi="Simplified Arabic" w:cs="Simplified Arabic"/>
          <w:color w:val="000000" w:themeColor="text1"/>
          <w:sz w:val="28"/>
          <w:szCs w:val="28"/>
        </w:rPr>
        <w:t xml:space="preserve"> Hud</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kov</w:t>
      </w:r>
      <w:r w:rsidRPr="00C316C8">
        <w:rPr>
          <w:rFonts w:ascii="Cambria" w:hAnsi="Cambria" w:cs="Cambria"/>
          <w:color w:val="000000" w:themeColor="text1"/>
          <w:sz w:val="28"/>
          <w:szCs w:val="28"/>
        </w:rPr>
        <w:t>á</w:t>
      </w:r>
      <w:r w:rsidRPr="00C316C8">
        <w:rPr>
          <w:rFonts w:ascii="Simplified Arabic" w:hAnsi="Simplified Arabic" w:cs="Simplified Arabic"/>
          <w:color w:val="000000" w:themeColor="text1"/>
          <w:sz w:val="28"/>
          <w:szCs w:val="28"/>
        </w:rPr>
        <w:t xml:space="preserve"> et al. (2023) </w:t>
      </w:r>
      <w:r w:rsidRPr="00C316C8">
        <w:rPr>
          <w:rFonts w:ascii="Simplified Arabic" w:hAnsi="Simplified Arabic" w:cs="Simplified Arabic"/>
          <w:color w:val="000000" w:themeColor="text1"/>
          <w:sz w:val="28"/>
          <w:szCs w:val="28"/>
          <w:rtl/>
        </w:rPr>
        <w:t>ذلك بإبراز الأثر المالي للاستجابة الفاعلة للمخاطر التشغيلية، فيما يُضيف</w:t>
      </w:r>
      <w:r w:rsidRPr="00C316C8">
        <w:rPr>
          <w:rFonts w:ascii="Simplified Arabic" w:hAnsi="Simplified Arabic" w:cs="Simplified Arabic"/>
          <w:color w:val="000000" w:themeColor="text1"/>
          <w:sz w:val="28"/>
          <w:szCs w:val="28"/>
        </w:rPr>
        <w:t xml:space="preserve"> Zainuddin et al. (2022) </w:t>
      </w:r>
      <w:r w:rsidRPr="00C316C8">
        <w:rPr>
          <w:rFonts w:ascii="Simplified Arabic" w:hAnsi="Simplified Arabic" w:cs="Simplified Arabic"/>
          <w:color w:val="000000" w:themeColor="text1"/>
          <w:sz w:val="28"/>
          <w:szCs w:val="28"/>
          <w:rtl/>
        </w:rPr>
        <w:t>البعد المستدام في الاستجابة</w:t>
      </w:r>
      <w:r w:rsidRPr="00C316C8">
        <w:rPr>
          <w:rFonts w:ascii="Simplified Arabic" w:hAnsi="Simplified Arabic" w:cs="Simplified Arabic"/>
          <w:color w:val="000000" w:themeColor="text1"/>
          <w:sz w:val="28"/>
          <w:szCs w:val="28"/>
        </w:rPr>
        <w:t>.</w:t>
      </w:r>
    </w:p>
    <w:p w14:paraId="5F8A6A90" w14:textId="1F937BEE" w:rsidR="00C12508" w:rsidRPr="00C316C8" w:rsidRDefault="00036825" w:rsidP="0003682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7" w:name="_Toc233380475"/>
      <w:r w:rsidRPr="00C316C8">
        <w:rPr>
          <w:rFonts w:ascii="Simplified Arabic" w:hAnsi="Simplified Arabic" w:cs="Simplified Arabic" w:hint="cs"/>
          <w:b/>
          <w:bCs/>
          <w:color w:val="000000" w:themeColor="text1"/>
          <w:sz w:val="32"/>
          <w:szCs w:val="32"/>
          <w:rtl/>
        </w:rPr>
        <w:t>6.2.2</w:t>
      </w:r>
      <w:r w:rsidR="00C12508" w:rsidRPr="00C316C8">
        <w:rPr>
          <w:rFonts w:ascii="Simplified Arabic" w:hAnsi="Simplified Arabic" w:cs="Simplified Arabic"/>
          <w:b/>
          <w:bCs/>
          <w:color w:val="000000" w:themeColor="text1"/>
          <w:sz w:val="32"/>
          <w:szCs w:val="32"/>
          <w:rtl/>
        </w:rPr>
        <w:t xml:space="preserve"> استراتيجيات تعزيز الامتثال التنظيمي وتقليل المخاطر التشغيلية</w:t>
      </w:r>
      <w:bookmarkEnd w:id="47"/>
    </w:p>
    <w:p w14:paraId="5C2701AF" w14:textId="77777777" w:rsidR="00C12508" w:rsidRPr="00C316C8" w:rsidRDefault="00C12508" w:rsidP="00036825">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C316C8">
        <w:rPr>
          <w:rFonts w:ascii="Simplified Arabic" w:hAnsi="Simplified Arabic" w:cs="Simplified Arabic"/>
          <w:color w:val="000000" w:themeColor="text1"/>
          <w:sz w:val="28"/>
          <w:szCs w:val="28"/>
          <w:rtl/>
        </w:rPr>
        <w:lastRenderedPageBreak/>
        <w:t>تتنوع الاستراتيجيات التي تنتهجها المنظمات لتعزيز الامتثال التنظيمي وتقليل المخاطر التشغيلية، وتتمحور حول أربعة محاور رئيسية. تتمثل الاستراتيجية الأولى في “استراتيجية الحوكمة المتكاملة”، التي تقوم على دمج الحوكمة وإدارة المخاطر والامتثال في إطار موحد يُحقق التكامل بين هذه المكونات الثلاثة، عبر بناء هياكل حوكمة واضحة، وتطوير سياسات متكاملة، وتنسيق الأدوار بين وحدات المنظمة. وتتمثل الاستراتيجية الثانية في “استراتيجية الرقابة الاستباقية”، التي تقوم على رصد المخاطر قبل وقوعها عبر منظومة مؤشرات إنذار مبكر، وتحليلات بيانات متقدمة، ومراجعة داخلية حديثة، وآليات تقييم ذاتي للمخاطر. وتتمثل الاستراتيجية الثالثة في “استراتيجية بناء الثقافة الداعمة”، التي تقوم على ترسيخ قيم الامتثال في الثقافة التنظيمية، عبر برامج توعية، وممارسات قيادية داعمة، وميثاق أخلاقي، وآليات إبلاغ آمنة. أما الاستراتيجية الرابعة فتتمثل في “استراتيجية التحول التقني”، التي تقوم على توظيف التقنيات الذكية في منظومة الامتثال وإدارة المخاطر، عبر اعتماد الذكاء الاصطناعي، وتحليلات البيانات، ومنظومات الأمن السيبراني، ونظم المعلومات المتكاملة</w:t>
      </w:r>
      <w:r w:rsidRPr="00C316C8">
        <w:rPr>
          <w:rFonts w:ascii="Simplified Arabic" w:hAnsi="Simplified Arabic" w:cs="Simplified Arabic"/>
          <w:color w:val="000000" w:themeColor="text1"/>
          <w:sz w:val="28"/>
          <w:szCs w:val="28"/>
        </w:rPr>
        <w:t>.</w:t>
      </w:r>
    </w:p>
    <w:p w14:paraId="3F344811" w14:textId="0BE9DE90" w:rsidR="00BA7C59" w:rsidRPr="00C316C8" w:rsidRDefault="00036825" w:rsidP="00FB13BD">
      <w:pPr>
        <w:jc w:val="center"/>
        <w:outlineLvl w:val="0"/>
        <w:rPr>
          <w:rFonts w:ascii="Simplified Arabic" w:hAnsi="Simplified Arabic" w:cs="Simplified Arabic"/>
          <w:b/>
          <w:bCs/>
          <w:color w:val="000000" w:themeColor="text1"/>
          <w:szCs w:val="28"/>
          <w:rtl/>
        </w:rPr>
        <w:sectPr w:rsidR="00BA7C59" w:rsidRPr="00C316C8" w:rsidSect="00036825">
          <w:footerReference w:type="default" r:id="rId10"/>
          <w:pgSz w:w="11906" w:h="16838" w:code="9"/>
          <w:pgMar w:top="1134" w:right="1701" w:bottom="1134" w:left="1134" w:header="720" w:footer="720" w:gutter="0"/>
          <w:pgNumType w:start="1"/>
          <w:cols w:space="708"/>
          <w:bidi/>
          <w:rtlGutter/>
          <w:docGrid w:linePitch="360"/>
        </w:sectPr>
      </w:pPr>
      <w:r w:rsidRPr="00C316C8">
        <w:rPr>
          <w:rFonts w:ascii="Simplified Arabic" w:hAnsi="Simplified Arabic" w:cs="Simplified Arabic"/>
          <w:b/>
          <w:bCs/>
          <w:color w:val="000000" w:themeColor="text1"/>
          <w:sz w:val="40"/>
          <w:szCs w:val="40"/>
          <w:rtl/>
        </w:rPr>
        <w:br w:type="page"/>
      </w:r>
      <w:bookmarkStart w:id="48" w:name="_GoBack"/>
      <w:bookmarkEnd w:id="22"/>
      <w:bookmarkEnd w:id="48"/>
    </w:p>
    <w:p w14:paraId="29D4231B" w14:textId="20FF5E54" w:rsidR="0081623B" w:rsidRPr="00C316C8" w:rsidRDefault="00E27D3B" w:rsidP="0003682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316C8">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2341F4D">
            <wp:simplePos x="0" y="0"/>
            <wp:positionH relativeFrom="column">
              <wp:posOffset>4004310</wp:posOffset>
            </wp:positionH>
            <wp:positionV relativeFrom="paragraph">
              <wp:posOffset>0</wp:posOffset>
            </wp:positionV>
            <wp:extent cx="1506855" cy="1395730"/>
            <wp:effectExtent l="0" t="0" r="0" b="0"/>
            <wp:wrapTight wrapText="bothSides">
              <wp:wrapPolygon edited="0">
                <wp:start x="0" y="0"/>
                <wp:lineTo x="0" y="21227"/>
                <wp:lineTo x="21300" y="21227"/>
                <wp:lineTo x="2130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6855" cy="13957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C316C8">
        <w:rPr>
          <w:rFonts w:asciiTheme="majorBidi" w:eastAsia="Calibri" w:hAnsiTheme="majorBidi" w:cstheme="majorBidi"/>
          <w:b/>
          <w:bCs/>
          <w:color w:val="000000" w:themeColor="text1"/>
          <w:kern w:val="0"/>
          <w:sz w:val="32"/>
          <w:szCs w:val="32"/>
          <w:lang w:bidi="ar-EG"/>
          <w14:ligatures w14:val="none"/>
        </w:rPr>
        <w:t>Mid</w:t>
      </w:r>
      <w:r w:rsidR="000D353F" w:rsidRPr="00C316C8">
        <w:rPr>
          <w:rFonts w:asciiTheme="majorBidi" w:eastAsia="Calibri" w:hAnsiTheme="majorBidi" w:cstheme="majorBidi"/>
          <w:b/>
          <w:bCs/>
          <w:color w:val="000000" w:themeColor="text1"/>
          <w:kern w:val="0"/>
          <w:sz w:val="32"/>
          <w:szCs w:val="32"/>
          <w:lang w:bidi="ar-EG"/>
          <w14:ligatures w14:val="none"/>
        </w:rPr>
        <w:t xml:space="preserve"> </w:t>
      </w:r>
      <w:r w:rsidR="0081623B" w:rsidRPr="00C316C8">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C316C8" w:rsidRDefault="0081623B" w:rsidP="0003682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316C8">
        <w:rPr>
          <w:rFonts w:asciiTheme="majorBidi" w:eastAsia="Calibri" w:hAnsiTheme="majorBidi" w:cstheme="majorBidi"/>
          <w:b/>
          <w:bCs/>
          <w:color w:val="000000" w:themeColor="text1"/>
          <w:kern w:val="0"/>
          <w:sz w:val="32"/>
          <w:szCs w:val="32"/>
          <w:lang w:bidi="ar-EG"/>
          <w14:ligatures w14:val="none"/>
        </w:rPr>
        <w:t>College of Management</w:t>
      </w:r>
    </w:p>
    <w:p w14:paraId="0479A04F" w14:textId="0BCA5FAC" w:rsidR="0081623B" w:rsidRPr="00C316C8" w:rsidRDefault="00857739" w:rsidP="0003682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C316C8">
        <w:rPr>
          <w:rFonts w:asciiTheme="majorBidi" w:eastAsia="Calibri" w:hAnsiTheme="majorBidi" w:cstheme="majorBidi"/>
          <w:b/>
          <w:bCs/>
          <w:color w:val="000000" w:themeColor="text1"/>
          <w:kern w:val="0"/>
          <w:sz w:val="32"/>
          <w:szCs w:val="32"/>
          <w:lang w:bidi="ar-EG"/>
          <w14:ligatures w14:val="none"/>
        </w:rPr>
        <w:t xml:space="preserve">Department of </w:t>
      </w:r>
      <w:r w:rsidR="00466730" w:rsidRPr="00C316C8">
        <w:rPr>
          <w:rFonts w:asciiTheme="majorBidi" w:eastAsia="Calibri" w:hAnsiTheme="majorBidi" w:cstheme="majorBidi"/>
          <w:b/>
          <w:bCs/>
          <w:color w:val="000000" w:themeColor="text1"/>
          <w:kern w:val="0"/>
          <w:sz w:val="32"/>
          <w:szCs w:val="32"/>
          <w14:ligatures w14:val="none"/>
        </w:rPr>
        <w:t>Human Resources</w:t>
      </w:r>
    </w:p>
    <w:p w14:paraId="0343AD5E" w14:textId="77777777" w:rsidR="00A65828" w:rsidRPr="00C316C8" w:rsidRDefault="00A65828" w:rsidP="0003682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30112C8" w14:textId="2B316229" w:rsidR="00A65828" w:rsidRPr="00C316C8" w:rsidRDefault="00F7243B" w:rsidP="00BA7C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C316C8">
        <w:rPr>
          <w:rFonts w:asciiTheme="majorBidi" w:eastAsia="Calibri" w:hAnsiTheme="majorBidi" w:cstheme="majorBidi"/>
          <w:b/>
          <w:bCs/>
          <w:color w:val="000000" w:themeColor="text1"/>
          <w:kern w:val="0"/>
          <w:sz w:val="40"/>
          <w:szCs w:val="40"/>
          <w:lang w:bidi="ar-EG"/>
          <w14:ligatures w14:val="none"/>
        </w:rPr>
        <w:t>"The Impact of Human Resource Management Integration on Regulatory Compliance and Operational Risk Reduction in Industrial Companies in the Second Industrial City of Riyadh"</w:t>
      </w:r>
      <w:r w:rsidR="00A65828" w:rsidRPr="00C316C8">
        <w:rPr>
          <w:rFonts w:asciiTheme="majorBidi" w:eastAsia="Calibri" w:hAnsiTheme="majorBidi" w:cstheme="majorBidi"/>
          <w:b/>
          <w:bCs/>
          <w:color w:val="000000" w:themeColor="text1"/>
          <w:kern w:val="0"/>
          <w:sz w:val="40"/>
          <w:szCs w:val="40"/>
          <w:lang w:bidi="ar-EG"/>
          <w14:ligatures w14:val="none"/>
        </w:rPr>
        <w:t>.</w:t>
      </w:r>
    </w:p>
    <w:p w14:paraId="52EC2975" w14:textId="77777777" w:rsidR="00BA7C59" w:rsidRPr="00C316C8" w:rsidRDefault="00BA7C59" w:rsidP="00BA7C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57076D83" w:rsidR="000D353F" w:rsidRPr="00C316C8" w:rsidRDefault="000D353F" w:rsidP="00BA7C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316C8">
        <w:rPr>
          <w:rFonts w:asciiTheme="majorBidi" w:eastAsia="Calibri" w:hAnsiTheme="majorBidi" w:cstheme="majorBidi"/>
          <w:b/>
          <w:bCs/>
          <w:color w:val="000000" w:themeColor="text1"/>
          <w:kern w:val="0"/>
          <w:sz w:val="36"/>
          <w:szCs w:val="36"/>
          <w:lang w:bidi="ar-EG"/>
          <w14:ligatures w14:val="none"/>
        </w:rPr>
        <w:t>Prepared by:</w:t>
      </w:r>
    </w:p>
    <w:p w14:paraId="5D60AEFB" w14:textId="77777777" w:rsidR="00466730" w:rsidRPr="00C316C8" w:rsidRDefault="00466730" w:rsidP="00BA7C5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C316C8">
        <w:rPr>
          <w:rFonts w:asciiTheme="majorBidi" w:eastAsia="Calibri" w:hAnsiTheme="majorBidi" w:cstheme="majorBidi"/>
          <w:color w:val="000000" w:themeColor="text1"/>
          <w:kern w:val="0"/>
          <w:sz w:val="36"/>
          <w:szCs w:val="36"/>
          <w:lang w:bidi="ar-EG"/>
          <w14:ligatures w14:val="none"/>
        </w:rPr>
        <w:t>ALOTAIBI, ABDULLAH MEGED K</w:t>
      </w:r>
    </w:p>
    <w:p w14:paraId="506162A6" w14:textId="6125B124" w:rsidR="00EA15E2" w:rsidRPr="00C316C8" w:rsidRDefault="00466730" w:rsidP="00BA7C5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C316C8">
        <w:rPr>
          <w:rFonts w:asciiTheme="majorBidi" w:eastAsia="Calibri" w:hAnsiTheme="majorBidi" w:cstheme="majorBidi"/>
          <w:color w:val="000000" w:themeColor="text1"/>
          <w:kern w:val="0"/>
          <w:sz w:val="36"/>
          <w:szCs w:val="36"/>
          <w:lang w:bidi="ar-EG"/>
          <w14:ligatures w14:val="none"/>
        </w:rPr>
        <w:t>253002225</w:t>
      </w:r>
    </w:p>
    <w:p w14:paraId="5956E908" w14:textId="77777777" w:rsidR="00BA7C59" w:rsidRPr="00C316C8" w:rsidRDefault="00BA7C59" w:rsidP="00BA7C5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316C8" w:rsidRPr="00C316C8" w14:paraId="35A80116" w14:textId="77777777" w:rsidTr="00BA7C59">
        <w:tc>
          <w:tcPr>
            <w:tcW w:w="4530" w:type="dxa"/>
          </w:tcPr>
          <w:p w14:paraId="6881BD43" w14:textId="77777777" w:rsidR="00BA7C59" w:rsidRPr="00C316C8" w:rsidRDefault="00BA7C59" w:rsidP="00BA7C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316C8">
              <w:rPr>
                <w:rFonts w:asciiTheme="majorBidi" w:eastAsia="Calibri" w:hAnsiTheme="majorBidi" w:cstheme="majorBidi"/>
                <w:b/>
                <w:bCs/>
                <w:color w:val="000000" w:themeColor="text1"/>
                <w:kern w:val="0"/>
                <w:sz w:val="36"/>
                <w:szCs w:val="36"/>
                <w:lang w:bidi="ar-EG"/>
                <w14:ligatures w14:val="none"/>
              </w:rPr>
              <w:t>Main supervisor</w:t>
            </w:r>
            <w:r w:rsidRPr="00C316C8">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446A801" w14:textId="77777777" w:rsidR="00BA7C59" w:rsidRPr="00C316C8" w:rsidRDefault="00BA7C59" w:rsidP="00BA7C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316C8">
              <w:rPr>
                <w:rFonts w:asciiTheme="majorBidi" w:eastAsia="Calibri" w:hAnsiTheme="majorBidi" w:cstheme="majorBidi"/>
                <w:b/>
                <w:bCs/>
                <w:color w:val="000000" w:themeColor="text1"/>
                <w:kern w:val="0"/>
                <w:sz w:val="36"/>
                <w:szCs w:val="36"/>
                <w:lang w:bidi="ar-EG"/>
                <w14:ligatures w14:val="none"/>
              </w:rPr>
              <w:t>Second supervisor</w:t>
            </w:r>
            <w:r w:rsidRPr="00C316C8">
              <w:rPr>
                <w:rFonts w:asciiTheme="majorBidi" w:eastAsia="Calibri" w:hAnsiTheme="majorBidi" w:cstheme="majorBidi"/>
                <w:b/>
                <w:bCs/>
                <w:color w:val="000000" w:themeColor="text1"/>
                <w:kern w:val="0"/>
                <w:sz w:val="36"/>
                <w:szCs w:val="36"/>
                <w:rtl/>
                <w:lang w:bidi="ar-EG"/>
                <w14:ligatures w14:val="none"/>
              </w:rPr>
              <w:t>/</w:t>
            </w:r>
          </w:p>
        </w:tc>
      </w:tr>
      <w:tr w:rsidR="00C316C8" w:rsidRPr="00C316C8" w14:paraId="2268415B" w14:textId="77777777" w:rsidTr="00BA7C59">
        <w:tc>
          <w:tcPr>
            <w:tcW w:w="4530" w:type="dxa"/>
          </w:tcPr>
          <w:p w14:paraId="093E70DA" w14:textId="77777777" w:rsidR="00BA7C59" w:rsidRPr="00C316C8" w:rsidRDefault="00BA7C59" w:rsidP="00BA7C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316C8">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B7C1617" w14:textId="77777777" w:rsidR="00BA7C59" w:rsidRPr="00C316C8" w:rsidRDefault="00BA7C59" w:rsidP="00BA7C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316C8">
              <w:rPr>
                <w:rFonts w:asciiTheme="majorBidi" w:eastAsia="Calibri" w:hAnsiTheme="majorBidi" w:cstheme="majorBidi"/>
                <w:color w:val="000000" w:themeColor="text1"/>
                <w:kern w:val="0"/>
                <w:sz w:val="36"/>
                <w:szCs w:val="36"/>
                <w:lang w:bidi="ar-EG"/>
                <w14:ligatures w14:val="none"/>
              </w:rPr>
              <w:t>Dr. Fayez Jarad</w:t>
            </w:r>
          </w:p>
        </w:tc>
      </w:tr>
    </w:tbl>
    <w:p w14:paraId="14A00119" w14:textId="77777777" w:rsidR="00BA7C59" w:rsidRPr="00C316C8" w:rsidRDefault="00BA7C59" w:rsidP="00BA7C59">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C316C8">
        <w:rPr>
          <w:rFonts w:asciiTheme="majorBidi" w:eastAsia="Calibri" w:hAnsiTheme="majorBidi" w:cstheme="majorBidi"/>
          <w:color w:val="000000" w:themeColor="text1"/>
          <w:kern w:val="0"/>
          <w:sz w:val="36"/>
          <w:szCs w:val="36"/>
          <w:rtl/>
          <w:lang w:bidi="ar-EG"/>
          <w14:ligatures w14:val="none"/>
        </w:rPr>
        <w:t>1448 – 2026</w:t>
      </w:r>
    </w:p>
    <w:p w14:paraId="758C511A" w14:textId="77777777" w:rsidR="00F7243B" w:rsidRPr="00C316C8" w:rsidRDefault="00F7243B" w:rsidP="0003682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C316C8" w:rsidRDefault="00EA15E2" w:rsidP="0003682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48FF54D4" w:rsidR="009125CE" w:rsidRPr="00C316C8" w:rsidRDefault="009125CE" w:rsidP="00036825">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C316C8" w:rsidSect="00036825">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79B1C1" w14:textId="77777777" w:rsidR="00FB3776" w:rsidRDefault="00FB3776" w:rsidP="009125CE">
      <w:pPr>
        <w:spacing w:after="0" w:line="240" w:lineRule="auto"/>
      </w:pPr>
      <w:r>
        <w:separator/>
      </w:r>
    </w:p>
  </w:endnote>
  <w:endnote w:type="continuationSeparator" w:id="0">
    <w:p w14:paraId="42B03C09" w14:textId="77777777" w:rsidR="00FB3776" w:rsidRDefault="00FB377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99951407"/>
      <w:docPartObj>
        <w:docPartGallery w:val="Page Numbers (Bottom of Page)"/>
        <w:docPartUnique/>
      </w:docPartObj>
    </w:sdtPr>
    <w:sdtEndPr>
      <w:rPr>
        <w:noProof/>
      </w:rPr>
    </w:sdtEndPr>
    <w:sdtContent>
      <w:p w14:paraId="1089D685" w14:textId="057861BF" w:rsidR="00A47E28" w:rsidRDefault="00A47E28">
        <w:pPr>
          <w:pStyle w:val="Footer"/>
          <w:jc w:val="center"/>
        </w:pPr>
      </w:p>
      <w:p w14:paraId="13047AE1" w14:textId="5BB9E070" w:rsidR="00A47E28" w:rsidRDefault="00FB3776" w:rsidP="00036825">
        <w:pPr>
          <w:pStyle w:val="Footer"/>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34166658"/>
      <w:docPartObj>
        <w:docPartGallery w:val="Page Numbers (Bottom of Page)"/>
        <w:docPartUnique/>
      </w:docPartObj>
    </w:sdtPr>
    <w:sdtEndPr>
      <w:rPr>
        <w:noProof/>
      </w:rPr>
    </w:sdtEndPr>
    <w:sdtContent>
      <w:p w14:paraId="5DC9FE60" w14:textId="77777777" w:rsidR="00A47E28" w:rsidRDefault="00A47E28">
        <w:pPr>
          <w:pStyle w:val="Footer"/>
          <w:jc w:val="center"/>
        </w:pPr>
        <w:r>
          <w:rPr>
            <w:noProof/>
          </w:rPr>
          <mc:AlternateContent>
            <mc:Choice Requires="wps">
              <w:drawing>
                <wp:inline distT="0" distB="0" distL="0" distR="0" wp14:anchorId="45E26ED7" wp14:editId="1AC311B0">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717ED74"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2930881C" w14:textId="77777777" w:rsidR="00A47E28" w:rsidRDefault="00A47E28" w:rsidP="00036825">
        <w:pPr>
          <w:pStyle w:val="Footer"/>
          <w:jc w:val="center"/>
        </w:pPr>
        <w:r w:rsidRPr="00036825">
          <w:rPr>
            <w:rFonts w:ascii="Simplified Arabic" w:hAnsi="Simplified Arabic" w:cs="Simplified Arabic"/>
            <w:b/>
            <w:bCs/>
            <w:sz w:val="24"/>
            <w:szCs w:val="24"/>
          </w:rPr>
          <w:fldChar w:fldCharType="begin"/>
        </w:r>
        <w:r w:rsidRPr="00036825">
          <w:rPr>
            <w:rFonts w:ascii="Simplified Arabic" w:hAnsi="Simplified Arabic" w:cs="Simplified Arabic"/>
            <w:b/>
            <w:bCs/>
            <w:sz w:val="24"/>
            <w:szCs w:val="24"/>
          </w:rPr>
          <w:instrText xml:space="preserve"> PAGE    \* MERGEFORMAT </w:instrText>
        </w:r>
        <w:r w:rsidRPr="00036825">
          <w:rPr>
            <w:rFonts w:ascii="Simplified Arabic" w:hAnsi="Simplified Arabic" w:cs="Simplified Arabic"/>
            <w:b/>
            <w:bCs/>
            <w:sz w:val="24"/>
            <w:szCs w:val="24"/>
          </w:rPr>
          <w:fldChar w:fldCharType="separate"/>
        </w:r>
        <w:r w:rsidR="00FB13BD">
          <w:rPr>
            <w:rFonts w:ascii="Simplified Arabic" w:hAnsi="Simplified Arabic" w:cs="Simplified Arabic"/>
            <w:b/>
            <w:bCs/>
            <w:noProof/>
            <w:sz w:val="24"/>
            <w:szCs w:val="24"/>
            <w:rtl/>
          </w:rPr>
          <w:t>43</w:t>
        </w:r>
        <w:r w:rsidRPr="00036825">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EBC49" w14:textId="2DEE1098" w:rsidR="00BA7C59" w:rsidRDefault="00BA7C59" w:rsidP="00BA7C59">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4C3280" w14:textId="77777777" w:rsidR="00FB3776" w:rsidRDefault="00FB3776" w:rsidP="009125CE">
      <w:pPr>
        <w:spacing w:after="0" w:line="240" w:lineRule="auto"/>
      </w:pPr>
      <w:r>
        <w:separator/>
      </w:r>
    </w:p>
  </w:footnote>
  <w:footnote w:type="continuationSeparator" w:id="0">
    <w:p w14:paraId="3CAF9982" w14:textId="77777777" w:rsidR="00FB3776" w:rsidRDefault="00FB377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B1FC9"/>
    <w:multiLevelType w:val="hybridMultilevel"/>
    <w:tmpl w:val="532E7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F4F90"/>
    <w:multiLevelType w:val="hybridMultilevel"/>
    <w:tmpl w:val="07AE19F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E7976AC"/>
    <w:multiLevelType w:val="hybridMultilevel"/>
    <w:tmpl w:val="FC06FBDE"/>
    <w:lvl w:ilvl="0" w:tplc="6B203DA6">
      <w:start w:val="1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622F02"/>
    <w:multiLevelType w:val="hybridMultilevel"/>
    <w:tmpl w:val="5B08B4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8090D"/>
    <w:multiLevelType w:val="hybridMultilevel"/>
    <w:tmpl w:val="DCFA0F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C376C2"/>
    <w:multiLevelType w:val="hybridMultilevel"/>
    <w:tmpl w:val="79F62D4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9D669DB"/>
    <w:multiLevelType w:val="hybridMultilevel"/>
    <w:tmpl w:val="D2DE19B2"/>
    <w:lvl w:ilvl="0" w:tplc="22B28326">
      <w:start w:val="10"/>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253C93"/>
    <w:multiLevelType w:val="hybridMultilevel"/>
    <w:tmpl w:val="6EE00E8A"/>
    <w:lvl w:ilvl="0" w:tplc="6B203DA6">
      <w:start w:val="1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C4511A"/>
    <w:multiLevelType w:val="hybridMultilevel"/>
    <w:tmpl w:val="2ACC1EF0"/>
    <w:lvl w:ilvl="0" w:tplc="6B203DA6">
      <w:start w:val="10"/>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9CE019B"/>
    <w:multiLevelType w:val="multilevel"/>
    <w:tmpl w:val="9C60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42166B"/>
    <w:multiLevelType w:val="hybridMultilevel"/>
    <w:tmpl w:val="530AF65E"/>
    <w:lvl w:ilvl="0" w:tplc="6B203DA6">
      <w:start w:val="1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B72885"/>
    <w:multiLevelType w:val="hybridMultilevel"/>
    <w:tmpl w:val="52D2C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107F9C"/>
    <w:multiLevelType w:val="hybridMultilevel"/>
    <w:tmpl w:val="B68CCD72"/>
    <w:lvl w:ilvl="0" w:tplc="6B203DA6">
      <w:start w:val="1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7B3DAB"/>
    <w:multiLevelType w:val="hybridMultilevel"/>
    <w:tmpl w:val="F40E44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5C0098"/>
    <w:multiLevelType w:val="hybridMultilevel"/>
    <w:tmpl w:val="DE5A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CB48EA"/>
    <w:multiLevelType w:val="multilevel"/>
    <w:tmpl w:val="DC5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8">
    <w:nsid w:val="6DA105CB"/>
    <w:multiLevelType w:val="hybridMultilevel"/>
    <w:tmpl w:val="CB46B8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1C051C"/>
    <w:multiLevelType w:val="multilevel"/>
    <w:tmpl w:val="8798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E1D0E9C"/>
    <w:multiLevelType w:val="hybridMultilevel"/>
    <w:tmpl w:val="609490E8"/>
    <w:lvl w:ilvl="0" w:tplc="6B203DA6">
      <w:start w:val="1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BC4F1B"/>
    <w:multiLevelType w:val="hybridMultilevel"/>
    <w:tmpl w:val="10DADF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E20247"/>
    <w:multiLevelType w:val="hybridMultilevel"/>
    <w:tmpl w:val="418ADC9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071459"/>
    <w:multiLevelType w:val="hybridMultilevel"/>
    <w:tmpl w:val="8500E1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16"/>
  </w:num>
  <w:num w:numId="4">
    <w:abstractNumId w:val="19"/>
  </w:num>
  <w:num w:numId="5">
    <w:abstractNumId w:val="3"/>
  </w:num>
  <w:num w:numId="6">
    <w:abstractNumId w:val="14"/>
  </w:num>
  <w:num w:numId="7">
    <w:abstractNumId w:val="0"/>
  </w:num>
  <w:num w:numId="8">
    <w:abstractNumId w:val="6"/>
  </w:num>
  <w:num w:numId="9">
    <w:abstractNumId w:val="21"/>
  </w:num>
  <w:num w:numId="10">
    <w:abstractNumId w:val="5"/>
  </w:num>
  <w:num w:numId="11">
    <w:abstractNumId w:val="18"/>
  </w:num>
  <w:num w:numId="12">
    <w:abstractNumId w:val="7"/>
  </w:num>
  <w:num w:numId="13">
    <w:abstractNumId w:val="9"/>
  </w:num>
  <w:num w:numId="14">
    <w:abstractNumId w:val="2"/>
  </w:num>
  <w:num w:numId="15">
    <w:abstractNumId w:val="11"/>
  </w:num>
  <w:num w:numId="16">
    <w:abstractNumId w:val="13"/>
  </w:num>
  <w:num w:numId="17">
    <w:abstractNumId w:val="20"/>
  </w:num>
  <w:num w:numId="18">
    <w:abstractNumId w:val="22"/>
  </w:num>
  <w:num w:numId="19">
    <w:abstractNumId w:val="4"/>
  </w:num>
  <w:num w:numId="20">
    <w:abstractNumId w:val="1"/>
  </w:num>
  <w:num w:numId="21">
    <w:abstractNumId w:val="23"/>
  </w:num>
  <w:num w:numId="22">
    <w:abstractNumId w:val="12"/>
  </w:num>
  <w:num w:numId="23">
    <w:abstractNumId w:val="8"/>
  </w:num>
  <w:num w:numId="24">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6825"/>
    <w:rsid w:val="000371F7"/>
    <w:rsid w:val="00037B0D"/>
    <w:rsid w:val="0004554E"/>
    <w:rsid w:val="00052AB0"/>
    <w:rsid w:val="00053122"/>
    <w:rsid w:val="000543EF"/>
    <w:rsid w:val="000602CA"/>
    <w:rsid w:val="000610C9"/>
    <w:rsid w:val="00061FA2"/>
    <w:rsid w:val="00064FF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143"/>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405C2"/>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4E46"/>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0363"/>
    <w:rsid w:val="0038272F"/>
    <w:rsid w:val="0038357B"/>
    <w:rsid w:val="00384D34"/>
    <w:rsid w:val="00386FB7"/>
    <w:rsid w:val="003873E8"/>
    <w:rsid w:val="00396510"/>
    <w:rsid w:val="003A5312"/>
    <w:rsid w:val="003A757C"/>
    <w:rsid w:val="003B30A9"/>
    <w:rsid w:val="003B45FF"/>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66730"/>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6D49"/>
    <w:rsid w:val="006904F6"/>
    <w:rsid w:val="006910C9"/>
    <w:rsid w:val="006948DE"/>
    <w:rsid w:val="00695340"/>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6F62E0"/>
    <w:rsid w:val="0070333D"/>
    <w:rsid w:val="00705AF7"/>
    <w:rsid w:val="00706E7F"/>
    <w:rsid w:val="00714D8B"/>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3724D"/>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043"/>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0760C"/>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2C47"/>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47E28"/>
    <w:rsid w:val="00A50745"/>
    <w:rsid w:val="00A55EF3"/>
    <w:rsid w:val="00A57461"/>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A7C59"/>
    <w:rsid w:val="00BB1144"/>
    <w:rsid w:val="00BB3514"/>
    <w:rsid w:val="00BC24EE"/>
    <w:rsid w:val="00BC454D"/>
    <w:rsid w:val="00BC61BD"/>
    <w:rsid w:val="00BD03D1"/>
    <w:rsid w:val="00BD5449"/>
    <w:rsid w:val="00BD590D"/>
    <w:rsid w:val="00BE2024"/>
    <w:rsid w:val="00BF35D5"/>
    <w:rsid w:val="00C01C2B"/>
    <w:rsid w:val="00C01E57"/>
    <w:rsid w:val="00C1175F"/>
    <w:rsid w:val="00C12508"/>
    <w:rsid w:val="00C14286"/>
    <w:rsid w:val="00C16713"/>
    <w:rsid w:val="00C16D65"/>
    <w:rsid w:val="00C20A1C"/>
    <w:rsid w:val="00C23616"/>
    <w:rsid w:val="00C23A70"/>
    <w:rsid w:val="00C316C8"/>
    <w:rsid w:val="00C32E49"/>
    <w:rsid w:val="00C35B07"/>
    <w:rsid w:val="00C35BBA"/>
    <w:rsid w:val="00C43D61"/>
    <w:rsid w:val="00C45767"/>
    <w:rsid w:val="00C46354"/>
    <w:rsid w:val="00C62935"/>
    <w:rsid w:val="00C67472"/>
    <w:rsid w:val="00C71E18"/>
    <w:rsid w:val="00C74890"/>
    <w:rsid w:val="00C75293"/>
    <w:rsid w:val="00C75BC1"/>
    <w:rsid w:val="00C77324"/>
    <w:rsid w:val="00C777C3"/>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2910"/>
    <w:rsid w:val="00D1454F"/>
    <w:rsid w:val="00D16AF6"/>
    <w:rsid w:val="00D216C5"/>
    <w:rsid w:val="00D22171"/>
    <w:rsid w:val="00D274B5"/>
    <w:rsid w:val="00D27AED"/>
    <w:rsid w:val="00D30845"/>
    <w:rsid w:val="00D3210F"/>
    <w:rsid w:val="00D32470"/>
    <w:rsid w:val="00D32C83"/>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627C"/>
    <w:rsid w:val="00E373EB"/>
    <w:rsid w:val="00E43E1B"/>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91846"/>
    <w:rsid w:val="00F95872"/>
    <w:rsid w:val="00FA0A03"/>
    <w:rsid w:val="00FA24AF"/>
    <w:rsid w:val="00FA4282"/>
    <w:rsid w:val="00FA44AF"/>
    <w:rsid w:val="00FB11CC"/>
    <w:rsid w:val="00FB13BD"/>
    <w:rsid w:val="00FB22B3"/>
    <w:rsid w:val="00FB3776"/>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3632480F-2964-4AD7-89F8-25C4412AF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GridTable1Light-Accent2">
    <w:name w:val="Grid Table 1 Light Accent 2"/>
    <w:basedOn w:val="TableNormal"/>
    <w:uiPriority w:val="46"/>
    <w:rsid w:val="00036825"/>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BA7C5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4">
    <w:name w:val="toc 4"/>
    <w:basedOn w:val="Normal"/>
    <w:next w:val="Normal"/>
    <w:autoRedefine/>
    <w:uiPriority w:val="39"/>
    <w:unhideWhenUsed/>
    <w:rsid w:val="0083724D"/>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83724D"/>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83724D"/>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83724D"/>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83724D"/>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83724D"/>
    <w:pPr>
      <w:bidi w:val="0"/>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830828047">
          <w:marLeft w:val="0"/>
          <w:marRight w:val="0"/>
          <w:marTop w:val="0"/>
          <w:marBottom w:val="0"/>
          <w:divBdr>
            <w:top w:val="none" w:sz="0" w:space="0" w:color="auto"/>
            <w:left w:val="none" w:sz="0" w:space="0" w:color="auto"/>
            <w:bottom w:val="none" w:sz="0" w:space="0" w:color="auto"/>
            <w:right w:val="none" w:sz="0" w:space="0" w:color="auto"/>
          </w:divBdr>
        </w:div>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390EFA-66D8-4212-9F64-0CC4905A0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12570</Words>
  <Characters>71651</Characters>
  <Application>Microsoft Office Word</Application>
  <DocSecurity>0</DocSecurity>
  <Lines>597</Lines>
  <Paragraphs>168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84053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2026-06-26T12:41:00Z</cp:lastPrinted>
  <dcterms:created xsi:type="dcterms:W3CDTF">2026-06-26T12:40:00Z</dcterms:created>
  <dcterms:modified xsi:type="dcterms:W3CDTF">2026-06-26T12:42:00Z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