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69004" w14:textId="6B9FABAB" w:rsidR="00B40E55" w:rsidRPr="00325AA7" w:rsidRDefault="00B40E55" w:rsidP="00B40E55">
      <w:pPr>
        <w:pStyle w:val="222"/>
        <w:jc w:val="center"/>
        <w:rPr>
          <w:rtl/>
        </w:rPr>
      </w:pPr>
      <w:bookmarkStart w:id="0" w:name="_Toc175955918"/>
      <w:bookmarkStart w:id="1" w:name="_Toc190337508"/>
      <w:r w:rsidRPr="00325AA7">
        <w:rPr>
          <w:rtl/>
        </w:rPr>
        <w:t>الإطار النظري</w:t>
      </w:r>
      <w:bookmarkEnd w:id="0"/>
      <w:bookmarkEnd w:id="1"/>
    </w:p>
    <w:p w14:paraId="771FCFCD" w14:textId="77777777" w:rsidR="00B40E55" w:rsidRPr="00325AA7" w:rsidRDefault="00B40E55" w:rsidP="00B40E55">
      <w:pPr>
        <w:pStyle w:val="222"/>
        <w:spacing w:line="276" w:lineRule="auto"/>
        <w:rPr>
          <w:sz w:val="28"/>
          <w:szCs w:val="28"/>
          <w:rtl/>
          <w:lang w:bidi="ar-EG"/>
        </w:rPr>
      </w:pPr>
      <w:bookmarkStart w:id="2" w:name="_Toc175955919"/>
      <w:bookmarkStart w:id="3" w:name="_Toc190337509"/>
      <w:r w:rsidRPr="00325AA7">
        <w:rPr>
          <w:sz w:val="28"/>
          <w:szCs w:val="28"/>
          <w:rtl/>
          <w:lang w:bidi="ar-EG"/>
        </w:rPr>
        <w:t>المحور الأول: تداخل الصلاحيات</w:t>
      </w:r>
      <w:bookmarkEnd w:id="2"/>
      <w:bookmarkEnd w:id="3"/>
    </w:p>
    <w:p w14:paraId="1A73F053" w14:textId="77777777" w:rsidR="00B40E55" w:rsidRPr="00325AA7" w:rsidRDefault="00B40E55" w:rsidP="00B40E55">
      <w:pPr>
        <w:pStyle w:val="222"/>
        <w:spacing w:line="276" w:lineRule="auto"/>
        <w:rPr>
          <w:sz w:val="28"/>
          <w:szCs w:val="28"/>
          <w:lang w:bidi="ar-EG"/>
        </w:rPr>
      </w:pPr>
      <w:bookmarkStart w:id="4" w:name="_Toc175955920"/>
      <w:bookmarkStart w:id="5" w:name="_Toc190337510"/>
      <w:r w:rsidRPr="00325AA7">
        <w:rPr>
          <w:sz w:val="28"/>
          <w:szCs w:val="28"/>
          <w:rtl/>
          <w:lang w:bidi="ar-EG"/>
        </w:rPr>
        <w:t>مقدمة</w:t>
      </w:r>
      <w:bookmarkEnd w:id="4"/>
      <w:bookmarkEnd w:id="5"/>
      <w:r w:rsidRPr="00325AA7">
        <w:rPr>
          <w:sz w:val="28"/>
          <w:szCs w:val="28"/>
          <w:rtl/>
          <w:lang w:bidi="ar-EG"/>
        </w:rPr>
        <w:t xml:space="preserve">   </w:t>
      </w:r>
    </w:p>
    <w:p w14:paraId="6CD75593" w14:textId="77777777" w:rsidR="00B40E55" w:rsidRPr="00325AA7" w:rsidRDefault="00B40E55" w:rsidP="00B40E55">
      <w:pPr>
        <w:pStyle w:val="000"/>
        <w:rPr>
          <w:rtl/>
        </w:rPr>
      </w:pPr>
      <w:r w:rsidRPr="00325AA7">
        <w:rPr>
          <w:rtl/>
        </w:rPr>
        <w:t>التداخل في الصلاحيات هو أحد التحديات الإدارية الشائعة التي تواجه المنظمات المعاصرة؛ ولذا كان من الضروري دراسة التداخل، وتحديد أهم الأسباب التي تؤدي إلى حدوث هذا التداخل، وما هي الآثار التي تترتب على وجود تداخل في الصلاحيات بين الجهات والهيئات؛ حيث ينشأ هذا التداخل عندما تتشابك مسؤوليات وسلطات الموظفين والإدارات المختلفة داخل المؤسسة؛ مما يؤدي إلى غموض في التنظيم داخل المنظمة.</w:t>
      </w:r>
    </w:p>
    <w:p w14:paraId="1BFAD5CD" w14:textId="77777777" w:rsidR="00B40E55" w:rsidRPr="00325AA7" w:rsidRDefault="00B40E55" w:rsidP="00B40E55">
      <w:pPr>
        <w:pStyle w:val="000"/>
        <w:rPr>
          <w:rtl/>
          <w:lang w:bidi="ar-EG"/>
        </w:rPr>
      </w:pPr>
      <w:r w:rsidRPr="00325AA7">
        <w:rPr>
          <w:rtl/>
          <w:lang w:bidi="ar-EG"/>
        </w:rPr>
        <w:t>وتعد الإدارة عملية من مجموعة من العمليات المتصلة والمتداخلة والتي تمثل فيما بينها إطارًا متكاملًا؛ حيث تعد الإدارة عملية قيادية تبدأ بالتفكير والتدبير قبل اتخاذ القرارات، وبما أن دور الإدارة في المنظمات في الوقت الحديث أصبحت متشعبة ومن الصعب القيام بها مدير واحد فقط؛ لذلك كانت هناك ضرورة كبيرة إلى تقسيم العمل الإداري بالمسؤوليات والاختصاصات على عدد من الرؤساء في تخصصات متنوعة، وعلى المستويات الإدارية المتعددة؛ وذلك يرجع إلى اتساع نطاق المؤسسة (هاشم، 2023، ص. 21).</w:t>
      </w:r>
    </w:p>
    <w:p w14:paraId="00E8D472" w14:textId="77777777" w:rsidR="00B40E55" w:rsidRPr="00325AA7" w:rsidRDefault="00B40E55" w:rsidP="00B40E55">
      <w:pPr>
        <w:pStyle w:val="000"/>
        <w:rPr>
          <w:rtl/>
          <w:lang w:bidi="ar-EG"/>
        </w:rPr>
      </w:pPr>
      <w:r w:rsidRPr="00325AA7">
        <w:rPr>
          <w:rtl/>
          <w:lang w:bidi="ar-EG"/>
        </w:rPr>
        <w:t>وفي ضوء التطرق إلى اختصاص الصلاحيات فإن التداخل في الصلاحيات داخل السلطة التنفيذية بحد ذاتها بين المؤسسة وهيكلها التنظيمي أصبح من الأمور الأكثر شيوعًا في السلوك الإداري؛ وذلك نتيجة لعدم وجود الاختصاص المناسب؛ وبالتالي جاء التداخل في الصلاحيات كظاهرة موجودة في المنظمات؛ وهذا ما أكد عليه كلًا من بن زرقة ونجاة (2022، ص. 291)؛ حيث يعد التداخل في الاختصاص الإداري حالة يقوم بها أكثر من جهة إدارية بتقديم نفس الخدمات؛ حيث يؤدي إلى وجود الاختلال التنفيذي على مستوى المؤسسة، ويكون السبب هو عدم وضوح الصلاحيات التي يتم توزيعها، وحدوث تضارب في إدراك الاختصاص بين العناصر الإدارية التي يقع على عاتقها مهمة التنفيذ.</w:t>
      </w:r>
    </w:p>
    <w:p w14:paraId="7F2ACB03" w14:textId="77777777" w:rsidR="00B40E55" w:rsidRPr="00325AA7" w:rsidRDefault="00B40E55" w:rsidP="00B40E55">
      <w:pPr>
        <w:pStyle w:val="000"/>
        <w:rPr>
          <w:rtl/>
          <w:lang w:bidi="ar-EG"/>
        </w:rPr>
      </w:pPr>
      <w:r w:rsidRPr="00325AA7">
        <w:rPr>
          <w:rtl/>
          <w:lang w:bidi="ar-EG"/>
        </w:rPr>
        <w:t>كما يشكل تداخل الصلاحيات نقطة ضعف كبيرة في ا</w:t>
      </w:r>
      <w:r w:rsidRPr="00325AA7">
        <w:rPr>
          <w:rtl/>
        </w:rPr>
        <w:t>لمؤسسات والقطاعات الحيوية</w:t>
      </w:r>
      <w:r w:rsidRPr="00325AA7">
        <w:rPr>
          <w:rtl/>
          <w:lang w:bidi="ar-EG"/>
        </w:rPr>
        <w:t>؛ حيث يتكون تداخل الصلاحيات من المشكلات الأساسية التي تواجه المديرين نتيجة لعدم وضوح المسؤوليات، أو غموض الصلاحيات، أو معوقات الاتصال (</w:t>
      </w:r>
      <w:r w:rsidRPr="00325AA7">
        <w:rPr>
          <w:shd w:val="clear" w:color="auto" w:fill="FFFFFF"/>
        </w:rPr>
        <w:t>&amp; Mukuna, 2018, P. 124</w:t>
      </w:r>
      <w:r w:rsidRPr="00325AA7">
        <w:rPr>
          <w:rtl/>
          <w:lang w:bidi="ar-EG"/>
        </w:rPr>
        <w:t xml:space="preserve"> </w:t>
      </w:r>
      <w:proofErr w:type="spellStart"/>
      <w:r w:rsidRPr="00325AA7">
        <w:rPr>
          <w:shd w:val="clear" w:color="auto" w:fill="FFFFFF"/>
        </w:rPr>
        <w:t>Mihyo</w:t>
      </w:r>
      <w:proofErr w:type="spellEnd"/>
      <w:r w:rsidRPr="00325AA7">
        <w:rPr>
          <w:rtl/>
          <w:lang w:bidi="ar-EG"/>
        </w:rPr>
        <w:t>)، ومن جانب آخر يؤدي تداخل الصلاحيات إلى انتشار الفساد؛ حيث جعل عملية الإسراف في استخدام المال طريقة متاحة، وتسمح لهذه الأجهزة بالاستيلاء على الأموال (</w:t>
      </w:r>
      <w:proofErr w:type="spellStart"/>
      <w:r w:rsidRPr="00325AA7">
        <w:rPr>
          <w:shd w:val="clear" w:color="auto" w:fill="FFFFFF"/>
        </w:rPr>
        <w:t>Bekheet</w:t>
      </w:r>
      <w:proofErr w:type="spellEnd"/>
      <w:r w:rsidRPr="00325AA7">
        <w:rPr>
          <w:shd w:val="clear" w:color="auto" w:fill="FFFFFF"/>
        </w:rPr>
        <w:t>, 2020, P. 6116</w:t>
      </w:r>
      <w:r w:rsidRPr="00325AA7">
        <w:rPr>
          <w:rtl/>
          <w:lang w:bidi="ar-EG"/>
        </w:rPr>
        <w:t>).</w:t>
      </w:r>
    </w:p>
    <w:p w14:paraId="27BB3BBC" w14:textId="77777777" w:rsidR="00B40E55" w:rsidRPr="00325AA7" w:rsidRDefault="00B40E55" w:rsidP="00B40E55">
      <w:pPr>
        <w:pStyle w:val="000"/>
        <w:rPr>
          <w:rtl/>
          <w:lang w:bidi="ar-EG"/>
        </w:rPr>
      </w:pPr>
      <w:r w:rsidRPr="00325AA7">
        <w:rPr>
          <w:rtl/>
          <w:lang w:bidi="ar-EG"/>
        </w:rPr>
        <w:t xml:space="preserve">لذلك معظم النظم الديمقراطية تتجه نحو تعزيز استقلالية الهيئات المحلية كأساس للنظام اللامركزي، هذا يتحقق من خلال تكريس مبدأ الاستقلالية والتسيير الحر للجماعات المحلية، ومنح الجماعات المحلية اختصاصات مستقلة محددة قانونًا، وحصر وتوزيع الصلاحيات بشكل دقيق مع مراعاة الاستقلالية، ووجود رقابة شديدة على ممارسة هذه الصلاحيات؛ بالرغم من ذلك لوحظ عدم تطابق بين النصوص القانونية والواقع الفعلي، </w:t>
      </w:r>
      <w:r w:rsidRPr="00325AA7">
        <w:rPr>
          <w:rtl/>
          <w:lang w:bidi="ar-EG"/>
        </w:rPr>
        <w:lastRenderedPageBreak/>
        <w:t>خاصة في المجال الإداري هناك تداخل بين صلاحيات الوالي ورئيس المجلس المحلي؛ مما يستوجب تحديد حدود صلاحيات كل منهما بدقة، ومن الضروري وضع ضوابط قانونية للتوفيق بين استقلالية البلدية ومتطلبات الحفاظ على المشروعية، كما ينبغي إلغاء الرقابة الإدارية القبلية والبعدية على المجالس المنتخبة؛ لتعزيز فعالية وكفاءة الإدارة المحلية. (علي، 2020، ص. 92).</w:t>
      </w:r>
    </w:p>
    <w:p w14:paraId="54EF743C" w14:textId="77777777" w:rsidR="00B40E55" w:rsidRPr="00325AA7" w:rsidRDefault="00B40E55" w:rsidP="00B40E55">
      <w:pPr>
        <w:pStyle w:val="000"/>
        <w:rPr>
          <w:rtl/>
          <w:lang w:bidi="ar-EG"/>
        </w:rPr>
      </w:pPr>
      <w:r w:rsidRPr="00325AA7">
        <w:rPr>
          <w:rtl/>
          <w:lang w:bidi="ar-EG"/>
        </w:rPr>
        <w:t>ونتيجة لذلك يمكن توضيح أن التداخل في الصلاحيات يعد أحد التحديات الإدارية الشائعة التي تواجه المنظمات المعاصرة، وقد ينتج هذا التداخل بسبب سوء التخطيط الوظيفي، وعدم وضوح الأدوار والمهام المنوطة بكل إدارة، وقد يكون ناتجًا عن محاولات الإدارات المختلفة التوسع في نطاق صلاحياتها؛ للحصول على مزيد من السلطة والنفوذ داخل المؤسسة، ويترتب على هذا التداخل في الاختصاصات مجموعة من السلبيات الإدارية، مثل: تضارب القرارات، وازدواجية الجهود، وصعوبة المساءلة؛ لذلك تسعى المؤسسات الحديثة إلى تجنب هذه المشكلة؛ من خلال تحديد الصلاحيات والمسؤوليات بشكل واضح، وتصميم الوظائف بما لا يتداخل فيها نطاق عمل الموظفين.</w:t>
      </w:r>
    </w:p>
    <w:p w14:paraId="014B12F1" w14:textId="77777777" w:rsidR="00B40E55" w:rsidRPr="00325AA7" w:rsidRDefault="00B40E55" w:rsidP="00B40E55">
      <w:pPr>
        <w:pStyle w:val="222"/>
        <w:spacing w:line="276" w:lineRule="auto"/>
        <w:rPr>
          <w:sz w:val="28"/>
          <w:szCs w:val="28"/>
          <w:rtl/>
          <w:lang w:bidi="ar-EG"/>
        </w:rPr>
      </w:pPr>
      <w:bookmarkStart w:id="6" w:name="_Toc175955921"/>
      <w:bookmarkStart w:id="7" w:name="_Toc190337511"/>
      <w:r w:rsidRPr="00325AA7">
        <w:rPr>
          <w:sz w:val="28"/>
          <w:szCs w:val="28"/>
          <w:rtl/>
          <w:lang w:bidi="ar-EG"/>
        </w:rPr>
        <w:t>مفهوم تداخل الصلاحيات</w:t>
      </w:r>
      <w:bookmarkEnd w:id="6"/>
      <w:bookmarkEnd w:id="7"/>
      <w:r w:rsidRPr="00325AA7">
        <w:rPr>
          <w:sz w:val="28"/>
          <w:szCs w:val="28"/>
          <w:rtl/>
          <w:lang w:bidi="ar-EG"/>
        </w:rPr>
        <w:t xml:space="preserve"> </w:t>
      </w:r>
    </w:p>
    <w:p w14:paraId="382265AB" w14:textId="77777777" w:rsidR="00B40E55" w:rsidRPr="00325AA7" w:rsidRDefault="00B40E55" w:rsidP="00B40E55">
      <w:pPr>
        <w:pStyle w:val="000"/>
        <w:rPr>
          <w:lang w:bidi="ar-EG"/>
        </w:rPr>
      </w:pPr>
      <w:r w:rsidRPr="00325AA7">
        <w:rPr>
          <w:rtl/>
          <w:lang w:bidi="ar-EG"/>
        </w:rPr>
        <w:t>يُعد تداخل الصلاحيات من المصطلحات الحديثة، والتي نالت اهتمام كبير من جانب الكثير من الباحثين لما له من أهمية كبيرة، ومع تعدد وجهات النظر حول تداخل الصلاحيات تنوعت التعريفات التي شملت مصطلح تداخل الصلاحيات، ومن أهم هذه التعريفات ما يلي:</w:t>
      </w:r>
    </w:p>
    <w:p w14:paraId="1AA31ADB" w14:textId="77777777" w:rsidR="00B40E55" w:rsidRPr="00325AA7" w:rsidRDefault="00B40E55" w:rsidP="00B40E55">
      <w:pPr>
        <w:pStyle w:val="000"/>
        <w:rPr>
          <w:rtl/>
        </w:rPr>
      </w:pPr>
      <w:r w:rsidRPr="00325AA7">
        <w:rPr>
          <w:rtl/>
        </w:rPr>
        <w:t>حيث عرف "روزن" (</w:t>
      </w:r>
      <w:r w:rsidRPr="00325AA7">
        <w:rPr>
          <w:color w:val="222222"/>
          <w:shd w:val="clear" w:color="auto" w:fill="FFFFFF"/>
        </w:rPr>
        <w:t>Rosen</w:t>
      </w:r>
      <w:r w:rsidRPr="00325AA7">
        <w:t>, 2014, P. 756</w:t>
      </w:r>
      <w:r w:rsidRPr="00325AA7">
        <w:rPr>
          <w:rtl/>
        </w:rPr>
        <w:t xml:space="preserve">) تداخل الصلاحيات أنه "أحد عوامل الصراعات والتحديات بين المؤسسات، كما أن تاريخ تداخل السلطات، والفصل بين السلطات، وبين القاضي وهيئة المحلفين يبين أن مثل هذه الصراعات يمكن إدارتها بنجاح". </w:t>
      </w:r>
    </w:p>
    <w:p w14:paraId="7E49F84E" w14:textId="77777777" w:rsidR="00B40E55" w:rsidRPr="00325AA7" w:rsidRDefault="00B40E55" w:rsidP="00B40E55">
      <w:pPr>
        <w:pStyle w:val="000"/>
        <w:rPr>
          <w:rtl/>
        </w:rPr>
      </w:pPr>
      <w:r w:rsidRPr="00325AA7">
        <w:rPr>
          <w:rtl/>
        </w:rPr>
        <w:t>كما أشار "</w:t>
      </w:r>
      <w:proofErr w:type="spellStart"/>
      <w:r w:rsidRPr="00325AA7">
        <w:rPr>
          <w:rtl/>
        </w:rPr>
        <w:t>تيجن</w:t>
      </w:r>
      <w:proofErr w:type="spellEnd"/>
      <w:r w:rsidRPr="00325AA7">
        <w:rPr>
          <w:rtl/>
        </w:rPr>
        <w:t>" (</w:t>
      </w:r>
      <w:r w:rsidRPr="00325AA7">
        <w:rPr>
          <w:shd w:val="clear" w:color="auto" w:fill="FFFFFF"/>
        </w:rPr>
        <w:t>Tegegn, 2017, P. 281</w:t>
      </w:r>
      <w:r w:rsidRPr="00325AA7">
        <w:rPr>
          <w:rtl/>
        </w:rPr>
        <w:t>) تداخل الصلاحيات أنه: "الحالات التي تحدث بسبب التعارض وعدم التناغم في تنظيم القوانين وتوزيع المسؤوليات والهيكل داخل المؤسسة الواحدة".</w:t>
      </w:r>
    </w:p>
    <w:p w14:paraId="76C7C3BD" w14:textId="77777777" w:rsidR="00B40E55" w:rsidRPr="00325AA7" w:rsidRDefault="00B40E55" w:rsidP="00B40E55">
      <w:pPr>
        <w:pStyle w:val="000"/>
        <w:rPr>
          <w:rtl/>
        </w:rPr>
      </w:pPr>
      <w:r w:rsidRPr="00325AA7">
        <w:rPr>
          <w:rtl/>
        </w:rPr>
        <w:t xml:space="preserve"> ومن جانب آخر عرف كلًا من المبارك والمقرن (2019، ص. 21) تداخل الصلاحيات أنها: "عبارة عن ممارسة جزء من الاختصاصات المسندة إلى جهاز ما من قبل جهاز آخر أو أكثر من جهاز، ويحدث تداخل الصلاحيات بين الأجهزة الحكومية لأسباب عديدة، ومنها: الازدواجية، والتشابه في الأعمال، والغموض في الصلاحيات والمهام، وضعف التنسيق، وعدم تحديد الصلاحيات والمسؤوليات".</w:t>
      </w:r>
    </w:p>
    <w:p w14:paraId="571D4A2B" w14:textId="77777777" w:rsidR="00B40E55" w:rsidRPr="00325AA7" w:rsidRDefault="00B40E55" w:rsidP="00B40E55">
      <w:pPr>
        <w:pStyle w:val="000"/>
        <w:rPr>
          <w:rtl/>
        </w:rPr>
      </w:pPr>
      <w:r w:rsidRPr="00325AA7">
        <w:rPr>
          <w:rtl/>
        </w:rPr>
        <w:t xml:space="preserve"> ومن هنا عرف علي (2020، ص. 102) تداخل الصلاحيات أنها: "تداخل في المهام بين الوالي ورئيس المجلس؛ مما يؤدي إلى التنازع والتنافس في بعض القرارات التنظيمية، والتعارض إلى جانب تعدد الهيئات المختصة بالضبط الإداري". </w:t>
      </w:r>
    </w:p>
    <w:p w14:paraId="19B33315" w14:textId="77777777" w:rsidR="00B40E55" w:rsidRPr="00325AA7" w:rsidRDefault="00B40E55" w:rsidP="00B40E55">
      <w:pPr>
        <w:pStyle w:val="000"/>
        <w:rPr>
          <w:rtl/>
        </w:rPr>
      </w:pPr>
      <w:r w:rsidRPr="00325AA7">
        <w:rPr>
          <w:rtl/>
        </w:rPr>
        <w:lastRenderedPageBreak/>
        <w:t xml:space="preserve"> ومن جانب موازي عرفت وكالة الأنباء (2021) تداخل الصلاحيات: "أنه عبارة عن الخلط بين الدور الرقابي والدور التنفيذي للجهات الرقابية بشكل يؤدي إلى التأثير على تطور الأداء وتأخيره؛ حيث يتم التداخل في بعض الممارسات والصلاحيات التي تختص بها جهة معينة؛ مما يمثل عبئًا على عمليات اتخاذ القرارات".</w:t>
      </w:r>
    </w:p>
    <w:p w14:paraId="0ABB6FD8" w14:textId="77777777" w:rsidR="00B40E55" w:rsidRPr="00325AA7" w:rsidRDefault="00B40E55" w:rsidP="00B40E55">
      <w:pPr>
        <w:pStyle w:val="000"/>
        <w:rPr>
          <w:rtl/>
          <w:lang w:bidi="ar-EG"/>
        </w:rPr>
      </w:pPr>
      <w:r w:rsidRPr="00325AA7">
        <w:rPr>
          <w:rtl/>
        </w:rPr>
        <w:t>وأيضًا عرف "أري نتو" (</w:t>
      </w:r>
      <w:proofErr w:type="spellStart"/>
      <w:r w:rsidRPr="00325AA7">
        <w:rPr>
          <w:shd w:val="clear" w:color="auto" w:fill="FFFFFF"/>
        </w:rPr>
        <w:t>Arianto</w:t>
      </w:r>
      <w:proofErr w:type="spellEnd"/>
      <w:r w:rsidRPr="00325AA7">
        <w:rPr>
          <w:shd w:val="clear" w:color="auto" w:fill="FFFFFF"/>
        </w:rPr>
        <w:t xml:space="preserve"> et al, 2022, P. 154</w:t>
      </w:r>
      <w:r w:rsidRPr="00325AA7">
        <w:rPr>
          <w:rtl/>
        </w:rPr>
        <w:t>) تداخل الصلاحيات أنه: "حدوث تداخل في السلطات الإدارية في المؤسسات، والذي ينتج عن وجود خلط بين النظام المركزي والنظام اللامركزي؛ مما يتسبب في حدوث صراع تنظيمي".</w:t>
      </w:r>
    </w:p>
    <w:p w14:paraId="53BE6252" w14:textId="5BB57D63" w:rsidR="00B40E55" w:rsidRPr="00325AA7" w:rsidRDefault="00B40E55" w:rsidP="00B40E55">
      <w:pPr>
        <w:pStyle w:val="000"/>
        <w:rPr>
          <w:rtl/>
        </w:rPr>
      </w:pPr>
      <w:r w:rsidRPr="00325AA7">
        <w:rPr>
          <w:rtl/>
        </w:rPr>
        <w:t xml:space="preserve">كما عرف كلًا من </w:t>
      </w:r>
      <w:r w:rsidR="004C0D13" w:rsidRPr="00325AA7">
        <w:rPr>
          <w:rFonts w:hint="cs"/>
          <w:rtl/>
        </w:rPr>
        <w:t xml:space="preserve">بن </w:t>
      </w:r>
      <w:r w:rsidRPr="00325AA7">
        <w:rPr>
          <w:rtl/>
        </w:rPr>
        <w:t>زرقة ونجاة (2022، ص. 288) تداخل الصلاحيات أنه: "التزاحم بين أعمال أكثر من جهة إدارية في ممارسة الاختصاص والصلاحيات نفسها؛ مما يشكل إحدى المشكلات الإدارية الشائعة، وهذا التزاحم ينشأ عندما تتداخل مسؤوليات وسلطات الموظفين والإدارات المختلفة داخل المؤسسة".</w:t>
      </w:r>
    </w:p>
    <w:p w14:paraId="49CECE1D" w14:textId="77777777" w:rsidR="00B40E55" w:rsidRPr="00325AA7" w:rsidRDefault="00B40E55" w:rsidP="00B40E55">
      <w:pPr>
        <w:pStyle w:val="000"/>
        <w:rPr>
          <w:rtl/>
        </w:rPr>
      </w:pPr>
      <w:r w:rsidRPr="00325AA7">
        <w:rPr>
          <w:rtl/>
        </w:rPr>
        <w:t>ومن جانب آخر عرف علوي (2022، ص. 155) تداخل الصلاحيات بأنها: "غياب الاختصاصات التنظيمية والواجبات الوظيفية؛ من حيث عدم وجود أدوات واضحة لأداء كل نشاط لاختصاصه، وتأدية كل وظيفة لواجباتها دون نزاع، أو تداخل، أو التخلي عن المسؤولية، والتهرب من المساءلة".</w:t>
      </w:r>
    </w:p>
    <w:p w14:paraId="1DC5FEB6" w14:textId="77777777" w:rsidR="00B40E55" w:rsidRPr="00325AA7" w:rsidRDefault="00B40E55" w:rsidP="00B40E55">
      <w:pPr>
        <w:pStyle w:val="000"/>
        <w:rPr>
          <w:rtl/>
        </w:rPr>
      </w:pPr>
      <w:r w:rsidRPr="00325AA7">
        <w:rPr>
          <w:rtl/>
        </w:rPr>
        <w:t>وعلى صعيد آخر عرف عبد المنعم (2023، ص. 1663) تداخل الصلاحيات أنها: "عبارة عن التدخل في صلاحيات تعد من واجبات الهيئة التحكيم؛ وبالتالي التأثير على مبدأ الاستقلالية في صنع القرار".</w:t>
      </w:r>
    </w:p>
    <w:p w14:paraId="4FC94D3B" w14:textId="77777777" w:rsidR="00B40E55" w:rsidRPr="00325AA7" w:rsidRDefault="00B40E55" w:rsidP="00B40E55">
      <w:pPr>
        <w:pStyle w:val="000"/>
        <w:rPr>
          <w:rtl/>
        </w:rPr>
      </w:pPr>
      <w:r w:rsidRPr="00325AA7">
        <w:rPr>
          <w:rtl/>
        </w:rPr>
        <w:t>وعليه عرف العنبر وخزعل (2023، ص. 109) تداخل الصلاحيات بأنها: "وجود عدد كبير من الصلاحيات التي يتمتع بها نظام معين؛ مما يؤثر على النظام بأكمله، وينعكس ذلك على المجتمع وجميع مؤسسات الدولة، وعدم القدرة على فرض سلطة القانون نتيجة عدة عوامل".</w:t>
      </w:r>
    </w:p>
    <w:p w14:paraId="78A4A45A" w14:textId="77777777" w:rsidR="00B40E55" w:rsidRPr="00325AA7" w:rsidRDefault="00B40E55" w:rsidP="00B40E55">
      <w:pPr>
        <w:pStyle w:val="000"/>
        <w:rPr>
          <w:rtl/>
        </w:rPr>
      </w:pPr>
      <w:r w:rsidRPr="00325AA7">
        <w:rPr>
          <w:rtl/>
        </w:rPr>
        <w:t xml:space="preserve"> وتأسيسًا على ما سبق يتسنى للباحث وضع تعريف لتداخل الصلاحيات بأنه: "الحالات التي يتم فيها إسناد مسؤوليات أو صلاحيات متشابهة أو متداخلة إلى أكثر من موظف أو إدارة في المؤسسة، وهذا التداخل قد ينشأ نتيجة لعدم وضوح التسلسل الهرمي للسلطة والمسؤوليات، أو نتيجة لسوء التنظيم الإداري وغموض الأدوار"</w:t>
      </w:r>
      <w:r w:rsidRPr="00325AA7">
        <w:t>.</w:t>
      </w:r>
    </w:p>
    <w:p w14:paraId="5F41FB51" w14:textId="77777777" w:rsidR="00B40E55" w:rsidRPr="00325AA7" w:rsidRDefault="00B40E55" w:rsidP="00B40E55">
      <w:pPr>
        <w:pStyle w:val="222"/>
        <w:spacing w:line="276" w:lineRule="auto"/>
        <w:rPr>
          <w:sz w:val="28"/>
          <w:szCs w:val="28"/>
          <w:rtl/>
          <w:lang w:bidi="ar-EG"/>
        </w:rPr>
      </w:pPr>
      <w:bookmarkStart w:id="8" w:name="_Toc175955922"/>
      <w:bookmarkStart w:id="9" w:name="_Toc190337512"/>
      <w:r w:rsidRPr="00325AA7">
        <w:rPr>
          <w:sz w:val="28"/>
          <w:szCs w:val="28"/>
          <w:rtl/>
          <w:lang w:bidi="ar-EG"/>
        </w:rPr>
        <w:t>أبعاد تداخل الصلاحيات</w:t>
      </w:r>
      <w:bookmarkEnd w:id="8"/>
      <w:bookmarkEnd w:id="9"/>
      <w:r w:rsidRPr="00325AA7">
        <w:rPr>
          <w:sz w:val="28"/>
          <w:szCs w:val="28"/>
          <w:rtl/>
          <w:lang w:bidi="ar-EG"/>
        </w:rPr>
        <w:t xml:space="preserve"> </w:t>
      </w:r>
    </w:p>
    <w:p w14:paraId="01533E8D" w14:textId="77777777" w:rsidR="00B40E55" w:rsidRPr="00325AA7" w:rsidRDefault="00B40E55" w:rsidP="00B40E55">
      <w:pPr>
        <w:pStyle w:val="000"/>
        <w:rPr>
          <w:rtl/>
        </w:rPr>
      </w:pPr>
      <w:r w:rsidRPr="00325AA7">
        <w:rPr>
          <w:rtl/>
        </w:rPr>
        <w:t>تداخل الصلاحيات بين الموظفين والوحدات التنظيمية هو ظاهرة تنظيمية شائعة، والتي قد تنتج عن عدة أسباب، ونظرًا لأهمية دراسة هذا المفهوم في ظل التعقيد المتزايد للمؤسسات والهياكل الحكومية، فإن من أهم أبعاد تداخل الصلاحيات تتمثل في</w:t>
      </w:r>
      <w:r w:rsidRPr="00325AA7">
        <w:t>:</w:t>
      </w:r>
    </w:p>
    <w:p w14:paraId="71935ED1" w14:textId="77777777" w:rsidR="00B40E55" w:rsidRPr="00325AA7" w:rsidRDefault="00B40E55" w:rsidP="00B40E55">
      <w:pPr>
        <w:pStyle w:val="a4"/>
        <w:numPr>
          <w:ilvl w:val="0"/>
          <w:numId w:val="1"/>
        </w:numPr>
        <w:spacing w:after="160"/>
        <w:jc w:val="both"/>
        <w:rPr>
          <w:rFonts w:ascii="Sakkal Majalla" w:hAnsi="Sakkal Majalla" w:cs="Sakkal Majalla"/>
          <w:sz w:val="28"/>
          <w:szCs w:val="28"/>
          <w:rtl/>
        </w:rPr>
      </w:pPr>
      <w:r w:rsidRPr="00325AA7">
        <w:rPr>
          <w:rFonts w:ascii="Sakkal Majalla" w:hAnsi="Sakkal Majalla" w:cs="Sakkal Majalla"/>
          <w:b/>
          <w:bCs/>
          <w:sz w:val="28"/>
          <w:szCs w:val="28"/>
          <w:rtl/>
        </w:rPr>
        <w:t xml:space="preserve">تضارب القرارات: </w:t>
      </w:r>
      <w:r w:rsidRPr="00325AA7">
        <w:rPr>
          <w:rFonts w:ascii="Sakkal Majalla" w:hAnsi="Sakkal Majalla" w:cs="Sakkal Majalla"/>
          <w:sz w:val="28"/>
          <w:szCs w:val="28"/>
          <w:rtl/>
        </w:rPr>
        <w:t xml:space="preserve">المؤسسات المختلفة تقابل العديد من المواقف والتحديات التي تحتاج إلى صنع القرار، سواءً كانت قرارات إدارية أو استراتيجية لها أهمية كبيرة، والتي تؤثر على نشاط المؤسسة، وما ينتج عنها من نتائج، وتعد عملية اتخاذ القرار من أكثر العناصر الإدارية نشاطًا، كما أن مستقبل المؤسسة يعتمد على قدرة أعضاء الإدارة العليا على أخذ القرارات الحاسمة، والاختيار بين أكثر من قرار من الأمور الهامة </w:t>
      </w:r>
      <w:r w:rsidRPr="00325AA7">
        <w:rPr>
          <w:rFonts w:ascii="Sakkal Majalla" w:hAnsi="Sakkal Majalla" w:cs="Sakkal Majalla"/>
          <w:sz w:val="28"/>
          <w:szCs w:val="28"/>
          <w:rtl/>
        </w:rPr>
        <w:lastRenderedPageBreak/>
        <w:t>التي تقابل المؤسسات، وفي حالة حدوث تعارض بين عدد من القرارات من جانب الأعضاء المسؤولين أو الجهات المعينة، فهذا يكون سببًا في حدوث التداخل في الصلاحيات بين الجهات والمختصين؛ وبالتالي فيعد اتخاذ القرار من الموضوعات الأكثر تعقيدًا (عبد النور،2018، ص. 243).</w:t>
      </w:r>
    </w:p>
    <w:p w14:paraId="3DA96F97" w14:textId="77777777" w:rsidR="00B40E55" w:rsidRPr="00325AA7" w:rsidRDefault="00B40E55" w:rsidP="00B40E55">
      <w:pPr>
        <w:pStyle w:val="a4"/>
        <w:numPr>
          <w:ilvl w:val="0"/>
          <w:numId w:val="1"/>
        </w:numPr>
        <w:spacing w:after="160"/>
        <w:jc w:val="both"/>
        <w:rPr>
          <w:rFonts w:ascii="Sakkal Majalla" w:hAnsi="Sakkal Majalla" w:cs="Sakkal Majalla"/>
          <w:b/>
          <w:bCs/>
          <w:sz w:val="28"/>
          <w:szCs w:val="28"/>
          <w:rtl/>
          <w:lang w:bidi="ar-EG"/>
        </w:rPr>
      </w:pPr>
      <w:r w:rsidRPr="00325AA7">
        <w:rPr>
          <w:rFonts w:ascii="Sakkal Majalla" w:hAnsi="Sakkal Majalla" w:cs="Sakkal Majalla"/>
          <w:b/>
          <w:bCs/>
          <w:sz w:val="28"/>
          <w:szCs w:val="28"/>
          <w:rtl/>
          <w:lang w:bidi="ar-EG"/>
        </w:rPr>
        <w:t xml:space="preserve">توزيع السلطات والمسؤوليات: </w:t>
      </w:r>
      <w:r w:rsidRPr="00325AA7">
        <w:rPr>
          <w:rFonts w:ascii="Sakkal Majalla" w:hAnsi="Sakkal Majalla" w:cs="Sakkal Majalla"/>
          <w:sz w:val="28"/>
          <w:szCs w:val="28"/>
          <w:rtl/>
          <w:lang w:bidi="ar-EG"/>
        </w:rPr>
        <w:t>توزيع السلطات والمسؤوليات بشكل فعال ومتوازن، وهو أحد المحددات الرئيسية لتحقيق الجودة والفاعلية التنظيمية، وهذا يتطلب تحديد المهام والأدوار والمسؤوليات الخاصة بكل وظيفة أو موقع وظيفي بطريقة واضحة وصريحة، وينبغي أن يكون هناك تعريف محدد ومتفق عليه لنطاق وحدود سلطات كل موظف، والحرص على المرونة في توزيع الصلاحيات؛ بحيث تتناسب مع طبيعة العمل وحاجات المؤسسة؛ فعند ربط التفويض والسلطات بالمسؤولية عن النتائج المترتبة، ويُحفز ذلك الموظفين على تحمل المزيد من المسؤولية والمبادرة، ويتم تحقيق التوازن المطلوب بين السلطات والمسؤوليات؛ مما يساهم في رفع كفاءة الأداء، ويساعد على البعد عن التداخل في الاختصاصات (بريكي، 2020، ص، 47).</w:t>
      </w:r>
    </w:p>
    <w:p w14:paraId="282AB605" w14:textId="2107A555" w:rsidR="00B40E55" w:rsidRPr="00325AA7" w:rsidRDefault="00B40E55" w:rsidP="00B40E55">
      <w:pPr>
        <w:pStyle w:val="a4"/>
        <w:numPr>
          <w:ilvl w:val="0"/>
          <w:numId w:val="1"/>
        </w:numPr>
        <w:spacing w:after="160"/>
        <w:jc w:val="both"/>
        <w:rPr>
          <w:rFonts w:ascii="Sakkal Majalla" w:hAnsi="Sakkal Majalla" w:cs="Sakkal Majalla"/>
          <w:b/>
          <w:bCs/>
          <w:sz w:val="28"/>
          <w:szCs w:val="28"/>
          <w:rtl/>
        </w:rPr>
      </w:pPr>
      <w:r w:rsidRPr="00325AA7">
        <w:rPr>
          <w:rFonts w:ascii="Sakkal Majalla" w:hAnsi="Sakkal Majalla" w:cs="Sakkal Majalla"/>
          <w:b/>
          <w:bCs/>
          <w:sz w:val="28"/>
          <w:szCs w:val="28"/>
          <w:rtl/>
        </w:rPr>
        <w:t>عدم التناغم التنظيمي</w:t>
      </w:r>
      <w:r w:rsidRPr="00325AA7">
        <w:rPr>
          <w:rFonts w:ascii="Sakkal Majalla" w:hAnsi="Sakkal Majalla" w:cs="Sakkal Majalla"/>
          <w:sz w:val="28"/>
          <w:szCs w:val="28"/>
        </w:rPr>
        <w:t xml:space="preserve"> : </w:t>
      </w:r>
      <w:r w:rsidRPr="00325AA7">
        <w:rPr>
          <w:rFonts w:ascii="Sakkal Majalla" w:hAnsi="Sakkal Majalla" w:cs="Sakkal Majalla"/>
          <w:sz w:val="28"/>
          <w:szCs w:val="28"/>
          <w:rtl/>
        </w:rPr>
        <w:t>عدم التناغم التنظيمي يعد أحد أهم أبعاد تداخل الصلاحيات في المؤسسات، ينشأ من عدة عوامل أساسية: عدم وجود توافق بين أهداف ومصالح الأقسام والإدارات؛ فإن ذلك قد يؤدي إلى صراعات وتنافس على الموارد والسلطة، بالإضافة إلى التداخل في الصلاحيات والمسؤوليات ضمن الهيكل التنظيمي، وغموض الأدوار وازدواجية السلطات بين الوظائف والمستويات الإدارية المختلفة، والخلاف والتوترات بين الأقسام التنفيذية والاستشارية، كما تنشأ صراعات بين الوحدات المسؤولة عن التنفيذ، والتخطيط، والسياسات حول نطاق السلطة والقرارات، وأن هذه العوامل المتداخلة تؤدي إلى عدم وجود انسجام تنظيمي واضح داخل المؤسسة؛ مما يؤثر سلبًا على الأداء الكلي للمؤسسات</w:t>
      </w:r>
      <w:r w:rsidR="004C0D13" w:rsidRPr="00325AA7">
        <w:rPr>
          <w:rFonts w:ascii="Sakkal Majalla" w:hAnsi="Sakkal Majalla" w:cs="Sakkal Majalla" w:hint="cs"/>
          <w:sz w:val="28"/>
          <w:szCs w:val="28"/>
          <w:rtl/>
        </w:rPr>
        <w:t xml:space="preserve"> </w:t>
      </w:r>
      <w:r w:rsidRPr="00325AA7">
        <w:rPr>
          <w:rFonts w:ascii="Sakkal Majalla" w:hAnsi="Sakkal Majalla" w:cs="Sakkal Majalla"/>
          <w:sz w:val="28"/>
          <w:szCs w:val="28"/>
          <w:rtl/>
        </w:rPr>
        <w:t>(</w:t>
      </w:r>
      <w:r w:rsidR="004C0D13" w:rsidRPr="00325AA7">
        <w:rPr>
          <w:rFonts w:ascii="Sakkal Majalla" w:hAnsi="Sakkal Majalla" w:cs="Sakkal Majalla"/>
          <w:sz w:val="28"/>
          <w:szCs w:val="28"/>
          <w:rtl/>
        </w:rPr>
        <w:t>قطيشات</w:t>
      </w:r>
      <w:r w:rsidRPr="00325AA7">
        <w:rPr>
          <w:rFonts w:ascii="Sakkal Majalla" w:hAnsi="Sakkal Majalla" w:cs="Sakkal Majalla"/>
          <w:sz w:val="28"/>
          <w:szCs w:val="28"/>
          <w:rtl/>
        </w:rPr>
        <w:t>، 2014، ص. 61).</w:t>
      </w:r>
    </w:p>
    <w:p w14:paraId="0995A035" w14:textId="77777777" w:rsidR="00B40E55" w:rsidRPr="00325AA7" w:rsidRDefault="00B40E55" w:rsidP="00B40E55">
      <w:pPr>
        <w:pStyle w:val="000"/>
        <w:rPr>
          <w:rtl/>
        </w:rPr>
      </w:pPr>
      <w:r w:rsidRPr="00325AA7">
        <w:rPr>
          <w:rtl/>
        </w:rPr>
        <w:t>مما سبق وبعد توضيح أبعاد تداخل الصلاحيات يتبين أن تداخل الصلاحيات بين الموظفين والوحدات التنظيمية هو ظاهرة تنظيمية شائعة، والتي قد تنتج عن عدة أسباب، وأبرز أبعاد هذه المشكلة تتمثل في عدد من الأبعاد التي توضحها الشكل رقم (1) كما يلي:</w:t>
      </w:r>
    </w:p>
    <w:p w14:paraId="4C2FC22F" w14:textId="77777777" w:rsidR="00B40E55" w:rsidRPr="00325AA7" w:rsidRDefault="00B40E55" w:rsidP="00B40E55">
      <w:pPr>
        <w:spacing w:after="160"/>
        <w:ind w:firstLine="360"/>
        <w:jc w:val="center"/>
        <w:rPr>
          <w:rFonts w:ascii="Sakkal Majalla" w:hAnsi="Sakkal Majalla" w:cs="Sakkal Majalla"/>
          <w:sz w:val="28"/>
          <w:szCs w:val="28"/>
          <w:rtl/>
        </w:rPr>
      </w:pPr>
      <w:r w:rsidRPr="00325AA7">
        <w:rPr>
          <w:rFonts w:ascii="Sakkal Majalla" w:hAnsi="Sakkal Majalla" w:cs="Sakkal Majalla"/>
          <w:noProof/>
          <w:sz w:val="28"/>
          <w:szCs w:val="28"/>
        </w:rPr>
        <w:drawing>
          <wp:inline distT="0" distB="0" distL="0" distR="0" wp14:anchorId="6F655852" wp14:editId="1DFA2200">
            <wp:extent cx="4910447" cy="1786865"/>
            <wp:effectExtent l="0" t="0" r="81280" b="23495"/>
            <wp:docPr id="4"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5F395000" w14:textId="77777777" w:rsidR="00B40E55" w:rsidRPr="00325AA7" w:rsidRDefault="00B40E55" w:rsidP="00B40E55">
      <w:pPr>
        <w:pStyle w:val="333"/>
      </w:pPr>
      <w:bookmarkStart w:id="10" w:name="_Toc175955923"/>
      <w:bookmarkStart w:id="11" w:name="_Toc190337513"/>
      <w:r w:rsidRPr="00325AA7">
        <w:rPr>
          <w:rtl/>
        </w:rPr>
        <w:t>شكل رقم (</w:t>
      </w:r>
      <w:r w:rsidRPr="00325AA7">
        <w:rPr>
          <w:rFonts w:hint="cs"/>
          <w:rtl/>
        </w:rPr>
        <w:t>2-1</w:t>
      </w:r>
      <w:r w:rsidRPr="00325AA7">
        <w:rPr>
          <w:rtl/>
        </w:rPr>
        <w:t>) يوضح أبعاد تداخل الصلاحيات (المصدر: من إعداد: الباحث)</w:t>
      </w:r>
      <w:bookmarkEnd w:id="10"/>
      <w:bookmarkEnd w:id="11"/>
    </w:p>
    <w:p w14:paraId="34BF026B"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Pr>
      </w:pPr>
      <w:r w:rsidRPr="00325AA7">
        <w:rPr>
          <w:rFonts w:ascii="Sakkal Majalla" w:hAnsi="Sakkal Majalla" w:cs="Sakkal Majalla"/>
          <w:sz w:val="28"/>
          <w:szCs w:val="28"/>
          <w:rtl/>
        </w:rPr>
        <w:lastRenderedPageBreak/>
        <w:t>غموض أو ازدواجية في التصميم الهيكلي للمؤسسة، كوجود ازدواج في الخطوط الإشرافية، أو عدم وضوح في تحديد الحدود بين الوحدات والمستويات الإدارية المختلفة.</w:t>
      </w:r>
    </w:p>
    <w:p w14:paraId="1ECC845C"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Pr>
      </w:pPr>
      <w:r w:rsidRPr="00325AA7">
        <w:rPr>
          <w:rFonts w:ascii="Sakkal Majalla" w:hAnsi="Sakkal Majalla" w:cs="Sakkal Majalla"/>
          <w:sz w:val="28"/>
          <w:szCs w:val="28"/>
          <w:rtl/>
        </w:rPr>
        <w:t>تعارض أو تضارب في الصلاحيات والقرارات بين المسؤولين نتيجة عدم وضوح أو تحديد دقيق لنطاق سلطة كل منهم.</w:t>
      </w:r>
    </w:p>
    <w:p w14:paraId="26FE8DD2"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Pr>
      </w:pPr>
      <w:r w:rsidRPr="00325AA7">
        <w:rPr>
          <w:rFonts w:ascii="Sakkal Majalla" w:hAnsi="Sakkal Majalla" w:cs="Sakkal Majalla"/>
          <w:sz w:val="28"/>
          <w:szCs w:val="28"/>
          <w:rtl/>
        </w:rPr>
        <w:t>ضعف تدفق المعلومات والاتصالات بين الوحدات المختلفة؛ مما يؤدي إلى ازدواجية في الجهود وتضارب في القرارات.</w:t>
      </w:r>
    </w:p>
    <w:p w14:paraId="0E93874F"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tl/>
        </w:rPr>
      </w:pPr>
      <w:r w:rsidRPr="00325AA7">
        <w:rPr>
          <w:rFonts w:ascii="Sakkal Majalla" w:hAnsi="Sakkal Majalla" w:cs="Sakkal Majalla"/>
          <w:sz w:val="28"/>
          <w:szCs w:val="28"/>
          <w:rtl/>
        </w:rPr>
        <w:t>التنافس أو الصراع بين الموظفين، أو الوحدات بسبب الرغبة في بسط النفوذ، أو المحافظة على مناطق نفوذهم الخاصة.</w:t>
      </w:r>
    </w:p>
    <w:p w14:paraId="4CBAA941" w14:textId="77777777" w:rsidR="00B40E55" w:rsidRPr="00325AA7" w:rsidRDefault="00B40E55" w:rsidP="00B40E55">
      <w:pPr>
        <w:pStyle w:val="222"/>
        <w:spacing w:line="276" w:lineRule="auto"/>
        <w:rPr>
          <w:color w:val="000000" w:themeColor="text1"/>
          <w:sz w:val="28"/>
          <w:szCs w:val="28"/>
          <w:rtl/>
          <w:lang w:bidi="ar-EG"/>
        </w:rPr>
      </w:pPr>
      <w:bookmarkStart w:id="12" w:name="_Toc175955924"/>
      <w:bookmarkStart w:id="13" w:name="_Toc190337514"/>
      <w:r w:rsidRPr="00325AA7">
        <w:rPr>
          <w:sz w:val="28"/>
          <w:szCs w:val="28"/>
          <w:rtl/>
          <w:lang w:bidi="ar-EG"/>
        </w:rPr>
        <w:t>أسباب تداخل الصلاحيات.</w:t>
      </w:r>
      <w:bookmarkEnd w:id="12"/>
      <w:bookmarkEnd w:id="13"/>
      <w:r w:rsidRPr="00325AA7">
        <w:rPr>
          <w:sz w:val="28"/>
          <w:szCs w:val="28"/>
          <w:rtl/>
          <w:lang w:bidi="ar-EG"/>
        </w:rPr>
        <w:t xml:space="preserve"> </w:t>
      </w:r>
    </w:p>
    <w:p w14:paraId="2FFC0E5D" w14:textId="77777777" w:rsidR="00B40E55" w:rsidRPr="00325AA7" w:rsidRDefault="00B40E55" w:rsidP="00B40E55">
      <w:pPr>
        <w:pStyle w:val="000"/>
        <w:rPr>
          <w:lang w:bidi="ar-EG"/>
        </w:rPr>
      </w:pPr>
      <w:r w:rsidRPr="00325AA7">
        <w:rPr>
          <w:rtl/>
          <w:lang w:bidi="ar-EG"/>
        </w:rPr>
        <w:t xml:space="preserve">يوجد الكثير من الأسباب التي تؤدي إلى تداخل في الصلاحيات، والتي تعد من العناصر المراد تفسيرها وشرحها لأهمية معرفة هذه الأسباب؛ مما يساعد على تجنب هذا التداخل والتقليل منه؛ مما يساعد على تحقيق التوازن، ومن أهم هذه الأسباب: </w:t>
      </w:r>
    </w:p>
    <w:p w14:paraId="73BFC0E7" w14:textId="77777777" w:rsidR="00B40E55" w:rsidRPr="00325AA7" w:rsidRDefault="00B40E55" w:rsidP="00B40E55">
      <w:pPr>
        <w:pStyle w:val="000"/>
        <w:rPr>
          <w:b/>
          <w:bCs/>
          <w:rtl/>
          <w:lang w:bidi="ar-EG"/>
        </w:rPr>
      </w:pPr>
      <w:r w:rsidRPr="00325AA7">
        <w:rPr>
          <w:rtl/>
          <w:lang w:bidi="ar-EG"/>
        </w:rPr>
        <w:t>تشمل أسباب تداخل الصلاحيات ضعف كفاءة الاتصالات الإدارية داخل المؤسسات؛ ويتمثل ذلك في أن معظم الاتصالات داخل المنظمة تسير في اتجاه واحد من الأعلى إلى الأسفل، وأن الاتصال ضعيف، ويكونوا غير قادرين عن التعبير عن آرائهم؛ حيث تكون معظم الاتصالات داخل المنظمة بطيئة وغير فعالة، كما أن تعدد المستويات الإدارية يعيق فعالية الاتصال، وعدم كفاية الهيكل التنظيمي للمنظمة؛ من حيث الصلاحيات والمهام (</w:t>
      </w:r>
      <w:r w:rsidRPr="00325AA7">
        <w:rPr>
          <w:shd w:val="clear" w:color="auto" w:fill="FFFFFF"/>
        </w:rPr>
        <w:t>Hasan</w:t>
      </w:r>
      <w:r w:rsidRPr="00325AA7">
        <w:rPr>
          <w:lang w:bidi="ar-EG"/>
        </w:rPr>
        <w:t xml:space="preserve"> et al, 2022, P. 4760</w:t>
      </w:r>
      <w:r w:rsidRPr="00325AA7">
        <w:rPr>
          <w:rtl/>
          <w:lang w:bidi="ar-EG"/>
        </w:rPr>
        <w:t xml:space="preserve">). </w:t>
      </w:r>
    </w:p>
    <w:p w14:paraId="1E5843D3" w14:textId="77777777" w:rsidR="00B40E55" w:rsidRPr="00325AA7" w:rsidRDefault="00B40E55" w:rsidP="00B40E55">
      <w:pPr>
        <w:pStyle w:val="000"/>
        <w:rPr>
          <w:rtl/>
          <w:lang w:bidi="ar-EG"/>
        </w:rPr>
      </w:pPr>
      <w:r w:rsidRPr="00325AA7">
        <w:rPr>
          <w:rtl/>
          <w:lang w:bidi="ar-EG"/>
        </w:rPr>
        <w:t>كما تتمثل أيضًا أسباب تداخل الصلاحيات في عدم اهتمام المعنيين بمعالجة الشكاوى، وضعف أداء الأجهزة والمعدات، وعدم القدرة على تصنيف الشكاوى، وتحول الموظف من متلقي للشكاوى إلى مفاوض مع مقدم الشكوى، وعدم التواصل الجيد (</w:t>
      </w:r>
      <w:r w:rsidRPr="00325AA7">
        <w:rPr>
          <w:shd w:val="clear" w:color="auto" w:fill="FFFFFF"/>
        </w:rPr>
        <w:t>Mohammed</w:t>
      </w:r>
      <w:r w:rsidRPr="00325AA7">
        <w:rPr>
          <w:lang w:bidi="ar-EG"/>
        </w:rPr>
        <w:t xml:space="preserve"> &amp; </w:t>
      </w:r>
      <w:r w:rsidRPr="00325AA7">
        <w:rPr>
          <w:shd w:val="clear" w:color="auto" w:fill="FFFFFF"/>
        </w:rPr>
        <w:t>Khaleel, 2025, P. 207</w:t>
      </w:r>
      <w:r w:rsidRPr="00325AA7">
        <w:rPr>
          <w:rtl/>
          <w:lang w:bidi="ar-EG"/>
        </w:rPr>
        <w:t>).</w:t>
      </w:r>
    </w:p>
    <w:p w14:paraId="3B2EAA54" w14:textId="77777777" w:rsidR="00B40E55" w:rsidRPr="00325AA7" w:rsidRDefault="00B40E55" w:rsidP="00B40E55">
      <w:pPr>
        <w:pStyle w:val="000"/>
        <w:rPr>
          <w:rtl/>
          <w:lang w:bidi="ar-EG"/>
        </w:rPr>
      </w:pPr>
      <w:r w:rsidRPr="00325AA7">
        <w:rPr>
          <w:rtl/>
          <w:lang w:bidi="ar-EG"/>
        </w:rPr>
        <w:t xml:space="preserve"> ومن الجيد أن مشكلة التداخل في الصلاحيات تنشأ من خلال التزاحم بين أعمال أكثر من جهة إدارية في ممارسة الاختصاص نفسه، فهناك تداخل في المهام والمسؤوليات بين مختلف الوحدات الإدارية، وعدم وجود إطار قانوني واضح يحدد الفواصل ونقاط التعاون بين الهيئات والجهات المختلفة، وغياب التنظيم القانوني الواضح يسمح بهذا التداخل، وتعزيز عدم المركزية الإدارية؛ حيث تتمتع الوحدات الإدارية المختلفة بقدر كبير من الاستقلالية والصلاحيات المتداخلة، والمقاطعة الإدارية بين الجهات؛ حيث لا يوجد تنسيق وتكامل كافٍ بين مختلف الأجهزة الإدارية في ممارسة اختصاصاتها؛ ومن هنا فإن معالجة هذه الجذور الأساسية للمشكلة من خلال تعزيز الإطار القانوني والتنظيمي الواضح، وتحسين التنسيق والتكامل بين الجهات الإدارية؛ سيساهم في الحد من مشكلة التداخل في الصلاحيات وآثارها السلبية على الأداء التنظيمي (بن رزقه ونجاة، 2022، ص. 303).</w:t>
      </w:r>
    </w:p>
    <w:p w14:paraId="08492698" w14:textId="77777777" w:rsidR="00B40E55" w:rsidRPr="00325AA7" w:rsidRDefault="00B40E55" w:rsidP="00B40E55">
      <w:pPr>
        <w:pStyle w:val="000"/>
        <w:rPr>
          <w:rtl/>
          <w:lang w:bidi="ar-EG"/>
        </w:rPr>
      </w:pPr>
      <w:r w:rsidRPr="00325AA7">
        <w:rPr>
          <w:rtl/>
          <w:lang w:bidi="ar-EG"/>
        </w:rPr>
        <w:lastRenderedPageBreak/>
        <w:t xml:space="preserve"> وقد ينشأ التداخل في الصلاحيات بسبب العديد من العوامل، والتي قام بتوضيحها المبارك والمقرن (2019، ص. 14) في النقاط التالية: </w:t>
      </w:r>
    </w:p>
    <w:p w14:paraId="795A5308"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tl/>
        </w:rPr>
      </w:pPr>
      <w:r w:rsidRPr="00325AA7">
        <w:rPr>
          <w:rFonts w:ascii="Sakkal Majalla" w:hAnsi="Sakkal Majalla" w:cs="Sakkal Majalla"/>
          <w:sz w:val="28"/>
          <w:szCs w:val="28"/>
          <w:rtl/>
        </w:rPr>
        <w:t>عدم التحديد الدقيق والواضح للأهداف والمسؤوليات المناطة بكل طرف يؤدي إلى التداخل، وضرورة وجود تعريف محدد ومشترك للاختصاصات والمهام لكل من الوالي والمجلس المحلي.</w:t>
      </w:r>
    </w:p>
    <w:p w14:paraId="1930547E"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tl/>
        </w:rPr>
      </w:pPr>
      <w:r w:rsidRPr="00325AA7">
        <w:rPr>
          <w:rFonts w:ascii="Sakkal Majalla" w:hAnsi="Sakkal Majalla" w:cs="Sakkal Majalla"/>
          <w:sz w:val="28"/>
          <w:szCs w:val="28"/>
          <w:rtl/>
        </w:rPr>
        <w:t>غياب الانسجام والتكامل بين المستويات الإدارية العليا والتنفيذية، ويؤدي ذلك إلى ضعف التنسيق والتفاهم بين الأطراف المختلفة.</w:t>
      </w:r>
    </w:p>
    <w:p w14:paraId="6E261F8A"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tl/>
        </w:rPr>
      </w:pPr>
      <w:r w:rsidRPr="00325AA7">
        <w:rPr>
          <w:rFonts w:ascii="Sakkal Majalla" w:hAnsi="Sakkal Majalla" w:cs="Sakkal Majalla"/>
          <w:sz w:val="28"/>
          <w:szCs w:val="28"/>
          <w:rtl/>
        </w:rPr>
        <w:t>عدم تفويض الصلاحيات الكافية للمستويات التنفيذية يحد من قدرتها على المبادرة والتصرف؛ ويؤدي ذلك إلى زيادة التداخل والترافع على الصلاحيات بين المستويات المختلفة.</w:t>
      </w:r>
    </w:p>
    <w:p w14:paraId="4794F30F"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tl/>
        </w:rPr>
      </w:pPr>
      <w:r w:rsidRPr="00325AA7">
        <w:rPr>
          <w:rFonts w:ascii="Sakkal Majalla" w:hAnsi="Sakkal Majalla" w:cs="Sakkal Majalla"/>
          <w:sz w:val="28"/>
          <w:szCs w:val="28"/>
          <w:rtl/>
        </w:rPr>
        <w:t>غياب الرقابة والمتابعة الفعالة على أداء الأجهزة الحكومية؛ يؤدي إلى ضعف التنسيق والتكامل بين مختلف الجهات.</w:t>
      </w:r>
    </w:p>
    <w:p w14:paraId="383D5F17"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Pr>
      </w:pPr>
      <w:r w:rsidRPr="00325AA7">
        <w:rPr>
          <w:rFonts w:ascii="Sakkal Majalla" w:hAnsi="Sakkal Majalla" w:cs="Sakkal Majalla"/>
          <w:sz w:val="28"/>
          <w:szCs w:val="28"/>
          <w:rtl/>
        </w:rPr>
        <w:t>غياب الأطر التنظيمية والإجرائية الواضحة، ويساهم في زيادة اللبس والتداخل في الصلاحيات والمسؤوليات.</w:t>
      </w:r>
    </w:p>
    <w:p w14:paraId="2575CAA0" w14:textId="77777777" w:rsidR="00B40E55" w:rsidRPr="00325AA7" w:rsidRDefault="00B40E55" w:rsidP="00B40E55">
      <w:pPr>
        <w:spacing w:after="160"/>
        <w:jc w:val="both"/>
        <w:rPr>
          <w:rFonts w:ascii="Sakkal Majalla" w:hAnsi="Sakkal Majalla" w:cs="Sakkal Majalla"/>
          <w:color w:val="000000" w:themeColor="text1"/>
          <w:sz w:val="28"/>
          <w:szCs w:val="28"/>
          <w:rtl/>
          <w:lang w:bidi="ar-EG"/>
        </w:rPr>
      </w:pPr>
      <w:r w:rsidRPr="00325AA7">
        <w:rPr>
          <w:rFonts w:ascii="Sakkal Majalla" w:hAnsi="Sakkal Majalla" w:cs="Sakkal Majalla"/>
          <w:color w:val="000000" w:themeColor="text1"/>
          <w:sz w:val="28"/>
          <w:szCs w:val="28"/>
          <w:rtl/>
          <w:lang w:bidi="ar-EG"/>
        </w:rPr>
        <w:t xml:space="preserve">ومن خلال ما سبق فإن أهم أسباب تداخل الصلاحيات، كما هو موضح في الشكل التالي: </w:t>
      </w:r>
    </w:p>
    <w:p w14:paraId="32EB2ABA" w14:textId="77777777" w:rsidR="00B40E55" w:rsidRPr="00325AA7" w:rsidRDefault="00B40E55" w:rsidP="00B40E55">
      <w:pPr>
        <w:spacing w:after="160"/>
        <w:jc w:val="center"/>
        <w:rPr>
          <w:rFonts w:ascii="Sakkal Majalla" w:hAnsi="Sakkal Majalla" w:cs="Sakkal Majalla"/>
          <w:color w:val="000000" w:themeColor="text1"/>
          <w:sz w:val="28"/>
          <w:szCs w:val="28"/>
          <w:rtl/>
          <w:lang w:bidi="ar-EG"/>
        </w:rPr>
      </w:pPr>
      <w:r w:rsidRPr="00325AA7">
        <w:rPr>
          <w:rFonts w:ascii="Sakkal Majalla" w:hAnsi="Sakkal Majalla" w:cs="Sakkal Majalla"/>
          <w:noProof/>
          <w:color w:val="000000" w:themeColor="text1"/>
          <w:sz w:val="28"/>
          <w:szCs w:val="28"/>
          <w:rtl/>
        </w:rPr>
        <w:drawing>
          <wp:inline distT="0" distB="0" distL="0" distR="0" wp14:anchorId="1FF7162B" wp14:editId="651A43FD">
            <wp:extent cx="4584700" cy="2130384"/>
            <wp:effectExtent l="0" t="19050" r="0" b="22860"/>
            <wp:docPr id="128329562" name="رسم تخطيطي 12832956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2D2E9CE" w14:textId="77777777" w:rsidR="00B40E55" w:rsidRPr="00325AA7" w:rsidRDefault="00B40E55" w:rsidP="00B40E55">
      <w:pPr>
        <w:pStyle w:val="333"/>
        <w:rPr>
          <w:rtl/>
          <w:lang w:bidi="ar-EG"/>
        </w:rPr>
      </w:pPr>
      <w:bookmarkStart w:id="14" w:name="_Toc175955925"/>
      <w:bookmarkStart w:id="15" w:name="_Toc190337515"/>
      <w:r w:rsidRPr="00325AA7">
        <w:rPr>
          <w:rtl/>
          <w:lang w:bidi="ar-EG"/>
        </w:rPr>
        <w:t>شكل رقم (</w:t>
      </w:r>
      <w:r w:rsidRPr="00325AA7">
        <w:rPr>
          <w:rFonts w:hint="cs"/>
          <w:rtl/>
          <w:lang w:bidi="ar-EG"/>
        </w:rPr>
        <w:t>2-2</w:t>
      </w:r>
      <w:r w:rsidRPr="00325AA7">
        <w:rPr>
          <w:rtl/>
          <w:lang w:bidi="ar-EG"/>
        </w:rPr>
        <w:t>) يوضح أسباب التداخل في الصلاحيات (المصدر: من إعداد الباحث)</w:t>
      </w:r>
      <w:bookmarkEnd w:id="14"/>
      <w:bookmarkEnd w:id="15"/>
    </w:p>
    <w:p w14:paraId="70603B35" w14:textId="77777777" w:rsidR="00B40E55" w:rsidRPr="00325AA7" w:rsidRDefault="00B40E55" w:rsidP="00B40E55">
      <w:pPr>
        <w:pStyle w:val="a4"/>
        <w:numPr>
          <w:ilvl w:val="0"/>
          <w:numId w:val="5"/>
        </w:numPr>
        <w:spacing w:after="160"/>
        <w:jc w:val="both"/>
        <w:rPr>
          <w:rFonts w:ascii="Sakkal Majalla" w:hAnsi="Sakkal Majalla" w:cs="Sakkal Majalla"/>
          <w:color w:val="000000" w:themeColor="text1"/>
          <w:sz w:val="28"/>
          <w:szCs w:val="28"/>
          <w:rtl/>
          <w:lang w:bidi="ar-EG"/>
        </w:rPr>
      </w:pPr>
      <w:r w:rsidRPr="00325AA7">
        <w:rPr>
          <w:rFonts w:ascii="Sakkal Majalla" w:hAnsi="Sakkal Majalla" w:cs="Sakkal Majalla"/>
          <w:color w:val="000000" w:themeColor="text1"/>
          <w:sz w:val="28"/>
          <w:szCs w:val="28"/>
          <w:rtl/>
          <w:lang w:bidi="ar-EG"/>
        </w:rPr>
        <w:t xml:space="preserve"> غياب التنظيم القانوني والتشريعي الواضح الذي يحدد بدقة اختصاصات ومسؤوليات كل جهة إدارية.</w:t>
      </w:r>
    </w:p>
    <w:p w14:paraId="36CC4303" w14:textId="77777777" w:rsidR="00B40E55" w:rsidRPr="00325AA7" w:rsidRDefault="00B40E55" w:rsidP="00B40E55">
      <w:pPr>
        <w:pStyle w:val="a4"/>
        <w:numPr>
          <w:ilvl w:val="0"/>
          <w:numId w:val="5"/>
        </w:numPr>
        <w:spacing w:after="160"/>
        <w:jc w:val="both"/>
        <w:rPr>
          <w:rFonts w:ascii="Sakkal Majalla" w:hAnsi="Sakkal Majalla" w:cs="Sakkal Majalla"/>
          <w:color w:val="000000" w:themeColor="text1"/>
          <w:sz w:val="28"/>
          <w:szCs w:val="28"/>
          <w:rtl/>
          <w:lang w:bidi="ar-EG"/>
        </w:rPr>
      </w:pPr>
      <w:r w:rsidRPr="00325AA7">
        <w:rPr>
          <w:rFonts w:ascii="Sakkal Majalla" w:hAnsi="Sakkal Majalla" w:cs="Sakkal Majalla"/>
          <w:color w:val="000000" w:themeColor="text1"/>
          <w:sz w:val="28"/>
          <w:szCs w:val="28"/>
          <w:rtl/>
          <w:lang w:bidi="ar-EG"/>
        </w:rPr>
        <w:t xml:space="preserve"> ضعف التنسيق والتكامل بين مختلف الوحدات الإدارية والحكومية؛ حيث إن غياب آليات التنسيق الفعالة والشفافة يشجع على الانفراد بالقرار وممارسة الصلاحيات دون الرجوع للجهات الأخرى المعنية.</w:t>
      </w:r>
    </w:p>
    <w:p w14:paraId="5533A414" w14:textId="77777777" w:rsidR="00B40E55" w:rsidRPr="00325AA7" w:rsidRDefault="00B40E55" w:rsidP="00B40E55">
      <w:pPr>
        <w:pStyle w:val="a4"/>
        <w:numPr>
          <w:ilvl w:val="0"/>
          <w:numId w:val="5"/>
        </w:numPr>
        <w:spacing w:after="160"/>
        <w:jc w:val="both"/>
        <w:rPr>
          <w:rFonts w:ascii="Sakkal Majalla" w:hAnsi="Sakkal Majalla" w:cs="Sakkal Majalla"/>
          <w:color w:val="000000" w:themeColor="text1"/>
          <w:sz w:val="28"/>
          <w:szCs w:val="28"/>
          <w:rtl/>
          <w:lang w:bidi="ar-EG"/>
        </w:rPr>
      </w:pPr>
      <w:r w:rsidRPr="00325AA7">
        <w:rPr>
          <w:rFonts w:ascii="Sakkal Majalla" w:hAnsi="Sakkal Majalla" w:cs="Sakkal Majalla"/>
          <w:color w:val="000000" w:themeColor="text1"/>
          <w:sz w:val="28"/>
          <w:szCs w:val="28"/>
          <w:rtl/>
          <w:lang w:bidi="ar-EG"/>
        </w:rPr>
        <w:t xml:space="preserve"> الميل نحو اللامركزية الإدارية المفرطة في بعض الأحيان؛ حيث إن منح الوحدات الإدارية المحلية والهيئات المستقلة صلاحيات واسعة دون ضوابط كافية يزيد من احتمالات التداخل في الاختصاصات.</w:t>
      </w:r>
    </w:p>
    <w:p w14:paraId="392A72E0" w14:textId="77777777" w:rsidR="00B40E55" w:rsidRPr="00325AA7" w:rsidRDefault="00B40E55" w:rsidP="00B40E55">
      <w:pPr>
        <w:pStyle w:val="a4"/>
        <w:numPr>
          <w:ilvl w:val="0"/>
          <w:numId w:val="5"/>
        </w:numPr>
        <w:spacing w:after="160"/>
        <w:jc w:val="both"/>
        <w:rPr>
          <w:rFonts w:ascii="Sakkal Majalla" w:hAnsi="Sakkal Majalla" w:cs="Sakkal Majalla"/>
          <w:color w:val="000000" w:themeColor="text1"/>
          <w:sz w:val="28"/>
          <w:szCs w:val="28"/>
          <w:rtl/>
          <w:lang w:bidi="ar-EG"/>
        </w:rPr>
      </w:pPr>
      <w:r w:rsidRPr="00325AA7">
        <w:rPr>
          <w:rFonts w:ascii="Sakkal Majalla" w:hAnsi="Sakkal Majalla" w:cs="Sakkal Majalla"/>
          <w:color w:val="000000" w:themeColor="text1"/>
          <w:sz w:val="28"/>
          <w:szCs w:val="28"/>
          <w:rtl/>
          <w:lang w:bidi="ar-EG"/>
        </w:rPr>
        <w:t xml:space="preserve"> غياب الرقابة والمحاسبة الفعالة على استخدام الصلاحيات يشجع على التجاوزات والتعديات بين الجهات الإدارية.</w:t>
      </w:r>
    </w:p>
    <w:p w14:paraId="2C85CC86" w14:textId="77777777" w:rsidR="00B40E55" w:rsidRPr="00325AA7" w:rsidRDefault="00B40E55" w:rsidP="00B40E55">
      <w:pPr>
        <w:pStyle w:val="222"/>
        <w:spacing w:line="276" w:lineRule="auto"/>
        <w:rPr>
          <w:sz w:val="28"/>
          <w:szCs w:val="28"/>
          <w:rtl/>
          <w:lang w:bidi="ar-EG"/>
        </w:rPr>
      </w:pPr>
      <w:bookmarkStart w:id="16" w:name="_Toc175955926"/>
      <w:bookmarkStart w:id="17" w:name="_Toc190337516"/>
      <w:r w:rsidRPr="00325AA7">
        <w:rPr>
          <w:sz w:val="28"/>
          <w:szCs w:val="28"/>
          <w:rtl/>
          <w:lang w:bidi="ar-EG"/>
        </w:rPr>
        <w:lastRenderedPageBreak/>
        <w:t>آثار تداخل الصلاحيات في شركات الطاقة:</w:t>
      </w:r>
      <w:bookmarkEnd w:id="16"/>
      <w:bookmarkEnd w:id="17"/>
    </w:p>
    <w:p w14:paraId="2403FFA8" w14:textId="77777777" w:rsidR="00B40E55" w:rsidRPr="00325AA7" w:rsidRDefault="00B40E55" w:rsidP="00B40E55">
      <w:pPr>
        <w:pStyle w:val="000"/>
        <w:rPr>
          <w:lang w:bidi="ar-EG"/>
        </w:rPr>
      </w:pPr>
      <w:r w:rsidRPr="00325AA7">
        <w:rPr>
          <w:rtl/>
          <w:lang w:bidi="ar-EG"/>
        </w:rPr>
        <w:t xml:space="preserve">إن تداخل الصلاحيات بين الجهات الإدارية المختلفة في شركات الطاقة له آثار سلبية متعددة، وهذه الآثار كانت سببًا في الكثير من العوامل التي نتج عنها العديد من المعوقات والمعرقلات في العمل. </w:t>
      </w:r>
    </w:p>
    <w:p w14:paraId="487394BE" w14:textId="77777777" w:rsidR="00B40E55" w:rsidRPr="00325AA7" w:rsidRDefault="00B40E55" w:rsidP="00B40E55">
      <w:pPr>
        <w:pStyle w:val="000"/>
        <w:rPr>
          <w:rtl/>
          <w:lang w:bidi="ar-EG"/>
        </w:rPr>
      </w:pPr>
      <w:r w:rsidRPr="00325AA7">
        <w:rPr>
          <w:rtl/>
        </w:rPr>
        <w:t xml:space="preserve"> ولتوضيح ذلك الأمر فإن تداخل الصلاحيات يعد مشكلة؛ حيث إنه يحجب أهداف السياسة، ويعوق تطوير تنظيم فعال وواضح، بالإضافة إلى ذلك يؤدي التداخل التنظيمي إلى فرض تكاليف حقيقية على الشركات من خلال عمليات التفتيش المتكررة وجهود جمع البيانات، ويكون الأمر مرهقًا بشكل خاص عندما تصدر الوكالات قواعد متضاربة بمعايير غير متسقة (</w:t>
      </w:r>
      <w:r w:rsidRPr="00325AA7">
        <w:rPr>
          <w:shd w:val="clear" w:color="auto" w:fill="FFFFFF"/>
        </w:rPr>
        <w:t>Robb</w:t>
      </w:r>
      <w:r w:rsidRPr="00325AA7">
        <w:t xml:space="preserve"> et al, 2023, P. 1131</w:t>
      </w:r>
      <w:r w:rsidRPr="00325AA7">
        <w:rPr>
          <w:rtl/>
        </w:rPr>
        <w:t>)؛ وتأكيد لذلك يعد التداخل في الصلاحيات شكلًا نموذجيًا للمنافسة التنظيمية، وهذا يعني أن الوكالات المختلفة تتقاسم نفس السلطة التنظيمية في نفس المجال التنظيمي، ويكون ولها العديد من العيوب، مثل: زيادة التكاليف الإدارية، والإدارة غير الفعالة، وانخفاض ثقة الجمهور (</w:t>
      </w:r>
      <w:r w:rsidRPr="00325AA7">
        <w:rPr>
          <w:shd w:val="clear" w:color="auto" w:fill="FFFFFF"/>
        </w:rPr>
        <w:t>Wang</w:t>
      </w:r>
      <w:r w:rsidRPr="00325AA7">
        <w:t>, 2022, P. 4</w:t>
      </w:r>
      <w:r w:rsidRPr="00325AA7">
        <w:rPr>
          <w:rtl/>
        </w:rPr>
        <w:t xml:space="preserve"> </w:t>
      </w:r>
      <w:r w:rsidRPr="00325AA7">
        <w:rPr>
          <w:shd w:val="clear" w:color="auto" w:fill="FFFFFF"/>
        </w:rPr>
        <w:t xml:space="preserve">Cao &amp; </w:t>
      </w:r>
      <w:r w:rsidRPr="00325AA7">
        <w:rPr>
          <w:rtl/>
        </w:rPr>
        <w:t>).</w:t>
      </w:r>
    </w:p>
    <w:p w14:paraId="151E0628" w14:textId="293BAFA1" w:rsidR="00B40E55" w:rsidRPr="00325AA7" w:rsidRDefault="00B40E55" w:rsidP="00B40E55">
      <w:pPr>
        <w:pStyle w:val="000"/>
        <w:rPr>
          <w:rtl/>
        </w:rPr>
      </w:pPr>
      <w:r w:rsidRPr="00325AA7">
        <w:rPr>
          <w:rtl/>
        </w:rPr>
        <w:t>كما التداخل في الصلاحيات يعد من الأمور الهامة التي أثرت على سير العمل، وخاصة فيما يتعلق بالجانب المالي، والإداري، والرقابي؛ حيث لا يوجد تحديد واضح في النظام، واتباع فعاليات العمل والاختصاصات بين المؤسسة والحكومة؛ مما ترتب عليه تجاوز كل سلطة حدود اختصاصاتها على حساب السلطات الأخرى؛ مما تسبب في حدوث الإرباك في العمل الحكومات والجهات المختصة، والاقتصار على مزاولة الأعمال والاختصاصات في حدود ضيقة، والتي لا تفي باحتياجات المجتمع (</w:t>
      </w:r>
      <w:proofErr w:type="spellStart"/>
      <w:r w:rsidR="004C0D13" w:rsidRPr="00325AA7">
        <w:rPr>
          <w:rtl/>
        </w:rPr>
        <w:t>الجشعمي</w:t>
      </w:r>
      <w:proofErr w:type="spellEnd"/>
      <w:r w:rsidRPr="00325AA7">
        <w:rPr>
          <w:rtl/>
        </w:rPr>
        <w:t>، 2020، ص. 159).</w:t>
      </w:r>
    </w:p>
    <w:p w14:paraId="3BDEEACC" w14:textId="77777777" w:rsidR="00B40E55" w:rsidRPr="00325AA7" w:rsidRDefault="00B40E55" w:rsidP="00B40E55">
      <w:pPr>
        <w:pStyle w:val="000"/>
        <w:rPr>
          <w:rtl/>
        </w:rPr>
      </w:pPr>
      <w:r w:rsidRPr="00325AA7">
        <w:rPr>
          <w:rtl/>
        </w:rPr>
        <w:t xml:space="preserve"> وتأسيسًا على ذلك فإن تداخل الصلاحيات في المؤسسات له آثار سلبية خطيرة على الأداء والكفاءة التنظيمية، عندما لا تكون المسؤوليات والسلطات محددة بشكل واضح، ويمكن أن ينتج عن ذلك العديد من المشاكل التي تؤثر على نجاح المؤسسة؛ حيث يمكن حدوث تبديد للأموال وإهدار الطاقات وانخفاض مستوى الإنتاج؛ وذلك يؤثر على عمليات المتابعة والرقابة بسبب توزيع الصلاحيات، كما يحدث إرباك لجميع الجهات المختصة مع غيرها من الجهات والإدارات، سواءً على المستوى المحلي أو الخارجي؛ حيث يوجد تعدد في القنوات، واختلاف في التعليمات والمهام والإجراءات؛ مما يؤدي إلى ضعف في التنسيق بين الجهات؛ وهذا ما أشار إليه المبارك والمقرن (2019، ص. 11)؛ حيث إن المملكة العربية تعاني العديد من الجهات من الازدواجية، والتداخل في الاختصاصات بين الوحدات الإدارية والأجهزة الحكومية؛ الأمر الذي يؤدي إلى هدر الوقت، وإهدار وتشتت الجهد والطاقات البشرية والمالية، وحدوث إرهاق في الميزانية المالية الخاصة بالمؤسسة.</w:t>
      </w:r>
    </w:p>
    <w:p w14:paraId="71E26BC6" w14:textId="77777777" w:rsidR="00B40E55" w:rsidRPr="00325AA7" w:rsidRDefault="00B40E55" w:rsidP="00B40E55">
      <w:pPr>
        <w:pStyle w:val="000"/>
        <w:rPr>
          <w:rtl/>
        </w:rPr>
      </w:pPr>
      <w:r w:rsidRPr="00325AA7">
        <w:rPr>
          <w:rtl/>
        </w:rPr>
        <w:t>كما يمكن أن يكون التنظيم المتداخل مشكلة؛ حيث إنه يحجب أهداف السياسة ويعوق تطوير تنظيم فعال وواضح، بالإضافة إلى ذلك يؤدي التداخل التنظيمي إلى فرض تكاليف حقيقية على الشركات من خلال عمليات التفتيش المتكررة وجهود جمع البيانات، ويكون الأمر مرهقًا بشكل خاص عندما تصدر الوكالات قواعد متضاربة بمعايير غير متسقة (</w:t>
      </w:r>
      <w:r w:rsidRPr="00325AA7">
        <w:rPr>
          <w:shd w:val="clear" w:color="auto" w:fill="FFFFFF"/>
        </w:rPr>
        <w:t>Robb</w:t>
      </w:r>
      <w:r w:rsidRPr="00325AA7">
        <w:t xml:space="preserve"> et al, 2023, P. 1131</w:t>
      </w:r>
      <w:r w:rsidRPr="00325AA7">
        <w:rPr>
          <w:rtl/>
        </w:rPr>
        <w:t>).</w:t>
      </w:r>
    </w:p>
    <w:p w14:paraId="164D78B4" w14:textId="77777777" w:rsidR="00B40E55" w:rsidRPr="00325AA7" w:rsidRDefault="00B40E55" w:rsidP="00B40E55">
      <w:pPr>
        <w:pStyle w:val="000"/>
        <w:rPr>
          <w:rtl/>
        </w:rPr>
      </w:pPr>
      <w:r w:rsidRPr="00325AA7">
        <w:rPr>
          <w:rtl/>
        </w:rPr>
        <w:lastRenderedPageBreak/>
        <w:t xml:space="preserve"> وبطبيعة الحال أن التداخل في الصلاحيات ينطوي على آثار سلبية على أكثر من مستوى من الناحية القانونية والعملية، ويصعب تحديد وضبط هوية الجهة الوظيفية المسؤولة والمخولة بالقيام بمهام معينة، وهذا الغموض في تحديد المسؤوليات قد يؤدي إلى تجاوزات قانونية وإجرائية، وعلى مستوى وحدة الاختصاص في الأجهزة الإدارية، ويؤدي تداخل الصلاحيات إلى تشتت الجهود والاختصاصات بين الوحدات التنظيمية المختلفة؛ مما ينعكس سلبًا على تماسك العمل الإداري وفاعليته، وكما ينتج عن هذا التداخل تضخم إداري ووظيفي؛ مما يؤثر سلبًا على وحدة القرار والأداء في المنظمة، فتكاثر الوظائف والمصالح الإدارية يؤدي إلى تشتت الموارد وازدواجية الجهود (بن رزقه ونجاة، 20222، ص.303)</w:t>
      </w:r>
    </w:p>
    <w:p w14:paraId="351C48EA" w14:textId="77777777" w:rsidR="00B40E55" w:rsidRPr="00325AA7" w:rsidRDefault="00B40E55" w:rsidP="00B40E55">
      <w:pPr>
        <w:pStyle w:val="000"/>
      </w:pPr>
      <w:r w:rsidRPr="00325AA7">
        <w:rPr>
          <w:rtl/>
        </w:rPr>
        <w:t>وفي هذا النطاق قد يكون هناك مجالًا للقول بأن تداخل الصلاحيات في المؤسسات له آثار سلبية خطيرة على الأداء والكفاءة في المؤسسات، عندما لا تكون المسؤوليات والسلطات محددة بشكل واضح، ويمكن أن ينتج عن ذلك العديد من المشاكل التي تؤثر على نجاح المؤسسة، ومنها ما يأتي:</w:t>
      </w:r>
    </w:p>
    <w:p w14:paraId="19260357"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tl/>
        </w:rPr>
      </w:pPr>
      <w:r w:rsidRPr="00325AA7">
        <w:rPr>
          <w:rFonts w:ascii="Sakkal Majalla" w:hAnsi="Sakkal Majalla" w:cs="Sakkal Majalla"/>
          <w:sz w:val="28"/>
          <w:szCs w:val="28"/>
          <w:rtl/>
        </w:rPr>
        <w:t xml:space="preserve">ازدواجية في الجهود والقرارات؛ حيث قد يقوم موظفان أو إدارتان بالعمل على نفس المهام دون علم بعضهما البعض؛ مما يؤدي إلى هدر الموارد والطاقة. </w:t>
      </w:r>
    </w:p>
    <w:p w14:paraId="625ADB46"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Pr>
      </w:pPr>
      <w:r w:rsidRPr="00325AA7">
        <w:rPr>
          <w:rFonts w:ascii="Sakkal Majalla" w:hAnsi="Sakkal Majalla" w:cs="Sakkal Majalla"/>
          <w:sz w:val="28"/>
          <w:szCs w:val="28"/>
          <w:rtl/>
        </w:rPr>
        <w:t>غموض الصلاحيات يؤثر سلبًا على المساءلة والشفافية.</w:t>
      </w:r>
    </w:p>
    <w:p w14:paraId="529AEEE2"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Pr>
      </w:pPr>
      <w:r w:rsidRPr="00325AA7">
        <w:rPr>
          <w:rFonts w:ascii="Sakkal Majalla" w:hAnsi="Sakkal Majalla" w:cs="Sakkal Majalla"/>
          <w:sz w:val="28"/>
          <w:szCs w:val="28"/>
          <w:rtl/>
        </w:rPr>
        <w:t xml:space="preserve">تداخل الصلاحيات يؤثر على الإنتاجية والكفاءة التشغيلية، والارتباك والصراعات الناجمة عن غموض الأدوار تؤدي إلى تأخير في اتخاذ القرارات وتنفيذ المهام. </w:t>
      </w:r>
    </w:p>
    <w:p w14:paraId="1CCB47DE"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tl/>
        </w:rPr>
      </w:pPr>
      <w:r w:rsidRPr="00325AA7">
        <w:rPr>
          <w:rFonts w:ascii="Sakkal Majalla" w:hAnsi="Sakkal Majalla" w:cs="Sakkal Majalla"/>
          <w:sz w:val="28"/>
          <w:szCs w:val="28"/>
          <w:rtl/>
        </w:rPr>
        <w:t>فقدان الثقة والانسجام داخل المؤسسة، فإن ذلك يخلق بيئة من الشك والصراع بين الموظفين والإدارات، وهذا يؤثر بشكل سلبي على الروح المعنوية والتعاون اللازم لتحقيق أهداف المؤسسة.</w:t>
      </w:r>
    </w:p>
    <w:p w14:paraId="3D90DB7A" w14:textId="77777777" w:rsidR="00B40E55" w:rsidRPr="00325AA7" w:rsidRDefault="00B40E55" w:rsidP="00B40E55">
      <w:pPr>
        <w:pStyle w:val="222"/>
        <w:spacing w:line="276" w:lineRule="auto"/>
        <w:rPr>
          <w:color w:val="000000" w:themeColor="text1"/>
          <w:sz w:val="28"/>
          <w:szCs w:val="28"/>
          <w:lang w:bidi="ar-EG"/>
        </w:rPr>
      </w:pPr>
      <w:bookmarkStart w:id="18" w:name="_Toc175955927"/>
      <w:bookmarkStart w:id="19" w:name="_Toc190337517"/>
      <w:r w:rsidRPr="00325AA7">
        <w:rPr>
          <w:sz w:val="28"/>
          <w:szCs w:val="28"/>
          <w:rtl/>
          <w:lang w:bidi="ar-EG"/>
        </w:rPr>
        <w:t>استراتيجيات تقليل تداخل الصلاحيات في شركات الطاقة.</w:t>
      </w:r>
      <w:bookmarkEnd w:id="18"/>
      <w:bookmarkEnd w:id="19"/>
      <w:r w:rsidRPr="00325AA7">
        <w:rPr>
          <w:sz w:val="28"/>
          <w:szCs w:val="28"/>
          <w:rtl/>
          <w:lang w:bidi="ar-EG"/>
        </w:rPr>
        <w:t xml:space="preserve"> </w:t>
      </w:r>
    </w:p>
    <w:p w14:paraId="7940AA43" w14:textId="77777777" w:rsidR="00B40E55" w:rsidRPr="00325AA7" w:rsidRDefault="00B40E55" w:rsidP="00B40E55">
      <w:pPr>
        <w:pStyle w:val="000"/>
      </w:pPr>
      <w:r w:rsidRPr="00325AA7">
        <w:rPr>
          <w:rtl/>
        </w:rPr>
        <w:t>تداخل الصلاحيات هو أحد التحديات الرئيسية التي تواجه المؤسسات، وعندما تكون المسؤوليات والصلاحيات غير واضحة أو متداخلة بين الموظفين والإدارات، يمكن أن يؤدي ذلك إلى إرباك وتضارب في القرارات، وحتى سوء استخدام السلطة؛ لذلك من المهم أن تنتهج المؤسسات استراتيجيات فعالة لمنع هذا التداخل، ومن أهم هذه الاستراتيجيات ما يلي:</w:t>
      </w:r>
    </w:p>
    <w:p w14:paraId="40D0CF77" w14:textId="77777777" w:rsidR="00B40E55" w:rsidRPr="00325AA7" w:rsidRDefault="00B40E55" w:rsidP="00B40E55">
      <w:pPr>
        <w:pStyle w:val="000"/>
        <w:rPr>
          <w:rtl/>
          <w:lang w:bidi="ar-EG"/>
        </w:rPr>
      </w:pPr>
      <w:r w:rsidRPr="00325AA7">
        <w:rPr>
          <w:rtl/>
          <w:lang w:bidi="ar-EG"/>
        </w:rPr>
        <w:t>إن الاعتماد على التقنيات الحديثة والنظم الإلكترونية يعد أداة فعالة لمعالجة مشكلة تداخل الاختصاصات بين الإدارات المختلفة داخل المؤسسات؛ وذلك من خلال تصميم نظم معلومات متكاملة تربط جميع الإدارات، وتحدد بدقة صلاحيات وواجبات كل منها، وتطبيق الحوكمة الإلكترونية والتحول الرقمي في الإجراءات والعمليات التنظيمية، وإنشاء قواعد بيانات موحدة ومتكاملة تمكن من تتبع المهام والمسؤوليات بين الإدارات، وتصميم الهياكل التنظيمية والوظيفية بدقة؛ بحيث تكون الاختصاصات والصلاحيات محددة بوضوح، وتطبيق نظم الموافقات الإلكترونية والتدفق الآلي للمعاملات بين الإدارات المختلفة، وتعزيز الشفافية والمساءلة؛ من خلال توثيق جميع الإجراءات والقرارات إلكترونيًا</w:t>
      </w:r>
      <w:r w:rsidRPr="00325AA7">
        <w:rPr>
          <w:rFonts w:hint="cs"/>
          <w:rtl/>
          <w:lang w:bidi="ar-EG"/>
        </w:rPr>
        <w:t xml:space="preserve"> </w:t>
      </w:r>
      <w:r w:rsidRPr="00325AA7">
        <w:rPr>
          <w:color w:val="000000"/>
          <w:shd w:val="clear" w:color="auto" w:fill="FFFFFF"/>
          <w:rtl/>
        </w:rPr>
        <w:t>(المبارك والمقرن، 2019، ص. 9)</w:t>
      </w:r>
      <w:r w:rsidRPr="00325AA7">
        <w:rPr>
          <w:rtl/>
        </w:rPr>
        <w:t>.</w:t>
      </w:r>
    </w:p>
    <w:p w14:paraId="25B3DD47" w14:textId="77777777" w:rsidR="00B40E55" w:rsidRPr="00325AA7" w:rsidRDefault="00B40E55" w:rsidP="00B40E55">
      <w:pPr>
        <w:pStyle w:val="000"/>
      </w:pPr>
      <w:r w:rsidRPr="00325AA7">
        <w:rPr>
          <w:rtl/>
        </w:rPr>
        <w:lastRenderedPageBreak/>
        <w:t>إلى جانب ذلك فإن التنمية الإدارية التي تقوم بصورة كبيرة على الإدارة الفعالة لقطاعات المركزية واللامركزية والتي تسعى إلى تطوير الأداء الإداري وتحقيق الجودة ومن أبرزها معالجة الازدواجية التي تعاني منها شتى المؤسسات الإدارية، وكان لابد من انتهاج استراتيجية فصل الاختصاصات التي تساعد على رفع من مستوى الفاعلية والكفاءة في إنتاج المصالح العامة، وزيادة مستويات الخدمات الفردية والجماعية (بن زرقة ونجاة، 2022، ص.288).</w:t>
      </w:r>
    </w:p>
    <w:p w14:paraId="003CA67E" w14:textId="77777777" w:rsidR="00B40E55" w:rsidRPr="00325AA7" w:rsidRDefault="00B40E55" w:rsidP="00B40E55">
      <w:pPr>
        <w:pStyle w:val="000"/>
        <w:rPr>
          <w:rtl/>
        </w:rPr>
      </w:pPr>
      <w:r w:rsidRPr="00325AA7">
        <w:rPr>
          <w:rtl/>
        </w:rPr>
        <w:t>كما أنه من الواضح وجود دليل تنظيمي في المؤسسات يساعد على تحديد المهام والمسؤوليات لكل وحدة إدارية على حدة، والسعي لتطوير الأنظمة واللوائح القائمة، والتحديد الدقيق لمهام المؤسسة، وإعادة هيكلة النظام، وتبني الضوابط الخاصة بالشفافية والالتزام من جانب الجهات المختصة، والتي تعد من أهم الطرق للحد من التداخل في الاختصاصات بين فروع المؤسسة (المبارك والمقرن، 2019، ص. 10).</w:t>
      </w:r>
    </w:p>
    <w:p w14:paraId="31CBDE01" w14:textId="77777777" w:rsidR="00B40E55" w:rsidRPr="00325AA7" w:rsidRDefault="00B40E55" w:rsidP="00B40E55">
      <w:pPr>
        <w:pStyle w:val="000"/>
        <w:rPr>
          <w:rtl/>
        </w:rPr>
      </w:pPr>
      <w:r w:rsidRPr="00325AA7">
        <w:rPr>
          <w:rtl/>
        </w:rPr>
        <w:t>وهناك بعض الاستراتيجيات الهامة لتقليل تداخل الصلاحيات وتطوير منطق توزيع الاختصاصات بين الدولة والجماعات المحلية، والتي أكد عليها زعنون (2019، ص. 54) من خلال ما يأتي:</w:t>
      </w:r>
    </w:p>
    <w:p w14:paraId="7510A8F9" w14:textId="77777777" w:rsidR="00B40E55" w:rsidRPr="00325AA7" w:rsidRDefault="00B40E55" w:rsidP="00B40E55">
      <w:pPr>
        <w:pStyle w:val="a4"/>
        <w:numPr>
          <w:ilvl w:val="0"/>
          <w:numId w:val="4"/>
        </w:numPr>
        <w:spacing w:after="160"/>
        <w:jc w:val="both"/>
        <w:rPr>
          <w:rFonts w:ascii="Sakkal Majalla" w:hAnsi="Sakkal Majalla" w:cs="Sakkal Majalla"/>
          <w:sz w:val="28"/>
          <w:szCs w:val="28"/>
          <w:rtl/>
        </w:rPr>
      </w:pPr>
      <w:r w:rsidRPr="00325AA7">
        <w:rPr>
          <w:rFonts w:ascii="Sakkal Majalla" w:hAnsi="Sakkal Majalla" w:cs="Sakkal Majalla"/>
          <w:sz w:val="28"/>
          <w:szCs w:val="28"/>
          <w:rtl/>
        </w:rPr>
        <w:t>نصوص دستورية وقانونية محددة تحدد بوضوح الاختصاصات والمسؤوليات لكل من الدولة والحكومات المحلية، وهذا سيساعد على تحديد الحدود الفاصلة وتجنب التداخل.</w:t>
      </w:r>
    </w:p>
    <w:p w14:paraId="1B2F542B" w14:textId="77777777" w:rsidR="00B40E55" w:rsidRPr="00325AA7" w:rsidRDefault="00B40E55" w:rsidP="00B40E55">
      <w:pPr>
        <w:pStyle w:val="a4"/>
        <w:numPr>
          <w:ilvl w:val="0"/>
          <w:numId w:val="4"/>
        </w:numPr>
        <w:spacing w:after="160"/>
        <w:jc w:val="both"/>
        <w:rPr>
          <w:rFonts w:ascii="Sakkal Majalla" w:hAnsi="Sakkal Majalla" w:cs="Sakkal Majalla"/>
          <w:sz w:val="28"/>
          <w:szCs w:val="28"/>
          <w:rtl/>
        </w:rPr>
      </w:pPr>
      <w:r w:rsidRPr="00325AA7">
        <w:rPr>
          <w:rFonts w:ascii="Sakkal Majalla" w:hAnsi="Sakkal Majalla" w:cs="Sakkal Majalla"/>
          <w:sz w:val="28"/>
          <w:szCs w:val="28"/>
          <w:rtl/>
        </w:rPr>
        <w:t>منح الحكومات المحلية استقلالية أكبر في القرارات الإدارية والموازنات المالية؛ لذا سيساعد على تمكينها من ممارسة صلاحياتها بفعالية دون تدخل مركزي مفرط.</w:t>
      </w:r>
    </w:p>
    <w:p w14:paraId="01BCA4E8" w14:textId="77777777" w:rsidR="00B40E55" w:rsidRPr="00325AA7" w:rsidRDefault="00B40E55" w:rsidP="00B40E55">
      <w:pPr>
        <w:pStyle w:val="a4"/>
        <w:numPr>
          <w:ilvl w:val="0"/>
          <w:numId w:val="4"/>
        </w:numPr>
        <w:spacing w:after="160"/>
        <w:jc w:val="both"/>
        <w:rPr>
          <w:rFonts w:ascii="Sakkal Majalla" w:hAnsi="Sakkal Majalla" w:cs="Sakkal Majalla"/>
          <w:sz w:val="28"/>
          <w:szCs w:val="28"/>
          <w:rtl/>
        </w:rPr>
      </w:pPr>
      <w:r w:rsidRPr="00325AA7">
        <w:rPr>
          <w:rFonts w:ascii="Sakkal Majalla" w:hAnsi="Sakkal Majalla" w:cs="Sakkal Majalla"/>
          <w:sz w:val="28"/>
          <w:szCs w:val="28"/>
          <w:rtl/>
        </w:rPr>
        <w:t>إنشاء منصات وآليات للتنسيق والتشاور المنتظم بين الحكومة المركزية، والحكومات المحلية لمناقشة القضايا المشتركة وتنسيق الجهود.</w:t>
      </w:r>
    </w:p>
    <w:p w14:paraId="3D0EFCFF" w14:textId="77777777" w:rsidR="00B40E55" w:rsidRPr="00325AA7" w:rsidRDefault="00B40E55" w:rsidP="00B40E55">
      <w:pPr>
        <w:pStyle w:val="a4"/>
        <w:numPr>
          <w:ilvl w:val="0"/>
          <w:numId w:val="4"/>
        </w:numPr>
        <w:spacing w:after="160"/>
        <w:jc w:val="both"/>
        <w:rPr>
          <w:rFonts w:ascii="Sakkal Majalla" w:hAnsi="Sakkal Majalla" w:cs="Sakkal Majalla"/>
          <w:sz w:val="28"/>
          <w:szCs w:val="28"/>
          <w:rtl/>
        </w:rPr>
      </w:pPr>
      <w:r w:rsidRPr="00325AA7">
        <w:rPr>
          <w:rFonts w:ascii="Sakkal Majalla" w:hAnsi="Sakkal Majalla" w:cs="Sakkal Majalla"/>
          <w:sz w:val="28"/>
          <w:szCs w:val="28"/>
          <w:rtl/>
        </w:rPr>
        <w:t>تفعيل دور المؤسسات الرقابية والقضائية في مراقبة ممارسة الصلاحيات، وضمان عدم تجاوزها أو التداخل فيها.</w:t>
      </w:r>
    </w:p>
    <w:p w14:paraId="030C9CA2" w14:textId="77777777" w:rsidR="00B40E55" w:rsidRPr="00325AA7" w:rsidRDefault="00B40E55" w:rsidP="00B40E55">
      <w:pPr>
        <w:pStyle w:val="a4"/>
        <w:numPr>
          <w:ilvl w:val="0"/>
          <w:numId w:val="4"/>
        </w:numPr>
        <w:spacing w:after="160"/>
        <w:jc w:val="both"/>
        <w:rPr>
          <w:rFonts w:ascii="Sakkal Majalla" w:hAnsi="Sakkal Majalla" w:cs="Sakkal Majalla"/>
          <w:sz w:val="28"/>
          <w:szCs w:val="28"/>
          <w:rtl/>
        </w:rPr>
      </w:pPr>
      <w:r w:rsidRPr="00325AA7">
        <w:rPr>
          <w:rFonts w:ascii="Sakkal Majalla" w:hAnsi="Sakkal Majalla" w:cs="Sakkal Majalla"/>
          <w:sz w:val="28"/>
          <w:szCs w:val="28"/>
          <w:rtl/>
        </w:rPr>
        <w:t>الاستثمار في تنمية القدرات المؤسسية والبشرية للحكومات المحلية؛ ليتمكنوا من ممارسة صلاحياتهم بفعالية.</w:t>
      </w:r>
    </w:p>
    <w:p w14:paraId="15E19CBD" w14:textId="77777777" w:rsidR="00B40E55" w:rsidRPr="00325AA7" w:rsidRDefault="00B40E55" w:rsidP="00B40E55">
      <w:pPr>
        <w:pStyle w:val="a4"/>
        <w:numPr>
          <w:ilvl w:val="0"/>
          <w:numId w:val="4"/>
        </w:numPr>
        <w:spacing w:after="160"/>
        <w:jc w:val="both"/>
        <w:rPr>
          <w:rFonts w:ascii="Sakkal Majalla" w:hAnsi="Sakkal Majalla" w:cs="Sakkal Majalla"/>
          <w:sz w:val="28"/>
          <w:szCs w:val="28"/>
          <w:rtl/>
        </w:rPr>
      </w:pPr>
      <w:r w:rsidRPr="00325AA7">
        <w:rPr>
          <w:rFonts w:ascii="Sakkal Majalla" w:hAnsi="Sakkal Majalla" w:cs="Sakkal Majalla"/>
          <w:sz w:val="28"/>
          <w:szCs w:val="28"/>
          <w:rtl/>
        </w:rPr>
        <w:t>إنشاء آليات مثل: المحاكم الدستورية، أو هيئات تحكيمية لفض النزاعات بين المستويات الحكومية، وتحديد الحدود الفاصلة للصلاحيات.</w:t>
      </w:r>
    </w:p>
    <w:p w14:paraId="0B46C6BF" w14:textId="77777777" w:rsidR="00B40E55" w:rsidRPr="00325AA7" w:rsidRDefault="00B40E55" w:rsidP="00B40E55">
      <w:pPr>
        <w:pStyle w:val="a4"/>
        <w:numPr>
          <w:ilvl w:val="0"/>
          <w:numId w:val="4"/>
        </w:numPr>
        <w:spacing w:after="160"/>
        <w:jc w:val="both"/>
        <w:rPr>
          <w:rFonts w:ascii="Sakkal Majalla" w:hAnsi="Sakkal Majalla" w:cs="Sakkal Majalla"/>
          <w:sz w:val="28"/>
          <w:szCs w:val="28"/>
          <w:rtl/>
        </w:rPr>
      </w:pPr>
      <w:r w:rsidRPr="00325AA7">
        <w:rPr>
          <w:rFonts w:ascii="Sakkal Majalla" w:hAnsi="Sakkal Majalla" w:cs="Sakkal Majalla"/>
          <w:sz w:val="28"/>
          <w:szCs w:val="28"/>
          <w:rtl/>
        </w:rPr>
        <w:t>إن تطبيق هذه الاستراتيجيات سيساعد على بناء نظام لامركزي متوازن وفعّال في توزيع الاختصاصات والصلاحيات بين الدولة والجماعات المحلية.</w:t>
      </w:r>
    </w:p>
    <w:p w14:paraId="35434DD3" w14:textId="77777777" w:rsidR="00B40E55" w:rsidRPr="00325AA7" w:rsidRDefault="00B40E55" w:rsidP="00B40E55">
      <w:pPr>
        <w:pStyle w:val="000"/>
      </w:pPr>
      <w:r w:rsidRPr="00325AA7">
        <w:rPr>
          <w:rtl/>
          <w:lang w:bidi="ar-EG"/>
        </w:rPr>
        <w:t xml:space="preserve"> وفي هذا النطاق يمكن لهيكل السلطة الإدارية أن يتجنب تداخل السلطات ويمنع الفساد الناجم عن تركيز سلطات صنع القرار والتنفيذ والإشراف؛ وذلك لتحقيق التكامل العضوي والتشغيل المنسق للسلطة الإدارية (</w:t>
      </w:r>
      <w:proofErr w:type="spellStart"/>
      <w:r w:rsidRPr="00325AA7">
        <w:rPr>
          <w:shd w:val="clear" w:color="auto" w:fill="FFFFFF"/>
        </w:rPr>
        <w:t>Youqi</w:t>
      </w:r>
      <w:proofErr w:type="spellEnd"/>
      <w:r w:rsidRPr="00325AA7">
        <w:rPr>
          <w:shd w:val="clear" w:color="auto" w:fill="FFFFFF"/>
        </w:rPr>
        <w:t xml:space="preserve"> &amp; </w:t>
      </w:r>
      <w:proofErr w:type="spellStart"/>
      <w:r w:rsidRPr="00325AA7">
        <w:rPr>
          <w:shd w:val="clear" w:color="auto" w:fill="FFFFFF"/>
        </w:rPr>
        <w:t>Zhikun</w:t>
      </w:r>
      <w:proofErr w:type="spellEnd"/>
      <w:r w:rsidRPr="00325AA7">
        <w:rPr>
          <w:shd w:val="clear" w:color="auto" w:fill="FFFFFF"/>
        </w:rPr>
        <w:t>, 2019, P. 57</w:t>
      </w:r>
      <w:r w:rsidRPr="00325AA7">
        <w:rPr>
          <w:rtl/>
          <w:lang w:bidi="ar-EG"/>
        </w:rPr>
        <w:t>).</w:t>
      </w:r>
    </w:p>
    <w:p w14:paraId="720D7995" w14:textId="77777777" w:rsidR="00B40E55" w:rsidRPr="00325AA7" w:rsidRDefault="00B40E55" w:rsidP="00B40E55">
      <w:pPr>
        <w:pStyle w:val="000"/>
        <w:rPr>
          <w:rtl/>
        </w:rPr>
      </w:pPr>
      <w:r w:rsidRPr="00325AA7">
        <w:rPr>
          <w:rtl/>
        </w:rPr>
        <w:lastRenderedPageBreak/>
        <w:t>من خلال ما تم طرحة في الفقرات السابقة فإن تداخل الصلاحيات هو أحد التحديات الرئيسية التي تواجه المؤسسات؛ لذلك من المهم أن تنتهج المؤسسات استراتيجيات فعالة لمنع هذا التداخل، ومنها كما هو موضح في الشكل رقم (3) كما يلي:</w:t>
      </w:r>
    </w:p>
    <w:p w14:paraId="09FE327B" w14:textId="77777777" w:rsidR="00B40E55" w:rsidRPr="00325AA7" w:rsidRDefault="00B40E55" w:rsidP="00B40E55">
      <w:pPr>
        <w:spacing w:after="160"/>
        <w:jc w:val="center"/>
        <w:rPr>
          <w:rFonts w:ascii="Sakkal Majalla" w:hAnsi="Sakkal Majalla" w:cs="Sakkal Majalla"/>
          <w:sz w:val="28"/>
          <w:szCs w:val="28"/>
          <w:rtl/>
        </w:rPr>
      </w:pPr>
      <w:r w:rsidRPr="00325AA7">
        <w:rPr>
          <w:rFonts w:ascii="Sakkal Majalla" w:hAnsi="Sakkal Majalla" w:cs="Sakkal Majalla"/>
          <w:noProof/>
          <w:sz w:val="28"/>
          <w:szCs w:val="28"/>
        </w:rPr>
        <w:drawing>
          <wp:inline distT="0" distB="0" distL="0" distR="0" wp14:anchorId="3BAF2EFB" wp14:editId="4AAA2681">
            <wp:extent cx="4500439" cy="2321781"/>
            <wp:effectExtent l="0" t="0" r="0" b="21590"/>
            <wp:docPr id="7" name="رسم تخطيطي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7E35B24" w14:textId="77777777" w:rsidR="00B40E55" w:rsidRPr="00325AA7" w:rsidRDefault="00B40E55" w:rsidP="00B40E55">
      <w:pPr>
        <w:pStyle w:val="333"/>
      </w:pPr>
      <w:bookmarkStart w:id="20" w:name="_Toc175955928"/>
      <w:bookmarkStart w:id="21" w:name="_Toc190337518"/>
      <w:r w:rsidRPr="00325AA7">
        <w:rPr>
          <w:rtl/>
        </w:rPr>
        <w:t>شكل رقم (</w:t>
      </w:r>
      <w:r w:rsidRPr="00325AA7">
        <w:rPr>
          <w:rFonts w:hint="cs"/>
          <w:rtl/>
        </w:rPr>
        <w:t>2-3</w:t>
      </w:r>
      <w:r w:rsidRPr="00325AA7">
        <w:rPr>
          <w:rtl/>
        </w:rPr>
        <w:t>) يوضح طرق منع التداخل في الصلاحيات (المصدر: من إعداد: الباحث)</w:t>
      </w:r>
      <w:bookmarkEnd w:id="20"/>
      <w:bookmarkEnd w:id="21"/>
    </w:p>
    <w:p w14:paraId="682C78B3" w14:textId="77777777" w:rsidR="00B40E55" w:rsidRPr="00325AA7" w:rsidRDefault="00B40E55" w:rsidP="00B40E55">
      <w:pPr>
        <w:pStyle w:val="a4"/>
        <w:numPr>
          <w:ilvl w:val="0"/>
          <w:numId w:val="3"/>
        </w:numPr>
        <w:spacing w:after="160"/>
        <w:jc w:val="both"/>
        <w:rPr>
          <w:rFonts w:ascii="Sakkal Majalla" w:hAnsi="Sakkal Majalla" w:cs="Sakkal Majalla"/>
          <w:sz w:val="28"/>
          <w:szCs w:val="28"/>
        </w:rPr>
      </w:pPr>
      <w:r w:rsidRPr="00325AA7">
        <w:rPr>
          <w:rFonts w:ascii="Sakkal Majalla" w:hAnsi="Sakkal Majalla" w:cs="Sakkal Majalla"/>
          <w:sz w:val="28"/>
          <w:szCs w:val="28"/>
          <w:rtl/>
        </w:rPr>
        <w:t>تحديد وتوثيق المسؤوليات والصلاحيات بشكل واضح لكل موظف ودائرة في الهيكل التنظيمي، وينبغي أن تكون حدود الصلاحيات محددة بوضوح، وأن يكون هناك فصل واضح بين الوظائف المختلفة.</w:t>
      </w:r>
    </w:p>
    <w:p w14:paraId="0D1F585A" w14:textId="77777777" w:rsidR="00B40E55" w:rsidRPr="00325AA7" w:rsidRDefault="00B40E55" w:rsidP="00B40E55">
      <w:pPr>
        <w:pStyle w:val="a4"/>
        <w:numPr>
          <w:ilvl w:val="0"/>
          <w:numId w:val="3"/>
        </w:numPr>
        <w:spacing w:after="160"/>
        <w:jc w:val="both"/>
        <w:rPr>
          <w:rFonts w:ascii="Sakkal Majalla" w:hAnsi="Sakkal Majalla" w:cs="Sakkal Majalla"/>
          <w:sz w:val="28"/>
          <w:szCs w:val="28"/>
        </w:rPr>
      </w:pPr>
      <w:r w:rsidRPr="00325AA7">
        <w:rPr>
          <w:rFonts w:ascii="Sakkal Majalla" w:hAnsi="Sakkal Majalla" w:cs="Sakkal Majalla"/>
          <w:sz w:val="28"/>
          <w:szCs w:val="28"/>
          <w:rtl/>
        </w:rPr>
        <w:t>تطوير سياسات وإجراءات داخلية واضحة لتسلسل اتخاذ القرارات والموافقات، هذا يساعد على تجنب تداخل السلطات، والتأكد من اتخاذ القرارات بالطريقة المناسبة.</w:t>
      </w:r>
    </w:p>
    <w:p w14:paraId="068D28B3" w14:textId="77777777" w:rsidR="00B40E55" w:rsidRPr="00325AA7" w:rsidRDefault="00B40E55" w:rsidP="00B40E55">
      <w:pPr>
        <w:pStyle w:val="a4"/>
        <w:numPr>
          <w:ilvl w:val="0"/>
          <w:numId w:val="3"/>
        </w:numPr>
        <w:spacing w:after="160"/>
        <w:jc w:val="both"/>
        <w:rPr>
          <w:rFonts w:ascii="Sakkal Majalla" w:hAnsi="Sakkal Majalla" w:cs="Sakkal Majalla"/>
          <w:sz w:val="28"/>
          <w:szCs w:val="28"/>
        </w:rPr>
      </w:pPr>
      <w:r w:rsidRPr="00325AA7">
        <w:rPr>
          <w:rFonts w:ascii="Sakkal Majalla" w:hAnsi="Sakkal Majalla" w:cs="Sakkal Majalla"/>
          <w:sz w:val="28"/>
          <w:szCs w:val="28"/>
          <w:rtl/>
        </w:rPr>
        <w:t>تدريب الموظفين بشكل منتظم على هذه السياسات والإجراءات، وضمان فهمهم الجيد لحدود صلاحياتهم، كما يجب تعزيز ثقافة المساءلة والشفافية داخل المؤسسة.</w:t>
      </w:r>
    </w:p>
    <w:p w14:paraId="705F10C0" w14:textId="77777777" w:rsidR="00B40E55" w:rsidRPr="00325AA7" w:rsidRDefault="00B40E55" w:rsidP="00B40E55">
      <w:pPr>
        <w:spacing w:after="160"/>
        <w:jc w:val="both"/>
        <w:rPr>
          <w:rFonts w:ascii="Sakkal Majalla" w:hAnsi="Sakkal Majalla" w:cs="Sakkal Majalla"/>
          <w:sz w:val="28"/>
          <w:szCs w:val="28"/>
          <w:rtl/>
        </w:rPr>
      </w:pPr>
    </w:p>
    <w:p w14:paraId="0A1278A9" w14:textId="77777777" w:rsidR="00B40E55" w:rsidRPr="00325AA7" w:rsidRDefault="00B40E55" w:rsidP="00B40E55">
      <w:pPr>
        <w:spacing w:after="160"/>
        <w:jc w:val="both"/>
        <w:rPr>
          <w:rFonts w:ascii="Sakkal Majalla" w:hAnsi="Sakkal Majalla" w:cs="Sakkal Majalla"/>
          <w:sz w:val="28"/>
          <w:szCs w:val="28"/>
          <w:rtl/>
        </w:rPr>
      </w:pPr>
    </w:p>
    <w:p w14:paraId="01AB95E2" w14:textId="77777777" w:rsidR="00B40E55" w:rsidRPr="00325AA7" w:rsidRDefault="00B40E55" w:rsidP="00B40E55">
      <w:pPr>
        <w:spacing w:after="160"/>
        <w:jc w:val="both"/>
        <w:rPr>
          <w:rFonts w:ascii="Sakkal Majalla" w:hAnsi="Sakkal Majalla" w:cs="Sakkal Majalla"/>
          <w:sz w:val="28"/>
          <w:szCs w:val="28"/>
          <w:rtl/>
        </w:rPr>
      </w:pPr>
    </w:p>
    <w:p w14:paraId="2EA1B234" w14:textId="77777777" w:rsidR="00B40E55" w:rsidRPr="00325AA7" w:rsidRDefault="00B40E55" w:rsidP="00B40E55">
      <w:pPr>
        <w:spacing w:after="160"/>
        <w:jc w:val="both"/>
        <w:rPr>
          <w:rFonts w:ascii="Sakkal Majalla" w:hAnsi="Sakkal Majalla" w:cs="Sakkal Majalla"/>
          <w:sz w:val="28"/>
          <w:szCs w:val="28"/>
          <w:rtl/>
        </w:rPr>
      </w:pPr>
    </w:p>
    <w:p w14:paraId="0C3E4A17" w14:textId="77777777" w:rsidR="00B40E55" w:rsidRPr="00325AA7" w:rsidRDefault="00B40E55" w:rsidP="00B40E55">
      <w:pPr>
        <w:spacing w:after="160"/>
        <w:jc w:val="both"/>
        <w:rPr>
          <w:rFonts w:ascii="Sakkal Majalla" w:hAnsi="Sakkal Majalla" w:cs="Sakkal Majalla"/>
          <w:sz w:val="28"/>
          <w:szCs w:val="28"/>
          <w:rtl/>
        </w:rPr>
      </w:pPr>
    </w:p>
    <w:p w14:paraId="4CAD0CA0" w14:textId="77777777" w:rsidR="00B40E55" w:rsidRPr="00325AA7" w:rsidRDefault="00B40E55" w:rsidP="00B40E55">
      <w:pPr>
        <w:spacing w:after="160"/>
        <w:jc w:val="both"/>
        <w:rPr>
          <w:rFonts w:ascii="Sakkal Majalla" w:hAnsi="Sakkal Majalla" w:cs="Sakkal Majalla"/>
          <w:sz w:val="28"/>
          <w:szCs w:val="28"/>
          <w:rtl/>
        </w:rPr>
      </w:pPr>
    </w:p>
    <w:p w14:paraId="25CA3FC7" w14:textId="77777777" w:rsidR="00B40E55" w:rsidRPr="00325AA7" w:rsidRDefault="00B40E55" w:rsidP="00B40E55">
      <w:pPr>
        <w:spacing w:after="160"/>
        <w:jc w:val="both"/>
        <w:rPr>
          <w:rFonts w:ascii="Sakkal Majalla" w:hAnsi="Sakkal Majalla" w:cs="Sakkal Majalla"/>
          <w:sz w:val="28"/>
          <w:szCs w:val="28"/>
          <w:rtl/>
        </w:rPr>
      </w:pPr>
    </w:p>
    <w:p w14:paraId="5AFD6D1D" w14:textId="77777777" w:rsidR="00B40E55" w:rsidRPr="00325AA7" w:rsidRDefault="00B40E55" w:rsidP="00B40E55">
      <w:pPr>
        <w:spacing w:after="160"/>
        <w:jc w:val="both"/>
        <w:rPr>
          <w:rFonts w:ascii="Sakkal Majalla" w:hAnsi="Sakkal Majalla" w:cs="Sakkal Majalla"/>
          <w:sz w:val="28"/>
          <w:szCs w:val="28"/>
          <w:rtl/>
        </w:rPr>
      </w:pPr>
    </w:p>
    <w:p w14:paraId="474FD7BD" w14:textId="77777777" w:rsidR="00B40E55" w:rsidRPr="00325AA7" w:rsidRDefault="00B40E55" w:rsidP="00B40E55">
      <w:pPr>
        <w:pStyle w:val="222"/>
        <w:jc w:val="center"/>
        <w:rPr>
          <w:rtl/>
        </w:rPr>
      </w:pPr>
      <w:bookmarkStart w:id="22" w:name="_Toc175955929"/>
      <w:bookmarkStart w:id="23" w:name="_Toc190337519"/>
      <w:r w:rsidRPr="00325AA7">
        <w:rPr>
          <w:rtl/>
        </w:rPr>
        <w:lastRenderedPageBreak/>
        <w:t>المحور الثاني قطاع الطاقة في المملكة العربية السعودية</w:t>
      </w:r>
      <w:bookmarkEnd w:id="22"/>
      <w:bookmarkEnd w:id="23"/>
    </w:p>
    <w:p w14:paraId="5D143E35" w14:textId="77777777" w:rsidR="00B40E55" w:rsidRPr="00325AA7" w:rsidRDefault="00B40E55" w:rsidP="00B40E55">
      <w:pPr>
        <w:pStyle w:val="222"/>
        <w:spacing w:line="276" w:lineRule="auto"/>
        <w:rPr>
          <w:sz w:val="28"/>
          <w:szCs w:val="28"/>
          <w:lang w:bidi="ar-EG"/>
        </w:rPr>
      </w:pPr>
      <w:bookmarkStart w:id="24" w:name="_Toc175955930"/>
      <w:bookmarkStart w:id="25" w:name="_Toc190337520"/>
      <w:r w:rsidRPr="00325AA7">
        <w:rPr>
          <w:sz w:val="28"/>
          <w:szCs w:val="28"/>
          <w:rtl/>
          <w:lang w:bidi="ar-EG"/>
        </w:rPr>
        <w:t>مقدمة</w:t>
      </w:r>
      <w:bookmarkEnd w:id="24"/>
      <w:bookmarkEnd w:id="25"/>
      <w:r w:rsidRPr="00325AA7">
        <w:rPr>
          <w:sz w:val="28"/>
          <w:szCs w:val="28"/>
          <w:rtl/>
          <w:lang w:bidi="ar-EG"/>
        </w:rPr>
        <w:t xml:space="preserve"> </w:t>
      </w:r>
    </w:p>
    <w:p w14:paraId="6CA35B35" w14:textId="77777777" w:rsidR="00B40E55" w:rsidRPr="00325AA7" w:rsidRDefault="00B40E55" w:rsidP="00B40E55">
      <w:pPr>
        <w:pStyle w:val="000"/>
        <w:rPr>
          <w:lang w:bidi="ar-EG"/>
        </w:rPr>
      </w:pPr>
      <w:r w:rsidRPr="00325AA7">
        <w:rPr>
          <w:rtl/>
          <w:lang w:bidi="ar-EG"/>
        </w:rPr>
        <w:t>يعد قطاع الطاقة في السعودية من أهم القطاعات التي يجب الكشف عن كل ما يتعلق بها؛ حيث يعد قطاع الطاقة له أهمية كبيرة، وخاصة في الاقتصاد السعودي؛ مما ينعكس على المجتمع والأفراد في شتى مناحي الحياة.</w:t>
      </w:r>
    </w:p>
    <w:p w14:paraId="51EEE5EE" w14:textId="77777777" w:rsidR="00B40E55" w:rsidRPr="00325AA7" w:rsidRDefault="00B40E55" w:rsidP="00B40E55">
      <w:pPr>
        <w:pStyle w:val="000"/>
        <w:rPr>
          <w:rtl/>
          <w:lang w:bidi="ar-EG"/>
        </w:rPr>
      </w:pPr>
      <w:r w:rsidRPr="00325AA7">
        <w:rPr>
          <w:rtl/>
          <w:lang w:bidi="ar-EG"/>
        </w:rPr>
        <w:t xml:space="preserve"> وعليه يعتبر قطاع الطاقة هو القطاع الأكثر أهمية؛ من حيث انبعاثات الغازات الدفيئة في المملكة العربية السعودية، وتبلغ الزيادة الإجمالية في انبعاثات ثاني أكسيد الكربون من قطاع الطاقة خلال الفترة ما بين عامي 1991 و2007 حوالي 92%، وتشمل فئات مصادر انبعاثات الغازات الدفيئة المساهمة الرئيسية في هذا القطاع وتوليد الكهرباء، وتكرير البترول، ومحطات تحلية المياه، وصناعات الأسمنت، وصناعات الحديد والصلب، وصناعات الأسمدة، وصناعة </w:t>
      </w:r>
      <w:r w:rsidRPr="00325AA7">
        <w:rPr>
          <w:color w:val="000000" w:themeColor="text1"/>
          <w:rtl/>
          <w:lang w:bidi="ar-EG"/>
        </w:rPr>
        <w:t>التصنيع والبناء، والنقل البري؛ وقد زادت انبعاثات غازات الدفيئة من فئات المصادر هذه بشكل ملحوظ في السنوات الأخيرة (</w:t>
      </w:r>
      <w:proofErr w:type="spellStart"/>
      <w:r w:rsidRPr="00325AA7">
        <w:rPr>
          <w:color w:val="000000" w:themeColor="text1"/>
          <w:shd w:val="clear" w:color="auto" w:fill="FFFFFF"/>
        </w:rPr>
        <w:t>Khondaker</w:t>
      </w:r>
      <w:proofErr w:type="spellEnd"/>
      <w:r w:rsidRPr="00325AA7">
        <w:rPr>
          <w:color w:val="000000" w:themeColor="text1"/>
          <w:shd w:val="clear" w:color="auto" w:fill="FFFFFF"/>
        </w:rPr>
        <w:t xml:space="preserve"> et al, 2015, P. 21</w:t>
      </w:r>
      <w:r w:rsidRPr="00325AA7">
        <w:rPr>
          <w:color w:val="000000" w:themeColor="text1"/>
          <w:rtl/>
          <w:lang w:bidi="ar-EG"/>
        </w:rPr>
        <w:t>).</w:t>
      </w:r>
    </w:p>
    <w:p w14:paraId="54F7C808" w14:textId="77777777" w:rsidR="00B40E55" w:rsidRPr="00325AA7" w:rsidRDefault="00B40E55" w:rsidP="00B40E55">
      <w:pPr>
        <w:pStyle w:val="000"/>
        <w:rPr>
          <w:rtl/>
          <w:lang w:bidi="ar-EG"/>
        </w:rPr>
      </w:pPr>
      <w:r w:rsidRPr="00325AA7">
        <w:rPr>
          <w:rtl/>
          <w:lang w:bidi="ar-EG"/>
        </w:rPr>
        <w:t>إلى جانب ذلك يتم إيضاح أهمية الطاقة وأشكالها المتعددة؛ حيث إن الطاقة ضرورية لتشغيل جميع الآلات، والأجهزة، والأنشطة البشرية، وتتنوع أشكال الطاقة لتشمل الطاقة الحركية والنووية والكهرومائية وغيرها بشكل عام، ويؤكد النص على أهمية الطاقة باعتبارها مدخلًا أساسيًا للتنمية، وضرورة البحث عن مصادر طاقة بديلة متجددة لمواجهة محدودية الاحتياطيات التقليدية (أبو جامل ورأفت، 2023، ص. 1044).</w:t>
      </w:r>
    </w:p>
    <w:p w14:paraId="40C1BC50" w14:textId="77777777" w:rsidR="00B40E55" w:rsidRPr="00325AA7" w:rsidRDefault="00B40E55" w:rsidP="00B40E55">
      <w:pPr>
        <w:pStyle w:val="000"/>
        <w:rPr>
          <w:rtl/>
          <w:lang w:bidi="ar-EG"/>
        </w:rPr>
      </w:pPr>
      <w:r w:rsidRPr="00325AA7">
        <w:rPr>
          <w:rtl/>
          <w:lang w:bidi="ar-EG"/>
        </w:rPr>
        <w:t>كما أن المملكة العربية السعودية هي أكبر منتج ومصدر للنفط في العالم؛ ولهذا السبب تدرك المملكة العربية السعودية أهمية تنويع مزيج الطاقة لديها؛ للحفاظ على الرخاء الاقتصادي على المدى الطويل؛ حيث يلعب الشركاء المحليون والأجانب في قطاع الطاقة دورًا مهمًا في انتقال المملكة نحو مستقبل مستدام ومتجدد؛ ولذلك فإن قطاع الطاقة مهم جدًا في سوق الأسهم السعودية، ويتكون قطاع الطاقة في المملكة العربية السعودية من ست شركات، بإجمالي رأس مال يتجاوز 7 تريليون ريال سعودي (</w:t>
      </w:r>
      <w:proofErr w:type="spellStart"/>
      <w:r w:rsidRPr="00325AA7">
        <w:rPr>
          <w:shd w:val="clear" w:color="auto" w:fill="FFFFFF"/>
        </w:rPr>
        <w:t>Alhagyan</w:t>
      </w:r>
      <w:proofErr w:type="spellEnd"/>
      <w:r w:rsidRPr="00325AA7">
        <w:rPr>
          <w:shd w:val="clear" w:color="auto" w:fill="FFFFFF"/>
        </w:rPr>
        <w:t>, 2024, P. 1</w:t>
      </w:r>
      <w:r w:rsidRPr="00325AA7">
        <w:rPr>
          <w:rtl/>
          <w:lang w:bidi="ar-EG"/>
        </w:rPr>
        <w:t>).</w:t>
      </w:r>
    </w:p>
    <w:p w14:paraId="636227FF" w14:textId="77777777" w:rsidR="00B40E55" w:rsidRPr="00325AA7" w:rsidRDefault="00B40E55" w:rsidP="00B40E55">
      <w:pPr>
        <w:pStyle w:val="000"/>
        <w:rPr>
          <w:rtl/>
          <w:lang w:bidi="ar-EG"/>
        </w:rPr>
      </w:pPr>
      <w:r w:rsidRPr="00325AA7">
        <w:rPr>
          <w:rtl/>
          <w:lang w:bidi="ar-EG"/>
        </w:rPr>
        <w:t>وفي واقع الأمر يرتبط قطاع الطاقة بتوافر موارد النفط الطبيعية؛ حيث تعد مصادر الطاقة المتجددة عاملًا دافعًا رئيسيًا نحو إنشاء إمدادات كهرباء مستدامة، فهي تؤثر بشكل كبير على الموثوقية وجودة الطاقة لأنها عشوائية، ولا يمكن التحكم فيها، ومتغيرة، وفي الغالب لا يمكن التنبؤ بها؛ في حين أن التغيير في ديناميكيات الشبكة أمر لا مفر منه، فإن معظم تقنيات الطاقة المتجددة المفضلة عمومًا تتطلب دعمًا إضافيًا، ويتطلب التغلب على هذه التحديات تقنيات تحكم متقدمة، وإلغاء القيود التنظيمية، وأحدث وسائل المراقبة، وشبكة الاتصالات (</w:t>
      </w:r>
      <w:r w:rsidRPr="00325AA7">
        <w:rPr>
          <w:shd w:val="clear" w:color="auto" w:fill="FFFFFF"/>
        </w:rPr>
        <w:t>Khan et al, 2023, P. 1</w:t>
      </w:r>
      <w:r w:rsidRPr="00325AA7">
        <w:rPr>
          <w:rtl/>
          <w:lang w:bidi="ar-EG"/>
        </w:rPr>
        <w:t>).</w:t>
      </w:r>
    </w:p>
    <w:p w14:paraId="47A540CC" w14:textId="77777777" w:rsidR="00B40E55" w:rsidRPr="00325AA7" w:rsidRDefault="00B40E55" w:rsidP="00B40E55">
      <w:pPr>
        <w:pStyle w:val="000"/>
        <w:rPr>
          <w:rtl/>
          <w:lang w:bidi="ar-EG"/>
        </w:rPr>
      </w:pPr>
      <w:r w:rsidRPr="00325AA7">
        <w:rPr>
          <w:rtl/>
          <w:lang w:bidi="ar-EG"/>
        </w:rPr>
        <w:t xml:space="preserve"> لذلك فإن الأثر الاقتصادي لتحول الطاقة المتجددة في المملكة العربية السعودية متعدد الأوجه، ويشمل خلق فرص العمل ونمو الصناعة، ويستعد قطاع الطاقة المتجددة لخلق عدد كبير من فرص العمل، لا سيما في </w:t>
      </w:r>
      <w:r w:rsidRPr="00325AA7">
        <w:rPr>
          <w:rtl/>
          <w:lang w:bidi="ar-EG"/>
        </w:rPr>
        <w:lastRenderedPageBreak/>
        <w:t>مجالات الطاقة الشمسية وطاقة الرياح؛ كما أن قطاع الطاقة المتجددة يمكن أن يولد أكثر من 100 ألف فرصة عمل بحلول عام 2030، ومن المتوقع أيضًا أن يؤدي هذا التحول إلى تحفيز النمو في الصناعات ذات الصلة، مثل: التصنيع والبناء وخدمات الصيانة (</w:t>
      </w:r>
      <w:r w:rsidRPr="00325AA7">
        <w:rPr>
          <w:shd w:val="clear" w:color="auto" w:fill="FFFFFF"/>
        </w:rPr>
        <w:t>Al-</w:t>
      </w:r>
      <w:proofErr w:type="spellStart"/>
      <w:r w:rsidRPr="00325AA7">
        <w:rPr>
          <w:shd w:val="clear" w:color="auto" w:fill="FFFFFF"/>
        </w:rPr>
        <w:t>Gahtani</w:t>
      </w:r>
      <w:proofErr w:type="spellEnd"/>
      <w:r w:rsidRPr="00325AA7">
        <w:rPr>
          <w:lang w:bidi="ar-EG"/>
        </w:rPr>
        <w:t>, 2024, P. 15</w:t>
      </w:r>
      <w:r w:rsidRPr="00325AA7">
        <w:rPr>
          <w:rtl/>
          <w:lang w:bidi="ar-EG"/>
        </w:rPr>
        <w:t>).</w:t>
      </w:r>
    </w:p>
    <w:p w14:paraId="29B39FD0" w14:textId="761806DE" w:rsidR="00B40E55" w:rsidRPr="00325AA7" w:rsidRDefault="00B40E55" w:rsidP="00B40E55">
      <w:pPr>
        <w:pStyle w:val="000"/>
        <w:rPr>
          <w:rtl/>
          <w:lang w:bidi="ar-EG"/>
        </w:rPr>
      </w:pPr>
      <w:r w:rsidRPr="00325AA7">
        <w:rPr>
          <w:rtl/>
          <w:lang w:bidi="ar-EG"/>
        </w:rPr>
        <w:t>وتتمثل أهمية الطاقة في خطط التنمية الاقتصادية والاجتماعية على المستوى العالمي والعربي، وأصبحت الطاقة عنصرًا حيويًا في خطط التنمية، وهذا زاد من الاعتماد على مصادر الطاقة التقليدية غير المتجددة، ومحدودية الاحتياطي من مصادر الطاقة التقليدية، ورغم التقدم العلمي والتكنولوجي، لا يزال الإنسان يعتمد بشكل رئيسي على مصادر الطاقة التقليدية، وهذا بسبب عدم قدرته حتى الآن على إيجاد بدائل كافية لهذه المصادر، والحاجة للانتقال إلى مصادر الطاقة المتجددة، وهناك مرحلة هامة ينتقل فيها الإنسان من مصادر الطاقة غير المتجددة إلى المتجددة، كالشمس، والطاقة الجوفية والرياح، وهذا الانتقال ضروري لمواجهة محدودية الاحتياطيات التقليدية وآثارها البيئية (</w:t>
      </w:r>
      <w:r w:rsidR="004C0D13" w:rsidRPr="00325AA7">
        <w:rPr>
          <w:rFonts w:hint="cs"/>
          <w:rtl/>
          <w:lang w:bidi="ar-EG"/>
        </w:rPr>
        <w:t xml:space="preserve">أبو </w:t>
      </w:r>
      <w:r w:rsidRPr="00325AA7">
        <w:rPr>
          <w:rtl/>
          <w:lang w:bidi="ar-EG"/>
        </w:rPr>
        <w:t>جامل ورأفت، 2023، ص. 1044)</w:t>
      </w:r>
      <w:r w:rsidRPr="00325AA7">
        <w:rPr>
          <w:rStyle w:val="a3"/>
          <w:color w:val="000000" w:themeColor="text1"/>
          <w:rtl/>
          <w:lang w:bidi="ar-EG"/>
        </w:rPr>
        <w:t xml:space="preserve"> </w:t>
      </w:r>
      <w:r w:rsidRPr="00325AA7">
        <w:rPr>
          <w:rtl/>
          <w:lang w:bidi="ar-EG"/>
        </w:rPr>
        <w:t>.</w:t>
      </w:r>
    </w:p>
    <w:p w14:paraId="6B06AFE6" w14:textId="77777777" w:rsidR="00B40E55" w:rsidRPr="00325AA7" w:rsidRDefault="00B40E55" w:rsidP="00B40E55">
      <w:pPr>
        <w:pStyle w:val="000"/>
        <w:rPr>
          <w:rtl/>
          <w:lang w:bidi="ar-EG"/>
        </w:rPr>
      </w:pPr>
      <w:r w:rsidRPr="00325AA7">
        <w:rPr>
          <w:rtl/>
          <w:lang w:bidi="ar-EG"/>
        </w:rPr>
        <w:t>وبالتالي يشهد قطاع الطاقة في السعودية نقلة نوعية نحو الاستدامة والكفاءة والتحول التقني بما يتماشى مع رؤية المملكة 2030؛ حيث التحول نحو مصادر الطاقة المتجددة، وتطوير قطاع البترول والغاز الطبيعي، والاتجاه نحو كفاءة استهلاك الطاقة، والتحول التقني والرقمي في شركات الطاقة الكبرى.</w:t>
      </w:r>
    </w:p>
    <w:p w14:paraId="7A96F360" w14:textId="77777777" w:rsidR="00B40E55" w:rsidRPr="00325AA7" w:rsidRDefault="00B40E55" w:rsidP="00B40E55">
      <w:pPr>
        <w:pStyle w:val="222"/>
        <w:spacing w:line="276" w:lineRule="auto"/>
        <w:rPr>
          <w:sz w:val="28"/>
          <w:szCs w:val="28"/>
          <w:lang w:bidi="ar-EG"/>
        </w:rPr>
      </w:pPr>
      <w:bookmarkStart w:id="26" w:name="_Toc175955931"/>
      <w:bookmarkStart w:id="27" w:name="_Toc190337521"/>
      <w:r w:rsidRPr="00325AA7">
        <w:rPr>
          <w:sz w:val="28"/>
          <w:szCs w:val="28"/>
          <w:rtl/>
          <w:lang w:bidi="ar-EG"/>
        </w:rPr>
        <w:t>مفهوم قطاع الطاقة</w:t>
      </w:r>
      <w:bookmarkEnd w:id="26"/>
      <w:bookmarkEnd w:id="27"/>
      <w:r w:rsidRPr="00325AA7">
        <w:rPr>
          <w:sz w:val="28"/>
          <w:szCs w:val="28"/>
          <w:rtl/>
          <w:lang w:bidi="ar-EG"/>
        </w:rPr>
        <w:t xml:space="preserve">  </w:t>
      </w:r>
    </w:p>
    <w:p w14:paraId="0C03AE94" w14:textId="77777777" w:rsidR="00B40E55" w:rsidRPr="00325AA7" w:rsidRDefault="00B40E55" w:rsidP="00B40E55">
      <w:pPr>
        <w:pStyle w:val="000"/>
        <w:rPr>
          <w:lang w:bidi="ar-EG"/>
        </w:rPr>
      </w:pPr>
      <w:r w:rsidRPr="00325AA7">
        <w:rPr>
          <w:rtl/>
          <w:lang w:bidi="ar-EG"/>
        </w:rPr>
        <w:t>يُعد مفهوم قطاع الطاقة من المفاهيم الهامة، والتي تعددت المفاهيم حولها بتعدد وجهات النظر في هذا النطاق، ومن أهم المفاهيم التي تناولت قطاع الطاقة ما يلي:</w:t>
      </w:r>
    </w:p>
    <w:p w14:paraId="044D0B42" w14:textId="77777777" w:rsidR="00B40E55" w:rsidRPr="00325AA7" w:rsidRDefault="00B40E55" w:rsidP="00B40E55">
      <w:pPr>
        <w:pStyle w:val="000"/>
        <w:rPr>
          <w:rtl/>
          <w:lang w:bidi="ar-EG"/>
        </w:rPr>
      </w:pPr>
      <w:r w:rsidRPr="00325AA7">
        <w:rPr>
          <w:rtl/>
          <w:lang w:bidi="ar-EG"/>
        </w:rPr>
        <w:t>حيث عرف "الخيالي" (</w:t>
      </w:r>
      <w:r w:rsidRPr="00325AA7">
        <w:rPr>
          <w:shd w:val="clear" w:color="auto" w:fill="FFFFFF"/>
        </w:rPr>
        <w:t xml:space="preserve">Al </w:t>
      </w:r>
      <w:proofErr w:type="spellStart"/>
      <w:r w:rsidRPr="00325AA7">
        <w:rPr>
          <w:shd w:val="clear" w:color="auto" w:fill="FFFFFF"/>
        </w:rPr>
        <w:t>Khaili</w:t>
      </w:r>
      <w:proofErr w:type="spellEnd"/>
      <w:r w:rsidRPr="00325AA7">
        <w:rPr>
          <w:shd w:val="clear" w:color="auto" w:fill="FFFFFF"/>
        </w:rPr>
        <w:t xml:space="preserve"> et al, 2014, P. 5</w:t>
      </w:r>
      <w:r w:rsidRPr="00325AA7">
        <w:rPr>
          <w:rtl/>
          <w:lang w:bidi="ar-EG"/>
        </w:rPr>
        <w:t>) قطاع الطاقة أنه: "قوة اقتصادية مسؤولة عن التنمية الإيجابية للأمة؛ لذلك يجب أن يكون أمن الطاقة وإمداداتها أولوية بالنسبة للمملكة السعودية، باعتبارها بلد مستقرة على المستويين السياسي والاقتصادي، مع وجود فرص عمل جذابة لا توجد في أي مكان آخر".</w:t>
      </w:r>
    </w:p>
    <w:p w14:paraId="1AB58BE4" w14:textId="77777777" w:rsidR="00B40E55" w:rsidRPr="00325AA7" w:rsidRDefault="00B40E55" w:rsidP="00B40E55">
      <w:pPr>
        <w:pStyle w:val="000"/>
        <w:rPr>
          <w:rtl/>
          <w:lang w:bidi="ar-EG"/>
        </w:rPr>
      </w:pPr>
      <w:r w:rsidRPr="00325AA7">
        <w:rPr>
          <w:rtl/>
          <w:lang w:bidi="ar-EG"/>
        </w:rPr>
        <w:t>ومن جانب آخر عرف الدليل مركز الاحصائي لدول مجلس التعاون لدول الخليج (2015، ص. 5) قطاع الطاقة أنه: "عبارة عن أهم مؤشرات الاقتصادية التي يتم توفيرها من قبل الأجهزة الإحصائية الخاصة بقطاع الطاقة، وهذه المؤشرات تلعب دور هام في التخطيط الاقتصادي والاجتماعي؛ حيث يقوم الاقتصاد الخاص بها على الصناعة البترولية، والتي تهدف إلى تطوير الطاقة المتجددة بما يتماشى مع التنمية المستدامة".</w:t>
      </w:r>
    </w:p>
    <w:p w14:paraId="41C4640C" w14:textId="77777777" w:rsidR="00B40E55" w:rsidRPr="00325AA7" w:rsidRDefault="00B40E55" w:rsidP="00B40E55">
      <w:pPr>
        <w:pStyle w:val="000"/>
        <w:rPr>
          <w:rtl/>
          <w:lang w:bidi="ar-EG"/>
        </w:rPr>
      </w:pPr>
      <w:r w:rsidRPr="00325AA7">
        <w:rPr>
          <w:rtl/>
          <w:lang w:bidi="ar-EG"/>
        </w:rPr>
        <w:t xml:space="preserve"> وأشار "فرحات وسلطانة" (</w:t>
      </w:r>
      <w:r w:rsidRPr="00325AA7">
        <w:rPr>
          <w:shd w:val="clear" w:color="auto" w:fill="FFFFFF"/>
        </w:rPr>
        <w:t>Farhat</w:t>
      </w:r>
      <w:r w:rsidRPr="00325AA7">
        <w:rPr>
          <w:lang w:bidi="ar-EG"/>
        </w:rPr>
        <w:t xml:space="preserve"> &amp; </w:t>
      </w:r>
      <w:r w:rsidRPr="00325AA7">
        <w:rPr>
          <w:shd w:val="clear" w:color="auto" w:fill="FFFFFF"/>
        </w:rPr>
        <w:t>Sultana, 2020, P. 112</w:t>
      </w:r>
      <w:r w:rsidRPr="00325AA7">
        <w:rPr>
          <w:rtl/>
          <w:lang w:bidi="ar-EG"/>
        </w:rPr>
        <w:t>) قطاع الطاقة أنه: "مؤشرًا ماليًا مهمًا في المملكة العربية السعودية؛ حيث يوفر إمدادات مستمرة ورخيصة من الطاقة من أجل تسريع التنمية؛ حيث تكون استخدامات الطاقة في المملكة العربية السعودية هي النفط، والغاز، والفحم، والطاقة".</w:t>
      </w:r>
    </w:p>
    <w:p w14:paraId="263EFF5F" w14:textId="77777777" w:rsidR="00B40E55" w:rsidRPr="00325AA7" w:rsidRDefault="00B40E55" w:rsidP="00B40E55">
      <w:pPr>
        <w:pStyle w:val="000"/>
        <w:rPr>
          <w:rtl/>
          <w:lang w:bidi="ar-EG"/>
        </w:rPr>
      </w:pPr>
      <w:r w:rsidRPr="00325AA7">
        <w:rPr>
          <w:rtl/>
          <w:lang w:bidi="ar-EG"/>
        </w:rPr>
        <w:lastRenderedPageBreak/>
        <w:t xml:space="preserve"> وأيضًا عرف "دوكا وتسايلوا" (</w:t>
      </w:r>
      <w:r w:rsidRPr="00325AA7">
        <w:rPr>
          <w:shd w:val="clear" w:color="auto" w:fill="FFFFFF"/>
        </w:rPr>
        <w:t xml:space="preserve">Duku &amp; </w:t>
      </w:r>
      <w:proofErr w:type="spellStart"/>
      <w:r w:rsidRPr="00325AA7">
        <w:rPr>
          <w:shd w:val="clear" w:color="auto" w:fill="FFFFFF"/>
        </w:rPr>
        <w:t>Tsanyawa</w:t>
      </w:r>
      <w:proofErr w:type="spellEnd"/>
      <w:r w:rsidRPr="00325AA7">
        <w:rPr>
          <w:shd w:val="clear" w:color="auto" w:fill="FFFFFF"/>
        </w:rPr>
        <w:t>, 2023, P. 44</w:t>
      </w:r>
      <w:r w:rsidRPr="00325AA7">
        <w:rPr>
          <w:rtl/>
          <w:lang w:bidi="ar-EG"/>
        </w:rPr>
        <w:t>) قطاع الطاقة أنه: "أحد القطاعات الحيوية التي يمكن أخذها في الاعتبار في قياس مدى فعالية وكفاءة تنمية الدولة، ويعمل كمؤشر يجذب المستثمرين الأجانب، ويوسع التجارة الدولية".</w:t>
      </w:r>
    </w:p>
    <w:p w14:paraId="59D79F46" w14:textId="77777777" w:rsidR="00B40E55" w:rsidRPr="00325AA7" w:rsidRDefault="00B40E55" w:rsidP="00B40E55">
      <w:pPr>
        <w:pStyle w:val="000"/>
        <w:rPr>
          <w:rtl/>
          <w:lang w:bidi="ar-EG"/>
        </w:rPr>
      </w:pPr>
      <w:r w:rsidRPr="00325AA7">
        <w:rPr>
          <w:rtl/>
          <w:lang w:bidi="ar-EG"/>
        </w:rPr>
        <w:t xml:space="preserve">كما عرف </w:t>
      </w:r>
      <w:proofErr w:type="spellStart"/>
      <w:r w:rsidRPr="00325AA7">
        <w:rPr>
          <w:rtl/>
          <w:lang w:bidi="ar-EG"/>
        </w:rPr>
        <w:t>صوشة</w:t>
      </w:r>
      <w:proofErr w:type="spellEnd"/>
      <w:r w:rsidRPr="00325AA7">
        <w:rPr>
          <w:rtl/>
          <w:lang w:bidi="ar-EG"/>
        </w:rPr>
        <w:t xml:space="preserve"> (2023، ص. 183) قطاع الطاقة أنه: "قطاعًا حساسًا للغاية حيث إن أي خلل أو اضطراب فيه يمكن أن يؤثر بشكل كبير على اقتصاد الدولة ورفاهية مواطنيها؛ فقطاع الطاقة هو المحرك الأساسي للنشاط الاقتصادي والصناعي في البلاد، ويرتبط ارتباطًا وثيقًا باستهلاك المواطنين للمنتجات الطاقة المختلفة كالغاز، والكهرباء، والوقود".</w:t>
      </w:r>
    </w:p>
    <w:p w14:paraId="4006305F" w14:textId="77777777" w:rsidR="00B40E55" w:rsidRPr="00325AA7" w:rsidRDefault="00B40E55" w:rsidP="00B40E55">
      <w:pPr>
        <w:pStyle w:val="000"/>
        <w:rPr>
          <w:rtl/>
          <w:lang w:bidi="ar-EG"/>
        </w:rPr>
      </w:pPr>
      <w:r w:rsidRPr="00325AA7">
        <w:rPr>
          <w:rtl/>
          <w:lang w:bidi="ar-EG"/>
        </w:rPr>
        <w:t xml:space="preserve">وفي مقام موالي عرف </w:t>
      </w:r>
      <w:proofErr w:type="spellStart"/>
      <w:r w:rsidRPr="00325AA7">
        <w:rPr>
          <w:rtl/>
          <w:lang w:bidi="ar-EG"/>
        </w:rPr>
        <w:t>الباسوسي</w:t>
      </w:r>
      <w:proofErr w:type="spellEnd"/>
      <w:r w:rsidRPr="00325AA7">
        <w:rPr>
          <w:rtl/>
          <w:lang w:bidi="ar-EG"/>
        </w:rPr>
        <w:t xml:space="preserve"> (2023 ص. 149) قطاع الطاقة أنه: "القاطرة التي تقود كافة القطاعات التنموية الأخرى، لما له من تأثير مباشر على تعزيز، أو تهدد الأمن القومي لدى الدول".</w:t>
      </w:r>
    </w:p>
    <w:p w14:paraId="487A9496" w14:textId="77777777" w:rsidR="00B40E55" w:rsidRPr="00325AA7" w:rsidRDefault="00B40E55" w:rsidP="00B40E55">
      <w:pPr>
        <w:pStyle w:val="000"/>
        <w:rPr>
          <w:rtl/>
          <w:lang w:bidi="ar-EG"/>
        </w:rPr>
      </w:pPr>
      <w:r w:rsidRPr="00325AA7">
        <w:rPr>
          <w:rtl/>
          <w:lang w:bidi="ar-EG"/>
        </w:rPr>
        <w:t>فضلًا عن ذلك عرف قنابر (2023، ص. 606) قطاع الطاقة أنه: "عبارة عن أحد القطاعات الحيوية في الاقتصاد العالمي؛ حيث يشهد تحولًا رقميًا متزايدًا؛ مما يؤدي إلى تحسين كفاءة العمليات، وتحسين الأداء المالي والبيئي".</w:t>
      </w:r>
    </w:p>
    <w:p w14:paraId="21A323CC" w14:textId="77777777" w:rsidR="00B40E55" w:rsidRPr="00325AA7" w:rsidRDefault="00B40E55" w:rsidP="00B40E55">
      <w:pPr>
        <w:pStyle w:val="000"/>
        <w:rPr>
          <w:rtl/>
          <w:lang w:bidi="ar-EG"/>
        </w:rPr>
      </w:pPr>
      <w:r w:rsidRPr="00325AA7">
        <w:rPr>
          <w:rtl/>
          <w:lang w:bidi="ar-EG"/>
        </w:rPr>
        <w:t>ومن هنا يمكن تعريف قطاع الطاقة أنه: "أهم القطاعات الحيوية والاستراتيجية في أي اقتصاد، فهو المحرك الرئيسي للنمو والتنمية، ويشمل مصادر الوقود الأحفوري كالنفط، والغاز، والفحم، إلى جانب مصادر الطاقة المتجددة كالطاقة الشمسية، والرياح، والمائية، والنووية".</w:t>
      </w:r>
    </w:p>
    <w:p w14:paraId="0AA112C4" w14:textId="77777777" w:rsidR="00B40E55" w:rsidRPr="00325AA7" w:rsidRDefault="00B40E55" w:rsidP="00B40E55">
      <w:pPr>
        <w:pStyle w:val="222"/>
        <w:spacing w:line="276" w:lineRule="auto"/>
        <w:rPr>
          <w:sz w:val="28"/>
          <w:szCs w:val="28"/>
          <w:rtl/>
          <w:lang w:bidi="ar-EG"/>
        </w:rPr>
      </w:pPr>
      <w:bookmarkStart w:id="28" w:name="_Toc175955932"/>
      <w:bookmarkStart w:id="29" w:name="_Toc190337522"/>
      <w:r w:rsidRPr="00325AA7">
        <w:rPr>
          <w:sz w:val="28"/>
          <w:szCs w:val="28"/>
          <w:rtl/>
          <w:lang w:bidi="ar-EG"/>
        </w:rPr>
        <w:t>أهمية قطاع الطاقة السعودي</w:t>
      </w:r>
      <w:bookmarkEnd w:id="28"/>
      <w:bookmarkEnd w:id="29"/>
    </w:p>
    <w:p w14:paraId="6059B1E2" w14:textId="77777777" w:rsidR="00B40E55" w:rsidRPr="00325AA7" w:rsidRDefault="00B40E55" w:rsidP="00B40E55">
      <w:pPr>
        <w:pStyle w:val="000"/>
        <w:rPr>
          <w:rtl/>
          <w:lang w:bidi="ar-EG"/>
        </w:rPr>
      </w:pPr>
      <w:r w:rsidRPr="00325AA7">
        <w:rPr>
          <w:rtl/>
          <w:lang w:bidi="ar-EG"/>
        </w:rPr>
        <w:t>يعتبر قطاع الطاقة في المملكة العربية السعودية من أهم القطاعات الحيوية التي تلعب دورًا هامًا في الدولة في شتى النواحي؛ حيث يعد من أبرز وأهم المجالات في السعودية، وخاصة أن السعودية تعد من الدول النفطية، والتي تعتمد عليه بصورة أساسية؛ لذا يتم توضيح أهمية القطاع الطاقة في هذه البلاد.</w:t>
      </w:r>
    </w:p>
    <w:p w14:paraId="6C0A0C48" w14:textId="77777777" w:rsidR="00B40E55" w:rsidRPr="00325AA7" w:rsidRDefault="00B40E55" w:rsidP="00B40E55">
      <w:pPr>
        <w:pStyle w:val="000"/>
        <w:rPr>
          <w:lang w:bidi="ar-EG"/>
        </w:rPr>
      </w:pPr>
      <w:r w:rsidRPr="00325AA7">
        <w:rPr>
          <w:rtl/>
          <w:lang w:bidi="ar-EG"/>
        </w:rPr>
        <w:t xml:space="preserve"> والجدير بالذكر أن الطاقة تُعد المحرك الأساسي والعنصر الفعال لأي نمو أو تنمية اقتصادية؛ فهي تُعد العنصر الحيوي والأساسي لجميع قطاعات الاقتصاد، وهي رفيقة حياة الإنسان وأساس تقدمه وتطوره، ولكن لا ينبغي أن يغيب عن الأذهان أن معظم مصادر الطاقة المستخدمة حاليًا في العالم هي طاقة تقليدية وغير مستدامة، فضلًا عن كونها ملوثة للبيئة وتسبب انبعاثات ضارة، وفي ظل هذا الواقع تبرز أهمية التنمية المستدامة، والتي تقوم في المقام الأول على حماية البيئة وضمان الاستخدام الأمثل والتوزيع العادل للموارد الطبيعية بين الأجيال الحالية والمستقبلية؛ ولذلك تُعد ضرورة التحول نحو مصادر طاقة نظيفة، وقابلة للتجديد أمرًا حيويًا لتحقيق التنمية المستدامة، والحفاظ على البيئة والموارد الطبيعية لصالح الأجيال القادمة (العتيبي، 2020، ص. 307).</w:t>
      </w:r>
    </w:p>
    <w:p w14:paraId="5886168C" w14:textId="77777777" w:rsidR="00B40E55" w:rsidRPr="00325AA7" w:rsidRDefault="00B40E55" w:rsidP="00B40E55">
      <w:pPr>
        <w:pStyle w:val="000"/>
        <w:rPr>
          <w:rtl/>
          <w:lang w:bidi="ar-EG"/>
        </w:rPr>
      </w:pPr>
      <w:r w:rsidRPr="00325AA7">
        <w:rPr>
          <w:rtl/>
          <w:lang w:bidi="ar-EG"/>
        </w:rPr>
        <w:t xml:space="preserve">ولتوضيح ذلك يعتبر قطاع الطاقة في المملكة العربية السعودية ضروريًا لمعالجة عدم المساواة الاجتماعية، وتخفيف الصعوبات الاقتصادية، كما أن الأهداف التنموية للدولة تجعل من الضروري تطوير قطاع </w:t>
      </w:r>
      <w:r w:rsidRPr="00325AA7">
        <w:rPr>
          <w:rtl/>
          <w:lang w:bidi="ar-EG"/>
        </w:rPr>
        <w:lastRenderedPageBreak/>
        <w:t>الطاقة بطريقة تعود بالنفع على المجتمع ككل، ومن المفترض أن يساعد ذلك في تخفيف فجوة الفقر الموجودة في الدول النامية (</w:t>
      </w:r>
      <w:r w:rsidRPr="00325AA7">
        <w:rPr>
          <w:shd w:val="clear" w:color="auto" w:fill="FFFFFF"/>
        </w:rPr>
        <w:t>Bagais et al, 2021, P. 250</w:t>
      </w:r>
      <w:r w:rsidRPr="00325AA7">
        <w:rPr>
          <w:rtl/>
          <w:lang w:bidi="ar-EG"/>
        </w:rPr>
        <w:t>).</w:t>
      </w:r>
    </w:p>
    <w:p w14:paraId="2B1BE462" w14:textId="77777777" w:rsidR="00B40E55" w:rsidRPr="00325AA7" w:rsidRDefault="00B40E55" w:rsidP="00B40E55">
      <w:pPr>
        <w:pStyle w:val="000"/>
        <w:rPr>
          <w:rtl/>
          <w:lang w:bidi="ar-EG"/>
        </w:rPr>
      </w:pPr>
      <w:r w:rsidRPr="00325AA7">
        <w:rPr>
          <w:rtl/>
          <w:lang w:bidi="ar-EG"/>
        </w:rPr>
        <w:t>وبطبيعة الحال يساهم قطاع الطاقة السعودي في الأنشطة الاقتصادية بطريقتين؛ حيث يعد إنتاج الطاقة بحد ذاته أحد أهم القطاعات الاقتصادية التي تخلق فرص العمل والقيمة المضافة في قطاعات استخراج ونقل وتوزيع السلع والخدمات طوال الدورة الاقتصادية، كما يعتبر قطاع الطاقة بمثابة حافز يلعب دورًا مهمًا للغاية في القطاعات الاقتصادية الأخرى (</w:t>
      </w:r>
      <w:r w:rsidRPr="00325AA7">
        <w:rPr>
          <w:shd w:val="clear" w:color="auto" w:fill="FFFFFF"/>
        </w:rPr>
        <w:t>Khodadadi</w:t>
      </w:r>
      <w:r w:rsidRPr="00325AA7">
        <w:rPr>
          <w:lang w:bidi="ar-EG"/>
        </w:rPr>
        <w:t>, 2021, P. 10</w:t>
      </w:r>
      <w:r w:rsidRPr="00325AA7">
        <w:rPr>
          <w:rtl/>
          <w:lang w:bidi="ar-EG"/>
        </w:rPr>
        <w:t>).</w:t>
      </w:r>
    </w:p>
    <w:p w14:paraId="6815502D" w14:textId="77777777" w:rsidR="00B40E55" w:rsidRPr="00325AA7" w:rsidRDefault="00B40E55" w:rsidP="00B40E55">
      <w:pPr>
        <w:pStyle w:val="000"/>
        <w:rPr>
          <w:rtl/>
          <w:lang w:bidi="ar-EG"/>
        </w:rPr>
      </w:pPr>
      <w:r w:rsidRPr="00325AA7">
        <w:rPr>
          <w:rtl/>
          <w:lang w:bidi="ar-EG"/>
        </w:rPr>
        <w:t>لذا تمثل أهمية قطاع الطاقة في السعودية في التوجه نحو تعزيز الاستثمارات المتعلقة بالطاقة، وهذا التحول يُعد وسيلة لتحقيق مزيد من التنمية الاقتصادية والتقنية في المملكة، في هذا السياق يلعب القطاع الخاص دورًا رئيسيًا وشراكة حقيقية بعد أن كان القطاع يعتمد بشكل كبير على الدعم الحكومي في السابق، وفقًا للواقع الجديد كانت هناك ضرورة لإدخال إصلاحات هيكلية وعميقة؛ بهدف إيجاد نموذج اقتصادي مستدام، ولا يعتمد بشكل رئيسي على النفط كمورد رئيسي للاقتصاد، وهذا التوجه يأتي في إطار خريطة طريق تضعها الحكومة بما يتوافق مع أهداف البرنامج الوطني للتحول؛ وبالتالي فإن تنويع مصادر الطاقة والاستثمار في التقنيات الحديثة يُعد رؤية مختلفة لتحقيق التنمية المستدامة في قطاع الطاقة السعودي (العتيبي، 2018، ص. ص. 9- 10).</w:t>
      </w:r>
    </w:p>
    <w:p w14:paraId="14B1C09E" w14:textId="77777777" w:rsidR="00B40E55" w:rsidRPr="00325AA7" w:rsidRDefault="00B40E55" w:rsidP="00B40E55">
      <w:pPr>
        <w:pStyle w:val="000"/>
        <w:rPr>
          <w:rtl/>
          <w:lang w:bidi="ar-EG"/>
        </w:rPr>
      </w:pPr>
      <w:r w:rsidRPr="00325AA7">
        <w:rPr>
          <w:rtl/>
          <w:lang w:bidi="ar-EG"/>
        </w:rPr>
        <w:t>كما تبين وجود علاقة قوية بين إنتاج الطاقة وتحقيق التنمية المستدامة بالنسبة للشركات السعودية، وخاصةً شركات الكهرباء؛ فقطاع الطاقة يلعب دورًا محوريًا في هذا الصدد، بالنسبة لشركات الكهرباء السعودية، وهناك ارتباط وثيق بين إنتاج الطاقة الكهربائية من مصادر متجددة كالطاقة الهوائية والتنمية المستدامة؛ فاستخدام مصادر الطاقة النظيفة والمتجددة يساهم بشكل كبير في تعزيز الاستدامة البيئية والحد من الانبعاثات الضارة، كما أن هناك علاقة إيجابية بين توليد الطاقة النووية وتحقيق التنمية المستدامة لدى شركات الكهرباء السعودية، وهذا يؤكد على أهمية قطاعات الطاقة المختلفة في دفع عجلة التنمية المستدامة، وضرورة تركيز الشركات السعودية على تطوير مصادر الطاقة النظيفة والموثوقة لتحقيق أهداف الاستدامة، وهذا ما أكد عليه العنزي وآخرون (العنزي وآخرون، 2024، ص. 261).</w:t>
      </w:r>
    </w:p>
    <w:p w14:paraId="023720F4" w14:textId="77777777" w:rsidR="00B40E55" w:rsidRPr="00325AA7" w:rsidRDefault="00B40E55" w:rsidP="00B40E55">
      <w:pPr>
        <w:pStyle w:val="000"/>
        <w:rPr>
          <w:rtl/>
          <w:lang w:bidi="ar-EG"/>
        </w:rPr>
      </w:pPr>
      <w:r w:rsidRPr="00325AA7">
        <w:rPr>
          <w:rtl/>
          <w:lang w:bidi="ar-EG"/>
        </w:rPr>
        <w:t xml:space="preserve"> وتأسيسًا على ما سبق؛ أولًا تعتبر السعودية من أكبر منتجي ومصدري النفط في العالم؛ حيث تلعب صناعة النفط والغاز دورًا حيويًا في اقتصاد المملكة، وهذا القطاع يوفر مصدرًا رئيسيًا للعملات الأجنبية وإيرادات الميزانية العامة للدولة، كما يعتبر قطاع الطاقة محركًا رئيسيًا للتنمية الصناعية في السعودية؛ حيث يوفر الطاقة اللازمة لتشغيل المصانع والمرافق الصناعية المختلفة، كما يساهم في توفير فرص عمل وتطوير الكفاءات الوطنية في هذا المجال.</w:t>
      </w:r>
    </w:p>
    <w:p w14:paraId="442BA9D1" w14:textId="77777777" w:rsidR="00637D0C" w:rsidRDefault="00637D0C">
      <w:pPr>
        <w:bidi w:val="0"/>
        <w:spacing w:after="160" w:line="259" w:lineRule="auto"/>
        <w:rPr>
          <w:rFonts w:ascii="Sakkal Majalla" w:hAnsi="Sakkal Majalla" w:cs="Sakkal Majalla"/>
          <w:b/>
          <w:bCs/>
          <w:sz w:val="28"/>
          <w:szCs w:val="28"/>
          <w:u w:val="single"/>
          <w:rtl/>
          <w:lang w:bidi="ar-EG"/>
        </w:rPr>
      </w:pPr>
      <w:bookmarkStart w:id="30" w:name="_Toc175955933"/>
      <w:bookmarkStart w:id="31" w:name="_Toc190337523"/>
      <w:r>
        <w:rPr>
          <w:sz w:val="28"/>
          <w:szCs w:val="28"/>
          <w:rtl/>
          <w:lang w:bidi="ar-EG"/>
        </w:rPr>
        <w:br w:type="page"/>
      </w:r>
    </w:p>
    <w:p w14:paraId="17F7E2EC" w14:textId="1B6671E2" w:rsidR="00B40E55" w:rsidRPr="00325AA7" w:rsidRDefault="00B40E55" w:rsidP="00B40E55">
      <w:pPr>
        <w:pStyle w:val="222"/>
        <w:spacing w:line="276" w:lineRule="auto"/>
        <w:rPr>
          <w:sz w:val="28"/>
          <w:szCs w:val="28"/>
          <w:lang w:bidi="ar-EG"/>
        </w:rPr>
      </w:pPr>
      <w:r w:rsidRPr="00325AA7">
        <w:rPr>
          <w:sz w:val="28"/>
          <w:szCs w:val="28"/>
          <w:rtl/>
          <w:lang w:bidi="ar-EG"/>
        </w:rPr>
        <w:lastRenderedPageBreak/>
        <w:t>مصادر الطاقة المتجددة في السعودية</w:t>
      </w:r>
      <w:bookmarkEnd w:id="30"/>
      <w:bookmarkEnd w:id="31"/>
      <w:r w:rsidRPr="00325AA7">
        <w:rPr>
          <w:sz w:val="28"/>
          <w:szCs w:val="28"/>
          <w:rtl/>
          <w:lang w:bidi="ar-EG"/>
        </w:rPr>
        <w:t xml:space="preserve"> </w:t>
      </w:r>
    </w:p>
    <w:p w14:paraId="1BC926A5" w14:textId="77777777" w:rsidR="00B40E55" w:rsidRPr="00325AA7" w:rsidRDefault="00B40E55" w:rsidP="00B40E55">
      <w:pPr>
        <w:pStyle w:val="000"/>
        <w:rPr>
          <w:lang w:bidi="ar-EG"/>
        </w:rPr>
      </w:pPr>
      <w:r w:rsidRPr="00325AA7">
        <w:rPr>
          <w:rtl/>
          <w:lang w:bidi="ar-EG"/>
        </w:rPr>
        <w:t xml:space="preserve"> تتنوع المصادر التي تعتمد عليها المملكة العربية في انتاج الطاقة، وخاصة الطاقة المتجددة لما لها من أهمية كبيرة، وبشكل عام تلعب الطاقة المتجددة دورًا متناميًا في مزيج الطاقة السعودي، وتسعى الحكومة إلى تعزيز استخدامها وزيادة مساهمتها في إجمالي إنتاج الكهرباء في المملكة خلال السنوات القادمة.</w:t>
      </w:r>
    </w:p>
    <w:p w14:paraId="0EDC472F" w14:textId="77777777" w:rsidR="00B40E55" w:rsidRPr="00325AA7" w:rsidRDefault="00B40E55" w:rsidP="00B40E55">
      <w:pPr>
        <w:pStyle w:val="000"/>
        <w:rPr>
          <w:rtl/>
          <w:lang w:bidi="ar-EG"/>
        </w:rPr>
      </w:pPr>
      <w:r w:rsidRPr="00325AA7">
        <w:rPr>
          <w:rtl/>
          <w:lang w:bidi="ar-EG"/>
        </w:rPr>
        <w:t>ومن الجدير بالذكر أن قطاع الطاقة بالمملكة العربية السعودية يمر بفترة انتقالية، ومن المتوقع أن تحل مصادر الطاقة المتجددة ومنخفضة الكربون، مثل: طاقة الرياح، والطاقة الشمسية محل الوقود الأحفوري الشائع، مثل: النفط، والغاز، والفحم؛ وتتمثل المحركات الرئيسية لهذا التحول في مرونة الطاقة المتجددة خلال أوقات الأزمات والالتزامات باستخدام مصادر الطاقة النظيفة والمستدامة (</w:t>
      </w:r>
      <w:r w:rsidRPr="00325AA7">
        <w:rPr>
          <w:shd w:val="clear" w:color="auto" w:fill="FFFFFF"/>
        </w:rPr>
        <w:t>El Zein</w:t>
      </w:r>
      <w:r w:rsidRPr="00325AA7">
        <w:rPr>
          <w:lang w:bidi="ar-EG"/>
        </w:rPr>
        <w:t xml:space="preserve"> &amp; </w:t>
      </w:r>
      <w:proofErr w:type="spellStart"/>
      <w:r w:rsidRPr="00325AA7">
        <w:rPr>
          <w:shd w:val="clear" w:color="auto" w:fill="FFFFFF"/>
        </w:rPr>
        <w:t>Gebresenbet</w:t>
      </w:r>
      <w:proofErr w:type="spellEnd"/>
      <w:r w:rsidRPr="00325AA7">
        <w:rPr>
          <w:shd w:val="clear" w:color="auto" w:fill="FFFFFF"/>
        </w:rPr>
        <w:t>, 2024, P. 2</w:t>
      </w:r>
      <w:r w:rsidRPr="00325AA7">
        <w:rPr>
          <w:rtl/>
          <w:lang w:bidi="ar-EG"/>
        </w:rPr>
        <w:t>) ومن جانب آخر تنمو الطاقة المتجددة، مثل: طاقة الرياح والطاقة الشمسية بسرعة أكبر بكثير من أي شكل من أشكال الطاقة، وهناك طلب كبير على الطاقة، وفي الوقت نفسه يتعين على الحكومة تنظيم استغلالها؛ من أجل تقليل تأثيرها على الطاقة (</w:t>
      </w:r>
      <w:proofErr w:type="spellStart"/>
      <w:r w:rsidRPr="00325AA7">
        <w:rPr>
          <w:shd w:val="clear" w:color="auto" w:fill="FFFFFF"/>
        </w:rPr>
        <w:t>Lenjo</w:t>
      </w:r>
      <w:proofErr w:type="spellEnd"/>
      <w:r w:rsidRPr="00325AA7">
        <w:rPr>
          <w:lang w:bidi="ar-EG"/>
        </w:rPr>
        <w:t>, 2021, P. 8</w:t>
      </w:r>
      <w:r w:rsidRPr="00325AA7">
        <w:rPr>
          <w:rtl/>
          <w:lang w:bidi="ar-EG"/>
        </w:rPr>
        <w:t>).</w:t>
      </w:r>
    </w:p>
    <w:p w14:paraId="33A3953D" w14:textId="77777777" w:rsidR="00B40E55" w:rsidRPr="00325AA7" w:rsidRDefault="00B40E55" w:rsidP="00B40E55">
      <w:pPr>
        <w:pStyle w:val="000"/>
        <w:rPr>
          <w:rtl/>
          <w:lang w:bidi="ar-EG"/>
        </w:rPr>
      </w:pPr>
      <w:r w:rsidRPr="00325AA7">
        <w:rPr>
          <w:rtl/>
          <w:lang w:bidi="ar-EG"/>
        </w:rPr>
        <w:t xml:space="preserve"> وبناءً على ذلك فمن أهم مصادر الطاقة المتجددة كما ذكرت الهيئة العامة للإحصاء (2016، ص. 7) هي الطاقة الشمسية، وطاقة الرياح، وتحويل الطاقة إلى النفايات، والطاقة الحرارية الأرضية، والطاقة الكهرومائية، وفيما يلي توضيح لكل منها على حدة: </w:t>
      </w:r>
    </w:p>
    <w:p w14:paraId="25A123B9" w14:textId="77777777" w:rsidR="00B40E55" w:rsidRPr="00325AA7" w:rsidRDefault="00B40E55" w:rsidP="00B40E55">
      <w:pPr>
        <w:pStyle w:val="a4"/>
        <w:numPr>
          <w:ilvl w:val="0"/>
          <w:numId w:val="6"/>
        </w:numPr>
        <w:spacing w:after="160"/>
        <w:jc w:val="both"/>
        <w:rPr>
          <w:rFonts w:ascii="Sakkal Majalla" w:hAnsi="Sakkal Majalla" w:cs="Sakkal Majalla"/>
          <w:color w:val="000000" w:themeColor="text1"/>
          <w:sz w:val="28"/>
          <w:szCs w:val="28"/>
          <w:lang w:bidi="ar-EG"/>
        </w:rPr>
      </w:pPr>
      <w:r w:rsidRPr="00325AA7">
        <w:rPr>
          <w:rFonts w:ascii="Sakkal Majalla" w:hAnsi="Sakkal Majalla" w:cs="Sakkal Majalla"/>
          <w:b/>
          <w:bCs/>
          <w:color w:val="000000" w:themeColor="text1"/>
          <w:sz w:val="28"/>
          <w:szCs w:val="28"/>
          <w:rtl/>
          <w:lang w:bidi="ar-EG"/>
        </w:rPr>
        <w:t>الطاقة</w:t>
      </w:r>
      <w:r w:rsidRPr="00325AA7">
        <w:rPr>
          <w:rFonts w:ascii="Sakkal Majalla" w:hAnsi="Sakkal Majalla" w:cs="Sakkal Majalla"/>
          <w:color w:val="000000" w:themeColor="text1"/>
          <w:sz w:val="28"/>
          <w:szCs w:val="28"/>
          <w:rtl/>
          <w:lang w:bidi="ar-EG"/>
        </w:rPr>
        <w:t xml:space="preserve"> </w:t>
      </w:r>
      <w:r w:rsidRPr="00325AA7">
        <w:rPr>
          <w:rFonts w:ascii="Sakkal Majalla" w:hAnsi="Sakkal Majalla" w:cs="Sakkal Majalla"/>
          <w:b/>
          <w:bCs/>
          <w:color w:val="000000" w:themeColor="text1"/>
          <w:sz w:val="28"/>
          <w:szCs w:val="28"/>
          <w:rtl/>
          <w:lang w:bidi="ar-EG"/>
        </w:rPr>
        <w:t>الشمسية</w:t>
      </w:r>
      <w:r w:rsidRPr="00325AA7">
        <w:rPr>
          <w:rFonts w:ascii="Sakkal Majalla" w:hAnsi="Sakkal Majalla" w:cs="Sakkal Majalla"/>
          <w:color w:val="000000" w:themeColor="text1"/>
          <w:sz w:val="28"/>
          <w:szCs w:val="28"/>
          <w:rtl/>
          <w:lang w:bidi="ar-EG"/>
        </w:rPr>
        <w:t>: تعتبر الطاقة الشمسية من المصادر الطاقة الطبيعية، والتي يتم الحصول عليها؛ من خلال امتصاص الألواح الشمسية لأشعة الشمس، ومن أهم ما يتم استخدامات الطاقة الشمسية هي توليد الكهرباء والخدمات الأساسية للحياة؛ من خلال تحويل طاقة الشمس إلى حرارة، كما يتم استخدام الطاقة الشمسية لتحويل المياه المالحة إلى مياه صالحة للشرب (عمراني، 2023، ص. 7</w:t>
      </w:r>
      <w:r w:rsidRPr="00325AA7">
        <w:rPr>
          <w:rFonts w:ascii="Sakkal Majalla" w:hAnsi="Sakkal Majalla" w:cs="Sakkal Majalla" w:hint="cs"/>
          <w:color w:val="000000" w:themeColor="text1"/>
          <w:sz w:val="28"/>
          <w:szCs w:val="28"/>
          <w:rtl/>
          <w:lang w:bidi="ar-EG"/>
        </w:rPr>
        <w:t>).</w:t>
      </w:r>
    </w:p>
    <w:p w14:paraId="31E42C87" w14:textId="77777777" w:rsidR="00B40E55" w:rsidRPr="00325AA7" w:rsidRDefault="00B40E55" w:rsidP="00B40E55">
      <w:pPr>
        <w:pStyle w:val="a4"/>
        <w:spacing w:after="160"/>
        <w:ind w:left="44"/>
        <w:jc w:val="center"/>
        <w:rPr>
          <w:rFonts w:ascii="Sakkal Majalla" w:hAnsi="Sakkal Majalla" w:cs="Sakkal Majalla"/>
          <w:color w:val="000000" w:themeColor="text1"/>
          <w:sz w:val="28"/>
          <w:szCs w:val="28"/>
          <w:rtl/>
          <w:lang w:bidi="ar-EG"/>
        </w:rPr>
      </w:pPr>
      <w:r w:rsidRPr="00325AA7">
        <w:rPr>
          <w:noProof/>
        </w:rPr>
        <w:drawing>
          <wp:inline distT="0" distB="0" distL="0" distR="0" wp14:anchorId="7C93FC19" wp14:editId="543B5819">
            <wp:extent cx="4552950" cy="2114550"/>
            <wp:effectExtent l="0" t="0" r="0" b="0"/>
            <wp:docPr id="444440531" name="صورة 1" descr="صورة تحتوي على الخلايا الشمسية, الطاقة الشمسية, طاقة شمسية, لوحة شمسية&#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440531" name="صورة 1" descr="صورة تحتوي على الخلايا الشمسية, الطاقة الشمسية, طاقة شمسية, لوحة شمسية&#10;&#10;قد يكون المحتوى المعد بواسطة الذكاء الاصطناعي غير صحيح."/>
                    <pic:cNvPicPr/>
                  </pic:nvPicPr>
                  <pic:blipFill>
                    <a:blip r:embed="rId20"/>
                    <a:stretch>
                      <a:fillRect/>
                    </a:stretch>
                  </pic:blipFill>
                  <pic:spPr>
                    <a:xfrm>
                      <a:off x="0" y="0"/>
                      <a:ext cx="4552950" cy="2114550"/>
                    </a:xfrm>
                    <a:prstGeom prst="rect">
                      <a:avLst/>
                    </a:prstGeom>
                  </pic:spPr>
                </pic:pic>
              </a:graphicData>
            </a:graphic>
          </wp:inline>
        </w:drawing>
      </w:r>
    </w:p>
    <w:p w14:paraId="198CF2FD" w14:textId="2CAF4ED2" w:rsidR="00B40E55" w:rsidRPr="00325AA7" w:rsidRDefault="00B40E55" w:rsidP="00B40E55">
      <w:pPr>
        <w:pStyle w:val="333"/>
        <w:rPr>
          <w:lang w:bidi="ar-EG"/>
        </w:rPr>
      </w:pPr>
      <w:bookmarkStart w:id="32" w:name="_Toc175955934"/>
      <w:bookmarkStart w:id="33" w:name="_Toc190337524"/>
      <w:r w:rsidRPr="00325AA7">
        <w:rPr>
          <w:rtl/>
          <w:lang w:bidi="ar-EG"/>
        </w:rPr>
        <w:t>شكل رقم (</w:t>
      </w:r>
      <w:r w:rsidRPr="00325AA7">
        <w:rPr>
          <w:rFonts w:hint="cs"/>
          <w:rtl/>
          <w:lang w:bidi="ar-EG"/>
        </w:rPr>
        <w:t>2-4</w:t>
      </w:r>
      <w:r w:rsidRPr="00325AA7">
        <w:rPr>
          <w:rtl/>
          <w:lang w:bidi="ar-EG"/>
        </w:rPr>
        <w:t xml:space="preserve">) يوضح طاقة الرياح (المصدر: من إعداد: الموقع الرسمي </w:t>
      </w:r>
      <w:r w:rsidR="002F3B43" w:rsidRPr="00325AA7">
        <w:rPr>
          <w:rFonts w:hint="cs"/>
          <w:rtl/>
          <w:lang w:bidi="ar-EG"/>
        </w:rPr>
        <w:t>ل</w:t>
      </w:r>
      <w:r w:rsidRPr="00325AA7">
        <w:rPr>
          <w:rtl/>
          <w:lang w:bidi="ar-EG"/>
        </w:rPr>
        <w:t>وزارة الكهرباء والطاقة المتجددة، 2024)</w:t>
      </w:r>
      <w:bookmarkEnd w:id="32"/>
      <w:bookmarkEnd w:id="33"/>
    </w:p>
    <w:p w14:paraId="4F529360" w14:textId="77777777" w:rsidR="00B40E55" w:rsidRPr="00325AA7" w:rsidRDefault="00B40E55" w:rsidP="00B40E55">
      <w:pPr>
        <w:pStyle w:val="a4"/>
        <w:numPr>
          <w:ilvl w:val="0"/>
          <w:numId w:val="6"/>
        </w:numPr>
        <w:spacing w:after="160"/>
        <w:jc w:val="both"/>
        <w:rPr>
          <w:rFonts w:ascii="Sakkal Majalla" w:hAnsi="Sakkal Majalla" w:cs="Sakkal Majalla"/>
          <w:color w:val="000000" w:themeColor="text1"/>
          <w:sz w:val="28"/>
          <w:szCs w:val="28"/>
          <w:lang w:bidi="ar-EG"/>
        </w:rPr>
      </w:pPr>
      <w:r w:rsidRPr="00325AA7">
        <w:rPr>
          <w:rFonts w:ascii="Sakkal Majalla" w:hAnsi="Sakkal Majalla" w:cs="Sakkal Majalla"/>
          <w:b/>
          <w:bCs/>
          <w:color w:val="000000" w:themeColor="text1"/>
          <w:sz w:val="28"/>
          <w:szCs w:val="28"/>
          <w:rtl/>
          <w:lang w:bidi="ar-EG"/>
        </w:rPr>
        <w:lastRenderedPageBreak/>
        <w:t>الطاقة الرياح</w:t>
      </w:r>
      <w:r w:rsidRPr="00325AA7">
        <w:rPr>
          <w:rFonts w:ascii="Sakkal Majalla" w:hAnsi="Sakkal Majalla" w:cs="Sakkal Majalla"/>
          <w:color w:val="000000" w:themeColor="text1"/>
          <w:sz w:val="28"/>
          <w:szCs w:val="28"/>
          <w:rtl/>
          <w:lang w:bidi="ar-EG"/>
        </w:rPr>
        <w:t>: تعد طاقة الرياح واحدة من المصادر المتجددة التي تولي المملكة العربية السعودية اهتمامًا متزايدًا لتعزيز مساهمتها في مزيج الطاقة الوطني، وفي هذا الإطار تعد مزرعة دومة الجندل للرياح أول مشروع من نوعه في المملكة لتوليد الكهرباء باستخدام قوة الرياح، وتقع مزرعة دومة الجندل في منطقة الجوف شمال غرب المملكة، وتعتبر الدراسات التي أجريت على المنطقة أن هذه المنطقة تتمتع بإمكانات كبيرة لاستغلال طاقة الرياح بشكل فعال، وتم البدء بتشغيل المزرعة في عام 2021 بقدرة إنتاجية تصل إلى 400 ميجا واط؛ حيث تساهم في توليد الكهرباء النظيفة والمتجددة لتلبية الطلب المتزايد على الطاقة في المملكة، وهذا المشروع الرائد يُعد نموذجًا لجهود المملكة في تنويع مصادر الطاقة المحلية، والتحول التدريجي نحو مصادر الطاقة المستدامة كالرياح، كما يعكس التزام السعودية بتحقيق أهداف التنمية المستدامة وخفض انبعاثات الكربون؛ من خلال الاستثمار في مشاريع الطاقة المتجددة المبتكرة (</w:t>
      </w:r>
      <w:proofErr w:type="spellStart"/>
      <w:r w:rsidRPr="00325AA7">
        <w:rPr>
          <w:rFonts w:ascii="Sakkal Majalla" w:hAnsi="Sakkal Majalla" w:cs="Sakkal Majalla"/>
          <w:color w:val="000000" w:themeColor="text1"/>
          <w:sz w:val="28"/>
          <w:szCs w:val="28"/>
          <w:rtl/>
          <w:lang w:bidi="ar-EG"/>
        </w:rPr>
        <w:t>الباكري</w:t>
      </w:r>
      <w:proofErr w:type="spellEnd"/>
      <w:r w:rsidRPr="00325AA7">
        <w:rPr>
          <w:rFonts w:ascii="Sakkal Majalla" w:hAnsi="Sakkal Majalla" w:cs="Sakkal Majalla"/>
          <w:color w:val="000000" w:themeColor="text1"/>
          <w:sz w:val="28"/>
          <w:szCs w:val="28"/>
          <w:rtl/>
          <w:lang w:bidi="ar-EG"/>
        </w:rPr>
        <w:t xml:space="preserve">، 2023، ص. 332). </w:t>
      </w:r>
    </w:p>
    <w:p w14:paraId="2DEC9DF2" w14:textId="77777777" w:rsidR="00B40E55" w:rsidRPr="00325AA7" w:rsidRDefault="00B40E55" w:rsidP="00B40E55">
      <w:pPr>
        <w:spacing w:after="160"/>
        <w:jc w:val="center"/>
        <w:rPr>
          <w:rFonts w:ascii="Sakkal Majalla" w:hAnsi="Sakkal Majalla" w:cs="Sakkal Majalla"/>
          <w:color w:val="000000" w:themeColor="text1"/>
          <w:sz w:val="28"/>
          <w:szCs w:val="28"/>
          <w:rtl/>
          <w:lang w:bidi="ar-EG"/>
        </w:rPr>
      </w:pPr>
      <w:r w:rsidRPr="00325AA7">
        <w:rPr>
          <w:rFonts w:ascii="Sakkal Majalla" w:hAnsi="Sakkal Majalla" w:cs="Sakkal Majalla"/>
          <w:noProof/>
          <w:sz w:val="28"/>
          <w:szCs w:val="28"/>
        </w:rPr>
        <w:drawing>
          <wp:inline distT="0" distB="0" distL="0" distR="0" wp14:anchorId="03AF8B3B" wp14:editId="007D093D">
            <wp:extent cx="4305935" cy="1781175"/>
            <wp:effectExtent l="0" t="0" r="0" b="9525"/>
            <wp:docPr id="1" name="صورة 1" descr="صورة تحتوي على مولد كهرباء, طاحونة هوائية, سماء, جهاز&#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descr="صورة تحتوي على مولد كهرباء, طاحونة هوائية, سماء, جهاز&#10;&#10;قد يكون المحتوى المعد بواسطة الذكاء الاصطناعي غير صحيح."/>
                    <pic:cNvPicPr/>
                  </pic:nvPicPr>
                  <pic:blipFill>
                    <a:blip r:embed="rId21" cstate="print"/>
                    <a:stretch>
                      <a:fillRect/>
                    </a:stretch>
                  </pic:blipFill>
                  <pic:spPr>
                    <a:xfrm>
                      <a:off x="0" y="0"/>
                      <a:ext cx="4313823" cy="1784438"/>
                    </a:xfrm>
                    <a:prstGeom prst="rect">
                      <a:avLst/>
                    </a:prstGeom>
                  </pic:spPr>
                </pic:pic>
              </a:graphicData>
            </a:graphic>
          </wp:inline>
        </w:drawing>
      </w:r>
    </w:p>
    <w:p w14:paraId="69741F1C" w14:textId="77583BBD" w:rsidR="00B40E55" w:rsidRPr="00325AA7" w:rsidRDefault="00B40E55" w:rsidP="00B40E55">
      <w:pPr>
        <w:pStyle w:val="333"/>
        <w:rPr>
          <w:lang w:bidi="ar-EG"/>
        </w:rPr>
      </w:pPr>
      <w:bookmarkStart w:id="34" w:name="_Toc175955935"/>
      <w:bookmarkStart w:id="35" w:name="_Toc190337525"/>
      <w:r w:rsidRPr="00325AA7">
        <w:rPr>
          <w:rtl/>
          <w:lang w:bidi="ar-EG"/>
        </w:rPr>
        <w:t>شكل رقم (</w:t>
      </w:r>
      <w:r w:rsidRPr="00325AA7">
        <w:rPr>
          <w:rFonts w:hint="cs"/>
          <w:rtl/>
          <w:lang w:bidi="ar-EG"/>
        </w:rPr>
        <w:t>2-5</w:t>
      </w:r>
      <w:r w:rsidRPr="00325AA7">
        <w:rPr>
          <w:rtl/>
          <w:lang w:bidi="ar-EG"/>
        </w:rPr>
        <w:t xml:space="preserve">) يوضح طاقة الرياح (المصدر: من إعداد: الموقع الرسمي </w:t>
      </w:r>
      <w:r w:rsidR="00426110" w:rsidRPr="00325AA7">
        <w:rPr>
          <w:rFonts w:hint="cs"/>
          <w:rtl/>
          <w:lang w:bidi="ar-EG"/>
        </w:rPr>
        <w:t>ل</w:t>
      </w:r>
      <w:r w:rsidRPr="00325AA7">
        <w:rPr>
          <w:rtl/>
          <w:lang w:bidi="ar-EG"/>
        </w:rPr>
        <w:t>وزارة الكهرباء والطاقة المتجددة، 2024)</w:t>
      </w:r>
      <w:bookmarkEnd w:id="34"/>
      <w:bookmarkEnd w:id="35"/>
    </w:p>
    <w:p w14:paraId="26DA58FA" w14:textId="77777777" w:rsidR="00B40E55" w:rsidRPr="00325AA7" w:rsidRDefault="00B40E55" w:rsidP="00B40E55">
      <w:pPr>
        <w:pStyle w:val="a4"/>
        <w:numPr>
          <w:ilvl w:val="0"/>
          <w:numId w:val="6"/>
        </w:numPr>
        <w:spacing w:after="160"/>
        <w:jc w:val="both"/>
        <w:rPr>
          <w:rFonts w:ascii="Sakkal Majalla" w:hAnsi="Sakkal Majalla" w:cs="Sakkal Majalla"/>
          <w:color w:val="000000" w:themeColor="text1"/>
          <w:sz w:val="28"/>
          <w:szCs w:val="28"/>
          <w:lang w:bidi="ar-EG"/>
        </w:rPr>
      </w:pPr>
      <w:r w:rsidRPr="00325AA7">
        <w:rPr>
          <w:rFonts w:ascii="Sakkal Majalla" w:hAnsi="Sakkal Majalla" w:cs="Sakkal Majalla"/>
          <w:b/>
          <w:bCs/>
          <w:color w:val="000000" w:themeColor="text1"/>
          <w:sz w:val="28"/>
          <w:szCs w:val="28"/>
          <w:rtl/>
          <w:lang w:bidi="ar-EG"/>
        </w:rPr>
        <w:t>الطاقة الكهرومائية</w:t>
      </w:r>
      <w:r w:rsidRPr="00325AA7">
        <w:rPr>
          <w:rFonts w:ascii="Sakkal Majalla" w:hAnsi="Sakkal Majalla" w:cs="Sakkal Majalla"/>
          <w:color w:val="000000" w:themeColor="text1"/>
          <w:sz w:val="28"/>
          <w:szCs w:val="28"/>
          <w:rtl/>
          <w:lang w:bidi="ar-EG"/>
        </w:rPr>
        <w:t>: الطاقة الكهرومائية تُعد واحدة من مصادر الطاقة المتجددة الرئيسية، والتي تعتمد في إنتاجها على مجموعة متنوعة من المصادر البديلة؛ فهي تُعد محركًا أساسيًا لجميع الأنشطة البشرية، لا سيما في ظل التوجه العالمي نحو تحقيق التنمية المستدامة والاستغلال الأمثل لمصادر الطاقة، وفي ضوء توفر الإمكانات اللازمة لاستغلال الطاقة الكهرومائية، فقد أصبح من الضروري العمل على زيادة إنتاج الطاقة الكهربائية باستخدام هذا المصدر النظيف والمتجدد؛ بما يسهم في تلبية الطلب العالمي المتزايد على الطاقة، وبالنظر إلى أهمية الطاقة الكهرومائية باعتبارها جزءًا من مزيج الطاقات المتجددة؛ فأنها تساهم بشكل كبير في تحسين القدرة على تغطية الاستهلاك العالمي للطاقة (</w:t>
      </w:r>
      <w:proofErr w:type="spellStart"/>
      <w:r w:rsidRPr="00325AA7">
        <w:rPr>
          <w:rFonts w:ascii="Sakkal Majalla" w:hAnsi="Sakkal Majalla" w:cs="Sakkal Majalla"/>
          <w:color w:val="000000" w:themeColor="text1"/>
          <w:sz w:val="28"/>
          <w:szCs w:val="28"/>
          <w:rtl/>
          <w:lang w:bidi="ar-EG"/>
        </w:rPr>
        <w:t>قويسم</w:t>
      </w:r>
      <w:proofErr w:type="spellEnd"/>
      <w:r w:rsidRPr="00325AA7">
        <w:rPr>
          <w:rFonts w:ascii="Sakkal Majalla" w:hAnsi="Sakkal Majalla" w:cs="Sakkal Majalla"/>
          <w:color w:val="000000" w:themeColor="text1"/>
          <w:sz w:val="28"/>
          <w:szCs w:val="28"/>
          <w:rtl/>
          <w:lang w:bidi="ar-EG"/>
        </w:rPr>
        <w:t xml:space="preserve"> </w:t>
      </w:r>
      <w:proofErr w:type="spellStart"/>
      <w:r w:rsidRPr="00325AA7">
        <w:rPr>
          <w:rFonts w:ascii="Sakkal Majalla" w:hAnsi="Sakkal Majalla" w:cs="Sakkal Majalla"/>
          <w:color w:val="000000" w:themeColor="text1"/>
          <w:sz w:val="28"/>
          <w:szCs w:val="28"/>
          <w:rtl/>
          <w:lang w:bidi="ar-EG"/>
        </w:rPr>
        <w:t>وبوحفص</w:t>
      </w:r>
      <w:proofErr w:type="spellEnd"/>
      <w:r w:rsidRPr="00325AA7">
        <w:rPr>
          <w:rFonts w:ascii="Sakkal Majalla" w:hAnsi="Sakkal Majalla" w:cs="Sakkal Majalla"/>
          <w:color w:val="000000" w:themeColor="text1"/>
          <w:sz w:val="28"/>
          <w:szCs w:val="28"/>
          <w:rtl/>
          <w:lang w:bidi="ar-EG"/>
        </w:rPr>
        <w:t xml:space="preserve">، 2023، ص. 400). </w:t>
      </w:r>
    </w:p>
    <w:p w14:paraId="21944690" w14:textId="77777777" w:rsidR="00B40E55" w:rsidRPr="00325AA7" w:rsidRDefault="00B40E55" w:rsidP="00B40E55">
      <w:pPr>
        <w:spacing w:after="160"/>
        <w:jc w:val="center"/>
        <w:rPr>
          <w:rFonts w:ascii="Sakkal Majalla" w:hAnsi="Sakkal Majalla" w:cs="Sakkal Majalla"/>
          <w:color w:val="000000" w:themeColor="text1"/>
          <w:sz w:val="28"/>
          <w:szCs w:val="28"/>
          <w:rtl/>
          <w:lang w:bidi="ar-EG"/>
        </w:rPr>
      </w:pPr>
      <w:r w:rsidRPr="00325AA7">
        <w:rPr>
          <w:rFonts w:ascii="Sakkal Majalla" w:hAnsi="Sakkal Majalla" w:cs="Sakkal Majalla"/>
          <w:noProof/>
          <w:sz w:val="28"/>
          <w:szCs w:val="28"/>
        </w:rPr>
        <w:lastRenderedPageBreak/>
        <w:drawing>
          <wp:inline distT="0" distB="0" distL="0" distR="0" wp14:anchorId="57D8227B" wp14:editId="19AFA0CE">
            <wp:extent cx="4698365" cy="1666875"/>
            <wp:effectExtent l="0" t="0" r="6985" b="9525"/>
            <wp:docPr id="3" name="صورة 3" descr="صورة تحتوي على سد, مشهد, ماء, في الخارج&#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 3" descr="صورة تحتوي على سد, مشهد, ماء, في الخارج&#10;&#10;قد يكون المحتوى المعد بواسطة الذكاء الاصطناعي غير صحيح."/>
                    <pic:cNvPicPr/>
                  </pic:nvPicPr>
                  <pic:blipFill>
                    <a:blip r:embed="rId22" cstate="print"/>
                    <a:stretch>
                      <a:fillRect/>
                    </a:stretch>
                  </pic:blipFill>
                  <pic:spPr>
                    <a:xfrm>
                      <a:off x="0" y="0"/>
                      <a:ext cx="4749710" cy="1685091"/>
                    </a:xfrm>
                    <a:prstGeom prst="rect">
                      <a:avLst/>
                    </a:prstGeom>
                  </pic:spPr>
                </pic:pic>
              </a:graphicData>
            </a:graphic>
          </wp:inline>
        </w:drawing>
      </w:r>
    </w:p>
    <w:p w14:paraId="5063D0B0" w14:textId="77777777" w:rsidR="00B40E55" w:rsidRPr="00325AA7" w:rsidRDefault="00B40E55" w:rsidP="00B40E55">
      <w:pPr>
        <w:pStyle w:val="333"/>
        <w:rPr>
          <w:lang w:bidi="ar-EG"/>
        </w:rPr>
      </w:pPr>
      <w:bookmarkStart w:id="36" w:name="_Toc175955936"/>
      <w:bookmarkStart w:id="37" w:name="_Toc190337526"/>
      <w:r w:rsidRPr="00325AA7">
        <w:rPr>
          <w:rtl/>
          <w:lang w:bidi="ar-EG"/>
        </w:rPr>
        <w:t>شكل رقم (</w:t>
      </w:r>
      <w:r w:rsidRPr="00325AA7">
        <w:rPr>
          <w:rFonts w:hint="cs"/>
          <w:rtl/>
          <w:lang w:bidi="ar-EG"/>
        </w:rPr>
        <w:t>2-6</w:t>
      </w:r>
      <w:r w:rsidRPr="00325AA7">
        <w:rPr>
          <w:rtl/>
          <w:lang w:bidi="ar-EG"/>
        </w:rPr>
        <w:t>) يوضح الطاقة الكهرومائية (المصدر: من إعداد: الموقع الرسمي لوزارة الطاقة والمياه، 2024)</w:t>
      </w:r>
      <w:bookmarkEnd w:id="36"/>
      <w:bookmarkEnd w:id="37"/>
    </w:p>
    <w:p w14:paraId="2049C9A1" w14:textId="77777777" w:rsidR="00B40E55" w:rsidRPr="00325AA7" w:rsidRDefault="00B40E55" w:rsidP="00B40E55">
      <w:pPr>
        <w:pStyle w:val="000"/>
        <w:rPr>
          <w:rtl/>
          <w:lang w:bidi="ar-EG"/>
        </w:rPr>
      </w:pPr>
      <w:r w:rsidRPr="00325AA7">
        <w:rPr>
          <w:color w:val="000000" w:themeColor="text1"/>
          <w:rtl/>
          <w:lang w:bidi="ar-EG"/>
        </w:rPr>
        <w:t xml:space="preserve">ولذلك يبقي توضيح أهم </w:t>
      </w:r>
      <w:r w:rsidRPr="00325AA7">
        <w:rPr>
          <w:rtl/>
          <w:lang w:bidi="ar-EG"/>
        </w:rPr>
        <w:t>مصادر الطاقة المتجددة في السعودية؛ حيث تمتلك إمكانات هائلة لتطوير مصادر الطاقة المتجددة، وتعد من أكثر الدول في العالم التي لديها موارد طبيعية واعدة في هذا المجال، ومن أهم هذه المصادر ما يأتي:</w:t>
      </w:r>
    </w:p>
    <w:p w14:paraId="49C8E939"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tl/>
        </w:rPr>
      </w:pPr>
      <w:r w:rsidRPr="00325AA7">
        <w:rPr>
          <w:rFonts w:ascii="Sakkal Majalla" w:hAnsi="Sakkal Majalla" w:cs="Sakkal Majalla"/>
          <w:sz w:val="28"/>
          <w:szCs w:val="28"/>
          <w:rtl/>
        </w:rPr>
        <w:t xml:space="preserve">تتمتع بوفرة في مصادر الطاقة الشمسية؛ حيث تتلقى كميات كبيرة من الإشعاع الشمسي على مدار العام. </w:t>
      </w:r>
    </w:p>
    <w:p w14:paraId="3BA81157"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tl/>
        </w:rPr>
      </w:pPr>
      <w:r w:rsidRPr="00325AA7">
        <w:rPr>
          <w:rFonts w:ascii="Sakkal Majalla" w:hAnsi="Sakkal Majalla" w:cs="Sakkal Majalla"/>
          <w:sz w:val="28"/>
          <w:szCs w:val="28"/>
          <w:rtl/>
        </w:rPr>
        <w:t>كما تمتلك السعودية إمكانات كبيرة للاستفادة من طاقة الرياح، خاصة في المناطق الساحلية والمرتفعات الجبلية.</w:t>
      </w:r>
    </w:p>
    <w:p w14:paraId="39AE0415"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tl/>
        </w:rPr>
      </w:pPr>
      <w:r w:rsidRPr="00325AA7">
        <w:rPr>
          <w:rFonts w:ascii="Sakkal Majalla" w:hAnsi="Sakkal Majalla" w:cs="Sakkal Majalla"/>
          <w:sz w:val="28"/>
          <w:szCs w:val="28"/>
          <w:rtl/>
        </w:rPr>
        <w:t>بالإضافة إلى ذلك تعمل السعودية على تطوير قطاع الطاقة الحيوية من خلال الاستفادة من المخلفات الزراعية والصناعية.</w:t>
      </w:r>
    </w:p>
    <w:p w14:paraId="63DF6C6C"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tl/>
        </w:rPr>
      </w:pPr>
      <w:r w:rsidRPr="00325AA7">
        <w:rPr>
          <w:rFonts w:ascii="Sakkal Majalla" w:hAnsi="Sakkal Majalla" w:cs="Sakkal Majalla"/>
          <w:sz w:val="28"/>
          <w:szCs w:val="28"/>
          <w:rtl/>
        </w:rPr>
        <w:t xml:space="preserve">كما تستكشف إمكانيات توليد الكهرباء من الطاقة </w:t>
      </w:r>
      <w:proofErr w:type="spellStart"/>
      <w:r w:rsidRPr="00325AA7">
        <w:rPr>
          <w:rFonts w:ascii="Sakkal Majalla" w:hAnsi="Sakkal Majalla" w:cs="Sakkal Majalla"/>
          <w:sz w:val="28"/>
          <w:szCs w:val="28"/>
          <w:rtl/>
        </w:rPr>
        <w:t>الجيوحرارية</w:t>
      </w:r>
      <w:proofErr w:type="spellEnd"/>
      <w:r w:rsidRPr="00325AA7">
        <w:rPr>
          <w:rFonts w:ascii="Sakkal Majalla" w:hAnsi="Sakkal Majalla" w:cs="Sakkal Majalla"/>
          <w:sz w:val="28"/>
          <w:szCs w:val="28"/>
          <w:rtl/>
        </w:rPr>
        <w:t xml:space="preserve"> في بعض المناطق المناسبة.</w:t>
      </w:r>
    </w:p>
    <w:p w14:paraId="0D4F606D" w14:textId="77777777" w:rsidR="00B40E55" w:rsidRPr="00325AA7" w:rsidRDefault="00B40E55" w:rsidP="00B40E55">
      <w:pPr>
        <w:pStyle w:val="a4"/>
        <w:numPr>
          <w:ilvl w:val="0"/>
          <w:numId w:val="2"/>
        </w:numPr>
        <w:spacing w:after="160"/>
        <w:ind w:left="753"/>
        <w:jc w:val="both"/>
        <w:rPr>
          <w:rFonts w:ascii="Sakkal Majalla" w:hAnsi="Sakkal Majalla" w:cs="Sakkal Majalla"/>
          <w:sz w:val="28"/>
          <w:szCs w:val="28"/>
        </w:rPr>
      </w:pPr>
      <w:r w:rsidRPr="00325AA7">
        <w:rPr>
          <w:rFonts w:ascii="Sakkal Majalla" w:hAnsi="Sakkal Majalla" w:cs="Sakkal Majalla"/>
          <w:sz w:val="28"/>
          <w:szCs w:val="28"/>
          <w:rtl/>
        </w:rPr>
        <w:t>وتُعد الطاقة الكهرومائية أيضًا أحد المصادر المستقبلية التي تشهد اهتمامًا متزايدًا في المملكة.</w:t>
      </w:r>
    </w:p>
    <w:p w14:paraId="61D55EAD" w14:textId="77777777" w:rsidR="00637D0C" w:rsidRDefault="00637D0C">
      <w:pPr>
        <w:bidi w:val="0"/>
        <w:spacing w:after="160" w:line="259"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3932EC5F" w14:textId="5A1E920A" w:rsidR="00B40E55" w:rsidRPr="00325AA7" w:rsidRDefault="00B40E55" w:rsidP="00B40E55">
      <w:pPr>
        <w:spacing w:after="160"/>
        <w:jc w:val="both"/>
        <w:rPr>
          <w:rFonts w:ascii="Sakkal Majalla" w:hAnsi="Sakkal Majalla" w:cs="Sakkal Majalla"/>
          <w:sz w:val="28"/>
          <w:szCs w:val="28"/>
          <w:rtl/>
          <w:lang w:bidi="ar-EG"/>
        </w:rPr>
      </w:pPr>
      <w:r w:rsidRPr="00325AA7">
        <w:rPr>
          <w:rFonts w:ascii="Sakkal Majalla" w:hAnsi="Sakkal Majalla" w:cs="Sakkal Majalla"/>
          <w:sz w:val="28"/>
          <w:szCs w:val="28"/>
          <w:rtl/>
          <w:lang w:bidi="ar-EG"/>
        </w:rPr>
        <w:lastRenderedPageBreak/>
        <w:t>كما هو موضح في الشكل الآتي:</w:t>
      </w:r>
    </w:p>
    <w:p w14:paraId="71A2C9E2" w14:textId="77777777" w:rsidR="00B40E55" w:rsidRPr="00325AA7" w:rsidRDefault="00B40E55" w:rsidP="00B40E55">
      <w:pPr>
        <w:spacing w:after="160"/>
        <w:jc w:val="center"/>
        <w:rPr>
          <w:rFonts w:ascii="Sakkal Majalla" w:hAnsi="Sakkal Majalla" w:cs="Sakkal Majalla"/>
          <w:sz w:val="28"/>
          <w:szCs w:val="28"/>
          <w:rtl/>
          <w:lang w:bidi="ar-EG"/>
        </w:rPr>
      </w:pPr>
      <w:r w:rsidRPr="00325AA7">
        <w:rPr>
          <w:rFonts w:ascii="Sakkal Majalla" w:hAnsi="Sakkal Majalla" w:cs="Sakkal Majalla"/>
          <w:noProof/>
          <w:sz w:val="28"/>
          <w:szCs w:val="28"/>
          <w:rtl/>
        </w:rPr>
        <w:drawing>
          <wp:inline distT="0" distB="0" distL="0" distR="0" wp14:anchorId="01B8AECB" wp14:editId="25165ED1">
            <wp:extent cx="5184140" cy="2428875"/>
            <wp:effectExtent l="0" t="57150" r="0" b="47625"/>
            <wp:docPr id="6"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0D27C6FC" w14:textId="77777777" w:rsidR="00B40E55" w:rsidRPr="00325AA7" w:rsidRDefault="00B40E55" w:rsidP="00B40E55">
      <w:pPr>
        <w:pStyle w:val="333"/>
        <w:rPr>
          <w:rtl/>
        </w:rPr>
      </w:pPr>
      <w:bookmarkStart w:id="38" w:name="_Toc175955937"/>
      <w:bookmarkStart w:id="39" w:name="_Toc190337527"/>
      <w:r w:rsidRPr="00325AA7">
        <w:rPr>
          <w:rtl/>
        </w:rPr>
        <w:t>شكل رقم (</w:t>
      </w:r>
      <w:r w:rsidRPr="00325AA7">
        <w:rPr>
          <w:rFonts w:hint="cs"/>
          <w:rtl/>
        </w:rPr>
        <w:t>2-7</w:t>
      </w:r>
      <w:r w:rsidRPr="00325AA7">
        <w:rPr>
          <w:rtl/>
        </w:rPr>
        <w:t>) يوضح مصادر الطاقة المتجددة (المصدر: من إعداد: الباحث)</w:t>
      </w:r>
      <w:bookmarkEnd w:id="38"/>
      <w:bookmarkEnd w:id="39"/>
    </w:p>
    <w:p w14:paraId="4A0969F8" w14:textId="77777777" w:rsidR="00B40E55" w:rsidRPr="00325AA7" w:rsidRDefault="00B40E55" w:rsidP="00B40E55">
      <w:pPr>
        <w:pStyle w:val="222"/>
        <w:spacing w:line="276" w:lineRule="auto"/>
        <w:rPr>
          <w:sz w:val="28"/>
          <w:szCs w:val="28"/>
          <w:lang w:bidi="ar-EG"/>
        </w:rPr>
      </w:pPr>
      <w:bookmarkStart w:id="40" w:name="_Toc175955938"/>
      <w:bookmarkStart w:id="41" w:name="_Toc190337528"/>
      <w:r w:rsidRPr="00325AA7">
        <w:rPr>
          <w:sz w:val="28"/>
          <w:szCs w:val="28"/>
          <w:rtl/>
          <w:lang w:bidi="ar-EG"/>
        </w:rPr>
        <w:t>إدارة محطات توليد الطاقة</w:t>
      </w:r>
      <w:bookmarkEnd w:id="40"/>
      <w:bookmarkEnd w:id="41"/>
      <w:r w:rsidRPr="00325AA7">
        <w:rPr>
          <w:sz w:val="28"/>
          <w:szCs w:val="28"/>
          <w:rtl/>
          <w:lang w:bidi="ar-EG"/>
        </w:rPr>
        <w:t xml:space="preserve"> </w:t>
      </w:r>
    </w:p>
    <w:p w14:paraId="66332050" w14:textId="77777777" w:rsidR="00B40E55" w:rsidRPr="00325AA7" w:rsidRDefault="00B40E55" w:rsidP="00B40E55">
      <w:pPr>
        <w:pStyle w:val="000"/>
        <w:rPr>
          <w:rtl/>
          <w:lang w:bidi="ar-EG"/>
        </w:rPr>
      </w:pPr>
      <w:r w:rsidRPr="00325AA7">
        <w:rPr>
          <w:rtl/>
          <w:lang w:bidi="ar-EG"/>
        </w:rPr>
        <w:t>إدارة محطات توليد الطاقة هي مسؤولية حيوية لضمان إنتاج الكهرباء بطريقة آمنة وفعالة، وهذه المهمة تتطلب فريق متخصص ووجود إجراءات قوية لتشغيل وصيانة مختلف مكونات المحطات، ومن أهم فنيات إدارة محطات توليد الطاقة ما يلي:</w:t>
      </w:r>
    </w:p>
    <w:p w14:paraId="526B995E" w14:textId="77777777" w:rsidR="00B40E55" w:rsidRPr="00325AA7" w:rsidRDefault="00B40E55" w:rsidP="00B40E55">
      <w:pPr>
        <w:pStyle w:val="a4"/>
        <w:numPr>
          <w:ilvl w:val="0"/>
          <w:numId w:val="2"/>
        </w:numPr>
        <w:spacing w:after="160"/>
        <w:ind w:left="753"/>
        <w:jc w:val="both"/>
        <w:rPr>
          <w:rFonts w:ascii="Sakkal Majalla" w:hAnsi="Sakkal Majalla" w:cs="Sakkal Majalla"/>
          <w:b/>
          <w:bCs/>
          <w:sz w:val="28"/>
          <w:szCs w:val="28"/>
          <w:rtl/>
          <w:lang w:bidi="ar-EG"/>
        </w:rPr>
      </w:pPr>
      <w:r w:rsidRPr="00325AA7">
        <w:rPr>
          <w:rFonts w:ascii="Sakkal Majalla" w:hAnsi="Sakkal Majalla" w:cs="Sakkal Majalla"/>
          <w:b/>
          <w:bCs/>
          <w:sz w:val="28"/>
          <w:szCs w:val="28"/>
          <w:rtl/>
          <w:lang w:bidi="ar-EG"/>
        </w:rPr>
        <w:t xml:space="preserve">تخطيط </w:t>
      </w:r>
      <w:r w:rsidRPr="00325AA7">
        <w:rPr>
          <w:rFonts w:ascii="Sakkal Majalla" w:hAnsi="Sakkal Majalla" w:cs="Sakkal Majalla"/>
          <w:sz w:val="28"/>
          <w:szCs w:val="28"/>
          <w:rtl/>
          <w:lang w:bidi="ar-EG"/>
        </w:rPr>
        <w:t>يعد التخطيط الاستراتيجي أحد المكونات الأساسية لإدارة محطات توليد الطاقة؛ وهو تخطيط طويل المدى يأخذ في الاعتبار المتغيرات الداخلية والخارجية والقطاعات المستهدفة، وشرائح السوق، وطريقة المنافسة، ويختلف عن التخطيط التقليدي؛ حيث يعتمد على استشراف المستقبل والاستعداد له، مع الأخذ في الاعتبار الرؤية المستقبلية، والعلاقة والتكامل بين جوانب وأنشطة المنظمة المختلفة، والعلاقة بين المنظمة وبيئتها (</w:t>
      </w:r>
      <w:proofErr w:type="spellStart"/>
      <w:r w:rsidRPr="00325AA7">
        <w:rPr>
          <w:rFonts w:ascii="Sakkal Majalla" w:hAnsi="Sakkal Majalla" w:cs="Sakkal Majalla"/>
          <w:sz w:val="28"/>
          <w:szCs w:val="28"/>
          <w:shd w:val="clear" w:color="auto" w:fill="FFFFFF"/>
        </w:rPr>
        <w:t>Elkality</w:t>
      </w:r>
      <w:proofErr w:type="spellEnd"/>
      <w:r w:rsidRPr="00325AA7">
        <w:rPr>
          <w:rFonts w:ascii="Sakkal Majalla" w:hAnsi="Sakkal Majalla" w:cs="Sakkal Majalla"/>
          <w:sz w:val="28"/>
          <w:szCs w:val="28"/>
          <w:shd w:val="clear" w:color="auto" w:fill="FFFFFF"/>
        </w:rPr>
        <w:t xml:space="preserve"> &amp; Hassanein</w:t>
      </w:r>
      <w:r w:rsidRPr="00325AA7">
        <w:rPr>
          <w:rFonts w:ascii="Sakkal Majalla" w:hAnsi="Sakkal Majalla" w:cs="Sakkal Majalla"/>
          <w:sz w:val="28"/>
          <w:szCs w:val="28"/>
          <w:shd w:val="clear" w:color="auto" w:fill="FFFFFF"/>
          <w:lang w:bidi="ar-EG"/>
        </w:rPr>
        <w:t>, 2018, P. 5</w:t>
      </w:r>
      <w:r w:rsidRPr="00325AA7">
        <w:rPr>
          <w:rFonts w:ascii="Sakkal Majalla" w:hAnsi="Sakkal Majalla" w:cs="Sakkal Majalla"/>
          <w:sz w:val="28"/>
          <w:szCs w:val="28"/>
          <w:rtl/>
          <w:lang w:bidi="ar-EG"/>
        </w:rPr>
        <w:t>).</w:t>
      </w:r>
    </w:p>
    <w:p w14:paraId="04E7921B" w14:textId="77777777" w:rsidR="00B40E55" w:rsidRPr="00325AA7" w:rsidRDefault="00B40E55" w:rsidP="00B40E55">
      <w:pPr>
        <w:pStyle w:val="000"/>
        <w:rPr>
          <w:rtl/>
          <w:lang w:bidi="ar-EG"/>
        </w:rPr>
      </w:pPr>
      <w:r w:rsidRPr="00325AA7">
        <w:rPr>
          <w:rtl/>
          <w:lang w:bidi="ar-EG"/>
        </w:rPr>
        <w:t xml:space="preserve"> وتوضيحًا لذلك لقد تم استخدام وسائل التخطيط العمراني والمدني، والتي تستند على الطاقة الشمسية؛ حيث تم إنشاء مباني في اتجاهات معينة للحصول على الدفء والضوء، ومن أهم خصائص التخطيط العمراني هو الاعتماد على تقنية الطاقة الشمسية، وإنشاء المباني لاستغلال هذه الطاقة، وعند توافر الخصائص الملائمة مع البيئة والمناخ يمكن تشييد مباني جيدة الإضاءة ذات المدى المتوسط من درجات الحرارة، مثال على ذلك منزل الفيلسوف اليوناني سقراط الذي أطلق عليه مثالًا للتصميم المعماري الذي يعتمد على الطاقة الشمسية (سعيد وعبد المنعم، 2019، ص. 152).</w:t>
      </w:r>
    </w:p>
    <w:p w14:paraId="42DCB8F3" w14:textId="77777777" w:rsidR="00B40E55" w:rsidRPr="00325AA7" w:rsidRDefault="00B40E55" w:rsidP="00B40E55">
      <w:pPr>
        <w:pStyle w:val="a4"/>
        <w:widowControl w:val="0"/>
        <w:numPr>
          <w:ilvl w:val="0"/>
          <w:numId w:val="2"/>
        </w:numPr>
        <w:spacing w:after="160"/>
        <w:ind w:left="753"/>
        <w:jc w:val="both"/>
        <w:rPr>
          <w:rFonts w:ascii="Sakkal Majalla" w:hAnsi="Sakkal Majalla" w:cs="Sakkal Majalla"/>
          <w:b/>
          <w:bCs/>
          <w:sz w:val="28"/>
          <w:szCs w:val="28"/>
          <w:lang w:bidi="ar-EG"/>
        </w:rPr>
      </w:pPr>
      <w:r w:rsidRPr="00325AA7">
        <w:rPr>
          <w:rFonts w:ascii="Sakkal Majalla" w:hAnsi="Sakkal Majalla" w:cs="Sakkal Majalla"/>
          <w:b/>
          <w:bCs/>
          <w:sz w:val="28"/>
          <w:szCs w:val="28"/>
          <w:rtl/>
          <w:lang w:bidi="ar-EG"/>
        </w:rPr>
        <w:t xml:space="preserve">تنظيم </w:t>
      </w:r>
      <w:r w:rsidRPr="00325AA7">
        <w:rPr>
          <w:rFonts w:ascii="Sakkal Majalla" w:hAnsi="Sakkal Majalla" w:cs="Sakkal Majalla"/>
          <w:sz w:val="28"/>
          <w:szCs w:val="28"/>
          <w:rtl/>
          <w:lang w:bidi="ar-EG"/>
        </w:rPr>
        <w:t xml:space="preserve">تعد الطاقة من الركائز الأساسية للحياة؛ حيث ترتبط بحياة الإنسان، ووجوده، ومعيشته، وسد الاحتياجات الأساسية ورفاهيته، فلا يمكن للإنسان ممارسة حياته بدون طاقة؛ حيث من أهم عناصر </w:t>
      </w:r>
      <w:r w:rsidRPr="00325AA7">
        <w:rPr>
          <w:rFonts w:ascii="Sakkal Majalla" w:hAnsi="Sakkal Majalla" w:cs="Sakkal Majalla"/>
          <w:sz w:val="28"/>
          <w:szCs w:val="28"/>
          <w:rtl/>
          <w:lang w:bidi="ar-EG"/>
        </w:rPr>
        <w:lastRenderedPageBreak/>
        <w:t xml:space="preserve">التنمية المستدامة للشعوب، ومن أجل الحفاظ على السلام والأمن والرفاهية لابد من وجود تنظيم لتأمين حصول الإنسان والشعوب على الطاقة اللازمة للحياة والرفاهية؛ من أجل التقلقل من الصراعات والحروب التي قد تنشأ عن التنافس الشديد للحصول على الطاقة وتأمين مواردها؛ حيث إنه من خلال التنظيم القانوني للطاقة قد يكون من الصعب تنظيمه، لما يقابل من صعوبات، وتنوع لموارد الطاقة، واختلاف الأنشطة؛ لذا لابد من وجود قانون لتنظيم هذه الموارد (احمد، 2022، ص. 268). </w:t>
      </w:r>
    </w:p>
    <w:p w14:paraId="28B02363" w14:textId="77777777" w:rsidR="00B40E55" w:rsidRPr="00325AA7" w:rsidRDefault="00B40E55" w:rsidP="00B40E55">
      <w:pPr>
        <w:pStyle w:val="000"/>
        <w:widowControl w:val="0"/>
        <w:rPr>
          <w:rtl/>
          <w:lang w:bidi="ar-EG"/>
        </w:rPr>
      </w:pPr>
      <w:r w:rsidRPr="00325AA7">
        <w:rPr>
          <w:rtl/>
          <w:lang w:bidi="ar-EG"/>
        </w:rPr>
        <w:t>يعد تنظيم الطاقة أمرًا بالغ الأهمية لنجاح استدامة الطاقة، كما يعد تنظيم الطاقة مفهومًا جديدًا ومصممًا بشكل أساسي لإزالة الاحتكارات السابقة للمرافق العامة؛ وتتطلب تحديات إلغاء القيود والتحرير إطارًا تنظيميًا قويًا ووظيفيًا يمكنه قيادة الصناعة من الاحتكار إلى المنافسة، وبصرف النظر عن الخصائص المتأصلة للبنى التحتية للشبكات، وخاصة صناعة الكهرباء، والتي تتطلب وجود إطار تنظيمي، وهناك تحديات وطنية وعالمية ناشئة تتطلب إجراءات فورية وحاسمة من المؤسسات التنظيمية للطاقة؛ كما أن التحول إلى صناعة طاقة منخفضة الكربون هي التحديات التي تتطلب تدخلات تنظيمية (</w:t>
      </w:r>
      <w:r w:rsidRPr="00325AA7">
        <w:rPr>
          <w:shd w:val="clear" w:color="auto" w:fill="FFFFFF"/>
        </w:rPr>
        <w:t>Mohammadi</w:t>
      </w:r>
      <w:r w:rsidRPr="00325AA7">
        <w:rPr>
          <w:lang w:bidi="ar-EG"/>
        </w:rPr>
        <w:t xml:space="preserve"> &amp; </w:t>
      </w:r>
      <w:proofErr w:type="spellStart"/>
      <w:r w:rsidRPr="00325AA7">
        <w:rPr>
          <w:shd w:val="clear" w:color="auto" w:fill="FFFFFF"/>
        </w:rPr>
        <w:t>Soorani</w:t>
      </w:r>
      <w:proofErr w:type="spellEnd"/>
      <w:r w:rsidRPr="00325AA7">
        <w:rPr>
          <w:shd w:val="clear" w:color="auto" w:fill="FFFFFF"/>
        </w:rPr>
        <w:t>, 2017, P. 351</w:t>
      </w:r>
      <w:r w:rsidRPr="00325AA7">
        <w:rPr>
          <w:lang w:bidi="ar-EG"/>
        </w:rPr>
        <w:t xml:space="preserve"> </w:t>
      </w:r>
      <w:r w:rsidRPr="00325AA7">
        <w:rPr>
          <w:rtl/>
          <w:lang w:bidi="ar-EG"/>
        </w:rPr>
        <w:t>).</w:t>
      </w:r>
    </w:p>
    <w:p w14:paraId="084A5008" w14:textId="77777777" w:rsidR="00B40E55" w:rsidRPr="00325AA7" w:rsidRDefault="00B40E55" w:rsidP="00B40E55">
      <w:pPr>
        <w:pStyle w:val="a4"/>
        <w:widowControl w:val="0"/>
        <w:numPr>
          <w:ilvl w:val="0"/>
          <w:numId w:val="2"/>
        </w:numPr>
        <w:spacing w:after="160"/>
        <w:ind w:left="753"/>
        <w:jc w:val="both"/>
        <w:rPr>
          <w:rFonts w:ascii="Sakkal Majalla" w:hAnsi="Sakkal Majalla" w:cs="Sakkal Majalla"/>
          <w:b/>
          <w:bCs/>
          <w:sz w:val="28"/>
          <w:szCs w:val="28"/>
          <w:lang w:bidi="ar-EG"/>
        </w:rPr>
      </w:pPr>
      <w:r w:rsidRPr="00325AA7">
        <w:rPr>
          <w:rFonts w:ascii="Sakkal Majalla" w:hAnsi="Sakkal Majalla" w:cs="Sakkal Majalla"/>
          <w:b/>
          <w:bCs/>
          <w:sz w:val="28"/>
          <w:szCs w:val="28"/>
          <w:rtl/>
          <w:lang w:bidi="ar-EG"/>
        </w:rPr>
        <w:t xml:space="preserve">توظيف  </w:t>
      </w:r>
      <w:r w:rsidRPr="00325AA7">
        <w:rPr>
          <w:rFonts w:ascii="Sakkal Majalla" w:hAnsi="Sakkal Majalla" w:cs="Sakkal Majalla"/>
          <w:sz w:val="28"/>
          <w:szCs w:val="28"/>
          <w:rtl/>
          <w:lang w:bidi="ar-EG"/>
        </w:rPr>
        <w:t>يعد عملية توظيف الطاقة من العمليات الأساسية في إدارة وقت توليد محطات الطاقة المتنوعة، والدول التي تقوم بإنتاج الطاقة باستثمار مجالات الجيوسياسية للطاقة بأقصى ما يمكن لمصالحها الوطنية، وسمعتها الدولية، وقيمها العامة عبر التفاعل والتواصل مع وحدات النظام الدولي المختلفة؛ حيث تشكل جيوسياسية الطاقة في عالم اليوم إطار عام يتفاعل من خلاله الكثير من الأبعاد الاقتصادية، والمالية، والسياسية، والبيئية؛ لتشكل أداه هامة يمكن أن يستخدمها في التأثير الخارجي للدول، وهذا يرتبط بحجم الطاقة، ومدى امتلاك المصادر الطاقة الطبيعية، والتي لا يمكن فصلها عن قوة المؤسسات السياسية والاقتصادية التنافسية؛ حيث تتمثل قوة الفعلية للدولة في توظيف المصادر عن طريق ما تملكه من مؤسسات، مع الاستخدام القوة المتحققة لتحقيق المصالح الوطنية (</w:t>
      </w:r>
      <w:proofErr w:type="spellStart"/>
      <w:r w:rsidRPr="00325AA7">
        <w:rPr>
          <w:rFonts w:ascii="Sakkal Majalla" w:hAnsi="Sakkal Majalla" w:cs="Sakkal Majalla"/>
          <w:sz w:val="28"/>
          <w:szCs w:val="28"/>
          <w:rtl/>
          <w:lang w:bidi="ar-EG"/>
        </w:rPr>
        <w:t>الفهداوي</w:t>
      </w:r>
      <w:proofErr w:type="spellEnd"/>
      <w:r w:rsidRPr="00325AA7">
        <w:rPr>
          <w:rFonts w:ascii="Sakkal Majalla" w:hAnsi="Sakkal Majalla" w:cs="Sakkal Majalla"/>
          <w:sz w:val="28"/>
          <w:szCs w:val="28"/>
          <w:rtl/>
          <w:lang w:bidi="ar-EG"/>
        </w:rPr>
        <w:t>، 2024، ص. 780).</w:t>
      </w:r>
    </w:p>
    <w:p w14:paraId="25ECE5D3" w14:textId="77777777" w:rsidR="00B40E55" w:rsidRPr="00325AA7" w:rsidRDefault="00B40E55" w:rsidP="00B40E55">
      <w:pPr>
        <w:pStyle w:val="000"/>
        <w:widowControl w:val="0"/>
        <w:rPr>
          <w:rtl/>
          <w:lang w:bidi="ar-EG"/>
        </w:rPr>
      </w:pPr>
      <w:r w:rsidRPr="00325AA7">
        <w:rPr>
          <w:rtl/>
          <w:lang w:bidi="ar-EG"/>
        </w:rPr>
        <w:t>ويتم تصنيف التوظيف إلى فئات مهنية ومستويات مهارة، وتم قياس دعم الوقود باستخدام تصنيف أسعار البنزين والديزل ومنتجات الوقود الأخرى، وتشير النتائج إلى أن إلغاء دعم الوقود سيضر بالأداء الاقتصادي؛ من خلال ارتفاع تكاليف المدخلات، وتحديدًا بالنسبة للصناعات المرتبطة بشكل وثيق بقطاع تكرير النفط؛ حيث يشهد قطاع التصنيع بانخفاض في الإنتاج والعمالة (</w:t>
      </w:r>
      <w:r w:rsidRPr="00325AA7">
        <w:rPr>
          <w:shd w:val="clear" w:color="auto" w:fill="FFFFFF"/>
        </w:rPr>
        <w:t>Sulaiman</w:t>
      </w:r>
      <w:r w:rsidRPr="00325AA7">
        <w:rPr>
          <w:lang w:bidi="ar-EG"/>
        </w:rPr>
        <w:t xml:space="preserve"> et al, 2022, P. 315</w:t>
      </w:r>
      <w:r w:rsidRPr="00325AA7">
        <w:rPr>
          <w:rtl/>
          <w:lang w:bidi="ar-EG"/>
        </w:rPr>
        <w:t>).</w:t>
      </w:r>
    </w:p>
    <w:p w14:paraId="0C399BDC" w14:textId="77777777" w:rsidR="00B40E55" w:rsidRPr="00325AA7" w:rsidRDefault="00B40E55" w:rsidP="00B40E55">
      <w:pPr>
        <w:pStyle w:val="a4"/>
        <w:widowControl w:val="0"/>
        <w:numPr>
          <w:ilvl w:val="0"/>
          <w:numId w:val="2"/>
        </w:numPr>
        <w:spacing w:after="160"/>
        <w:ind w:left="753"/>
        <w:jc w:val="both"/>
        <w:rPr>
          <w:rFonts w:ascii="Sakkal Majalla" w:hAnsi="Sakkal Majalla" w:cs="Sakkal Majalla"/>
          <w:b/>
          <w:bCs/>
          <w:sz w:val="28"/>
          <w:szCs w:val="28"/>
          <w:rtl/>
          <w:lang w:bidi="ar-EG"/>
        </w:rPr>
      </w:pPr>
      <w:r w:rsidRPr="00325AA7">
        <w:rPr>
          <w:rFonts w:ascii="Sakkal Majalla" w:hAnsi="Sakkal Majalla" w:cs="Sakkal Majalla"/>
          <w:b/>
          <w:bCs/>
          <w:sz w:val="28"/>
          <w:szCs w:val="28"/>
          <w:rtl/>
          <w:lang w:bidi="ar-EG"/>
        </w:rPr>
        <w:t>توجيه</w:t>
      </w:r>
      <w:r w:rsidRPr="00325AA7">
        <w:rPr>
          <w:rFonts w:ascii="Sakkal Majalla" w:hAnsi="Sakkal Majalla" w:cs="Sakkal Majalla"/>
          <w:sz w:val="28"/>
          <w:szCs w:val="28"/>
          <w:rtl/>
          <w:lang w:bidi="ar-EG"/>
        </w:rPr>
        <w:t xml:space="preserve"> من الضروري إدراك البينية التحتية لمصادر الطاقة وخاصه الغاز الطبيعي؛ حيث من الممكن القيام بالمزيد من الاستثمارات الكبيرة في الغاز الطبيعي، وإمكانية مزج الهيدروجين الأخضر في شبكات الغاز المتوفرة؛ مما يشير إلى إمكانية توجيه أصول الغاز الطبيعي لدعم الهيدروجين (مجلس الوزراء، 2023، ص. 27).</w:t>
      </w:r>
    </w:p>
    <w:p w14:paraId="191CEFFC" w14:textId="77777777" w:rsidR="00B40E55" w:rsidRPr="00325AA7" w:rsidRDefault="00B40E55" w:rsidP="00B40E55">
      <w:pPr>
        <w:pStyle w:val="000"/>
        <w:rPr>
          <w:rtl/>
          <w:lang w:bidi="ar-EG"/>
        </w:rPr>
      </w:pPr>
      <w:r w:rsidRPr="00325AA7">
        <w:rPr>
          <w:rtl/>
          <w:lang w:bidi="ar-EG"/>
        </w:rPr>
        <w:lastRenderedPageBreak/>
        <w:t>كما يعتبر التوجه الاستراتيجي أساسي يحدد أداء المنظمات، ووسيلة مهمة للعديد من المنظمات؛ للحفاظ على الميزة التنافسية واكتساب التنشيط (</w:t>
      </w:r>
      <w:proofErr w:type="spellStart"/>
      <w:r w:rsidRPr="00325AA7">
        <w:rPr>
          <w:color w:val="222222"/>
          <w:shd w:val="clear" w:color="auto" w:fill="FFFFFF"/>
        </w:rPr>
        <w:t>Aloulou</w:t>
      </w:r>
      <w:proofErr w:type="spellEnd"/>
      <w:r w:rsidRPr="00325AA7">
        <w:rPr>
          <w:color w:val="222222"/>
          <w:shd w:val="clear" w:color="auto" w:fill="FFFFFF"/>
        </w:rPr>
        <w:t>, 2019, P. 257</w:t>
      </w:r>
      <w:r w:rsidRPr="00325AA7">
        <w:rPr>
          <w:rtl/>
          <w:lang w:bidi="ar-EG"/>
        </w:rPr>
        <w:t>).</w:t>
      </w:r>
    </w:p>
    <w:p w14:paraId="062F5EB5" w14:textId="77777777" w:rsidR="00B40E55" w:rsidRPr="00325AA7" w:rsidRDefault="00B40E55" w:rsidP="00B40E55">
      <w:pPr>
        <w:pStyle w:val="a4"/>
        <w:numPr>
          <w:ilvl w:val="0"/>
          <w:numId w:val="2"/>
        </w:numPr>
        <w:spacing w:after="160"/>
        <w:ind w:left="753"/>
        <w:jc w:val="both"/>
        <w:rPr>
          <w:rFonts w:ascii="Sakkal Majalla" w:hAnsi="Sakkal Majalla" w:cs="Sakkal Majalla"/>
          <w:b/>
          <w:bCs/>
          <w:sz w:val="28"/>
          <w:szCs w:val="28"/>
          <w:lang w:bidi="ar-EG"/>
        </w:rPr>
      </w:pPr>
      <w:r w:rsidRPr="00325AA7">
        <w:rPr>
          <w:rFonts w:ascii="Sakkal Majalla" w:hAnsi="Sakkal Majalla" w:cs="Sakkal Majalla"/>
          <w:b/>
          <w:bCs/>
          <w:sz w:val="28"/>
          <w:szCs w:val="28"/>
          <w:rtl/>
          <w:lang w:bidi="ar-EG"/>
        </w:rPr>
        <w:t xml:space="preserve">رقابة </w:t>
      </w:r>
      <w:r w:rsidRPr="00325AA7">
        <w:rPr>
          <w:rFonts w:ascii="Sakkal Majalla" w:hAnsi="Sakkal Majalla" w:cs="Sakkal Majalla"/>
          <w:sz w:val="28"/>
          <w:szCs w:val="28"/>
          <w:rtl/>
          <w:lang w:bidi="ar-EG"/>
        </w:rPr>
        <w:t>الرقابة من الأبعاد الهامة في إدارة الطاقة، والتي تؤثر في جودة عمليات الإنتاج (حراز وآخرون، 2022، ص. 776).</w:t>
      </w:r>
    </w:p>
    <w:p w14:paraId="6250F628" w14:textId="77777777" w:rsidR="00B40E55" w:rsidRPr="00325AA7" w:rsidRDefault="00B40E55" w:rsidP="00B40E55">
      <w:pPr>
        <w:pStyle w:val="000"/>
        <w:rPr>
          <w:rtl/>
          <w:lang w:bidi="ar-EG"/>
        </w:rPr>
      </w:pPr>
      <w:r w:rsidRPr="00325AA7">
        <w:rPr>
          <w:rtl/>
          <w:lang w:bidi="ar-EG"/>
        </w:rPr>
        <w:t>تعد الرقابة إحدى وظائف الإدارة المستخدمة للتأكد من تحقيق أهداف المؤسسة؛ كما أنه أحد الأسس العلمية التي يمكن الاعتماد عليها، ويقدم المقارنة بين مؤشرات الأداء الحقيقية والمخططة، ويستكشف الانحرافات وأسبابها في وقت مبكر</w:t>
      </w:r>
      <w:r w:rsidRPr="00325AA7">
        <w:rPr>
          <w:rFonts w:hint="cs"/>
          <w:rtl/>
          <w:lang w:bidi="ar-EG"/>
        </w:rPr>
        <w:t xml:space="preserve"> (</w:t>
      </w:r>
      <w:r w:rsidRPr="00325AA7">
        <w:rPr>
          <w:shd w:val="clear" w:color="auto" w:fill="FFFFFF"/>
        </w:rPr>
        <w:t>Al Abdulkareem &amp; Al-</w:t>
      </w:r>
      <w:proofErr w:type="spellStart"/>
      <w:r w:rsidRPr="00325AA7">
        <w:rPr>
          <w:shd w:val="clear" w:color="auto" w:fill="FFFFFF"/>
        </w:rPr>
        <w:t>Nsour</w:t>
      </w:r>
      <w:proofErr w:type="spellEnd"/>
      <w:r w:rsidRPr="00325AA7">
        <w:rPr>
          <w:shd w:val="clear" w:color="auto" w:fill="FFFFFF"/>
        </w:rPr>
        <w:t>, 2021, P. 32</w:t>
      </w:r>
      <w:r w:rsidRPr="00325AA7">
        <w:rPr>
          <w:rFonts w:hint="cs"/>
          <w:rtl/>
          <w:lang w:bidi="ar-EG"/>
        </w:rPr>
        <w:t>)</w:t>
      </w:r>
      <w:r w:rsidRPr="00325AA7">
        <w:rPr>
          <w:rtl/>
          <w:lang w:bidi="ar-EG"/>
        </w:rPr>
        <w:t>.</w:t>
      </w:r>
    </w:p>
    <w:p w14:paraId="57004368" w14:textId="77777777" w:rsidR="00B40E55" w:rsidRPr="00325AA7" w:rsidRDefault="00B40E55" w:rsidP="00B40E55">
      <w:pPr>
        <w:pStyle w:val="000"/>
        <w:rPr>
          <w:rtl/>
          <w:lang w:bidi="ar-EG"/>
        </w:rPr>
      </w:pPr>
      <w:r w:rsidRPr="00325AA7">
        <w:rPr>
          <w:rtl/>
          <w:lang w:bidi="ar-EG"/>
        </w:rPr>
        <w:t xml:space="preserve"> ومن خلال الشكل التالي يتم توضيح أهم طرق إدارة محطات توليد الطاقة؛ حيث يجب إدارة عمليات التزود بالوقود بكفاءة لضمان استمرارية التشغيل، كما تتطلب صيانة المراجل والتوربينات وأنظمة التبريد عناية دقيقة؛ لتجنب أي أعطال، أو انقطاعات في التيار الكهربائي؛ أما في محطات الطاقة المتجددة، مثل: الطاقة الشمسية وطاقة الرياح، فإن الإدارة تركز على استغلال المصادر الطبيعية بأفضل كفاءة ممكنة، مع متابعة دقيقة للأداء التشغيلي، كما تشمل المهام إجراء الصيانة الوقائية، وسرعة التعامل مع أي مشاكل فنية.</w:t>
      </w:r>
    </w:p>
    <w:p w14:paraId="4026D5AE" w14:textId="77777777" w:rsidR="00B40E55" w:rsidRPr="00325AA7" w:rsidRDefault="00B40E55" w:rsidP="00B40E55">
      <w:pPr>
        <w:spacing w:after="160"/>
        <w:jc w:val="center"/>
        <w:rPr>
          <w:rFonts w:ascii="Sakkal Majalla" w:hAnsi="Sakkal Majalla" w:cs="Sakkal Majalla"/>
          <w:color w:val="000000" w:themeColor="text1"/>
          <w:sz w:val="28"/>
          <w:szCs w:val="28"/>
          <w:rtl/>
          <w:lang w:bidi="ar-EG"/>
        </w:rPr>
      </w:pPr>
      <w:r w:rsidRPr="00325AA7">
        <w:rPr>
          <w:rFonts w:ascii="Sakkal Majalla" w:hAnsi="Sakkal Majalla" w:cs="Sakkal Majalla"/>
          <w:noProof/>
          <w:color w:val="000000" w:themeColor="text1"/>
          <w:sz w:val="28"/>
          <w:szCs w:val="28"/>
          <w:rtl/>
        </w:rPr>
        <w:drawing>
          <wp:inline distT="0" distB="0" distL="0" distR="0" wp14:anchorId="66402CD3" wp14:editId="470494A3">
            <wp:extent cx="5486400" cy="2360428"/>
            <wp:effectExtent l="0" t="0" r="0" b="20955"/>
            <wp:docPr id="5"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2CE05971" w14:textId="77777777" w:rsidR="00B40E55" w:rsidRPr="00325AA7" w:rsidRDefault="00B40E55" w:rsidP="00B40E55">
      <w:pPr>
        <w:pStyle w:val="333"/>
        <w:rPr>
          <w:rtl/>
          <w:lang w:bidi="ar-EG"/>
        </w:rPr>
      </w:pPr>
      <w:bookmarkStart w:id="42" w:name="_Toc175955939"/>
      <w:bookmarkStart w:id="43" w:name="_Toc190337529"/>
      <w:r w:rsidRPr="00325AA7">
        <w:rPr>
          <w:color w:val="000000" w:themeColor="text1"/>
          <w:rtl/>
          <w:lang w:bidi="ar-EG"/>
        </w:rPr>
        <w:t>شكل رقم (</w:t>
      </w:r>
      <w:r w:rsidRPr="00325AA7">
        <w:rPr>
          <w:rFonts w:hint="cs"/>
          <w:color w:val="000000" w:themeColor="text1"/>
          <w:rtl/>
          <w:lang w:bidi="ar-EG"/>
        </w:rPr>
        <w:t>2-8</w:t>
      </w:r>
      <w:r w:rsidRPr="00325AA7">
        <w:rPr>
          <w:color w:val="000000" w:themeColor="text1"/>
          <w:rtl/>
          <w:lang w:bidi="ar-EG"/>
        </w:rPr>
        <w:t xml:space="preserve">) يوضح </w:t>
      </w:r>
      <w:r w:rsidRPr="00325AA7">
        <w:rPr>
          <w:rtl/>
          <w:lang w:bidi="ar-EG"/>
        </w:rPr>
        <w:t>إدارة محطات توليد الطاقة (المصدر: من إعداد الباحث)</w:t>
      </w:r>
      <w:bookmarkEnd w:id="42"/>
      <w:bookmarkEnd w:id="43"/>
    </w:p>
    <w:p w14:paraId="35D406BD" w14:textId="77777777" w:rsidR="00B40E55" w:rsidRPr="00325AA7" w:rsidRDefault="00B40E55" w:rsidP="00B40E55">
      <w:pPr>
        <w:pStyle w:val="222"/>
        <w:spacing w:line="276" w:lineRule="auto"/>
        <w:rPr>
          <w:sz w:val="28"/>
          <w:szCs w:val="28"/>
          <w:rtl/>
          <w:lang w:bidi="ar-EG"/>
        </w:rPr>
      </w:pPr>
      <w:bookmarkStart w:id="44" w:name="_Toc175955940"/>
      <w:bookmarkStart w:id="45" w:name="_Toc190337530"/>
      <w:r w:rsidRPr="00325AA7">
        <w:rPr>
          <w:sz w:val="28"/>
          <w:szCs w:val="28"/>
          <w:rtl/>
          <w:lang w:bidi="ar-EG"/>
        </w:rPr>
        <w:t>جهود المملكة العربية السعودية في تطوير قطاع الطاقة</w:t>
      </w:r>
      <w:bookmarkEnd w:id="44"/>
      <w:bookmarkEnd w:id="45"/>
      <w:r w:rsidRPr="00325AA7">
        <w:rPr>
          <w:sz w:val="28"/>
          <w:szCs w:val="28"/>
          <w:rtl/>
          <w:lang w:bidi="ar-EG"/>
        </w:rPr>
        <w:t xml:space="preserve"> </w:t>
      </w:r>
    </w:p>
    <w:p w14:paraId="22134D77" w14:textId="77777777" w:rsidR="00B40E55" w:rsidRPr="00325AA7" w:rsidRDefault="00B40E55" w:rsidP="00B40E55">
      <w:pPr>
        <w:pStyle w:val="000"/>
        <w:rPr>
          <w:color w:val="000000" w:themeColor="text1"/>
          <w:rtl/>
          <w:lang w:bidi="ar-EG"/>
        </w:rPr>
      </w:pPr>
      <w:r w:rsidRPr="00325AA7">
        <w:rPr>
          <w:rtl/>
          <w:lang w:bidi="ar-EG"/>
        </w:rPr>
        <w:t xml:space="preserve">هناك العديد من الجهود التي تبذلها المملكة العربية السعودية لتطوير قطاع الطاقة لديها؛ حيث قامت بالكثير من الأعمال والخطط التي ساعدت على تنمية وتطوير قطاع الطاقة السعودي، والذي يعد بمثابة مورد استراتيجي للمملكة، ونظرًا لأهمية هذا القطاع قامت المملكة بالعديد من الجهود الكبيرة، </w:t>
      </w:r>
      <w:r w:rsidRPr="00325AA7">
        <w:rPr>
          <w:color w:val="000000" w:themeColor="text1"/>
          <w:rtl/>
          <w:lang w:bidi="ar-EG"/>
        </w:rPr>
        <w:t xml:space="preserve">وبطبيعة الحال اقتصاديات الطاقة هي اقتصاد مصمم لتشجيع الاستخدام الأمثل للموارد الطبيعية، والحد من التلوث والتخفيف من آثار تغير المناخ، وتمتلك المملكة العربية السعودية العديد من المقومات والفرص التي تمكنها من إنتاج الطاقة المتنوعة، فالمملكة لديها القدرة على سد الفجوة بين الطلب المحلي المتزايد على الطاقة؛ من خلال الاعتماد على </w:t>
      </w:r>
      <w:r w:rsidRPr="00325AA7">
        <w:rPr>
          <w:color w:val="000000" w:themeColor="text1"/>
          <w:rtl/>
          <w:lang w:bidi="ar-EG"/>
        </w:rPr>
        <w:lastRenderedPageBreak/>
        <w:t xml:space="preserve">مصادر متعددة، فهي تمتلك إمكانيات كبيرة في الطاقة النووية، وطاقة الهيدروجين، والطاقة المائية، بالإضافة إلى مصادر الطاقة المتجددة كالطاقة الشمسية وطاقة الرياح، وهذا التنوع في مصادر الطاقة يساعد السعودية على توسيع قاعدة الاستفادة من موارد الطاقة المتنوعة غير التقليدية، وتحقيق التوازن بين الطلب المحلي المتزايد، والحفاظ على البيئة، وتقليل انبعاثات الكربون (أبو جامل ورأفت، 2023، ص. 1039). </w:t>
      </w:r>
    </w:p>
    <w:p w14:paraId="598F88AC" w14:textId="77777777" w:rsidR="00B40E55" w:rsidRPr="00325AA7" w:rsidRDefault="00B40E55" w:rsidP="00B40E55">
      <w:pPr>
        <w:pStyle w:val="000"/>
        <w:rPr>
          <w:rtl/>
          <w:lang w:bidi="ar-EG"/>
        </w:rPr>
      </w:pPr>
      <w:r w:rsidRPr="00325AA7">
        <w:rPr>
          <w:rtl/>
          <w:lang w:bidi="ar-EG"/>
        </w:rPr>
        <w:t>كما أنه في واقع الأمر تولي السعودية اهتمامًا بالغًا بتطوير قطاع الطاقة المتجددة ضمن استراتيجيتها الوطنية، وهذا الجهد يتجلى من خلال إطار العمل المؤسسي الذي وضعته المملكة لإنتاج الطاقة المتجددة، ففي عام 2010 أطلق خادم الحرمين الشريفين مدينة الملك عبد الله للطاقة الذرية والمتجددة؛ بهدف توسيع قدرات المملكة على توليد الكهرباء من مصادر متجددة كالطاقة الشمسية، والرياح، والنووية، والحرارية الأرضية، وهذه المدينة تعمل على تطوير البحث، والتطوير في مجال الطاقة النظيفة، بما في ذلك استكشاف إمكانات الطاقة المتحولة من النفايات، كما تسعى المملكة لاستغلال طاقة الرياح والطاقة الشمسية لتنويع مصادر الطاقة، وتقليل الاعتماد على الوقود الأحفوري، هذه الجهود الحثيثة تعكس التزام السعودية بتعزيز الاستدامة البيئية وتنويع اقتصادها، وتحقيق رؤيتها الطموحة للتحول إلى اقتصاد أخضر متنوع في المستقبل(عمراني، 2023، ص. 83).</w:t>
      </w:r>
    </w:p>
    <w:p w14:paraId="727B2265" w14:textId="77777777" w:rsidR="00B40E55" w:rsidRPr="00325AA7" w:rsidRDefault="00B40E55" w:rsidP="00B40E55">
      <w:pPr>
        <w:pStyle w:val="000"/>
        <w:rPr>
          <w:rtl/>
          <w:lang w:bidi="ar-EG"/>
        </w:rPr>
      </w:pPr>
      <w:r w:rsidRPr="00325AA7">
        <w:rPr>
          <w:rtl/>
          <w:lang w:bidi="ar-EG"/>
        </w:rPr>
        <w:t>ونتيجة لذلك قامت المملكة العربية في سبيل تطوير قطاعات الطاقة الخاصة بها، البرنامج الوطني للطاقة المتجددة، وهي عبارة عن مبادرة استراتيجية تحت مظلة رؤية 2030 ومباردة الملك سلمان للطاقة المتجددة، والتي تهدف إلى رفع من مستوى رخصة السعودية في إنتاج الطاقة إلى الحد الأقصى؛ ويتم ذلك من خلال دعم وتشجيع إنتاج الطاقة، وصناعة الطاقة المتجددة، ودعم هذا القطاع الواعد، والعمل على الوفاء بالتزامات السعودية نحو تخفيف انبعاثات ثاني أكسيد الكربون (الموقع الرسمي لمدينة الملك عبد الله للطاقة، 2024).</w:t>
      </w:r>
    </w:p>
    <w:p w14:paraId="78E37CD1" w14:textId="77777777" w:rsidR="00B40E55" w:rsidRPr="00325AA7" w:rsidRDefault="00B40E55" w:rsidP="00B40E55">
      <w:pPr>
        <w:pStyle w:val="000"/>
        <w:rPr>
          <w:rtl/>
          <w:lang w:bidi="ar-EG"/>
        </w:rPr>
      </w:pPr>
      <w:r w:rsidRPr="00325AA7">
        <w:rPr>
          <w:rtl/>
          <w:lang w:bidi="ar-EG"/>
        </w:rPr>
        <w:t>كما تهدف رؤية المملكة العربية السعودية 2030 إلى تحقيق الاستدامة البيئية، وتحتل المملكة العربية السعودية حاليًا المرتبة السادسة؛ من حيث إمكانات الطاقة الشمسية في العالم، فينمو قطاع الطاقة الشمسية استجابةً لخطط الرؤية السعودية 2030 للتنويع الاقتصادي؛ حيث تلتزم المملكة العربية السعودية بتركيب ما يقرب من 27.3 جيجاوات من الطاقة المتجددة بحلول عام 2030، وسيوجد للطاقة الشمسية الكهروضوئية، وطاقة الرياح، والطاقة الشمسية المركزة عددًا كبيرًا يغطي هذا الهدف حوالي 32% من ذروة استهلاك الطاقة الحالية في المملكة العربية السعودية، ويمكن تحقيق هذا المستوى العالي من توليد الطاقة الشمسية بسبب الانخفاض الكبير في تكلفة الطاقة الشمسية الكهروضوئية (</w:t>
      </w:r>
      <w:proofErr w:type="spellStart"/>
      <w:r w:rsidRPr="00325AA7">
        <w:rPr>
          <w:shd w:val="clear" w:color="auto" w:fill="FFFFFF"/>
        </w:rPr>
        <w:t>AlOtaibi</w:t>
      </w:r>
      <w:proofErr w:type="spellEnd"/>
      <w:r w:rsidRPr="00325AA7">
        <w:rPr>
          <w:lang w:bidi="ar-EG"/>
        </w:rPr>
        <w:t xml:space="preserve"> et al, 2020, P. 2</w:t>
      </w:r>
      <w:r w:rsidRPr="00325AA7">
        <w:rPr>
          <w:rtl/>
          <w:lang w:bidi="ar-EG"/>
        </w:rPr>
        <w:t>).</w:t>
      </w:r>
    </w:p>
    <w:p w14:paraId="4A384F24" w14:textId="77777777" w:rsidR="00B40E55" w:rsidRPr="00325AA7" w:rsidRDefault="00B40E55" w:rsidP="00B40E55">
      <w:pPr>
        <w:pStyle w:val="000"/>
        <w:rPr>
          <w:rtl/>
          <w:lang w:bidi="ar-EG"/>
        </w:rPr>
      </w:pPr>
      <w:r w:rsidRPr="00325AA7">
        <w:rPr>
          <w:rtl/>
          <w:lang w:bidi="ar-EG"/>
        </w:rPr>
        <w:t xml:space="preserve">فضلا عن ذلك فإن تنفيذ وتعزيز الاستثمار في قطاع الطاقة أحد التوجيهات الأكثر إثارة للاهتمام في رؤية 2030؛ حيث يعتبر قطاع الطاقة المتجددة فرصة نمو رئيسية بالنسبة للبيئة، فإن مصادر الطاقة المتجددة غير مقيدة في الكوكب وصديقة للبيئة؛ مما يجعلها ضرورية للتنمية المستدامة في المملكة العربية السعودية، كما أن ضمان الحياة الصحية للأجيال الحالية والمستقبلية، وهو أحد الأهداف الاستراتيجية في رؤية 2030؛ لذلك يُنظر إلى العلاقة النهائية بين مصادر الطاقة المتجددة وفرص النمو الاقتصادي، واستخدام مصادر الطاقة المتجددة </w:t>
      </w:r>
      <w:r w:rsidRPr="00325AA7">
        <w:rPr>
          <w:rtl/>
          <w:lang w:bidi="ar-EG"/>
        </w:rPr>
        <w:lastRenderedPageBreak/>
        <w:t>بدلًا من الوقود الأحفوري، فيكون له مزايا اقتصادية مباشرة وغير مباشرة للمملكة العربية السعودية على المستويين الكلي والجزئي (</w:t>
      </w:r>
      <w:proofErr w:type="spellStart"/>
      <w:r w:rsidRPr="00325AA7">
        <w:rPr>
          <w:shd w:val="clear" w:color="auto" w:fill="FFFFFF"/>
        </w:rPr>
        <w:t>AlNemer</w:t>
      </w:r>
      <w:proofErr w:type="spellEnd"/>
      <w:r w:rsidRPr="00325AA7">
        <w:rPr>
          <w:lang w:bidi="ar-EG"/>
        </w:rPr>
        <w:t xml:space="preserve"> et al, 2023, P. 7</w:t>
      </w:r>
      <w:r w:rsidRPr="00325AA7">
        <w:rPr>
          <w:rtl/>
          <w:lang w:bidi="ar-EG"/>
        </w:rPr>
        <w:t>).</w:t>
      </w:r>
      <w:r w:rsidRPr="00325AA7">
        <w:rPr>
          <w:rFonts w:hint="cs"/>
          <w:rtl/>
          <w:lang w:bidi="ar-EG"/>
        </w:rPr>
        <w:t xml:space="preserve"> </w:t>
      </w:r>
      <w:r w:rsidRPr="00325AA7">
        <w:rPr>
          <w:rtl/>
          <w:lang w:bidi="ar-EG"/>
        </w:rPr>
        <w:t xml:space="preserve"> ومن زاوية أخرى أدى اكتشاف البترول في المملكة العربية السعودية إلى تغيير ملامح المجتمع السعودي من جميع الجوانب الاقتصادية والاجتماعية؛ حيث لعبت عائدات النفط دورا مهما في تطوير نوعية الحياة ورفع مستوى الرعاية الاجتماعية؛ كما أنشأت البنية التحتية؛ من حيث شبكة الطرق، والجسور، والمطارات، والموانئ، بالإضافة إلى الإنفاق على برامج التعليم والتدريب والصحة، إلى جانب خدمات التنمية الأخرى؛ لذلك لعبت قفزة البترول دورًا مهمًا في التحول الديموغرافي الذي استند إلى التغيير في حجم وهيكل الاستهلاك المحلي للطاقة (</w:t>
      </w:r>
      <w:proofErr w:type="spellStart"/>
      <w:r w:rsidRPr="00325AA7">
        <w:rPr>
          <w:shd w:val="clear" w:color="auto" w:fill="FFFFFF"/>
        </w:rPr>
        <w:t>Elimam</w:t>
      </w:r>
      <w:proofErr w:type="spellEnd"/>
      <w:r w:rsidRPr="00325AA7">
        <w:rPr>
          <w:shd w:val="clear" w:color="auto" w:fill="FFFFFF"/>
        </w:rPr>
        <w:t xml:space="preserve"> &amp; </w:t>
      </w:r>
      <w:proofErr w:type="spellStart"/>
      <w:r w:rsidRPr="00325AA7">
        <w:rPr>
          <w:shd w:val="clear" w:color="auto" w:fill="FFFFFF"/>
        </w:rPr>
        <w:t>AIJahdali</w:t>
      </w:r>
      <w:proofErr w:type="spellEnd"/>
      <w:r w:rsidRPr="00325AA7">
        <w:rPr>
          <w:shd w:val="clear" w:color="auto" w:fill="FFFFFF"/>
        </w:rPr>
        <w:t xml:space="preserve">, 2020, P. 49 </w:t>
      </w:r>
      <w:r w:rsidRPr="00325AA7">
        <w:rPr>
          <w:rtl/>
          <w:lang w:bidi="ar-EG"/>
        </w:rPr>
        <w:t>).</w:t>
      </w:r>
    </w:p>
    <w:p w14:paraId="6D410399" w14:textId="77777777" w:rsidR="00B40E55" w:rsidRPr="00325AA7" w:rsidRDefault="00B40E55" w:rsidP="00B40E55">
      <w:pPr>
        <w:pStyle w:val="000"/>
        <w:rPr>
          <w:rtl/>
          <w:lang w:bidi="ar-EG"/>
        </w:rPr>
      </w:pPr>
      <w:r w:rsidRPr="00325AA7">
        <w:rPr>
          <w:rtl/>
          <w:lang w:bidi="ar-EG"/>
        </w:rPr>
        <w:t>وفي هذا النطاق لابد من التأكيد على المملكة العربية السعودية تولي اهتمامًا كبيرًا لتطوير قطاع الطاقة لديها، وذلك من خلال:</w:t>
      </w:r>
    </w:p>
    <w:p w14:paraId="7233F785" w14:textId="77777777" w:rsidR="00B40E55" w:rsidRPr="00325AA7" w:rsidRDefault="00B40E55" w:rsidP="00B40E55">
      <w:pPr>
        <w:pStyle w:val="a4"/>
        <w:widowControl w:val="0"/>
        <w:numPr>
          <w:ilvl w:val="0"/>
          <w:numId w:val="2"/>
        </w:numPr>
        <w:spacing w:after="160"/>
        <w:ind w:left="753"/>
        <w:jc w:val="both"/>
        <w:rPr>
          <w:rFonts w:ascii="Sakkal Majalla" w:hAnsi="Sakkal Majalla" w:cs="Sakkal Majalla"/>
          <w:sz w:val="28"/>
          <w:szCs w:val="28"/>
          <w:rtl/>
        </w:rPr>
      </w:pPr>
      <w:r w:rsidRPr="00325AA7">
        <w:rPr>
          <w:rFonts w:ascii="Sakkal Majalla" w:hAnsi="Sakkal Majalla" w:cs="Sakkal Majalla"/>
          <w:sz w:val="28"/>
          <w:szCs w:val="28"/>
          <w:rtl/>
        </w:rPr>
        <w:t>عدة مبادرات وخطط استراتيجية وعلى سبيل المثال أطلقت برنامج "السعودية الخضراء" الذي يهدف إلى تحقيق الحياد الكربوني بحلول عام 2060.</w:t>
      </w:r>
    </w:p>
    <w:p w14:paraId="4EAB9BBB" w14:textId="77777777" w:rsidR="00B40E55" w:rsidRPr="00325AA7" w:rsidRDefault="00B40E55" w:rsidP="00B40E55">
      <w:pPr>
        <w:pStyle w:val="a4"/>
        <w:widowControl w:val="0"/>
        <w:numPr>
          <w:ilvl w:val="0"/>
          <w:numId w:val="2"/>
        </w:numPr>
        <w:spacing w:after="160"/>
        <w:ind w:left="753"/>
        <w:jc w:val="both"/>
        <w:rPr>
          <w:rFonts w:ascii="Sakkal Majalla" w:hAnsi="Sakkal Majalla" w:cs="Sakkal Majalla"/>
          <w:sz w:val="28"/>
          <w:szCs w:val="28"/>
          <w:rtl/>
        </w:rPr>
      </w:pPr>
      <w:r w:rsidRPr="00325AA7">
        <w:rPr>
          <w:rFonts w:ascii="Sakkal Majalla" w:hAnsi="Sakkal Majalla" w:cs="Sakkal Majalla"/>
          <w:sz w:val="28"/>
          <w:szCs w:val="28"/>
          <w:rtl/>
        </w:rPr>
        <w:t>من خلال زيادة الاعتماد على مصادر الطاقة المتجددة كالطاقة الشمسية وطاقة الرياح تسعى المملكة إلى تنويع مصادر الطاقة لديها، وذلك بالاستثمار في الطاقة النووية والهيدروجينية، ففي عام 2022 أعلنت السعودية عن خطط لبناء أول محطة للطاقة النووية، وهي خطوة تهدف إلى تعزيز أمن الطاقة وتقليل الاعتماد على الوقود الأحفوري.</w:t>
      </w:r>
    </w:p>
    <w:p w14:paraId="28823CDC" w14:textId="6D40E831" w:rsidR="00FA03DC" w:rsidRPr="00325AA7" w:rsidRDefault="00B40E55" w:rsidP="00B40E55">
      <w:pPr>
        <w:pStyle w:val="a4"/>
        <w:numPr>
          <w:ilvl w:val="0"/>
          <w:numId w:val="2"/>
        </w:numPr>
        <w:spacing w:after="160"/>
        <w:ind w:left="753"/>
        <w:jc w:val="both"/>
        <w:rPr>
          <w:rFonts w:ascii="Sakkal Majalla" w:hAnsi="Sakkal Majalla" w:cs="Sakkal Majalla"/>
          <w:sz w:val="28"/>
          <w:szCs w:val="28"/>
          <w:rtl/>
        </w:rPr>
      </w:pPr>
      <w:r w:rsidRPr="00325AA7">
        <w:rPr>
          <w:rFonts w:ascii="Sakkal Majalla" w:hAnsi="Sakkal Majalla" w:cs="Sakkal Majalla"/>
          <w:sz w:val="28"/>
          <w:szCs w:val="28"/>
          <w:rtl/>
        </w:rPr>
        <w:t>وعلاوة على ذلك، تركز جهود المملكة على تحسين كفاءة استخدام الطاقة وتقليل الفاقد، من خلال تطبيق تقنيات متطورة في مختلف القطاعات الاقتصادية، كما تعمل على تطوير البنية التحتية للطاقة والربط الكهربائي مع الدول المجاورة؛ لتعزيز التبادل والتكامل في المنطقة.</w:t>
      </w:r>
    </w:p>
    <w:p w14:paraId="27659B4A" w14:textId="786E1331" w:rsidR="00CA0102" w:rsidRPr="00021701" w:rsidRDefault="00CA0102" w:rsidP="00021701">
      <w:pPr>
        <w:bidi w:val="0"/>
        <w:spacing w:after="160" w:line="259" w:lineRule="auto"/>
        <w:rPr>
          <w:rFonts w:ascii="Sakkal Majalla" w:hAnsi="Sakkal Majalla" w:cs="Sakkal Majalla" w:hint="cs"/>
          <w:sz w:val="28"/>
          <w:szCs w:val="28"/>
        </w:rPr>
      </w:pPr>
    </w:p>
    <w:sectPr w:rsidR="00CA0102" w:rsidRPr="00021701" w:rsidSect="006E2B11">
      <w:pgSz w:w="11906" w:h="16838" w:code="9"/>
      <w:pgMar w:top="1411" w:right="1987" w:bottom="1411" w:left="1411" w:header="706" w:footer="706"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A5861"/>
    <w:multiLevelType w:val="hybridMultilevel"/>
    <w:tmpl w:val="A9FE26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486B5C"/>
    <w:multiLevelType w:val="hybridMultilevel"/>
    <w:tmpl w:val="AFEA4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8C3143"/>
    <w:multiLevelType w:val="hybridMultilevel"/>
    <w:tmpl w:val="DAB4A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AA4F70"/>
    <w:multiLevelType w:val="hybridMultilevel"/>
    <w:tmpl w:val="2F1EF978"/>
    <w:lvl w:ilvl="0" w:tplc="3DC4E532">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47C82"/>
    <w:multiLevelType w:val="hybridMultilevel"/>
    <w:tmpl w:val="B2A4EE32"/>
    <w:lvl w:ilvl="0" w:tplc="0409000F">
      <w:start w:val="1"/>
      <w:numFmt w:val="decimal"/>
      <w:lvlText w:val="%1."/>
      <w:lvlJc w:val="left"/>
      <w:pPr>
        <w:ind w:left="764" w:hanging="360"/>
      </w:p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5" w15:restartNumberingAfterBreak="0">
    <w:nsid w:val="68C5108F"/>
    <w:multiLevelType w:val="hybridMultilevel"/>
    <w:tmpl w:val="BD5CE6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08529045">
    <w:abstractNumId w:val="0"/>
  </w:num>
  <w:num w:numId="2" w16cid:durableId="314914475">
    <w:abstractNumId w:val="5"/>
  </w:num>
  <w:num w:numId="3" w16cid:durableId="385495192">
    <w:abstractNumId w:val="1"/>
  </w:num>
  <w:num w:numId="4" w16cid:durableId="1022627958">
    <w:abstractNumId w:val="3"/>
  </w:num>
  <w:num w:numId="5" w16cid:durableId="1924144065">
    <w:abstractNumId w:val="2"/>
  </w:num>
  <w:num w:numId="6" w16cid:durableId="4090397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E55"/>
    <w:rsid w:val="00021701"/>
    <w:rsid w:val="002F3B43"/>
    <w:rsid w:val="00325AA7"/>
    <w:rsid w:val="00426110"/>
    <w:rsid w:val="004C0D13"/>
    <w:rsid w:val="00637D0C"/>
    <w:rsid w:val="006E2B11"/>
    <w:rsid w:val="00743F11"/>
    <w:rsid w:val="00A53B70"/>
    <w:rsid w:val="00AC64F6"/>
    <w:rsid w:val="00B3258C"/>
    <w:rsid w:val="00B40E55"/>
    <w:rsid w:val="00CA0102"/>
    <w:rsid w:val="00FA03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6851E"/>
  <w15:chartTrackingRefBased/>
  <w15:docId w15:val="{C1393117-2E18-4731-8694-F0735FEF3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0E55"/>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Footnote Reference"/>
    <w:uiPriority w:val="99"/>
    <w:rsid w:val="00B40E55"/>
    <w:rPr>
      <w:vertAlign w:val="superscript"/>
    </w:rPr>
  </w:style>
  <w:style w:type="paragraph" w:styleId="a4">
    <w:name w:val="List Paragraph"/>
    <w:basedOn w:val="a"/>
    <w:link w:val="Char"/>
    <w:uiPriority w:val="34"/>
    <w:qFormat/>
    <w:rsid w:val="00B40E55"/>
    <w:pPr>
      <w:ind w:left="720"/>
      <w:contextualSpacing/>
    </w:pPr>
  </w:style>
  <w:style w:type="character" w:customStyle="1" w:styleId="Char">
    <w:name w:val="سرد الفقرات Char"/>
    <w:link w:val="a4"/>
    <w:uiPriority w:val="34"/>
    <w:rsid w:val="00B40E55"/>
  </w:style>
  <w:style w:type="paragraph" w:customStyle="1" w:styleId="222">
    <w:name w:val="222"/>
    <w:basedOn w:val="a"/>
    <w:link w:val="222Char"/>
    <w:qFormat/>
    <w:rsid w:val="00B40E55"/>
    <w:pPr>
      <w:spacing w:after="160" w:line="259" w:lineRule="auto"/>
      <w:outlineLvl w:val="1"/>
    </w:pPr>
    <w:rPr>
      <w:rFonts w:ascii="Sakkal Majalla" w:hAnsi="Sakkal Majalla" w:cs="Sakkal Majalla"/>
      <w:b/>
      <w:bCs/>
      <w:sz w:val="32"/>
      <w:szCs w:val="32"/>
      <w:u w:val="single"/>
    </w:rPr>
  </w:style>
  <w:style w:type="character" w:customStyle="1" w:styleId="222Char">
    <w:name w:val="222 Char"/>
    <w:basedOn w:val="a0"/>
    <w:link w:val="222"/>
    <w:rsid w:val="00B40E55"/>
    <w:rPr>
      <w:rFonts w:ascii="Sakkal Majalla" w:hAnsi="Sakkal Majalla" w:cs="Sakkal Majalla"/>
      <w:b/>
      <w:bCs/>
      <w:sz w:val="32"/>
      <w:szCs w:val="32"/>
      <w:u w:val="single"/>
    </w:rPr>
  </w:style>
  <w:style w:type="paragraph" w:customStyle="1" w:styleId="000">
    <w:name w:val="000"/>
    <w:basedOn w:val="a"/>
    <w:link w:val="000Char"/>
    <w:qFormat/>
    <w:rsid w:val="00B40E55"/>
    <w:pPr>
      <w:spacing w:after="160"/>
      <w:ind w:firstLine="720"/>
      <w:jc w:val="both"/>
    </w:pPr>
    <w:rPr>
      <w:rFonts w:ascii="Sakkal Majalla" w:hAnsi="Sakkal Majalla" w:cs="Sakkal Majalla"/>
      <w:sz w:val="28"/>
      <w:szCs w:val="28"/>
    </w:rPr>
  </w:style>
  <w:style w:type="character" w:customStyle="1" w:styleId="000Char">
    <w:name w:val="000 Char"/>
    <w:basedOn w:val="a0"/>
    <w:link w:val="000"/>
    <w:rsid w:val="00B40E55"/>
    <w:rPr>
      <w:rFonts w:ascii="Sakkal Majalla" w:hAnsi="Sakkal Majalla" w:cs="Sakkal Majalla"/>
      <w:sz w:val="28"/>
      <w:szCs w:val="28"/>
    </w:rPr>
  </w:style>
  <w:style w:type="paragraph" w:customStyle="1" w:styleId="333">
    <w:name w:val="333"/>
    <w:basedOn w:val="a"/>
    <w:link w:val="333Char"/>
    <w:qFormat/>
    <w:rsid w:val="00B40E55"/>
    <w:pPr>
      <w:spacing w:after="160" w:line="259" w:lineRule="auto"/>
      <w:ind w:firstLine="44"/>
      <w:jc w:val="center"/>
      <w:outlineLvl w:val="2"/>
    </w:pPr>
    <w:rPr>
      <w:rFonts w:ascii="Sakkal Majalla" w:hAnsi="Sakkal Majalla" w:cs="Sakkal Majalla"/>
      <w:b/>
      <w:bCs/>
      <w:sz w:val="28"/>
      <w:szCs w:val="28"/>
    </w:rPr>
  </w:style>
  <w:style w:type="character" w:customStyle="1" w:styleId="333Char">
    <w:name w:val="333 Char"/>
    <w:basedOn w:val="a0"/>
    <w:link w:val="333"/>
    <w:rsid w:val="00B40E55"/>
    <w:rPr>
      <w:rFonts w:ascii="Sakkal Majalla" w:hAnsi="Sakkal Majalla" w:cs="Sakkal Majalla"/>
      <w:b/>
      <w:bCs/>
      <w:sz w:val="28"/>
      <w:szCs w:val="28"/>
    </w:rPr>
  </w:style>
  <w:style w:type="paragraph" w:styleId="a5">
    <w:name w:val="footnote text"/>
    <w:aliases w:val="حواشي سفلية, Char Char Char Char,Footnote Text Char,r,Char Char Char Char"/>
    <w:basedOn w:val="a"/>
    <w:link w:val="Char0"/>
    <w:uiPriority w:val="99"/>
    <w:unhideWhenUsed/>
    <w:rsid w:val="00325AA7"/>
    <w:pPr>
      <w:spacing w:after="0" w:line="240" w:lineRule="auto"/>
    </w:pPr>
    <w:rPr>
      <w:sz w:val="20"/>
      <w:szCs w:val="20"/>
    </w:rPr>
  </w:style>
  <w:style w:type="character" w:customStyle="1" w:styleId="Char0">
    <w:name w:val="نص حاشية سفلية Char"/>
    <w:aliases w:val="حواشي سفلية Char, Char Char Char Char Char,Footnote Text Char Char,r Char,Char Char Char Char Char"/>
    <w:basedOn w:val="a0"/>
    <w:link w:val="a5"/>
    <w:uiPriority w:val="99"/>
    <w:rsid w:val="00325AA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diagramColors" Target="diagrams/colors4.xml"/><Relationship Id="rId3" Type="http://schemas.openxmlformats.org/officeDocument/2006/relationships/settings" Target="setting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diagramQuickStyle" Target="diagrams/quickStyle4.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image" Target="media/image1.png"/><Relationship Id="rId29" Type="http://schemas.openxmlformats.org/officeDocument/2006/relationships/diagramLayout" Target="diagrams/layout5.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openxmlformats.org/officeDocument/2006/relationships/diagramLayout" Target="diagrams/layout4.xml"/><Relationship Id="rId32" Type="http://schemas.microsoft.com/office/2007/relationships/diagramDrawing" Target="diagrams/drawing5.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Data" Target="diagrams/data4.xml"/><Relationship Id="rId28" Type="http://schemas.openxmlformats.org/officeDocument/2006/relationships/diagramData" Target="diagrams/data5.xml"/><Relationship Id="rId10" Type="http://schemas.openxmlformats.org/officeDocument/2006/relationships/diagramData" Target="diagrams/data2.xml"/><Relationship Id="rId19" Type="http://schemas.microsoft.com/office/2007/relationships/diagramDrawing" Target="diagrams/drawing3.xml"/><Relationship Id="rId31" Type="http://schemas.openxmlformats.org/officeDocument/2006/relationships/diagramColors" Target="diagrams/colors5.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image" Target="media/image3.png"/><Relationship Id="rId27" Type="http://schemas.microsoft.com/office/2007/relationships/diagramDrawing" Target="diagrams/drawing4.xml"/><Relationship Id="rId30" Type="http://schemas.openxmlformats.org/officeDocument/2006/relationships/diagramQuickStyle" Target="diagrams/quickStyle5.xml"/><Relationship Id="rId8"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7EC60FD-20B5-42DB-B337-DCFD420E6DC3}" type="doc">
      <dgm:prSet loTypeId="urn:microsoft.com/office/officeart/2005/8/layout/orgChart1" loCatId="hierarchy" qsTypeId="urn:microsoft.com/office/officeart/2005/8/quickstyle/simple1" qsCatId="simple" csTypeId="urn:microsoft.com/office/officeart/2005/8/colors/accent1_1" csCatId="accent1" phldr="1"/>
      <dgm:spPr/>
      <dgm:t>
        <a:bodyPr/>
        <a:lstStyle/>
        <a:p>
          <a:pPr rtl="1"/>
          <a:endParaRPr lang="ar-SA"/>
        </a:p>
      </dgm:t>
    </dgm:pt>
    <dgm:pt modelId="{8959AC9D-02DA-4F75-97CA-A93645283693}">
      <dgm:prSet phldrT="[نص]" custT="1"/>
      <dgm:spPr/>
      <dgm:t>
        <a:bodyPr/>
        <a:lstStyle/>
        <a:p>
          <a:pPr rtl="1"/>
          <a:r>
            <a:rPr lang="ar-EG" sz="1600" b="0" cap="none" spc="0">
              <a:ln w="0"/>
              <a:effectLst>
                <a:outerShdw blurRad="38100" dist="19050" dir="2700000" algn="tl" rotWithShape="0">
                  <a:schemeClr val="dk1">
                    <a:alpha val="40000"/>
                  </a:schemeClr>
                </a:outerShdw>
              </a:effectLst>
              <a:latin typeface="Sakkal Majalla" panose="02000000000000000000" pitchFamily="2" charset="-78"/>
              <a:cs typeface="Sakkal Majalla" panose="02000000000000000000" pitchFamily="2" charset="-78"/>
            </a:rPr>
            <a:t>أبعاد التداخل في الصلاحيات</a:t>
          </a:r>
          <a:endParaRPr lang="ar-SA" sz="1600" b="0" cap="none" spc="0">
            <a:ln w="0"/>
            <a:effectLst>
              <a:outerShdw blurRad="38100" dist="19050" dir="2700000" algn="tl" rotWithShape="0">
                <a:schemeClr val="dk1">
                  <a:alpha val="40000"/>
                </a:schemeClr>
              </a:outerShdw>
            </a:effectLst>
            <a:latin typeface="Sakkal Majalla" panose="02000000000000000000" pitchFamily="2" charset="-78"/>
            <a:cs typeface="Sakkal Majalla" panose="02000000000000000000" pitchFamily="2" charset="-78"/>
          </a:endParaRPr>
        </a:p>
      </dgm:t>
    </dgm:pt>
    <dgm:pt modelId="{9D63B275-87AC-496B-95DE-4D9A2DF0ADA1}" type="parTrans" cxnId="{6EEE5844-D2B1-443E-AD3A-4B8459FFB967}">
      <dgm:prSet/>
      <dgm:spPr/>
      <dgm:t>
        <a:bodyPr/>
        <a:lstStyle/>
        <a:p>
          <a:pPr rtl="1"/>
          <a:endParaRPr lang="ar-SA" sz="1600">
            <a:latin typeface="Sakkal Majalla" panose="02000000000000000000" pitchFamily="2" charset="-78"/>
            <a:cs typeface="Sakkal Majalla" panose="02000000000000000000" pitchFamily="2" charset="-78"/>
          </a:endParaRPr>
        </a:p>
      </dgm:t>
    </dgm:pt>
    <dgm:pt modelId="{FEECF866-065A-40E5-9F4C-FD15E177529A}" type="sibTrans" cxnId="{6EEE5844-D2B1-443E-AD3A-4B8459FFB967}">
      <dgm:prSet/>
      <dgm:spPr/>
      <dgm:t>
        <a:bodyPr/>
        <a:lstStyle/>
        <a:p>
          <a:pPr rtl="1"/>
          <a:endParaRPr lang="ar-SA" sz="1600">
            <a:latin typeface="Sakkal Majalla" panose="02000000000000000000" pitchFamily="2" charset="-78"/>
            <a:cs typeface="Sakkal Majalla" panose="02000000000000000000" pitchFamily="2" charset="-78"/>
          </a:endParaRPr>
        </a:p>
      </dgm:t>
    </dgm:pt>
    <dgm:pt modelId="{767F16CA-7ACA-4360-8F62-32090B3863BB}">
      <dgm:prSet phldrT="[نص]" custT="1"/>
      <dgm:spPr/>
      <dgm:t>
        <a:bodyPr/>
        <a:lstStyle/>
        <a:p>
          <a:pPr rtl="1"/>
          <a:r>
            <a:rPr lang="ar-SA" sz="1600" b="0">
              <a:latin typeface="Sakkal Majalla" panose="02000000000000000000" pitchFamily="2" charset="-78"/>
              <a:cs typeface="Sakkal Majalla" panose="02000000000000000000" pitchFamily="2" charset="-78"/>
            </a:rPr>
            <a:t>تضارب القرارات</a:t>
          </a:r>
        </a:p>
      </dgm:t>
    </dgm:pt>
    <dgm:pt modelId="{45E5FE5C-016D-4DDE-A49D-F86728B270A3}" type="parTrans" cxnId="{B0C79564-7D52-4821-AE3F-F32983532242}">
      <dgm:prSet/>
      <dgm:spPr/>
      <dgm:t>
        <a:bodyPr/>
        <a:lstStyle/>
        <a:p>
          <a:pPr rtl="1"/>
          <a:endParaRPr lang="ar-SA" sz="1600">
            <a:latin typeface="Sakkal Majalla" panose="02000000000000000000" pitchFamily="2" charset="-78"/>
            <a:cs typeface="Sakkal Majalla" panose="02000000000000000000" pitchFamily="2" charset="-78"/>
          </a:endParaRPr>
        </a:p>
      </dgm:t>
    </dgm:pt>
    <dgm:pt modelId="{196F6C2E-0092-467C-BE10-CF0C4469E554}" type="sibTrans" cxnId="{B0C79564-7D52-4821-AE3F-F32983532242}">
      <dgm:prSet/>
      <dgm:spPr/>
      <dgm:t>
        <a:bodyPr/>
        <a:lstStyle/>
        <a:p>
          <a:pPr rtl="1"/>
          <a:endParaRPr lang="ar-SA" sz="1600">
            <a:latin typeface="Sakkal Majalla" panose="02000000000000000000" pitchFamily="2" charset="-78"/>
            <a:cs typeface="Sakkal Majalla" panose="02000000000000000000" pitchFamily="2" charset="-78"/>
          </a:endParaRPr>
        </a:p>
      </dgm:t>
    </dgm:pt>
    <dgm:pt modelId="{A32D0A30-6910-4EBD-B032-CA245CF546B6}">
      <dgm:prSet phldrT="[نص]" custT="1"/>
      <dgm:spPr/>
      <dgm:t>
        <a:bodyPr/>
        <a:lstStyle/>
        <a:p>
          <a:pPr rtl="1"/>
          <a:r>
            <a:rPr lang="ar-EG" sz="1600" b="0">
              <a:latin typeface="Sakkal Majalla" panose="02000000000000000000" pitchFamily="2" charset="-78"/>
              <a:cs typeface="Sakkal Majalla" panose="02000000000000000000" pitchFamily="2" charset="-78"/>
            </a:rPr>
            <a:t>توزيع السلطات والمسؤوليات</a:t>
          </a:r>
          <a:endParaRPr lang="ar-SA" sz="1600" b="0">
            <a:latin typeface="Sakkal Majalla" panose="02000000000000000000" pitchFamily="2" charset="-78"/>
            <a:cs typeface="Sakkal Majalla" panose="02000000000000000000" pitchFamily="2" charset="-78"/>
          </a:endParaRPr>
        </a:p>
      </dgm:t>
    </dgm:pt>
    <dgm:pt modelId="{76D8934A-E200-4F8F-AF87-8359BEF02B4F}" type="parTrans" cxnId="{EA72D98A-E3DE-4677-B5EF-11A16AF3A459}">
      <dgm:prSet/>
      <dgm:spPr/>
      <dgm:t>
        <a:bodyPr/>
        <a:lstStyle/>
        <a:p>
          <a:pPr rtl="1"/>
          <a:endParaRPr lang="ar-SA" sz="1600">
            <a:latin typeface="Sakkal Majalla" panose="02000000000000000000" pitchFamily="2" charset="-78"/>
            <a:cs typeface="Sakkal Majalla" panose="02000000000000000000" pitchFamily="2" charset="-78"/>
          </a:endParaRPr>
        </a:p>
      </dgm:t>
    </dgm:pt>
    <dgm:pt modelId="{B0E28089-53A2-4566-B16F-25700CF335C3}" type="sibTrans" cxnId="{EA72D98A-E3DE-4677-B5EF-11A16AF3A459}">
      <dgm:prSet/>
      <dgm:spPr/>
      <dgm:t>
        <a:bodyPr/>
        <a:lstStyle/>
        <a:p>
          <a:pPr rtl="1"/>
          <a:endParaRPr lang="ar-SA" sz="1600">
            <a:latin typeface="Sakkal Majalla" panose="02000000000000000000" pitchFamily="2" charset="-78"/>
            <a:cs typeface="Sakkal Majalla" panose="02000000000000000000" pitchFamily="2" charset="-78"/>
          </a:endParaRPr>
        </a:p>
      </dgm:t>
    </dgm:pt>
    <dgm:pt modelId="{FD13CAAD-1FBA-437D-A49A-A8C70A280577}">
      <dgm:prSet phldrT="[نص]" custT="1"/>
      <dgm:spPr/>
      <dgm:t>
        <a:bodyPr/>
        <a:lstStyle/>
        <a:p>
          <a:pPr rtl="1"/>
          <a:r>
            <a:rPr lang="ar-SA" sz="1600" b="0">
              <a:latin typeface="Sakkal Majalla" panose="02000000000000000000" pitchFamily="2" charset="-78"/>
              <a:cs typeface="Sakkal Majalla" panose="02000000000000000000" pitchFamily="2" charset="-78"/>
            </a:rPr>
            <a:t>عدم التناغم التنظيمي </a:t>
          </a:r>
        </a:p>
      </dgm:t>
    </dgm:pt>
    <dgm:pt modelId="{C7EF7C4D-8F1B-4F95-9EC1-F2A5F4617244}" type="parTrans" cxnId="{74FFD811-CEB1-4655-9364-4784A236EF8F}">
      <dgm:prSet/>
      <dgm:spPr/>
      <dgm:t>
        <a:bodyPr/>
        <a:lstStyle/>
        <a:p>
          <a:pPr rtl="1"/>
          <a:endParaRPr lang="ar-SA" sz="1600">
            <a:latin typeface="Sakkal Majalla" panose="02000000000000000000" pitchFamily="2" charset="-78"/>
            <a:cs typeface="Sakkal Majalla" panose="02000000000000000000" pitchFamily="2" charset="-78"/>
          </a:endParaRPr>
        </a:p>
      </dgm:t>
    </dgm:pt>
    <dgm:pt modelId="{243BC080-E05A-46D5-BB75-B6CFF68425EF}" type="sibTrans" cxnId="{74FFD811-CEB1-4655-9364-4784A236EF8F}">
      <dgm:prSet/>
      <dgm:spPr/>
      <dgm:t>
        <a:bodyPr/>
        <a:lstStyle/>
        <a:p>
          <a:pPr rtl="1"/>
          <a:endParaRPr lang="ar-SA" sz="1600">
            <a:latin typeface="Sakkal Majalla" panose="02000000000000000000" pitchFamily="2" charset="-78"/>
            <a:cs typeface="Sakkal Majalla" panose="02000000000000000000" pitchFamily="2" charset="-78"/>
          </a:endParaRPr>
        </a:p>
      </dgm:t>
    </dgm:pt>
    <dgm:pt modelId="{E40A6FAB-324E-47D3-AF27-C2ADE151BFAC}" type="pres">
      <dgm:prSet presAssocID="{F7EC60FD-20B5-42DB-B337-DCFD420E6DC3}" presName="hierChild1" presStyleCnt="0">
        <dgm:presLayoutVars>
          <dgm:orgChart val="1"/>
          <dgm:chPref val="1"/>
          <dgm:dir/>
          <dgm:animOne val="branch"/>
          <dgm:animLvl val="lvl"/>
          <dgm:resizeHandles/>
        </dgm:presLayoutVars>
      </dgm:prSet>
      <dgm:spPr/>
    </dgm:pt>
    <dgm:pt modelId="{DE203F6A-894B-4DBF-A79C-89DE016A300C}" type="pres">
      <dgm:prSet presAssocID="{8959AC9D-02DA-4F75-97CA-A93645283693}" presName="hierRoot1" presStyleCnt="0">
        <dgm:presLayoutVars>
          <dgm:hierBranch val="init"/>
        </dgm:presLayoutVars>
      </dgm:prSet>
      <dgm:spPr/>
    </dgm:pt>
    <dgm:pt modelId="{F63E58F1-EF47-4DE9-8EEC-F9F446244DBC}" type="pres">
      <dgm:prSet presAssocID="{8959AC9D-02DA-4F75-97CA-A93645283693}" presName="rootComposite1" presStyleCnt="0"/>
      <dgm:spPr/>
    </dgm:pt>
    <dgm:pt modelId="{44343301-E4F5-4C76-A067-F012336F1C6B}" type="pres">
      <dgm:prSet presAssocID="{8959AC9D-02DA-4F75-97CA-A93645283693}" presName="rootText1" presStyleLbl="node0" presStyleIdx="0" presStyleCnt="1">
        <dgm:presLayoutVars>
          <dgm:chPref val="3"/>
        </dgm:presLayoutVars>
      </dgm:prSet>
      <dgm:spPr/>
    </dgm:pt>
    <dgm:pt modelId="{DBFB9658-AF1C-473A-9D43-AAEED565F859}" type="pres">
      <dgm:prSet presAssocID="{8959AC9D-02DA-4F75-97CA-A93645283693}" presName="rootConnector1" presStyleLbl="node1" presStyleIdx="0" presStyleCnt="0"/>
      <dgm:spPr/>
    </dgm:pt>
    <dgm:pt modelId="{04E7FDD6-0040-489E-89F2-5864C946F552}" type="pres">
      <dgm:prSet presAssocID="{8959AC9D-02DA-4F75-97CA-A93645283693}" presName="hierChild2" presStyleCnt="0"/>
      <dgm:spPr/>
    </dgm:pt>
    <dgm:pt modelId="{89969703-39E6-4148-9871-365223761FB9}" type="pres">
      <dgm:prSet presAssocID="{45E5FE5C-016D-4DDE-A49D-F86728B270A3}" presName="Name37" presStyleLbl="parChTrans1D2" presStyleIdx="0" presStyleCnt="3"/>
      <dgm:spPr/>
    </dgm:pt>
    <dgm:pt modelId="{6A7C0388-71D9-4FE8-BD87-4AE61219DAC1}" type="pres">
      <dgm:prSet presAssocID="{767F16CA-7ACA-4360-8F62-32090B3863BB}" presName="hierRoot2" presStyleCnt="0">
        <dgm:presLayoutVars>
          <dgm:hierBranch val="init"/>
        </dgm:presLayoutVars>
      </dgm:prSet>
      <dgm:spPr/>
    </dgm:pt>
    <dgm:pt modelId="{1C3DE9A3-13C1-4BF8-91B2-0025286890A5}" type="pres">
      <dgm:prSet presAssocID="{767F16CA-7ACA-4360-8F62-32090B3863BB}" presName="rootComposite" presStyleCnt="0"/>
      <dgm:spPr/>
    </dgm:pt>
    <dgm:pt modelId="{0EB13273-BCDA-4C0D-AD82-23FB593631EC}" type="pres">
      <dgm:prSet presAssocID="{767F16CA-7ACA-4360-8F62-32090B3863BB}" presName="rootText" presStyleLbl="node2" presStyleIdx="0" presStyleCnt="3">
        <dgm:presLayoutVars>
          <dgm:chPref val="3"/>
        </dgm:presLayoutVars>
      </dgm:prSet>
      <dgm:spPr/>
    </dgm:pt>
    <dgm:pt modelId="{06BA62BE-0444-4641-940A-EC6B8574DACE}" type="pres">
      <dgm:prSet presAssocID="{767F16CA-7ACA-4360-8F62-32090B3863BB}" presName="rootConnector" presStyleLbl="node2" presStyleIdx="0" presStyleCnt="3"/>
      <dgm:spPr/>
    </dgm:pt>
    <dgm:pt modelId="{F607BA7F-3568-47A9-B357-0DB9887B026D}" type="pres">
      <dgm:prSet presAssocID="{767F16CA-7ACA-4360-8F62-32090B3863BB}" presName="hierChild4" presStyleCnt="0"/>
      <dgm:spPr/>
    </dgm:pt>
    <dgm:pt modelId="{2E0378E0-1E93-4EFA-9FA0-FDE42F19778A}" type="pres">
      <dgm:prSet presAssocID="{767F16CA-7ACA-4360-8F62-32090B3863BB}" presName="hierChild5" presStyleCnt="0"/>
      <dgm:spPr/>
    </dgm:pt>
    <dgm:pt modelId="{C56B2377-C0CA-4EF9-AB48-16D3D5414E26}" type="pres">
      <dgm:prSet presAssocID="{76D8934A-E200-4F8F-AF87-8359BEF02B4F}" presName="Name37" presStyleLbl="parChTrans1D2" presStyleIdx="1" presStyleCnt="3"/>
      <dgm:spPr/>
    </dgm:pt>
    <dgm:pt modelId="{17470C8B-5118-46C9-B02D-0BBE211F0BBB}" type="pres">
      <dgm:prSet presAssocID="{A32D0A30-6910-4EBD-B032-CA245CF546B6}" presName="hierRoot2" presStyleCnt="0">
        <dgm:presLayoutVars>
          <dgm:hierBranch val="init"/>
        </dgm:presLayoutVars>
      </dgm:prSet>
      <dgm:spPr/>
    </dgm:pt>
    <dgm:pt modelId="{32780C42-960F-4363-8265-037F0CEFAFBB}" type="pres">
      <dgm:prSet presAssocID="{A32D0A30-6910-4EBD-B032-CA245CF546B6}" presName="rootComposite" presStyleCnt="0"/>
      <dgm:spPr/>
    </dgm:pt>
    <dgm:pt modelId="{9E895BEC-55DC-4FD6-9135-893F0A10449E}" type="pres">
      <dgm:prSet presAssocID="{A32D0A30-6910-4EBD-B032-CA245CF546B6}" presName="rootText" presStyleLbl="node2" presStyleIdx="1" presStyleCnt="3">
        <dgm:presLayoutVars>
          <dgm:chPref val="3"/>
        </dgm:presLayoutVars>
      </dgm:prSet>
      <dgm:spPr/>
    </dgm:pt>
    <dgm:pt modelId="{ED7B0B1B-3F07-47D5-93DB-66C308CC3ABC}" type="pres">
      <dgm:prSet presAssocID="{A32D0A30-6910-4EBD-B032-CA245CF546B6}" presName="rootConnector" presStyleLbl="node2" presStyleIdx="1" presStyleCnt="3"/>
      <dgm:spPr/>
    </dgm:pt>
    <dgm:pt modelId="{7E6B8320-0D06-432D-9626-DBFB24666585}" type="pres">
      <dgm:prSet presAssocID="{A32D0A30-6910-4EBD-B032-CA245CF546B6}" presName="hierChild4" presStyleCnt="0"/>
      <dgm:spPr/>
    </dgm:pt>
    <dgm:pt modelId="{34252B36-B1F7-43C5-AE79-996B3E01F476}" type="pres">
      <dgm:prSet presAssocID="{A32D0A30-6910-4EBD-B032-CA245CF546B6}" presName="hierChild5" presStyleCnt="0"/>
      <dgm:spPr/>
    </dgm:pt>
    <dgm:pt modelId="{8FB5E0AE-5037-4273-ACE7-3661DDE75ADA}" type="pres">
      <dgm:prSet presAssocID="{C7EF7C4D-8F1B-4F95-9EC1-F2A5F4617244}" presName="Name37" presStyleLbl="parChTrans1D2" presStyleIdx="2" presStyleCnt="3"/>
      <dgm:spPr/>
    </dgm:pt>
    <dgm:pt modelId="{DFA88425-B8A6-406C-A61A-6CDFD739E96A}" type="pres">
      <dgm:prSet presAssocID="{FD13CAAD-1FBA-437D-A49A-A8C70A280577}" presName="hierRoot2" presStyleCnt="0">
        <dgm:presLayoutVars>
          <dgm:hierBranch val="init"/>
        </dgm:presLayoutVars>
      </dgm:prSet>
      <dgm:spPr/>
    </dgm:pt>
    <dgm:pt modelId="{778D7EF7-F51C-48E8-B7DD-88D47D3E56E7}" type="pres">
      <dgm:prSet presAssocID="{FD13CAAD-1FBA-437D-A49A-A8C70A280577}" presName="rootComposite" presStyleCnt="0"/>
      <dgm:spPr/>
    </dgm:pt>
    <dgm:pt modelId="{5F7036AA-C102-4E61-BFFF-B364602A31B8}" type="pres">
      <dgm:prSet presAssocID="{FD13CAAD-1FBA-437D-A49A-A8C70A280577}" presName="rootText" presStyleLbl="node2" presStyleIdx="2" presStyleCnt="3">
        <dgm:presLayoutVars>
          <dgm:chPref val="3"/>
        </dgm:presLayoutVars>
      </dgm:prSet>
      <dgm:spPr/>
    </dgm:pt>
    <dgm:pt modelId="{992862CC-266A-4F02-BB99-6741F3B20CE5}" type="pres">
      <dgm:prSet presAssocID="{FD13CAAD-1FBA-437D-A49A-A8C70A280577}" presName="rootConnector" presStyleLbl="node2" presStyleIdx="2" presStyleCnt="3"/>
      <dgm:spPr/>
    </dgm:pt>
    <dgm:pt modelId="{A39CBCEE-9FBB-4FCB-A46F-370734516C0C}" type="pres">
      <dgm:prSet presAssocID="{FD13CAAD-1FBA-437D-A49A-A8C70A280577}" presName="hierChild4" presStyleCnt="0"/>
      <dgm:spPr/>
    </dgm:pt>
    <dgm:pt modelId="{63C044A9-0974-4C9D-B451-937A4B6404FE}" type="pres">
      <dgm:prSet presAssocID="{FD13CAAD-1FBA-437D-A49A-A8C70A280577}" presName="hierChild5" presStyleCnt="0"/>
      <dgm:spPr/>
    </dgm:pt>
    <dgm:pt modelId="{D15BCDAB-9CE2-463C-9E29-E9076C0CDD24}" type="pres">
      <dgm:prSet presAssocID="{8959AC9D-02DA-4F75-97CA-A93645283693}" presName="hierChild3" presStyleCnt="0"/>
      <dgm:spPr/>
    </dgm:pt>
  </dgm:ptLst>
  <dgm:cxnLst>
    <dgm:cxn modelId="{765B000B-7180-46F9-82F7-3DBD3F45D3D3}" type="presOf" srcId="{C7EF7C4D-8F1B-4F95-9EC1-F2A5F4617244}" destId="{8FB5E0AE-5037-4273-ACE7-3661DDE75ADA}" srcOrd="0" destOrd="0" presId="urn:microsoft.com/office/officeart/2005/8/layout/orgChart1"/>
    <dgm:cxn modelId="{3C11D40F-309F-4EA9-B69E-DF998A7E1825}" type="presOf" srcId="{FD13CAAD-1FBA-437D-A49A-A8C70A280577}" destId="{992862CC-266A-4F02-BB99-6741F3B20CE5}" srcOrd="1" destOrd="0" presId="urn:microsoft.com/office/officeart/2005/8/layout/orgChart1"/>
    <dgm:cxn modelId="{74FFD811-CEB1-4655-9364-4784A236EF8F}" srcId="{8959AC9D-02DA-4F75-97CA-A93645283693}" destId="{FD13CAAD-1FBA-437D-A49A-A8C70A280577}" srcOrd="2" destOrd="0" parTransId="{C7EF7C4D-8F1B-4F95-9EC1-F2A5F4617244}" sibTransId="{243BC080-E05A-46D5-BB75-B6CFF68425EF}"/>
    <dgm:cxn modelId="{9A50B51B-37F3-4999-808F-94D94221AF28}" type="presOf" srcId="{767F16CA-7ACA-4360-8F62-32090B3863BB}" destId="{0EB13273-BCDA-4C0D-AD82-23FB593631EC}" srcOrd="0" destOrd="0" presId="urn:microsoft.com/office/officeart/2005/8/layout/orgChart1"/>
    <dgm:cxn modelId="{FEDEA41F-F72C-436A-89CA-B919DC525D90}" type="presOf" srcId="{A32D0A30-6910-4EBD-B032-CA245CF546B6}" destId="{ED7B0B1B-3F07-47D5-93DB-66C308CC3ABC}" srcOrd="1" destOrd="0" presId="urn:microsoft.com/office/officeart/2005/8/layout/orgChart1"/>
    <dgm:cxn modelId="{97B36122-3BEF-47A3-B48D-16CC78281D76}" type="presOf" srcId="{8959AC9D-02DA-4F75-97CA-A93645283693}" destId="{44343301-E4F5-4C76-A067-F012336F1C6B}" srcOrd="0" destOrd="0" presId="urn:microsoft.com/office/officeart/2005/8/layout/orgChart1"/>
    <dgm:cxn modelId="{3A3BD334-9CBA-44D8-9419-24DCA7A55023}" type="presOf" srcId="{8959AC9D-02DA-4F75-97CA-A93645283693}" destId="{DBFB9658-AF1C-473A-9D43-AAEED565F859}" srcOrd="1" destOrd="0" presId="urn:microsoft.com/office/officeart/2005/8/layout/orgChart1"/>
    <dgm:cxn modelId="{6EEE5844-D2B1-443E-AD3A-4B8459FFB967}" srcId="{F7EC60FD-20B5-42DB-B337-DCFD420E6DC3}" destId="{8959AC9D-02DA-4F75-97CA-A93645283693}" srcOrd="0" destOrd="0" parTransId="{9D63B275-87AC-496B-95DE-4D9A2DF0ADA1}" sibTransId="{FEECF866-065A-40E5-9F4C-FD15E177529A}"/>
    <dgm:cxn modelId="{B0C79564-7D52-4821-AE3F-F32983532242}" srcId="{8959AC9D-02DA-4F75-97CA-A93645283693}" destId="{767F16CA-7ACA-4360-8F62-32090B3863BB}" srcOrd="0" destOrd="0" parTransId="{45E5FE5C-016D-4DDE-A49D-F86728B270A3}" sibTransId="{196F6C2E-0092-467C-BE10-CF0C4469E554}"/>
    <dgm:cxn modelId="{9CF01C50-6BDC-47BC-B0E2-B528945A2279}" type="presOf" srcId="{45E5FE5C-016D-4DDE-A49D-F86728B270A3}" destId="{89969703-39E6-4148-9871-365223761FB9}" srcOrd="0" destOrd="0" presId="urn:microsoft.com/office/officeart/2005/8/layout/orgChart1"/>
    <dgm:cxn modelId="{74CAE770-AC7E-4187-9C86-2DDC19B79F84}" type="presOf" srcId="{76D8934A-E200-4F8F-AF87-8359BEF02B4F}" destId="{C56B2377-C0CA-4EF9-AB48-16D3D5414E26}" srcOrd="0" destOrd="0" presId="urn:microsoft.com/office/officeart/2005/8/layout/orgChart1"/>
    <dgm:cxn modelId="{EA72D98A-E3DE-4677-B5EF-11A16AF3A459}" srcId="{8959AC9D-02DA-4F75-97CA-A93645283693}" destId="{A32D0A30-6910-4EBD-B032-CA245CF546B6}" srcOrd="1" destOrd="0" parTransId="{76D8934A-E200-4F8F-AF87-8359BEF02B4F}" sibTransId="{B0E28089-53A2-4566-B16F-25700CF335C3}"/>
    <dgm:cxn modelId="{832A149E-2211-4C7E-8733-6522DC947B35}" type="presOf" srcId="{767F16CA-7ACA-4360-8F62-32090B3863BB}" destId="{06BA62BE-0444-4641-940A-EC6B8574DACE}" srcOrd="1" destOrd="0" presId="urn:microsoft.com/office/officeart/2005/8/layout/orgChart1"/>
    <dgm:cxn modelId="{C50C16AD-7EDA-40A1-BCBC-99D4F7A17165}" type="presOf" srcId="{F7EC60FD-20B5-42DB-B337-DCFD420E6DC3}" destId="{E40A6FAB-324E-47D3-AF27-C2ADE151BFAC}" srcOrd="0" destOrd="0" presId="urn:microsoft.com/office/officeart/2005/8/layout/orgChart1"/>
    <dgm:cxn modelId="{ACF6E3CD-DEAA-4AFD-92F0-9DBED77E2D97}" type="presOf" srcId="{A32D0A30-6910-4EBD-B032-CA245CF546B6}" destId="{9E895BEC-55DC-4FD6-9135-893F0A10449E}" srcOrd="0" destOrd="0" presId="urn:microsoft.com/office/officeart/2005/8/layout/orgChart1"/>
    <dgm:cxn modelId="{F29896F6-B4BD-44D5-9F78-5BFFD0931C44}" type="presOf" srcId="{FD13CAAD-1FBA-437D-A49A-A8C70A280577}" destId="{5F7036AA-C102-4E61-BFFF-B364602A31B8}" srcOrd="0" destOrd="0" presId="urn:microsoft.com/office/officeart/2005/8/layout/orgChart1"/>
    <dgm:cxn modelId="{C79F0201-0C77-47BF-B024-07DAC2041576}" type="presParOf" srcId="{E40A6FAB-324E-47D3-AF27-C2ADE151BFAC}" destId="{DE203F6A-894B-4DBF-A79C-89DE016A300C}" srcOrd="0" destOrd="0" presId="urn:microsoft.com/office/officeart/2005/8/layout/orgChart1"/>
    <dgm:cxn modelId="{E7D8C4C4-8857-4443-B1CE-6F2EC24D9815}" type="presParOf" srcId="{DE203F6A-894B-4DBF-A79C-89DE016A300C}" destId="{F63E58F1-EF47-4DE9-8EEC-F9F446244DBC}" srcOrd="0" destOrd="0" presId="urn:microsoft.com/office/officeart/2005/8/layout/orgChart1"/>
    <dgm:cxn modelId="{4C9F8438-A793-4BDC-B2DE-8ABE4F6C65EF}" type="presParOf" srcId="{F63E58F1-EF47-4DE9-8EEC-F9F446244DBC}" destId="{44343301-E4F5-4C76-A067-F012336F1C6B}" srcOrd="0" destOrd="0" presId="urn:microsoft.com/office/officeart/2005/8/layout/orgChart1"/>
    <dgm:cxn modelId="{293D5E05-059F-4F59-9B11-089F9F4879E6}" type="presParOf" srcId="{F63E58F1-EF47-4DE9-8EEC-F9F446244DBC}" destId="{DBFB9658-AF1C-473A-9D43-AAEED565F859}" srcOrd="1" destOrd="0" presId="urn:microsoft.com/office/officeart/2005/8/layout/orgChart1"/>
    <dgm:cxn modelId="{EB87AC23-7FBE-4EEF-81A4-F08D260ED3C2}" type="presParOf" srcId="{DE203F6A-894B-4DBF-A79C-89DE016A300C}" destId="{04E7FDD6-0040-489E-89F2-5864C946F552}" srcOrd="1" destOrd="0" presId="urn:microsoft.com/office/officeart/2005/8/layout/orgChart1"/>
    <dgm:cxn modelId="{D4EE3396-2B80-4C7F-BA0E-8703F14CF3FF}" type="presParOf" srcId="{04E7FDD6-0040-489E-89F2-5864C946F552}" destId="{89969703-39E6-4148-9871-365223761FB9}" srcOrd="0" destOrd="0" presId="urn:microsoft.com/office/officeart/2005/8/layout/orgChart1"/>
    <dgm:cxn modelId="{447008AB-4404-4830-AF4E-187EABE72B72}" type="presParOf" srcId="{04E7FDD6-0040-489E-89F2-5864C946F552}" destId="{6A7C0388-71D9-4FE8-BD87-4AE61219DAC1}" srcOrd="1" destOrd="0" presId="urn:microsoft.com/office/officeart/2005/8/layout/orgChart1"/>
    <dgm:cxn modelId="{13049922-A383-4B2C-A224-B91A6C5984EB}" type="presParOf" srcId="{6A7C0388-71D9-4FE8-BD87-4AE61219DAC1}" destId="{1C3DE9A3-13C1-4BF8-91B2-0025286890A5}" srcOrd="0" destOrd="0" presId="urn:microsoft.com/office/officeart/2005/8/layout/orgChart1"/>
    <dgm:cxn modelId="{A3AFDAED-1FDD-4A87-B07B-1EA1F0DFA7B7}" type="presParOf" srcId="{1C3DE9A3-13C1-4BF8-91B2-0025286890A5}" destId="{0EB13273-BCDA-4C0D-AD82-23FB593631EC}" srcOrd="0" destOrd="0" presId="urn:microsoft.com/office/officeart/2005/8/layout/orgChart1"/>
    <dgm:cxn modelId="{2C05010F-467F-40A4-B4A8-F8E768A4D206}" type="presParOf" srcId="{1C3DE9A3-13C1-4BF8-91B2-0025286890A5}" destId="{06BA62BE-0444-4641-940A-EC6B8574DACE}" srcOrd="1" destOrd="0" presId="urn:microsoft.com/office/officeart/2005/8/layout/orgChart1"/>
    <dgm:cxn modelId="{BBD465DD-02B2-4748-A067-622F3CC5B82C}" type="presParOf" srcId="{6A7C0388-71D9-4FE8-BD87-4AE61219DAC1}" destId="{F607BA7F-3568-47A9-B357-0DB9887B026D}" srcOrd="1" destOrd="0" presId="urn:microsoft.com/office/officeart/2005/8/layout/orgChart1"/>
    <dgm:cxn modelId="{ECFE907D-1AAE-4785-8F20-6F573EDEC4CA}" type="presParOf" srcId="{6A7C0388-71D9-4FE8-BD87-4AE61219DAC1}" destId="{2E0378E0-1E93-4EFA-9FA0-FDE42F19778A}" srcOrd="2" destOrd="0" presId="urn:microsoft.com/office/officeart/2005/8/layout/orgChart1"/>
    <dgm:cxn modelId="{6C7C37A8-B146-4A36-9D47-4F382214F579}" type="presParOf" srcId="{04E7FDD6-0040-489E-89F2-5864C946F552}" destId="{C56B2377-C0CA-4EF9-AB48-16D3D5414E26}" srcOrd="2" destOrd="0" presId="urn:microsoft.com/office/officeart/2005/8/layout/orgChart1"/>
    <dgm:cxn modelId="{73AB1C12-3F23-4CD7-A1B0-0E16A1F88C12}" type="presParOf" srcId="{04E7FDD6-0040-489E-89F2-5864C946F552}" destId="{17470C8B-5118-46C9-B02D-0BBE211F0BBB}" srcOrd="3" destOrd="0" presId="urn:microsoft.com/office/officeart/2005/8/layout/orgChart1"/>
    <dgm:cxn modelId="{798F012B-0C3F-4233-A9D3-373BC466B305}" type="presParOf" srcId="{17470C8B-5118-46C9-B02D-0BBE211F0BBB}" destId="{32780C42-960F-4363-8265-037F0CEFAFBB}" srcOrd="0" destOrd="0" presId="urn:microsoft.com/office/officeart/2005/8/layout/orgChart1"/>
    <dgm:cxn modelId="{C7B8776D-FF40-469F-BB7C-02248A49F454}" type="presParOf" srcId="{32780C42-960F-4363-8265-037F0CEFAFBB}" destId="{9E895BEC-55DC-4FD6-9135-893F0A10449E}" srcOrd="0" destOrd="0" presId="urn:microsoft.com/office/officeart/2005/8/layout/orgChart1"/>
    <dgm:cxn modelId="{BBE1A50C-2A4D-414E-A62B-4B14A47A4AD9}" type="presParOf" srcId="{32780C42-960F-4363-8265-037F0CEFAFBB}" destId="{ED7B0B1B-3F07-47D5-93DB-66C308CC3ABC}" srcOrd="1" destOrd="0" presId="urn:microsoft.com/office/officeart/2005/8/layout/orgChart1"/>
    <dgm:cxn modelId="{0FE4DC86-48FD-4B96-857A-27974744E1DA}" type="presParOf" srcId="{17470C8B-5118-46C9-B02D-0BBE211F0BBB}" destId="{7E6B8320-0D06-432D-9626-DBFB24666585}" srcOrd="1" destOrd="0" presId="urn:microsoft.com/office/officeart/2005/8/layout/orgChart1"/>
    <dgm:cxn modelId="{71C6854B-E5B5-4E72-9E77-3F866FCD42A9}" type="presParOf" srcId="{17470C8B-5118-46C9-B02D-0BBE211F0BBB}" destId="{34252B36-B1F7-43C5-AE79-996B3E01F476}" srcOrd="2" destOrd="0" presId="urn:microsoft.com/office/officeart/2005/8/layout/orgChart1"/>
    <dgm:cxn modelId="{BC3661E1-3FBB-499F-BC6D-4B2ACC96534F}" type="presParOf" srcId="{04E7FDD6-0040-489E-89F2-5864C946F552}" destId="{8FB5E0AE-5037-4273-ACE7-3661DDE75ADA}" srcOrd="4" destOrd="0" presId="urn:microsoft.com/office/officeart/2005/8/layout/orgChart1"/>
    <dgm:cxn modelId="{DBD03CEE-68AA-48B8-A42D-EEE6BDA5D7A5}" type="presParOf" srcId="{04E7FDD6-0040-489E-89F2-5864C946F552}" destId="{DFA88425-B8A6-406C-A61A-6CDFD739E96A}" srcOrd="5" destOrd="0" presId="urn:microsoft.com/office/officeart/2005/8/layout/orgChart1"/>
    <dgm:cxn modelId="{67B38809-A5FE-4A78-A44B-75210F370458}" type="presParOf" srcId="{DFA88425-B8A6-406C-A61A-6CDFD739E96A}" destId="{778D7EF7-F51C-48E8-B7DD-88D47D3E56E7}" srcOrd="0" destOrd="0" presId="urn:microsoft.com/office/officeart/2005/8/layout/orgChart1"/>
    <dgm:cxn modelId="{50F236F3-DC99-4CBE-9FD0-1334907FEFD7}" type="presParOf" srcId="{778D7EF7-F51C-48E8-B7DD-88D47D3E56E7}" destId="{5F7036AA-C102-4E61-BFFF-B364602A31B8}" srcOrd="0" destOrd="0" presId="urn:microsoft.com/office/officeart/2005/8/layout/orgChart1"/>
    <dgm:cxn modelId="{688A369E-8DB3-4241-980A-22F9D1D62A8A}" type="presParOf" srcId="{778D7EF7-F51C-48E8-B7DD-88D47D3E56E7}" destId="{992862CC-266A-4F02-BB99-6741F3B20CE5}" srcOrd="1" destOrd="0" presId="urn:microsoft.com/office/officeart/2005/8/layout/orgChart1"/>
    <dgm:cxn modelId="{C5C155AD-D980-4C58-8E33-119D85213ED0}" type="presParOf" srcId="{DFA88425-B8A6-406C-A61A-6CDFD739E96A}" destId="{A39CBCEE-9FBB-4FCB-A46F-370734516C0C}" srcOrd="1" destOrd="0" presId="urn:microsoft.com/office/officeart/2005/8/layout/orgChart1"/>
    <dgm:cxn modelId="{23B82295-999A-4468-A6E2-F938EFD050AD}" type="presParOf" srcId="{DFA88425-B8A6-406C-A61A-6CDFD739E96A}" destId="{63C044A9-0974-4C9D-B451-937A4B6404FE}" srcOrd="2" destOrd="0" presId="urn:microsoft.com/office/officeart/2005/8/layout/orgChart1"/>
    <dgm:cxn modelId="{D3E0AFD7-1F91-4FCB-A930-423EBB60018F}" type="presParOf" srcId="{DE203F6A-894B-4DBF-A79C-89DE016A300C}" destId="{D15BCDAB-9CE2-463C-9E29-E9076C0CDD24}" srcOrd="2" destOrd="0" presId="urn:microsoft.com/office/officeart/2005/8/layout/orgChart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ACED16F-E452-4A17-BEB1-B39CF38404D6}" type="doc">
      <dgm:prSet loTypeId="urn:microsoft.com/office/officeart/2005/8/layout/pyramid2" loCatId="list" qsTypeId="urn:microsoft.com/office/officeart/2005/8/quickstyle/simple1" qsCatId="simple" csTypeId="urn:microsoft.com/office/officeart/2005/8/colors/accent0_1" csCatId="mainScheme" phldr="1"/>
      <dgm:spPr/>
    </dgm:pt>
    <dgm:pt modelId="{12D904F5-D152-4C8B-9990-EA5BE1C335EF}">
      <dgm:prSet phldrT="[نص]"/>
      <dgm:spPr/>
      <dgm:t>
        <a:bodyPr/>
        <a:lstStyle/>
        <a:p>
          <a:pPr rtl="1"/>
          <a:r>
            <a:rPr lang="ar-EG">
              <a:latin typeface="Sakkal Majalla" panose="02000000000000000000" pitchFamily="2" charset="-78"/>
              <a:cs typeface="Sakkal Majalla" panose="02000000000000000000" pitchFamily="2" charset="-78"/>
            </a:rPr>
            <a:t>غياب التنظيم القانوني</a:t>
          </a:r>
          <a:endParaRPr lang="ar-SA">
            <a:latin typeface="Sakkal Majalla" panose="02000000000000000000" pitchFamily="2" charset="-78"/>
            <a:cs typeface="Sakkal Majalla" panose="02000000000000000000" pitchFamily="2" charset="-78"/>
          </a:endParaRPr>
        </a:p>
      </dgm:t>
    </dgm:pt>
    <dgm:pt modelId="{429F4AD1-6D81-49A9-A149-E7478AE00072}" type="parTrans" cxnId="{B9764D36-5FBE-440B-B9C2-57F039DFB6FA}">
      <dgm:prSet/>
      <dgm:spPr/>
      <dgm:t>
        <a:bodyPr/>
        <a:lstStyle/>
        <a:p>
          <a:pPr rtl="1"/>
          <a:endParaRPr lang="ar-SA">
            <a:latin typeface="Sakkal Majalla" panose="02000000000000000000" pitchFamily="2" charset="-78"/>
            <a:cs typeface="Sakkal Majalla" panose="02000000000000000000" pitchFamily="2" charset="-78"/>
          </a:endParaRPr>
        </a:p>
      </dgm:t>
    </dgm:pt>
    <dgm:pt modelId="{375A7360-84DB-4456-AEE1-4B6DBF5AB354}" type="sibTrans" cxnId="{B9764D36-5FBE-440B-B9C2-57F039DFB6FA}">
      <dgm:prSet/>
      <dgm:spPr/>
      <dgm:t>
        <a:bodyPr/>
        <a:lstStyle/>
        <a:p>
          <a:pPr rtl="1"/>
          <a:endParaRPr lang="ar-SA">
            <a:latin typeface="Sakkal Majalla" panose="02000000000000000000" pitchFamily="2" charset="-78"/>
            <a:cs typeface="Sakkal Majalla" panose="02000000000000000000" pitchFamily="2" charset="-78"/>
          </a:endParaRPr>
        </a:p>
      </dgm:t>
    </dgm:pt>
    <dgm:pt modelId="{95AD81D8-BE3D-478C-B140-9ADFA27FE7FA}">
      <dgm:prSet phldrT="[نص]"/>
      <dgm:spPr/>
      <dgm:t>
        <a:bodyPr/>
        <a:lstStyle/>
        <a:p>
          <a:pPr rtl="1"/>
          <a:r>
            <a:rPr lang="ar-EG">
              <a:latin typeface="Sakkal Majalla" panose="02000000000000000000" pitchFamily="2" charset="-78"/>
              <a:cs typeface="Sakkal Majalla" panose="02000000000000000000" pitchFamily="2" charset="-78"/>
            </a:rPr>
            <a:t>ضعف التنسيق الإداري</a:t>
          </a:r>
          <a:endParaRPr lang="ar-SA">
            <a:latin typeface="Sakkal Majalla" panose="02000000000000000000" pitchFamily="2" charset="-78"/>
            <a:cs typeface="Sakkal Majalla" panose="02000000000000000000" pitchFamily="2" charset="-78"/>
          </a:endParaRPr>
        </a:p>
      </dgm:t>
    </dgm:pt>
    <dgm:pt modelId="{FD08CC02-6AAC-4F1F-8D66-7EC301E780B2}" type="parTrans" cxnId="{D07C817F-29D6-4579-9283-4D2BC813BC92}">
      <dgm:prSet/>
      <dgm:spPr/>
      <dgm:t>
        <a:bodyPr/>
        <a:lstStyle/>
        <a:p>
          <a:pPr rtl="1"/>
          <a:endParaRPr lang="ar-SA">
            <a:latin typeface="Sakkal Majalla" panose="02000000000000000000" pitchFamily="2" charset="-78"/>
            <a:cs typeface="Sakkal Majalla" panose="02000000000000000000" pitchFamily="2" charset="-78"/>
          </a:endParaRPr>
        </a:p>
      </dgm:t>
    </dgm:pt>
    <dgm:pt modelId="{DDCB8651-C6F1-4DE5-A684-B7585E298C86}" type="sibTrans" cxnId="{D07C817F-29D6-4579-9283-4D2BC813BC92}">
      <dgm:prSet/>
      <dgm:spPr/>
      <dgm:t>
        <a:bodyPr/>
        <a:lstStyle/>
        <a:p>
          <a:pPr rtl="1"/>
          <a:endParaRPr lang="ar-SA">
            <a:latin typeface="Sakkal Majalla" panose="02000000000000000000" pitchFamily="2" charset="-78"/>
            <a:cs typeface="Sakkal Majalla" panose="02000000000000000000" pitchFamily="2" charset="-78"/>
          </a:endParaRPr>
        </a:p>
      </dgm:t>
    </dgm:pt>
    <dgm:pt modelId="{88698005-7179-41D9-844D-E4DC87EF51A4}">
      <dgm:prSet phldrT="[نص]"/>
      <dgm:spPr/>
      <dgm:t>
        <a:bodyPr/>
        <a:lstStyle/>
        <a:p>
          <a:pPr rtl="1"/>
          <a:r>
            <a:rPr lang="ar-EG">
              <a:latin typeface="Sakkal Majalla" panose="02000000000000000000" pitchFamily="2" charset="-78"/>
              <a:cs typeface="Sakkal Majalla" panose="02000000000000000000" pitchFamily="2" charset="-78"/>
            </a:rPr>
            <a:t>اللامركزية</a:t>
          </a:r>
          <a:endParaRPr lang="ar-SA">
            <a:latin typeface="Sakkal Majalla" panose="02000000000000000000" pitchFamily="2" charset="-78"/>
            <a:cs typeface="Sakkal Majalla" panose="02000000000000000000" pitchFamily="2" charset="-78"/>
          </a:endParaRPr>
        </a:p>
      </dgm:t>
    </dgm:pt>
    <dgm:pt modelId="{13B102D0-ED79-4274-8761-A7321BE38F68}" type="parTrans" cxnId="{1B076117-3559-4621-B8FD-2BEECAAA3292}">
      <dgm:prSet/>
      <dgm:spPr/>
      <dgm:t>
        <a:bodyPr/>
        <a:lstStyle/>
        <a:p>
          <a:pPr rtl="1"/>
          <a:endParaRPr lang="ar-SA">
            <a:latin typeface="Sakkal Majalla" panose="02000000000000000000" pitchFamily="2" charset="-78"/>
            <a:cs typeface="Sakkal Majalla" panose="02000000000000000000" pitchFamily="2" charset="-78"/>
          </a:endParaRPr>
        </a:p>
      </dgm:t>
    </dgm:pt>
    <dgm:pt modelId="{130E4099-AC0B-4279-ACCE-85D7D03B0D1C}" type="sibTrans" cxnId="{1B076117-3559-4621-B8FD-2BEECAAA3292}">
      <dgm:prSet/>
      <dgm:spPr/>
      <dgm:t>
        <a:bodyPr/>
        <a:lstStyle/>
        <a:p>
          <a:pPr rtl="1"/>
          <a:endParaRPr lang="ar-SA">
            <a:latin typeface="Sakkal Majalla" panose="02000000000000000000" pitchFamily="2" charset="-78"/>
            <a:cs typeface="Sakkal Majalla" panose="02000000000000000000" pitchFamily="2" charset="-78"/>
          </a:endParaRPr>
        </a:p>
      </dgm:t>
    </dgm:pt>
    <dgm:pt modelId="{B355377E-6930-49C6-A2FE-89B51A385E4D}">
      <dgm:prSet phldrT="[نص]"/>
      <dgm:spPr/>
      <dgm:t>
        <a:bodyPr/>
        <a:lstStyle/>
        <a:p>
          <a:pPr rtl="1"/>
          <a:r>
            <a:rPr lang="ar-EG">
              <a:latin typeface="Sakkal Majalla" panose="02000000000000000000" pitchFamily="2" charset="-78"/>
              <a:cs typeface="Sakkal Majalla" panose="02000000000000000000" pitchFamily="2" charset="-78"/>
            </a:rPr>
            <a:t>غياب الرقابة </a:t>
          </a:r>
          <a:endParaRPr lang="ar-SA">
            <a:latin typeface="Sakkal Majalla" panose="02000000000000000000" pitchFamily="2" charset="-78"/>
            <a:cs typeface="Sakkal Majalla" panose="02000000000000000000" pitchFamily="2" charset="-78"/>
          </a:endParaRPr>
        </a:p>
      </dgm:t>
    </dgm:pt>
    <dgm:pt modelId="{B707F4B2-CF05-4979-B2AA-21CB534F162E}" type="parTrans" cxnId="{D25D5135-4C91-416D-8C96-3E6A46EA906C}">
      <dgm:prSet/>
      <dgm:spPr/>
      <dgm:t>
        <a:bodyPr/>
        <a:lstStyle/>
        <a:p>
          <a:pPr rtl="1"/>
          <a:endParaRPr lang="ar-SA">
            <a:latin typeface="Sakkal Majalla" panose="02000000000000000000" pitchFamily="2" charset="-78"/>
            <a:cs typeface="Sakkal Majalla" panose="02000000000000000000" pitchFamily="2" charset="-78"/>
          </a:endParaRPr>
        </a:p>
      </dgm:t>
    </dgm:pt>
    <dgm:pt modelId="{96B51402-B6F9-4B2A-8D29-DB56F9B409EF}" type="sibTrans" cxnId="{D25D5135-4C91-416D-8C96-3E6A46EA906C}">
      <dgm:prSet/>
      <dgm:spPr/>
      <dgm:t>
        <a:bodyPr/>
        <a:lstStyle/>
        <a:p>
          <a:pPr rtl="1"/>
          <a:endParaRPr lang="ar-SA">
            <a:latin typeface="Sakkal Majalla" panose="02000000000000000000" pitchFamily="2" charset="-78"/>
            <a:cs typeface="Sakkal Majalla" panose="02000000000000000000" pitchFamily="2" charset="-78"/>
          </a:endParaRPr>
        </a:p>
      </dgm:t>
    </dgm:pt>
    <dgm:pt modelId="{C87256EE-B1B2-4913-A91C-80DA6A6B25DD}" type="pres">
      <dgm:prSet presAssocID="{AACED16F-E452-4A17-BEB1-B39CF38404D6}" presName="compositeShape" presStyleCnt="0">
        <dgm:presLayoutVars>
          <dgm:dir/>
          <dgm:resizeHandles/>
        </dgm:presLayoutVars>
      </dgm:prSet>
      <dgm:spPr/>
    </dgm:pt>
    <dgm:pt modelId="{D9D04E4B-10DA-4477-BED5-E692B786D869}" type="pres">
      <dgm:prSet presAssocID="{AACED16F-E452-4A17-BEB1-B39CF38404D6}" presName="pyramid" presStyleLbl="node1" presStyleIdx="0" presStyleCnt="1" custLinFactNeighborX="12336" custLinFactNeighborY="-1515"/>
      <dgm:spPr/>
    </dgm:pt>
    <dgm:pt modelId="{23687C49-505A-421C-8423-C59B75484429}" type="pres">
      <dgm:prSet presAssocID="{AACED16F-E452-4A17-BEB1-B39CF38404D6}" presName="theList" presStyleCnt="0"/>
      <dgm:spPr/>
    </dgm:pt>
    <dgm:pt modelId="{6E66C318-1A91-4379-9391-F9F0B4AA55B2}" type="pres">
      <dgm:prSet presAssocID="{12D904F5-D152-4C8B-9990-EA5BE1C335EF}" presName="aNode" presStyleLbl="fgAcc1" presStyleIdx="0" presStyleCnt="4">
        <dgm:presLayoutVars>
          <dgm:bulletEnabled val="1"/>
        </dgm:presLayoutVars>
      </dgm:prSet>
      <dgm:spPr/>
    </dgm:pt>
    <dgm:pt modelId="{68F5AFD7-19B4-4E24-8329-0B596D94A054}" type="pres">
      <dgm:prSet presAssocID="{12D904F5-D152-4C8B-9990-EA5BE1C335EF}" presName="aSpace" presStyleCnt="0"/>
      <dgm:spPr/>
    </dgm:pt>
    <dgm:pt modelId="{B9FF6C08-CF95-4E0F-93B0-8D09C4167BAE}" type="pres">
      <dgm:prSet presAssocID="{95AD81D8-BE3D-478C-B140-9ADFA27FE7FA}" presName="aNode" presStyleLbl="fgAcc1" presStyleIdx="1" presStyleCnt="4">
        <dgm:presLayoutVars>
          <dgm:bulletEnabled val="1"/>
        </dgm:presLayoutVars>
      </dgm:prSet>
      <dgm:spPr/>
    </dgm:pt>
    <dgm:pt modelId="{1AB04E8B-1E6D-450A-82A0-42DC56ED3D0E}" type="pres">
      <dgm:prSet presAssocID="{95AD81D8-BE3D-478C-B140-9ADFA27FE7FA}" presName="aSpace" presStyleCnt="0"/>
      <dgm:spPr/>
    </dgm:pt>
    <dgm:pt modelId="{BCE85B0D-F521-4E0F-822A-6B33E23DC28A}" type="pres">
      <dgm:prSet presAssocID="{88698005-7179-41D9-844D-E4DC87EF51A4}" presName="aNode" presStyleLbl="fgAcc1" presStyleIdx="2" presStyleCnt="4">
        <dgm:presLayoutVars>
          <dgm:bulletEnabled val="1"/>
        </dgm:presLayoutVars>
      </dgm:prSet>
      <dgm:spPr/>
    </dgm:pt>
    <dgm:pt modelId="{955149D7-8264-4187-A75B-C893D521B886}" type="pres">
      <dgm:prSet presAssocID="{88698005-7179-41D9-844D-E4DC87EF51A4}" presName="aSpace" presStyleCnt="0"/>
      <dgm:spPr/>
    </dgm:pt>
    <dgm:pt modelId="{E316F9A3-00DF-4F39-9077-96C2B0320C4C}" type="pres">
      <dgm:prSet presAssocID="{B355377E-6930-49C6-A2FE-89B51A385E4D}" presName="aNode" presStyleLbl="fgAcc1" presStyleIdx="3" presStyleCnt="4">
        <dgm:presLayoutVars>
          <dgm:bulletEnabled val="1"/>
        </dgm:presLayoutVars>
      </dgm:prSet>
      <dgm:spPr/>
    </dgm:pt>
    <dgm:pt modelId="{306FC7CE-48C1-4351-86F3-AF69E5885354}" type="pres">
      <dgm:prSet presAssocID="{B355377E-6930-49C6-A2FE-89B51A385E4D}" presName="aSpace" presStyleCnt="0"/>
      <dgm:spPr/>
    </dgm:pt>
  </dgm:ptLst>
  <dgm:cxnLst>
    <dgm:cxn modelId="{1B076117-3559-4621-B8FD-2BEECAAA3292}" srcId="{AACED16F-E452-4A17-BEB1-B39CF38404D6}" destId="{88698005-7179-41D9-844D-E4DC87EF51A4}" srcOrd="2" destOrd="0" parTransId="{13B102D0-ED79-4274-8761-A7321BE38F68}" sibTransId="{130E4099-AC0B-4279-ACCE-85D7D03B0D1C}"/>
    <dgm:cxn modelId="{77F51221-49BB-4814-8FD4-5B49AF925D43}" type="presOf" srcId="{88698005-7179-41D9-844D-E4DC87EF51A4}" destId="{BCE85B0D-F521-4E0F-822A-6B33E23DC28A}" srcOrd="0" destOrd="0" presId="urn:microsoft.com/office/officeart/2005/8/layout/pyramid2"/>
    <dgm:cxn modelId="{D25D5135-4C91-416D-8C96-3E6A46EA906C}" srcId="{AACED16F-E452-4A17-BEB1-B39CF38404D6}" destId="{B355377E-6930-49C6-A2FE-89B51A385E4D}" srcOrd="3" destOrd="0" parTransId="{B707F4B2-CF05-4979-B2AA-21CB534F162E}" sibTransId="{96B51402-B6F9-4B2A-8D29-DB56F9B409EF}"/>
    <dgm:cxn modelId="{D1C7B335-2309-4FFB-8698-A78E86D365C8}" type="presOf" srcId="{95AD81D8-BE3D-478C-B140-9ADFA27FE7FA}" destId="{B9FF6C08-CF95-4E0F-93B0-8D09C4167BAE}" srcOrd="0" destOrd="0" presId="urn:microsoft.com/office/officeart/2005/8/layout/pyramid2"/>
    <dgm:cxn modelId="{B9764D36-5FBE-440B-B9C2-57F039DFB6FA}" srcId="{AACED16F-E452-4A17-BEB1-B39CF38404D6}" destId="{12D904F5-D152-4C8B-9990-EA5BE1C335EF}" srcOrd="0" destOrd="0" parTransId="{429F4AD1-6D81-49A9-A149-E7478AE00072}" sibTransId="{375A7360-84DB-4456-AEE1-4B6DBF5AB354}"/>
    <dgm:cxn modelId="{246B0C6C-4794-47F0-9054-2B3DD8F48E36}" type="presOf" srcId="{B355377E-6930-49C6-A2FE-89B51A385E4D}" destId="{E316F9A3-00DF-4F39-9077-96C2B0320C4C}" srcOrd="0" destOrd="0" presId="urn:microsoft.com/office/officeart/2005/8/layout/pyramid2"/>
    <dgm:cxn modelId="{F22ACF58-FBF4-4869-BCDF-AE9EFEA6F2AC}" type="presOf" srcId="{12D904F5-D152-4C8B-9990-EA5BE1C335EF}" destId="{6E66C318-1A91-4379-9391-F9F0B4AA55B2}" srcOrd="0" destOrd="0" presId="urn:microsoft.com/office/officeart/2005/8/layout/pyramid2"/>
    <dgm:cxn modelId="{D07C817F-29D6-4579-9283-4D2BC813BC92}" srcId="{AACED16F-E452-4A17-BEB1-B39CF38404D6}" destId="{95AD81D8-BE3D-478C-B140-9ADFA27FE7FA}" srcOrd="1" destOrd="0" parTransId="{FD08CC02-6AAC-4F1F-8D66-7EC301E780B2}" sibTransId="{DDCB8651-C6F1-4DE5-A684-B7585E298C86}"/>
    <dgm:cxn modelId="{0292EDE4-ECD3-4CE0-8EF4-8FF2A733134D}" type="presOf" srcId="{AACED16F-E452-4A17-BEB1-B39CF38404D6}" destId="{C87256EE-B1B2-4913-A91C-80DA6A6B25DD}" srcOrd="0" destOrd="0" presId="urn:microsoft.com/office/officeart/2005/8/layout/pyramid2"/>
    <dgm:cxn modelId="{89E8FEDC-D43B-4344-A45C-A569BFF37527}" type="presParOf" srcId="{C87256EE-B1B2-4913-A91C-80DA6A6B25DD}" destId="{D9D04E4B-10DA-4477-BED5-E692B786D869}" srcOrd="0" destOrd="0" presId="urn:microsoft.com/office/officeart/2005/8/layout/pyramid2"/>
    <dgm:cxn modelId="{EA608E31-169C-4EA6-8FED-D97750F529F8}" type="presParOf" srcId="{C87256EE-B1B2-4913-A91C-80DA6A6B25DD}" destId="{23687C49-505A-421C-8423-C59B75484429}" srcOrd="1" destOrd="0" presId="urn:microsoft.com/office/officeart/2005/8/layout/pyramid2"/>
    <dgm:cxn modelId="{CA8AFB52-A026-4E96-97D9-858E7A5E4106}" type="presParOf" srcId="{23687C49-505A-421C-8423-C59B75484429}" destId="{6E66C318-1A91-4379-9391-F9F0B4AA55B2}" srcOrd="0" destOrd="0" presId="urn:microsoft.com/office/officeart/2005/8/layout/pyramid2"/>
    <dgm:cxn modelId="{15984186-5B7D-4607-BD61-D4CFF6E0909C}" type="presParOf" srcId="{23687C49-505A-421C-8423-C59B75484429}" destId="{68F5AFD7-19B4-4E24-8329-0B596D94A054}" srcOrd="1" destOrd="0" presId="urn:microsoft.com/office/officeart/2005/8/layout/pyramid2"/>
    <dgm:cxn modelId="{5F628082-642B-46B1-9BEF-606BF6AB2C8E}" type="presParOf" srcId="{23687C49-505A-421C-8423-C59B75484429}" destId="{B9FF6C08-CF95-4E0F-93B0-8D09C4167BAE}" srcOrd="2" destOrd="0" presId="urn:microsoft.com/office/officeart/2005/8/layout/pyramid2"/>
    <dgm:cxn modelId="{F47FA59B-194C-4CF4-9C7B-54D58D967958}" type="presParOf" srcId="{23687C49-505A-421C-8423-C59B75484429}" destId="{1AB04E8B-1E6D-450A-82A0-42DC56ED3D0E}" srcOrd="3" destOrd="0" presId="urn:microsoft.com/office/officeart/2005/8/layout/pyramid2"/>
    <dgm:cxn modelId="{D912A5E1-C775-475F-ABFF-14E63A101DB7}" type="presParOf" srcId="{23687C49-505A-421C-8423-C59B75484429}" destId="{BCE85B0D-F521-4E0F-822A-6B33E23DC28A}" srcOrd="4" destOrd="0" presId="urn:microsoft.com/office/officeart/2005/8/layout/pyramid2"/>
    <dgm:cxn modelId="{304A120A-DDB3-4180-9640-E7574B72F2FC}" type="presParOf" srcId="{23687C49-505A-421C-8423-C59B75484429}" destId="{955149D7-8264-4187-A75B-C893D521B886}" srcOrd="5" destOrd="0" presId="urn:microsoft.com/office/officeart/2005/8/layout/pyramid2"/>
    <dgm:cxn modelId="{CE7ADB53-9729-403F-877F-39179F98F717}" type="presParOf" srcId="{23687C49-505A-421C-8423-C59B75484429}" destId="{E316F9A3-00DF-4F39-9077-96C2B0320C4C}" srcOrd="6" destOrd="0" presId="urn:microsoft.com/office/officeart/2005/8/layout/pyramid2"/>
    <dgm:cxn modelId="{1BD7D2E4-C5C9-47F8-B580-56A9AEC60A76}" type="presParOf" srcId="{23687C49-505A-421C-8423-C59B75484429}" destId="{306FC7CE-48C1-4351-86F3-AF69E5885354}" srcOrd="7" destOrd="0" presId="urn:microsoft.com/office/officeart/2005/8/layout/pyramid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38210D5-7E83-4929-94A9-D917C4BC2EC7}" type="doc">
      <dgm:prSet loTypeId="urn:microsoft.com/office/officeart/2005/8/layout/cycle7" loCatId="cycle" qsTypeId="urn:microsoft.com/office/officeart/2005/8/quickstyle/simple1" qsCatId="simple" csTypeId="urn:microsoft.com/office/officeart/2005/8/colors/accent0_1" csCatId="mainScheme" phldr="1"/>
      <dgm:spPr/>
      <dgm:t>
        <a:bodyPr/>
        <a:lstStyle/>
        <a:p>
          <a:pPr rtl="1"/>
          <a:endParaRPr lang="ar-SA"/>
        </a:p>
      </dgm:t>
    </dgm:pt>
    <dgm:pt modelId="{95CDAE48-F0C7-4F32-86F9-617F2651F264}">
      <dgm:prSet phldrT="[نص]" custT="1"/>
      <dgm:spPr/>
      <dgm:t>
        <a:bodyPr/>
        <a:lstStyle/>
        <a:p>
          <a:pPr rtl="1"/>
          <a:r>
            <a:rPr lang="ar-EG" sz="1600" b="1">
              <a:latin typeface="Sakkal Majalla" panose="02000000000000000000" pitchFamily="2" charset="-78"/>
              <a:cs typeface="Sakkal Majalla" panose="02000000000000000000" pitchFamily="2" charset="-78"/>
            </a:rPr>
            <a:t>تحديد وتوثيق</a:t>
          </a:r>
          <a:endParaRPr lang="ar-SA" sz="1600" b="1">
            <a:latin typeface="Sakkal Majalla" panose="02000000000000000000" pitchFamily="2" charset="-78"/>
            <a:cs typeface="Sakkal Majalla" panose="02000000000000000000" pitchFamily="2" charset="-78"/>
          </a:endParaRPr>
        </a:p>
      </dgm:t>
    </dgm:pt>
    <dgm:pt modelId="{267A1B83-FFD0-408B-9B7B-18402B9FB955}" type="parTrans" cxnId="{A79FFFB9-83F5-4275-921A-8417125685E9}">
      <dgm:prSet/>
      <dgm:spPr/>
      <dgm:t>
        <a:bodyPr/>
        <a:lstStyle/>
        <a:p>
          <a:pPr rtl="1"/>
          <a:endParaRPr lang="ar-SA">
            <a:latin typeface="Sakkal Majalla" panose="02000000000000000000" pitchFamily="2" charset="-78"/>
            <a:cs typeface="Sakkal Majalla" panose="02000000000000000000" pitchFamily="2" charset="-78"/>
          </a:endParaRPr>
        </a:p>
      </dgm:t>
    </dgm:pt>
    <dgm:pt modelId="{E4D4BC76-3158-4D93-9054-339EC9FB3218}" type="sibTrans" cxnId="{A79FFFB9-83F5-4275-921A-8417125685E9}">
      <dgm:prSet/>
      <dgm:spPr/>
      <dgm:t>
        <a:bodyPr/>
        <a:lstStyle/>
        <a:p>
          <a:pPr rtl="1"/>
          <a:endParaRPr lang="ar-SA">
            <a:latin typeface="Sakkal Majalla" panose="02000000000000000000" pitchFamily="2" charset="-78"/>
            <a:cs typeface="Sakkal Majalla" panose="02000000000000000000" pitchFamily="2" charset="-78"/>
          </a:endParaRPr>
        </a:p>
      </dgm:t>
    </dgm:pt>
    <dgm:pt modelId="{CA17D032-1B25-49D3-B149-2ED353BF1560}">
      <dgm:prSet phldrT="[نص]" custT="1"/>
      <dgm:spPr/>
      <dgm:t>
        <a:bodyPr/>
        <a:lstStyle/>
        <a:p>
          <a:pPr rtl="1"/>
          <a:r>
            <a:rPr lang="ar-EG" sz="1600" b="1">
              <a:latin typeface="Sakkal Majalla" panose="02000000000000000000" pitchFamily="2" charset="-78"/>
              <a:cs typeface="Sakkal Majalla" panose="02000000000000000000" pitchFamily="2" charset="-78"/>
            </a:rPr>
            <a:t>تطوير</a:t>
          </a:r>
          <a:endParaRPr lang="ar-SA" sz="1600" b="1">
            <a:latin typeface="Sakkal Majalla" panose="02000000000000000000" pitchFamily="2" charset="-78"/>
            <a:cs typeface="Sakkal Majalla" panose="02000000000000000000" pitchFamily="2" charset="-78"/>
          </a:endParaRPr>
        </a:p>
      </dgm:t>
    </dgm:pt>
    <dgm:pt modelId="{10A38DE1-3F77-452C-8E70-E1A399F9465A}" type="parTrans" cxnId="{F8A5356D-61C3-4EB3-B1CB-287D1E219127}">
      <dgm:prSet/>
      <dgm:spPr/>
      <dgm:t>
        <a:bodyPr/>
        <a:lstStyle/>
        <a:p>
          <a:pPr rtl="1"/>
          <a:endParaRPr lang="ar-SA">
            <a:latin typeface="Sakkal Majalla" panose="02000000000000000000" pitchFamily="2" charset="-78"/>
            <a:cs typeface="Sakkal Majalla" panose="02000000000000000000" pitchFamily="2" charset="-78"/>
          </a:endParaRPr>
        </a:p>
      </dgm:t>
    </dgm:pt>
    <dgm:pt modelId="{983C90E7-CCA7-47CC-830C-FBC32ED84D26}" type="sibTrans" cxnId="{F8A5356D-61C3-4EB3-B1CB-287D1E219127}">
      <dgm:prSet/>
      <dgm:spPr/>
      <dgm:t>
        <a:bodyPr/>
        <a:lstStyle/>
        <a:p>
          <a:pPr rtl="1"/>
          <a:endParaRPr lang="ar-SA">
            <a:latin typeface="Sakkal Majalla" panose="02000000000000000000" pitchFamily="2" charset="-78"/>
            <a:cs typeface="Sakkal Majalla" panose="02000000000000000000" pitchFamily="2" charset="-78"/>
          </a:endParaRPr>
        </a:p>
      </dgm:t>
    </dgm:pt>
    <dgm:pt modelId="{F604D73B-EA7F-41A5-A7F6-99C7085612E7}">
      <dgm:prSet phldrT="[نص]" custT="1"/>
      <dgm:spPr/>
      <dgm:t>
        <a:bodyPr/>
        <a:lstStyle/>
        <a:p>
          <a:pPr rtl="1"/>
          <a:r>
            <a:rPr lang="ar-EG" sz="1600" b="1">
              <a:latin typeface="Sakkal Majalla" panose="02000000000000000000" pitchFamily="2" charset="-78"/>
              <a:cs typeface="Sakkal Majalla" panose="02000000000000000000" pitchFamily="2" charset="-78"/>
            </a:rPr>
            <a:t>تدريب</a:t>
          </a:r>
          <a:endParaRPr lang="ar-SA" sz="1600" b="1">
            <a:latin typeface="Sakkal Majalla" panose="02000000000000000000" pitchFamily="2" charset="-78"/>
            <a:cs typeface="Sakkal Majalla" panose="02000000000000000000" pitchFamily="2" charset="-78"/>
          </a:endParaRPr>
        </a:p>
      </dgm:t>
    </dgm:pt>
    <dgm:pt modelId="{3E596212-D5AF-4DBE-AF3E-2676CC6E155F}" type="parTrans" cxnId="{3A7BD74C-7893-481F-838F-143D7D91C298}">
      <dgm:prSet/>
      <dgm:spPr/>
      <dgm:t>
        <a:bodyPr/>
        <a:lstStyle/>
        <a:p>
          <a:pPr rtl="1"/>
          <a:endParaRPr lang="ar-SA">
            <a:latin typeface="Sakkal Majalla" panose="02000000000000000000" pitchFamily="2" charset="-78"/>
            <a:cs typeface="Sakkal Majalla" panose="02000000000000000000" pitchFamily="2" charset="-78"/>
          </a:endParaRPr>
        </a:p>
      </dgm:t>
    </dgm:pt>
    <dgm:pt modelId="{52C3401E-0AC2-4FA5-A529-10BD1E7FB2E1}" type="sibTrans" cxnId="{3A7BD74C-7893-481F-838F-143D7D91C298}">
      <dgm:prSet/>
      <dgm:spPr/>
      <dgm:t>
        <a:bodyPr/>
        <a:lstStyle/>
        <a:p>
          <a:pPr rtl="1"/>
          <a:endParaRPr lang="ar-SA">
            <a:latin typeface="Sakkal Majalla" panose="02000000000000000000" pitchFamily="2" charset="-78"/>
            <a:cs typeface="Sakkal Majalla" panose="02000000000000000000" pitchFamily="2" charset="-78"/>
          </a:endParaRPr>
        </a:p>
      </dgm:t>
    </dgm:pt>
    <dgm:pt modelId="{3431AAC9-283E-4C25-8EFC-C9ED38D280B4}" type="pres">
      <dgm:prSet presAssocID="{038210D5-7E83-4929-94A9-D917C4BC2EC7}" presName="Name0" presStyleCnt="0">
        <dgm:presLayoutVars>
          <dgm:dir/>
          <dgm:resizeHandles val="exact"/>
        </dgm:presLayoutVars>
      </dgm:prSet>
      <dgm:spPr/>
    </dgm:pt>
    <dgm:pt modelId="{50E97E53-AAE0-47DD-9459-282321D01BD4}" type="pres">
      <dgm:prSet presAssocID="{95CDAE48-F0C7-4F32-86F9-617F2651F264}" presName="node" presStyleLbl="node1" presStyleIdx="0" presStyleCnt="3">
        <dgm:presLayoutVars>
          <dgm:bulletEnabled val="1"/>
        </dgm:presLayoutVars>
      </dgm:prSet>
      <dgm:spPr/>
    </dgm:pt>
    <dgm:pt modelId="{1A3AB9A8-2EFB-4B68-9174-0EF076D64015}" type="pres">
      <dgm:prSet presAssocID="{E4D4BC76-3158-4D93-9054-339EC9FB3218}" presName="sibTrans" presStyleLbl="sibTrans2D1" presStyleIdx="0" presStyleCnt="3"/>
      <dgm:spPr/>
    </dgm:pt>
    <dgm:pt modelId="{184D374C-F1A6-4D05-9B6D-2CF9C1ED2524}" type="pres">
      <dgm:prSet presAssocID="{E4D4BC76-3158-4D93-9054-339EC9FB3218}" presName="connectorText" presStyleLbl="sibTrans2D1" presStyleIdx="0" presStyleCnt="3"/>
      <dgm:spPr/>
    </dgm:pt>
    <dgm:pt modelId="{E82029B6-785C-4BB5-83D0-ABFB9C88083B}" type="pres">
      <dgm:prSet presAssocID="{CA17D032-1B25-49D3-B149-2ED353BF1560}" presName="node" presStyleLbl="node1" presStyleIdx="1" presStyleCnt="3">
        <dgm:presLayoutVars>
          <dgm:bulletEnabled val="1"/>
        </dgm:presLayoutVars>
      </dgm:prSet>
      <dgm:spPr/>
    </dgm:pt>
    <dgm:pt modelId="{F7C12684-4F8F-4B9D-B522-7E593F803DCB}" type="pres">
      <dgm:prSet presAssocID="{983C90E7-CCA7-47CC-830C-FBC32ED84D26}" presName="sibTrans" presStyleLbl="sibTrans2D1" presStyleIdx="1" presStyleCnt="3"/>
      <dgm:spPr/>
    </dgm:pt>
    <dgm:pt modelId="{AAAE6D14-97F1-4322-ABF8-FDB5CE67EBDC}" type="pres">
      <dgm:prSet presAssocID="{983C90E7-CCA7-47CC-830C-FBC32ED84D26}" presName="connectorText" presStyleLbl="sibTrans2D1" presStyleIdx="1" presStyleCnt="3"/>
      <dgm:spPr/>
    </dgm:pt>
    <dgm:pt modelId="{17AE768B-21B9-4B7C-A525-D4B143A36708}" type="pres">
      <dgm:prSet presAssocID="{F604D73B-EA7F-41A5-A7F6-99C7085612E7}" presName="node" presStyleLbl="node1" presStyleIdx="2" presStyleCnt="3">
        <dgm:presLayoutVars>
          <dgm:bulletEnabled val="1"/>
        </dgm:presLayoutVars>
      </dgm:prSet>
      <dgm:spPr/>
    </dgm:pt>
    <dgm:pt modelId="{EB7A7303-45EC-4A9A-A182-6F7CBF713051}" type="pres">
      <dgm:prSet presAssocID="{52C3401E-0AC2-4FA5-A529-10BD1E7FB2E1}" presName="sibTrans" presStyleLbl="sibTrans2D1" presStyleIdx="2" presStyleCnt="3"/>
      <dgm:spPr/>
    </dgm:pt>
    <dgm:pt modelId="{5B548390-D4BB-417D-A243-58019E524B72}" type="pres">
      <dgm:prSet presAssocID="{52C3401E-0AC2-4FA5-A529-10BD1E7FB2E1}" presName="connectorText" presStyleLbl="sibTrans2D1" presStyleIdx="2" presStyleCnt="3"/>
      <dgm:spPr/>
    </dgm:pt>
  </dgm:ptLst>
  <dgm:cxnLst>
    <dgm:cxn modelId="{61A9B30F-03B6-4433-AE2A-E069AFA43FFA}" type="presOf" srcId="{983C90E7-CCA7-47CC-830C-FBC32ED84D26}" destId="{AAAE6D14-97F1-4322-ABF8-FDB5CE67EBDC}" srcOrd="1" destOrd="0" presId="urn:microsoft.com/office/officeart/2005/8/layout/cycle7"/>
    <dgm:cxn modelId="{8F39D019-BD48-43FE-A412-D1DAEFE8A2F5}" type="presOf" srcId="{52C3401E-0AC2-4FA5-A529-10BD1E7FB2E1}" destId="{EB7A7303-45EC-4A9A-A182-6F7CBF713051}" srcOrd="0" destOrd="0" presId="urn:microsoft.com/office/officeart/2005/8/layout/cycle7"/>
    <dgm:cxn modelId="{624E801D-0A30-4DE6-8A90-5C5CEE3B60E3}" type="presOf" srcId="{038210D5-7E83-4929-94A9-D917C4BC2EC7}" destId="{3431AAC9-283E-4C25-8EFC-C9ED38D280B4}" srcOrd="0" destOrd="0" presId="urn:microsoft.com/office/officeart/2005/8/layout/cycle7"/>
    <dgm:cxn modelId="{9A2DD020-1E59-49FC-8B94-44F7C41855C1}" type="presOf" srcId="{983C90E7-CCA7-47CC-830C-FBC32ED84D26}" destId="{F7C12684-4F8F-4B9D-B522-7E593F803DCB}" srcOrd="0" destOrd="0" presId="urn:microsoft.com/office/officeart/2005/8/layout/cycle7"/>
    <dgm:cxn modelId="{1B1D7A40-CADC-41B9-BBCA-6317CBC545C8}" type="presOf" srcId="{F604D73B-EA7F-41A5-A7F6-99C7085612E7}" destId="{17AE768B-21B9-4B7C-A525-D4B143A36708}" srcOrd="0" destOrd="0" presId="urn:microsoft.com/office/officeart/2005/8/layout/cycle7"/>
    <dgm:cxn modelId="{36B0AA49-F80F-4C7F-9577-4CA608675BFD}" type="presOf" srcId="{CA17D032-1B25-49D3-B149-2ED353BF1560}" destId="{E82029B6-785C-4BB5-83D0-ABFB9C88083B}" srcOrd="0" destOrd="0" presId="urn:microsoft.com/office/officeart/2005/8/layout/cycle7"/>
    <dgm:cxn modelId="{BE18EA4B-EE8F-4098-BD75-6D729C0A34B9}" type="presOf" srcId="{E4D4BC76-3158-4D93-9054-339EC9FB3218}" destId="{1A3AB9A8-2EFB-4B68-9174-0EF076D64015}" srcOrd="0" destOrd="0" presId="urn:microsoft.com/office/officeart/2005/8/layout/cycle7"/>
    <dgm:cxn modelId="{3A7BD74C-7893-481F-838F-143D7D91C298}" srcId="{038210D5-7E83-4929-94A9-D917C4BC2EC7}" destId="{F604D73B-EA7F-41A5-A7F6-99C7085612E7}" srcOrd="2" destOrd="0" parTransId="{3E596212-D5AF-4DBE-AF3E-2676CC6E155F}" sibTransId="{52C3401E-0AC2-4FA5-A529-10BD1E7FB2E1}"/>
    <dgm:cxn modelId="{F8A5356D-61C3-4EB3-B1CB-287D1E219127}" srcId="{038210D5-7E83-4929-94A9-D917C4BC2EC7}" destId="{CA17D032-1B25-49D3-B149-2ED353BF1560}" srcOrd="1" destOrd="0" parTransId="{10A38DE1-3F77-452C-8E70-E1A399F9465A}" sibTransId="{983C90E7-CCA7-47CC-830C-FBC32ED84D26}"/>
    <dgm:cxn modelId="{03C1AF81-E093-4A49-A428-0949C73F96B7}" type="presOf" srcId="{E4D4BC76-3158-4D93-9054-339EC9FB3218}" destId="{184D374C-F1A6-4D05-9B6D-2CF9C1ED2524}" srcOrd="1" destOrd="0" presId="urn:microsoft.com/office/officeart/2005/8/layout/cycle7"/>
    <dgm:cxn modelId="{7AF8F390-6E43-4B19-A2B0-33C361E1A9BC}" type="presOf" srcId="{95CDAE48-F0C7-4F32-86F9-617F2651F264}" destId="{50E97E53-AAE0-47DD-9459-282321D01BD4}" srcOrd="0" destOrd="0" presId="urn:microsoft.com/office/officeart/2005/8/layout/cycle7"/>
    <dgm:cxn modelId="{15719AA5-73F5-4C64-A28F-7B412009FE59}" type="presOf" srcId="{52C3401E-0AC2-4FA5-A529-10BD1E7FB2E1}" destId="{5B548390-D4BB-417D-A243-58019E524B72}" srcOrd="1" destOrd="0" presId="urn:microsoft.com/office/officeart/2005/8/layout/cycle7"/>
    <dgm:cxn modelId="{A79FFFB9-83F5-4275-921A-8417125685E9}" srcId="{038210D5-7E83-4929-94A9-D917C4BC2EC7}" destId="{95CDAE48-F0C7-4F32-86F9-617F2651F264}" srcOrd="0" destOrd="0" parTransId="{267A1B83-FFD0-408B-9B7B-18402B9FB955}" sibTransId="{E4D4BC76-3158-4D93-9054-339EC9FB3218}"/>
    <dgm:cxn modelId="{05992C5F-49FD-4AD2-952D-14BD6EF133BE}" type="presParOf" srcId="{3431AAC9-283E-4C25-8EFC-C9ED38D280B4}" destId="{50E97E53-AAE0-47DD-9459-282321D01BD4}" srcOrd="0" destOrd="0" presId="urn:microsoft.com/office/officeart/2005/8/layout/cycle7"/>
    <dgm:cxn modelId="{9F403B84-F58C-4966-9C5B-1A4EC2EAC6C2}" type="presParOf" srcId="{3431AAC9-283E-4C25-8EFC-C9ED38D280B4}" destId="{1A3AB9A8-2EFB-4B68-9174-0EF076D64015}" srcOrd="1" destOrd="0" presId="urn:microsoft.com/office/officeart/2005/8/layout/cycle7"/>
    <dgm:cxn modelId="{FAB4EFA1-890E-4DAF-A1B6-66E3F417EA7E}" type="presParOf" srcId="{1A3AB9A8-2EFB-4B68-9174-0EF076D64015}" destId="{184D374C-F1A6-4D05-9B6D-2CF9C1ED2524}" srcOrd="0" destOrd="0" presId="urn:microsoft.com/office/officeart/2005/8/layout/cycle7"/>
    <dgm:cxn modelId="{7CB9B696-D615-4B2F-BF95-0BD231B43521}" type="presParOf" srcId="{3431AAC9-283E-4C25-8EFC-C9ED38D280B4}" destId="{E82029B6-785C-4BB5-83D0-ABFB9C88083B}" srcOrd="2" destOrd="0" presId="urn:microsoft.com/office/officeart/2005/8/layout/cycle7"/>
    <dgm:cxn modelId="{3B5B2330-A2EE-40F5-9844-FF0E2897C453}" type="presParOf" srcId="{3431AAC9-283E-4C25-8EFC-C9ED38D280B4}" destId="{F7C12684-4F8F-4B9D-B522-7E593F803DCB}" srcOrd="3" destOrd="0" presId="urn:microsoft.com/office/officeart/2005/8/layout/cycle7"/>
    <dgm:cxn modelId="{775574A3-B2D9-4A28-BB3F-1C22FDB3D4B8}" type="presParOf" srcId="{F7C12684-4F8F-4B9D-B522-7E593F803DCB}" destId="{AAAE6D14-97F1-4322-ABF8-FDB5CE67EBDC}" srcOrd="0" destOrd="0" presId="urn:microsoft.com/office/officeart/2005/8/layout/cycle7"/>
    <dgm:cxn modelId="{8F4E25D1-E058-4F65-B959-EA9BAF82EBF5}" type="presParOf" srcId="{3431AAC9-283E-4C25-8EFC-C9ED38D280B4}" destId="{17AE768B-21B9-4B7C-A525-D4B143A36708}" srcOrd="4" destOrd="0" presId="urn:microsoft.com/office/officeart/2005/8/layout/cycle7"/>
    <dgm:cxn modelId="{08814FDE-DCD6-4AFD-9942-B5CCC8942729}" type="presParOf" srcId="{3431AAC9-283E-4C25-8EFC-C9ED38D280B4}" destId="{EB7A7303-45EC-4A9A-A182-6F7CBF713051}" srcOrd="5" destOrd="0" presId="urn:microsoft.com/office/officeart/2005/8/layout/cycle7"/>
    <dgm:cxn modelId="{400E125A-88EC-472A-B959-F27471663A6E}" type="presParOf" srcId="{EB7A7303-45EC-4A9A-A182-6F7CBF713051}" destId="{5B548390-D4BB-417D-A243-58019E524B72}" srcOrd="0" destOrd="0" presId="urn:microsoft.com/office/officeart/2005/8/layout/cycle7"/>
  </dgm:cxnLst>
  <dgm:bg>
    <a:solidFill>
      <a:schemeClr val="accent1">
        <a:lumMod val="20000"/>
        <a:lumOff val="80000"/>
      </a:schemeClr>
    </a:solidFill>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7A2F53D-5F3D-484E-8FB1-C488B23308F4}" type="doc">
      <dgm:prSet loTypeId="urn:microsoft.com/office/officeart/2008/layout/HorizontalMultiLevelHierarchy" loCatId="hierarchy" qsTypeId="urn:microsoft.com/office/officeart/2005/8/quickstyle/simple1" qsCatId="simple" csTypeId="urn:microsoft.com/office/officeart/2005/8/colors/accent0_1" csCatId="mainScheme" phldr="1"/>
      <dgm:spPr/>
      <dgm:t>
        <a:bodyPr/>
        <a:lstStyle/>
        <a:p>
          <a:pPr rtl="1"/>
          <a:endParaRPr lang="ar-SA"/>
        </a:p>
      </dgm:t>
    </dgm:pt>
    <dgm:pt modelId="{C1976CDD-50E4-47B7-A4E7-71C2EB620B0A}">
      <dgm:prSet phldrT="[نص]" custT="1"/>
      <dgm:spPr>
        <a:scene3d>
          <a:camera prst="orthographicFront">
            <a:rot lat="0" lon="0" rev="0"/>
          </a:camera>
          <a:lightRig rig="balanced" dir="t">
            <a:rot lat="0" lon="0" rev="8700000"/>
          </a:lightRig>
        </a:scene3d>
        <a:sp3d>
          <a:bevelT w="190500" h="38100"/>
        </a:sp3d>
      </dgm:spPr>
      <dgm:t>
        <a:bodyPr/>
        <a:lstStyle/>
        <a:p>
          <a:pPr rtl="1"/>
          <a:r>
            <a:rPr lang="ar-EG" sz="2000" b="1">
              <a:latin typeface="Sakkal Majalla" panose="02000000000000000000" pitchFamily="2" charset="-78"/>
              <a:cs typeface="Sakkal Majalla" panose="02000000000000000000" pitchFamily="2" charset="-78"/>
            </a:rPr>
            <a:t>مصادر الطاقة المتجددة</a:t>
          </a:r>
          <a:endParaRPr lang="ar-SA" sz="2000" b="1">
            <a:latin typeface="Sakkal Majalla" panose="02000000000000000000" pitchFamily="2" charset="-78"/>
            <a:cs typeface="Sakkal Majalla" panose="02000000000000000000" pitchFamily="2" charset="-78"/>
          </a:endParaRPr>
        </a:p>
      </dgm:t>
    </dgm:pt>
    <dgm:pt modelId="{23628441-26D2-484F-9355-B9D47BE1EE27}" type="parTrans" cxnId="{92EC3416-9667-406A-9245-355A2D86D9FC}">
      <dgm:prSet/>
      <dgm:spPr/>
      <dgm:t>
        <a:bodyPr/>
        <a:lstStyle/>
        <a:p>
          <a:pPr rtl="1"/>
          <a:endParaRPr lang="ar-SA">
            <a:latin typeface="Sakkal Majalla" panose="02000000000000000000" pitchFamily="2" charset="-78"/>
            <a:cs typeface="Sakkal Majalla" panose="02000000000000000000" pitchFamily="2" charset="-78"/>
          </a:endParaRPr>
        </a:p>
      </dgm:t>
    </dgm:pt>
    <dgm:pt modelId="{B1C9A7A8-10BA-4C5D-AEC8-7D6AD6564A5D}" type="sibTrans" cxnId="{92EC3416-9667-406A-9245-355A2D86D9FC}">
      <dgm:prSet/>
      <dgm:spPr/>
      <dgm:t>
        <a:bodyPr/>
        <a:lstStyle/>
        <a:p>
          <a:pPr rtl="1"/>
          <a:endParaRPr lang="ar-SA">
            <a:latin typeface="Sakkal Majalla" panose="02000000000000000000" pitchFamily="2" charset="-78"/>
            <a:cs typeface="Sakkal Majalla" panose="02000000000000000000" pitchFamily="2" charset="-78"/>
          </a:endParaRPr>
        </a:p>
      </dgm:t>
    </dgm:pt>
    <dgm:pt modelId="{D9CE8BA1-7E28-42DF-807A-CC5D14841348}">
      <dgm:prSet phldrT="[نص]" custT="1"/>
      <dgm:spPr/>
      <dgm:t>
        <a:bodyPr/>
        <a:lstStyle/>
        <a:p>
          <a:pPr rtl="1"/>
          <a:r>
            <a:rPr lang="ar-EG" sz="1800" b="1">
              <a:latin typeface="Sakkal Majalla" panose="02000000000000000000" pitchFamily="2" charset="-78"/>
              <a:cs typeface="Sakkal Majalla" panose="02000000000000000000" pitchFamily="2" charset="-78"/>
            </a:rPr>
            <a:t>الطاقة الشمسية</a:t>
          </a:r>
          <a:endParaRPr lang="ar-SA" sz="1800" b="1">
            <a:latin typeface="Sakkal Majalla" panose="02000000000000000000" pitchFamily="2" charset="-78"/>
            <a:cs typeface="Sakkal Majalla" panose="02000000000000000000" pitchFamily="2" charset="-78"/>
          </a:endParaRPr>
        </a:p>
      </dgm:t>
    </dgm:pt>
    <dgm:pt modelId="{95C638CF-BD16-4FB4-A272-11674342FE60}" type="parTrans" cxnId="{C3F5EFB7-2676-4AEA-9016-178FB2C54EA6}">
      <dgm:prSet/>
      <dgm:spPr/>
      <dgm:t>
        <a:bodyPr/>
        <a:lstStyle/>
        <a:p>
          <a:pPr rtl="1"/>
          <a:endParaRPr lang="ar-SA">
            <a:latin typeface="Sakkal Majalla" panose="02000000000000000000" pitchFamily="2" charset="-78"/>
            <a:cs typeface="Sakkal Majalla" panose="02000000000000000000" pitchFamily="2" charset="-78"/>
          </a:endParaRPr>
        </a:p>
      </dgm:t>
    </dgm:pt>
    <dgm:pt modelId="{B270FDD9-2655-4048-AC73-435AC200938D}" type="sibTrans" cxnId="{C3F5EFB7-2676-4AEA-9016-178FB2C54EA6}">
      <dgm:prSet/>
      <dgm:spPr/>
      <dgm:t>
        <a:bodyPr/>
        <a:lstStyle/>
        <a:p>
          <a:pPr rtl="1"/>
          <a:endParaRPr lang="ar-SA">
            <a:latin typeface="Sakkal Majalla" panose="02000000000000000000" pitchFamily="2" charset="-78"/>
            <a:cs typeface="Sakkal Majalla" panose="02000000000000000000" pitchFamily="2" charset="-78"/>
          </a:endParaRPr>
        </a:p>
      </dgm:t>
    </dgm:pt>
    <dgm:pt modelId="{99E21F0A-A418-404A-9F23-F6DC64894457}">
      <dgm:prSet phldrT="[نص]" custT="1"/>
      <dgm:spPr/>
      <dgm:t>
        <a:bodyPr/>
        <a:lstStyle/>
        <a:p>
          <a:pPr rtl="1"/>
          <a:r>
            <a:rPr lang="ar-EG" sz="1800" b="1">
              <a:latin typeface="Sakkal Majalla" panose="02000000000000000000" pitchFamily="2" charset="-78"/>
              <a:cs typeface="Sakkal Majalla" panose="02000000000000000000" pitchFamily="2" charset="-78"/>
            </a:rPr>
            <a:t>طاقة الرياح</a:t>
          </a:r>
          <a:endParaRPr lang="ar-SA" sz="1800" b="1">
            <a:latin typeface="Sakkal Majalla" panose="02000000000000000000" pitchFamily="2" charset="-78"/>
            <a:cs typeface="Sakkal Majalla" panose="02000000000000000000" pitchFamily="2" charset="-78"/>
          </a:endParaRPr>
        </a:p>
      </dgm:t>
    </dgm:pt>
    <dgm:pt modelId="{7366ED26-C250-4100-A990-87459F17EF71}" type="parTrans" cxnId="{C5FDDA04-B89D-436A-94FC-89F8CB59264A}">
      <dgm:prSet/>
      <dgm:spPr/>
      <dgm:t>
        <a:bodyPr/>
        <a:lstStyle/>
        <a:p>
          <a:pPr rtl="1"/>
          <a:endParaRPr lang="ar-SA">
            <a:latin typeface="Sakkal Majalla" panose="02000000000000000000" pitchFamily="2" charset="-78"/>
            <a:cs typeface="Sakkal Majalla" panose="02000000000000000000" pitchFamily="2" charset="-78"/>
          </a:endParaRPr>
        </a:p>
      </dgm:t>
    </dgm:pt>
    <dgm:pt modelId="{FB02060C-5CBD-42FB-B6B2-5D98265F7E91}" type="sibTrans" cxnId="{C5FDDA04-B89D-436A-94FC-89F8CB59264A}">
      <dgm:prSet/>
      <dgm:spPr/>
      <dgm:t>
        <a:bodyPr/>
        <a:lstStyle/>
        <a:p>
          <a:pPr rtl="1"/>
          <a:endParaRPr lang="ar-SA">
            <a:latin typeface="Sakkal Majalla" panose="02000000000000000000" pitchFamily="2" charset="-78"/>
            <a:cs typeface="Sakkal Majalla" panose="02000000000000000000" pitchFamily="2" charset="-78"/>
          </a:endParaRPr>
        </a:p>
      </dgm:t>
    </dgm:pt>
    <dgm:pt modelId="{5436035B-2826-43CE-B4B1-FB6653F58120}">
      <dgm:prSet phldrT="[نص]" custT="1"/>
      <dgm:spPr/>
      <dgm:t>
        <a:bodyPr/>
        <a:lstStyle/>
        <a:p>
          <a:pPr rtl="1"/>
          <a:r>
            <a:rPr lang="ar-EG" sz="1800" b="1">
              <a:latin typeface="Sakkal Majalla" panose="02000000000000000000" pitchFamily="2" charset="-78"/>
              <a:cs typeface="Sakkal Majalla" panose="02000000000000000000" pitchFamily="2" charset="-78"/>
            </a:rPr>
            <a:t>الطاقة الكهرومائية</a:t>
          </a:r>
          <a:endParaRPr lang="ar-SA" sz="1800" b="1">
            <a:latin typeface="Sakkal Majalla" panose="02000000000000000000" pitchFamily="2" charset="-78"/>
            <a:cs typeface="Sakkal Majalla" panose="02000000000000000000" pitchFamily="2" charset="-78"/>
          </a:endParaRPr>
        </a:p>
      </dgm:t>
    </dgm:pt>
    <dgm:pt modelId="{1DD25513-E91D-48E2-8967-A139F614F9FB}" type="parTrans" cxnId="{69C191E1-7833-43A8-993A-386E91BBD274}">
      <dgm:prSet/>
      <dgm:spPr/>
      <dgm:t>
        <a:bodyPr/>
        <a:lstStyle/>
        <a:p>
          <a:pPr rtl="1"/>
          <a:endParaRPr lang="ar-SA">
            <a:latin typeface="Sakkal Majalla" panose="02000000000000000000" pitchFamily="2" charset="-78"/>
            <a:cs typeface="Sakkal Majalla" panose="02000000000000000000" pitchFamily="2" charset="-78"/>
          </a:endParaRPr>
        </a:p>
      </dgm:t>
    </dgm:pt>
    <dgm:pt modelId="{DD23C063-BF34-4BD3-8DAB-AF9B0D5013AD}" type="sibTrans" cxnId="{69C191E1-7833-43A8-993A-386E91BBD274}">
      <dgm:prSet/>
      <dgm:spPr/>
      <dgm:t>
        <a:bodyPr/>
        <a:lstStyle/>
        <a:p>
          <a:pPr rtl="1"/>
          <a:endParaRPr lang="ar-SA">
            <a:latin typeface="Sakkal Majalla" panose="02000000000000000000" pitchFamily="2" charset="-78"/>
            <a:cs typeface="Sakkal Majalla" panose="02000000000000000000" pitchFamily="2" charset="-78"/>
          </a:endParaRPr>
        </a:p>
      </dgm:t>
    </dgm:pt>
    <dgm:pt modelId="{6D28FD78-021E-480F-9375-424983096C9A}" type="pres">
      <dgm:prSet presAssocID="{57A2F53D-5F3D-484E-8FB1-C488B23308F4}" presName="Name0" presStyleCnt="0">
        <dgm:presLayoutVars>
          <dgm:chPref val="1"/>
          <dgm:dir/>
          <dgm:animOne val="branch"/>
          <dgm:animLvl val="lvl"/>
          <dgm:resizeHandles val="exact"/>
        </dgm:presLayoutVars>
      </dgm:prSet>
      <dgm:spPr/>
    </dgm:pt>
    <dgm:pt modelId="{145ED152-2BA2-4925-BFA5-56ACF9A2B1B4}" type="pres">
      <dgm:prSet presAssocID="{C1976CDD-50E4-47B7-A4E7-71C2EB620B0A}" presName="root1" presStyleCnt="0"/>
      <dgm:spPr/>
    </dgm:pt>
    <dgm:pt modelId="{5A75DB22-A7E7-4C02-B792-32E73A0A8573}" type="pres">
      <dgm:prSet presAssocID="{C1976CDD-50E4-47B7-A4E7-71C2EB620B0A}" presName="LevelOneTextNode" presStyleLbl="node0" presStyleIdx="0" presStyleCnt="1">
        <dgm:presLayoutVars>
          <dgm:chPref val="3"/>
        </dgm:presLayoutVars>
      </dgm:prSet>
      <dgm:spPr/>
    </dgm:pt>
    <dgm:pt modelId="{7416AC60-6FAF-4833-A1DB-4D27C96EC853}" type="pres">
      <dgm:prSet presAssocID="{C1976CDD-50E4-47B7-A4E7-71C2EB620B0A}" presName="level2hierChild" presStyleCnt="0"/>
      <dgm:spPr/>
    </dgm:pt>
    <dgm:pt modelId="{CBF6D939-9E78-4A5A-B135-4262A1B6E458}" type="pres">
      <dgm:prSet presAssocID="{95C638CF-BD16-4FB4-A272-11674342FE60}" presName="conn2-1" presStyleLbl="parChTrans1D2" presStyleIdx="0" presStyleCnt="3"/>
      <dgm:spPr/>
    </dgm:pt>
    <dgm:pt modelId="{EC2732C6-A2E2-4BED-93A0-3737319F24C9}" type="pres">
      <dgm:prSet presAssocID="{95C638CF-BD16-4FB4-A272-11674342FE60}" presName="connTx" presStyleLbl="parChTrans1D2" presStyleIdx="0" presStyleCnt="3"/>
      <dgm:spPr/>
    </dgm:pt>
    <dgm:pt modelId="{BBF77416-9028-44B5-B3AE-00E460EEF12F}" type="pres">
      <dgm:prSet presAssocID="{D9CE8BA1-7E28-42DF-807A-CC5D14841348}" presName="root2" presStyleCnt="0"/>
      <dgm:spPr/>
    </dgm:pt>
    <dgm:pt modelId="{4AA979A1-05F7-4139-871A-20CCF19A006A}" type="pres">
      <dgm:prSet presAssocID="{D9CE8BA1-7E28-42DF-807A-CC5D14841348}" presName="LevelTwoTextNode" presStyleLbl="node2" presStyleIdx="0" presStyleCnt="3">
        <dgm:presLayoutVars>
          <dgm:chPref val="3"/>
        </dgm:presLayoutVars>
      </dgm:prSet>
      <dgm:spPr/>
    </dgm:pt>
    <dgm:pt modelId="{2E3267E3-A7F9-4594-BF4A-9DD61E0DC135}" type="pres">
      <dgm:prSet presAssocID="{D9CE8BA1-7E28-42DF-807A-CC5D14841348}" presName="level3hierChild" presStyleCnt="0"/>
      <dgm:spPr/>
    </dgm:pt>
    <dgm:pt modelId="{60CF16BD-C0EF-421A-AC33-148C5075A361}" type="pres">
      <dgm:prSet presAssocID="{7366ED26-C250-4100-A990-87459F17EF71}" presName="conn2-1" presStyleLbl="parChTrans1D2" presStyleIdx="1" presStyleCnt="3"/>
      <dgm:spPr/>
    </dgm:pt>
    <dgm:pt modelId="{256A11D9-D6C4-43BF-B32D-E3036ECFEA5D}" type="pres">
      <dgm:prSet presAssocID="{7366ED26-C250-4100-A990-87459F17EF71}" presName="connTx" presStyleLbl="parChTrans1D2" presStyleIdx="1" presStyleCnt="3"/>
      <dgm:spPr/>
    </dgm:pt>
    <dgm:pt modelId="{E768188B-8777-4073-AD6F-3775746F2997}" type="pres">
      <dgm:prSet presAssocID="{99E21F0A-A418-404A-9F23-F6DC64894457}" presName="root2" presStyleCnt="0"/>
      <dgm:spPr/>
    </dgm:pt>
    <dgm:pt modelId="{62050C9E-3E48-4114-841C-B3FF035C926C}" type="pres">
      <dgm:prSet presAssocID="{99E21F0A-A418-404A-9F23-F6DC64894457}" presName="LevelTwoTextNode" presStyleLbl="node2" presStyleIdx="1" presStyleCnt="3">
        <dgm:presLayoutVars>
          <dgm:chPref val="3"/>
        </dgm:presLayoutVars>
      </dgm:prSet>
      <dgm:spPr/>
    </dgm:pt>
    <dgm:pt modelId="{F27DFAE2-CF6D-491B-B209-C889C5E30207}" type="pres">
      <dgm:prSet presAssocID="{99E21F0A-A418-404A-9F23-F6DC64894457}" presName="level3hierChild" presStyleCnt="0"/>
      <dgm:spPr/>
    </dgm:pt>
    <dgm:pt modelId="{DB0E3B98-CDEF-4B84-AE94-564DF9E2136D}" type="pres">
      <dgm:prSet presAssocID="{1DD25513-E91D-48E2-8967-A139F614F9FB}" presName="conn2-1" presStyleLbl="parChTrans1D2" presStyleIdx="2" presStyleCnt="3"/>
      <dgm:spPr/>
    </dgm:pt>
    <dgm:pt modelId="{DAFC2D57-E2CB-4A66-ACEB-3BDDFF582F1A}" type="pres">
      <dgm:prSet presAssocID="{1DD25513-E91D-48E2-8967-A139F614F9FB}" presName="connTx" presStyleLbl="parChTrans1D2" presStyleIdx="2" presStyleCnt="3"/>
      <dgm:spPr/>
    </dgm:pt>
    <dgm:pt modelId="{BD6154BB-0E92-4C3F-A34F-219AF566F982}" type="pres">
      <dgm:prSet presAssocID="{5436035B-2826-43CE-B4B1-FB6653F58120}" presName="root2" presStyleCnt="0"/>
      <dgm:spPr/>
    </dgm:pt>
    <dgm:pt modelId="{43833A1A-FA00-4337-B436-7629BCC89D45}" type="pres">
      <dgm:prSet presAssocID="{5436035B-2826-43CE-B4B1-FB6653F58120}" presName="LevelTwoTextNode" presStyleLbl="node2" presStyleIdx="2" presStyleCnt="3" custLinFactNeighborX="7577" custLinFactNeighborY="26095">
        <dgm:presLayoutVars>
          <dgm:chPref val="3"/>
        </dgm:presLayoutVars>
      </dgm:prSet>
      <dgm:spPr/>
    </dgm:pt>
    <dgm:pt modelId="{44726EAD-A86F-4BA3-B266-01ADE6820C46}" type="pres">
      <dgm:prSet presAssocID="{5436035B-2826-43CE-B4B1-FB6653F58120}" presName="level3hierChild" presStyleCnt="0"/>
      <dgm:spPr/>
    </dgm:pt>
  </dgm:ptLst>
  <dgm:cxnLst>
    <dgm:cxn modelId="{C5FDDA04-B89D-436A-94FC-89F8CB59264A}" srcId="{C1976CDD-50E4-47B7-A4E7-71C2EB620B0A}" destId="{99E21F0A-A418-404A-9F23-F6DC64894457}" srcOrd="1" destOrd="0" parTransId="{7366ED26-C250-4100-A990-87459F17EF71}" sibTransId="{FB02060C-5CBD-42FB-B6B2-5D98265F7E91}"/>
    <dgm:cxn modelId="{92EC3416-9667-406A-9245-355A2D86D9FC}" srcId="{57A2F53D-5F3D-484E-8FB1-C488B23308F4}" destId="{C1976CDD-50E4-47B7-A4E7-71C2EB620B0A}" srcOrd="0" destOrd="0" parTransId="{23628441-26D2-484F-9355-B9D47BE1EE27}" sibTransId="{B1C9A7A8-10BA-4C5D-AEC8-7D6AD6564A5D}"/>
    <dgm:cxn modelId="{1D38351C-8BFC-4615-B4CB-3F6C9B549ACA}" type="presOf" srcId="{95C638CF-BD16-4FB4-A272-11674342FE60}" destId="{CBF6D939-9E78-4A5A-B135-4262A1B6E458}" srcOrd="0" destOrd="0" presId="urn:microsoft.com/office/officeart/2008/layout/HorizontalMultiLevelHierarchy"/>
    <dgm:cxn modelId="{0D717D27-0D6D-4317-8A22-23B8778564A0}" type="presOf" srcId="{D9CE8BA1-7E28-42DF-807A-CC5D14841348}" destId="{4AA979A1-05F7-4139-871A-20CCF19A006A}" srcOrd="0" destOrd="0" presId="urn:microsoft.com/office/officeart/2008/layout/HorizontalMultiLevelHierarchy"/>
    <dgm:cxn modelId="{13BCE46E-E5DF-4975-BC5A-BC993830ED3B}" type="presOf" srcId="{1DD25513-E91D-48E2-8967-A139F614F9FB}" destId="{DAFC2D57-E2CB-4A66-ACEB-3BDDFF582F1A}" srcOrd="1" destOrd="0" presId="urn:microsoft.com/office/officeart/2008/layout/HorizontalMultiLevelHierarchy"/>
    <dgm:cxn modelId="{9006B651-3126-4B99-8FFE-976883CED019}" type="presOf" srcId="{7366ED26-C250-4100-A990-87459F17EF71}" destId="{60CF16BD-C0EF-421A-AC33-148C5075A361}" srcOrd="0" destOrd="0" presId="urn:microsoft.com/office/officeart/2008/layout/HorizontalMultiLevelHierarchy"/>
    <dgm:cxn modelId="{DDD9247B-951B-4374-BABF-47B458DE909B}" type="presOf" srcId="{5436035B-2826-43CE-B4B1-FB6653F58120}" destId="{43833A1A-FA00-4337-B436-7629BCC89D45}" srcOrd="0" destOrd="0" presId="urn:microsoft.com/office/officeart/2008/layout/HorizontalMultiLevelHierarchy"/>
    <dgm:cxn modelId="{1BA7AA7B-7B36-40DD-9F54-2BE9CFC633FE}" type="presOf" srcId="{99E21F0A-A418-404A-9F23-F6DC64894457}" destId="{62050C9E-3E48-4114-841C-B3FF035C926C}" srcOrd="0" destOrd="0" presId="urn:microsoft.com/office/officeart/2008/layout/HorizontalMultiLevelHierarchy"/>
    <dgm:cxn modelId="{157C5584-14A9-4586-9D1B-0EE7C989D6D2}" type="presOf" srcId="{57A2F53D-5F3D-484E-8FB1-C488B23308F4}" destId="{6D28FD78-021E-480F-9375-424983096C9A}" srcOrd="0" destOrd="0" presId="urn:microsoft.com/office/officeart/2008/layout/HorizontalMultiLevelHierarchy"/>
    <dgm:cxn modelId="{A193B58C-026D-44F5-B468-6C94834BB2F6}" type="presOf" srcId="{7366ED26-C250-4100-A990-87459F17EF71}" destId="{256A11D9-D6C4-43BF-B32D-E3036ECFEA5D}" srcOrd="1" destOrd="0" presId="urn:microsoft.com/office/officeart/2008/layout/HorizontalMultiLevelHierarchy"/>
    <dgm:cxn modelId="{15C706A5-FCBA-4834-8117-885319A3BBB9}" type="presOf" srcId="{95C638CF-BD16-4FB4-A272-11674342FE60}" destId="{EC2732C6-A2E2-4BED-93A0-3737319F24C9}" srcOrd="1" destOrd="0" presId="urn:microsoft.com/office/officeart/2008/layout/HorizontalMultiLevelHierarchy"/>
    <dgm:cxn modelId="{CD0B00B2-6B02-451F-BDFE-9112A423E5BD}" type="presOf" srcId="{C1976CDD-50E4-47B7-A4E7-71C2EB620B0A}" destId="{5A75DB22-A7E7-4C02-B792-32E73A0A8573}" srcOrd="0" destOrd="0" presId="urn:microsoft.com/office/officeart/2008/layout/HorizontalMultiLevelHierarchy"/>
    <dgm:cxn modelId="{C3F5EFB7-2676-4AEA-9016-178FB2C54EA6}" srcId="{C1976CDD-50E4-47B7-A4E7-71C2EB620B0A}" destId="{D9CE8BA1-7E28-42DF-807A-CC5D14841348}" srcOrd="0" destOrd="0" parTransId="{95C638CF-BD16-4FB4-A272-11674342FE60}" sibTransId="{B270FDD9-2655-4048-AC73-435AC200938D}"/>
    <dgm:cxn modelId="{80EB50D0-9B1C-439E-AD59-7D93A825BCAD}" type="presOf" srcId="{1DD25513-E91D-48E2-8967-A139F614F9FB}" destId="{DB0E3B98-CDEF-4B84-AE94-564DF9E2136D}" srcOrd="0" destOrd="0" presId="urn:microsoft.com/office/officeart/2008/layout/HorizontalMultiLevelHierarchy"/>
    <dgm:cxn modelId="{69C191E1-7833-43A8-993A-386E91BBD274}" srcId="{C1976CDD-50E4-47B7-A4E7-71C2EB620B0A}" destId="{5436035B-2826-43CE-B4B1-FB6653F58120}" srcOrd="2" destOrd="0" parTransId="{1DD25513-E91D-48E2-8967-A139F614F9FB}" sibTransId="{DD23C063-BF34-4BD3-8DAB-AF9B0D5013AD}"/>
    <dgm:cxn modelId="{5E4F4FEF-CFC8-45AF-B84C-CC970D324841}" type="presParOf" srcId="{6D28FD78-021E-480F-9375-424983096C9A}" destId="{145ED152-2BA2-4925-BFA5-56ACF9A2B1B4}" srcOrd="0" destOrd="0" presId="urn:microsoft.com/office/officeart/2008/layout/HorizontalMultiLevelHierarchy"/>
    <dgm:cxn modelId="{706EF86D-ED1E-48CC-B33D-23FD1718E848}" type="presParOf" srcId="{145ED152-2BA2-4925-BFA5-56ACF9A2B1B4}" destId="{5A75DB22-A7E7-4C02-B792-32E73A0A8573}" srcOrd="0" destOrd="0" presId="urn:microsoft.com/office/officeart/2008/layout/HorizontalMultiLevelHierarchy"/>
    <dgm:cxn modelId="{534D130D-4C7A-42E3-A86E-6BB763A63995}" type="presParOf" srcId="{145ED152-2BA2-4925-BFA5-56ACF9A2B1B4}" destId="{7416AC60-6FAF-4833-A1DB-4D27C96EC853}" srcOrd="1" destOrd="0" presId="urn:microsoft.com/office/officeart/2008/layout/HorizontalMultiLevelHierarchy"/>
    <dgm:cxn modelId="{EF4DBBAA-CD9A-45FB-970F-633A1CCE83C9}" type="presParOf" srcId="{7416AC60-6FAF-4833-A1DB-4D27C96EC853}" destId="{CBF6D939-9E78-4A5A-B135-4262A1B6E458}" srcOrd="0" destOrd="0" presId="urn:microsoft.com/office/officeart/2008/layout/HorizontalMultiLevelHierarchy"/>
    <dgm:cxn modelId="{857F8F34-9DED-47F5-910F-77699323F5B6}" type="presParOf" srcId="{CBF6D939-9E78-4A5A-B135-4262A1B6E458}" destId="{EC2732C6-A2E2-4BED-93A0-3737319F24C9}" srcOrd="0" destOrd="0" presId="urn:microsoft.com/office/officeart/2008/layout/HorizontalMultiLevelHierarchy"/>
    <dgm:cxn modelId="{E363E1AE-4DF0-4ED3-8179-D2E07987662C}" type="presParOf" srcId="{7416AC60-6FAF-4833-A1DB-4D27C96EC853}" destId="{BBF77416-9028-44B5-B3AE-00E460EEF12F}" srcOrd="1" destOrd="0" presId="urn:microsoft.com/office/officeart/2008/layout/HorizontalMultiLevelHierarchy"/>
    <dgm:cxn modelId="{825464AC-B1E3-4799-8549-3D093774B376}" type="presParOf" srcId="{BBF77416-9028-44B5-B3AE-00E460EEF12F}" destId="{4AA979A1-05F7-4139-871A-20CCF19A006A}" srcOrd="0" destOrd="0" presId="urn:microsoft.com/office/officeart/2008/layout/HorizontalMultiLevelHierarchy"/>
    <dgm:cxn modelId="{C9160CAC-F007-4E06-9805-1DA59AA3EF66}" type="presParOf" srcId="{BBF77416-9028-44B5-B3AE-00E460EEF12F}" destId="{2E3267E3-A7F9-4594-BF4A-9DD61E0DC135}" srcOrd="1" destOrd="0" presId="urn:microsoft.com/office/officeart/2008/layout/HorizontalMultiLevelHierarchy"/>
    <dgm:cxn modelId="{9027F613-C5F1-405E-8935-3C0D8352EBF9}" type="presParOf" srcId="{7416AC60-6FAF-4833-A1DB-4D27C96EC853}" destId="{60CF16BD-C0EF-421A-AC33-148C5075A361}" srcOrd="2" destOrd="0" presId="urn:microsoft.com/office/officeart/2008/layout/HorizontalMultiLevelHierarchy"/>
    <dgm:cxn modelId="{4B6A9350-7A80-4D7A-BA92-B32B1DDC54BC}" type="presParOf" srcId="{60CF16BD-C0EF-421A-AC33-148C5075A361}" destId="{256A11D9-D6C4-43BF-B32D-E3036ECFEA5D}" srcOrd="0" destOrd="0" presId="urn:microsoft.com/office/officeart/2008/layout/HorizontalMultiLevelHierarchy"/>
    <dgm:cxn modelId="{B0EBC9A8-B804-4C30-9249-1BFBD2B9E591}" type="presParOf" srcId="{7416AC60-6FAF-4833-A1DB-4D27C96EC853}" destId="{E768188B-8777-4073-AD6F-3775746F2997}" srcOrd="3" destOrd="0" presId="urn:microsoft.com/office/officeart/2008/layout/HorizontalMultiLevelHierarchy"/>
    <dgm:cxn modelId="{98BB955F-6B15-4E85-ACA1-2D209BB0F77E}" type="presParOf" srcId="{E768188B-8777-4073-AD6F-3775746F2997}" destId="{62050C9E-3E48-4114-841C-B3FF035C926C}" srcOrd="0" destOrd="0" presId="urn:microsoft.com/office/officeart/2008/layout/HorizontalMultiLevelHierarchy"/>
    <dgm:cxn modelId="{E0EEE30A-BCC0-4801-9F4A-AC607E2CA54D}" type="presParOf" srcId="{E768188B-8777-4073-AD6F-3775746F2997}" destId="{F27DFAE2-CF6D-491B-B209-C889C5E30207}" srcOrd="1" destOrd="0" presId="urn:microsoft.com/office/officeart/2008/layout/HorizontalMultiLevelHierarchy"/>
    <dgm:cxn modelId="{BE2DFBE5-DA28-4969-8DC2-E3723FCA8588}" type="presParOf" srcId="{7416AC60-6FAF-4833-A1DB-4D27C96EC853}" destId="{DB0E3B98-CDEF-4B84-AE94-564DF9E2136D}" srcOrd="4" destOrd="0" presId="urn:microsoft.com/office/officeart/2008/layout/HorizontalMultiLevelHierarchy"/>
    <dgm:cxn modelId="{089D656D-1F10-4FF0-B586-0F9172D40831}" type="presParOf" srcId="{DB0E3B98-CDEF-4B84-AE94-564DF9E2136D}" destId="{DAFC2D57-E2CB-4A66-ACEB-3BDDFF582F1A}" srcOrd="0" destOrd="0" presId="urn:microsoft.com/office/officeart/2008/layout/HorizontalMultiLevelHierarchy"/>
    <dgm:cxn modelId="{74EDFD71-D1F2-4B4C-A649-53AF09522449}" type="presParOf" srcId="{7416AC60-6FAF-4833-A1DB-4D27C96EC853}" destId="{BD6154BB-0E92-4C3F-A34F-219AF566F982}" srcOrd="5" destOrd="0" presId="urn:microsoft.com/office/officeart/2008/layout/HorizontalMultiLevelHierarchy"/>
    <dgm:cxn modelId="{642C665E-A4DF-4FA0-B6ED-0F1CC539EEF5}" type="presParOf" srcId="{BD6154BB-0E92-4C3F-A34F-219AF566F982}" destId="{43833A1A-FA00-4337-B436-7629BCC89D45}" srcOrd="0" destOrd="0" presId="urn:microsoft.com/office/officeart/2008/layout/HorizontalMultiLevelHierarchy"/>
    <dgm:cxn modelId="{DE952E95-499B-44E8-BEC9-983D9E732443}" type="presParOf" srcId="{BD6154BB-0E92-4C3F-A34F-219AF566F982}" destId="{44726EAD-A86F-4BA3-B266-01ADE6820C46}" srcOrd="1" destOrd="0" presId="urn:microsoft.com/office/officeart/2008/layout/HorizontalMultiLevelHierarchy"/>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23B02E8-BD75-4B26-90E3-4AF443F8B932}" type="doc">
      <dgm:prSet loTypeId="urn:microsoft.com/office/officeart/2005/8/layout/radial6" loCatId="cycle" qsTypeId="urn:microsoft.com/office/officeart/2005/8/quickstyle/simple1" qsCatId="simple" csTypeId="urn:microsoft.com/office/officeart/2005/8/colors/accent0_1" csCatId="mainScheme" phldr="1"/>
      <dgm:spPr/>
      <dgm:t>
        <a:bodyPr/>
        <a:lstStyle/>
        <a:p>
          <a:pPr rtl="1"/>
          <a:endParaRPr lang="ar-SA"/>
        </a:p>
      </dgm:t>
    </dgm:pt>
    <dgm:pt modelId="{CD6377F6-E298-4629-860F-5F1E51120373}">
      <dgm:prSet phldrT="[نص]"/>
      <dgm:spPr/>
      <dgm:t>
        <a:bodyPr/>
        <a:lstStyle/>
        <a:p>
          <a:pPr rtl="1"/>
          <a:r>
            <a:rPr lang="ar-EG" b="1">
              <a:latin typeface="Sakkal Majalla" panose="02000000000000000000" pitchFamily="2" charset="-78"/>
              <a:cs typeface="Sakkal Majalla" panose="02000000000000000000" pitchFamily="2" charset="-78"/>
            </a:rPr>
            <a:t>إدارة محطات توليد الطاقة </a:t>
          </a:r>
          <a:endParaRPr lang="ar-SA" b="1">
            <a:latin typeface="Sakkal Majalla" panose="02000000000000000000" pitchFamily="2" charset="-78"/>
            <a:cs typeface="Sakkal Majalla" panose="02000000000000000000" pitchFamily="2" charset="-78"/>
          </a:endParaRPr>
        </a:p>
      </dgm:t>
    </dgm:pt>
    <dgm:pt modelId="{E4552B04-39F0-48F8-989F-20F48DF012C1}" type="parTrans" cxnId="{4D3D1B3C-9A3A-457F-9413-F8CD545B9024}">
      <dgm:prSet/>
      <dgm:spPr/>
      <dgm:t>
        <a:bodyPr/>
        <a:lstStyle/>
        <a:p>
          <a:pPr rtl="1"/>
          <a:endParaRPr lang="ar-SA">
            <a:latin typeface="Sakkal Majalla" panose="02000000000000000000" pitchFamily="2" charset="-78"/>
            <a:cs typeface="Sakkal Majalla" panose="02000000000000000000" pitchFamily="2" charset="-78"/>
          </a:endParaRPr>
        </a:p>
      </dgm:t>
    </dgm:pt>
    <dgm:pt modelId="{1C3ACCF5-E880-4B54-8794-0C147B91F2B7}" type="sibTrans" cxnId="{4D3D1B3C-9A3A-457F-9413-F8CD545B9024}">
      <dgm:prSet/>
      <dgm:spPr/>
      <dgm:t>
        <a:bodyPr/>
        <a:lstStyle/>
        <a:p>
          <a:pPr rtl="1"/>
          <a:endParaRPr lang="ar-SA">
            <a:latin typeface="Sakkal Majalla" panose="02000000000000000000" pitchFamily="2" charset="-78"/>
            <a:cs typeface="Sakkal Majalla" panose="02000000000000000000" pitchFamily="2" charset="-78"/>
          </a:endParaRPr>
        </a:p>
      </dgm:t>
    </dgm:pt>
    <dgm:pt modelId="{0B929DEF-14BE-48A3-AF68-2A2BC2578FA7}">
      <dgm:prSet phldrT="[نص]"/>
      <dgm:spPr/>
      <dgm:t>
        <a:bodyPr/>
        <a:lstStyle/>
        <a:p>
          <a:pPr rtl="1"/>
          <a:r>
            <a:rPr lang="ar-EG" b="1">
              <a:latin typeface="Sakkal Majalla" panose="02000000000000000000" pitchFamily="2" charset="-78"/>
              <a:cs typeface="Sakkal Majalla" panose="02000000000000000000" pitchFamily="2" charset="-78"/>
            </a:rPr>
            <a:t>تنظيم </a:t>
          </a:r>
          <a:endParaRPr lang="ar-SA" b="1">
            <a:latin typeface="Sakkal Majalla" panose="02000000000000000000" pitchFamily="2" charset="-78"/>
            <a:cs typeface="Sakkal Majalla" panose="02000000000000000000" pitchFamily="2" charset="-78"/>
          </a:endParaRPr>
        </a:p>
      </dgm:t>
    </dgm:pt>
    <dgm:pt modelId="{7F4C6898-0E0F-4EE3-94D9-DC1E1A6477B6}" type="parTrans" cxnId="{59FD7100-E71F-45BB-AEE4-05EEF4337870}">
      <dgm:prSet/>
      <dgm:spPr/>
      <dgm:t>
        <a:bodyPr/>
        <a:lstStyle/>
        <a:p>
          <a:pPr rtl="1"/>
          <a:endParaRPr lang="ar-SA">
            <a:latin typeface="Sakkal Majalla" panose="02000000000000000000" pitchFamily="2" charset="-78"/>
            <a:cs typeface="Sakkal Majalla" panose="02000000000000000000" pitchFamily="2" charset="-78"/>
          </a:endParaRPr>
        </a:p>
      </dgm:t>
    </dgm:pt>
    <dgm:pt modelId="{335A1E5D-D252-4A73-8892-E8A626B3CE28}" type="sibTrans" cxnId="{59FD7100-E71F-45BB-AEE4-05EEF4337870}">
      <dgm:prSet/>
      <dgm:spPr/>
      <dgm:t>
        <a:bodyPr/>
        <a:lstStyle/>
        <a:p>
          <a:pPr rtl="1"/>
          <a:endParaRPr lang="ar-SA">
            <a:latin typeface="Sakkal Majalla" panose="02000000000000000000" pitchFamily="2" charset="-78"/>
            <a:cs typeface="Sakkal Majalla" panose="02000000000000000000" pitchFamily="2" charset="-78"/>
          </a:endParaRPr>
        </a:p>
      </dgm:t>
    </dgm:pt>
    <dgm:pt modelId="{291AFAD3-8E11-495E-9AA7-A8B9A65F2591}">
      <dgm:prSet phldrT="[نص]"/>
      <dgm:spPr/>
      <dgm:t>
        <a:bodyPr/>
        <a:lstStyle/>
        <a:p>
          <a:pPr rtl="1"/>
          <a:r>
            <a:rPr lang="ar-EG" b="1">
              <a:latin typeface="Sakkal Majalla" panose="02000000000000000000" pitchFamily="2" charset="-78"/>
              <a:cs typeface="Sakkal Majalla" panose="02000000000000000000" pitchFamily="2" charset="-78"/>
            </a:rPr>
            <a:t>رقابة</a:t>
          </a:r>
          <a:endParaRPr lang="ar-SA" b="1">
            <a:latin typeface="Sakkal Majalla" panose="02000000000000000000" pitchFamily="2" charset="-78"/>
            <a:cs typeface="Sakkal Majalla" panose="02000000000000000000" pitchFamily="2" charset="-78"/>
          </a:endParaRPr>
        </a:p>
      </dgm:t>
    </dgm:pt>
    <dgm:pt modelId="{59D54A02-48EE-4A8D-BD25-E088941D6F22}" type="parTrans" cxnId="{FBBCC6DF-58E3-4794-B991-F7836B1B81C3}">
      <dgm:prSet/>
      <dgm:spPr/>
      <dgm:t>
        <a:bodyPr/>
        <a:lstStyle/>
        <a:p>
          <a:pPr rtl="1"/>
          <a:endParaRPr lang="ar-SA">
            <a:latin typeface="Sakkal Majalla" panose="02000000000000000000" pitchFamily="2" charset="-78"/>
            <a:cs typeface="Sakkal Majalla" panose="02000000000000000000" pitchFamily="2" charset="-78"/>
          </a:endParaRPr>
        </a:p>
      </dgm:t>
    </dgm:pt>
    <dgm:pt modelId="{281A3FF3-A867-49CD-B7C7-B53BB0EABEA3}" type="sibTrans" cxnId="{FBBCC6DF-58E3-4794-B991-F7836B1B81C3}">
      <dgm:prSet/>
      <dgm:spPr/>
      <dgm:t>
        <a:bodyPr/>
        <a:lstStyle/>
        <a:p>
          <a:pPr rtl="1"/>
          <a:endParaRPr lang="ar-SA">
            <a:latin typeface="Sakkal Majalla" panose="02000000000000000000" pitchFamily="2" charset="-78"/>
            <a:cs typeface="Sakkal Majalla" panose="02000000000000000000" pitchFamily="2" charset="-78"/>
          </a:endParaRPr>
        </a:p>
      </dgm:t>
    </dgm:pt>
    <dgm:pt modelId="{3032F6A3-C237-4100-A47A-0208881E735A}">
      <dgm:prSet phldrT="[نص]"/>
      <dgm:spPr/>
      <dgm:t>
        <a:bodyPr/>
        <a:lstStyle/>
        <a:p>
          <a:pPr rtl="1"/>
          <a:r>
            <a:rPr lang="ar-EG" b="1">
              <a:latin typeface="Sakkal Majalla" panose="02000000000000000000" pitchFamily="2" charset="-78"/>
              <a:cs typeface="Sakkal Majalla" panose="02000000000000000000" pitchFamily="2" charset="-78"/>
            </a:rPr>
            <a:t>توجيه</a:t>
          </a:r>
          <a:endParaRPr lang="ar-SA" b="1">
            <a:latin typeface="Sakkal Majalla" panose="02000000000000000000" pitchFamily="2" charset="-78"/>
            <a:cs typeface="Sakkal Majalla" panose="02000000000000000000" pitchFamily="2" charset="-78"/>
          </a:endParaRPr>
        </a:p>
      </dgm:t>
    </dgm:pt>
    <dgm:pt modelId="{9FF2AF4E-76AE-49E7-8079-BC0BD8E8097F}" type="parTrans" cxnId="{F0B37640-99F7-4721-9994-5B51A141BE4B}">
      <dgm:prSet/>
      <dgm:spPr/>
      <dgm:t>
        <a:bodyPr/>
        <a:lstStyle/>
        <a:p>
          <a:pPr rtl="1"/>
          <a:endParaRPr lang="ar-SA">
            <a:latin typeface="Sakkal Majalla" panose="02000000000000000000" pitchFamily="2" charset="-78"/>
            <a:cs typeface="Sakkal Majalla" panose="02000000000000000000" pitchFamily="2" charset="-78"/>
          </a:endParaRPr>
        </a:p>
      </dgm:t>
    </dgm:pt>
    <dgm:pt modelId="{9D2D3CBC-018F-4121-A54C-B1C90EB55D51}" type="sibTrans" cxnId="{F0B37640-99F7-4721-9994-5B51A141BE4B}">
      <dgm:prSet/>
      <dgm:spPr/>
      <dgm:t>
        <a:bodyPr/>
        <a:lstStyle/>
        <a:p>
          <a:pPr rtl="1"/>
          <a:endParaRPr lang="ar-SA">
            <a:latin typeface="Sakkal Majalla" panose="02000000000000000000" pitchFamily="2" charset="-78"/>
            <a:cs typeface="Sakkal Majalla" panose="02000000000000000000" pitchFamily="2" charset="-78"/>
          </a:endParaRPr>
        </a:p>
      </dgm:t>
    </dgm:pt>
    <dgm:pt modelId="{943FCAEF-9D0E-4917-986E-0B24AD0A3DC3}">
      <dgm:prSet phldrT="[نص]"/>
      <dgm:spPr/>
      <dgm:t>
        <a:bodyPr/>
        <a:lstStyle/>
        <a:p>
          <a:pPr rtl="1"/>
          <a:r>
            <a:rPr lang="ar-EG" b="1">
              <a:latin typeface="Sakkal Majalla" panose="02000000000000000000" pitchFamily="2" charset="-78"/>
              <a:cs typeface="Sakkal Majalla" panose="02000000000000000000" pitchFamily="2" charset="-78"/>
            </a:rPr>
            <a:t>تنفيذ</a:t>
          </a:r>
          <a:endParaRPr lang="ar-SA" b="1">
            <a:latin typeface="Sakkal Majalla" panose="02000000000000000000" pitchFamily="2" charset="-78"/>
            <a:cs typeface="Sakkal Majalla" panose="02000000000000000000" pitchFamily="2" charset="-78"/>
          </a:endParaRPr>
        </a:p>
      </dgm:t>
    </dgm:pt>
    <dgm:pt modelId="{19505BFF-6F08-4A58-A5B2-929F9CF13A02}" type="parTrans" cxnId="{CCB64CED-4521-472B-9B94-4226DDAFD990}">
      <dgm:prSet/>
      <dgm:spPr/>
      <dgm:t>
        <a:bodyPr/>
        <a:lstStyle/>
        <a:p>
          <a:pPr rtl="1"/>
          <a:endParaRPr lang="ar-SA">
            <a:latin typeface="Sakkal Majalla" panose="02000000000000000000" pitchFamily="2" charset="-78"/>
            <a:cs typeface="Sakkal Majalla" panose="02000000000000000000" pitchFamily="2" charset="-78"/>
          </a:endParaRPr>
        </a:p>
      </dgm:t>
    </dgm:pt>
    <dgm:pt modelId="{428DC10A-D2B0-4FFB-A5E8-275B7BEED3C7}" type="sibTrans" cxnId="{CCB64CED-4521-472B-9B94-4226DDAFD990}">
      <dgm:prSet/>
      <dgm:spPr/>
      <dgm:t>
        <a:bodyPr/>
        <a:lstStyle/>
        <a:p>
          <a:pPr rtl="1"/>
          <a:endParaRPr lang="ar-SA">
            <a:latin typeface="Sakkal Majalla" panose="02000000000000000000" pitchFamily="2" charset="-78"/>
            <a:cs typeface="Sakkal Majalla" panose="02000000000000000000" pitchFamily="2" charset="-78"/>
          </a:endParaRPr>
        </a:p>
      </dgm:t>
    </dgm:pt>
    <dgm:pt modelId="{D6AA9826-40D4-4F3F-8D7C-800502B0F188}">
      <dgm:prSet phldrT="[نص]"/>
      <dgm:spPr/>
      <dgm:t>
        <a:bodyPr/>
        <a:lstStyle/>
        <a:p>
          <a:pPr rtl="1"/>
          <a:r>
            <a:rPr lang="ar-EG" b="1">
              <a:latin typeface="Sakkal Majalla" panose="02000000000000000000" pitchFamily="2" charset="-78"/>
              <a:cs typeface="Sakkal Majalla" panose="02000000000000000000" pitchFamily="2" charset="-78"/>
            </a:rPr>
            <a:t>توظيف</a:t>
          </a:r>
          <a:endParaRPr lang="ar-SA" b="1">
            <a:latin typeface="Sakkal Majalla" panose="02000000000000000000" pitchFamily="2" charset="-78"/>
            <a:cs typeface="Sakkal Majalla" panose="02000000000000000000" pitchFamily="2" charset="-78"/>
          </a:endParaRPr>
        </a:p>
      </dgm:t>
    </dgm:pt>
    <dgm:pt modelId="{7A954927-D614-4363-BA17-3A121BF769CA}" type="parTrans" cxnId="{77D2D633-8D97-4EC2-8EBD-A8F1FCBBC031}">
      <dgm:prSet/>
      <dgm:spPr/>
      <dgm:t>
        <a:bodyPr/>
        <a:lstStyle/>
        <a:p>
          <a:pPr rtl="1"/>
          <a:endParaRPr lang="ar-SA">
            <a:latin typeface="Sakkal Majalla" panose="02000000000000000000" pitchFamily="2" charset="-78"/>
            <a:cs typeface="Sakkal Majalla" panose="02000000000000000000" pitchFamily="2" charset="-78"/>
          </a:endParaRPr>
        </a:p>
      </dgm:t>
    </dgm:pt>
    <dgm:pt modelId="{B5094214-5EBA-423D-81CC-97C1B741288C}" type="sibTrans" cxnId="{77D2D633-8D97-4EC2-8EBD-A8F1FCBBC031}">
      <dgm:prSet/>
      <dgm:spPr/>
      <dgm:t>
        <a:bodyPr/>
        <a:lstStyle/>
        <a:p>
          <a:pPr rtl="1"/>
          <a:endParaRPr lang="ar-SA">
            <a:latin typeface="Sakkal Majalla" panose="02000000000000000000" pitchFamily="2" charset="-78"/>
            <a:cs typeface="Sakkal Majalla" panose="02000000000000000000" pitchFamily="2" charset="-78"/>
          </a:endParaRPr>
        </a:p>
      </dgm:t>
    </dgm:pt>
    <dgm:pt modelId="{C177838D-5E41-4A23-8CD3-23B5DF218CD8}">
      <dgm:prSet phldrT="[نص]"/>
      <dgm:spPr/>
      <dgm:t>
        <a:bodyPr/>
        <a:lstStyle/>
        <a:p>
          <a:pPr rtl="1"/>
          <a:r>
            <a:rPr lang="ar-EG" b="1">
              <a:latin typeface="Sakkal Majalla" panose="02000000000000000000" pitchFamily="2" charset="-78"/>
              <a:cs typeface="Sakkal Majalla" panose="02000000000000000000" pitchFamily="2" charset="-78"/>
            </a:rPr>
            <a:t>تخطيط</a:t>
          </a:r>
          <a:endParaRPr lang="ar-SA" b="1">
            <a:latin typeface="Sakkal Majalla" panose="02000000000000000000" pitchFamily="2" charset="-78"/>
            <a:cs typeface="Sakkal Majalla" panose="02000000000000000000" pitchFamily="2" charset="-78"/>
          </a:endParaRPr>
        </a:p>
      </dgm:t>
    </dgm:pt>
    <dgm:pt modelId="{4AB9F591-9856-4F77-B59C-4E7343C038C6}" type="parTrans" cxnId="{AE5E5AC7-5935-471E-9137-4DFB6C1FDD04}">
      <dgm:prSet/>
      <dgm:spPr/>
      <dgm:t>
        <a:bodyPr/>
        <a:lstStyle/>
        <a:p>
          <a:pPr rtl="1"/>
          <a:endParaRPr lang="ar-SA">
            <a:latin typeface="Sakkal Majalla" panose="02000000000000000000" pitchFamily="2" charset="-78"/>
            <a:cs typeface="Sakkal Majalla" panose="02000000000000000000" pitchFamily="2" charset="-78"/>
          </a:endParaRPr>
        </a:p>
      </dgm:t>
    </dgm:pt>
    <dgm:pt modelId="{C8C9F7C9-3CC5-4526-A542-E5570CB33ED0}" type="sibTrans" cxnId="{AE5E5AC7-5935-471E-9137-4DFB6C1FDD04}">
      <dgm:prSet/>
      <dgm:spPr/>
      <dgm:t>
        <a:bodyPr/>
        <a:lstStyle/>
        <a:p>
          <a:pPr rtl="1"/>
          <a:endParaRPr lang="ar-SA">
            <a:latin typeface="Sakkal Majalla" panose="02000000000000000000" pitchFamily="2" charset="-78"/>
            <a:cs typeface="Sakkal Majalla" panose="02000000000000000000" pitchFamily="2" charset="-78"/>
          </a:endParaRPr>
        </a:p>
      </dgm:t>
    </dgm:pt>
    <dgm:pt modelId="{D6D76C85-AA77-4143-9ED8-F845A0D8FD58}" type="pres">
      <dgm:prSet presAssocID="{923B02E8-BD75-4B26-90E3-4AF443F8B932}" presName="Name0" presStyleCnt="0">
        <dgm:presLayoutVars>
          <dgm:chMax val="1"/>
          <dgm:dir/>
          <dgm:animLvl val="ctr"/>
          <dgm:resizeHandles val="exact"/>
        </dgm:presLayoutVars>
      </dgm:prSet>
      <dgm:spPr/>
    </dgm:pt>
    <dgm:pt modelId="{74E0E527-A3F2-4DCA-9508-01CE9E58F432}" type="pres">
      <dgm:prSet presAssocID="{CD6377F6-E298-4629-860F-5F1E51120373}" presName="centerShape" presStyleLbl="node0" presStyleIdx="0" presStyleCnt="1"/>
      <dgm:spPr/>
    </dgm:pt>
    <dgm:pt modelId="{D211C637-F7C0-4C6E-823A-4079B9E41B18}" type="pres">
      <dgm:prSet presAssocID="{0B929DEF-14BE-48A3-AF68-2A2BC2578FA7}" presName="node" presStyleLbl="node1" presStyleIdx="0" presStyleCnt="6">
        <dgm:presLayoutVars>
          <dgm:bulletEnabled val="1"/>
        </dgm:presLayoutVars>
      </dgm:prSet>
      <dgm:spPr/>
    </dgm:pt>
    <dgm:pt modelId="{C9455BA8-6408-4F7C-98CE-C172D65103DF}" type="pres">
      <dgm:prSet presAssocID="{0B929DEF-14BE-48A3-AF68-2A2BC2578FA7}" presName="dummy" presStyleCnt="0"/>
      <dgm:spPr/>
    </dgm:pt>
    <dgm:pt modelId="{05869B80-725F-442C-9C2D-C924E870697C}" type="pres">
      <dgm:prSet presAssocID="{335A1E5D-D252-4A73-8892-E8A626B3CE28}" presName="sibTrans" presStyleLbl="sibTrans2D1" presStyleIdx="0" presStyleCnt="6"/>
      <dgm:spPr/>
    </dgm:pt>
    <dgm:pt modelId="{D2C9C448-0138-4F0F-9353-D9A47A31C680}" type="pres">
      <dgm:prSet presAssocID="{291AFAD3-8E11-495E-9AA7-A8B9A65F2591}" presName="node" presStyleLbl="node1" presStyleIdx="1" presStyleCnt="6">
        <dgm:presLayoutVars>
          <dgm:bulletEnabled val="1"/>
        </dgm:presLayoutVars>
      </dgm:prSet>
      <dgm:spPr/>
    </dgm:pt>
    <dgm:pt modelId="{6ED35D7F-C2C0-4D6A-865C-4511D0D774B8}" type="pres">
      <dgm:prSet presAssocID="{291AFAD3-8E11-495E-9AA7-A8B9A65F2591}" presName="dummy" presStyleCnt="0"/>
      <dgm:spPr/>
    </dgm:pt>
    <dgm:pt modelId="{45F7E496-67E2-4E92-92D4-EE2B7BFF27BF}" type="pres">
      <dgm:prSet presAssocID="{281A3FF3-A867-49CD-B7C7-B53BB0EABEA3}" presName="sibTrans" presStyleLbl="sibTrans2D1" presStyleIdx="1" presStyleCnt="6"/>
      <dgm:spPr/>
    </dgm:pt>
    <dgm:pt modelId="{CE041F78-6CAD-40B7-95B3-D58DD31FAF50}" type="pres">
      <dgm:prSet presAssocID="{3032F6A3-C237-4100-A47A-0208881E735A}" presName="node" presStyleLbl="node1" presStyleIdx="2" presStyleCnt="6">
        <dgm:presLayoutVars>
          <dgm:bulletEnabled val="1"/>
        </dgm:presLayoutVars>
      </dgm:prSet>
      <dgm:spPr/>
    </dgm:pt>
    <dgm:pt modelId="{CF5144F5-F92D-4D07-A018-D001FB830B85}" type="pres">
      <dgm:prSet presAssocID="{3032F6A3-C237-4100-A47A-0208881E735A}" presName="dummy" presStyleCnt="0"/>
      <dgm:spPr/>
    </dgm:pt>
    <dgm:pt modelId="{90E152F1-5396-4CF1-8F43-21C97DD437BF}" type="pres">
      <dgm:prSet presAssocID="{9D2D3CBC-018F-4121-A54C-B1C90EB55D51}" presName="sibTrans" presStyleLbl="sibTrans2D1" presStyleIdx="2" presStyleCnt="6"/>
      <dgm:spPr/>
    </dgm:pt>
    <dgm:pt modelId="{1775DC5E-35FD-4F65-9F76-5DAC2867B26F}" type="pres">
      <dgm:prSet presAssocID="{943FCAEF-9D0E-4917-986E-0B24AD0A3DC3}" presName="node" presStyleLbl="node1" presStyleIdx="3" presStyleCnt="6">
        <dgm:presLayoutVars>
          <dgm:bulletEnabled val="1"/>
        </dgm:presLayoutVars>
      </dgm:prSet>
      <dgm:spPr/>
    </dgm:pt>
    <dgm:pt modelId="{7A9B8F1C-EF74-41F9-AEEA-6E3100191F78}" type="pres">
      <dgm:prSet presAssocID="{943FCAEF-9D0E-4917-986E-0B24AD0A3DC3}" presName="dummy" presStyleCnt="0"/>
      <dgm:spPr/>
    </dgm:pt>
    <dgm:pt modelId="{F6B04265-4495-4005-830B-9400652394DB}" type="pres">
      <dgm:prSet presAssocID="{428DC10A-D2B0-4FFB-A5E8-275B7BEED3C7}" presName="sibTrans" presStyleLbl="sibTrans2D1" presStyleIdx="3" presStyleCnt="6"/>
      <dgm:spPr/>
    </dgm:pt>
    <dgm:pt modelId="{B1874CB1-13E7-4578-9E16-E7EFE647F9E4}" type="pres">
      <dgm:prSet presAssocID="{D6AA9826-40D4-4F3F-8D7C-800502B0F188}" presName="node" presStyleLbl="node1" presStyleIdx="4" presStyleCnt="6">
        <dgm:presLayoutVars>
          <dgm:bulletEnabled val="1"/>
        </dgm:presLayoutVars>
      </dgm:prSet>
      <dgm:spPr/>
    </dgm:pt>
    <dgm:pt modelId="{D176A96E-7344-446B-A921-7F5EACED10CF}" type="pres">
      <dgm:prSet presAssocID="{D6AA9826-40D4-4F3F-8D7C-800502B0F188}" presName="dummy" presStyleCnt="0"/>
      <dgm:spPr/>
    </dgm:pt>
    <dgm:pt modelId="{B4711AEB-D1E6-4365-8E14-0386D5BAC8F2}" type="pres">
      <dgm:prSet presAssocID="{B5094214-5EBA-423D-81CC-97C1B741288C}" presName="sibTrans" presStyleLbl="sibTrans2D1" presStyleIdx="4" presStyleCnt="6"/>
      <dgm:spPr/>
    </dgm:pt>
    <dgm:pt modelId="{7EA7D6CF-6FCF-4368-9BAD-990E0FDE4EE7}" type="pres">
      <dgm:prSet presAssocID="{C177838D-5E41-4A23-8CD3-23B5DF218CD8}" presName="node" presStyleLbl="node1" presStyleIdx="5" presStyleCnt="6">
        <dgm:presLayoutVars>
          <dgm:bulletEnabled val="1"/>
        </dgm:presLayoutVars>
      </dgm:prSet>
      <dgm:spPr/>
    </dgm:pt>
    <dgm:pt modelId="{A746C89A-C21A-486D-95DA-47E34791AB27}" type="pres">
      <dgm:prSet presAssocID="{C177838D-5E41-4A23-8CD3-23B5DF218CD8}" presName="dummy" presStyleCnt="0"/>
      <dgm:spPr/>
    </dgm:pt>
    <dgm:pt modelId="{2E986814-2973-49E8-9C2B-CC02D9BD7F93}" type="pres">
      <dgm:prSet presAssocID="{C8C9F7C9-3CC5-4526-A542-E5570CB33ED0}" presName="sibTrans" presStyleLbl="sibTrans2D1" presStyleIdx="5" presStyleCnt="6"/>
      <dgm:spPr/>
    </dgm:pt>
  </dgm:ptLst>
  <dgm:cxnLst>
    <dgm:cxn modelId="{59FD7100-E71F-45BB-AEE4-05EEF4337870}" srcId="{CD6377F6-E298-4629-860F-5F1E51120373}" destId="{0B929DEF-14BE-48A3-AF68-2A2BC2578FA7}" srcOrd="0" destOrd="0" parTransId="{7F4C6898-0E0F-4EE3-94D9-DC1E1A6477B6}" sibTransId="{335A1E5D-D252-4A73-8892-E8A626B3CE28}"/>
    <dgm:cxn modelId="{87598804-3D47-4AA8-BD12-63A663B85CE8}" type="presOf" srcId="{923B02E8-BD75-4B26-90E3-4AF443F8B932}" destId="{D6D76C85-AA77-4143-9ED8-F845A0D8FD58}" srcOrd="0" destOrd="0" presId="urn:microsoft.com/office/officeart/2005/8/layout/radial6"/>
    <dgm:cxn modelId="{B1135D19-D7EA-40BB-9D07-4A52025F8E40}" type="presOf" srcId="{D6AA9826-40D4-4F3F-8D7C-800502B0F188}" destId="{B1874CB1-13E7-4578-9E16-E7EFE647F9E4}" srcOrd="0" destOrd="0" presId="urn:microsoft.com/office/officeart/2005/8/layout/radial6"/>
    <dgm:cxn modelId="{0B51D127-43A5-43BD-8750-D6969097F42F}" type="presOf" srcId="{C177838D-5E41-4A23-8CD3-23B5DF218CD8}" destId="{7EA7D6CF-6FCF-4368-9BAD-990E0FDE4EE7}" srcOrd="0" destOrd="0" presId="urn:microsoft.com/office/officeart/2005/8/layout/radial6"/>
    <dgm:cxn modelId="{77D2D633-8D97-4EC2-8EBD-A8F1FCBBC031}" srcId="{CD6377F6-E298-4629-860F-5F1E51120373}" destId="{D6AA9826-40D4-4F3F-8D7C-800502B0F188}" srcOrd="4" destOrd="0" parTransId="{7A954927-D614-4363-BA17-3A121BF769CA}" sibTransId="{B5094214-5EBA-423D-81CC-97C1B741288C}"/>
    <dgm:cxn modelId="{4D3D1B3C-9A3A-457F-9413-F8CD545B9024}" srcId="{923B02E8-BD75-4B26-90E3-4AF443F8B932}" destId="{CD6377F6-E298-4629-860F-5F1E51120373}" srcOrd="0" destOrd="0" parTransId="{E4552B04-39F0-48F8-989F-20F48DF012C1}" sibTransId="{1C3ACCF5-E880-4B54-8794-0C147B91F2B7}"/>
    <dgm:cxn modelId="{F0B37640-99F7-4721-9994-5B51A141BE4B}" srcId="{CD6377F6-E298-4629-860F-5F1E51120373}" destId="{3032F6A3-C237-4100-A47A-0208881E735A}" srcOrd="2" destOrd="0" parTransId="{9FF2AF4E-76AE-49E7-8079-BC0BD8E8097F}" sibTransId="{9D2D3CBC-018F-4121-A54C-B1C90EB55D51}"/>
    <dgm:cxn modelId="{7D2BFF5E-BE91-4041-A01E-4F927956CA2A}" type="presOf" srcId="{9D2D3CBC-018F-4121-A54C-B1C90EB55D51}" destId="{90E152F1-5396-4CF1-8F43-21C97DD437BF}" srcOrd="0" destOrd="0" presId="urn:microsoft.com/office/officeart/2005/8/layout/radial6"/>
    <dgm:cxn modelId="{076E2641-30E4-4CD4-8102-B4F0313EB29B}" type="presOf" srcId="{335A1E5D-D252-4A73-8892-E8A626B3CE28}" destId="{05869B80-725F-442C-9C2D-C924E870697C}" srcOrd="0" destOrd="0" presId="urn:microsoft.com/office/officeart/2005/8/layout/radial6"/>
    <dgm:cxn modelId="{D108246A-03DA-4BF9-B830-96F2552DB7D7}" type="presOf" srcId="{B5094214-5EBA-423D-81CC-97C1B741288C}" destId="{B4711AEB-D1E6-4365-8E14-0386D5BAC8F2}" srcOrd="0" destOrd="0" presId="urn:microsoft.com/office/officeart/2005/8/layout/radial6"/>
    <dgm:cxn modelId="{F325EC52-986E-4878-A636-2DB72189B40F}" type="presOf" srcId="{C8C9F7C9-3CC5-4526-A542-E5570CB33ED0}" destId="{2E986814-2973-49E8-9C2B-CC02D9BD7F93}" srcOrd="0" destOrd="0" presId="urn:microsoft.com/office/officeart/2005/8/layout/radial6"/>
    <dgm:cxn modelId="{4FB94B53-CB68-4E2B-900F-C06C005A36AA}" type="presOf" srcId="{3032F6A3-C237-4100-A47A-0208881E735A}" destId="{CE041F78-6CAD-40B7-95B3-D58DD31FAF50}" srcOrd="0" destOrd="0" presId="urn:microsoft.com/office/officeart/2005/8/layout/radial6"/>
    <dgm:cxn modelId="{B3910174-7D2B-4A68-9893-6CD8D019D7E5}" type="presOf" srcId="{943FCAEF-9D0E-4917-986E-0B24AD0A3DC3}" destId="{1775DC5E-35FD-4F65-9F76-5DAC2867B26F}" srcOrd="0" destOrd="0" presId="urn:microsoft.com/office/officeart/2005/8/layout/radial6"/>
    <dgm:cxn modelId="{364D3375-ABD9-4BDC-9303-36328AAFCD49}" type="presOf" srcId="{428DC10A-D2B0-4FFB-A5E8-275B7BEED3C7}" destId="{F6B04265-4495-4005-830B-9400652394DB}" srcOrd="0" destOrd="0" presId="urn:microsoft.com/office/officeart/2005/8/layout/radial6"/>
    <dgm:cxn modelId="{F44D9655-38BE-46A3-AFB5-D5A47D72DE33}" type="presOf" srcId="{291AFAD3-8E11-495E-9AA7-A8B9A65F2591}" destId="{D2C9C448-0138-4F0F-9353-D9A47A31C680}" srcOrd="0" destOrd="0" presId="urn:microsoft.com/office/officeart/2005/8/layout/radial6"/>
    <dgm:cxn modelId="{A6381F9D-8FE0-45B4-B9A7-61D3FEBCB9F6}" type="presOf" srcId="{281A3FF3-A867-49CD-B7C7-B53BB0EABEA3}" destId="{45F7E496-67E2-4E92-92D4-EE2B7BFF27BF}" srcOrd="0" destOrd="0" presId="urn:microsoft.com/office/officeart/2005/8/layout/radial6"/>
    <dgm:cxn modelId="{7CE5B1B8-58EF-4163-826A-A1E8599313E6}" type="presOf" srcId="{CD6377F6-E298-4629-860F-5F1E51120373}" destId="{74E0E527-A3F2-4DCA-9508-01CE9E58F432}" srcOrd="0" destOrd="0" presId="urn:microsoft.com/office/officeart/2005/8/layout/radial6"/>
    <dgm:cxn modelId="{AE5E5AC7-5935-471E-9137-4DFB6C1FDD04}" srcId="{CD6377F6-E298-4629-860F-5F1E51120373}" destId="{C177838D-5E41-4A23-8CD3-23B5DF218CD8}" srcOrd="5" destOrd="0" parTransId="{4AB9F591-9856-4F77-B59C-4E7343C038C6}" sibTransId="{C8C9F7C9-3CC5-4526-A542-E5570CB33ED0}"/>
    <dgm:cxn modelId="{D628CFD6-7755-43E5-8242-24446108FB72}" type="presOf" srcId="{0B929DEF-14BE-48A3-AF68-2A2BC2578FA7}" destId="{D211C637-F7C0-4C6E-823A-4079B9E41B18}" srcOrd="0" destOrd="0" presId="urn:microsoft.com/office/officeart/2005/8/layout/radial6"/>
    <dgm:cxn modelId="{FBBCC6DF-58E3-4794-B991-F7836B1B81C3}" srcId="{CD6377F6-E298-4629-860F-5F1E51120373}" destId="{291AFAD3-8E11-495E-9AA7-A8B9A65F2591}" srcOrd="1" destOrd="0" parTransId="{59D54A02-48EE-4A8D-BD25-E088941D6F22}" sibTransId="{281A3FF3-A867-49CD-B7C7-B53BB0EABEA3}"/>
    <dgm:cxn modelId="{CCB64CED-4521-472B-9B94-4226DDAFD990}" srcId="{CD6377F6-E298-4629-860F-5F1E51120373}" destId="{943FCAEF-9D0E-4917-986E-0B24AD0A3DC3}" srcOrd="3" destOrd="0" parTransId="{19505BFF-6F08-4A58-A5B2-929F9CF13A02}" sibTransId="{428DC10A-D2B0-4FFB-A5E8-275B7BEED3C7}"/>
    <dgm:cxn modelId="{05640861-12B3-4129-8F40-B62F022D5C00}" type="presParOf" srcId="{D6D76C85-AA77-4143-9ED8-F845A0D8FD58}" destId="{74E0E527-A3F2-4DCA-9508-01CE9E58F432}" srcOrd="0" destOrd="0" presId="urn:microsoft.com/office/officeart/2005/8/layout/radial6"/>
    <dgm:cxn modelId="{5034AE81-4E40-4276-B7F2-C376BF60F437}" type="presParOf" srcId="{D6D76C85-AA77-4143-9ED8-F845A0D8FD58}" destId="{D211C637-F7C0-4C6E-823A-4079B9E41B18}" srcOrd="1" destOrd="0" presId="urn:microsoft.com/office/officeart/2005/8/layout/radial6"/>
    <dgm:cxn modelId="{2D60CAA7-3DE1-4BCE-8382-4FBFE5BB40F3}" type="presParOf" srcId="{D6D76C85-AA77-4143-9ED8-F845A0D8FD58}" destId="{C9455BA8-6408-4F7C-98CE-C172D65103DF}" srcOrd="2" destOrd="0" presId="urn:microsoft.com/office/officeart/2005/8/layout/radial6"/>
    <dgm:cxn modelId="{7C1FE3AE-F8B6-482C-8B37-486ED16D2FA6}" type="presParOf" srcId="{D6D76C85-AA77-4143-9ED8-F845A0D8FD58}" destId="{05869B80-725F-442C-9C2D-C924E870697C}" srcOrd="3" destOrd="0" presId="urn:microsoft.com/office/officeart/2005/8/layout/radial6"/>
    <dgm:cxn modelId="{0884AD8A-4D97-4401-B31F-4DF1390BB7C9}" type="presParOf" srcId="{D6D76C85-AA77-4143-9ED8-F845A0D8FD58}" destId="{D2C9C448-0138-4F0F-9353-D9A47A31C680}" srcOrd="4" destOrd="0" presId="urn:microsoft.com/office/officeart/2005/8/layout/radial6"/>
    <dgm:cxn modelId="{F6204E10-A6E0-4756-90BB-303C76097FB0}" type="presParOf" srcId="{D6D76C85-AA77-4143-9ED8-F845A0D8FD58}" destId="{6ED35D7F-C2C0-4D6A-865C-4511D0D774B8}" srcOrd="5" destOrd="0" presId="urn:microsoft.com/office/officeart/2005/8/layout/radial6"/>
    <dgm:cxn modelId="{A20AAD1C-A0A0-48A4-8A44-0E674D38CD33}" type="presParOf" srcId="{D6D76C85-AA77-4143-9ED8-F845A0D8FD58}" destId="{45F7E496-67E2-4E92-92D4-EE2B7BFF27BF}" srcOrd="6" destOrd="0" presId="urn:microsoft.com/office/officeart/2005/8/layout/radial6"/>
    <dgm:cxn modelId="{F08CB0AD-0E2F-4D54-A0AB-A93487A3299C}" type="presParOf" srcId="{D6D76C85-AA77-4143-9ED8-F845A0D8FD58}" destId="{CE041F78-6CAD-40B7-95B3-D58DD31FAF50}" srcOrd="7" destOrd="0" presId="urn:microsoft.com/office/officeart/2005/8/layout/radial6"/>
    <dgm:cxn modelId="{6870B9D8-071A-46D9-9BB3-26BF62C7819A}" type="presParOf" srcId="{D6D76C85-AA77-4143-9ED8-F845A0D8FD58}" destId="{CF5144F5-F92D-4D07-A018-D001FB830B85}" srcOrd="8" destOrd="0" presId="urn:microsoft.com/office/officeart/2005/8/layout/radial6"/>
    <dgm:cxn modelId="{29216F01-995D-4E7D-89E3-42BACC595534}" type="presParOf" srcId="{D6D76C85-AA77-4143-9ED8-F845A0D8FD58}" destId="{90E152F1-5396-4CF1-8F43-21C97DD437BF}" srcOrd="9" destOrd="0" presId="urn:microsoft.com/office/officeart/2005/8/layout/radial6"/>
    <dgm:cxn modelId="{0874720B-CBA7-4704-B16F-A335EFBE34CE}" type="presParOf" srcId="{D6D76C85-AA77-4143-9ED8-F845A0D8FD58}" destId="{1775DC5E-35FD-4F65-9F76-5DAC2867B26F}" srcOrd="10" destOrd="0" presId="urn:microsoft.com/office/officeart/2005/8/layout/radial6"/>
    <dgm:cxn modelId="{B5DAF892-9803-41A0-9894-DA1E8CED80D1}" type="presParOf" srcId="{D6D76C85-AA77-4143-9ED8-F845A0D8FD58}" destId="{7A9B8F1C-EF74-41F9-AEEA-6E3100191F78}" srcOrd="11" destOrd="0" presId="urn:microsoft.com/office/officeart/2005/8/layout/radial6"/>
    <dgm:cxn modelId="{814228F8-FB38-42C8-9FC8-10CDFACF0A47}" type="presParOf" srcId="{D6D76C85-AA77-4143-9ED8-F845A0D8FD58}" destId="{F6B04265-4495-4005-830B-9400652394DB}" srcOrd="12" destOrd="0" presId="urn:microsoft.com/office/officeart/2005/8/layout/radial6"/>
    <dgm:cxn modelId="{1C3B8CE3-CB1E-439A-8673-C4A1B0945823}" type="presParOf" srcId="{D6D76C85-AA77-4143-9ED8-F845A0D8FD58}" destId="{B1874CB1-13E7-4578-9E16-E7EFE647F9E4}" srcOrd="13" destOrd="0" presId="urn:microsoft.com/office/officeart/2005/8/layout/radial6"/>
    <dgm:cxn modelId="{88F6E3CA-FDB2-40FB-A7FE-3D0EE64017EA}" type="presParOf" srcId="{D6D76C85-AA77-4143-9ED8-F845A0D8FD58}" destId="{D176A96E-7344-446B-A921-7F5EACED10CF}" srcOrd="14" destOrd="0" presId="urn:microsoft.com/office/officeart/2005/8/layout/radial6"/>
    <dgm:cxn modelId="{F6557098-8814-4AC9-B67D-A4D6EAF9452D}" type="presParOf" srcId="{D6D76C85-AA77-4143-9ED8-F845A0D8FD58}" destId="{B4711AEB-D1E6-4365-8E14-0386D5BAC8F2}" srcOrd="15" destOrd="0" presId="urn:microsoft.com/office/officeart/2005/8/layout/radial6"/>
    <dgm:cxn modelId="{736B8DEE-9543-492C-A21E-CD1A7B374B57}" type="presParOf" srcId="{D6D76C85-AA77-4143-9ED8-F845A0D8FD58}" destId="{7EA7D6CF-6FCF-4368-9BAD-990E0FDE4EE7}" srcOrd="16" destOrd="0" presId="urn:microsoft.com/office/officeart/2005/8/layout/radial6"/>
    <dgm:cxn modelId="{7E22FBC2-7065-4918-9F4D-59009833BF6A}" type="presParOf" srcId="{D6D76C85-AA77-4143-9ED8-F845A0D8FD58}" destId="{A746C89A-C21A-486D-95DA-47E34791AB27}" srcOrd="17" destOrd="0" presId="urn:microsoft.com/office/officeart/2005/8/layout/radial6"/>
    <dgm:cxn modelId="{85A8AC4E-0EB5-40DA-861F-4F41FB41FA09}" type="presParOf" srcId="{D6D76C85-AA77-4143-9ED8-F845A0D8FD58}" destId="{2E986814-2973-49E8-9C2B-CC02D9BD7F93}" srcOrd="18" destOrd="0" presId="urn:microsoft.com/office/officeart/2005/8/layout/radial6"/>
  </dgm:cxnLst>
  <dgm:bg>
    <a:solidFill>
      <a:schemeClr val="accent1">
        <a:lumMod val="60000"/>
        <a:lumOff val="40000"/>
      </a:schemeClr>
    </a:solidFill>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B5E0AE-5037-4273-ACE7-3661DDE75ADA}">
      <dsp:nvSpPr>
        <dsp:cNvPr id="0" name=""/>
        <dsp:cNvSpPr/>
      </dsp:nvSpPr>
      <dsp:spPr>
        <a:xfrm>
          <a:off x="2455223" y="742693"/>
          <a:ext cx="1737088" cy="301478"/>
        </a:xfrm>
        <a:custGeom>
          <a:avLst/>
          <a:gdLst/>
          <a:ahLst/>
          <a:cxnLst/>
          <a:rect l="0" t="0" r="0" b="0"/>
          <a:pathLst>
            <a:path>
              <a:moveTo>
                <a:pt x="0" y="0"/>
              </a:moveTo>
              <a:lnTo>
                <a:pt x="0" y="150739"/>
              </a:lnTo>
              <a:lnTo>
                <a:pt x="1737088" y="150739"/>
              </a:lnTo>
              <a:lnTo>
                <a:pt x="1737088" y="30147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6B2377-C0CA-4EF9-AB48-16D3D5414E26}">
      <dsp:nvSpPr>
        <dsp:cNvPr id="0" name=""/>
        <dsp:cNvSpPr/>
      </dsp:nvSpPr>
      <dsp:spPr>
        <a:xfrm>
          <a:off x="2409503" y="742693"/>
          <a:ext cx="91440" cy="301478"/>
        </a:xfrm>
        <a:custGeom>
          <a:avLst/>
          <a:gdLst/>
          <a:ahLst/>
          <a:cxnLst/>
          <a:rect l="0" t="0" r="0" b="0"/>
          <a:pathLst>
            <a:path>
              <a:moveTo>
                <a:pt x="45720" y="0"/>
              </a:moveTo>
              <a:lnTo>
                <a:pt x="45720" y="30147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969703-39E6-4148-9871-365223761FB9}">
      <dsp:nvSpPr>
        <dsp:cNvPr id="0" name=""/>
        <dsp:cNvSpPr/>
      </dsp:nvSpPr>
      <dsp:spPr>
        <a:xfrm>
          <a:off x="718134" y="742693"/>
          <a:ext cx="1737088" cy="301478"/>
        </a:xfrm>
        <a:custGeom>
          <a:avLst/>
          <a:gdLst/>
          <a:ahLst/>
          <a:cxnLst/>
          <a:rect l="0" t="0" r="0" b="0"/>
          <a:pathLst>
            <a:path>
              <a:moveTo>
                <a:pt x="1737088" y="0"/>
              </a:moveTo>
              <a:lnTo>
                <a:pt x="1737088" y="150739"/>
              </a:lnTo>
              <a:lnTo>
                <a:pt x="0" y="150739"/>
              </a:lnTo>
              <a:lnTo>
                <a:pt x="0" y="30147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343301-E4F5-4C76-A067-F012336F1C6B}">
      <dsp:nvSpPr>
        <dsp:cNvPr id="0" name=""/>
        <dsp:cNvSpPr/>
      </dsp:nvSpPr>
      <dsp:spPr>
        <a:xfrm>
          <a:off x="1737418" y="24888"/>
          <a:ext cx="1435610" cy="717805"/>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EG" sz="1600" b="0" kern="1200" cap="none" spc="0">
              <a:ln w="0"/>
              <a:effectLst>
                <a:outerShdw blurRad="38100" dist="19050" dir="2700000" algn="tl" rotWithShape="0">
                  <a:schemeClr val="dk1">
                    <a:alpha val="40000"/>
                  </a:schemeClr>
                </a:outerShdw>
              </a:effectLst>
              <a:latin typeface="Sakkal Majalla" panose="02000000000000000000" pitchFamily="2" charset="-78"/>
              <a:cs typeface="Sakkal Majalla" panose="02000000000000000000" pitchFamily="2" charset="-78"/>
            </a:rPr>
            <a:t>أبعاد التداخل في الصلاحيات</a:t>
          </a:r>
          <a:endParaRPr lang="ar-SA" sz="1600" b="0" kern="1200" cap="none" spc="0">
            <a:ln w="0"/>
            <a:effectLst>
              <a:outerShdw blurRad="38100" dist="19050" dir="2700000" algn="tl" rotWithShape="0">
                <a:schemeClr val="dk1">
                  <a:alpha val="40000"/>
                </a:schemeClr>
              </a:outerShdw>
            </a:effectLst>
            <a:latin typeface="Sakkal Majalla" panose="02000000000000000000" pitchFamily="2" charset="-78"/>
            <a:cs typeface="Sakkal Majalla" panose="02000000000000000000" pitchFamily="2" charset="-78"/>
          </a:endParaRPr>
        </a:p>
      </dsp:txBody>
      <dsp:txXfrm>
        <a:off x="1737418" y="24888"/>
        <a:ext cx="1435610" cy="717805"/>
      </dsp:txXfrm>
    </dsp:sp>
    <dsp:sp modelId="{0EB13273-BCDA-4C0D-AD82-23FB593631EC}">
      <dsp:nvSpPr>
        <dsp:cNvPr id="0" name=""/>
        <dsp:cNvSpPr/>
      </dsp:nvSpPr>
      <dsp:spPr>
        <a:xfrm>
          <a:off x="329" y="1044171"/>
          <a:ext cx="1435610" cy="717805"/>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b="0" kern="1200">
              <a:latin typeface="Sakkal Majalla" panose="02000000000000000000" pitchFamily="2" charset="-78"/>
              <a:cs typeface="Sakkal Majalla" panose="02000000000000000000" pitchFamily="2" charset="-78"/>
            </a:rPr>
            <a:t>تضارب القرارات</a:t>
          </a:r>
        </a:p>
      </dsp:txBody>
      <dsp:txXfrm>
        <a:off x="329" y="1044171"/>
        <a:ext cx="1435610" cy="717805"/>
      </dsp:txXfrm>
    </dsp:sp>
    <dsp:sp modelId="{9E895BEC-55DC-4FD6-9135-893F0A10449E}">
      <dsp:nvSpPr>
        <dsp:cNvPr id="0" name=""/>
        <dsp:cNvSpPr/>
      </dsp:nvSpPr>
      <dsp:spPr>
        <a:xfrm>
          <a:off x="1737418" y="1044171"/>
          <a:ext cx="1435610" cy="717805"/>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EG" sz="1600" b="0" kern="1200">
              <a:latin typeface="Sakkal Majalla" panose="02000000000000000000" pitchFamily="2" charset="-78"/>
              <a:cs typeface="Sakkal Majalla" panose="02000000000000000000" pitchFamily="2" charset="-78"/>
            </a:rPr>
            <a:t>توزيع السلطات والمسؤوليات</a:t>
          </a:r>
          <a:endParaRPr lang="ar-SA" sz="1600" b="0" kern="1200">
            <a:latin typeface="Sakkal Majalla" panose="02000000000000000000" pitchFamily="2" charset="-78"/>
            <a:cs typeface="Sakkal Majalla" panose="02000000000000000000" pitchFamily="2" charset="-78"/>
          </a:endParaRPr>
        </a:p>
      </dsp:txBody>
      <dsp:txXfrm>
        <a:off x="1737418" y="1044171"/>
        <a:ext cx="1435610" cy="717805"/>
      </dsp:txXfrm>
    </dsp:sp>
    <dsp:sp modelId="{5F7036AA-C102-4E61-BFFF-B364602A31B8}">
      <dsp:nvSpPr>
        <dsp:cNvPr id="0" name=""/>
        <dsp:cNvSpPr/>
      </dsp:nvSpPr>
      <dsp:spPr>
        <a:xfrm>
          <a:off x="3474506" y="1044171"/>
          <a:ext cx="1435610" cy="717805"/>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b="0" kern="1200">
              <a:latin typeface="Sakkal Majalla" panose="02000000000000000000" pitchFamily="2" charset="-78"/>
              <a:cs typeface="Sakkal Majalla" panose="02000000000000000000" pitchFamily="2" charset="-78"/>
            </a:rPr>
            <a:t>عدم التناغم التنظيمي </a:t>
          </a:r>
        </a:p>
      </dsp:txBody>
      <dsp:txXfrm>
        <a:off x="3474506" y="1044171"/>
        <a:ext cx="1435610" cy="71780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D04E4B-10DA-4477-BED5-E692B786D869}">
      <dsp:nvSpPr>
        <dsp:cNvPr id="0" name=""/>
        <dsp:cNvSpPr/>
      </dsp:nvSpPr>
      <dsp:spPr>
        <a:xfrm>
          <a:off x="1330183" y="0"/>
          <a:ext cx="2130384" cy="2130384"/>
        </a:xfrm>
        <a:prstGeom prst="triangl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E66C318-1A91-4379-9391-F9F0B4AA55B2}">
      <dsp:nvSpPr>
        <dsp:cNvPr id="0" name=""/>
        <dsp:cNvSpPr/>
      </dsp:nvSpPr>
      <dsp:spPr>
        <a:xfrm>
          <a:off x="2132571" y="213246"/>
          <a:ext cx="1384749" cy="378642"/>
        </a:xfrm>
        <a:prstGeom prst="round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EG" sz="1400" kern="1200">
              <a:latin typeface="Sakkal Majalla" panose="02000000000000000000" pitchFamily="2" charset="-78"/>
              <a:cs typeface="Sakkal Majalla" panose="02000000000000000000" pitchFamily="2" charset="-78"/>
            </a:rPr>
            <a:t>غياب التنظيم القانوني</a:t>
          </a:r>
          <a:endParaRPr lang="ar-SA" sz="1400" kern="1200">
            <a:latin typeface="Sakkal Majalla" panose="02000000000000000000" pitchFamily="2" charset="-78"/>
            <a:cs typeface="Sakkal Majalla" panose="02000000000000000000" pitchFamily="2" charset="-78"/>
          </a:endParaRPr>
        </a:p>
      </dsp:txBody>
      <dsp:txXfrm>
        <a:off x="2151055" y="231730"/>
        <a:ext cx="1347781" cy="341674"/>
      </dsp:txXfrm>
    </dsp:sp>
    <dsp:sp modelId="{B9FF6C08-CF95-4E0F-93B0-8D09C4167BAE}">
      <dsp:nvSpPr>
        <dsp:cNvPr id="0" name=""/>
        <dsp:cNvSpPr/>
      </dsp:nvSpPr>
      <dsp:spPr>
        <a:xfrm>
          <a:off x="2132571" y="639219"/>
          <a:ext cx="1384749" cy="378642"/>
        </a:xfrm>
        <a:prstGeom prst="round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EG" sz="1400" kern="1200">
              <a:latin typeface="Sakkal Majalla" panose="02000000000000000000" pitchFamily="2" charset="-78"/>
              <a:cs typeface="Sakkal Majalla" panose="02000000000000000000" pitchFamily="2" charset="-78"/>
            </a:rPr>
            <a:t>ضعف التنسيق الإداري</a:t>
          </a:r>
          <a:endParaRPr lang="ar-SA" sz="1400" kern="1200">
            <a:latin typeface="Sakkal Majalla" panose="02000000000000000000" pitchFamily="2" charset="-78"/>
            <a:cs typeface="Sakkal Majalla" panose="02000000000000000000" pitchFamily="2" charset="-78"/>
          </a:endParaRPr>
        </a:p>
      </dsp:txBody>
      <dsp:txXfrm>
        <a:off x="2151055" y="657703"/>
        <a:ext cx="1347781" cy="341674"/>
      </dsp:txXfrm>
    </dsp:sp>
    <dsp:sp modelId="{BCE85B0D-F521-4E0F-822A-6B33E23DC28A}">
      <dsp:nvSpPr>
        <dsp:cNvPr id="0" name=""/>
        <dsp:cNvSpPr/>
      </dsp:nvSpPr>
      <dsp:spPr>
        <a:xfrm>
          <a:off x="2132571" y="1065192"/>
          <a:ext cx="1384749" cy="378642"/>
        </a:xfrm>
        <a:prstGeom prst="round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EG" sz="1400" kern="1200">
              <a:latin typeface="Sakkal Majalla" panose="02000000000000000000" pitchFamily="2" charset="-78"/>
              <a:cs typeface="Sakkal Majalla" panose="02000000000000000000" pitchFamily="2" charset="-78"/>
            </a:rPr>
            <a:t>اللامركزية</a:t>
          </a:r>
          <a:endParaRPr lang="ar-SA" sz="1400" kern="1200">
            <a:latin typeface="Sakkal Majalla" panose="02000000000000000000" pitchFamily="2" charset="-78"/>
            <a:cs typeface="Sakkal Majalla" panose="02000000000000000000" pitchFamily="2" charset="-78"/>
          </a:endParaRPr>
        </a:p>
      </dsp:txBody>
      <dsp:txXfrm>
        <a:off x="2151055" y="1083676"/>
        <a:ext cx="1347781" cy="341674"/>
      </dsp:txXfrm>
    </dsp:sp>
    <dsp:sp modelId="{E316F9A3-00DF-4F39-9077-96C2B0320C4C}">
      <dsp:nvSpPr>
        <dsp:cNvPr id="0" name=""/>
        <dsp:cNvSpPr/>
      </dsp:nvSpPr>
      <dsp:spPr>
        <a:xfrm>
          <a:off x="2132571" y="1491164"/>
          <a:ext cx="1384749" cy="378642"/>
        </a:xfrm>
        <a:prstGeom prst="round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EG" sz="1400" kern="1200">
              <a:latin typeface="Sakkal Majalla" panose="02000000000000000000" pitchFamily="2" charset="-78"/>
              <a:cs typeface="Sakkal Majalla" panose="02000000000000000000" pitchFamily="2" charset="-78"/>
            </a:rPr>
            <a:t>غياب الرقابة </a:t>
          </a:r>
          <a:endParaRPr lang="ar-SA" sz="1400" kern="1200">
            <a:latin typeface="Sakkal Majalla" panose="02000000000000000000" pitchFamily="2" charset="-78"/>
            <a:cs typeface="Sakkal Majalla" panose="02000000000000000000" pitchFamily="2" charset="-78"/>
          </a:endParaRPr>
        </a:p>
      </dsp:txBody>
      <dsp:txXfrm>
        <a:off x="2151055" y="1509648"/>
        <a:ext cx="1347781" cy="3416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E97E53-AAE0-47DD-9459-282321D01BD4}">
      <dsp:nvSpPr>
        <dsp:cNvPr id="0" name=""/>
        <dsp:cNvSpPr/>
      </dsp:nvSpPr>
      <dsp:spPr>
        <a:xfrm>
          <a:off x="1649208" y="743"/>
          <a:ext cx="1202021" cy="60101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EG" sz="1600" b="1" kern="1200">
              <a:latin typeface="Sakkal Majalla" panose="02000000000000000000" pitchFamily="2" charset="-78"/>
              <a:cs typeface="Sakkal Majalla" panose="02000000000000000000" pitchFamily="2" charset="-78"/>
            </a:rPr>
            <a:t>تحديد وتوثيق</a:t>
          </a:r>
          <a:endParaRPr lang="ar-SA" sz="1600" b="1" kern="1200">
            <a:latin typeface="Sakkal Majalla" panose="02000000000000000000" pitchFamily="2" charset="-78"/>
            <a:cs typeface="Sakkal Majalla" panose="02000000000000000000" pitchFamily="2" charset="-78"/>
          </a:endParaRPr>
        </a:p>
      </dsp:txBody>
      <dsp:txXfrm>
        <a:off x="1666811" y="18346"/>
        <a:ext cx="1166815" cy="565804"/>
      </dsp:txXfrm>
    </dsp:sp>
    <dsp:sp modelId="{1A3AB9A8-2EFB-4B68-9174-0EF076D64015}">
      <dsp:nvSpPr>
        <dsp:cNvPr id="0" name=""/>
        <dsp:cNvSpPr/>
      </dsp:nvSpPr>
      <dsp:spPr>
        <a:xfrm rot="3600000">
          <a:off x="2433239" y="1055713"/>
          <a:ext cx="626589" cy="210353"/>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rtl="1">
            <a:lnSpc>
              <a:spcPct val="90000"/>
            </a:lnSpc>
            <a:spcBef>
              <a:spcPct val="0"/>
            </a:spcBef>
            <a:spcAft>
              <a:spcPct val="35000"/>
            </a:spcAft>
            <a:buNone/>
          </a:pPr>
          <a:endParaRPr lang="ar-SA" sz="700" kern="1200">
            <a:latin typeface="Sakkal Majalla" panose="02000000000000000000" pitchFamily="2" charset="-78"/>
            <a:cs typeface="Sakkal Majalla" panose="02000000000000000000" pitchFamily="2" charset="-78"/>
          </a:endParaRPr>
        </a:p>
      </dsp:txBody>
      <dsp:txXfrm>
        <a:off x="2496345" y="1097784"/>
        <a:ext cx="500377" cy="126211"/>
      </dsp:txXfrm>
    </dsp:sp>
    <dsp:sp modelId="{E82029B6-785C-4BB5-83D0-ABFB9C88083B}">
      <dsp:nvSpPr>
        <dsp:cNvPr id="0" name=""/>
        <dsp:cNvSpPr/>
      </dsp:nvSpPr>
      <dsp:spPr>
        <a:xfrm>
          <a:off x="2641837" y="1720026"/>
          <a:ext cx="1202021" cy="60101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EG" sz="1600" b="1" kern="1200">
              <a:latin typeface="Sakkal Majalla" panose="02000000000000000000" pitchFamily="2" charset="-78"/>
              <a:cs typeface="Sakkal Majalla" panose="02000000000000000000" pitchFamily="2" charset="-78"/>
            </a:rPr>
            <a:t>تطوير</a:t>
          </a:r>
          <a:endParaRPr lang="ar-SA" sz="1600" b="1" kern="1200">
            <a:latin typeface="Sakkal Majalla" panose="02000000000000000000" pitchFamily="2" charset="-78"/>
            <a:cs typeface="Sakkal Majalla" panose="02000000000000000000" pitchFamily="2" charset="-78"/>
          </a:endParaRPr>
        </a:p>
      </dsp:txBody>
      <dsp:txXfrm>
        <a:off x="2659440" y="1737629"/>
        <a:ext cx="1166815" cy="565804"/>
      </dsp:txXfrm>
    </dsp:sp>
    <dsp:sp modelId="{F7C12684-4F8F-4B9D-B522-7E593F803DCB}">
      <dsp:nvSpPr>
        <dsp:cNvPr id="0" name=""/>
        <dsp:cNvSpPr/>
      </dsp:nvSpPr>
      <dsp:spPr>
        <a:xfrm rot="10800000">
          <a:off x="1936924" y="1915355"/>
          <a:ext cx="626589" cy="210353"/>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rtl="1">
            <a:lnSpc>
              <a:spcPct val="90000"/>
            </a:lnSpc>
            <a:spcBef>
              <a:spcPct val="0"/>
            </a:spcBef>
            <a:spcAft>
              <a:spcPct val="35000"/>
            </a:spcAft>
            <a:buNone/>
          </a:pPr>
          <a:endParaRPr lang="ar-SA" sz="700" kern="1200">
            <a:latin typeface="Sakkal Majalla" panose="02000000000000000000" pitchFamily="2" charset="-78"/>
            <a:cs typeface="Sakkal Majalla" panose="02000000000000000000" pitchFamily="2" charset="-78"/>
          </a:endParaRPr>
        </a:p>
      </dsp:txBody>
      <dsp:txXfrm rot="10800000">
        <a:off x="2000030" y="1957426"/>
        <a:ext cx="500377" cy="126211"/>
      </dsp:txXfrm>
    </dsp:sp>
    <dsp:sp modelId="{17AE768B-21B9-4B7C-A525-D4B143A36708}">
      <dsp:nvSpPr>
        <dsp:cNvPr id="0" name=""/>
        <dsp:cNvSpPr/>
      </dsp:nvSpPr>
      <dsp:spPr>
        <a:xfrm>
          <a:off x="656579" y="1720026"/>
          <a:ext cx="1202021" cy="60101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EG" sz="1600" b="1" kern="1200">
              <a:latin typeface="Sakkal Majalla" panose="02000000000000000000" pitchFamily="2" charset="-78"/>
              <a:cs typeface="Sakkal Majalla" panose="02000000000000000000" pitchFamily="2" charset="-78"/>
            </a:rPr>
            <a:t>تدريب</a:t>
          </a:r>
          <a:endParaRPr lang="ar-SA" sz="1600" b="1" kern="1200">
            <a:latin typeface="Sakkal Majalla" panose="02000000000000000000" pitchFamily="2" charset="-78"/>
            <a:cs typeface="Sakkal Majalla" panose="02000000000000000000" pitchFamily="2" charset="-78"/>
          </a:endParaRPr>
        </a:p>
      </dsp:txBody>
      <dsp:txXfrm>
        <a:off x="674182" y="1737629"/>
        <a:ext cx="1166815" cy="565804"/>
      </dsp:txXfrm>
    </dsp:sp>
    <dsp:sp modelId="{EB7A7303-45EC-4A9A-A182-6F7CBF713051}">
      <dsp:nvSpPr>
        <dsp:cNvPr id="0" name=""/>
        <dsp:cNvSpPr/>
      </dsp:nvSpPr>
      <dsp:spPr>
        <a:xfrm rot="18000000">
          <a:off x="1440610" y="1055713"/>
          <a:ext cx="626589" cy="210353"/>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rtl="1">
            <a:lnSpc>
              <a:spcPct val="90000"/>
            </a:lnSpc>
            <a:spcBef>
              <a:spcPct val="0"/>
            </a:spcBef>
            <a:spcAft>
              <a:spcPct val="35000"/>
            </a:spcAft>
            <a:buNone/>
          </a:pPr>
          <a:endParaRPr lang="ar-SA" sz="700" kern="1200">
            <a:latin typeface="Sakkal Majalla" panose="02000000000000000000" pitchFamily="2" charset="-78"/>
            <a:cs typeface="Sakkal Majalla" panose="02000000000000000000" pitchFamily="2" charset="-78"/>
          </a:endParaRPr>
        </a:p>
      </dsp:txBody>
      <dsp:txXfrm>
        <a:off x="1503716" y="1097784"/>
        <a:ext cx="500377" cy="12621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0E3B98-CDEF-4B84-AE94-564DF9E2136D}">
      <dsp:nvSpPr>
        <dsp:cNvPr id="0" name=""/>
        <dsp:cNvSpPr/>
      </dsp:nvSpPr>
      <dsp:spPr>
        <a:xfrm>
          <a:off x="1914608" y="1214437"/>
          <a:ext cx="417426" cy="697282"/>
        </a:xfrm>
        <a:custGeom>
          <a:avLst/>
          <a:gdLst/>
          <a:ahLst/>
          <a:cxnLst/>
          <a:rect l="0" t="0" r="0" b="0"/>
          <a:pathLst>
            <a:path>
              <a:moveTo>
                <a:pt x="0" y="0"/>
              </a:moveTo>
              <a:lnTo>
                <a:pt x="208713" y="0"/>
              </a:lnTo>
              <a:lnTo>
                <a:pt x="208713" y="697282"/>
              </a:lnTo>
              <a:lnTo>
                <a:pt x="417426" y="69728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latin typeface="Sakkal Majalla" panose="02000000000000000000" pitchFamily="2" charset="-78"/>
            <a:cs typeface="Sakkal Majalla" panose="02000000000000000000" pitchFamily="2" charset="-78"/>
          </a:endParaRPr>
        </a:p>
      </dsp:txBody>
      <dsp:txXfrm>
        <a:off x="2103004" y="1542761"/>
        <a:ext cx="40633" cy="40633"/>
      </dsp:txXfrm>
    </dsp:sp>
    <dsp:sp modelId="{60CF16BD-C0EF-421A-AC33-148C5075A361}">
      <dsp:nvSpPr>
        <dsp:cNvPr id="0" name=""/>
        <dsp:cNvSpPr/>
      </dsp:nvSpPr>
      <dsp:spPr>
        <a:xfrm>
          <a:off x="1914608" y="1168717"/>
          <a:ext cx="302734" cy="91440"/>
        </a:xfrm>
        <a:custGeom>
          <a:avLst/>
          <a:gdLst/>
          <a:ahLst/>
          <a:cxnLst/>
          <a:rect l="0" t="0" r="0" b="0"/>
          <a:pathLst>
            <a:path>
              <a:moveTo>
                <a:pt x="0" y="45720"/>
              </a:moveTo>
              <a:lnTo>
                <a:pt x="302734" y="4572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latin typeface="Sakkal Majalla" panose="02000000000000000000" pitchFamily="2" charset="-78"/>
            <a:cs typeface="Sakkal Majalla" panose="02000000000000000000" pitchFamily="2" charset="-78"/>
          </a:endParaRPr>
        </a:p>
      </dsp:txBody>
      <dsp:txXfrm>
        <a:off x="2058407" y="1206869"/>
        <a:ext cx="15136" cy="15136"/>
      </dsp:txXfrm>
    </dsp:sp>
    <dsp:sp modelId="{CBF6D939-9E78-4A5A-B135-4262A1B6E458}">
      <dsp:nvSpPr>
        <dsp:cNvPr id="0" name=""/>
        <dsp:cNvSpPr/>
      </dsp:nvSpPr>
      <dsp:spPr>
        <a:xfrm>
          <a:off x="1914608" y="637579"/>
          <a:ext cx="302734" cy="576857"/>
        </a:xfrm>
        <a:custGeom>
          <a:avLst/>
          <a:gdLst/>
          <a:ahLst/>
          <a:cxnLst/>
          <a:rect l="0" t="0" r="0" b="0"/>
          <a:pathLst>
            <a:path>
              <a:moveTo>
                <a:pt x="0" y="576857"/>
              </a:moveTo>
              <a:lnTo>
                <a:pt x="151367" y="576857"/>
              </a:lnTo>
              <a:lnTo>
                <a:pt x="151367" y="0"/>
              </a:lnTo>
              <a:lnTo>
                <a:pt x="302734"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latin typeface="Sakkal Majalla" panose="02000000000000000000" pitchFamily="2" charset="-78"/>
            <a:cs typeface="Sakkal Majalla" panose="02000000000000000000" pitchFamily="2" charset="-78"/>
          </a:endParaRPr>
        </a:p>
      </dsp:txBody>
      <dsp:txXfrm>
        <a:off x="2049688" y="909721"/>
        <a:ext cx="32573" cy="32573"/>
      </dsp:txXfrm>
    </dsp:sp>
    <dsp:sp modelId="{5A75DB22-A7E7-4C02-B792-32E73A0A8573}">
      <dsp:nvSpPr>
        <dsp:cNvPr id="0" name=""/>
        <dsp:cNvSpPr/>
      </dsp:nvSpPr>
      <dsp:spPr>
        <a:xfrm rot="16200000">
          <a:off x="469427" y="983694"/>
          <a:ext cx="2428875" cy="46148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balanced" dir="t">
            <a:rot lat="0" lon="0" rev="8700000"/>
          </a:lightRig>
        </a:scene3d>
        <a:sp3d>
          <a:bevelT w="190500" h="38100"/>
        </a:sp3d>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EG" sz="2000" b="1" kern="1200">
              <a:latin typeface="Sakkal Majalla" panose="02000000000000000000" pitchFamily="2" charset="-78"/>
              <a:cs typeface="Sakkal Majalla" panose="02000000000000000000" pitchFamily="2" charset="-78"/>
            </a:rPr>
            <a:t>مصادر الطاقة المتجددة</a:t>
          </a:r>
          <a:endParaRPr lang="ar-SA" sz="2000" b="1" kern="1200">
            <a:latin typeface="Sakkal Majalla" panose="02000000000000000000" pitchFamily="2" charset="-78"/>
            <a:cs typeface="Sakkal Majalla" panose="02000000000000000000" pitchFamily="2" charset="-78"/>
          </a:endParaRPr>
        </a:p>
      </dsp:txBody>
      <dsp:txXfrm>
        <a:off x="469427" y="983694"/>
        <a:ext cx="2428875" cy="461486"/>
      </dsp:txXfrm>
    </dsp:sp>
    <dsp:sp modelId="{4AA979A1-05F7-4139-871A-20CCF19A006A}">
      <dsp:nvSpPr>
        <dsp:cNvPr id="0" name=""/>
        <dsp:cNvSpPr/>
      </dsp:nvSpPr>
      <dsp:spPr>
        <a:xfrm>
          <a:off x="2217343" y="406836"/>
          <a:ext cx="1513674" cy="46148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rtl="1">
            <a:lnSpc>
              <a:spcPct val="90000"/>
            </a:lnSpc>
            <a:spcBef>
              <a:spcPct val="0"/>
            </a:spcBef>
            <a:spcAft>
              <a:spcPct val="35000"/>
            </a:spcAft>
            <a:buNone/>
          </a:pPr>
          <a:r>
            <a:rPr lang="ar-EG" sz="1800" b="1" kern="1200">
              <a:latin typeface="Sakkal Majalla" panose="02000000000000000000" pitchFamily="2" charset="-78"/>
              <a:cs typeface="Sakkal Majalla" panose="02000000000000000000" pitchFamily="2" charset="-78"/>
            </a:rPr>
            <a:t>الطاقة الشمسية</a:t>
          </a:r>
          <a:endParaRPr lang="ar-SA" sz="1800" b="1" kern="1200">
            <a:latin typeface="Sakkal Majalla" panose="02000000000000000000" pitchFamily="2" charset="-78"/>
            <a:cs typeface="Sakkal Majalla" panose="02000000000000000000" pitchFamily="2" charset="-78"/>
          </a:endParaRPr>
        </a:p>
      </dsp:txBody>
      <dsp:txXfrm>
        <a:off x="2217343" y="406836"/>
        <a:ext cx="1513674" cy="461486"/>
      </dsp:txXfrm>
    </dsp:sp>
    <dsp:sp modelId="{62050C9E-3E48-4114-841C-B3FF035C926C}">
      <dsp:nvSpPr>
        <dsp:cNvPr id="0" name=""/>
        <dsp:cNvSpPr/>
      </dsp:nvSpPr>
      <dsp:spPr>
        <a:xfrm>
          <a:off x="2217343" y="983694"/>
          <a:ext cx="1513674" cy="46148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rtl="1">
            <a:lnSpc>
              <a:spcPct val="90000"/>
            </a:lnSpc>
            <a:spcBef>
              <a:spcPct val="0"/>
            </a:spcBef>
            <a:spcAft>
              <a:spcPct val="35000"/>
            </a:spcAft>
            <a:buNone/>
          </a:pPr>
          <a:r>
            <a:rPr lang="ar-EG" sz="1800" b="1" kern="1200">
              <a:latin typeface="Sakkal Majalla" panose="02000000000000000000" pitchFamily="2" charset="-78"/>
              <a:cs typeface="Sakkal Majalla" panose="02000000000000000000" pitchFamily="2" charset="-78"/>
            </a:rPr>
            <a:t>طاقة الرياح</a:t>
          </a:r>
          <a:endParaRPr lang="ar-SA" sz="1800" b="1" kern="1200">
            <a:latin typeface="Sakkal Majalla" panose="02000000000000000000" pitchFamily="2" charset="-78"/>
            <a:cs typeface="Sakkal Majalla" panose="02000000000000000000" pitchFamily="2" charset="-78"/>
          </a:endParaRPr>
        </a:p>
      </dsp:txBody>
      <dsp:txXfrm>
        <a:off x="2217343" y="983694"/>
        <a:ext cx="1513674" cy="461486"/>
      </dsp:txXfrm>
    </dsp:sp>
    <dsp:sp modelId="{43833A1A-FA00-4337-B436-7629BCC89D45}">
      <dsp:nvSpPr>
        <dsp:cNvPr id="0" name=""/>
        <dsp:cNvSpPr/>
      </dsp:nvSpPr>
      <dsp:spPr>
        <a:xfrm>
          <a:off x="2332034" y="1680977"/>
          <a:ext cx="1513674" cy="46148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rtl="1">
            <a:lnSpc>
              <a:spcPct val="90000"/>
            </a:lnSpc>
            <a:spcBef>
              <a:spcPct val="0"/>
            </a:spcBef>
            <a:spcAft>
              <a:spcPct val="35000"/>
            </a:spcAft>
            <a:buNone/>
          </a:pPr>
          <a:r>
            <a:rPr lang="ar-EG" sz="1800" b="1" kern="1200">
              <a:latin typeface="Sakkal Majalla" panose="02000000000000000000" pitchFamily="2" charset="-78"/>
              <a:cs typeface="Sakkal Majalla" panose="02000000000000000000" pitchFamily="2" charset="-78"/>
            </a:rPr>
            <a:t>الطاقة الكهرومائية</a:t>
          </a:r>
          <a:endParaRPr lang="ar-SA" sz="1800" b="1" kern="1200">
            <a:latin typeface="Sakkal Majalla" panose="02000000000000000000" pitchFamily="2" charset="-78"/>
            <a:cs typeface="Sakkal Majalla" panose="02000000000000000000" pitchFamily="2" charset="-78"/>
          </a:endParaRPr>
        </a:p>
      </dsp:txBody>
      <dsp:txXfrm>
        <a:off x="2332034" y="1680977"/>
        <a:ext cx="1513674" cy="46148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986814-2973-49E8-9C2B-CC02D9BD7F93}">
      <dsp:nvSpPr>
        <dsp:cNvPr id="0" name=""/>
        <dsp:cNvSpPr/>
      </dsp:nvSpPr>
      <dsp:spPr>
        <a:xfrm>
          <a:off x="1829453" y="266467"/>
          <a:ext cx="1827492" cy="1827492"/>
        </a:xfrm>
        <a:prstGeom prst="blockArc">
          <a:avLst>
            <a:gd name="adj1" fmla="val 12600000"/>
            <a:gd name="adj2" fmla="val 16200000"/>
            <a:gd name="adj3" fmla="val 4514"/>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4711AEB-D1E6-4365-8E14-0386D5BAC8F2}">
      <dsp:nvSpPr>
        <dsp:cNvPr id="0" name=""/>
        <dsp:cNvSpPr/>
      </dsp:nvSpPr>
      <dsp:spPr>
        <a:xfrm>
          <a:off x="1829453" y="266467"/>
          <a:ext cx="1827492" cy="1827492"/>
        </a:xfrm>
        <a:prstGeom prst="blockArc">
          <a:avLst>
            <a:gd name="adj1" fmla="val 9000000"/>
            <a:gd name="adj2" fmla="val 12600000"/>
            <a:gd name="adj3" fmla="val 4514"/>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6B04265-4495-4005-830B-9400652394DB}">
      <dsp:nvSpPr>
        <dsp:cNvPr id="0" name=""/>
        <dsp:cNvSpPr/>
      </dsp:nvSpPr>
      <dsp:spPr>
        <a:xfrm>
          <a:off x="1829453" y="266467"/>
          <a:ext cx="1827492" cy="1827492"/>
        </a:xfrm>
        <a:prstGeom prst="blockArc">
          <a:avLst>
            <a:gd name="adj1" fmla="val 5400000"/>
            <a:gd name="adj2" fmla="val 9000000"/>
            <a:gd name="adj3" fmla="val 4514"/>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0E152F1-5396-4CF1-8F43-21C97DD437BF}">
      <dsp:nvSpPr>
        <dsp:cNvPr id="0" name=""/>
        <dsp:cNvSpPr/>
      </dsp:nvSpPr>
      <dsp:spPr>
        <a:xfrm>
          <a:off x="1829453" y="266467"/>
          <a:ext cx="1827492" cy="1827492"/>
        </a:xfrm>
        <a:prstGeom prst="blockArc">
          <a:avLst>
            <a:gd name="adj1" fmla="val 1800000"/>
            <a:gd name="adj2" fmla="val 5400000"/>
            <a:gd name="adj3" fmla="val 4514"/>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5F7E496-67E2-4E92-92D4-EE2B7BFF27BF}">
      <dsp:nvSpPr>
        <dsp:cNvPr id="0" name=""/>
        <dsp:cNvSpPr/>
      </dsp:nvSpPr>
      <dsp:spPr>
        <a:xfrm>
          <a:off x="1829453" y="266467"/>
          <a:ext cx="1827492" cy="1827492"/>
        </a:xfrm>
        <a:prstGeom prst="blockArc">
          <a:avLst>
            <a:gd name="adj1" fmla="val 19800000"/>
            <a:gd name="adj2" fmla="val 1800000"/>
            <a:gd name="adj3" fmla="val 4514"/>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5869B80-725F-442C-9C2D-C924E870697C}">
      <dsp:nvSpPr>
        <dsp:cNvPr id="0" name=""/>
        <dsp:cNvSpPr/>
      </dsp:nvSpPr>
      <dsp:spPr>
        <a:xfrm>
          <a:off x="1829453" y="266467"/>
          <a:ext cx="1827492" cy="1827492"/>
        </a:xfrm>
        <a:prstGeom prst="blockArc">
          <a:avLst>
            <a:gd name="adj1" fmla="val 16200000"/>
            <a:gd name="adj2" fmla="val 19800000"/>
            <a:gd name="adj3" fmla="val 4514"/>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4E0E527-A3F2-4DCA-9508-01CE9E58F432}">
      <dsp:nvSpPr>
        <dsp:cNvPr id="0" name=""/>
        <dsp:cNvSpPr/>
      </dsp:nvSpPr>
      <dsp:spPr>
        <a:xfrm>
          <a:off x="2333997" y="771011"/>
          <a:ext cx="818405" cy="818405"/>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b="1" kern="1200">
              <a:latin typeface="Sakkal Majalla" panose="02000000000000000000" pitchFamily="2" charset="-78"/>
              <a:cs typeface="Sakkal Majalla" panose="02000000000000000000" pitchFamily="2" charset="-78"/>
            </a:rPr>
            <a:t>إدارة محطات توليد الطاقة </a:t>
          </a:r>
          <a:endParaRPr lang="ar-SA" sz="1100" b="1" kern="1200">
            <a:latin typeface="Sakkal Majalla" panose="02000000000000000000" pitchFamily="2" charset="-78"/>
            <a:cs typeface="Sakkal Majalla" panose="02000000000000000000" pitchFamily="2" charset="-78"/>
          </a:endParaRPr>
        </a:p>
      </dsp:txBody>
      <dsp:txXfrm>
        <a:off x="2453850" y="890864"/>
        <a:ext cx="578699" cy="578699"/>
      </dsp:txXfrm>
    </dsp:sp>
    <dsp:sp modelId="{D211C637-F7C0-4C6E-823A-4079B9E41B18}">
      <dsp:nvSpPr>
        <dsp:cNvPr id="0" name=""/>
        <dsp:cNvSpPr/>
      </dsp:nvSpPr>
      <dsp:spPr>
        <a:xfrm>
          <a:off x="2456757" y="649"/>
          <a:ext cx="572884" cy="57288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EG" sz="1000" b="1" kern="1200">
              <a:latin typeface="Sakkal Majalla" panose="02000000000000000000" pitchFamily="2" charset="-78"/>
              <a:cs typeface="Sakkal Majalla" panose="02000000000000000000" pitchFamily="2" charset="-78"/>
            </a:rPr>
            <a:t>تنظيم </a:t>
          </a:r>
          <a:endParaRPr lang="ar-SA" sz="1000" b="1" kern="1200">
            <a:latin typeface="Sakkal Majalla" panose="02000000000000000000" pitchFamily="2" charset="-78"/>
            <a:cs typeface="Sakkal Majalla" panose="02000000000000000000" pitchFamily="2" charset="-78"/>
          </a:endParaRPr>
        </a:p>
      </dsp:txBody>
      <dsp:txXfrm>
        <a:off x="2540654" y="84546"/>
        <a:ext cx="405090" cy="405090"/>
      </dsp:txXfrm>
    </dsp:sp>
    <dsp:sp modelId="{D2C9C448-0138-4F0F-9353-D9A47A31C680}">
      <dsp:nvSpPr>
        <dsp:cNvPr id="0" name=""/>
        <dsp:cNvSpPr/>
      </dsp:nvSpPr>
      <dsp:spPr>
        <a:xfrm>
          <a:off x="3230224" y="447210"/>
          <a:ext cx="572884" cy="57288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EG" sz="1000" b="1" kern="1200">
              <a:latin typeface="Sakkal Majalla" panose="02000000000000000000" pitchFamily="2" charset="-78"/>
              <a:cs typeface="Sakkal Majalla" panose="02000000000000000000" pitchFamily="2" charset="-78"/>
            </a:rPr>
            <a:t>رقابة</a:t>
          </a:r>
          <a:endParaRPr lang="ar-SA" sz="1000" b="1" kern="1200">
            <a:latin typeface="Sakkal Majalla" panose="02000000000000000000" pitchFamily="2" charset="-78"/>
            <a:cs typeface="Sakkal Majalla" panose="02000000000000000000" pitchFamily="2" charset="-78"/>
          </a:endParaRPr>
        </a:p>
      </dsp:txBody>
      <dsp:txXfrm>
        <a:off x="3314121" y="531107"/>
        <a:ext cx="405090" cy="405090"/>
      </dsp:txXfrm>
    </dsp:sp>
    <dsp:sp modelId="{CE041F78-6CAD-40B7-95B3-D58DD31FAF50}">
      <dsp:nvSpPr>
        <dsp:cNvPr id="0" name=""/>
        <dsp:cNvSpPr/>
      </dsp:nvSpPr>
      <dsp:spPr>
        <a:xfrm>
          <a:off x="3230224" y="1340333"/>
          <a:ext cx="572884" cy="57288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EG" sz="1000" b="1" kern="1200">
              <a:latin typeface="Sakkal Majalla" panose="02000000000000000000" pitchFamily="2" charset="-78"/>
              <a:cs typeface="Sakkal Majalla" panose="02000000000000000000" pitchFamily="2" charset="-78"/>
            </a:rPr>
            <a:t>توجيه</a:t>
          </a:r>
          <a:endParaRPr lang="ar-SA" sz="1000" b="1" kern="1200">
            <a:latin typeface="Sakkal Majalla" panose="02000000000000000000" pitchFamily="2" charset="-78"/>
            <a:cs typeface="Sakkal Majalla" panose="02000000000000000000" pitchFamily="2" charset="-78"/>
          </a:endParaRPr>
        </a:p>
      </dsp:txBody>
      <dsp:txXfrm>
        <a:off x="3314121" y="1424230"/>
        <a:ext cx="405090" cy="405090"/>
      </dsp:txXfrm>
    </dsp:sp>
    <dsp:sp modelId="{1775DC5E-35FD-4F65-9F76-5DAC2867B26F}">
      <dsp:nvSpPr>
        <dsp:cNvPr id="0" name=""/>
        <dsp:cNvSpPr/>
      </dsp:nvSpPr>
      <dsp:spPr>
        <a:xfrm>
          <a:off x="2456757" y="1786894"/>
          <a:ext cx="572884" cy="57288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EG" sz="1000" b="1" kern="1200">
              <a:latin typeface="Sakkal Majalla" panose="02000000000000000000" pitchFamily="2" charset="-78"/>
              <a:cs typeface="Sakkal Majalla" panose="02000000000000000000" pitchFamily="2" charset="-78"/>
            </a:rPr>
            <a:t>تنفيذ</a:t>
          </a:r>
          <a:endParaRPr lang="ar-SA" sz="1000" b="1" kern="1200">
            <a:latin typeface="Sakkal Majalla" panose="02000000000000000000" pitchFamily="2" charset="-78"/>
            <a:cs typeface="Sakkal Majalla" panose="02000000000000000000" pitchFamily="2" charset="-78"/>
          </a:endParaRPr>
        </a:p>
      </dsp:txBody>
      <dsp:txXfrm>
        <a:off x="2540654" y="1870791"/>
        <a:ext cx="405090" cy="405090"/>
      </dsp:txXfrm>
    </dsp:sp>
    <dsp:sp modelId="{B1874CB1-13E7-4578-9E16-E7EFE647F9E4}">
      <dsp:nvSpPr>
        <dsp:cNvPr id="0" name=""/>
        <dsp:cNvSpPr/>
      </dsp:nvSpPr>
      <dsp:spPr>
        <a:xfrm>
          <a:off x="1683291" y="1340333"/>
          <a:ext cx="572884" cy="57288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EG" sz="1000" b="1" kern="1200">
              <a:latin typeface="Sakkal Majalla" panose="02000000000000000000" pitchFamily="2" charset="-78"/>
              <a:cs typeface="Sakkal Majalla" panose="02000000000000000000" pitchFamily="2" charset="-78"/>
            </a:rPr>
            <a:t>توظيف</a:t>
          </a:r>
          <a:endParaRPr lang="ar-SA" sz="1000" b="1" kern="1200">
            <a:latin typeface="Sakkal Majalla" panose="02000000000000000000" pitchFamily="2" charset="-78"/>
            <a:cs typeface="Sakkal Majalla" panose="02000000000000000000" pitchFamily="2" charset="-78"/>
          </a:endParaRPr>
        </a:p>
      </dsp:txBody>
      <dsp:txXfrm>
        <a:off x="1767188" y="1424230"/>
        <a:ext cx="405090" cy="405090"/>
      </dsp:txXfrm>
    </dsp:sp>
    <dsp:sp modelId="{7EA7D6CF-6FCF-4368-9BAD-990E0FDE4EE7}">
      <dsp:nvSpPr>
        <dsp:cNvPr id="0" name=""/>
        <dsp:cNvSpPr/>
      </dsp:nvSpPr>
      <dsp:spPr>
        <a:xfrm>
          <a:off x="1683291" y="447210"/>
          <a:ext cx="572884" cy="57288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EG" sz="1000" b="1" kern="1200">
              <a:latin typeface="Sakkal Majalla" panose="02000000000000000000" pitchFamily="2" charset="-78"/>
              <a:cs typeface="Sakkal Majalla" panose="02000000000000000000" pitchFamily="2" charset="-78"/>
            </a:rPr>
            <a:t>تخطيط</a:t>
          </a:r>
          <a:endParaRPr lang="ar-SA" sz="1000" b="1" kern="1200">
            <a:latin typeface="Sakkal Majalla" panose="02000000000000000000" pitchFamily="2" charset="-78"/>
            <a:cs typeface="Sakkal Majalla" panose="02000000000000000000" pitchFamily="2" charset="-78"/>
          </a:endParaRPr>
        </a:p>
      </dsp:txBody>
      <dsp:txXfrm>
        <a:off x="1767188" y="531107"/>
        <a:ext cx="405090" cy="40509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4.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22</Pages>
  <Words>6493</Words>
  <Characters>37013</Characters>
  <Application>Microsoft Office Word</Application>
  <DocSecurity>0</DocSecurity>
  <Lines>308</Lines>
  <Paragraphs>86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dc:creator>
  <cp:keywords/>
  <dc:description/>
  <cp:lastModifiedBy>Abdullah Al Matar</cp:lastModifiedBy>
  <cp:revision>9</cp:revision>
  <dcterms:created xsi:type="dcterms:W3CDTF">2025-02-16T11:37:00Z</dcterms:created>
  <dcterms:modified xsi:type="dcterms:W3CDTF">2025-03-07T19:50:00Z</dcterms:modified>
</cp:coreProperties>
</file>