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260F7" w14:textId="77777777" w:rsidR="00C30465" w:rsidRPr="00C30465" w:rsidRDefault="00C30465" w:rsidP="00C30465">
      <w:pPr>
        <w:spacing w:line="259" w:lineRule="auto"/>
        <w:rPr>
          <w:rFonts w:ascii="Simplified Arabic" w:eastAsia="Calibri" w:hAnsi="Simplified Arabic" w:cs="Simplified Arabic"/>
          <w:rtl/>
        </w:rPr>
      </w:pPr>
      <w:bookmarkStart w:id="0" w:name="_Hlk202664108"/>
      <w:r w:rsidRPr="00C30465">
        <w:rPr>
          <w:rFonts w:ascii="Simplified Arabic" w:eastAsia="Calibri" w:hAnsi="Simplified Arabic" w:cs="Simplified Arabic"/>
          <w:b/>
          <w:noProof/>
          <w:sz w:val="20"/>
        </w:rPr>
        <w:drawing>
          <wp:anchor distT="0" distB="0" distL="114300" distR="114300" simplePos="0" relativeHeight="251662336" behindDoc="0" locked="0" layoutInCell="1" allowOverlap="1" wp14:anchorId="19DD2E07" wp14:editId="766E4114">
            <wp:simplePos x="0" y="0"/>
            <wp:positionH relativeFrom="margin">
              <wp:posOffset>349250</wp:posOffset>
            </wp:positionH>
            <wp:positionV relativeFrom="margin">
              <wp:posOffset>265430</wp:posOffset>
            </wp:positionV>
            <wp:extent cx="1692275" cy="742950"/>
            <wp:effectExtent l="0" t="0" r="3175" b="0"/>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14:paraId="541EDAB7" w14:textId="77777777" w:rsidR="00C30465" w:rsidRPr="00C30465" w:rsidRDefault="00C30465" w:rsidP="00C30465">
      <w:pPr>
        <w:spacing w:line="259" w:lineRule="auto"/>
        <w:rPr>
          <w:rFonts w:ascii="Simplified Arabic" w:eastAsia="Calibri" w:hAnsi="Simplified Arabic" w:cs="Simplified Arabic"/>
          <w:rtl/>
        </w:rPr>
      </w:pPr>
      <w:r w:rsidRPr="00C30465">
        <w:rPr>
          <w:rFonts w:ascii="Simplified Arabic" w:eastAsia="Calibri" w:hAnsi="Simplified Arabic" w:cs="Simplified Arabic"/>
          <w:noProof/>
        </w:rPr>
        <mc:AlternateContent>
          <mc:Choice Requires="wps">
            <w:drawing>
              <wp:anchor distT="45720" distB="45720" distL="114300" distR="114300" simplePos="0" relativeHeight="251661312" behindDoc="0" locked="0" layoutInCell="1" allowOverlap="1" wp14:anchorId="65596D6B" wp14:editId="32C7860D">
                <wp:simplePos x="0" y="0"/>
                <wp:positionH relativeFrom="column">
                  <wp:posOffset>4333875</wp:posOffset>
                </wp:positionH>
                <wp:positionV relativeFrom="paragraph">
                  <wp:posOffset>10795</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336F3DC2" w14:textId="77777777" w:rsidR="00C30465" w:rsidRPr="00A61448" w:rsidRDefault="00C30465" w:rsidP="00C30465">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4DA10E1F" w14:textId="77777777" w:rsidR="00C30465" w:rsidRPr="00433E24" w:rsidRDefault="00C30465" w:rsidP="00C30465">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596D6B" id="_x0000_t202" coordsize="21600,21600" o:spt="202" path="m,l,21600r21600,l21600,xe">
                <v:stroke joinstyle="miter"/>
                <v:path gradientshapeok="t" o:connecttype="rect"/>
              </v:shapetype>
              <v:shape id="Text Box 2" o:spid="_x0000_s1026" type="#_x0000_t202" style="position:absolute;margin-left:341.25pt;margin-top:.85pt;width:155.25pt;height:6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" stroked="f">
                <v:textbox>
                  <w:txbxContent>
                    <w:p w14:paraId="336F3DC2" w14:textId="77777777" w:rsidR="00C30465" w:rsidRPr="00A61448" w:rsidRDefault="00C30465" w:rsidP="00C30465">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4DA10E1F" w14:textId="77777777" w:rsidR="00C30465" w:rsidRPr="00433E24" w:rsidRDefault="00C30465" w:rsidP="00C30465">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p>
    <w:p w14:paraId="3EB98967" w14:textId="77777777" w:rsidR="00C30465" w:rsidRPr="00C30465" w:rsidRDefault="00C30465" w:rsidP="00C30465">
      <w:pPr>
        <w:spacing w:line="259" w:lineRule="auto"/>
        <w:rPr>
          <w:rFonts w:ascii="Simplified Arabic" w:eastAsia="Calibri" w:hAnsi="Simplified Arabic" w:cs="Simplified Arabic"/>
          <w:rtl/>
        </w:rPr>
      </w:pPr>
    </w:p>
    <w:p w14:paraId="6ED915F9" w14:textId="77777777" w:rsidR="00C30465" w:rsidRPr="00C30465" w:rsidRDefault="00C30465" w:rsidP="00C30465">
      <w:pPr>
        <w:spacing w:line="259" w:lineRule="auto"/>
        <w:rPr>
          <w:rFonts w:ascii="Simplified Arabic" w:eastAsia="Calibri" w:hAnsi="Simplified Arabic" w:cs="Simplified Arabic"/>
          <w:rtl/>
        </w:rPr>
      </w:pPr>
    </w:p>
    <w:p w14:paraId="192CDE55" w14:textId="77777777" w:rsidR="00C30465" w:rsidRPr="00C30465" w:rsidRDefault="00C30465" w:rsidP="00C30465">
      <w:pPr>
        <w:spacing w:line="259" w:lineRule="auto"/>
        <w:rPr>
          <w:rFonts w:ascii="Simplified Arabic" w:eastAsia="Calibri" w:hAnsi="Simplified Arabic" w:cs="Simplified Arabic"/>
          <w:rtl/>
        </w:rPr>
      </w:pPr>
    </w:p>
    <w:p w14:paraId="3FAB37A5" w14:textId="77777777" w:rsidR="00C30465" w:rsidRPr="00C30465" w:rsidRDefault="00C30465" w:rsidP="00C30465">
      <w:pPr>
        <w:spacing w:line="259" w:lineRule="auto"/>
        <w:rPr>
          <w:rFonts w:ascii="Simplified Arabic" w:eastAsia="Calibri" w:hAnsi="Simplified Arabic" w:cs="Simplified Arabic"/>
          <w:b/>
          <w:bCs/>
          <w:sz w:val="18"/>
          <w:szCs w:val="18"/>
          <w:rtl/>
        </w:rPr>
      </w:pPr>
    </w:p>
    <w:p w14:paraId="2682917B" w14:textId="77777777" w:rsidR="00C30465" w:rsidRPr="00C30465" w:rsidRDefault="00C30465" w:rsidP="00C30465">
      <w:pPr>
        <w:jc w:val="center"/>
        <w:rPr>
          <w:rFonts w:ascii="Simplified Arabic" w:eastAsia="Calibri" w:hAnsi="Simplified Arabic" w:cs="Simplified Arabic"/>
          <w:b/>
          <w:bCs/>
          <w:sz w:val="32"/>
          <w:szCs w:val="32"/>
          <w:rtl/>
          <w:lang w:bidi="ar-EG"/>
        </w:rPr>
      </w:pPr>
      <w:r w:rsidRPr="00C30465">
        <w:rPr>
          <w:rFonts w:ascii="Simplified Arabic" w:eastAsia="Calibri" w:hAnsi="Simplified Arabic" w:cs="Simplified Arabic"/>
          <w:b/>
          <w:bCs/>
          <w:sz w:val="32"/>
          <w:szCs w:val="32"/>
          <w:rtl/>
        </w:rPr>
        <w:t>الحوكمة الفعالة لضمان استدامة ونجاح شركات الأمن السيبراني الناشئة في المملكة العربية السعودية</w:t>
      </w:r>
    </w:p>
    <w:p w14:paraId="6A45E057" w14:textId="77777777" w:rsidR="00C30465" w:rsidRPr="00C30465" w:rsidRDefault="00C30465" w:rsidP="00C30465">
      <w:pPr>
        <w:spacing w:line="259" w:lineRule="auto"/>
        <w:jc w:val="center"/>
        <w:rPr>
          <w:rFonts w:ascii="Simplified Arabic" w:eastAsia="Calibri" w:hAnsi="Simplified Arabic" w:cs="Simplified Arabic"/>
          <w:b/>
          <w:bCs/>
        </w:rPr>
      </w:pPr>
      <w:r w:rsidRPr="00C30465">
        <w:rPr>
          <w:rFonts w:ascii="Simplified Arabic" w:eastAsia="Calibri" w:hAnsi="Simplified Arabic" w:cs="Simplified Arabic"/>
          <w:b/>
          <w:bCs/>
          <w:rtl/>
        </w:rPr>
        <w:t>دراسة تطبيقية على 3 شركات ناشئة في مجال الأمن السيبراني في المملكة العربية السعودية</w:t>
      </w:r>
    </w:p>
    <w:p w14:paraId="7A13DBAB" w14:textId="77777777" w:rsidR="00C30465" w:rsidRDefault="00C30465" w:rsidP="00C30465">
      <w:pPr>
        <w:jc w:val="center"/>
        <w:rPr>
          <w:rFonts w:ascii="Simplified Arabic" w:eastAsia="Calibri" w:hAnsi="Simplified Arabic" w:cs="Simplified Arabic"/>
          <w:b/>
          <w:bCs/>
          <w:sz w:val="6"/>
          <w:szCs w:val="6"/>
          <w:lang w:bidi="ar-EG"/>
        </w:rPr>
      </w:pPr>
    </w:p>
    <w:p w14:paraId="0557BC11" w14:textId="77777777" w:rsidR="00C30465" w:rsidRPr="00C30465" w:rsidRDefault="00C30465" w:rsidP="00C30465">
      <w:pPr>
        <w:jc w:val="center"/>
        <w:rPr>
          <w:rFonts w:ascii="Simplified Arabic" w:eastAsia="Calibri" w:hAnsi="Simplified Arabic" w:cs="Simplified Arabic"/>
          <w:b/>
          <w:bCs/>
          <w:sz w:val="6"/>
          <w:szCs w:val="6"/>
          <w:rtl/>
          <w:lang w:bidi="ar-EG"/>
        </w:rPr>
      </w:pPr>
    </w:p>
    <w:p w14:paraId="1BD98CE2" w14:textId="4269A759" w:rsidR="00C30465" w:rsidRPr="00C30465" w:rsidRDefault="00C30465" w:rsidP="00C30465">
      <w:pPr>
        <w:spacing w:line="259" w:lineRule="auto"/>
        <w:jc w:val="center"/>
        <w:rPr>
          <w:rFonts w:ascii="Simplified Arabic" w:eastAsia="Calibri" w:hAnsi="Simplified Arabic" w:cs="Simplified Arabic"/>
          <w:b/>
          <w:bCs/>
          <w:sz w:val="22"/>
          <w:szCs w:val="22"/>
        </w:rPr>
      </w:pPr>
      <w:r w:rsidRPr="00C30465">
        <w:rPr>
          <w:rFonts w:ascii="Simplified Arabic" w:eastAsia="Calibri" w:hAnsi="Simplified Arabic" w:cs="Simplified Arabic"/>
          <w:b/>
          <w:bCs/>
          <w:sz w:val="22"/>
          <w:szCs w:val="22"/>
          <w:rtl/>
        </w:rPr>
        <w:t>لتسجيل لدرجة الدكتوراه</w:t>
      </w:r>
    </w:p>
    <w:p w14:paraId="6DE282BA" w14:textId="77777777" w:rsidR="00C30465" w:rsidRPr="00C30465" w:rsidRDefault="00C30465" w:rsidP="00C30465">
      <w:pPr>
        <w:spacing w:line="259" w:lineRule="auto"/>
        <w:jc w:val="center"/>
        <w:rPr>
          <w:rFonts w:ascii="Simplified Arabic" w:eastAsia="Calibri" w:hAnsi="Simplified Arabic" w:cs="Simplified Arabic"/>
          <w:lang w:bidi="ar-EG"/>
        </w:rPr>
      </w:pPr>
    </w:p>
    <w:p w14:paraId="4D8AC46A" w14:textId="77777777" w:rsidR="00C30465" w:rsidRPr="00C30465" w:rsidRDefault="00C30465" w:rsidP="00C30465">
      <w:pPr>
        <w:spacing w:line="259" w:lineRule="auto"/>
        <w:jc w:val="center"/>
        <w:rPr>
          <w:rFonts w:ascii="Simplified Arabic" w:eastAsia="Calibri" w:hAnsi="Simplified Arabic" w:cs="Simplified Arabic"/>
          <w:sz w:val="28"/>
          <w:szCs w:val="32"/>
          <w:rtl/>
        </w:rPr>
      </w:pPr>
      <w:r w:rsidRPr="00C30465">
        <w:rPr>
          <w:rFonts w:ascii="Simplified Arabic" w:eastAsia="Calibri" w:hAnsi="Simplified Arabic" w:cs="Simplified Arabic"/>
          <w:sz w:val="28"/>
          <w:szCs w:val="32"/>
          <w:rtl/>
        </w:rPr>
        <w:t xml:space="preserve">مقدم من: </w:t>
      </w:r>
    </w:p>
    <w:p w14:paraId="5F9DE3D5" w14:textId="77777777" w:rsidR="00C30465" w:rsidRPr="00C30465" w:rsidRDefault="00C30465" w:rsidP="00C30465">
      <w:pPr>
        <w:spacing w:line="259" w:lineRule="auto"/>
        <w:jc w:val="center"/>
        <w:rPr>
          <w:rFonts w:ascii="Simplified Arabic" w:eastAsia="Calibri" w:hAnsi="Simplified Arabic" w:cs="Simplified Arabic"/>
          <w:b/>
          <w:bCs/>
          <w:sz w:val="32"/>
          <w:szCs w:val="32"/>
          <w:rtl/>
          <w:lang w:bidi="ar-EG"/>
        </w:rPr>
      </w:pPr>
      <w:r w:rsidRPr="00C30465">
        <w:rPr>
          <w:rFonts w:ascii="Simplified Arabic" w:eastAsia="Calibri" w:hAnsi="Simplified Arabic" w:cs="Simplified Arabic"/>
          <w:b/>
          <w:bCs/>
          <w:sz w:val="32"/>
          <w:szCs w:val="32"/>
          <w:rtl/>
        </w:rPr>
        <w:t>اسم الباحث: محمد عبد العزيز الدريويش</w:t>
      </w:r>
    </w:p>
    <w:p w14:paraId="473A4D9A" w14:textId="77777777" w:rsidR="00C30465" w:rsidRPr="00C30465" w:rsidRDefault="00C30465" w:rsidP="00C30465">
      <w:pPr>
        <w:spacing w:line="259" w:lineRule="auto"/>
        <w:jc w:val="center"/>
        <w:rPr>
          <w:rFonts w:ascii="Simplified Arabic" w:eastAsia="Calibri" w:hAnsi="Simplified Arabic" w:cs="Simplified Arabic"/>
          <w:b/>
          <w:bCs/>
          <w:rtl/>
          <w:lang w:bidi="ar-EG"/>
        </w:rPr>
      </w:pPr>
      <w:r w:rsidRPr="00C30465">
        <w:rPr>
          <w:rFonts w:ascii="Simplified Arabic" w:eastAsia="Calibri" w:hAnsi="Simplified Arabic" w:cs="Simplified Arabic"/>
          <w:b/>
          <w:bCs/>
          <w:rtl/>
        </w:rPr>
        <w:t>الرقم الأكاديمي: 2021206617</w:t>
      </w:r>
    </w:p>
    <w:p w14:paraId="22BFE404" w14:textId="77777777" w:rsidR="00C30465" w:rsidRPr="00C30465" w:rsidRDefault="00C30465" w:rsidP="00C30465">
      <w:pPr>
        <w:spacing w:line="259" w:lineRule="auto"/>
        <w:jc w:val="center"/>
        <w:rPr>
          <w:rFonts w:ascii="Simplified Arabic" w:eastAsia="Calibri" w:hAnsi="Simplified Arabic" w:cs="Simplified Arabic"/>
          <w:rtl/>
        </w:rPr>
      </w:pPr>
    </w:p>
    <w:p w14:paraId="369B237A" w14:textId="4698B10E" w:rsidR="00C30465" w:rsidRPr="00C30465" w:rsidRDefault="00C30465" w:rsidP="00C30465">
      <w:pPr>
        <w:bidi/>
        <w:spacing w:line="259" w:lineRule="auto"/>
        <w:jc w:val="center"/>
        <w:rPr>
          <w:rFonts w:ascii="Simplified Arabic" w:eastAsia="Calibri" w:hAnsi="Simplified Arabic" w:cs="Simplified Arabic"/>
        </w:rPr>
      </w:pPr>
      <w:r w:rsidRPr="00C30465">
        <w:rPr>
          <w:rFonts w:ascii="Simplified Arabic" w:eastAsia="Calibri" w:hAnsi="Simplified Arabic" w:cs="Simplified Arabic"/>
          <w:rtl/>
        </w:rPr>
        <w:t>144</w:t>
      </w:r>
      <w:r w:rsidR="008F1638">
        <w:rPr>
          <w:rFonts w:ascii="Simplified Arabic" w:eastAsia="Calibri" w:hAnsi="Simplified Arabic" w:cs="Simplified Arabic" w:hint="cs"/>
          <w:rtl/>
        </w:rPr>
        <w:t>7</w:t>
      </w:r>
      <w:r w:rsidRPr="00C30465">
        <w:rPr>
          <w:rFonts w:ascii="Simplified Arabic" w:eastAsia="Calibri" w:hAnsi="Simplified Arabic" w:cs="Simplified Arabic"/>
          <w:rtl/>
        </w:rPr>
        <w:t xml:space="preserve"> هـ - 2025 م</w:t>
      </w:r>
    </w:p>
    <w:p w14:paraId="15B82EAB" w14:textId="19366459" w:rsidR="00B60B21" w:rsidRPr="00C30465" w:rsidRDefault="00C30465" w:rsidP="00C30465">
      <w:pPr>
        <w:bidi/>
        <w:spacing w:line="259" w:lineRule="auto"/>
        <w:jc w:val="center"/>
        <w:rPr>
          <w:rFonts w:ascii="Simplified Arabic" w:eastAsiaTheme="majorEastAsia" w:hAnsi="Simplified Arabic" w:cs="Simplified Arabic"/>
          <w:b/>
          <w:bCs/>
          <w:kern w:val="0"/>
          <w:sz w:val="32"/>
          <w:szCs w:val="32"/>
          <w:rtl/>
          <w14:ligatures w14:val="none"/>
        </w:rPr>
      </w:pPr>
      <w:r w:rsidRPr="00C30465">
        <w:rPr>
          <w:rFonts w:ascii="Simplified Arabic" w:eastAsia="Calibri" w:hAnsi="Simplified Arabic" w:cs="Simplified Arabic"/>
        </w:rPr>
        <w:br w:type="page"/>
      </w:r>
      <w:r w:rsidR="00B60B21" w:rsidRPr="00C30465">
        <w:rPr>
          <w:rFonts w:ascii="Simplified Arabic" w:eastAsiaTheme="majorEastAsia" w:hAnsi="Simplified Arabic" w:cs="Simplified Arabic"/>
          <w:b/>
          <w:bCs/>
          <w:kern w:val="0"/>
          <w:sz w:val="32"/>
          <w:szCs w:val="32"/>
          <w:rtl/>
          <w14:ligatures w14:val="none"/>
        </w:rPr>
        <w:lastRenderedPageBreak/>
        <w:t xml:space="preserve">الفصل </w:t>
      </w:r>
      <w:r w:rsidR="00F87206" w:rsidRPr="00C30465">
        <w:rPr>
          <w:rFonts w:ascii="Simplified Arabic" w:eastAsiaTheme="majorEastAsia" w:hAnsi="Simplified Arabic" w:cs="Simplified Arabic"/>
          <w:b/>
          <w:bCs/>
          <w:kern w:val="0"/>
          <w:sz w:val="32"/>
          <w:szCs w:val="32"/>
          <w:rtl/>
          <w:lang w:bidi="ar-EG"/>
          <w14:ligatures w14:val="none"/>
        </w:rPr>
        <w:t>الثاني</w:t>
      </w:r>
      <w:r w:rsidR="00B60B21" w:rsidRPr="00C30465">
        <w:rPr>
          <w:rFonts w:ascii="Simplified Arabic" w:eastAsiaTheme="majorEastAsia" w:hAnsi="Simplified Arabic" w:cs="Simplified Arabic"/>
          <w:b/>
          <w:bCs/>
          <w:kern w:val="0"/>
          <w:sz w:val="32"/>
          <w:szCs w:val="32"/>
          <w:rtl/>
          <w14:ligatures w14:val="none"/>
        </w:rPr>
        <w:t>: الحوكمة الفعالة في</w:t>
      </w:r>
      <w:r w:rsidR="00B60B21" w:rsidRPr="00C30465">
        <w:rPr>
          <w:rFonts w:ascii="Simplified Arabic" w:eastAsiaTheme="majorEastAsia" w:hAnsi="Simplified Arabic" w:cs="Simplified Arabic"/>
          <w:b/>
          <w:bCs/>
          <w:kern w:val="0"/>
          <w:sz w:val="32"/>
          <w:szCs w:val="32"/>
          <w14:ligatures w14:val="none"/>
        </w:rPr>
        <w:t xml:space="preserve"> </w:t>
      </w:r>
      <w:r w:rsidR="00B60B21" w:rsidRPr="00C30465">
        <w:rPr>
          <w:rFonts w:ascii="Simplified Arabic" w:eastAsiaTheme="majorEastAsia" w:hAnsi="Simplified Arabic" w:cs="Simplified Arabic"/>
          <w:b/>
          <w:bCs/>
          <w:kern w:val="0"/>
          <w:sz w:val="32"/>
          <w:szCs w:val="32"/>
          <w:rtl/>
          <w:lang w:bidi="ar-EG"/>
          <w14:ligatures w14:val="none"/>
        </w:rPr>
        <w:t>ال</w:t>
      </w:r>
      <w:r w:rsidR="00B60B21" w:rsidRPr="00C30465">
        <w:rPr>
          <w:rFonts w:ascii="Simplified Arabic" w:eastAsiaTheme="majorEastAsia" w:hAnsi="Simplified Arabic" w:cs="Simplified Arabic"/>
          <w:b/>
          <w:bCs/>
          <w:kern w:val="0"/>
          <w:sz w:val="32"/>
          <w:szCs w:val="32"/>
          <w:rtl/>
          <w14:ligatures w14:val="none"/>
        </w:rPr>
        <w:t>شركات الناشئة</w:t>
      </w:r>
    </w:p>
    <w:p w14:paraId="55E319B5" w14:textId="77777777" w:rsidR="00B60B21" w:rsidRPr="00C30465" w:rsidRDefault="00B60B21" w:rsidP="00B60B21">
      <w:pPr>
        <w:bidi/>
        <w:spacing w:before="240" w:after="0" w:line="240" w:lineRule="auto"/>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مقدمة:</w:t>
      </w:r>
    </w:p>
    <w:p w14:paraId="452798C5" w14:textId="182C5817" w:rsidR="005906A6" w:rsidRPr="00C30465" w:rsidRDefault="005906A6" w:rsidP="006B1597">
      <w:pPr>
        <w:bidi/>
        <w:spacing w:after="0" w:line="240" w:lineRule="auto"/>
        <w:rPr>
          <w:rFonts w:ascii="Simplified Arabic" w:eastAsia="Times New Roman" w:hAnsi="Simplified Arabic" w:cs="Simplified Arabic"/>
          <w:b/>
          <w:bCs/>
          <w:kern w:val="0"/>
          <w:sz w:val="28"/>
          <w:szCs w:val="28"/>
          <w:rtl/>
          <w14:ligatures w14:val="none"/>
        </w:rPr>
      </w:pPr>
      <w:bookmarkStart w:id="1" w:name="_Hlk204044462"/>
      <w:r w:rsidRPr="00C30465">
        <w:rPr>
          <w:rFonts w:ascii="Simplified Arabic" w:eastAsia="Times New Roman" w:hAnsi="Simplified Arabic" w:cs="Simplified Arabic"/>
          <w:b/>
          <w:bCs/>
          <w:kern w:val="0"/>
          <w:sz w:val="28"/>
          <w:szCs w:val="28"/>
          <w:rtl/>
          <w14:ligatures w14:val="none"/>
        </w:rPr>
        <w:t xml:space="preserve">المبحث الأول: </w:t>
      </w:r>
      <w:bookmarkEnd w:id="1"/>
      <w:r w:rsidR="00886661" w:rsidRPr="00C30465">
        <w:rPr>
          <w:rFonts w:ascii="Simplified Arabic" w:eastAsia="Times New Roman" w:hAnsi="Simplified Arabic" w:cs="Simplified Arabic"/>
          <w:b/>
          <w:bCs/>
          <w:kern w:val="0"/>
          <w:sz w:val="28"/>
          <w:szCs w:val="28"/>
          <w:rtl/>
          <w14:ligatures w14:val="none"/>
        </w:rPr>
        <w:t xml:space="preserve">مدخل إلى </w:t>
      </w:r>
      <w:r w:rsidRPr="00C30465">
        <w:rPr>
          <w:rFonts w:ascii="Simplified Arabic" w:eastAsia="Times New Roman" w:hAnsi="Simplified Arabic" w:cs="Simplified Arabic"/>
          <w:b/>
          <w:bCs/>
          <w:kern w:val="0"/>
          <w:sz w:val="28"/>
          <w:szCs w:val="28"/>
          <w:rtl/>
          <w14:ligatures w14:val="none"/>
        </w:rPr>
        <w:t>الحوكمة.</w:t>
      </w:r>
    </w:p>
    <w:p w14:paraId="76308522" w14:textId="481F6329" w:rsidR="00886661" w:rsidRPr="00C30465" w:rsidRDefault="00C94B83" w:rsidP="00886661">
      <w:pPr>
        <w:bidi/>
        <w:spacing w:after="0" w:line="240" w:lineRule="auto"/>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 xml:space="preserve">- 2/1/1: </w:t>
      </w:r>
      <w:r w:rsidR="00886661" w:rsidRPr="00C30465">
        <w:rPr>
          <w:rFonts w:ascii="Simplified Arabic" w:eastAsia="Times New Roman" w:hAnsi="Simplified Arabic" w:cs="Simplified Arabic"/>
          <w:kern w:val="0"/>
          <w:sz w:val="28"/>
          <w:szCs w:val="28"/>
          <w:rtl/>
          <w14:ligatures w14:val="none"/>
        </w:rPr>
        <w:t>نشأة الحوكمة</w:t>
      </w:r>
    </w:p>
    <w:p w14:paraId="7A79D9E5" w14:textId="380DCF5B" w:rsidR="00C94B83" w:rsidRPr="00C30465" w:rsidRDefault="00C94B83" w:rsidP="0088666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- 2/1/2:</w:t>
      </w:r>
      <w:bookmarkStart w:id="2" w:name="_Hlk202722699"/>
      <w:r w:rsidR="00886661" w:rsidRPr="00C30465">
        <w:rPr>
          <w:rFonts w:ascii="Simplified Arabic" w:eastAsia="Times New Roman" w:hAnsi="Simplified Arabic" w:cs="Simplified Arabic"/>
          <w:kern w:val="0"/>
          <w:sz w:val="28"/>
          <w:szCs w:val="28"/>
          <w:rtl/>
          <w14:ligatures w14:val="none"/>
        </w:rPr>
        <w:t xml:space="preserve"> أهمية </w:t>
      </w:r>
      <w:bookmarkStart w:id="3" w:name="_Hlk202723713"/>
      <w:r w:rsidR="00886661" w:rsidRPr="00C30465">
        <w:rPr>
          <w:rFonts w:ascii="Simplified Arabic" w:eastAsia="Times New Roman" w:hAnsi="Simplified Arabic" w:cs="Simplified Arabic"/>
          <w:kern w:val="0"/>
          <w:sz w:val="28"/>
          <w:szCs w:val="28"/>
          <w:rtl/>
          <w14:ligatures w14:val="none"/>
        </w:rPr>
        <w:t>الحوكمة بالنسبة لشركات الأمن السيبراني الناشئة.</w:t>
      </w:r>
      <w:bookmarkEnd w:id="2"/>
      <w:bookmarkEnd w:id="3"/>
    </w:p>
    <w:p w14:paraId="71CCEB7C" w14:textId="6EAFA32C" w:rsidR="00886661" w:rsidRPr="00C30465" w:rsidRDefault="00C94B83" w:rsidP="00886661">
      <w:pPr>
        <w:bidi/>
        <w:spacing w:after="0" w:line="240" w:lineRule="auto"/>
        <w:rPr>
          <w:rFonts w:ascii="Simplified Arabic" w:eastAsia="Times New Roman" w:hAnsi="Simplified Arabic" w:cs="Simplified Arabic"/>
          <w:kern w:val="0"/>
          <w:sz w:val="28"/>
          <w:szCs w:val="28"/>
          <w:rtl/>
          <w14:ligatures w14:val="none"/>
        </w:rPr>
      </w:pPr>
      <w:bookmarkStart w:id="4" w:name="_Hlk204044546"/>
      <w:r w:rsidRPr="00C30465">
        <w:rPr>
          <w:rFonts w:ascii="Simplified Arabic" w:eastAsia="Times New Roman" w:hAnsi="Simplified Arabic" w:cs="Simplified Arabic"/>
          <w:kern w:val="0"/>
          <w:sz w:val="28"/>
          <w:szCs w:val="28"/>
          <w:rtl/>
          <w14:ligatures w14:val="none"/>
        </w:rPr>
        <w:t>- 2/1/3:</w:t>
      </w:r>
      <w:r w:rsidR="00886661" w:rsidRPr="00C30465">
        <w:rPr>
          <w:rFonts w:ascii="Simplified Arabic" w:eastAsia="Times New Roman" w:hAnsi="Simplified Arabic" w:cs="Simplified Arabic"/>
          <w:kern w:val="0"/>
          <w:sz w:val="28"/>
          <w:szCs w:val="28"/>
          <w:rtl/>
          <w14:ligatures w14:val="none"/>
        </w:rPr>
        <w:t xml:space="preserve"> </w:t>
      </w:r>
      <w:bookmarkEnd w:id="4"/>
      <w:r w:rsidR="00886661" w:rsidRPr="00C30465">
        <w:rPr>
          <w:rFonts w:ascii="Simplified Arabic" w:eastAsia="Times New Roman" w:hAnsi="Simplified Arabic" w:cs="Simplified Arabic"/>
          <w:kern w:val="0"/>
          <w:sz w:val="28"/>
          <w:szCs w:val="28"/>
          <w:rtl/>
          <w14:ligatures w14:val="none"/>
        </w:rPr>
        <w:t>أهداف الحوكمة بالنسبة للشركات الناشئة.</w:t>
      </w:r>
    </w:p>
    <w:p w14:paraId="1EB36213" w14:textId="2A133698" w:rsidR="00886661" w:rsidRPr="00C30465" w:rsidRDefault="00886661" w:rsidP="00886661">
      <w:pPr>
        <w:bidi/>
        <w:spacing w:after="0" w:line="240" w:lineRule="auto"/>
        <w:rPr>
          <w:rFonts w:ascii="Simplified Arabic" w:eastAsia="Times New Roman" w:hAnsi="Simplified Arabic" w:cs="Simplified Arabic"/>
          <w:kern w:val="0"/>
          <w:sz w:val="28"/>
          <w:szCs w:val="28"/>
          <w:rtl/>
          <w14:ligatures w14:val="none"/>
        </w:rPr>
      </w:pPr>
      <w:bookmarkStart w:id="5" w:name="_Hlk204044610"/>
      <w:r w:rsidRPr="00C30465">
        <w:rPr>
          <w:rFonts w:ascii="Simplified Arabic" w:eastAsia="Times New Roman" w:hAnsi="Simplified Arabic" w:cs="Simplified Arabic"/>
          <w:kern w:val="0"/>
          <w:sz w:val="28"/>
          <w:szCs w:val="28"/>
          <w:rtl/>
          <w14:ligatures w14:val="none"/>
        </w:rPr>
        <w:t xml:space="preserve">- 2/1/4: </w:t>
      </w:r>
      <w:bookmarkStart w:id="6" w:name="_Hlk202758984"/>
      <w:bookmarkEnd w:id="5"/>
      <w:r w:rsidRPr="00C30465">
        <w:rPr>
          <w:rFonts w:ascii="Simplified Arabic" w:eastAsia="Times New Roman" w:hAnsi="Simplified Arabic" w:cs="Simplified Arabic"/>
          <w:kern w:val="0"/>
          <w:sz w:val="28"/>
          <w:szCs w:val="28"/>
          <w:rtl/>
          <w14:ligatures w14:val="none"/>
        </w:rPr>
        <w:t>عناصر الحوكمة بالنسبة لشركات الأمن السيبراني.</w:t>
      </w:r>
    </w:p>
    <w:p w14:paraId="4AE0409D" w14:textId="7D030E93" w:rsidR="00C94BE9" w:rsidRPr="00C30465" w:rsidRDefault="00E83510" w:rsidP="00C94BE9">
      <w:pPr>
        <w:bidi/>
        <w:spacing w:after="0" w:line="240" w:lineRule="auto"/>
        <w:rPr>
          <w:rFonts w:ascii="Simplified Arabic" w:eastAsia="Times New Roman" w:hAnsi="Simplified Arabic" w:cs="Simplified Arabic"/>
          <w:kern w:val="0"/>
          <w:sz w:val="28"/>
          <w:szCs w:val="28"/>
          <w14:ligatures w14:val="none"/>
        </w:rPr>
      </w:pPr>
      <w:bookmarkStart w:id="7" w:name="_Hlk204045338"/>
      <w:r w:rsidRPr="00C30465">
        <w:rPr>
          <w:rFonts w:ascii="Simplified Arabic" w:eastAsia="Times New Roman" w:hAnsi="Simplified Arabic" w:cs="Simplified Arabic"/>
          <w:kern w:val="0"/>
          <w:sz w:val="28"/>
          <w:szCs w:val="28"/>
          <w:rtl/>
          <w14:ligatures w14:val="none"/>
        </w:rPr>
        <w:t>- 2/1/5:</w:t>
      </w:r>
      <w:bookmarkEnd w:id="7"/>
      <w:r w:rsidR="00C94BE9" w:rsidRPr="00C30465">
        <w:rPr>
          <w:rFonts w:ascii="Simplified Arabic" w:eastAsia="Times New Roman" w:hAnsi="Simplified Arabic" w:cs="Simplified Arabic"/>
          <w:kern w:val="0"/>
          <w:sz w:val="28"/>
          <w:szCs w:val="28"/>
          <w:rtl/>
          <w14:ligatures w14:val="none"/>
        </w:rPr>
        <w:t xml:space="preserve"> قيم ومبادئ الحوكمة الفعالة</w:t>
      </w:r>
    </w:p>
    <w:p w14:paraId="34B884B9" w14:textId="0EC7D9EA" w:rsidR="00457774" w:rsidRPr="00C30465" w:rsidRDefault="00E83510" w:rsidP="00457774">
      <w:pPr>
        <w:bidi/>
        <w:spacing w:after="0" w:line="240" w:lineRule="auto"/>
        <w:jc w:val="both"/>
        <w:rPr>
          <w:rFonts w:ascii="Simplified Arabic" w:eastAsia="Times New Roman" w:hAnsi="Simplified Arabic" w:cs="Simplified Arabic"/>
          <w:kern w:val="0"/>
          <w:sz w:val="28"/>
          <w:szCs w:val="28"/>
          <w14:ligatures w14:val="none"/>
        </w:rPr>
      </w:pPr>
      <w:bookmarkStart w:id="8" w:name="_Hlk204045154"/>
      <w:r w:rsidRPr="00C30465">
        <w:rPr>
          <w:rFonts w:ascii="Simplified Arabic" w:eastAsia="Times New Roman" w:hAnsi="Simplified Arabic" w:cs="Simplified Arabic"/>
          <w:kern w:val="0"/>
          <w:sz w:val="28"/>
          <w:szCs w:val="28"/>
          <w:rtl/>
          <w14:ligatures w14:val="none"/>
        </w:rPr>
        <w:t>- 2/1/</w:t>
      </w:r>
      <w:r w:rsidR="00894C1D" w:rsidRPr="00C30465">
        <w:rPr>
          <w:rFonts w:ascii="Simplified Arabic" w:eastAsia="Times New Roman" w:hAnsi="Simplified Arabic" w:cs="Simplified Arabic"/>
          <w:kern w:val="0"/>
          <w:sz w:val="28"/>
          <w:szCs w:val="28"/>
          <w:rtl/>
          <w14:ligatures w14:val="none"/>
        </w:rPr>
        <w:t>6</w:t>
      </w:r>
      <w:r w:rsidRPr="00C30465">
        <w:rPr>
          <w:rFonts w:ascii="Simplified Arabic" w:eastAsia="Times New Roman" w:hAnsi="Simplified Arabic" w:cs="Simplified Arabic"/>
          <w:kern w:val="0"/>
          <w:sz w:val="28"/>
          <w:szCs w:val="28"/>
          <w:rtl/>
          <w14:ligatures w14:val="none"/>
        </w:rPr>
        <w:t>:</w:t>
      </w:r>
      <w:r w:rsidR="00457774" w:rsidRPr="00C30465">
        <w:rPr>
          <w:rFonts w:ascii="Simplified Arabic" w:eastAsia="Times New Roman" w:hAnsi="Simplified Arabic" w:cs="Simplified Arabic"/>
          <w:kern w:val="0"/>
          <w:sz w:val="28"/>
          <w:szCs w:val="28"/>
          <w:rtl/>
          <w14:ligatures w14:val="none"/>
        </w:rPr>
        <w:t xml:space="preserve"> </w:t>
      </w:r>
      <w:bookmarkEnd w:id="8"/>
      <w:r w:rsidR="00A641A6" w:rsidRPr="00C30465">
        <w:rPr>
          <w:rFonts w:ascii="Simplified Arabic" w:eastAsia="Times New Roman" w:hAnsi="Simplified Arabic" w:cs="Simplified Arabic"/>
          <w:kern w:val="0"/>
          <w:sz w:val="28"/>
          <w:szCs w:val="28"/>
          <w:rtl/>
          <w14:ligatures w14:val="none"/>
        </w:rPr>
        <w:t>د</w:t>
      </w:r>
      <w:r w:rsidR="00457774" w:rsidRPr="00C30465">
        <w:rPr>
          <w:rFonts w:ascii="Simplified Arabic" w:eastAsia="Times New Roman" w:hAnsi="Simplified Arabic" w:cs="Simplified Arabic"/>
          <w:kern w:val="0"/>
          <w:sz w:val="28"/>
          <w:szCs w:val="28"/>
          <w:rtl/>
          <w14:ligatures w14:val="none"/>
        </w:rPr>
        <w:t>ور أصحاب المصالح:</w:t>
      </w:r>
    </w:p>
    <w:p w14:paraId="7ADA2723" w14:textId="07B16BF9" w:rsidR="00457774" w:rsidRPr="00C30465" w:rsidRDefault="00457774" w:rsidP="00457774">
      <w:pPr>
        <w:bidi/>
        <w:spacing w:after="0" w:line="240" w:lineRule="auto"/>
        <w:jc w:val="both"/>
        <w:rPr>
          <w:rFonts w:ascii="Simplified Arabic" w:eastAsia="Times New Roman" w:hAnsi="Simplified Arabic" w:cs="Simplified Arabic"/>
          <w:kern w:val="0"/>
          <w:sz w:val="28"/>
          <w:szCs w:val="28"/>
          <w14:ligatures w14:val="none"/>
        </w:rPr>
      </w:pPr>
      <w:bookmarkStart w:id="9" w:name="_Hlk204045608"/>
      <w:bookmarkStart w:id="10" w:name="_Hlk204103820"/>
      <w:r w:rsidRPr="00C30465">
        <w:rPr>
          <w:rFonts w:ascii="Simplified Arabic" w:eastAsia="Times New Roman" w:hAnsi="Simplified Arabic" w:cs="Simplified Arabic"/>
          <w:kern w:val="0"/>
          <w:sz w:val="28"/>
          <w:szCs w:val="28"/>
          <w:rtl/>
          <w14:ligatures w14:val="none"/>
        </w:rPr>
        <w:t xml:space="preserve">- 2/1/7: </w:t>
      </w:r>
      <w:bookmarkEnd w:id="9"/>
      <w:r w:rsidRPr="00C30465">
        <w:rPr>
          <w:rFonts w:ascii="Simplified Arabic" w:eastAsia="Times New Roman" w:hAnsi="Simplified Arabic" w:cs="Simplified Arabic"/>
          <w:kern w:val="0"/>
          <w:sz w:val="28"/>
          <w:szCs w:val="28"/>
          <w:rtl/>
          <w14:ligatures w14:val="none"/>
        </w:rPr>
        <w:t>إدارة المخاطر للشركات الناشئة</w:t>
      </w:r>
      <w:bookmarkEnd w:id="10"/>
      <w:r w:rsidRPr="00C30465">
        <w:rPr>
          <w:rFonts w:ascii="Simplified Arabic" w:eastAsia="Times New Roman" w:hAnsi="Simplified Arabic" w:cs="Simplified Arabic"/>
          <w:kern w:val="0"/>
          <w:sz w:val="28"/>
          <w:szCs w:val="28"/>
          <w:rtl/>
          <w14:ligatures w14:val="none"/>
        </w:rPr>
        <w:t>.</w:t>
      </w:r>
    </w:p>
    <w:p w14:paraId="1F51667A" w14:textId="3B130650" w:rsidR="00F23D8E" w:rsidRPr="00C30465" w:rsidRDefault="00457774" w:rsidP="00F23D8E">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- 2/1/8:</w:t>
      </w:r>
      <w:r w:rsidR="00F23D8E" w:rsidRPr="00C30465">
        <w:rPr>
          <w:rFonts w:ascii="Simplified Arabic" w:eastAsia="Times New Roman" w:hAnsi="Simplified Arabic" w:cs="Simplified Arabic"/>
          <w:kern w:val="0"/>
          <w:sz w:val="28"/>
          <w:szCs w:val="28"/>
          <w:rtl/>
          <w14:ligatures w14:val="none"/>
        </w:rPr>
        <w:t xml:space="preserve"> الأصدارات الدولية الخاصة بالحوكمة المستخدمة عالميًا.</w:t>
      </w:r>
    </w:p>
    <w:p w14:paraId="64F24BA1" w14:textId="445D4CEE" w:rsidR="00F23D8E" w:rsidRPr="00C30465" w:rsidRDefault="00F23D8E" w:rsidP="00F23D8E">
      <w:pPr>
        <w:bidi/>
        <w:spacing w:after="0" w:line="240" w:lineRule="auto"/>
        <w:ind w:left="720"/>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lang w:bidi="ar-EG"/>
          <w14:ligatures w14:val="none"/>
        </w:rPr>
        <w:t xml:space="preserve">(أ) </w:t>
      </w:r>
      <w:r w:rsidR="00DC35D6" w:rsidRPr="00C30465">
        <w:rPr>
          <w:rFonts w:ascii="Simplified Arabic" w:eastAsia="Times New Roman" w:hAnsi="Simplified Arabic" w:cs="Simplified Arabic"/>
          <w:kern w:val="0"/>
          <w:sz w:val="28"/>
          <w:szCs w:val="28"/>
          <w:rtl/>
          <w14:ligatures w14:val="none"/>
        </w:rPr>
        <w:t xml:space="preserve">نموذج  </w:t>
      </w:r>
      <w:r w:rsidR="00DC35D6" w:rsidRPr="00C30465">
        <w:rPr>
          <w:rFonts w:ascii="Simplified Arabic" w:eastAsia="Times New Roman" w:hAnsi="Simplified Arabic" w:cs="Simplified Arabic"/>
          <w:kern w:val="0"/>
          <w:sz w:val="28"/>
          <w:szCs w:val="28"/>
          <w14:ligatures w14:val="none"/>
        </w:rPr>
        <w:t>COBIT</w:t>
      </w:r>
      <w:r w:rsidR="00DC35D6" w:rsidRPr="00C30465">
        <w:rPr>
          <w:rFonts w:ascii="Simplified Arabic" w:eastAsia="Times New Roman" w:hAnsi="Simplified Arabic" w:cs="Simplified Arabic"/>
          <w:kern w:val="0"/>
          <w:sz w:val="28"/>
          <w:szCs w:val="28"/>
          <w:rtl/>
          <w14:ligatures w14:val="none"/>
        </w:rPr>
        <w:t>كمرجعية لحوكمة تكنولوجيا المعلومات</w:t>
      </w:r>
    </w:p>
    <w:p w14:paraId="253E8718" w14:textId="270C95E2" w:rsidR="00F23D8E" w:rsidRPr="00C30465" w:rsidRDefault="00F23D8E" w:rsidP="00F23D8E">
      <w:pPr>
        <w:bidi/>
        <w:spacing w:after="0" w:line="240" w:lineRule="auto"/>
        <w:ind w:left="720"/>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(ب) نموذج</w:t>
      </w:r>
      <w:r w:rsidRPr="00C30465">
        <w:rPr>
          <w:rFonts w:ascii="Simplified Arabic" w:eastAsia="Times New Roman" w:hAnsi="Simplified Arabic" w:cs="Simplified Arabic"/>
          <w:kern w:val="0"/>
          <w:sz w:val="28"/>
          <w:szCs w:val="28"/>
          <w14:ligatures w14:val="none"/>
        </w:rPr>
        <w:t xml:space="preserve"> NIST</w:t>
      </w:r>
      <w:r w:rsidRPr="00C30465">
        <w:rPr>
          <w:rFonts w:ascii="Simplified Arabic" w:eastAsia="Times New Roman" w:hAnsi="Simplified Arabic" w:cs="Simplified Arabic"/>
          <w:kern w:val="0"/>
          <w:sz w:val="28"/>
          <w:szCs w:val="28"/>
          <w:rtl/>
          <w14:ligatures w14:val="none"/>
        </w:rPr>
        <w:t>لحوكمة الأمن السيبراني</w:t>
      </w:r>
    </w:p>
    <w:p w14:paraId="4485BC67" w14:textId="5F9ECC19" w:rsidR="00C94B83" w:rsidRPr="00C30465" w:rsidRDefault="00C94B83" w:rsidP="00C94B83">
      <w:pPr>
        <w:bidi/>
        <w:spacing w:before="240" w:after="0" w:line="240" w:lineRule="auto"/>
        <w:rPr>
          <w:rFonts w:ascii="Simplified Arabic" w:eastAsia="Times New Roman" w:hAnsi="Simplified Arabic" w:cs="Simplified Arabic"/>
          <w:b/>
          <w:bCs/>
          <w:kern w:val="0"/>
          <w:sz w:val="28"/>
          <w:szCs w:val="28"/>
          <w:rtl/>
          <w14:ligatures w14:val="none"/>
        </w:rPr>
      </w:pPr>
      <w:bookmarkStart w:id="11" w:name="_Hlk204097809"/>
      <w:bookmarkEnd w:id="6"/>
      <w:r w:rsidRPr="00C30465">
        <w:rPr>
          <w:rFonts w:ascii="Simplified Arabic" w:eastAsia="Times New Roman" w:hAnsi="Simplified Arabic" w:cs="Simplified Arabic"/>
          <w:b/>
          <w:bCs/>
          <w:kern w:val="0"/>
          <w:sz w:val="28"/>
          <w:szCs w:val="28"/>
          <w:rtl/>
          <w14:ligatures w14:val="none"/>
        </w:rPr>
        <w:t>المبحث الثاني: الأمن السيبراني.</w:t>
      </w:r>
    </w:p>
    <w:p w14:paraId="6F8DEFC7" w14:textId="663DA748" w:rsidR="00C94B83" w:rsidRPr="00C30465" w:rsidRDefault="00C94B83" w:rsidP="00E523D8">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- 2/2/1:</w:t>
      </w:r>
      <w:r w:rsidR="00626C36" w:rsidRPr="00C30465">
        <w:rPr>
          <w:rFonts w:ascii="Simplified Arabic" w:eastAsia="Times New Roman" w:hAnsi="Simplified Arabic" w:cs="Simplified Arabic"/>
          <w:kern w:val="0"/>
          <w:sz w:val="28"/>
          <w:szCs w:val="28"/>
          <w:rtl/>
          <w14:ligatures w14:val="none"/>
        </w:rPr>
        <w:t xml:space="preserve"> مفهوم الأمن السيبراني</w:t>
      </w:r>
    </w:p>
    <w:p w14:paraId="356C7498" w14:textId="3636C871" w:rsidR="00C94B83" w:rsidRPr="00C30465" w:rsidRDefault="00C94B83" w:rsidP="00E523D8">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w:t>
      </w:r>
      <w:r w:rsidR="00E523D8" w:rsidRPr="00C30465">
        <w:rPr>
          <w:rFonts w:ascii="Simplified Arabic" w:eastAsia="Times New Roman" w:hAnsi="Simplified Arabic" w:cs="Simplified Arabic"/>
          <w:kern w:val="0"/>
          <w:sz w:val="28"/>
          <w:szCs w:val="28"/>
          <w:rtl/>
          <w14:ligatures w14:val="none"/>
        </w:rPr>
        <w:t xml:space="preserve"> 2/2/2:</w:t>
      </w:r>
      <w:r w:rsidR="00626C36" w:rsidRPr="00C30465">
        <w:rPr>
          <w:rFonts w:ascii="Simplified Arabic" w:eastAsia="Times New Roman" w:hAnsi="Simplified Arabic" w:cs="Simplified Arabic"/>
          <w:kern w:val="0"/>
          <w:sz w:val="28"/>
          <w:szCs w:val="28"/>
          <w:rtl/>
          <w14:ligatures w14:val="none"/>
        </w:rPr>
        <w:t xml:space="preserve"> </w:t>
      </w:r>
      <w:r w:rsidR="00883615" w:rsidRPr="00C30465">
        <w:rPr>
          <w:rFonts w:ascii="Simplified Arabic" w:eastAsia="Times New Roman" w:hAnsi="Simplified Arabic" w:cs="Simplified Arabic"/>
          <w:kern w:val="0"/>
          <w:sz w:val="28"/>
          <w:szCs w:val="28"/>
          <w:rtl/>
          <w14:ligatures w14:val="none"/>
        </w:rPr>
        <w:t>نشأته وبداية الأمن السيبراني</w:t>
      </w:r>
    </w:p>
    <w:p w14:paraId="6B36FC2A" w14:textId="306AAADC" w:rsidR="00E523D8" w:rsidRPr="00C30465" w:rsidRDefault="00E523D8" w:rsidP="001C339C">
      <w:pPr>
        <w:bidi/>
        <w:spacing w:after="0" w:line="240" w:lineRule="auto"/>
        <w:rPr>
          <w:rFonts w:ascii="Simplified Arabic" w:eastAsia="Times New Roman" w:hAnsi="Simplified Arabic" w:cs="Simplified Arabic"/>
          <w:b/>
          <w:bCs/>
          <w:kern w:val="0"/>
          <w:sz w:val="28"/>
          <w:szCs w:val="28"/>
          <w:rtl/>
          <w14:ligatures w14:val="none"/>
        </w:rPr>
      </w:pPr>
      <w:bookmarkStart w:id="12" w:name="_Hlk204103939"/>
      <w:bookmarkEnd w:id="11"/>
      <w:r w:rsidRPr="00C30465">
        <w:rPr>
          <w:rFonts w:ascii="Simplified Arabic" w:eastAsia="Times New Roman" w:hAnsi="Simplified Arabic" w:cs="Simplified Arabic"/>
          <w:b/>
          <w:bCs/>
          <w:kern w:val="0"/>
          <w:sz w:val="28"/>
          <w:szCs w:val="28"/>
          <w:rtl/>
          <w14:ligatures w14:val="none"/>
        </w:rPr>
        <w:t>المبحث الثالث:</w:t>
      </w:r>
      <w:r w:rsidR="001C339C" w:rsidRPr="00C30465">
        <w:rPr>
          <w:rFonts w:ascii="Simplified Arabic" w:eastAsia="Times New Roman" w:hAnsi="Simplified Arabic" w:cs="Simplified Arabic"/>
          <w:b/>
          <w:bCs/>
          <w:kern w:val="0"/>
          <w:sz w:val="28"/>
          <w:szCs w:val="28"/>
          <w:rtl/>
          <w14:ligatures w14:val="none"/>
        </w:rPr>
        <w:t xml:space="preserve"> الحوكمة في قطاع الأمن السيبراني</w:t>
      </w:r>
    </w:p>
    <w:p w14:paraId="32642D7D" w14:textId="6C18C8A0" w:rsidR="001C339C" w:rsidRPr="00C30465" w:rsidRDefault="00E523D8" w:rsidP="001C339C">
      <w:pPr>
        <w:bidi/>
        <w:spacing w:after="0" w:line="240" w:lineRule="auto"/>
        <w:jc w:val="both"/>
        <w:rPr>
          <w:rFonts w:ascii="Simplified Arabic" w:eastAsia="Times New Roman" w:hAnsi="Simplified Arabic" w:cs="Simplified Arabic"/>
          <w:kern w:val="0"/>
          <w:sz w:val="28"/>
          <w:szCs w:val="28"/>
          <w14:ligatures w14:val="none"/>
        </w:rPr>
      </w:pPr>
      <w:bookmarkStart w:id="13" w:name="_Hlk204103972"/>
      <w:bookmarkEnd w:id="12"/>
      <w:r w:rsidRPr="00C30465">
        <w:rPr>
          <w:rFonts w:ascii="Simplified Arabic" w:eastAsia="Times New Roman" w:hAnsi="Simplified Arabic" w:cs="Simplified Arabic"/>
          <w:kern w:val="0"/>
          <w:sz w:val="28"/>
          <w:szCs w:val="28"/>
          <w:rtl/>
          <w14:ligatures w14:val="none"/>
        </w:rPr>
        <w:t>- 2/3/1:</w:t>
      </w:r>
      <w:r w:rsidR="001C339C" w:rsidRPr="00C30465">
        <w:rPr>
          <w:rFonts w:ascii="Simplified Arabic" w:eastAsia="Times New Roman" w:hAnsi="Simplified Arabic" w:cs="Simplified Arabic"/>
          <w:kern w:val="0"/>
          <w:sz w:val="28"/>
          <w:szCs w:val="28"/>
          <w:rtl/>
          <w14:ligatures w14:val="none"/>
        </w:rPr>
        <w:t xml:space="preserve"> مكونات نظام الحوكمة.</w:t>
      </w:r>
    </w:p>
    <w:p w14:paraId="5208EC26" w14:textId="4D84B8A7" w:rsidR="001C339C" w:rsidRPr="00C30465" w:rsidRDefault="00E523D8" w:rsidP="001C339C">
      <w:pPr>
        <w:bidi/>
        <w:spacing w:after="0" w:line="240" w:lineRule="auto"/>
        <w:jc w:val="both"/>
        <w:rPr>
          <w:rFonts w:ascii="Simplified Arabic" w:eastAsia="Times New Roman" w:hAnsi="Simplified Arabic" w:cs="Simplified Arabic"/>
          <w:kern w:val="0"/>
          <w:sz w:val="28"/>
          <w:szCs w:val="28"/>
          <w:rtl/>
          <w:lang w:bidi="ar-EG"/>
          <w14:ligatures w14:val="none"/>
        </w:rPr>
      </w:pPr>
      <w:bookmarkStart w:id="14" w:name="_Hlk204104058"/>
      <w:bookmarkEnd w:id="13"/>
      <w:r w:rsidRPr="00C30465">
        <w:rPr>
          <w:rFonts w:ascii="Simplified Arabic" w:eastAsia="Times New Roman" w:hAnsi="Simplified Arabic" w:cs="Simplified Arabic"/>
          <w:kern w:val="0"/>
          <w:sz w:val="28"/>
          <w:szCs w:val="28"/>
          <w:rtl/>
          <w14:ligatures w14:val="none"/>
        </w:rPr>
        <w:t>- 2/3/2:</w:t>
      </w:r>
      <w:r w:rsidR="001C339C" w:rsidRPr="00C30465">
        <w:rPr>
          <w:rFonts w:ascii="Simplified Arabic" w:eastAsia="Times New Roman" w:hAnsi="Simplified Arabic" w:cs="Simplified Arabic"/>
          <w:kern w:val="0"/>
          <w:sz w:val="28"/>
          <w:szCs w:val="28"/>
          <w:rtl/>
          <w14:ligatures w14:val="none"/>
        </w:rPr>
        <w:t xml:space="preserve"> </w:t>
      </w:r>
      <w:r w:rsidR="001C339C" w:rsidRPr="00C30465">
        <w:rPr>
          <w:rFonts w:ascii="Simplified Arabic" w:eastAsia="Times New Roman" w:hAnsi="Simplified Arabic" w:cs="Simplified Arabic"/>
          <w:kern w:val="0"/>
          <w:sz w:val="28"/>
          <w:szCs w:val="28"/>
          <w:rtl/>
          <w:lang w:bidi="ar-EG"/>
          <w14:ligatures w14:val="none"/>
        </w:rPr>
        <w:t>خصائص حوكمة الشركات.</w:t>
      </w:r>
    </w:p>
    <w:p w14:paraId="6ED20C9A" w14:textId="327F4E8F" w:rsidR="001C339C" w:rsidRPr="00C30465" w:rsidRDefault="00E523D8" w:rsidP="001C339C">
      <w:pPr>
        <w:bidi/>
        <w:spacing w:after="0" w:line="240" w:lineRule="auto"/>
        <w:jc w:val="both"/>
        <w:rPr>
          <w:rFonts w:ascii="Simplified Arabic" w:eastAsia="Times New Roman" w:hAnsi="Simplified Arabic" w:cs="Simplified Arabic"/>
          <w:kern w:val="0"/>
          <w:sz w:val="28"/>
          <w:szCs w:val="28"/>
          <w:rtl/>
          <w14:ligatures w14:val="none"/>
        </w:rPr>
      </w:pPr>
      <w:bookmarkStart w:id="15" w:name="_Hlk204103477"/>
      <w:bookmarkStart w:id="16" w:name="_Hlk204104105"/>
      <w:bookmarkEnd w:id="14"/>
      <w:r w:rsidRPr="00C30465">
        <w:rPr>
          <w:rFonts w:ascii="Simplified Arabic" w:eastAsia="Times New Roman" w:hAnsi="Simplified Arabic" w:cs="Simplified Arabic"/>
          <w:kern w:val="0"/>
          <w:sz w:val="28"/>
          <w:szCs w:val="28"/>
          <w:rtl/>
          <w14:ligatures w14:val="none"/>
        </w:rPr>
        <w:t>- 2/3/3:</w:t>
      </w:r>
      <w:r w:rsidR="001C339C" w:rsidRPr="00C30465">
        <w:rPr>
          <w:rFonts w:ascii="Simplified Arabic" w:eastAsia="Times New Roman" w:hAnsi="Simplified Arabic" w:cs="Simplified Arabic"/>
          <w:kern w:val="0"/>
          <w:sz w:val="28"/>
          <w:szCs w:val="28"/>
          <w:rtl/>
          <w14:ligatures w14:val="none"/>
        </w:rPr>
        <w:t xml:space="preserve"> </w:t>
      </w:r>
      <w:bookmarkEnd w:id="15"/>
      <w:r w:rsidR="001C339C" w:rsidRPr="00C30465">
        <w:rPr>
          <w:rFonts w:ascii="Simplified Arabic" w:eastAsia="Times New Roman" w:hAnsi="Simplified Arabic" w:cs="Simplified Arabic"/>
          <w:kern w:val="0"/>
          <w:sz w:val="28"/>
          <w:szCs w:val="28"/>
          <w:rtl/>
          <w14:ligatures w14:val="none"/>
        </w:rPr>
        <w:t>محددات الحوكمة.</w:t>
      </w:r>
    </w:p>
    <w:p w14:paraId="7A4D5552" w14:textId="6789BDF2" w:rsidR="001C339C" w:rsidRPr="00C30465" w:rsidRDefault="001C339C" w:rsidP="001C339C">
      <w:pPr>
        <w:bidi/>
        <w:spacing w:after="0" w:line="240" w:lineRule="auto"/>
        <w:rPr>
          <w:rFonts w:ascii="Simplified Arabic" w:eastAsia="Times New Roman" w:hAnsi="Simplified Arabic" w:cs="Simplified Arabic"/>
          <w:kern w:val="0"/>
          <w:sz w:val="28"/>
          <w:szCs w:val="28"/>
          <w14:ligatures w14:val="none"/>
        </w:rPr>
      </w:pPr>
      <w:bookmarkStart w:id="17" w:name="_Hlk204104152"/>
      <w:bookmarkEnd w:id="16"/>
      <w:r w:rsidRPr="00C30465">
        <w:rPr>
          <w:rFonts w:ascii="Simplified Arabic" w:eastAsia="Times New Roman" w:hAnsi="Simplified Arabic" w:cs="Simplified Arabic"/>
          <w:kern w:val="0"/>
          <w:sz w:val="28"/>
          <w:szCs w:val="28"/>
          <w:rtl/>
          <w14:ligatures w14:val="none"/>
        </w:rPr>
        <w:t>- 2/3/4: الحوكمة في دعم استدامة ونجا</w:t>
      </w:r>
      <w:r w:rsidRPr="00C30465">
        <w:rPr>
          <w:rFonts w:ascii="Simplified Arabic" w:eastAsia="Times New Roman" w:hAnsi="Simplified Arabic" w:cs="Simplified Arabic"/>
          <w:kern w:val="0"/>
          <w:sz w:val="28"/>
          <w:szCs w:val="28"/>
          <w:rtl/>
          <w:lang w:bidi="ar-EG"/>
          <w14:ligatures w14:val="none"/>
        </w:rPr>
        <w:t>ح ا</w:t>
      </w:r>
      <w:r w:rsidRPr="00C30465">
        <w:rPr>
          <w:rFonts w:ascii="Simplified Arabic" w:eastAsia="Times New Roman" w:hAnsi="Simplified Arabic" w:cs="Simplified Arabic"/>
          <w:kern w:val="0"/>
          <w:sz w:val="28"/>
          <w:szCs w:val="28"/>
          <w:rtl/>
          <w14:ligatures w14:val="none"/>
        </w:rPr>
        <w:t>لشركات الناشئة</w:t>
      </w:r>
    </w:p>
    <w:bookmarkEnd w:id="17"/>
    <w:p w14:paraId="3180C554" w14:textId="66AAD887" w:rsidR="001C339C" w:rsidRPr="00C30465" w:rsidRDefault="001C339C" w:rsidP="001C339C">
      <w:pPr>
        <w:bidi/>
        <w:spacing w:after="0" w:line="240" w:lineRule="auto"/>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- 2/3/5: واقع تطبيق الحوكمة في الشركات الناشئة بالمملكة العربية السعودية</w:t>
      </w:r>
    </w:p>
    <w:p w14:paraId="5E327CC4" w14:textId="40EEA733" w:rsidR="001C339C" w:rsidRPr="00C30465" w:rsidRDefault="001C339C" w:rsidP="00DF3F0B">
      <w:pPr>
        <w:bidi/>
        <w:spacing w:after="0" w:line="240" w:lineRule="auto"/>
        <w:ind w:left="720"/>
        <w:contextualSpacing/>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w:t>
      </w:r>
      <w:r w:rsidR="000B5A89" w:rsidRPr="00C30465">
        <w:rPr>
          <w:rFonts w:ascii="Simplified Arabic" w:eastAsia="Times New Roman" w:hAnsi="Simplified Arabic" w:cs="Simplified Arabic"/>
          <w:kern w:val="0"/>
          <w:sz w:val="28"/>
          <w:szCs w:val="28"/>
          <w:rtl/>
          <w14:ligatures w14:val="none"/>
        </w:rPr>
        <w:t>أ</w:t>
      </w:r>
      <w:r w:rsidRPr="00C30465">
        <w:rPr>
          <w:rFonts w:ascii="Simplified Arabic" w:eastAsia="Times New Roman" w:hAnsi="Simplified Arabic" w:cs="Simplified Arabic"/>
          <w:kern w:val="0"/>
          <w:sz w:val="28"/>
          <w:szCs w:val="28"/>
          <w:rtl/>
          <w14:ligatures w14:val="none"/>
        </w:rPr>
        <w:t>) جهود المملكة في تعزيز الحوكمة (رؤية 2030 الهيئة الوطنية للأمن السيبراني)</w:t>
      </w:r>
    </w:p>
    <w:p w14:paraId="5E5C6DEE" w14:textId="412C357C" w:rsidR="00B60B21" w:rsidRPr="00C30465" w:rsidRDefault="001C339C" w:rsidP="00DF3F0B">
      <w:pPr>
        <w:bidi/>
        <w:spacing w:after="0" w:line="240" w:lineRule="auto"/>
        <w:ind w:left="720"/>
        <w:contextualSpacing/>
        <w:rPr>
          <w:rFonts w:ascii="Simplified Arabic" w:eastAsia="Times New Roman" w:hAnsi="Simplified Arabic" w:cs="Simplified Arabic"/>
          <w:kern w:val="0"/>
          <w:sz w:val="28"/>
          <w:szCs w:val="28"/>
          <w14:ligatures w14:val="none"/>
        </w:rPr>
      </w:pPr>
      <w:bookmarkStart w:id="18" w:name="_Hlk204103641"/>
      <w:r w:rsidRPr="00C30465">
        <w:rPr>
          <w:rFonts w:ascii="Simplified Arabic" w:eastAsia="Times New Roman" w:hAnsi="Simplified Arabic" w:cs="Simplified Arabic"/>
          <w:kern w:val="0"/>
          <w:sz w:val="28"/>
          <w:szCs w:val="28"/>
          <w:rtl/>
          <w14:ligatures w14:val="none"/>
        </w:rPr>
        <w:t>(</w:t>
      </w:r>
      <w:r w:rsidR="000B5A89" w:rsidRPr="00C30465">
        <w:rPr>
          <w:rFonts w:ascii="Simplified Arabic" w:eastAsia="Times New Roman" w:hAnsi="Simplified Arabic" w:cs="Simplified Arabic"/>
          <w:kern w:val="0"/>
          <w:sz w:val="28"/>
          <w:szCs w:val="28"/>
          <w:rtl/>
          <w14:ligatures w14:val="none"/>
        </w:rPr>
        <w:t>ب</w:t>
      </w:r>
      <w:r w:rsidRPr="00C30465">
        <w:rPr>
          <w:rFonts w:ascii="Simplified Arabic" w:eastAsia="Times New Roman" w:hAnsi="Simplified Arabic" w:cs="Simplified Arabic"/>
          <w:kern w:val="0"/>
          <w:sz w:val="28"/>
          <w:szCs w:val="28"/>
          <w:rtl/>
          <w14:ligatures w14:val="none"/>
        </w:rPr>
        <w:t xml:space="preserve">) </w:t>
      </w:r>
      <w:r w:rsidR="00B60B21" w:rsidRPr="00C30465">
        <w:rPr>
          <w:rFonts w:ascii="Simplified Arabic" w:eastAsia="Times New Roman" w:hAnsi="Simplified Arabic" w:cs="Simplified Arabic"/>
          <w:kern w:val="0"/>
          <w:sz w:val="28"/>
          <w:szCs w:val="28"/>
          <w:rtl/>
          <w14:ligatures w14:val="none"/>
        </w:rPr>
        <w:t>التحديات التي تواجه الشركات الناشئة في تطبيق الحوكمة.</w:t>
      </w:r>
    </w:p>
    <w:bookmarkEnd w:id="18"/>
    <w:p w14:paraId="1AF23D99" w14:textId="7AD57CD9" w:rsidR="00B60B21" w:rsidRPr="00C30465" w:rsidRDefault="001C339C" w:rsidP="00DF3F0B">
      <w:pPr>
        <w:bidi/>
        <w:spacing w:line="240" w:lineRule="auto"/>
        <w:ind w:left="720"/>
        <w:contextualSpacing/>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w:t>
      </w:r>
      <w:r w:rsidR="000B5A89" w:rsidRPr="00C30465">
        <w:rPr>
          <w:rFonts w:ascii="Simplified Arabic" w:eastAsia="Times New Roman" w:hAnsi="Simplified Arabic" w:cs="Simplified Arabic"/>
          <w:kern w:val="0"/>
          <w:sz w:val="28"/>
          <w:szCs w:val="28"/>
          <w:rtl/>
          <w14:ligatures w14:val="none"/>
        </w:rPr>
        <w:t>ج</w:t>
      </w:r>
      <w:r w:rsidRPr="00C30465">
        <w:rPr>
          <w:rFonts w:ascii="Simplified Arabic" w:eastAsia="Times New Roman" w:hAnsi="Simplified Arabic" w:cs="Simplified Arabic"/>
          <w:kern w:val="0"/>
          <w:sz w:val="28"/>
          <w:szCs w:val="28"/>
          <w:rtl/>
          <w14:ligatures w14:val="none"/>
        </w:rPr>
        <w:t xml:space="preserve">) </w:t>
      </w:r>
      <w:r w:rsidR="00B60B21" w:rsidRPr="00C30465">
        <w:rPr>
          <w:rFonts w:ascii="Simplified Arabic" w:eastAsia="Times New Roman" w:hAnsi="Simplified Arabic" w:cs="Simplified Arabic"/>
          <w:kern w:val="0"/>
          <w:sz w:val="28"/>
          <w:szCs w:val="28"/>
          <w:rtl/>
          <w14:ligatures w14:val="none"/>
        </w:rPr>
        <w:t>فرص تطوير منظومة الحوكمة في ضوء التحول الرقمي في السعودية.</w:t>
      </w:r>
    </w:p>
    <w:bookmarkEnd w:id="0"/>
    <w:p w14:paraId="57B2EB4C" w14:textId="77777777" w:rsidR="00ED5220" w:rsidRPr="00C30465" w:rsidRDefault="00ED5220" w:rsidP="00ED5220">
      <w:pPr>
        <w:bidi/>
        <w:spacing w:before="240" w:after="0" w:line="240" w:lineRule="auto"/>
        <w:jc w:val="center"/>
        <w:rPr>
          <w:rFonts w:ascii="Simplified Arabic" w:eastAsiaTheme="majorEastAsia" w:hAnsi="Simplified Arabic" w:cs="Simplified Arabic"/>
          <w:b/>
          <w:bCs/>
          <w:kern w:val="0"/>
          <w:sz w:val="32"/>
          <w:szCs w:val="32"/>
          <w:rtl/>
          <w14:ligatures w14:val="none"/>
        </w:rPr>
      </w:pPr>
    </w:p>
    <w:p w14:paraId="5A31CCE7" w14:textId="601E9758" w:rsidR="00B60B21" w:rsidRPr="00C30465" w:rsidRDefault="00B60B21" w:rsidP="00ED5220">
      <w:pPr>
        <w:bidi/>
        <w:spacing w:before="240" w:after="0" w:line="240" w:lineRule="auto"/>
        <w:jc w:val="center"/>
        <w:rPr>
          <w:rFonts w:ascii="Simplified Arabic" w:eastAsiaTheme="majorEastAsia" w:hAnsi="Simplified Arabic" w:cs="Simplified Arabic"/>
          <w:b/>
          <w:bCs/>
          <w:kern w:val="0"/>
          <w:sz w:val="32"/>
          <w:szCs w:val="32"/>
          <w:rtl/>
          <w14:ligatures w14:val="none"/>
        </w:rPr>
      </w:pPr>
      <w:r w:rsidRPr="00C30465">
        <w:rPr>
          <w:rFonts w:ascii="Simplified Arabic" w:eastAsiaTheme="majorEastAsia" w:hAnsi="Simplified Arabic" w:cs="Simplified Arabic"/>
          <w:b/>
          <w:bCs/>
          <w:kern w:val="0"/>
          <w:sz w:val="32"/>
          <w:szCs w:val="32"/>
          <w:rtl/>
          <w14:ligatures w14:val="none"/>
        </w:rPr>
        <w:lastRenderedPageBreak/>
        <w:t xml:space="preserve">الفصل </w:t>
      </w:r>
      <w:r w:rsidR="00C30465" w:rsidRPr="00C30465">
        <w:rPr>
          <w:rFonts w:ascii="Simplified Arabic" w:eastAsiaTheme="majorEastAsia" w:hAnsi="Simplified Arabic" w:cs="Simplified Arabic"/>
          <w:b/>
          <w:bCs/>
          <w:kern w:val="0"/>
          <w:sz w:val="32"/>
          <w:szCs w:val="32"/>
          <w:rtl/>
          <w:lang w:bidi="ar-EG"/>
          <w14:ligatures w14:val="none"/>
        </w:rPr>
        <w:t>الثاني</w:t>
      </w:r>
      <w:r w:rsidRPr="00C30465">
        <w:rPr>
          <w:rFonts w:ascii="Simplified Arabic" w:eastAsiaTheme="majorEastAsia" w:hAnsi="Simplified Arabic" w:cs="Simplified Arabic"/>
          <w:b/>
          <w:bCs/>
          <w:kern w:val="0"/>
          <w:sz w:val="32"/>
          <w:szCs w:val="32"/>
          <w:rtl/>
          <w14:ligatures w14:val="none"/>
        </w:rPr>
        <w:t>: الحوكمة الفعالة في شركات الأمن السيبراني الناشئة</w:t>
      </w:r>
    </w:p>
    <w:p w14:paraId="438EAE35" w14:textId="77777777" w:rsidR="00B60B21" w:rsidRPr="00C30465" w:rsidRDefault="00B60B21" w:rsidP="00B60B21">
      <w:pPr>
        <w:bidi/>
        <w:spacing w:before="240"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مقدمة:</w:t>
      </w:r>
    </w:p>
    <w:p w14:paraId="53BDFD7F" w14:textId="77777777" w:rsidR="00B60B21" w:rsidRPr="00C30465" w:rsidRDefault="00B60B21" w:rsidP="00B60B21">
      <w:pPr>
        <w:bidi/>
        <w:spacing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شهد العالم في أواخر القرن العشرين تحولات اقتصادية عميقة</w:t>
      </w:r>
      <w:r w:rsidRPr="00C30465">
        <w:rPr>
          <w:rFonts w:ascii="Simplified Arabic" w:eastAsia="Times New Roman" w:hAnsi="Simplified Arabic" w:cs="Simplified Arabic"/>
          <w:kern w:val="0"/>
          <w:sz w:val="28"/>
          <w:szCs w:val="28"/>
          <w:rtl/>
          <w:lang w:bidi="ar-EG"/>
          <w14:ligatures w14:val="none"/>
        </w:rPr>
        <w:t>،</w:t>
      </w:r>
      <w:r w:rsidRPr="00C30465">
        <w:rPr>
          <w:rFonts w:ascii="Simplified Arabic" w:eastAsia="Times New Roman" w:hAnsi="Simplified Arabic" w:cs="Simplified Arabic"/>
          <w:kern w:val="0"/>
          <w:sz w:val="28"/>
          <w:szCs w:val="28"/>
          <w:rtl/>
          <w14:ligatures w14:val="none"/>
        </w:rPr>
        <w:t xml:space="preserve"> وقد صاحب هذا التحول توسع كبير في حجم الشركات وتنوع في أنشطتها، مما أدى إلى اتساع الفجوة بين الملكية والإدارة، وضعف الرقابة على تصرفات المديرين التنفيذيين، الأمر الذي جعل العديد من الشركات الناشئة عرضة للأزمات والانهيارات (أبو النصر، 2015، 15). لذلك بدأت الجهود الدولية تركز على مفهوم "حوكمة الشركات" كإطار تنظيمي لمواجهة الانفلات الإداري، وتحقيق توازن بين مصالح الأطراف المختلفة، وهو ما دفع العديد من المؤسسات إلي تطبيق حوكمة الشركات، ووضع معايير محددة لتطبيقها، مثل منظمة التعاون الاقتصادي والتنمية </w:t>
      </w:r>
      <w:r w:rsidRPr="00C30465">
        <w:rPr>
          <w:rFonts w:ascii="Simplified Arabic" w:eastAsia="Times New Roman" w:hAnsi="Simplified Arabic" w:cs="Simplified Arabic"/>
          <w:kern w:val="0"/>
          <w:sz w:val="28"/>
          <w:szCs w:val="28"/>
          <w14:ligatures w14:val="none"/>
        </w:rPr>
        <w:t>(OECD)</w:t>
      </w:r>
      <w:r w:rsidRPr="00C30465">
        <w:rPr>
          <w:rFonts w:ascii="Simplified Arabic" w:eastAsia="Times New Roman" w:hAnsi="Simplified Arabic" w:cs="Simplified Arabic"/>
          <w:kern w:val="0"/>
          <w:sz w:val="28"/>
          <w:szCs w:val="28"/>
          <w:rtl/>
          <w14:ligatures w14:val="none"/>
        </w:rPr>
        <w:t>، وبنك التسويات الدولي (</w:t>
      </w:r>
      <w:r w:rsidRPr="00C30465">
        <w:rPr>
          <w:rFonts w:ascii="Simplified Arabic" w:eastAsia="Times New Roman" w:hAnsi="Simplified Arabic" w:cs="Simplified Arabic"/>
          <w:kern w:val="0"/>
          <w:sz w:val="28"/>
          <w:szCs w:val="28"/>
          <w14:ligatures w14:val="none"/>
        </w:rPr>
        <w:t>BIS</w:t>
      </w:r>
      <w:r w:rsidRPr="00C30465">
        <w:rPr>
          <w:rFonts w:ascii="Simplified Arabic" w:eastAsia="Times New Roman" w:hAnsi="Simplified Arabic" w:cs="Simplified Arabic"/>
          <w:kern w:val="0"/>
          <w:sz w:val="28"/>
          <w:szCs w:val="28"/>
          <w:rtl/>
          <w14:ligatures w14:val="none"/>
        </w:rPr>
        <w:t>)</w:t>
      </w:r>
      <w:r w:rsidRPr="00C30465">
        <w:rPr>
          <w:rFonts w:ascii="Simplified Arabic" w:eastAsia="Times New Roman" w:hAnsi="Simplified Arabic" w:cs="Simplified Arabic"/>
          <w:kern w:val="0"/>
          <w:sz w:val="28"/>
          <w:szCs w:val="28"/>
          <w:rtl/>
          <w:lang w:bidi="ar-EG"/>
          <w14:ligatures w14:val="none"/>
        </w:rPr>
        <w:t>،</w:t>
      </w:r>
      <w:r w:rsidRPr="00C30465">
        <w:rPr>
          <w:rFonts w:ascii="Simplified Arabic" w:eastAsia="Times New Roman" w:hAnsi="Simplified Arabic" w:cs="Simplified Arabic"/>
          <w:kern w:val="0"/>
          <w:sz w:val="28"/>
          <w:szCs w:val="28"/>
          <w:rtl/>
          <w14:ligatures w14:val="none"/>
        </w:rPr>
        <w:t xml:space="preserve"> فهذه المنظمات بمثابة المراجع الرئيسية للحوكمة علي المستوي العالمي وقد غطت هذه المبادئ العديد من الجوانب المالية والإدارية. حيث ركزت المبادئ على حل مشاكل الحوكمة التي تنشأ من الفصل بين الملكية والإدارة، والعلاقات ما بين المساهمين والإداريين والعاملين. (</w:t>
      </w:r>
      <w:r w:rsidRPr="00C30465">
        <w:rPr>
          <w:rFonts w:ascii="Simplified Arabic" w:eastAsia="Times New Roman" w:hAnsi="Simplified Arabic" w:cs="Simplified Arabic"/>
          <w:kern w:val="0"/>
          <w14:ligatures w14:val="none"/>
        </w:rPr>
        <w:t>OECD, 2023, 6:8</w:t>
      </w:r>
      <w:r w:rsidRPr="00C30465">
        <w:rPr>
          <w:rFonts w:ascii="Simplified Arabic" w:eastAsia="Times New Roman" w:hAnsi="Simplified Arabic" w:cs="Simplified Arabic"/>
          <w:kern w:val="0"/>
          <w:sz w:val="28"/>
          <w:szCs w:val="28"/>
          <w:rtl/>
          <w14:ligatures w14:val="none"/>
        </w:rPr>
        <w:t>)</w:t>
      </w:r>
    </w:p>
    <w:p w14:paraId="3AB2CD99" w14:textId="77777777" w:rsidR="00B60B21" w:rsidRPr="00C30465" w:rsidRDefault="00B60B21" w:rsidP="00B60B21">
      <w:pPr>
        <w:bidi/>
        <w:spacing w:before="100" w:beforeAutospacing="1" w:after="10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وفي ظل هذه التحولات، أولت المملكة العربية السعودية اهتمامًا متزايدًا بتطبيق أنظمة الحوكمة، خاصة مع إطلاق رؤية المملكة 2030 التي تسعى إلى بناء اقتصاد تنافسي ومستدام قائم على المعرفة والتقنية. وقد شملت هذه الرؤية إعادة هيكلة القطاع الإداري، وتفعيل مبادئ الشفافية والمساءلة والكفاءة، لا سيما في القطاعات ذات الحساسية العالية كالأمن السيبراني. في ظل تصاعد الهجمات السيبرانية وتعقيد أساليبها، مما يجعل من الضروري وجود كيانات متخصصة ومرنة قادرة على مواكبة هذه التهديدات، وهو ما ساهم في ظهور الشركات الناشئة في ودورها المحوري في تطوير حلول الحماية الرقمية والبيانات الحساسة</w:t>
      </w:r>
      <w:r w:rsidRPr="00C30465">
        <w:rPr>
          <w:rFonts w:ascii="Simplified Arabic" w:eastAsia="Times New Roman" w:hAnsi="Simplified Arabic" w:cs="Simplified Arabic"/>
          <w:kern w:val="0"/>
          <w:sz w:val="28"/>
          <w:szCs w:val="28"/>
          <w14:ligatures w14:val="none"/>
        </w:rPr>
        <w:t>.</w:t>
      </w:r>
    </w:p>
    <w:p w14:paraId="788645F6" w14:textId="77777777" w:rsidR="00B60B21" w:rsidRPr="00C30465" w:rsidRDefault="00B60B21" w:rsidP="00B60B21">
      <w:pPr>
        <w:bidi/>
        <w:spacing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ورغم ما تقدمه الشركات الناشئة في قطاع الأمن السيبراني من ابتكارات تقنية متقدمة، وﯾرى رﯾﺟﯾﻧﺎﻟد ﻓوﺳن </w:t>
      </w:r>
      <w:r w:rsidRPr="00C30465">
        <w:rPr>
          <w:rFonts w:ascii="Simplified Arabic" w:eastAsia="Times New Roman" w:hAnsi="Simplified Arabic" w:cs="Simplified Arabic"/>
          <w:kern w:val="0"/>
          <w:sz w:val="28"/>
          <w:szCs w:val="28"/>
          <w14:ligatures w14:val="none"/>
        </w:rPr>
        <w:t>Vossen REGINALD</w:t>
      </w:r>
      <w:r w:rsidRPr="00C30465">
        <w:rPr>
          <w:rFonts w:ascii="Simplified Arabic" w:eastAsia="Times New Roman" w:hAnsi="Simplified Arabic" w:cs="Simplified Arabic"/>
          <w:kern w:val="0"/>
          <w:sz w:val="28"/>
          <w:szCs w:val="28"/>
          <w:rtl/>
          <w14:ligatures w14:val="none"/>
        </w:rPr>
        <w:t xml:space="preserve"> ﻣدﯾر ﺑﺎن ﻓﻼﻧدﯾر </w:t>
      </w:r>
      <w:r w:rsidRPr="00C30465">
        <w:rPr>
          <w:rFonts w:ascii="Simplified Arabic" w:eastAsia="Times New Roman" w:hAnsi="Simplified Arabic" w:cs="Simplified Arabic"/>
          <w:kern w:val="0"/>
          <w:sz w:val="28"/>
          <w:szCs w:val="28"/>
          <w14:ligatures w14:val="none"/>
        </w:rPr>
        <w:t>Vlaanderen BAN</w:t>
      </w:r>
      <w:r w:rsidRPr="00C30465">
        <w:rPr>
          <w:rFonts w:ascii="Simplified Arabic" w:eastAsia="Times New Roman" w:hAnsi="Simplified Arabic" w:cs="Simplified Arabic"/>
          <w:kern w:val="0"/>
          <w:sz w:val="28"/>
          <w:szCs w:val="28"/>
          <w:rtl/>
          <w14:ligatures w14:val="none"/>
        </w:rPr>
        <w:t xml:space="preserve"> " أن استدامة إﻋطﺎء اﻷوﻟﯾﺔ ﻟﻠﺣوﻛﻣﺔ ﻓﻲ اﻟﺷرﻛﺎت اﻟﻧﺎﺷﺋﺔ ﻛﺑداﯾﺔ لهذه الشركات ونجاحها مرهونان بقدرتها على تأسيس بنية إدارية محكمة، تطبق من خلالها مبادئ الحوكمة الفعالة. فالحوكمة في هذا السياق لا تقتصر على ضبط الأداء الداخلي أو إدارة المخاطر فحسب، بل تُعد ضرورة إستراتيجية تضمن الثقة لدى المستثمرين والعملاء، وتخلق بيئة مؤسسية قائمة على الشفافية والمشاركة والتوجيه السليم للموارد. وعليه، يستعرض </w:t>
      </w:r>
      <w:r w:rsidRPr="00C30465">
        <w:rPr>
          <w:rFonts w:ascii="Simplified Arabic" w:eastAsia="Times New Roman" w:hAnsi="Simplified Arabic" w:cs="Simplified Arabic"/>
          <w:kern w:val="0"/>
          <w:sz w:val="28"/>
          <w:szCs w:val="28"/>
          <w:rtl/>
          <w14:ligatures w14:val="none"/>
        </w:rPr>
        <w:lastRenderedPageBreak/>
        <w:t>هذا الفصل الجوانب النظرية للحوكمة الفعالة، ويحلل أهميتها وتطبيقاتها في الشركات الناشئة بمجال الأمن السيبراني، مع ربط ذلك بالتحديات والفرص التي تفرضها البيئة الرقمية في المملكة العربية السعودية.</w:t>
      </w:r>
    </w:p>
    <w:p w14:paraId="5236F756" w14:textId="50DB5AB1" w:rsidR="00B60B21" w:rsidRPr="00C30465" w:rsidRDefault="00EE0E2A" w:rsidP="00B60B21">
      <w:pPr>
        <w:bidi/>
        <w:spacing w:after="0" w:line="240" w:lineRule="auto"/>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المبحث الأول:</w:t>
      </w:r>
      <w:r w:rsidR="00B60B21" w:rsidRPr="00C30465">
        <w:rPr>
          <w:rFonts w:ascii="Simplified Arabic" w:eastAsia="Times New Roman" w:hAnsi="Simplified Arabic" w:cs="Simplified Arabic"/>
          <w:b/>
          <w:bCs/>
          <w:kern w:val="0"/>
          <w:sz w:val="32"/>
          <w:szCs w:val="32"/>
          <w:rtl/>
          <w14:ligatures w14:val="none"/>
        </w:rPr>
        <w:t xml:space="preserve"> مدخل إلى الحوكمة</w:t>
      </w:r>
    </w:p>
    <w:p w14:paraId="21BB7995" w14:textId="5677AC72" w:rsidR="00B60B21" w:rsidRPr="00C30465" w:rsidRDefault="00EE0E2A" w:rsidP="00B60B21">
      <w:pPr>
        <w:bidi/>
        <w:spacing w:after="0" w:line="240" w:lineRule="auto"/>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28"/>
          <w:szCs w:val="28"/>
          <w:rtl/>
          <w14:ligatures w14:val="none"/>
        </w:rPr>
        <w:t xml:space="preserve">- 2/1/1: </w:t>
      </w:r>
      <w:r w:rsidR="00B60B21" w:rsidRPr="00C30465">
        <w:rPr>
          <w:rFonts w:ascii="Simplified Arabic" w:eastAsia="Times New Roman" w:hAnsi="Simplified Arabic" w:cs="Simplified Arabic"/>
          <w:b/>
          <w:bCs/>
          <w:kern w:val="0"/>
          <w:sz w:val="32"/>
          <w:szCs w:val="32"/>
          <w:rtl/>
          <w14:ligatures w14:val="none"/>
        </w:rPr>
        <w:t>نشأة الحوكمة</w:t>
      </w:r>
      <w:r w:rsidR="00B60B21" w:rsidRPr="00C30465">
        <w:rPr>
          <w:rFonts w:ascii="Simplified Arabic" w:eastAsia="Times New Roman" w:hAnsi="Simplified Arabic" w:cs="Simplified Arabic"/>
          <w:b/>
          <w:bCs/>
          <w:kern w:val="0"/>
          <w:sz w:val="32"/>
          <w:szCs w:val="32"/>
          <w14:ligatures w14:val="none"/>
        </w:rPr>
        <w:t>:</w:t>
      </w:r>
    </w:p>
    <w:p w14:paraId="30340CB7" w14:textId="77777777" w:rsidR="00B60B21" w:rsidRPr="00C30465" w:rsidRDefault="00B60B21" w:rsidP="00B60B21">
      <w:pPr>
        <w:bidi/>
        <w:spacing w:after="0" w:line="240" w:lineRule="auto"/>
        <w:ind w:firstLine="540"/>
        <w:jc w:val="both"/>
        <w:rPr>
          <w:rFonts w:ascii="Simplified Arabic" w:eastAsia="Times New Roman" w:hAnsi="Simplified Arabic" w:cs="Simplified Arabic"/>
          <w:kern w:val="0"/>
          <w:sz w:val="28"/>
          <w:szCs w:val="28"/>
          <w:rtl/>
          <w:lang w:bidi="ar-EG"/>
          <w14:ligatures w14:val="none"/>
        </w:rPr>
      </w:pPr>
      <w:r w:rsidRPr="00C30465">
        <w:rPr>
          <w:rFonts w:ascii="Simplified Arabic" w:eastAsia="Times New Roman" w:hAnsi="Simplified Arabic" w:cs="Simplified Arabic"/>
          <w:kern w:val="0"/>
          <w:sz w:val="28"/>
          <w:szCs w:val="28"/>
          <w:rtl/>
          <w14:ligatures w14:val="none"/>
        </w:rPr>
        <w:t>برز مفهوم الحوكمة للتعبير عن طبيعة العلاقة المعقده بين بناء الدولة وأنظمة الحكم من ناحية والقطاع الخاص من ناحية أخرى ومؤسسات المجتمع المدنى من ناحية ثالثة حيث أن العلاقة بين الدولة والمجتمع لاتسير في اتجاه واحد وإنما يتخللها علاقات متداخلة ومتشابكه بين عناصر الدولة وفئات المجتمع ومن ثم فإن تطبيق مفهوم الحوكمه يقدم صورة اكثر واقعية وعملية للحياة الاقتصادية والسياسية والاجتماعية (الزغبي، 2007، 35)</w:t>
      </w:r>
      <w:r w:rsidRPr="00C30465">
        <w:rPr>
          <w:rFonts w:ascii="Simplified Arabic" w:eastAsia="Times New Roman" w:hAnsi="Simplified Arabic" w:cs="Simplified Arabic"/>
          <w:kern w:val="0"/>
          <w:sz w:val="28"/>
          <w:szCs w:val="28"/>
          <w:rtl/>
          <w:lang w:bidi="ar-EG"/>
          <w14:ligatures w14:val="none"/>
        </w:rPr>
        <w:t>.</w:t>
      </w:r>
    </w:p>
    <w:p w14:paraId="57D89C2D" w14:textId="77777777" w:rsidR="00B60B21" w:rsidRPr="00C30465" w:rsidRDefault="00B60B21" w:rsidP="00B60B21">
      <w:pPr>
        <w:bidi/>
        <w:spacing w:after="0"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فالحوكمة قديمة قدم البشرية لكن المفهوم هو حديث وتعود أسباب ظهوره في هذه الفترة إلى عوامل سياسية وأيديولوجية ترتبط بتغير موازين القوى في العالم بعد انتهاء الحرب الباردة وانهيار الاتحاد السوفيتي، وإلى عوامل أخري ترتبط بتغيير دور الدولة بعد تبني العديد من الدول النامية سياسة انفتاح السوق وتحرير التجارة وظهور ما يسمى بالعولمة الاقتصادية (</w:t>
      </w:r>
      <w:r w:rsidRPr="00C30465">
        <w:rPr>
          <w:rFonts w:ascii="Simplified Arabic" w:eastAsia="Times New Roman" w:hAnsi="Simplified Arabic" w:cs="Simplified Arabic"/>
          <w:kern w:val="0"/>
          <w:sz w:val="28"/>
          <w:szCs w:val="28"/>
          <w14:ligatures w14:val="none"/>
        </w:rPr>
        <w:t>, p2</w:t>
      </w:r>
      <w:r w:rsidRPr="00C30465">
        <w:rPr>
          <w:rFonts w:ascii="Simplified Arabic" w:eastAsia="Times New Roman" w:hAnsi="Simplified Arabic" w:cs="Simplified Arabic"/>
          <w:kern w:val="0"/>
          <w:sz w:val="28"/>
          <w:szCs w:val="28"/>
          <w:rtl/>
          <w14:ligatures w14:val="none"/>
        </w:rPr>
        <w:t>2004</w:t>
      </w:r>
      <w:r w:rsidRPr="00C30465">
        <w:rPr>
          <w:rFonts w:ascii="Simplified Arabic" w:eastAsia="Times New Roman" w:hAnsi="Simplified Arabic" w:cs="Simplified Arabic"/>
          <w:kern w:val="0"/>
          <w:sz w:val="28"/>
          <w:szCs w:val="28"/>
          <w14:ligatures w14:val="none"/>
        </w:rPr>
        <w:t>(Suchitra Tabndhu, Punyara,</w:t>
      </w:r>
      <w:r w:rsidRPr="00C30465">
        <w:rPr>
          <w:rFonts w:ascii="Simplified Arabic" w:eastAsia="Times New Roman" w:hAnsi="Simplified Arabic" w:cs="Simplified Arabic"/>
          <w:kern w:val="0"/>
          <w:sz w:val="28"/>
          <w:szCs w:val="28"/>
          <w:rtl/>
          <w14:ligatures w14:val="none"/>
        </w:rPr>
        <w:t xml:space="preserve"> </w:t>
      </w:r>
    </w:p>
    <w:p w14:paraId="2BEC4011" w14:textId="77777777" w:rsidR="00B60B21" w:rsidRPr="00C30465" w:rsidRDefault="00B60B21" w:rsidP="00B60B21">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ومن هنا يمكن تقسيم دوافع ظهور الحوكمة الرشيدة</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إلى ما يلي:</w:t>
      </w:r>
      <w:r w:rsidRPr="00C30465">
        <w:rPr>
          <w:rFonts w:ascii="Simplified Arabic" w:eastAsia="Times New Roman" w:hAnsi="Simplified Arabic" w:cs="Simplified Arabic"/>
          <w:kern w:val="0"/>
          <w:sz w:val="28"/>
          <w:szCs w:val="28"/>
          <w:rtl/>
          <w14:ligatures w14:val="none"/>
        </w:rPr>
        <w:t xml:space="preserve"> </w:t>
      </w:r>
    </w:p>
    <w:p w14:paraId="21629E39"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1- دوافع سياسية:</w:t>
      </w:r>
      <w:r w:rsidRPr="00C30465">
        <w:rPr>
          <w:rFonts w:ascii="Simplified Arabic" w:eastAsia="Times New Roman" w:hAnsi="Simplified Arabic" w:cs="Simplified Arabic"/>
          <w:kern w:val="0"/>
          <w:sz w:val="28"/>
          <w:szCs w:val="28"/>
          <w:rtl/>
          <w14:ligatures w14:val="none"/>
        </w:rPr>
        <w:t xml:space="preserve"> </w:t>
      </w:r>
    </w:p>
    <w:p w14:paraId="5F5CC693" w14:textId="77777777" w:rsidR="00B60B21" w:rsidRPr="00C30465" w:rsidRDefault="00B60B21" w:rsidP="00B60B21">
      <w:pPr>
        <w:bidi/>
        <w:spacing w:before="100" w:beforeAutospacing="1" w:after="100" w:afterAutospacing="1" w:line="240" w:lineRule="auto"/>
        <w:ind w:firstLine="540"/>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rtl/>
          <w14:ligatures w14:val="none"/>
        </w:rPr>
        <w:t xml:space="preserve">مع انتهاء الحرب الباردة تزايــــد الاهتمام الدولي بمكافحة الفساد حيث حظى هذا الأمر باهتمام واسع ما بين الدول المانحة المتلقية نظراً لبداية زوال الخطوط الفاصلة بين الشئون الداخلية والخارجية لهما، ومع انهيار الاتحاد السوفيتي وتبني دول المعسكر الشرقي أيديولوجيات يغلب عليها الطابع الليبرالي، تنامت موجه العولمة وتسربت القيم الديمقراطية عبـر حدود الدول النامية خاصة بعد ثورة تكنولوجيا المعلومات والخدمات الإلكترونية ، حيث أصبح هناك اقتناع على المستوى الدولي بأن الفساد له تأثير سلبي على الأمن والاستقرار الدولي وأنه لم يعد مسألة داخلية محصورة ضمن حدود الدولة بل أصبح يعصف حتى باقتصاديات الدول الأخرى بالإضافة لهذا فإن عدم الاستقرار السياسي في كثير من الدول </w:t>
      </w:r>
      <w:r w:rsidRPr="00C30465">
        <w:rPr>
          <w:rFonts w:ascii="Simplified Arabic" w:eastAsia="Times New Roman" w:hAnsi="Simplified Arabic" w:cs="Simplified Arabic"/>
          <w:kern w:val="0"/>
          <w:sz w:val="28"/>
          <w:szCs w:val="28"/>
          <w:rtl/>
          <w14:ligatures w14:val="none"/>
        </w:rPr>
        <w:lastRenderedPageBreak/>
        <w:t>النامية وانتشار الصراعات والحروب الأهلية والطائفية بها، كان سبباً كاف للبحث عن آلية جديدة تلتزم بها تلك الدول للخروج من أزماتها</w:t>
      </w:r>
      <w:r w:rsidRPr="00C30465">
        <w:rPr>
          <w:rFonts w:ascii="Simplified Arabic" w:eastAsia="Times New Roman" w:hAnsi="Simplified Arabic" w:cs="Simplified Arabic"/>
          <w:kern w:val="0"/>
          <w:sz w:val="28"/>
          <w:szCs w:val="28"/>
          <w14:ligatures w14:val="none"/>
        </w:rPr>
        <w:t xml:space="preserve">.( Asian Developuent </w:t>
      </w:r>
      <w:r w:rsidRPr="00C30465">
        <w:rPr>
          <w:rFonts w:ascii="Simplified Arabic" w:eastAsia="Times New Roman" w:hAnsi="Simplified Arabic" w:cs="Simplified Arabic"/>
          <w:kern w:val="0"/>
          <w:sz w:val="28"/>
          <w:szCs w:val="28"/>
          <w:rtl/>
          <w14:ligatures w14:val="none"/>
        </w:rPr>
        <w:t>(31</w:t>
      </w:r>
      <w:r w:rsidRPr="00C30465">
        <w:rPr>
          <w:rFonts w:ascii="Simplified Arabic" w:eastAsia="Times New Roman" w:hAnsi="Simplified Arabic" w:cs="Simplified Arabic"/>
          <w:kern w:val="0"/>
          <w:sz w:val="28"/>
          <w:szCs w:val="28"/>
          <w14:ligatures w14:val="none"/>
        </w:rPr>
        <w:t xml:space="preserve"> p,</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Bank, 2010</w:t>
      </w:r>
      <w:r w:rsidRPr="00C30465">
        <w:rPr>
          <w:rFonts w:ascii="Simplified Arabic" w:eastAsia="Times New Roman" w:hAnsi="Simplified Arabic" w:cs="Simplified Arabic"/>
          <w:kern w:val="0"/>
          <w:sz w:val="28"/>
          <w:szCs w:val="28"/>
          <w:lang w:bidi="ar-EG"/>
          <w14:ligatures w14:val="none"/>
        </w:rPr>
        <w:t>,</w:t>
      </w:r>
    </w:p>
    <w:p w14:paraId="053AD564"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lang w:bidi="fa-IR"/>
          <w14:ligatures w14:val="none"/>
        </w:rPr>
        <w:t>2</w:t>
      </w:r>
      <w:r w:rsidRPr="00C30465">
        <w:rPr>
          <w:rFonts w:ascii="Simplified Arabic" w:eastAsia="Times New Roman" w:hAnsi="Simplified Arabic" w:cs="Simplified Arabic"/>
          <w:b/>
          <w:bCs/>
          <w:kern w:val="0"/>
          <w:sz w:val="28"/>
          <w:szCs w:val="28"/>
          <w:rtl/>
          <w:lang w:bidi="fa-IR"/>
          <w14:ligatures w14:val="none"/>
        </w:rPr>
        <w:t xml:space="preserve">- </w:t>
      </w:r>
      <w:r w:rsidRPr="00C30465">
        <w:rPr>
          <w:rFonts w:ascii="Simplified Arabic" w:eastAsia="Times New Roman" w:hAnsi="Simplified Arabic" w:cs="Simplified Arabic"/>
          <w:b/>
          <w:bCs/>
          <w:kern w:val="0"/>
          <w:sz w:val="28"/>
          <w:szCs w:val="28"/>
          <w:rtl/>
          <w14:ligatures w14:val="none"/>
        </w:rPr>
        <w:t>دوافع إدارية:</w:t>
      </w:r>
    </w:p>
    <w:p w14:paraId="3D190497" w14:textId="77777777" w:rsidR="00B60B21" w:rsidRPr="00C30465" w:rsidRDefault="00B60B21" w:rsidP="00B60B21">
      <w:pPr>
        <w:bidi/>
        <w:spacing w:before="100" w:beforeAutospacing="1" w:after="0" w:afterAutospacing="1" w:line="240" w:lineRule="auto"/>
        <w:ind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 xml:space="preserve"> ترجع هذه الدوافع إلى التغيـر الحاصل في دور الدولة من فاعل رئيسي في صنع السياسات العامة، وممثل للمجتمع المدني في تقرير السياسات ووضع الخطط ومتابعة التنفيذ، ومالكة للمشروعات وإدارتها ومسئوله</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عن توزيع الدخل وتقديم الخدمات إلى مجرد شريك من بين شركاء متعددين في إدارة شئون الدولة والمجتمع المدني، هؤلاء الشركاء الذين أصبحوا يدعون إلى المزيد من فرض الرقابة والشفافية والمساءلة ويساهمون في وضع</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السياسات الإنمائية للدولة (</w:t>
      </w:r>
      <w:r w:rsidRPr="00C30465">
        <w:rPr>
          <w:rFonts w:ascii="Simplified Arabic" w:eastAsia="Times New Roman" w:hAnsi="Simplified Arabic" w:cs="Simplified Arabic"/>
          <w:kern w:val="0"/>
          <w:sz w:val="28"/>
          <w:szCs w:val="28"/>
          <w14:ligatures w14:val="none"/>
        </w:rPr>
        <w:t>.(salah, Mohammed, 2003, p9</w:t>
      </w:r>
    </w:p>
    <w:p w14:paraId="03D1F598"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b/>
          <w:bCs/>
          <w:kern w:val="0"/>
          <w:sz w:val="28"/>
          <w:szCs w:val="28"/>
          <w:rtl/>
          <w14:ligatures w14:val="none"/>
        </w:rPr>
        <w:t>و</w:t>
      </w:r>
      <w:r w:rsidRPr="00C30465">
        <w:rPr>
          <w:rFonts w:ascii="Simplified Arabic" w:eastAsia="Times New Roman" w:hAnsi="Simplified Arabic" w:cs="Simplified Arabic"/>
          <w:b/>
          <w:bCs/>
          <w:kern w:val="0"/>
          <w:sz w:val="28"/>
          <w:szCs w:val="28"/>
          <w:rtl/>
          <w:lang w:bidi="ar-EG"/>
          <w14:ligatures w14:val="none"/>
        </w:rPr>
        <w:t>ي</w:t>
      </w:r>
      <w:r w:rsidRPr="00C30465">
        <w:rPr>
          <w:rFonts w:ascii="Simplified Arabic" w:eastAsia="Times New Roman" w:hAnsi="Simplified Arabic" w:cs="Simplified Arabic"/>
          <w:b/>
          <w:bCs/>
          <w:kern w:val="0"/>
          <w:sz w:val="28"/>
          <w:szCs w:val="28"/>
          <w:rtl/>
          <w14:ligatures w14:val="none"/>
        </w:rPr>
        <w:t>ري الباحث</w:t>
      </w:r>
      <w:r w:rsidRPr="00C30465">
        <w:rPr>
          <w:rFonts w:ascii="Simplified Arabic" w:eastAsia="Times New Roman" w:hAnsi="Simplified Arabic" w:cs="Simplified Arabic"/>
          <w:kern w:val="0"/>
          <w:sz w:val="28"/>
          <w:szCs w:val="28"/>
          <w:rtl/>
          <w14:ligatures w14:val="none"/>
        </w:rPr>
        <w:t>: أن هناك أسباب أخرى ذات أهمية بالغة وهي الأسباب الاجتماعية و الاقتصادية التي أدت إلى ظهور الحوكمة الرشيدة تتمثل في ضعف مستوي التنمية البشرية وزيادة الفقر والأمية والأمراض وسوء التغذية وانتشار البطالة وازدياد الكوارث والأزمات في دول العالم الثالث وهذا مؤشر قوي لانتشار الفساد في تلك الدول وكثرة الديون عليها ويكون بذلك مؤشريهدد حياة الإنسان.</w:t>
      </w:r>
    </w:p>
    <w:p w14:paraId="28C76871" w14:textId="1E5182A6" w:rsidR="00B60B21" w:rsidRPr="00C30465" w:rsidRDefault="003302A1" w:rsidP="00B60B21">
      <w:pPr>
        <w:bidi/>
        <w:spacing w:before="240" w:after="0" w:line="240" w:lineRule="auto"/>
        <w:jc w:val="both"/>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 xml:space="preserve">- 2/1/2: </w:t>
      </w:r>
      <w:r w:rsidR="00B60B21" w:rsidRPr="00C30465">
        <w:rPr>
          <w:rFonts w:ascii="Simplified Arabic" w:eastAsia="Times New Roman" w:hAnsi="Simplified Arabic" w:cs="Simplified Arabic"/>
          <w:b/>
          <w:bCs/>
          <w:kern w:val="0"/>
          <w:sz w:val="32"/>
          <w:szCs w:val="32"/>
          <w:rtl/>
          <w14:ligatures w14:val="none"/>
        </w:rPr>
        <w:t>أهمية الحوكمة بالنسبة لشركات الأمن السيبراني الناشئة.</w:t>
      </w:r>
    </w:p>
    <w:p w14:paraId="04FE6E94" w14:textId="77777777" w:rsidR="00B60B21" w:rsidRPr="00C30465" w:rsidRDefault="00B60B21" w:rsidP="00B60B21">
      <w:pPr>
        <w:bidi/>
        <w:spacing w:after="100" w:afterAutospacing="1" w:line="240" w:lineRule="auto"/>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تتجلى أهمية تطبيق الحوكمة إجمالاً في قدرتها على الارتقاء بجودة العمل، ويمكن تفصيلها بمجموعة من النقاط كما حددتها منظمة اليونيسكو</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وفق ما أشارتا إليه (المنيع والخنيزان 2017، 13) بما يلي</w:t>
      </w:r>
      <w:r w:rsidRPr="00C30465">
        <w:rPr>
          <w:rFonts w:ascii="Simplified Arabic" w:eastAsia="Times New Roman" w:hAnsi="Simplified Arabic" w:cs="Simplified Arabic"/>
          <w:kern w:val="0"/>
          <w:sz w:val="28"/>
          <w:szCs w:val="28"/>
          <w14:ligatures w14:val="none"/>
        </w:rPr>
        <w:t>:</w:t>
      </w:r>
    </w:p>
    <w:p w14:paraId="2FE4C7BC" w14:textId="77777777" w:rsidR="00B60B21" w:rsidRPr="00C30465" w:rsidRDefault="00B60B21" w:rsidP="005D6CE8">
      <w:pPr>
        <w:bidi/>
        <w:spacing w:after="100" w:afterAutospacing="1" w:line="120" w:lineRule="auto"/>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1- توصل إلى درجة عالية من النزاهة</w:t>
      </w:r>
      <w:r w:rsidRPr="00C30465">
        <w:rPr>
          <w:rFonts w:ascii="Simplified Arabic" w:eastAsia="Times New Roman" w:hAnsi="Simplified Arabic" w:cs="Simplified Arabic"/>
          <w:kern w:val="0"/>
          <w:sz w:val="28"/>
          <w:szCs w:val="28"/>
          <w14:ligatures w14:val="none"/>
        </w:rPr>
        <w:t>.</w:t>
      </w:r>
    </w:p>
    <w:p w14:paraId="76CF31F6" w14:textId="77777777" w:rsidR="00B60B21" w:rsidRPr="00C30465"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2- </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تمكن من التعامل بعدالة وحيادية مع جميع الأفراد.</w:t>
      </w:r>
    </w:p>
    <w:p w14:paraId="05BCB331" w14:textId="77777777" w:rsidR="00B60B21" w:rsidRPr="00C30465"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3- تمنع ممارسات الفساد والانحرافات الداخلية</w:t>
      </w:r>
      <w:r w:rsidRPr="00C30465">
        <w:rPr>
          <w:rFonts w:ascii="Simplified Arabic" w:eastAsia="Times New Roman" w:hAnsi="Simplified Arabic" w:cs="Simplified Arabic"/>
          <w:kern w:val="0"/>
          <w:sz w:val="28"/>
          <w:szCs w:val="28"/>
          <w14:ligatures w14:val="none"/>
        </w:rPr>
        <w:t>.</w:t>
      </w:r>
    </w:p>
    <w:p w14:paraId="333305FD" w14:textId="77777777" w:rsidR="00B60B21" w:rsidRPr="00C30465"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4- تحقق الكفاءة في الأداء، وبالتالي المساهمة في سير حركة التنمية</w:t>
      </w:r>
      <w:r w:rsidRPr="00C30465">
        <w:rPr>
          <w:rFonts w:ascii="Simplified Arabic" w:eastAsia="Times New Roman" w:hAnsi="Simplified Arabic" w:cs="Simplified Arabic"/>
          <w:kern w:val="0"/>
          <w:sz w:val="28"/>
          <w:szCs w:val="28"/>
          <w14:ligatures w14:val="none"/>
        </w:rPr>
        <w:t>.</w:t>
      </w:r>
    </w:p>
    <w:p w14:paraId="1E497B8E" w14:textId="59DFE7ED" w:rsidR="00B60B21" w:rsidRPr="00C30465" w:rsidRDefault="00B60B21"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5- </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ترفع مستوى الثقة بالمؤسسات</w:t>
      </w:r>
      <w:r w:rsidR="00241C3E" w:rsidRPr="00C30465">
        <w:rPr>
          <w:rFonts w:ascii="Simplified Arabic" w:eastAsia="Times New Roman" w:hAnsi="Simplified Arabic" w:cs="Simplified Arabic"/>
          <w:kern w:val="0"/>
          <w:sz w:val="28"/>
          <w:szCs w:val="28"/>
          <w:rtl/>
          <w14:ligatures w14:val="none"/>
        </w:rPr>
        <w:t>، و</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تقلل الوقوع بالخطأ </w:t>
      </w:r>
      <w:r w:rsidR="00241C3E" w:rsidRPr="00C30465">
        <w:rPr>
          <w:rFonts w:ascii="Simplified Arabic" w:eastAsia="Times New Roman" w:hAnsi="Simplified Arabic" w:cs="Simplified Arabic"/>
          <w:kern w:val="0"/>
          <w:sz w:val="28"/>
          <w:szCs w:val="28"/>
          <w:rtl/>
          <w14:ligatures w14:val="none"/>
        </w:rPr>
        <w:t>و</w:t>
      </w:r>
      <w:r w:rsidRPr="00C30465">
        <w:rPr>
          <w:rFonts w:ascii="Simplified Arabic" w:eastAsia="Times New Roman" w:hAnsi="Simplified Arabic" w:cs="Simplified Arabic"/>
          <w:kern w:val="0"/>
          <w:sz w:val="28"/>
          <w:szCs w:val="28"/>
          <w:rtl/>
          <w14:ligatures w14:val="none"/>
        </w:rPr>
        <w:t xml:space="preserve">التقصير في أداء العمل. </w:t>
      </w:r>
    </w:p>
    <w:p w14:paraId="0415ADBD" w14:textId="60891520" w:rsidR="00B60B21" w:rsidRPr="00C30465" w:rsidRDefault="00241C3E"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6</w:t>
      </w:r>
      <w:r w:rsidR="00B60B21" w:rsidRPr="00C30465">
        <w:rPr>
          <w:rFonts w:ascii="Simplified Arabic" w:eastAsia="Times New Roman" w:hAnsi="Simplified Arabic" w:cs="Simplified Arabic"/>
          <w:kern w:val="0"/>
          <w:sz w:val="28"/>
          <w:szCs w:val="28"/>
          <w:rtl/>
          <w14:ligatures w14:val="none"/>
        </w:rPr>
        <w:t>- تسهم في توفير فرص للعمل</w:t>
      </w:r>
      <w:r w:rsidR="00B60B21" w:rsidRPr="00C30465">
        <w:rPr>
          <w:rFonts w:ascii="Simplified Arabic" w:eastAsia="Times New Roman" w:hAnsi="Simplified Arabic" w:cs="Simplified Arabic"/>
          <w:kern w:val="0"/>
          <w:sz w:val="28"/>
          <w:szCs w:val="28"/>
          <w14:ligatures w14:val="none"/>
        </w:rPr>
        <w:t>.</w:t>
      </w:r>
    </w:p>
    <w:p w14:paraId="4EB6D326" w14:textId="3D3BB178" w:rsidR="00B60B21" w:rsidRPr="00C30465" w:rsidRDefault="00241C3E" w:rsidP="005D6CE8">
      <w:pPr>
        <w:bidi/>
        <w:spacing w:after="100" w:afterAutospacing="1" w:line="12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7</w:t>
      </w:r>
      <w:r w:rsidR="00B60B21" w:rsidRPr="00C30465">
        <w:rPr>
          <w:rFonts w:ascii="Simplified Arabic" w:eastAsia="Times New Roman" w:hAnsi="Simplified Arabic" w:cs="Simplified Arabic"/>
          <w:kern w:val="0"/>
          <w:sz w:val="28"/>
          <w:szCs w:val="28"/>
          <w:rtl/>
          <w14:ligatures w14:val="none"/>
        </w:rPr>
        <w:t>- تكشف عن التغيرات التي تطرأ على العمل والعمال</w:t>
      </w:r>
      <w:r w:rsidR="00B60B21" w:rsidRPr="00C30465">
        <w:rPr>
          <w:rFonts w:ascii="Simplified Arabic" w:eastAsia="Times New Roman" w:hAnsi="Simplified Arabic" w:cs="Simplified Arabic"/>
          <w:kern w:val="0"/>
          <w:sz w:val="28"/>
          <w:szCs w:val="28"/>
          <w14:ligatures w14:val="none"/>
        </w:rPr>
        <w:t>.</w:t>
      </w:r>
    </w:p>
    <w:p w14:paraId="56CF2814" w14:textId="77777777" w:rsidR="00B60B21" w:rsidRPr="00C30465" w:rsidRDefault="00B60B21" w:rsidP="00241C3E">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كما يبرز (الشريف وآخرون، 2013، 170) أهمية الحوكمة في النقاط التالية: </w:t>
      </w:r>
    </w:p>
    <w:p w14:paraId="644167D9" w14:textId="77777777" w:rsidR="00B60B21" w:rsidRPr="00C30465"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1- تساعد على التكافؤ والربط ما بين عمليات الإنفاق والإنتاج</w:t>
      </w:r>
      <w:r w:rsidRPr="00C30465">
        <w:rPr>
          <w:rFonts w:ascii="Simplified Arabic" w:eastAsia="Times New Roman" w:hAnsi="Simplified Arabic" w:cs="Simplified Arabic"/>
          <w:kern w:val="0"/>
          <w:sz w:val="28"/>
          <w:szCs w:val="28"/>
          <w14:ligatures w14:val="none"/>
        </w:rPr>
        <w:t>.</w:t>
      </w:r>
    </w:p>
    <w:p w14:paraId="032A2C01" w14:textId="77777777" w:rsidR="00241C3E" w:rsidRPr="00C30465"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lastRenderedPageBreak/>
        <w:t>2- تشجع على التنافسية في الإداء سواء على الصعيد الداخلي للمنظمة أو الخارجي</w:t>
      </w:r>
      <w:r w:rsidRPr="00C30465">
        <w:rPr>
          <w:rFonts w:ascii="Simplified Arabic" w:eastAsia="Times New Roman" w:hAnsi="Simplified Arabic" w:cs="Simplified Arabic"/>
          <w:kern w:val="0"/>
          <w:sz w:val="28"/>
          <w:szCs w:val="28"/>
          <w14:ligatures w14:val="none"/>
        </w:rPr>
        <w:t>.</w:t>
      </w:r>
    </w:p>
    <w:p w14:paraId="10C0F43C" w14:textId="198AF6C9" w:rsidR="00B60B21" w:rsidRPr="00C30465"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3-</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تحفظ حقوق ومسؤوليات كافة الأفراد العاملين</w:t>
      </w:r>
      <w:r w:rsidRPr="00C30465">
        <w:rPr>
          <w:rFonts w:ascii="Simplified Arabic" w:eastAsia="Times New Roman" w:hAnsi="Simplified Arabic" w:cs="Simplified Arabic"/>
          <w:kern w:val="0"/>
          <w:sz w:val="28"/>
          <w:szCs w:val="28"/>
          <w14:ligatures w14:val="none"/>
        </w:rPr>
        <w:t>.</w:t>
      </w:r>
    </w:p>
    <w:p w14:paraId="55666B60" w14:textId="77777777" w:rsidR="00B60B21" w:rsidRPr="00C30465"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4-</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تحسن من عملية صنع القرارات ذات العلاقة بالمنظمة</w:t>
      </w:r>
      <w:r w:rsidRPr="00C30465">
        <w:rPr>
          <w:rFonts w:ascii="Simplified Arabic" w:eastAsia="Times New Roman" w:hAnsi="Simplified Arabic" w:cs="Simplified Arabic"/>
          <w:kern w:val="0"/>
          <w:sz w:val="28"/>
          <w:szCs w:val="28"/>
          <w14:ligatures w14:val="none"/>
        </w:rPr>
        <w:t>.</w:t>
      </w:r>
    </w:p>
    <w:p w14:paraId="553229F3" w14:textId="77777777" w:rsidR="00B60B21" w:rsidRPr="00C30465" w:rsidRDefault="00B60B21" w:rsidP="005D6CE8">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5-</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تسعى لإحداث توازن ما بين الغايات الاقتصادية والحاجات المجتمعية</w:t>
      </w:r>
    </w:p>
    <w:p w14:paraId="00803496"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وبناء على هذه العوائد ذات الأثر الإيجابي الكبير تتضح دواعي الحرص اليوم على تفعيل الحوكمة في مختلف إدارات الأعمال، حيث أنها توفر أسلوبًا ناجحًا يقود إلى استمرارية العمل بشكل أكثر كفاءة وفاعلية، وبطريقة تؤدي إلى محاربة كل ما قد يؤدي إلى كساده وفساده</w:t>
      </w:r>
      <w:r w:rsidRPr="00C30465">
        <w:rPr>
          <w:rFonts w:ascii="Simplified Arabic" w:eastAsia="Times New Roman" w:hAnsi="Simplified Arabic" w:cs="Simplified Arabic"/>
          <w:kern w:val="0"/>
          <w:sz w:val="28"/>
          <w:szCs w:val="28"/>
          <w14:ligatures w14:val="none"/>
        </w:rPr>
        <w:t>.</w:t>
      </w:r>
    </w:p>
    <w:p w14:paraId="516E01C8"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ويرى الباحث أن:</w:t>
      </w:r>
    </w:p>
    <w:p w14:paraId="044744B5"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أن ﻣﺎ ﯾﻣﯾز اﻟﺷرﻛﺎت اﻟﻧﺎﺷﺋﺔ ﺳرﻋﺔ اﻟﻧﻣو وﻣن اﻟﻣﻬم اﻟﺗﺄﻛد ﻣن وﺟود اﻟﺿواﺑط واﻹﺟراءات اﻟﻣﻧﺎﺳﺑﺔ ﻟﻠﺣوﻛﻣﺔ ﻟﻣﺳﺎﯾرة ﺳرﻋﺔ ﻧﻣو اﻟﺷرﻛﺔ ﻗﺑل ﺣدوث أي إﺧﺗﻼﻻت أو ﻓﺟوات؛</w:t>
      </w:r>
    </w:p>
    <w:p w14:paraId="3D2373AD"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أن ﻣن ﻣﺗطﻠﺑﺎت اﻟﻧﻣو واﻟﺗوﺳﻊ ﻓﻲ اﻏﻠب اﻷﺣﯾﺎن رأس ﻣﺎل إﺿﺎﻓﻲ وﺑﺎﻟﺗﺎﻟﻲ اﻟﺣﺎﺟﺔ اﻟﻣﺎﺳﺔ إﻟﻰ ﺟذب ﻣﺳﺗﺛﻣرﯾن ﺟدد، ﻓﻌﻧدﻣﺎ ﯾروا ﻋﻣﻠﯾﺎت وٕاﺟراءات ﺣوﻛﻣﺔ ﺟﯾدة ﻣطﺑﻘﺔ ﯾﺷﺟﻌﻬم ذﻟك ﻋﻠﻰ اﻻﺳﺗﺛﻣﺎر ﻓﻲ ﺗﻠك اﻟﺷرﻛﺔ اﻟﻧﺎﺷﺋﺔ؛</w:t>
      </w:r>
    </w:p>
    <w:p w14:paraId="141975DD"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يجب أن ﺗﺗواﻓق ﻣﻣﺎرﺳﺎت اﻟﺣوﻛﻣﺔ ﺧﻼل ﻧﻣو اﻟﺷرﻛﺔ اﻟﻧﺎﺷﺋﺔ وﻣﻊ ﺗوﻗﻌﺎت اﻟﻣﺳﺗﺛﻣرﯾن وﻋﻠﻰ طوال دورة ﺣﯾﺎة اﻟﺷرﻛﺔ؛</w:t>
      </w:r>
    </w:p>
    <w:p w14:paraId="2FCB53BC"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ﻗد ﺗﻛون ﻫﻧﺎك ﺻﻌوﺑﺎت ﻓﻲ إﻗﻧﺎع وﻣواءﻣﺔ ﺗوﻗﻌﺎت اﻟﻣﺳﺗﺛﻣرﯾن و ﺑﺷﻛل ﺧﺎص ﻋﻧد ﺑداﯾﺔ ﺗﺷﻐﯾل اﻟﺷرﻛﺎت اﻟﻧﺎﺷﺋﺔ اﻟﺗﻲ ﻗد ﺗﺣﺗﺎج إﻟﻰ رؤﯾﺔ وٕاﺳﺗراﺗﯾﺟﯾﺔ ﻟﺗوﺟﯾﻪ ﻧﻣﺎذج أﻋﻣﺎﻟﻬﺎ وﺑﺳرﻋﺔ؛</w:t>
      </w:r>
    </w:p>
    <w:p w14:paraId="265832D5"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ﺗﺣدﯾد اﻟﻠﺣظﺎت اﻟﻣﻧﺎﺳﺑﺔ ﻟﺗﺄﺳﯾس ﻣﻣﺎرﺳﺎت ﻣﻌﯾﻧﺔ ﻣن ﺿواﺑط اﻟﺣوﻛﻣﺔ ﺳﯾؤدي إﻟﻰ ﺗﺟﻧب إﻧﺷﺎء ﻣﺟﺎﻟس إﻣﺎ ﺿﻌﯾﻔﺔ أو ﻣﻛﻠﻔﺔ وﻣرﻫﻘﺔ ﻟﻠﻣؤﺳﺳﺔ اﻟﻧﺎﺷﺋﺔ؛</w:t>
      </w:r>
    </w:p>
    <w:p w14:paraId="20A2DF8F"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ﺗﻌﻣل اﻟﺣوﻛﻣﺔ ﻋﻠﻰ ﺗﺣﺳﯾن اﻟﺷﻔﺎﻓﯾﺔ، ﺧﺎﺻﺔ إذا ﻛﺎن ﻫﻧﺎك ﻣؤﺳﺳون اﻟﺷرﻛﺔ اﻟﻧﺎﺷﺋﺔ أﻗوﯾﺎء؛</w:t>
      </w:r>
    </w:p>
    <w:p w14:paraId="2367440C" w14:textId="77777777" w:rsidR="00B60B21" w:rsidRPr="00C30465" w:rsidRDefault="00B60B21" w:rsidP="0002680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ﺗﻐرس اﻟﺣوﻛﻣﺔ ﺛﻘﺎﻓﺔ أﻓﺿل اﻟﻣﻣﺎرﺳﺎت، ﺣﺗﻰ ﻟو ﺗم ﺗﻧﻔﯾذ إﻧﺷﺎء ﻣﺟﻠس اﻹدارة ﺑﺷﻛل ﺟزﺋﻲ ﻓﻘط.</w:t>
      </w:r>
    </w:p>
    <w:p w14:paraId="4BAA44B2" w14:textId="77777777" w:rsidR="00B60B21" w:rsidRPr="00C30465"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ﺑﺷﻛل ﻋﺎم ، ﯾﺟب أن ﺗﻛون ﺣوﻛﻣﺔ اﻟﺷرﻛﺎت ﻣﻧﺎﺳﺑﺔ ﻟﻠﻐرض ﻣن إﻧﺷﺎء اﻟﺷرﻛﺔ.</w:t>
      </w:r>
    </w:p>
    <w:p w14:paraId="5E1A2D50" w14:textId="5152C07F" w:rsidR="00B60B21" w:rsidRPr="00C30465" w:rsidRDefault="003302A1" w:rsidP="00B60B21">
      <w:pPr>
        <w:bidi/>
        <w:spacing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xml:space="preserve">- 2/1/3: </w:t>
      </w:r>
      <w:r w:rsidR="00B60B21" w:rsidRPr="00C30465">
        <w:rPr>
          <w:rFonts w:ascii="Simplified Arabic" w:eastAsia="Times New Roman" w:hAnsi="Simplified Arabic" w:cs="Simplified Arabic"/>
          <w:b/>
          <w:bCs/>
          <w:kern w:val="0"/>
          <w:sz w:val="32"/>
          <w:szCs w:val="32"/>
          <w:rtl/>
          <w14:ligatures w14:val="none"/>
        </w:rPr>
        <w:t>أهداف الحوكمة بالنسبة للشركات الناشئة.</w:t>
      </w:r>
    </w:p>
    <w:p w14:paraId="2D494F4C" w14:textId="77777777" w:rsidR="00B60B21" w:rsidRPr="00C30465" w:rsidRDefault="00B60B21" w:rsidP="00B60B21">
      <w:pPr>
        <w:bidi/>
        <w:spacing w:before="100" w:beforeAutospacing="1" w:after="100" w:afterAutospacing="1" w:line="240" w:lineRule="auto"/>
        <w:ind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lastRenderedPageBreak/>
        <w:t>ﺗﻌﺗﺑر أﻫداف اﻟﺣوﻛﻣﺔ ﺑﺎﻟﻧﺳﺑﺔ ﻟﻠﺷرﻛﺎت اﻟﻧﺎﺷﺋﺔ أﻛﺛر ﺑﺳﺎطﺔ ﻣن ﻧظﯾرﺗﻬﺎ ﻓﻲ اﻟﺷرﻛﺎت اﻟﺗﻘﻠﯾدﯾﺔ وﻫذا راﺟﻊ ﻻن اﻟﻬدف اﻟرﺋﯾﺳﻲ ﻟﻠﺷرﻛﺎت اﻟﻧﺎﺷﺋﺔ واﻟذي ﯾﻛﺎد أن ﯾﻛون وﺣﯾدا ﻫو اﻟﻧﻣو اﻟﺳرﯾﻊ ﺑدرﺟﺔ أوﻟﻰ وﺗﺑﻘﻰ ﺑﺎﻗﻲ اﻷﻫداف اﻷﺧرى ﺛﺎﻧوﯾﺔ، ﻏﯾر أﻧﻪ ﻻ ﯾﺟب ﺗﻬﻣل اﻟﺣوﻛﻣﺔ ﻓﻣن اﻟﻣﻬم ﺟدا ﻟﻠﻣؤﺳﺳﺎت اﻟﻧﺎﺷﺋﺔ اﻟﻣﺑﺗﻛرة ذات اﻟﻧﻣو اﻟﻣﺗﺳﺎرع وﺧﺎﺻﺔ ﻓﻲ ﻣراﺣﻠﻬﺎ اﻷوﻟﻰ اﻟﻣﺑﻛرة أن ﺗﻛون إﺳﺗﺑﺎﻗﯾﺔ ﻓﯾﻣﺎ ﯾﺧص اﻟﺣوﻛﻣﺔ ﻓﻲ ﺿل إﻣﻛﺎﻧﯾﺔ ﺣدوث اﺿطراﺑﺎت ﻓﻲ اﻟﺳوق وذﻟك ﻣن ﺧﻼل ﺿﻣﺎن وﺟود أﺳﺎس ﻗوي ﻟﺗطﺑﯾق اﻟﺣوﻛﻣﺔ ﻗﺑل اﻟدﺧول ﻓﻲ ﻓﺗرات اﻟﻧﻣو اﻟﻣﺗﺳﺎرع وٕاﻣﻛﺎﻧﯾﺔ ﺣدوث إﺧﺗﻼﻻت وﻧﻘﺎط اﻧﺣراف ﻣﻬﻣﺔ، وﯾﻣﻛن ﺗﻠﺧﯾص أﻫم ﺛﻼث أﻫداف ﻟﻠﺣوﻛﻣﺔ ﺑﺎﻟﻧﺳﺑﺔ ﻟﻠﺷرﻛﺎت اﻟﻧﺎﺷﺋﺔ ﻛﻣﺎ ﯾﻠﻲ:</w:t>
      </w:r>
      <w:r w:rsidRPr="00C30465">
        <w:rPr>
          <w:rFonts w:ascii="Simplified Arabic" w:eastAsia="Times New Roman" w:hAnsi="Simplified Arabic" w:cs="Simplified Arabic"/>
          <w:kern w:val="0"/>
          <w:sz w:val="28"/>
          <w:szCs w:val="28"/>
          <w14:ligatures w14:val="none"/>
        </w:rPr>
        <w:t xml:space="preserve"> (Danielle Piskadlo, et al, 2019) </w:t>
      </w:r>
    </w:p>
    <w:p w14:paraId="7073EC66"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ﺑﺎﻟﻧﺳﺑﺔ ﻟﻣؤﺳﺳﻲ وﻗﺎدة اﻟﺷرﻛﺎت اﻟﻧﺎﺷﺋﺔ:</w:t>
      </w:r>
      <w:r w:rsidRPr="00C30465">
        <w:rPr>
          <w:rFonts w:ascii="Simplified Arabic" w:eastAsia="Times New Roman" w:hAnsi="Simplified Arabic" w:cs="Simplified Arabic"/>
          <w:kern w:val="0"/>
          <w:sz w:val="28"/>
          <w:szCs w:val="28"/>
          <w:rtl/>
          <w14:ligatures w14:val="none"/>
        </w:rPr>
        <w:t xml:space="preserve"> ﻟرﻓﻊ ﻣﺳﺗوى اﻟوﻋﻲ ﺣول أﻫﻣﯾﺔ ﻫﯾﺎﻛل اﻟﺣوﻛﻣﺔ اﻟﻘوﯾﺔ ﻓﻲ وﻗت ﻣﺑﻛر ﻣن ﺣﯾﺎة اﻟﺷرﻛﺎت اﻟﻣﺑﺗﻛرة اﻟﺗﻲ ﺗﺧدم اﻟﻌﻣﻼء؛</w:t>
      </w:r>
    </w:p>
    <w:p w14:paraId="2A41046F"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 xml:space="preserve"> ﺑﺎﻟﻧﺳﺑﺔ ﻟﻠﻣﺳﺗﺛﻣرﯾن وأﻋﺿﺎء ﻣﺟﺎﻟس اﻹدارة ﻓﻲ اﻟﺷرﻛﺎت اﻟﻧﺎﺷﺋﺔ:</w:t>
      </w:r>
      <w:r w:rsidRPr="00C30465">
        <w:rPr>
          <w:rFonts w:ascii="Simplified Arabic" w:eastAsia="Times New Roman" w:hAnsi="Simplified Arabic" w:cs="Simplified Arabic"/>
          <w:kern w:val="0"/>
          <w:sz w:val="28"/>
          <w:szCs w:val="28"/>
          <w:rtl/>
          <w14:ligatures w14:val="none"/>
        </w:rPr>
        <w:t xml:space="preserve"> ﻟوﺿﻊ ﺗوﻗﻌﺎت وﻣﻌﺎﯾﯾر ﺣوﻛﻣﺔ واﻗﻌﯾﺔ ﻣن ﺣﯾث اﻟﺗﻌﻘﯾد واﻟﻣﺗطﻠﺑﺎت اﻟﺗﻲ ﯾﺟب أن ﺗﻛون ﻟدى ﻣﺟﺎﻟس اﻹدارة ﻓﻲ ﻣراﺣل ﻣﺧﺗﻠﻔﺔ ﻣن ﻧﻣو اﻟﺷرﻛﺔ؛</w:t>
      </w:r>
    </w:p>
    <w:p w14:paraId="1B53E813"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 xml:space="preserve"> ﺑﺎﻟﻧﺳﺑﺔ ﻟﻠﺻﻧﺎﻋﺔ:</w:t>
      </w:r>
      <w:r w:rsidRPr="00C30465">
        <w:rPr>
          <w:rFonts w:ascii="Simplified Arabic" w:eastAsia="Times New Roman" w:hAnsi="Simplified Arabic" w:cs="Simplified Arabic"/>
          <w:kern w:val="0"/>
          <w:sz w:val="28"/>
          <w:szCs w:val="28"/>
          <w:rtl/>
          <w14:ligatures w14:val="none"/>
        </w:rPr>
        <w:t xml:space="preserve"> ﻟﺗﻛون ﺑﻣﺛﺎﺑﺔ ﻣرﺟﻊ رﺋﯾﺳﻲ ﻟﻠﻣﺳﺎﻋدة ﻓﻲ ﺻﯾﺎﻏﺔ ﻫذﻩ اﻟﻬﯾﺎﻛل وأﻓﺿل اﻟﻣﻣﺎرﺳﺎت، وﻣواءﻣﺔ اﻟﺗوﻗﻌﺎت.</w:t>
      </w:r>
    </w:p>
    <w:p w14:paraId="7CFADAE5" w14:textId="1EC3D302" w:rsidR="00B60B21" w:rsidRPr="00C30465" w:rsidRDefault="003302A1" w:rsidP="00B60B21">
      <w:pPr>
        <w:bidi/>
        <w:spacing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xml:space="preserve">- 2/1/4: </w:t>
      </w:r>
      <w:r w:rsidR="00B60B21" w:rsidRPr="00C30465">
        <w:rPr>
          <w:rFonts w:ascii="Simplified Arabic" w:eastAsia="Times New Roman" w:hAnsi="Simplified Arabic" w:cs="Simplified Arabic"/>
          <w:b/>
          <w:bCs/>
          <w:kern w:val="0"/>
          <w:sz w:val="32"/>
          <w:szCs w:val="32"/>
          <w:rtl/>
          <w14:ligatures w14:val="none"/>
        </w:rPr>
        <w:t>عناصر الحوكمة بالنسبة لشركات الأمن السيبراني:</w:t>
      </w:r>
    </w:p>
    <w:p w14:paraId="3EAC73A9" w14:textId="77777777" w:rsidR="00B60B21" w:rsidRPr="00C30465" w:rsidRDefault="00B60B21" w:rsidP="00B60B21">
      <w:pPr>
        <w:bidi/>
        <w:spacing w:after="0"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إن حوكمة تقنية المعلومات هي القدرة التنظيمية التي تمارس من قبل مجلس الإدارة والإدارة التنفيذية وإدارة تقنية المعلومات للسيطرة على صياغة وتطبيق إستراتيجية تقنية المعلومات وخلق الإنسجام بين مكونات تقنية المعلومات والأهداف الحقيقية لوجود تلك التقنية من جانب ودعم وتعزيز أهداف المنشأة من جانب أخر، وبهذه الطريقة تضمن إندماج تقنية المعلومات ضمن بيئة عمل المنشأة بطريقة هادفة وفعالة، وقد إتفق كل من</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 xml:space="preserve">(2010,Gheorghe) </w:t>
      </w:r>
      <w:r w:rsidRPr="00C30465">
        <w:rPr>
          <w:rFonts w:ascii="Simplified Arabic" w:eastAsia="Times New Roman" w:hAnsi="Simplified Arabic" w:cs="Simplified Arabic"/>
          <w:kern w:val="0"/>
          <w:sz w:val="28"/>
          <w:szCs w:val="28"/>
          <w:rtl/>
          <w14:ligatures w14:val="none"/>
        </w:rPr>
        <w:t xml:space="preserve"> و</w:t>
      </w:r>
      <w:r w:rsidRPr="00C30465">
        <w:rPr>
          <w:rFonts w:ascii="Simplified Arabic" w:eastAsia="Times New Roman" w:hAnsi="Simplified Arabic" w:cs="Simplified Arabic"/>
          <w:kern w:val="0"/>
          <w:sz w:val="28"/>
          <w:szCs w:val="28"/>
          <w14:ligatures w14:val="none"/>
        </w:rPr>
        <w:t xml:space="preserve"> (2015,Gelling and Engward) </w:t>
      </w:r>
      <w:r w:rsidRPr="00C30465">
        <w:rPr>
          <w:rFonts w:ascii="Simplified Arabic" w:eastAsia="Times New Roman" w:hAnsi="Simplified Arabic" w:cs="Simplified Arabic"/>
          <w:kern w:val="0"/>
          <w:sz w:val="28"/>
          <w:szCs w:val="28"/>
          <w:rtl/>
          <w14:ligatures w14:val="none"/>
        </w:rPr>
        <w:t>على أن حوكمة تقنية المعلومات تشمل العناصر الخمسة الأتية</w:t>
      </w:r>
      <w:r w:rsidRPr="00C30465">
        <w:rPr>
          <w:rFonts w:ascii="Simplified Arabic" w:eastAsia="Times New Roman" w:hAnsi="Simplified Arabic" w:cs="Simplified Arabic"/>
          <w:kern w:val="0"/>
          <w:sz w:val="28"/>
          <w:szCs w:val="28"/>
          <w14:ligatures w14:val="none"/>
        </w:rPr>
        <w:t>:</w:t>
      </w:r>
    </w:p>
    <w:p w14:paraId="0CC5EE5C" w14:textId="77777777" w:rsidR="00DC238D" w:rsidRPr="00C30465" w:rsidRDefault="00DC238D" w:rsidP="00241C3E">
      <w:pPr>
        <w:bidi/>
        <w:spacing w:after="0" w:line="240" w:lineRule="auto"/>
        <w:jc w:val="center"/>
        <w:rPr>
          <w:rFonts w:ascii="Simplified Arabic" w:eastAsia="Times New Roman" w:hAnsi="Simplified Arabic" w:cs="Simplified Arabic"/>
          <w:b/>
          <w:bCs/>
          <w:kern w:val="0"/>
          <w:sz w:val="28"/>
          <w:szCs w:val="28"/>
          <w:rtl/>
          <w14:ligatures w14:val="none"/>
        </w:rPr>
      </w:pPr>
    </w:p>
    <w:p w14:paraId="1FBB2C0B" w14:textId="77777777" w:rsidR="00DC238D" w:rsidRPr="00C30465" w:rsidRDefault="00DC238D" w:rsidP="00DC238D">
      <w:pPr>
        <w:bidi/>
        <w:spacing w:after="0" w:line="240" w:lineRule="auto"/>
        <w:jc w:val="center"/>
        <w:rPr>
          <w:rFonts w:ascii="Simplified Arabic" w:eastAsia="Times New Roman" w:hAnsi="Simplified Arabic" w:cs="Simplified Arabic"/>
          <w:b/>
          <w:bCs/>
          <w:kern w:val="0"/>
          <w:sz w:val="28"/>
          <w:szCs w:val="28"/>
          <w:rtl/>
          <w14:ligatures w14:val="none"/>
        </w:rPr>
      </w:pPr>
    </w:p>
    <w:p w14:paraId="00839789" w14:textId="77777777" w:rsidR="00DC238D" w:rsidRPr="00C30465" w:rsidRDefault="00DC238D" w:rsidP="00DC238D">
      <w:pPr>
        <w:bidi/>
        <w:spacing w:after="0" w:line="240" w:lineRule="auto"/>
        <w:jc w:val="center"/>
        <w:rPr>
          <w:rFonts w:ascii="Simplified Arabic" w:eastAsia="Times New Roman" w:hAnsi="Simplified Arabic" w:cs="Simplified Arabic"/>
          <w:b/>
          <w:bCs/>
          <w:kern w:val="0"/>
          <w:sz w:val="28"/>
          <w:szCs w:val="28"/>
          <w:rtl/>
          <w14:ligatures w14:val="none"/>
        </w:rPr>
      </w:pPr>
    </w:p>
    <w:p w14:paraId="1AABEC97" w14:textId="77777777" w:rsidR="00DC238D" w:rsidRPr="00C30465" w:rsidRDefault="00DC238D" w:rsidP="00DC238D">
      <w:pPr>
        <w:bidi/>
        <w:spacing w:after="0" w:line="240" w:lineRule="auto"/>
        <w:jc w:val="center"/>
        <w:rPr>
          <w:rFonts w:ascii="Simplified Arabic" w:eastAsia="Times New Roman" w:hAnsi="Simplified Arabic" w:cs="Simplified Arabic"/>
          <w:b/>
          <w:bCs/>
          <w:kern w:val="0"/>
          <w:sz w:val="28"/>
          <w:szCs w:val="28"/>
          <w:rtl/>
          <w14:ligatures w14:val="none"/>
        </w:rPr>
      </w:pPr>
    </w:p>
    <w:p w14:paraId="78DDE698" w14:textId="53590F47" w:rsidR="00B60B21" w:rsidRPr="00C30465" w:rsidRDefault="00B60B21" w:rsidP="00DC238D">
      <w:pPr>
        <w:bidi/>
        <w:spacing w:before="240" w:after="0" w:line="240" w:lineRule="auto"/>
        <w:jc w:val="center"/>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lastRenderedPageBreak/>
        <w:t>جدول رقم</w:t>
      </w:r>
      <w:r w:rsidRPr="00C30465">
        <w:rPr>
          <w:rFonts w:ascii="Simplified Arabic" w:eastAsia="Times New Roman" w:hAnsi="Simplified Arabic" w:cs="Simplified Arabic"/>
          <w:b/>
          <w:bCs/>
          <w:kern w:val="0"/>
          <w:sz w:val="28"/>
          <w:szCs w:val="28"/>
          <w14:ligatures w14:val="none"/>
        </w:rPr>
        <w:t xml:space="preserve"> (1)</w:t>
      </w:r>
    </w:p>
    <w:p w14:paraId="73E44B01" w14:textId="77777777" w:rsidR="00B60B21" w:rsidRPr="00C30465" w:rsidRDefault="00B60B21" w:rsidP="00DC238D">
      <w:pPr>
        <w:bidi/>
        <w:spacing w:before="240" w:after="0" w:line="240" w:lineRule="auto"/>
        <w:jc w:val="center"/>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عناصر حوكمة شركات الأمن السيبراني</w:t>
      </w:r>
    </w:p>
    <w:tbl>
      <w:tblPr>
        <w:tblStyle w:val="TableGrid"/>
        <w:bidiVisual/>
        <w:tblW w:w="0" w:type="auto"/>
        <w:tblLook w:val="04A0" w:firstRow="1" w:lastRow="0" w:firstColumn="1" w:lastColumn="0" w:noHBand="0" w:noVBand="1"/>
      </w:tblPr>
      <w:tblGrid>
        <w:gridCol w:w="1917"/>
        <w:gridCol w:w="6893"/>
      </w:tblGrid>
      <w:tr w:rsidR="00B60B21" w:rsidRPr="00C30465" w14:paraId="29F69A66" w14:textId="77777777" w:rsidTr="00175BA4">
        <w:tc>
          <w:tcPr>
            <w:tcW w:w="1980" w:type="dxa"/>
            <w:shd w:val="clear" w:color="auto" w:fill="DEEAF6" w:themeFill="accent5" w:themeFillTint="33"/>
          </w:tcPr>
          <w:p w14:paraId="181E53E3"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العنصر</w:t>
            </w:r>
          </w:p>
        </w:tc>
        <w:tc>
          <w:tcPr>
            <w:tcW w:w="7370" w:type="dxa"/>
            <w:shd w:val="clear" w:color="auto" w:fill="DEEAF6" w:themeFill="accent5" w:themeFillTint="33"/>
          </w:tcPr>
          <w:p w14:paraId="5E84DBF1"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التعريف</w:t>
            </w:r>
          </w:p>
        </w:tc>
      </w:tr>
      <w:tr w:rsidR="00B60B21" w:rsidRPr="00C30465" w14:paraId="25FFA1B2" w14:textId="77777777" w:rsidTr="00175BA4">
        <w:tc>
          <w:tcPr>
            <w:tcW w:w="1980" w:type="dxa"/>
          </w:tcPr>
          <w:p w14:paraId="748DF978"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التوافق الإستراتيجي</w:t>
            </w:r>
          </w:p>
        </w:tc>
        <w:tc>
          <w:tcPr>
            <w:tcW w:w="7370" w:type="dxa"/>
          </w:tcPr>
          <w:p w14:paraId="05A85633" w14:textId="77777777" w:rsidR="00B60B21" w:rsidRPr="00C30465"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C30465">
              <w:rPr>
                <w:rFonts w:ascii="Simplified Arabic" w:eastAsia="Times New Roman" w:hAnsi="Simplified Arabic" w:cs="Simplified Arabic"/>
                <w:kern w:val="0"/>
                <w:sz w:val="26"/>
                <w:szCs w:val="26"/>
                <w:rtl/>
                <w14:ligatures w14:val="none"/>
              </w:rPr>
              <w:t>إن التوافق الإستراتيجي عملية تهدف لإنجاز ميزة تنافسية من خلال تطوير ودعم العلاقة المنسجمة بين المنظمة وتقنية المعلومات، تساهم المواءمة الإستراتيجية في تحسين الأداء من خلال تحسين تشغيل العمليات / الأنظمة وأنشطة الفرق والإدارات</w:t>
            </w:r>
            <w:r w:rsidRPr="00C30465">
              <w:rPr>
                <w:rFonts w:ascii="Simplified Arabic" w:eastAsia="Times New Roman" w:hAnsi="Simplified Arabic" w:cs="Simplified Arabic"/>
                <w:kern w:val="0"/>
                <w:sz w:val="26"/>
                <w:szCs w:val="26"/>
                <w14:ligatures w14:val="none"/>
              </w:rPr>
              <w:t>.</w:t>
            </w:r>
          </w:p>
        </w:tc>
      </w:tr>
      <w:tr w:rsidR="00B60B21" w:rsidRPr="00C30465" w14:paraId="72AFD140" w14:textId="77777777" w:rsidTr="00175BA4">
        <w:tc>
          <w:tcPr>
            <w:tcW w:w="1980" w:type="dxa"/>
          </w:tcPr>
          <w:p w14:paraId="5AEAE1DC"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تسليم القيمة</w:t>
            </w:r>
          </w:p>
        </w:tc>
        <w:tc>
          <w:tcPr>
            <w:tcW w:w="7370" w:type="dxa"/>
          </w:tcPr>
          <w:p w14:paraId="7FE79799" w14:textId="77777777" w:rsidR="00B60B21" w:rsidRPr="00C30465"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C30465">
              <w:rPr>
                <w:rFonts w:ascii="Simplified Arabic" w:eastAsia="Times New Roman" w:hAnsi="Simplified Arabic" w:cs="Simplified Arabic"/>
                <w:kern w:val="0"/>
                <w:sz w:val="26"/>
                <w:szCs w:val="26"/>
                <w:rtl/>
                <w14:ligatures w14:val="none"/>
              </w:rPr>
              <w:t>أن قسم تقنية المعلومات يعرض قيمة للمنظمات عندما تكتمل المشروعات ويتم ذلك في الوقت المناسب وضمن الميزانية المحددة، وكذلك فإن قسم تقنية المعلومات يضيف قيمة عن طريق مقابلة توقعات الزبائن لخدمات تقنية المعلومات الأساسية مثل البريد الإلكتروني والوصول عن طريق الإنترنت</w:t>
            </w:r>
            <w:r w:rsidRPr="00C30465">
              <w:rPr>
                <w:rFonts w:ascii="Simplified Arabic" w:eastAsia="Times New Roman" w:hAnsi="Simplified Arabic" w:cs="Simplified Arabic"/>
                <w:kern w:val="0"/>
                <w:sz w:val="26"/>
                <w:szCs w:val="26"/>
                <w14:ligatures w14:val="none"/>
              </w:rPr>
              <w:t>.</w:t>
            </w:r>
          </w:p>
        </w:tc>
      </w:tr>
      <w:tr w:rsidR="00B60B21" w:rsidRPr="00C30465" w14:paraId="2C859462" w14:textId="77777777" w:rsidTr="00175BA4">
        <w:tc>
          <w:tcPr>
            <w:tcW w:w="1980" w:type="dxa"/>
          </w:tcPr>
          <w:p w14:paraId="5DFB6A13"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إدارة المخاطر</w:t>
            </w:r>
          </w:p>
        </w:tc>
        <w:tc>
          <w:tcPr>
            <w:tcW w:w="7370" w:type="dxa"/>
          </w:tcPr>
          <w:p w14:paraId="1121556A" w14:textId="77777777" w:rsidR="00B60B21" w:rsidRPr="00C30465"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C30465">
              <w:rPr>
                <w:rFonts w:ascii="Simplified Arabic" w:eastAsia="Times New Roman" w:hAnsi="Simplified Arabic" w:cs="Simplified Arabic"/>
                <w:kern w:val="0"/>
                <w:sz w:val="26"/>
                <w:szCs w:val="26"/>
                <w:rtl/>
                <w14:ligatures w14:val="none"/>
              </w:rPr>
              <w:t>إن إدارة المخاطر هي تنظيم متكامل يهدف إلى مجابهة الخطر بأفضل الوسائل وأقل التكاليف وذلك عن طريق إكتشاف الخطر وتحليله وقياسه وتحديد وسائل مجابهته مع إختيار أنسبها لتحقيق الهدف المطلوب</w:t>
            </w:r>
            <w:r w:rsidRPr="00C30465">
              <w:rPr>
                <w:rFonts w:ascii="Simplified Arabic" w:eastAsia="Times New Roman" w:hAnsi="Simplified Arabic" w:cs="Simplified Arabic"/>
                <w:kern w:val="0"/>
                <w:sz w:val="26"/>
                <w:szCs w:val="26"/>
                <w14:ligatures w14:val="none"/>
              </w:rPr>
              <w:t>.</w:t>
            </w:r>
          </w:p>
          <w:p w14:paraId="46D6764F" w14:textId="77777777" w:rsidR="00B60B21" w:rsidRPr="00C30465"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C30465">
              <w:rPr>
                <w:rFonts w:ascii="Simplified Arabic" w:eastAsia="Times New Roman" w:hAnsi="Simplified Arabic" w:cs="Simplified Arabic"/>
                <w:kern w:val="0"/>
                <w:sz w:val="26"/>
                <w:szCs w:val="26"/>
                <w:rtl/>
                <w14:ligatures w14:val="none"/>
              </w:rPr>
              <w:t>والهدف الأساسي والرئيسي لإدارة المخاطر هو وضع سياسة ذات معالم محددة لمواجهة الخسائر المتوقعة أو الحد من وقوع هذه الخسائر</w:t>
            </w:r>
            <w:r w:rsidRPr="00C30465">
              <w:rPr>
                <w:rFonts w:ascii="Simplified Arabic" w:eastAsia="Times New Roman" w:hAnsi="Simplified Arabic" w:cs="Simplified Arabic"/>
                <w:kern w:val="0"/>
                <w:sz w:val="26"/>
                <w:szCs w:val="26"/>
                <w14:ligatures w14:val="none"/>
              </w:rPr>
              <w:t>.</w:t>
            </w:r>
          </w:p>
        </w:tc>
      </w:tr>
      <w:tr w:rsidR="00B60B21" w:rsidRPr="00C30465" w14:paraId="0123441E" w14:textId="77777777" w:rsidTr="00175BA4">
        <w:tc>
          <w:tcPr>
            <w:tcW w:w="1980" w:type="dxa"/>
          </w:tcPr>
          <w:p w14:paraId="1B9A4BB8"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إدارة الموارد</w:t>
            </w:r>
          </w:p>
        </w:tc>
        <w:tc>
          <w:tcPr>
            <w:tcW w:w="7370" w:type="dxa"/>
          </w:tcPr>
          <w:p w14:paraId="09579CB3" w14:textId="77777777" w:rsidR="00B60B21" w:rsidRPr="00C30465"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C30465">
              <w:rPr>
                <w:rFonts w:ascii="Simplified Arabic" w:eastAsia="Times New Roman" w:hAnsi="Simplified Arabic" w:cs="Simplified Arabic"/>
                <w:kern w:val="0"/>
                <w:sz w:val="26"/>
                <w:szCs w:val="26"/>
                <w:rtl/>
                <w14:ligatures w14:val="none"/>
              </w:rPr>
              <w:t>إن إستخدام الأمثل للأصول وتخصيص الموارد هي معايير نجاح الإدارة، إن إدارة الموارد هي إكتساب الموارد وتخصيصها ،وإدارتها، مثل الأفراد ومهاراتهم وتمويلهم وتكنولوجيا المرتبطة بهم والمواد والآلات والموارد الطبيعية المطلوبة لمشروع ما تضمن إدارة الموارد إستخدام الموارد الداخلية والخارجية بشكل فعال في الوقت المحدد</w:t>
            </w:r>
            <w:r w:rsidRPr="00C30465">
              <w:rPr>
                <w:rFonts w:ascii="Simplified Arabic" w:eastAsia="Times New Roman" w:hAnsi="Simplified Arabic" w:cs="Simplified Arabic"/>
                <w:kern w:val="0"/>
                <w:sz w:val="26"/>
                <w:szCs w:val="26"/>
                <w14:ligatures w14:val="none"/>
              </w:rPr>
              <w:t>.</w:t>
            </w:r>
          </w:p>
        </w:tc>
      </w:tr>
      <w:tr w:rsidR="00B60B21" w:rsidRPr="00C30465" w14:paraId="0EB2AB3D" w14:textId="77777777" w:rsidTr="00175BA4">
        <w:tc>
          <w:tcPr>
            <w:tcW w:w="1980" w:type="dxa"/>
          </w:tcPr>
          <w:p w14:paraId="40F8D225"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قياس الأداء</w:t>
            </w:r>
          </w:p>
        </w:tc>
        <w:tc>
          <w:tcPr>
            <w:tcW w:w="7370" w:type="dxa"/>
          </w:tcPr>
          <w:p w14:paraId="24A2A578" w14:textId="77777777" w:rsidR="00B60B21" w:rsidRPr="00C30465" w:rsidRDefault="00B60B21" w:rsidP="00B60B21">
            <w:pPr>
              <w:bidi/>
              <w:spacing w:before="100" w:beforeAutospacing="1" w:afterAutospacing="1"/>
              <w:jc w:val="both"/>
              <w:rPr>
                <w:rFonts w:ascii="Simplified Arabic" w:eastAsia="Times New Roman" w:hAnsi="Simplified Arabic" w:cs="Simplified Arabic"/>
                <w:kern w:val="0"/>
                <w:sz w:val="26"/>
                <w:szCs w:val="26"/>
                <w:rtl/>
                <w14:ligatures w14:val="none"/>
              </w:rPr>
            </w:pPr>
            <w:r w:rsidRPr="00C30465">
              <w:rPr>
                <w:rFonts w:ascii="Simplified Arabic" w:eastAsia="Times New Roman" w:hAnsi="Simplified Arabic" w:cs="Simplified Arabic"/>
                <w:kern w:val="0"/>
                <w:sz w:val="26"/>
                <w:szCs w:val="26"/>
                <w:rtl/>
                <w14:ligatures w14:val="none"/>
              </w:rPr>
              <w:t>إن قياس الأداء يهدف لتحسين الإداء ومعالجة مواطن الفشل بشكل أساسي، ويتم ذلك من خلال الرقابة والمتابعة المستمرة للنتائج المحققة من الأهداف والعمل على تقييم أداء العاملين داخـــل المؤسسة وتقييم أداء العمليات بشكل مستمر والتأكد من فعالية الخطة وفعالية الأهداف والمهام الموضوعة.</w:t>
            </w:r>
          </w:p>
        </w:tc>
      </w:tr>
      <w:tr w:rsidR="00B60B21" w:rsidRPr="00C30465" w14:paraId="36AB26B7" w14:textId="77777777" w:rsidTr="00175BA4">
        <w:tc>
          <w:tcPr>
            <w:tcW w:w="9350" w:type="dxa"/>
            <w:gridSpan w:val="2"/>
          </w:tcPr>
          <w:p w14:paraId="775FF0F0" w14:textId="77777777" w:rsidR="00B60B21" w:rsidRPr="00C30465" w:rsidRDefault="00B60B21" w:rsidP="00B60B21">
            <w:pPr>
              <w:bidi/>
              <w:spacing w:before="100" w:beforeAutospacing="1" w:afterAutospacing="1"/>
              <w:jc w:val="center"/>
              <w:rPr>
                <w:rFonts w:ascii="Simplified Arabic" w:eastAsia="Times New Roman" w:hAnsi="Simplified Arabic" w:cs="Simplified Arabic"/>
                <w:b/>
                <w:bCs/>
                <w:kern w:val="0"/>
                <w:sz w:val="26"/>
                <w:szCs w:val="26"/>
                <w:rtl/>
                <w14:ligatures w14:val="none"/>
              </w:rPr>
            </w:pPr>
            <w:r w:rsidRPr="00C30465">
              <w:rPr>
                <w:rFonts w:ascii="Simplified Arabic" w:eastAsia="Times New Roman" w:hAnsi="Simplified Arabic" w:cs="Simplified Arabic"/>
                <w:b/>
                <w:bCs/>
                <w:kern w:val="0"/>
                <w:sz w:val="26"/>
                <w:szCs w:val="26"/>
                <w:rtl/>
                <w14:ligatures w14:val="none"/>
              </w:rPr>
              <w:t xml:space="preserve">المصدر: من إعداد الباحث وبالاعتماد على المرجع </w:t>
            </w:r>
            <w:r w:rsidRPr="00C30465">
              <w:rPr>
                <w:rFonts w:ascii="Simplified Arabic" w:eastAsia="Times New Roman" w:hAnsi="Simplified Arabic" w:cs="Simplified Arabic"/>
                <w:b/>
                <w:bCs/>
                <w:kern w:val="0"/>
                <w:sz w:val="26"/>
                <w:szCs w:val="26"/>
                <w14:ligatures w14:val="none"/>
              </w:rPr>
              <w:t xml:space="preserve"> IT governance impact on financial reporting quality using COBIT framework</w:t>
            </w:r>
          </w:p>
        </w:tc>
      </w:tr>
    </w:tbl>
    <w:p w14:paraId="5EF91A50" w14:textId="77777777" w:rsidR="00B60B21" w:rsidRPr="00C30465" w:rsidRDefault="00B60B21" w:rsidP="00B60B21">
      <w:pPr>
        <w:bidi/>
        <w:spacing w:before="100" w:beforeAutospacing="1" w:after="0" w:afterAutospacing="1"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معوقات تبنّي حوكمة تكنولوجيا المعلومات بالرغم من محاولة الكثير من المنظمات لتبني حوكمة تكنولوجيا المعلومات وقيامها بالإستثمار في تقنية المعلومات، إلا أنه يرافق كل تلك المحاولات </w:t>
      </w:r>
      <w:r w:rsidRPr="00C30465">
        <w:rPr>
          <w:rFonts w:ascii="Simplified Arabic" w:eastAsia="Times New Roman" w:hAnsi="Simplified Arabic" w:cs="Simplified Arabic"/>
          <w:kern w:val="0"/>
          <w:sz w:val="28"/>
          <w:szCs w:val="28"/>
          <w:rtl/>
          <w14:ligatures w14:val="none"/>
        </w:rPr>
        <w:lastRenderedPageBreak/>
        <w:t>والاستثمارات حالات من الفشل والإخفاق في تحقيق قيمة مضافة من تكنولوجيا المعلومات، وقد يعزى سبب ذلك الإخفاق لعدة عوامل منها البيئة</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الداخلية وفهم إحتياجات المنظمة ومدى ملائمة التقنيات المستخدمة لتحقيق الأهداف المرجوة.</w:t>
      </w:r>
    </w:p>
    <w:p w14:paraId="1573551E"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b/>
          <w:bCs/>
          <w:kern w:val="0"/>
          <w:sz w:val="28"/>
          <w:szCs w:val="28"/>
          <w:rtl/>
          <w14:ligatures w14:val="none"/>
        </w:rPr>
        <w:t>- ﺿﻣﺎن وﺟود أﺳﺎس ﻹطﺎر ﻓﻌﺎل ﻟﺣوﻛﻣﺔ اﻟﺷرﻛﺎت:</w:t>
      </w:r>
      <w:r w:rsidRPr="00C30465">
        <w:rPr>
          <w:rFonts w:ascii="Simplified Arabic" w:eastAsia="Times New Roman" w:hAnsi="Simplified Arabic" w:cs="Simplified Arabic"/>
          <w:kern w:val="0"/>
          <w:sz w:val="28"/>
          <w:szCs w:val="28"/>
          <w:rtl/>
          <w14:ligatures w14:val="none"/>
        </w:rPr>
        <w:t xml:space="preserve"> </w:t>
      </w:r>
    </w:p>
    <w:p w14:paraId="04952283" w14:textId="77777777" w:rsidR="00B60B21" w:rsidRPr="00C30465" w:rsidRDefault="00B60B21" w:rsidP="00B60B21">
      <w:pPr>
        <w:bidi/>
        <w:spacing w:after="10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ﻣن أﻫم اﻟﻌﻧﺎﺻر اﻟﺗﻲ ﯾﺟب ﺗوﻓرﻫﺎ ﻓﻲ أي دوﻟﺔ ﺿﻣﺎن</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ﺗطﺑﯾق ﻓﻌﺎل ﻟﻘواﻋد اﻟﺣوﻛﻣﺔ وﯾﻌﻛس ﺿرورة ﺗوﻓر إطﺎر ﻓﻌﺎل ﻣن اﻟﻘواﻧﯾن واﻟﺗﺷرﯾﻌﺎت واﻷﺳواق اﻟﻣﺎﻟﯾﺔ اﻟﻔﻌﺎﻟﺔ، ورﻓﻊ اﻟﻘﯾود ﻋن ﻧﻘل رؤوس اﻷﻣوال، ووﺟود ﻧظﺎم ﻣؤﺳﺳﻲ ﻓﻌﺎل ﯾﺿﻣن ﺗﺷرﯾﻊ وﺗطﺑﯾق اﻟﺑﻧﯾﺔ اﻟﻔوﻗﯾﺔ اﻟﻼزﻣﺔ. وﯾﺟب أن ﯾﻛون ﻫذا اﻹطﺎر ذا ﺗﺄﺛﯾر ﻋﻠﻰ اﻷداء اﻻﻗﺗﺻﺎدي اﻟﺷﺎﻣل وﻧزاﻫﺔ اﻷﺳواق وﯾﺷﺟﻊ ﻋﻠﻰ ﻗﯾﺎم أﺳواق ﺗﺗﺻف ﺑﺎﻟﺷﻔﺎﻓﯾﺔ واﻟﻔﻌﺎﻟﯾﺔ؛</w:t>
      </w:r>
    </w:p>
    <w:p w14:paraId="6859C16C" w14:textId="77777777" w:rsidR="00B60B21" w:rsidRPr="00C30465" w:rsidRDefault="00B60B21" w:rsidP="00B60B21">
      <w:pPr>
        <w:bidi/>
        <w:spacing w:after="100" w:line="240" w:lineRule="auto"/>
        <w:jc w:val="both"/>
        <w:rPr>
          <w:rFonts w:ascii="Simplified Arabic" w:eastAsia="Times New Roman" w:hAnsi="Simplified Arabic" w:cs="Simplified Arabic"/>
          <w:b/>
          <w:bCs/>
          <w:kern w:val="0"/>
          <w:sz w:val="28"/>
          <w:szCs w:val="28"/>
          <w14:ligatures w14:val="none"/>
        </w:rPr>
      </w:pP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 xml:space="preserve"> ﺿﻣﺎن ﺣﻘوق اﻟﻣﺳﺎﻫﻣﯾن:</w:t>
      </w:r>
    </w:p>
    <w:p w14:paraId="565E3129"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 إن ﻣن أﻫم ﻣﺎ أﻛدت ﻋﻠﯾﻪ ﻗواﻋد اﻟﺣوﻛﻣﺔ ﻫو ﺣﻘوق اﻟﻣﺳﺎﻫﻣﯾن وأﺑرز ﻫذﻩ اﻟﺣﻘوق</w:t>
      </w:r>
      <w:r w:rsidRPr="00C30465">
        <w:rPr>
          <w:rFonts w:ascii="Simplified Arabic" w:eastAsia="Times New Roman" w:hAnsi="Simplified Arabic" w:cs="Simplified Arabic"/>
          <w:kern w:val="0"/>
          <w:sz w:val="28"/>
          <w:szCs w:val="28"/>
          <w14:ligatures w14:val="none"/>
        </w:rPr>
        <w:t>:</w:t>
      </w:r>
    </w:p>
    <w:p w14:paraId="7690E56E"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ﺿﻣﺎن وﺟود طرق ﻣﺿﻣوﻧﺔ ﻟﺗﺳﺟﯾل ﻣﻠﻛﯾﺔ اﻷﺳﻬم؛</w:t>
      </w:r>
    </w:p>
    <w:p w14:paraId="2FBEB09C"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إﻣﻛﺎﻧﯾﺔ ﺗﺣوﯾل ﻣﻠﻛﯾﺔ اﻷﺳﻬم؛</w:t>
      </w:r>
    </w:p>
    <w:p w14:paraId="418A300E"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اﻟﺣﺻول ﻋﻠﻰ اﻟﻣﻌﻠوﻣﺎت اﻟﻼزﻣﺔ ﻋن اﻟﺷرﻛﺔ ﻓﻲ اﻟوﻗت اﻟﻣﻧﺎﺳب وﻋﻠﻰ أﺳﺎس ﻣﻧﺗظم؛</w:t>
      </w:r>
    </w:p>
    <w:p w14:paraId="6D626BB0"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اﻟﻣﺷﺎرﻛﺔ واﻟﺗﺻوﯾت ﻓﻲ اﻟﺟﻣﻌﯾﺔ اﻟﻌﺎﻣﺔ ﻟﻠﺷرﻛﺔ؛</w:t>
      </w:r>
    </w:p>
    <w:p w14:paraId="73CA40A3"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اﻟﻣﺷﺎرﻛﺔ ﻓﻲ أرﺑﺎح اﻟﺷرﻛﺔ</w:t>
      </w:r>
      <w:r w:rsidRPr="00C30465">
        <w:rPr>
          <w:rFonts w:ascii="Simplified Arabic" w:eastAsia="Times New Roman" w:hAnsi="Simplified Arabic" w:cs="Simplified Arabic"/>
          <w:kern w:val="0"/>
          <w:sz w:val="28"/>
          <w:szCs w:val="28"/>
          <w14:ligatures w14:val="none"/>
        </w:rPr>
        <w:t>.</w:t>
      </w:r>
    </w:p>
    <w:p w14:paraId="311E973D" w14:textId="77777777" w:rsidR="00B60B21" w:rsidRPr="00C30465" w:rsidRDefault="00B60B21" w:rsidP="00B60B21">
      <w:pPr>
        <w:bidi/>
        <w:spacing w:after="10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 xml:space="preserve"> اﻟﻣﻌﺎﻣﻠﺔ اﻟﻣﺗﺳﺎوﯾﺔ ﻟﻠﻣﺳﺎﻫﻣﯾن:</w:t>
      </w:r>
      <w:r w:rsidRPr="00C30465">
        <w:rPr>
          <w:rFonts w:ascii="Simplified Arabic" w:eastAsia="Times New Roman" w:hAnsi="Simplified Arabic" w:cs="Simplified Arabic"/>
          <w:kern w:val="0"/>
          <w:sz w:val="28"/>
          <w:szCs w:val="28"/>
          <w:rtl/>
          <w14:ligatures w14:val="none"/>
        </w:rPr>
        <w:t xml:space="preserve"> ﯾﻧﺑﻐﻲ ﻋﻠﻰ إطﺎر ﺣوﻛﻣﺔ اﻟﺷرﻛﺎت أن ﯾﺿﻣن ﻣﻌﺎﻣﻠﺔ ﻣﺗﺳﺎوﯾﺔ ﻟﻛﺎﻓﺔ اﻟﻣﺳﺎﻫﻣﯾن، ﺑﻣﺎ ﻓﻲ ذﻟك ﻣﺳﺎﻫﻣو اﻷﻗﻠﯾﺔ واﻟﻣﺳﺎﻫﻣون اﻷﺟﺎﻧب، ﻛﻣﺎ ﯾﻧﺑﻐﻲ أن ﯾﻛون ﻟﻛﺎﻓﺔ اﻷﺳﻬم اﻟﺣﻘوق ﻧﻔﺳﻬﺎ، ﺿﻣن ﺻﻧف ﻣﻌﯾن ﻣن اﻷﺳﻬم، وﯾﻧﺑﻐﻲ أن ﯾﺣﺻل ﻛﺎﻓﺔ اﻟﻣﺳﺎﻫﻣﯾن ﻋﻠﻰ ﺗﻌوﯾض ﻣﻧﺎﺳب ﻋﻧد ﺗﻌرض ﺣﻘوﻗﻬم ﻟﻼﻧﺗﻬﺎك، وأﺧﯾرا ﯾﺟب ﺣﻣﺎﯾﺔ ﻣﺳﺎﻫﻣﻲ اﻷﻗﻠﯾﺔ ﻣن إﺳﺎءة اﻻﺳﺗﻐﻼل ﻣن ﻗﺑل أﺻﺣﺎب اﻟﻧﺳب اﻟﺣﺎﻛﻣﺔ؛ (ﻣرﻛز اﺑو ظﺑﻲ، 2013، 17) </w:t>
      </w:r>
    </w:p>
    <w:p w14:paraId="00AC1EFE" w14:textId="3D4536C3" w:rsidR="00FC44F1" w:rsidRPr="00C30465" w:rsidRDefault="00ED1B77" w:rsidP="00FC44F1">
      <w:pPr>
        <w:bidi/>
        <w:spacing w:before="240" w:after="0" w:line="240" w:lineRule="auto"/>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- 2/1/5:</w:t>
      </w:r>
      <w:r w:rsidR="00FC44F1" w:rsidRPr="00C30465">
        <w:rPr>
          <w:rFonts w:ascii="Simplified Arabic" w:eastAsia="Times New Roman" w:hAnsi="Simplified Arabic" w:cs="Simplified Arabic"/>
          <w:b/>
          <w:bCs/>
          <w:kern w:val="0"/>
          <w:sz w:val="32"/>
          <w:szCs w:val="32"/>
          <w:rtl/>
          <w14:ligatures w14:val="none"/>
        </w:rPr>
        <w:t xml:space="preserve"> قيم ومبادئ الحوكمة الفعالة</w:t>
      </w:r>
    </w:p>
    <w:p w14:paraId="4492AE21" w14:textId="4A2F11F0" w:rsidR="00A704C0" w:rsidRPr="00C30465" w:rsidRDefault="00A704C0" w:rsidP="00A704C0">
      <w:pPr>
        <w:bidi/>
        <w:spacing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تتمثل قيم ومبادي الحوكمة الفعالة في ما يلي:</w:t>
      </w:r>
    </w:p>
    <w:p w14:paraId="00A7FE7F" w14:textId="705E9338" w:rsidR="00FC44F1" w:rsidRPr="00C30465" w:rsidRDefault="00323274" w:rsidP="00FC44F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w:t>
      </w:r>
      <w:r w:rsidR="00FC44F1" w:rsidRPr="00C30465">
        <w:rPr>
          <w:rFonts w:ascii="Simplified Arabic" w:eastAsia="Times New Roman" w:hAnsi="Simplified Arabic" w:cs="Simplified Arabic"/>
          <w:b/>
          <w:bCs/>
          <w:kern w:val="0"/>
          <w:sz w:val="28"/>
          <w:szCs w:val="28"/>
          <w:rtl/>
          <w14:ligatures w14:val="none"/>
        </w:rPr>
        <w:t>أ</w:t>
      </w:r>
      <w:r w:rsidRPr="00C30465">
        <w:rPr>
          <w:rFonts w:ascii="Simplified Arabic" w:eastAsia="Times New Roman" w:hAnsi="Simplified Arabic" w:cs="Simplified Arabic"/>
          <w:b/>
          <w:bCs/>
          <w:kern w:val="0"/>
          <w:sz w:val="28"/>
          <w:szCs w:val="28"/>
          <w:rtl/>
          <w14:ligatures w14:val="none"/>
        </w:rPr>
        <w:t>)</w:t>
      </w:r>
      <w:r w:rsidR="00FC44F1" w:rsidRPr="00C30465">
        <w:rPr>
          <w:rFonts w:ascii="Simplified Arabic" w:eastAsia="Times New Roman" w:hAnsi="Simplified Arabic" w:cs="Simplified Arabic"/>
          <w:b/>
          <w:bCs/>
          <w:kern w:val="0"/>
          <w:sz w:val="28"/>
          <w:szCs w:val="28"/>
          <w:rtl/>
          <w14:ligatures w14:val="none"/>
        </w:rPr>
        <w:t xml:space="preserve"> الشفافية: </w:t>
      </w:r>
    </w:p>
    <w:p w14:paraId="47DB01D6" w14:textId="77777777" w:rsidR="00FC44F1" w:rsidRPr="00C30465"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lastRenderedPageBreak/>
        <w:t>ﯾﻧﺑﻐﻲ ﻓﻲ إطﺎر ﺣوﻛﻣﺔ اﻟﺷرﻛﺎت أن ﯾﺿﻣن اﻟﻘﯾﺎم ﺑﺎﻹﻓﺻﺎح اﻟﺳﻠﯾم ﻓﻲ اﻟوﻗت اﻟﻣﻧﺎﺳب ﻋن ﻛﺎﻓﺔ اﻟﻣوﺿوﻋﺎت اﻟﻬﺎﻣﺔ واﻟﻣﺗﻌﻠﻘﺔ ﺑﺎﻟﺷرﻛﺔ ﺑﻣﺎ ﻓﻲ ذﻟك اﻟﻣرﻛز اﻟﻣﺎﻟﻲ ﻟﻠﺷرﻛﺔ وﺣﻘوق اﻟﻣﻠﻛﯾﺔ وﺣوﻛﻣﺔ اﻟﺷرﻛﺎت</w:t>
      </w:r>
      <w:r w:rsidRPr="00C30465">
        <w:rPr>
          <w:rFonts w:ascii="Simplified Arabic" w:eastAsia="Times New Roman" w:hAnsi="Simplified Arabic" w:cs="Simplified Arabic"/>
          <w:kern w:val="0"/>
          <w:sz w:val="28"/>
          <w:szCs w:val="28"/>
          <w14:ligatures w14:val="none"/>
        </w:rPr>
        <w:t>.</w:t>
      </w:r>
      <w:r w:rsidRPr="00C30465">
        <w:rPr>
          <w:rFonts w:ascii="Simplified Arabic" w:eastAsia="Times New Roman" w:hAnsi="Simplified Arabic" w:cs="Simplified Arabic"/>
          <w:kern w:val="0"/>
          <w:sz w:val="28"/>
          <w:szCs w:val="28"/>
          <w:rtl/>
          <w14:ligatures w14:val="none"/>
        </w:rPr>
        <w:t xml:space="preserve"> ﻛﻣﺎ ﯾﻧﺑﻐﻲ اﻟﻘﯾﺎم ﺑﺗدﻗﯾق ﺧﺎرﺟﻲ ﻣﺳﺗﻘل ﺑواﺳطﺔ ﻣدﻗق ﻣﺳﺗﻘل ﻣؤﻫل. وﯾﻧﺑﻐﻲ ﻟﻠﻣدﻗﻘﯾن اﻟﺧﺎرﺟﯾﯾن أن ﯾﻛوﻧوا ﻗﺎﺑﻠﯾن ﻟﻠﻣﺳﺎءﻟﺔ واﻟﻣﺣﺎﺳﺑﺔ أﻣﺎم اﻟﻣﺳﺎﻫﻣﯾن.</w:t>
      </w:r>
    </w:p>
    <w:p w14:paraId="37E25552" w14:textId="77777777" w:rsidR="00FC44F1" w:rsidRPr="00C30465" w:rsidRDefault="00FC44F1" w:rsidP="00FC44F1">
      <w:pPr>
        <w:bidi/>
        <w:spacing w:before="100" w:beforeAutospacing="1" w:after="0" w:afterAutospacing="1"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حيث أن الشفافية مبنية على التدفق الحر للمعلومات يمكن للجهات المعنية التعامل مع العمليات والمؤسسات والمعلومات بشكل مباشر ، ويتم توفير معلومات كافية لفهمها ومراقبتها. (</w:t>
      </w:r>
      <w:bookmarkStart w:id="19" w:name="_Hlk202777189"/>
      <w:r w:rsidRPr="00C30465">
        <w:rPr>
          <w:rFonts w:ascii="Simplified Arabic" w:eastAsia="Times New Roman" w:hAnsi="Simplified Arabic" w:cs="Simplified Arabic"/>
          <w:kern w:val="0"/>
          <w:sz w:val="28"/>
          <w:szCs w:val="28"/>
          <w:rtl/>
          <w14:ligatures w14:val="none"/>
        </w:rPr>
        <w:t>عبد المعز، 2020</w:t>
      </w:r>
      <w:bookmarkEnd w:id="19"/>
      <w:r w:rsidRPr="00C30465">
        <w:rPr>
          <w:rFonts w:ascii="Simplified Arabic" w:eastAsia="Times New Roman" w:hAnsi="Simplified Arabic" w:cs="Simplified Arabic"/>
          <w:kern w:val="0"/>
          <w:sz w:val="28"/>
          <w:szCs w:val="28"/>
          <w:rtl/>
          <w14:ligatures w14:val="none"/>
        </w:rPr>
        <w:t>، 54)</w:t>
      </w:r>
    </w:p>
    <w:p w14:paraId="00F00349" w14:textId="2C21A2A4" w:rsidR="00FC44F1" w:rsidRPr="00C30465" w:rsidRDefault="00323274" w:rsidP="00DC238D">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(ب) </w:t>
      </w:r>
      <w:r w:rsidR="00FC44F1" w:rsidRPr="00C30465">
        <w:rPr>
          <w:rFonts w:ascii="Simplified Arabic" w:eastAsia="Times New Roman" w:hAnsi="Simplified Arabic" w:cs="Simplified Arabic"/>
          <w:b/>
          <w:bCs/>
          <w:kern w:val="0"/>
          <w:sz w:val="28"/>
          <w:szCs w:val="28"/>
          <w:rtl/>
          <w14:ligatures w14:val="none"/>
        </w:rPr>
        <w:t>المساءلة:</w:t>
      </w:r>
      <w:r w:rsidR="00FC44F1" w:rsidRPr="00C30465">
        <w:rPr>
          <w:rFonts w:ascii="Simplified Arabic" w:eastAsia="Times New Roman" w:hAnsi="Simplified Arabic" w:cs="Simplified Arabic"/>
          <w:kern w:val="0"/>
          <w:sz w:val="28"/>
          <w:szCs w:val="28"/>
          <w:rtl/>
          <w14:ligatures w14:val="none"/>
        </w:rPr>
        <w:t xml:space="preserve"> </w:t>
      </w:r>
    </w:p>
    <w:p w14:paraId="12BAA87E" w14:textId="77777777" w:rsidR="00FC44F1" w:rsidRPr="00C30465" w:rsidRDefault="00FC44F1" w:rsidP="00DC238D">
      <w:pPr>
        <w:bidi/>
        <w:spacing w:after="0" w:afterAutospacing="1"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تعنى المساءلة التزام الدولة ومؤسساتها الحكومية بتقديم حساب عن طبيعتها وممارستها للواجبات المنوطة بها بهدف رفع كفاءتها وفعاليتها ، وتقديم إجابات أو تفسيرات عن أسباب فشلها في نفس الوقت الذي تحصل فيه على الثقة عند النجاح ويمكن تحقيق مساءلى الحكومة من خلال النظم الداخلية والخارجية.</w:t>
      </w:r>
    </w:p>
    <w:p w14:paraId="7FD08298" w14:textId="6B5DA0A9" w:rsidR="00FC44F1" w:rsidRPr="00C30465" w:rsidRDefault="00FC44F1" w:rsidP="0002680B">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ومبدأ المساءلة لا يشمل فقط القطاع العام إنه يشمل أيضاً مؤسسات المجتمع المدني والقطاع الخاص كما يركز على مبدأ فصل الخاص عن العام وحماية الصالح العام من تعسف واستغلال السيايين.</w:t>
      </w:r>
      <w:r w:rsidR="0002680B"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rtl/>
          <w14:ligatures w14:val="none"/>
        </w:rPr>
        <w:t>(</w:t>
      </w:r>
      <w:r w:rsidR="0002680B" w:rsidRPr="00C30465">
        <w:rPr>
          <w:rFonts w:ascii="Simplified Arabic" w:eastAsia="Times New Roman" w:hAnsi="Simplified Arabic" w:cs="Simplified Arabic"/>
          <w:kern w:val="0"/>
          <w:sz w:val="28"/>
          <w:szCs w:val="28"/>
          <w14:ligatures w14:val="none"/>
        </w:rPr>
        <w:t>(Aleida, Jahan 2006, 35</w:t>
      </w:r>
    </w:p>
    <w:p w14:paraId="7D2EF4A4" w14:textId="7CFE1D6D" w:rsidR="00FC44F1" w:rsidRPr="00C30465" w:rsidRDefault="002C51ED" w:rsidP="0002680B">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(ج)</w:t>
      </w:r>
      <w:r w:rsidR="00FC44F1" w:rsidRPr="00C30465">
        <w:rPr>
          <w:rFonts w:ascii="Simplified Arabic" w:eastAsia="Times New Roman" w:hAnsi="Simplified Arabic" w:cs="Simplified Arabic"/>
          <w:b/>
          <w:bCs/>
          <w:kern w:val="0"/>
          <w:sz w:val="28"/>
          <w:szCs w:val="28"/>
          <w:rtl/>
          <w14:ligatures w14:val="none"/>
        </w:rPr>
        <w:t xml:space="preserve"> المسؤولية:</w:t>
      </w:r>
    </w:p>
    <w:p w14:paraId="0D7C3032" w14:textId="01E95ABA" w:rsidR="00FC44F1" w:rsidRPr="00C30465" w:rsidRDefault="00FC44F1" w:rsidP="0002680B">
      <w:pPr>
        <w:bidi/>
        <w:spacing w:before="100" w:beforeAutospacing="1" w:after="0" w:afterAutospacing="1" w:line="240" w:lineRule="auto"/>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المسئولية الاجتماعية هي التزام المنشأة تجاه المجتمع الذي تعمل فيه. </w:t>
      </w:r>
      <w:r w:rsidRPr="00C30465">
        <w:rPr>
          <w:rFonts w:ascii="Simplified Arabic" w:eastAsia="Times New Roman" w:hAnsi="Simplified Arabic" w:cs="Simplified Arabic"/>
          <w:b/>
          <w:bCs/>
          <w:kern w:val="0"/>
          <w:sz w:val="28"/>
          <w:szCs w:val="28"/>
          <w:rtl/>
          <w14:ligatures w14:val="none"/>
        </w:rPr>
        <w:t>وتصنف المسئولية الاجتماعية إلى</w:t>
      </w:r>
      <w:r w:rsidRPr="00C30465">
        <w:rPr>
          <w:rFonts w:ascii="Simplified Arabic" w:eastAsia="Times New Roman" w:hAnsi="Simplified Arabic" w:cs="Simplified Arabic"/>
          <w:b/>
          <w:bCs/>
          <w:kern w:val="0"/>
          <w:sz w:val="28"/>
          <w:szCs w:val="28"/>
          <w14:ligatures w14:val="none"/>
        </w:rPr>
        <w:t>:</w:t>
      </w:r>
    </w:p>
    <w:p w14:paraId="7051B6D8" w14:textId="77777777" w:rsidR="00FC44F1" w:rsidRPr="00C30465" w:rsidRDefault="00FC44F1" w:rsidP="0002680B">
      <w:pPr>
        <w:bidi/>
        <w:spacing w:after="0" w:afterAutospacing="1"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أ- المسئولية الفردية:</w:t>
      </w:r>
      <w:r w:rsidRPr="00C30465">
        <w:rPr>
          <w:rFonts w:ascii="Simplified Arabic" w:eastAsia="Times New Roman" w:hAnsi="Simplified Arabic" w:cs="Simplified Arabic"/>
          <w:kern w:val="0"/>
          <w:sz w:val="28"/>
          <w:szCs w:val="28"/>
          <w:rtl/>
          <w14:ligatures w14:val="none"/>
        </w:rPr>
        <w:t xml:space="preserve"> تعنى مسئولية الفرد عن ذاته</w:t>
      </w:r>
      <w:r w:rsidRPr="00C30465">
        <w:rPr>
          <w:rFonts w:ascii="Simplified Arabic" w:eastAsia="Times New Roman" w:hAnsi="Simplified Arabic" w:cs="Simplified Arabic"/>
          <w:kern w:val="0"/>
          <w:sz w:val="28"/>
          <w:szCs w:val="28"/>
          <w14:ligatures w14:val="none"/>
        </w:rPr>
        <w:t>.</w:t>
      </w:r>
    </w:p>
    <w:p w14:paraId="09E05DA8" w14:textId="77777777" w:rsidR="00FC44F1" w:rsidRPr="00C30465" w:rsidRDefault="00FC44F1" w:rsidP="0002680B">
      <w:pPr>
        <w:bidi/>
        <w:spacing w:after="0" w:afterAutospacing="1"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ب- المسئولية الجماعية:</w:t>
      </w:r>
      <w:r w:rsidRPr="00C30465">
        <w:rPr>
          <w:rFonts w:ascii="Simplified Arabic" w:eastAsia="Times New Roman" w:hAnsi="Simplified Arabic" w:cs="Simplified Arabic"/>
          <w:kern w:val="0"/>
          <w:sz w:val="28"/>
          <w:szCs w:val="28"/>
          <w:rtl/>
          <w14:ligatures w14:val="none"/>
        </w:rPr>
        <w:t xml:space="preserve"> وتعنى مسئولية عضو الجماعة عن باقي أعضاء الجماعة أو عن الجماعة ككل</w:t>
      </w:r>
      <w:r w:rsidRPr="00C30465">
        <w:rPr>
          <w:rFonts w:ascii="Simplified Arabic" w:eastAsia="Times New Roman" w:hAnsi="Simplified Arabic" w:cs="Simplified Arabic"/>
          <w:kern w:val="0"/>
          <w:sz w:val="28"/>
          <w:szCs w:val="28"/>
          <w14:ligatures w14:val="none"/>
        </w:rPr>
        <w:t>.</w:t>
      </w:r>
    </w:p>
    <w:p w14:paraId="7F7599C5" w14:textId="77777777" w:rsidR="00FC44F1" w:rsidRPr="00C30465" w:rsidRDefault="00FC44F1" w:rsidP="00DC238D">
      <w:pPr>
        <w:bidi/>
        <w:spacing w:after="0" w:afterAutospacing="1"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lastRenderedPageBreak/>
        <w:t>ج - المسئولية المجتمعية:</w:t>
      </w:r>
      <w:r w:rsidRPr="00C30465">
        <w:rPr>
          <w:rFonts w:ascii="Simplified Arabic" w:eastAsia="Times New Roman" w:hAnsi="Simplified Arabic" w:cs="Simplified Arabic"/>
          <w:kern w:val="0"/>
          <w:sz w:val="28"/>
          <w:szCs w:val="28"/>
          <w:rtl/>
          <w14:ligatures w14:val="none"/>
        </w:rPr>
        <w:t xml:space="preserve"> وتعنى مسئولية الفرد عن المجتمع الذي يعيش فيه وأيضاً تشير إلى مسئولية المنظمات تجاه المجتمع الذي تعمل به .</w:t>
      </w:r>
    </w:p>
    <w:p w14:paraId="5D990D0E" w14:textId="18956010" w:rsidR="00FC44F1" w:rsidRPr="00C30465" w:rsidRDefault="002C51ED" w:rsidP="00FC44F1">
      <w:pPr>
        <w:bidi/>
        <w:spacing w:before="100" w:beforeAutospacing="1" w:after="0" w:afterAutospacing="1" w:line="240" w:lineRule="auto"/>
        <w:jc w:val="both"/>
        <w:rPr>
          <w:rFonts w:ascii="Simplified Arabic" w:eastAsia="Times New Roman" w:hAnsi="Simplified Arabic" w:cs="Simplified Arabic"/>
          <w:b/>
          <w:bCs/>
          <w:kern w:val="0"/>
          <w:sz w:val="28"/>
          <w:szCs w:val="28"/>
          <w14:ligatures w14:val="none"/>
        </w:rPr>
      </w:pPr>
      <w:r w:rsidRPr="00C30465">
        <w:rPr>
          <w:rFonts w:ascii="Simplified Arabic" w:eastAsia="Times New Roman" w:hAnsi="Simplified Arabic" w:cs="Simplified Arabic"/>
          <w:b/>
          <w:bCs/>
          <w:kern w:val="0"/>
          <w:sz w:val="28"/>
          <w:szCs w:val="28"/>
          <w:rtl/>
          <w14:ligatures w14:val="none"/>
        </w:rPr>
        <w:t xml:space="preserve">(د) </w:t>
      </w:r>
      <w:r w:rsidR="00FC44F1" w:rsidRPr="00C30465">
        <w:rPr>
          <w:rFonts w:ascii="Simplified Arabic" w:eastAsia="Times New Roman" w:hAnsi="Simplified Arabic" w:cs="Simplified Arabic"/>
          <w:b/>
          <w:bCs/>
          <w:kern w:val="0"/>
          <w:sz w:val="28"/>
          <w:szCs w:val="28"/>
          <w:rtl/>
          <w14:ligatures w14:val="none"/>
        </w:rPr>
        <w:t>العدالة</w:t>
      </w:r>
      <w:r w:rsidR="00FC44F1" w:rsidRPr="00C30465">
        <w:rPr>
          <w:rFonts w:ascii="Simplified Arabic" w:eastAsia="Times New Roman" w:hAnsi="Simplified Arabic" w:cs="Simplified Arabic"/>
          <w:kern w:val="0"/>
          <w:rtl/>
          <w14:ligatures w14:val="none"/>
        </w:rPr>
        <w:t xml:space="preserve"> </w:t>
      </w:r>
      <w:r w:rsidR="00FC44F1" w:rsidRPr="00C30465">
        <w:rPr>
          <w:rFonts w:ascii="Simplified Arabic" w:eastAsia="Times New Roman" w:hAnsi="Simplified Arabic" w:cs="Simplified Arabic"/>
          <w:b/>
          <w:bCs/>
          <w:kern w:val="0"/>
          <w:sz w:val="28"/>
          <w:szCs w:val="28"/>
          <w:rtl/>
          <w14:ligatures w14:val="none"/>
        </w:rPr>
        <w:t xml:space="preserve">الاجتماعية: </w:t>
      </w:r>
    </w:p>
    <w:p w14:paraId="5396C0E7" w14:textId="77777777" w:rsidR="00FC44F1" w:rsidRPr="00C30465" w:rsidRDefault="00FC44F1" w:rsidP="00DC238D">
      <w:pPr>
        <w:bidi/>
        <w:spacing w:after="0" w:afterAutospacing="1" w:line="240" w:lineRule="auto"/>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rtl/>
          <w14:ligatures w14:val="none"/>
        </w:rPr>
        <w:t>يعتبر مبدأ العدالة والمساواة من الأسس الجوهرية التي ترتكز عليها معايير الحوكمة وتروم تحقيقها، ذلك أن مبادئ الحوكمة توجب ضرورة المساواة بين المستفيدين كباراً وصغاراً كما يعتبر</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الالتزام بمبادئ الافصاح والشفافية من أهم مبادئ المساواة بين جميع الأطراف المعنية كذلك تتطلب الحوكمة المساواة بين جميع العاملين في المؤسسات الحكومية وغير الحكومية من حيث الحقوق والواجبات وإقرار القوانين واللوائح والنظم التي تحقق ذلك</w:t>
      </w:r>
      <w:r w:rsidRPr="00C30465">
        <w:rPr>
          <w:rFonts w:ascii="Simplified Arabic" w:eastAsia="Times New Roman" w:hAnsi="Simplified Arabic" w:cs="Simplified Arabic"/>
          <w:kern w:val="0"/>
          <w:sz w:val="28"/>
          <w:szCs w:val="28"/>
          <w:rtl/>
          <w:lang w:bidi="ar-EG"/>
          <w14:ligatures w14:val="none"/>
        </w:rPr>
        <w:t>. (علي، 2019، 22)</w:t>
      </w:r>
    </w:p>
    <w:p w14:paraId="37E65458" w14:textId="704E0511" w:rsidR="00FC44F1" w:rsidRPr="00C30465" w:rsidRDefault="00206C5C" w:rsidP="00FC44F1">
      <w:pPr>
        <w:bidi/>
        <w:spacing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xml:space="preserve">- 2/1/6: </w:t>
      </w:r>
      <w:r w:rsidR="00FC44F1" w:rsidRPr="00C30465">
        <w:rPr>
          <w:rFonts w:ascii="Simplified Arabic" w:eastAsia="Times New Roman" w:hAnsi="Simplified Arabic" w:cs="Simplified Arabic"/>
          <w:b/>
          <w:bCs/>
          <w:kern w:val="0"/>
          <w:sz w:val="32"/>
          <w:szCs w:val="32"/>
          <w:rtl/>
          <w14:ligatures w14:val="none"/>
        </w:rPr>
        <w:t>دور أصحاب المصالح:</w:t>
      </w:r>
    </w:p>
    <w:p w14:paraId="1A3E7802" w14:textId="77777777" w:rsidR="00FC44F1" w:rsidRPr="00C30465" w:rsidRDefault="00FC44F1" w:rsidP="00FC44F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اﻟﻣﺳﺎﻫﻣﯾن، وﻣﺟﻠس اﻹدارة، واﻹدارة اﻟﺗﻧﻔﯾذﯾﺔ ﻫم أﺻﺣﺎب اﻟﻣﺻﺎﻟﺢ اﻟرﺋﯾﺳﯾون ﻓﻲ اﻟﺷرﻛﺔ. وﻓﻲ ﻫذا اﻟﺳﯾﺎق ﯾﻧﺑﻐﻲ ﻋﻠﻰ إطﺎر ﺣوﻛﻣﺔ اﻟﺷرﻛﺎت أن ﯾﻌﺗرف ﺑﺣق أﺻﺣﺎب اﻟﻣﺻﺎﻟﺢ اﻟﺗﻲ ﯾﻧﺷﺋﻬﺎ اﻟﻘﺎﻧون وأن ﯾﻌﻣل ﻋﻠﻰ ﺗﺷﺟﯾﻊ اﻟﺗﻌﺎون اﻟﻧﺷط ﺑﯾن اﻟﺷرﻛﺎت وأﺻﺣﺎب اﻟﻣﺻﺎﻟﺢ ﻓﻲ ﺧﻠق اﻟﺛروة، وﻓرص اﻟﻌﻣل، واﺳﺗداﻣﺔ اﻟﻣﻧﺷﺂت؛ </w:t>
      </w:r>
    </w:p>
    <w:p w14:paraId="698E9581" w14:textId="77777777" w:rsidR="00FC44F1" w:rsidRPr="00C30465" w:rsidRDefault="00FC44F1" w:rsidP="00FC44F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 xml:space="preserve"> ﻣﺳﺋوﻟﯾﺔ ﻣﺟﻠس اﻹدارة:</w:t>
      </w:r>
      <w:r w:rsidRPr="00C30465">
        <w:rPr>
          <w:rFonts w:ascii="Simplified Arabic" w:eastAsia="Times New Roman" w:hAnsi="Simplified Arabic" w:cs="Simplified Arabic"/>
          <w:kern w:val="0"/>
          <w:sz w:val="28"/>
          <w:szCs w:val="28"/>
          <w:rtl/>
          <w14:ligatures w14:val="none"/>
        </w:rPr>
        <w:t xml:space="preserve"> ﯾﻧﺑﻐﻲ ﻓﻲ إطﺎر ﺣوﻛﻣﺔ اﻟﺷرﻛﺎت أن ﯾﺿﻣن اﻟﺗوﺟﯾﻪ واﻹرﺷﺎد اﻻﺳﺗراﺗﯾﺟﻲ ﻟﻠﺷرﻛﺔ، واﻟرﻗﺎﺑﺔ اﻟﻔﻌﺎﻟﺔ ﻟﻣﺟﻠس اﻹدارة ﻋﻠﻰ اﻟﻣﺟﻠس وﻣﺣﺎﺳﺑﺔ ﻣﺟﻠس اﻹدارة ﻋﻠﻰ ﻣﺳﺋوﻟﯾﺗﻪ أﻣﺎم اﻟﺷرﻛﺔ واﻟﻣﺳﺎﻫﻣﯾن. (ﻣرﻛز اﺑو ظﺑﻲ، 2013، 19)</w:t>
      </w:r>
    </w:p>
    <w:p w14:paraId="1E0A5938" w14:textId="77777777" w:rsidR="00FC44F1" w:rsidRPr="00C30465" w:rsidRDefault="00FC44F1" w:rsidP="00FC44F1">
      <w:pPr>
        <w:bidi/>
        <w:spacing w:after="100"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يوضح الشكل (2) العلاقة بين حوكمة الشركات في ظل وجود مبادىء الحوكمة المستخدمة خلال هذه الدراسة وايضا رأس المال البشري وتأثرهم علي أداء الشركات:</w:t>
      </w:r>
    </w:p>
    <w:p w14:paraId="0E0D8DA4" w14:textId="77777777" w:rsidR="00FC44F1" w:rsidRPr="00C30465" w:rsidRDefault="00FC44F1" w:rsidP="00FC44F1">
      <w:pPr>
        <w:bidi/>
        <w:spacing w:after="100" w:line="240" w:lineRule="auto"/>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noProof/>
          <w:kern w:val="0"/>
          <w:sz w:val="28"/>
          <w:szCs w:val="28"/>
        </w:rPr>
        <w:lastRenderedPageBreak/>
        <w:drawing>
          <wp:inline distT="0" distB="0" distL="0" distR="0" wp14:anchorId="601389BE" wp14:editId="68983066">
            <wp:extent cx="5486400" cy="3263776"/>
            <wp:effectExtent l="0" t="0" r="0" b="0"/>
            <wp:docPr id="21070442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8FF8D51" w14:textId="77777777" w:rsidR="00FC44F1" w:rsidRPr="00C30465" w:rsidRDefault="00FC44F1" w:rsidP="00FC44F1">
      <w:pPr>
        <w:bidi/>
        <w:spacing w:after="0" w:line="240" w:lineRule="auto"/>
        <w:jc w:val="center"/>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الإطار المفاهيمي لحوكمة الشركات. (أبو الخير، 2023، 267)</w:t>
      </w:r>
    </w:p>
    <w:p w14:paraId="471BA483" w14:textId="55776721" w:rsidR="00FC44F1" w:rsidRPr="00C30465" w:rsidRDefault="001C339C" w:rsidP="00DC238D">
      <w:pPr>
        <w:bidi/>
        <w:spacing w:after="0" w:line="240" w:lineRule="auto"/>
        <w:jc w:val="both"/>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- 2/1/7: إدارة المخاطر للشركات الناشئة</w:t>
      </w:r>
      <w:r w:rsidR="00FC44F1" w:rsidRPr="00C30465">
        <w:rPr>
          <w:rFonts w:ascii="Simplified Arabic" w:eastAsia="Times New Roman" w:hAnsi="Simplified Arabic" w:cs="Simplified Arabic"/>
          <w:b/>
          <w:bCs/>
          <w:kern w:val="0"/>
          <w:sz w:val="32"/>
          <w:szCs w:val="32"/>
          <w:rtl/>
          <w14:ligatures w14:val="none"/>
        </w:rPr>
        <w:t>:</w:t>
      </w:r>
    </w:p>
    <w:p w14:paraId="0A831FC4" w14:textId="77777777" w:rsidR="00FC44F1" w:rsidRPr="00C30465" w:rsidRDefault="00FC44F1" w:rsidP="00FC44F1">
      <w:pPr>
        <w:bidi/>
        <w:spacing w:after="0" w:line="240" w:lineRule="auto"/>
        <w:ind w:left="90" w:firstLine="45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أصبحت إدارات الشركات القائمة في ظل بيئة التحول الرقمي (</w:t>
      </w:r>
      <w:r w:rsidRPr="00C30465">
        <w:rPr>
          <w:rFonts w:ascii="Simplified Arabic" w:eastAsia="Times New Roman" w:hAnsi="Simplified Arabic" w:cs="Simplified Arabic"/>
          <w:kern w:val="0"/>
          <w:sz w:val="28"/>
          <w:szCs w:val="28"/>
          <w14:ligatures w14:val="none"/>
        </w:rPr>
        <w:t>DT</w:t>
      </w:r>
      <w:r w:rsidRPr="00C30465">
        <w:rPr>
          <w:rFonts w:ascii="Simplified Arabic" w:eastAsia="Times New Roman" w:hAnsi="Simplified Arabic" w:cs="Simplified Arabic"/>
          <w:kern w:val="0"/>
          <w:sz w:val="28"/>
          <w:szCs w:val="28"/>
          <w:rtl/>
          <w14:ligatures w14:val="none"/>
        </w:rPr>
        <w:t>)، مقارنة بالفترة ما قبل التحول، مسئولة بقوة عن تصميم وتنفيذ وظيفة مراجعة داخلية ذات جودة، من خلال التزامها بالممارسات القياسية، عند القيام بدوريها الاستشارى والتوكيدى فى مجالات رقابة وإدارة مخاطر وحوكمة أنشطة وعمليات الشركة</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(2020,</w:t>
      </w:r>
      <w:r w:rsidRPr="00C30465">
        <w:rPr>
          <w:rFonts w:ascii="Simplified Arabic" w:eastAsia="Times New Roman" w:hAnsi="Simplified Arabic" w:cs="Simplified Arabic"/>
          <w:kern w:val="0"/>
          <w:sz w:val="28"/>
          <w:szCs w:val="28"/>
          <w14:ligatures w14:val="none"/>
        </w:rPr>
        <w:t xml:space="preserve"> Deloitte</w:t>
      </w:r>
      <w:r w:rsidRPr="00C30465">
        <w:rPr>
          <w:rFonts w:ascii="Simplified Arabic" w:eastAsia="Times New Roman" w:hAnsi="Simplified Arabic" w:cs="Simplified Arabic"/>
          <w:kern w:val="0"/>
          <w:sz w:val="28"/>
          <w:szCs w:val="28"/>
          <w:rtl/>
          <w14:ligatures w14:val="none"/>
        </w:rPr>
        <w:t>) وذلك مع ضرورة الأخذ فى الاعتبار لاحتمالية تأثير التداعيات التشغيلية والتنظيمية والمحاسبية للتحول الرقمى على كيفية أداء وظيفة المراجعة الداخلية الحديثة لدوريها، خاصة في مجال إدارة مخاطر الأمن السيبراني (</w:t>
      </w:r>
      <w:r w:rsidRPr="00C30465">
        <w:rPr>
          <w:rFonts w:ascii="Simplified Arabic" w:eastAsia="Times New Roman" w:hAnsi="Simplified Arabic" w:cs="Simplified Arabic"/>
          <w:kern w:val="0"/>
          <w:sz w:val="28"/>
          <w:szCs w:val="28"/>
          <w14:ligatures w14:val="none"/>
        </w:rPr>
        <w:t>Aditya et al, 2018</w:t>
      </w:r>
      <w:r w:rsidRPr="00C30465">
        <w:rPr>
          <w:rFonts w:ascii="Simplified Arabic" w:eastAsia="Times New Roman" w:hAnsi="Simplified Arabic" w:cs="Simplified Arabic"/>
          <w:kern w:val="0"/>
          <w:sz w:val="28"/>
          <w:szCs w:val="28"/>
          <w:rtl/>
          <w14:ligatures w14:val="none"/>
        </w:rPr>
        <w:t>) وهو ما يمكن أن يؤثر أيضا على المردود الإيجابي لتلك الوظيفة ومساهمتها في مساعدة الشركات على تحقيق أهدافها الحالية والمستقبلية، والحاجة لوجود دور فعال للمراجع الداخلي في ذلك الصدد. ونحن نعتقد بوجود ندرة في الدراسات الأكاديمية والمهنية ذات الصلة بالدور الفاعل للمراجع الداخلي في إدارة مخاطر الأمن السيبراني، كأحد أدوار ومجالات وظيفة المراجعة الداخلية الحديثة في ظل بيئة الأعمال الحالية، لذا ظهرت الحاجة الملحة لتضييق الفجوة البحثية في ذلك الصدد.</w:t>
      </w:r>
    </w:p>
    <w:p w14:paraId="63666470" w14:textId="77777777" w:rsidR="00FC44F1" w:rsidRPr="00C30465" w:rsidRDefault="00FC44F1" w:rsidP="00FC44F1">
      <w:pPr>
        <w:bidi/>
        <w:spacing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وللحد من مخاطر نظم المعلومات الإلكترونية باستخدام التكامل بين حوكمة أمن المعلومات وخدمات تأكيد الثقة:</w:t>
      </w:r>
    </w:p>
    <w:p w14:paraId="6A280C67" w14:textId="77777777" w:rsidR="00FC44F1" w:rsidRPr="00C30465" w:rsidRDefault="00FC44F1" w:rsidP="00FC44F1">
      <w:pPr>
        <w:bidi/>
        <w:spacing w:after="0" w:line="240" w:lineRule="auto"/>
        <w:ind w:left="360"/>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أ) ماهية حوكمة أمن المعلومات:</w:t>
      </w:r>
    </w:p>
    <w:p w14:paraId="1D70C4F4" w14:textId="77777777" w:rsidR="00FC44F1" w:rsidRPr="00C30465" w:rsidRDefault="00FC44F1" w:rsidP="00FC44F1">
      <w:pPr>
        <w:bidi/>
        <w:spacing w:before="100" w:beforeAutospacing="1" w:after="0" w:afterAutospacing="1" w:line="240" w:lineRule="auto"/>
        <w:ind w:left="90"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lastRenderedPageBreak/>
        <w:t>تعرف حوكمة أمن المعلومات بأنها "عملية إنشاء والحفاظ على إطار ودعم هيكل الإدارة لتحقيق أهدافها، وضمان توافق استراتيجيات أمن المعلومات مع أهداف العمل ودعمها ، بما يتماشى مع القوانين واللوائح من خلال الالتزام بالسياسات والضوابط الداخلية، وتوفير إنشاء المسئولية للإدارة، وكل هذا لمحاولة إدارة المخاطر</w:t>
      </w:r>
      <w:r w:rsidRPr="00C30465">
        <w:rPr>
          <w:rFonts w:ascii="Simplified Arabic" w:eastAsia="Times New Roman" w:hAnsi="Simplified Arabic" w:cs="Simplified Arabic"/>
          <w:kern w:val="0"/>
          <w:sz w:val="28"/>
          <w:szCs w:val="28"/>
          <w14:ligatures w14:val="none"/>
        </w:rPr>
        <w:t xml:space="preserve"> (Bodeau </w:t>
      </w:r>
      <w:bookmarkStart w:id="20" w:name="_Hlk202726109"/>
      <w:r w:rsidRPr="00C30465">
        <w:rPr>
          <w:rFonts w:ascii="Simplified Arabic" w:eastAsia="Times New Roman" w:hAnsi="Simplified Arabic" w:cs="Simplified Arabic"/>
          <w:kern w:val="0"/>
          <w:sz w:val="28"/>
          <w:szCs w:val="28"/>
          <w14:ligatures w14:val="none"/>
        </w:rPr>
        <w:t>et al</w:t>
      </w:r>
      <w:bookmarkEnd w:id="20"/>
      <w:r w:rsidRPr="00C30465">
        <w:rPr>
          <w:rFonts w:ascii="Simplified Arabic" w:eastAsia="Times New Roman" w:hAnsi="Simplified Arabic" w:cs="Simplified Arabic"/>
          <w:kern w:val="0"/>
          <w:sz w:val="28"/>
          <w:szCs w:val="28"/>
          <w14:ligatures w14:val="none"/>
        </w:rPr>
        <w:t>,. 2010).</w:t>
      </w:r>
    </w:p>
    <w:p w14:paraId="0A408FF2" w14:textId="77777777" w:rsidR="00FC44F1" w:rsidRPr="00C30465" w:rsidRDefault="00FC44F1" w:rsidP="00FC44F1">
      <w:pPr>
        <w:bidi/>
        <w:spacing w:before="100" w:beforeAutospacing="1" w:after="0" w:afterAutospacing="1" w:line="240" w:lineRule="auto"/>
        <w:ind w:left="90"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كما تعرف على أنها " تعمل على إنشاء وصيانة بيئة التحكم لإدارة المخاطر المتعلقة بسرية المعلومات وتكاملها وتوافرها، كما أنها تدعم العملية والأنظمة التي لا تشكل جزءاً من المراجعة والتدقيق (ضمان أن عملية الحوكمة قد تم تأسيسها بشكل صحيح وتعمل والتشغيل الأمني وتطوير الأمن (هندسة تكنولوجيا المعلومات أو سير العملية لتحقيق الأهداف الأمنية) .(2015</w:t>
      </w:r>
      <w:r w:rsidRPr="00C30465">
        <w:rPr>
          <w:rFonts w:ascii="Simplified Arabic" w:eastAsia="Times New Roman" w:hAnsi="Simplified Arabic" w:cs="Simplified Arabic"/>
          <w:kern w:val="0"/>
          <w:sz w:val="28"/>
          <w:szCs w:val="28"/>
          <w14:ligatures w14:val="none"/>
        </w:rPr>
        <w:t>Fazlida&amp; Said ,</w:t>
      </w:r>
      <w:r w:rsidRPr="00C30465">
        <w:rPr>
          <w:rFonts w:ascii="Simplified Arabic" w:eastAsia="Times New Roman" w:hAnsi="Simplified Arabic" w:cs="Simplified Arabic"/>
          <w:kern w:val="0"/>
          <w:sz w:val="28"/>
          <w:szCs w:val="28"/>
          <w:rtl/>
          <w14:ligatures w14:val="none"/>
        </w:rPr>
        <w:t>)</w:t>
      </w:r>
    </w:p>
    <w:p w14:paraId="69DEFF71" w14:textId="77777777" w:rsidR="00FC44F1" w:rsidRPr="00C30465" w:rsidRDefault="00FC44F1" w:rsidP="00FC44F1">
      <w:pPr>
        <w:bidi/>
        <w:spacing w:before="100" w:beforeAutospacing="1" w:after="0" w:afterAutospacing="1" w:line="240" w:lineRule="auto"/>
        <w:ind w:left="90"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لذا تعد حوكمة الأمن السيبراني جزءً أساسياً من إدارة المخاطر في المؤسسات والمنظمات، وتهدف إلي تحقيق وصيانة الأمن السيبراني على المدي الطويل. وتعتبر الحوكمة السيبرانية منهجية شاملة تركز على تعيين المسؤوليات وتحديد السياسات وإدارة المخاطر والتوعية والتدريب، لضمان سلامة المعلومات والحماية الشاملة للأصول الرقمية للشركات الناشئة. (المنيع، 2022، 155)</w:t>
      </w:r>
    </w:p>
    <w:p w14:paraId="2AFA8BA9" w14:textId="6AA4B47B" w:rsidR="00FC44F1" w:rsidRPr="00C30465" w:rsidRDefault="00995567" w:rsidP="00FC44F1">
      <w:pPr>
        <w:bidi/>
        <w:spacing w:after="0" w:line="240" w:lineRule="auto"/>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 xml:space="preserve">- 2/1/8: </w:t>
      </w:r>
      <w:r w:rsidR="00FC44F1" w:rsidRPr="00C30465">
        <w:rPr>
          <w:rFonts w:ascii="Simplified Arabic" w:eastAsia="Times New Roman" w:hAnsi="Simplified Arabic" w:cs="Simplified Arabic"/>
          <w:b/>
          <w:bCs/>
          <w:kern w:val="0"/>
          <w:sz w:val="32"/>
          <w:szCs w:val="32"/>
          <w:rtl/>
          <w14:ligatures w14:val="none"/>
        </w:rPr>
        <w:t>الأصدارات الدولية الخاصة بالحوكمة المستخدمة عالميًا</w:t>
      </w:r>
    </w:p>
    <w:p w14:paraId="68CCA4AA" w14:textId="1474EFFE" w:rsidR="00FC44F1" w:rsidRPr="00C30465" w:rsidRDefault="00FC44F1" w:rsidP="00FC44F1">
      <w:pPr>
        <w:bidi/>
        <w:spacing w:after="0" w:line="240" w:lineRule="auto"/>
        <w:ind w:left="720"/>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w:t>
      </w:r>
      <w:r w:rsidR="00DC35D6" w:rsidRPr="00C30465">
        <w:rPr>
          <w:rFonts w:ascii="Simplified Arabic" w:eastAsia="Times New Roman" w:hAnsi="Simplified Arabic" w:cs="Simplified Arabic"/>
          <w:b/>
          <w:bCs/>
          <w:kern w:val="0"/>
          <w:sz w:val="32"/>
          <w:szCs w:val="32"/>
          <w:rtl/>
          <w14:ligatures w14:val="none"/>
        </w:rPr>
        <w:t>أ</w:t>
      </w:r>
      <w:r w:rsidRPr="00C30465">
        <w:rPr>
          <w:rFonts w:ascii="Simplified Arabic" w:eastAsia="Times New Roman" w:hAnsi="Simplified Arabic" w:cs="Simplified Arabic"/>
          <w:b/>
          <w:bCs/>
          <w:kern w:val="0"/>
          <w:sz w:val="32"/>
          <w:szCs w:val="32"/>
          <w:rtl/>
          <w14:ligatures w14:val="none"/>
        </w:rPr>
        <w:t xml:space="preserve">) </w:t>
      </w:r>
      <w:bookmarkStart w:id="21" w:name="_Hlk204045828"/>
      <w:r w:rsidRPr="00C30465">
        <w:rPr>
          <w:rFonts w:ascii="Simplified Arabic" w:eastAsia="Times New Roman" w:hAnsi="Simplified Arabic" w:cs="Simplified Arabic"/>
          <w:b/>
          <w:bCs/>
          <w:kern w:val="0"/>
          <w:sz w:val="32"/>
          <w:szCs w:val="32"/>
          <w:rtl/>
          <w14:ligatures w14:val="none"/>
        </w:rPr>
        <w:t>نموذج</w:t>
      </w:r>
      <w:r w:rsidR="00DC35D6" w:rsidRPr="00C30465">
        <w:rPr>
          <w:rFonts w:ascii="Simplified Arabic" w:eastAsia="Times New Roman" w:hAnsi="Simplified Arabic" w:cs="Simplified Arabic"/>
          <w:b/>
          <w:bCs/>
          <w:kern w:val="0"/>
          <w:sz w:val="32"/>
          <w:szCs w:val="32"/>
          <w:rtl/>
          <w14:ligatures w14:val="none"/>
        </w:rPr>
        <w:t xml:space="preserve"> </w:t>
      </w:r>
      <w:r w:rsidRPr="00C30465">
        <w:rPr>
          <w:rFonts w:ascii="Simplified Arabic" w:eastAsia="Times New Roman" w:hAnsi="Simplified Arabic" w:cs="Simplified Arabic"/>
          <w:b/>
          <w:bCs/>
          <w:kern w:val="0"/>
          <w:sz w:val="32"/>
          <w:szCs w:val="32"/>
          <w14:ligatures w14:val="none"/>
        </w:rPr>
        <w:t xml:space="preserve"> COBIT</w:t>
      </w:r>
      <w:r w:rsidRPr="00C30465">
        <w:rPr>
          <w:rFonts w:ascii="Simplified Arabic" w:eastAsia="Times New Roman" w:hAnsi="Simplified Arabic" w:cs="Simplified Arabic"/>
          <w:b/>
          <w:bCs/>
          <w:kern w:val="0"/>
          <w:sz w:val="32"/>
          <w:szCs w:val="32"/>
          <w:rtl/>
          <w14:ligatures w14:val="none"/>
        </w:rPr>
        <w:t>كمرجعية لحوكمة تكنولوجيا المعلومات</w:t>
      </w:r>
      <w:bookmarkEnd w:id="21"/>
    </w:p>
    <w:p w14:paraId="3EB72FB7" w14:textId="210A5AFF" w:rsidR="00FC44F1" w:rsidRPr="00C30465" w:rsidRDefault="00FC44F1" w:rsidP="0002680B">
      <w:pPr>
        <w:bidi/>
        <w:spacing w:after="0" w:line="240" w:lineRule="auto"/>
        <w:ind w:left="72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في ظل إدراك الأهمية المتزايدة لتكنولوجيا المعلومات والحاجة إلى رقابة فعالة على هذه التكنولوجيا اصدرت جمعية مراجعة ورقابة نظم المعلومات</w:t>
      </w:r>
      <w:r w:rsidRPr="00C30465">
        <w:rPr>
          <w:rFonts w:ascii="Simplified Arabic" w:eastAsia="Times New Roman" w:hAnsi="Simplified Arabic" w:cs="Simplified Arabic"/>
          <w:kern w:val="0"/>
          <w:sz w:val="28"/>
          <w:szCs w:val="28"/>
          <w14:ligatures w14:val="none"/>
        </w:rPr>
        <w:t xml:space="preserve"> (ISACA)</w:t>
      </w:r>
      <w:r w:rsidRPr="00C30465">
        <w:rPr>
          <w:rFonts w:ascii="Simplified Arabic" w:eastAsia="Times New Roman" w:hAnsi="Simplified Arabic" w:cs="Simplified Arabic"/>
          <w:kern w:val="0"/>
          <w:sz w:val="28"/>
          <w:szCs w:val="28"/>
          <w:rtl/>
          <w14:ligatures w14:val="none"/>
        </w:rPr>
        <w:t>إطار(</w:t>
      </w:r>
      <w:r w:rsidRPr="00C30465">
        <w:rPr>
          <w:rFonts w:ascii="Simplified Arabic" w:eastAsia="Times New Roman" w:hAnsi="Simplified Arabic" w:cs="Simplified Arabic"/>
          <w:kern w:val="0"/>
          <w:sz w:val="28"/>
          <w:szCs w:val="28"/>
          <w14:ligatures w14:val="none"/>
        </w:rPr>
        <w:t>COBIT</w:t>
      </w:r>
      <w:r w:rsidRPr="00C30465">
        <w:rPr>
          <w:rFonts w:ascii="Simplified Arabic" w:eastAsia="Times New Roman" w:hAnsi="Simplified Arabic" w:cs="Simplified Arabic"/>
          <w:kern w:val="0"/>
          <w:sz w:val="28"/>
          <w:szCs w:val="28"/>
          <w:rtl/>
          <w14:ligatures w14:val="none"/>
        </w:rPr>
        <w:t>)</w:t>
      </w:r>
      <w:r w:rsidRPr="00C30465">
        <w:rPr>
          <w:rFonts w:ascii="Simplified Arabic" w:eastAsia="Times New Roman" w:hAnsi="Simplified Arabic" w:cs="Simplified Arabic"/>
          <w:kern w:val="0"/>
          <w:sz w:val="28"/>
          <w:szCs w:val="28"/>
          <w14:ligatures w14:val="none"/>
        </w:rPr>
        <w:t xml:space="preserve"> Control Objectives for Information Technologies  </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rtl/>
          <w:lang w:bidi="ar-EG"/>
          <w14:ligatures w14:val="none"/>
        </w:rPr>
        <w:t xml:space="preserve">في </w:t>
      </w:r>
      <w:r w:rsidRPr="00C30465">
        <w:rPr>
          <w:rFonts w:ascii="Simplified Arabic" w:eastAsia="Times New Roman" w:hAnsi="Simplified Arabic" w:cs="Simplified Arabic"/>
          <w:kern w:val="0"/>
          <w:sz w:val="28"/>
          <w:szCs w:val="28"/>
          <w:rtl/>
          <w14:ligatures w14:val="none"/>
        </w:rPr>
        <w:t>نسخته الأولى كإطار لتنفيذ مهام مراجعة تكنولوجيا المعلومات في ٢٠١٢ والذي يعد إطار عمل متكامل للممارسات الجيدة لحوكمة وإدارة تكنولوجيا المعلومات يساعد المنظمات في خلق قيمة مثالية من تكنولوجيا المعلومات و الموازنة بين تحقيق المنافع وتحسين استخدام الموارد مع الأخذ في الاعتبار مجالات المسئولية الوظيفية للأعمال وتكنولوجيا المعلومات والمصالح المرتبطة بتكنولوجيا المعلومات لكل من أصحاب المصالح الداخليين والخارجيين بالاضافة إلى تأسيس معهد تكنولوجيا المعلومات "</w:t>
      </w:r>
      <w:r w:rsidRPr="00C30465">
        <w:rPr>
          <w:rFonts w:ascii="Simplified Arabic" w:eastAsia="Times New Roman" w:hAnsi="Simplified Arabic" w:cs="Simplified Arabic"/>
          <w:kern w:val="0"/>
          <w:sz w:val="28"/>
          <w:szCs w:val="28"/>
          <w14:ligatures w14:val="none"/>
        </w:rPr>
        <w:t>ITGI</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"Information Technology Governance Institute</w:t>
      </w:r>
      <w:r w:rsidRPr="00C30465">
        <w:rPr>
          <w:rFonts w:ascii="Simplified Arabic" w:eastAsia="Times New Roman" w:hAnsi="Simplified Arabic" w:cs="Simplified Arabic"/>
          <w:kern w:val="0"/>
          <w:sz w:val="28"/>
          <w:szCs w:val="28"/>
          <w:rtl/>
          <w14:ligatures w14:val="none"/>
        </w:rPr>
        <w:t xml:space="preserve"> كمركز أبحاث لاعداد اليات حوكمة تكنولوجيا المعلومات، وتوالت التحديثات على هذا الاطار وفي نوفمبر </w:t>
      </w:r>
      <w:r w:rsidRPr="00C30465">
        <w:rPr>
          <w:rFonts w:ascii="Simplified Arabic" w:eastAsia="Times New Roman" w:hAnsi="Simplified Arabic" w:cs="Simplified Arabic"/>
          <w:kern w:val="0"/>
          <w:sz w:val="28"/>
          <w:szCs w:val="28"/>
          <w:rtl/>
          <w:lang w:bidi="fa-IR"/>
          <w14:ligatures w14:val="none"/>
        </w:rPr>
        <w:t>۲۰۱۸</w:t>
      </w:r>
      <w:r w:rsidRPr="00C30465">
        <w:rPr>
          <w:rFonts w:ascii="Simplified Arabic" w:eastAsia="Times New Roman" w:hAnsi="Simplified Arabic" w:cs="Simplified Arabic"/>
          <w:kern w:val="0"/>
          <w:sz w:val="28"/>
          <w:szCs w:val="28"/>
          <w:rtl/>
          <w14:ligatures w14:val="none"/>
        </w:rPr>
        <w:t xml:space="preserve"> صدر 5</w:t>
      </w:r>
      <w:r w:rsidRPr="00C30465">
        <w:rPr>
          <w:rFonts w:ascii="Simplified Arabic" w:eastAsia="Times New Roman" w:hAnsi="Simplified Arabic" w:cs="Simplified Arabic"/>
          <w:kern w:val="0"/>
          <w:sz w:val="28"/>
          <w:szCs w:val="28"/>
          <w14:ligatures w14:val="none"/>
        </w:rPr>
        <w:t>COBIT-</w:t>
      </w:r>
      <w:r w:rsidRPr="00C30465">
        <w:rPr>
          <w:rFonts w:ascii="Simplified Arabic" w:eastAsia="Times New Roman" w:hAnsi="Simplified Arabic" w:cs="Simplified Arabic"/>
          <w:kern w:val="0"/>
          <w:sz w:val="28"/>
          <w:szCs w:val="28"/>
          <w:rtl/>
          <w14:ligatures w14:val="none"/>
        </w:rPr>
        <w:t xml:space="preserve"> وتم التعديل عليه مرة أخرى حتى صدرت النسخة الاخيرة منه بعنوان</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14:ligatures w14:val="none"/>
        </w:rPr>
        <w:lastRenderedPageBreak/>
        <w:t xml:space="preserve">(COBIT, 2019) </w:t>
      </w:r>
      <w:r w:rsidRPr="00C30465">
        <w:rPr>
          <w:rFonts w:ascii="Simplified Arabic" w:eastAsia="Times New Roman" w:hAnsi="Simplified Arabic" w:cs="Simplified Arabic"/>
          <w:kern w:val="0"/>
          <w:sz w:val="28"/>
          <w:szCs w:val="28"/>
          <w:rtl/>
          <w14:ligatures w14:val="none"/>
        </w:rPr>
        <w:t>والذي وفر مرونة أكبر في تنفيذ حوكمة تكنولوجيا المعلومات من خلال تعديل لمبادئ 5-</w:t>
      </w:r>
      <w:r w:rsidRPr="00C30465">
        <w:rPr>
          <w:rFonts w:ascii="Simplified Arabic" w:eastAsia="Times New Roman" w:hAnsi="Simplified Arabic" w:cs="Simplified Arabic"/>
          <w:kern w:val="0"/>
          <w:sz w:val="28"/>
          <w:szCs w:val="28"/>
          <w14:ligatures w14:val="none"/>
        </w:rPr>
        <w:t xml:space="preserve">COBIT </w:t>
      </w:r>
      <w:r w:rsidRPr="00C30465">
        <w:rPr>
          <w:rFonts w:ascii="Simplified Arabic" w:eastAsia="Times New Roman" w:hAnsi="Simplified Arabic" w:cs="Simplified Arabic"/>
          <w:kern w:val="0"/>
          <w:sz w:val="28"/>
          <w:szCs w:val="28"/>
          <w:rtl/>
          <w14:ligatures w14:val="none"/>
        </w:rPr>
        <w:t xml:space="preserve"> وتحديث الأهداف و تسهيل تنفيذ حوكمة تكنولوجيا المعلومات من خلال ٦ مبادئ تقوم على المتطلبات الأساسية لنظام شامل حوكمة تكنولوجيا معلومات </w:t>
      </w:r>
      <w:r w:rsidRPr="00C30465">
        <w:rPr>
          <w:rFonts w:ascii="Simplified Arabic" w:eastAsia="Times New Roman" w:hAnsi="Simplified Arabic" w:cs="Simplified Arabic"/>
          <w:kern w:val="0"/>
          <w:sz w:val="28"/>
          <w:szCs w:val="28"/>
          <w:rtl/>
          <w:lang w:bidi="fa-IR"/>
          <w14:ligatures w14:val="none"/>
        </w:rPr>
        <w:t>(</w:t>
      </w:r>
      <w:r w:rsidRPr="00C30465">
        <w:rPr>
          <w:rFonts w:ascii="Simplified Arabic" w:eastAsia="Times New Roman" w:hAnsi="Simplified Arabic" w:cs="Simplified Arabic"/>
          <w:kern w:val="0"/>
          <w:sz w:val="28"/>
          <w:szCs w:val="28"/>
          <w:rtl/>
          <w14:ligatures w14:val="none"/>
        </w:rPr>
        <w:t>صدقی ،</w:t>
      </w:r>
      <w:r w:rsidRPr="00C30465">
        <w:rPr>
          <w:rFonts w:ascii="Simplified Arabic" w:eastAsia="Times New Roman" w:hAnsi="Simplified Arabic" w:cs="Simplified Arabic"/>
          <w:kern w:val="0"/>
          <w:sz w:val="28"/>
          <w:szCs w:val="28"/>
          <w:rtl/>
          <w:lang w:bidi="fa-IR"/>
          <w14:ligatures w14:val="none"/>
        </w:rPr>
        <w:t>2023</w:t>
      </w:r>
      <w:r w:rsidRPr="00C30465">
        <w:rPr>
          <w:rFonts w:ascii="Simplified Arabic" w:eastAsia="Times New Roman" w:hAnsi="Simplified Arabic" w:cs="Simplified Arabic"/>
          <w:kern w:val="0"/>
          <w:sz w:val="28"/>
          <w:szCs w:val="28"/>
          <w:rtl/>
          <w:lang w:bidi="ar-EG"/>
          <w14:ligatures w14:val="none"/>
        </w:rPr>
        <w:t>، 248</w:t>
      </w:r>
      <w:r w:rsidRPr="00C30465">
        <w:rPr>
          <w:rFonts w:ascii="Simplified Arabic" w:eastAsia="Times New Roman" w:hAnsi="Simplified Arabic" w:cs="Simplified Arabic"/>
          <w:kern w:val="0"/>
          <w:sz w:val="28"/>
          <w:szCs w:val="28"/>
          <w:rtl/>
          <w:lang w:bidi="fa-IR"/>
          <w14:ligatures w14:val="none"/>
        </w:rPr>
        <w:t>)</w:t>
      </w:r>
    </w:p>
    <w:p w14:paraId="14AE672F" w14:textId="77777777" w:rsidR="00FC44F1" w:rsidRPr="00C30465" w:rsidRDefault="00FC44F1" w:rsidP="0002680B">
      <w:pPr>
        <w:bidi/>
        <w:spacing w:before="240" w:after="0" w:line="120" w:lineRule="auto"/>
        <w:jc w:val="center"/>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الشكل (3) تصميم وعمل نظام الحوكمة وفق نموذج (</w:t>
      </w:r>
      <w:r w:rsidRPr="00C30465">
        <w:rPr>
          <w:rFonts w:ascii="Simplified Arabic" w:eastAsia="Times New Roman" w:hAnsi="Simplified Arabic" w:cs="Simplified Arabic"/>
          <w:kern w:val="0"/>
          <w:sz w:val="28"/>
          <w:szCs w:val="28"/>
          <w14:ligatures w14:val="none"/>
        </w:rPr>
        <w:t>COBIT, 2019</w:t>
      </w:r>
      <w:r w:rsidRPr="00C30465">
        <w:rPr>
          <w:rFonts w:ascii="Simplified Arabic" w:eastAsia="Times New Roman" w:hAnsi="Simplified Arabic" w:cs="Simplified Arabic"/>
          <w:kern w:val="0"/>
          <w:sz w:val="28"/>
          <w:szCs w:val="28"/>
          <w:rtl/>
          <w14:ligatures w14:val="none"/>
        </w:rPr>
        <w:t>)</w:t>
      </w:r>
    </w:p>
    <w:p w14:paraId="01B9388A" w14:textId="77777777" w:rsidR="00FC44F1" w:rsidRPr="00C30465" w:rsidRDefault="00FC44F1" w:rsidP="00FC44F1">
      <w:pPr>
        <w:bidi/>
        <w:spacing w:before="100" w:beforeAutospacing="1" w:after="0" w:afterAutospacing="1" w:line="240" w:lineRule="auto"/>
        <w:ind w:left="720"/>
        <w:jc w:val="center"/>
        <w:rPr>
          <w:rFonts w:ascii="Simplified Arabic" w:eastAsia="Times New Roman" w:hAnsi="Simplified Arabic" w:cs="Simplified Arabic"/>
          <w:b/>
          <w:bCs/>
          <w:kern w:val="0"/>
          <w:sz w:val="28"/>
          <w:szCs w:val="28"/>
          <w:rtl/>
          <w:lang w:bidi="ar-EG"/>
          <w14:ligatures w14:val="none"/>
        </w:rPr>
      </w:pPr>
      <w:r w:rsidRPr="00C30465">
        <w:rPr>
          <w:rFonts w:ascii="Simplified Arabic" w:eastAsia="Times New Roman" w:hAnsi="Simplified Arabic" w:cs="Simplified Arabic"/>
          <w:b/>
          <w:bCs/>
          <w:noProof/>
          <w:kern w:val="0"/>
          <w:sz w:val="28"/>
          <w:szCs w:val="28"/>
        </w:rPr>
        <w:drawing>
          <wp:anchor distT="0" distB="0" distL="114300" distR="114300" simplePos="0" relativeHeight="251659264" behindDoc="1" locked="0" layoutInCell="1" allowOverlap="1" wp14:anchorId="3185B0A4" wp14:editId="70D65985">
            <wp:simplePos x="0" y="0"/>
            <wp:positionH relativeFrom="margin">
              <wp:posOffset>-273685</wp:posOffset>
            </wp:positionH>
            <wp:positionV relativeFrom="paragraph">
              <wp:posOffset>237490</wp:posOffset>
            </wp:positionV>
            <wp:extent cx="6151245" cy="2386330"/>
            <wp:effectExtent l="0" t="0" r="0" b="0"/>
            <wp:wrapTight wrapText="bothSides">
              <wp:wrapPolygon edited="0">
                <wp:start x="3545" y="4138"/>
                <wp:lineTo x="3010" y="4656"/>
                <wp:lineTo x="1739" y="6552"/>
                <wp:lineTo x="1739" y="7242"/>
                <wp:lineTo x="1338" y="10001"/>
                <wp:lineTo x="1472" y="12760"/>
                <wp:lineTo x="2074" y="15519"/>
                <wp:lineTo x="3077" y="16898"/>
                <wp:lineTo x="3211" y="17243"/>
                <wp:lineTo x="19332" y="17243"/>
                <wp:lineTo x="20469" y="15519"/>
                <wp:lineTo x="21138" y="12760"/>
                <wp:lineTo x="21205" y="10001"/>
                <wp:lineTo x="20804" y="7242"/>
                <wp:lineTo x="20871" y="5173"/>
                <wp:lineTo x="18998" y="4483"/>
                <wp:lineTo x="13981" y="4138"/>
                <wp:lineTo x="3545" y="4138"/>
              </wp:wrapPolygon>
            </wp:wrapTight>
            <wp:docPr id="150011233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Pr="00C30465">
        <w:rPr>
          <w:rFonts w:ascii="Simplified Arabic" w:eastAsia="Times New Roman" w:hAnsi="Simplified Arabic" w:cs="Simplified Arabic"/>
          <w:b/>
          <w:bCs/>
          <w:kern w:val="0"/>
          <w:sz w:val="28"/>
          <w:szCs w:val="28"/>
          <w:rtl/>
          <w:lang w:bidi="ar-EG"/>
          <w14:ligatures w14:val="none"/>
        </w:rPr>
        <w:t>سير عمل تصميم نظام الحوكمة</w:t>
      </w:r>
    </w:p>
    <w:tbl>
      <w:tblPr>
        <w:tblStyle w:val="TableGrid"/>
        <w:tblpPr w:leftFromText="180" w:rightFromText="180" w:vertAnchor="text" w:horzAnchor="margin" w:tblpY="2847"/>
        <w:bidiVisual/>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2157"/>
        <w:gridCol w:w="2158"/>
        <w:gridCol w:w="2158"/>
      </w:tblGrid>
      <w:tr w:rsidR="00FC44F1" w:rsidRPr="00C30465" w14:paraId="3B8A9712" w14:textId="77777777" w:rsidTr="00175BA4">
        <w:tc>
          <w:tcPr>
            <w:tcW w:w="3606" w:type="dxa"/>
            <w:shd w:val="clear" w:color="auto" w:fill="auto"/>
          </w:tcPr>
          <w:p w14:paraId="39BABE08"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p>
          <w:p w14:paraId="4C18FFB7"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lang w:bidi="ar-EG"/>
                <w14:ligatures w14:val="none"/>
              </w:rPr>
              <w:t>.1</w:t>
            </w:r>
            <w:r w:rsidRPr="00C30465">
              <w:rPr>
                <w:rFonts w:ascii="Simplified Arabic" w:eastAsia="Times New Roman" w:hAnsi="Simplified Arabic" w:cs="Simplified Arabic"/>
                <w:b/>
                <w:bCs/>
                <w:kern w:val="0"/>
                <w:sz w:val="22"/>
                <w:szCs w:val="22"/>
                <w:rtl/>
                <w:lang w:bidi="ar-EG"/>
                <w14:ligatures w14:val="none"/>
              </w:rPr>
              <w:t xml:space="preserve">4 </w:t>
            </w:r>
            <w:r w:rsidRPr="00C30465">
              <w:rPr>
                <w:rFonts w:ascii="Simplified Arabic" w:eastAsia="Times New Roman" w:hAnsi="Simplified Arabic" w:cs="Simplified Arabic"/>
                <w:b/>
                <w:bCs/>
                <w:kern w:val="0"/>
                <w:sz w:val="22"/>
                <w:szCs w:val="22"/>
                <w:lang w:bidi="ar-EG"/>
                <w14:ligatures w14:val="none"/>
              </w:rPr>
              <w:t xml:space="preserve"> *</w:t>
            </w:r>
            <w:r w:rsidRPr="00C30465">
              <w:rPr>
                <w:rFonts w:ascii="Simplified Arabic" w:eastAsia="Times New Roman" w:hAnsi="Simplified Arabic" w:cs="Simplified Arabic"/>
                <w:b/>
                <w:bCs/>
                <w:kern w:val="0"/>
                <w:sz w:val="22"/>
                <w:szCs w:val="22"/>
                <w:rtl/>
                <w:lang w:bidi="ar-EG"/>
                <w14:ligatures w14:val="none"/>
              </w:rPr>
              <w:t>حل تعارضات الأولوية الكامنية.</w:t>
            </w:r>
          </w:p>
          <w:p w14:paraId="7616F2E8" w14:textId="77777777" w:rsidR="00FC44F1" w:rsidRPr="00C30465" w:rsidRDefault="00FC44F1" w:rsidP="00175BA4">
            <w:pPr>
              <w:bidi/>
              <w:jc w:val="center"/>
              <w:rPr>
                <w:rFonts w:ascii="Simplified Arabic" w:eastAsia="Times New Roman" w:hAnsi="Simplified Arabic" w:cs="Simplified Arabic"/>
                <w:b/>
                <w:bCs/>
                <w:kern w:val="0"/>
                <w:sz w:val="22"/>
                <w:szCs w:val="22"/>
                <w:lang w:bidi="ar-EG"/>
                <w14:ligatures w14:val="none"/>
              </w:rPr>
            </w:pPr>
            <w:r w:rsidRPr="00C30465">
              <w:rPr>
                <w:rFonts w:ascii="Simplified Arabic" w:eastAsia="Times New Roman" w:hAnsi="Simplified Arabic" w:cs="Simplified Arabic"/>
                <w:b/>
                <w:bCs/>
                <w:kern w:val="0"/>
                <w:sz w:val="22"/>
                <w:szCs w:val="22"/>
                <w:lang w:bidi="ar-EG"/>
                <w14:ligatures w14:val="none"/>
              </w:rPr>
              <w:t>.2</w:t>
            </w:r>
            <w:r w:rsidRPr="00C30465">
              <w:rPr>
                <w:rFonts w:ascii="Simplified Arabic" w:eastAsia="Times New Roman" w:hAnsi="Simplified Arabic" w:cs="Simplified Arabic"/>
                <w:b/>
                <w:bCs/>
                <w:kern w:val="0"/>
                <w:sz w:val="22"/>
                <w:szCs w:val="22"/>
                <w:rtl/>
                <w:lang w:bidi="ar-EG"/>
                <w14:ligatures w14:val="none"/>
              </w:rPr>
              <w:t>4* اختتام تصميم نظام الحوكمة.</w:t>
            </w:r>
          </w:p>
        </w:tc>
        <w:tc>
          <w:tcPr>
            <w:tcW w:w="2157" w:type="dxa"/>
            <w:shd w:val="clear" w:color="auto" w:fill="auto"/>
          </w:tcPr>
          <w:p w14:paraId="6971AFE8"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lang w:bidi="ar-EG"/>
                <w14:ligatures w14:val="none"/>
              </w:rPr>
              <w:t>.1</w:t>
            </w:r>
            <w:r w:rsidRPr="00C30465">
              <w:rPr>
                <w:rFonts w:ascii="Simplified Arabic" w:eastAsia="Times New Roman" w:hAnsi="Simplified Arabic" w:cs="Simplified Arabic"/>
                <w:b/>
                <w:bCs/>
                <w:kern w:val="0"/>
                <w:sz w:val="22"/>
                <w:szCs w:val="22"/>
                <w:rtl/>
                <w:lang w:bidi="ar-EG"/>
                <w14:ligatures w14:val="none"/>
              </w:rPr>
              <w:t xml:space="preserve">3 </w:t>
            </w:r>
            <w:r w:rsidRPr="00C30465">
              <w:rPr>
                <w:rFonts w:ascii="Simplified Arabic" w:eastAsia="Times New Roman" w:hAnsi="Simplified Arabic" w:cs="Simplified Arabic"/>
                <w:b/>
                <w:bCs/>
                <w:kern w:val="0"/>
                <w:sz w:val="22"/>
                <w:szCs w:val="22"/>
                <w:lang w:bidi="ar-EG"/>
                <w14:ligatures w14:val="none"/>
              </w:rPr>
              <w:t xml:space="preserve"> *</w:t>
            </w:r>
            <w:r w:rsidRPr="00C30465">
              <w:rPr>
                <w:rFonts w:ascii="Simplified Arabic" w:eastAsia="Times New Roman" w:hAnsi="Simplified Arabic" w:cs="Simplified Arabic"/>
                <w:b/>
                <w:bCs/>
                <w:kern w:val="0"/>
                <w:sz w:val="22"/>
                <w:szCs w:val="22"/>
                <w:rtl/>
                <w:lang w:bidi="ar-EG"/>
                <w14:ligatures w14:val="none"/>
              </w:rPr>
              <w:t>النظر في مشهد التهديد.</w:t>
            </w:r>
          </w:p>
          <w:p w14:paraId="49763A69"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lang w:bidi="ar-EG"/>
                <w14:ligatures w14:val="none"/>
              </w:rPr>
              <w:t>2.3</w:t>
            </w:r>
            <w:r w:rsidRPr="00C30465">
              <w:rPr>
                <w:rFonts w:ascii="Simplified Arabic" w:eastAsia="Times New Roman" w:hAnsi="Simplified Arabic" w:cs="Simplified Arabic"/>
                <w:b/>
                <w:bCs/>
                <w:kern w:val="0"/>
                <w:sz w:val="22"/>
                <w:szCs w:val="22"/>
                <w:rtl/>
                <w:lang w:bidi="ar-EG"/>
                <w14:ligatures w14:val="none"/>
              </w:rPr>
              <w:t>* النظر في متطلبات الامتثال.</w:t>
            </w:r>
          </w:p>
          <w:p w14:paraId="57ABB3E5"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3</w:t>
            </w:r>
            <w:r w:rsidRPr="00C30465">
              <w:rPr>
                <w:rFonts w:ascii="Simplified Arabic" w:eastAsia="Times New Roman" w:hAnsi="Simplified Arabic" w:cs="Simplified Arabic"/>
                <w:b/>
                <w:bCs/>
                <w:kern w:val="0"/>
                <w:sz w:val="22"/>
                <w:szCs w:val="22"/>
                <w:lang w:bidi="ar-EG"/>
                <w14:ligatures w14:val="none"/>
              </w:rPr>
              <w:t>*3.</w:t>
            </w:r>
            <w:r w:rsidRPr="00C30465">
              <w:rPr>
                <w:rFonts w:ascii="Simplified Arabic" w:eastAsia="Times New Roman" w:hAnsi="Simplified Arabic" w:cs="Simplified Arabic"/>
                <w:b/>
                <w:bCs/>
                <w:kern w:val="0"/>
                <w:sz w:val="22"/>
                <w:szCs w:val="22"/>
                <w:rtl/>
                <w:lang w:bidi="ar-EG"/>
                <w14:ligatures w14:val="none"/>
              </w:rPr>
              <w:t xml:space="preserve"> النظر في دور تكنولوجيا المعلومات.</w:t>
            </w:r>
          </w:p>
          <w:p w14:paraId="71214BA7"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4</w:t>
            </w:r>
            <w:r w:rsidRPr="00C30465">
              <w:rPr>
                <w:rFonts w:ascii="Simplified Arabic" w:eastAsia="Times New Roman" w:hAnsi="Simplified Arabic" w:cs="Simplified Arabic"/>
                <w:b/>
                <w:bCs/>
                <w:kern w:val="0"/>
                <w:sz w:val="22"/>
                <w:szCs w:val="22"/>
                <w:lang w:bidi="ar-EG"/>
                <w14:ligatures w14:val="none"/>
              </w:rPr>
              <w:t>.</w:t>
            </w:r>
            <w:r w:rsidRPr="00C30465">
              <w:rPr>
                <w:rFonts w:ascii="Simplified Arabic" w:eastAsia="Times New Roman" w:hAnsi="Simplified Arabic" w:cs="Simplified Arabic"/>
                <w:b/>
                <w:bCs/>
                <w:kern w:val="0"/>
                <w:sz w:val="22"/>
                <w:szCs w:val="22"/>
                <w:rtl/>
                <w:lang w:bidi="ar-EG"/>
                <w14:ligatures w14:val="none"/>
              </w:rPr>
              <w:t>3</w:t>
            </w:r>
            <w:r w:rsidRPr="00C30465">
              <w:rPr>
                <w:rFonts w:ascii="Simplified Arabic" w:eastAsia="Times New Roman" w:hAnsi="Simplified Arabic" w:cs="Simplified Arabic"/>
                <w:b/>
                <w:bCs/>
                <w:kern w:val="0"/>
                <w:sz w:val="22"/>
                <w:szCs w:val="22"/>
                <w:lang w:bidi="ar-EG"/>
                <w14:ligatures w14:val="none"/>
              </w:rPr>
              <w:t>*</w:t>
            </w:r>
            <w:r w:rsidRPr="00C30465">
              <w:rPr>
                <w:rFonts w:ascii="Simplified Arabic" w:eastAsia="Times New Roman" w:hAnsi="Simplified Arabic" w:cs="Simplified Arabic"/>
                <w:b/>
                <w:bCs/>
                <w:kern w:val="0"/>
                <w:sz w:val="22"/>
                <w:szCs w:val="22"/>
                <w:rtl/>
                <w:lang w:bidi="ar-EG"/>
                <w14:ligatures w14:val="none"/>
              </w:rPr>
              <w:t xml:space="preserve"> النظر في نموذج المصادر.</w:t>
            </w:r>
          </w:p>
          <w:p w14:paraId="2560425A"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3.5 النظر في أساليب تنفيذ تكنولوجيا المعلومات.</w:t>
            </w:r>
          </w:p>
          <w:p w14:paraId="78DE33C2" w14:textId="77777777" w:rsidR="00FC44F1" w:rsidRPr="00C30465" w:rsidRDefault="00FC44F1" w:rsidP="00175BA4">
            <w:pPr>
              <w:bidi/>
              <w:jc w:val="center"/>
              <w:rPr>
                <w:rFonts w:ascii="Simplified Arabic" w:eastAsia="Times New Roman" w:hAnsi="Simplified Arabic" w:cs="Simplified Arabic"/>
                <w:b/>
                <w:bCs/>
                <w:kern w:val="0"/>
                <w:sz w:val="22"/>
                <w:szCs w:val="22"/>
                <w:lang w:bidi="ar-EG"/>
                <w14:ligatures w14:val="none"/>
              </w:rPr>
            </w:pPr>
            <w:r w:rsidRPr="00C30465">
              <w:rPr>
                <w:rFonts w:ascii="Simplified Arabic" w:eastAsia="Times New Roman" w:hAnsi="Simplified Arabic" w:cs="Simplified Arabic"/>
                <w:b/>
                <w:bCs/>
                <w:kern w:val="0"/>
                <w:sz w:val="22"/>
                <w:szCs w:val="22"/>
                <w:rtl/>
                <w:lang w:bidi="ar-EG"/>
                <w14:ligatures w14:val="none"/>
              </w:rPr>
              <w:t>3.6 * النظر في استراتيجية اعتماد تكنولجيا المعلومات.</w:t>
            </w:r>
          </w:p>
          <w:p w14:paraId="7F749B19"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3.7 * النظر في حجم المشروع.</w:t>
            </w:r>
          </w:p>
          <w:p w14:paraId="376F1794"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p>
        </w:tc>
        <w:tc>
          <w:tcPr>
            <w:tcW w:w="2158" w:type="dxa"/>
            <w:shd w:val="clear" w:color="auto" w:fill="auto"/>
          </w:tcPr>
          <w:p w14:paraId="3BE8483B"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lang w:bidi="ar-EG"/>
                <w14:ligatures w14:val="none"/>
              </w:rPr>
              <w:t>*2.1</w:t>
            </w:r>
            <w:r w:rsidRPr="00C30465">
              <w:rPr>
                <w:rFonts w:ascii="Simplified Arabic" w:eastAsia="Times New Roman" w:hAnsi="Simplified Arabic" w:cs="Simplified Arabic"/>
                <w:b/>
                <w:bCs/>
                <w:kern w:val="0"/>
                <w:sz w:val="22"/>
                <w:szCs w:val="22"/>
                <w:rtl/>
                <w:lang w:bidi="ar-EG"/>
                <w14:ligatures w14:val="none"/>
              </w:rPr>
              <w:t xml:space="preserve"> النظر في اتسراتيجية المؤسسة.</w:t>
            </w:r>
          </w:p>
          <w:p w14:paraId="5927D380"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lang w:bidi="ar-EG"/>
                <w14:ligatures w14:val="none"/>
              </w:rPr>
              <w:t>.2</w:t>
            </w:r>
            <w:r w:rsidRPr="00C30465">
              <w:rPr>
                <w:rFonts w:ascii="Simplified Arabic" w:eastAsia="Times New Roman" w:hAnsi="Simplified Arabic" w:cs="Simplified Arabic"/>
                <w:b/>
                <w:bCs/>
                <w:kern w:val="0"/>
                <w:sz w:val="22"/>
                <w:szCs w:val="22"/>
                <w:rtl/>
                <w:lang w:bidi="ar-EG"/>
                <w14:ligatures w14:val="none"/>
              </w:rPr>
              <w:t xml:space="preserve">2* النظر في أهداف المؤسسة وتطبيق سلسلة أهداف، </w:t>
            </w:r>
            <w:r w:rsidRPr="00C30465">
              <w:rPr>
                <w:rFonts w:ascii="Simplified Arabic" w:eastAsia="Times New Roman" w:hAnsi="Simplified Arabic" w:cs="Simplified Arabic"/>
                <w:b/>
                <w:bCs/>
                <w:kern w:val="0"/>
                <w:sz w:val="22"/>
                <w:szCs w:val="22"/>
                <w:lang w:bidi="ar-EG"/>
                <w14:ligatures w14:val="none"/>
              </w:rPr>
              <w:t>COBIT</w:t>
            </w:r>
            <w:r w:rsidRPr="00C30465">
              <w:rPr>
                <w:rFonts w:ascii="Simplified Arabic" w:eastAsia="Times New Roman" w:hAnsi="Simplified Arabic" w:cs="Simplified Arabic"/>
                <w:b/>
                <w:bCs/>
                <w:kern w:val="0"/>
                <w:sz w:val="22"/>
                <w:szCs w:val="22"/>
                <w:rtl/>
                <w:lang w:bidi="ar-EG"/>
                <w14:ligatures w14:val="none"/>
              </w:rPr>
              <w:t>.</w:t>
            </w:r>
          </w:p>
          <w:p w14:paraId="67E9CE0F"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3</w:t>
            </w:r>
            <w:r w:rsidRPr="00C30465">
              <w:rPr>
                <w:rFonts w:ascii="Simplified Arabic" w:eastAsia="Times New Roman" w:hAnsi="Simplified Arabic" w:cs="Simplified Arabic"/>
                <w:b/>
                <w:bCs/>
                <w:kern w:val="0"/>
                <w:sz w:val="22"/>
                <w:szCs w:val="22"/>
                <w:lang w:bidi="ar-EG"/>
                <w14:ligatures w14:val="none"/>
              </w:rPr>
              <w:t>*2.</w:t>
            </w:r>
            <w:r w:rsidRPr="00C30465">
              <w:rPr>
                <w:rFonts w:ascii="Simplified Arabic" w:eastAsia="Times New Roman" w:hAnsi="Simplified Arabic" w:cs="Simplified Arabic"/>
                <w:b/>
                <w:bCs/>
                <w:kern w:val="0"/>
                <w:sz w:val="22"/>
                <w:szCs w:val="22"/>
                <w:rtl/>
                <w:lang w:bidi="ar-EG"/>
                <w14:ligatures w14:val="none"/>
              </w:rPr>
              <w:t xml:space="preserve"> النظر في ملف المخاطر للمشروع.</w:t>
            </w:r>
          </w:p>
          <w:p w14:paraId="0F92F942"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4</w:t>
            </w:r>
            <w:r w:rsidRPr="00C30465">
              <w:rPr>
                <w:rFonts w:ascii="Simplified Arabic" w:eastAsia="Times New Roman" w:hAnsi="Simplified Arabic" w:cs="Simplified Arabic"/>
                <w:b/>
                <w:bCs/>
                <w:kern w:val="0"/>
                <w:sz w:val="22"/>
                <w:szCs w:val="22"/>
                <w:lang w:bidi="ar-EG"/>
                <w14:ligatures w14:val="none"/>
              </w:rPr>
              <w:t>.</w:t>
            </w:r>
            <w:r w:rsidRPr="00C30465">
              <w:rPr>
                <w:rFonts w:ascii="Simplified Arabic" w:eastAsia="Times New Roman" w:hAnsi="Simplified Arabic" w:cs="Simplified Arabic"/>
                <w:b/>
                <w:bCs/>
                <w:kern w:val="0"/>
                <w:sz w:val="22"/>
                <w:szCs w:val="22"/>
                <w:rtl/>
                <w:lang w:bidi="ar-EG"/>
                <w14:ligatures w14:val="none"/>
              </w:rPr>
              <w:t>2</w:t>
            </w:r>
            <w:r w:rsidRPr="00C30465">
              <w:rPr>
                <w:rFonts w:ascii="Simplified Arabic" w:eastAsia="Times New Roman" w:hAnsi="Simplified Arabic" w:cs="Simplified Arabic"/>
                <w:b/>
                <w:bCs/>
                <w:kern w:val="0"/>
                <w:sz w:val="22"/>
                <w:szCs w:val="22"/>
                <w:lang w:bidi="ar-EG"/>
                <w14:ligatures w14:val="none"/>
              </w:rPr>
              <w:t>*</w:t>
            </w:r>
            <w:r w:rsidRPr="00C30465">
              <w:rPr>
                <w:rFonts w:ascii="Simplified Arabic" w:eastAsia="Times New Roman" w:hAnsi="Simplified Arabic" w:cs="Simplified Arabic"/>
                <w:b/>
                <w:bCs/>
                <w:kern w:val="0"/>
                <w:sz w:val="22"/>
                <w:szCs w:val="22"/>
                <w:rtl/>
                <w:lang w:bidi="ar-EG"/>
                <w14:ligatures w14:val="none"/>
              </w:rPr>
              <w:t xml:space="preserve"> النظر في القضايا الحالية ذات الصلة </w:t>
            </w:r>
            <w:r w:rsidRPr="00C30465">
              <w:rPr>
                <w:rFonts w:ascii="Simplified Arabic" w:eastAsia="Times New Roman" w:hAnsi="Simplified Arabic" w:cs="Simplified Arabic"/>
                <w:b/>
                <w:bCs/>
                <w:kern w:val="0"/>
                <w:sz w:val="22"/>
                <w:szCs w:val="22"/>
                <w:lang w:bidi="ar-EG"/>
                <w14:ligatures w14:val="none"/>
              </w:rPr>
              <w:t>I</w:t>
            </w:r>
            <w:r w:rsidRPr="00C30465">
              <w:rPr>
                <w:rFonts w:ascii="Simplified Arabic" w:eastAsia="Times New Roman" w:hAnsi="Simplified Arabic" w:cs="Simplified Arabic"/>
                <w:b/>
                <w:bCs/>
                <w:kern w:val="0"/>
                <w:sz w:val="22"/>
                <w:szCs w:val="22"/>
                <w:rtl/>
                <w:lang w:bidi="ar-EG"/>
                <w14:ligatures w14:val="none"/>
              </w:rPr>
              <w:t>&amp;</w:t>
            </w:r>
            <w:r w:rsidRPr="00C30465">
              <w:rPr>
                <w:rFonts w:ascii="Simplified Arabic" w:eastAsia="Times New Roman" w:hAnsi="Simplified Arabic" w:cs="Simplified Arabic"/>
                <w:b/>
                <w:bCs/>
                <w:kern w:val="0"/>
                <w:sz w:val="22"/>
                <w:szCs w:val="22"/>
                <w:lang w:bidi="ar-EG"/>
                <w14:ligatures w14:val="none"/>
              </w:rPr>
              <w:t>T</w:t>
            </w:r>
            <w:r w:rsidRPr="00C30465">
              <w:rPr>
                <w:rFonts w:ascii="Simplified Arabic" w:eastAsia="Times New Roman" w:hAnsi="Simplified Arabic" w:cs="Simplified Arabic"/>
                <w:b/>
                <w:bCs/>
                <w:kern w:val="0"/>
                <w:sz w:val="22"/>
                <w:szCs w:val="22"/>
                <w:rtl/>
                <w:lang w:bidi="ar-EG"/>
                <w14:ligatures w14:val="none"/>
              </w:rPr>
              <w:t>.</w:t>
            </w:r>
          </w:p>
        </w:tc>
        <w:tc>
          <w:tcPr>
            <w:tcW w:w="2158" w:type="dxa"/>
            <w:shd w:val="clear" w:color="auto" w:fill="auto"/>
          </w:tcPr>
          <w:p w14:paraId="14710A5B"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lang w:bidi="ar-EG"/>
                <w14:ligatures w14:val="none"/>
              </w:rPr>
              <w:t>*1.1</w:t>
            </w:r>
            <w:r w:rsidRPr="00C30465">
              <w:rPr>
                <w:rFonts w:ascii="Simplified Arabic" w:eastAsia="Times New Roman" w:hAnsi="Simplified Arabic" w:cs="Simplified Arabic"/>
                <w:b/>
                <w:bCs/>
                <w:kern w:val="0"/>
                <w:sz w:val="22"/>
                <w:szCs w:val="22"/>
                <w:rtl/>
                <w:lang w:bidi="ar-EG"/>
                <w14:ligatures w14:val="none"/>
              </w:rPr>
              <w:t xml:space="preserve"> فهم اتسراتيجية المؤسسة.</w:t>
            </w:r>
          </w:p>
          <w:p w14:paraId="4FA7136F"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2</w:t>
            </w:r>
            <w:r w:rsidRPr="00C30465">
              <w:rPr>
                <w:rFonts w:ascii="Simplified Arabic" w:eastAsia="Times New Roman" w:hAnsi="Simplified Arabic" w:cs="Simplified Arabic"/>
                <w:b/>
                <w:bCs/>
                <w:kern w:val="0"/>
                <w:sz w:val="22"/>
                <w:szCs w:val="22"/>
                <w:lang w:bidi="ar-EG"/>
                <w14:ligatures w14:val="none"/>
              </w:rPr>
              <w:t>*1.</w:t>
            </w:r>
            <w:r w:rsidRPr="00C30465">
              <w:rPr>
                <w:rFonts w:ascii="Simplified Arabic" w:eastAsia="Times New Roman" w:hAnsi="Simplified Arabic" w:cs="Simplified Arabic"/>
                <w:b/>
                <w:bCs/>
                <w:kern w:val="0"/>
                <w:sz w:val="22"/>
                <w:szCs w:val="22"/>
                <w:rtl/>
                <w:lang w:bidi="ar-EG"/>
                <w14:ligatures w14:val="none"/>
              </w:rPr>
              <w:t xml:space="preserve"> فهم أهداف المؤسسة.</w:t>
            </w:r>
          </w:p>
          <w:p w14:paraId="57A16303"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3</w:t>
            </w:r>
            <w:r w:rsidRPr="00C30465">
              <w:rPr>
                <w:rFonts w:ascii="Simplified Arabic" w:eastAsia="Times New Roman" w:hAnsi="Simplified Arabic" w:cs="Simplified Arabic"/>
                <w:b/>
                <w:bCs/>
                <w:kern w:val="0"/>
                <w:sz w:val="22"/>
                <w:szCs w:val="22"/>
                <w:lang w:bidi="ar-EG"/>
                <w14:ligatures w14:val="none"/>
              </w:rPr>
              <w:t>*1.</w:t>
            </w:r>
            <w:r w:rsidRPr="00C30465">
              <w:rPr>
                <w:rFonts w:ascii="Simplified Arabic" w:eastAsia="Times New Roman" w:hAnsi="Simplified Arabic" w:cs="Simplified Arabic"/>
                <w:b/>
                <w:bCs/>
                <w:kern w:val="0"/>
                <w:sz w:val="22"/>
                <w:szCs w:val="22"/>
                <w:rtl/>
                <w:lang w:bidi="ar-EG"/>
                <w14:ligatures w14:val="none"/>
              </w:rPr>
              <w:t xml:space="preserve"> فهم ملف تعريف المخاطر.</w:t>
            </w:r>
          </w:p>
          <w:p w14:paraId="65605430" w14:textId="77777777" w:rsidR="00FC44F1" w:rsidRPr="00C30465" w:rsidRDefault="00FC44F1" w:rsidP="00175BA4">
            <w:pPr>
              <w:bidi/>
              <w:jc w:val="center"/>
              <w:rPr>
                <w:rFonts w:ascii="Simplified Arabic" w:eastAsia="Times New Roman" w:hAnsi="Simplified Arabic" w:cs="Simplified Arabic"/>
                <w:b/>
                <w:bCs/>
                <w:kern w:val="0"/>
                <w:sz w:val="22"/>
                <w:szCs w:val="22"/>
                <w:rtl/>
                <w:lang w:bidi="ar-EG"/>
                <w14:ligatures w14:val="none"/>
              </w:rPr>
            </w:pPr>
            <w:r w:rsidRPr="00C30465">
              <w:rPr>
                <w:rFonts w:ascii="Simplified Arabic" w:eastAsia="Times New Roman" w:hAnsi="Simplified Arabic" w:cs="Simplified Arabic"/>
                <w:b/>
                <w:bCs/>
                <w:kern w:val="0"/>
                <w:sz w:val="22"/>
                <w:szCs w:val="22"/>
                <w:rtl/>
                <w:lang w:bidi="ar-EG"/>
                <w14:ligatures w14:val="none"/>
              </w:rPr>
              <w:t>4</w:t>
            </w:r>
            <w:r w:rsidRPr="00C30465">
              <w:rPr>
                <w:rFonts w:ascii="Simplified Arabic" w:eastAsia="Times New Roman" w:hAnsi="Simplified Arabic" w:cs="Simplified Arabic"/>
                <w:b/>
                <w:bCs/>
                <w:kern w:val="0"/>
                <w:sz w:val="22"/>
                <w:szCs w:val="22"/>
                <w:lang w:bidi="ar-EG"/>
                <w14:ligatures w14:val="none"/>
              </w:rPr>
              <w:t>*1.</w:t>
            </w:r>
            <w:r w:rsidRPr="00C30465">
              <w:rPr>
                <w:rFonts w:ascii="Simplified Arabic" w:eastAsia="Times New Roman" w:hAnsi="Simplified Arabic" w:cs="Simplified Arabic"/>
                <w:b/>
                <w:bCs/>
                <w:kern w:val="0"/>
                <w:sz w:val="22"/>
                <w:szCs w:val="22"/>
                <w:rtl/>
                <w:lang w:bidi="ar-EG"/>
                <w14:ligatures w14:val="none"/>
              </w:rPr>
              <w:t xml:space="preserve"> فهم القضايا الحالية ذات الصلة </w:t>
            </w:r>
            <w:r w:rsidRPr="00C30465">
              <w:rPr>
                <w:rFonts w:ascii="Simplified Arabic" w:eastAsia="Times New Roman" w:hAnsi="Simplified Arabic" w:cs="Simplified Arabic"/>
                <w:b/>
                <w:bCs/>
                <w:kern w:val="0"/>
                <w:sz w:val="22"/>
                <w:szCs w:val="22"/>
                <w:lang w:bidi="ar-EG"/>
                <w14:ligatures w14:val="none"/>
              </w:rPr>
              <w:t>I</w:t>
            </w:r>
            <w:r w:rsidRPr="00C30465">
              <w:rPr>
                <w:rFonts w:ascii="Simplified Arabic" w:eastAsia="Times New Roman" w:hAnsi="Simplified Arabic" w:cs="Simplified Arabic"/>
                <w:b/>
                <w:bCs/>
                <w:kern w:val="0"/>
                <w:sz w:val="22"/>
                <w:szCs w:val="22"/>
                <w:rtl/>
                <w:lang w:bidi="ar-EG"/>
                <w14:ligatures w14:val="none"/>
              </w:rPr>
              <w:t>&amp;</w:t>
            </w:r>
            <w:r w:rsidRPr="00C30465">
              <w:rPr>
                <w:rFonts w:ascii="Simplified Arabic" w:eastAsia="Times New Roman" w:hAnsi="Simplified Arabic" w:cs="Simplified Arabic"/>
                <w:b/>
                <w:bCs/>
                <w:kern w:val="0"/>
                <w:sz w:val="22"/>
                <w:szCs w:val="22"/>
                <w:lang w:bidi="ar-EG"/>
                <w14:ligatures w14:val="none"/>
              </w:rPr>
              <w:t>T</w:t>
            </w:r>
            <w:r w:rsidRPr="00C30465">
              <w:rPr>
                <w:rFonts w:ascii="Simplified Arabic" w:eastAsia="Times New Roman" w:hAnsi="Simplified Arabic" w:cs="Simplified Arabic"/>
                <w:b/>
                <w:bCs/>
                <w:kern w:val="0"/>
                <w:sz w:val="22"/>
                <w:szCs w:val="22"/>
                <w:rtl/>
                <w:lang w:bidi="ar-EG"/>
                <w14:ligatures w14:val="none"/>
              </w:rPr>
              <w:t>.</w:t>
            </w:r>
          </w:p>
        </w:tc>
      </w:tr>
    </w:tbl>
    <w:p w14:paraId="4ED25B04" w14:textId="77777777" w:rsidR="00FC44F1" w:rsidRPr="00C30465" w:rsidRDefault="00FC44F1" w:rsidP="00FC44F1">
      <w:pPr>
        <w:bidi/>
        <w:spacing w:before="100" w:beforeAutospacing="1" w:after="0" w:afterAutospacing="1" w:line="240" w:lineRule="auto"/>
        <w:ind w:left="720"/>
        <w:jc w:val="center"/>
        <w:rPr>
          <w:rFonts w:ascii="Simplified Arabic" w:eastAsia="Times New Roman" w:hAnsi="Simplified Arabic" w:cs="Simplified Arabic"/>
          <w:kern w:val="0"/>
          <w:sz w:val="28"/>
          <w:szCs w:val="28"/>
          <w:rtl/>
          <w:lang w:bidi="ar-EG"/>
          <w14:ligatures w14:val="none"/>
        </w:rPr>
      </w:pPr>
    </w:p>
    <w:p w14:paraId="76FA7B3F" w14:textId="77777777" w:rsidR="00FC44F1" w:rsidRPr="00C30465" w:rsidRDefault="00FC44F1" w:rsidP="00FC44F1">
      <w:pPr>
        <w:bidi/>
        <w:spacing w:after="0" w:line="240" w:lineRule="auto"/>
        <w:jc w:val="center"/>
        <w:rPr>
          <w:rFonts w:ascii="Simplified Arabic" w:eastAsia="Times New Roman" w:hAnsi="Simplified Arabic" w:cs="Simplified Arabic"/>
          <w:b/>
          <w:bCs/>
          <w:kern w:val="0"/>
          <w:sz w:val="28"/>
          <w:szCs w:val="28"/>
          <w:rtl/>
          <w:lang w:bidi="ar-EG"/>
          <w14:ligatures w14:val="none"/>
        </w:rPr>
      </w:pPr>
      <w:r w:rsidRPr="00C30465">
        <w:rPr>
          <w:rFonts w:ascii="Simplified Arabic" w:eastAsia="Times New Roman" w:hAnsi="Simplified Arabic" w:cs="Simplified Arabic"/>
          <w:b/>
          <w:bCs/>
          <w:kern w:val="0"/>
          <w:sz w:val="28"/>
          <w:szCs w:val="28"/>
          <w:rtl/>
          <w:lang w:bidi="ar-EG"/>
          <w14:ligatures w14:val="none"/>
        </w:rPr>
        <w:t xml:space="preserve"> </w:t>
      </w:r>
      <w:r w:rsidRPr="00C30465">
        <w:rPr>
          <w:rFonts w:ascii="Simplified Arabic" w:eastAsia="Times New Roman" w:hAnsi="Simplified Arabic" w:cs="Simplified Arabic"/>
          <w:b/>
          <w:bCs/>
          <w:color w:val="4D5156"/>
          <w:kern w:val="0"/>
          <w:sz w:val="28"/>
          <w:szCs w:val="28"/>
          <w:shd w:val="clear" w:color="auto" w:fill="FFFFFF"/>
          <w:rtl/>
          <w14:ligatures w14:val="none"/>
        </w:rPr>
        <w:t xml:space="preserve">المصدر: </w:t>
      </w:r>
      <w:r w:rsidRPr="00C30465">
        <w:rPr>
          <w:rFonts w:ascii="Simplified Arabic" w:eastAsia="Times New Roman" w:hAnsi="Simplified Arabic" w:cs="Simplified Arabic"/>
          <w:b/>
          <w:bCs/>
          <w:color w:val="4D5156"/>
          <w:kern w:val="0"/>
          <w:sz w:val="28"/>
          <w:szCs w:val="28"/>
          <w:shd w:val="clear" w:color="auto" w:fill="FFFFFF"/>
          <w14:ligatures w14:val="none"/>
        </w:rPr>
        <w:t> ISACA COBIT 2019 Implementation guide</w:t>
      </w:r>
    </w:p>
    <w:p w14:paraId="2090881C" w14:textId="77777777" w:rsidR="00DC238D" w:rsidRPr="00C30465" w:rsidRDefault="00DC238D" w:rsidP="00FC44F1">
      <w:pPr>
        <w:bidi/>
        <w:spacing w:after="0" w:line="240" w:lineRule="auto"/>
        <w:rPr>
          <w:rFonts w:ascii="Simplified Arabic" w:eastAsia="Times New Roman" w:hAnsi="Simplified Arabic" w:cs="Simplified Arabic"/>
          <w:b/>
          <w:bCs/>
          <w:kern w:val="0"/>
          <w:sz w:val="32"/>
          <w:szCs w:val="32"/>
          <w:rtl/>
          <w14:ligatures w14:val="none"/>
        </w:rPr>
      </w:pPr>
    </w:p>
    <w:p w14:paraId="61D05709" w14:textId="7E1C5908" w:rsidR="00FC44F1" w:rsidRPr="00C30465" w:rsidRDefault="00FC44F1" w:rsidP="00DC238D">
      <w:pPr>
        <w:bidi/>
        <w:spacing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w:t>
      </w:r>
      <w:r w:rsidR="00DC35D6" w:rsidRPr="00C30465">
        <w:rPr>
          <w:rFonts w:ascii="Simplified Arabic" w:eastAsia="Times New Roman" w:hAnsi="Simplified Arabic" w:cs="Simplified Arabic"/>
          <w:b/>
          <w:bCs/>
          <w:kern w:val="0"/>
          <w:sz w:val="32"/>
          <w:szCs w:val="32"/>
          <w:rtl/>
          <w14:ligatures w14:val="none"/>
        </w:rPr>
        <w:t>ب</w:t>
      </w:r>
      <w:r w:rsidRPr="00C30465">
        <w:rPr>
          <w:rFonts w:ascii="Simplified Arabic" w:eastAsia="Times New Roman" w:hAnsi="Simplified Arabic" w:cs="Simplified Arabic"/>
          <w:b/>
          <w:bCs/>
          <w:kern w:val="0"/>
          <w:sz w:val="32"/>
          <w:szCs w:val="32"/>
          <w:rtl/>
          <w14:ligatures w14:val="none"/>
        </w:rPr>
        <w:t>) نموذج</w:t>
      </w:r>
      <w:r w:rsidRPr="00C30465">
        <w:rPr>
          <w:rFonts w:ascii="Simplified Arabic" w:eastAsia="Times New Roman" w:hAnsi="Simplified Arabic" w:cs="Simplified Arabic"/>
          <w:b/>
          <w:bCs/>
          <w:kern w:val="0"/>
          <w:sz w:val="32"/>
          <w:szCs w:val="32"/>
          <w14:ligatures w14:val="none"/>
        </w:rPr>
        <w:t xml:space="preserve"> NIST</w:t>
      </w:r>
      <w:r w:rsidRPr="00C30465">
        <w:rPr>
          <w:rFonts w:ascii="Simplified Arabic" w:eastAsia="Times New Roman" w:hAnsi="Simplified Arabic" w:cs="Simplified Arabic"/>
          <w:b/>
          <w:bCs/>
          <w:kern w:val="0"/>
          <w:sz w:val="32"/>
          <w:szCs w:val="32"/>
          <w:rtl/>
          <w14:ligatures w14:val="none"/>
        </w:rPr>
        <w:t>لحوكمة الأمن السيبراني</w:t>
      </w:r>
    </w:p>
    <w:p w14:paraId="10A7EC03" w14:textId="77777777" w:rsidR="00FC44F1" w:rsidRPr="00C30465" w:rsidRDefault="00FC44F1" w:rsidP="00FC44F1">
      <w:pPr>
        <w:bidi/>
        <w:spacing w:before="100" w:beforeAutospacing="1" w:after="0" w:afterAutospacing="1" w:line="240" w:lineRule="auto"/>
        <w:ind w:left="-90" w:firstLine="630"/>
        <w:jc w:val="both"/>
        <w:rPr>
          <w:rFonts w:ascii="Simplified Arabic" w:eastAsia="Times New Roman" w:hAnsi="Simplified Arabic" w:cs="Simplified Arabic"/>
          <w:kern w:val="0"/>
          <w:sz w:val="28"/>
          <w:szCs w:val="28"/>
          <w:rtl/>
          <w:lang w:bidi="fa-IR"/>
          <w14:ligatures w14:val="none"/>
        </w:rPr>
      </w:pPr>
      <w:r w:rsidRPr="00C30465">
        <w:rPr>
          <w:rFonts w:ascii="Simplified Arabic" w:eastAsia="Times New Roman" w:hAnsi="Simplified Arabic" w:cs="Simplified Arabic"/>
          <w:kern w:val="0"/>
          <w:sz w:val="28"/>
          <w:szCs w:val="28"/>
          <w:rtl/>
          <w14:ligatures w14:val="none"/>
        </w:rPr>
        <w:t xml:space="preserve">بدأ العمل في مشروع هذا الإطار عام </w:t>
      </w:r>
      <w:r w:rsidRPr="00C30465">
        <w:rPr>
          <w:rFonts w:ascii="Simplified Arabic" w:eastAsia="Times New Roman" w:hAnsi="Simplified Arabic" w:cs="Simplified Arabic"/>
          <w:kern w:val="0"/>
          <w:sz w:val="28"/>
          <w:szCs w:val="28"/>
          <w:rtl/>
          <w:lang w:bidi="fa-IR"/>
          <w14:ligatures w14:val="none"/>
        </w:rPr>
        <w:t>۲۰۱۳</w:t>
      </w:r>
      <w:r w:rsidRPr="00C30465">
        <w:rPr>
          <w:rFonts w:ascii="Simplified Arabic" w:eastAsia="Times New Roman" w:hAnsi="Simplified Arabic" w:cs="Simplified Arabic"/>
          <w:kern w:val="0"/>
          <w:sz w:val="28"/>
          <w:szCs w:val="28"/>
          <w:rtl/>
          <w14:ligatures w14:val="none"/>
        </w:rPr>
        <w:t xml:space="preserve"> وتم إصدار النسخة الأولى من الإطار عام ٢٠١٤ وتم تطويره في </w:t>
      </w:r>
      <w:r w:rsidRPr="00C30465">
        <w:rPr>
          <w:rFonts w:ascii="Simplified Arabic" w:eastAsia="Times New Roman" w:hAnsi="Simplified Arabic" w:cs="Simplified Arabic"/>
          <w:kern w:val="0"/>
          <w:sz w:val="28"/>
          <w:szCs w:val="28"/>
          <w:rtl/>
          <w:lang w:bidi="fa-IR"/>
          <w14:ligatures w14:val="none"/>
        </w:rPr>
        <w:t>۲۰۱۸</w:t>
      </w:r>
      <w:r w:rsidRPr="00C30465">
        <w:rPr>
          <w:rFonts w:ascii="Simplified Arabic" w:eastAsia="Times New Roman" w:hAnsi="Simplified Arabic" w:cs="Simplified Arabic"/>
          <w:kern w:val="0"/>
          <w:sz w:val="28"/>
          <w:szCs w:val="28"/>
          <w:rtl/>
          <w14:ligatures w14:val="none"/>
        </w:rPr>
        <w:t xml:space="preserve"> وينظر هذا الاطار الى مخاطر الأمن السيبراني كجزء من عمليات إدارة المخاطر بالمنظمات ويتكون هذا الإطار من خمسة وظائف</w:t>
      </w:r>
      <w:r w:rsidRPr="00C30465">
        <w:rPr>
          <w:rFonts w:ascii="Simplified Arabic" w:eastAsia="Times New Roman" w:hAnsi="Simplified Arabic" w:cs="Simplified Arabic"/>
          <w:kern w:val="0"/>
          <w:sz w:val="28"/>
          <w:szCs w:val="28"/>
          <w14:ligatures w14:val="none"/>
        </w:rPr>
        <w:t xml:space="preserve"> (2018,NIST) </w:t>
      </w:r>
      <w:r w:rsidRPr="00C30465">
        <w:rPr>
          <w:rFonts w:ascii="Simplified Arabic" w:eastAsia="Times New Roman" w:hAnsi="Simplified Arabic" w:cs="Simplified Arabic"/>
          <w:kern w:val="0"/>
          <w:sz w:val="28"/>
          <w:szCs w:val="28"/>
          <w:rtl/>
          <w14:ligatures w14:val="none"/>
        </w:rPr>
        <w:t xml:space="preserve">(الهلسة، </w:t>
      </w:r>
      <w:r w:rsidRPr="00C30465">
        <w:rPr>
          <w:rFonts w:ascii="Simplified Arabic" w:eastAsia="Times New Roman" w:hAnsi="Simplified Arabic" w:cs="Simplified Arabic"/>
          <w:kern w:val="0"/>
          <w:sz w:val="28"/>
          <w:szCs w:val="28"/>
          <w:rtl/>
          <w:lang w:bidi="fa-IR"/>
          <w14:ligatures w14:val="none"/>
        </w:rPr>
        <w:t>۲۰۲۲) :-</w:t>
      </w:r>
    </w:p>
    <w:p w14:paraId="1515DD40" w14:textId="77777777" w:rsidR="00FC44F1" w:rsidRPr="00C30465"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1- وظيفة التحديد:</w:t>
      </w:r>
      <w:r w:rsidRPr="00C30465">
        <w:rPr>
          <w:rFonts w:ascii="Simplified Arabic" w:eastAsia="Times New Roman" w:hAnsi="Simplified Arabic" w:cs="Simplified Arabic"/>
          <w:kern w:val="0"/>
          <w:sz w:val="28"/>
          <w:szCs w:val="28"/>
          <w:rtl/>
          <w14:ligatures w14:val="none"/>
        </w:rPr>
        <w:t xml:space="preserve"> تستهدف تطوير الفهم التنظيمي لإدارة مخاطر الأمن السيبراني.</w:t>
      </w:r>
    </w:p>
    <w:p w14:paraId="02D58F89" w14:textId="77777777" w:rsidR="00FC44F1" w:rsidRPr="00C30465"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lang w:bidi="fa-IR"/>
          <w14:ligatures w14:val="none"/>
        </w:rPr>
        <w:t xml:space="preserve">2- </w:t>
      </w:r>
      <w:r w:rsidRPr="00C30465">
        <w:rPr>
          <w:rFonts w:ascii="Simplified Arabic" w:eastAsia="Times New Roman" w:hAnsi="Simplified Arabic" w:cs="Simplified Arabic"/>
          <w:b/>
          <w:bCs/>
          <w:kern w:val="0"/>
          <w:sz w:val="28"/>
          <w:szCs w:val="28"/>
          <w:rtl/>
          <w14:ligatures w14:val="none"/>
        </w:rPr>
        <w:t>وظيفة الحماية:</w:t>
      </w:r>
      <w:r w:rsidRPr="00C30465">
        <w:rPr>
          <w:rFonts w:ascii="Simplified Arabic" w:eastAsia="Times New Roman" w:hAnsi="Simplified Arabic" w:cs="Simplified Arabic"/>
          <w:kern w:val="0"/>
          <w:sz w:val="28"/>
          <w:szCs w:val="28"/>
          <w:rtl/>
          <w14:ligatures w14:val="none"/>
        </w:rPr>
        <w:t xml:space="preserve"> تستهدف تطوير وتنفيذ الضمانات المناسبة لتأكيد تقديم خدمات البنية المعلوماتية الأساسية.</w:t>
      </w:r>
    </w:p>
    <w:p w14:paraId="55F01F7C" w14:textId="77777777" w:rsidR="00FC44F1" w:rsidRPr="00C30465"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3- وظيفة الاكتشاف: </w:t>
      </w:r>
      <w:r w:rsidRPr="00C30465">
        <w:rPr>
          <w:rFonts w:ascii="Simplified Arabic" w:eastAsia="Times New Roman" w:hAnsi="Simplified Arabic" w:cs="Simplified Arabic"/>
          <w:kern w:val="0"/>
          <w:sz w:val="28"/>
          <w:szCs w:val="28"/>
          <w:rtl/>
          <w14:ligatures w14:val="none"/>
        </w:rPr>
        <w:t>تستهدف تطوير وتنفيذ الأنشطة المناسبة لتحديد احتمالية وقوع خطر الأمن السيبراني.</w:t>
      </w:r>
    </w:p>
    <w:p w14:paraId="77F4B209" w14:textId="77777777" w:rsidR="00FC44F1" w:rsidRPr="00C30465" w:rsidRDefault="00FC44F1" w:rsidP="00FC44F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4- وظيفة الرد: </w:t>
      </w:r>
      <w:r w:rsidRPr="00C30465">
        <w:rPr>
          <w:rFonts w:ascii="Simplified Arabic" w:eastAsia="Times New Roman" w:hAnsi="Simplified Arabic" w:cs="Simplified Arabic"/>
          <w:kern w:val="0"/>
          <w:sz w:val="28"/>
          <w:szCs w:val="28"/>
          <w:rtl/>
          <w14:ligatures w14:val="none"/>
        </w:rPr>
        <w:t>تستهدف تطوير وتنفيذ الأنشطة المناسبة المتعلقة بخطر الأمن السيبراني الذي تم اكتشافه.</w:t>
      </w:r>
    </w:p>
    <w:p w14:paraId="015EF9E3" w14:textId="77777777" w:rsidR="00FC44F1" w:rsidRPr="00C30465" w:rsidRDefault="00FC44F1" w:rsidP="00FC44F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5- وظيفة الاستعادة: </w:t>
      </w:r>
      <w:r w:rsidRPr="00C30465">
        <w:rPr>
          <w:rFonts w:ascii="Simplified Arabic" w:eastAsia="Times New Roman" w:hAnsi="Simplified Arabic" w:cs="Simplified Arabic"/>
          <w:kern w:val="0"/>
          <w:sz w:val="28"/>
          <w:szCs w:val="28"/>
          <w:rtl/>
          <w14:ligatures w14:val="none"/>
        </w:rPr>
        <w:t>تستهدف تطوير ومرونة الخطط واستعادة اى قدرات أو خدمات تعرضت للضرر.</w:t>
      </w:r>
    </w:p>
    <w:p w14:paraId="33A51B42" w14:textId="77777777" w:rsidR="00FC44F1" w:rsidRPr="00C30465" w:rsidRDefault="00FC44F1" w:rsidP="00FC44F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ويري الباحث أن تقرير (2018,</w:t>
      </w:r>
      <w:r w:rsidRPr="00C30465">
        <w:rPr>
          <w:rFonts w:ascii="Simplified Arabic" w:eastAsia="Times New Roman" w:hAnsi="Simplified Arabic" w:cs="Simplified Arabic"/>
          <w:b/>
          <w:bCs/>
          <w:kern w:val="0"/>
          <w:sz w:val="28"/>
          <w:szCs w:val="28"/>
          <w14:ligatures w14:val="none"/>
        </w:rPr>
        <w:t>NIST</w:t>
      </w:r>
      <w:r w:rsidRPr="00C30465">
        <w:rPr>
          <w:rFonts w:ascii="Simplified Arabic" w:eastAsia="Times New Roman" w:hAnsi="Simplified Arabic" w:cs="Simplified Arabic"/>
          <w:b/>
          <w:bCs/>
          <w:kern w:val="0"/>
          <w:sz w:val="28"/>
          <w:szCs w:val="28"/>
          <w:rtl/>
          <w14:ligatures w14:val="none"/>
        </w:rPr>
        <w:t xml:space="preserve"> ) </w:t>
      </w:r>
      <w:r w:rsidRPr="00C30465">
        <w:rPr>
          <w:rFonts w:ascii="Simplified Arabic" w:eastAsia="Times New Roman" w:hAnsi="Simplified Arabic" w:cs="Simplified Arabic"/>
          <w:kern w:val="0"/>
          <w:sz w:val="28"/>
          <w:szCs w:val="28"/>
          <w:rtl/>
          <w14:ligatures w14:val="none"/>
        </w:rPr>
        <w:t>أولى خطوات التأسيس لاعداد إطار متكامل لادارة الأمن السيبراني ومخاطره والافصاح عنه.</w:t>
      </w:r>
    </w:p>
    <w:p w14:paraId="5F6532BD" w14:textId="77777777" w:rsidR="00DA0AB7" w:rsidRPr="00C30465" w:rsidRDefault="00DA0AB7" w:rsidP="00DA0AB7">
      <w:pPr>
        <w:bidi/>
        <w:spacing w:before="240"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المبحث الثاني: الأمن السيبراني.</w:t>
      </w:r>
    </w:p>
    <w:p w14:paraId="135C7376" w14:textId="783EF514" w:rsidR="00DA0AB7" w:rsidRPr="00C30465" w:rsidRDefault="00DA0AB7" w:rsidP="00DA0AB7">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يشمل الأمن السيبراني أمن المعلومات على أجهزة وشبكات الحاسب الآلي، بما في ذلك العمليات والآليات التي يتم من خلالها حماية معدات الحاسب الآلي والمعلومات والخدمات من أي تدخل غير مقصود أو غير مصرح به أو تغيير أو إتلاف قد يحدث. فقد أصبح الأمن السيبراني داعمة أساسية في كل المنظمات والمؤسسات لمواجهة الاختراقات الإلكترونية، لذلك جاء هذا المبحث لبيان مفهوم الأمن السيبراني ونشأته وتطوره وأهميته وأبعاده وأركانه.</w:t>
      </w:r>
    </w:p>
    <w:p w14:paraId="34B2F6BB" w14:textId="77777777" w:rsidR="00DC238D" w:rsidRPr="00C30465" w:rsidRDefault="00DC238D" w:rsidP="00DA0AB7">
      <w:pPr>
        <w:bidi/>
        <w:spacing w:after="0" w:line="240" w:lineRule="auto"/>
        <w:rPr>
          <w:rFonts w:ascii="Simplified Arabic" w:eastAsia="Times New Roman" w:hAnsi="Simplified Arabic" w:cs="Simplified Arabic"/>
          <w:b/>
          <w:bCs/>
          <w:kern w:val="0"/>
          <w:sz w:val="32"/>
          <w:szCs w:val="32"/>
          <w:rtl/>
          <w14:ligatures w14:val="none"/>
        </w:rPr>
      </w:pPr>
    </w:p>
    <w:p w14:paraId="48586AF4" w14:textId="50B02E09" w:rsidR="00DA0AB7" w:rsidRPr="00C30465" w:rsidRDefault="00DA0AB7" w:rsidP="00DC238D">
      <w:pPr>
        <w:bidi/>
        <w:spacing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lastRenderedPageBreak/>
        <w:t>- 2/2/1: مفهوم الأمن السيبراني</w:t>
      </w:r>
    </w:p>
    <w:p w14:paraId="786F1991" w14:textId="20A2DF59" w:rsidR="00DA0AB7" w:rsidRPr="00C3046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جاء تعريف الأمن السيبراني من قبل الكاتبان</w:t>
      </w:r>
      <w:r w:rsidRPr="00C30465">
        <w:rPr>
          <w:rFonts w:ascii="Simplified Arabic" w:eastAsia="Times New Roman" w:hAnsi="Simplified Arabic" w:cs="Simplified Arabic"/>
          <w:kern w:val="0"/>
          <w:sz w:val="28"/>
          <w:szCs w:val="28"/>
          <w14:ligatures w14:val="none"/>
        </w:rPr>
        <w:t>Neittaanmaki Pekka</w:t>
      </w:r>
      <w:r w:rsidRPr="00C30465">
        <w:rPr>
          <w:rFonts w:ascii="Simplified Arabic" w:hAnsi="Simplified Arabic" w:cs="Simplified Arabic"/>
        </w:rPr>
        <w:t xml:space="preserve"> </w:t>
      </w:r>
      <w:r w:rsidRPr="00C30465">
        <w:rPr>
          <w:rFonts w:ascii="Simplified Arabic" w:eastAsia="Times New Roman" w:hAnsi="Simplified Arabic" w:cs="Simplified Arabic"/>
          <w:kern w:val="0"/>
          <w:sz w:val="28"/>
          <w:szCs w:val="28"/>
          <w14:ligatures w14:val="none"/>
        </w:rPr>
        <w:t>LehtoMartti)</w:t>
      </w:r>
      <w:r w:rsidRPr="00C30465">
        <w:rPr>
          <w:rFonts w:ascii="Simplified Arabic" w:eastAsia="Times New Roman" w:hAnsi="Simplified Arabic" w:cs="Simplified Arabic"/>
          <w:kern w:val="0"/>
          <w:sz w:val="28"/>
          <w:szCs w:val="28"/>
          <w:rtl/>
          <w14:ligatures w14:val="none"/>
        </w:rPr>
        <w:t>)</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بأنه عبارة عن مجموعة من الإجراءات التي إتخذت في الدفاع ضد هجمات قراصنة الكمبيوتر وما ينتج عنها من عواقب، بالإضافة لإتخاذ الإجراءات والتدابير الأمنية اللازمة لحماية أمن المعلومات ضد تلك الهجمات</w:t>
      </w:r>
      <w:r w:rsidRPr="00C30465">
        <w:rPr>
          <w:rFonts w:ascii="Simplified Arabic" w:eastAsia="Times New Roman" w:hAnsi="Simplified Arabic" w:cs="Simplified Arabic"/>
          <w:kern w:val="0"/>
          <w:sz w:val="28"/>
          <w:szCs w:val="28"/>
          <w14:ligatures w14:val="none"/>
        </w:rPr>
        <w:t xml:space="preserve"> (Lehto&amp; Neittaanmäki, 2015) </w:t>
      </w:r>
    </w:p>
    <w:p w14:paraId="27CEA97F" w14:textId="4748D0D1" w:rsidR="00DA0AB7" w:rsidRPr="00C3046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وقد عرفت وزارة الدفاع الأمريكية "البنتاغون" لأمن السيبراني بإعتباره" جميع الإجراءات التنظيمية اللازمة لضمان حماية المعلومات بجميع أشكالها المادية والإلكترونية من مختلف الجرائم الإلكترونية التي تهدف لنشر التخريب في البيئة الرقمية وسرقة تلك البيانات من جانب وإجراء عمليات التجسس من جانب آخر وإلحاق الاذى في الكيانات الإقتصادية والحكومية (العمري</w:t>
      </w:r>
      <w:r w:rsidR="008A1CE9"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rtl/>
          <w14:ligatures w14:val="none"/>
        </w:rPr>
        <w:t>2020</w:t>
      </w:r>
      <w:r w:rsidR="008A1CE9" w:rsidRPr="00C30465">
        <w:rPr>
          <w:rFonts w:ascii="Simplified Arabic" w:eastAsia="Times New Roman" w:hAnsi="Simplified Arabic" w:cs="Simplified Arabic"/>
          <w:kern w:val="0"/>
          <w:sz w:val="28"/>
          <w:szCs w:val="28"/>
          <w:rtl/>
          <w14:ligatures w14:val="none"/>
        </w:rPr>
        <w:t>، 18</w:t>
      </w:r>
      <w:r w:rsidRPr="00C30465">
        <w:rPr>
          <w:rFonts w:ascii="Simplified Arabic" w:eastAsia="Times New Roman" w:hAnsi="Simplified Arabic" w:cs="Simplified Arabic"/>
          <w:kern w:val="0"/>
          <w:sz w:val="28"/>
          <w:szCs w:val="28"/>
          <w:rtl/>
          <w14:ligatures w14:val="none"/>
        </w:rPr>
        <w:t>).</w:t>
      </w:r>
    </w:p>
    <w:p w14:paraId="13111282" w14:textId="3958F21F" w:rsidR="00DA0AB7" w:rsidRPr="00C3046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يعتبر مفهوم الأمن السيبراني حسب التقرير الصادر عن الإتحاد الدولي للإتصالات حول إتجاهات الإصلاح في الإتصالات لعام 2011-2010 بأنه مجموعة من المهمات مثل تجميع وسائل وسياسات وإجراءات أمنية ومبادئ توجيهية ومقاربات الإدارة المخاطر، وتدريبات وممارسات فضلي وتقنيات يمكن إستخدامها الحماية البيئة السيبرانية وموجودات المؤسسات والمستخدمين</w:t>
      </w:r>
      <w:r w:rsidRPr="00C30465">
        <w:rPr>
          <w:rFonts w:ascii="Simplified Arabic" w:eastAsia="Times New Roman" w:hAnsi="Simplified Arabic" w:cs="Simplified Arabic"/>
          <w:kern w:val="0"/>
          <w:sz w:val="28"/>
          <w:szCs w:val="28"/>
          <w14:ligatures w14:val="none"/>
        </w:rPr>
        <w:t>.</w:t>
      </w:r>
    </w:p>
    <w:p w14:paraId="10FFB1D0" w14:textId="79D75430" w:rsidR="00DA0AB7" w:rsidRPr="00C3046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في حين إعتبر الإعلان الأوروبي الأمن السيبراني أنه يعني قدرة النظام المعلوماتي على مقاومة محاولات الاختراق التي تستهدف البيانات" (جبور، 2016 </w:t>
      </w:r>
      <w:r w:rsidR="00182C29" w:rsidRPr="00C30465">
        <w:rPr>
          <w:rFonts w:ascii="Simplified Arabic" w:eastAsia="Times New Roman" w:hAnsi="Simplified Arabic" w:cs="Simplified Arabic"/>
          <w:kern w:val="0"/>
          <w:sz w:val="28"/>
          <w:szCs w:val="28"/>
          <w:rtl/>
          <w14:ligatures w14:val="none"/>
        </w:rPr>
        <w:t>،</w:t>
      </w:r>
      <w:r w:rsidRPr="00C30465">
        <w:rPr>
          <w:rFonts w:ascii="Simplified Arabic" w:eastAsia="Times New Roman" w:hAnsi="Simplified Arabic" w:cs="Simplified Arabic"/>
          <w:kern w:val="0"/>
          <w:sz w:val="28"/>
          <w:szCs w:val="28"/>
          <w:rtl/>
          <w14:ligatures w14:val="none"/>
        </w:rPr>
        <w:t>14</w:t>
      </w:r>
      <w:r w:rsidR="00182C29" w:rsidRPr="00C30465">
        <w:rPr>
          <w:rFonts w:ascii="Simplified Arabic" w:eastAsia="Times New Roman" w:hAnsi="Simplified Arabic" w:cs="Simplified Arabic"/>
          <w:kern w:val="0"/>
          <w:sz w:val="28"/>
          <w:szCs w:val="28"/>
          <w:rtl/>
          <w14:ligatures w14:val="none"/>
        </w:rPr>
        <w:t>).</w:t>
      </w:r>
    </w:p>
    <w:p w14:paraId="2AF76843" w14:textId="5AEC0C24" w:rsidR="00DA0AB7" w:rsidRPr="00C3046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وقد وردت كلمة سايبر</w:t>
      </w:r>
      <w:r w:rsidRPr="00C30465">
        <w:rPr>
          <w:rFonts w:ascii="Simplified Arabic" w:eastAsia="Times New Roman" w:hAnsi="Simplified Arabic" w:cs="Simplified Arabic"/>
          <w:kern w:val="0"/>
          <w:sz w:val="28"/>
          <w:szCs w:val="28"/>
          <w14:ligatures w14:val="none"/>
        </w:rPr>
        <w:t xml:space="preserve"> "Syper" </w:t>
      </w:r>
      <w:r w:rsidRPr="00C30465">
        <w:rPr>
          <w:rFonts w:ascii="Simplified Arabic" w:eastAsia="Times New Roman" w:hAnsi="Simplified Arabic" w:cs="Simplified Arabic"/>
          <w:kern w:val="0"/>
          <w:sz w:val="28"/>
          <w:szCs w:val="28"/>
          <w:rtl/>
          <w14:ligatures w14:val="none"/>
        </w:rPr>
        <w:t xml:space="preserve">في معجم المعاني؛ بمعنى تخيلي أو تقني </w:t>
      </w:r>
      <w:r w:rsidR="008D1D31" w:rsidRPr="00C30465">
        <w:rPr>
          <w:rFonts w:ascii="Simplified Arabic" w:eastAsia="Times New Roman" w:hAnsi="Simplified Arabic" w:cs="Simplified Arabic"/>
          <w:kern w:val="0"/>
          <w:sz w:val="28"/>
          <w:szCs w:val="28"/>
          <w:rtl/>
          <w14:ligatures w14:val="none"/>
        </w:rPr>
        <w:t>(</w:t>
      </w:r>
      <w:r w:rsidRPr="00C30465">
        <w:rPr>
          <w:rFonts w:ascii="Simplified Arabic" w:eastAsia="Times New Roman" w:hAnsi="Simplified Arabic" w:cs="Simplified Arabic"/>
          <w:kern w:val="0"/>
          <w:sz w:val="28"/>
          <w:szCs w:val="28"/>
          <w:rtl/>
          <w14:ligatures w14:val="none"/>
        </w:rPr>
        <w:t>ترجمة ومعنى</w:t>
      </w:r>
      <w:r w:rsidRPr="00C30465">
        <w:rPr>
          <w:rFonts w:ascii="Simplified Arabic" w:eastAsia="Times New Roman" w:hAnsi="Simplified Arabic" w:cs="Simplified Arabic"/>
          <w:kern w:val="0"/>
          <w:sz w:val="28"/>
          <w:szCs w:val="28"/>
          <w14:ligatures w14:val="none"/>
        </w:rPr>
        <w:t xml:space="preserve"> cyber </w:t>
      </w:r>
      <w:r w:rsidR="009B11D9"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rtl/>
          <w14:ligatures w14:val="none"/>
        </w:rPr>
        <w:t>في قاموس المعاني</w:t>
      </w:r>
      <w:r w:rsidR="008D1D31"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(2020</w:t>
      </w:r>
      <w:r w:rsidR="008D1D31" w:rsidRPr="00C30465">
        <w:rPr>
          <w:rFonts w:ascii="Simplified Arabic" w:eastAsia="Times New Roman" w:hAnsi="Simplified Arabic" w:cs="Simplified Arabic"/>
          <w:kern w:val="0"/>
          <w:sz w:val="28"/>
          <w:szCs w:val="28"/>
          <w:rtl/>
          <w14:ligatures w14:val="none"/>
        </w:rPr>
        <w:t xml:space="preserve">. </w:t>
      </w:r>
    </w:p>
    <w:p w14:paraId="67BDCBA7" w14:textId="2BEF1EF7" w:rsidR="00DA0AB7" w:rsidRPr="00C30465" w:rsidRDefault="00DA0AB7"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ويعرف أيضاً أنه " عبارة عن مجموع الوسائل التقنية والإدارية التي يتم استخدامها لمنع الوصول غير المصرح به وسوء الاستغلال واستعادة المعلومات الإلكترونية ونظم الاتصالات والمعلومات التي تحتويها بهدف ضمان توافر واستمرارية عمل نظم المعلومات وتأمين حماية وسرية وخصوصية البيانات الشخصية ولحماية المواطنين، والمستهلكين في الفضاء السيبراني (غسان</w:t>
      </w:r>
      <w:r w:rsidR="008D1D31"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rtl/>
          <w14:ligatures w14:val="none"/>
        </w:rPr>
        <w:t>2019)</w:t>
      </w:r>
      <w:r w:rsidR="008D1D31" w:rsidRPr="00C30465">
        <w:rPr>
          <w:rFonts w:ascii="Simplified Arabic" w:eastAsia="Times New Roman" w:hAnsi="Simplified Arabic" w:cs="Simplified Arabic"/>
          <w:kern w:val="0"/>
          <w:sz w:val="28"/>
          <w:szCs w:val="28"/>
          <w:rtl/>
          <w14:ligatures w14:val="none"/>
        </w:rPr>
        <w:t>.</w:t>
      </w:r>
    </w:p>
    <w:p w14:paraId="4B0F9F70" w14:textId="11FDE6F0" w:rsidR="008D1D31" w:rsidRPr="00C30465" w:rsidRDefault="008D1D31"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وبعد ما تم عرضه من تعريفات سابقة للأمن السيبراني، </w:t>
      </w:r>
      <w:r w:rsidRPr="00C30465">
        <w:rPr>
          <w:rFonts w:ascii="Simplified Arabic" w:eastAsia="Times New Roman" w:hAnsi="Simplified Arabic" w:cs="Simplified Arabic"/>
          <w:b/>
          <w:bCs/>
          <w:kern w:val="0"/>
          <w:sz w:val="28"/>
          <w:szCs w:val="28"/>
          <w:rtl/>
          <w14:ligatures w14:val="none"/>
        </w:rPr>
        <w:t>يعرف الباحث الأمن السيبراني</w:t>
      </w:r>
      <w:r w:rsidRPr="00C30465">
        <w:rPr>
          <w:rFonts w:ascii="Simplified Arabic" w:eastAsia="Times New Roman" w:hAnsi="Simplified Arabic" w:cs="Simplified Arabic"/>
          <w:kern w:val="0"/>
          <w:sz w:val="28"/>
          <w:szCs w:val="28"/>
          <w:rtl/>
          <w14:ligatures w14:val="none"/>
        </w:rPr>
        <w:t xml:space="preserve">، بأنه مجموعة من الاستراتيجيات والتدابير التكنولوجية التي يتم استخدامها من قبل المنظمات والمؤسسات التي </w:t>
      </w:r>
      <w:r w:rsidRPr="00C30465">
        <w:rPr>
          <w:rFonts w:ascii="Simplified Arabic" w:eastAsia="Times New Roman" w:hAnsi="Simplified Arabic" w:cs="Simplified Arabic"/>
          <w:kern w:val="0"/>
          <w:sz w:val="28"/>
          <w:szCs w:val="28"/>
          <w:rtl/>
          <w14:ligatures w14:val="none"/>
        </w:rPr>
        <w:lastRenderedPageBreak/>
        <w:t>تطبق الخدمات الإلكترونية، بهدف حماية كل ما يتعلق بالأنظمة والبرامج الإلكترونية، وبيانات المنظمات والأفراد، والمعدات والأجهزة.</w:t>
      </w:r>
    </w:p>
    <w:p w14:paraId="030BFADF" w14:textId="20CCDEF6" w:rsidR="00DA0AB7" w:rsidRPr="00C30465" w:rsidRDefault="00DA0AB7" w:rsidP="00BB3DEB">
      <w:pPr>
        <w:bidi/>
        <w:spacing w:before="240" w:after="0" w:line="240" w:lineRule="auto"/>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32"/>
          <w:szCs w:val="32"/>
          <w:rtl/>
          <w14:ligatures w14:val="none"/>
        </w:rPr>
        <w:t>- 2/2/2: نشأته وبداية الأمن السيبراني</w:t>
      </w:r>
      <w:r w:rsidR="001C339C" w:rsidRPr="00C30465">
        <w:rPr>
          <w:rFonts w:ascii="Simplified Arabic" w:eastAsia="Times New Roman" w:hAnsi="Simplified Arabic" w:cs="Simplified Arabic"/>
          <w:b/>
          <w:bCs/>
          <w:kern w:val="0"/>
          <w:sz w:val="32"/>
          <w:szCs w:val="32"/>
          <w:rtl/>
          <w14:ligatures w14:val="none"/>
        </w:rPr>
        <w:t>:</w:t>
      </w:r>
    </w:p>
    <w:p w14:paraId="28E990D1" w14:textId="77777777" w:rsidR="004C3656" w:rsidRPr="00C30465" w:rsidRDefault="004C3656" w:rsidP="004A5284">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ان نشأة الأمن السيبراني تعود الى التطور السريع في استخدام التكنولوجيا الرقمية والشبكات بما في ذلك الانترنت، وحيث ان الشبكات الالكترونية كانت محدودة الاستخدام ومقتصرة على استخدام القطاعات الحكومية والعسكرية والاكاديمية، وبعد الانتشار ليصل الى العديد من القطاعات الخاصة والربحية والافراد على المستوى الشخصي في جميع انحاء العالم، ظهرت تهديدات من محاولات بسيطة غير مؤذية الى محاولات تخريبية مقصودة مبنية على دوافع مختلفة</w:t>
      </w:r>
      <w:r w:rsidRPr="00C30465">
        <w:rPr>
          <w:rFonts w:ascii="Simplified Arabic" w:eastAsia="Times New Roman" w:hAnsi="Simplified Arabic" w:cs="Simplified Arabic"/>
          <w:kern w:val="0"/>
          <w:sz w:val="28"/>
          <w:szCs w:val="28"/>
          <w14:ligatures w14:val="none"/>
        </w:rPr>
        <w:t>.</w:t>
      </w:r>
    </w:p>
    <w:p w14:paraId="5E188C1F" w14:textId="234D6B34" w:rsidR="004C3656" w:rsidRPr="00C30465" w:rsidRDefault="004C3656" w:rsidP="004A5284">
      <w:pPr>
        <w:bidi/>
        <w:spacing w:before="240" w:after="0" w:line="240" w:lineRule="auto"/>
        <w:ind w:firstLine="63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14:ligatures w14:val="none"/>
        </w:rPr>
        <w:t>"</w:t>
      </w:r>
      <w:r w:rsidR="00165A10" w:rsidRPr="00C30465">
        <w:rPr>
          <w:rFonts w:ascii="Simplified Arabic" w:eastAsia="Times New Roman" w:hAnsi="Simplified Arabic" w:cs="Simplified Arabic"/>
          <w:kern w:val="0"/>
          <w:sz w:val="28"/>
          <w:szCs w:val="28"/>
          <w:rtl/>
          <w14:ligatures w14:val="none"/>
        </w:rPr>
        <w:t>أنا الزاحف - أمسك بي ان استطعت"</w:t>
      </w:r>
      <w:r w:rsidR="00824F31" w:rsidRPr="00C30465">
        <w:rPr>
          <w:rFonts w:ascii="Simplified Arabic" w:eastAsia="Times New Roman" w:hAnsi="Simplified Arabic" w:cs="Simplified Arabic"/>
          <w:kern w:val="0"/>
          <w:sz w:val="28"/>
          <w:szCs w:val="28"/>
          <w:rtl/>
          <w14:ligatures w14:val="none"/>
        </w:rPr>
        <w:t xml:space="preserve"> ’’</w:t>
      </w:r>
      <w:r w:rsidR="00165A10" w:rsidRPr="00C30465">
        <w:rPr>
          <w:rFonts w:ascii="Simplified Arabic" w:eastAsia="Times New Roman" w:hAnsi="Simplified Arabic" w:cs="Simplified Arabic"/>
          <w:kern w:val="0"/>
          <w:sz w:val="28"/>
          <w:szCs w:val="28"/>
          <w14:ligatures w14:val="none"/>
        </w:rPr>
        <w:t>I'M THE CREEPER: CATCH ME IF YOU "</w:t>
      </w:r>
      <w:r w:rsidRPr="00C30465">
        <w:rPr>
          <w:rFonts w:ascii="Simplified Arabic" w:eastAsia="Times New Roman" w:hAnsi="Simplified Arabic" w:cs="Simplified Arabic"/>
          <w:kern w:val="0"/>
          <w:sz w:val="28"/>
          <w:szCs w:val="28"/>
          <w14:ligatures w14:val="none"/>
        </w:rPr>
        <w:t>CAN</w:t>
      </w:r>
      <w:r w:rsidRPr="00C30465">
        <w:rPr>
          <w:rFonts w:ascii="Simplified Arabic" w:eastAsia="Times New Roman" w:hAnsi="Simplified Arabic" w:cs="Simplified Arabic"/>
          <w:kern w:val="0"/>
          <w:sz w:val="28"/>
          <w:szCs w:val="28"/>
          <w:rtl/>
          <w14:ligatures w14:val="none"/>
        </w:rPr>
        <w:t xml:space="preserve">" العبارة التي غيرت مفهوم أمن المعلومات وأثار العديد من الخبراء والشركات المتخصصة، بل وكبرى حكومات دول العالم لاعادة النظر في كيفية حماية المعلومات من الوصول الغير مصرح به ففي العام 1971، قام المهندس روبرت توماس </w:t>
      </w:r>
      <w:r w:rsidRPr="00C30465">
        <w:rPr>
          <w:rFonts w:ascii="Simplified Arabic" w:eastAsia="Times New Roman" w:hAnsi="Simplified Arabic" w:cs="Simplified Arabic"/>
          <w:kern w:val="0"/>
          <w:sz w:val="28"/>
          <w:szCs w:val="28"/>
          <w14:ligatures w14:val="none"/>
        </w:rPr>
        <w:t>Robert Thomas</w:t>
      </w:r>
      <w:r w:rsidRPr="00C30465">
        <w:rPr>
          <w:rFonts w:ascii="Simplified Arabic" w:eastAsia="Times New Roman" w:hAnsi="Simplified Arabic" w:cs="Simplified Arabic"/>
          <w:kern w:val="0"/>
          <w:sz w:val="28"/>
          <w:szCs w:val="28"/>
          <w:rtl/>
          <w14:ligatures w14:val="none"/>
        </w:rPr>
        <w:t xml:space="preserve"> في شركة </w:t>
      </w:r>
      <w:r w:rsidRPr="00C30465">
        <w:rPr>
          <w:rFonts w:ascii="Simplified Arabic" w:eastAsia="Times New Roman" w:hAnsi="Simplified Arabic" w:cs="Simplified Arabic"/>
          <w:kern w:val="0"/>
          <w:sz w:val="28"/>
          <w:szCs w:val="28"/>
          <w14:ligatures w14:val="none"/>
        </w:rPr>
        <w:t>BBN Technologies</w:t>
      </w:r>
      <w:r w:rsidRPr="00C30465">
        <w:rPr>
          <w:rFonts w:ascii="Simplified Arabic" w:eastAsia="Times New Roman" w:hAnsi="Simplified Arabic" w:cs="Simplified Arabic"/>
          <w:kern w:val="0"/>
          <w:sz w:val="28"/>
          <w:szCs w:val="28"/>
          <w:rtl/>
          <w14:ligatures w14:val="none"/>
        </w:rPr>
        <w:t xml:space="preserve"> بابتكار اول فايروس الكتروني بصورته المبسطة من خلال ارساله الى اجهزة الحاسوب المرتبطة بشبكة </w:t>
      </w:r>
      <w:r w:rsidRPr="00C30465">
        <w:rPr>
          <w:rFonts w:ascii="Simplified Arabic" w:eastAsia="Times New Roman" w:hAnsi="Simplified Arabic" w:cs="Simplified Arabic"/>
          <w:kern w:val="0"/>
          <w:sz w:val="28"/>
          <w:szCs w:val="28"/>
          <w14:ligatures w14:val="none"/>
        </w:rPr>
        <w:t>ARPANET</w:t>
      </w:r>
      <w:r w:rsidRPr="00C30465">
        <w:rPr>
          <w:rFonts w:ascii="Simplified Arabic" w:eastAsia="Times New Roman" w:hAnsi="Simplified Arabic" w:cs="Simplified Arabic"/>
          <w:kern w:val="0"/>
          <w:sz w:val="28"/>
          <w:szCs w:val="28"/>
          <w:rtl/>
          <w14:ligatures w14:val="none"/>
        </w:rPr>
        <w:t xml:space="preserve"> ورغم الضرر الذي لا يذكر والذي اعتبره البعض انه بالاصل فايروس غير ضار ولم ينشأ من وراءه اية اضرار مادية سوى انه جملة بسيطة ظهرت على شاشات الحاسوب، الا انه كان بداية لانطلاق المخاوف من تطور نوعية الهجوم وتحقيق خسائر أكبر ، وقام لاحقا المهندس ريموند توملينسون </w:t>
      </w:r>
      <w:r w:rsidRPr="00C30465">
        <w:rPr>
          <w:rFonts w:ascii="Simplified Arabic" w:eastAsia="Times New Roman" w:hAnsi="Simplified Arabic" w:cs="Simplified Arabic"/>
          <w:kern w:val="0"/>
          <w:sz w:val="28"/>
          <w:szCs w:val="28"/>
          <w14:ligatures w14:val="none"/>
        </w:rPr>
        <w:t>Raymond Tomlinson</w:t>
      </w:r>
      <w:r w:rsidRPr="00C30465">
        <w:rPr>
          <w:rFonts w:ascii="Simplified Arabic" w:eastAsia="Times New Roman" w:hAnsi="Simplified Arabic" w:cs="Simplified Arabic"/>
          <w:kern w:val="0"/>
          <w:sz w:val="28"/>
          <w:szCs w:val="28"/>
          <w:rtl/>
          <w14:ligatures w14:val="none"/>
        </w:rPr>
        <w:t xml:space="preserve">، وهو مهندس بنفس شركة </w:t>
      </w:r>
      <w:r w:rsidRPr="00C30465">
        <w:rPr>
          <w:rFonts w:ascii="Simplified Arabic" w:eastAsia="Times New Roman" w:hAnsi="Simplified Arabic" w:cs="Simplified Arabic"/>
          <w:kern w:val="0"/>
          <w:sz w:val="28"/>
          <w:szCs w:val="28"/>
          <w14:ligatures w14:val="none"/>
        </w:rPr>
        <w:t>BBN Technologies</w:t>
      </w:r>
      <w:r w:rsidRPr="00C30465">
        <w:rPr>
          <w:rFonts w:ascii="Simplified Arabic" w:eastAsia="Times New Roman" w:hAnsi="Simplified Arabic" w:cs="Simplified Arabic"/>
          <w:kern w:val="0"/>
          <w:sz w:val="28"/>
          <w:szCs w:val="28"/>
          <w:rtl/>
          <w14:ligatures w14:val="none"/>
        </w:rPr>
        <w:t xml:space="preserve"> بتطوير الفايروس وبدلاً من نقل الفايروس من حاسوب الحاسوب اخر عبر شبكة </w:t>
      </w:r>
      <w:r w:rsidRPr="00C30465">
        <w:rPr>
          <w:rFonts w:ascii="Simplified Arabic" w:eastAsia="Times New Roman" w:hAnsi="Simplified Arabic" w:cs="Simplified Arabic"/>
          <w:kern w:val="0"/>
          <w:sz w:val="28"/>
          <w:szCs w:val="28"/>
          <w14:ligatures w14:val="none"/>
        </w:rPr>
        <w:t>ARPANET</w:t>
      </w:r>
      <w:r w:rsidRPr="00C30465">
        <w:rPr>
          <w:rFonts w:ascii="Simplified Arabic" w:eastAsia="Times New Roman" w:hAnsi="Simplified Arabic" w:cs="Simplified Arabic"/>
          <w:kern w:val="0"/>
          <w:sz w:val="28"/>
          <w:szCs w:val="28"/>
          <w:rtl/>
          <w14:ligatures w14:val="none"/>
        </w:rPr>
        <w:t xml:space="preserve"> ، فإن الفكرة كانت بأن يقوم </w:t>
      </w:r>
      <w:r w:rsidR="00BC01E9" w:rsidRPr="00C30465">
        <w:rPr>
          <w:rFonts w:ascii="Simplified Arabic" w:eastAsia="Times New Roman" w:hAnsi="Simplified Arabic" w:cs="Simplified Arabic"/>
          <w:kern w:val="0"/>
          <w:sz w:val="28"/>
          <w:szCs w:val="28"/>
          <w:rtl/>
          <w14:ligatures w14:val="none"/>
        </w:rPr>
        <w:t>الفايروس بنسخ نفسه</w:t>
      </w:r>
      <w:r w:rsidR="002C76E3" w:rsidRPr="00C30465">
        <w:rPr>
          <w:rFonts w:ascii="Simplified Arabic" w:eastAsia="Times New Roman" w:hAnsi="Simplified Arabic" w:cs="Simplified Arabic"/>
          <w:kern w:val="0"/>
          <w:sz w:val="28"/>
          <w:szCs w:val="28"/>
          <w:rtl/>
          <w:lang w:bidi="ar-EG"/>
          <w14:ligatures w14:val="none"/>
        </w:rPr>
        <w:t>.</w:t>
      </w:r>
    </w:p>
    <w:p w14:paraId="32328BC1" w14:textId="03011018" w:rsidR="004A5284" w:rsidRPr="00C30465" w:rsidRDefault="00EE1974" w:rsidP="004A5284">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رغم ان الفايروس الأول لم يتسبب بأية اضرار مادية، الا انه مع المزيد من الاختبارات من قبل مهندسين آخرين بما في ذلك الطموحين من طلبة الجامعات مثل الطالب الخريج من جامعة كورنيل الذي ابتكر فايروس باسم دودة موريس والتي تسبب بتكاليف مادية ومالية للتعامل معه، كذلك قيام أحد مؤسسي </w:t>
      </w:r>
      <w:r w:rsidRPr="00C30465">
        <w:rPr>
          <w:rFonts w:ascii="Simplified Arabic" w:eastAsia="Times New Roman" w:hAnsi="Simplified Arabic" w:cs="Simplified Arabic"/>
          <w:kern w:val="0"/>
          <w:sz w:val="28"/>
          <w:szCs w:val="28"/>
          <w14:ligatures w14:val="none"/>
        </w:rPr>
        <w:t>ARPANET</w:t>
      </w:r>
      <w:r w:rsidRPr="00C30465">
        <w:rPr>
          <w:rFonts w:ascii="Simplified Arabic" w:eastAsia="Times New Roman" w:hAnsi="Simplified Arabic" w:cs="Simplified Arabic"/>
          <w:kern w:val="0"/>
          <w:sz w:val="28"/>
          <w:szCs w:val="28"/>
          <w:rtl/>
          <w14:ligatures w14:val="none"/>
        </w:rPr>
        <w:t xml:space="preserve"> باستغلال سمعته وارسال طلب تمرير كلمات المرور الخوادم الشركات الأخرى لصالح خادمه "السيرفر " مما شكل تهديد حقيقي على مستوى الشركات والجهات الحكومية بشكل جدي</w:t>
      </w:r>
      <w:r w:rsidR="004A5284" w:rsidRPr="00C30465">
        <w:rPr>
          <w:rFonts w:ascii="Simplified Arabic" w:eastAsia="Times New Roman" w:hAnsi="Simplified Arabic" w:cs="Simplified Arabic"/>
          <w:kern w:val="0"/>
          <w:sz w:val="28"/>
          <w:szCs w:val="28"/>
          <w14:ligatures w14:val="none"/>
        </w:rPr>
        <w:t xml:space="preserve"> </w:t>
      </w:r>
      <w:r w:rsidR="004A5284" w:rsidRPr="00C30465">
        <w:rPr>
          <w:rFonts w:ascii="Simplified Arabic" w:eastAsia="Times New Roman" w:hAnsi="Simplified Arabic" w:cs="Simplified Arabic"/>
          <w:kern w:val="0"/>
          <w:sz w:val="28"/>
          <w:szCs w:val="28"/>
          <w:rtl/>
          <w14:ligatures w14:val="none"/>
        </w:rPr>
        <w:t xml:space="preserve">رغم أن القصد لم يتم الجزم به سواء حسن أو سوء نية، وهذه الاحداث نتج من وراءها ايتاح فرص جديدة </w:t>
      </w:r>
      <w:r w:rsidR="004A5284" w:rsidRPr="00C30465">
        <w:rPr>
          <w:rFonts w:ascii="Simplified Arabic" w:eastAsia="Times New Roman" w:hAnsi="Simplified Arabic" w:cs="Simplified Arabic"/>
          <w:kern w:val="0"/>
          <w:sz w:val="28"/>
          <w:szCs w:val="28"/>
          <w:rtl/>
          <w14:ligatures w14:val="none"/>
        </w:rPr>
        <w:lastRenderedPageBreak/>
        <w:t>لاستخدامها بشكل قد يؤدي الى الاضرار المادية</w:t>
      </w:r>
      <w:r w:rsidR="004A5284" w:rsidRPr="00C30465">
        <w:rPr>
          <w:rFonts w:ascii="Simplified Arabic" w:eastAsia="Times New Roman" w:hAnsi="Simplified Arabic" w:cs="Simplified Arabic"/>
          <w:kern w:val="0"/>
          <w:sz w:val="28"/>
          <w:szCs w:val="28"/>
          <w14:ligatures w14:val="none"/>
        </w:rPr>
        <w:t xml:space="preserve"> </w:t>
      </w:r>
      <w:r w:rsidR="004A5284" w:rsidRPr="00C30465">
        <w:rPr>
          <w:rFonts w:ascii="Simplified Arabic" w:eastAsia="Times New Roman" w:hAnsi="Simplified Arabic" w:cs="Simplified Arabic"/>
          <w:kern w:val="0"/>
          <w:sz w:val="28"/>
          <w:szCs w:val="28"/>
          <w:rtl/>
          <w14:ligatures w14:val="none"/>
        </w:rPr>
        <w:t>والمعنوية</w:t>
      </w:r>
      <w:r w:rsidR="004A5284" w:rsidRPr="00C30465">
        <w:rPr>
          <w:rFonts w:ascii="Simplified Arabic" w:eastAsia="Times New Roman" w:hAnsi="Simplified Arabic" w:cs="Simplified Arabic"/>
          <w:kern w:val="0"/>
          <w:sz w:val="28"/>
          <w:szCs w:val="28"/>
          <w14:ligatures w14:val="none"/>
        </w:rPr>
        <w:t xml:space="preserve"> </w:t>
      </w:r>
      <w:r w:rsidR="004A5284" w:rsidRPr="00C30465">
        <w:rPr>
          <w:rFonts w:ascii="Simplified Arabic" w:eastAsia="Times New Roman" w:hAnsi="Simplified Arabic" w:cs="Simplified Arabic"/>
          <w:kern w:val="0"/>
          <w:sz w:val="28"/>
          <w:szCs w:val="28"/>
          <w:rtl/>
          <w:lang w:bidi="ar-EG"/>
          <w14:ligatures w14:val="none"/>
        </w:rPr>
        <w:t xml:space="preserve"> ليس</w:t>
      </w:r>
      <w:r w:rsidR="004A5284" w:rsidRPr="00C30465">
        <w:rPr>
          <w:rFonts w:ascii="Simplified Arabic" w:eastAsia="Times New Roman" w:hAnsi="Simplified Arabic" w:cs="Simplified Arabic"/>
          <w:kern w:val="0"/>
          <w:sz w:val="28"/>
          <w:szCs w:val="28"/>
          <w:rtl/>
          <w14:ligatures w14:val="none"/>
        </w:rPr>
        <w:t xml:space="preserve"> على مستوى الافراد وانما ايضاً المجتمعات والدول (</w:t>
      </w:r>
      <w:r w:rsidR="004A5284" w:rsidRPr="00C30465">
        <w:rPr>
          <w:rFonts w:ascii="Simplified Arabic" w:eastAsia="Times New Roman" w:hAnsi="Simplified Arabic" w:cs="Simplified Arabic"/>
          <w:kern w:val="0"/>
          <w:sz w:val="28"/>
          <w:szCs w:val="28"/>
          <w14:ligatures w14:val="none"/>
        </w:rPr>
        <w:t>(Carnovale &amp; Yeniyurt, 2021</w:t>
      </w:r>
      <w:r w:rsidR="002C76E3" w:rsidRPr="00C30465">
        <w:rPr>
          <w:rFonts w:ascii="Simplified Arabic" w:eastAsia="Times New Roman" w:hAnsi="Simplified Arabic" w:cs="Simplified Arabic"/>
          <w:kern w:val="0"/>
          <w:sz w:val="28"/>
          <w:szCs w:val="28"/>
          <w14:ligatures w14:val="none"/>
        </w:rPr>
        <w:t>, 3</w:t>
      </w:r>
      <w:r w:rsidR="004A5284" w:rsidRPr="00C30465">
        <w:rPr>
          <w:rFonts w:ascii="Simplified Arabic" w:eastAsia="Times New Roman" w:hAnsi="Simplified Arabic" w:cs="Simplified Arabic"/>
          <w:kern w:val="0"/>
          <w:sz w:val="28"/>
          <w:szCs w:val="28"/>
          <w:rtl/>
          <w14:ligatures w14:val="none"/>
        </w:rPr>
        <w:t xml:space="preserve"> </w:t>
      </w:r>
    </w:p>
    <w:p w14:paraId="188A88F3" w14:textId="1CA41812" w:rsidR="00CF24EF" w:rsidRPr="00C30465" w:rsidRDefault="004A5284" w:rsidP="004A5284">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هذه التهديدات حفزت الى اتخاذ التدابير التقنية الوقائية للحماية من التعرض لهجوم مماثل او اكبر والوصول للشبكات او الحواسيب، وتعود بداية ظهور الأمن السيبراني للعام 1983م، اذ قام معهد ماساتشوستس للتكنلوجيا </w:t>
      </w:r>
      <w:r w:rsidRPr="00C30465">
        <w:rPr>
          <w:rFonts w:ascii="Simplified Arabic" w:eastAsia="Times New Roman" w:hAnsi="Simplified Arabic" w:cs="Simplified Arabic"/>
          <w:kern w:val="0"/>
          <w:sz w:val="28"/>
          <w:szCs w:val="28"/>
          <w14:ligatures w14:val="none"/>
        </w:rPr>
        <w:t>Massachusetts Institute of Technology</w:t>
      </w:r>
      <w:r w:rsidRPr="00C30465">
        <w:rPr>
          <w:rFonts w:ascii="Simplified Arabic" w:eastAsia="Times New Roman" w:hAnsi="Simplified Arabic" w:cs="Simplified Arabic"/>
          <w:kern w:val="0"/>
          <w:sz w:val="28"/>
          <w:szCs w:val="28"/>
          <w:rtl/>
          <w14:ligatures w14:val="none"/>
        </w:rPr>
        <w:t xml:space="preserve"> من تطوير النظام وطريقة اتصال مبنية على اساس التشفير والذي اعتبر النواة الاساسية لتطوير الانظمة والوسائل الحديثة في مجال الأمن السيرات لحماية البيئة الرقمية من الت</w:t>
      </w:r>
      <w:r w:rsidRPr="00C30465">
        <w:rPr>
          <w:rFonts w:ascii="Simplified Arabic" w:eastAsia="Times New Roman" w:hAnsi="Simplified Arabic" w:cs="Simplified Arabic"/>
          <w:kern w:val="0"/>
          <w:sz w:val="28"/>
          <w:szCs w:val="28"/>
          <w:rtl/>
          <w:lang w:bidi="ar-EG"/>
          <w14:ligatures w14:val="none"/>
        </w:rPr>
        <w:t>ه</w:t>
      </w:r>
      <w:r w:rsidRPr="00C30465">
        <w:rPr>
          <w:rFonts w:ascii="Simplified Arabic" w:eastAsia="Times New Roman" w:hAnsi="Simplified Arabic" w:cs="Simplified Arabic"/>
          <w:kern w:val="0"/>
          <w:sz w:val="28"/>
          <w:szCs w:val="28"/>
          <w:rtl/>
          <w14:ligatures w14:val="none"/>
        </w:rPr>
        <w:t>ديدات السيبرانية (المركز الوطن للأمن السيبراني، 2024)</w:t>
      </w:r>
      <w:r w:rsidRPr="00C30465">
        <w:rPr>
          <w:rFonts w:ascii="Simplified Arabic" w:eastAsia="Times New Roman" w:hAnsi="Simplified Arabic" w:cs="Simplified Arabic"/>
          <w:kern w:val="0"/>
          <w:sz w:val="28"/>
          <w:szCs w:val="28"/>
          <w14:ligatures w14:val="none"/>
        </w:rPr>
        <w:t xml:space="preserve"> </w:t>
      </w:r>
    </w:p>
    <w:p w14:paraId="749D73F0" w14:textId="3866E2D3" w:rsidR="008D1D31" w:rsidRPr="00C30465" w:rsidRDefault="008D1D31" w:rsidP="00DC238D">
      <w:pPr>
        <w:bidi/>
        <w:spacing w:before="240"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فالأمن السيبراني، كأي مجال آخر ، فضاء سيبراني يستحضر الناس فيه قيمهم ومصالحهم، واهتماماتهم المختلفة، التي يمكن أن تتأثر وتؤثر، على سبيل المثال، أن بعض مجموعات المصالح الخاصة تهدد بالحلول كبديل لهوية يندمج تحت مظلتها،  مجموعات أكبر من الناس</w:t>
      </w:r>
      <w:r w:rsidRPr="00C30465">
        <w:rPr>
          <w:rFonts w:ascii="Simplified Arabic" w:eastAsia="Times New Roman" w:hAnsi="Simplified Arabic" w:cs="Simplified Arabic"/>
          <w:kern w:val="0"/>
          <w:sz w:val="28"/>
          <w:szCs w:val="28"/>
          <w14:ligatures w14:val="none"/>
        </w:rPr>
        <w:t xml:space="preserve">.( EVELYNE&amp; JACQUES 2020) </w:t>
      </w:r>
    </w:p>
    <w:p w14:paraId="1E197090" w14:textId="77777777" w:rsidR="001C339C" w:rsidRPr="00C30465" w:rsidRDefault="001C339C" w:rsidP="00DC238D">
      <w:pPr>
        <w:bidi/>
        <w:spacing w:before="240" w:after="0" w:line="240" w:lineRule="auto"/>
        <w:ind w:left="360"/>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xml:space="preserve">المبحث الثالث: الحوكمة في قطاع الأمن السيبراني </w:t>
      </w:r>
    </w:p>
    <w:p w14:paraId="04CDCA48" w14:textId="77777777" w:rsidR="00FC3E3B" w:rsidRPr="00C30465" w:rsidRDefault="00FC3E3B" w:rsidP="00DC238D">
      <w:pPr>
        <w:bidi/>
        <w:spacing w:before="240"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- 2/3/1: مكونات نظام الحوكمة.</w:t>
      </w:r>
    </w:p>
    <w:p w14:paraId="547CE4B6" w14:textId="2B44ADD7" w:rsidR="00B60B21" w:rsidRPr="00C30465" w:rsidRDefault="00B60B21" w:rsidP="00FC3E3B">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لتلبية أهداف الحوكمة والإدارة، تحتاج كل مؤسسة إلى إنشاء وتصميم وإستدامة نظام حوكمة مبني من </w:t>
      </w:r>
      <w:r w:rsidRPr="00C30465">
        <w:rPr>
          <w:rFonts w:ascii="Simplified Arabic" w:eastAsia="Times New Roman" w:hAnsi="Simplified Arabic" w:cs="Simplified Arabic"/>
          <w:b/>
          <w:bCs/>
          <w:kern w:val="0"/>
          <w:sz w:val="28"/>
          <w:szCs w:val="28"/>
          <w:rtl/>
          <w14:ligatures w14:val="none"/>
        </w:rPr>
        <w:t>عدد من المكونات والتي تشمل الاتي:</w:t>
      </w:r>
      <w:r w:rsidRPr="00C30465">
        <w:rPr>
          <w:rFonts w:ascii="Simplified Arabic" w:eastAsia="Times New Roman" w:hAnsi="Simplified Arabic" w:cs="Simplified Arabic"/>
          <w:kern w:val="0"/>
          <w:sz w:val="28"/>
          <w:szCs w:val="28"/>
          <w:rtl/>
          <w14:ligatures w14:val="none"/>
        </w:rPr>
        <w:t xml:space="preserve"> </w:t>
      </w:r>
    </w:p>
    <w:p w14:paraId="565EFAC6" w14:textId="77777777" w:rsidR="00B60B21" w:rsidRPr="00C30465" w:rsidRDefault="00B60B21" w:rsidP="00DC238D">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 المكونات؛ وهي عوامل تساهم بشكل فردي وجماعي في العمليات الجيدة لنظام إدارة المؤسسة عبر تقنية المعلومات والإتصالات. </w:t>
      </w:r>
    </w:p>
    <w:p w14:paraId="14C763E9" w14:textId="77777777" w:rsidR="00B60B21" w:rsidRPr="00C30465" w:rsidRDefault="00B60B21" w:rsidP="00DC238D">
      <w:pPr>
        <w:bidi/>
        <w:spacing w:after="0"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kern w:val="0"/>
          <w:sz w:val="28"/>
          <w:szCs w:val="28"/>
          <w:rtl/>
          <w14:ligatures w14:val="none"/>
        </w:rPr>
        <w:t>- تتفاعل المكونات مع بعضها البعض، مما يؤدي إلى نظام حوكمة شامل للإنترنت والتكنولوجيا، كما أن تلك المكونات قد تكون من أنواع مختلفة، أن أحد المكونات الأكثر شيوعا العمليات، ومع ذلك، فإن مكونات نظام الحوكمة تشمل أيضًا الهياكل التنظيمية السياسات والإجراءات، عناصر المعلومات والثقافة والسلوك والمهارات والكفاءات، بالإضافة للخدمات والبنية التحتية والتطبيقات</w:t>
      </w:r>
      <w:r w:rsidRPr="00C30465">
        <w:rPr>
          <w:rFonts w:ascii="Simplified Arabic" w:eastAsia="Times New Roman" w:hAnsi="Simplified Arabic" w:cs="Simplified Arabic"/>
          <w:kern w:val="0"/>
          <w:sz w:val="28"/>
          <w:szCs w:val="28"/>
          <w:rtl/>
          <w:lang w:bidi="ar-EG"/>
          <w14:ligatures w14:val="none"/>
        </w:rPr>
        <w:t>.</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b/>
          <w:bCs/>
          <w:kern w:val="0"/>
          <w:sz w:val="28"/>
          <w:szCs w:val="28"/>
          <w14:ligatures w14:val="none"/>
        </w:rPr>
        <w:t>(ISACA 2019)</w:t>
      </w:r>
    </w:p>
    <w:p w14:paraId="3F6360C8" w14:textId="77777777" w:rsidR="00112C06" w:rsidRPr="00C30465" w:rsidRDefault="00112C06" w:rsidP="00112C06">
      <w:pPr>
        <w:bidi/>
        <w:spacing w:after="0" w:afterAutospacing="1" w:line="240" w:lineRule="auto"/>
        <w:jc w:val="both"/>
        <w:rPr>
          <w:rFonts w:ascii="Simplified Arabic" w:eastAsia="Times New Roman" w:hAnsi="Simplified Arabic" w:cs="Simplified Arabic"/>
          <w:b/>
          <w:bCs/>
          <w:kern w:val="0"/>
          <w:sz w:val="28"/>
          <w:szCs w:val="28"/>
          <w:rtl/>
          <w14:ligatures w14:val="none"/>
        </w:rPr>
      </w:pPr>
    </w:p>
    <w:p w14:paraId="16C66F10" w14:textId="77777777" w:rsidR="00112C06" w:rsidRPr="00C30465" w:rsidRDefault="00112C06" w:rsidP="00112C06">
      <w:pPr>
        <w:bidi/>
        <w:spacing w:after="0" w:afterAutospacing="1" w:line="240" w:lineRule="auto"/>
        <w:jc w:val="both"/>
        <w:rPr>
          <w:rFonts w:ascii="Simplified Arabic" w:eastAsia="Times New Roman" w:hAnsi="Simplified Arabic" w:cs="Simplified Arabic"/>
          <w:b/>
          <w:bCs/>
          <w:kern w:val="0"/>
          <w:sz w:val="28"/>
          <w:szCs w:val="28"/>
          <w:rtl/>
          <w14:ligatures w14:val="none"/>
        </w:rPr>
      </w:pPr>
    </w:p>
    <w:p w14:paraId="40509D4A" w14:textId="6284ABFA" w:rsidR="00B60B21" w:rsidRPr="00C30465" w:rsidRDefault="00B60B21" w:rsidP="00112C06">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lastRenderedPageBreak/>
        <w:t>1-</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العمليات</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 xml:space="preserve"> </w:t>
      </w:r>
      <w:r w:rsidRPr="00C30465">
        <w:rPr>
          <w:rFonts w:ascii="Simplified Arabic" w:eastAsia="Times New Roman" w:hAnsi="Simplified Arabic" w:cs="Simplified Arabic"/>
          <w:b/>
          <w:bCs/>
          <w:kern w:val="0"/>
          <w:sz w:val="28"/>
          <w:szCs w:val="28"/>
          <w14:ligatures w14:val="none"/>
        </w:rPr>
        <w:t>Processes</w:t>
      </w:r>
      <w:r w:rsidRPr="00C30465">
        <w:rPr>
          <w:rFonts w:ascii="Simplified Arabic" w:eastAsia="Times New Roman" w:hAnsi="Simplified Arabic" w:cs="Simplified Arabic"/>
          <w:b/>
          <w:bCs/>
          <w:kern w:val="0"/>
          <w:sz w:val="28"/>
          <w:szCs w:val="28"/>
          <w:rtl/>
          <w14:ligatures w14:val="none"/>
        </w:rPr>
        <w:t>:</w:t>
      </w:r>
    </w:p>
    <w:p w14:paraId="6FAEE9D6" w14:textId="77777777" w:rsidR="00B60B21" w:rsidRPr="00C30465"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تصف العمليات مجموعة منظمة من الممارسات والأنشطة لتحقيق أهداف معينة وإنتاج مجموعة من المخرجات التي تدعم تحقيق الأهداف العامة المتعلقة بتكنولوجيا المعلومات.</w:t>
      </w:r>
    </w:p>
    <w:p w14:paraId="244D9B4C" w14:textId="77777777" w:rsidR="00B60B21" w:rsidRPr="00C30465"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2- الهياكل التنظيمية </w:t>
      </w:r>
      <w:r w:rsidRPr="00C30465">
        <w:rPr>
          <w:rFonts w:ascii="Simplified Arabic" w:eastAsia="Times New Roman" w:hAnsi="Simplified Arabic" w:cs="Simplified Arabic"/>
          <w:b/>
          <w:bCs/>
          <w:kern w:val="0"/>
          <w:sz w:val="28"/>
          <w:szCs w:val="28"/>
          <w14:ligatures w14:val="none"/>
        </w:rPr>
        <w:t>Organizational Structures</w:t>
      </w:r>
      <w:r w:rsidRPr="00C30465">
        <w:rPr>
          <w:rFonts w:ascii="Simplified Arabic" w:eastAsia="Times New Roman" w:hAnsi="Simplified Arabic" w:cs="Simplified Arabic"/>
          <w:b/>
          <w:bCs/>
          <w:kern w:val="0"/>
          <w:sz w:val="28"/>
          <w:szCs w:val="28"/>
          <w:rtl/>
          <w14:ligatures w14:val="none"/>
        </w:rPr>
        <w:t>:</w:t>
      </w:r>
    </w:p>
    <w:p w14:paraId="504B8375" w14:textId="77777777" w:rsidR="00B60B21" w:rsidRPr="00C30465"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الهياكل التنظيمية هي الكيانات الرئيسية لصنع القرار في المؤسسة</w:t>
      </w:r>
      <w:r w:rsidRPr="00C30465">
        <w:rPr>
          <w:rFonts w:ascii="Simplified Arabic" w:eastAsia="Times New Roman" w:hAnsi="Simplified Arabic" w:cs="Simplified Arabic"/>
          <w:kern w:val="0"/>
          <w:sz w:val="28"/>
          <w:szCs w:val="28"/>
          <w14:ligatures w14:val="none"/>
        </w:rPr>
        <w:t>.</w:t>
      </w:r>
    </w:p>
    <w:p w14:paraId="7BFEF8F7" w14:textId="77777777" w:rsidR="00B60B21" w:rsidRPr="00C30465"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3- </w:t>
      </w:r>
      <w:bookmarkStart w:id="22" w:name="_Hlk202754684"/>
      <w:r w:rsidRPr="00C30465">
        <w:rPr>
          <w:rFonts w:ascii="Simplified Arabic" w:eastAsia="Times New Roman" w:hAnsi="Simplified Arabic" w:cs="Simplified Arabic"/>
          <w:b/>
          <w:bCs/>
          <w:kern w:val="0"/>
          <w:sz w:val="28"/>
          <w:szCs w:val="28"/>
          <w:rtl/>
          <w14:ligatures w14:val="none"/>
        </w:rPr>
        <w:t>المبادئ والسياسات والإجراءات</w:t>
      </w:r>
      <w:r w:rsidRPr="00C30465">
        <w:rPr>
          <w:rFonts w:ascii="Simplified Arabic" w:eastAsia="Times New Roman" w:hAnsi="Simplified Arabic" w:cs="Simplified Arabic"/>
          <w:b/>
          <w:bCs/>
          <w:kern w:val="0"/>
          <w:sz w:val="28"/>
          <w:szCs w:val="28"/>
          <w14:ligatures w14:val="none"/>
        </w:rPr>
        <w:t xml:space="preserve"> </w:t>
      </w:r>
      <w:bookmarkEnd w:id="22"/>
      <w:r w:rsidRPr="00C30465">
        <w:rPr>
          <w:rFonts w:ascii="Simplified Arabic" w:eastAsia="Times New Roman" w:hAnsi="Simplified Arabic" w:cs="Simplified Arabic"/>
          <w:b/>
          <w:bCs/>
          <w:kern w:val="0"/>
          <w:sz w:val="28"/>
          <w:szCs w:val="28"/>
          <w14:ligatures w14:val="none"/>
        </w:rPr>
        <w:t>Principles, Policies, Procedures</w:t>
      </w:r>
      <w:r w:rsidRPr="00C30465">
        <w:rPr>
          <w:rFonts w:ascii="Simplified Arabic" w:eastAsia="Times New Roman" w:hAnsi="Simplified Arabic" w:cs="Simplified Arabic"/>
          <w:b/>
          <w:bCs/>
          <w:kern w:val="0"/>
          <w:sz w:val="28"/>
          <w:szCs w:val="28"/>
          <w:rtl/>
          <w14:ligatures w14:val="none"/>
        </w:rPr>
        <w:t>:</w:t>
      </w:r>
    </w:p>
    <w:p w14:paraId="7FA21749" w14:textId="77777777" w:rsidR="00B60B21" w:rsidRPr="00C30465"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تقوم المبادئ والسياسات بترجمة السلوك المرغوب فيه إلى إرشادات عملية للإدارة اليومية.</w:t>
      </w:r>
    </w:p>
    <w:p w14:paraId="08643998" w14:textId="77777777" w:rsidR="00B60B21" w:rsidRPr="00C30465"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4- </w:t>
      </w:r>
      <w:bookmarkStart w:id="23" w:name="_Hlk202754778"/>
      <w:r w:rsidRPr="00C30465">
        <w:rPr>
          <w:rFonts w:ascii="Simplified Arabic" w:eastAsia="Times New Roman" w:hAnsi="Simplified Arabic" w:cs="Simplified Arabic"/>
          <w:b/>
          <w:bCs/>
          <w:kern w:val="0"/>
          <w:sz w:val="28"/>
          <w:szCs w:val="28"/>
          <w:rtl/>
          <w14:ligatures w14:val="none"/>
        </w:rPr>
        <w:t xml:space="preserve">المعلومات </w:t>
      </w:r>
      <w:bookmarkEnd w:id="23"/>
      <w:r w:rsidRPr="00C30465">
        <w:rPr>
          <w:rFonts w:ascii="Simplified Arabic" w:eastAsia="Times New Roman" w:hAnsi="Simplified Arabic" w:cs="Simplified Arabic"/>
          <w:b/>
          <w:bCs/>
          <w:kern w:val="0"/>
          <w:sz w:val="28"/>
          <w:szCs w:val="28"/>
          <w14:ligatures w14:val="none"/>
        </w:rPr>
        <w:t>Information</w:t>
      </w:r>
      <w:r w:rsidRPr="00C30465">
        <w:rPr>
          <w:rFonts w:ascii="Simplified Arabic" w:eastAsia="Times New Roman" w:hAnsi="Simplified Arabic" w:cs="Simplified Arabic"/>
          <w:b/>
          <w:bCs/>
          <w:kern w:val="0"/>
          <w:sz w:val="28"/>
          <w:szCs w:val="28"/>
          <w:rtl/>
          <w14:ligatures w14:val="none"/>
        </w:rPr>
        <w:t>:</w:t>
      </w:r>
    </w:p>
    <w:p w14:paraId="08022941" w14:textId="77777777" w:rsidR="00B60B21" w:rsidRPr="00C30465"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المعلومات منتشرة في جميع أنحاء أي منظمة وتشمل جميع المعلومات التي تنتجها وتستخدمها المؤسسة، إلا إن</w:t>
      </w:r>
      <w:r w:rsidRPr="00C30465">
        <w:rPr>
          <w:rFonts w:ascii="Simplified Arabic" w:eastAsia="Times New Roman" w:hAnsi="Simplified Arabic" w:cs="Simplified Arabic"/>
          <w:kern w:val="0"/>
          <w:sz w:val="28"/>
          <w:szCs w:val="28"/>
          <w14:ligatures w14:val="none"/>
        </w:rPr>
        <w:t xml:space="preserve"> COBIT </w:t>
      </w:r>
      <w:r w:rsidRPr="00C30465">
        <w:rPr>
          <w:rFonts w:ascii="Simplified Arabic" w:eastAsia="Times New Roman" w:hAnsi="Simplified Arabic" w:cs="Simplified Arabic"/>
          <w:kern w:val="0"/>
          <w:sz w:val="28"/>
          <w:szCs w:val="28"/>
          <w:rtl/>
          <w14:ligatures w14:val="none"/>
        </w:rPr>
        <w:t>يركز على المعلومات المطلوبة من أجل الأداء الفعال لنظام إدارة المؤسسة</w:t>
      </w:r>
      <w:r w:rsidRPr="00C30465">
        <w:rPr>
          <w:rFonts w:ascii="Simplified Arabic" w:eastAsia="Times New Roman" w:hAnsi="Simplified Arabic" w:cs="Simplified Arabic"/>
          <w:kern w:val="0"/>
          <w:sz w:val="28"/>
          <w:szCs w:val="28"/>
          <w14:ligatures w14:val="none"/>
        </w:rPr>
        <w:t>.</w:t>
      </w:r>
    </w:p>
    <w:p w14:paraId="55F55C75" w14:textId="77777777" w:rsidR="00B60B21" w:rsidRPr="00C30465"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5-</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الثقافة والأخلاق والسلوك</w:t>
      </w:r>
      <w:r w:rsidRPr="00C30465">
        <w:rPr>
          <w:rFonts w:ascii="Simplified Arabic" w:eastAsia="Times New Roman" w:hAnsi="Simplified Arabic" w:cs="Simplified Arabic"/>
          <w:b/>
          <w:bCs/>
          <w:kern w:val="0"/>
          <w:sz w:val="28"/>
          <w:szCs w:val="28"/>
          <w14:ligatures w14:val="none"/>
        </w:rPr>
        <w:t>Culture, Ethics and Behavior</w:t>
      </w:r>
      <w:r w:rsidRPr="00C30465">
        <w:rPr>
          <w:rFonts w:ascii="Simplified Arabic" w:eastAsia="Times New Roman" w:hAnsi="Simplified Arabic" w:cs="Simplified Arabic"/>
          <w:b/>
          <w:bCs/>
          <w:kern w:val="0"/>
          <w:sz w:val="28"/>
          <w:szCs w:val="28"/>
          <w:rtl/>
          <w14:ligatures w14:val="none"/>
        </w:rPr>
        <w:t>:</w:t>
      </w:r>
      <w:r w:rsidRPr="00C30465">
        <w:rPr>
          <w:rFonts w:ascii="Simplified Arabic" w:eastAsia="Times New Roman" w:hAnsi="Simplified Arabic" w:cs="Simplified Arabic"/>
          <w:b/>
          <w:bCs/>
          <w:kern w:val="0"/>
          <w:sz w:val="28"/>
          <w:szCs w:val="28"/>
          <w14:ligatures w14:val="none"/>
        </w:rPr>
        <w:t xml:space="preserve"> </w:t>
      </w:r>
    </w:p>
    <w:p w14:paraId="40E8D709" w14:textId="77777777" w:rsidR="00B60B21" w:rsidRPr="00C30465"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غالبًا ما يتم الإستهانة بثقافة وأخلاقيات وسلوك الأفراد والمؤسسة كعوامل في نجاح أنشطة الحوكمة والإدارة</w:t>
      </w:r>
      <w:r w:rsidRPr="00C30465">
        <w:rPr>
          <w:rFonts w:ascii="Simplified Arabic" w:eastAsia="Times New Roman" w:hAnsi="Simplified Arabic" w:cs="Simplified Arabic"/>
          <w:kern w:val="0"/>
          <w:sz w:val="28"/>
          <w:szCs w:val="28"/>
          <w14:ligatures w14:val="none"/>
        </w:rPr>
        <w:t>.</w:t>
      </w:r>
    </w:p>
    <w:p w14:paraId="3F8E48A4" w14:textId="77777777" w:rsidR="00B60B21" w:rsidRPr="00C30465" w:rsidRDefault="00B60B21" w:rsidP="00B60B21">
      <w:pPr>
        <w:bidi/>
        <w:spacing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6- الأشخاص والمهارات والكفاءات</w:t>
      </w:r>
      <w:r w:rsidRPr="00C30465">
        <w:rPr>
          <w:rFonts w:ascii="Simplified Arabic" w:eastAsia="Times New Roman" w:hAnsi="Simplified Arabic" w:cs="Simplified Arabic"/>
          <w:b/>
          <w:bCs/>
          <w:kern w:val="0"/>
          <w:sz w:val="28"/>
          <w:szCs w:val="28"/>
          <w14:ligatures w14:val="none"/>
        </w:rPr>
        <w:t>People, Skills and Competencies</w:t>
      </w:r>
      <w:r w:rsidRPr="00C30465">
        <w:rPr>
          <w:rFonts w:ascii="Simplified Arabic" w:eastAsia="Times New Roman" w:hAnsi="Simplified Arabic" w:cs="Simplified Arabic"/>
          <w:b/>
          <w:bCs/>
          <w:kern w:val="0"/>
          <w:sz w:val="28"/>
          <w:szCs w:val="28"/>
          <w:rtl/>
          <w14:ligatures w14:val="none"/>
        </w:rPr>
        <w:t>:</w:t>
      </w:r>
    </w:p>
    <w:p w14:paraId="50858349" w14:textId="77777777" w:rsidR="00B60B21" w:rsidRPr="00C30465" w:rsidRDefault="00B60B21" w:rsidP="00B60B21">
      <w:pPr>
        <w:bidi/>
        <w:spacing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الأشخاص والمهارات والكفاءات مطلوبة لإتخاذ قرارات جيدة وتنفيذ الإجراءات التصحيحية والإكمال الناجح لجميع الأنشطة</w:t>
      </w:r>
      <w:r w:rsidRPr="00C30465">
        <w:rPr>
          <w:rFonts w:ascii="Simplified Arabic" w:eastAsia="Times New Roman" w:hAnsi="Simplified Arabic" w:cs="Simplified Arabic"/>
          <w:kern w:val="0"/>
          <w:sz w:val="28"/>
          <w:szCs w:val="28"/>
          <w14:ligatures w14:val="none"/>
        </w:rPr>
        <w:t>.</w:t>
      </w:r>
    </w:p>
    <w:p w14:paraId="2D0A5AD7" w14:textId="77777777" w:rsidR="00B60B21" w:rsidRPr="00C30465" w:rsidRDefault="00B60B21" w:rsidP="00B60B21">
      <w:pPr>
        <w:bidi/>
        <w:spacing w:after="0" w:afterAutospacing="1" w:line="240" w:lineRule="auto"/>
        <w:jc w:val="both"/>
        <w:rPr>
          <w:rFonts w:ascii="Simplified Arabic" w:eastAsia="Times New Roman" w:hAnsi="Simplified Arabic" w:cs="Simplified Arabic"/>
          <w:b/>
          <w:bCs/>
          <w:kern w:val="0"/>
          <w:sz w:val="28"/>
          <w:szCs w:val="28"/>
          <w14:ligatures w14:val="none"/>
        </w:rPr>
      </w:pPr>
      <w:r w:rsidRPr="00C30465">
        <w:rPr>
          <w:rFonts w:ascii="Simplified Arabic" w:eastAsia="Times New Roman" w:hAnsi="Simplified Arabic" w:cs="Simplified Arabic"/>
          <w:b/>
          <w:bCs/>
          <w:kern w:val="0"/>
          <w:sz w:val="28"/>
          <w:szCs w:val="28"/>
          <w:rtl/>
          <w14:ligatures w14:val="none"/>
        </w:rPr>
        <w:t>7</w:t>
      </w:r>
      <w:r w:rsidRPr="00C30465">
        <w:rPr>
          <w:rFonts w:ascii="Simplified Arabic" w:eastAsia="Times New Roman" w:hAnsi="Simplified Arabic" w:cs="Simplified Arabic"/>
          <w:b/>
          <w:bCs/>
          <w:kern w:val="0"/>
          <w:sz w:val="28"/>
          <w:szCs w:val="28"/>
          <w14:ligatures w14:val="none"/>
        </w:rPr>
        <w:t xml:space="preserve">- </w:t>
      </w:r>
      <w:r w:rsidRPr="00C30465">
        <w:rPr>
          <w:rFonts w:ascii="Simplified Arabic" w:eastAsia="Times New Roman" w:hAnsi="Simplified Arabic" w:cs="Simplified Arabic"/>
          <w:b/>
          <w:bCs/>
          <w:kern w:val="0"/>
          <w:sz w:val="28"/>
          <w:szCs w:val="28"/>
          <w:rtl/>
          <w14:ligatures w14:val="none"/>
        </w:rPr>
        <w:t>الخدمات والبنية التحتية والتطبيقات</w:t>
      </w:r>
      <w:r w:rsidRPr="00C30465">
        <w:rPr>
          <w:rFonts w:ascii="Simplified Arabic" w:eastAsia="Times New Roman" w:hAnsi="Simplified Arabic" w:cs="Simplified Arabic"/>
          <w:b/>
          <w:bCs/>
          <w:kern w:val="0"/>
          <w:sz w:val="28"/>
          <w:szCs w:val="28"/>
          <w14:ligatures w14:val="none"/>
        </w:rPr>
        <w:t>Services, Infrastructure and Applications</w:t>
      </w:r>
      <w:r w:rsidRPr="00C30465">
        <w:rPr>
          <w:rFonts w:ascii="Simplified Arabic" w:eastAsia="Times New Roman" w:hAnsi="Simplified Arabic" w:cs="Simplified Arabic"/>
          <w:b/>
          <w:bCs/>
          <w:kern w:val="0"/>
          <w:sz w:val="28"/>
          <w:szCs w:val="28"/>
          <w:rtl/>
          <w14:ligatures w14:val="none"/>
        </w:rPr>
        <w:t>:</w:t>
      </w:r>
    </w:p>
    <w:p w14:paraId="014BC359" w14:textId="77777777" w:rsidR="00B60B21" w:rsidRPr="00C30465" w:rsidRDefault="00B60B21" w:rsidP="00B60B21">
      <w:pPr>
        <w:bidi/>
        <w:spacing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تشمل الخدمات والبنية التحتية والتطبيقات البنية التحتية والتكنولوجيا التي تزود المؤسسة بنظام حوكمة لمعالجة تقنيات المعلومات والإتصالات</w:t>
      </w:r>
      <w:r w:rsidRPr="00C30465">
        <w:rPr>
          <w:rFonts w:ascii="Simplified Arabic" w:eastAsia="Times New Roman" w:hAnsi="Simplified Arabic" w:cs="Simplified Arabic"/>
          <w:kern w:val="0"/>
          <w:sz w:val="28"/>
          <w:szCs w:val="28"/>
          <w14:ligatures w14:val="none"/>
        </w:rPr>
        <w:t>)</w:t>
      </w:r>
      <w:r w:rsidRPr="00C30465">
        <w:rPr>
          <w:rFonts w:ascii="Simplified Arabic" w:eastAsia="Times New Roman" w:hAnsi="Simplified Arabic" w:cs="Simplified Arabic"/>
          <w:kern w:val="0"/>
          <w:sz w:val="28"/>
          <w:szCs w:val="28"/>
          <w:rtl/>
          <w14:ligatures w14:val="none"/>
        </w:rPr>
        <w:t xml:space="preserve"> 2019 </w:t>
      </w:r>
      <w:r w:rsidRPr="00C30465">
        <w:rPr>
          <w:rFonts w:ascii="Simplified Arabic" w:eastAsia="Times New Roman" w:hAnsi="Simplified Arabic" w:cs="Simplified Arabic"/>
          <w:kern w:val="0"/>
          <w:sz w:val="28"/>
          <w:szCs w:val="28"/>
          <w14:ligatures w14:val="none"/>
        </w:rPr>
        <w:t>ISACA</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w:t>
      </w:r>
      <w:r w:rsidRPr="00C30465">
        <w:rPr>
          <w:rFonts w:ascii="Simplified Arabic" w:eastAsia="Times New Roman" w:hAnsi="Simplified Arabic" w:cs="Simplified Arabic"/>
          <w:kern w:val="0"/>
          <w:sz w:val="28"/>
          <w:szCs w:val="28"/>
          <w:rtl/>
          <w14:ligatures w14:val="none"/>
        </w:rPr>
        <w:t xml:space="preserve"> </w:t>
      </w:r>
    </w:p>
    <w:p w14:paraId="2F423E7B" w14:textId="3DFEDDAD" w:rsidR="00B60B21" w:rsidRPr="00C30465" w:rsidRDefault="00B60B21" w:rsidP="00DC238D">
      <w:pPr>
        <w:tabs>
          <w:tab w:val="right" w:pos="180"/>
        </w:tabs>
        <w:bidi/>
        <w:spacing w:after="0" w:afterAutospacing="1" w:line="240" w:lineRule="auto"/>
        <w:jc w:val="center"/>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lastRenderedPageBreak/>
        <w:t>الشكل (3) مكونات نظام الحوكمة</w:t>
      </w:r>
    </w:p>
    <w:p w14:paraId="1B63BDAB" w14:textId="77777777" w:rsidR="00B60B21" w:rsidRPr="00C30465" w:rsidRDefault="00B60B21" w:rsidP="00B60B21">
      <w:pPr>
        <w:bidi/>
        <w:spacing w:after="0" w:afterAutospacing="1" w:line="240" w:lineRule="auto"/>
        <w:ind w:left="360"/>
        <w:jc w:val="center"/>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noProof/>
          <w:kern w:val="0"/>
          <w:sz w:val="28"/>
          <w:szCs w:val="28"/>
          <w:rtl/>
          <w:lang w:val="ar-SA"/>
        </w:rPr>
        <w:drawing>
          <wp:inline distT="0" distB="0" distL="0" distR="0" wp14:anchorId="49A22632" wp14:editId="6CA02A46">
            <wp:extent cx="5415148" cy="3858895"/>
            <wp:effectExtent l="0" t="0" r="0" b="8255"/>
            <wp:docPr id="7419814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C6FF973" w14:textId="6FB82935" w:rsidR="00B60B21" w:rsidRPr="00C30465" w:rsidRDefault="00B60B21" w:rsidP="00DC238D">
      <w:pPr>
        <w:bidi/>
        <w:spacing w:after="0" w:line="240" w:lineRule="auto"/>
        <w:jc w:val="center"/>
        <w:rPr>
          <w:rFonts w:ascii="Simplified Arabic" w:eastAsia="Times New Roman" w:hAnsi="Simplified Arabic" w:cs="Simplified Arabic"/>
          <w:kern w:val="0"/>
          <w:rtl/>
          <w14:ligatures w14:val="none"/>
        </w:rPr>
      </w:pPr>
      <w:r w:rsidRPr="00C30465">
        <w:rPr>
          <w:rFonts w:ascii="Simplified Arabic" w:eastAsia="Times New Roman" w:hAnsi="Simplified Arabic" w:cs="Simplified Arabic"/>
          <w:kern w:val="0"/>
          <w:rtl/>
          <w14:ligatures w14:val="none"/>
        </w:rPr>
        <w:t>المصدر:</w:t>
      </w:r>
      <w:r w:rsidRPr="00C30465">
        <w:rPr>
          <w:rFonts w:ascii="Simplified Arabic" w:eastAsia="Times New Roman" w:hAnsi="Simplified Arabic" w:cs="Simplified Arabic"/>
          <w:kern w:val="0"/>
          <w14:ligatures w14:val="none"/>
        </w:rPr>
        <w:t xml:space="preserve"> </w:t>
      </w:r>
      <w:r w:rsidRPr="00C30465">
        <w:rPr>
          <w:rFonts w:ascii="Simplified Arabic" w:eastAsia="Times New Roman" w:hAnsi="Simplified Arabic" w:cs="Simplified Arabic"/>
          <w:kern w:val="0"/>
          <w:rtl/>
          <w14:ligatures w14:val="none"/>
        </w:rPr>
        <w:t xml:space="preserve"> 2018,</w:t>
      </w:r>
      <w:r w:rsidRPr="00C30465">
        <w:rPr>
          <w:rFonts w:ascii="Simplified Arabic" w:eastAsia="Times New Roman" w:hAnsi="Simplified Arabic" w:cs="Simplified Arabic"/>
          <w:kern w:val="0"/>
          <w14:ligatures w14:val="none"/>
        </w:rPr>
        <w:t xml:space="preserve">  ISACA®,  COBIT®  2019 Framework: Introduction and Methodology, USA</w:t>
      </w:r>
    </w:p>
    <w:p w14:paraId="4EC190AF" w14:textId="1CB5D585" w:rsidR="00B60B21" w:rsidRPr="00C30465" w:rsidRDefault="00585490" w:rsidP="006E1BFC">
      <w:pPr>
        <w:bidi/>
        <w:spacing w:before="240"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- 2/3/2: خصائص حوكمة الشركات</w:t>
      </w:r>
      <w:r w:rsidR="00B60B21" w:rsidRPr="00C30465">
        <w:rPr>
          <w:rFonts w:ascii="Simplified Arabic" w:eastAsia="Times New Roman" w:hAnsi="Simplified Arabic" w:cs="Simplified Arabic"/>
          <w:b/>
          <w:bCs/>
          <w:kern w:val="0"/>
          <w:sz w:val="32"/>
          <w:szCs w:val="32"/>
          <w:rtl/>
          <w14:ligatures w14:val="none"/>
        </w:rPr>
        <w:t>:</w:t>
      </w:r>
    </w:p>
    <w:p w14:paraId="72D87698" w14:textId="77777777" w:rsidR="00B60B21" w:rsidRPr="00C30465" w:rsidRDefault="00B60B21" w:rsidP="006E1BFC">
      <w:pPr>
        <w:bidi/>
        <w:spacing w:before="240" w:line="240" w:lineRule="auto"/>
        <w:rPr>
          <w:rFonts w:ascii="Simplified Arabic" w:eastAsia="Calibri" w:hAnsi="Simplified Arabic" w:cs="Simplified Arabic"/>
          <w:b/>
          <w:bCs/>
          <w:sz w:val="28"/>
          <w:szCs w:val="28"/>
          <w:rtl/>
          <w:lang w:bidi="ar-EG"/>
        </w:rPr>
      </w:pPr>
      <w:r w:rsidRPr="00C30465">
        <w:rPr>
          <w:rFonts w:ascii="Simplified Arabic" w:eastAsia="Calibri" w:hAnsi="Simplified Arabic" w:cs="Simplified Arabic"/>
          <w:b/>
          <w:bCs/>
          <w:sz w:val="28"/>
          <w:szCs w:val="28"/>
          <w:rtl/>
          <w:lang w:bidi="ar-EG"/>
        </w:rPr>
        <w:t>يشير مصلح حوكمة الشركات إلي الخصائص التالية:</w:t>
      </w:r>
    </w:p>
    <w:p w14:paraId="754A8A12" w14:textId="77777777" w:rsidR="00B60B21" w:rsidRPr="00C30465" w:rsidRDefault="00B60B21" w:rsidP="006E1BFC">
      <w:pPr>
        <w:bidi/>
        <w:spacing w:after="0" w:line="240" w:lineRule="auto"/>
        <w:ind w:left="360"/>
        <w:rPr>
          <w:rFonts w:ascii="Simplified Arabic" w:eastAsia="Calibri" w:hAnsi="Simplified Arabic" w:cs="Simplified Arabic"/>
          <w:sz w:val="28"/>
          <w:szCs w:val="28"/>
          <w:rtl/>
          <w:lang w:bidi="ar-EG"/>
        </w:rPr>
      </w:pPr>
      <w:r w:rsidRPr="00C30465">
        <w:rPr>
          <w:rFonts w:ascii="Simplified Arabic" w:eastAsia="Calibri" w:hAnsi="Simplified Arabic" w:cs="Simplified Arabic"/>
          <w:b/>
          <w:bCs/>
          <w:sz w:val="28"/>
          <w:szCs w:val="28"/>
          <w:rtl/>
          <w:lang w:bidi="ar-EG"/>
        </w:rPr>
        <w:t>الانضباط:</w:t>
      </w:r>
      <w:r w:rsidRPr="00C30465">
        <w:rPr>
          <w:rFonts w:ascii="Simplified Arabic" w:eastAsia="Calibri" w:hAnsi="Simplified Arabic" w:cs="Simplified Arabic"/>
          <w:sz w:val="28"/>
          <w:szCs w:val="28"/>
          <w:rtl/>
          <w:lang w:bidi="ar-EG"/>
        </w:rPr>
        <w:t xml:space="preserve"> أي اتباع السلوك الأخلاقي المناسب.</w:t>
      </w:r>
    </w:p>
    <w:p w14:paraId="479FC143" w14:textId="77777777" w:rsidR="00B60B21" w:rsidRPr="00C30465" w:rsidRDefault="00B60B21" w:rsidP="00B60B21">
      <w:pPr>
        <w:bidi/>
        <w:spacing w:after="0" w:line="240" w:lineRule="auto"/>
        <w:ind w:left="360"/>
        <w:rPr>
          <w:rFonts w:ascii="Simplified Arabic" w:eastAsia="Calibri" w:hAnsi="Simplified Arabic" w:cs="Simplified Arabic"/>
          <w:sz w:val="28"/>
          <w:szCs w:val="28"/>
          <w:rtl/>
          <w:lang w:bidi="ar-EG"/>
        </w:rPr>
      </w:pPr>
      <w:r w:rsidRPr="00C30465">
        <w:rPr>
          <w:rFonts w:ascii="Simplified Arabic" w:eastAsia="Calibri" w:hAnsi="Simplified Arabic" w:cs="Simplified Arabic"/>
          <w:b/>
          <w:bCs/>
          <w:sz w:val="28"/>
          <w:szCs w:val="28"/>
          <w:rtl/>
          <w:lang w:bidi="ar-EG"/>
        </w:rPr>
        <w:t xml:space="preserve">الشفافية: </w:t>
      </w:r>
      <w:r w:rsidRPr="00C30465">
        <w:rPr>
          <w:rFonts w:ascii="Simplified Arabic" w:eastAsia="Calibri" w:hAnsi="Simplified Arabic" w:cs="Simplified Arabic"/>
          <w:sz w:val="28"/>
          <w:szCs w:val="28"/>
          <w:rtl/>
          <w:lang w:bidi="ar-EG"/>
        </w:rPr>
        <w:t>أي تقديم صورة حقيقية.</w:t>
      </w:r>
    </w:p>
    <w:p w14:paraId="56C5F065" w14:textId="77777777" w:rsidR="00B60B21" w:rsidRPr="00C30465" w:rsidRDefault="00B60B21" w:rsidP="00B60B21">
      <w:pPr>
        <w:bidi/>
        <w:spacing w:after="0" w:line="240" w:lineRule="auto"/>
        <w:ind w:left="360"/>
        <w:rPr>
          <w:rFonts w:ascii="Simplified Arabic" w:eastAsia="Calibri" w:hAnsi="Simplified Arabic" w:cs="Simplified Arabic"/>
          <w:sz w:val="28"/>
          <w:szCs w:val="28"/>
          <w:rtl/>
          <w:lang w:bidi="ar-EG"/>
        </w:rPr>
      </w:pPr>
      <w:r w:rsidRPr="00C30465">
        <w:rPr>
          <w:rFonts w:ascii="Simplified Arabic" w:eastAsia="Calibri" w:hAnsi="Simplified Arabic" w:cs="Simplified Arabic"/>
          <w:b/>
          <w:bCs/>
          <w:sz w:val="28"/>
          <w:szCs w:val="28"/>
          <w:rtl/>
          <w:lang w:bidi="ar-EG"/>
        </w:rPr>
        <w:t>الاستقلالية:</w:t>
      </w:r>
      <w:r w:rsidRPr="00C30465">
        <w:rPr>
          <w:rFonts w:ascii="Simplified Arabic" w:eastAsia="Calibri" w:hAnsi="Simplified Arabic" w:cs="Simplified Arabic"/>
          <w:sz w:val="28"/>
          <w:szCs w:val="28"/>
          <w:rtl/>
          <w:lang w:bidi="ar-EG"/>
        </w:rPr>
        <w:t xml:space="preserve"> أي لا توجد تأثيرات وضغوطات غير لازمة للعمل.</w:t>
      </w:r>
    </w:p>
    <w:p w14:paraId="02A4305B" w14:textId="77777777" w:rsidR="00B60B21" w:rsidRPr="00C30465" w:rsidRDefault="00B60B21" w:rsidP="00B60B21">
      <w:pPr>
        <w:bidi/>
        <w:spacing w:after="0" w:line="240" w:lineRule="auto"/>
        <w:ind w:left="360"/>
        <w:rPr>
          <w:rFonts w:ascii="Simplified Arabic" w:eastAsia="Calibri" w:hAnsi="Simplified Arabic" w:cs="Simplified Arabic"/>
          <w:sz w:val="28"/>
          <w:szCs w:val="28"/>
          <w:rtl/>
          <w:lang w:bidi="ar-EG"/>
        </w:rPr>
      </w:pPr>
      <w:r w:rsidRPr="00C30465">
        <w:rPr>
          <w:rFonts w:ascii="Simplified Arabic" w:eastAsia="Calibri" w:hAnsi="Simplified Arabic" w:cs="Simplified Arabic"/>
          <w:b/>
          <w:bCs/>
          <w:sz w:val="28"/>
          <w:szCs w:val="28"/>
          <w:rtl/>
          <w:lang w:bidi="ar-EG"/>
        </w:rPr>
        <w:t>المساءلة:</w:t>
      </w:r>
      <w:r w:rsidRPr="00C30465">
        <w:rPr>
          <w:rFonts w:ascii="Simplified Arabic" w:eastAsia="Calibri" w:hAnsi="Simplified Arabic" w:cs="Simplified Arabic"/>
          <w:sz w:val="28"/>
          <w:szCs w:val="28"/>
          <w:rtl/>
          <w:lang w:bidi="ar-EG"/>
        </w:rPr>
        <w:t xml:space="preserve"> أي إمكانية تقديم وتقدير أعمال مجلس الإدارة والادارة التنفيذية.</w:t>
      </w:r>
    </w:p>
    <w:p w14:paraId="6FDFC87B" w14:textId="77777777" w:rsidR="00B60B21" w:rsidRPr="00C30465" w:rsidRDefault="00B60B21" w:rsidP="006E1BFC">
      <w:pPr>
        <w:bidi/>
        <w:spacing w:before="240" w:after="0" w:line="240" w:lineRule="auto"/>
        <w:jc w:val="both"/>
        <w:rPr>
          <w:rFonts w:ascii="Simplified Arabic" w:eastAsia="Calibri" w:hAnsi="Simplified Arabic" w:cs="Simplified Arabic"/>
          <w:sz w:val="28"/>
          <w:szCs w:val="28"/>
          <w:rtl/>
          <w:lang w:bidi="ar-EG"/>
        </w:rPr>
      </w:pPr>
      <w:r w:rsidRPr="00C30465">
        <w:rPr>
          <w:rFonts w:ascii="Simplified Arabic" w:eastAsia="Calibri" w:hAnsi="Simplified Arabic" w:cs="Simplified Arabic"/>
          <w:sz w:val="28"/>
          <w:szCs w:val="28"/>
          <w:rtl/>
          <w:lang w:bidi="ar-EG"/>
        </w:rPr>
        <w:t xml:space="preserve">إن التطور المستمر للهجمات السيبرانية يُعد من أكثر التحديات والصعوبات التي تواجه عمليات التأمين السيبراني للمدن الذكية. ويتطلب ذلك اتباع لنهج استباقي، لمواجهة المخاطر المحتملة، واتخاذ إجراءات وقائية لتجنب حدوثها، ووضع خطط التعافي السريع من الكوارث حال حدوثها، وتقليل خسائرها. ويلزم </w:t>
      </w:r>
      <w:r w:rsidRPr="00C30465">
        <w:rPr>
          <w:rFonts w:ascii="Simplified Arabic" w:eastAsia="Calibri" w:hAnsi="Simplified Arabic" w:cs="Simplified Arabic"/>
          <w:sz w:val="28"/>
          <w:szCs w:val="28"/>
          <w:rtl/>
          <w:lang w:bidi="ar-EG"/>
        </w:rPr>
        <w:lastRenderedPageBreak/>
        <w:t>سرعة تفعيل هذه الخطط في المدن الذكية؛ نظراً لارتباط الأجهزة فيها ببعضها عبر الشبكات، مما يترتب عليه تعدد نقاط الضعف في بنيتها الأساسية، ويساعد ذلك على تيسير قرصنة البيانات، ولذا يلزم اتخاذ التدابير الأمنية المناسبة، بعزل نقاط الضعف، وإنشاء نقاط ذات نهايات آمنة (إدارة التحرير، 2020).</w:t>
      </w:r>
    </w:p>
    <w:p w14:paraId="771B0414" w14:textId="77777777" w:rsidR="00B60B21" w:rsidRPr="00C30465" w:rsidRDefault="00B60B21" w:rsidP="006E1BFC">
      <w:pPr>
        <w:bidi/>
        <w:spacing w:before="240"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كما تشتمل حوكمة شركات الأمن السيبراني الخصائص التالية:</w:t>
      </w:r>
      <w:r w:rsidRPr="00C30465">
        <w:rPr>
          <w:rFonts w:ascii="Simplified Arabic" w:eastAsia="Times New Roman" w:hAnsi="Simplified Arabic" w:cs="Simplified Arabic"/>
          <w:kern w:val="0"/>
          <w:sz w:val="28"/>
          <w:szCs w:val="28"/>
          <w:rtl/>
          <w14:ligatures w14:val="none"/>
        </w:rPr>
        <w:t xml:space="preserve"> (سليمان، 2016، 14)</w:t>
      </w:r>
    </w:p>
    <w:p w14:paraId="62786BAC" w14:textId="77777777" w:rsidR="00B60B21" w:rsidRPr="00C30465"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أ- حجم مجلس الإدارة.</w:t>
      </w:r>
    </w:p>
    <w:p w14:paraId="40C7A1CA" w14:textId="77777777" w:rsidR="00B60B21" w:rsidRPr="00C30465"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ب- استقلالية مجلس الإدارة.</w:t>
      </w:r>
    </w:p>
    <w:p w14:paraId="4596A956" w14:textId="77777777" w:rsidR="00B60B21" w:rsidRPr="00C30465"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ج- الفصل بين وظيفة رئيس مجلس الإدارة والرئيس التنفيذي.</w:t>
      </w:r>
    </w:p>
    <w:p w14:paraId="3FEB11BF" w14:textId="77777777" w:rsidR="00B60B21" w:rsidRPr="00C30465"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د- حجم مكتب المراجعة.</w:t>
      </w:r>
    </w:p>
    <w:p w14:paraId="3814AD7F" w14:textId="77777777" w:rsidR="00B60B21" w:rsidRPr="00C30465" w:rsidRDefault="00B60B21" w:rsidP="00B60B21">
      <w:pPr>
        <w:bidi/>
        <w:spacing w:after="0"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ه- متغيرات هيكل ملكية الشركة مثل: ملكية المؤسسات وملكية الأعضاء وكذلك ملكية الحكومة.</w:t>
      </w:r>
    </w:p>
    <w:p w14:paraId="0C50A433" w14:textId="5A413BB3" w:rsidR="00B60B21" w:rsidRPr="00C30465" w:rsidRDefault="000B5A89" w:rsidP="00B60B21">
      <w:pPr>
        <w:bidi/>
        <w:spacing w:before="240" w:after="0" w:line="240" w:lineRule="auto"/>
        <w:ind w:left="360"/>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- 2/3/3: محددات الحوكمة:</w:t>
      </w:r>
    </w:p>
    <w:p w14:paraId="0CB801D0" w14:textId="77777777" w:rsidR="00B60B21" w:rsidRPr="00C30465" w:rsidRDefault="00B60B21" w:rsidP="00B60B21">
      <w:pPr>
        <w:bidi/>
        <w:spacing w:before="100" w:beforeAutospacing="1" w:after="0" w:afterAutospacing="1" w:line="240" w:lineRule="auto"/>
        <w:ind w:left="360"/>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يقسم (النوباني وصدقي، 2016، 17) محددات الحوكمة إلى</w:t>
      </w:r>
      <w:r w:rsidRPr="00C30465">
        <w:rPr>
          <w:rFonts w:ascii="Simplified Arabic" w:eastAsia="Times New Roman" w:hAnsi="Simplified Arabic" w:cs="Simplified Arabic"/>
          <w:b/>
          <w:bCs/>
          <w:kern w:val="0"/>
          <w:sz w:val="28"/>
          <w:szCs w:val="28"/>
          <w14:ligatures w14:val="none"/>
        </w:rPr>
        <w:t>:</w:t>
      </w:r>
    </w:p>
    <w:p w14:paraId="0A2A2E68"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محددات داخلية:</w:t>
      </w:r>
      <w:r w:rsidRPr="00C30465">
        <w:rPr>
          <w:rFonts w:ascii="Simplified Arabic" w:eastAsia="Times New Roman" w:hAnsi="Simplified Arabic" w:cs="Simplified Arabic"/>
          <w:kern w:val="0"/>
          <w:sz w:val="28"/>
          <w:szCs w:val="28"/>
          <w:rtl/>
          <w14:ligatures w14:val="none"/>
        </w:rPr>
        <w:t xml:space="preserve"> وهي التي تعبر عن القواعد والأسس الداخلية أي الخاصة بمنظمة ما، بحيث تحدد منهجيتها في اتخاذ القرارات، وتوزيع السلطات، وإجراء الرقابات الداخلية مع ضرورة المراعاة والأخذ بالحسبان ألا تتعارض مع مصالح جميع الأطراف، وأن يتم التعامل معهم بحيادية</w:t>
      </w:r>
      <w:r w:rsidRPr="00C30465">
        <w:rPr>
          <w:rFonts w:ascii="Simplified Arabic" w:eastAsia="Times New Roman" w:hAnsi="Simplified Arabic" w:cs="Simplified Arabic"/>
          <w:kern w:val="0"/>
          <w:sz w:val="28"/>
          <w:szCs w:val="28"/>
          <w14:ligatures w14:val="none"/>
        </w:rPr>
        <w:t>.</w:t>
      </w:r>
    </w:p>
    <w:p w14:paraId="0F42F4D8"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محددات خارجية:</w:t>
      </w:r>
      <w:r w:rsidRPr="00C30465">
        <w:rPr>
          <w:rFonts w:ascii="Simplified Arabic" w:eastAsia="Times New Roman" w:hAnsi="Simplified Arabic" w:cs="Simplified Arabic"/>
          <w:kern w:val="0"/>
          <w:sz w:val="28"/>
          <w:szCs w:val="28"/>
          <w:rtl/>
          <w14:ligatures w14:val="none"/>
        </w:rPr>
        <w:t xml:space="preserve"> وهي المحددات التي تمثل البيئة التي توجد بها المنظمة، والتي من الطبيعي أن تختلف من مكان لآخر، أو من دولة لأخرى. </w:t>
      </w:r>
    </w:p>
    <w:p w14:paraId="16B7CAA1" w14:textId="77777777" w:rsidR="00B60B21" w:rsidRPr="00C30465" w:rsidRDefault="00B60B21" w:rsidP="00B60B21">
      <w:pPr>
        <w:bidi/>
        <w:spacing w:after="0" w:afterAutospacing="1" w:line="240" w:lineRule="auto"/>
        <w:ind w:left="36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noProof/>
          <w:kern w:val="0"/>
          <w:sz w:val="28"/>
          <w:szCs w:val="28"/>
        </w:rPr>
        <w:lastRenderedPageBreak/>
        <w:drawing>
          <wp:inline distT="0" distB="0" distL="0" distR="0" wp14:anchorId="57829EAA" wp14:editId="490DB480">
            <wp:extent cx="5486400" cy="3231943"/>
            <wp:effectExtent l="0" t="0" r="19050" b="6985"/>
            <wp:docPr id="17829533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3E532E5" w14:textId="77777777" w:rsidR="00B60B21" w:rsidRPr="00C30465" w:rsidRDefault="00B60B21" w:rsidP="00B60B21">
      <w:pPr>
        <w:bidi/>
        <w:spacing w:before="240" w:after="0" w:line="240" w:lineRule="auto"/>
        <w:ind w:left="360"/>
        <w:jc w:val="center"/>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شكل (1) محددات الحوكمة (أبو حمام، 2009، 29)     </w:t>
      </w:r>
    </w:p>
    <w:p w14:paraId="73A92FF5" w14:textId="3CA1B706" w:rsidR="000B5A89" w:rsidRPr="00C30465" w:rsidRDefault="000B5A89" w:rsidP="006E1BFC">
      <w:pPr>
        <w:bidi/>
        <w:spacing w:before="240"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 xml:space="preserve">- 2/3/4: الحوكمة في دعم استدامة ونجاح الشركات الناشئة: </w:t>
      </w:r>
    </w:p>
    <w:p w14:paraId="73158EC6" w14:textId="090F8A78" w:rsidR="00B60B21" w:rsidRPr="00C30465" w:rsidRDefault="00B60B21" w:rsidP="006E1BFC">
      <w:pPr>
        <w:bidi/>
        <w:spacing w:before="240"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w:t>
      </w:r>
      <w:r w:rsidR="000B5A89" w:rsidRPr="00C30465">
        <w:rPr>
          <w:rFonts w:ascii="Simplified Arabic" w:eastAsia="Times New Roman" w:hAnsi="Simplified Arabic" w:cs="Simplified Arabic"/>
          <w:b/>
          <w:bCs/>
          <w:kern w:val="0"/>
          <w:sz w:val="32"/>
          <w:szCs w:val="32"/>
          <w:rtl/>
          <w14:ligatures w14:val="none"/>
        </w:rPr>
        <w:t>أ</w:t>
      </w:r>
      <w:r w:rsidRPr="00C30465">
        <w:rPr>
          <w:rFonts w:ascii="Simplified Arabic" w:eastAsia="Times New Roman" w:hAnsi="Simplified Arabic" w:cs="Simplified Arabic"/>
          <w:b/>
          <w:bCs/>
          <w:kern w:val="0"/>
          <w:sz w:val="32"/>
          <w:szCs w:val="32"/>
          <w:rtl/>
          <w14:ligatures w14:val="none"/>
        </w:rPr>
        <w:t>) كيف تعزز الحوكمة من كفاءة الأداء التنظيمي.</w:t>
      </w:r>
    </w:p>
    <w:p w14:paraId="1D1337CB" w14:textId="77777777" w:rsidR="00B60B21" w:rsidRPr="00C30465" w:rsidRDefault="00B60B21" w:rsidP="00B60B21">
      <w:pPr>
        <w:bidi/>
        <w:spacing w:line="259"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تلعب الحوكمة دورًا محوريًا في تعزيز كفاءة الأداء التنظيمي، خاصة في بيئات العمل المعقدة والمرتبطة بالتكنولوجيا المتقدمة مثل الأمن السيبراني. ومن أجل تفعيل برنامج حوكمة فعّال في هذا السياق، يجب على متخذي القرار اتباع </w:t>
      </w:r>
      <w:r w:rsidRPr="00C30465">
        <w:rPr>
          <w:rFonts w:ascii="Simplified Arabic" w:eastAsia="Times New Roman" w:hAnsi="Simplified Arabic" w:cs="Simplified Arabic"/>
          <w:b/>
          <w:bCs/>
          <w:kern w:val="0"/>
          <w:sz w:val="28"/>
          <w:szCs w:val="28"/>
          <w:rtl/>
          <w14:ligatures w14:val="none"/>
        </w:rPr>
        <w:t>سبع خطوات استراتيجية تشكّل إطارًا متكاملاً لضبط الأداء وضمان الاستدامة المؤسسية</w:t>
      </w:r>
      <w:r w:rsidRPr="00C30465">
        <w:rPr>
          <w:rFonts w:ascii="Simplified Arabic" w:hAnsi="Simplified Arabic" w:cs="Simplified Arabic"/>
          <w:sz w:val="28"/>
          <w:szCs w:val="28"/>
        </w:rPr>
        <w:t>:</w:t>
      </w:r>
    </w:p>
    <w:p w14:paraId="055035F3"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أ- تحديد الوضع الحالي:</w:t>
      </w:r>
      <w:r w:rsidRPr="00C30465">
        <w:rPr>
          <w:rFonts w:ascii="Simplified Arabic" w:eastAsia="Times New Roman" w:hAnsi="Simplified Arabic" w:cs="Simplified Arabic"/>
          <w:kern w:val="0"/>
          <w:sz w:val="28"/>
          <w:szCs w:val="28"/>
          <w:rtl/>
          <w14:ligatures w14:val="none"/>
        </w:rPr>
        <w:t xml:space="preserve"> </w:t>
      </w:r>
    </w:p>
    <w:p w14:paraId="71325E87" w14:textId="77777777" w:rsidR="00B60B21" w:rsidRPr="00C30465" w:rsidRDefault="00B60B21" w:rsidP="00B60B21">
      <w:pPr>
        <w:bidi/>
        <w:spacing w:before="100" w:beforeAutospacing="1" w:after="0" w:afterAutospacing="1"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تبدأ الحوكمة الفعالة بتقييم دقيق للمخاطر السيبرانية الحالية، بهدف فهم الثغرات داخل المؤسسة وإنشاء خارطة طريق لسد تلك الفجوات وتعزيز البنية الأمنية. </w:t>
      </w:r>
    </w:p>
    <w:p w14:paraId="3461442D"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ب- إنشاء مراجعة:</w:t>
      </w:r>
      <w:r w:rsidRPr="00C30465">
        <w:rPr>
          <w:rFonts w:ascii="Simplified Arabic" w:eastAsia="Times New Roman" w:hAnsi="Simplified Arabic" w:cs="Simplified Arabic"/>
          <w:kern w:val="0"/>
          <w:sz w:val="28"/>
          <w:szCs w:val="28"/>
          <w:rtl/>
          <w14:ligatures w14:val="none"/>
        </w:rPr>
        <w:t xml:space="preserve"> </w:t>
      </w:r>
    </w:p>
    <w:p w14:paraId="128131D1" w14:textId="77777777" w:rsidR="00B60B21" w:rsidRPr="00C30465" w:rsidRDefault="00B60B21" w:rsidP="00B60B21">
      <w:pPr>
        <w:bidi/>
        <w:spacing w:before="100" w:beforeAutospacing="1" w:after="0" w:afterAutospacing="1"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lastRenderedPageBreak/>
        <w:t>تحديث جميع سياسات ومعايير وعمليات الأمن السيبراني، بما يتماشى مع طبيعة المؤسسة ومتغيرات البيئة الرقمية، علي مستوي هذه الخطوة وجب أخذ الوقت الكافي لإنشاء هيكل وتوقعات حوكمة الأمن السيبراني</w:t>
      </w:r>
      <w:r w:rsidRPr="00C30465">
        <w:rPr>
          <w:rFonts w:ascii="Simplified Arabic" w:eastAsia="Times New Roman" w:hAnsi="Simplified Arabic" w:cs="Simplified Arabic"/>
          <w:kern w:val="0"/>
          <w:sz w:val="28"/>
          <w:szCs w:val="28"/>
          <w14:ligatures w14:val="none"/>
        </w:rPr>
        <w:t>.</w:t>
      </w:r>
    </w:p>
    <w:p w14:paraId="0160CCA3"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ج-</w:t>
      </w:r>
      <w:r w:rsidRPr="00C30465">
        <w:rPr>
          <w:rFonts w:ascii="Simplified Arabic" w:eastAsia="Times New Roman" w:hAnsi="Simplified Arabic" w:cs="Simplified Arabic"/>
          <w:b/>
          <w:bCs/>
          <w:kern w:val="0"/>
          <w:sz w:val="28"/>
          <w:szCs w:val="28"/>
          <w:rtl/>
          <w14:ligatures w14:val="none"/>
        </w:rPr>
        <w:t xml:space="preserve"> مقاربة الأمن السيبراني من منظور المؤسسة</w:t>
      </w:r>
      <w:r w:rsidRPr="00C30465">
        <w:rPr>
          <w:rFonts w:ascii="Simplified Arabic" w:eastAsia="Times New Roman" w:hAnsi="Simplified Arabic" w:cs="Simplified Arabic"/>
          <w:kern w:val="0"/>
          <w:sz w:val="28"/>
          <w:szCs w:val="28"/>
          <w:rtl/>
          <w14:ligatures w14:val="none"/>
        </w:rPr>
        <w:t xml:space="preserve">: </w:t>
      </w:r>
    </w:p>
    <w:p w14:paraId="7997350B"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تحديد ما هي البيانات التي يجب حمايتها؟ وكيف تتماشى المخاطر السيبرانية مع إدارة مخاطر المؤسسة؟ كذلك ما هي الأولوية النسبية للاستثمار في الأمن السيبراني مقارنة بأنواع الاستثمارات الأخرى؟ </w:t>
      </w:r>
    </w:p>
    <w:p w14:paraId="38DAF12A"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 xml:space="preserve">د- زيادة الوعي والتدريب في مجال الأمن السيبراني: </w:t>
      </w:r>
    </w:p>
    <w:p w14:paraId="4262BB8A" w14:textId="77777777" w:rsidR="00B60B21" w:rsidRPr="00C30465" w:rsidRDefault="00B60B21" w:rsidP="00B60B21">
      <w:pPr>
        <w:bidi/>
        <w:spacing w:before="100" w:beforeAutospacing="1" w:after="0" w:afterAutospacing="1"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 ربما ساهمت جائحة كورونا 19</w:t>
      </w:r>
      <w:r w:rsidRPr="00C30465">
        <w:rPr>
          <w:rFonts w:ascii="Simplified Arabic" w:eastAsia="Times New Roman" w:hAnsi="Simplified Arabic" w:cs="Simplified Arabic"/>
          <w:kern w:val="0"/>
          <w:sz w:val="28"/>
          <w:szCs w:val="28"/>
          <w14:ligatures w14:val="none"/>
        </w:rPr>
        <w:t xml:space="preserve"> COVID-</w:t>
      </w:r>
      <w:r w:rsidRPr="00C30465">
        <w:rPr>
          <w:rFonts w:ascii="Simplified Arabic" w:eastAsia="Times New Roman" w:hAnsi="Simplified Arabic" w:cs="Simplified Arabic"/>
          <w:kern w:val="0"/>
          <w:sz w:val="28"/>
          <w:szCs w:val="28"/>
          <w:rtl/>
          <w:lang w:bidi="ar-EG"/>
          <w14:ligatures w14:val="none"/>
        </w:rPr>
        <w:t>ف</w:t>
      </w:r>
      <w:r w:rsidRPr="00C30465">
        <w:rPr>
          <w:rFonts w:ascii="Simplified Arabic" w:eastAsia="Times New Roman" w:hAnsi="Simplified Arabic" w:cs="Simplified Arabic"/>
          <w:kern w:val="0"/>
          <w:sz w:val="28"/>
          <w:szCs w:val="28"/>
          <w:rtl/>
          <w14:ligatures w14:val="none"/>
        </w:rPr>
        <w:t xml:space="preserve">ي بلورة هذا التوجه خاصة فيما يخص التدريب، مع وجود الكثير من الأشخاص الذين يعملون من المنزل والتعليم عن بعد، فمن الأهمية بمكان أن يعي الجميع أن الأمن السيبراني من مسؤولياتنا ومن هذا المنطلق ظهر ما يعرف بالنظافة السيبرانية </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lang w:bidi="ar-EG"/>
          <w14:ligatures w14:val="none"/>
        </w:rPr>
        <w:t>Abi tyas</w:t>
      </w:r>
      <w:r w:rsidRPr="00C30465">
        <w:rPr>
          <w:rFonts w:ascii="Simplified Arabic" w:eastAsia="Times New Roman" w:hAnsi="Simplified Arabic" w:cs="Simplified Arabic"/>
          <w:kern w:val="0"/>
          <w:sz w:val="28"/>
          <w:szCs w:val="28"/>
          <w14:ligatures w14:val="none"/>
        </w:rPr>
        <w:t>, 2021)</w:t>
      </w:r>
    </w:p>
    <w:p w14:paraId="60C16A75"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ه- تحليل وتقييم المخاطر السيبرانية:</w:t>
      </w:r>
    </w:p>
    <w:p w14:paraId="771DF5B9" w14:textId="77777777" w:rsidR="00B60B21" w:rsidRPr="00C30465" w:rsidRDefault="00B60B21" w:rsidP="00B60B21">
      <w:pPr>
        <w:bidi/>
        <w:spacing w:before="100" w:beforeAutospacing="1" w:after="0" w:afterAutospacing="1" w:line="240" w:lineRule="auto"/>
        <w:ind w:firstLine="72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 يتطلب تطوير حوكمة فعالة للأمن السيبراني إعداد نماذج دقيقة للتهديدات والمخاطر (الخارجية والداخلية)</w:t>
      </w:r>
      <w:r w:rsidRPr="00C30465">
        <w:rPr>
          <w:rFonts w:ascii="Simplified Arabic" w:eastAsia="Times New Roman" w:hAnsi="Simplified Arabic" w:cs="Simplified Arabic"/>
          <w:kern w:val="0"/>
          <w:sz w:val="28"/>
          <w:szCs w:val="28"/>
          <w14:ligatures w14:val="none"/>
        </w:rPr>
        <w:t>.</w:t>
      </w:r>
      <w:r w:rsidRPr="00C30465">
        <w:rPr>
          <w:rFonts w:ascii="Simplified Arabic" w:eastAsia="Times New Roman" w:hAnsi="Simplified Arabic" w:cs="Simplified Arabic"/>
          <w:kern w:val="0"/>
          <w:sz w:val="28"/>
          <w:szCs w:val="28"/>
          <w:rtl/>
          <w14:ligatures w14:val="none"/>
        </w:rPr>
        <w:t xml:space="preserve"> وتبنى هذه النماذج على تحليل شامل للبيئة المحيطة بالشركة لتحديد السيناريوهات المحتملة والتعامل معها بمرونة.</w:t>
      </w:r>
    </w:p>
    <w:p w14:paraId="5368B7A3"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 المراقبة والقياس والتحسين المستمر:</w:t>
      </w:r>
    </w:p>
    <w:p w14:paraId="7359C4C0"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 القيام ببرمجة عمليات دورية لتقييم الأداء الأمني، والقيام بقياس ما يهم، ومن ثم تحليل البيانات لناتجة عن هذه التقييمات، وإنشاء خطة لتحسين الأداء مع تقديم تقرير إلى متخذي القرار حول مستوي النضج السيبراني وموقف المخاطر السيبرانية. </w:t>
      </w:r>
    </w:p>
    <w:p w14:paraId="55DDE01A" w14:textId="77777777" w:rsidR="00B60B21" w:rsidRPr="00C30465" w:rsidRDefault="00B60B21" w:rsidP="00B60B21">
      <w:pPr>
        <w:bidi/>
        <w:spacing w:line="259" w:lineRule="auto"/>
        <w:jc w:val="both"/>
        <w:rPr>
          <w:rFonts w:ascii="Simplified Arabic" w:hAnsi="Simplified Arabic" w:cs="Simplified Arabic"/>
          <w:sz w:val="28"/>
          <w:szCs w:val="28"/>
          <w:rtl/>
        </w:rPr>
      </w:pPr>
      <w:r w:rsidRPr="00C30465">
        <w:rPr>
          <w:rFonts w:ascii="Simplified Arabic" w:hAnsi="Simplified Arabic" w:cs="Simplified Arabic"/>
          <w:b/>
          <w:bCs/>
          <w:sz w:val="28"/>
          <w:szCs w:val="28"/>
          <w:rtl/>
        </w:rPr>
        <w:t xml:space="preserve">ز- القيادة الفعالة </w:t>
      </w:r>
      <w:r w:rsidRPr="00C30465">
        <w:rPr>
          <w:rFonts w:ascii="Simplified Arabic" w:hAnsi="Simplified Arabic" w:cs="Simplified Arabic"/>
          <w:sz w:val="28"/>
          <w:szCs w:val="28"/>
          <w:rtl/>
        </w:rPr>
        <w:t>"</w:t>
      </w:r>
      <w:r w:rsidRPr="00C30465">
        <w:rPr>
          <w:rFonts w:ascii="Simplified Arabic" w:hAnsi="Simplified Arabic" w:cs="Simplified Arabic"/>
          <w:b/>
          <w:bCs/>
          <w:sz w:val="28"/>
          <w:szCs w:val="28"/>
        </w:rPr>
        <w:t>Tone at the top</w:t>
      </w:r>
      <w:r w:rsidRPr="00C30465">
        <w:rPr>
          <w:rFonts w:ascii="Simplified Arabic" w:hAnsi="Simplified Arabic" w:cs="Simplified Arabic"/>
          <w:sz w:val="28"/>
          <w:szCs w:val="28"/>
          <w:rtl/>
        </w:rPr>
        <w:t>"</w:t>
      </w:r>
      <w:r w:rsidRPr="00C30465">
        <w:rPr>
          <w:rFonts w:ascii="Simplified Arabic" w:hAnsi="Simplified Arabic" w:cs="Simplified Arabic"/>
          <w:b/>
          <w:bCs/>
          <w:sz w:val="28"/>
          <w:szCs w:val="28"/>
        </w:rPr>
        <w:t xml:space="preserve"> </w:t>
      </w:r>
      <w:r w:rsidRPr="00C30465">
        <w:rPr>
          <w:rFonts w:ascii="Simplified Arabic" w:hAnsi="Simplified Arabic" w:cs="Simplified Arabic"/>
          <w:b/>
          <w:bCs/>
          <w:sz w:val="28"/>
          <w:szCs w:val="28"/>
          <w:rtl/>
        </w:rPr>
        <w:t>التوجة من القمة</w:t>
      </w:r>
      <w:r w:rsidRPr="00C30465">
        <w:rPr>
          <w:rFonts w:ascii="Simplified Arabic" w:hAnsi="Simplified Arabic" w:cs="Simplified Arabic"/>
          <w:b/>
          <w:bCs/>
          <w:sz w:val="28"/>
          <w:szCs w:val="28"/>
        </w:rPr>
        <w:t>:</w:t>
      </w:r>
      <w:r w:rsidRPr="00C30465">
        <w:rPr>
          <w:rFonts w:ascii="Simplified Arabic" w:hAnsi="Simplified Arabic" w:cs="Simplified Arabic"/>
          <w:sz w:val="28"/>
          <w:szCs w:val="28"/>
          <w:rtl/>
        </w:rPr>
        <w:t xml:space="preserve"> </w:t>
      </w:r>
    </w:p>
    <w:p w14:paraId="3BEB2415" w14:textId="77777777" w:rsidR="00B60B21" w:rsidRPr="00C30465" w:rsidRDefault="00B60B21" w:rsidP="00B60B21">
      <w:pPr>
        <w:bidi/>
        <w:spacing w:line="259" w:lineRule="auto"/>
        <w:ind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lastRenderedPageBreak/>
        <w:t>يُعد التزام القيادة العليا أمرًا حاسمًا لنجاح برنامج الحوكمة. فـ"النغمة في القمة" (</w:t>
      </w:r>
      <w:r w:rsidRPr="00C30465">
        <w:rPr>
          <w:rFonts w:ascii="Simplified Arabic" w:eastAsia="Times New Roman" w:hAnsi="Simplified Arabic" w:cs="Simplified Arabic"/>
          <w:kern w:val="0"/>
          <w:sz w:val="28"/>
          <w:szCs w:val="28"/>
          <w14:ligatures w14:val="none"/>
        </w:rPr>
        <w:t>Tone at the Top</w:t>
      </w:r>
      <w:r w:rsidRPr="00C30465">
        <w:rPr>
          <w:rFonts w:ascii="Simplified Arabic" w:eastAsia="Times New Roman" w:hAnsi="Simplified Arabic" w:cs="Simplified Arabic"/>
          <w:kern w:val="0"/>
          <w:sz w:val="28"/>
          <w:szCs w:val="28"/>
          <w:rtl/>
          <w14:ligatures w14:val="none"/>
        </w:rPr>
        <w:t>) تعني أن يتبنى القادة الأمن السيبراني كأولوية، وأن تُصاغ جميع السياسات والإجراءات بحيث تعكس هذا التوجه وتدعمه، مما يضمن مواءمة حوكمة الأمن السيبراني مع أهداف واستراتيجية المؤسسة بأكملها (</w:t>
      </w:r>
      <w:r w:rsidRPr="00C30465">
        <w:rPr>
          <w:rFonts w:ascii="Simplified Arabic" w:eastAsia="Times New Roman" w:hAnsi="Simplified Arabic" w:cs="Simplified Arabic"/>
          <w:kern w:val="0"/>
          <w:sz w:val="28"/>
          <w:szCs w:val="28"/>
          <w14:ligatures w14:val="none"/>
        </w:rPr>
        <w:t>Pam Nigro, 2020</w:t>
      </w:r>
      <w:r w:rsidRPr="00C30465">
        <w:rPr>
          <w:rFonts w:ascii="Simplified Arabic" w:eastAsia="Times New Roman" w:hAnsi="Simplified Arabic" w:cs="Simplified Arabic"/>
          <w:kern w:val="0"/>
          <w:sz w:val="28"/>
          <w:szCs w:val="28"/>
          <w:rtl/>
          <w14:ligatures w14:val="none"/>
        </w:rPr>
        <w:t>).</w:t>
      </w:r>
    </w:p>
    <w:p w14:paraId="46D3FCEA" w14:textId="10CE567D" w:rsidR="00B60B21" w:rsidRPr="00C30465" w:rsidRDefault="00B60B21" w:rsidP="000B5A89">
      <w:pPr>
        <w:bidi/>
        <w:spacing w:before="240"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w:t>
      </w:r>
      <w:r w:rsidR="000B5A89" w:rsidRPr="00C30465">
        <w:rPr>
          <w:rFonts w:ascii="Simplified Arabic" w:eastAsia="Times New Roman" w:hAnsi="Simplified Arabic" w:cs="Simplified Arabic"/>
          <w:b/>
          <w:bCs/>
          <w:kern w:val="0"/>
          <w:sz w:val="32"/>
          <w:szCs w:val="32"/>
          <w:rtl/>
          <w14:ligatures w14:val="none"/>
        </w:rPr>
        <w:t>ب</w:t>
      </w:r>
      <w:r w:rsidRPr="00C30465">
        <w:rPr>
          <w:rFonts w:ascii="Simplified Arabic" w:eastAsia="Times New Roman" w:hAnsi="Simplified Arabic" w:cs="Simplified Arabic"/>
          <w:b/>
          <w:bCs/>
          <w:kern w:val="0"/>
          <w:sz w:val="32"/>
          <w:szCs w:val="32"/>
          <w:rtl/>
          <w14:ligatures w14:val="none"/>
        </w:rPr>
        <w:t>) أثر الحوكمة على جذب الاستثمار وبناء الثقة:</w:t>
      </w:r>
    </w:p>
    <w:p w14:paraId="4D9A7B31"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أن حوكمة أمن المعلومات تهدف إلى إنشاء وصيانة بيئة رقابية مناسبة وملاءمة للحفاظ على سرية وسلامة ونزاهة وتوافر المعلومات، ودعم العمليات والنظم الخاصة بها، وأيضاً حماية المعلومات من مختلف المخاطر التي يمكن أن تتعرض لها، وعلاوة على ما سبق فإن حوكمة الأمن السيبراني تؤدي إلى إضافة قيمة للشركة عن طريق</w:t>
      </w:r>
      <w:r w:rsidRPr="00C30465">
        <w:rPr>
          <w:rFonts w:ascii="Simplified Arabic" w:eastAsia="Times New Roman" w:hAnsi="Simplified Arabic" w:cs="Simplified Arabic"/>
          <w:kern w:val="0"/>
          <w:sz w:val="28"/>
          <w:szCs w:val="28"/>
          <w14:ligatures w14:val="none"/>
        </w:rPr>
        <w:t xml:space="preserve">: </w:t>
      </w:r>
    </w:p>
    <w:p w14:paraId="3A74ED01"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١</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تحسين الثقة في التعاملات العملاء،</w:t>
      </w:r>
    </w:p>
    <w:p w14:paraId="32B50FEA"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2- حماية سمعة الشركة.</w:t>
      </w:r>
    </w:p>
    <w:p w14:paraId="67304199"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 xml:space="preserve">-3 </w:t>
      </w:r>
      <w:r w:rsidRPr="00C30465">
        <w:rPr>
          <w:rFonts w:ascii="Simplified Arabic" w:eastAsia="Times New Roman" w:hAnsi="Simplified Arabic" w:cs="Simplified Arabic"/>
          <w:kern w:val="0"/>
          <w:sz w:val="28"/>
          <w:szCs w:val="28"/>
          <w:rtl/>
          <w14:ligatures w14:val="none"/>
        </w:rPr>
        <w:t xml:space="preserve"> تقليل احتمال انتهاكات الخصوصية.</w:t>
      </w:r>
    </w:p>
    <w:p w14:paraId="41517043"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14:ligatures w14:val="none"/>
        </w:rPr>
        <w:t xml:space="preserve"> -4</w:t>
      </w:r>
      <w:r w:rsidRPr="00C30465">
        <w:rPr>
          <w:rFonts w:ascii="Simplified Arabic" w:eastAsia="Times New Roman" w:hAnsi="Simplified Arabic" w:cs="Simplified Arabic"/>
          <w:kern w:val="0"/>
          <w:sz w:val="28"/>
          <w:szCs w:val="28"/>
          <w:rtl/>
          <w14:ligatures w14:val="none"/>
        </w:rPr>
        <w:t>توفير قدر كبير من الثقة عند التعامل مع الأطراف الخارجية.</w:t>
      </w:r>
    </w:p>
    <w:p w14:paraId="6C4C8078"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14:ligatures w14:val="none"/>
        </w:rPr>
        <w:t>5</w:t>
      </w:r>
      <w:r w:rsidRPr="00C30465">
        <w:rPr>
          <w:rFonts w:ascii="Simplified Arabic" w:eastAsia="Times New Roman" w:hAnsi="Simplified Arabic" w:cs="Simplified Arabic"/>
          <w:kern w:val="0"/>
          <w:sz w:val="28"/>
          <w:szCs w:val="28"/>
          <w:rtl/>
          <w14:ligatures w14:val="none"/>
        </w:rPr>
        <w:t>- إيجاد وتوفير طرق جديدة وأفضل لمعالجة المعاملات الإلكترونية.</w:t>
      </w:r>
    </w:p>
    <w:p w14:paraId="4DE97C65"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6-</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قليل التكاليف التشغيلية من خلال توفير نتائج يمكن التنبؤ بها،</w:t>
      </w:r>
    </w:p>
    <w:p w14:paraId="115611D3" w14:textId="77777777" w:rsidR="00B60B21" w:rsidRPr="00C30465" w:rsidRDefault="00B60B21" w:rsidP="00B60B21">
      <w:pPr>
        <w:bidi/>
        <w:spacing w:before="100" w:beforeAutospacing="1" w:after="0" w:afterAutospacing="1" w:line="240" w:lineRule="auto"/>
        <w:ind w:left="36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7-</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التقليل من عوامل الخطر التي قد تؤدي إلى إيقاف العمليات. (2006</w:t>
      </w:r>
      <w:r w:rsidRPr="00C30465">
        <w:rPr>
          <w:rFonts w:ascii="Simplified Arabic" w:eastAsia="Times New Roman" w:hAnsi="Simplified Arabic" w:cs="Simplified Arabic"/>
          <w:kern w:val="0"/>
          <w:sz w:val="28"/>
          <w:szCs w:val="28"/>
          <w14:ligatures w14:val="none"/>
        </w:rPr>
        <w:t xml:space="preserve">( ITGI, </w:t>
      </w:r>
    </w:p>
    <w:p w14:paraId="2DF68B0B" w14:textId="77777777" w:rsidR="00B60B21" w:rsidRPr="00C30465" w:rsidRDefault="00B60B21" w:rsidP="00B60B21">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ومن وجهة نظر الباحث</w:t>
      </w:r>
      <w:r w:rsidRPr="00C30465">
        <w:rPr>
          <w:rFonts w:ascii="Simplified Arabic" w:eastAsia="Times New Roman" w:hAnsi="Simplified Arabic" w:cs="Simplified Arabic"/>
          <w:kern w:val="0"/>
          <w:sz w:val="28"/>
          <w:szCs w:val="28"/>
          <w:rtl/>
          <w14:ligatures w14:val="none"/>
        </w:rPr>
        <w:t>: تلعب حوكمة الأمن السيبراني دوراً هاماً في تحقيق الثقة والشفافية في البيئة الرقمية من خلال ضمان حماية بيانات الأفراد والمؤسسات من أي تهديدات أو مخاطر سيبرانية.</w:t>
      </w:r>
    </w:p>
    <w:p w14:paraId="7716D07F" w14:textId="77777777" w:rsidR="00112C06" w:rsidRPr="00C30465" w:rsidRDefault="00112C06" w:rsidP="00112C06">
      <w:pPr>
        <w:bidi/>
        <w:spacing w:before="100" w:beforeAutospacing="1" w:after="0" w:afterAutospacing="1" w:line="240" w:lineRule="auto"/>
        <w:jc w:val="both"/>
        <w:rPr>
          <w:rFonts w:ascii="Simplified Arabic" w:eastAsia="Times New Roman" w:hAnsi="Simplified Arabic" w:cs="Simplified Arabic"/>
          <w:kern w:val="0"/>
          <w:sz w:val="28"/>
          <w:szCs w:val="28"/>
          <w:rtl/>
          <w14:ligatures w14:val="none"/>
        </w:rPr>
      </w:pPr>
    </w:p>
    <w:p w14:paraId="3C891442" w14:textId="77777777" w:rsidR="00112C06" w:rsidRPr="00C30465" w:rsidRDefault="00112C06" w:rsidP="00112C06">
      <w:pPr>
        <w:bidi/>
        <w:spacing w:before="100" w:beforeAutospacing="1" w:after="0" w:afterAutospacing="1" w:line="240" w:lineRule="auto"/>
        <w:jc w:val="both"/>
        <w:rPr>
          <w:rFonts w:ascii="Simplified Arabic" w:eastAsia="Times New Roman" w:hAnsi="Simplified Arabic" w:cs="Simplified Arabic"/>
          <w:kern w:val="0"/>
          <w:sz w:val="28"/>
          <w:szCs w:val="28"/>
          <w14:ligatures w14:val="none"/>
        </w:rPr>
      </w:pPr>
    </w:p>
    <w:p w14:paraId="6640F218" w14:textId="5517D7E9" w:rsidR="00B60B21" w:rsidRPr="00C30465" w:rsidRDefault="00B60B21" w:rsidP="000B5A89">
      <w:pPr>
        <w:bidi/>
        <w:spacing w:after="0" w:line="240" w:lineRule="auto"/>
        <w:jc w:val="both"/>
        <w:rPr>
          <w:rFonts w:ascii="Simplified Arabic" w:eastAsia="Times New Roman" w:hAnsi="Simplified Arabic" w:cs="Simplified Arabic"/>
          <w:b/>
          <w:bCs/>
          <w:kern w:val="0"/>
          <w:sz w:val="32"/>
          <w:szCs w:val="32"/>
          <w:rtl/>
          <w14:ligatures w14:val="none"/>
        </w:rPr>
      </w:pPr>
      <w:bookmarkStart w:id="24" w:name="_Hlk202780560"/>
      <w:r w:rsidRPr="00C30465">
        <w:rPr>
          <w:rFonts w:ascii="Simplified Arabic" w:eastAsia="Times New Roman" w:hAnsi="Simplified Arabic" w:cs="Simplified Arabic"/>
          <w:b/>
          <w:bCs/>
          <w:kern w:val="0"/>
          <w:sz w:val="32"/>
          <w:szCs w:val="32"/>
          <w:rtl/>
          <w14:ligatures w14:val="none"/>
        </w:rPr>
        <w:lastRenderedPageBreak/>
        <w:t>(</w:t>
      </w:r>
      <w:r w:rsidR="000B5A89" w:rsidRPr="00C30465">
        <w:rPr>
          <w:rFonts w:ascii="Simplified Arabic" w:eastAsia="Times New Roman" w:hAnsi="Simplified Arabic" w:cs="Simplified Arabic"/>
          <w:b/>
          <w:bCs/>
          <w:kern w:val="0"/>
          <w:sz w:val="32"/>
          <w:szCs w:val="32"/>
          <w:rtl/>
          <w14:ligatures w14:val="none"/>
        </w:rPr>
        <w:t>ج</w:t>
      </w:r>
      <w:r w:rsidRPr="00C30465">
        <w:rPr>
          <w:rFonts w:ascii="Simplified Arabic" w:eastAsia="Times New Roman" w:hAnsi="Simplified Arabic" w:cs="Simplified Arabic"/>
          <w:b/>
          <w:bCs/>
          <w:kern w:val="0"/>
          <w:sz w:val="32"/>
          <w:szCs w:val="32"/>
          <w:rtl/>
          <w14:ligatures w14:val="none"/>
        </w:rPr>
        <w:t xml:space="preserve">) العلاقة بين الحوكمة والاستدامة الاستراتيجية: </w:t>
      </w:r>
    </w:p>
    <w:p w14:paraId="64947F66"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تؤثر حوكمة الشركات على محتوى تقارير الشركات من المعلومات التي تتعلق بالاستدامة، تعد تطبيقات حوكمة الشركات أوسع بكثير من مجرد تحسين الإجراءات الداخلية في الشركة، حيث تشمل عدة أدوات التي تتعامل أيضاً مع البيئة التي تعمل فيها الشركات، أى المشاكل المتعلقة بالتطوير المؤسسى للبلاد، كما أنها تعمل على جذب الاستثمار وتحسين المنافسة وإدارة المخاطر، وتعد حوكمة الشركات عنصر أساسي في تغيير العلاقة بين مجتمع الأعمال والدولة في كثير من الأسواق الصاعدة، كما تساعد حوكمة الشركات على بناء أساس للنمو الاقتصادي، وخلق الوظائف، وقيادة القطاع الخاص، وذلك للحد من الفقر حيث أنها تساعد الدول على جذب الاستثمار وتسهيل الإصلاح المؤسسى وتقليص فرص الفساد وحماية حقوق المساهمين</w:t>
      </w:r>
      <w:r w:rsidRPr="00C30465">
        <w:rPr>
          <w:rFonts w:ascii="Simplified Arabic" w:eastAsia="Times New Roman" w:hAnsi="Simplified Arabic" w:cs="Simplified Arabic"/>
          <w:kern w:val="0"/>
          <w:sz w:val="28"/>
          <w:szCs w:val="28"/>
          <w14:ligatures w14:val="none"/>
        </w:rPr>
        <w:t>.</w:t>
      </w:r>
    </w:p>
    <w:p w14:paraId="2FE84F7C"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كما يعد مجلس الإدارة هو مصدر للموارد التي تعتمد عليها الإدارة، ويتعاون مع الإدارة في وضع وتنفيذ القرارات الإستراتيجية الحاسمة التي ستؤثر على أداء الشركات، نظرًا لأن مجلس الإدارة يحدد الأهداف والاستراتيجيات لتشغيل الشركات، فمن الضروري أن تضمن آليات حوكمة الشركات قيام الشركات بأنشطتها لتحقيق الاستدامة والمعاملة العادلة لأصحاب المصلحة، وعليه فإن فعالية حوكمة الشركات لها تأثير قوى على أداء الاستدامة ، التأثير القوي للأداء البيئي على قيمة الشركة يجعل الممارسات البيئية السليمة هدفًا مهمًا لمجلس الإدارة في سعيه لضمان تعظيم ثروة المساهمين، يؤدي مجلس الإدارة الأكثر فعالية إلى مؤشر قوى لأداء الاستدامة. </w:t>
      </w:r>
    </w:p>
    <w:p w14:paraId="7E3E234E"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ومن الضروري قياس العلاقة بين الحوكمة والتنمية المستدامة، وتحديد المبادئ التي تضمن مساهمة المؤسسة في تحقيق هذه التنمية، حيث أن لهذه المؤسسات تأثير كبير على المجتمع لما لها من موارد مادية وقدرة على استقطاب التمويل الخارجي، مما يستدعى العمل على تسخير هذه القدرات في تحقيق التنمية المستدامة، حتى عهد قريب كان المقصود بالتنمية هو النمو الاقتصادي واستبدل التركيز على النمو الاقتصادي بالتركيز على التنمية البشرية والتنمية المستدامة، ومن هنا نشأت العلاقة بين مفهوم الحوكمة والتنمية المستدامة، لأن الحوكمة هي الضامن لتحويل النمو الاقتصادي إلى تنمية مستدامة، وهناك علاقة وثيقة بين مفهوم الحوكمة والتنمية المستدامة، حيث أصبحت الحوكمة بمختلف أبعادها شرط أساسي لتحقيق التنمية المستدامة، من خلال إيجاد الظروف السياسية والقانونية والاقتصادية </w:t>
      </w:r>
      <w:r w:rsidRPr="00C30465">
        <w:rPr>
          <w:rFonts w:ascii="Simplified Arabic" w:eastAsia="Times New Roman" w:hAnsi="Simplified Arabic" w:cs="Simplified Arabic"/>
          <w:kern w:val="0"/>
          <w:sz w:val="28"/>
          <w:szCs w:val="28"/>
          <w:rtl/>
          <w14:ligatures w14:val="none"/>
        </w:rPr>
        <w:lastRenderedPageBreak/>
        <w:t>والاجتماعية اللازمة لتحرير هذه القدرات البشرية، وبالتالى تعزيز رفاهية الإنسان من خلال القضاء على الفقر وايجاد فرص العمل وحماية البيئة.</w:t>
      </w:r>
    </w:p>
    <w:p w14:paraId="30DD70AE"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وتتأثر العلاقة بينهما بالعديد من المتغيرات وفقا لنظرية</w:t>
      </w:r>
      <w:r w:rsidRPr="00C30465">
        <w:rPr>
          <w:rFonts w:ascii="Simplified Arabic" w:eastAsia="Times New Roman" w:hAnsi="Simplified Arabic" w:cs="Simplified Arabic"/>
          <w:kern w:val="0"/>
          <w:sz w:val="28"/>
          <w:szCs w:val="28"/>
          <w14:ligatures w14:val="none"/>
        </w:rPr>
        <w:t xml:space="preserve"> Slack Resources </w:t>
      </w:r>
      <w:r w:rsidRPr="00C30465">
        <w:rPr>
          <w:rFonts w:ascii="Simplified Arabic" w:eastAsia="Times New Roman" w:hAnsi="Simplified Arabic" w:cs="Simplified Arabic"/>
          <w:kern w:val="0"/>
          <w:sz w:val="28"/>
          <w:szCs w:val="28"/>
          <w:rtl/>
          <w14:ligatures w14:val="none"/>
        </w:rPr>
        <w:t>(الموارد الراكدة)، وتشير إلى أن الأداء المالى الأفضل ينتج عن توافر الموارد التي توفر فرصة للشركات للاستثمار في الأداء الاجتماعي وأداء الاستدامة وهو ما توفره المؤسسات الاستثمارية عند اتخاذ قراراتها، كما أن الملكية المؤسسية لاتركز على الأداء المالي فقط ولكن على الأنشطة المرتبطة بالإنفاق على الحفاظ على جودة المنتج والبيئة الطبيعية والمجتمع والأفراد الذين تستخدمهم بما يزيد من قيمة المنشآة في الأجل الطويل، وعليه فإن خصائص مجلس ادارة الشركة وهو آلية من آليات الحوكمة تلعب دور هام في وضع استراتيجية الاستدامة للشركات من خلال الإشراف والمتابعة لسلوك وتصرفات الإدارة العليا، وتلعب دور حيوي في جودة أداء وتقارير الاستدامة</w:t>
      </w:r>
      <w:r w:rsidRPr="00C30465">
        <w:rPr>
          <w:rFonts w:ascii="Simplified Arabic" w:eastAsia="Times New Roman" w:hAnsi="Simplified Arabic" w:cs="Simplified Arabic"/>
          <w:kern w:val="0"/>
          <w:sz w:val="28"/>
          <w:szCs w:val="28"/>
          <w14:ligatures w14:val="none"/>
        </w:rPr>
        <w:t>.</w:t>
      </w:r>
    </w:p>
    <w:p w14:paraId="3A389B1A"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ومن أهم الأهداف التي تسعى الشركات إلى تحقيقها في إطار حوكمة الشركات هي الاستدامة ويقصد بها استمرارية أعمال الشركة ومن ثم استدامة ربحيتها، إلا أن الشركات لا يمكن أن تصل إلى هذه الاستدامة إلا من خلال توطيد علاقاتها مع عملائها ومورديها والعاملين بها، مع الاهتمام بالبيئة المحيطة والقضايا التي قد تؤثر على استمرارية الشركة، ومن ثم تخلق الشركة البيئة الملاءمة التي تحقق فيها تلك الاستدامة التي تسعى إليها وتحافظ عليها، فاهتمام الشركة بمسئوليتها تجاه المجتمع يتيح الفرصة لها لأن تكون شركة مرغوب فيها لدى أفراد هذا المجتمع، والمسئولية الاجتماعية والتنمية المستدامة مفهومان متقاربان جدا و يصعب التمييز بينهما، فالأول یعنی دمج الاهتمامات الاجتماعية والبيئية فى الأنشطة التجارية، والثاني يعني التوفيق بين الجوانب الاقتصادية والاجتماعية والبيئية، حيث أن مجال تطبيق المسئولية الاجتماعية يشمل احترام البيئة عن طريق مكافحة التلوث والاستغلال العقلاني للمواد الأولية، وتحسين ظروف العمل وأنظمة الأجور، ومكافحة الرشوة وغسل الأموال، والاندماج في المجتمع من خلال التنمية المحلية</w:t>
      </w:r>
      <w:r w:rsidRPr="00C30465">
        <w:rPr>
          <w:rFonts w:ascii="Simplified Arabic" w:eastAsia="Times New Roman" w:hAnsi="Simplified Arabic" w:cs="Simplified Arabic"/>
          <w:kern w:val="0"/>
          <w:sz w:val="28"/>
          <w:szCs w:val="28"/>
          <w14:ligatures w14:val="none"/>
        </w:rPr>
        <w:t>.</w:t>
      </w:r>
    </w:p>
    <w:p w14:paraId="28A310C2"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واستنادًا إلى فكرة أن حوكمة الشركات تشير إلى سلسلة من الآليات المتداخلة، يؤثر هيكل حوكمة الشركات على الإفصاح عن الاستدامة، تقارير الاستدامة يجب أن تتضمن معلومات نوعية وكمية عن أداء الشركة المالي والاجتماعي والبيئي، يجب تنظيم تقارير الاستدامة بحيث تشمل الأداء الاقتصادي والاجتماعي والبيئي بالتفصيل، يعرض تقرير الاستدامة قيمة المنظمة ونموذجها في الحوكمة، كما يوضح العلاقة بين استراتيجية الشركة والتزامها بتحقيق اقتصاد عالمي مستدام وهى تكشف عن معلومات إضافية </w:t>
      </w:r>
      <w:r w:rsidRPr="00C30465">
        <w:rPr>
          <w:rFonts w:ascii="Simplified Arabic" w:eastAsia="Times New Roman" w:hAnsi="Simplified Arabic" w:cs="Simplified Arabic"/>
          <w:kern w:val="0"/>
          <w:sz w:val="28"/>
          <w:szCs w:val="28"/>
          <w:rtl/>
          <w14:ligatures w14:val="none"/>
        </w:rPr>
        <w:lastRenderedPageBreak/>
        <w:t xml:space="preserve">حول الشركة، يعد إعداد تقارير الاستدامة أمرًا مهمًا لنجاح الشركة على المدى الطويل، تعد تقارير الاستدامة أيضًا أحد المعايير التي يستخدمها المستثمرون في تكوين محفظة استثماراتهم في الشركات، مما أدى إلى ظهور مؤشرات الاستدامة المرتبطة بالسوق المالي، يتم الترحيب بمفهوم مؤشر الاستدامة نظرًا للعنصر المحتمل لخلق القيمة طويلة الأجل التي سيستفيد منها المساهمون، تعمل تقارير الاستدامة أيضًا على زيادة الثقة بين الشركة والمساهمين الرئيسيين، الفرق بين الشركة التي تنتمي إلى مؤشر الاستدامة وتلك التي لا تنتمي إلى مؤشر الاستدامة هو شرط الإفصاح عن المعلومات في تقرير الاستدامة، تقرير الاستدامة عالي الجودة يعزز القدرة التنافسية </w:t>
      </w:r>
      <w:bookmarkEnd w:id="24"/>
      <w:r w:rsidRPr="00C30465">
        <w:rPr>
          <w:rFonts w:ascii="Simplified Arabic" w:eastAsia="Times New Roman" w:hAnsi="Simplified Arabic" w:cs="Simplified Arabic"/>
          <w:kern w:val="0"/>
          <w:sz w:val="28"/>
          <w:szCs w:val="28"/>
          <w:rtl/>
          <w14:ligatures w14:val="none"/>
        </w:rPr>
        <w:t>للشركة، وتتحسن سمعة الشركة عندما يكون هناك تأكيد حول مدي مصداقية وموثوقية التقرير.</w:t>
      </w:r>
    </w:p>
    <w:p w14:paraId="12C6B3ED"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ويرى الباحث أن الأبعاد الرئيسية لاستدامة الشركات</w:t>
      </w:r>
      <w:r w:rsidRPr="00C30465">
        <w:rPr>
          <w:rFonts w:ascii="Simplified Arabic" w:eastAsia="Times New Roman" w:hAnsi="Simplified Arabic" w:cs="Simplified Arabic"/>
          <w:kern w:val="0"/>
          <w:sz w:val="28"/>
          <w:szCs w:val="28"/>
          <w:rtl/>
          <w14:ligatures w14:val="none"/>
        </w:rPr>
        <w:t xml:space="preserve"> "الاقتصادية والبيئية والاجتماعية " غير كافية لممارسة استدامة الشركات، فبجانب هذه الأبعاد يجب توافر هيكل إدارى جيد حيث يجتمع مجلس الإدارة ست مرات على الأقل في السنة ويتيح الفرصة للإدارة التنفيذية بعرض أي مخاطر أو فرص متعلقة بالاستدامة، كـم يـتم تقييمها ككل لقياس أداء الاستدامة، حيث يتم اختزال هذه المعلومات في صورة مؤشرات لقياس الأداء الكلى للمنشأة، مما ينعكس بصورة جيدة على الأداء المالي والمستثمرين حيث يستطيعون تقييم المنشأة بصورة أفضل وأشمل</w:t>
      </w:r>
      <w:r w:rsidRPr="00C30465">
        <w:rPr>
          <w:rFonts w:ascii="Simplified Arabic" w:eastAsia="Times New Roman" w:hAnsi="Simplified Arabic" w:cs="Simplified Arabic"/>
          <w:kern w:val="0"/>
          <w:sz w:val="28"/>
          <w:szCs w:val="28"/>
          <w14:ligatures w14:val="none"/>
        </w:rPr>
        <w:t xml:space="preserve"> .</w:t>
      </w:r>
    </w:p>
    <w:p w14:paraId="6BF14F94"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انعكاس العلاقة بين آليات الحوكمة وتقارير الاستدامة على الأداء المالي للشركات إن عدم قدرة أصحاب المصالح على فهم محتوى تقارير الشركات یعنی قصور نظام التقارير والحوكمة في هذه الشركات، مما يؤدى إلى التأثير بشكل سلبي على علاقة الشركة بأصحاب المصالح وبالتبعية انخفاض حجم التمويل والتدفقات النقدية للشركة، الأمر الذي يؤثر على استدامتها وقدرتها على الاستمرار، ويرى المجلس الدولي للتقرير المتكامل </w:t>
      </w:r>
      <w:r w:rsidRPr="00C30465">
        <w:rPr>
          <w:rFonts w:ascii="Simplified Arabic" w:eastAsia="Times New Roman" w:hAnsi="Simplified Arabic" w:cs="Simplified Arabic"/>
          <w:kern w:val="0"/>
          <w:sz w:val="28"/>
          <w:szCs w:val="28"/>
          <w14:ligatures w14:val="none"/>
        </w:rPr>
        <w:t>International Integrated Reporting Council (IIRC)</w:t>
      </w:r>
      <w:r w:rsidRPr="00C30465">
        <w:rPr>
          <w:rFonts w:ascii="Simplified Arabic" w:eastAsia="Times New Roman" w:hAnsi="Simplified Arabic" w:cs="Simplified Arabic"/>
          <w:kern w:val="0"/>
          <w:sz w:val="28"/>
          <w:szCs w:val="28"/>
          <w:rtl/>
          <w14:ligatures w14:val="none"/>
        </w:rPr>
        <w:t xml:space="preserve"> أن الحل لهذه المشكلة هو قيام الشركات بالإفصاح بطريقة تبين العلاقة الواضحة بين المعلومات المالية وغير المالية مما يسمح بتقييم الأداء الكلي للشركات، وتتمثل الآلية التي اقترحها المجلس لتحقيق هذا الهدف في إعداد تقرير واحد شامل ومتكامل وموجز يطلق عليه " التقرير المتكامل </w:t>
      </w:r>
      <w:r w:rsidRPr="00C30465">
        <w:rPr>
          <w:rFonts w:ascii="Simplified Arabic" w:eastAsia="Times New Roman" w:hAnsi="Simplified Arabic" w:cs="Simplified Arabic"/>
          <w:kern w:val="0"/>
          <w:sz w:val="28"/>
          <w:szCs w:val="28"/>
          <w14:ligatures w14:val="none"/>
        </w:rPr>
        <w:t xml:space="preserve">Integrate </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 xml:space="preserve">Report </w:t>
      </w:r>
      <w:r w:rsidRPr="00C30465">
        <w:rPr>
          <w:rFonts w:ascii="Simplified Arabic" w:eastAsia="Times New Roman" w:hAnsi="Simplified Arabic" w:cs="Simplified Arabic"/>
          <w:kern w:val="0"/>
          <w:sz w:val="28"/>
          <w:szCs w:val="28"/>
          <w:rtl/>
          <w14:ligatures w14:val="none"/>
        </w:rPr>
        <w:t xml:space="preserve"> (</w:t>
      </w:r>
      <w:r w:rsidRPr="00C30465">
        <w:rPr>
          <w:rFonts w:ascii="Simplified Arabic" w:eastAsia="Times New Roman" w:hAnsi="Simplified Arabic" w:cs="Simplified Arabic"/>
          <w:kern w:val="0"/>
          <w:sz w:val="28"/>
          <w:szCs w:val="28"/>
          <w14:ligatures w14:val="none"/>
        </w:rPr>
        <w:t>IR</w:t>
      </w:r>
      <w:r w:rsidRPr="00C30465">
        <w:rPr>
          <w:rFonts w:ascii="Simplified Arabic" w:eastAsia="Times New Roman" w:hAnsi="Simplified Arabic" w:cs="Simplified Arabic"/>
          <w:kern w:val="0"/>
          <w:sz w:val="28"/>
          <w:szCs w:val="28"/>
          <w:rtl/>
          <w14:ligatures w14:val="none"/>
        </w:rPr>
        <w:t xml:space="preserve">)"، ووفقا لرأى أنصار التقرير المتكامل فإن هذا التقرير سوف يعزز جودة المعلومات المقدمة لأصحاب المصالح وذلك من خلال الجمع بين المكونات المختلفة للإفصاح وهي القوائم المالية، تقرير تعليقات الإدارة، وتقرير الاستدامة. </w:t>
      </w:r>
    </w:p>
    <w:p w14:paraId="2386E1B8"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lastRenderedPageBreak/>
        <w:t>وتساعد التقارير المتكاملة منشآت الأعمال على تقديم صورة واضحة عن الأداء البيئي والاجتماعي والاقتصادي، مما يساعد منشآت الأعمال على تحقيق أهداف التنمية المستدامة، وإعطاء صورة واضحة وبشكل موجز ومتكامل لكيفية استغلال منشآت الأعمال للموارد المتاحة مما يكسب منشآت الأعمال السمعة السوقية الجيدة، مما يساعدها على الاستمرار في المنافسة السوقية بشكل جيد.</w:t>
      </w:r>
    </w:p>
    <w:p w14:paraId="088E1A8D"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كما أن الحاجة للتقرير المتكامل تم تبريرها في الفكر المحاسبي من خلال الحاجة إلى لغة مشتركة في الإفصاح، وكنتيجة للقصور الموجود في التقارير المالية وتقارير الاستدامة والحوكمة، والرغبة في تحسين مستوى الشفافية في تقرير الشركات، كما أن مستخدم التقرير المتكامل سوف يتمكن بشكل أفضل من فهم العوامل التي يمكن أن تؤثر على استدامة الشركة وقدرتها على خلق القيمة بمرور الوقت، ومساءلة الإدارة عن تصرفاتها باعتبارها وكيلا عن موفرى رأس المال في إدارة وحماية مصالحهم.</w:t>
      </w:r>
    </w:p>
    <w:p w14:paraId="4E9D4A5F"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ويغطى التقرير المتكامل البعد المالي وبعد الاستدامة معا، كما أن هذه الأبعاد تكون مترابطة، حيث يتم ربط الأداء المالي مع الأداء البيئي والاجتماعي والحوكمى، مما يجعل التقرير المتكامل وسيلة ملائمة لعرض الأداء الكلى للشركة، حيث يعد تقرير الاستدامة أحد العناصر الأساسية في عملية إعداد التقرير المتكامل، وبالتالي لإان التقرير المتكامل يعد بمثابة تطوير للتقارير المالية وتقارير الاستدامة . ويرى أحد الباحثين أن الإفصاح عن استدامة المنشآت سواء فى شكل منفصل أو شكل مع التقارير المالية له تأثير على جودة التقارير المالية، كما أن الإفصاح عن المعلومات غير المالية يساهم وبشكل كبير في إبراز الصورة الجيدة عن الوضع الحقيقي للمنشأة، وعليه فمن الأفضل أن تفصح المنشآت عن البيانات غير المالية بشكل متكامل مع التقارير المالية</w:t>
      </w:r>
      <w:r w:rsidRPr="00C30465">
        <w:rPr>
          <w:rFonts w:ascii="Simplified Arabic" w:eastAsia="Times New Roman" w:hAnsi="Simplified Arabic" w:cs="Simplified Arabic"/>
          <w:kern w:val="0"/>
          <w:sz w:val="28"/>
          <w:szCs w:val="28"/>
          <w14:ligatures w14:val="none"/>
        </w:rPr>
        <w:t xml:space="preserve"> .</w:t>
      </w:r>
    </w:p>
    <w:p w14:paraId="033AEC5E"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ويرى الباحث</w:t>
      </w:r>
      <w:r w:rsidRPr="00C30465">
        <w:rPr>
          <w:rFonts w:ascii="Simplified Arabic" w:eastAsia="Times New Roman" w:hAnsi="Simplified Arabic" w:cs="Simplified Arabic"/>
          <w:kern w:val="0"/>
          <w:sz w:val="28"/>
          <w:szCs w:val="28"/>
          <w:rtl/>
          <w14:ligatures w14:val="none"/>
        </w:rPr>
        <w:t xml:space="preserve"> أن الانعكاس على الأداء المالي يتمثل في أن آليات حوكمة الشركات الجيدة تعزز الإفصاح عن الاستدامة وهذا يفي باحتياجات المستثمرين والمساهمين الذين يعتمدون على المعلومات المالية وغير المالية في اتخاذ قراراتهم، وكذلك نمو نسبة ودائع العملاء بالبنوك من خلال رفع نسبة الفوائد على الودائع وانخفاض نسبة الديون، وكذلك ايجاد قيمة مشتركة لجميع أصحاب المصالح خاصـــة الـشـركات الصغرى والمتوسطة التي تساهم في خلق فرص عمل وتفعيل عجلة الاقتصاد، كما أن هناك علاقة ايجابية بين آليات الحوكمة وتقارير الاستدامة، وابراز العلاقة بين أداء الاستدامة والأداء المالي هو عامل هام فى نجاح الشركات، هناك علاقة معنوية تبادلية طردية بين تقارير أداء الاستدامة والأداء المالي، تعد عملية تقييم أداء الاستدامة بمثابة قیاس موضوعى لمدى نجاح الشركة في تحقيق الأهداف، حيث أن نماذج تقييم الأداء التقليدية التي تعتمد فقط على الجانب المالي لم تعد كافية للإيفاء بمتطلبات </w:t>
      </w:r>
      <w:r w:rsidRPr="00C30465">
        <w:rPr>
          <w:rFonts w:ascii="Simplified Arabic" w:eastAsia="Times New Roman" w:hAnsi="Simplified Arabic" w:cs="Simplified Arabic"/>
          <w:kern w:val="0"/>
          <w:sz w:val="28"/>
          <w:szCs w:val="28"/>
          <w:rtl/>
          <w14:ligatures w14:val="none"/>
        </w:rPr>
        <w:lastRenderedPageBreak/>
        <w:t xml:space="preserve">الإدارة الحديثة، فنشأت الحاجة إلى قياس الأداء المالي وغير المالي، وهناك أيضا علاقة ايجابية بين الحوكمة وكفاءة وفاعلية الأداء المالي حيث تؤدى الحوكمة إلى زيادة الثقة في الاقتصاد القومى، ورفع معدل الاستثمار، والحفاظ على صغار المساهمين. </w:t>
      </w:r>
    </w:p>
    <w:p w14:paraId="068A7B10" w14:textId="77777777" w:rsidR="00B60B21" w:rsidRPr="00C30465" w:rsidRDefault="00B60B21" w:rsidP="00B60B21">
      <w:pPr>
        <w:bidi/>
        <w:spacing w:before="100" w:beforeAutospacing="1" w:after="0" w:afterAutospacing="1"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ويرى الباحث</w:t>
      </w:r>
      <w:r w:rsidRPr="00C30465">
        <w:rPr>
          <w:rFonts w:ascii="Simplified Arabic" w:eastAsia="Times New Roman" w:hAnsi="Simplified Arabic" w:cs="Simplified Arabic"/>
          <w:kern w:val="0"/>
          <w:sz w:val="28"/>
          <w:szCs w:val="28"/>
          <w:rtl/>
          <w14:ligatures w14:val="none"/>
        </w:rPr>
        <w:t xml:space="preserve"> أن التقارير المتكاملة تقدم صورة شاملة لأداء الشركات فهي تجمع بين المعلومات المالية وغير المالية، هناك عدة عوامل تؤثر على التقارير المتكاملة لتحسين محتواها المعلوماتي (المعلومات البيئية والاجتماعية والحوكمة)، تعتبر آليات المحددات التي تشرح على أفضل وجه مدى جودة التقارير المتكاملة</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.(غنيمي، 2022، 597: 603)</w:t>
      </w:r>
    </w:p>
    <w:p w14:paraId="696EB006" w14:textId="4944346C" w:rsidR="00D92238" w:rsidRPr="00C30465" w:rsidRDefault="00D92238" w:rsidP="00B60B21">
      <w:pPr>
        <w:bidi/>
        <w:spacing w:after="0" w:line="240" w:lineRule="auto"/>
        <w:jc w:val="both"/>
        <w:rPr>
          <w:rFonts w:ascii="Simplified Arabic" w:eastAsia="Times New Roman" w:hAnsi="Simplified Arabic" w:cs="Simplified Arabic"/>
          <w:b/>
          <w:bCs/>
          <w:kern w:val="0"/>
          <w:sz w:val="32"/>
          <w:szCs w:val="32"/>
          <w:rtl/>
          <w14:ligatures w14:val="none"/>
        </w:rPr>
      </w:pPr>
      <w:bookmarkStart w:id="25" w:name="_Hlk204103600"/>
      <w:r w:rsidRPr="00C30465">
        <w:rPr>
          <w:rFonts w:ascii="Simplified Arabic" w:eastAsia="Times New Roman" w:hAnsi="Simplified Arabic" w:cs="Simplified Arabic"/>
          <w:b/>
          <w:bCs/>
          <w:kern w:val="0"/>
          <w:sz w:val="32"/>
          <w:szCs w:val="32"/>
          <w:rtl/>
          <w14:ligatures w14:val="none"/>
        </w:rPr>
        <w:t>- 2/3/5: واقع تطبيق الحوكمة في الشركات الناشئة بالمملكة العربية السعودية:</w:t>
      </w:r>
    </w:p>
    <w:p w14:paraId="52D65BE8" w14:textId="6ED1DB5E" w:rsidR="00B60B21" w:rsidRPr="00C30465" w:rsidRDefault="00B60B21" w:rsidP="00D92238">
      <w:pPr>
        <w:bidi/>
        <w:spacing w:after="0" w:line="240" w:lineRule="auto"/>
        <w:jc w:val="both"/>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w:t>
      </w:r>
      <w:r w:rsidR="00D92238" w:rsidRPr="00C30465">
        <w:rPr>
          <w:rFonts w:ascii="Simplified Arabic" w:eastAsia="Times New Roman" w:hAnsi="Simplified Arabic" w:cs="Simplified Arabic"/>
          <w:b/>
          <w:bCs/>
          <w:kern w:val="0"/>
          <w:sz w:val="32"/>
          <w:szCs w:val="32"/>
          <w:rtl/>
          <w14:ligatures w14:val="none"/>
        </w:rPr>
        <w:t>أ</w:t>
      </w:r>
      <w:r w:rsidRPr="00C30465">
        <w:rPr>
          <w:rFonts w:ascii="Simplified Arabic" w:eastAsia="Times New Roman" w:hAnsi="Simplified Arabic" w:cs="Simplified Arabic"/>
          <w:b/>
          <w:bCs/>
          <w:kern w:val="0"/>
          <w:sz w:val="32"/>
          <w:szCs w:val="32"/>
          <w:rtl/>
          <w14:ligatures w14:val="none"/>
        </w:rPr>
        <w:t>) جهود المملكة في تعزيز الحوكمة (رؤية 2030 الهيئة الوطنية للأمن السيبراني)</w:t>
      </w:r>
    </w:p>
    <w:bookmarkEnd w:id="25"/>
    <w:p w14:paraId="0490C774"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يصف محمد بن سلمان – حفظة الله- رؤية المملكة 2030 بأنها: "رؤية الحاضر للمستقبل، التي نعمل اليوم للغد، بحيث تعبر عن طموحتنا"وتعكس قدرات بلادنا.</w:t>
      </w:r>
    </w:p>
    <w:p w14:paraId="41405680" w14:textId="77777777" w:rsidR="00B60B21" w:rsidRPr="00C30465" w:rsidRDefault="00B60B21" w:rsidP="00B60B21">
      <w:pPr>
        <w:bidi/>
        <w:spacing w:after="0"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1- ركائز رؤية المملكة 2030:</w:t>
      </w:r>
    </w:p>
    <w:p w14:paraId="5C435087"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بنيت تلك الرؤية علي ثلاثة ركائز:</w:t>
      </w:r>
    </w:p>
    <w:p w14:paraId="1D7537B1"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أ- مجتمع حيوي.</w:t>
      </w:r>
    </w:p>
    <w:p w14:paraId="34E64350"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ب- اقتصاد مزدهر.</w:t>
      </w:r>
    </w:p>
    <w:p w14:paraId="00B12EE1"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ج- وطن طموح.</w:t>
      </w:r>
    </w:p>
    <w:p w14:paraId="286026E9" w14:textId="77777777" w:rsidR="00B60B21" w:rsidRPr="00C30465" w:rsidRDefault="00B60B21" w:rsidP="00112C06">
      <w:pPr>
        <w:bidi/>
        <w:spacing w:before="240" w:after="0"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2- الحوكمة في رؤية المملكة 2030:</w:t>
      </w:r>
    </w:p>
    <w:p w14:paraId="0BC182D4" w14:textId="77777777" w:rsidR="00B60B21" w:rsidRPr="00C30465" w:rsidRDefault="00B60B21" w:rsidP="00B60B21">
      <w:pPr>
        <w:bidi/>
        <w:spacing w:after="0" w:line="240" w:lineRule="auto"/>
        <w:ind w:firstLine="540"/>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كان للحوكمة حظ وافر من رؤية المملكة 2030، حيث اشتملت علي العديد من مبادئها، فأشارت إلي اعتمادها على الشفافية والإفصاح في حال الفشل والنحاج، والمسارعة في المحاسبة والمساءلة عن أي فساد وانحرافات في العمل، كما انها ضمن أهدافها تحسين ترتيب المملكة العربية السعودية في مؤشر مدركات الفساد من الترتيب 40 إلي 57، بالإضافة إلي ذلك تم وضع برنامج تعزيز حوكمة العمل الحكومي كأحد البرامج التنفيذية الذي سيكون له أثر في تحقيق هذه الرؤية، والذي بدوره يسعي إلي إعادة هيكلة الأجهزة الحكومية، وإلغاء الإذدواجية في الأدوار والاختصصات لتمكن من تحديد مسؤولية كل جهة وكل إدارة، وبشكل يمكن من المساءلة. (رؤية المملكة 2030، 2016)</w:t>
      </w:r>
    </w:p>
    <w:p w14:paraId="19C4B741" w14:textId="4E3F0FBD" w:rsidR="00B60B21" w:rsidRPr="00C30465" w:rsidRDefault="00B60B21" w:rsidP="00B60B21">
      <w:pPr>
        <w:bidi/>
        <w:spacing w:before="240" w:after="0" w:line="240" w:lineRule="auto"/>
        <w:jc w:val="both"/>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w:t>
      </w:r>
      <w:r w:rsidR="00D92238" w:rsidRPr="00C30465">
        <w:rPr>
          <w:rFonts w:ascii="Simplified Arabic" w:eastAsia="Times New Roman" w:hAnsi="Simplified Arabic" w:cs="Simplified Arabic"/>
          <w:b/>
          <w:bCs/>
          <w:kern w:val="0"/>
          <w:sz w:val="32"/>
          <w:szCs w:val="32"/>
          <w:rtl/>
          <w14:ligatures w14:val="none"/>
        </w:rPr>
        <w:t>ب</w:t>
      </w:r>
      <w:r w:rsidRPr="00C30465">
        <w:rPr>
          <w:rFonts w:ascii="Simplified Arabic" w:eastAsia="Times New Roman" w:hAnsi="Simplified Arabic" w:cs="Simplified Arabic"/>
          <w:b/>
          <w:bCs/>
          <w:kern w:val="0"/>
          <w:sz w:val="32"/>
          <w:szCs w:val="32"/>
          <w:rtl/>
          <w14:ligatures w14:val="none"/>
        </w:rPr>
        <w:t xml:space="preserve">) التحديات التي تواجه الشركات الناشئة في تطبيق الحوكمة. </w:t>
      </w:r>
    </w:p>
    <w:p w14:paraId="2AB6E53C" w14:textId="77777777" w:rsidR="00B60B21" w:rsidRPr="00C30465" w:rsidRDefault="00B60B21" w:rsidP="00112C06">
      <w:pPr>
        <w:bidi/>
        <w:spacing w:before="240"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kern w:val="0"/>
          <w:sz w:val="28"/>
          <w:szCs w:val="28"/>
          <w:rtl/>
          <w14:ligatures w14:val="none"/>
        </w:rPr>
        <w:lastRenderedPageBreak/>
        <w:t xml:space="preserve">حدد تقرير التنمية البشرية العربية الصادر عام </w:t>
      </w:r>
      <w:r w:rsidRPr="00C30465">
        <w:rPr>
          <w:rFonts w:ascii="Simplified Arabic" w:eastAsia="Times New Roman" w:hAnsi="Simplified Arabic" w:cs="Simplified Arabic"/>
          <w:kern w:val="0"/>
          <w:sz w:val="28"/>
          <w:szCs w:val="28"/>
          <w:rtl/>
          <w:lang w:bidi="fa-IR"/>
          <w14:ligatures w14:val="none"/>
        </w:rPr>
        <w:t>۲۰۰</w:t>
      </w:r>
      <w:r w:rsidRPr="00C30465">
        <w:rPr>
          <w:rFonts w:ascii="Simplified Arabic" w:eastAsia="Times New Roman" w:hAnsi="Simplified Arabic" w:cs="Simplified Arabic"/>
          <w:kern w:val="0"/>
          <w:sz w:val="28"/>
          <w:szCs w:val="28"/>
          <w:rtl/>
          <w14:ligatures w14:val="none"/>
        </w:rPr>
        <w:t xml:space="preserve">٤ تحت عنوان "نحو الحرية في الوطن عددا من التحديات الأساسية التي تعترض سبيل الحوكمة في المنطقة، </w:t>
      </w:r>
      <w:r w:rsidRPr="00C30465">
        <w:rPr>
          <w:rFonts w:ascii="Simplified Arabic" w:eastAsia="Times New Roman" w:hAnsi="Simplified Arabic" w:cs="Simplified Arabic"/>
          <w:b/>
          <w:bCs/>
          <w:kern w:val="0"/>
          <w:sz w:val="28"/>
          <w:szCs w:val="28"/>
          <w:rtl/>
          <w14:ligatures w14:val="none"/>
        </w:rPr>
        <w:t>شملت أهم تلك التحديات</w:t>
      </w:r>
      <w:r w:rsidRPr="00C30465">
        <w:rPr>
          <w:rFonts w:ascii="Simplified Arabic" w:eastAsia="Times New Roman" w:hAnsi="Simplified Arabic" w:cs="Simplified Arabic"/>
          <w:b/>
          <w:bCs/>
          <w:kern w:val="0"/>
          <w:sz w:val="28"/>
          <w:szCs w:val="28"/>
          <w14:ligatures w14:val="none"/>
        </w:rPr>
        <w:t>:</w:t>
      </w:r>
      <w:r w:rsidRPr="00C30465">
        <w:rPr>
          <w:rFonts w:ascii="Simplified Arabic" w:eastAsia="Times New Roman" w:hAnsi="Simplified Arabic" w:cs="Simplified Arabic"/>
          <w:b/>
          <w:bCs/>
          <w:kern w:val="0"/>
          <w:sz w:val="28"/>
          <w:szCs w:val="28"/>
          <w:rtl/>
          <w14:ligatures w14:val="none"/>
        </w:rPr>
        <w:t xml:space="preserve"> (أبو النصر، 2015، 66)</w:t>
      </w:r>
    </w:p>
    <w:p w14:paraId="4584FBDC"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1- </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أنظمة الإدارة العامة التي لا تلبى بشكل لكامل حاجات المواطنين</w:t>
      </w:r>
      <w:r w:rsidRPr="00C30465">
        <w:rPr>
          <w:rFonts w:ascii="Simplified Arabic" w:eastAsia="Times New Roman" w:hAnsi="Simplified Arabic" w:cs="Simplified Arabic"/>
          <w:kern w:val="0"/>
          <w:sz w:val="28"/>
          <w:szCs w:val="28"/>
          <w14:ligatures w14:val="none"/>
        </w:rPr>
        <w:t>.</w:t>
      </w:r>
    </w:p>
    <w:p w14:paraId="19BF0CF0"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2- قصور وسائل المساءلة المؤسسية</w:t>
      </w:r>
      <w:r w:rsidRPr="00C30465">
        <w:rPr>
          <w:rFonts w:ascii="Simplified Arabic" w:eastAsia="Times New Roman" w:hAnsi="Simplified Arabic" w:cs="Simplified Arabic"/>
          <w:kern w:val="0"/>
          <w:sz w:val="28"/>
          <w:szCs w:val="28"/>
          <w14:ligatures w14:val="none"/>
        </w:rPr>
        <w:t>.</w:t>
      </w:r>
    </w:p>
    <w:p w14:paraId="51602575"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3-</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إعاقة فرص مشاركة المواطنين في عمليات اتخاذ القرارات التي تؤثر في حياتهم. </w:t>
      </w:r>
    </w:p>
    <w:p w14:paraId="7089E446"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4- عدم تمتع المواطنين بالحقوق الأساسية، مثل حقوق المواطنة والمساواة بين الجنسين.</w:t>
      </w:r>
    </w:p>
    <w:p w14:paraId="75074B69"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5- عدم تفعيل دور الأجهزة الرقابية في القيام بدورها الرقابي المتوقع</w:t>
      </w:r>
      <w:r w:rsidRPr="00C30465">
        <w:rPr>
          <w:rFonts w:ascii="Simplified Arabic" w:eastAsia="Times New Roman" w:hAnsi="Simplified Arabic" w:cs="Simplified Arabic"/>
          <w:kern w:val="0"/>
          <w:sz w:val="28"/>
          <w:szCs w:val="28"/>
          <w14:ligatures w14:val="none"/>
        </w:rPr>
        <w:t>.</w:t>
      </w:r>
    </w:p>
    <w:p w14:paraId="33E4F042"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6-</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وجود العديد من الممارسات السلبية التي ترتبط بالإفصاح في ما يتعلق بالملكية والإدارة ومنها عدم الإفصاح عن هياكل الملكية الصريحة والمستترة أو المتداخلة</w:t>
      </w:r>
      <w:r w:rsidRPr="00C30465">
        <w:rPr>
          <w:rFonts w:ascii="Simplified Arabic" w:eastAsia="Times New Roman" w:hAnsi="Simplified Arabic" w:cs="Simplified Arabic"/>
          <w:kern w:val="0"/>
          <w:sz w:val="28"/>
          <w:szCs w:val="28"/>
          <w14:ligatures w14:val="none"/>
        </w:rPr>
        <w:t>.</w:t>
      </w:r>
      <w:r w:rsidRPr="00C30465">
        <w:rPr>
          <w:rFonts w:ascii="Simplified Arabic" w:eastAsia="Times New Roman" w:hAnsi="Simplified Arabic" w:cs="Simplified Arabic"/>
          <w:kern w:val="0"/>
          <w:sz w:val="28"/>
          <w:szCs w:val="28"/>
          <w:rtl/>
          <w14:ligatures w14:val="none"/>
        </w:rPr>
        <w:t xml:space="preserve"> </w:t>
      </w:r>
    </w:p>
    <w:p w14:paraId="70E1EA37"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7-</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عدم القيام بتنمية مستدامة وإنما يقتصر الأمر على إدخال تحسينات في النظام السياسي والاقتصادي دون القيام بتنمية شاملة كافة نواحي الحياة</w:t>
      </w:r>
      <w:r w:rsidRPr="00C30465">
        <w:rPr>
          <w:rFonts w:ascii="Simplified Arabic" w:eastAsia="Times New Roman" w:hAnsi="Simplified Arabic" w:cs="Simplified Arabic"/>
          <w:kern w:val="0"/>
          <w:sz w:val="28"/>
          <w:szCs w:val="28"/>
          <w14:ligatures w14:val="none"/>
        </w:rPr>
        <w:t>.</w:t>
      </w:r>
    </w:p>
    <w:p w14:paraId="25E342CF"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8- لا يتم وضع قواعد تؤكد أهمية الالتزام بأحكام القانون، حيث يتم وضع قوانين لا تطبق إلا على العامة دون الطبقة الحاكمة التي لا تطبق عليها الكيل بأكثر من مكيال.</w:t>
      </w:r>
    </w:p>
    <w:p w14:paraId="1A86B85F" w14:textId="77777777" w:rsidR="00B60B21" w:rsidRPr="00C30465" w:rsidRDefault="00B60B21" w:rsidP="00112C06">
      <w:pPr>
        <w:bidi/>
        <w:spacing w:before="240" w:after="0"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ومن وجهة نظر أخرى فإن تحديات الحوكمة الرشيدة تتمثل في</w:t>
      </w:r>
      <w:r w:rsidRPr="00C30465">
        <w:rPr>
          <w:rFonts w:ascii="Simplified Arabic" w:eastAsia="Times New Roman" w:hAnsi="Simplified Arabic" w:cs="Simplified Arabic"/>
          <w:b/>
          <w:bCs/>
          <w:kern w:val="0"/>
          <w:sz w:val="28"/>
          <w:szCs w:val="28"/>
          <w:lang w:bidi="fa-IR"/>
          <w14:ligatures w14:val="none"/>
        </w:rPr>
        <w:t>:</w:t>
      </w:r>
    </w:p>
    <w:p w14:paraId="3D5BDEB1" w14:textId="77777777" w:rsidR="00B60B21" w:rsidRPr="00C30465" w:rsidRDefault="00B60B21" w:rsidP="00112C06">
      <w:pPr>
        <w:bidi/>
        <w:spacing w:after="0" w:line="240" w:lineRule="auto"/>
        <w:ind w:firstLine="54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ضعف المؤسسات وقلة المشاركة والديمقراطية ونقص رأس المال الاجتماعي والفساد مع القيادة الدكتاتورية والتفكك الاجتماعي والضغوط الاقتصادية والاستعمار والحرب الأهلية والأضرار اللاحقة للنزاع ، والتدهور السياسي والاقتصادي ، التدخل السياسي والعسكرى والديكتاتورى ، على سبيل المثال لا الحصر هذه العوامل هي تحديات للحوكمة الرشيدة تؤدي إلى سوء الإدارة ، وسوء إدارة الشؤون المالية ، والمحسوبية ، وعدم وعدم المساواة ، وانعدام سيادة القانون ، وسوء استخدام والسلطة ، والرشاوى. (</w:t>
      </w:r>
      <w:r w:rsidRPr="00C30465">
        <w:rPr>
          <w:rFonts w:ascii="Simplified Arabic" w:eastAsia="Times New Roman" w:hAnsi="Simplified Arabic" w:cs="Simplified Arabic"/>
          <w:kern w:val="0"/>
          <w:sz w:val="28"/>
          <w:szCs w:val="28"/>
          <w14:ligatures w14:val="none"/>
        </w:rPr>
        <w:t>Maung Aya, Khin, 2016</w:t>
      </w:r>
      <w:r w:rsidRPr="00C30465">
        <w:rPr>
          <w:rFonts w:ascii="Simplified Arabic" w:eastAsia="Times New Roman" w:hAnsi="Simplified Arabic" w:cs="Simplified Arabic"/>
          <w:kern w:val="0"/>
          <w:sz w:val="28"/>
          <w:szCs w:val="28"/>
          <w:rtl/>
          <w14:ligatures w14:val="none"/>
        </w:rPr>
        <w:t>)</w:t>
      </w:r>
    </w:p>
    <w:p w14:paraId="087AFF66" w14:textId="4280B6B3" w:rsidR="00B60B21" w:rsidRPr="00C30465" w:rsidRDefault="00B60B21" w:rsidP="00B60B21">
      <w:pPr>
        <w:bidi/>
        <w:spacing w:before="240"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w:t>
      </w:r>
      <w:r w:rsidR="00D92238" w:rsidRPr="00C30465">
        <w:rPr>
          <w:rFonts w:ascii="Simplified Arabic" w:eastAsia="Times New Roman" w:hAnsi="Simplified Arabic" w:cs="Simplified Arabic"/>
          <w:b/>
          <w:bCs/>
          <w:kern w:val="0"/>
          <w:sz w:val="32"/>
          <w:szCs w:val="32"/>
          <w:rtl/>
          <w14:ligatures w14:val="none"/>
        </w:rPr>
        <w:t>ج</w:t>
      </w:r>
      <w:r w:rsidRPr="00C30465">
        <w:rPr>
          <w:rFonts w:ascii="Simplified Arabic" w:eastAsia="Times New Roman" w:hAnsi="Simplified Arabic" w:cs="Simplified Arabic"/>
          <w:b/>
          <w:bCs/>
          <w:kern w:val="0"/>
          <w:sz w:val="32"/>
          <w:szCs w:val="32"/>
          <w:rtl/>
          <w14:ligatures w14:val="none"/>
        </w:rPr>
        <w:t>) فرص تطوير منظومة الحوكمة في ضوء التحول الرقمي في السعودية.</w:t>
      </w:r>
    </w:p>
    <w:p w14:paraId="71A4B063" w14:textId="77777777" w:rsidR="00B60B21" w:rsidRPr="00C30465" w:rsidRDefault="00B60B21" w:rsidP="00B60B21">
      <w:pPr>
        <w:bidi/>
        <w:spacing w:after="0" w:line="240" w:lineRule="auto"/>
        <w:ind w:firstLine="630"/>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يركز مفهوم الحوكمة على ما الذي يجعل المؤسسات والهيئات والجمعيات أكثر فعالية وكفاءة من أجل تحقيق الإنصاف والشفافية والمشاركة وسيادة القانون وهذه الجوانب أساسية للتنمية البشرية والقضاء على الفقر لأن المؤسسات الفعالة عادة ماتؤدى إلى ضرر كبير للفقراء لذا أياً كان الشكل الذي يتخذه </w:t>
      </w:r>
      <w:r w:rsidRPr="00C30465">
        <w:rPr>
          <w:rFonts w:ascii="Simplified Arabic" w:eastAsia="Times New Roman" w:hAnsi="Simplified Arabic" w:cs="Simplified Arabic"/>
          <w:kern w:val="0"/>
          <w:sz w:val="28"/>
          <w:szCs w:val="28"/>
          <w:rtl/>
          <w14:ligatures w14:val="none"/>
        </w:rPr>
        <w:lastRenderedPageBreak/>
        <w:t>الإطار فيجب أن يقوم على أساس ودعم الحوكمة من أجل التطويرو التنمية البشرية السليمة والشاملة والمتجاوبة (</w:t>
      </w:r>
      <w:r w:rsidRPr="00C30465">
        <w:rPr>
          <w:rFonts w:ascii="Simplified Arabic" w:eastAsia="Times New Roman" w:hAnsi="Simplified Arabic" w:cs="Simplified Arabic"/>
          <w:kern w:val="0"/>
          <w:sz w:val="28"/>
          <w:szCs w:val="28"/>
          <w14:ligatures w14:val="none"/>
        </w:rPr>
        <w:t>Weber M , 2015).</w:t>
      </w:r>
      <w:r w:rsidRPr="00C30465">
        <w:rPr>
          <w:rFonts w:ascii="Simplified Arabic" w:eastAsia="Times New Roman" w:hAnsi="Simplified Arabic" w:cs="Simplified Arabic"/>
          <w:kern w:val="0"/>
          <w:sz w:val="28"/>
          <w:szCs w:val="28"/>
          <w:rtl/>
          <w14:ligatures w14:val="none"/>
        </w:rPr>
        <w:t>).</w:t>
      </w:r>
    </w:p>
    <w:p w14:paraId="560FB8FB" w14:textId="77777777" w:rsidR="00B60B21" w:rsidRPr="00C30465" w:rsidRDefault="00B60B21" w:rsidP="00112C06">
      <w:pPr>
        <w:bidi/>
        <w:spacing w:before="240"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ويرى الباحث أنه لكى يكون للحوكمة الرشيدة دور فى التنمية</w:t>
      </w:r>
      <w:r w:rsidRPr="00C30465">
        <w:rPr>
          <w:rFonts w:ascii="Simplified Arabic" w:eastAsia="Times New Roman" w:hAnsi="Simplified Arabic" w:cs="Simplified Arabic"/>
          <w:kern w:val="0"/>
          <w:sz w:val="28"/>
          <w:szCs w:val="28"/>
          <w:rtl/>
          <w14:ligatures w14:val="none"/>
        </w:rPr>
        <w:t xml:space="preserve"> والنهوض بعمل الجمعيات الأهلية في طريقة تقديمها الخدمات لعملائها وإشباع احتياجاتهم وتنمية المجتمه فلابد من التركيز على مؤشرات التطوير والالتزام بتنفيذها مما يؤدى في نهاية المطاف إلى تطوير خدمات الرعاية الاجتماعية بالجمعيات الأهلية والنهوض بعمل تلك الجمعيات وتحقيق جدارتها ومصداقيتها في المجتمع</w:t>
      </w:r>
      <w:r w:rsidRPr="00C30465">
        <w:rPr>
          <w:rFonts w:ascii="Simplified Arabic" w:eastAsia="Times New Roman" w:hAnsi="Simplified Arabic" w:cs="Simplified Arabic"/>
          <w:kern w:val="0"/>
          <w:sz w:val="28"/>
          <w:szCs w:val="28"/>
          <w14:ligatures w14:val="none"/>
        </w:rPr>
        <w:t>.</w:t>
      </w:r>
    </w:p>
    <w:p w14:paraId="34384821" w14:textId="77777777" w:rsidR="00B60B21" w:rsidRPr="00C30465" w:rsidRDefault="00B60B21" w:rsidP="00112C06">
      <w:pPr>
        <w:bidi/>
        <w:spacing w:before="240" w:after="0" w:line="240" w:lineRule="auto"/>
        <w:jc w:val="both"/>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وقد تم تحديد مؤشرات الحوكمة الرشيدة في الدراسة الراهنه وهى</w:t>
      </w:r>
      <w:r w:rsidRPr="00C30465">
        <w:rPr>
          <w:rFonts w:ascii="Simplified Arabic" w:eastAsia="Times New Roman" w:hAnsi="Simplified Arabic" w:cs="Simplified Arabic"/>
          <w:b/>
          <w:bCs/>
          <w:kern w:val="0"/>
          <w:sz w:val="28"/>
          <w:szCs w:val="28"/>
          <w14:ligatures w14:val="none"/>
        </w:rPr>
        <w:t xml:space="preserve"> :</w:t>
      </w:r>
    </w:p>
    <w:p w14:paraId="6E33F6BF"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1-</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الشفافية</w:t>
      </w:r>
    </w:p>
    <w:p w14:paraId="5A8DF8A4"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2</w:t>
      </w:r>
      <w:r w:rsidRPr="00C30465">
        <w:rPr>
          <w:rFonts w:ascii="Simplified Arabic" w:eastAsia="Times New Roman" w:hAnsi="Simplified Arabic" w:cs="Simplified Arabic"/>
          <w:kern w:val="0"/>
          <w:sz w:val="28"/>
          <w:szCs w:val="28"/>
          <w14:ligatures w14:val="none"/>
        </w:rPr>
        <w:t xml:space="preserve"> - </w:t>
      </w:r>
      <w:r w:rsidRPr="00C30465">
        <w:rPr>
          <w:rFonts w:ascii="Simplified Arabic" w:eastAsia="Times New Roman" w:hAnsi="Simplified Arabic" w:cs="Simplified Arabic"/>
          <w:kern w:val="0"/>
          <w:sz w:val="28"/>
          <w:szCs w:val="28"/>
          <w:rtl/>
          <w14:ligatures w14:val="none"/>
        </w:rPr>
        <w:t>المساءلة</w:t>
      </w:r>
    </w:p>
    <w:p w14:paraId="1388A424"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3-</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المسؤولية</w:t>
      </w:r>
    </w:p>
    <w:p w14:paraId="7C0DB684" w14:textId="77777777" w:rsidR="00B60B21" w:rsidRPr="00C30465" w:rsidRDefault="00B60B21" w:rsidP="00B60B21">
      <w:pPr>
        <w:bidi/>
        <w:spacing w:after="0" w:line="240" w:lineRule="auto"/>
        <w:jc w:val="both"/>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4- العدالة الاجتماعية</w:t>
      </w:r>
    </w:p>
    <w:p w14:paraId="351FE40F" w14:textId="77777777" w:rsidR="00B60B21" w:rsidRPr="00C30465" w:rsidRDefault="00B60B21" w:rsidP="00112C06">
      <w:pPr>
        <w:bidi/>
        <w:spacing w:before="240" w:after="0" w:line="240" w:lineRule="auto"/>
        <w:rPr>
          <w:rFonts w:ascii="Simplified Arabic" w:eastAsia="Times New Roman" w:hAnsi="Simplified Arabic" w:cs="Simplified Arabic"/>
          <w:b/>
          <w:bCs/>
          <w:kern w:val="0"/>
          <w:sz w:val="28"/>
          <w:szCs w:val="28"/>
          <w:rtl/>
          <w14:ligatures w14:val="none"/>
        </w:rPr>
      </w:pPr>
      <w:r w:rsidRPr="00C30465">
        <w:rPr>
          <w:rFonts w:ascii="Simplified Arabic" w:eastAsia="Times New Roman" w:hAnsi="Simplified Arabic" w:cs="Simplified Arabic"/>
          <w:b/>
          <w:bCs/>
          <w:kern w:val="0"/>
          <w:sz w:val="28"/>
          <w:szCs w:val="28"/>
          <w:rtl/>
          <w14:ligatures w14:val="none"/>
        </w:rPr>
        <w:t>وكذلك أيضاً تم تحديد مؤشرات التطوير في الدراسة الراهنه وهى</w:t>
      </w:r>
      <w:r w:rsidRPr="00C30465">
        <w:rPr>
          <w:rFonts w:ascii="Simplified Arabic" w:eastAsia="Times New Roman" w:hAnsi="Simplified Arabic" w:cs="Simplified Arabic"/>
          <w:b/>
          <w:bCs/>
          <w:kern w:val="0"/>
          <w:sz w:val="28"/>
          <w:szCs w:val="28"/>
          <w14:ligatures w14:val="none"/>
        </w:rPr>
        <w:t xml:space="preserve"> :</w:t>
      </w:r>
    </w:p>
    <w:p w14:paraId="237CE1E7" w14:textId="77777777" w:rsidR="00B60B21" w:rsidRPr="00C30465"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lang w:bidi="ar-EG"/>
          <w14:ligatures w14:val="none"/>
        </w:rPr>
        <w:t xml:space="preserve">1- </w:t>
      </w:r>
      <w:r w:rsidRPr="00C30465">
        <w:rPr>
          <w:rFonts w:ascii="Simplified Arabic" w:eastAsia="Times New Roman" w:hAnsi="Simplified Arabic" w:cs="Simplified Arabic"/>
          <w:kern w:val="0"/>
          <w:sz w:val="28"/>
          <w:szCs w:val="28"/>
          <w:rtl/>
          <w14:ligatures w14:val="none"/>
        </w:rPr>
        <w:t>رضا عن الخدمات المقدمة.</w:t>
      </w:r>
    </w:p>
    <w:p w14:paraId="08F31537" w14:textId="77777777" w:rsidR="00B60B21" w:rsidRPr="00C30465"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lang w:bidi="fa-IR"/>
          <w14:ligatures w14:val="none"/>
        </w:rPr>
        <w:t>2-</w:t>
      </w:r>
      <w:r w:rsidRPr="00C30465">
        <w:rPr>
          <w:rFonts w:ascii="Simplified Arabic" w:eastAsia="Times New Roman" w:hAnsi="Simplified Arabic" w:cs="Simplified Arabic"/>
          <w:kern w:val="0"/>
          <w:sz w:val="28"/>
          <w:szCs w:val="28"/>
          <w:lang w:bidi="fa-IR"/>
          <w14:ligatures w14:val="none"/>
        </w:rPr>
        <w:t xml:space="preserve"> </w:t>
      </w:r>
      <w:r w:rsidRPr="00C30465">
        <w:rPr>
          <w:rFonts w:ascii="Simplified Arabic" w:eastAsia="Times New Roman" w:hAnsi="Simplified Arabic" w:cs="Simplified Arabic"/>
          <w:kern w:val="0"/>
          <w:sz w:val="28"/>
          <w:szCs w:val="28"/>
          <w:rtl/>
          <w14:ligatures w14:val="none"/>
        </w:rPr>
        <w:t>سهولة الحصول على الخدمة</w:t>
      </w:r>
    </w:p>
    <w:p w14:paraId="70819E98" w14:textId="77777777" w:rsidR="00B60B21" w:rsidRPr="00C30465"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3</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 xml:space="preserve"> التحسين المستمر للخدمة</w:t>
      </w:r>
    </w:p>
    <w:p w14:paraId="37AE0F3A" w14:textId="77777777" w:rsidR="00B60B21" w:rsidRPr="00C30465"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 xml:space="preserve">4- </w:t>
      </w:r>
      <w:r w:rsidRPr="00C30465">
        <w:rPr>
          <w:rFonts w:ascii="Simplified Arabic" w:eastAsia="Times New Roman" w:hAnsi="Simplified Arabic" w:cs="Simplified Arabic"/>
          <w:kern w:val="0"/>
          <w:sz w:val="28"/>
          <w:szCs w:val="28"/>
          <w14:ligatures w14:val="none"/>
        </w:rPr>
        <w:t xml:space="preserve"> </w:t>
      </w:r>
      <w:r w:rsidRPr="00C30465">
        <w:rPr>
          <w:rFonts w:ascii="Simplified Arabic" w:eastAsia="Times New Roman" w:hAnsi="Simplified Arabic" w:cs="Simplified Arabic"/>
          <w:kern w:val="0"/>
          <w:sz w:val="28"/>
          <w:szCs w:val="28"/>
          <w:rtl/>
          <w14:ligatures w14:val="none"/>
        </w:rPr>
        <w:t>قلة الشكاوى</w:t>
      </w:r>
    </w:p>
    <w:p w14:paraId="2B8AEE07" w14:textId="77777777" w:rsidR="00B60B21" w:rsidRPr="00C30465" w:rsidRDefault="00B60B21" w:rsidP="00B60B21">
      <w:pPr>
        <w:bidi/>
        <w:spacing w:after="0" w:line="240" w:lineRule="auto"/>
        <w:rPr>
          <w:rFonts w:ascii="Simplified Arabic" w:eastAsia="Times New Roman" w:hAnsi="Simplified Arabic" w:cs="Simplified Arabic"/>
          <w:kern w:val="0"/>
          <w:sz w:val="28"/>
          <w:szCs w:val="28"/>
          <w:rtl/>
          <w14:ligatures w14:val="none"/>
        </w:rPr>
      </w:pPr>
      <w:r w:rsidRPr="00C30465">
        <w:rPr>
          <w:rFonts w:ascii="Simplified Arabic" w:eastAsia="Times New Roman" w:hAnsi="Simplified Arabic" w:cs="Simplified Arabic"/>
          <w:kern w:val="0"/>
          <w:sz w:val="28"/>
          <w:szCs w:val="28"/>
          <w:rtl/>
          <w14:ligatures w14:val="none"/>
        </w:rPr>
        <w:t>5- العدالة في تقديم الخدمات</w:t>
      </w:r>
    </w:p>
    <w:p w14:paraId="0BDA40BD" w14:textId="77777777" w:rsidR="00B60B21" w:rsidRPr="00C30465" w:rsidRDefault="00B60B21" w:rsidP="00B60B21">
      <w:pPr>
        <w:bidi/>
        <w:spacing w:after="0" w:line="240" w:lineRule="auto"/>
        <w:rPr>
          <w:rFonts w:ascii="Simplified Arabic" w:eastAsia="Times New Roman" w:hAnsi="Simplified Arabic" w:cs="Simplified Arabic"/>
          <w:b/>
          <w:bCs/>
          <w:kern w:val="0"/>
          <w:sz w:val="32"/>
          <w:szCs w:val="32"/>
          <w14:ligatures w14:val="none"/>
        </w:rPr>
      </w:pPr>
      <w:r w:rsidRPr="00C30465">
        <w:rPr>
          <w:rFonts w:ascii="Simplified Arabic" w:eastAsia="Times New Roman" w:hAnsi="Simplified Arabic" w:cs="Simplified Arabic"/>
          <w:b/>
          <w:bCs/>
          <w:kern w:val="0"/>
          <w:sz w:val="32"/>
          <w:szCs w:val="32"/>
          <w:rtl/>
          <w14:ligatures w14:val="none"/>
        </w:rPr>
        <w:t>المراجع:</w:t>
      </w:r>
    </w:p>
    <w:p w14:paraId="4EF23CFE" w14:textId="77777777" w:rsidR="00B60B21" w:rsidRPr="00C30465" w:rsidRDefault="00B60B21" w:rsidP="00B60B21">
      <w:pPr>
        <w:bidi/>
        <w:spacing w:after="0" w:line="240" w:lineRule="auto"/>
        <w:rPr>
          <w:rFonts w:ascii="Simplified Arabic" w:eastAsia="Times New Roman" w:hAnsi="Simplified Arabic" w:cs="Simplified Arabic"/>
          <w:b/>
          <w:bCs/>
          <w:kern w:val="0"/>
          <w:sz w:val="32"/>
          <w:szCs w:val="32"/>
          <w:rtl/>
          <w14:ligatures w14:val="none"/>
        </w:rPr>
      </w:pPr>
      <w:r w:rsidRPr="00C30465">
        <w:rPr>
          <w:rFonts w:ascii="Simplified Arabic" w:eastAsia="Times New Roman" w:hAnsi="Simplified Arabic" w:cs="Simplified Arabic"/>
          <w:b/>
          <w:bCs/>
          <w:kern w:val="0"/>
          <w:sz w:val="32"/>
          <w:szCs w:val="32"/>
          <w:rtl/>
          <w14:ligatures w14:val="none"/>
        </w:rPr>
        <w:t>المراجع العربية:</w:t>
      </w:r>
    </w:p>
    <w:p w14:paraId="2CC46657" w14:textId="77777777" w:rsidR="00112C06" w:rsidRPr="00C30465" w:rsidRDefault="00112C06" w:rsidP="00112C06">
      <w:pPr>
        <w:numPr>
          <w:ilvl w:val="0"/>
          <w:numId w:val="7"/>
        </w:numPr>
        <w:tabs>
          <w:tab w:val="right" w:pos="720"/>
          <w:tab w:val="right" w:pos="90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14:ligatures w14:val="none"/>
        </w:rPr>
        <w:t>https://n9.cl/fpwqu</w:t>
      </w:r>
    </w:p>
    <w:p w14:paraId="0596F532"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أبو الخير، ماجد أمير عبد المقصود (2023). العلاقة بين تفعيل حوكمة الشركات وقياس رأس المال البشري وأثر ذلك على قيمة الشركات: دراسة تطبيقية، بحث منشور، المجلة العلمية للدراسات التجارية والبيئية، مج 14، ع 2.</w:t>
      </w:r>
    </w:p>
    <w:p w14:paraId="0B492DA0"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أبو النصر، مدحت محمد (2015). الحوكمة الرشيدة فن إدارة المؤسسات عالية الجودة، المجموعة العربية للتدريب والنشر، القاهرة.</w:t>
      </w:r>
    </w:p>
    <w:p w14:paraId="1167F7EB"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lang w:bidi="ar-EG"/>
          <w14:ligatures w14:val="none"/>
        </w:rPr>
        <w:lastRenderedPageBreak/>
        <w:t>أبو حمام، ماجد إسماعيل (2009).</w:t>
      </w:r>
      <w:r w:rsidRPr="00C30465">
        <w:rPr>
          <w:rFonts w:ascii="Simplified Arabic" w:eastAsia="Times New Roman" w:hAnsi="Simplified Arabic" w:cs="Simplified Arabic"/>
          <w:kern w:val="0"/>
          <w:sz w:val="28"/>
          <w:szCs w:val="28"/>
          <w:lang w:bidi="ar-EG"/>
          <w14:ligatures w14:val="none"/>
        </w:rPr>
        <w:t xml:space="preserve"> </w:t>
      </w:r>
      <w:r w:rsidRPr="00C30465">
        <w:rPr>
          <w:rFonts w:ascii="Simplified Arabic" w:eastAsia="Times New Roman" w:hAnsi="Simplified Arabic" w:cs="Simplified Arabic"/>
          <w:kern w:val="0"/>
          <w:sz w:val="28"/>
          <w:szCs w:val="28"/>
          <w:rtl/>
          <w:lang w:bidi="ar-EG"/>
          <w14:ligatures w14:val="none"/>
        </w:rPr>
        <w:t>أثر تطبيق قواعد الحوكمة على الإفصاح المؤسسي وجودة التقارير المالية، رسالة ماجستير، الجامعة الإسلامية بغزة، فلسطين.</w:t>
      </w:r>
    </w:p>
    <w:p w14:paraId="5C9EACF7"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 xml:space="preserve">إدارة التحرير (2020). الأمن السيبراني: ضمان الأمن في المدن الذكية </w:t>
      </w:r>
      <w:r w:rsidRPr="00C30465">
        <w:rPr>
          <w:rFonts w:ascii="Simplified Arabic" w:eastAsia="Times New Roman" w:hAnsi="Simplified Arabic" w:cs="Simplified Arabic"/>
          <w:kern w:val="0"/>
          <w:sz w:val="28"/>
          <w:szCs w:val="28"/>
          <w14:ligatures w14:val="none"/>
        </w:rPr>
        <w:t>https://www.arab-cio.org</w:t>
      </w:r>
    </w:p>
    <w:p w14:paraId="4E5E5B38"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جبور، منى (2016) السيبرانية هاجس العصر، بيروت، لبنان، جامعي الدول العربية، المركز العربي للبحوث القانونية والقضائية.</w:t>
      </w:r>
    </w:p>
    <w:p w14:paraId="14DE44DE"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سليمان، أحمد</w:t>
      </w:r>
      <w:r w:rsidRPr="00C30465">
        <w:rPr>
          <w:rFonts w:ascii="Simplified Arabic" w:hAnsi="Simplified Arabic" w:cs="Simplified Arabic"/>
          <w:sz w:val="28"/>
          <w:szCs w:val="28"/>
          <w:rtl/>
        </w:rPr>
        <w:t xml:space="preserve"> </w:t>
      </w:r>
      <w:r w:rsidRPr="00C30465">
        <w:rPr>
          <w:rFonts w:ascii="Simplified Arabic" w:eastAsia="Times New Roman" w:hAnsi="Simplified Arabic" w:cs="Simplified Arabic"/>
          <w:kern w:val="0"/>
          <w:sz w:val="28"/>
          <w:szCs w:val="28"/>
          <w:rtl/>
          <w14:ligatures w14:val="none"/>
        </w:rPr>
        <w:t xml:space="preserve">بن محمد (2016). حوكمة الشركات وتركز الملكية وأثرها علي إدارة الأرباح في الأسواق الناشئة: حالة الشركات المساهمة السعودية، مجلة العلوم الإدارية والاقتصادية، مج 10،ع1، جامعة القصيم، كلية الاقتصاد والادارة.  </w:t>
      </w:r>
    </w:p>
    <w:p w14:paraId="2E04C41A"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الشريف، عمر أحمد أبو هاشم، أسامة محمد عبد العليم، هشام محمد بيومي (2013). الإدارة الإلكترونية: مدخل إلي الإدارة التعليمية الحديثة، دار المنهاج.</w:t>
      </w:r>
    </w:p>
    <w:p w14:paraId="07E3EFEB"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صدقي، عماد محمد (2023).دور لجان المراجعة كأحد آليات الحوكمة لمواجهة مخاطر الهجمات السيبرانية في البنوك المصرية: دراسة ميدانية، مجلة البحوث التجارية، كلية التجارة، جامعة الزقازيق، مج 45، ع4.</w:t>
      </w:r>
    </w:p>
    <w:p w14:paraId="4E77AF03"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hAnsi="Simplified Arabic" w:cs="Simplified Arabic"/>
          <w:sz w:val="28"/>
          <w:szCs w:val="28"/>
          <w:rtl/>
        </w:rPr>
        <w:t>عبد المعز، ميرفت أبو الغيط (2020). الحوكمة الرشيدة كمدخل لتطوير خدمات الرعاية الاجتماعية بالجمعيات الأهلية، رسالة ماجستير، كلية الخدمة الاجتماعية، جامعة أسيوط.</w:t>
      </w:r>
    </w:p>
    <w:p w14:paraId="6081D91C"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علي، مصطفي أمين محمد (2019). حوكمة نظام الذكاة، دار الكتاب، لبنان.</w:t>
      </w:r>
    </w:p>
    <w:p w14:paraId="7072EAE6"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العمري، محمد (2020)، مدخل الى الأمن السيبراني، دار زهران للنشر والتوزيع، عمان.</w:t>
      </w:r>
    </w:p>
    <w:p w14:paraId="03AA70B2" w14:textId="77777777" w:rsidR="00112C06" w:rsidRPr="00C30465" w:rsidRDefault="00112C06" w:rsidP="00112C06">
      <w:pPr>
        <w:numPr>
          <w:ilvl w:val="0"/>
          <w:numId w:val="7"/>
        </w:numPr>
        <w:tabs>
          <w:tab w:val="right" w:pos="720"/>
          <w:tab w:val="right" w:pos="90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 xml:space="preserve">غسان، محمود (2019)، الأمن السيبراني وإدارة مخاطره في مجال الأعمال موقع الغد، تم الإطلاع: </w:t>
      </w:r>
      <w:r w:rsidRPr="00C30465">
        <w:rPr>
          <w:rFonts w:ascii="Simplified Arabic" w:eastAsia="Times New Roman" w:hAnsi="Simplified Arabic" w:cs="Simplified Arabic"/>
          <w:kern w:val="0"/>
          <w:sz w:val="28"/>
          <w:szCs w:val="28"/>
          <w14:ligatures w14:val="none"/>
        </w:rPr>
        <w:t xml:space="preserve"> https://cutt.ly/gBTC7U 2022/04/26</w:t>
      </w:r>
      <w:r w:rsidRPr="00C30465">
        <w:rPr>
          <w:rFonts w:ascii="Simplified Arabic" w:eastAsia="Times New Roman" w:hAnsi="Simplified Arabic" w:cs="Simplified Arabic"/>
          <w:kern w:val="0"/>
          <w:sz w:val="28"/>
          <w:szCs w:val="28"/>
          <w:rtl/>
          <w14:ligatures w14:val="none"/>
        </w:rPr>
        <w:t xml:space="preserve"> </w:t>
      </w:r>
    </w:p>
    <w:p w14:paraId="3CB208F2"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غنيمي، عبير محمد عبد الغني (2022). العلاقة بين آليات الحوكمة وأداء تقارير الإستدامة، المجلة العلمية للدراسات التجارية والبيئية، مج 13، ع 3، جامعة قناة السويس، كلية التجارة.</w:t>
      </w:r>
    </w:p>
    <w:p w14:paraId="150E132B"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ﻣرﻛز أﺑو ظﺑﻲ ﻟﻠﺣوﻛﻣﺔ (2013). أﺳﺎﺳﯾﺎت اﻟﺣوﻛﻣﺔ: ﻣﺻطﻠﺣﺎت وﻣﻔﺎﻫﯾم، ﻣرﻛز أﺑو ظﺑﻲ ﻟﻠﺣوﻛﻣﺔ.</w:t>
      </w:r>
    </w:p>
    <w:p w14:paraId="580217A2" w14:textId="77777777" w:rsidR="00112C06" w:rsidRPr="00C30465" w:rsidRDefault="00112C06" w:rsidP="00112C06">
      <w:pPr>
        <w:numPr>
          <w:ilvl w:val="0"/>
          <w:numId w:val="7"/>
        </w:numPr>
        <w:tabs>
          <w:tab w:val="right" w:pos="720"/>
          <w:tab w:val="right" w:pos="90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المركز الوطني للأمن السيبراني (2024) نشأة الأمن السيبراني. مسترجع من</w:t>
      </w:r>
    </w:p>
    <w:p w14:paraId="635198D6"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المنيع، الجوهرة بنت عبد الرحمن (2022). متطلبات تحقيق الأمن السيبراني في الجامعات السعودية في ضوء رؤية 2030، مجلة كلية التربية، 38 (1).</w:t>
      </w:r>
    </w:p>
    <w:p w14:paraId="4C6134AA"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lastRenderedPageBreak/>
        <w:t>المنيع، نوره بنت منيع بن عبد الكريم، والخنيزان، تهاني بنت محمد بن ناصر (2017). حوكمة الجامعات الحكومية لتحقيق رؤية المملكة العربية السعودية 2030، مؤتمر دور الجامعات السعودية في تفعيل رؤية 2030م، جامعة القصيم.</w:t>
      </w:r>
    </w:p>
    <w:p w14:paraId="482E3F50"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النوباني، خولة فريز، صدقي، عبد الله (2016). حوكمة المؤسسات المالية، جامعة الإمام محمد بن سعود الإسلامية.</w:t>
      </w:r>
    </w:p>
    <w:p w14:paraId="313FCCEF" w14:textId="77777777" w:rsidR="00112C06" w:rsidRPr="00C30465" w:rsidRDefault="00112C06" w:rsidP="00112C06">
      <w:pPr>
        <w:numPr>
          <w:ilvl w:val="0"/>
          <w:numId w:val="7"/>
        </w:numPr>
        <w:tabs>
          <w:tab w:val="right" w:pos="720"/>
          <w:tab w:val="right" w:pos="810"/>
        </w:tabs>
        <w:bidi/>
        <w:spacing w:before="240" w:line="240" w:lineRule="auto"/>
        <w:ind w:left="90" w:firstLine="0"/>
        <w:contextualSpacing/>
        <w:jc w:val="both"/>
        <w:rPr>
          <w:rFonts w:ascii="Simplified Arabic" w:eastAsia="Times New Roman" w:hAnsi="Simplified Arabic" w:cs="Simplified Arabic"/>
          <w:kern w:val="0"/>
          <w:sz w:val="28"/>
          <w:szCs w:val="28"/>
          <w14:ligatures w14:val="none"/>
        </w:rPr>
      </w:pPr>
      <w:r w:rsidRPr="00C30465">
        <w:rPr>
          <w:rFonts w:ascii="Simplified Arabic" w:eastAsia="Times New Roman" w:hAnsi="Simplified Arabic" w:cs="Simplified Arabic"/>
          <w:kern w:val="0"/>
          <w:sz w:val="28"/>
          <w:szCs w:val="28"/>
          <w:rtl/>
          <w14:ligatures w14:val="none"/>
        </w:rPr>
        <w:t>الهلسه، تامر عيسى فائق (2021).</w:t>
      </w:r>
      <w:r w:rsidRPr="00C30465">
        <w:rPr>
          <w:rFonts w:ascii="Simplified Arabic" w:hAnsi="Simplified Arabic" w:cs="Simplified Arabic"/>
          <w:sz w:val="22"/>
          <w:szCs w:val="22"/>
          <w:rtl/>
        </w:rPr>
        <w:t xml:space="preserve"> </w:t>
      </w:r>
      <w:r w:rsidRPr="00C30465">
        <w:rPr>
          <w:rFonts w:ascii="Simplified Arabic" w:eastAsia="Times New Roman" w:hAnsi="Simplified Arabic" w:cs="Simplified Arabic"/>
          <w:kern w:val="0"/>
          <w:sz w:val="28"/>
          <w:szCs w:val="28"/>
          <w:rtl/>
          <w14:ligatures w14:val="none"/>
        </w:rPr>
        <w:t xml:space="preserve">أثر مقومات الأمن السيبراني في خصائص المعلومات المحاسبية: الدور المعدل 2019 </w:t>
      </w:r>
      <w:r w:rsidRPr="00C30465">
        <w:rPr>
          <w:rFonts w:ascii="Simplified Arabic" w:eastAsia="Times New Roman" w:hAnsi="Simplified Arabic" w:cs="Simplified Arabic"/>
          <w:kern w:val="0"/>
          <w:sz w:val="28"/>
          <w:szCs w:val="28"/>
          <w14:ligatures w14:val="none"/>
        </w:rPr>
        <w:t>COBIT</w:t>
      </w:r>
      <w:r w:rsidRPr="00C30465">
        <w:rPr>
          <w:rFonts w:ascii="Simplified Arabic" w:eastAsia="Times New Roman" w:hAnsi="Simplified Arabic" w:cs="Simplified Arabic"/>
          <w:kern w:val="0"/>
          <w:sz w:val="28"/>
          <w:szCs w:val="28"/>
          <w:rtl/>
          <w14:ligatures w14:val="none"/>
        </w:rPr>
        <w:t>: دراسة ميدانية في البنوك التجارية الاردنية، رسالة دكتوراة منشورة، جامعة العلوم الاسلامية العالمية، كلية الدراسات العليا، الاردن.</w:t>
      </w:r>
    </w:p>
    <w:p w14:paraId="56A10C9F" w14:textId="77777777" w:rsidR="00B60B21" w:rsidRPr="00C30465" w:rsidRDefault="00B60B21" w:rsidP="00112C06">
      <w:pPr>
        <w:bidi/>
        <w:spacing w:before="240" w:line="240" w:lineRule="auto"/>
        <w:rPr>
          <w:rFonts w:ascii="Simplified Arabic" w:eastAsia="Times New Roman" w:hAnsi="Simplified Arabic" w:cs="Simplified Arabic"/>
          <w:b/>
          <w:bCs/>
          <w:kern w:val="0"/>
          <w:sz w:val="32"/>
          <w:szCs w:val="32"/>
          <w:rtl/>
          <w:lang w:bidi="ar-EG"/>
          <w14:ligatures w14:val="none"/>
        </w:rPr>
      </w:pPr>
      <w:r w:rsidRPr="00C30465">
        <w:rPr>
          <w:rFonts w:ascii="Simplified Arabic" w:eastAsia="Times New Roman" w:hAnsi="Simplified Arabic" w:cs="Simplified Arabic"/>
          <w:b/>
          <w:bCs/>
          <w:kern w:val="0"/>
          <w:sz w:val="32"/>
          <w:szCs w:val="32"/>
          <w:rtl/>
          <w:lang w:bidi="ar-EG"/>
          <w14:ligatures w14:val="none"/>
        </w:rPr>
        <w:t>المراجع الأجنبية:</w:t>
      </w:r>
    </w:p>
    <w:p w14:paraId="73559A33"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Abi tyas, tunggle. (2021). What is Cyber Hygiene and Why is it Important? Technical Writer and Editor – TechTarget. https:</w:t>
      </w:r>
      <w:r w:rsidRPr="00C30465">
        <w:rPr>
          <w:rFonts w:ascii="Simplified Arabic" w:eastAsia="Times New Roman" w:hAnsi="Simplified Arabic" w:cs="Simplified Arabic"/>
          <w:kern w:val="0"/>
          <w:sz w:val="28"/>
          <w:szCs w:val="28"/>
          <w:rtl/>
          <w:lang w:bidi="ar-EG"/>
          <w14:ligatures w14:val="none"/>
        </w:rPr>
        <w:t>//</w:t>
      </w:r>
      <w:r w:rsidRPr="00C30465">
        <w:rPr>
          <w:rFonts w:ascii="Simplified Arabic" w:eastAsia="Times New Roman" w:hAnsi="Simplified Arabic" w:cs="Simplified Arabic"/>
          <w:kern w:val="0"/>
          <w:sz w:val="28"/>
          <w:szCs w:val="28"/>
          <w:lang w:bidi="ar-EG"/>
          <w14:ligatures w14:val="none"/>
        </w:rPr>
        <w:t>www.upguard.com</w:t>
      </w:r>
      <w:r w:rsidRPr="00C30465">
        <w:rPr>
          <w:rFonts w:ascii="Simplified Arabic" w:eastAsia="Times New Roman" w:hAnsi="Simplified Arabic" w:cs="Simplified Arabic"/>
          <w:kern w:val="0"/>
          <w:sz w:val="28"/>
          <w:szCs w:val="28"/>
          <w:rtl/>
          <w:lang w:bidi="ar-EG"/>
          <w14:ligatures w14:val="none"/>
        </w:rPr>
        <w:t>/</w:t>
      </w:r>
      <w:r w:rsidRPr="00C30465">
        <w:rPr>
          <w:rFonts w:ascii="Simplified Arabic" w:eastAsia="Times New Roman" w:hAnsi="Simplified Arabic" w:cs="Simplified Arabic"/>
          <w:kern w:val="0"/>
          <w:sz w:val="28"/>
          <w:szCs w:val="28"/>
          <w:lang w:bidi="ar-EG"/>
          <w14:ligatures w14:val="none"/>
        </w:rPr>
        <w:t>blog</w:t>
      </w:r>
      <w:r w:rsidRPr="00C30465">
        <w:rPr>
          <w:rFonts w:ascii="Simplified Arabic" w:eastAsia="Times New Roman" w:hAnsi="Simplified Arabic" w:cs="Simplified Arabic"/>
          <w:kern w:val="0"/>
          <w:sz w:val="28"/>
          <w:szCs w:val="28"/>
          <w:rtl/>
          <w:lang w:bidi="ar-EG"/>
          <w14:ligatures w14:val="none"/>
        </w:rPr>
        <w:t>/</w:t>
      </w:r>
      <w:r w:rsidRPr="00C30465">
        <w:rPr>
          <w:rFonts w:ascii="Simplified Arabic" w:eastAsia="Times New Roman" w:hAnsi="Simplified Arabic" w:cs="Simplified Arabic"/>
          <w:kern w:val="0"/>
          <w:sz w:val="28"/>
          <w:szCs w:val="28"/>
          <w:lang w:bidi="ar-EG"/>
          <w14:ligatures w14:val="none"/>
        </w:rPr>
        <w:t>cyber-hygiene.</w:t>
      </w:r>
    </w:p>
    <w:p w14:paraId="360996F5"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 xml:space="preserve">Aditya B. R., R. Hartanto, and E. L Nugroho. (2018). the role of IT Audit in The Era of Digital Transformation. International Conference on Information, Engineering, Science and Technology (INCITEST), Bandung, Indonesia. </w:t>
      </w:r>
    </w:p>
    <w:p w14:paraId="28F0F55E"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hAnsi="Simplified Arabic" w:cs="Simplified Arabic"/>
          <w:sz w:val="28"/>
          <w:szCs w:val="28"/>
        </w:rPr>
        <w:t>Aleida Ferreyra, Sleim Jahan (2006): "Governance For The Future ", Democracy and Development in The Least Developed Countries, Kofi A. A nnan,</w:t>
      </w:r>
    </w:p>
    <w:p w14:paraId="3F01F21D"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Asian Development Bank, (2010): "Anti Corruption and integrtty Mandaluyong City" Second Edition,</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Philippines</w:t>
      </w:r>
      <w:r w:rsidRPr="00C30465">
        <w:rPr>
          <w:rFonts w:ascii="Simplified Arabic" w:eastAsia="Times New Roman" w:hAnsi="Simplified Arabic" w:cs="Simplified Arabic"/>
          <w:kern w:val="0"/>
          <w:sz w:val="28"/>
          <w:szCs w:val="28"/>
          <w:rtl/>
          <w:lang w:bidi="ar-EG"/>
          <w14:ligatures w14:val="none"/>
        </w:rPr>
        <w:t>.</w:t>
      </w:r>
    </w:p>
    <w:p w14:paraId="48B209A4"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Bodeau, Deb, Bolye, Steve &amp; Fabius- Greene, Jenn, (2010). “A Component of Mitre`s Cyber Prep Methodology”, Available at: http:www.mitro.org.,Accessed:8-9-2019.</w:t>
      </w:r>
    </w:p>
    <w:p w14:paraId="7128C0E0"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Carnovale, Steven &amp; Yeniyurt, Sengun (2021). Cyber security and supply chain management: Risk, challenges, and solutions, V1, World Scientific. Retrieved from</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https://books.google.com.sa/books?id=Hn0xEAAAQBAJ&amp;newbks=0&amp;printse</w:t>
      </w:r>
      <w:r w:rsidRPr="00C30465">
        <w:rPr>
          <w:rFonts w:ascii="Simplified Arabic" w:eastAsia="Times New Roman" w:hAnsi="Simplified Arabic" w:cs="Simplified Arabic"/>
          <w:kern w:val="0"/>
          <w:sz w:val="28"/>
          <w:szCs w:val="28"/>
          <w:lang w:bidi="ar-EG"/>
          <w14:ligatures w14:val="none"/>
        </w:rPr>
        <w:lastRenderedPageBreak/>
        <w:t>c=frontcover&amp;pg= PA2&amp;dq=Robert+Thomas+1%27M+THE+CREEPER:+CATCH+ME+IF+YOU+CAN&amp;hl=en&amp;s ource=newbks_fb&amp;redir_esc=y#v=onepage&amp;q=Robert%20Thomas%20I'M%20THE%20CREEP ER%3A%20CATCH%20ME%20IF%20YOU%20CAN&amp;f=false</w:t>
      </w:r>
    </w:p>
    <w:p w14:paraId="437C4B95"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Danielle Piskadlo, Deborah Drake, Ezra Mannix, Jasper Veel (2019). “</w:t>
      </w:r>
      <w:r w:rsidRPr="00C30465">
        <w:rPr>
          <w:rFonts w:ascii="Simplified Arabic" w:eastAsia="Times New Roman" w:hAnsi="Simplified Arabic" w:cs="Simplified Arabic"/>
          <w:b/>
          <w:bCs/>
          <w:kern w:val="0"/>
          <w:sz w:val="28"/>
          <w:szCs w:val="28"/>
          <w:lang w:bidi="ar-EG"/>
          <w14:ligatures w14:val="none"/>
        </w:rPr>
        <w:t>Corporate Governance for Early-Stage, Innovative Companies: A Practical Resource Guide”</w:t>
      </w:r>
      <w:r w:rsidRPr="00C30465">
        <w:rPr>
          <w:rFonts w:ascii="Simplified Arabic" w:eastAsia="Times New Roman" w:hAnsi="Simplified Arabic" w:cs="Simplified Arabic"/>
          <w:kern w:val="0"/>
          <w:sz w:val="28"/>
          <w:szCs w:val="28"/>
          <w:lang w:bidi="ar-EG"/>
          <w14:ligatures w14:val="none"/>
        </w:rPr>
        <w:t>, The Center for Financial Inclusion Accion International.</w:t>
      </w:r>
    </w:p>
    <w:p w14:paraId="126C76DD"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Deloitte 2020. Accounting Considerations Related to Coronavirus Disease 2019. Available at:</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www. Deloitte.com.</w:t>
      </w:r>
    </w:p>
    <w:p w14:paraId="6618A6B1"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EVELYNE, JACQUES (2020) REGULATING CYBERSECURITY What civil liability in case of cyber-attacks p. 231.</w:t>
      </w:r>
    </w:p>
    <w:p w14:paraId="5ABFCD29"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 xml:space="preserve">Gelling, L., &amp; Engward, H. (2015). Planning a research project.  Nursing Standard. (2014+), 29(28), 44. </w:t>
      </w:r>
    </w:p>
    <w:p w14:paraId="0B2E7736"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Gheorghe, M (2010). Audit Methodology for IT Governance.  Informatica Economica, 14 (1).</w:t>
      </w:r>
    </w:p>
    <w:p w14:paraId="10A019E1"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 xml:space="preserve">Harisaiprasad, (2020). </w:t>
      </w:r>
      <w:bookmarkStart w:id="26" w:name="_Hlk202747329"/>
      <w:r w:rsidRPr="00C30465">
        <w:rPr>
          <w:rFonts w:ascii="Simplified Arabic" w:eastAsia="Times New Roman" w:hAnsi="Simplified Arabic" w:cs="Simplified Arabic"/>
          <w:kern w:val="0"/>
          <w:sz w:val="28"/>
          <w:szCs w:val="28"/>
          <w:lang w:bidi="ar-EG"/>
          <w14:ligatures w14:val="none"/>
        </w:rPr>
        <w:t xml:space="preserve">COBIT </w:t>
      </w:r>
      <w:bookmarkEnd w:id="26"/>
      <w:r w:rsidRPr="00C30465">
        <w:rPr>
          <w:rFonts w:ascii="Simplified Arabic" w:eastAsia="Times New Roman" w:hAnsi="Simplified Arabic" w:cs="Simplified Arabic"/>
          <w:kern w:val="0"/>
          <w:sz w:val="28"/>
          <w:szCs w:val="28"/>
          <w:lang w:bidi="ar-EG"/>
          <w14:ligatures w14:val="none"/>
        </w:rPr>
        <w:t>2019 and COBIT 5 Comparison, ISACA, retrieved Nov.</w:t>
      </w:r>
    </w:p>
    <w:p w14:paraId="690D763F"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 xml:space="preserve">Information Technology Governance Institute (ITGI), (2006), </w:t>
      </w:r>
      <w:r w:rsidRPr="00C30465">
        <w:rPr>
          <w:rFonts w:ascii="Simplified Arabic" w:eastAsia="Times New Roman" w:hAnsi="Simplified Arabic" w:cs="Simplified Arabic"/>
          <w:b/>
          <w:bCs/>
          <w:kern w:val="0"/>
          <w:sz w:val="28"/>
          <w:szCs w:val="28"/>
          <w:lang w:bidi="ar-EG"/>
          <w14:ligatures w14:val="none"/>
        </w:rPr>
        <w:t>“Information Security Governance: Guidance for Boards of Directors and executive Management”</w:t>
      </w:r>
      <w:r w:rsidRPr="00C30465">
        <w:rPr>
          <w:rFonts w:ascii="Simplified Arabic" w:eastAsia="Times New Roman" w:hAnsi="Simplified Arabic" w:cs="Simplified Arabic"/>
          <w:kern w:val="0"/>
          <w:sz w:val="28"/>
          <w:szCs w:val="28"/>
          <w:lang w:bidi="ar-EG"/>
          <w14:ligatures w14:val="none"/>
        </w:rPr>
        <w:t xml:space="preserve">, 2th Edition, ITGI, U.S.A. </w:t>
      </w:r>
    </w:p>
    <w:p w14:paraId="447E40DA"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ISACA, C (2019). Framework: Introduction&amp; Methodology. USA: ISACA.</w:t>
      </w:r>
    </w:p>
    <w:p w14:paraId="3A8ACF9A"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Lehto, M., &amp; Neittaanmäki, P. (Eds.). (2015). Cyber security: Analytics, technology and automation (Vol. 78). Springer.</w:t>
      </w:r>
    </w:p>
    <w:p w14:paraId="7A4B09B4"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lastRenderedPageBreak/>
        <w:t>Maung Aye,Khin (2016):"Chllenges Good Governance". http://www.moi.gov.mm/moi:eng/?q=content/challenges-good-governance.</w:t>
      </w:r>
    </w:p>
    <w:p w14:paraId="2BC03886"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Mohammed Salih, (2003):</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Governance, Information et</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Domain Publique, Addis Ababa, Commission Economque pour</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l'Afrique, P9.</w:t>
      </w:r>
    </w:p>
    <w:p w14:paraId="08454985"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rtl/>
          <w:lang w:bidi="ar-EG"/>
          <w14:ligatures w14:val="none"/>
        </w:rPr>
      </w:pPr>
      <w:r w:rsidRPr="00C30465">
        <w:rPr>
          <w:rFonts w:ascii="Simplified Arabic" w:eastAsia="Times New Roman" w:hAnsi="Simplified Arabic" w:cs="Simplified Arabic"/>
          <w:kern w:val="0"/>
          <w:sz w:val="28"/>
          <w:szCs w:val="28"/>
          <w:lang w:bidi="ar-EG"/>
          <w14:ligatures w14:val="none"/>
        </w:rPr>
        <w:t>OECD (2023). G20/OECD Principles of Corporate Governance 2023,</w:t>
      </w:r>
      <w:r w:rsidRPr="00C30465">
        <w:rPr>
          <w:rFonts w:ascii="Simplified Arabic" w:hAnsi="Simplified Arabic" w:cs="Simplified Arabic"/>
          <w:sz w:val="22"/>
          <w:szCs w:val="22"/>
        </w:rPr>
        <w:t xml:space="preserve"> </w:t>
      </w:r>
      <w:r w:rsidRPr="00C30465">
        <w:rPr>
          <w:rFonts w:ascii="Simplified Arabic" w:eastAsia="Times New Roman" w:hAnsi="Simplified Arabic" w:cs="Simplified Arabic"/>
          <w:kern w:val="0"/>
          <w:sz w:val="28"/>
          <w:szCs w:val="28"/>
          <w:lang w:bidi="ar-EG"/>
          <w14:ligatures w14:val="none"/>
        </w:rPr>
        <w:t>Organisation for Economic Co-operation and Development, OECD Publishing, Paris.</w:t>
      </w:r>
    </w:p>
    <w:p w14:paraId="652228D0"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Pam Nigro. (2020). Cybersecurity governance: A path to cyber maturity. https://searchsecurity.techtarget.com/post/Cybersecurity-governance-A-path-to-cyber-maturity.</w:t>
      </w:r>
    </w:p>
    <w:p w14:paraId="6A84A7ED"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Razali, M. Fazlida M.R, J. Said, (2015). “Information Security, Risk Governance and Implementation Setback,” 7</w:t>
      </w:r>
      <w:r w:rsidRPr="00C30465">
        <w:rPr>
          <w:rFonts w:ascii="Simplified Arabic" w:eastAsia="Times New Roman" w:hAnsi="Simplified Arabic" w:cs="Simplified Arabic"/>
          <w:kern w:val="0"/>
          <w:sz w:val="28"/>
          <w:szCs w:val="28"/>
          <w:vertAlign w:val="superscript"/>
          <w:lang w:bidi="ar-EG"/>
          <w14:ligatures w14:val="none"/>
        </w:rPr>
        <w:t>th</w:t>
      </w:r>
      <w:r w:rsidRPr="00C30465">
        <w:rPr>
          <w:rFonts w:ascii="Simplified Arabic" w:eastAsia="Times New Roman" w:hAnsi="Simplified Arabic" w:cs="Simplified Arabic"/>
          <w:kern w:val="0"/>
          <w:sz w:val="28"/>
          <w:szCs w:val="28"/>
          <w:lang w:bidi="ar-EG"/>
          <w14:ligatures w14:val="none"/>
        </w:rPr>
        <w:t xml:space="preserve"> International Conference on Financial Criminology, Wadham, College, Oxford, United Kingdom.</w:t>
      </w:r>
    </w:p>
    <w:p w14:paraId="7E2B0C4E"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Sihotang, J., Panjaitan, E.S., &amp; Yunis,R. (2020). Evaluation of Information Technology Governance by Using COBIT 5 Framework at Higher Education. Journal Mantik, 4 (3).</w:t>
      </w:r>
    </w:p>
    <w:p w14:paraId="54840B0A" w14:textId="77777777" w:rsidR="00112C06"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Suchitra Punyara Tabndhu, (2004): Commitment to Good Governance",</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Development,</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and Poverty</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Reduction, Sixth Session of the</w:t>
      </w:r>
      <w:r w:rsidRPr="00C30465">
        <w:rPr>
          <w:rFonts w:ascii="Simplified Arabic" w:eastAsia="Times New Roman" w:hAnsi="Simplified Arabic" w:cs="Simplified Arabic"/>
          <w:kern w:val="0"/>
          <w:sz w:val="28"/>
          <w:szCs w:val="28"/>
          <w:rtl/>
          <w:lang w:bidi="ar-EG"/>
          <w14:ligatures w14:val="none"/>
        </w:rPr>
        <w:t xml:space="preserve"> </w:t>
      </w:r>
      <w:r w:rsidRPr="00C30465">
        <w:rPr>
          <w:rFonts w:ascii="Simplified Arabic" w:eastAsia="Times New Roman" w:hAnsi="Simplified Arabic" w:cs="Simplified Arabic"/>
          <w:kern w:val="0"/>
          <w:sz w:val="28"/>
          <w:szCs w:val="28"/>
          <w:lang w:bidi="ar-EG"/>
          <w14:ligatures w14:val="none"/>
        </w:rPr>
        <w:t>Committee on Development Policy.</w:t>
      </w:r>
    </w:p>
    <w:p w14:paraId="70F64033" w14:textId="1C8E332C" w:rsidR="006F6554" w:rsidRPr="00C30465" w:rsidRDefault="00112C06" w:rsidP="00112C06">
      <w:pPr>
        <w:numPr>
          <w:ilvl w:val="1"/>
          <w:numId w:val="4"/>
        </w:numPr>
        <w:tabs>
          <w:tab w:val="left" w:pos="270"/>
          <w:tab w:val="left" w:pos="630"/>
        </w:tabs>
        <w:spacing w:before="240" w:line="240" w:lineRule="auto"/>
        <w:ind w:left="90" w:hanging="90"/>
        <w:contextualSpacing/>
        <w:jc w:val="both"/>
        <w:rPr>
          <w:rFonts w:ascii="Simplified Arabic" w:eastAsia="Times New Roman" w:hAnsi="Simplified Arabic" w:cs="Simplified Arabic"/>
          <w:kern w:val="0"/>
          <w:sz w:val="28"/>
          <w:szCs w:val="28"/>
          <w:lang w:bidi="ar-EG"/>
          <w14:ligatures w14:val="none"/>
        </w:rPr>
      </w:pPr>
      <w:r w:rsidRPr="00C30465">
        <w:rPr>
          <w:rFonts w:ascii="Simplified Arabic" w:eastAsia="Times New Roman" w:hAnsi="Simplified Arabic" w:cs="Simplified Arabic"/>
          <w:kern w:val="0"/>
          <w:sz w:val="28"/>
          <w:szCs w:val="28"/>
          <w:lang w:bidi="ar-EG"/>
          <w14:ligatures w14:val="none"/>
        </w:rPr>
        <w:t>Weber M (2015) :" The Role of Good Governance in Sustainable Development". Retrieved from. http://www.wri. org/blog/2015/02/qa-mark-robinson-role-good-governance - sustainable-development</w:t>
      </w:r>
      <w:r w:rsidRPr="00C30465">
        <w:rPr>
          <w:rFonts w:ascii="Simplified Arabic" w:eastAsia="Times New Roman" w:hAnsi="Simplified Arabic" w:cs="Simplified Arabic"/>
          <w:kern w:val="0"/>
          <w:sz w:val="28"/>
          <w:szCs w:val="28"/>
          <w:rtl/>
          <w:lang w:bidi="ar-EG"/>
          <w14:ligatures w14:val="none"/>
        </w:rPr>
        <w:t>.</w:t>
      </w:r>
    </w:p>
    <w:sectPr w:rsidR="006F6554" w:rsidRPr="00C30465" w:rsidSect="00C30465">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eadex Pro">
    <w:altName w:val="Arial"/>
    <w:charset w:val="00"/>
    <w:family w:val="auto"/>
    <w:pitch w:val="variable"/>
    <w:sig w:usb0="A00020FF" w:usb1="C000205B" w:usb2="00000000" w:usb3="00000000" w:csb0="000001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726C4"/>
    <w:multiLevelType w:val="multilevel"/>
    <w:tmpl w:val="25D002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90" w:hanging="51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537CD"/>
    <w:multiLevelType w:val="multilevel"/>
    <w:tmpl w:val="D92A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8D07BA"/>
    <w:multiLevelType w:val="multilevel"/>
    <w:tmpl w:val="28F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5A1913"/>
    <w:multiLevelType w:val="hybridMultilevel"/>
    <w:tmpl w:val="22E06082"/>
    <w:lvl w:ilvl="0" w:tplc="9C5870D6">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4086357"/>
    <w:multiLevelType w:val="multilevel"/>
    <w:tmpl w:val="9646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5721B4"/>
    <w:multiLevelType w:val="multilevel"/>
    <w:tmpl w:val="69CC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893224"/>
    <w:multiLevelType w:val="multilevel"/>
    <w:tmpl w:val="6C7EA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implified Arabic" w:eastAsia="Times New Roman" w:hAnsi="Simplified Arabic" w:cs="Simplified Arabic"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9837932">
    <w:abstractNumId w:val="5"/>
  </w:num>
  <w:num w:numId="2" w16cid:durableId="122575215">
    <w:abstractNumId w:val="2"/>
  </w:num>
  <w:num w:numId="3" w16cid:durableId="1118177806">
    <w:abstractNumId w:val="1"/>
  </w:num>
  <w:num w:numId="4" w16cid:durableId="1658414263">
    <w:abstractNumId w:val="0"/>
  </w:num>
  <w:num w:numId="5" w16cid:durableId="383717064">
    <w:abstractNumId w:val="6"/>
  </w:num>
  <w:num w:numId="6" w16cid:durableId="1044450307">
    <w:abstractNumId w:val="4"/>
  </w:num>
  <w:num w:numId="7" w16cid:durableId="53437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AxtDAxNzcyNrE0szRX0lEKTi0uzszPAykwqgUAWzN5aiwAAAA="/>
  </w:docVars>
  <w:rsids>
    <w:rsidRoot w:val="00093C8A"/>
    <w:rsid w:val="0002680B"/>
    <w:rsid w:val="00093C8A"/>
    <w:rsid w:val="000B5A89"/>
    <w:rsid w:val="000C13D6"/>
    <w:rsid w:val="000E1FB2"/>
    <w:rsid w:val="000F090F"/>
    <w:rsid w:val="00112C06"/>
    <w:rsid w:val="001164B0"/>
    <w:rsid w:val="00165A10"/>
    <w:rsid w:val="00182C29"/>
    <w:rsid w:val="00193219"/>
    <w:rsid w:val="001C339C"/>
    <w:rsid w:val="00206C5C"/>
    <w:rsid w:val="00233699"/>
    <w:rsid w:val="00241C3E"/>
    <w:rsid w:val="00263B50"/>
    <w:rsid w:val="00292070"/>
    <w:rsid w:val="002C51ED"/>
    <w:rsid w:val="002C76E3"/>
    <w:rsid w:val="00323274"/>
    <w:rsid w:val="003302A1"/>
    <w:rsid w:val="004042FA"/>
    <w:rsid w:val="00431552"/>
    <w:rsid w:val="00457774"/>
    <w:rsid w:val="004A5284"/>
    <w:rsid w:val="004C3656"/>
    <w:rsid w:val="004D77A2"/>
    <w:rsid w:val="00585490"/>
    <w:rsid w:val="005906A6"/>
    <w:rsid w:val="005D6CE8"/>
    <w:rsid w:val="00626C36"/>
    <w:rsid w:val="006B1597"/>
    <w:rsid w:val="006D7909"/>
    <w:rsid w:val="006E1BFC"/>
    <w:rsid w:val="006F6554"/>
    <w:rsid w:val="00731C7B"/>
    <w:rsid w:val="00737045"/>
    <w:rsid w:val="007E28F5"/>
    <w:rsid w:val="00824F31"/>
    <w:rsid w:val="00883615"/>
    <w:rsid w:val="00886661"/>
    <w:rsid w:val="00894C1D"/>
    <w:rsid w:val="008A1CE9"/>
    <w:rsid w:val="008D1D31"/>
    <w:rsid w:val="008F1638"/>
    <w:rsid w:val="009012B2"/>
    <w:rsid w:val="00995567"/>
    <w:rsid w:val="009B11D9"/>
    <w:rsid w:val="009F764A"/>
    <w:rsid w:val="00A641A6"/>
    <w:rsid w:val="00A704C0"/>
    <w:rsid w:val="00AA0C9E"/>
    <w:rsid w:val="00B14D07"/>
    <w:rsid w:val="00B60B21"/>
    <w:rsid w:val="00BB3DEB"/>
    <w:rsid w:val="00BC01E9"/>
    <w:rsid w:val="00BD3491"/>
    <w:rsid w:val="00BD48B6"/>
    <w:rsid w:val="00BF36F6"/>
    <w:rsid w:val="00C30465"/>
    <w:rsid w:val="00C3484B"/>
    <w:rsid w:val="00C94B83"/>
    <w:rsid w:val="00C94BE9"/>
    <w:rsid w:val="00CB4CE1"/>
    <w:rsid w:val="00CB4CFB"/>
    <w:rsid w:val="00CF24EF"/>
    <w:rsid w:val="00D92238"/>
    <w:rsid w:val="00DA0AB7"/>
    <w:rsid w:val="00DB4ADE"/>
    <w:rsid w:val="00DC238D"/>
    <w:rsid w:val="00DC35D6"/>
    <w:rsid w:val="00DC6324"/>
    <w:rsid w:val="00DF3F0B"/>
    <w:rsid w:val="00E009AD"/>
    <w:rsid w:val="00E523D8"/>
    <w:rsid w:val="00E83510"/>
    <w:rsid w:val="00E9052E"/>
    <w:rsid w:val="00ED1B77"/>
    <w:rsid w:val="00ED5220"/>
    <w:rsid w:val="00EE0E2A"/>
    <w:rsid w:val="00EE1974"/>
    <w:rsid w:val="00EF1A67"/>
    <w:rsid w:val="00F23D8E"/>
    <w:rsid w:val="00F87206"/>
    <w:rsid w:val="00FC3E3B"/>
    <w:rsid w:val="00FC44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E633"/>
  <w15:chartTrackingRefBased/>
  <w15:docId w15:val="{B7FA74C2-E2F8-44E6-B6F9-0DF7FA6E3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C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3C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3C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3C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3C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3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C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3C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3C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3C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3C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C8A"/>
    <w:rPr>
      <w:rFonts w:eastAsiaTheme="majorEastAsia" w:cstheme="majorBidi"/>
      <w:color w:val="272727" w:themeColor="text1" w:themeTint="D8"/>
    </w:rPr>
  </w:style>
  <w:style w:type="paragraph" w:styleId="Title">
    <w:name w:val="Title"/>
    <w:basedOn w:val="Normal"/>
    <w:next w:val="Normal"/>
    <w:link w:val="TitleChar"/>
    <w:uiPriority w:val="10"/>
    <w:qFormat/>
    <w:rsid w:val="0009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C8A"/>
    <w:pPr>
      <w:spacing w:before="160"/>
      <w:jc w:val="center"/>
    </w:pPr>
    <w:rPr>
      <w:i/>
      <w:iCs/>
      <w:color w:val="404040" w:themeColor="text1" w:themeTint="BF"/>
    </w:rPr>
  </w:style>
  <w:style w:type="character" w:customStyle="1" w:styleId="QuoteChar">
    <w:name w:val="Quote Char"/>
    <w:basedOn w:val="DefaultParagraphFont"/>
    <w:link w:val="Quote"/>
    <w:uiPriority w:val="29"/>
    <w:rsid w:val="00093C8A"/>
    <w:rPr>
      <w:i/>
      <w:iCs/>
      <w:color w:val="404040" w:themeColor="text1" w:themeTint="BF"/>
    </w:rPr>
  </w:style>
  <w:style w:type="paragraph" w:styleId="ListParagraph">
    <w:name w:val="List Paragraph"/>
    <w:basedOn w:val="Normal"/>
    <w:uiPriority w:val="34"/>
    <w:qFormat/>
    <w:rsid w:val="00093C8A"/>
    <w:pPr>
      <w:ind w:left="720"/>
      <w:contextualSpacing/>
    </w:pPr>
  </w:style>
  <w:style w:type="character" w:styleId="IntenseEmphasis">
    <w:name w:val="Intense Emphasis"/>
    <w:basedOn w:val="DefaultParagraphFont"/>
    <w:uiPriority w:val="21"/>
    <w:qFormat/>
    <w:rsid w:val="00093C8A"/>
    <w:rPr>
      <w:i/>
      <w:iCs/>
      <w:color w:val="2F5496" w:themeColor="accent1" w:themeShade="BF"/>
    </w:rPr>
  </w:style>
  <w:style w:type="paragraph" w:styleId="IntenseQuote">
    <w:name w:val="Intense Quote"/>
    <w:basedOn w:val="Normal"/>
    <w:next w:val="Normal"/>
    <w:link w:val="IntenseQuoteChar"/>
    <w:uiPriority w:val="30"/>
    <w:qFormat/>
    <w:rsid w:val="00093C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3C8A"/>
    <w:rPr>
      <w:i/>
      <w:iCs/>
      <w:color w:val="2F5496" w:themeColor="accent1" w:themeShade="BF"/>
    </w:rPr>
  </w:style>
  <w:style w:type="character" w:styleId="IntenseReference">
    <w:name w:val="Intense Reference"/>
    <w:basedOn w:val="DefaultParagraphFont"/>
    <w:uiPriority w:val="32"/>
    <w:qFormat/>
    <w:rsid w:val="00093C8A"/>
    <w:rPr>
      <w:b/>
      <w:bCs/>
      <w:smallCaps/>
      <w:color w:val="2F5496" w:themeColor="accent1" w:themeShade="BF"/>
      <w:spacing w:val="5"/>
    </w:rPr>
  </w:style>
  <w:style w:type="numbering" w:customStyle="1" w:styleId="NoList1">
    <w:name w:val="No List1"/>
    <w:next w:val="NoList"/>
    <w:uiPriority w:val="99"/>
    <w:semiHidden/>
    <w:unhideWhenUsed/>
    <w:rsid w:val="00B60B21"/>
  </w:style>
  <w:style w:type="paragraph" w:styleId="NormalWeb">
    <w:name w:val="Normal (Web)"/>
    <w:basedOn w:val="Normal"/>
    <w:uiPriority w:val="99"/>
    <w:unhideWhenUsed/>
    <w:rsid w:val="00B60B2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60B21"/>
    <w:rPr>
      <w:b/>
      <w:bCs/>
    </w:rPr>
  </w:style>
  <w:style w:type="table" w:styleId="TableGrid">
    <w:name w:val="Table Grid"/>
    <w:basedOn w:val="TableNormal"/>
    <w:uiPriority w:val="39"/>
    <w:rsid w:val="00B60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0B21"/>
    <w:rPr>
      <w:color w:val="0563C1" w:themeColor="hyperlink"/>
      <w:u w:val="single"/>
    </w:rPr>
  </w:style>
  <w:style w:type="character" w:styleId="UnresolvedMention">
    <w:name w:val="Unresolved Mention"/>
    <w:basedOn w:val="DefaultParagraphFont"/>
    <w:uiPriority w:val="99"/>
    <w:semiHidden/>
    <w:unhideWhenUsed/>
    <w:rsid w:val="00B60B21"/>
    <w:rPr>
      <w:color w:val="605E5C"/>
      <w:shd w:val="clear" w:color="auto" w:fill="E1DFDD"/>
    </w:rPr>
  </w:style>
  <w:style w:type="paragraph" w:styleId="Header">
    <w:name w:val="header"/>
    <w:basedOn w:val="Normal"/>
    <w:link w:val="HeaderChar"/>
    <w:uiPriority w:val="99"/>
    <w:unhideWhenUsed/>
    <w:rsid w:val="00B60B21"/>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B60B21"/>
    <w:rPr>
      <w:sz w:val="22"/>
      <w:szCs w:val="22"/>
    </w:rPr>
  </w:style>
  <w:style w:type="paragraph" w:styleId="Footer">
    <w:name w:val="footer"/>
    <w:basedOn w:val="Normal"/>
    <w:link w:val="FooterChar"/>
    <w:uiPriority w:val="99"/>
    <w:unhideWhenUsed/>
    <w:rsid w:val="00B60B21"/>
    <w:pPr>
      <w:tabs>
        <w:tab w:val="center" w:pos="4680"/>
        <w:tab w:val="right" w:pos="9360"/>
      </w:tabs>
      <w:spacing w:after="0" w:line="240" w:lineRule="auto"/>
    </w:pPr>
    <w:rPr>
      <w:sz w:val="22"/>
      <w:szCs w:val="22"/>
    </w:rPr>
  </w:style>
  <w:style w:type="character" w:customStyle="1" w:styleId="FooterChar">
    <w:name w:val="Footer Char"/>
    <w:basedOn w:val="DefaultParagraphFont"/>
    <w:link w:val="Footer"/>
    <w:uiPriority w:val="99"/>
    <w:rsid w:val="00B60B2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diagramData" Target="diagrams/data4.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5" Type="http://schemas.openxmlformats.org/officeDocument/2006/relationships/image" Target="media/image1.png"/><Relationship Id="rId15" Type="http://schemas.microsoft.com/office/2007/relationships/diagramDrawing" Target="diagrams/drawing2.xml"/><Relationship Id="rId23" Type="http://schemas.openxmlformats.org/officeDocument/2006/relationships/diagramQuickStyle" Target="diagrams/quickStyle4.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1104F-2484-48E9-A4BB-84EC88F2C27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97C96446-ECF7-47DE-A23E-98BC53380D0B}">
      <dgm:prSet phldrT="[Text]" custT="1"/>
      <dgm: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sz="1600" b="1">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5C38865-D690-4DD7-9B59-9910920A009A}" type="parTrans" cxnId="{04D169A7-1534-4B8E-ADDC-DD04C910AAE2}">
      <dgm:prSet/>
      <dgm:spPr/>
      <dgm:t>
        <a:bodyPr/>
        <a:lstStyle/>
        <a:p>
          <a:endParaRPr lang="en-US"/>
        </a:p>
      </dgm:t>
    </dgm:pt>
    <dgm:pt modelId="{91DE6B30-189F-4792-96E1-988F22553EEB}" type="sibTrans" cxnId="{04D169A7-1534-4B8E-ADDC-DD04C910AAE2}">
      <dgm:prSet/>
      <dgm:spPr>
        <a:xfrm rot="18525583">
          <a:off x="2861322" y="1716452"/>
          <a:ext cx="936630" cy="295818"/>
        </a:xfrm>
        <a:prstGeom prst="leftRightArrow">
          <a:avLst>
            <a:gd name="adj1" fmla="val 60000"/>
            <a:gd name="adj2" fmla="val 50000"/>
          </a:avLst>
        </a:prstGeo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A7D235-6D5E-4D4C-8C1C-56C754F0DD5A}">
      <dgm:prSet phldrT="[Text]" custT="1"/>
      <dgm:spPr>
        <a:xfrm>
          <a:off x="3666231" y="0"/>
          <a:ext cx="1193364" cy="2175438"/>
        </a:xfrm>
        <a:prstGeom prst="roundRect">
          <a:avLst>
            <a:gd name="adj" fmla="val 10000"/>
          </a:avLst>
        </a:prstGeom>
        <a:solidFill>
          <a:srgbClr val="5B9BD5"/>
        </a:solidFill>
        <a:ln w="12700" cap="flat" cmpd="sng" algn="ctr">
          <a:solidFill>
            <a:srgbClr val="5B9BD5"/>
          </a:solidFill>
          <a:prstDash val="solid"/>
          <a:miter lim="800000"/>
        </a:ln>
        <a:effectLst/>
      </dgm:spPr>
      <dgm:t>
        <a:bodyPr/>
        <a:lstStyle/>
        <a:p>
          <a:pPr>
            <a:buNone/>
          </a:pPr>
          <a:r>
            <a:rPr lang="ar-EG" sz="1400" b="1">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8921001-DA01-4B6E-A169-3F3E83822F7D}" type="parTrans" cxnId="{90087E96-574F-47D0-B1DB-BA05ECD817A4}">
      <dgm:prSet/>
      <dgm:spPr/>
      <dgm:t>
        <a:bodyPr/>
        <a:lstStyle/>
        <a:p>
          <a:endParaRPr lang="en-US"/>
        </a:p>
      </dgm:t>
    </dgm:pt>
    <dgm:pt modelId="{5B03B446-71E8-49DD-BF41-225D80535CAF}" type="sibTrans" cxnId="{90087E96-574F-47D0-B1DB-BA05ECD817A4}">
      <dgm:prSet/>
      <dgm:spPr>
        <a:xfrm rot="10800000">
          <a:off x="2025717" y="799737"/>
          <a:ext cx="1388672" cy="295818"/>
        </a:xfrm>
        <a:prstGeom prst="leftRightArrow">
          <a:avLst>
            <a:gd name="adj1" fmla="val 60000"/>
            <a:gd name="adj2" fmla="val 50000"/>
          </a:avLst>
        </a:prstGeom>
        <a:solidFill>
          <a:srgbClr val="FFC000"/>
        </a:solidFill>
        <a:ln>
          <a:solidFill>
            <a:srgbClr val="ED7D31"/>
          </a:solidFill>
        </a:ln>
        <a:effectLst/>
      </dgm:spPr>
      <dgm:t>
        <a:bodyPr/>
        <a:lstStyle/>
        <a:p>
          <a:pPr>
            <a:buNone/>
          </a:pPr>
          <a:endParaRPr lang="en-US">
            <a:solidFill>
              <a:sysClr val="window" lastClr="FFFFFF"/>
            </a:solidFill>
            <a:latin typeface="Calibri" panose="020F0502020204030204"/>
            <a:ea typeface="+mn-ea"/>
            <a:cs typeface="+mn-cs"/>
          </a:endParaRPr>
        </a:p>
      </dgm:t>
    </dgm:pt>
    <dgm:pt modelId="{CBAABBFD-6148-4450-9650-EA01DC1160CB}">
      <dgm:prSet phldrT="[Text]" custT="1"/>
      <dgm: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gm:spPr>
      <dgm:t>
        <a:bodyPr/>
        <a:lstStyle/>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r>
            <a:rPr lang="ar-EG" sz="1400" b="1">
              <a:solidFill>
                <a:sysClr val="windowText" lastClr="000000"/>
              </a:solidFill>
              <a:latin typeface="Calibri" panose="020F0502020204030204"/>
              <a:ea typeface="+mn-ea"/>
              <a:cs typeface="Arial" panose="020B0604020202020204" pitchFamily="34" charset="0"/>
            </a:rPr>
            <a:t>حوكمة الشركات</a:t>
          </a:r>
        </a:p>
        <a:p>
          <a:pPr>
            <a:buNone/>
          </a:pPr>
          <a:r>
            <a:rPr lang="ar-EG" sz="1400" b="1">
              <a:solidFill>
                <a:sysClr val="windowText" lastClr="000000"/>
              </a:solidFill>
              <a:latin typeface="Calibri" panose="020F0502020204030204"/>
              <a:ea typeface="+mn-ea"/>
              <a:cs typeface="Arial" panose="020B0604020202020204" pitchFamily="34" charset="0"/>
            </a:rPr>
            <a:t>- مبدأ الشفافية.</a:t>
          </a:r>
        </a:p>
        <a:p>
          <a:pPr>
            <a:buNone/>
          </a:pPr>
          <a:r>
            <a:rPr lang="ar-EG" sz="1400" b="1">
              <a:solidFill>
                <a:sysClr val="windowText" lastClr="000000"/>
              </a:solidFill>
              <a:latin typeface="Calibri" panose="020F0502020204030204"/>
              <a:ea typeface="+mn-ea"/>
              <a:cs typeface="Arial" panose="020B0604020202020204" pitchFamily="34" charset="0"/>
            </a:rPr>
            <a:t>- مبدأ المساءلة.</a:t>
          </a:r>
        </a:p>
        <a:p>
          <a:pPr>
            <a:buNone/>
          </a:pPr>
          <a:r>
            <a:rPr lang="ar-EG" sz="1400" b="1">
              <a:solidFill>
                <a:sysClr val="windowText" lastClr="000000"/>
              </a:solidFill>
              <a:latin typeface="Calibri" panose="020F0502020204030204"/>
              <a:ea typeface="+mn-ea"/>
              <a:cs typeface="Arial" panose="020B0604020202020204" pitchFamily="34" charset="0"/>
            </a:rPr>
            <a:t>مبدأ النزاهة.</a:t>
          </a:r>
        </a:p>
        <a:p>
          <a:pPr>
            <a:buNone/>
          </a:pPr>
          <a:r>
            <a:rPr lang="ar-EG" sz="1400" b="1">
              <a:solidFill>
                <a:sysClr val="windowText" lastClr="000000"/>
              </a:solidFill>
              <a:latin typeface="Calibri" panose="020F0502020204030204"/>
              <a:ea typeface="+mn-ea"/>
              <a:cs typeface="Arial" panose="020B0604020202020204" pitchFamily="34" charset="0"/>
            </a:rPr>
            <a:t>- مبدأ المشاركة.</a:t>
          </a:r>
        </a:p>
        <a:p>
          <a:pPr>
            <a:buNone/>
          </a:pPr>
          <a:r>
            <a:rPr lang="ar-EG" sz="1400" b="1">
              <a:solidFill>
                <a:sysClr val="windowText" lastClr="000000"/>
              </a:solidFill>
              <a:latin typeface="Calibri" panose="020F0502020204030204"/>
              <a:ea typeface="+mn-ea"/>
              <a:cs typeface="Arial" panose="020B0604020202020204" pitchFamily="34" charset="0"/>
            </a:rPr>
            <a:t>-مبدأ العدالة.</a:t>
          </a:r>
        </a:p>
        <a:p>
          <a:pPr>
            <a:buNone/>
          </a:pPr>
          <a:r>
            <a:rPr lang="ar-EG" sz="1400" b="1">
              <a:solidFill>
                <a:sysClr val="windowText" lastClr="000000"/>
              </a:solidFill>
              <a:latin typeface="Calibri" panose="020F0502020204030204"/>
              <a:ea typeface="+mn-ea"/>
              <a:cs typeface="Arial" panose="020B0604020202020204" pitchFamily="34" charset="0"/>
            </a:rPr>
            <a:t>- مبدأ الاستدامة.</a:t>
          </a: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en-US" sz="1400" b="1">
            <a:solidFill>
              <a:sysClr val="windowText" lastClr="000000"/>
            </a:solidFill>
            <a:latin typeface="Calibri" panose="020F0502020204030204"/>
            <a:ea typeface="+mn-ea"/>
            <a:cs typeface="+mn-cs"/>
          </a:endParaRPr>
        </a:p>
      </dgm:t>
    </dgm:pt>
    <dgm:pt modelId="{B7BFF15C-3B59-468B-AA5A-5BDA78680C4C}" type="parTrans" cxnId="{03BC328B-317F-44BA-8AA3-DE079A73EF57}">
      <dgm:prSet/>
      <dgm:spPr/>
      <dgm:t>
        <a:bodyPr/>
        <a:lstStyle/>
        <a:p>
          <a:endParaRPr lang="en-US"/>
        </a:p>
      </dgm:t>
    </dgm:pt>
    <dgm:pt modelId="{B0E6B0E3-06AB-4B48-8423-1E99FBEA96E6}" type="sibTrans" cxnId="{03BC328B-317F-44BA-8AA3-DE079A73EF57}">
      <dgm:prSet/>
      <dgm:spPr>
        <a:xfrm rot="2851957">
          <a:off x="1707505" y="1715392"/>
          <a:ext cx="921775" cy="307511"/>
        </a:xfrm>
        <a:prstGeom prst="leftRightArrow">
          <a:avLst>
            <a:gd name="adj1" fmla="val 60000"/>
            <a:gd name="adj2" fmla="val 50000"/>
          </a:avLst>
        </a:prstGeom>
        <a:solidFill>
          <a:srgbClr val="ED7D31"/>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22D8542-6CC6-4BB4-A055-57ED2C7D06B8}" type="pres">
      <dgm:prSet presAssocID="{FD41104F-2484-48E9-A4BB-84EC88F2C276}" presName="Name0" presStyleCnt="0">
        <dgm:presLayoutVars>
          <dgm:dir/>
          <dgm:resizeHandles val="exact"/>
        </dgm:presLayoutVars>
      </dgm:prSet>
      <dgm:spPr/>
    </dgm:pt>
    <dgm:pt modelId="{6656E99E-697F-4B71-A0B7-9E0E7DE35087}" type="pres">
      <dgm:prSet presAssocID="{97C96446-ECF7-47DE-A23E-98BC53380D0B}" presName="node" presStyleLbl="node1" presStyleIdx="0" presStyleCnt="3" custRadScaleRad="69890" custRadScaleInc="-300000">
        <dgm:presLayoutVars>
          <dgm:bulletEnabled val="1"/>
        </dgm:presLayoutVars>
      </dgm:prSet>
      <dgm:spPr/>
    </dgm:pt>
    <dgm:pt modelId="{6B81FB9A-83EA-44D9-9DFE-0159384E5065}" type="pres">
      <dgm:prSet presAssocID="{91DE6B30-189F-4792-96E1-988F22553EEB}" presName="sibTrans" presStyleLbl="sibTrans2D1" presStyleIdx="0" presStyleCnt="3" custScaleX="159521" custLinFactNeighborX="-18198" custLinFactNeighborY="-85426"/>
      <dgm:spPr/>
    </dgm:pt>
    <dgm:pt modelId="{616D47C7-72D8-4B97-977D-33233BC4EBAA}" type="pres">
      <dgm:prSet presAssocID="{91DE6B30-189F-4792-96E1-988F22553EEB}" presName="connectorText" presStyleLbl="sibTrans2D1" presStyleIdx="0" presStyleCnt="3"/>
      <dgm:spPr/>
    </dgm:pt>
    <dgm:pt modelId="{177BDE28-2CFE-46F0-9F3C-D25CDD460172}" type="pres">
      <dgm:prSet presAssocID="{09A7D235-6D5E-4D4C-8C1C-56C754F0DD5A}" presName="node" presStyleLbl="node1" presStyleIdx="1" presStyleCnt="3" custScaleX="70597" custScaleY="257389" custRadScaleRad="130063" custRadScaleInc="-130417">
        <dgm:presLayoutVars>
          <dgm:bulletEnabled val="1"/>
        </dgm:presLayoutVars>
      </dgm:prSet>
      <dgm:spPr/>
    </dgm:pt>
    <dgm:pt modelId="{03C39241-B88E-4972-A9F3-E9200C065884}" type="pres">
      <dgm:prSet presAssocID="{5B03B446-71E8-49DD-BF41-225D80535CAF}" presName="sibTrans" presStyleLbl="sibTrans2D1" presStyleIdx="1" presStyleCnt="3" custAng="5313" custScaleX="236510" custLinFactNeighborX="3936" custLinFactNeighborY="-48169"/>
      <dgm:spPr/>
    </dgm:pt>
    <dgm:pt modelId="{FB554AD6-0775-4EA9-8047-3C6838789785}" type="pres">
      <dgm:prSet presAssocID="{5B03B446-71E8-49DD-BF41-225D80535CAF}" presName="connectorText" presStyleLbl="sibTrans2D1" presStyleIdx="1" presStyleCnt="3"/>
      <dgm:spPr/>
    </dgm:pt>
    <dgm:pt modelId="{47DF25E5-A127-471A-A6B9-79BE61FD7591}" type="pres">
      <dgm:prSet presAssocID="{CBAABBFD-6148-4450-9650-EA01DC1160CB}" presName="node" presStyleLbl="node1" presStyleIdx="2" presStyleCnt="3" custScaleX="73751" custScaleY="258543" custRadScaleRad="115731" custRadScaleInc="81667">
        <dgm:presLayoutVars>
          <dgm:bulletEnabled val="1"/>
        </dgm:presLayoutVars>
      </dgm:prSet>
      <dgm:spPr/>
    </dgm:pt>
    <dgm:pt modelId="{7D8ADF69-46C2-4C0D-8648-326EBB8DF7ED}" type="pres">
      <dgm:prSet presAssocID="{B0E6B0E3-06AB-4B48-8423-1E99FBEA96E6}" presName="sibTrans" presStyleLbl="sibTrans2D1" presStyleIdx="2" presStyleCnt="3" custAng="181375" custScaleX="156991" custScaleY="103953" custLinFactNeighborX="14610" custLinFactNeighborY="-62587"/>
      <dgm:spPr/>
    </dgm:pt>
    <dgm:pt modelId="{82CE3531-FB40-4914-8C1A-210CDDF80A7B}" type="pres">
      <dgm:prSet presAssocID="{B0E6B0E3-06AB-4B48-8423-1E99FBEA96E6}" presName="connectorText" presStyleLbl="sibTrans2D1" presStyleIdx="2" presStyleCnt="3"/>
      <dgm:spPr/>
    </dgm:pt>
  </dgm:ptLst>
  <dgm:cxnLst>
    <dgm:cxn modelId="{241A6803-430F-4B93-BD9C-E9D97871CF1B}" type="presOf" srcId="{91DE6B30-189F-4792-96E1-988F22553EEB}" destId="{616D47C7-72D8-4B97-977D-33233BC4EBAA}" srcOrd="1" destOrd="0" presId="urn:microsoft.com/office/officeart/2005/8/layout/cycle7"/>
    <dgm:cxn modelId="{E626AD0B-E8C7-4973-89E2-49C88378A212}" type="presOf" srcId="{09A7D235-6D5E-4D4C-8C1C-56C754F0DD5A}" destId="{177BDE28-2CFE-46F0-9F3C-D25CDD460172}" srcOrd="0" destOrd="0" presId="urn:microsoft.com/office/officeart/2005/8/layout/cycle7"/>
    <dgm:cxn modelId="{B07D8627-1FC0-4BBB-92CD-685092502A70}" type="presOf" srcId="{5B03B446-71E8-49DD-BF41-225D80535CAF}" destId="{FB554AD6-0775-4EA9-8047-3C6838789785}" srcOrd="1" destOrd="0" presId="urn:microsoft.com/office/officeart/2005/8/layout/cycle7"/>
    <dgm:cxn modelId="{DA46CC39-0D5D-4BA8-944B-7329DE373CAE}" type="presOf" srcId="{B0E6B0E3-06AB-4B48-8423-1E99FBEA96E6}" destId="{82CE3531-FB40-4914-8C1A-210CDDF80A7B}" srcOrd="1" destOrd="0" presId="urn:microsoft.com/office/officeart/2005/8/layout/cycle7"/>
    <dgm:cxn modelId="{92C47664-0AD1-47DE-A5B9-E61B492F2A27}" type="presOf" srcId="{B0E6B0E3-06AB-4B48-8423-1E99FBEA96E6}" destId="{7D8ADF69-46C2-4C0D-8648-326EBB8DF7ED}" srcOrd="0" destOrd="0" presId="urn:microsoft.com/office/officeart/2005/8/layout/cycle7"/>
    <dgm:cxn modelId="{B9B21B70-C140-47FF-87A3-C2509CBF4158}" type="presOf" srcId="{CBAABBFD-6148-4450-9650-EA01DC1160CB}" destId="{47DF25E5-A127-471A-A6B9-79BE61FD7591}" srcOrd="0" destOrd="0" presId="urn:microsoft.com/office/officeart/2005/8/layout/cycle7"/>
    <dgm:cxn modelId="{BF629F82-374F-4B87-80F7-5CA2D5690FF5}" type="presOf" srcId="{91DE6B30-189F-4792-96E1-988F22553EEB}" destId="{6B81FB9A-83EA-44D9-9DFE-0159384E5065}" srcOrd="0" destOrd="0" presId="urn:microsoft.com/office/officeart/2005/8/layout/cycle7"/>
    <dgm:cxn modelId="{03BC328B-317F-44BA-8AA3-DE079A73EF57}" srcId="{FD41104F-2484-48E9-A4BB-84EC88F2C276}" destId="{CBAABBFD-6148-4450-9650-EA01DC1160CB}" srcOrd="2" destOrd="0" parTransId="{B7BFF15C-3B59-468B-AA5A-5BDA78680C4C}" sibTransId="{B0E6B0E3-06AB-4B48-8423-1E99FBEA96E6}"/>
    <dgm:cxn modelId="{90087E96-574F-47D0-B1DB-BA05ECD817A4}" srcId="{FD41104F-2484-48E9-A4BB-84EC88F2C276}" destId="{09A7D235-6D5E-4D4C-8C1C-56C754F0DD5A}" srcOrd="1" destOrd="0" parTransId="{28921001-DA01-4B6E-A169-3F3E83822F7D}" sibTransId="{5B03B446-71E8-49DD-BF41-225D80535CAF}"/>
    <dgm:cxn modelId="{04D169A7-1534-4B8E-ADDC-DD04C910AAE2}" srcId="{FD41104F-2484-48E9-A4BB-84EC88F2C276}" destId="{97C96446-ECF7-47DE-A23E-98BC53380D0B}" srcOrd="0" destOrd="0" parTransId="{25C38865-D690-4DD7-9B59-9910920A009A}" sibTransId="{91DE6B30-189F-4792-96E1-988F22553EEB}"/>
    <dgm:cxn modelId="{3EFEC7B6-F11C-45FC-9C61-A456E2AAF083}" type="presOf" srcId="{97C96446-ECF7-47DE-A23E-98BC53380D0B}" destId="{6656E99E-697F-4B71-A0B7-9E0E7DE35087}" srcOrd="0" destOrd="0" presId="urn:microsoft.com/office/officeart/2005/8/layout/cycle7"/>
    <dgm:cxn modelId="{445478B9-2506-48E2-99E0-3556EDA26E32}" type="presOf" srcId="{5B03B446-71E8-49DD-BF41-225D80535CAF}" destId="{03C39241-B88E-4972-A9F3-E9200C065884}" srcOrd="0" destOrd="0" presId="urn:microsoft.com/office/officeart/2005/8/layout/cycle7"/>
    <dgm:cxn modelId="{F6F460C4-DDF6-43EB-AA71-55AEB97D0DED}" type="presOf" srcId="{FD41104F-2484-48E9-A4BB-84EC88F2C276}" destId="{B22D8542-6CC6-4BB4-A055-57ED2C7D06B8}" srcOrd="0" destOrd="0" presId="urn:microsoft.com/office/officeart/2005/8/layout/cycle7"/>
    <dgm:cxn modelId="{97697E5C-E449-4450-A949-899B46EBED6C}" type="presParOf" srcId="{B22D8542-6CC6-4BB4-A055-57ED2C7D06B8}" destId="{6656E99E-697F-4B71-A0B7-9E0E7DE35087}" srcOrd="0" destOrd="0" presId="urn:microsoft.com/office/officeart/2005/8/layout/cycle7"/>
    <dgm:cxn modelId="{861C209D-73AE-4247-B74A-0B5794403BA7}" type="presParOf" srcId="{B22D8542-6CC6-4BB4-A055-57ED2C7D06B8}" destId="{6B81FB9A-83EA-44D9-9DFE-0159384E5065}" srcOrd="1" destOrd="0" presId="urn:microsoft.com/office/officeart/2005/8/layout/cycle7"/>
    <dgm:cxn modelId="{46F6F152-58E7-4AE9-8B78-DAB4E1F99BBA}" type="presParOf" srcId="{6B81FB9A-83EA-44D9-9DFE-0159384E5065}" destId="{616D47C7-72D8-4B97-977D-33233BC4EBAA}" srcOrd="0" destOrd="0" presId="urn:microsoft.com/office/officeart/2005/8/layout/cycle7"/>
    <dgm:cxn modelId="{9D782442-EF7B-40E0-AB8B-36FE05FB81F5}" type="presParOf" srcId="{B22D8542-6CC6-4BB4-A055-57ED2C7D06B8}" destId="{177BDE28-2CFE-46F0-9F3C-D25CDD460172}" srcOrd="2" destOrd="0" presId="urn:microsoft.com/office/officeart/2005/8/layout/cycle7"/>
    <dgm:cxn modelId="{92605743-6869-425A-9F73-AA1555346BA3}" type="presParOf" srcId="{B22D8542-6CC6-4BB4-A055-57ED2C7D06B8}" destId="{03C39241-B88E-4972-A9F3-E9200C065884}" srcOrd="3" destOrd="0" presId="urn:microsoft.com/office/officeart/2005/8/layout/cycle7"/>
    <dgm:cxn modelId="{B2F8FEC1-6FBC-4075-8581-92718B45568D}" type="presParOf" srcId="{03C39241-B88E-4972-A9F3-E9200C065884}" destId="{FB554AD6-0775-4EA9-8047-3C6838789785}" srcOrd="0" destOrd="0" presId="urn:microsoft.com/office/officeart/2005/8/layout/cycle7"/>
    <dgm:cxn modelId="{C9EF93A3-9555-4B40-B656-B42279F11485}" type="presParOf" srcId="{B22D8542-6CC6-4BB4-A055-57ED2C7D06B8}" destId="{47DF25E5-A127-471A-A6B9-79BE61FD7591}" srcOrd="4" destOrd="0" presId="urn:microsoft.com/office/officeart/2005/8/layout/cycle7"/>
    <dgm:cxn modelId="{ADE9F956-8F6F-4F02-A6BD-02403E12C4CA}" type="presParOf" srcId="{B22D8542-6CC6-4BB4-A055-57ED2C7D06B8}" destId="{7D8ADF69-46C2-4C0D-8648-326EBB8DF7ED}" srcOrd="5" destOrd="0" presId="urn:microsoft.com/office/officeart/2005/8/layout/cycle7"/>
    <dgm:cxn modelId="{0C5FB59E-BB00-4093-B386-9A74BD801FFA}" type="presParOf" srcId="{7D8ADF69-46C2-4C0D-8648-326EBB8DF7ED}" destId="{82CE3531-FB40-4914-8C1A-210CDDF80A7B}" srcOrd="0" destOrd="0" presId="urn:microsoft.com/office/officeart/2005/8/layout/cycle7"/>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CA079B-4208-4914-84AF-49D91770929E}"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US"/>
        </a:p>
      </dgm:t>
    </dgm:pt>
    <dgm:pt modelId="{C4476734-5822-4FB2-B081-C2853B72629E}">
      <dgm:prSet phldrT="[Text]" custT="1"/>
      <dgm:spPr>
        <a:xfrm>
          <a:off x="473910"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54276890-3C4E-4753-86B8-67484D0B7F15}" type="parTrans" cxnId="{3362C1CA-1A8F-46CE-8DD0-4EFCE624AB67}">
      <dgm:prSet/>
      <dgm:spPr/>
      <dgm:t>
        <a:bodyPr/>
        <a:lstStyle/>
        <a:p>
          <a:endParaRPr lang="en-US"/>
        </a:p>
      </dgm:t>
    </dgm:pt>
    <dgm:pt modelId="{1C041233-3A09-4462-80ED-DC07AC33DE97}" type="sibTrans" cxnId="{3362C1CA-1A8F-46CE-8DD0-4EFCE624AB67}">
      <dgm:prSet/>
      <dgm:spPr/>
      <dgm:t>
        <a:bodyPr/>
        <a:lstStyle/>
        <a:p>
          <a:endParaRPr lang="en-US"/>
        </a:p>
      </dgm:t>
    </dgm:pt>
    <dgm:pt modelId="{BD47BA9D-2A44-465B-A5DF-E9495386B6C5}">
      <dgm:prSet phldrT="[Text]" custT="1"/>
      <dgm:spPr>
        <a:xfrm>
          <a:off x="1879295"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4016EA6C-E9D9-4BFB-B391-BC57A21DE303}" type="parTrans" cxnId="{2B50918E-8CCE-4386-AE3E-A9ED8D9E0DCF}">
      <dgm:prSet/>
      <dgm:spPr/>
      <dgm:t>
        <a:bodyPr/>
        <a:lstStyle/>
        <a:p>
          <a:endParaRPr lang="en-US"/>
        </a:p>
      </dgm:t>
    </dgm:pt>
    <dgm:pt modelId="{E7F6DAEE-91AE-454B-8C77-B6898B158231}" type="sibTrans" cxnId="{2B50918E-8CCE-4386-AE3E-A9ED8D9E0DCF}">
      <dgm:prSet/>
      <dgm:spPr/>
      <dgm:t>
        <a:bodyPr/>
        <a:lstStyle/>
        <a:p>
          <a:endParaRPr lang="en-US"/>
        </a:p>
      </dgm:t>
    </dgm:pt>
    <dgm:pt modelId="{4D00E3B2-F681-4554-8297-046B61048E6A}">
      <dgm:prSet phldrT="[Text]" custT="1"/>
      <dgm:spPr>
        <a:xfrm>
          <a:off x="3284680"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AB5278E-62A1-43FE-A4A6-F075725E5B2D}" type="parTrans" cxnId="{D8E0C84E-7D62-483C-B207-047C420F0BAA}">
      <dgm:prSet/>
      <dgm:spPr/>
      <dgm:t>
        <a:bodyPr/>
        <a:lstStyle/>
        <a:p>
          <a:endParaRPr lang="en-US"/>
        </a:p>
      </dgm:t>
    </dgm:pt>
    <dgm:pt modelId="{82583537-ABCB-41D5-8EC7-E99D0F00CC6D}" type="sibTrans" cxnId="{D8E0C84E-7D62-483C-B207-047C420F0BAA}">
      <dgm:prSet/>
      <dgm:spPr/>
      <dgm:t>
        <a:bodyPr/>
        <a:lstStyle/>
        <a:p>
          <a:endParaRPr lang="en-US"/>
        </a:p>
      </dgm:t>
    </dgm:pt>
    <dgm:pt modelId="{F4D4C9A7-CEB6-4D39-A9FC-DBC420513019}">
      <dgm:prSet phldrT="[Text]" custT="1"/>
      <dgm:spPr>
        <a:xfrm>
          <a:off x="4690066"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0A5C909-49C9-4EF9-BDF1-E85E382BFC6C}" type="parTrans" cxnId="{C08A3AF1-73E4-4D70-891E-817396EEB469}">
      <dgm:prSet/>
      <dgm:spPr/>
      <dgm:t>
        <a:bodyPr/>
        <a:lstStyle/>
        <a:p>
          <a:endParaRPr lang="en-US"/>
        </a:p>
      </dgm:t>
    </dgm:pt>
    <dgm:pt modelId="{256F2F3C-890A-448A-B38D-46232FB333CE}" type="sibTrans" cxnId="{C08A3AF1-73E4-4D70-891E-817396EEB469}">
      <dgm:prSet/>
      <dgm:spPr/>
      <dgm:t>
        <a:bodyPr/>
        <a:lstStyle/>
        <a:p>
          <a:endParaRPr lang="en-US"/>
        </a:p>
      </dgm:t>
    </dgm:pt>
    <dgm:pt modelId="{6EBB0E42-2AB9-4458-81D7-3723FC12AE03}" type="pres">
      <dgm:prSet presAssocID="{A6CA079B-4208-4914-84AF-49D91770929E}" presName="Name0" presStyleCnt="0">
        <dgm:presLayoutVars>
          <dgm:chMax val="11"/>
          <dgm:chPref val="11"/>
          <dgm:dir/>
          <dgm:resizeHandles/>
        </dgm:presLayoutVars>
      </dgm:prSet>
      <dgm:spPr/>
    </dgm:pt>
    <dgm:pt modelId="{590363FB-1AA4-4681-A01A-F051ACCDBB0B}" type="pres">
      <dgm:prSet presAssocID="{F4D4C9A7-CEB6-4D39-A9FC-DBC420513019}" presName="Accent4" presStyleCnt="0"/>
      <dgm:spPr/>
    </dgm:pt>
    <dgm:pt modelId="{D52447B9-3BFA-443D-8530-D2632CC0B179}" type="pres">
      <dgm:prSet presAssocID="{F4D4C9A7-CEB6-4D39-A9FC-DBC420513019}" presName="Accent" presStyleLbl="node1" presStyleIdx="0" presStyleCnt="4"/>
      <dgm: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EC3EFD36-4FC6-4855-949E-37DFAD44F04C}" type="pres">
      <dgm:prSet presAssocID="{F4D4C9A7-CEB6-4D39-A9FC-DBC420513019}" presName="ParentBackground4" presStyleCnt="0"/>
      <dgm:spPr/>
    </dgm:pt>
    <dgm:pt modelId="{330B554D-8423-4F55-8BD9-58898AFB3AFF}" type="pres">
      <dgm:prSet presAssocID="{F4D4C9A7-CEB6-4D39-A9FC-DBC420513019}" presName="ParentBackground" presStyleLbl="fgAcc1" presStyleIdx="0" presStyleCnt="4"/>
      <dgm:spPr/>
    </dgm:pt>
    <dgm:pt modelId="{F092F50F-58E7-4E27-A28D-B5D0DFBB1452}" type="pres">
      <dgm:prSet presAssocID="{F4D4C9A7-CEB6-4D39-A9FC-DBC420513019}" presName="Parent4" presStyleLbl="revTx" presStyleIdx="0" presStyleCnt="0">
        <dgm:presLayoutVars>
          <dgm:chMax val="1"/>
          <dgm:chPref val="1"/>
          <dgm:bulletEnabled val="1"/>
        </dgm:presLayoutVars>
      </dgm:prSet>
      <dgm:spPr/>
    </dgm:pt>
    <dgm:pt modelId="{F1C55C31-F4A8-4811-9A13-D6A72C29F1E4}" type="pres">
      <dgm:prSet presAssocID="{4D00E3B2-F681-4554-8297-046B61048E6A}" presName="Accent3" presStyleCnt="0"/>
      <dgm:spPr/>
    </dgm:pt>
    <dgm:pt modelId="{8E3024F3-B74B-4193-A1AE-B66B366D124D}" type="pres">
      <dgm:prSet presAssocID="{4D00E3B2-F681-4554-8297-046B61048E6A}" presName="Accent" presStyleLbl="node1" presStyleIdx="1" presStyleCnt="4"/>
      <dgm: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gm:spPr>
    </dgm:pt>
    <dgm:pt modelId="{E8CDCF5B-14DB-4F3F-98CF-AEE42D332288}" type="pres">
      <dgm:prSet presAssocID="{4D00E3B2-F681-4554-8297-046B61048E6A}" presName="ParentBackground3" presStyleCnt="0"/>
      <dgm:spPr/>
    </dgm:pt>
    <dgm:pt modelId="{16EFCD4A-1A66-4A44-A6AE-269E0E099928}" type="pres">
      <dgm:prSet presAssocID="{4D00E3B2-F681-4554-8297-046B61048E6A}" presName="ParentBackground" presStyleLbl="fgAcc1" presStyleIdx="1" presStyleCnt="4"/>
      <dgm:spPr/>
    </dgm:pt>
    <dgm:pt modelId="{12825A74-5061-4467-9DBE-7CB33AF15357}" type="pres">
      <dgm:prSet presAssocID="{4D00E3B2-F681-4554-8297-046B61048E6A}" presName="Parent3" presStyleLbl="revTx" presStyleIdx="0" presStyleCnt="0">
        <dgm:presLayoutVars>
          <dgm:chMax val="1"/>
          <dgm:chPref val="1"/>
          <dgm:bulletEnabled val="1"/>
        </dgm:presLayoutVars>
      </dgm:prSet>
      <dgm:spPr/>
    </dgm:pt>
    <dgm:pt modelId="{E94C9A7F-EDC9-480B-8565-22A0373F303E}" type="pres">
      <dgm:prSet presAssocID="{BD47BA9D-2A44-465B-A5DF-E9495386B6C5}" presName="Accent2" presStyleCnt="0"/>
      <dgm:spPr/>
    </dgm:pt>
    <dgm:pt modelId="{A0F21B25-52D2-4E16-BA7C-BD27FDEBA054}" type="pres">
      <dgm:prSet presAssocID="{BD47BA9D-2A44-465B-A5DF-E9495386B6C5}" presName="Accent" presStyleLbl="node1" presStyleIdx="2" presStyleCnt="4"/>
      <dgm: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gm:spPr>
    </dgm:pt>
    <dgm:pt modelId="{AF9B88C2-796B-45DD-8DD4-D65B0397A0B8}" type="pres">
      <dgm:prSet presAssocID="{BD47BA9D-2A44-465B-A5DF-E9495386B6C5}" presName="ParentBackground2" presStyleCnt="0"/>
      <dgm:spPr/>
    </dgm:pt>
    <dgm:pt modelId="{64B3E931-6B85-48E4-9C6F-91A7EF8065D5}" type="pres">
      <dgm:prSet presAssocID="{BD47BA9D-2A44-465B-A5DF-E9495386B6C5}" presName="ParentBackground" presStyleLbl="fgAcc1" presStyleIdx="2" presStyleCnt="4"/>
      <dgm:spPr/>
    </dgm:pt>
    <dgm:pt modelId="{FE34FB82-9DB1-4373-935E-0C32978B0450}" type="pres">
      <dgm:prSet presAssocID="{BD47BA9D-2A44-465B-A5DF-E9495386B6C5}" presName="Parent2" presStyleLbl="revTx" presStyleIdx="0" presStyleCnt="0">
        <dgm:presLayoutVars>
          <dgm:chMax val="1"/>
          <dgm:chPref val="1"/>
          <dgm:bulletEnabled val="1"/>
        </dgm:presLayoutVars>
      </dgm:prSet>
      <dgm:spPr/>
    </dgm:pt>
    <dgm:pt modelId="{80083AC7-ED11-4161-B576-EA614CD5042A}" type="pres">
      <dgm:prSet presAssocID="{C4476734-5822-4FB2-B081-C2853B72629E}" presName="Accent1" presStyleCnt="0"/>
      <dgm:spPr/>
    </dgm:pt>
    <dgm:pt modelId="{B43720C1-86E2-48AD-B7C3-A5CE83FC4261}" type="pres">
      <dgm:prSet presAssocID="{C4476734-5822-4FB2-B081-C2853B72629E}" presName="Accent" presStyleLbl="node1" presStyleIdx="3" presStyleCnt="4"/>
      <dgm: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pt>
    <dgm:pt modelId="{A134049A-BE7E-40F1-A50A-B10F96C4E8CB}" type="pres">
      <dgm:prSet presAssocID="{C4476734-5822-4FB2-B081-C2853B72629E}" presName="ParentBackground1" presStyleCnt="0"/>
      <dgm:spPr/>
    </dgm:pt>
    <dgm:pt modelId="{AD2B0E07-E99E-4521-B2CE-4AC9A030E057}" type="pres">
      <dgm:prSet presAssocID="{C4476734-5822-4FB2-B081-C2853B72629E}" presName="ParentBackground" presStyleLbl="fgAcc1" presStyleIdx="3" presStyleCnt="4"/>
      <dgm:spPr/>
    </dgm:pt>
    <dgm:pt modelId="{A83FDB98-8D6D-49C7-A23F-D853BA14AAE6}" type="pres">
      <dgm:prSet presAssocID="{C4476734-5822-4FB2-B081-C2853B72629E}" presName="Parent1" presStyleLbl="revTx" presStyleIdx="0" presStyleCnt="0">
        <dgm:presLayoutVars>
          <dgm:chMax val="1"/>
          <dgm:chPref val="1"/>
          <dgm:bulletEnabled val="1"/>
        </dgm:presLayoutVars>
      </dgm:prSet>
      <dgm:spPr/>
    </dgm:pt>
  </dgm:ptLst>
  <dgm:cxnLst>
    <dgm:cxn modelId="{2F818F19-8DAB-4810-B357-6C95F09DC5AE}" type="presOf" srcId="{F4D4C9A7-CEB6-4D39-A9FC-DBC420513019}" destId="{F092F50F-58E7-4E27-A28D-B5D0DFBB1452}" srcOrd="1" destOrd="0" presId="urn:microsoft.com/office/officeart/2011/layout/CircleProcess"/>
    <dgm:cxn modelId="{347BD430-5B88-4A14-9805-ED2139D32B13}" type="presOf" srcId="{C4476734-5822-4FB2-B081-C2853B72629E}" destId="{AD2B0E07-E99E-4521-B2CE-4AC9A030E057}" srcOrd="0" destOrd="0" presId="urn:microsoft.com/office/officeart/2011/layout/CircleProcess"/>
    <dgm:cxn modelId="{E0F83E35-F968-485F-BB2F-A27EB6EDA41D}" type="presOf" srcId="{BD47BA9D-2A44-465B-A5DF-E9495386B6C5}" destId="{64B3E931-6B85-48E4-9C6F-91A7EF8065D5}" srcOrd="0" destOrd="0" presId="urn:microsoft.com/office/officeart/2011/layout/CircleProcess"/>
    <dgm:cxn modelId="{DD94FE41-E608-46D6-86F7-CD1E0C746C60}" type="presOf" srcId="{4D00E3B2-F681-4554-8297-046B61048E6A}" destId="{16EFCD4A-1A66-4A44-A6AE-269E0E099928}" srcOrd="0" destOrd="0" presId="urn:microsoft.com/office/officeart/2011/layout/CircleProcess"/>
    <dgm:cxn modelId="{D8E0C84E-7D62-483C-B207-047C420F0BAA}" srcId="{A6CA079B-4208-4914-84AF-49D91770929E}" destId="{4D00E3B2-F681-4554-8297-046B61048E6A}" srcOrd="2" destOrd="0" parTransId="{EAB5278E-62A1-43FE-A4A6-F075725E5B2D}" sibTransId="{82583537-ABCB-41D5-8EC7-E99D0F00CC6D}"/>
    <dgm:cxn modelId="{C983E44E-CF92-4589-8704-496B849E8385}" type="presOf" srcId="{A6CA079B-4208-4914-84AF-49D91770929E}" destId="{6EBB0E42-2AB9-4458-81D7-3723FC12AE03}" srcOrd="0" destOrd="0" presId="urn:microsoft.com/office/officeart/2011/layout/CircleProcess"/>
    <dgm:cxn modelId="{1330E47A-71EA-4CEE-8C69-F6E2BC8BC683}" type="presOf" srcId="{F4D4C9A7-CEB6-4D39-A9FC-DBC420513019}" destId="{330B554D-8423-4F55-8BD9-58898AFB3AFF}" srcOrd="0" destOrd="0" presId="urn:microsoft.com/office/officeart/2011/layout/CircleProcess"/>
    <dgm:cxn modelId="{C568E381-ACFD-42F5-A00B-537B6DF4DEC2}" type="presOf" srcId="{C4476734-5822-4FB2-B081-C2853B72629E}" destId="{A83FDB98-8D6D-49C7-A23F-D853BA14AAE6}" srcOrd="1" destOrd="0" presId="urn:microsoft.com/office/officeart/2011/layout/CircleProcess"/>
    <dgm:cxn modelId="{2B50918E-8CCE-4386-AE3E-A9ED8D9E0DCF}" srcId="{A6CA079B-4208-4914-84AF-49D91770929E}" destId="{BD47BA9D-2A44-465B-A5DF-E9495386B6C5}" srcOrd="1" destOrd="0" parTransId="{4016EA6C-E9D9-4BFB-B391-BC57A21DE303}" sibTransId="{E7F6DAEE-91AE-454B-8C77-B6898B158231}"/>
    <dgm:cxn modelId="{DB0EEDBA-9347-4343-A6F1-AB30E60B9A19}" type="presOf" srcId="{4D00E3B2-F681-4554-8297-046B61048E6A}" destId="{12825A74-5061-4467-9DBE-7CB33AF15357}" srcOrd="1" destOrd="0" presId="urn:microsoft.com/office/officeart/2011/layout/CircleProcess"/>
    <dgm:cxn modelId="{46FDBFC7-587D-49EB-A2F1-3333B0062C15}" type="presOf" srcId="{BD47BA9D-2A44-465B-A5DF-E9495386B6C5}" destId="{FE34FB82-9DB1-4373-935E-0C32978B0450}" srcOrd="1" destOrd="0" presId="urn:microsoft.com/office/officeart/2011/layout/CircleProcess"/>
    <dgm:cxn modelId="{3362C1CA-1A8F-46CE-8DD0-4EFCE624AB67}" srcId="{A6CA079B-4208-4914-84AF-49D91770929E}" destId="{C4476734-5822-4FB2-B081-C2853B72629E}" srcOrd="0" destOrd="0" parTransId="{54276890-3C4E-4753-86B8-67484D0B7F15}" sibTransId="{1C041233-3A09-4462-80ED-DC07AC33DE97}"/>
    <dgm:cxn modelId="{C08A3AF1-73E4-4D70-891E-817396EEB469}" srcId="{A6CA079B-4208-4914-84AF-49D91770929E}" destId="{F4D4C9A7-CEB6-4D39-A9FC-DBC420513019}" srcOrd="3" destOrd="0" parTransId="{E0A5C909-49C9-4EF9-BDF1-E85E382BFC6C}" sibTransId="{256F2F3C-890A-448A-B38D-46232FB333CE}"/>
    <dgm:cxn modelId="{993593B8-EC59-4B67-80D7-1E157ADAC8F2}" type="presParOf" srcId="{6EBB0E42-2AB9-4458-81D7-3723FC12AE03}" destId="{590363FB-1AA4-4681-A01A-F051ACCDBB0B}" srcOrd="0" destOrd="0" presId="urn:microsoft.com/office/officeart/2011/layout/CircleProcess"/>
    <dgm:cxn modelId="{40E64810-5554-4037-AEEE-6E9BC21625D8}" type="presParOf" srcId="{590363FB-1AA4-4681-A01A-F051ACCDBB0B}" destId="{D52447B9-3BFA-443D-8530-D2632CC0B179}" srcOrd="0" destOrd="0" presId="urn:microsoft.com/office/officeart/2011/layout/CircleProcess"/>
    <dgm:cxn modelId="{D7DC7409-88A1-4B1F-9F72-3B0E7F03FF7B}" type="presParOf" srcId="{6EBB0E42-2AB9-4458-81D7-3723FC12AE03}" destId="{EC3EFD36-4FC6-4855-949E-37DFAD44F04C}" srcOrd="1" destOrd="0" presId="urn:microsoft.com/office/officeart/2011/layout/CircleProcess"/>
    <dgm:cxn modelId="{ED7512F7-6F5F-4C64-9DCB-B741E271BA7D}" type="presParOf" srcId="{EC3EFD36-4FC6-4855-949E-37DFAD44F04C}" destId="{330B554D-8423-4F55-8BD9-58898AFB3AFF}" srcOrd="0" destOrd="0" presId="urn:microsoft.com/office/officeart/2011/layout/CircleProcess"/>
    <dgm:cxn modelId="{DA20A259-C9C7-437B-BA5E-5E407E550C21}" type="presParOf" srcId="{6EBB0E42-2AB9-4458-81D7-3723FC12AE03}" destId="{F092F50F-58E7-4E27-A28D-B5D0DFBB1452}" srcOrd="2" destOrd="0" presId="urn:microsoft.com/office/officeart/2011/layout/CircleProcess"/>
    <dgm:cxn modelId="{0EA7186D-F0AA-4603-8CE4-9532DF44D152}" type="presParOf" srcId="{6EBB0E42-2AB9-4458-81D7-3723FC12AE03}" destId="{F1C55C31-F4A8-4811-9A13-D6A72C29F1E4}" srcOrd="3" destOrd="0" presId="urn:microsoft.com/office/officeart/2011/layout/CircleProcess"/>
    <dgm:cxn modelId="{796723C6-E6F2-4E02-AC54-38EFA69241CC}" type="presParOf" srcId="{F1C55C31-F4A8-4811-9A13-D6A72C29F1E4}" destId="{8E3024F3-B74B-4193-A1AE-B66B366D124D}" srcOrd="0" destOrd="0" presId="urn:microsoft.com/office/officeart/2011/layout/CircleProcess"/>
    <dgm:cxn modelId="{9B75CA83-186C-4693-99E9-8ACA51EACB76}" type="presParOf" srcId="{6EBB0E42-2AB9-4458-81D7-3723FC12AE03}" destId="{E8CDCF5B-14DB-4F3F-98CF-AEE42D332288}" srcOrd="4" destOrd="0" presId="urn:microsoft.com/office/officeart/2011/layout/CircleProcess"/>
    <dgm:cxn modelId="{A58F77A5-8F33-4321-8B02-5AA097610B88}" type="presParOf" srcId="{E8CDCF5B-14DB-4F3F-98CF-AEE42D332288}" destId="{16EFCD4A-1A66-4A44-A6AE-269E0E099928}" srcOrd="0" destOrd="0" presId="urn:microsoft.com/office/officeart/2011/layout/CircleProcess"/>
    <dgm:cxn modelId="{8EB98DE4-3AC4-4F02-83F3-F342E91F477E}" type="presParOf" srcId="{6EBB0E42-2AB9-4458-81D7-3723FC12AE03}" destId="{12825A74-5061-4467-9DBE-7CB33AF15357}" srcOrd="5" destOrd="0" presId="urn:microsoft.com/office/officeart/2011/layout/CircleProcess"/>
    <dgm:cxn modelId="{C9E898F0-7E37-4A1A-826D-E24C338B37B7}" type="presParOf" srcId="{6EBB0E42-2AB9-4458-81D7-3723FC12AE03}" destId="{E94C9A7F-EDC9-480B-8565-22A0373F303E}" srcOrd="6" destOrd="0" presId="urn:microsoft.com/office/officeart/2011/layout/CircleProcess"/>
    <dgm:cxn modelId="{59D2D800-077D-41F3-9696-79696E9C56C7}" type="presParOf" srcId="{E94C9A7F-EDC9-480B-8565-22A0373F303E}" destId="{A0F21B25-52D2-4E16-BA7C-BD27FDEBA054}" srcOrd="0" destOrd="0" presId="urn:microsoft.com/office/officeart/2011/layout/CircleProcess"/>
    <dgm:cxn modelId="{3FD76E41-6E32-4352-A622-3B975394C12E}" type="presParOf" srcId="{6EBB0E42-2AB9-4458-81D7-3723FC12AE03}" destId="{AF9B88C2-796B-45DD-8DD4-D65B0397A0B8}" srcOrd="7" destOrd="0" presId="urn:microsoft.com/office/officeart/2011/layout/CircleProcess"/>
    <dgm:cxn modelId="{5553F199-51FB-4329-9651-E9F972BE681A}" type="presParOf" srcId="{AF9B88C2-796B-45DD-8DD4-D65B0397A0B8}" destId="{64B3E931-6B85-48E4-9C6F-91A7EF8065D5}" srcOrd="0" destOrd="0" presId="urn:microsoft.com/office/officeart/2011/layout/CircleProcess"/>
    <dgm:cxn modelId="{BBB333B6-D6A5-4F62-BBC4-99A39073945F}" type="presParOf" srcId="{6EBB0E42-2AB9-4458-81D7-3723FC12AE03}" destId="{FE34FB82-9DB1-4373-935E-0C32978B0450}" srcOrd="8" destOrd="0" presId="urn:microsoft.com/office/officeart/2011/layout/CircleProcess"/>
    <dgm:cxn modelId="{88A3D7E4-7EE5-40F1-8C6D-60D13F3D4400}" type="presParOf" srcId="{6EBB0E42-2AB9-4458-81D7-3723FC12AE03}" destId="{80083AC7-ED11-4161-B576-EA614CD5042A}" srcOrd="9" destOrd="0" presId="urn:microsoft.com/office/officeart/2011/layout/CircleProcess"/>
    <dgm:cxn modelId="{B9D3B3D4-30FC-4747-9135-11B5F1C01AB4}" type="presParOf" srcId="{80083AC7-ED11-4161-B576-EA614CD5042A}" destId="{B43720C1-86E2-48AD-B7C3-A5CE83FC4261}" srcOrd="0" destOrd="0" presId="urn:microsoft.com/office/officeart/2011/layout/CircleProcess"/>
    <dgm:cxn modelId="{B8A294D8-68C5-4ACA-B507-0E5E4F760C1C}" type="presParOf" srcId="{6EBB0E42-2AB9-4458-81D7-3723FC12AE03}" destId="{A134049A-BE7E-40F1-A50A-B10F96C4E8CB}" srcOrd="10" destOrd="0" presId="urn:microsoft.com/office/officeart/2011/layout/CircleProcess"/>
    <dgm:cxn modelId="{8268DD3D-C233-4049-BA08-E437DC7CF8D5}" type="presParOf" srcId="{A134049A-BE7E-40F1-A50A-B10F96C4E8CB}" destId="{AD2B0E07-E99E-4521-B2CE-4AC9A030E057}" srcOrd="0" destOrd="0" presId="urn:microsoft.com/office/officeart/2011/layout/CircleProcess"/>
    <dgm:cxn modelId="{66DB0348-8963-4C8A-B23A-CFD7D9D3DDE2}" type="presParOf" srcId="{6EBB0E42-2AB9-4458-81D7-3723FC12AE03}" destId="{A83FDB98-8D6D-49C7-A23F-D853BA14AAE6}" srcOrd="11" destOrd="0" presId="urn:microsoft.com/office/officeart/2011/layout/Circle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5EA644-5674-49C7-9435-4C252DCB5F0E}" type="doc">
      <dgm:prSet loTypeId="urn:microsoft.com/office/officeart/2005/8/layout/radial5" loCatId="cycle" qsTypeId="urn:microsoft.com/office/officeart/2005/8/quickstyle/simple1" qsCatId="simple" csTypeId="urn:microsoft.com/office/officeart/2005/8/colors/accent1_5" csCatId="accent1" phldr="1"/>
      <dgm:spPr/>
      <dgm:t>
        <a:bodyPr/>
        <a:lstStyle/>
        <a:p>
          <a:endParaRPr lang="en-US"/>
        </a:p>
      </dgm:t>
    </dgm:pt>
    <dgm:pt modelId="{E7B433D2-313E-4E58-BDDD-F4E7445CB14E}">
      <dgm:prSet phldrT="[Text]" custT="1">
        <dgm:style>
          <a:lnRef idx="1">
            <a:schemeClr val="accent5"/>
          </a:lnRef>
          <a:fillRef idx="2">
            <a:schemeClr val="accent5"/>
          </a:fillRef>
          <a:effectRef idx="1">
            <a:schemeClr val="accent5"/>
          </a:effectRef>
          <a:fontRef idx="minor">
            <a:schemeClr val="dk1"/>
          </a:fontRef>
        </dgm:style>
      </dgm:prSet>
      <dgm:spPr>
        <a:xfrm>
          <a:off x="2151648" y="1447824"/>
          <a:ext cx="1111850" cy="1111850"/>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نظام الحوكمة</a:t>
          </a:r>
          <a:endParaRPr lang="en-US" sz="1100" b="1" baseline="0">
            <a:solidFill>
              <a:sysClr val="windowText" lastClr="000000"/>
            </a:solidFill>
            <a:latin typeface="Calibri" panose="020F0502020204030204"/>
            <a:ea typeface="+mn-ea"/>
            <a:cs typeface="+mn-cs"/>
          </a:endParaRPr>
        </a:p>
      </dgm:t>
    </dgm:pt>
    <dgm:pt modelId="{1DB4F293-BAFC-4B78-BE6D-0EBB86444A35}" type="parTrans" cxnId="{D3074031-CB78-4F56-8E20-9A526298962D}">
      <dgm:prSet/>
      <dgm:spPr/>
      <dgm:t>
        <a:bodyPr/>
        <a:lstStyle/>
        <a:p>
          <a:pPr algn="r"/>
          <a:endParaRPr lang="en-US"/>
        </a:p>
      </dgm:t>
    </dgm:pt>
    <dgm:pt modelId="{EF581223-A426-4F36-8658-B7D5503B4F6A}" type="sibTrans" cxnId="{D3074031-CB78-4F56-8E20-9A526298962D}">
      <dgm:prSet/>
      <dgm:spPr/>
      <dgm:t>
        <a:bodyPr/>
        <a:lstStyle/>
        <a:p>
          <a:pPr algn="r"/>
          <a:endParaRPr lang="en-US"/>
        </a:p>
      </dgm:t>
    </dgm:pt>
    <dgm:pt modelId="{4897A508-EDCF-46C3-9EB2-EA18532917D8}">
      <dgm:prSet phldrT="[Text]" custT="1">
        <dgm:style>
          <a:lnRef idx="1">
            <a:schemeClr val="accent5"/>
          </a:lnRef>
          <a:fillRef idx="2">
            <a:schemeClr val="accent5"/>
          </a:fillRef>
          <a:effectRef idx="1">
            <a:schemeClr val="accent5"/>
          </a:effectRef>
          <a:fontRef idx="minor">
            <a:schemeClr val="dk1"/>
          </a:fontRef>
        </dgm:style>
      </dgm:prSet>
      <dgm:spPr>
        <a:xfrm>
          <a:off x="2207241" y="2831"/>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r">
            <a:buNone/>
          </a:pPr>
          <a:r>
            <a:rPr lang="ar-EG" sz="1100" b="1" baseline="0">
              <a:solidFill>
                <a:sysClr val="windowText" lastClr="000000"/>
              </a:solidFill>
              <a:latin typeface="Calibri" panose="020F0502020204030204"/>
              <a:ea typeface="+mn-ea"/>
              <a:cs typeface="Arial" panose="020B0604020202020204" pitchFamily="34" charset="0"/>
            </a:rPr>
            <a:t>العمليات</a:t>
          </a:r>
          <a:endParaRPr lang="en-US" sz="1100" b="1" baseline="0">
            <a:solidFill>
              <a:sysClr val="windowText" lastClr="000000"/>
            </a:solidFill>
            <a:latin typeface="Calibri" panose="020F0502020204030204"/>
            <a:ea typeface="+mn-ea"/>
            <a:cs typeface="+mn-cs"/>
          </a:endParaRPr>
        </a:p>
      </dgm:t>
    </dgm:pt>
    <dgm:pt modelId="{D6C2AEC3-5419-4CF4-828E-05B78DD9CD85}" type="parTrans" cxnId="{2B772B33-7CB2-4165-B71B-7B465E1101FF}">
      <dgm:prSet/>
      <dgm:spPr>
        <a:xfrm rot="16200000">
          <a:off x="2589827" y="1043311"/>
          <a:ext cx="235493" cy="378029"/>
        </a:xfrm>
        <a:prstGeom prst="rightArrow">
          <a:avLst>
            <a:gd name="adj1" fmla="val 60000"/>
            <a:gd name="adj2" fmla="val 50000"/>
          </a:avLst>
        </a:prstGeom>
        <a:solidFill>
          <a:srgbClr val="4472C4">
            <a:shade val="90000"/>
            <a:hueOff val="0"/>
            <a:satOff val="0"/>
            <a:lumOff val="0"/>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E40AF42F-2052-4C2A-B186-3C5EEAAE4B1C}" type="sibTrans" cxnId="{2B772B33-7CB2-4165-B71B-7B465E1101FF}">
      <dgm:prSet/>
      <dgm:spPr/>
      <dgm:t>
        <a:bodyPr/>
        <a:lstStyle/>
        <a:p>
          <a:pPr algn="r"/>
          <a:endParaRPr lang="en-US"/>
        </a:p>
      </dgm:t>
    </dgm:pt>
    <dgm:pt modelId="{174BB545-0AD9-4A96-9DAA-7F4BC413C7D7}">
      <dgm:prSet phldrT="[Text]" custT="1">
        <dgm:style>
          <a:lnRef idx="1">
            <a:schemeClr val="accent5"/>
          </a:lnRef>
          <a:fillRef idx="2">
            <a:schemeClr val="accent5"/>
          </a:fillRef>
          <a:effectRef idx="1">
            <a:schemeClr val="accent5"/>
          </a:effectRef>
          <a:fontRef idx="minor">
            <a:schemeClr val="dk1"/>
          </a:fontRef>
        </dgm:style>
      </dgm:prSet>
      <dgm:spPr>
        <a:xfrm>
          <a:off x="744278"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baseline="0">
            <a:solidFill>
              <a:sysClr val="windowText" lastClr="000000"/>
            </a:solidFill>
            <a:latin typeface="Calibri" panose="020F0502020204030204"/>
            <a:ea typeface="+mn-ea"/>
            <a:cs typeface="+mn-cs"/>
          </a:endParaRPr>
        </a:p>
      </dgm:t>
    </dgm:pt>
    <dgm:pt modelId="{E6F6273E-2215-41B2-8FDC-6FB7C97EB91C}" type="parTrans" cxnId="{B9505B8F-6CD5-4649-A8AF-D5B0812F9589}">
      <dgm:prSet/>
      <dgm:spPr>
        <a:xfrm rot="10028571">
          <a:off x="1837744" y="1986393"/>
          <a:ext cx="235493" cy="378029"/>
        </a:xfrm>
        <a:prstGeom prst="rightArrow">
          <a:avLst>
            <a:gd name="adj1" fmla="val 60000"/>
            <a:gd name="adj2" fmla="val 50000"/>
          </a:avLst>
        </a:prstGeom>
        <a:solidFill>
          <a:srgbClr val="4472C4">
            <a:shade val="90000"/>
            <a:hueOff val="346188"/>
            <a:satOff val="-7393"/>
            <a:lumOff val="27591"/>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AE892AFA-4495-4F82-8CF2-43CA4DAB0977}" type="sibTrans" cxnId="{B9505B8F-6CD5-4649-A8AF-D5B0812F9589}">
      <dgm:prSet/>
      <dgm:spPr/>
      <dgm:t>
        <a:bodyPr/>
        <a:lstStyle/>
        <a:p>
          <a:pPr algn="r"/>
          <a:endParaRPr lang="en-US"/>
        </a:p>
      </dgm:t>
    </dgm:pt>
    <dgm:pt modelId="{5EB03185-C5A1-49D2-ABE4-E2551A5959B5}">
      <dgm:prSet custT="1">
        <dgm:style>
          <a:lnRef idx="1">
            <a:schemeClr val="accent5"/>
          </a:lnRef>
          <a:fillRef idx="2">
            <a:schemeClr val="accent5"/>
          </a:fillRef>
          <a:effectRef idx="1">
            <a:schemeClr val="accent5"/>
          </a:effectRef>
          <a:fontRef idx="minor">
            <a:schemeClr val="dk1"/>
          </a:fontRef>
        </dgm:style>
      </dgm:prSet>
      <dgm:spPr>
        <a:xfrm>
          <a:off x="338044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baseline="0">
            <a:solidFill>
              <a:sysClr val="windowText" lastClr="000000"/>
            </a:solidFill>
            <a:latin typeface="Calibri" panose="020F0502020204030204"/>
            <a:ea typeface="+mn-ea"/>
            <a:cs typeface="+mn-cs"/>
          </a:endParaRPr>
        </a:p>
      </dgm:t>
    </dgm:pt>
    <dgm:pt modelId="{8ED2DCED-2B48-4265-AF59-77E1D72D4404}" type="parTrans" cxnId="{5116A68A-65CB-4764-9C60-CEECA1BE8263}">
      <dgm:prSet/>
      <dgm:spPr>
        <a:xfrm rot="19285714">
          <a:off x="3192950" y="1333760"/>
          <a:ext cx="235493" cy="378029"/>
        </a:xfrm>
        <a:prstGeom prst="rightArrow">
          <a:avLst>
            <a:gd name="adj1" fmla="val 60000"/>
            <a:gd name="adj2" fmla="val 50000"/>
          </a:avLst>
        </a:prstGeom>
        <a:solidFill>
          <a:srgbClr val="4472C4">
            <a:shade val="90000"/>
            <a:hueOff val="69238"/>
            <a:satOff val="-1479"/>
            <a:lumOff val="5518"/>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418197A8-D124-4C3C-9402-5E0CA3FBEFF8}" type="sibTrans" cxnId="{5116A68A-65CB-4764-9C60-CEECA1BE8263}">
      <dgm:prSet/>
      <dgm:spPr/>
      <dgm:t>
        <a:bodyPr/>
        <a:lstStyle/>
        <a:p>
          <a:pPr algn="r"/>
          <a:endParaRPr lang="en-US"/>
        </a:p>
      </dgm:t>
    </dgm:pt>
    <dgm:pt modelId="{D218FF86-4B63-4D7D-8393-E7D35DC720B0}">
      <dgm:prSet custT="1">
        <dgm:style>
          <a:lnRef idx="1">
            <a:schemeClr val="accent5"/>
          </a:lnRef>
          <a:fillRef idx="2">
            <a:schemeClr val="accent5"/>
          </a:fillRef>
          <a:effectRef idx="1">
            <a:schemeClr val="accent5"/>
          </a:effectRef>
          <a:fontRef idx="minor">
            <a:schemeClr val="dk1"/>
          </a:fontRef>
        </dgm:style>
      </dgm:prSet>
      <dgm:spPr>
        <a:xfrm>
          <a:off x="3670203"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baseline="0">
            <a:solidFill>
              <a:sysClr val="windowText" lastClr="000000"/>
            </a:solidFill>
            <a:latin typeface="Calibri" panose="020F0502020204030204"/>
            <a:ea typeface="+mn-ea"/>
            <a:cs typeface="+mn-cs"/>
          </a:endParaRPr>
        </a:p>
      </dgm:t>
    </dgm:pt>
    <dgm:pt modelId="{4E34BD1A-76F9-4239-B9E5-F880486B398D}" type="parTrans" cxnId="{3A7CE609-8F33-4774-824B-358C993BA041}">
      <dgm:prSet/>
      <dgm:spPr>
        <a:xfrm rot="771429">
          <a:off x="3341910" y="1986393"/>
          <a:ext cx="235493" cy="378029"/>
        </a:xfrm>
        <a:prstGeom prst="rightArrow">
          <a:avLst>
            <a:gd name="adj1" fmla="val 60000"/>
            <a:gd name="adj2" fmla="val 50000"/>
          </a:avLst>
        </a:prstGeom>
        <a:solidFill>
          <a:srgbClr val="4472C4">
            <a:shade val="90000"/>
            <a:hueOff val="138475"/>
            <a:satOff val="-2957"/>
            <a:lumOff val="11036"/>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5C69E888-8371-4010-883E-391E902E0FF6}" type="sibTrans" cxnId="{3A7CE609-8F33-4774-824B-358C993BA041}">
      <dgm:prSet/>
      <dgm:spPr/>
      <dgm:t>
        <a:bodyPr/>
        <a:lstStyle/>
        <a:p>
          <a:pPr algn="r"/>
          <a:endParaRPr lang="en-US"/>
        </a:p>
      </dgm:t>
    </dgm:pt>
    <dgm:pt modelId="{1BE5814F-8A0F-423B-BAC4-FD6313A9CAA1}">
      <dgm:prSet custT="1">
        <dgm:style>
          <a:lnRef idx="1">
            <a:schemeClr val="accent5"/>
          </a:lnRef>
          <a:fillRef idx="2">
            <a:schemeClr val="accent5"/>
          </a:fillRef>
          <a:effectRef idx="1">
            <a:schemeClr val="accent5"/>
          </a:effectRef>
          <a:fontRef idx="minor">
            <a:schemeClr val="dk1"/>
          </a:fontRef>
        </dgm:style>
      </dgm:prSet>
      <dgm:spPr>
        <a:xfrm>
          <a:off x="2858320"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المعلومات </a:t>
          </a:r>
          <a:endParaRPr lang="en-US" sz="1100" b="1" baseline="0">
            <a:solidFill>
              <a:sysClr val="windowText" lastClr="000000"/>
            </a:solidFill>
            <a:latin typeface="Calibri" panose="020F0502020204030204"/>
            <a:ea typeface="+mn-ea"/>
            <a:cs typeface="+mn-cs"/>
          </a:endParaRPr>
        </a:p>
      </dgm:t>
    </dgm:pt>
    <dgm:pt modelId="{B1E2A35F-6673-4FBD-858B-2193ED44A0E6}" type="parTrans" cxnId="{66309F16-D890-4C9E-899D-273360E7405A}">
      <dgm:prSet/>
      <dgm:spPr>
        <a:xfrm rot="3857143">
          <a:off x="2924535" y="2509764"/>
          <a:ext cx="235493" cy="378029"/>
        </a:xfrm>
        <a:prstGeom prst="rightArrow">
          <a:avLst>
            <a:gd name="adj1" fmla="val 60000"/>
            <a:gd name="adj2" fmla="val 50000"/>
          </a:avLst>
        </a:prstGeom>
        <a:solidFill>
          <a:srgbClr val="4472C4">
            <a:shade val="90000"/>
            <a:hueOff val="207713"/>
            <a:satOff val="-4436"/>
            <a:lumOff val="16555"/>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9BE03274-531B-433C-8175-6D6805F95434}" type="sibTrans" cxnId="{66309F16-D890-4C9E-899D-273360E7405A}">
      <dgm:prSet/>
      <dgm:spPr/>
      <dgm:t>
        <a:bodyPr/>
        <a:lstStyle/>
        <a:p>
          <a:pPr algn="r"/>
          <a:endParaRPr lang="en-US"/>
        </a:p>
      </dgm:t>
    </dgm:pt>
    <dgm:pt modelId="{49C336E0-7FE6-4586-A943-657023BEE965}">
      <dgm:prSet custT="1">
        <dgm:style>
          <a:lnRef idx="1">
            <a:schemeClr val="accent5"/>
          </a:lnRef>
          <a:fillRef idx="2">
            <a:schemeClr val="accent5"/>
          </a:fillRef>
          <a:effectRef idx="1">
            <a:schemeClr val="accent5"/>
          </a:effectRef>
          <a:fontRef idx="minor">
            <a:schemeClr val="dk1"/>
          </a:fontRef>
        </dgm:style>
      </dgm:prSet>
      <dgm:spPr>
        <a:xfrm>
          <a:off x="1556161"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baseline="0">
            <a:solidFill>
              <a:sysClr val="windowText" lastClr="000000"/>
            </a:solidFill>
            <a:latin typeface="Calibri" panose="020F0502020204030204"/>
            <a:ea typeface="+mn-ea"/>
            <a:cs typeface="+mn-cs"/>
          </a:endParaRPr>
        </a:p>
      </dgm:t>
    </dgm:pt>
    <dgm:pt modelId="{D451C59D-FA12-443A-A0B3-90D993256A07}" type="parTrans" cxnId="{88C86A95-0622-48A6-969E-D530D795B082}">
      <dgm:prSet/>
      <dgm:spPr>
        <a:xfrm rot="6942857">
          <a:off x="2255118" y="2509764"/>
          <a:ext cx="235493" cy="378029"/>
        </a:xfrm>
        <a:prstGeom prst="rightArrow">
          <a:avLst>
            <a:gd name="adj1" fmla="val 60000"/>
            <a:gd name="adj2" fmla="val 50000"/>
          </a:avLst>
        </a:prstGeom>
        <a:solidFill>
          <a:srgbClr val="4472C4">
            <a:shade val="90000"/>
            <a:hueOff val="276951"/>
            <a:satOff val="-5914"/>
            <a:lumOff val="22073"/>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18B77640-9741-4829-9C4A-A65D24CDBF92}" type="sibTrans" cxnId="{88C86A95-0622-48A6-969E-D530D795B082}">
      <dgm:prSet/>
      <dgm:spPr/>
      <dgm:t>
        <a:bodyPr/>
        <a:lstStyle/>
        <a:p>
          <a:pPr algn="r"/>
          <a:endParaRPr lang="en-US"/>
        </a:p>
      </dgm:t>
    </dgm:pt>
    <dgm:pt modelId="{7618C601-67FB-4D0C-AEA4-7B1ACEA08E68}">
      <dgm:prSet custT="1">
        <dgm:style>
          <a:lnRef idx="1">
            <a:schemeClr val="accent5"/>
          </a:lnRef>
          <a:fillRef idx="2">
            <a:schemeClr val="accent5"/>
          </a:fillRef>
          <a:effectRef idx="1">
            <a:schemeClr val="accent5"/>
          </a:effectRef>
          <a:fontRef idx="minor">
            <a:schemeClr val="dk1"/>
          </a:fontRef>
        </dgm:style>
      </dgm:prSet>
      <dgm:spPr>
        <a:xfrm>
          <a:off x="103403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baseline="0">
            <a:solidFill>
              <a:sysClr val="windowText" lastClr="000000"/>
            </a:solidFill>
            <a:latin typeface="Calibri" panose="020F0502020204030204"/>
            <a:ea typeface="+mn-ea"/>
            <a:cs typeface="+mn-cs"/>
          </a:endParaRPr>
        </a:p>
      </dgm:t>
    </dgm:pt>
    <dgm:pt modelId="{09C45EAA-F8BF-4BF0-BE76-F061D679D9F0}" type="parTrans" cxnId="{0DF8C4A2-0503-4CEB-A321-887F8991BAAA}">
      <dgm:prSet/>
      <dgm:spPr>
        <a:xfrm rot="13114286">
          <a:off x="1986703" y="1333760"/>
          <a:ext cx="235493" cy="378029"/>
        </a:xfrm>
        <a:prstGeom prst="rightArrow">
          <a:avLst>
            <a:gd name="adj1" fmla="val 60000"/>
            <a:gd name="adj2" fmla="val 50000"/>
          </a:avLst>
        </a:prstGeom>
        <a:solidFill>
          <a:srgbClr val="4472C4">
            <a:shade val="90000"/>
            <a:hueOff val="415426"/>
            <a:satOff val="-8871"/>
            <a:lumOff val="33109"/>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324DC309-569C-43DB-99D9-4C409083DB6E}" type="sibTrans" cxnId="{0DF8C4A2-0503-4CEB-A321-887F8991BAAA}">
      <dgm:prSet/>
      <dgm:spPr/>
      <dgm:t>
        <a:bodyPr/>
        <a:lstStyle/>
        <a:p>
          <a:pPr algn="r"/>
          <a:endParaRPr lang="en-US"/>
        </a:p>
      </dgm:t>
    </dgm:pt>
    <dgm:pt modelId="{4619DA12-0F0D-4791-B9DA-A4F72E973B78}" type="pres">
      <dgm:prSet presAssocID="{665EA644-5674-49C7-9435-4C252DCB5F0E}" presName="Name0" presStyleCnt="0">
        <dgm:presLayoutVars>
          <dgm:chMax val="1"/>
          <dgm:dir/>
          <dgm:animLvl val="ctr"/>
          <dgm:resizeHandles val="exact"/>
        </dgm:presLayoutVars>
      </dgm:prSet>
      <dgm:spPr/>
    </dgm:pt>
    <dgm:pt modelId="{F7567E7A-AF28-41B4-A0BA-A7D73011AF67}" type="pres">
      <dgm:prSet presAssocID="{E7B433D2-313E-4E58-BDDD-F4E7445CB14E}" presName="centerShape" presStyleLbl="node0" presStyleIdx="0" presStyleCnt="1"/>
      <dgm:spPr/>
    </dgm:pt>
    <dgm:pt modelId="{7732C6CD-4278-4E01-BCB0-529B3ACBC76E}" type="pres">
      <dgm:prSet presAssocID="{D6C2AEC3-5419-4CF4-828E-05B78DD9CD85}" presName="parTrans" presStyleLbl="sibTrans2D1" presStyleIdx="0" presStyleCnt="7"/>
      <dgm:spPr/>
    </dgm:pt>
    <dgm:pt modelId="{7F5927E5-33BD-46F9-BFD8-16083058BA7E}" type="pres">
      <dgm:prSet presAssocID="{D6C2AEC3-5419-4CF4-828E-05B78DD9CD85}" presName="connectorText" presStyleLbl="sibTrans2D1" presStyleIdx="0" presStyleCnt="7"/>
      <dgm:spPr/>
    </dgm:pt>
    <dgm:pt modelId="{41065C37-6DD6-4E17-94A8-7CFC12435553}" type="pres">
      <dgm:prSet presAssocID="{4897A508-EDCF-46C3-9EB2-EA18532917D8}" presName="node" presStyleLbl="node1" presStyleIdx="0" presStyleCnt="7">
        <dgm:presLayoutVars>
          <dgm:bulletEnabled val="1"/>
        </dgm:presLayoutVars>
      </dgm:prSet>
      <dgm:spPr/>
    </dgm:pt>
    <dgm:pt modelId="{EC42F4C8-5F94-4F80-B627-B835D27A270F}" type="pres">
      <dgm:prSet presAssocID="{8ED2DCED-2B48-4265-AF59-77E1D72D4404}" presName="parTrans" presStyleLbl="sibTrans2D1" presStyleIdx="1" presStyleCnt="7"/>
      <dgm:spPr/>
    </dgm:pt>
    <dgm:pt modelId="{55E64D7D-9D91-4FF2-B4DD-61DAC63E7CD3}" type="pres">
      <dgm:prSet presAssocID="{8ED2DCED-2B48-4265-AF59-77E1D72D4404}" presName="connectorText" presStyleLbl="sibTrans2D1" presStyleIdx="1" presStyleCnt="7"/>
      <dgm:spPr/>
    </dgm:pt>
    <dgm:pt modelId="{7147248F-2CCD-473B-B93C-7F08C74F0E2E}" type="pres">
      <dgm:prSet presAssocID="{5EB03185-C5A1-49D2-ABE4-E2551A5959B5}" presName="node" presStyleLbl="node1" presStyleIdx="1" presStyleCnt="7">
        <dgm:presLayoutVars>
          <dgm:bulletEnabled val="1"/>
        </dgm:presLayoutVars>
      </dgm:prSet>
      <dgm:spPr/>
    </dgm:pt>
    <dgm:pt modelId="{7521D4AF-509B-4353-A3D6-A95831C8BC66}" type="pres">
      <dgm:prSet presAssocID="{4E34BD1A-76F9-4239-B9E5-F880486B398D}" presName="parTrans" presStyleLbl="sibTrans2D1" presStyleIdx="2" presStyleCnt="7"/>
      <dgm:spPr/>
    </dgm:pt>
    <dgm:pt modelId="{00633B9F-E58D-4CF1-A2CC-D6C6BC632B91}" type="pres">
      <dgm:prSet presAssocID="{4E34BD1A-76F9-4239-B9E5-F880486B398D}" presName="connectorText" presStyleLbl="sibTrans2D1" presStyleIdx="2" presStyleCnt="7"/>
      <dgm:spPr/>
    </dgm:pt>
    <dgm:pt modelId="{55C86768-D131-458D-9C3B-935FB60554F5}" type="pres">
      <dgm:prSet presAssocID="{D218FF86-4B63-4D7D-8393-E7D35DC720B0}" presName="node" presStyleLbl="node1" presStyleIdx="2" presStyleCnt="7">
        <dgm:presLayoutVars>
          <dgm:bulletEnabled val="1"/>
        </dgm:presLayoutVars>
      </dgm:prSet>
      <dgm:spPr/>
    </dgm:pt>
    <dgm:pt modelId="{AD1DD96E-060F-4B54-A983-4D3D4C7E6A90}" type="pres">
      <dgm:prSet presAssocID="{B1E2A35F-6673-4FBD-858B-2193ED44A0E6}" presName="parTrans" presStyleLbl="sibTrans2D1" presStyleIdx="3" presStyleCnt="7"/>
      <dgm:spPr/>
    </dgm:pt>
    <dgm:pt modelId="{47EC15CC-DE95-4F3E-A594-2A7D04696B88}" type="pres">
      <dgm:prSet presAssocID="{B1E2A35F-6673-4FBD-858B-2193ED44A0E6}" presName="connectorText" presStyleLbl="sibTrans2D1" presStyleIdx="3" presStyleCnt="7"/>
      <dgm:spPr/>
    </dgm:pt>
    <dgm:pt modelId="{B25C6A5A-DA2B-41A7-92E5-C5C6507E1FA6}" type="pres">
      <dgm:prSet presAssocID="{1BE5814F-8A0F-423B-BAC4-FD6313A9CAA1}" presName="node" presStyleLbl="node1" presStyleIdx="3" presStyleCnt="7">
        <dgm:presLayoutVars>
          <dgm:bulletEnabled val="1"/>
        </dgm:presLayoutVars>
      </dgm:prSet>
      <dgm:spPr/>
    </dgm:pt>
    <dgm:pt modelId="{BFA26A0E-DBD5-4B2E-B7FF-D55E5D5033AD}" type="pres">
      <dgm:prSet presAssocID="{D451C59D-FA12-443A-A0B3-90D993256A07}" presName="parTrans" presStyleLbl="sibTrans2D1" presStyleIdx="4" presStyleCnt="7"/>
      <dgm:spPr/>
    </dgm:pt>
    <dgm:pt modelId="{92C0BAFF-B720-4030-B76D-41954BDB5EF0}" type="pres">
      <dgm:prSet presAssocID="{D451C59D-FA12-443A-A0B3-90D993256A07}" presName="connectorText" presStyleLbl="sibTrans2D1" presStyleIdx="4" presStyleCnt="7"/>
      <dgm:spPr/>
    </dgm:pt>
    <dgm:pt modelId="{FE223032-0F68-414C-9284-241BAD032A66}" type="pres">
      <dgm:prSet presAssocID="{49C336E0-7FE6-4586-A943-657023BEE965}" presName="node" presStyleLbl="node1" presStyleIdx="4" presStyleCnt="7">
        <dgm:presLayoutVars>
          <dgm:bulletEnabled val="1"/>
        </dgm:presLayoutVars>
      </dgm:prSet>
      <dgm:spPr/>
    </dgm:pt>
    <dgm:pt modelId="{DB0C400D-ACB9-448A-807F-1EEE4FAAECB7}" type="pres">
      <dgm:prSet presAssocID="{E6F6273E-2215-41B2-8FDC-6FB7C97EB91C}" presName="parTrans" presStyleLbl="sibTrans2D1" presStyleIdx="5" presStyleCnt="7"/>
      <dgm:spPr/>
    </dgm:pt>
    <dgm:pt modelId="{4830387B-94AD-4F28-869F-E797B87939CA}" type="pres">
      <dgm:prSet presAssocID="{E6F6273E-2215-41B2-8FDC-6FB7C97EB91C}" presName="connectorText" presStyleLbl="sibTrans2D1" presStyleIdx="5" presStyleCnt="7"/>
      <dgm:spPr/>
    </dgm:pt>
    <dgm:pt modelId="{A2281BA5-00C7-40B3-91A0-BA1D16E00B72}" type="pres">
      <dgm:prSet presAssocID="{174BB545-0AD9-4A96-9DAA-7F4BC413C7D7}" presName="node" presStyleLbl="node1" presStyleIdx="5" presStyleCnt="7">
        <dgm:presLayoutVars>
          <dgm:bulletEnabled val="1"/>
        </dgm:presLayoutVars>
      </dgm:prSet>
      <dgm:spPr/>
    </dgm:pt>
    <dgm:pt modelId="{FBF12045-FA27-44F4-86C6-EE17BD5B6096}" type="pres">
      <dgm:prSet presAssocID="{09C45EAA-F8BF-4BF0-BE76-F061D679D9F0}" presName="parTrans" presStyleLbl="sibTrans2D1" presStyleIdx="6" presStyleCnt="7"/>
      <dgm:spPr/>
    </dgm:pt>
    <dgm:pt modelId="{BC5DE550-9EFE-4425-A7AE-3F26E960DD50}" type="pres">
      <dgm:prSet presAssocID="{09C45EAA-F8BF-4BF0-BE76-F061D679D9F0}" presName="connectorText" presStyleLbl="sibTrans2D1" presStyleIdx="6" presStyleCnt="7"/>
      <dgm:spPr/>
    </dgm:pt>
    <dgm:pt modelId="{C9A82636-3BE0-486C-898E-1F2E3963394F}" type="pres">
      <dgm:prSet presAssocID="{7618C601-67FB-4D0C-AEA4-7B1ACEA08E68}" presName="node" presStyleLbl="node1" presStyleIdx="6" presStyleCnt="7">
        <dgm:presLayoutVars>
          <dgm:bulletEnabled val="1"/>
        </dgm:presLayoutVars>
      </dgm:prSet>
      <dgm:spPr/>
    </dgm:pt>
  </dgm:ptLst>
  <dgm:cxnLst>
    <dgm:cxn modelId="{E2F59706-27FF-4789-BF33-97214263AF5F}" type="presOf" srcId="{1BE5814F-8A0F-423B-BAC4-FD6313A9CAA1}" destId="{B25C6A5A-DA2B-41A7-92E5-C5C6507E1FA6}" srcOrd="0" destOrd="0" presId="urn:microsoft.com/office/officeart/2005/8/layout/radial5"/>
    <dgm:cxn modelId="{3A7CE609-8F33-4774-824B-358C993BA041}" srcId="{E7B433D2-313E-4E58-BDDD-F4E7445CB14E}" destId="{D218FF86-4B63-4D7D-8393-E7D35DC720B0}" srcOrd="2" destOrd="0" parTransId="{4E34BD1A-76F9-4239-B9E5-F880486B398D}" sibTransId="{5C69E888-8371-4010-883E-391E902E0FF6}"/>
    <dgm:cxn modelId="{139D3B11-5C4B-4CF1-BA53-7BA1C7F6C32C}" type="presOf" srcId="{D451C59D-FA12-443A-A0B3-90D993256A07}" destId="{BFA26A0E-DBD5-4B2E-B7FF-D55E5D5033AD}" srcOrd="0" destOrd="0" presId="urn:microsoft.com/office/officeart/2005/8/layout/radial5"/>
    <dgm:cxn modelId="{AAEBEB12-5372-4C51-A605-4FDC1D6CB710}" type="presOf" srcId="{4897A508-EDCF-46C3-9EB2-EA18532917D8}" destId="{41065C37-6DD6-4E17-94A8-7CFC12435553}" srcOrd="0" destOrd="0" presId="urn:microsoft.com/office/officeart/2005/8/layout/radial5"/>
    <dgm:cxn modelId="{66309F16-D890-4C9E-899D-273360E7405A}" srcId="{E7B433D2-313E-4E58-BDDD-F4E7445CB14E}" destId="{1BE5814F-8A0F-423B-BAC4-FD6313A9CAA1}" srcOrd="3" destOrd="0" parTransId="{B1E2A35F-6673-4FBD-858B-2193ED44A0E6}" sibTransId="{9BE03274-531B-433C-8175-6D6805F95434}"/>
    <dgm:cxn modelId="{59FB0F19-C3E9-4438-AF8D-D474048C4DE4}" type="presOf" srcId="{E7B433D2-313E-4E58-BDDD-F4E7445CB14E}" destId="{F7567E7A-AF28-41B4-A0BA-A7D73011AF67}" srcOrd="0" destOrd="0" presId="urn:microsoft.com/office/officeart/2005/8/layout/radial5"/>
    <dgm:cxn modelId="{35134730-9964-44E2-B5EC-7A8B7BCE24D7}" type="presOf" srcId="{8ED2DCED-2B48-4265-AF59-77E1D72D4404}" destId="{55E64D7D-9D91-4FF2-B4DD-61DAC63E7CD3}" srcOrd="1" destOrd="0" presId="urn:microsoft.com/office/officeart/2005/8/layout/radial5"/>
    <dgm:cxn modelId="{D3074031-CB78-4F56-8E20-9A526298962D}" srcId="{665EA644-5674-49C7-9435-4C252DCB5F0E}" destId="{E7B433D2-313E-4E58-BDDD-F4E7445CB14E}" srcOrd="0" destOrd="0" parTransId="{1DB4F293-BAFC-4B78-BE6D-0EBB86444A35}" sibTransId="{EF581223-A426-4F36-8658-B7D5503B4F6A}"/>
    <dgm:cxn modelId="{2B772B33-7CB2-4165-B71B-7B465E1101FF}" srcId="{E7B433D2-313E-4E58-BDDD-F4E7445CB14E}" destId="{4897A508-EDCF-46C3-9EB2-EA18532917D8}" srcOrd="0" destOrd="0" parTransId="{D6C2AEC3-5419-4CF4-828E-05B78DD9CD85}" sibTransId="{E40AF42F-2052-4C2A-B186-3C5EEAAE4B1C}"/>
    <dgm:cxn modelId="{C6C06436-0938-4F9B-AB41-80FBB9070ABB}" type="presOf" srcId="{D6C2AEC3-5419-4CF4-828E-05B78DD9CD85}" destId="{7F5927E5-33BD-46F9-BFD8-16083058BA7E}" srcOrd="1" destOrd="0" presId="urn:microsoft.com/office/officeart/2005/8/layout/radial5"/>
    <dgm:cxn modelId="{9A5BF838-D69C-4F43-8FFE-2D60A1863EA3}" type="presOf" srcId="{09C45EAA-F8BF-4BF0-BE76-F061D679D9F0}" destId="{FBF12045-FA27-44F4-86C6-EE17BD5B6096}" srcOrd="0" destOrd="0" presId="urn:microsoft.com/office/officeart/2005/8/layout/radial5"/>
    <dgm:cxn modelId="{CAC83D5D-896C-47BA-ACC0-B484A5D0D7DF}" type="presOf" srcId="{174BB545-0AD9-4A96-9DAA-7F4BC413C7D7}" destId="{A2281BA5-00C7-40B3-91A0-BA1D16E00B72}" srcOrd="0" destOrd="0" presId="urn:microsoft.com/office/officeart/2005/8/layout/radial5"/>
    <dgm:cxn modelId="{A38C435D-7DAA-4370-9A09-7F7B364A4879}" type="presOf" srcId="{8ED2DCED-2B48-4265-AF59-77E1D72D4404}" destId="{EC42F4C8-5F94-4F80-B627-B835D27A270F}" srcOrd="0" destOrd="0" presId="urn:microsoft.com/office/officeart/2005/8/layout/radial5"/>
    <dgm:cxn modelId="{1C0F7D83-62B2-4C6A-9951-9E3D4D5DBBE4}" type="presOf" srcId="{E6F6273E-2215-41B2-8FDC-6FB7C97EB91C}" destId="{4830387B-94AD-4F28-869F-E797B87939CA}" srcOrd="1" destOrd="0" presId="urn:microsoft.com/office/officeart/2005/8/layout/radial5"/>
    <dgm:cxn modelId="{5116A68A-65CB-4764-9C60-CEECA1BE8263}" srcId="{E7B433D2-313E-4E58-BDDD-F4E7445CB14E}" destId="{5EB03185-C5A1-49D2-ABE4-E2551A5959B5}" srcOrd="1" destOrd="0" parTransId="{8ED2DCED-2B48-4265-AF59-77E1D72D4404}" sibTransId="{418197A8-D124-4C3C-9402-5E0CA3FBEFF8}"/>
    <dgm:cxn modelId="{B9505B8F-6CD5-4649-A8AF-D5B0812F9589}" srcId="{E7B433D2-313E-4E58-BDDD-F4E7445CB14E}" destId="{174BB545-0AD9-4A96-9DAA-7F4BC413C7D7}" srcOrd="5" destOrd="0" parTransId="{E6F6273E-2215-41B2-8FDC-6FB7C97EB91C}" sibTransId="{AE892AFA-4495-4F82-8CF2-43CA4DAB0977}"/>
    <dgm:cxn modelId="{88C86A95-0622-48A6-969E-D530D795B082}" srcId="{E7B433D2-313E-4E58-BDDD-F4E7445CB14E}" destId="{49C336E0-7FE6-4586-A943-657023BEE965}" srcOrd="4" destOrd="0" parTransId="{D451C59D-FA12-443A-A0B3-90D993256A07}" sibTransId="{18B77640-9741-4829-9C4A-A65D24CDBF92}"/>
    <dgm:cxn modelId="{F6158798-B2B6-4DFA-8F59-763EDAC46024}" type="presOf" srcId="{D451C59D-FA12-443A-A0B3-90D993256A07}" destId="{92C0BAFF-B720-4030-B76D-41954BDB5EF0}" srcOrd="1" destOrd="0" presId="urn:microsoft.com/office/officeart/2005/8/layout/radial5"/>
    <dgm:cxn modelId="{8573BE9A-0B04-48CB-BB60-737AE0CBDA04}" type="presOf" srcId="{D6C2AEC3-5419-4CF4-828E-05B78DD9CD85}" destId="{7732C6CD-4278-4E01-BCB0-529B3ACBC76E}" srcOrd="0" destOrd="0" presId="urn:microsoft.com/office/officeart/2005/8/layout/radial5"/>
    <dgm:cxn modelId="{0078959C-B62F-4263-A04E-683A5306F28B}" type="presOf" srcId="{4E34BD1A-76F9-4239-B9E5-F880486B398D}" destId="{7521D4AF-509B-4353-A3D6-A95831C8BC66}" srcOrd="0" destOrd="0" presId="urn:microsoft.com/office/officeart/2005/8/layout/radial5"/>
    <dgm:cxn modelId="{0DF8C4A2-0503-4CEB-A321-887F8991BAAA}" srcId="{E7B433D2-313E-4E58-BDDD-F4E7445CB14E}" destId="{7618C601-67FB-4D0C-AEA4-7B1ACEA08E68}" srcOrd="6" destOrd="0" parTransId="{09C45EAA-F8BF-4BF0-BE76-F061D679D9F0}" sibTransId="{324DC309-569C-43DB-99D9-4C409083DB6E}"/>
    <dgm:cxn modelId="{918EF4A8-7044-426E-A858-A5A4271C06E9}" type="presOf" srcId="{7618C601-67FB-4D0C-AEA4-7B1ACEA08E68}" destId="{C9A82636-3BE0-486C-898E-1F2E3963394F}" srcOrd="0" destOrd="0" presId="urn:microsoft.com/office/officeart/2005/8/layout/radial5"/>
    <dgm:cxn modelId="{DAF4A4BA-9A61-4874-ABCC-D14C2C05403F}" type="presOf" srcId="{09C45EAA-F8BF-4BF0-BE76-F061D679D9F0}" destId="{BC5DE550-9EFE-4425-A7AE-3F26E960DD50}" srcOrd="1" destOrd="0" presId="urn:microsoft.com/office/officeart/2005/8/layout/radial5"/>
    <dgm:cxn modelId="{B2D803BC-0818-4518-96DD-92E57D44EB42}" type="presOf" srcId="{665EA644-5674-49C7-9435-4C252DCB5F0E}" destId="{4619DA12-0F0D-4791-B9DA-A4F72E973B78}" srcOrd="0" destOrd="0" presId="urn:microsoft.com/office/officeart/2005/8/layout/radial5"/>
    <dgm:cxn modelId="{FBC042C3-1C9E-4964-B8C1-CE868108AB53}" type="presOf" srcId="{5EB03185-C5A1-49D2-ABE4-E2551A5959B5}" destId="{7147248F-2CCD-473B-B93C-7F08C74F0E2E}" srcOrd="0" destOrd="0" presId="urn:microsoft.com/office/officeart/2005/8/layout/radial5"/>
    <dgm:cxn modelId="{6E1F72C7-6379-49BF-A43B-B20850F9914B}" type="presOf" srcId="{E6F6273E-2215-41B2-8FDC-6FB7C97EB91C}" destId="{DB0C400D-ACB9-448A-807F-1EEE4FAAECB7}" srcOrd="0" destOrd="0" presId="urn:microsoft.com/office/officeart/2005/8/layout/radial5"/>
    <dgm:cxn modelId="{D5195ACA-5520-42F0-B127-1F61CD7D6ED0}" type="presOf" srcId="{B1E2A35F-6673-4FBD-858B-2193ED44A0E6}" destId="{47EC15CC-DE95-4F3E-A594-2A7D04696B88}" srcOrd="1" destOrd="0" presId="urn:microsoft.com/office/officeart/2005/8/layout/radial5"/>
    <dgm:cxn modelId="{68E2D8CF-0149-4022-BCAD-ADB38A9986D4}" type="presOf" srcId="{D218FF86-4B63-4D7D-8393-E7D35DC720B0}" destId="{55C86768-D131-458D-9C3B-935FB60554F5}" srcOrd="0" destOrd="0" presId="urn:microsoft.com/office/officeart/2005/8/layout/radial5"/>
    <dgm:cxn modelId="{0259D4D9-D161-438E-8981-986D398A4613}" type="presOf" srcId="{4E34BD1A-76F9-4239-B9E5-F880486B398D}" destId="{00633B9F-E58D-4CF1-A2CC-D6C6BC632B91}" srcOrd="1" destOrd="0" presId="urn:microsoft.com/office/officeart/2005/8/layout/radial5"/>
    <dgm:cxn modelId="{6FEB4BF3-FADB-4968-B835-B1CA1890E919}" type="presOf" srcId="{B1E2A35F-6673-4FBD-858B-2193ED44A0E6}" destId="{AD1DD96E-060F-4B54-A983-4D3D4C7E6A90}" srcOrd="0" destOrd="0" presId="urn:microsoft.com/office/officeart/2005/8/layout/radial5"/>
    <dgm:cxn modelId="{98FABFFB-0D50-4BFD-8B58-85DE475A681C}" type="presOf" srcId="{49C336E0-7FE6-4586-A943-657023BEE965}" destId="{FE223032-0F68-414C-9284-241BAD032A66}" srcOrd="0" destOrd="0" presId="urn:microsoft.com/office/officeart/2005/8/layout/radial5"/>
    <dgm:cxn modelId="{D3F1F577-7451-4ED0-88B8-97A9DA33381E}" type="presParOf" srcId="{4619DA12-0F0D-4791-B9DA-A4F72E973B78}" destId="{F7567E7A-AF28-41B4-A0BA-A7D73011AF67}" srcOrd="0" destOrd="0" presId="urn:microsoft.com/office/officeart/2005/8/layout/radial5"/>
    <dgm:cxn modelId="{4C01BF5E-56CC-4B8E-8014-F838EA389AC2}" type="presParOf" srcId="{4619DA12-0F0D-4791-B9DA-A4F72E973B78}" destId="{7732C6CD-4278-4E01-BCB0-529B3ACBC76E}" srcOrd="1" destOrd="0" presId="urn:microsoft.com/office/officeart/2005/8/layout/radial5"/>
    <dgm:cxn modelId="{07D844B7-978C-40EE-ABDF-E7E8C1521C5F}" type="presParOf" srcId="{7732C6CD-4278-4E01-BCB0-529B3ACBC76E}" destId="{7F5927E5-33BD-46F9-BFD8-16083058BA7E}" srcOrd="0" destOrd="0" presId="urn:microsoft.com/office/officeart/2005/8/layout/radial5"/>
    <dgm:cxn modelId="{5EADFA00-A1DB-4BAB-9250-F1ED69F3E7FC}" type="presParOf" srcId="{4619DA12-0F0D-4791-B9DA-A4F72E973B78}" destId="{41065C37-6DD6-4E17-94A8-7CFC12435553}" srcOrd="2" destOrd="0" presId="urn:microsoft.com/office/officeart/2005/8/layout/radial5"/>
    <dgm:cxn modelId="{6E208A4E-98B9-4401-8396-3CEDE3A9BDE5}" type="presParOf" srcId="{4619DA12-0F0D-4791-B9DA-A4F72E973B78}" destId="{EC42F4C8-5F94-4F80-B627-B835D27A270F}" srcOrd="3" destOrd="0" presId="urn:microsoft.com/office/officeart/2005/8/layout/radial5"/>
    <dgm:cxn modelId="{FD39C167-EE7C-4784-8D1E-E38ED3FB3114}" type="presParOf" srcId="{EC42F4C8-5F94-4F80-B627-B835D27A270F}" destId="{55E64D7D-9D91-4FF2-B4DD-61DAC63E7CD3}" srcOrd="0" destOrd="0" presId="urn:microsoft.com/office/officeart/2005/8/layout/radial5"/>
    <dgm:cxn modelId="{5D90E8FF-6771-4A3E-B929-21750ABC1643}" type="presParOf" srcId="{4619DA12-0F0D-4791-B9DA-A4F72E973B78}" destId="{7147248F-2CCD-473B-B93C-7F08C74F0E2E}" srcOrd="4" destOrd="0" presId="urn:microsoft.com/office/officeart/2005/8/layout/radial5"/>
    <dgm:cxn modelId="{B25CA3B5-DA18-46E1-814A-DB22CEFF05D7}" type="presParOf" srcId="{4619DA12-0F0D-4791-B9DA-A4F72E973B78}" destId="{7521D4AF-509B-4353-A3D6-A95831C8BC66}" srcOrd="5" destOrd="0" presId="urn:microsoft.com/office/officeart/2005/8/layout/radial5"/>
    <dgm:cxn modelId="{CD045257-931F-4376-A3F5-CA311C73EA49}" type="presParOf" srcId="{7521D4AF-509B-4353-A3D6-A95831C8BC66}" destId="{00633B9F-E58D-4CF1-A2CC-D6C6BC632B91}" srcOrd="0" destOrd="0" presId="urn:microsoft.com/office/officeart/2005/8/layout/radial5"/>
    <dgm:cxn modelId="{EA82F4CA-180F-412F-B642-024BCDC72D35}" type="presParOf" srcId="{4619DA12-0F0D-4791-B9DA-A4F72E973B78}" destId="{55C86768-D131-458D-9C3B-935FB60554F5}" srcOrd="6" destOrd="0" presId="urn:microsoft.com/office/officeart/2005/8/layout/radial5"/>
    <dgm:cxn modelId="{09979CCA-3B97-43B4-A6F1-36CDB431D6F2}" type="presParOf" srcId="{4619DA12-0F0D-4791-B9DA-A4F72E973B78}" destId="{AD1DD96E-060F-4B54-A983-4D3D4C7E6A90}" srcOrd="7" destOrd="0" presId="urn:microsoft.com/office/officeart/2005/8/layout/radial5"/>
    <dgm:cxn modelId="{800903BA-D758-4604-9C1D-F9579952C562}" type="presParOf" srcId="{AD1DD96E-060F-4B54-A983-4D3D4C7E6A90}" destId="{47EC15CC-DE95-4F3E-A594-2A7D04696B88}" srcOrd="0" destOrd="0" presId="urn:microsoft.com/office/officeart/2005/8/layout/radial5"/>
    <dgm:cxn modelId="{9B8999C5-37AD-497A-8F74-EE306154917C}" type="presParOf" srcId="{4619DA12-0F0D-4791-B9DA-A4F72E973B78}" destId="{B25C6A5A-DA2B-41A7-92E5-C5C6507E1FA6}" srcOrd="8" destOrd="0" presId="urn:microsoft.com/office/officeart/2005/8/layout/radial5"/>
    <dgm:cxn modelId="{0F05F2FC-545C-432F-823B-DA2981ADD703}" type="presParOf" srcId="{4619DA12-0F0D-4791-B9DA-A4F72E973B78}" destId="{BFA26A0E-DBD5-4B2E-B7FF-D55E5D5033AD}" srcOrd="9" destOrd="0" presId="urn:microsoft.com/office/officeart/2005/8/layout/radial5"/>
    <dgm:cxn modelId="{66A531D5-AF40-49F6-96F1-E06065A538CA}" type="presParOf" srcId="{BFA26A0E-DBD5-4B2E-B7FF-D55E5D5033AD}" destId="{92C0BAFF-B720-4030-B76D-41954BDB5EF0}" srcOrd="0" destOrd="0" presId="urn:microsoft.com/office/officeart/2005/8/layout/radial5"/>
    <dgm:cxn modelId="{BABEB736-AAC4-4DFB-B484-4ADA97B9C494}" type="presParOf" srcId="{4619DA12-0F0D-4791-B9DA-A4F72E973B78}" destId="{FE223032-0F68-414C-9284-241BAD032A66}" srcOrd="10" destOrd="0" presId="urn:microsoft.com/office/officeart/2005/8/layout/radial5"/>
    <dgm:cxn modelId="{51EABA46-8315-4338-825A-E098C7E6570D}" type="presParOf" srcId="{4619DA12-0F0D-4791-B9DA-A4F72E973B78}" destId="{DB0C400D-ACB9-448A-807F-1EEE4FAAECB7}" srcOrd="11" destOrd="0" presId="urn:microsoft.com/office/officeart/2005/8/layout/radial5"/>
    <dgm:cxn modelId="{8BC37123-0821-44B9-860E-157C696D369B}" type="presParOf" srcId="{DB0C400D-ACB9-448A-807F-1EEE4FAAECB7}" destId="{4830387B-94AD-4F28-869F-E797B87939CA}" srcOrd="0" destOrd="0" presId="urn:microsoft.com/office/officeart/2005/8/layout/radial5"/>
    <dgm:cxn modelId="{3620E25D-5627-49C1-ADDA-03DCA15CF19A}" type="presParOf" srcId="{4619DA12-0F0D-4791-B9DA-A4F72E973B78}" destId="{A2281BA5-00C7-40B3-91A0-BA1D16E00B72}" srcOrd="12" destOrd="0" presId="urn:microsoft.com/office/officeart/2005/8/layout/radial5"/>
    <dgm:cxn modelId="{944050B5-A915-4DC0-8A8E-4D39FF59B783}" type="presParOf" srcId="{4619DA12-0F0D-4791-B9DA-A4F72E973B78}" destId="{FBF12045-FA27-44F4-86C6-EE17BD5B6096}" srcOrd="13" destOrd="0" presId="urn:microsoft.com/office/officeart/2005/8/layout/radial5"/>
    <dgm:cxn modelId="{4228AE59-F5F5-4516-8787-2974BF2544D6}" type="presParOf" srcId="{FBF12045-FA27-44F4-86C6-EE17BD5B6096}" destId="{BC5DE550-9EFE-4425-A7AE-3F26E960DD50}" srcOrd="0" destOrd="0" presId="urn:microsoft.com/office/officeart/2005/8/layout/radial5"/>
    <dgm:cxn modelId="{5BF7E1D6-E4D1-4BF0-872A-902DE4638AD2}" type="presParOf" srcId="{4619DA12-0F0D-4791-B9DA-A4F72E973B78}" destId="{C9A82636-3BE0-486C-898E-1F2E3963394F}" srcOrd="14" destOrd="0" presId="urn:microsoft.com/office/officeart/2005/8/layout/radial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1DBCAE6-E058-4796-8A10-DDE6C5B4ECA4}"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n-US"/>
        </a:p>
      </dgm:t>
    </dgm:pt>
    <dgm:pt modelId="{15500F6F-51D9-4AD9-B263-CB8FD1A1D660}">
      <dgm:prSet phldrT="[Text]" custT="1"/>
      <dgm: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a:solidFill>
              <a:sysClr val="windowText" lastClr="000000"/>
            </a:solidFill>
            <a:latin typeface="Arial Black" panose="020B0A04020102020204" pitchFamily="34" charset="0"/>
            <a:ea typeface="+mn-ea"/>
            <a:cs typeface="Simplified Arabic" panose="02020603050405020304" pitchFamily="18" charset="-78"/>
          </a:endParaRPr>
        </a:p>
      </dgm:t>
    </dgm:pt>
    <dgm:pt modelId="{17FCAD84-2C40-4467-9A22-1E235BBD50DB}" type="parTrans" cxnId="{41FB5E05-A908-448E-A324-F39BF2199867}">
      <dgm:prSet/>
      <dgm:spPr/>
      <dgm:t>
        <a:bodyPr/>
        <a:lstStyle/>
        <a:p>
          <a:pPr algn="ctr"/>
          <a:endParaRPr lang="en-US"/>
        </a:p>
      </dgm:t>
    </dgm:pt>
    <dgm:pt modelId="{A0AB57B4-D00B-44D1-8F21-19DB3D857C71}" type="sibTrans" cxnId="{41FB5E05-A908-448E-A324-F39BF2199867}">
      <dgm:prSet/>
      <dgm:spPr/>
      <dgm:t>
        <a:bodyPr/>
        <a:lstStyle/>
        <a:p>
          <a:pPr algn="ctr"/>
          <a:endParaRPr lang="en-US"/>
        </a:p>
      </dgm:t>
    </dgm:pt>
    <dgm:pt modelId="{8430A5EB-D518-4875-9D16-1138566A5EB6}">
      <dgm:prSet phldrT="[Text]" custT="1"/>
      <dgm: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خارجية:</a:t>
          </a:r>
          <a:endParaRPr lang="en-US" sz="1600" b="1">
            <a:solidFill>
              <a:sysClr val="windowText" lastClr="000000"/>
            </a:solidFill>
            <a:latin typeface="Calibri" panose="020F0502020204030204"/>
            <a:ea typeface="+mn-ea"/>
            <a:cs typeface="+mn-cs"/>
          </a:endParaRPr>
        </a:p>
      </dgm:t>
    </dgm:pt>
    <dgm:pt modelId="{585E1F78-5A68-43B1-A7E0-B10ED8B1A829}" type="parTrans" cxnId="{CEF70C86-6373-43B6-8BB7-AC8767975094}">
      <dgm:prSet/>
      <dgm: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9FB5DD7B-BA54-4224-8A15-DE67EEE5ACCC}" type="sibTrans" cxnId="{CEF70C86-6373-43B6-8BB7-AC8767975094}">
      <dgm:prSet/>
      <dgm:spPr/>
      <dgm:t>
        <a:bodyPr/>
        <a:lstStyle/>
        <a:p>
          <a:pPr algn="ctr"/>
          <a:endParaRPr lang="en-US"/>
        </a:p>
      </dgm:t>
    </dgm:pt>
    <dgm:pt modelId="{67A1FC5D-B491-4AB8-A0B1-205AD70DD04A}">
      <dgm:prSet phldrT="[Text]" custT="1"/>
      <dgm: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داخلية:</a:t>
          </a:r>
          <a:endParaRPr lang="en-US" sz="1600" b="1">
            <a:solidFill>
              <a:sysClr val="windowText" lastClr="000000"/>
            </a:solidFill>
            <a:latin typeface="Calibri" panose="020F0502020204030204"/>
            <a:ea typeface="+mn-ea"/>
            <a:cs typeface="+mn-cs"/>
          </a:endParaRPr>
        </a:p>
      </dgm:t>
    </dgm:pt>
    <dgm:pt modelId="{0F6B7206-FAB2-4F22-8866-C3C08AC83E00}" type="parTrans" cxnId="{81AE4282-4D42-45D7-B64E-3978AEDC6D70}">
      <dgm:prSet/>
      <dgm: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CED2AAD4-2B9C-4366-9F4C-2CF0CE76D38E}" type="sibTrans" cxnId="{81AE4282-4D42-45D7-B64E-3978AEDC6D70}">
      <dgm:prSet/>
      <dgm:spPr/>
      <dgm:t>
        <a:bodyPr/>
        <a:lstStyle/>
        <a:p>
          <a:pPr algn="ctr"/>
          <a:endParaRPr lang="en-US"/>
        </a:p>
      </dgm:t>
    </dgm:pt>
    <dgm:pt modelId="{3F4981E6-5F33-4D64-A5E6-FA05BE8B2F42}">
      <dgm:prSet phldrT="[Text]" custT="1"/>
      <dgm: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الداخلية.</a:t>
          </a:r>
        </a:p>
        <a:p>
          <a:pPr algn="ctr">
            <a:buNone/>
          </a:pPr>
          <a:r>
            <a:rPr lang="ar-EG" sz="1400">
              <a:solidFill>
                <a:sysClr val="windowText" lastClr="000000"/>
              </a:solidFill>
              <a:latin typeface="Calibri" panose="020F0502020204030204"/>
              <a:ea typeface="+mn-ea"/>
              <a:cs typeface="Arial" panose="020B0604020202020204" pitchFamily="34" charset="0"/>
            </a:rPr>
            <a:t>2- الهياكل الإدارية الواضحة </a:t>
          </a:r>
        </a:p>
        <a:p>
          <a:pPr algn="ctr">
            <a:buNone/>
          </a:pPr>
          <a:r>
            <a:rPr lang="ar-EG" sz="14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a:solidFill>
              <a:sysClr val="windowText" lastClr="000000"/>
            </a:solidFill>
            <a:latin typeface="Calibri" panose="020F0502020204030204"/>
            <a:ea typeface="+mn-ea"/>
            <a:cs typeface="+mn-cs"/>
          </a:endParaRPr>
        </a:p>
      </dgm:t>
    </dgm:pt>
    <dgm:pt modelId="{2ADE6789-3DAF-40B1-B59C-8BD7972944B6}" type="parTrans" cxnId="{B1481F90-A098-4680-A9CB-16CC659EFACD}">
      <dgm:prSet/>
      <dgm: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gm:spPr>
      <dgm:t>
        <a:bodyPr/>
        <a:lstStyle/>
        <a:p>
          <a:pPr algn="ctr"/>
          <a:endParaRPr lang="en-US"/>
        </a:p>
      </dgm:t>
    </dgm:pt>
    <dgm:pt modelId="{219C5612-B638-4AE2-A24E-496097F768E7}" type="sibTrans" cxnId="{B1481F90-A098-4680-A9CB-16CC659EFACD}">
      <dgm:prSet/>
      <dgm:spPr/>
      <dgm:t>
        <a:bodyPr/>
        <a:lstStyle/>
        <a:p>
          <a:pPr algn="ctr"/>
          <a:endParaRPr lang="en-US"/>
        </a:p>
      </dgm:t>
    </dgm:pt>
    <dgm:pt modelId="{8918B572-12F5-4E1F-8B8A-CB47FBAB8B00}">
      <dgm:prSet custT="1"/>
      <dgm: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algn="ctr">
            <a:buNone/>
          </a:pPr>
          <a:r>
            <a:rPr lang="ar-EG" sz="1400">
              <a:solidFill>
                <a:sysClr val="windowText" lastClr="000000"/>
              </a:solidFill>
              <a:latin typeface="Calibri" panose="020F0502020204030204"/>
              <a:ea typeface="+mn-ea"/>
              <a:cs typeface="Arial" panose="020B0604020202020204" pitchFamily="34" charset="0"/>
            </a:rPr>
            <a:t>2- كفاءة الهيئات الرقابية.</a:t>
          </a:r>
        </a:p>
        <a:p>
          <a:pPr algn="ctr">
            <a:buNone/>
          </a:pPr>
          <a:r>
            <a:rPr lang="ar-EG" sz="14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a:solidFill>
              <a:sysClr val="windowText" lastClr="000000"/>
            </a:solidFill>
            <a:latin typeface="Calibri" panose="020F0502020204030204"/>
            <a:ea typeface="+mn-ea"/>
            <a:cs typeface="+mn-cs"/>
          </a:endParaRPr>
        </a:p>
      </dgm:t>
    </dgm:pt>
    <dgm:pt modelId="{B541F9DE-9206-4A1B-8391-599B28594D19}" type="parTrans" cxnId="{59EFE97B-194E-417B-96F0-AB6E6BC0924F}">
      <dgm:prSet/>
      <dgm: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6278523-4511-46DC-B8F8-86B537F77F8B}" type="sibTrans" cxnId="{59EFE97B-194E-417B-96F0-AB6E6BC0924F}">
      <dgm:prSet/>
      <dgm:spPr/>
      <dgm:t>
        <a:bodyPr/>
        <a:lstStyle/>
        <a:p>
          <a:endParaRPr lang="en-US"/>
        </a:p>
      </dgm:t>
    </dgm:pt>
    <dgm:pt modelId="{BDC782D4-47D9-4F1A-A780-F60ADC8AD3A0}" type="pres">
      <dgm:prSet presAssocID="{31DBCAE6-E058-4796-8A10-DDE6C5B4ECA4}" presName="mainComposite" presStyleCnt="0">
        <dgm:presLayoutVars>
          <dgm:chPref val="1"/>
          <dgm:dir/>
          <dgm:animOne val="branch"/>
          <dgm:animLvl val="lvl"/>
          <dgm:resizeHandles val="exact"/>
        </dgm:presLayoutVars>
      </dgm:prSet>
      <dgm:spPr/>
    </dgm:pt>
    <dgm:pt modelId="{E358A868-20CE-4F5E-8AAC-BAF1E71D9CAD}" type="pres">
      <dgm:prSet presAssocID="{31DBCAE6-E058-4796-8A10-DDE6C5B4ECA4}" presName="hierFlow" presStyleCnt="0"/>
      <dgm:spPr/>
    </dgm:pt>
    <dgm:pt modelId="{115C97F4-4EE3-4356-984A-70C936DA3625}" type="pres">
      <dgm:prSet presAssocID="{31DBCAE6-E058-4796-8A10-DDE6C5B4ECA4}" presName="hierChild1" presStyleCnt="0">
        <dgm:presLayoutVars>
          <dgm:chPref val="1"/>
          <dgm:animOne val="branch"/>
          <dgm:animLvl val="lvl"/>
        </dgm:presLayoutVars>
      </dgm:prSet>
      <dgm:spPr/>
    </dgm:pt>
    <dgm:pt modelId="{12F0FC1D-6AE0-4387-A2B8-063914292BA6}" type="pres">
      <dgm:prSet presAssocID="{15500F6F-51D9-4AD9-B263-CB8FD1A1D660}" presName="Name14" presStyleCnt="0"/>
      <dgm:spPr/>
    </dgm:pt>
    <dgm:pt modelId="{547C7749-AAC3-434C-B812-753FC1457973}" type="pres">
      <dgm:prSet presAssocID="{15500F6F-51D9-4AD9-B263-CB8FD1A1D660}" presName="level1Shape" presStyleLbl="node0" presStyleIdx="0" presStyleCnt="1" custScaleX="194883" custLinFactNeighborY="1263">
        <dgm:presLayoutVars>
          <dgm:chPref val="3"/>
        </dgm:presLayoutVars>
      </dgm:prSet>
      <dgm:spPr/>
    </dgm:pt>
    <dgm:pt modelId="{77034638-2D2C-4AAB-9DA9-B98AD003CA42}" type="pres">
      <dgm:prSet presAssocID="{15500F6F-51D9-4AD9-B263-CB8FD1A1D660}" presName="hierChild2" presStyleCnt="0"/>
      <dgm:spPr/>
    </dgm:pt>
    <dgm:pt modelId="{4ACDDF7A-21EE-4F0A-9C9F-B698B830F368}" type="pres">
      <dgm:prSet presAssocID="{585E1F78-5A68-43B1-A7E0-B10ED8B1A829}" presName="Name19" presStyleLbl="parChTrans1D2" presStyleIdx="0" presStyleCnt="2"/>
      <dgm:spPr/>
    </dgm:pt>
    <dgm:pt modelId="{37708071-E026-4BF8-AB8F-7A7DA7517241}" type="pres">
      <dgm:prSet presAssocID="{8430A5EB-D518-4875-9D16-1138566A5EB6}" presName="Name21" presStyleCnt="0"/>
      <dgm:spPr/>
    </dgm:pt>
    <dgm:pt modelId="{3AC94ADE-02D2-4625-9311-988FDCDC8DCD}" type="pres">
      <dgm:prSet presAssocID="{8430A5EB-D518-4875-9D16-1138566A5EB6}" presName="level2Shape" presStyleLbl="node2" presStyleIdx="0" presStyleCnt="2" custScaleX="121900" custScaleY="58376" custLinFactNeighborX="-15140"/>
      <dgm:spPr/>
    </dgm:pt>
    <dgm:pt modelId="{26343997-B7AC-4D11-A058-5C3096B7A917}" type="pres">
      <dgm:prSet presAssocID="{8430A5EB-D518-4875-9D16-1138566A5EB6}" presName="hierChild3" presStyleCnt="0"/>
      <dgm:spPr/>
    </dgm:pt>
    <dgm:pt modelId="{6FD093BA-132F-4824-BF89-77804443D4D6}" type="pres">
      <dgm:prSet presAssocID="{B541F9DE-9206-4A1B-8391-599B28594D19}" presName="Name19" presStyleLbl="parChTrans1D3" presStyleIdx="0" presStyleCnt="2"/>
      <dgm:spPr/>
    </dgm:pt>
    <dgm:pt modelId="{88D42CC6-687D-4125-9872-E58AB82590CC}" type="pres">
      <dgm:prSet presAssocID="{8918B572-12F5-4E1F-8B8A-CB47FBAB8B00}" presName="Name21" presStyleCnt="0"/>
      <dgm:spPr/>
    </dgm:pt>
    <dgm:pt modelId="{BC4AAA07-69FB-4AF9-93E0-CC542395957F}" type="pres">
      <dgm:prSet presAssocID="{8918B572-12F5-4E1F-8B8A-CB47FBAB8B00}" presName="level2Shape" presStyleLbl="node3" presStyleIdx="0" presStyleCnt="2" custScaleX="177070" custLinFactNeighborX="2295" custLinFactNeighborY="-1147"/>
      <dgm:spPr/>
    </dgm:pt>
    <dgm:pt modelId="{622ECDE0-9779-49BC-A548-62FDD8D0084E}" type="pres">
      <dgm:prSet presAssocID="{8918B572-12F5-4E1F-8B8A-CB47FBAB8B00}" presName="hierChild3" presStyleCnt="0"/>
      <dgm:spPr/>
    </dgm:pt>
    <dgm:pt modelId="{4E22354E-3232-4308-B2DD-0557291F4868}" type="pres">
      <dgm:prSet presAssocID="{0F6B7206-FAB2-4F22-8866-C3C08AC83E00}" presName="Name19" presStyleLbl="parChTrans1D2" presStyleIdx="1" presStyleCnt="2"/>
      <dgm:spPr/>
    </dgm:pt>
    <dgm:pt modelId="{5DE03CDB-EF94-4C42-BF6A-0A59049D7503}" type="pres">
      <dgm:prSet presAssocID="{67A1FC5D-B491-4AB8-A0B1-205AD70DD04A}" presName="Name21" presStyleCnt="0"/>
      <dgm:spPr/>
    </dgm:pt>
    <dgm:pt modelId="{B181540F-7F77-4EAB-9A80-63E7F531188C}" type="pres">
      <dgm:prSet presAssocID="{67A1FC5D-B491-4AB8-A0B1-205AD70DD04A}" presName="level2Shape" presStyleLbl="node2" presStyleIdx="1" presStyleCnt="2" custScaleX="120993" custScaleY="58433" custLinFactNeighborX="-12112"/>
      <dgm:spPr/>
    </dgm:pt>
    <dgm:pt modelId="{FCF2FFF7-1E33-4797-98FB-EA006AAF2ECB}" type="pres">
      <dgm:prSet presAssocID="{67A1FC5D-B491-4AB8-A0B1-205AD70DD04A}" presName="hierChild3" presStyleCnt="0"/>
      <dgm:spPr/>
    </dgm:pt>
    <dgm:pt modelId="{DD00683F-61B1-43AC-9F19-ED6DC4AE1607}" type="pres">
      <dgm:prSet presAssocID="{2ADE6789-3DAF-40B1-B59C-8BD7972944B6}" presName="Name19" presStyleLbl="parChTrans1D3" presStyleIdx="1" presStyleCnt="2"/>
      <dgm:spPr/>
    </dgm:pt>
    <dgm:pt modelId="{E46B82B5-BD04-4F71-8657-EB51880400F7}" type="pres">
      <dgm:prSet presAssocID="{3F4981E6-5F33-4D64-A5E6-FA05BE8B2F42}" presName="Name21" presStyleCnt="0"/>
      <dgm:spPr/>
    </dgm:pt>
    <dgm:pt modelId="{77A3ECE8-B8D7-4EB1-AED8-F3CD2D3A2C62}" type="pres">
      <dgm:prSet presAssocID="{3F4981E6-5F33-4D64-A5E6-FA05BE8B2F42}" presName="level2Shape" presStyleLbl="node3" presStyleIdx="1" presStyleCnt="2" custScaleX="166958" custLinFactNeighborX="32892" custLinFactNeighborY="-5737"/>
      <dgm:spPr/>
    </dgm:pt>
    <dgm:pt modelId="{29CA91E9-8987-48A5-A9DA-E1D62296405B}" type="pres">
      <dgm:prSet presAssocID="{3F4981E6-5F33-4D64-A5E6-FA05BE8B2F42}" presName="hierChild3" presStyleCnt="0"/>
      <dgm:spPr/>
    </dgm:pt>
    <dgm:pt modelId="{2C9C0D82-06F7-4606-86C5-9EC235962670}" type="pres">
      <dgm:prSet presAssocID="{31DBCAE6-E058-4796-8A10-DDE6C5B4ECA4}" presName="bgShapesFlow" presStyleCnt="0"/>
      <dgm:spPr/>
    </dgm:pt>
  </dgm:ptLst>
  <dgm:cxnLst>
    <dgm:cxn modelId="{41FB5E05-A908-448E-A324-F39BF2199867}" srcId="{31DBCAE6-E058-4796-8A10-DDE6C5B4ECA4}" destId="{15500F6F-51D9-4AD9-B263-CB8FD1A1D660}" srcOrd="0" destOrd="0" parTransId="{17FCAD84-2C40-4467-9A22-1E235BBD50DB}" sibTransId="{A0AB57B4-D00B-44D1-8F21-19DB3D857C71}"/>
    <dgm:cxn modelId="{52AFCE13-B763-453B-96E5-DFA657669C69}" type="presOf" srcId="{8430A5EB-D518-4875-9D16-1138566A5EB6}" destId="{3AC94ADE-02D2-4625-9311-988FDCDC8DCD}" srcOrd="0" destOrd="0" presId="urn:microsoft.com/office/officeart/2005/8/layout/hierarchy6"/>
    <dgm:cxn modelId="{8252C626-F957-4771-AC10-A1F2EAAA47C0}" type="presOf" srcId="{15500F6F-51D9-4AD9-B263-CB8FD1A1D660}" destId="{547C7749-AAC3-434C-B812-753FC1457973}" srcOrd="0" destOrd="0" presId="urn:microsoft.com/office/officeart/2005/8/layout/hierarchy6"/>
    <dgm:cxn modelId="{1151AD40-ED08-4B48-B9F3-8122F8AB8A9B}" type="presOf" srcId="{B541F9DE-9206-4A1B-8391-599B28594D19}" destId="{6FD093BA-132F-4824-BF89-77804443D4D6}" srcOrd="0" destOrd="0" presId="urn:microsoft.com/office/officeart/2005/8/layout/hierarchy6"/>
    <dgm:cxn modelId="{0079C45E-C87A-4F24-B98F-F9053640910D}" type="presOf" srcId="{31DBCAE6-E058-4796-8A10-DDE6C5B4ECA4}" destId="{BDC782D4-47D9-4F1A-A780-F60ADC8AD3A0}" srcOrd="0" destOrd="0" presId="urn:microsoft.com/office/officeart/2005/8/layout/hierarchy6"/>
    <dgm:cxn modelId="{64EEBE4F-5305-4344-8D4D-58C01CB548BB}" type="presOf" srcId="{0F6B7206-FAB2-4F22-8866-C3C08AC83E00}" destId="{4E22354E-3232-4308-B2DD-0557291F4868}" srcOrd="0" destOrd="0" presId="urn:microsoft.com/office/officeart/2005/8/layout/hierarchy6"/>
    <dgm:cxn modelId="{47F56850-98A4-4CC7-861C-F2CB1CE6A2A0}" type="presOf" srcId="{3F4981E6-5F33-4D64-A5E6-FA05BE8B2F42}" destId="{77A3ECE8-B8D7-4EB1-AED8-F3CD2D3A2C62}" srcOrd="0" destOrd="0" presId="urn:microsoft.com/office/officeart/2005/8/layout/hierarchy6"/>
    <dgm:cxn modelId="{59EFE97B-194E-417B-96F0-AB6E6BC0924F}" srcId="{8430A5EB-D518-4875-9D16-1138566A5EB6}" destId="{8918B572-12F5-4E1F-8B8A-CB47FBAB8B00}" srcOrd="0" destOrd="0" parTransId="{B541F9DE-9206-4A1B-8391-599B28594D19}" sibTransId="{96278523-4511-46DC-B8F8-86B537F77F8B}"/>
    <dgm:cxn modelId="{81AE4282-4D42-45D7-B64E-3978AEDC6D70}" srcId="{15500F6F-51D9-4AD9-B263-CB8FD1A1D660}" destId="{67A1FC5D-B491-4AB8-A0B1-205AD70DD04A}" srcOrd="1" destOrd="0" parTransId="{0F6B7206-FAB2-4F22-8866-C3C08AC83E00}" sibTransId="{CED2AAD4-2B9C-4366-9F4C-2CF0CE76D38E}"/>
    <dgm:cxn modelId="{CEF70C86-6373-43B6-8BB7-AC8767975094}" srcId="{15500F6F-51D9-4AD9-B263-CB8FD1A1D660}" destId="{8430A5EB-D518-4875-9D16-1138566A5EB6}" srcOrd="0" destOrd="0" parTransId="{585E1F78-5A68-43B1-A7E0-B10ED8B1A829}" sibTransId="{9FB5DD7B-BA54-4224-8A15-DE67EEE5ACCC}"/>
    <dgm:cxn modelId="{B1481F90-A098-4680-A9CB-16CC659EFACD}" srcId="{67A1FC5D-B491-4AB8-A0B1-205AD70DD04A}" destId="{3F4981E6-5F33-4D64-A5E6-FA05BE8B2F42}" srcOrd="0" destOrd="0" parTransId="{2ADE6789-3DAF-40B1-B59C-8BD7972944B6}" sibTransId="{219C5612-B638-4AE2-A24E-496097F768E7}"/>
    <dgm:cxn modelId="{42AD9397-3E7F-4A46-B792-997DF8DA1E2A}" type="presOf" srcId="{585E1F78-5A68-43B1-A7E0-B10ED8B1A829}" destId="{4ACDDF7A-21EE-4F0A-9C9F-B698B830F368}" srcOrd="0" destOrd="0" presId="urn:microsoft.com/office/officeart/2005/8/layout/hierarchy6"/>
    <dgm:cxn modelId="{5A1E9BD2-69FA-441C-8EDA-36B82DF2A9B8}" type="presOf" srcId="{67A1FC5D-B491-4AB8-A0B1-205AD70DD04A}" destId="{B181540F-7F77-4EAB-9A80-63E7F531188C}" srcOrd="0" destOrd="0" presId="urn:microsoft.com/office/officeart/2005/8/layout/hierarchy6"/>
    <dgm:cxn modelId="{E658DAD6-61EE-4437-933E-222124F8E2EC}" type="presOf" srcId="{8918B572-12F5-4E1F-8B8A-CB47FBAB8B00}" destId="{BC4AAA07-69FB-4AF9-93E0-CC542395957F}" srcOrd="0" destOrd="0" presId="urn:microsoft.com/office/officeart/2005/8/layout/hierarchy6"/>
    <dgm:cxn modelId="{506406E1-989D-4840-A0A3-871C8104EFC9}" type="presOf" srcId="{2ADE6789-3DAF-40B1-B59C-8BD7972944B6}" destId="{DD00683F-61B1-43AC-9F19-ED6DC4AE1607}" srcOrd="0" destOrd="0" presId="urn:microsoft.com/office/officeart/2005/8/layout/hierarchy6"/>
    <dgm:cxn modelId="{4C1EF160-6DAA-45ED-AA15-6308EB4680B8}" type="presParOf" srcId="{BDC782D4-47D9-4F1A-A780-F60ADC8AD3A0}" destId="{E358A868-20CE-4F5E-8AAC-BAF1E71D9CAD}" srcOrd="0" destOrd="0" presId="urn:microsoft.com/office/officeart/2005/8/layout/hierarchy6"/>
    <dgm:cxn modelId="{A8BB3756-FC5F-4DC3-8878-1858238E1F36}" type="presParOf" srcId="{E358A868-20CE-4F5E-8AAC-BAF1E71D9CAD}" destId="{115C97F4-4EE3-4356-984A-70C936DA3625}" srcOrd="0" destOrd="0" presId="urn:microsoft.com/office/officeart/2005/8/layout/hierarchy6"/>
    <dgm:cxn modelId="{110145A2-ABD8-4CDA-AA36-DC374A028674}" type="presParOf" srcId="{115C97F4-4EE3-4356-984A-70C936DA3625}" destId="{12F0FC1D-6AE0-4387-A2B8-063914292BA6}" srcOrd="0" destOrd="0" presId="urn:microsoft.com/office/officeart/2005/8/layout/hierarchy6"/>
    <dgm:cxn modelId="{8E25F1FF-EFDA-4A61-88FD-06EAC7E7B9D3}" type="presParOf" srcId="{12F0FC1D-6AE0-4387-A2B8-063914292BA6}" destId="{547C7749-AAC3-434C-B812-753FC1457973}" srcOrd="0" destOrd="0" presId="urn:microsoft.com/office/officeart/2005/8/layout/hierarchy6"/>
    <dgm:cxn modelId="{AC1D9119-E083-462B-9366-7E6B818CDD7E}" type="presParOf" srcId="{12F0FC1D-6AE0-4387-A2B8-063914292BA6}" destId="{77034638-2D2C-4AAB-9DA9-B98AD003CA42}" srcOrd="1" destOrd="0" presId="urn:microsoft.com/office/officeart/2005/8/layout/hierarchy6"/>
    <dgm:cxn modelId="{A22279B9-4952-4145-BF6C-4D08697F1318}" type="presParOf" srcId="{77034638-2D2C-4AAB-9DA9-B98AD003CA42}" destId="{4ACDDF7A-21EE-4F0A-9C9F-B698B830F368}" srcOrd="0" destOrd="0" presId="urn:microsoft.com/office/officeart/2005/8/layout/hierarchy6"/>
    <dgm:cxn modelId="{A04E88E9-463B-4F19-A835-3C7C59F0FC36}" type="presParOf" srcId="{77034638-2D2C-4AAB-9DA9-B98AD003CA42}" destId="{37708071-E026-4BF8-AB8F-7A7DA7517241}" srcOrd="1" destOrd="0" presId="urn:microsoft.com/office/officeart/2005/8/layout/hierarchy6"/>
    <dgm:cxn modelId="{A370AAB8-F111-4C0B-909B-DEDB14063D4A}" type="presParOf" srcId="{37708071-E026-4BF8-AB8F-7A7DA7517241}" destId="{3AC94ADE-02D2-4625-9311-988FDCDC8DCD}" srcOrd="0" destOrd="0" presId="urn:microsoft.com/office/officeart/2005/8/layout/hierarchy6"/>
    <dgm:cxn modelId="{D3105A3E-AD90-4A1F-B0D9-AB91ED50A5E0}" type="presParOf" srcId="{37708071-E026-4BF8-AB8F-7A7DA7517241}" destId="{26343997-B7AC-4D11-A058-5C3096B7A917}" srcOrd="1" destOrd="0" presId="urn:microsoft.com/office/officeart/2005/8/layout/hierarchy6"/>
    <dgm:cxn modelId="{B30BA904-A312-4CA5-A5B2-F32F7D0DE0A1}" type="presParOf" srcId="{26343997-B7AC-4D11-A058-5C3096B7A917}" destId="{6FD093BA-132F-4824-BF89-77804443D4D6}" srcOrd="0" destOrd="0" presId="urn:microsoft.com/office/officeart/2005/8/layout/hierarchy6"/>
    <dgm:cxn modelId="{B18D2601-1E00-4B83-95D2-552700C57158}" type="presParOf" srcId="{26343997-B7AC-4D11-A058-5C3096B7A917}" destId="{88D42CC6-687D-4125-9872-E58AB82590CC}" srcOrd="1" destOrd="0" presId="urn:microsoft.com/office/officeart/2005/8/layout/hierarchy6"/>
    <dgm:cxn modelId="{B7606DB1-B688-4079-B904-0C615D89B43D}" type="presParOf" srcId="{88D42CC6-687D-4125-9872-E58AB82590CC}" destId="{BC4AAA07-69FB-4AF9-93E0-CC542395957F}" srcOrd="0" destOrd="0" presId="urn:microsoft.com/office/officeart/2005/8/layout/hierarchy6"/>
    <dgm:cxn modelId="{619C37B2-1AB4-4F46-A92C-F0397B65859C}" type="presParOf" srcId="{88D42CC6-687D-4125-9872-E58AB82590CC}" destId="{622ECDE0-9779-49BC-A548-62FDD8D0084E}" srcOrd="1" destOrd="0" presId="urn:microsoft.com/office/officeart/2005/8/layout/hierarchy6"/>
    <dgm:cxn modelId="{1C091863-A5D9-4D07-9891-EDBA12C6B840}" type="presParOf" srcId="{77034638-2D2C-4AAB-9DA9-B98AD003CA42}" destId="{4E22354E-3232-4308-B2DD-0557291F4868}" srcOrd="2" destOrd="0" presId="urn:microsoft.com/office/officeart/2005/8/layout/hierarchy6"/>
    <dgm:cxn modelId="{5B7454AA-765E-461C-84CD-BC4954388EE5}" type="presParOf" srcId="{77034638-2D2C-4AAB-9DA9-B98AD003CA42}" destId="{5DE03CDB-EF94-4C42-BF6A-0A59049D7503}" srcOrd="3" destOrd="0" presId="urn:microsoft.com/office/officeart/2005/8/layout/hierarchy6"/>
    <dgm:cxn modelId="{4D6D1A1F-A329-447F-9B8E-2AF1A864B83F}" type="presParOf" srcId="{5DE03CDB-EF94-4C42-BF6A-0A59049D7503}" destId="{B181540F-7F77-4EAB-9A80-63E7F531188C}" srcOrd="0" destOrd="0" presId="urn:microsoft.com/office/officeart/2005/8/layout/hierarchy6"/>
    <dgm:cxn modelId="{0088F87E-7349-44AC-A855-D0A2C2B4912F}" type="presParOf" srcId="{5DE03CDB-EF94-4C42-BF6A-0A59049D7503}" destId="{FCF2FFF7-1E33-4797-98FB-EA006AAF2ECB}" srcOrd="1" destOrd="0" presId="urn:microsoft.com/office/officeart/2005/8/layout/hierarchy6"/>
    <dgm:cxn modelId="{0DF16A4C-F042-4551-A1FC-FDEFCF666EBB}" type="presParOf" srcId="{FCF2FFF7-1E33-4797-98FB-EA006AAF2ECB}" destId="{DD00683F-61B1-43AC-9F19-ED6DC4AE1607}" srcOrd="0" destOrd="0" presId="urn:microsoft.com/office/officeart/2005/8/layout/hierarchy6"/>
    <dgm:cxn modelId="{E0C9E47A-8DBE-46F5-B1BF-D332A96BE430}" type="presParOf" srcId="{FCF2FFF7-1E33-4797-98FB-EA006AAF2ECB}" destId="{E46B82B5-BD04-4F71-8657-EB51880400F7}" srcOrd="1" destOrd="0" presId="urn:microsoft.com/office/officeart/2005/8/layout/hierarchy6"/>
    <dgm:cxn modelId="{7607892B-2B4A-474F-899B-87AB2F64AD6E}" type="presParOf" srcId="{E46B82B5-BD04-4F71-8657-EB51880400F7}" destId="{77A3ECE8-B8D7-4EB1-AED8-F3CD2D3A2C62}" srcOrd="0" destOrd="0" presId="urn:microsoft.com/office/officeart/2005/8/layout/hierarchy6"/>
    <dgm:cxn modelId="{4BC54DCB-FB4F-4D75-B5B6-8C4C24F861D4}" type="presParOf" srcId="{E46B82B5-BD04-4F71-8657-EB51880400F7}" destId="{29CA91E9-8987-48A5-A9DA-E1D62296405B}" srcOrd="1" destOrd="0" presId="urn:microsoft.com/office/officeart/2005/8/layout/hierarchy6"/>
    <dgm:cxn modelId="{62DFC898-018A-45AB-A032-C65261FD4EFF}" type="presParOf" srcId="{BDC782D4-47D9-4F1A-A780-F60ADC8AD3A0}" destId="{2C9C0D82-06F7-4606-86C5-9EC235962670}" srcOrd="1" destOrd="0" presId="urn:microsoft.com/office/officeart/2005/8/layout/hierarchy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6E99E-697F-4B71-A0B7-9E0E7DE35087}">
      <dsp:nvSpPr>
        <dsp:cNvPr id="0" name=""/>
        <dsp:cNvSpPr/>
      </dsp:nvSpPr>
      <dsp: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047016" y="2427977"/>
        <a:ext cx="1640879" cy="795684"/>
      </dsp:txXfrm>
    </dsp:sp>
    <dsp:sp modelId="{6B81FB9A-83EA-44D9-9DFE-0159384E5065}">
      <dsp:nvSpPr>
        <dsp:cNvPr id="0" name=""/>
        <dsp:cNvSpPr/>
      </dsp:nvSpPr>
      <dsp:spPr>
        <a:xfrm rot="18525583">
          <a:off x="2861322" y="1716452"/>
          <a:ext cx="936630" cy="295818"/>
        </a:xfrm>
        <a:prstGeom prst="lef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a:off x="2950067" y="1775616"/>
        <a:ext cx="759140" cy="177490"/>
      </dsp:txXfrm>
    </dsp:sp>
    <dsp:sp modelId="{177BDE28-2CFE-46F0-9F3C-D25CDD460172}">
      <dsp:nvSpPr>
        <dsp:cNvPr id="0" name=""/>
        <dsp:cNvSpPr/>
      </dsp:nvSpPr>
      <dsp:spPr>
        <a:xfrm>
          <a:off x="3666231" y="0"/>
          <a:ext cx="1193364" cy="2175438"/>
        </a:xfrm>
        <a:prstGeom prst="roundRect">
          <a:avLst>
            <a:gd name="adj" fmla="val 10000"/>
          </a:avLst>
        </a:prstGeom>
        <a:solidFill>
          <a:srgbClr val="5B9BD5"/>
        </a:solidFill>
        <a:ln w="12700" cap="flat" cmpd="sng" algn="ctr">
          <a:solidFill>
            <a:srgbClr val="5B9BD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3701183" y="34952"/>
        <a:ext cx="1123460" cy="2105534"/>
      </dsp:txXfrm>
    </dsp:sp>
    <dsp:sp modelId="{03C39241-B88E-4972-A9F3-E9200C065884}">
      <dsp:nvSpPr>
        <dsp:cNvPr id="0" name=""/>
        <dsp:cNvSpPr/>
      </dsp:nvSpPr>
      <dsp:spPr>
        <a:xfrm rot="10800000">
          <a:off x="2025717" y="799737"/>
          <a:ext cx="1388672" cy="295818"/>
        </a:xfrm>
        <a:prstGeom prst="leftRightArrow">
          <a:avLst>
            <a:gd name="adj1" fmla="val 60000"/>
            <a:gd name="adj2" fmla="val 50000"/>
          </a:avLst>
        </a:prstGeom>
        <a:solidFill>
          <a:srgbClr val="FFC000"/>
        </a:solidFill>
        <a:ln>
          <a:solidFill>
            <a:srgbClr val="ED7D3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rot="10800000">
        <a:off x="2114462" y="858901"/>
        <a:ext cx="1211182" cy="177490"/>
      </dsp:txXfrm>
    </dsp:sp>
    <dsp:sp modelId="{47DF25E5-A127-471A-A6B9-79BE61FD7591}">
      <dsp:nvSpPr>
        <dsp:cNvPr id="0" name=""/>
        <dsp:cNvSpPr/>
      </dsp:nvSpPr>
      <dsp: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حوكمة الشركات</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الشفافية.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المساءلة.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النزاهة.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المشاركة.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العدالة.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الاستدامة.</a:t>
          </a:r>
        </a:p>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endParaRPr lang="en-US" sz="1400" b="1" kern="1200">
            <a:solidFill>
              <a:sysClr val="windowText" lastClr="000000"/>
            </a:solidFill>
            <a:latin typeface="Calibri" panose="020F0502020204030204"/>
            <a:ea typeface="+mn-ea"/>
            <a:cs typeface="+mn-cs"/>
          </a:endParaRPr>
        </a:p>
      </dsp:txBody>
      <dsp:txXfrm>
        <a:off x="517490" y="36518"/>
        <a:ext cx="1173651" cy="2112164"/>
      </dsp:txXfrm>
    </dsp:sp>
    <dsp:sp modelId="{7D8ADF69-46C2-4C0D-8648-326EBB8DF7ED}">
      <dsp:nvSpPr>
        <dsp:cNvPr id="0" name=""/>
        <dsp:cNvSpPr/>
      </dsp:nvSpPr>
      <dsp:spPr>
        <a:xfrm rot="2851957">
          <a:off x="1707505" y="1715392"/>
          <a:ext cx="921775" cy="307511"/>
        </a:xfrm>
        <a:prstGeom prst="leftRightArrow">
          <a:avLst>
            <a:gd name="adj1" fmla="val 60000"/>
            <a:gd name="adj2" fmla="val 50000"/>
          </a:avLst>
        </a:prstGeom>
        <a:solidFill>
          <a:srgbClr val="ED7D3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1799758" y="1776894"/>
        <a:ext cx="737269" cy="1845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2447B9-3BFA-443D-8530-D2632CC0B179}">
      <dsp:nvSpPr>
        <dsp:cNvPr id="0" name=""/>
        <dsp:cNvSpPr/>
      </dsp:nvSpPr>
      <dsp: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0B554D-8423-4F55-8BD9-58898AFB3AFF}">
      <dsp:nvSpPr>
        <dsp:cNvPr id="0" name=""/>
        <dsp:cNvSpPr/>
      </dsp:nvSpPr>
      <dsp:spPr>
        <a:xfrm>
          <a:off x="4690066"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5004222" y="872764"/>
        <a:ext cx="641200" cy="641038"/>
      </dsp:txXfrm>
    </dsp:sp>
    <dsp:sp modelId="{8E3024F3-B74B-4193-A1AE-B66B366D124D}">
      <dsp:nvSpPr>
        <dsp:cNvPr id="0" name=""/>
        <dsp:cNvSpPr/>
      </dsp:nvSpPr>
      <dsp: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EFCD4A-1A66-4A44-A6AE-269E0E099928}">
      <dsp:nvSpPr>
        <dsp:cNvPr id="0" name=""/>
        <dsp:cNvSpPr/>
      </dsp:nvSpPr>
      <dsp:spPr>
        <a:xfrm>
          <a:off x="3284680"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3598836" y="872764"/>
        <a:ext cx="641200" cy="641038"/>
      </dsp:txXfrm>
    </dsp:sp>
    <dsp:sp modelId="{A0F21B25-52D2-4E16-BA7C-BD27FDEBA054}">
      <dsp:nvSpPr>
        <dsp:cNvPr id="0" name=""/>
        <dsp:cNvSpPr/>
      </dsp:nvSpPr>
      <dsp: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B3E931-6B85-48E4-9C6F-91A7EF8065D5}">
      <dsp:nvSpPr>
        <dsp:cNvPr id="0" name=""/>
        <dsp:cNvSpPr/>
      </dsp:nvSpPr>
      <dsp:spPr>
        <a:xfrm>
          <a:off x="1879295"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2193451" y="872764"/>
        <a:ext cx="641200" cy="641038"/>
      </dsp:txXfrm>
    </dsp:sp>
    <dsp:sp modelId="{B43720C1-86E2-48AD-B7C3-A5CE83FC4261}">
      <dsp:nvSpPr>
        <dsp:cNvPr id="0" name=""/>
        <dsp:cNvSpPr/>
      </dsp:nvSpPr>
      <dsp: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2B0E07-E99E-4521-B2CE-4AC9A030E057}">
      <dsp:nvSpPr>
        <dsp:cNvPr id="0" name=""/>
        <dsp:cNvSpPr/>
      </dsp:nvSpPr>
      <dsp:spPr>
        <a:xfrm>
          <a:off x="473910"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788065" y="872764"/>
        <a:ext cx="641200" cy="6410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E7A-AF28-41B4-A0BA-A7D73011AF67}">
      <dsp:nvSpPr>
        <dsp:cNvPr id="0" name=""/>
        <dsp:cNvSpPr/>
      </dsp:nvSpPr>
      <dsp:spPr>
        <a:xfrm>
          <a:off x="2151648" y="1447824"/>
          <a:ext cx="1111850" cy="1111850"/>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نظام الحوكمة</a:t>
          </a:r>
          <a:endParaRPr lang="en-US" sz="1100" b="1" kern="1200" baseline="0">
            <a:solidFill>
              <a:sysClr val="windowText" lastClr="000000"/>
            </a:solidFill>
            <a:latin typeface="Calibri" panose="020F0502020204030204"/>
            <a:ea typeface="+mn-ea"/>
            <a:cs typeface="+mn-cs"/>
          </a:endParaRPr>
        </a:p>
      </dsp:txBody>
      <dsp:txXfrm>
        <a:off x="2314475" y="1610651"/>
        <a:ext cx="786196" cy="786196"/>
      </dsp:txXfrm>
    </dsp:sp>
    <dsp:sp modelId="{7732C6CD-4278-4E01-BCB0-529B3ACBC76E}">
      <dsp:nvSpPr>
        <dsp:cNvPr id="0" name=""/>
        <dsp:cNvSpPr/>
      </dsp:nvSpPr>
      <dsp:spPr>
        <a:xfrm rot="16200000">
          <a:off x="2589827" y="1043311"/>
          <a:ext cx="235493" cy="378029"/>
        </a:xfrm>
        <a:prstGeom prst="rightArrow">
          <a:avLst>
            <a:gd name="adj1" fmla="val 60000"/>
            <a:gd name="adj2" fmla="val 50000"/>
          </a:avLst>
        </a:prstGeom>
        <a:solidFill>
          <a:srgbClr val="4472C4">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2625151" y="1154241"/>
        <a:ext cx="164845" cy="226817"/>
      </dsp:txXfrm>
    </dsp:sp>
    <dsp:sp modelId="{41065C37-6DD6-4E17-94A8-7CFC12435553}">
      <dsp:nvSpPr>
        <dsp:cNvPr id="0" name=""/>
        <dsp:cNvSpPr/>
      </dsp:nvSpPr>
      <dsp:spPr>
        <a:xfrm>
          <a:off x="2207241" y="2831"/>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العمليات</a:t>
          </a:r>
          <a:endParaRPr lang="en-US" sz="1100" b="1" kern="1200" baseline="0">
            <a:solidFill>
              <a:sysClr val="windowText" lastClr="000000"/>
            </a:solidFill>
            <a:latin typeface="Calibri" panose="020F0502020204030204"/>
            <a:ea typeface="+mn-ea"/>
            <a:cs typeface="+mn-cs"/>
          </a:endParaRPr>
        </a:p>
      </dsp:txBody>
      <dsp:txXfrm>
        <a:off x="2353785" y="149375"/>
        <a:ext cx="707577" cy="707577"/>
      </dsp:txXfrm>
    </dsp:sp>
    <dsp:sp modelId="{EC42F4C8-5F94-4F80-B627-B835D27A270F}">
      <dsp:nvSpPr>
        <dsp:cNvPr id="0" name=""/>
        <dsp:cNvSpPr/>
      </dsp:nvSpPr>
      <dsp:spPr>
        <a:xfrm rot="19285714">
          <a:off x="3192950" y="1333760"/>
          <a:ext cx="235493" cy="378029"/>
        </a:xfrm>
        <a:prstGeom prst="rightArrow">
          <a:avLst>
            <a:gd name="adj1" fmla="val 60000"/>
            <a:gd name="adj2" fmla="val 50000"/>
          </a:avLst>
        </a:prstGeom>
        <a:solidFill>
          <a:srgbClr val="4472C4">
            <a:shade val="90000"/>
            <a:hueOff val="69238"/>
            <a:satOff val="-1479"/>
            <a:lumOff val="551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3200657" y="1431390"/>
        <a:ext cx="164845" cy="226817"/>
      </dsp:txXfrm>
    </dsp:sp>
    <dsp:sp modelId="{7147248F-2CCD-473B-B93C-7F08C74F0E2E}">
      <dsp:nvSpPr>
        <dsp:cNvPr id="0" name=""/>
        <dsp:cNvSpPr/>
      </dsp:nvSpPr>
      <dsp:spPr>
        <a:xfrm>
          <a:off x="338044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kern="1200" baseline="0">
            <a:solidFill>
              <a:sysClr val="windowText" lastClr="000000"/>
            </a:solidFill>
            <a:latin typeface="Calibri" panose="020F0502020204030204"/>
            <a:ea typeface="+mn-ea"/>
            <a:cs typeface="+mn-cs"/>
          </a:endParaRPr>
        </a:p>
      </dsp:txBody>
      <dsp:txXfrm>
        <a:off x="3526990" y="714361"/>
        <a:ext cx="707577" cy="707577"/>
      </dsp:txXfrm>
    </dsp:sp>
    <dsp:sp modelId="{7521D4AF-509B-4353-A3D6-A95831C8BC66}">
      <dsp:nvSpPr>
        <dsp:cNvPr id="0" name=""/>
        <dsp:cNvSpPr/>
      </dsp:nvSpPr>
      <dsp:spPr>
        <a:xfrm rot="771429">
          <a:off x="3341910" y="1986393"/>
          <a:ext cx="235493" cy="378029"/>
        </a:xfrm>
        <a:prstGeom prst="rightArrow">
          <a:avLst>
            <a:gd name="adj1" fmla="val 60000"/>
            <a:gd name="adj2" fmla="val 50000"/>
          </a:avLst>
        </a:prstGeom>
        <a:solidFill>
          <a:srgbClr val="4472C4">
            <a:shade val="90000"/>
            <a:hueOff val="138475"/>
            <a:satOff val="-2957"/>
            <a:lumOff val="1103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3342796" y="2054139"/>
        <a:ext cx="164845" cy="226817"/>
      </dsp:txXfrm>
    </dsp:sp>
    <dsp:sp modelId="{55C86768-D131-458D-9C3B-935FB60554F5}">
      <dsp:nvSpPr>
        <dsp:cNvPr id="0" name=""/>
        <dsp:cNvSpPr/>
      </dsp:nvSpPr>
      <dsp:spPr>
        <a:xfrm>
          <a:off x="3670203"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kern="1200" baseline="0">
            <a:solidFill>
              <a:sysClr val="windowText" lastClr="000000"/>
            </a:solidFill>
            <a:latin typeface="Calibri" panose="020F0502020204030204"/>
            <a:ea typeface="+mn-ea"/>
            <a:cs typeface="+mn-cs"/>
          </a:endParaRPr>
        </a:p>
      </dsp:txBody>
      <dsp:txXfrm>
        <a:off x="3816747" y="1983872"/>
        <a:ext cx="707577" cy="707577"/>
      </dsp:txXfrm>
    </dsp:sp>
    <dsp:sp modelId="{AD1DD96E-060F-4B54-A983-4D3D4C7E6A90}">
      <dsp:nvSpPr>
        <dsp:cNvPr id="0" name=""/>
        <dsp:cNvSpPr/>
      </dsp:nvSpPr>
      <dsp:spPr>
        <a:xfrm rot="3857143">
          <a:off x="2924535" y="2509764"/>
          <a:ext cx="235493" cy="378029"/>
        </a:xfrm>
        <a:prstGeom prst="rightArrow">
          <a:avLst>
            <a:gd name="adj1" fmla="val 60000"/>
            <a:gd name="adj2" fmla="val 50000"/>
          </a:avLst>
        </a:prstGeom>
        <a:solidFill>
          <a:srgbClr val="4472C4">
            <a:shade val="90000"/>
            <a:hueOff val="207713"/>
            <a:satOff val="-4436"/>
            <a:lumOff val="1655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2944532" y="2553544"/>
        <a:ext cx="164845" cy="226817"/>
      </dsp:txXfrm>
    </dsp:sp>
    <dsp:sp modelId="{B25C6A5A-DA2B-41A7-92E5-C5C6507E1FA6}">
      <dsp:nvSpPr>
        <dsp:cNvPr id="0" name=""/>
        <dsp:cNvSpPr/>
      </dsp:nvSpPr>
      <dsp:spPr>
        <a:xfrm>
          <a:off x="2858320"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المعلومات </a:t>
          </a:r>
          <a:endParaRPr lang="en-US" sz="1100" b="1" kern="1200" baseline="0">
            <a:solidFill>
              <a:sysClr val="windowText" lastClr="000000"/>
            </a:solidFill>
            <a:latin typeface="Calibri" panose="020F0502020204030204"/>
            <a:ea typeface="+mn-ea"/>
            <a:cs typeface="+mn-cs"/>
          </a:endParaRPr>
        </a:p>
      </dsp:txBody>
      <dsp:txXfrm>
        <a:off x="3004864" y="3001941"/>
        <a:ext cx="707577" cy="707577"/>
      </dsp:txXfrm>
    </dsp:sp>
    <dsp:sp modelId="{BFA26A0E-DBD5-4B2E-B7FF-D55E5D5033AD}">
      <dsp:nvSpPr>
        <dsp:cNvPr id="0" name=""/>
        <dsp:cNvSpPr/>
      </dsp:nvSpPr>
      <dsp:spPr>
        <a:xfrm rot="6942857">
          <a:off x="2255118" y="2509764"/>
          <a:ext cx="235493" cy="378029"/>
        </a:xfrm>
        <a:prstGeom prst="rightArrow">
          <a:avLst>
            <a:gd name="adj1" fmla="val 60000"/>
            <a:gd name="adj2" fmla="val 50000"/>
          </a:avLst>
        </a:prstGeom>
        <a:solidFill>
          <a:srgbClr val="4472C4">
            <a:shade val="90000"/>
            <a:hueOff val="276951"/>
            <a:satOff val="-5914"/>
            <a:lumOff val="220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2305769" y="2553544"/>
        <a:ext cx="164845" cy="226817"/>
      </dsp:txXfrm>
    </dsp:sp>
    <dsp:sp modelId="{FE223032-0F68-414C-9284-241BAD032A66}">
      <dsp:nvSpPr>
        <dsp:cNvPr id="0" name=""/>
        <dsp:cNvSpPr/>
      </dsp:nvSpPr>
      <dsp:spPr>
        <a:xfrm>
          <a:off x="1556161"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kern="1200" baseline="0">
            <a:solidFill>
              <a:sysClr val="windowText" lastClr="000000"/>
            </a:solidFill>
            <a:latin typeface="Calibri" panose="020F0502020204030204"/>
            <a:ea typeface="+mn-ea"/>
            <a:cs typeface="+mn-cs"/>
          </a:endParaRPr>
        </a:p>
      </dsp:txBody>
      <dsp:txXfrm>
        <a:off x="1702705" y="3001941"/>
        <a:ext cx="707577" cy="707577"/>
      </dsp:txXfrm>
    </dsp:sp>
    <dsp:sp modelId="{DB0C400D-ACB9-448A-807F-1EEE4FAAECB7}">
      <dsp:nvSpPr>
        <dsp:cNvPr id="0" name=""/>
        <dsp:cNvSpPr/>
      </dsp:nvSpPr>
      <dsp:spPr>
        <a:xfrm rot="10028571">
          <a:off x="1837744" y="1986393"/>
          <a:ext cx="235493" cy="378029"/>
        </a:xfrm>
        <a:prstGeom prst="rightArrow">
          <a:avLst>
            <a:gd name="adj1" fmla="val 60000"/>
            <a:gd name="adj2" fmla="val 50000"/>
          </a:avLst>
        </a:prstGeom>
        <a:solidFill>
          <a:srgbClr val="4472C4">
            <a:shade val="90000"/>
            <a:hueOff val="346188"/>
            <a:satOff val="-7393"/>
            <a:lumOff val="2759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1907506" y="2054139"/>
        <a:ext cx="164845" cy="226817"/>
      </dsp:txXfrm>
    </dsp:sp>
    <dsp:sp modelId="{A2281BA5-00C7-40B3-91A0-BA1D16E00B72}">
      <dsp:nvSpPr>
        <dsp:cNvPr id="0" name=""/>
        <dsp:cNvSpPr/>
      </dsp:nvSpPr>
      <dsp:spPr>
        <a:xfrm>
          <a:off x="744278"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kern="1200" baseline="0">
            <a:solidFill>
              <a:sysClr val="windowText" lastClr="000000"/>
            </a:solidFill>
            <a:latin typeface="Calibri" panose="020F0502020204030204"/>
            <a:ea typeface="+mn-ea"/>
            <a:cs typeface="+mn-cs"/>
          </a:endParaRPr>
        </a:p>
      </dsp:txBody>
      <dsp:txXfrm>
        <a:off x="890822" y="1983872"/>
        <a:ext cx="707577" cy="707577"/>
      </dsp:txXfrm>
    </dsp:sp>
    <dsp:sp modelId="{FBF12045-FA27-44F4-86C6-EE17BD5B6096}">
      <dsp:nvSpPr>
        <dsp:cNvPr id="0" name=""/>
        <dsp:cNvSpPr/>
      </dsp:nvSpPr>
      <dsp:spPr>
        <a:xfrm rot="13114286">
          <a:off x="1986703" y="1333760"/>
          <a:ext cx="235493" cy="378029"/>
        </a:xfrm>
        <a:prstGeom prst="rightArrow">
          <a:avLst>
            <a:gd name="adj1" fmla="val 60000"/>
            <a:gd name="adj2" fmla="val 50000"/>
          </a:avLst>
        </a:prstGeom>
        <a:solidFill>
          <a:srgbClr val="4472C4">
            <a:shade val="90000"/>
            <a:hueOff val="415426"/>
            <a:satOff val="-8871"/>
            <a:lumOff val="331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2049644" y="1431390"/>
        <a:ext cx="164845" cy="226817"/>
      </dsp:txXfrm>
    </dsp:sp>
    <dsp:sp modelId="{C9A82636-3BE0-486C-898E-1F2E3963394F}">
      <dsp:nvSpPr>
        <dsp:cNvPr id="0" name=""/>
        <dsp:cNvSpPr/>
      </dsp:nvSpPr>
      <dsp:spPr>
        <a:xfrm>
          <a:off x="103403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kern="1200" baseline="0">
            <a:solidFill>
              <a:sysClr val="windowText" lastClr="000000"/>
            </a:solidFill>
            <a:latin typeface="Calibri" panose="020F0502020204030204"/>
            <a:ea typeface="+mn-ea"/>
            <a:cs typeface="+mn-cs"/>
          </a:endParaRPr>
        </a:p>
      </dsp:txBody>
      <dsp:txXfrm>
        <a:off x="1180580" y="714361"/>
        <a:ext cx="707577" cy="7075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C7749-AAC3-434C-B812-753FC1457973}">
      <dsp:nvSpPr>
        <dsp:cNvPr id="0" name=""/>
        <dsp:cNvSpPr/>
      </dsp:nvSpPr>
      <dsp: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kern="1200">
            <a:solidFill>
              <a:sysClr val="windowText" lastClr="000000"/>
            </a:solidFill>
            <a:latin typeface="Arial Black" panose="020B0A04020102020204" pitchFamily="34" charset="0"/>
            <a:ea typeface="+mn-ea"/>
            <a:cs typeface="Simplified Arabic" panose="02020603050405020304" pitchFamily="18" charset="-78"/>
          </a:endParaRPr>
        </a:p>
      </dsp:txBody>
      <dsp:txXfrm>
        <a:off x="1446568" y="85181"/>
        <a:ext cx="2657302" cy="873275"/>
      </dsp:txXfrm>
    </dsp:sp>
    <dsp:sp modelId="{4ACDDF7A-21EE-4F0A-9C9F-B698B830F368}">
      <dsp:nvSpPr>
        <dsp:cNvPr id="0" name=""/>
        <dsp:cNvSpPr/>
      </dsp:nvSpPr>
      <dsp: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C94ADE-02D2-4625-9311-988FDCDC8DCD}">
      <dsp:nvSpPr>
        <dsp:cNvPr id="0" name=""/>
        <dsp:cNvSpPr/>
      </dsp:nvSpPr>
      <dsp: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خارجية:</a:t>
          </a:r>
          <a:endParaRPr lang="en-US" sz="1600" b="1" kern="1200">
            <a:solidFill>
              <a:sysClr val="windowText" lastClr="000000"/>
            </a:solidFill>
            <a:latin typeface="Calibri" panose="020F0502020204030204"/>
            <a:ea typeface="+mn-ea"/>
            <a:cs typeface="+mn-cs"/>
          </a:endParaRPr>
        </a:p>
      </dsp:txBody>
      <dsp:txXfrm>
        <a:off x="330072" y="1360815"/>
        <a:ext cx="1664420" cy="509783"/>
      </dsp:txXfrm>
    </dsp:sp>
    <dsp:sp modelId="{6FD093BA-132F-4824-BF89-77804443D4D6}">
      <dsp:nvSpPr>
        <dsp:cNvPr id="0" name=""/>
        <dsp:cNvSpPr/>
      </dsp:nvSpPr>
      <dsp: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4AAA07-69FB-4AF9-93E0-CC542395957F}">
      <dsp:nvSpPr>
        <dsp:cNvPr id="0" name=""/>
        <dsp:cNvSpPr/>
      </dsp:nvSpPr>
      <dsp: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كفاءة الهيئات الرقابية.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kern="1200">
            <a:solidFill>
              <a:sysClr val="windowText" lastClr="000000"/>
            </a:solidFill>
            <a:latin typeface="Calibri" panose="020F0502020204030204"/>
            <a:ea typeface="+mn-ea"/>
            <a:cs typeface="+mn-cs"/>
          </a:endParaRPr>
        </a:p>
      </dsp:txBody>
      <dsp:txXfrm>
        <a:off x="200152" y="2274033"/>
        <a:ext cx="2409448" cy="873275"/>
      </dsp:txXfrm>
    </dsp:sp>
    <dsp:sp modelId="{4E22354E-3232-4308-B2DD-0557291F4868}">
      <dsp:nvSpPr>
        <dsp:cNvPr id="0" name=""/>
        <dsp:cNvSpPr/>
      </dsp:nvSpPr>
      <dsp: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181540F-7F77-4EAB-9A80-63E7F531188C}">
      <dsp:nvSpPr>
        <dsp:cNvPr id="0" name=""/>
        <dsp:cNvSpPr/>
      </dsp:nvSpPr>
      <dsp: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داخلية:</a:t>
          </a:r>
          <a:endParaRPr lang="en-US" sz="1600" b="1" kern="1200">
            <a:solidFill>
              <a:sysClr val="windowText" lastClr="000000"/>
            </a:solidFill>
            <a:latin typeface="Calibri" panose="020F0502020204030204"/>
            <a:ea typeface="+mn-ea"/>
            <a:cs typeface="+mn-cs"/>
          </a:endParaRPr>
        </a:p>
      </dsp:txBody>
      <dsp:txXfrm>
        <a:off x="3189393" y="1360831"/>
        <a:ext cx="1651768" cy="510280"/>
      </dsp:txXfrm>
    </dsp:sp>
    <dsp:sp modelId="{DD00683F-61B1-43AC-9F19-ED6DC4AE1607}">
      <dsp:nvSpPr>
        <dsp:cNvPr id="0" name=""/>
        <dsp:cNvSpPr/>
      </dsp:nvSpPr>
      <dsp: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A3ECE8-B8D7-4EB1-AED8-F3CD2D3A2C62}">
      <dsp:nvSpPr>
        <dsp:cNvPr id="0" name=""/>
        <dsp:cNvSpPr/>
      </dsp:nvSpPr>
      <dsp: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الداخلية.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الهياكل الإدارية الواضحة </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kern="1200">
            <a:solidFill>
              <a:sysClr val="windowText" lastClr="000000"/>
            </a:solidFill>
            <a:latin typeface="Calibri" panose="020F0502020204030204"/>
            <a:ea typeface="+mn-ea"/>
            <a:cs typeface="+mn-cs"/>
          </a:endParaRPr>
        </a:p>
      </dsp:txBody>
      <dsp:txXfrm>
        <a:off x="3190482" y="2231984"/>
        <a:ext cx="2268748" cy="87327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7761</Words>
  <Characters>44244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Ahmed</dc:creator>
  <cp:keywords/>
  <dc:description/>
  <cp:lastModifiedBy>ahmed salah</cp:lastModifiedBy>
  <cp:revision>4</cp:revision>
  <cp:lastPrinted>2025-07-31T07:22:00Z</cp:lastPrinted>
  <dcterms:created xsi:type="dcterms:W3CDTF">2025-07-31T07:01:00Z</dcterms:created>
  <dcterms:modified xsi:type="dcterms:W3CDTF">2025-07-31T07:22:00Z</dcterms:modified>
</cp:coreProperties>
</file>