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35654" w14:textId="77777777" w:rsidR="00C17795" w:rsidRDefault="00C17795">
      <w:pPr>
        <w:spacing w:before="120" w:after="120"/>
      </w:pPr>
    </w:p>
    <w:p w14:paraId="65B37868" w14:textId="77777777" w:rsidR="00C17795" w:rsidRDefault="00000000">
      <w:pPr>
        <w:spacing w:before="200" w:after="60"/>
        <w:jc w:val="center"/>
      </w:pPr>
      <w:r>
        <w:rPr>
          <w:rFonts w:ascii="Arial" w:eastAsia="Arial" w:hAnsi="Arial" w:cs="Arial"/>
          <w:b/>
          <w:bCs/>
          <w:color w:val="1A3A5C"/>
          <w:sz w:val="44"/>
          <w:szCs w:val="44"/>
        </w:rPr>
        <w:t>جامعة ميد أوشن</w:t>
      </w:r>
    </w:p>
    <w:p w14:paraId="311F07D9" w14:textId="77777777" w:rsidR="00C17795" w:rsidRDefault="00000000">
      <w:pPr>
        <w:spacing w:after="60"/>
        <w:jc w:val="center"/>
      </w:pPr>
      <w:r>
        <w:rPr>
          <w:rFonts w:ascii="Arial" w:eastAsia="Arial" w:hAnsi="Arial" w:cs="Arial"/>
          <w:color w:val="555555"/>
          <w:sz w:val="26"/>
          <w:szCs w:val="26"/>
        </w:rPr>
        <w:t>Mid Ocean University</w:t>
      </w:r>
    </w:p>
    <w:p w14:paraId="0E7CD00D" w14:textId="77777777" w:rsidR="00C17795" w:rsidRDefault="00C17795">
      <w:pPr>
        <w:pBdr>
          <w:bottom w:val="single" w:sz="12" w:space="6" w:color="C8A14A"/>
        </w:pBdr>
        <w:spacing w:after="300"/>
        <w:jc w:val="center"/>
      </w:pPr>
    </w:p>
    <w:p w14:paraId="65462962" w14:textId="77777777" w:rsidR="00C17795" w:rsidRDefault="00C17795">
      <w:pPr>
        <w:spacing w:before="180" w:after="180"/>
      </w:pPr>
    </w:p>
    <w:p w14:paraId="4FAE8A50" w14:textId="77777777" w:rsidR="00C17795" w:rsidRDefault="00C17795">
      <w:pPr>
        <w:spacing w:before="100" w:after="80"/>
        <w:jc w:val="center"/>
      </w:pPr>
    </w:p>
    <w:p w14:paraId="75FD069C" w14:textId="77777777" w:rsidR="00C17795" w:rsidRDefault="00000000">
      <w:pPr>
        <w:spacing w:before="80" w:after="80"/>
        <w:jc w:val="center"/>
      </w:pPr>
      <w:r>
        <w:rPr>
          <w:rFonts w:ascii="Arial" w:eastAsia="Arial" w:hAnsi="Arial" w:cs="Arial"/>
          <w:b/>
          <w:bCs/>
          <w:color w:val="1A3A5C"/>
          <w:sz w:val="38"/>
          <w:szCs w:val="38"/>
        </w:rPr>
        <w:t>تأثير بناء الشراكات بين الجامعات وقطاع الأعمال</w:t>
      </w:r>
    </w:p>
    <w:p w14:paraId="06F38FED" w14:textId="77777777" w:rsidR="00C17795" w:rsidRDefault="00000000">
      <w:pPr>
        <w:spacing w:after="300"/>
        <w:jc w:val="center"/>
      </w:pPr>
      <w:r>
        <w:rPr>
          <w:rFonts w:ascii="Arial" w:eastAsia="Arial" w:hAnsi="Arial" w:cs="Arial"/>
          <w:b/>
          <w:bCs/>
          <w:color w:val="1A3A5C"/>
          <w:sz w:val="38"/>
          <w:szCs w:val="38"/>
        </w:rPr>
        <w:t>على تمويل مشاريع البنية التحتية المجتمعية</w:t>
      </w:r>
    </w:p>
    <w:p w14:paraId="48E53750" w14:textId="77777777" w:rsidR="00C17795" w:rsidRDefault="00C17795">
      <w:pPr>
        <w:pBdr>
          <w:bottom w:val="single" w:sz="8" w:space="6" w:color="1A3A5C"/>
        </w:pBdr>
        <w:spacing w:after="300"/>
        <w:jc w:val="center"/>
      </w:pPr>
    </w:p>
    <w:p w14:paraId="1C87C517" w14:textId="77777777" w:rsidR="00C17795" w:rsidRDefault="00C17795">
      <w:pPr>
        <w:spacing w:before="180" w:after="180"/>
      </w:pPr>
    </w:p>
    <w:tbl>
      <w:tblPr>
        <w:tblW w:w="65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900"/>
      </w:tblGrid>
      <w:tr w:rsidR="00C17795" w14:paraId="223C3A71" w14:textId="77777777">
        <w:tc>
          <w:tcPr>
            <w:tcW w:w="2600" w:type="dxa"/>
            <w:tcBorders>
              <w:top w:val="single" w:sz="1" w:space="0" w:color="AAAAAA"/>
              <w:left w:val="single" w:sz="1" w:space="0" w:color="AAAAAA"/>
              <w:bottom w:val="single" w:sz="1" w:space="0" w:color="AAAAAA"/>
              <w:right w:val="single" w:sz="1" w:space="0" w:color="AAAAAA"/>
            </w:tcBorders>
            <w:shd w:val="clear" w:color="auto" w:fill="EBF1F8"/>
            <w:tcMar>
              <w:top w:w="100" w:type="dxa"/>
              <w:left w:w="140" w:type="dxa"/>
              <w:bottom w:w="100" w:type="dxa"/>
              <w:right w:w="140" w:type="dxa"/>
            </w:tcMar>
          </w:tcPr>
          <w:p w14:paraId="1FA0D2B5" w14:textId="77777777" w:rsidR="00C17795" w:rsidRDefault="00000000">
            <w:pPr>
              <w:jc w:val="right"/>
            </w:pPr>
            <w:r>
              <w:rPr>
                <w:rFonts w:ascii="Arial" w:eastAsia="Arial" w:hAnsi="Arial" w:cs="Arial"/>
                <w:b/>
                <w:bCs/>
                <w:color w:val="1A3A5C"/>
                <w:sz w:val="22"/>
                <w:szCs w:val="22"/>
              </w:rPr>
              <w:t>اسم الطالب:</w:t>
            </w:r>
          </w:p>
        </w:tc>
        <w:tc>
          <w:tcPr>
            <w:tcW w:w="3900" w:type="dxa"/>
            <w:tcBorders>
              <w:top w:val="single" w:sz="1" w:space="0" w:color="AAAAAA"/>
              <w:left w:val="single" w:sz="1" w:space="0" w:color="AAAAAA"/>
              <w:bottom w:val="single" w:sz="1" w:space="0" w:color="AAAAAA"/>
              <w:right w:val="single" w:sz="1" w:space="0" w:color="AAAAAA"/>
            </w:tcBorders>
            <w:tcMar>
              <w:top w:w="100" w:type="dxa"/>
              <w:left w:w="140" w:type="dxa"/>
              <w:bottom w:w="100" w:type="dxa"/>
              <w:right w:w="140" w:type="dxa"/>
            </w:tcMar>
          </w:tcPr>
          <w:p w14:paraId="77C02AF0" w14:textId="0D8761FE" w:rsidR="00C17795" w:rsidRDefault="00310FA0">
            <w:pPr>
              <w:jc w:val="right"/>
            </w:pPr>
            <w:r>
              <w:rPr>
                <w:rFonts w:ascii="Arial" w:eastAsia="Arial" w:hAnsi="Arial" w:cs="Arial" w:hint="cs"/>
                <w:sz w:val="22"/>
                <w:szCs w:val="22"/>
                <w:rtl/>
              </w:rPr>
              <w:t>انس علي العتيق</w:t>
            </w:r>
            <w:r>
              <w:rPr>
                <w:rFonts w:ascii="Arial" w:eastAsia="Arial" w:hAnsi="Arial" w:cs="Arial"/>
                <w:sz w:val="22"/>
                <w:szCs w:val="22"/>
              </w:rPr>
              <w:t xml:space="preserve"> </w:t>
            </w:r>
          </w:p>
        </w:tc>
      </w:tr>
      <w:tr w:rsidR="00C17795" w14:paraId="280F4749" w14:textId="77777777">
        <w:tc>
          <w:tcPr>
            <w:tcW w:w="2600" w:type="dxa"/>
            <w:tcBorders>
              <w:top w:val="single" w:sz="1" w:space="0" w:color="AAAAAA"/>
              <w:left w:val="single" w:sz="1" w:space="0" w:color="AAAAAA"/>
              <w:bottom w:val="single" w:sz="1" w:space="0" w:color="AAAAAA"/>
              <w:right w:val="single" w:sz="1" w:space="0" w:color="AAAAAA"/>
            </w:tcBorders>
            <w:shd w:val="clear" w:color="auto" w:fill="EBF1F8"/>
            <w:tcMar>
              <w:top w:w="100" w:type="dxa"/>
              <w:left w:w="140" w:type="dxa"/>
              <w:bottom w:w="100" w:type="dxa"/>
              <w:right w:w="140" w:type="dxa"/>
            </w:tcMar>
          </w:tcPr>
          <w:p w14:paraId="7B9AC143" w14:textId="77777777" w:rsidR="00C17795" w:rsidRDefault="00000000">
            <w:pPr>
              <w:jc w:val="right"/>
            </w:pPr>
            <w:r>
              <w:rPr>
                <w:rFonts w:ascii="Arial" w:eastAsia="Arial" w:hAnsi="Arial" w:cs="Arial"/>
                <w:b/>
                <w:bCs/>
                <w:color w:val="1A3A5C"/>
                <w:sz w:val="22"/>
                <w:szCs w:val="22"/>
              </w:rPr>
              <w:t>رقم الجامعة:</w:t>
            </w:r>
          </w:p>
        </w:tc>
        <w:tc>
          <w:tcPr>
            <w:tcW w:w="3900" w:type="dxa"/>
            <w:tcBorders>
              <w:top w:val="single" w:sz="1" w:space="0" w:color="AAAAAA"/>
              <w:left w:val="single" w:sz="1" w:space="0" w:color="AAAAAA"/>
              <w:bottom w:val="single" w:sz="1" w:space="0" w:color="AAAAAA"/>
              <w:right w:val="single" w:sz="1" w:space="0" w:color="AAAAAA"/>
            </w:tcBorders>
            <w:tcMar>
              <w:top w:w="100" w:type="dxa"/>
              <w:left w:w="140" w:type="dxa"/>
              <w:bottom w:w="100" w:type="dxa"/>
              <w:right w:w="140" w:type="dxa"/>
            </w:tcMar>
          </w:tcPr>
          <w:p w14:paraId="7AF51ABA" w14:textId="06912B43" w:rsidR="00C17795" w:rsidRDefault="00A531CD">
            <w:pPr>
              <w:jc w:val="right"/>
            </w:pPr>
            <w:r>
              <w:rPr>
                <w:rFonts w:hint="cs"/>
                <w:rtl/>
              </w:rPr>
              <w:t>241001725</w:t>
            </w:r>
          </w:p>
        </w:tc>
      </w:tr>
      <w:tr w:rsidR="00C17795" w14:paraId="651911F8" w14:textId="77777777">
        <w:tc>
          <w:tcPr>
            <w:tcW w:w="2600" w:type="dxa"/>
            <w:tcBorders>
              <w:top w:val="single" w:sz="1" w:space="0" w:color="AAAAAA"/>
              <w:left w:val="single" w:sz="1" w:space="0" w:color="AAAAAA"/>
              <w:bottom w:val="single" w:sz="1" w:space="0" w:color="AAAAAA"/>
              <w:right w:val="single" w:sz="1" w:space="0" w:color="AAAAAA"/>
            </w:tcBorders>
            <w:shd w:val="clear" w:color="auto" w:fill="EBF1F8"/>
            <w:tcMar>
              <w:top w:w="100" w:type="dxa"/>
              <w:left w:w="140" w:type="dxa"/>
              <w:bottom w:w="100" w:type="dxa"/>
              <w:right w:w="140" w:type="dxa"/>
            </w:tcMar>
          </w:tcPr>
          <w:p w14:paraId="6D2E7CC8" w14:textId="77777777" w:rsidR="00C17795" w:rsidRDefault="00000000">
            <w:pPr>
              <w:jc w:val="right"/>
            </w:pPr>
            <w:r>
              <w:rPr>
                <w:rFonts w:ascii="Arial" w:eastAsia="Arial" w:hAnsi="Arial" w:cs="Arial"/>
                <w:b/>
                <w:bCs/>
                <w:color w:val="1A3A5C"/>
                <w:sz w:val="22"/>
                <w:szCs w:val="22"/>
              </w:rPr>
              <w:t>اسم المساق:</w:t>
            </w:r>
          </w:p>
        </w:tc>
        <w:tc>
          <w:tcPr>
            <w:tcW w:w="3900" w:type="dxa"/>
            <w:tcBorders>
              <w:top w:val="single" w:sz="1" w:space="0" w:color="AAAAAA"/>
              <w:left w:val="single" w:sz="1" w:space="0" w:color="AAAAAA"/>
              <w:bottom w:val="single" w:sz="1" w:space="0" w:color="AAAAAA"/>
              <w:right w:val="single" w:sz="1" w:space="0" w:color="AAAAAA"/>
            </w:tcBorders>
            <w:tcMar>
              <w:top w:w="100" w:type="dxa"/>
              <w:left w:w="140" w:type="dxa"/>
              <w:bottom w:w="100" w:type="dxa"/>
              <w:right w:w="140" w:type="dxa"/>
            </w:tcMar>
          </w:tcPr>
          <w:p w14:paraId="2B75E684" w14:textId="77777777" w:rsidR="00C17795" w:rsidRDefault="00000000">
            <w:pPr>
              <w:jc w:val="right"/>
            </w:pPr>
            <w:r>
              <w:rPr>
                <w:rFonts w:ascii="Arial" w:eastAsia="Arial" w:hAnsi="Arial" w:cs="Arial"/>
                <w:sz w:val="22"/>
                <w:szCs w:val="22"/>
              </w:rPr>
              <w:t>مقدمة في طرق البحث - MGM333</w:t>
            </w:r>
          </w:p>
        </w:tc>
      </w:tr>
      <w:tr w:rsidR="00C17795" w14:paraId="44AE11DD" w14:textId="77777777">
        <w:tc>
          <w:tcPr>
            <w:tcW w:w="2600" w:type="dxa"/>
            <w:tcBorders>
              <w:top w:val="single" w:sz="1" w:space="0" w:color="AAAAAA"/>
              <w:left w:val="single" w:sz="1" w:space="0" w:color="AAAAAA"/>
              <w:bottom w:val="single" w:sz="1" w:space="0" w:color="AAAAAA"/>
              <w:right w:val="single" w:sz="1" w:space="0" w:color="AAAAAA"/>
            </w:tcBorders>
            <w:shd w:val="clear" w:color="auto" w:fill="EBF1F8"/>
            <w:tcMar>
              <w:top w:w="100" w:type="dxa"/>
              <w:left w:w="140" w:type="dxa"/>
              <w:bottom w:w="100" w:type="dxa"/>
              <w:right w:w="140" w:type="dxa"/>
            </w:tcMar>
          </w:tcPr>
          <w:p w14:paraId="0DD343E5" w14:textId="77777777" w:rsidR="00C17795" w:rsidRDefault="00000000">
            <w:pPr>
              <w:jc w:val="right"/>
            </w:pPr>
            <w:r>
              <w:rPr>
                <w:rFonts w:ascii="Arial" w:eastAsia="Arial" w:hAnsi="Arial" w:cs="Arial"/>
                <w:b/>
                <w:bCs/>
                <w:color w:val="1A3A5C"/>
                <w:sz w:val="22"/>
                <w:szCs w:val="22"/>
              </w:rPr>
              <w:t>تاريخ التقديم:</w:t>
            </w:r>
          </w:p>
        </w:tc>
        <w:tc>
          <w:tcPr>
            <w:tcW w:w="3900" w:type="dxa"/>
            <w:tcBorders>
              <w:top w:val="single" w:sz="1" w:space="0" w:color="AAAAAA"/>
              <w:left w:val="single" w:sz="1" w:space="0" w:color="AAAAAA"/>
              <w:bottom w:val="single" w:sz="1" w:space="0" w:color="AAAAAA"/>
              <w:right w:val="single" w:sz="1" w:space="0" w:color="AAAAAA"/>
            </w:tcBorders>
            <w:tcMar>
              <w:top w:w="100" w:type="dxa"/>
              <w:left w:w="140" w:type="dxa"/>
              <w:bottom w:w="100" w:type="dxa"/>
              <w:right w:w="140" w:type="dxa"/>
            </w:tcMar>
          </w:tcPr>
          <w:p w14:paraId="7CE051C6" w14:textId="23C62E01" w:rsidR="00C17795" w:rsidRDefault="00055A7E">
            <w:pPr>
              <w:jc w:val="right"/>
            </w:pPr>
            <w:r>
              <w:rPr>
                <w:rFonts w:ascii="Arial" w:eastAsia="Arial" w:hAnsi="Arial" w:cs="Arial" w:hint="cs"/>
                <w:sz w:val="22"/>
                <w:szCs w:val="22"/>
                <w:rtl/>
              </w:rPr>
              <w:t>30</w:t>
            </w:r>
            <w:r w:rsidR="003E7998">
              <w:rPr>
                <w:rFonts w:ascii="Arial" w:eastAsia="Arial" w:hAnsi="Arial" w:cs="Arial"/>
                <w:sz w:val="22"/>
                <w:szCs w:val="22"/>
              </w:rPr>
              <w:t xml:space="preserve"> </w:t>
            </w:r>
            <w:r>
              <w:rPr>
                <w:rFonts w:ascii="Arial" w:eastAsia="Arial" w:hAnsi="Arial" w:cs="Arial" w:hint="cs"/>
                <w:sz w:val="22"/>
                <w:szCs w:val="22"/>
                <w:rtl/>
              </w:rPr>
              <w:t>يوليو</w:t>
            </w:r>
            <w:r w:rsidR="003E7998">
              <w:rPr>
                <w:rFonts w:ascii="Arial" w:eastAsia="Arial" w:hAnsi="Arial" w:cs="Arial"/>
                <w:sz w:val="22"/>
                <w:szCs w:val="22"/>
              </w:rPr>
              <w:t xml:space="preserve"> 2026</w:t>
            </w:r>
          </w:p>
        </w:tc>
      </w:tr>
    </w:tbl>
    <w:p w14:paraId="64F02B91" w14:textId="77777777" w:rsidR="00C17795" w:rsidRDefault="00C17795">
      <w:pPr>
        <w:sectPr w:rsidR="00C17795">
          <w:footerReference w:type="default" r:id="rId7"/>
          <w:pgSz w:w="11906" w:h="16838"/>
          <w:pgMar w:top="1440" w:right="1440" w:bottom="1440" w:left="1440" w:header="708" w:footer="708" w:gutter="0"/>
          <w:pgBorders>
            <w:top w:val="double" w:sz="12" w:space="24" w:color="1A3A5C"/>
            <w:left w:val="double" w:sz="12" w:space="24" w:color="1A3A5C"/>
            <w:bottom w:val="double" w:sz="12" w:space="24" w:color="1A3A5C"/>
            <w:right w:val="double" w:sz="12" w:space="24" w:color="1A3A5C"/>
          </w:pgBorders>
          <w:cols w:space="720"/>
          <w:docGrid w:linePitch="360"/>
        </w:sectPr>
      </w:pPr>
    </w:p>
    <w:p w14:paraId="6CC4432C"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lastRenderedPageBreak/>
        <w:t>2. المقدمة (الإطار النظري)</w:t>
      </w:r>
    </w:p>
    <w:p w14:paraId="4051E599" w14:textId="77777777" w:rsidR="00C17795" w:rsidRDefault="00000000">
      <w:pPr>
        <w:spacing w:before="80" w:after="120" w:line="320" w:lineRule="auto"/>
        <w:jc w:val="right"/>
      </w:pPr>
      <w:r>
        <w:rPr>
          <w:rFonts w:ascii="Arial" w:eastAsia="Arial" w:hAnsi="Arial" w:cs="Arial"/>
          <w:color w:val="1A1A1A"/>
          <w:sz w:val="22"/>
          <w:szCs w:val="22"/>
        </w:rPr>
        <w:t>تُعدّ البنية التحتية المجتمعية —كالطرق والمدارس والمستشفيات وشبكات المياه والكهرباء— ركيزةً أساسية لتحقيق التنمية المستدامة في أي مجتمع. غير أن كثيراً من الحكومات، لا سيما في الدول النامية، تعاني من شُحّ الموارد المالية اللازمة لتمويل هذه المشاريع، مما يُفضي إلى فجوات واسعة في تقديم الخدمات الأساسية للمواطنين.</w:t>
      </w:r>
    </w:p>
    <w:p w14:paraId="20E1E6BD" w14:textId="77777777" w:rsidR="00C17795" w:rsidRDefault="00000000">
      <w:pPr>
        <w:spacing w:before="80" w:after="120" w:line="320" w:lineRule="auto"/>
        <w:jc w:val="right"/>
      </w:pPr>
      <w:r>
        <w:rPr>
          <w:rFonts w:ascii="Arial" w:eastAsia="Arial" w:hAnsi="Arial" w:cs="Arial"/>
          <w:color w:val="1A1A1A"/>
          <w:sz w:val="22"/>
          <w:szCs w:val="22"/>
        </w:rPr>
        <w:t>في هذا السياق، برزت الشراكات بين الجامعات وقطاع الأعمال بوصفها نموذجاً واعداً لاستقطاب التمويل وتعبئة الموارد نحو مشاريع البنية التحتية. إذ تمتلك الجامعات رأس المال البشري والمعرفي، فيما يمتلك قطاع الأعمال الإمكانات المالية والقدرة على التنفيذ، وهو ما يجعل هذه الشراكة —إن أُحسنت إدارتها— بالغة الأثر في دفع عجلة التنمية المحلية.</w:t>
      </w:r>
    </w:p>
    <w:p w14:paraId="155DB76E" w14:textId="77777777" w:rsidR="00C17795" w:rsidRDefault="00000000">
      <w:pPr>
        <w:spacing w:before="80" w:after="120" w:line="320" w:lineRule="auto"/>
        <w:jc w:val="right"/>
      </w:pPr>
      <w:r>
        <w:rPr>
          <w:rFonts w:ascii="Arial" w:eastAsia="Arial" w:hAnsi="Arial" w:cs="Arial"/>
          <w:color w:val="1A1A1A"/>
          <w:sz w:val="22"/>
          <w:szCs w:val="22"/>
        </w:rPr>
        <w:t>مشكلة البحث: على الرغم من وجود بعض الشراكات بين الجامعات وقطاع الأعمال، يظل الأثر الفعلي لهذه الشراكات على تمويل مشاريع البنية التحتية المجتمعية غامضاً وغير موثّق بصورة كافية، مما يُصعّب صياغة سياسات داعمة أو نماذج قابلة للتكرار.</w:t>
      </w:r>
    </w:p>
    <w:p w14:paraId="4752B779" w14:textId="77777777" w:rsidR="00C17795" w:rsidRDefault="00000000">
      <w:pPr>
        <w:spacing w:before="80" w:after="80" w:line="320" w:lineRule="auto"/>
        <w:jc w:val="right"/>
      </w:pPr>
      <w:r>
        <w:rPr>
          <w:rFonts w:ascii="Arial" w:eastAsia="Arial" w:hAnsi="Arial" w:cs="Arial"/>
          <w:b/>
          <w:bCs/>
          <w:color w:val="1A1A1A"/>
          <w:sz w:val="22"/>
          <w:szCs w:val="22"/>
        </w:rPr>
        <w:t>السؤال الرئيسي: ما تأثير بناء الشراكات بين الجامعات وقطاع الأعمال على تمويل مشاريع البنية التحتية المجتمعية؟</w:t>
      </w:r>
    </w:p>
    <w:p w14:paraId="4B5585DB" w14:textId="77777777" w:rsidR="00C17795" w:rsidRDefault="00000000">
      <w:pPr>
        <w:spacing w:before="80" w:after="60" w:line="320" w:lineRule="auto"/>
        <w:jc w:val="right"/>
      </w:pPr>
      <w:r>
        <w:rPr>
          <w:rFonts w:ascii="Arial" w:eastAsia="Arial" w:hAnsi="Arial" w:cs="Arial"/>
          <w:b/>
          <w:bCs/>
          <w:color w:val="1A1A1A"/>
          <w:sz w:val="22"/>
          <w:szCs w:val="22"/>
        </w:rPr>
        <w:t>الأسئلة الفرعية:</w:t>
      </w:r>
    </w:p>
    <w:p w14:paraId="2AFD07CA"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ما أبرز أشكال الشراكات القائمة بين الجامعات وقطاع الأعمال لتمويل البنية التحتية المجتمعية؟</w:t>
      </w:r>
    </w:p>
    <w:p w14:paraId="48209312"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ما العوامل التي تُعزز فاعلية هذه الشراكات أو تُعيقها؟</w:t>
      </w:r>
    </w:p>
    <w:p w14:paraId="24B6E658"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ما حجم التمويل الذي أسهمت به هذه الشراكات في مشاريع البنية التحتية خلال السنوات الخمس الأخيرة؟</w:t>
      </w:r>
    </w:p>
    <w:p w14:paraId="17AF786A"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كيف يمكن تطوير نموذج شراكة مثالي قابل للتطبيق في البيئة المحلية؟</w:t>
      </w:r>
    </w:p>
    <w:p w14:paraId="41AB480F" w14:textId="77777777" w:rsidR="00C17795" w:rsidRDefault="00C17795">
      <w:pPr>
        <w:spacing w:before="60" w:after="60"/>
      </w:pPr>
    </w:p>
    <w:p w14:paraId="62F84136"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t>3. أهداف البحث</w:t>
      </w:r>
    </w:p>
    <w:p w14:paraId="68EAA5AF" w14:textId="77777777" w:rsidR="00C17795" w:rsidRDefault="00000000">
      <w:pPr>
        <w:spacing w:before="80" w:after="100" w:line="320" w:lineRule="auto"/>
        <w:jc w:val="right"/>
      </w:pPr>
      <w:r>
        <w:rPr>
          <w:rFonts w:ascii="Arial" w:eastAsia="Arial" w:hAnsi="Arial" w:cs="Arial"/>
          <w:color w:val="1A1A1A"/>
          <w:sz w:val="22"/>
          <w:szCs w:val="22"/>
        </w:rPr>
        <w:t>الهدف العام: الكشف عن طبيعة وحجم تأثير الشراكات بين الجامعات وقطاع الأعمال على تمويل مشاريع البنية التحتية المجتمعية، واقتراح توصيات لتعزيزها.</w:t>
      </w:r>
    </w:p>
    <w:p w14:paraId="0CE30817" w14:textId="77777777" w:rsidR="00C17795" w:rsidRDefault="00000000">
      <w:pPr>
        <w:spacing w:before="80" w:after="60" w:line="320" w:lineRule="auto"/>
        <w:jc w:val="right"/>
      </w:pPr>
      <w:r>
        <w:rPr>
          <w:rFonts w:ascii="Arial" w:eastAsia="Arial" w:hAnsi="Arial" w:cs="Arial"/>
          <w:b/>
          <w:bCs/>
          <w:color w:val="1A1A1A"/>
          <w:sz w:val="22"/>
          <w:szCs w:val="22"/>
        </w:rPr>
        <w:t>الأهداف المحددة القابلة للقياس:</w:t>
      </w:r>
    </w:p>
    <w:p w14:paraId="7CBA01D7"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رصد وتصنيف أشكال الشراكات الحالية بين الجامعات وقطاع الأعمال في مجال تمويل البنية التحتية.</w:t>
      </w:r>
    </w:p>
    <w:p w14:paraId="06E58ABF"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قياس مستوى رضا الأطراف المعنية (الجامعات، الشركات، المجتمع) عن نتائج هذه الشراكات.</w:t>
      </w:r>
    </w:p>
    <w:p w14:paraId="2F087B9B"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تحديد المعيقات التي تحول دون توسيع نطاق هذه الشراكات وتمويل مشاريع أكبر.</w:t>
      </w:r>
    </w:p>
    <w:p w14:paraId="737AC851"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المقارنة بين النماذج الناجحة عالمياً والواقع المحلي لاستخلاص دروس مستفادة.</w:t>
      </w:r>
    </w:p>
    <w:p w14:paraId="4863B18E"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اقتراح إطار عمل متكامل لتعزيز الشراكات وتوجيهها نحو تمويل البنية التحتية.</w:t>
      </w:r>
    </w:p>
    <w:p w14:paraId="339F5E3E" w14:textId="77777777" w:rsidR="00C17795" w:rsidRDefault="00C17795">
      <w:pPr>
        <w:spacing w:before="60" w:after="60"/>
      </w:pPr>
    </w:p>
    <w:p w14:paraId="03EF3935"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t>4. مراجعة الأدبيات (الإطار النظري)</w:t>
      </w:r>
    </w:p>
    <w:p w14:paraId="0B726113" w14:textId="77777777" w:rsidR="00C17795" w:rsidRDefault="00000000">
      <w:pPr>
        <w:spacing w:before="80" w:after="40" w:line="320" w:lineRule="auto"/>
        <w:jc w:val="right"/>
      </w:pPr>
      <w:r>
        <w:rPr>
          <w:rFonts w:ascii="Arial" w:eastAsia="Arial" w:hAnsi="Arial" w:cs="Arial"/>
          <w:b/>
          <w:bCs/>
          <w:color w:val="1A1A1A"/>
          <w:sz w:val="22"/>
          <w:szCs w:val="22"/>
        </w:rPr>
        <w:t>أولاً: Etzkowitz &amp; Leydesdorff (2000) — نموذج المثلث الثلاثي (Triple Helix):</w:t>
      </w:r>
    </w:p>
    <w:p w14:paraId="3E02DFEF" w14:textId="77777777" w:rsidR="00C17795" w:rsidRDefault="00000000">
      <w:pPr>
        <w:spacing w:before="80" w:after="100" w:line="320" w:lineRule="auto"/>
        <w:jc w:val="right"/>
      </w:pPr>
      <w:r>
        <w:rPr>
          <w:rFonts w:ascii="Arial" w:eastAsia="Arial" w:hAnsi="Arial" w:cs="Arial"/>
          <w:color w:val="1A1A1A"/>
          <w:sz w:val="22"/>
          <w:szCs w:val="22"/>
        </w:rPr>
        <w:t>قدّم الباحثان نموذجاً يُفسّر العلاقة التكاملية بين الجامعات والحكومة والصناعة في دفع عجلة الابتكار وتمويل التنمية. يُعدّ هذا النموذج الركيزة النظرية الأبرز لفهم ديناميكيات الشراكات موضع البحث.</w:t>
      </w:r>
    </w:p>
    <w:p w14:paraId="0F5598FD" w14:textId="77777777" w:rsidR="00C17795" w:rsidRDefault="00000000">
      <w:pPr>
        <w:spacing w:before="80" w:after="40" w:line="320" w:lineRule="auto"/>
        <w:jc w:val="right"/>
      </w:pPr>
      <w:r>
        <w:rPr>
          <w:rFonts w:ascii="Arial" w:eastAsia="Arial" w:hAnsi="Arial" w:cs="Arial"/>
          <w:b/>
          <w:bCs/>
          <w:color w:val="1A1A1A"/>
          <w:sz w:val="22"/>
          <w:szCs w:val="22"/>
        </w:rPr>
        <w:t>ثانياً: Carayannis &amp; Campbell (2012) — نموذج المثلث الرباعي (Quadruple Helix):</w:t>
      </w:r>
    </w:p>
    <w:p w14:paraId="61DAC81F" w14:textId="77777777" w:rsidR="00C17795" w:rsidRDefault="00000000">
      <w:pPr>
        <w:spacing w:before="80" w:after="100" w:line="320" w:lineRule="auto"/>
        <w:jc w:val="right"/>
      </w:pPr>
      <w:r>
        <w:rPr>
          <w:rFonts w:ascii="Arial" w:eastAsia="Arial" w:hAnsi="Arial" w:cs="Arial"/>
          <w:color w:val="1A1A1A"/>
          <w:sz w:val="22"/>
          <w:szCs w:val="22"/>
        </w:rPr>
        <w:t>طوّر الباحثان النموذج بإضافة المجتمع المدني، مؤكدَين أن الشراكات لا تكتمل دون إشراك المستفيدين المجتمعيين في مراحل التخطيط والتنفيذ.</w:t>
      </w:r>
    </w:p>
    <w:p w14:paraId="213C3F88" w14:textId="77777777" w:rsidR="00C17795" w:rsidRDefault="00000000">
      <w:pPr>
        <w:spacing w:before="80" w:after="40" w:line="320" w:lineRule="auto"/>
        <w:jc w:val="right"/>
      </w:pPr>
      <w:r>
        <w:rPr>
          <w:rFonts w:ascii="Arial" w:eastAsia="Arial" w:hAnsi="Arial" w:cs="Arial"/>
          <w:b/>
          <w:bCs/>
          <w:color w:val="1A1A1A"/>
          <w:sz w:val="22"/>
          <w:szCs w:val="22"/>
        </w:rPr>
        <w:lastRenderedPageBreak/>
        <w:t>ثالثاً: United Nations SDGs (2015):</w:t>
      </w:r>
    </w:p>
    <w:p w14:paraId="1F5DF7F6" w14:textId="77777777" w:rsidR="00C17795" w:rsidRDefault="00000000">
      <w:pPr>
        <w:spacing w:before="80" w:after="100" w:line="320" w:lineRule="auto"/>
        <w:jc w:val="right"/>
      </w:pPr>
      <w:r>
        <w:rPr>
          <w:rFonts w:ascii="Arial" w:eastAsia="Arial" w:hAnsi="Arial" w:cs="Arial"/>
          <w:color w:val="1A1A1A"/>
          <w:sz w:val="22"/>
          <w:szCs w:val="22"/>
        </w:rPr>
        <w:t>حدّد هدف التنمية المستدامة SDG-17 الشراكات متعددة القطاعات آليةً محورية لتحقيق التنمية المستدامة، لا سيما في تمويل البنية التحتية (SDG-9).</w:t>
      </w:r>
    </w:p>
    <w:p w14:paraId="72FE4AA4" w14:textId="77777777" w:rsidR="00C17795" w:rsidRDefault="00000000">
      <w:pPr>
        <w:spacing w:before="80" w:after="40" w:line="320" w:lineRule="auto"/>
        <w:jc w:val="right"/>
      </w:pPr>
      <w:r>
        <w:rPr>
          <w:rFonts w:ascii="Arial" w:eastAsia="Arial" w:hAnsi="Arial" w:cs="Arial"/>
          <w:b/>
          <w:bCs/>
          <w:color w:val="1A1A1A"/>
          <w:sz w:val="22"/>
          <w:szCs w:val="22"/>
        </w:rPr>
        <w:t>رابعاً: Kivistö &amp; Zalyaletdinov (2021):</w:t>
      </w:r>
    </w:p>
    <w:p w14:paraId="20827136" w14:textId="77777777" w:rsidR="00C17795" w:rsidRDefault="00000000">
      <w:pPr>
        <w:spacing w:before="80" w:after="100" w:line="320" w:lineRule="auto"/>
        <w:jc w:val="right"/>
      </w:pPr>
      <w:r>
        <w:rPr>
          <w:rFonts w:ascii="Arial" w:eastAsia="Arial" w:hAnsi="Arial" w:cs="Arial"/>
          <w:color w:val="1A1A1A"/>
          <w:sz w:val="22"/>
          <w:szCs w:val="22"/>
        </w:rPr>
        <w:t>درسا تجارب الشراكات الجامعية-الصناعية في دول الخليج، مُشيرَين إلى أن الثقة المتبادلة والوضوح في العقود من أبرز العوامل المحددة لنجاح هذه الشراكات.</w:t>
      </w:r>
    </w:p>
    <w:p w14:paraId="473DF338" w14:textId="77777777" w:rsidR="00C17795" w:rsidRDefault="00000000">
      <w:pPr>
        <w:spacing w:before="80" w:after="40" w:line="320" w:lineRule="auto"/>
        <w:jc w:val="right"/>
      </w:pPr>
      <w:r>
        <w:rPr>
          <w:rFonts w:ascii="Arial" w:eastAsia="Arial" w:hAnsi="Arial" w:cs="Arial"/>
          <w:b/>
          <w:bCs/>
          <w:color w:val="1A1A1A"/>
          <w:sz w:val="22"/>
          <w:szCs w:val="22"/>
        </w:rPr>
        <w:t>خامساً: Al-Ansari et al. (2023):</w:t>
      </w:r>
    </w:p>
    <w:p w14:paraId="2EA87393" w14:textId="77777777" w:rsidR="00C17795" w:rsidRDefault="00000000">
      <w:pPr>
        <w:spacing w:before="80" w:after="100" w:line="320" w:lineRule="auto"/>
        <w:jc w:val="right"/>
      </w:pPr>
      <w:r>
        <w:rPr>
          <w:rFonts w:ascii="Arial" w:eastAsia="Arial" w:hAnsi="Arial" w:cs="Arial"/>
          <w:color w:val="1A1A1A"/>
          <w:sz w:val="22"/>
          <w:szCs w:val="22"/>
        </w:rPr>
        <w:t>بيّن الباحثون أن الجامعات في دول الشرق الأوسط بدأت تضطلع بدور أكبر في مشاريع التنمية المجتمعية المحلية عبر برامج المسؤولية الاجتماعية للشركات (CSR).</w:t>
      </w:r>
    </w:p>
    <w:p w14:paraId="0F66AC24" w14:textId="77777777" w:rsidR="00C17795" w:rsidRDefault="00000000">
      <w:pPr>
        <w:spacing w:before="80" w:after="120" w:line="320" w:lineRule="auto"/>
        <w:jc w:val="right"/>
      </w:pPr>
      <w:r>
        <w:rPr>
          <w:rFonts w:ascii="Arial" w:eastAsia="Arial" w:hAnsi="Arial" w:cs="Arial"/>
          <w:color w:val="1A1A1A"/>
          <w:sz w:val="22"/>
          <w:szCs w:val="22"/>
        </w:rPr>
        <w:t>الفجوة البحثية: تُركّز معظم الدراسات السابقة على الشراكات في سياقات البحث والابتكار التقني، بينما يظل الأثر المباشر لهذه الشراكات على تمويل مشاريع البنية التحتية المجتمعية في السياق المحلي لجزر القمر غير مُستكشَف كفايةً، وهو ما يسعى هذا البحث إلى سدّه.</w:t>
      </w:r>
    </w:p>
    <w:p w14:paraId="70E69D78" w14:textId="77777777" w:rsidR="00C17795" w:rsidRDefault="00C17795">
      <w:pPr>
        <w:spacing w:before="60" w:after="60"/>
      </w:pPr>
    </w:p>
    <w:p w14:paraId="5A33EDDE"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t>5. منهجية البحث</w:t>
      </w:r>
    </w:p>
    <w:p w14:paraId="15393F6F" w14:textId="77777777" w:rsidR="00C17795" w:rsidRDefault="00000000">
      <w:pPr>
        <w:spacing w:before="80" w:after="100" w:line="320" w:lineRule="auto"/>
        <w:jc w:val="right"/>
      </w:pPr>
      <w:r>
        <w:rPr>
          <w:rFonts w:ascii="Arial" w:eastAsia="Arial" w:hAnsi="Arial" w:cs="Arial"/>
          <w:color w:val="1A1A1A"/>
          <w:sz w:val="22"/>
          <w:szCs w:val="22"/>
        </w:rPr>
        <w:t>المنهجية المُعتمدة: المنهجية المختلطة (Mixed Methods Approach)، إذ تجمع بين الكمّي والنوعي لاستيعاب الظاهرة المُدروسة بشمولية.</w:t>
      </w:r>
    </w:p>
    <w:p w14:paraId="50433A5F" w14:textId="77777777" w:rsidR="00C17795" w:rsidRDefault="00000000">
      <w:pPr>
        <w:spacing w:before="80" w:after="100" w:line="320" w:lineRule="auto"/>
        <w:jc w:val="right"/>
      </w:pPr>
      <w:r>
        <w:rPr>
          <w:rFonts w:ascii="Arial" w:eastAsia="Arial" w:hAnsi="Arial" w:cs="Arial"/>
          <w:color w:val="1A1A1A"/>
          <w:sz w:val="22"/>
          <w:szCs w:val="22"/>
        </w:rPr>
        <w:t>طريقة البحث: المسح الميداني (Survey) لجمع البيانات الكمية، مدعوماً بدراسة الحالة (Case Study) لعدد من الشراكات القائمة.</w:t>
      </w:r>
    </w:p>
    <w:p w14:paraId="3E233F6E" w14:textId="77777777" w:rsidR="00C17795" w:rsidRDefault="00000000">
      <w:pPr>
        <w:spacing w:before="80" w:after="60" w:line="320" w:lineRule="auto"/>
        <w:jc w:val="right"/>
      </w:pPr>
      <w:r>
        <w:rPr>
          <w:rFonts w:ascii="Arial" w:eastAsia="Arial" w:hAnsi="Arial" w:cs="Arial"/>
          <w:b/>
          <w:bCs/>
          <w:color w:val="1A1A1A"/>
          <w:sz w:val="22"/>
          <w:szCs w:val="22"/>
        </w:rPr>
        <w:t>تقنيات جمع البيانات:</w:t>
      </w:r>
    </w:p>
    <w:p w14:paraId="69452E88"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الاستبانة الإلكترونية: موجّهة لمدراء الشراكات في الجامعات وممثلي الشركات.</w:t>
      </w:r>
    </w:p>
    <w:p w14:paraId="1E1713DD"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المقابلات شبه المنظّمة: مع صانعي القرار في الطرفين لاستجلاء العوامل النوعية.</w:t>
      </w:r>
    </w:p>
    <w:p w14:paraId="7661D3CF"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تحليل الوثائق: مراجعة اتفاقيات الشراكة والتقارير المالية المتاحة.</w:t>
      </w:r>
    </w:p>
    <w:p w14:paraId="220793D4" w14:textId="77777777" w:rsidR="00C17795" w:rsidRDefault="00000000">
      <w:pPr>
        <w:pStyle w:val="ListParagraph"/>
        <w:numPr>
          <w:ilvl w:val="0"/>
          <w:numId w:val="2"/>
        </w:numPr>
        <w:bidi/>
        <w:spacing w:before="60" w:after="60" w:line="300" w:lineRule="auto"/>
        <w:jc w:val="right"/>
      </w:pPr>
      <w:r>
        <w:rPr>
          <w:rFonts w:ascii="Arial" w:eastAsia="Arial" w:hAnsi="Arial" w:cs="Arial"/>
          <w:color w:val="1A1A1A"/>
          <w:sz w:val="22"/>
          <w:szCs w:val="22"/>
        </w:rPr>
        <w:t>الملاحظة الميدانية: لمشاريع البنية التحتية الممولة عبر شراكات قائمة.</w:t>
      </w:r>
    </w:p>
    <w:p w14:paraId="17BEE796" w14:textId="77777777" w:rsidR="00C17795" w:rsidRDefault="00000000">
      <w:pPr>
        <w:spacing w:before="80" w:after="120" w:line="320" w:lineRule="auto"/>
        <w:jc w:val="right"/>
      </w:pPr>
      <w:r>
        <w:rPr>
          <w:rFonts w:ascii="Arial" w:eastAsia="Arial" w:hAnsi="Arial" w:cs="Arial"/>
          <w:color w:val="1A1A1A"/>
          <w:sz w:val="22"/>
          <w:szCs w:val="22"/>
        </w:rPr>
        <w:t>أدوات البحث: استمارة الاستبانة، ودليل المقابلة، وبطاقة الملاحظة.</w:t>
      </w:r>
    </w:p>
    <w:p w14:paraId="11C7287B" w14:textId="77777777" w:rsidR="00C17795" w:rsidRDefault="00C17795">
      <w:pPr>
        <w:spacing w:before="60" w:after="60"/>
      </w:pPr>
    </w:p>
    <w:p w14:paraId="2068B8FF"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t>6. العينة وحدود البحث</w:t>
      </w:r>
    </w:p>
    <w:p w14:paraId="6C8DDEF5" w14:textId="77777777" w:rsidR="00C17795" w:rsidRDefault="00000000">
      <w:pPr>
        <w:spacing w:before="80" w:after="100" w:line="320" w:lineRule="auto"/>
        <w:jc w:val="right"/>
      </w:pPr>
      <w:r>
        <w:rPr>
          <w:rFonts w:ascii="Arial" w:eastAsia="Arial" w:hAnsi="Arial" w:cs="Arial"/>
          <w:color w:val="1A1A1A"/>
          <w:sz w:val="22"/>
          <w:szCs w:val="22"/>
        </w:rPr>
        <w:t>مجتمع الدراسة: الجامعات العاملة في جزر القمر والشركات والمؤسسات التجارية التي أبرمت أو تدرس إبرام شراكات مع هذه الجامعات لتمويل مشاريع مجتمعية.</w:t>
      </w:r>
    </w:p>
    <w:p w14:paraId="19AF526B" w14:textId="77777777" w:rsidR="00C17795" w:rsidRDefault="00000000">
      <w:pPr>
        <w:spacing w:before="80" w:after="100" w:line="320" w:lineRule="auto"/>
        <w:jc w:val="right"/>
      </w:pPr>
      <w:r>
        <w:rPr>
          <w:rFonts w:ascii="Arial" w:eastAsia="Arial" w:hAnsi="Arial" w:cs="Arial"/>
          <w:color w:val="1A1A1A"/>
          <w:sz w:val="22"/>
          <w:szCs w:val="22"/>
        </w:rPr>
        <w:t>نوع العينة وحجمها: العينة العمدية (Purposive Sampling) لانتقاء المشاركين الأكثر معرفةً بالموضوع، ويُقدَّر حجمها بـ 80-120 مشاركاً في الاستبانة، و15-20 مشاركاً في المقابلات.</w:t>
      </w:r>
    </w:p>
    <w:p w14:paraId="75F99E9F" w14:textId="77777777" w:rsidR="00C17795" w:rsidRDefault="00000000">
      <w:pPr>
        <w:spacing w:before="80" w:after="100" w:line="320" w:lineRule="auto"/>
        <w:jc w:val="right"/>
      </w:pPr>
      <w:r>
        <w:rPr>
          <w:rFonts w:ascii="Arial" w:eastAsia="Arial" w:hAnsi="Arial" w:cs="Arial"/>
          <w:color w:val="1A1A1A"/>
          <w:sz w:val="22"/>
          <w:szCs w:val="22"/>
        </w:rPr>
        <w:t>الحدود الزمنية: الفترة 2021-2026، مع التركيز على الشراكات المنشأة أو المُوسّعة خلالها.</w:t>
      </w:r>
    </w:p>
    <w:p w14:paraId="04472C1B" w14:textId="77777777" w:rsidR="00C17795" w:rsidRDefault="00000000">
      <w:pPr>
        <w:spacing w:before="80" w:after="100" w:line="320" w:lineRule="auto"/>
        <w:jc w:val="right"/>
      </w:pPr>
      <w:r>
        <w:rPr>
          <w:rFonts w:ascii="Arial" w:eastAsia="Arial" w:hAnsi="Arial" w:cs="Arial"/>
          <w:color w:val="1A1A1A"/>
          <w:sz w:val="22"/>
          <w:szCs w:val="22"/>
        </w:rPr>
        <w:t>الحدود المكانية: الجامعات والمؤسسات التجارية العاملة في نطاق جزر القمر ودول المنطقة المباشرة.</w:t>
      </w:r>
    </w:p>
    <w:p w14:paraId="3973C254" w14:textId="77777777" w:rsidR="00C17795" w:rsidRDefault="00000000">
      <w:pPr>
        <w:spacing w:before="80" w:after="120" w:line="320" w:lineRule="auto"/>
        <w:jc w:val="right"/>
      </w:pPr>
      <w:r>
        <w:rPr>
          <w:rFonts w:ascii="Arial" w:eastAsia="Arial" w:hAnsi="Arial" w:cs="Arial"/>
          <w:color w:val="1A1A1A"/>
          <w:sz w:val="22"/>
          <w:szCs w:val="22"/>
        </w:rPr>
        <w:t>القيود المتوقعة: صعوبة الوصول إلى بيانات مالية مفصّلة نظراً لحساسيتها، وتفاوت مستوى التوثيق بين الشراكات.</w:t>
      </w:r>
    </w:p>
    <w:p w14:paraId="28F2E509" w14:textId="77777777" w:rsidR="00C17795" w:rsidRDefault="00C17795">
      <w:pPr>
        <w:spacing w:before="60" w:after="60"/>
      </w:pPr>
    </w:p>
    <w:p w14:paraId="09495FEB"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lastRenderedPageBreak/>
        <w:t>7. الاعتبارات الأخلاقية</w:t>
      </w:r>
    </w:p>
    <w:p w14:paraId="5EF15F16" w14:textId="77777777" w:rsidR="00C17795" w:rsidRDefault="00000000">
      <w:pPr>
        <w:spacing w:before="80" w:after="100" w:line="320" w:lineRule="auto"/>
        <w:jc w:val="right"/>
      </w:pPr>
      <w:r>
        <w:rPr>
          <w:rFonts w:ascii="Arial" w:eastAsia="Arial" w:hAnsi="Arial" w:cs="Arial"/>
          <w:color w:val="1A1A1A"/>
          <w:sz w:val="22"/>
          <w:szCs w:val="22"/>
        </w:rPr>
        <w:t>الموافقة المسبقة: سيحصل الباحث على موافقة خطية مسبقة (Informed Consent) من جميع المشاركين قبل إجراء المقابلات أو توزيع الاستبانات، مع إيضاح أهداف البحث وطريقة استخدام البيانات.</w:t>
      </w:r>
    </w:p>
    <w:p w14:paraId="6CD9A8FB" w14:textId="77777777" w:rsidR="00C17795" w:rsidRDefault="00000000">
      <w:pPr>
        <w:spacing w:before="80" w:after="100" w:line="320" w:lineRule="auto"/>
        <w:jc w:val="right"/>
      </w:pPr>
      <w:r>
        <w:rPr>
          <w:rFonts w:ascii="Arial" w:eastAsia="Arial" w:hAnsi="Arial" w:cs="Arial"/>
          <w:color w:val="1A1A1A"/>
          <w:sz w:val="22"/>
          <w:szCs w:val="22"/>
        </w:rPr>
        <w:t>السرية والخصوصية: ستُعالَج البيانات الشخصية باسم مُستعار أو بصورة مُجمَّعة، ولن تُكشَف هوية أي مشارك دون موافقته الصريحة. وستُحفظ الملفات في بيئة رقمية آمنة.</w:t>
      </w:r>
    </w:p>
    <w:p w14:paraId="753484CA" w14:textId="77777777" w:rsidR="00C17795" w:rsidRDefault="00000000">
      <w:pPr>
        <w:spacing w:before="80" w:after="100" w:line="320" w:lineRule="auto"/>
        <w:jc w:val="right"/>
      </w:pPr>
      <w:r>
        <w:rPr>
          <w:rFonts w:ascii="Arial" w:eastAsia="Arial" w:hAnsi="Arial" w:cs="Arial"/>
          <w:color w:val="1A1A1A"/>
          <w:sz w:val="22"/>
          <w:szCs w:val="22"/>
        </w:rPr>
        <w:t>حق الانسحاب: يُكفَل لكل مشارك حق الانسحاب من الدراسة في أي وقت دون أي تبعات.</w:t>
      </w:r>
    </w:p>
    <w:p w14:paraId="7AD730E4" w14:textId="77777777" w:rsidR="00C17795" w:rsidRDefault="00000000">
      <w:pPr>
        <w:spacing w:before="80" w:after="120" w:line="320" w:lineRule="auto"/>
        <w:jc w:val="right"/>
      </w:pPr>
      <w:r>
        <w:rPr>
          <w:rFonts w:ascii="Arial" w:eastAsia="Arial" w:hAnsi="Arial" w:cs="Arial"/>
          <w:color w:val="1A1A1A"/>
          <w:sz w:val="22"/>
          <w:szCs w:val="22"/>
        </w:rPr>
        <w:t>تضارب المصالح: لا يرتبط الباحث بأي من الجهات موضع الدراسة، مما يُعزز الموضوعية والحياد.</w:t>
      </w:r>
    </w:p>
    <w:p w14:paraId="2C7B903E" w14:textId="77777777" w:rsidR="00C17795" w:rsidRDefault="00C17795">
      <w:pPr>
        <w:spacing w:before="60" w:after="60"/>
      </w:pPr>
    </w:p>
    <w:p w14:paraId="1B596647"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t>8. الجدول الزمني لتنفيذ الدراسة التطبيقية</w:t>
      </w:r>
    </w:p>
    <w:tbl>
      <w:tblPr>
        <w:tblW w:w="902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2256"/>
        <w:gridCol w:w="2257"/>
      </w:tblGrid>
      <w:tr w:rsidR="00C17795" w14:paraId="062F9042" w14:textId="77777777">
        <w:tc>
          <w:tcPr>
            <w:tcW w:w="45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FB57DC5" w14:textId="77777777" w:rsidR="00C17795" w:rsidRDefault="00000000">
            <w:pPr>
              <w:jc w:val="center"/>
            </w:pPr>
            <w:r>
              <w:rPr>
                <w:rFonts w:ascii="Arial" w:eastAsia="Arial" w:hAnsi="Arial" w:cs="Arial"/>
                <w:b/>
                <w:bCs/>
                <w:color w:val="FFFFFF"/>
                <w:sz w:val="22"/>
                <w:szCs w:val="22"/>
              </w:rPr>
              <w:t>النشاط</w:t>
            </w:r>
          </w:p>
        </w:tc>
        <w:tc>
          <w:tcPr>
            <w:tcW w:w="225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0A6CF74" w14:textId="77777777" w:rsidR="00C17795" w:rsidRDefault="00000000">
            <w:pPr>
              <w:jc w:val="center"/>
            </w:pPr>
            <w:r>
              <w:rPr>
                <w:rFonts w:ascii="Arial" w:eastAsia="Arial" w:hAnsi="Arial" w:cs="Arial"/>
                <w:b/>
                <w:bCs/>
                <w:color w:val="FFFFFF"/>
                <w:sz w:val="22"/>
                <w:szCs w:val="22"/>
              </w:rPr>
              <w:t>المدة</w:t>
            </w:r>
          </w:p>
        </w:tc>
        <w:tc>
          <w:tcPr>
            <w:tcW w:w="2257"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71434D" w14:textId="77777777" w:rsidR="00C17795" w:rsidRDefault="00000000">
            <w:pPr>
              <w:jc w:val="center"/>
            </w:pPr>
            <w:r>
              <w:rPr>
                <w:rFonts w:ascii="Arial" w:eastAsia="Arial" w:hAnsi="Arial" w:cs="Arial"/>
                <w:b/>
                <w:bCs/>
                <w:color w:val="FFFFFF"/>
                <w:sz w:val="22"/>
                <w:szCs w:val="22"/>
              </w:rPr>
              <w:t>الشهر</w:t>
            </w:r>
          </w:p>
        </w:tc>
      </w:tr>
      <w:tr w:rsidR="00C17795" w14:paraId="28DB2FFC" w14:textId="77777777">
        <w:tc>
          <w:tcPr>
            <w:tcW w:w="4513"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9BDE431" w14:textId="77777777" w:rsidR="00C17795" w:rsidRDefault="00000000">
            <w:pPr>
              <w:jc w:val="right"/>
            </w:pPr>
            <w:r>
              <w:rPr>
                <w:rFonts w:ascii="Arial" w:eastAsia="Arial" w:hAnsi="Arial" w:cs="Arial"/>
                <w:sz w:val="21"/>
                <w:szCs w:val="21"/>
              </w:rPr>
              <w:t>مراجعة الأدب وتطوير أدوات جمع البيانات</w:t>
            </w:r>
          </w:p>
        </w:tc>
        <w:tc>
          <w:tcPr>
            <w:tcW w:w="225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E81470" w14:textId="77777777" w:rsidR="00C17795" w:rsidRDefault="00000000">
            <w:pPr>
              <w:jc w:val="center"/>
            </w:pPr>
            <w:r>
              <w:rPr>
                <w:rFonts w:ascii="Arial" w:eastAsia="Arial" w:hAnsi="Arial" w:cs="Arial"/>
                <w:sz w:val="21"/>
                <w:szCs w:val="21"/>
              </w:rPr>
              <w:t>شهر واحد</w:t>
            </w:r>
          </w:p>
        </w:tc>
        <w:tc>
          <w:tcPr>
            <w:tcW w:w="225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664ECBF" w14:textId="77777777" w:rsidR="00C17795" w:rsidRDefault="00000000">
            <w:pPr>
              <w:jc w:val="center"/>
            </w:pPr>
            <w:r>
              <w:rPr>
                <w:rFonts w:ascii="Arial" w:eastAsia="Arial" w:hAnsi="Arial" w:cs="Arial"/>
                <w:sz w:val="21"/>
                <w:szCs w:val="21"/>
              </w:rPr>
              <w:t>الشهر 1</w:t>
            </w:r>
          </w:p>
        </w:tc>
      </w:tr>
      <w:tr w:rsidR="00C17795" w14:paraId="11FD152B" w14:textId="77777777">
        <w:tc>
          <w:tcPr>
            <w:tcW w:w="4513" w:type="dxa"/>
            <w:tcBorders>
              <w:top w:val="single" w:sz="1" w:space="0" w:color="AAAAAA"/>
              <w:left w:val="single" w:sz="1" w:space="0" w:color="AAAAAA"/>
              <w:bottom w:val="single" w:sz="1" w:space="0" w:color="AAAAAA"/>
              <w:right w:val="single" w:sz="1" w:space="0" w:color="AAAAAA"/>
            </w:tcBorders>
            <w:shd w:val="clear" w:color="auto" w:fill="EBF1F8"/>
            <w:tcMar>
              <w:top w:w="80" w:type="dxa"/>
              <w:left w:w="120" w:type="dxa"/>
              <w:bottom w:w="80" w:type="dxa"/>
              <w:right w:w="120" w:type="dxa"/>
            </w:tcMar>
          </w:tcPr>
          <w:p w14:paraId="7BCC8CCB" w14:textId="77777777" w:rsidR="00C17795" w:rsidRDefault="00000000">
            <w:pPr>
              <w:jc w:val="right"/>
            </w:pPr>
            <w:r>
              <w:rPr>
                <w:rFonts w:ascii="Arial" w:eastAsia="Arial" w:hAnsi="Arial" w:cs="Arial"/>
                <w:sz w:val="21"/>
                <w:szCs w:val="21"/>
              </w:rPr>
              <w:t>تصميم الاستبانة وإجراء المقابلات التجريبية</w:t>
            </w:r>
          </w:p>
        </w:tc>
        <w:tc>
          <w:tcPr>
            <w:tcW w:w="2256" w:type="dxa"/>
            <w:tcBorders>
              <w:top w:val="single" w:sz="1" w:space="0" w:color="AAAAAA"/>
              <w:left w:val="single" w:sz="1" w:space="0" w:color="AAAAAA"/>
              <w:bottom w:val="single" w:sz="1" w:space="0" w:color="AAAAAA"/>
              <w:right w:val="single" w:sz="1" w:space="0" w:color="AAAAAA"/>
            </w:tcBorders>
            <w:shd w:val="clear" w:color="auto" w:fill="EBF1F8"/>
            <w:tcMar>
              <w:top w:w="80" w:type="dxa"/>
              <w:left w:w="120" w:type="dxa"/>
              <w:bottom w:w="80" w:type="dxa"/>
              <w:right w:w="120" w:type="dxa"/>
            </w:tcMar>
          </w:tcPr>
          <w:p w14:paraId="71423510" w14:textId="77777777" w:rsidR="00C17795" w:rsidRDefault="00000000">
            <w:pPr>
              <w:jc w:val="center"/>
            </w:pPr>
            <w:r>
              <w:rPr>
                <w:rFonts w:ascii="Arial" w:eastAsia="Arial" w:hAnsi="Arial" w:cs="Arial"/>
                <w:sz w:val="21"/>
                <w:szCs w:val="21"/>
              </w:rPr>
              <w:t>شهر واحد</w:t>
            </w:r>
          </w:p>
        </w:tc>
        <w:tc>
          <w:tcPr>
            <w:tcW w:w="2257" w:type="dxa"/>
            <w:tcBorders>
              <w:top w:val="single" w:sz="1" w:space="0" w:color="AAAAAA"/>
              <w:left w:val="single" w:sz="1" w:space="0" w:color="AAAAAA"/>
              <w:bottom w:val="single" w:sz="1" w:space="0" w:color="AAAAAA"/>
              <w:right w:val="single" w:sz="1" w:space="0" w:color="AAAAAA"/>
            </w:tcBorders>
            <w:shd w:val="clear" w:color="auto" w:fill="EBF1F8"/>
            <w:tcMar>
              <w:top w:w="80" w:type="dxa"/>
              <w:left w:w="120" w:type="dxa"/>
              <w:bottom w:w="80" w:type="dxa"/>
              <w:right w:w="120" w:type="dxa"/>
            </w:tcMar>
          </w:tcPr>
          <w:p w14:paraId="13FAA79E" w14:textId="77777777" w:rsidR="00C17795" w:rsidRDefault="00000000">
            <w:pPr>
              <w:jc w:val="center"/>
            </w:pPr>
            <w:r>
              <w:rPr>
                <w:rFonts w:ascii="Arial" w:eastAsia="Arial" w:hAnsi="Arial" w:cs="Arial"/>
                <w:sz w:val="21"/>
                <w:szCs w:val="21"/>
              </w:rPr>
              <w:t>الشهر 2</w:t>
            </w:r>
          </w:p>
        </w:tc>
      </w:tr>
      <w:tr w:rsidR="00C17795" w14:paraId="419A7254" w14:textId="77777777">
        <w:tc>
          <w:tcPr>
            <w:tcW w:w="4513"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21D203" w14:textId="77777777" w:rsidR="00C17795" w:rsidRDefault="00000000">
            <w:pPr>
              <w:jc w:val="right"/>
            </w:pPr>
            <w:r>
              <w:rPr>
                <w:rFonts w:ascii="Arial" w:eastAsia="Arial" w:hAnsi="Arial" w:cs="Arial"/>
                <w:sz w:val="21"/>
                <w:szCs w:val="21"/>
              </w:rPr>
              <w:t>توزيع الاستبانة وإجراء المقابلات الميدانية</w:t>
            </w:r>
          </w:p>
        </w:tc>
        <w:tc>
          <w:tcPr>
            <w:tcW w:w="225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828A30" w14:textId="77777777" w:rsidR="00C17795" w:rsidRDefault="00000000">
            <w:pPr>
              <w:jc w:val="center"/>
            </w:pPr>
            <w:r>
              <w:rPr>
                <w:rFonts w:ascii="Arial" w:eastAsia="Arial" w:hAnsi="Arial" w:cs="Arial"/>
                <w:sz w:val="21"/>
                <w:szCs w:val="21"/>
              </w:rPr>
              <w:t>شهران</w:t>
            </w:r>
          </w:p>
        </w:tc>
        <w:tc>
          <w:tcPr>
            <w:tcW w:w="225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3FC501E" w14:textId="77777777" w:rsidR="00C17795" w:rsidRDefault="00000000">
            <w:pPr>
              <w:jc w:val="center"/>
            </w:pPr>
            <w:r>
              <w:rPr>
                <w:rFonts w:ascii="Arial" w:eastAsia="Arial" w:hAnsi="Arial" w:cs="Arial"/>
                <w:sz w:val="21"/>
                <w:szCs w:val="21"/>
              </w:rPr>
              <w:t>الشهران 3-4</w:t>
            </w:r>
          </w:p>
        </w:tc>
      </w:tr>
      <w:tr w:rsidR="00C17795" w14:paraId="4E138B3B" w14:textId="77777777">
        <w:tc>
          <w:tcPr>
            <w:tcW w:w="4513" w:type="dxa"/>
            <w:tcBorders>
              <w:top w:val="single" w:sz="1" w:space="0" w:color="AAAAAA"/>
              <w:left w:val="single" w:sz="1" w:space="0" w:color="AAAAAA"/>
              <w:bottom w:val="single" w:sz="1" w:space="0" w:color="AAAAAA"/>
              <w:right w:val="single" w:sz="1" w:space="0" w:color="AAAAAA"/>
            </w:tcBorders>
            <w:shd w:val="clear" w:color="auto" w:fill="EBF1F8"/>
            <w:tcMar>
              <w:top w:w="80" w:type="dxa"/>
              <w:left w:w="120" w:type="dxa"/>
              <w:bottom w:w="80" w:type="dxa"/>
              <w:right w:w="120" w:type="dxa"/>
            </w:tcMar>
          </w:tcPr>
          <w:p w14:paraId="5D20DBC7" w14:textId="77777777" w:rsidR="00C17795" w:rsidRDefault="00000000">
            <w:pPr>
              <w:jc w:val="right"/>
            </w:pPr>
            <w:r>
              <w:rPr>
                <w:rFonts w:ascii="Arial" w:eastAsia="Arial" w:hAnsi="Arial" w:cs="Arial"/>
                <w:sz w:val="21"/>
                <w:szCs w:val="21"/>
              </w:rPr>
              <w:t>تحليل البيانات الكمية والنوعية</w:t>
            </w:r>
          </w:p>
        </w:tc>
        <w:tc>
          <w:tcPr>
            <w:tcW w:w="2256" w:type="dxa"/>
            <w:tcBorders>
              <w:top w:val="single" w:sz="1" w:space="0" w:color="AAAAAA"/>
              <w:left w:val="single" w:sz="1" w:space="0" w:color="AAAAAA"/>
              <w:bottom w:val="single" w:sz="1" w:space="0" w:color="AAAAAA"/>
              <w:right w:val="single" w:sz="1" w:space="0" w:color="AAAAAA"/>
            </w:tcBorders>
            <w:shd w:val="clear" w:color="auto" w:fill="EBF1F8"/>
            <w:tcMar>
              <w:top w:w="80" w:type="dxa"/>
              <w:left w:w="120" w:type="dxa"/>
              <w:bottom w:w="80" w:type="dxa"/>
              <w:right w:w="120" w:type="dxa"/>
            </w:tcMar>
          </w:tcPr>
          <w:p w14:paraId="509C4446" w14:textId="77777777" w:rsidR="00C17795" w:rsidRDefault="00000000">
            <w:pPr>
              <w:jc w:val="center"/>
            </w:pPr>
            <w:r>
              <w:rPr>
                <w:rFonts w:ascii="Arial" w:eastAsia="Arial" w:hAnsi="Arial" w:cs="Arial"/>
                <w:sz w:val="21"/>
                <w:szCs w:val="21"/>
              </w:rPr>
              <w:t>شهر واحد</w:t>
            </w:r>
          </w:p>
        </w:tc>
        <w:tc>
          <w:tcPr>
            <w:tcW w:w="2257" w:type="dxa"/>
            <w:tcBorders>
              <w:top w:val="single" w:sz="1" w:space="0" w:color="AAAAAA"/>
              <w:left w:val="single" w:sz="1" w:space="0" w:color="AAAAAA"/>
              <w:bottom w:val="single" w:sz="1" w:space="0" w:color="AAAAAA"/>
              <w:right w:val="single" w:sz="1" w:space="0" w:color="AAAAAA"/>
            </w:tcBorders>
            <w:shd w:val="clear" w:color="auto" w:fill="EBF1F8"/>
            <w:tcMar>
              <w:top w:w="80" w:type="dxa"/>
              <w:left w:w="120" w:type="dxa"/>
              <w:bottom w:w="80" w:type="dxa"/>
              <w:right w:w="120" w:type="dxa"/>
            </w:tcMar>
          </w:tcPr>
          <w:p w14:paraId="15F40940" w14:textId="77777777" w:rsidR="00C17795" w:rsidRDefault="00000000">
            <w:pPr>
              <w:jc w:val="center"/>
            </w:pPr>
            <w:r>
              <w:rPr>
                <w:rFonts w:ascii="Arial" w:eastAsia="Arial" w:hAnsi="Arial" w:cs="Arial"/>
                <w:sz w:val="21"/>
                <w:szCs w:val="21"/>
              </w:rPr>
              <w:t>الشهر 5</w:t>
            </w:r>
          </w:p>
        </w:tc>
      </w:tr>
      <w:tr w:rsidR="00C17795" w14:paraId="73AE0168" w14:textId="77777777">
        <w:tc>
          <w:tcPr>
            <w:tcW w:w="4513"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ED12C00" w14:textId="77777777" w:rsidR="00C17795" w:rsidRDefault="00000000">
            <w:pPr>
              <w:jc w:val="right"/>
            </w:pPr>
            <w:r>
              <w:rPr>
                <w:rFonts w:ascii="Arial" w:eastAsia="Arial" w:hAnsi="Arial" w:cs="Arial"/>
                <w:sz w:val="21"/>
                <w:szCs w:val="21"/>
              </w:rPr>
              <w:t>كتابة التقرير النهائي ومراجعته وتقديمه</w:t>
            </w:r>
          </w:p>
        </w:tc>
        <w:tc>
          <w:tcPr>
            <w:tcW w:w="225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91E67A" w14:textId="77777777" w:rsidR="00C17795" w:rsidRDefault="00000000">
            <w:pPr>
              <w:jc w:val="center"/>
            </w:pPr>
            <w:r>
              <w:rPr>
                <w:rFonts w:ascii="Arial" w:eastAsia="Arial" w:hAnsi="Arial" w:cs="Arial"/>
                <w:sz w:val="21"/>
                <w:szCs w:val="21"/>
              </w:rPr>
              <w:t>شهر واحد</w:t>
            </w:r>
          </w:p>
        </w:tc>
        <w:tc>
          <w:tcPr>
            <w:tcW w:w="225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D438E12" w14:textId="77777777" w:rsidR="00C17795" w:rsidRDefault="00000000">
            <w:pPr>
              <w:jc w:val="center"/>
            </w:pPr>
            <w:r>
              <w:rPr>
                <w:rFonts w:ascii="Arial" w:eastAsia="Arial" w:hAnsi="Arial" w:cs="Arial"/>
                <w:sz w:val="21"/>
                <w:szCs w:val="21"/>
              </w:rPr>
              <w:t>الشهر 6</w:t>
            </w:r>
          </w:p>
        </w:tc>
      </w:tr>
    </w:tbl>
    <w:p w14:paraId="7578EDD0" w14:textId="77777777" w:rsidR="00C17795" w:rsidRDefault="00C17795">
      <w:pPr>
        <w:spacing w:before="120" w:after="120"/>
      </w:pPr>
    </w:p>
    <w:p w14:paraId="3B482825" w14:textId="77777777" w:rsidR="00C17795" w:rsidRDefault="00000000">
      <w:pPr>
        <w:pBdr>
          <w:bottom w:val="single" w:sz="6" w:space="4" w:color="1A3A5C"/>
        </w:pBdr>
        <w:spacing w:before="260" w:after="140"/>
        <w:jc w:val="right"/>
      </w:pPr>
      <w:r>
        <w:rPr>
          <w:rFonts w:ascii="Arial" w:eastAsia="Arial" w:hAnsi="Arial" w:cs="Arial"/>
          <w:b/>
          <w:bCs/>
          <w:color w:val="1A3A5C"/>
          <w:sz w:val="28"/>
          <w:szCs w:val="28"/>
        </w:rPr>
        <w:t>9. المراجع</w:t>
      </w:r>
    </w:p>
    <w:p w14:paraId="5A38D65A" w14:textId="77777777" w:rsidR="00C17795" w:rsidRDefault="00000000">
      <w:pPr>
        <w:spacing w:before="80" w:after="80" w:line="320" w:lineRule="auto"/>
        <w:jc w:val="right"/>
      </w:pPr>
      <w:r>
        <w:rPr>
          <w:rFonts w:ascii="Arial" w:eastAsia="Arial" w:hAnsi="Arial" w:cs="Arial"/>
          <w:color w:val="1A1A1A"/>
          <w:sz w:val="22"/>
          <w:szCs w:val="22"/>
        </w:rPr>
        <w:t>Al-Ansari, M., Hassan, A., &amp; Omar, R. (2023). University-industry partnerships and community development in the Middle East: A systematic review. Journal of Higher Education Policy, 14(2), 112-134.</w:t>
      </w:r>
    </w:p>
    <w:p w14:paraId="51841C67" w14:textId="77777777" w:rsidR="00C17795" w:rsidRDefault="00000000">
      <w:pPr>
        <w:spacing w:before="80" w:after="80" w:line="320" w:lineRule="auto"/>
        <w:jc w:val="right"/>
      </w:pPr>
      <w:r>
        <w:rPr>
          <w:rFonts w:ascii="Arial" w:eastAsia="Arial" w:hAnsi="Arial" w:cs="Arial"/>
          <w:color w:val="1A1A1A"/>
          <w:sz w:val="22"/>
          <w:szCs w:val="22"/>
        </w:rPr>
        <w:t>Carayannis, E. G., &amp; Campbell, D. F. (2012). Mode 3 Knowledge Production in Quadruple Helix Innovation Systems. Springer.</w:t>
      </w:r>
    </w:p>
    <w:p w14:paraId="54426FDC" w14:textId="77777777" w:rsidR="00C17795" w:rsidRDefault="00000000">
      <w:pPr>
        <w:spacing w:before="80" w:after="80" w:line="320" w:lineRule="auto"/>
        <w:jc w:val="right"/>
      </w:pPr>
      <w:r>
        <w:rPr>
          <w:rFonts w:ascii="Arial" w:eastAsia="Arial" w:hAnsi="Arial" w:cs="Arial"/>
          <w:color w:val="1A1A1A"/>
          <w:sz w:val="22"/>
          <w:szCs w:val="22"/>
        </w:rPr>
        <w:t>Etzkowitz, H., &amp; Leydesdorff, L. (2000). The dynamics of innovation: From national systems and 'Mode 2' to a Triple Helix of university–industry–government relations. Research Policy, 29(2), 109-123.</w:t>
      </w:r>
    </w:p>
    <w:p w14:paraId="13CA3FF6" w14:textId="77777777" w:rsidR="00C17795" w:rsidRDefault="00000000">
      <w:pPr>
        <w:spacing w:before="80" w:after="80" w:line="320" w:lineRule="auto"/>
        <w:jc w:val="right"/>
      </w:pPr>
      <w:r>
        <w:rPr>
          <w:rFonts w:ascii="Arial" w:eastAsia="Arial" w:hAnsi="Arial" w:cs="Arial"/>
          <w:color w:val="1A1A1A"/>
          <w:sz w:val="22"/>
          <w:szCs w:val="22"/>
        </w:rPr>
        <w:t>Kivistö, J., &amp; Zalyaletdinov, R. (2021). University partnerships in the Gulf region: Trust, contracts and community impact. International Journal of Educational Development, 83, 102-119.</w:t>
      </w:r>
    </w:p>
    <w:p w14:paraId="51048F91" w14:textId="77777777" w:rsidR="00C17795" w:rsidRDefault="00000000">
      <w:pPr>
        <w:spacing w:before="80" w:after="80" w:line="320" w:lineRule="auto"/>
        <w:jc w:val="right"/>
      </w:pPr>
      <w:r>
        <w:rPr>
          <w:rFonts w:ascii="Arial" w:eastAsia="Arial" w:hAnsi="Arial" w:cs="Arial"/>
          <w:color w:val="1A1A1A"/>
          <w:sz w:val="22"/>
          <w:szCs w:val="22"/>
        </w:rPr>
        <w:t>United Nations. (2015). Transforming our world: The 2030 Agenda for Sustainable Development (A/RES/70/1). United Nations General Assembly.</w:t>
      </w:r>
    </w:p>
    <w:p w14:paraId="3704874A" w14:textId="77777777" w:rsidR="00C17795" w:rsidRDefault="00000000">
      <w:pPr>
        <w:spacing w:before="80" w:after="80" w:line="320" w:lineRule="auto"/>
        <w:jc w:val="right"/>
      </w:pPr>
      <w:r>
        <w:rPr>
          <w:rFonts w:ascii="Arial" w:eastAsia="Arial" w:hAnsi="Arial" w:cs="Arial"/>
          <w:color w:val="1A1A1A"/>
          <w:sz w:val="22"/>
          <w:szCs w:val="22"/>
        </w:rPr>
        <w:t>World Bank. (2022). Financing Infrastructure through Public-Private Partnerships: Lessons from Developing Economies. World Bank Publications.</w:t>
      </w:r>
    </w:p>
    <w:p w14:paraId="43C70503" w14:textId="77777777" w:rsidR="00C17795" w:rsidRDefault="00000000">
      <w:pPr>
        <w:spacing w:before="80" w:after="80" w:line="320" w:lineRule="auto"/>
        <w:jc w:val="right"/>
      </w:pPr>
      <w:r>
        <w:rPr>
          <w:rFonts w:ascii="Arial" w:eastAsia="Arial" w:hAnsi="Arial" w:cs="Arial"/>
          <w:color w:val="1A1A1A"/>
          <w:sz w:val="22"/>
          <w:szCs w:val="22"/>
        </w:rPr>
        <w:t>Kezar, A., &amp; Gehrke, S. (2017). Building the Capacity for STEM Reform through Cross-Sector Partnerships. Teachers College Record, 119(7), 1-44.</w:t>
      </w:r>
    </w:p>
    <w:p w14:paraId="451829D8" w14:textId="77777777" w:rsidR="00C17795" w:rsidRDefault="00000000">
      <w:pPr>
        <w:spacing w:before="80" w:after="80" w:line="320" w:lineRule="auto"/>
        <w:jc w:val="right"/>
      </w:pPr>
      <w:r>
        <w:rPr>
          <w:rFonts w:ascii="Arial" w:eastAsia="Arial" w:hAnsi="Arial" w:cs="Arial"/>
          <w:color w:val="1A1A1A"/>
          <w:sz w:val="22"/>
          <w:szCs w:val="22"/>
        </w:rPr>
        <w:lastRenderedPageBreak/>
        <w:t>Audretsch, D. B., &amp; Link, A. N. (2019). Embracing an Entrepreneurial Ecosystem: An Analysis of the Governance of Research Partnerships. Small Business Economics, 54(2), 333-345.</w:t>
      </w:r>
    </w:p>
    <w:sectPr w:rsidR="00C17795">
      <w:headerReference w:type="default" r:id="rId8"/>
      <w:footerReference w:type="default" r:id="rId9"/>
      <w:pgSz w:w="11906" w:h="16838"/>
      <w:pgMar w:top="1440" w:right="1440" w:bottom="1440" w:left="1440" w:header="708" w:footer="708" w:gutter="0"/>
      <w:pgBorders>
        <w:top w:val="double" w:sz="12" w:space="24" w:color="1A3A5C"/>
        <w:left w:val="double" w:sz="12" w:space="24" w:color="1A3A5C"/>
        <w:bottom w:val="double" w:sz="12" w:space="24" w:color="1A3A5C"/>
        <w:right w:val="double" w:sz="12" w:space="24" w:color="1A3A5C"/>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8AB8E" w14:textId="77777777" w:rsidR="001B7A6C" w:rsidRDefault="001B7A6C">
      <w:r>
        <w:separator/>
      </w:r>
    </w:p>
  </w:endnote>
  <w:endnote w:type="continuationSeparator" w:id="0">
    <w:p w14:paraId="6B2AA5A5" w14:textId="77777777" w:rsidR="001B7A6C" w:rsidRDefault="001B7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3233" w14:textId="77777777" w:rsidR="00C17795" w:rsidRDefault="00000000">
    <w:pPr>
      <w:pBdr>
        <w:top w:val="double" w:sz="6" w:space="4" w:color="1A3A5C"/>
      </w:pBdr>
      <w:spacing w:before="120"/>
      <w:jc w:val="center"/>
    </w:pPr>
    <w:r>
      <w:rPr>
        <w:rFonts w:ascii="Arial" w:eastAsia="Arial" w:hAnsi="Arial" w:cs="Arial"/>
        <w:color w:val="888888"/>
        <w:sz w:val="18"/>
        <w:szCs w:val="18"/>
      </w:rPr>
      <w:t>الفصل الدراسي الثاني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5EFA0" w14:textId="649341EE" w:rsidR="00C17795" w:rsidRDefault="00000000">
    <w:pPr>
      <w:pBdr>
        <w:top w:val="double" w:sz="6" w:space="4" w:color="1A3A5C"/>
      </w:pBdr>
      <w:spacing w:before="120"/>
      <w:jc w:val="center"/>
    </w:pPr>
    <w:r>
      <w:rPr>
        <w:rFonts w:ascii="Arial" w:eastAsia="Arial" w:hAnsi="Arial" w:cs="Arial"/>
        <w:color w:val="555555"/>
        <w:sz w:val="18"/>
        <w:szCs w:val="18"/>
      </w:rPr>
      <w:t xml:space="preserve">تأثير بناء الشراكات بين الجامعات وقطاع الأعمال على تمويل مشاريع البنية التحتية المجتمعية    |    صفحة </w:t>
    </w:r>
    <w:r>
      <w:rPr>
        <w:rFonts w:ascii="Arial" w:eastAsia="Arial" w:hAnsi="Arial" w:cs="Arial"/>
        <w:b/>
        <w:bCs/>
        <w:color w:val="1A3A5C"/>
        <w:sz w:val="18"/>
        <w:szCs w:val="18"/>
      </w:rPr>
      <w:fldChar w:fldCharType="begin"/>
    </w:r>
    <w:r>
      <w:rPr>
        <w:rFonts w:ascii="Arial" w:eastAsia="Arial" w:hAnsi="Arial" w:cs="Arial"/>
        <w:b/>
        <w:bCs/>
        <w:color w:val="1A3A5C"/>
        <w:sz w:val="18"/>
        <w:szCs w:val="18"/>
      </w:rPr>
      <w:instrText>PAGE</w:instrText>
    </w:r>
    <w:r>
      <w:rPr>
        <w:rFonts w:ascii="Arial" w:eastAsia="Arial" w:hAnsi="Arial" w:cs="Arial"/>
        <w:b/>
        <w:bCs/>
        <w:color w:val="1A3A5C"/>
        <w:sz w:val="18"/>
        <w:szCs w:val="18"/>
      </w:rPr>
      <w:fldChar w:fldCharType="separate"/>
    </w:r>
    <w:r w:rsidR="00055A7E">
      <w:rPr>
        <w:rFonts w:ascii="Arial" w:eastAsia="Arial" w:hAnsi="Arial" w:cs="Arial"/>
        <w:b/>
        <w:bCs/>
        <w:noProof/>
        <w:color w:val="1A3A5C"/>
        <w:sz w:val="18"/>
        <w:szCs w:val="18"/>
        <w:rtl/>
      </w:rPr>
      <w:t>2</w:t>
    </w:r>
    <w:r>
      <w:rPr>
        <w:rFonts w:ascii="Arial" w:eastAsia="Arial" w:hAnsi="Arial" w:cs="Arial"/>
        <w:b/>
        <w:bCs/>
        <w:color w:val="1A3A5C"/>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70E50" w14:textId="77777777" w:rsidR="001B7A6C" w:rsidRDefault="001B7A6C">
      <w:r>
        <w:separator/>
      </w:r>
    </w:p>
  </w:footnote>
  <w:footnote w:type="continuationSeparator" w:id="0">
    <w:p w14:paraId="246A4575" w14:textId="77777777" w:rsidR="001B7A6C" w:rsidRDefault="001B7A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5DAF5" w14:textId="77777777" w:rsidR="00C17795" w:rsidRDefault="00000000">
    <w:pPr>
      <w:pBdr>
        <w:bottom w:val="double" w:sz="6" w:space="4" w:color="1A3A5C"/>
      </w:pBdr>
      <w:spacing w:after="120"/>
      <w:jc w:val="center"/>
    </w:pPr>
    <w:r>
      <w:rPr>
        <w:rFonts w:ascii="Arial" w:eastAsia="Arial" w:hAnsi="Arial" w:cs="Arial"/>
        <w:color w:val="1A3A5C"/>
        <w:sz w:val="18"/>
        <w:szCs w:val="18"/>
      </w:rPr>
      <w:t>مقترح بحثي  |  مساق MGM333  |  جامعة ميد أوشن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261C2"/>
    <w:multiLevelType w:val="hybridMultilevel"/>
    <w:tmpl w:val="FFFFFFFF"/>
    <w:lvl w:ilvl="0" w:tplc="50240234">
      <w:start w:val="1"/>
      <w:numFmt w:val="bullet"/>
      <w:lvlText w:val="●"/>
      <w:lvlJc w:val="left"/>
      <w:pPr>
        <w:ind w:left="720" w:hanging="360"/>
      </w:pPr>
    </w:lvl>
    <w:lvl w:ilvl="1" w:tplc="CC2C3F96">
      <w:start w:val="1"/>
      <w:numFmt w:val="bullet"/>
      <w:lvlText w:val="○"/>
      <w:lvlJc w:val="left"/>
      <w:pPr>
        <w:ind w:left="1440" w:hanging="360"/>
      </w:pPr>
    </w:lvl>
    <w:lvl w:ilvl="2" w:tplc="C1AEA5D6">
      <w:start w:val="1"/>
      <w:numFmt w:val="bullet"/>
      <w:lvlText w:val="■"/>
      <w:lvlJc w:val="left"/>
      <w:pPr>
        <w:ind w:left="2160" w:hanging="360"/>
      </w:pPr>
    </w:lvl>
    <w:lvl w:ilvl="3" w:tplc="AEC8D91E">
      <w:start w:val="1"/>
      <w:numFmt w:val="bullet"/>
      <w:lvlText w:val="●"/>
      <w:lvlJc w:val="left"/>
      <w:pPr>
        <w:ind w:left="2880" w:hanging="360"/>
      </w:pPr>
    </w:lvl>
    <w:lvl w:ilvl="4" w:tplc="DFEA9D06">
      <w:start w:val="1"/>
      <w:numFmt w:val="bullet"/>
      <w:lvlText w:val="○"/>
      <w:lvlJc w:val="left"/>
      <w:pPr>
        <w:ind w:left="3600" w:hanging="360"/>
      </w:pPr>
    </w:lvl>
    <w:lvl w:ilvl="5" w:tplc="969EB3FC">
      <w:start w:val="1"/>
      <w:numFmt w:val="bullet"/>
      <w:lvlText w:val="■"/>
      <w:lvlJc w:val="left"/>
      <w:pPr>
        <w:ind w:left="4320" w:hanging="360"/>
      </w:pPr>
    </w:lvl>
    <w:lvl w:ilvl="6" w:tplc="6006253A">
      <w:start w:val="1"/>
      <w:numFmt w:val="bullet"/>
      <w:lvlText w:val="●"/>
      <w:lvlJc w:val="left"/>
      <w:pPr>
        <w:ind w:left="5040" w:hanging="360"/>
      </w:pPr>
    </w:lvl>
    <w:lvl w:ilvl="7" w:tplc="A4303BB4">
      <w:start w:val="1"/>
      <w:numFmt w:val="bullet"/>
      <w:lvlText w:val="●"/>
      <w:lvlJc w:val="left"/>
      <w:pPr>
        <w:ind w:left="5760" w:hanging="360"/>
      </w:pPr>
    </w:lvl>
    <w:lvl w:ilvl="8" w:tplc="B0844CA2">
      <w:start w:val="1"/>
      <w:numFmt w:val="bullet"/>
      <w:lvlText w:val="●"/>
      <w:lvlJc w:val="left"/>
      <w:pPr>
        <w:ind w:left="6480" w:hanging="360"/>
      </w:pPr>
    </w:lvl>
  </w:abstractNum>
  <w:abstractNum w:abstractNumId="1" w15:restartNumberingAfterBreak="0">
    <w:nsid w:val="621F1171"/>
    <w:multiLevelType w:val="hybridMultilevel"/>
    <w:tmpl w:val="FFFFFFFF"/>
    <w:lvl w:ilvl="0" w:tplc="859E8062">
      <w:start w:val="1"/>
      <w:numFmt w:val="bullet"/>
      <w:lvlText w:val="•"/>
      <w:lvlJc w:val="left"/>
      <w:pPr>
        <w:ind w:left="400" w:hanging="280"/>
      </w:pPr>
    </w:lvl>
    <w:lvl w:ilvl="1" w:tplc="B9EC026E">
      <w:numFmt w:val="decimal"/>
      <w:lvlText w:val=""/>
      <w:lvlJc w:val="left"/>
    </w:lvl>
    <w:lvl w:ilvl="2" w:tplc="AC526F54">
      <w:numFmt w:val="decimal"/>
      <w:lvlText w:val=""/>
      <w:lvlJc w:val="left"/>
    </w:lvl>
    <w:lvl w:ilvl="3" w:tplc="7C0446BE">
      <w:numFmt w:val="decimal"/>
      <w:lvlText w:val=""/>
      <w:lvlJc w:val="left"/>
    </w:lvl>
    <w:lvl w:ilvl="4" w:tplc="684ED602">
      <w:numFmt w:val="decimal"/>
      <w:lvlText w:val=""/>
      <w:lvlJc w:val="left"/>
    </w:lvl>
    <w:lvl w:ilvl="5" w:tplc="A7FCFB06">
      <w:numFmt w:val="decimal"/>
      <w:lvlText w:val=""/>
      <w:lvlJc w:val="left"/>
    </w:lvl>
    <w:lvl w:ilvl="6" w:tplc="AB5EE5C4">
      <w:numFmt w:val="decimal"/>
      <w:lvlText w:val=""/>
      <w:lvlJc w:val="left"/>
    </w:lvl>
    <w:lvl w:ilvl="7" w:tplc="238AE4A4">
      <w:numFmt w:val="decimal"/>
      <w:lvlText w:val=""/>
      <w:lvlJc w:val="left"/>
    </w:lvl>
    <w:lvl w:ilvl="8" w:tplc="EEDE6A4C">
      <w:numFmt w:val="decimal"/>
      <w:lvlText w:val=""/>
      <w:lvlJc w:val="left"/>
    </w:lvl>
  </w:abstractNum>
  <w:num w:numId="1" w16cid:durableId="1713848674">
    <w:abstractNumId w:val="0"/>
    <w:lvlOverride w:ilvl="0">
      <w:startOverride w:val="1"/>
    </w:lvlOverride>
  </w:num>
  <w:num w:numId="2" w16cid:durableId="3416569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795"/>
    <w:rsid w:val="00025C7A"/>
    <w:rsid w:val="000365FD"/>
    <w:rsid w:val="00055A7E"/>
    <w:rsid w:val="001B7A6C"/>
    <w:rsid w:val="00310FA0"/>
    <w:rsid w:val="003E7998"/>
    <w:rsid w:val="00453AAB"/>
    <w:rsid w:val="007058A2"/>
    <w:rsid w:val="00764053"/>
    <w:rsid w:val="008421EC"/>
    <w:rsid w:val="00915E44"/>
    <w:rsid w:val="00A531CD"/>
    <w:rsid w:val="00C17795"/>
    <w:rsid w:val="00D134AC"/>
    <w:rsid w:val="00F054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4A5D"/>
  <w15:docId w15:val="{7A84BC98-B94C-EE49-9128-E123407E3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1">
    <w:name w:val="تشديد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1036</Words>
  <Characters>5911</Characters>
  <Application>Microsoft Office Word</Application>
  <DocSecurity>0</DocSecurity>
  <Lines>49</Lines>
  <Paragraphs>13</Paragraphs>
  <ScaleCrop>false</ScaleCrop>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Al Ateeq, Anas</cp:lastModifiedBy>
  <cp:revision>9</cp:revision>
  <dcterms:created xsi:type="dcterms:W3CDTF">2026-06-20T11:48:00Z</dcterms:created>
  <dcterms:modified xsi:type="dcterms:W3CDTF">2026-07-30T06:45:00Z</dcterms:modified>
</cp:coreProperties>
</file>