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8B41A" w14:textId="77777777" w:rsidR="004E195D" w:rsidRPr="00BC0466" w:rsidRDefault="004E195D" w:rsidP="004E195D">
      <w:pPr>
        <w:bidi/>
        <w:spacing w:line="360" w:lineRule="auto"/>
        <w:jc w:val="both"/>
        <w:rPr>
          <w:rFonts w:asciiTheme="majorBidi" w:hAnsiTheme="majorBidi" w:cstheme="majorBidi"/>
          <w:b/>
          <w:bCs/>
          <w:sz w:val="32"/>
          <w:szCs w:val="32"/>
          <w:rtl/>
        </w:rPr>
      </w:pPr>
      <w:r w:rsidRPr="00BC0466">
        <w:rPr>
          <w:rFonts w:asciiTheme="majorBidi" w:hAnsiTheme="majorBidi" w:cstheme="majorBidi"/>
          <w:b/>
          <w:bCs/>
          <w:sz w:val="32"/>
          <w:szCs w:val="32"/>
          <w:rtl/>
        </w:rPr>
        <w:t>الاطار النظري</w:t>
      </w:r>
    </w:p>
    <w:p w14:paraId="01B23F9D" w14:textId="77777777" w:rsidR="004E195D" w:rsidRPr="00C9129E" w:rsidRDefault="004E195D" w:rsidP="004E195D">
      <w:pPr>
        <w:bidi/>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 xml:space="preserve">1. </w:t>
      </w:r>
      <w:r w:rsidRPr="00C9129E">
        <w:rPr>
          <w:rFonts w:asciiTheme="majorBidi" w:hAnsiTheme="majorBidi" w:cstheme="majorBidi" w:hint="cs"/>
          <w:b/>
          <w:bCs/>
          <w:sz w:val="32"/>
          <w:szCs w:val="32"/>
          <w:rtl/>
        </w:rPr>
        <w:t>القيادة المرنة</w:t>
      </w:r>
    </w:p>
    <w:p w14:paraId="2E3F0862" w14:textId="77777777" w:rsidR="004E195D" w:rsidRPr="00C9129E" w:rsidRDefault="004E195D" w:rsidP="004E195D">
      <w:pPr>
        <w:bidi/>
        <w:spacing w:line="360" w:lineRule="auto"/>
        <w:jc w:val="both"/>
        <w:rPr>
          <w:rFonts w:asciiTheme="majorBidi" w:hAnsiTheme="majorBidi" w:cstheme="majorBidi"/>
          <w:b/>
          <w:bCs/>
          <w:sz w:val="32"/>
          <w:szCs w:val="32"/>
          <w:rtl/>
        </w:rPr>
      </w:pPr>
      <w:r w:rsidRPr="00C9129E">
        <w:rPr>
          <w:rFonts w:asciiTheme="majorBidi" w:hAnsiTheme="majorBidi" w:cstheme="majorBidi" w:hint="cs"/>
          <w:b/>
          <w:bCs/>
          <w:sz w:val="32"/>
          <w:szCs w:val="32"/>
          <w:rtl/>
        </w:rPr>
        <w:t>التمهيد</w:t>
      </w:r>
    </w:p>
    <w:p w14:paraId="433160BC" w14:textId="77777777" w:rsidR="004E195D" w:rsidRDefault="004E195D" w:rsidP="004E195D">
      <w:pPr>
        <w:bidi/>
        <w:spacing w:line="360" w:lineRule="auto"/>
        <w:jc w:val="both"/>
        <w:rPr>
          <w:rFonts w:asciiTheme="majorBidi" w:hAnsiTheme="majorBidi" w:cs="Times New Roman"/>
          <w:sz w:val="32"/>
          <w:szCs w:val="32"/>
          <w:rtl/>
        </w:rPr>
      </w:pPr>
      <w:r w:rsidRPr="00D00593">
        <w:rPr>
          <w:rFonts w:asciiTheme="majorBidi" w:hAnsiTheme="majorBidi" w:cs="Times New Roman"/>
          <w:sz w:val="32"/>
          <w:szCs w:val="32"/>
          <w:rtl/>
        </w:rPr>
        <w:t>برز مفهوم القيادة المرنة استجابة للتغير السريع والمتطور في بيئات العمل، وتحولها من بيئات مستقرة إلى بيئات سريعة التقلب. ونظراً للمتغيرات البيئية التي تواجهها المنظمات، يُنصح باتباع القيادة المرنة لما تتميز به من شمولية وقدرة على تمكين المنظمات من بلوغ أهدافها بكفاءة وفعالية وتوازن. كما تضطلع بدور كبير في التوفيق بين حاجات الأطراف المختلفة بفضل ما تمتلكه من مؤهلات للتعامل مع المهام المتنوعة. وهي قادرة على خلق معنى وهدف للمنظمة عبر رسالة ورؤية تنسجم مع الاستراتيجيات والأهداف المرجوة، إضافة إلى صنع القرارات الاستراتيجية وتطوير الهياكل التنظيمية</w:t>
      </w:r>
      <w:r w:rsidRPr="00D00593">
        <w:rPr>
          <w:rFonts w:asciiTheme="majorBidi" w:hAnsiTheme="majorBidi" w:cs="Times New Roman"/>
          <w:sz w:val="32"/>
          <w:szCs w:val="32"/>
        </w:rPr>
        <w:t>.</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 xml:space="preserve">تُعد القيادة الإدارية المحرك الأساسي الذي ترتكز عليه مختلف المؤسسات والمنظمات، سواء كانت عامة أو خاصة؛ فهي متغير حاسم لدفع المؤسسة نحو الأمام وتحفيز العاملين على تقديم أداء إبداعي متميز. فإذا غابت القيادة الإدارية المؤهلة والواعية والناجحة، غاب الأداء الجيد وعجزت الإدارة عن تحقيق أهدافها </w:t>
      </w:r>
      <w:r w:rsidRPr="00C9129E">
        <w:rPr>
          <w:rFonts w:asciiTheme="majorBidi" w:hAnsiTheme="majorBidi" w:cs="Times New Roman"/>
          <w:sz w:val="20"/>
          <w:szCs w:val="20"/>
          <w:rtl/>
        </w:rPr>
        <w:t>(العرفاوي، 2020)</w:t>
      </w:r>
      <w:r w:rsidRPr="00C9129E">
        <w:rPr>
          <w:rFonts w:asciiTheme="majorBidi" w:hAnsiTheme="majorBidi" w:cs="Times New Roman"/>
          <w:sz w:val="20"/>
          <w:szCs w:val="20"/>
        </w:rPr>
        <w:t>.</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 xml:space="preserve">وقد ازداد الاهتمام بمفهوم القيادة المرنة مؤخراً، لدعمها التنفيذ الفعال لاستراتيجية الأعمال في ظل التغيرات السريعة في بيئة العمل وما يرافقها من تعقيد ومنافسة شديدة </w:t>
      </w:r>
      <w:r w:rsidRPr="00C9129E">
        <w:rPr>
          <w:rFonts w:asciiTheme="majorBidi" w:hAnsiTheme="majorBidi" w:cs="Times New Roman"/>
          <w:sz w:val="20"/>
          <w:szCs w:val="20"/>
          <w:rtl/>
        </w:rPr>
        <w:t>(السهوتي، 2022)</w:t>
      </w:r>
      <w:r w:rsidRPr="00D00593">
        <w:rPr>
          <w:rFonts w:asciiTheme="majorBidi" w:hAnsiTheme="majorBidi" w:cs="Times New Roman"/>
          <w:sz w:val="32"/>
          <w:szCs w:val="32"/>
        </w:rPr>
        <w:t>.</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وبدون قيادة صحيحة، تبقى الاستراتيجيات التنظيمية مجرد حبر على ورق، كما أن إيجاد القيادة الملائمة لتطبيق استراتيجيات الأعمال يتطلب تخطيطاً واعياً وجهوداً متضافرة، وأحياناً استثماراً متواصلاً</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 xml:space="preserve">وتكمن أهمية القيادة المرنة في مساهمتها ببناء استراتيجية مؤسسية تحقق النجاح والازدهار على المدى الطويل وتعزز الميزة التنافسية المستدامة. كما تسهم في الفهم المستنير للبيئة المؤسسية الداخلية والخارجية لاتخاذ قرارات رشيدة، وزيادة قدرة المؤسسة على الاستجابة المرنة والمتوازنة للتحديات والفرص البيئية. بالإضافة إلى ذلك، تساعد في بناء رؤية ورسالة المؤسسة وخلق وعي استراتيجي وعمليات متجددة لضمان الاتساق الاستراتيجي في أعمالها </w:t>
      </w:r>
      <w:r w:rsidRPr="00C9129E">
        <w:rPr>
          <w:rFonts w:asciiTheme="majorBidi" w:hAnsiTheme="majorBidi" w:cs="Times New Roman"/>
          <w:sz w:val="20"/>
          <w:szCs w:val="20"/>
          <w:rtl/>
        </w:rPr>
        <w:t>(موفق، 2013).</w:t>
      </w:r>
    </w:p>
    <w:p w14:paraId="5858E190" w14:textId="77777777" w:rsidR="004E195D" w:rsidRPr="00C9129E" w:rsidRDefault="004E195D" w:rsidP="004E195D">
      <w:pPr>
        <w:pStyle w:val="ListParagraph"/>
        <w:numPr>
          <w:ilvl w:val="1"/>
          <w:numId w:val="9"/>
        </w:numPr>
        <w:bidi/>
        <w:spacing w:line="360" w:lineRule="auto"/>
        <w:jc w:val="both"/>
        <w:rPr>
          <w:rFonts w:asciiTheme="majorBidi" w:hAnsiTheme="majorBidi" w:cstheme="majorBidi"/>
          <w:b/>
          <w:bCs/>
          <w:sz w:val="32"/>
          <w:szCs w:val="32"/>
        </w:rPr>
      </w:pPr>
      <w:r w:rsidRPr="00C9129E">
        <w:rPr>
          <w:rFonts w:asciiTheme="majorBidi" w:hAnsiTheme="majorBidi" w:cstheme="majorBidi" w:hint="cs"/>
          <w:b/>
          <w:bCs/>
          <w:sz w:val="32"/>
          <w:szCs w:val="32"/>
          <w:rtl/>
        </w:rPr>
        <w:lastRenderedPageBreak/>
        <w:t xml:space="preserve">تعريفات </w:t>
      </w:r>
      <w:r w:rsidRPr="00C9129E">
        <w:rPr>
          <w:rFonts w:asciiTheme="majorBidi" w:hAnsiTheme="majorBidi" w:cstheme="majorBidi"/>
          <w:b/>
          <w:bCs/>
          <w:sz w:val="32"/>
          <w:szCs w:val="32"/>
          <w:rtl/>
        </w:rPr>
        <w:t>القيادة المرنة</w:t>
      </w:r>
    </w:p>
    <w:p w14:paraId="64D24646" w14:textId="77777777" w:rsidR="004E195D" w:rsidRPr="00552166"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552166">
        <w:rPr>
          <w:rFonts w:asciiTheme="majorBidi" w:hAnsiTheme="majorBidi" w:cs="Times New Roman"/>
          <w:sz w:val="32"/>
          <w:szCs w:val="32"/>
          <w:rtl/>
        </w:rPr>
        <w:t xml:space="preserve">قدرة المنظمة على التعامل مع حالات عدم التأكد وتوجيه عمليات المنظمة بالصورة التي تمكنها من تعبئة وتطويع مواردها اتجاه سرعة التكيف والاستجابة للتغيرات الطارئة وذلك لمواجهة التقلبات والأحداث المفاجئة وغير المتوقعة التي تواجه المنظمة، والعودة إلى التوازن والمسار الصحيح للمنظمة عند التعرض إلى تلك التقلبات والأزمات </w:t>
      </w:r>
      <w:r w:rsidRPr="00C9129E">
        <w:rPr>
          <w:rFonts w:asciiTheme="majorBidi" w:hAnsiTheme="majorBidi" w:cs="Times New Roman"/>
          <w:sz w:val="20"/>
          <w:szCs w:val="20"/>
          <w:rtl/>
        </w:rPr>
        <w:t>( زكي 2019 ، ص624)</w:t>
      </w:r>
      <w:r w:rsidRPr="00C9129E">
        <w:rPr>
          <w:rFonts w:asciiTheme="majorBidi" w:hAnsiTheme="majorBidi" w:cstheme="majorBidi"/>
          <w:sz w:val="20"/>
          <w:szCs w:val="20"/>
        </w:rPr>
        <w:t>.</w:t>
      </w:r>
    </w:p>
    <w:p w14:paraId="71DEDA05" w14:textId="77777777" w:rsidR="004E195D" w:rsidRPr="00BC0466" w:rsidRDefault="004E195D" w:rsidP="004E195D">
      <w:pPr>
        <w:bidi/>
        <w:spacing w:line="360" w:lineRule="auto"/>
        <w:jc w:val="both"/>
        <w:rPr>
          <w:rFonts w:asciiTheme="majorBidi" w:hAnsiTheme="majorBidi" w:cstheme="majorBidi"/>
          <w:sz w:val="32"/>
          <w:szCs w:val="32"/>
          <w:rtl/>
        </w:rPr>
      </w:pPr>
      <w:r w:rsidRPr="00BC0466">
        <w:rPr>
          <w:rFonts w:asciiTheme="majorBidi" w:hAnsiTheme="majorBidi" w:cstheme="majorBidi" w:hint="cs"/>
          <w:sz w:val="32"/>
          <w:szCs w:val="32"/>
          <w:rtl/>
        </w:rPr>
        <w:t xml:space="preserve">- </w:t>
      </w:r>
      <w:r w:rsidRPr="00BC0466">
        <w:rPr>
          <w:rFonts w:asciiTheme="majorBidi" w:hAnsiTheme="majorBidi" w:cstheme="majorBidi"/>
          <w:sz w:val="32"/>
          <w:szCs w:val="32"/>
          <w:rtl/>
        </w:rPr>
        <w:t>يتوافق تركيز القيادة المرنة على القدرة على التكيف مع احتياجات المؤسسات الحديثة، لا سيما تلك العاملة في الصناعات كثيفة المعرفة أو التي تواجه تغيرات تكنولوجية متسارعة. ويتمكن القادة الذين يتبنون هذا الأسلوب من التعامل بفعالية مع تعقيدات الأسواق المعولمة وديناميكيات فرق العمل المتنوعة</w:t>
      </w:r>
      <w:r w:rsidRPr="00BC0466">
        <w:rPr>
          <w:rFonts w:asciiTheme="majorBidi" w:hAnsiTheme="majorBidi" w:cstheme="majorBidi"/>
          <w:sz w:val="32"/>
          <w:szCs w:val="32"/>
        </w:rPr>
        <w:t>.</w:t>
      </w:r>
    </w:p>
    <w:p w14:paraId="0D5EF5EB" w14:textId="77777777" w:rsidR="004E195D" w:rsidRPr="00BC0466" w:rsidRDefault="004E195D" w:rsidP="004E195D">
      <w:pPr>
        <w:bidi/>
        <w:spacing w:line="360" w:lineRule="auto"/>
        <w:jc w:val="both"/>
        <w:rPr>
          <w:rFonts w:asciiTheme="majorBidi" w:hAnsiTheme="majorBidi" w:cstheme="majorBidi"/>
          <w:sz w:val="32"/>
          <w:szCs w:val="32"/>
          <w:rtl/>
        </w:rPr>
      </w:pPr>
      <w:r w:rsidRPr="00BC0466">
        <w:rPr>
          <w:rFonts w:asciiTheme="majorBidi" w:hAnsiTheme="majorBidi" w:cstheme="majorBidi" w:hint="cs"/>
          <w:sz w:val="32"/>
          <w:szCs w:val="32"/>
          <w:rtl/>
        </w:rPr>
        <w:t xml:space="preserve">- </w:t>
      </w:r>
      <w:r w:rsidRPr="00BC0466">
        <w:rPr>
          <w:rFonts w:asciiTheme="majorBidi" w:hAnsiTheme="majorBidi" w:cstheme="majorBidi"/>
          <w:sz w:val="32"/>
          <w:szCs w:val="32"/>
          <w:rtl/>
        </w:rPr>
        <w:t xml:space="preserve">الأسلوب القيادي على أنه ذلك الأسلوب الذي يمارسه القائد من خلال مجموعة من الممارسات المتساهلة، في محاولة منه من أجل تحديد العوامل التي تؤثر في سلوك الأفراد العاملين في بيئة العمل </w:t>
      </w:r>
      <w:r w:rsidRPr="00C9129E">
        <w:rPr>
          <w:rFonts w:asciiTheme="majorBidi" w:hAnsiTheme="majorBidi" w:cstheme="majorBidi" w:hint="cs"/>
          <w:sz w:val="20"/>
          <w:szCs w:val="20"/>
          <w:rtl/>
        </w:rPr>
        <w:t>(</w:t>
      </w:r>
      <w:r w:rsidRPr="00C9129E">
        <w:rPr>
          <w:rFonts w:asciiTheme="majorBidi" w:hAnsiTheme="majorBidi" w:cstheme="majorBidi"/>
          <w:sz w:val="20"/>
          <w:szCs w:val="20"/>
          <w:rtl/>
        </w:rPr>
        <w:t xml:space="preserve">عجيل 2019، </w:t>
      </w:r>
      <w:r>
        <w:rPr>
          <w:rFonts w:asciiTheme="majorBidi" w:hAnsiTheme="majorBidi" w:cstheme="majorBidi" w:hint="cs"/>
          <w:sz w:val="20"/>
          <w:szCs w:val="20"/>
          <w:rtl/>
        </w:rPr>
        <w:t>ص6).</w:t>
      </w:r>
    </w:p>
    <w:p w14:paraId="0F0CF4D7" w14:textId="77777777" w:rsidR="004E195D" w:rsidRPr="00BC0466" w:rsidRDefault="004E195D" w:rsidP="004E195D">
      <w:pPr>
        <w:bidi/>
        <w:spacing w:line="360" w:lineRule="auto"/>
        <w:jc w:val="both"/>
        <w:rPr>
          <w:rFonts w:asciiTheme="majorBidi" w:hAnsiTheme="majorBidi" w:cstheme="majorBidi"/>
          <w:sz w:val="32"/>
          <w:szCs w:val="32"/>
          <w:rtl/>
        </w:rPr>
      </w:pPr>
      <w:r w:rsidRPr="00BC0466">
        <w:rPr>
          <w:rFonts w:asciiTheme="majorBidi" w:hAnsiTheme="majorBidi" w:cstheme="majorBidi"/>
          <w:sz w:val="32"/>
          <w:szCs w:val="32"/>
          <w:rtl/>
        </w:rPr>
        <w:t>القيادة المرنة تشير إلى استخدام أساليب فعّالة ومرنة؛ بهدف تشكيل سلوك الآخرين، وزيادة حماس المرؤوسين لأداء الأنشطة المطلوبة بحماس مرتفع، وتحقيق النتائج المثلى، وبالتالي المساهمة في تحقيق الأهداف التنظيمية</w:t>
      </w:r>
      <w:r w:rsidRPr="00BC0466">
        <w:rPr>
          <w:rFonts w:asciiTheme="majorBidi" w:hAnsiTheme="majorBidi" w:cstheme="majorBidi"/>
          <w:sz w:val="32"/>
          <w:szCs w:val="32"/>
        </w:rPr>
        <w:t xml:space="preserve"> </w:t>
      </w:r>
      <w:r w:rsidRPr="00C9129E">
        <w:rPr>
          <w:rFonts w:asciiTheme="majorBidi" w:hAnsiTheme="majorBidi" w:cstheme="majorBidi"/>
          <w:sz w:val="20"/>
          <w:szCs w:val="20"/>
        </w:rPr>
        <w:t>(</w:t>
      </w:r>
      <w:proofErr w:type="spellStart"/>
      <w:r w:rsidRPr="00C9129E">
        <w:rPr>
          <w:rFonts w:asciiTheme="majorBidi" w:hAnsiTheme="majorBidi" w:cstheme="majorBidi"/>
          <w:sz w:val="20"/>
          <w:szCs w:val="20"/>
        </w:rPr>
        <w:t>Moriano</w:t>
      </w:r>
      <w:proofErr w:type="spellEnd"/>
      <w:r w:rsidRPr="00C9129E">
        <w:rPr>
          <w:rFonts w:asciiTheme="majorBidi" w:hAnsiTheme="majorBidi" w:cstheme="majorBidi"/>
          <w:sz w:val="20"/>
          <w:szCs w:val="20"/>
        </w:rPr>
        <w:t xml:space="preserve"> et al, 2021.p) </w:t>
      </w:r>
      <w:r w:rsidRPr="00C9129E">
        <w:rPr>
          <w:rFonts w:asciiTheme="majorBidi" w:hAnsiTheme="majorBidi" w:cstheme="majorBidi" w:hint="cs"/>
          <w:sz w:val="20"/>
          <w:szCs w:val="20"/>
          <w:rtl/>
        </w:rPr>
        <w:t>.</w:t>
      </w:r>
    </w:p>
    <w:p w14:paraId="7F19A5FB" w14:textId="77777777" w:rsidR="004E195D" w:rsidRPr="00BC0466" w:rsidRDefault="004E195D" w:rsidP="004E195D">
      <w:pPr>
        <w:bidi/>
        <w:spacing w:line="360" w:lineRule="auto"/>
        <w:jc w:val="both"/>
        <w:rPr>
          <w:rFonts w:asciiTheme="majorBidi" w:hAnsiTheme="majorBidi" w:cstheme="majorBidi"/>
          <w:sz w:val="32"/>
          <w:szCs w:val="32"/>
          <w:rtl/>
        </w:rPr>
      </w:pPr>
      <w:r w:rsidRPr="00BC0466">
        <w:rPr>
          <w:rFonts w:asciiTheme="majorBidi" w:hAnsiTheme="majorBidi" w:cstheme="majorBidi"/>
          <w:sz w:val="32"/>
          <w:szCs w:val="32"/>
          <w:rtl/>
        </w:rPr>
        <w:t xml:space="preserve">كما توصف بأنها مجموعة جديدة ومتخصصة من المهارات التي يمتلكها القائد، والتي تستند إلى العقلية الصحيحة، وتظهر ممارسات هذا الأسلوب القيادي في الاهتمام والتواصل مع الآخرين من أجل إيجاد رؤية مشتركة تسهم في تحقيق الأهداف المنشودة </w:t>
      </w:r>
      <w:r w:rsidRPr="00C9129E">
        <w:rPr>
          <w:rFonts w:asciiTheme="majorBidi" w:hAnsiTheme="majorBidi" w:cstheme="majorBidi" w:hint="cs"/>
          <w:sz w:val="20"/>
          <w:szCs w:val="20"/>
          <w:rtl/>
        </w:rPr>
        <w:t>(</w:t>
      </w:r>
      <w:r w:rsidRPr="00C9129E">
        <w:rPr>
          <w:rFonts w:asciiTheme="majorBidi" w:hAnsiTheme="majorBidi" w:cstheme="majorBidi"/>
          <w:sz w:val="20"/>
          <w:szCs w:val="20"/>
          <w:rtl/>
        </w:rPr>
        <w:t>أبو حاطوم 2022، ص 6</w:t>
      </w:r>
      <w:r w:rsidRPr="00C9129E">
        <w:rPr>
          <w:rFonts w:asciiTheme="majorBidi" w:hAnsiTheme="majorBidi" w:cstheme="majorBidi" w:hint="cs"/>
          <w:sz w:val="20"/>
          <w:szCs w:val="20"/>
          <w:rtl/>
        </w:rPr>
        <w:t>)</w:t>
      </w:r>
      <w:r w:rsidRPr="00C9129E">
        <w:rPr>
          <w:rFonts w:asciiTheme="majorBidi" w:hAnsiTheme="majorBidi" w:cstheme="majorBidi"/>
          <w:sz w:val="20"/>
          <w:szCs w:val="20"/>
          <w:rtl/>
        </w:rPr>
        <w:t>.</w:t>
      </w:r>
      <w:r w:rsidRPr="00D00593">
        <w:rPr>
          <w:rFonts w:asciiTheme="majorBidi" w:hAnsiTheme="majorBidi" w:cstheme="majorBidi"/>
          <w:rtl/>
        </w:rPr>
        <w:t xml:space="preserve"> </w:t>
      </w:r>
      <w:r w:rsidRPr="00BC0466">
        <w:rPr>
          <w:rFonts w:asciiTheme="majorBidi" w:hAnsiTheme="majorBidi" w:cstheme="majorBidi"/>
          <w:sz w:val="32"/>
          <w:szCs w:val="32"/>
          <w:rtl/>
        </w:rPr>
        <w:t>ولقد وصفت القيادة المرنة أيضًا بأنها نمط قيادي يقوم على مجموعة من الأسس الشخصية الذاتية، حيث إن القيادة المرنة تمثل فن التعامل مع المرؤوسين فضلا عن القدرة على اكتساب احترامهم وتعاونهم مع القيادة؛ بسبب قدرتها في التأثير الإيجابي على</w:t>
      </w:r>
      <w:r w:rsidRPr="00BC0466">
        <w:rPr>
          <w:rFonts w:asciiTheme="majorBidi" w:hAnsiTheme="majorBidi" w:cstheme="majorBidi" w:hint="cs"/>
          <w:sz w:val="32"/>
          <w:szCs w:val="32"/>
          <w:rtl/>
        </w:rPr>
        <w:t xml:space="preserve"> </w:t>
      </w:r>
      <w:r w:rsidRPr="00BC0466">
        <w:rPr>
          <w:rFonts w:asciiTheme="majorBidi" w:hAnsiTheme="majorBidi" w:cstheme="majorBidi"/>
          <w:sz w:val="32"/>
          <w:szCs w:val="32"/>
          <w:rtl/>
        </w:rPr>
        <w:t>الآخرين، وتضمن التزام القائد أولا بالتعليمات الموضوعة، ثم التزام العاملين بها</w:t>
      </w:r>
      <w:r w:rsidRPr="00BC0466">
        <w:rPr>
          <w:rFonts w:asciiTheme="majorBidi" w:hAnsiTheme="majorBidi" w:cstheme="majorBidi" w:hint="cs"/>
          <w:sz w:val="32"/>
          <w:szCs w:val="32"/>
          <w:rtl/>
        </w:rPr>
        <w:t xml:space="preserve"> </w:t>
      </w:r>
      <w:r w:rsidRPr="00C9129E">
        <w:rPr>
          <w:rFonts w:asciiTheme="majorBidi" w:hAnsiTheme="majorBidi" w:cstheme="majorBidi"/>
          <w:sz w:val="20"/>
          <w:szCs w:val="20"/>
          <w:rtl/>
        </w:rPr>
        <w:t>(محسن 2023 ، ص 34-35).</w:t>
      </w:r>
    </w:p>
    <w:p w14:paraId="16019223" w14:textId="77777777" w:rsidR="004E195D" w:rsidRDefault="004E195D" w:rsidP="004E195D">
      <w:pPr>
        <w:bidi/>
        <w:spacing w:line="360" w:lineRule="auto"/>
        <w:jc w:val="both"/>
        <w:rPr>
          <w:rFonts w:asciiTheme="majorBidi" w:hAnsiTheme="majorBidi" w:cstheme="majorBidi"/>
          <w:sz w:val="32"/>
          <w:szCs w:val="32"/>
          <w:rtl/>
        </w:rPr>
      </w:pPr>
      <w:r w:rsidRPr="00BC0466">
        <w:rPr>
          <w:rFonts w:asciiTheme="majorBidi" w:hAnsiTheme="majorBidi" w:cstheme="majorBidi"/>
          <w:sz w:val="32"/>
          <w:szCs w:val="32"/>
          <w:rtl/>
        </w:rPr>
        <w:lastRenderedPageBreak/>
        <w:t xml:space="preserve"> كما إن القيادة المرنة هي أسلوب قيادي يقوم على مجموعة من السمات الشخصية الذاتية للقائد، والتي من أهمها الإلهام والتأثير الإيجابي في الآخرين، بالإضافة إلى اكسابهم الاحترام لأنفسهم ولطبيعة العمل ومدى التعاون الفعال مع بعضهم البعض، كما إن القيادة المرنة تمثل القدرة على التأثير على الآخرين المحيطين بالقائد من أجل القدرة على الوصول إلى</w:t>
      </w:r>
      <w:r w:rsidRPr="00BC0466">
        <w:rPr>
          <w:rFonts w:asciiTheme="majorBidi" w:hAnsiTheme="majorBidi" w:cstheme="majorBidi" w:hint="cs"/>
          <w:sz w:val="32"/>
          <w:szCs w:val="32"/>
          <w:rtl/>
        </w:rPr>
        <w:t xml:space="preserve"> </w:t>
      </w:r>
      <w:r w:rsidRPr="00BC0466">
        <w:rPr>
          <w:rFonts w:asciiTheme="majorBidi" w:hAnsiTheme="majorBidi" w:cstheme="majorBidi"/>
          <w:sz w:val="32"/>
          <w:szCs w:val="32"/>
          <w:rtl/>
        </w:rPr>
        <w:t xml:space="preserve">تحقيق مجموعة من الأهداف قصيرة وطويلة المدى </w:t>
      </w:r>
      <w:r w:rsidRPr="00C9129E">
        <w:rPr>
          <w:rFonts w:asciiTheme="majorBidi" w:hAnsiTheme="majorBidi" w:cstheme="majorBidi" w:hint="cs"/>
          <w:sz w:val="20"/>
          <w:szCs w:val="20"/>
          <w:rtl/>
        </w:rPr>
        <w:t>(</w:t>
      </w:r>
      <w:r w:rsidRPr="00C9129E">
        <w:rPr>
          <w:rFonts w:asciiTheme="majorBidi" w:hAnsiTheme="majorBidi" w:cstheme="majorBidi"/>
          <w:sz w:val="20"/>
          <w:szCs w:val="20"/>
          <w:rtl/>
        </w:rPr>
        <w:t>محروس، 2023، ص1069).</w:t>
      </w:r>
    </w:p>
    <w:p w14:paraId="554FF73F" w14:textId="77777777" w:rsidR="004E195D" w:rsidRPr="00BC0466" w:rsidRDefault="004E195D" w:rsidP="004E195D">
      <w:pPr>
        <w:bidi/>
        <w:spacing w:line="360" w:lineRule="auto"/>
        <w:jc w:val="both"/>
        <w:rPr>
          <w:rFonts w:asciiTheme="majorBidi" w:hAnsiTheme="majorBidi" w:cstheme="majorBidi"/>
          <w:sz w:val="32"/>
          <w:szCs w:val="32"/>
          <w:rtl/>
        </w:rPr>
      </w:pPr>
      <w:r w:rsidRPr="00BC0466">
        <w:rPr>
          <w:rFonts w:asciiTheme="majorBidi" w:hAnsiTheme="majorBidi" w:cstheme="majorBidi" w:hint="cs"/>
          <w:b/>
          <w:bCs/>
          <w:sz w:val="32"/>
          <w:szCs w:val="32"/>
          <w:rtl/>
        </w:rPr>
        <w:t>مما سبق</w:t>
      </w:r>
      <w:r w:rsidRPr="00BC0466">
        <w:rPr>
          <w:rFonts w:asciiTheme="majorBidi" w:hAnsiTheme="majorBidi" w:cstheme="majorBidi"/>
          <w:sz w:val="32"/>
          <w:szCs w:val="32"/>
          <w:rtl/>
        </w:rPr>
        <w:t>، يمكن تعريف القيادة المرنة في سياق المؤسسات التعليمية الخاصة السعودية على أنها: قدرة القائد على تعديل أسلوبه الإداري والتفاعل مع المواقف المختلفة بما يحقق أهداف المؤسسة ويضمن استدامة الأداء في ظل التغيرات البيئية والتنظيمية.</w:t>
      </w:r>
    </w:p>
    <w:p w14:paraId="77CCFE01" w14:textId="77777777" w:rsidR="004E195D" w:rsidRPr="00BC0466" w:rsidRDefault="004E195D" w:rsidP="004E195D">
      <w:pPr>
        <w:bidi/>
        <w:spacing w:line="360" w:lineRule="auto"/>
        <w:jc w:val="both"/>
        <w:rPr>
          <w:rFonts w:asciiTheme="majorBidi" w:hAnsiTheme="majorBidi" w:cstheme="majorBidi"/>
          <w:sz w:val="32"/>
          <w:szCs w:val="32"/>
        </w:rPr>
      </w:pPr>
      <w:r w:rsidRPr="00BC0466">
        <w:rPr>
          <w:rFonts w:asciiTheme="majorBidi" w:hAnsiTheme="majorBidi" w:cstheme="majorBidi"/>
          <w:sz w:val="32"/>
          <w:szCs w:val="32"/>
          <w:rtl/>
        </w:rPr>
        <w:t>تستند القيادة المرنة إلى مبادئ القيادة التحويلية، حيث تدمج القدرة على التكيف لتلبية متطلبات السياقات التنظيمية المتزايدة التعقيد والديناميكية. وبخلاف نماذج القيادة التقليدية القائمة على الأوامر والسيطرة، تزدهر القيادة المرنة عبر تعزيز الثقة والتعاون والشمولية، مع التركيز على ما يلي</w:t>
      </w:r>
      <w:r w:rsidRPr="00BC0466">
        <w:rPr>
          <w:rFonts w:asciiTheme="majorBidi" w:hAnsiTheme="majorBidi" w:cstheme="majorBidi"/>
          <w:sz w:val="32"/>
          <w:szCs w:val="32"/>
        </w:rPr>
        <w:t>:</w:t>
      </w:r>
    </w:p>
    <w:p w14:paraId="0E396F91" w14:textId="77777777" w:rsidR="004E195D" w:rsidRPr="00BC0466" w:rsidRDefault="004E195D" w:rsidP="004E195D">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t xml:space="preserve">- </w:t>
      </w:r>
      <w:r w:rsidRPr="00BC0466">
        <w:rPr>
          <w:rFonts w:asciiTheme="majorBidi" w:hAnsiTheme="majorBidi" w:cstheme="majorBidi"/>
          <w:b/>
          <w:bCs/>
          <w:sz w:val="32"/>
          <w:szCs w:val="32"/>
          <w:rtl/>
        </w:rPr>
        <w:t xml:space="preserve">الأسلوب القيادي التفاعلي: </w:t>
      </w:r>
    </w:p>
    <w:p w14:paraId="4C79C340" w14:textId="77777777" w:rsidR="004E195D" w:rsidRPr="00C9129E" w:rsidRDefault="004E195D" w:rsidP="004E195D">
      <w:pPr>
        <w:bidi/>
        <w:spacing w:line="360" w:lineRule="auto"/>
        <w:jc w:val="both"/>
        <w:rPr>
          <w:rFonts w:asciiTheme="majorBidi" w:hAnsiTheme="majorBidi" w:cstheme="majorBidi"/>
          <w:sz w:val="20"/>
          <w:szCs w:val="20"/>
        </w:rPr>
      </w:pPr>
      <w:r w:rsidRPr="00BC0466">
        <w:rPr>
          <w:rFonts w:asciiTheme="majorBidi" w:hAnsiTheme="majorBidi" w:cstheme="majorBidi"/>
          <w:sz w:val="32"/>
          <w:szCs w:val="32"/>
          <w:rtl/>
        </w:rPr>
        <w:t xml:space="preserve">إرساء الاحترام المتبادل والتواصل المفتوح بين القادة والمرؤوسين، مما يعزز الدافعية والأداء </w:t>
      </w:r>
      <w:r w:rsidRPr="00C9129E">
        <w:rPr>
          <w:rFonts w:asciiTheme="majorBidi" w:hAnsiTheme="majorBidi" w:cstheme="majorBidi"/>
          <w:sz w:val="20"/>
          <w:szCs w:val="20"/>
          <w:rtl/>
        </w:rPr>
        <w:t>(هيلجيسن، ١٩٩٥)</w:t>
      </w:r>
      <w:r w:rsidRPr="00C9129E">
        <w:rPr>
          <w:rFonts w:asciiTheme="majorBidi" w:hAnsiTheme="majorBidi" w:cstheme="majorBidi"/>
          <w:sz w:val="20"/>
          <w:szCs w:val="20"/>
        </w:rPr>
        <w:t>.</w:t>
      </w:r>
    </w:p>
    <w:p w14:paraId="76444337" w14:textId="77777777" w:rsidR="004E195D" w:rsidRPr="00BC0466" w:rsidRDefault="004E195D" w:rsidP="004E195D">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t xml:space="preserve">- </w:t>
      </w:r>
      <w:r w:rsidRPr="00BC0466">
        <w:rPr>
          <w:rFonts w:asciiTheme="majorBidi" w:hAnsiTheme="majorBidi" w:cstheme="majorBidi"/>
          <w:b/>
          <w:bCs/>
          <w:sz w:val="32"/>
          <w:szCs w:val="32"/>
          <w:rtl/>
        </w:rPr>
        <w:t xml:space="preserve">إدارة المجموعة والقيادة متعددة الأدوار: </w:t>
      </w:r>
    </w:p>
    <w:p w14:paraId="33D3946F" w14:textId="77777777" w:rsidR="004E195D" w:rsidRPr="00C9129E" w:rsidRDefault="004E195D" w:rsidP="004E195D">
      <w:pPr>
        <w:bidi/>
        <w:spacing w:line="360" w:lineRule="auto"/>
        <w:jc w:val="both"/>
        <w:rPr>
          <w:rFonts w:asciiTheme="majorBidi" w:hAnsiTheme="majorBidi" w:cstheme="majorBidi"/>
          <w:sz w:val="20"/>
          <w:szCs w:val="20"/>
        </w:rPr>
      </w:pPr>
      <w:r w:rsidRPr="00BC0466">
        <w:rPr>
          <w:rFonts w:asciiTheme="majorBidi" w:hAnsiTheme="majorBidi" w:cstheme="majorBidi"/>
          <w:sz w:val="32"/>
          <w:szCs w:val="32"/>
          <w:rtl/>
        </w:rPr>
        <w:t xml:space="preserve">تبني مجموعة من أدوار القيادة بناءً على متطلبات الموقف، مثل </w:t>
      </w:r>
      <w:r w:rsidRPr="00BC0466">
        <w:rPr>
          <w:rFonts w:asciiTheme="majorBidi" w:hAnsiTheme="majorBidi" w:cstheme="majorBidi" w:hint="cs"/>
          <w:sz w:val="32"/>
          <w:szCs w:val="32"/>
          <w:rtl/>
        </w:rPr>
        <w:t xml:space="preserve"> </w:t>
      </w:r>
      <w:r w:rsidRPr="00BC0466">
        <w:rPr>
          <w:rFonts w:asciiTheme="majorBidi" w:hAnsiTheme="majorBidi" w:cstheme="majorBidi"/>
          <w:sz w:val="32"/>
          <w:szCs w:val="32"/>
          <w:rtl/>
        </w:rPr>
        <w:t xml:space="preserve">دور المحفز، والمتواصل، والمتعاون </w:t>
      </w:r>
      <w:r w:rsidRPr="00C9129E">
        <w:rPr>
          <w:rFonts w:asciiTheme="majorBidi" w:hAnsiTheme="majorBidi" w:cstheme="majorBidi"/>
          <w:sz w:val="20"/>
          <w:szCs w:val="20"/>
          <w:rtl/>
        </w:rPr>
        <w:t>(برادفورد وكوهين، ١٩٩٨)</w:t>
      </w:r>
      <w:r w:rsidRPr="00C9129E">
        <w:rPr>
          <w:rFonts w:asciiTheme="majorBidi" w:hAnsiTheme="majorBidi" w:cstheme="majorBidi"/>
          <w:sz w:val="20"/>
          <w:szCs w:val="20"/>
        </w:rPr>
        <w:t>.</w:t>
      </w:r>
    </w:p>
    <w:p w14:paraId="56F23F1D" w14:textId="77777777" w:rsidR="004E195D" w:rsidRPr="00BC0466" w:rsidRDefault="004E195D" w:rsidP="004E195D">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t xml:space="preserve">- </w:t>
      </w:r>
      <w:r w:rsidRPr="00BC0466">
        <w:rPr>
          <w:rFonts w:asciiTheme="majorBidi" w:hAnsiTheme="majorBidi" w:cstheme="majorBidi"/>
          <w:b/>
          <w:bCs/>
          <w:sz w:val="32"/>
          <w:szCs w:val="32"/>
          <w:rtl/>
        </w:rPr>
        <w:t>الثقة والاستقلالية:</w:t>
      </w:r>
    </w:p>
    <w:p w14:paraId="266C1EBE" w14:textId="77777777" w:rsidR="004E195D" w:rsidRPr="00C9129E" w:rsidRDefault="004E195D" w:rsidP="004E195D">
      <w:pPr>
        <w:bidi/>
        <w:spacing w:line="360" w:lineRule="auto"/>
        <w:jc w:val="both"/>
        <w:rPr>
          <w:rFonts w:asciiTheme="majorBidi" w:hAnsiTheme="majorBidi" w:cstheme="majorBidi"/>
          <w:sz w:val="20"/>
          <w:szCs w:val="20"/>
          <w:rtl/>
        </w:rPr>
      </w:pPr>
      <w:r w:rsidRPr="00BC0466">
        <w:rPr>
          <w:rFonts w:asciiTheme="majorBidi" w:hAnsiTheme="majorBidi" w:cstheme="majorBidi"/>
          <w:sz w:val="32"/>
          <w:szCs w:val="32"/>
          <w:rtl/>
        </w:rPr>
        <w:t xml:space="preserve"> خلق بيئة مواتية للابتكار من خلال تقدير استقلالية الموظفين ومساهماتهم الفكرية </w:t>
      </w:r>
      <w:r w:rsidRPr="00C9129E">
        <w:rPr>
          <w:rFonts w:asciiTheme="majorBidi" w:hAnsiTheme="majorBidi" w:cstheme="majorBidi"/>
          <w:sz w:val="20"/>
          <w:szCs w:val="20"/>
          <w:rtl/>
        </w:rPr>
        <w:t>(ليسيلور وساهوت، ٢٠٢٢)</w:t>
      </w:r>
      <w:r w:rsidRPr="00C9129E">
        <w:rPr>
          <w:rFonts w:asciiTheme="majorBidi" w:hAnsiTheme="majorBidi" w:cstheme="majorBidi"/>
          <w:sz w:val="20"/>
          <w:szCs w:val="20"/>
        </w:rPr>
        <w:t>.</w:t>
      </w:r>
    </w:p>
    <w:p w14:paraId="1CE42562" w14:textId="77777777" w:rsidR="004E195D" w:rsidRPr="00BC0466" w:rsidRDefault="004E195D" w:rsidP="004E195D">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lastRenderedPageBreak/>
        <w:t xml:space="preserve">2.1 </w:t>
      </w:r>
      <w:r w:rsidRPr="00BC0466">
        <w:rPr>
          <w:rFonts w:asciiTheme="majorBidi" w:hAnsiTheme="majorBidi" w:cs="Times New Roman"/>
          <w:b/>
          <w:bCs/>
          <w:sz w:val="32"/>
          <w:szCs w:val="32"/>
          <w:rtl/>
        </w:rPr>
        <w:t>أهمية القيادة المرنة</w:t>
      </w:r>
    </w:p>
    <w:p w14:paraId="777AE994" w14:textId="77777777" w:rsidR="004E195D" w:rsidRPr="00BC0466" w:rsidRDefault="004E195D" w:rsidP="004E195D">
      <w:pPr>
        <w:bidi/>
        <w:spacing w:line="360" w:lineRule="auto"/>
        <w:jc w:val="both"/>
        <w:rPr>
          <w:rFonts w:asciiTheme="majorBidi" w:hAnsiTheme="majorBidi" w:cstheme="majorBidi"/>
          <w:sz w:val="32"/>
          <w:szCs w:val="32"/>
          <w:rtl/>
        </w:rPr>
      </w:pPr>
      <w:r w:rsidRPr="00BC0466">
        <w:rPr>
          <w:rFonts w:asciiTheme="majorBidi" w:hAnsiTheme="majorBidi" w:cs="Times New Roman"/>
          <w:sz w:val="32"/>
          <w:szCs w:val="32"/>
          <w:rtl/>
        </w:rPr>
        <w:t>تكتسب القيادة المرنة أهمية بالغة في المؤسسات التعليمية الخاصة، وذلك بسبب الطبيعة التنافسية والوتيرة السريعة للتغير في بيئة التعليم والتدريب. وتتجلى أهميتها فيما يلي</w:t>
      </w:r>
      <w:r w:rsidRPr="00BC0466">
        <w:rPr>
          <w:rFonts w:asciiTheme="majorBidi" w:hAnsiTheme="majorBidi" w:cstheme="majorBidi"/>
          <w:sz w:val="32"/>
          <w:szCs w:val="32"/>
        </w:rPr>
        <w:t>:</w:t>
      </w:r>
    </w:p>
    <w:p w14:paraId="415FCFD2" w14:textId="77777777" w:rsidR="004E195D" w:rsidRPr="00BC0466" w:rsidRDefault="004E195D" w:rsidP="004E195D">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1. </w:t>
      </w:r>
      <w:r w:rsidRPr="00BC0466">
        <w:rPr>
          <w:rFonts w:asciiTheme="majorBidi" w:hAnsiTheme="majorBidi" w:cs="Times New Roman"/>
          <w:sz w:val="32"/>
          <w:szCs w:val="32"/>
          <w:rtl/>
        </w:rPr>
        <w:t>تمكين التكيف مع التغيرات البيئية: تُسهم في مساعدة القائد على التعامل الفعّال مع المتغيرات في السياسات التعليمية واستيعاب التقنيات التعليمية الجديدة</w:t>
      </w:r>
      <w:r w:rsidRPr="00BC0466">
        <w:rPr>
          <w:rFonts w:asciiTheme="majorBidi" w:hAnsiTheme="majorBidi" w:cstheme="majorBidi"/>
          <w:sz w:val="32"/>
          <w:szCs w:val="32"/>
        </w:rPr>
        <w:t>.</w:t>
      </w:r>
    </w:p>
    <w:p w14:paraId="13B48B46" w14:textId="77777777" w:rsidR="004E195D" w:rsidRPr="00BC0466"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2. </w:t>
      </w:r>
      <w:r w:rsidRPr="00BC0466">
        <w:rPr>
          <w:rFonts w:asciiTheme="majorBidi" w:hAnsiTheme="majorBidi" w:cs="Times New Roman"/>
          <w:sz w:val="32"/>
          <w:szCs w:val="32"/>
          <w:rtl/>
        </w:rPr>
        <w:t>تحسين القدرة على إدارة الأزمات: مثل التعامل مع انقطاع الموارد أو التغيرات المفاجئة في خطط التدريب</w:t>
      </w:r>
      <w:r w:rsidRPr="00BC0466">
        <w:rPr>
          <w:rFonts w:asciiTheme="majorBidi" w:hAnsiTheme="majorBidi" w:cstheme="majorBidi"/>
          <w:sz w:val="32"/>
          <w:szCs w:val="32"/>
        </w:rPr>
        <w:t>.</w:t>
      </w:r>
    </w:p>
    <w:p w14:paraId="104FCA0F" w14:textId="77777777" w:rsidR="004E195D" w:rsidRPr="00BC0466" w:rsidRDefault="004E195D" w:rsidP="004E195D">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3. </w:t>
      </w:r>
      <w:r w:rsidRPr="00BC0466">
        <w:rPr>
          <w:rFonts w:asciiTheme="majorBidi" w:hAnsiTheme="majorBidi" w:cs="Times New Roman"/>
          <w:sz w:val="32"/>
          <w:szCs w:val="32"/>
          <w:rtl/>
        </w:rPr>
        <w:t>دعم ثقافة الابتكار: من خلال تشجيع العاملين على اقتراح حلول مبتكرة وتطوير أساليب التعليم والتدريب</w:t>
      </w:r>
      <w:r w:rsidRPr="00BC0466">
        <w:rPr>
          <w:rFonts w:asciiTheme="majorBidi" w:hAnsiTheme="majorBidi" w:cstheme="majorBidi"/>
          <w:sz w:val="32"/>
          <w:szCs w:val="32"/>
        </w:rPr>
        <w:t>.</w:t>
      </w:r>
    </w:p>
    <w:p w14:paraId="60075BD1" w14:textId="77777777" w:rsidR="004E195D" w:rsidRPr="00BC0466" w:rsidRDefault="004E195D" w:rsidP="004E195D">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4. </w:t>
      </w:r>
      <w:r w:rsidRPr="00BC0466">
        <w:rPr>
          <w:rFonts w:asciiTheme="majorBidi" w:hAnsiTheme="majorBidi" w:cs="Times New Roman"/>
          <w:sz w:val="32"/>
          <w:szCs w:val="32"/>
          <w:rtl/>
        </w:rPr>
        <w:t>تحقيق الأداء الاستراتيجي: بربط المرونة في اتخاذ القرارات بالنتائج المؤسسية، والمساهمة في تحقيق أهداف رؤية المملكة 2030 في قطاع التعليم الخاص</w:t>
      </w:r>
      <w:r w:rsidRPr="00BC0466">
        <w:rPr>
          <w:rFonts w:asciiTheme="majorBidi" w:hAnsiTheme="majorBidi" w:cstheme="majorBidi"/>
          <w:sz w:val="32"/>
          <w:szCs w:val="32"/>
        </w:rPr>
        <w:t>.</w:t>
      </w:r>
    </w:p>
    <w:p w14:paraId="155A4DE0" w14:textId="77777777" w:rsidR="004E195D" w:rsidRDefault="004E195D" w:rsidP="004E195D">
      <w:pPr>
        <w:bidi/>
        <w:spacing w:line="360" w:lineRule="auto"/>
        <w:jc w:val="both"/>
        <w:rPr>
          <w:rFonts w:asciiTheme="majorBidi" w:hAnsiTheme="majorBidi" w:cstheme="majorBidi"/>
          <w:sz w:val="32"/>
          <w:szCs w:val="32"/>
          <w:rtl/>
        </w:rPr>
      </w:pPr>
      <w:r w:rsidRPr="00BC0466">
        <w:rPr>
          <w:rFonts w:asciiTheme="majorBidi" w:hAnsiTheme="majorBidi" w:cs="Times New Roman"/>
          <w:sz w:val="32"/>
          <w:szCs w:val="32"/>
          <w:rtl/>
        </w:rPr>
        <w:t>5. تعزيز مشاركة الموظفين: عبر إشراك الكوادر التعليمية والإدارية في عمليات صنع القرار.</w:t>
      </w:r>
    </w:p>
    <w:p w14:paraId="446A41E6" w14:textId="77777777" w:rsidR="004E195D" w:rsidRPr="000E73B2" w:rsidRDefault="004E195D" w:rsidP="004E195D">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3.1 </w:t>
      </w:r>
      <w:r w:rsidRPr="000E73B2">
        <w:rPr>
          <w:rFonts w:asciiTheme="majorBidi" w:hAnsiTheme="majorBidi" w:cs="Times New Roman"/>
          <w:b/>
          <w:bCs/>
          <w:sz w:val="32"/>
          <w:szCs w:val="32"/>
          <w:rtl/>
        </w:rPr>
        <w:t>خصائص القيادة المرنة</w:t>
      </w:r>
    </w:p>
    <w:p w14:paraId="3B6EDEE2"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تتميز القيادة المرنة بمجموعة من السمات التي تجعلها مثالية لبيئة التعليم الخاص</w:t>
      </w:r>
      <w:r w:rsidRPr="000E73B2">
        <w:rPr>
          <w:rFonts w:asciiTheme="majorBidi" w:hAnsiTheme="majorBidi" w:cstheme="majorBidi"/>
          <w:sz w:val="32"/>
          <w:szCs w:val="32"/>
        </w:rPr>
        <w:t>:</w:t>
      </w:r>
    </w:p>
    <w:p w14:paraId="27696523"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1. </w:t>
      </w:r>
      <w:r w:rsidRPr="000E73B2">
        <w:rPr>
          <w:rFonts w:asciiTheme="majorBidi" w:hAnsiTheme="majorBidi" w:cs="Times New Roman"/>
          <w:sz w:val="32"/>
          <w:szCs w:val="32"/>
          <w:rtl/>
        </w:rPr>
        <w:t>التكيف السريع: القدرة على تعديل الخطط والقرارات بسرعة استجابةً للمتغيرات الطارئة</w:t>
      </w:r>
      <w:r w:rsidRPr="000E73B2">
        <w:rPr>
          <w:rFonts w:asciiTheme="majorBidi" w:hAnsiTheme="majorBidi" w:cstheme="majorBidi"/>
          <w:sz w:val="32"/>
          <w:szCs w:val="32"/>
        </w:rPr>
        <w:t>.</w:t>
      </w:r>
    </w:p>
    <w:p w14:paraId="1159ABCF"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2. </w:t>
      </w:r>
      <w:r w:rsidRPr="000E73B2">
        <w:rPr>
          <w:rFonts w:asciiTheme="majorBidi" w:hAnsiTheme="majorBidi" w:cs="Times New Roman"/>
          <w:sz w:val="32"/>
          <w:szCs w:val="32"/>
          <w:rtl/>
        </w:rPr>
        <w:t>دعم الابتكار: تشجيع الموظفين على التجريب وتقديم أساليب مبتكرة في المناهج وأساليب التدريب</w:t>
      </w:r>
      <w:r w:rsidRPr="000E73B2">
        <w:rPr>
          <w:rFonts w:asciiTheme="majorBidi" w:hAnsiTheme="majorBidi" w:cstheme="majorBidi"/>
          <w:sz w:val="32"/>
          <w:szCs w:val="32"/>
        </w:rPr>
        <w:t>.</w:t>
      </w:r>
    </w:p>
    <w:p w14:paraId="3820F19A"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3. </w:t>
      </w:r>
      <w:r w:rsidRPr="000E73B2">
        <w:rPr>
          <w:rFonts w:asciiTheme="majorBidi" w:hAnsiTheme="majorBidi" w:cs="Times New Roman"/>
          <w:sz w:val="32"/>
          <w:szCs w:val="32"/>
          <w:rtl/>
        </w:rPr>
        <w:t>الاستشراف المستقبلي: امتلاك القدرة على توقع التحديات المستقبلية ووضع خطط استباقية لمعالجتها</w:t>
      </w:r>
      <w:r w:rsidRPr="000E73B2">
        <w:rPr>
          <w:rFonts w:asciiTheme="majorBidi" w:hAnsiTheme="majorBidi" w:cstheme="majorBidi"/>
          <w:sz w:val="32"/>
          <w:szCs w:val="32"/>
        </w:rPr>
        <w:t>.</w:t>
      </w:r>
    </w:p>
    <w:p w14:paraId="62E16CC5" w14:textId="77777777" w:rsidR="004E195D" w:rsidRDefault="004E195D" w:rsidP="004E195D">
      <w:pPr>
        <w:bidi/>
        <w:spacing w:line="360" w:lineRule="auto"/>
        <w:jc w:val="both"/>
        <w:rPr>
          <w:rFonts w:asciiTheme="majorBidi" w:hAnsiTheme="majorBidi" w:cs="Times New Roman"/>
          <w:sz w:val="32"/>
          <w:szCs w:val="32"/>
          <w:rtl/>
        </w:rPr>
      </w:pPr>
    </w:p>
    <w:p w14:paraId="7D16BADF"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lastRenderedPageBreak/>
        <w:t xml:space="preserve">4. </w:t>
      </w:r>
      <w:r w:rsidRPr="000E73B2">
        <w:rPr>
          <w:rFonts w:asciiTheme="majorBidi" w:hAnsiTheme="majorBidi" w:cs="Times New Roman"/>
          <w:sz w:val="32"/>
          <w:szCs w:val="32"/>
          <w:rtl/>
        </w:rPr>
        <w:t>تمكين الموظفين: إشراك الفرق التعليمية والإدارية في عملية اتخاذ القرارات والمبادرات الجديدة</w:t>
      </w:r>
      <w:r w:rsidRPr="000E73B2">
        <w:rPr>
          <w:rFonts w:asciiTheme="majorBidi" w:hAnsiTheme="majorBidi" w:cstheme="majorBidi"/>
          <w:sz w:val="32"/>
          <w:szCs w:val="32"/>
        </w:rPr>
        <w:t>.</w:t>
      </w:r>
    </w:p>
    <w:p w14:paraId="6C0C0022"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5. </w:t>
      </w:r>
      <w:r w:rsidRPr="000E73B2">
        <w:rPr>
          <w:rFonts w:asciiTheme="majorBidi" w:hAnsiTheme="majorBidi" w:cs="Times New Roman"/>
          <w:sz w:val="32"/>
          <w:szCs w:val="32"/>
          <w:rtl/>
        </w:rPr>
        <w:t>المرونة في إدارة الموارد: إعادة توزيع الموارد البشرية والمالية بكفاءة وسرعة بناءً على الاحتياج الفعلي</w:t>
      </w:r>
      <w:r w:rsidRPr="000E73B2">
        <w:rPr>
          <w:rFonts w:asciiTheme="majorBidi" w:hAnsiTheme="majorBidi" w:cstheme="majorBidi"/>
          <w:sz w:val="32"/>
          <w:szCs w:val="32"/>
        </w:rPr>
        <w:t>.</w:t>
      </w:r>
    </w:p>
    <w:p w14:paraId="236E13C3" w14:textId="77777777" w:rsidR="004E195D"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6. المرونة الهيكلية: القدرة على إعادة تشكيل الهياكل التنظيمية وتوزيع المسؤوليات بشكل سريع لدعم التحولات المؤسسية.</w:t>
      </w:r>
    </w:p>
    <w:p w14:paraId="50F8D99C" w14:textId="77777777" w:rsidR="004E195D" w:rsidRPr="000E73B2" w:rsidRDefault="004E195D" w:rsidP="004E195D">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4.1 </w:t>
      </w:r>
      <w:r w:rsidRPr="000E73B2">
        <w:rPr>
          <w:rFonts w:asciiTheme="majorBidi" w:hAnsiTheme="majorBidi" w:cs="Times New Roman"/>
          <w:b/>
          <w:bCs/>
          <w:sz w:val="32"/>
          <w:szCs w:val="32"/>
          <w:rtl/>
        </w:rPr>
        <w:t>أنماط القيادة المرنة</w:t>
      </w:r>
    </w:p>
    <w:p w14:paraId="75C1113B"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تتجسد القيادة المرنة في عدة أنماط عملية يمكن تطبيقها في المؤسسات التعليمية، أبرزها</w:t>
      </w:r>
      <w:r w:rsidRPr="000E73B2">
        <w:rPr>
          <w:rFonts w:asciiTheme="majorBidi" w:hAnsiTheme="majorBidi" w:cstheme="majorBidi"/>
          <w:sz w:val="32"/>
          <w:szCs w:val="32"/>
        </w:rPr>
        <w:t>:</w:t>
      </w:r>
    </w:p>
    <w:p w14:paraId="0ABF034A"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1</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التكيفية</w:t>
      </w:r>
      <w:r w:rsidRPr="000E73B2">
        <w:rPr>
          <w:rFonts w:asciiTheme="majorBidi" w:hAnsiTheme="majorBidi" w:cstheme="majorBidi"/>
          <w:sz w:val="32"/>
          <w:szCs w:val="32"/>
        </w:rPr>
        <w:t xml:space="preserve"> (Adaptive Leadership): </w:t>
      </w:r>
      <w:r w:rsidRPr="000E73B2">
        <w:rPr>
          <w:rFonts w:asciiTheme="majorBidi" w:hAnsiTheme="majorBidi" w:cs="Times New Roman"/>
          <w:sz w:val="32"/>
          <w:szCs w:val="32"/>
          <w:rtl/>
        </w:rPr>
        <w:t>وتتطلب تعديل الأسلوب القيادي بما يتناسب مع متطلبات الموقف والتحديات اليومية</w:t>
      </w:r>
      <w:r w:rsidRPr="000E73B2">
        <w:rPr>
          <w:rFonts w:asciiTheme="majorBidi" w:hAnsiTheme="majorBidi" w:cstheme="majorBidi"/>
          <w:sz w:val="32"/>
          <w:szCs w:val="32"/>
        </w:rPr>
        <w:t xml:space="preserve"> </w:t>
      </w:r>
      <w:r w:rsidRPr="00C9129E">
        <w:rPr>
          <w:rFonts w:asciiTheme="majorBidi" w:hAnsiTheme="majorBidi" w:cstheme="majorBidi"/>
          <w:sz w:val="20"/>
          <w:szCs w:val="20"/>
        </w:rPr>
        <w:t>(Heifetz &amp; Linsky, 2002)</w:t>
      </w:r>
      <w:r>
        <w:rPr>
          <w:rFonts w:asciiTheme="majorBidi" w:hAnsiTheme="majorBidi" w:cstheme="majorBidi" w:hint="cs"/>
          <w:sz w:val="32"/>
          <w:szCs w:val="32"/>
          <w:rtl/>
        </w:rPr>
        <w:t>.</w:t>
      </w:r>
    </w:p>
    <w:p w14:paraId="5CEDF54A"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2</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التفاعلية</w:t>
      </w:r>
      <w:r w:rsidRPr="000E73B2">
        <w:rPr>
          <w:rFonts w:asciiTheme="majorBidi" w:hAnsiTheme="majorBidi" w:cstheme="majorBidi"/>
          <w:sz w:val="32"/>
          <w:szCs w:val="32"/>
        </w:rPr>
        <w:t xml:space="preserve"> (Reactive Leadership): </w:t>
      </w:r>
      <w:r w:rsidRPr="000E73B2">
        <w:rPr>
          <w:rFonts w:asciiTheme="majorBidi" w:hAnsiTheme="majorBidi" w:cs="Times New Roman"/>
          <w:sz w:val="32"/>
          <w:szCs w:val="32"/>
          <w:rtl/>
        </w:rPr>
        <w:t>وتتمثل في سرعة الاستجابة للأزمات والظروف غير المتوقعة</w:t>
      </w:r>
      <w:r w:rsidRPr="000E73B2">
        <w:rPr>
          <w:rFonts w:asciiTheme="majorBidi" w:hAnsiTheme="majorBidi" w:cstheme="majorBidi"/>
          <w:sz w:val="32"/>
          <w:szCs w:val="32"/>
        </w:rPr>
        <w:t>.</w:t>
      </w:r>
    </w:p>
    <w:p w14:paraId="2FE7F5B2"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3</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الابتكارية</w:t>
      </w:r>
      <w:r w:rsidRPr="000E73B2">
        <w:rPr>
          <w:rFonts w:asciiTheme="majorBidi" w:hAnsiTheme="majorBidi" w:cstheme="majorBidi"/>
          <w:sz w:val="32"/>
          <w:szCs w:val="32"/>
        </w:rPr>
        <w:t xml:space="preserve"> (Innovative Leadership): </w:t>
      </w:r>
      <w:r w:rsidRPr="000E73B2">
        <w:rPr>
          <w:rFonts w:asciiTheme="majorBidi" w:hAnsiTheme="majorBidi" w:cs="Times New Roman"/>
          <w:sz w:val="32"/>
          <w:szCs w:val="32"/>
          <w:rtl/>
        </w:rPr>
        <w:t>وتهدف إلى تشجيع التجديد والتفكير الإبداعي في تطوير البرامج التعليمية</w:t>
      </w:r>
      <w:r w:rsidRPr="000E73B2">
        <w:rPr>
          <w:rFonts w:asciiTheme="majorBidi" w:hAnsiTheme="majorBidi" w:cstheme="majorBidi"/>
          <w:sz w:val="32"/>
          <w:szCs w:val="32"/>
        </w:rPr>
        <w:t>.</w:t>
      </w:r>
    </w:p>
    <w:p w14:paraId="70C97106"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4</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الاستراتيجية المرنة</w:t>
      </w:r>
      <w:r w:rsidRPr="000E73B2">
        <w:rPr>
          <w:rFonts w:asciiTheme="majorBidi" w:hAnsiTheme="majorBidi" w:cstheme="majorBidi"/>
          <w:sz w:val="32"/>
          <w:szCs w:val="32"/>
        </w:rPr>
        <w:t xml:space="preserve"> (Strategic Agile Leadership): </w:t>
      </w:r>
      <w:r w:rsidRPr="000E73B2">
        <w:rPr>
          <w:rFonts w:asciiTheme="majorBidi" w:hAnsiTheme="majorBidi" w:cs="Times New Roman"/>
          <w:sz w:val="32"/>
          <w:szCs w:val="32"/>
          <w:rtl/>
        </w:rPr>
        <w:t>وتدمج التخطيط طويل المدى مع القدرة على التكيف الفوري مع المتغيرات</w:t>
      </w:r>
      <w:r w:rsidRPr="000E73B2">
        <w:rPr>
          <w:rFonts w:asciiTheme="majorBidi" w:hAnsiTheme="majorBidi" w:cstheme="majorBidi"/>
          <w:sz w:val="32"/>
          <w:szCs w:val="32"/>
        </w:rPr>
        <w:t>.</w:t>
      </w:r>
    </w:p>
    <w:p w14:paraId="7B01D854" w14:textId="77777777" w:rsidR="004E195D" w:rsidRPr="000E73B2" w:rsidRDefault="004E195D" w:rsidP="004E195D">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5.1 </w:t>
      </w:r>
      <w:r w:rsidRPr="000E73B2">
        <w:rPr>
          <w:rFonts w:asciiTheme="majorBidi" w:hAnsiTheme="majorBidi" w:cs="Times New Roman"/>
          <w:b/>
          <w:bCs/>
          <w:sz w:val="32"/>
          <w:szCs w:val="32"/>
          <w:rtl/>
        </w:rPr>
        <w:t>نماذج القيادة المرنة</w:t>
      </w:r>
    </w:p>
    <w:p w14:paraId="10D5171D"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توضح النماذج التالية كيفية تطبيق القيادة المرنة</w:t>
      </w:r>
      <w:r w:rsidRPr="000E73B2">
        <w:rPr>
          <w:rFonts w:asciiTheme="majorBidi" w:hAnsiTheme="majorBidi" w:cstheme="majorBidi"/>
          <w:sz w:val="32"/>
          <w:szCs w:val="32"/>
        </w:rPr>
        <w:t>:</w:t>
      </w:r>
    </w:p>
    <w:p w14:paraId="59E46C1B"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lastRenderedPageBreak/>
        <w:t xml:space="preserve">- </w:t>
      </w:r>
      <w:r w:rsidRPr="000E73B2">
        <w:rPr>
          <w:rFonts w:asciiTheme="majorBidi" w:hAnsiTheme="majorBidi" w:cs="Times New Roman"/>
          <w:sz w:val="32"/>
          <w:szCs w:val="32"/>
          <w:rtl/>
        </w:rPr>
        <w:t>نموذج الرشاقة التنظيمية</w:t>
      </w:r>
      <w:r w:rsidRPr="000E73B2">
        <w:rPr>
          <w:rFonts w:asciiTheme="majorBidi" w:hAnsiTheme="majorBidi" w:cstheme="majorBidi"/>
          <w:sz w:val="32"/>
          <w:szCs w:val="32"/>
        </w:rPr>
        <w:t xml:space="preserve"> (Organizational Agility Model): </w:t>
      </w:r>
      <w:r w:rsidRPr="000E73B2">
        <w:rPr>
          <w:rFonts w:asciiTheme="majorBidi" w:hAnsiTheme="majorBidi" w:cs="Times New Roman"/>
          <w:sz w:val="32"/>
          <w:szCs w:val="32"/>
          <w:rtl/>
        </w:rPr>
        <w:t>يوضح كيف يمكن للقائد المرن إعادة توزيع الموارد واتخاذ قرارات سريعة لدعم الأداء المؤسسي (واقع الأداء الإداري للقيادات الأكاديمية، 2023)</w:t>
      </w:r>
      <w:r w:rsidRPr="000E73B2">
        <w:rPr>
          <w:rFonts w:asciiTheme="majorBidi" w:hAnsiTheme="majorBidi" w:cstheme="majorBidi"/>
          <w:sz w:val="32"/>
          <w:szCs w:val="32"/>
        </w:rPr>
        <w:t>.</w:t>
      </w:r>
    </w:p>
    <w:p w14:paraId="2B1426F8"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نموذج القدرات الديناميكية</w:t>
      </w:r>
      <w:r w:rsidRPr="000E73B2">
        <w:rPr>
          <w:rFonts w:asciiTheme="majorBidi" w:hAnsiTheme="majorBidi" w:cstheme="majorBidi"/>
          <w:sz w:val="32"/>
          <w:szCs w:val="32"/>
        </w:rPr>
        <w:t xml:space="preserve"> (Dynamic Capabilities Model): </w:t>
      </w:r>
      <w:r w:rsidRPr="000E73B2">
        <w:rPr>
          <w:rFonts w:asciiTheme="majorBidi" w:hAnsiTheme="majorBidi" w:cs="Times New Roman"/>
          <w:sz w:val="32"/>
          <w:szCs w:val="32"/>
          <w:rtl/>
        </w:rPr>
        <w:t>يوضح كيف يمكن للقادة المرنين استخدام الموارد والمهارات لتحقيق ميزة تنافسية مستدامة</w:t>
      </w:r>
      <w:r w:rsidRPr="00C9129E">
        <w:rPr>
          <w:rFonts w:asciiTheme="majorBidi" w:hAnsiTheme="majorBidi" w:cstheme="majorBidi"/>
          <w:sz w:val="20"/>
          <w:szCs w:val="20"/>
        </w:rPr>
        <w:t xml:space="preserve"> (Teece, 2018)</w:t>
      </w:r>
      <w:r w:rsidRPr="00C9129E">
        <w:rPr>
          <w:rFonts w:asciiTheme="majorBidi" w:hAnsiTheme="majorBidi" w:cstheme="majorBidi" w:hint="cs"/>
          <w:sz w:val="20"/>
          <w:szCs w:val="20"/>
          <w:rtl/>
        </w:rPr>
        <w:t xml:space="preserve"> </w:t>
      </w:r>
      <w:r w:rsidRPr="00C9129E">
        <w:rPr>
          <w:rFonts w:asciiTheme="majorBidi" w:hAnsiTheme="majorBidi" w:cstheme="majorBidi"/>
          <w:sz w:val="20"/>
          <w:szCs w:val="20"/>
        </w:rPr>
        <w:t>.</w:t>
      </w:r>
    </w:p>
    <w:p w14:paraId="3F27C5CB" w14:textId="77777777" w:rsidR="004E195D"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نموذج القيادة التكيفية (</w:t>
      </w:r>
      <w:r w:rsidRPr="000E73B2">
        <w:rPr>
          <w:rFonts w:asciiTheme="majorBidi" w:hAnsiTheme="majorBidi" w:cstheme="majorBidi"/>
          <w:sz w:val="32"/>
          <w:szCs w:val="32"/>
        </w:rPr>
        <w:t>Adaptive Leadership Model</w:t>
      </w:r>
      <w:r w:rsidRPr="000E73B2">
        <w:rPr>
          <w:rFonts w:asciiTheme="majorBidi" w:hAnsiTheme="majorBidi" w:cs="Times New Roman"/>
          <w:sz w:val="32"/>
          <w:szCs w:val="32"/>
          <w:rtl/>
        </w:rPr>
        <w:t xml:space="preserve">): يركز على التكيف مع التحديات والأزمات مع الحفاظ على رؤية المؤسسة </w:t>
      </w:r>
      <w:r w:rsidRPr="00C9129E">
        <w:rPr>
          <w:rFonts w:asciiTheme="majorBidi" w:hAnsiTheme="majorBidi" w:cs="Times New Roman"/>
          <w:sz w:val="20"/>
          <w:szCs w:val="20"/>
          <w:rtl/>
        </w:rPr>
        <w:t>(</w:t>
      </w:r>
      <w:r w:rsidRPr="00C9129E">
        <w:rPr>
          <w:rFonts w:asciiTheme="majorBidi" w:hAnsiTheme="majorBidi" w:cstheme="majorBidi"/>
          <w:sz w:val="20"/>
          <w:szCs w:val="20"/>
        </w:rPr>
        <w:t>Heifetz &amp; Linsky, 2002</w:t>
      </w:r>
      <w:r w:rsidRPr="00C9129E">
        <w:rPr>
          <w:rFonts w:asciiTheme="majorBidi" w:hAnsiTheme="majorBidi" w:cs="Times New Roman"/>
          <w:sz w:val="20"/>
          <w:szCs w:val="20"/>
          <w:rtl/>
        </w:rPr>
        <w:t>)</w:t>
      </w:r>
      <w:r w:rsidRPr="000E73B2">
        <w:rPr>
          <w:rFonts w:asciiTheme="majorBidi" w:hAnsiTheme="majorBidi" w:cs="Times New Roman"/>
          <w:sz w:val="32"/>
          <w:szCs w:val="32"/>
          <w:rtl/>
        </w:rPr>
        <w:t>.</w:t>
      </w:r>
    </w:p>
    <w:p w14:paraId="73DBE472" w14:textId="77777777" w:rsidR="004E195D" w:rsidRPr="000E73B2" w:rsidRDefault="004E195D" w:rsidP="004E195D">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6.1 </w:t>
      </w:r>
      <w:r w:rsidRPr="000E73B2">
        <w:rPr>
          <w:rFonts w:asciiTheme="majorBidi" w:hAnsiTheme="majorBidi" w:cs="Times New Roman"/>
          <w:b/>
          <w:bCs/>
          <w:sz w:val="32"/>
          <w:szCs w:val="32"/>
          <w:rtl/>
        </w:rPr>
        <w:t>أبعاد القيادة المرنة</w:t>
      </w:r>
    </w:p>
    <w:p w14:paraId="55D7D23D" w14:textId="77777777" w:rsidR="004E195D" w:rsidRPr="000E73B2" w:rsidRDefault="004E195D" w:rsidP="004E195D">
      <w:pPr>
        <w:bidi/>
        <w:spacing w:line="360" w:lineRule="auto"/>
        <w:jc w:val="both"/>
        <w:rPr>
          <w:rFonts w:asciiTheme="majorBidi" w:hAnsiTheme="majorBidi" w:cstheme="majorBidi"/>
          <w:sz w:val="32"/>
          <w:szCs w:val="32"/>
          <w:shd w:val="clear" w:color="auto" w:fill="FFFFFF"/>
          <w:rtl/>
        </w:rPr>
      </w:pPr>
      <w:r w:rsidRPr="000E73B2">
        <w:rPr>
          <w:rFonts w:asciiTheme="majorBidi" w:hAnsiTheme="majorBidi" w:cstheme="majorBidi"/>
          <w:sz w:val="32"/>
          <w:szCs w:val="32"/>
          <w:shd w:val="clear" w:color="auto" w:fill="FFFFFF"/>
          <w:rtl/>
        </w:rPr>
        <w:t>تتألف أبعاد القيادة المرنة من عدة مستويات تدعم الأداء المؤسسي</w:t>
      </w:r>
      <w:r w:rsidRPr="000E73B2">
        <w:rPr>
          <w:rFonts w:asciiTheme="majorBidi" w:hAnsiTheme="majorBidi" w:cstheme="majorBidi"/>
          <w:sz w:val="32"/>
          <w:szCs w:val="32"/>
          <w:shd w:val="clear" w:color="auto" w:fill="FFFFFF"/>
        </w:rPr>
        <w:t>:</w:t>
      </w:r>
    </w:p>
    <w:p w14:paraId="53A94C7E"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البعد الاستراتيجي: يتعلق بالتخطيط للمستقبل والتكيف مع التغيرات على مستوى المؤسسة ككل</w:t>
      </w:r>
      <w:r w:rsidRPr="000E73B2">
        <w:rPr>
          <w:rFonts w:asciiTheme="majorBidi" w:hAnsiTheme="majorBidi" w:cstheme="majorBidi"/>
          <w:sz w:val="32"/>
          <w:szCs w:val="32"/>
        </w:rPr>
        <w:t>.</w:t>
      </w:r>
    </w:p>
    <w:p w14:paraId="20E871EA"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اتخاذ القرار: يشير إلى القدرة على اتخاذ قرارات فعالة وسريعة في ظل المواقف غير المستقرة</w:t>
      </w:r>
      <w:r w:rsidRPr="000E73B2">
        <w:rPr>
          <w:rFonts w:asciiTheme="majorBidi" w:hAnsiTheme="majorBidi" w:cstheme="majorBidi"/>
          <w:sz w:val="32"/>
          <w:szCs w:val="32"/>
        </w:rPr>
        <w:t>.</w:t>
      </w:r>
    </w:p>
    <w:p w14:paraId="1066E651"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إدارة التغيير: يعني قيادة التغيرات بفعالية دون الإخلال بسير العمليات الجارية</w:t>
      </w:r>
      <w:r w:rsidRPr="000E73B2">
        <w:rPr>
          <w:rFonts w:asciiTheme="majorBidi" w:hAnsiTheme="majorBidi" w:cstheme="majorBidi"/>
          <w:sz w:val="32"/>
          <w:szCs w:val="32"/>
        </w:rPr>
        <w:t>.</w:t>
      </w:r>
    </w:p>
    <w:p w14:paraId="569E6FC4"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تمكين الموظفين: يتضمن تشجيع المشاركة الفعالة، التفاعل، وتعزيز ثقافة الابتكار بينهم</w:t>
      </w:r>
      <w:r w:rsidRPr="000E73B2">
        <w:rPr>
          <w:rFonts w:asciiTheme="majorBidi" w:hAnsiTheme="majorBidi" w:cstheme="majorBidi"/>
          <w:sz w:val="32"/>
          <w:szCs w:val="32"/>
        </w:rPr>
        <w:t>.</w:t>
      </w:r>
    </w:p>
    <w:p w14:paraId="173290D7"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إدارة الموارد: يتعلق بإعادة تخصيص الموارد بشكل ديناميكي وسريع لدعم أهداف المؤسسة المتغيرة</w:t>
      </w:r>
      <w:r w:rsidRPr="000E73B2">
        <w:rPr>
          <w:rFonts w:asciiTheme="majorBidi" w:hAnsiTheme="majorBidi" w:cstheme="majorBidi"/>
          <w:sz w:val="32"/>
          <w:szCs w:val="32"/>
        </w:rPr>
        <w:t>.</w:t>
      </w:r>
    </w:p>
    <w:p w14:paraId="09EB4B65"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البعد الهيكلي</w:t>
      </w:r>
      <w:r w:rsidRPr="000E73B2">
        <w:rPr>
          <w:rFonts w:asciiTheme="majorBidi" w:hAnsiTheme="majorBidi" w:cstheme="majorBidi"/>
          <w:sz w:val="32"/>
          <w:szCs w:val="32"/>
        </w:rPr>
        <w:t xml:space="preserve"> (Structural Flexibility):</w:t>
      </w:r>
    </w:p>
    <w:p w14:paraId="22B81984"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heme="majorBidi"/>
          <w:sz w:val="32"/>
          <w:szCs w:val="32"/>
        </w:rPr>
        <w:t xml:space="preserve">   - </w:t>
      </w:r>
      <w:r w:rsidRPr="000E73B2">
        <w:rPr>
          <w:rFonts w:asciiTheme="majorBidi" w:hAnsiTheme="majorBidi" w:cs="Times New Roman"/>
          <w:sz w:val="32"/>
          <w:szCs w:val="32"/>
          <w:rtl/>
        </w:rPr>
        <w:t>يتمثل في إعادة توزيع المسؤوليات والأدوار بسرعة حسب الحاجة</w:t>
      </w:r>
      <w:r w:rsidRPr="000E73B2">
        <w:rPr>
          <w:rFonts w:asciiTheme="majorBidi" w:hAnsiTheme="majorBidi" w:cstheme="majorBidi"/>
          <w:sz w:val="32"/>
          <w:szCs w:val="32"/>
        </w:rPr>
        <w:t>.</w:t>
      </w:r>
    </w:p>
    <w:p w14:paraId="0BB79CCC"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heme="majorBidi"/>
          <w:sz w:val="32"/>
          <w:szCs w:val="32"/>
        </w:rPr>
        <w:t xml:space="preserve">   - </w:t>
      </w:r>
      <w:r w:rsidRPr="000E73B2">
        <w:rPr>
          <w:rFonts w:asciiTheme="majorBidi" w:hAnsiTheme="majorBidi" w:cs="Times New Roman"/>
          <w:sz w:val="32"/>
          <w:szCs w:val="32"/>
          <w:rtl/>
        </w:rPr>
        <w:t>يتطلب تعديل الهياكل التنظيمية والسياسات لدعم التكيف مع التغيرات</w:t>
      </w:r>
      <w:r w:rsidRPr="000E73B2">
        <w:rPr>
          <w:rFonts w:asciiTheme="majorBidi" w:hAnsiTheme="majorBidi" w:cstheme="majorBidi"/>
          <w:sz w:val="32"/>
          <w:szCs w:val="32"/>
        </w:rPr>
        <w:t>.</w:t>
      </w:r>
    </w:p>
    <w:p w14:paraId="1E06E84C" w14:textId="77777777" w:rsidR="004E195D" w:rsidRPr="000E73B2" w:rsidRDefault="004E195D" w:rsidP="004E195D">
      <w:pPr>
        <w:bidi/>
        <w:spacing w:line="360" w:lineRule="auto"/>
        <w:jc w:val="both"/>
        <w:rPr>
          <w:rFonts w:asciiTheme="majorBidi" w:hAnsiTheme="majorBidi" w:cstheme="majorBidi"/>
          <w:sz w:val="32"/>
          <w:szCs w:val="32"/>
          <w:rtl/>
        </w:rPr>
      </w:pPr>
      <w:r w:rsidRPr="000E73B2">
        <w:rPr>
          <w:rFonts w:asciiTheme="majorBidi" w:hAnsiTheme="majorBidi" w:cstheme="majorBidi"/>
          <w:sz w:val="32"/>
          <w:szCs w:val="32"/>
        </w:rPr>
        <w:t xml:space="preserve">   - </w:t>
      </w:r>
      <w:r w:rsidRPr="000E73B2">
        <w:rPr>
          <w:rFonts w:asciiTheme="majorBidi" w:hAnsiTheme="majorBidi" w:cs="Times New Roman"/>
          <w:sz w:val="32"/>
          <w:szCs w:val="32"/>
          <w:rtl/>
        </w:rPr>
        <w:t>يربط المرونة الهيكلية بتحقيق الابتكار وتحسين الأداء المؤسسي</w:t>
      </w:r>
      <w:r w:rsidRPr="000E73B2">
        <w:rPr>
          <w:rFonts w:asciiTheme="majorBidi" w:hAnsiTheme="majorBidi" w:cstheme="majorBidi"/>
          <w:sz w:val="32"/>
          <w:szCs w:val="32"/>
        </w:rPr>
        <w:t>.</w:t>
      </w:r>
    </w:p>
    <w:p w14:paraId="0A0A6934" w14:textId="77777777" w:rsidR="004E195D" w:rsidRPr="000E73B2" w:rsidRDefault="004E195D" w:rsidP="004E195D">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lastRenderedPageBreak/>
        <w:t xml:space="preserve">7.1 </w:t>
      </w:r>
      <w:r w:rsidRPr="000E73B2">
        <w:rPr>
          <w:rFonts w:asciiTheme="majorBidi" w:hAnsiTheme="majorBidi" w:cs="Times New Roman"/>
          <w:b/>
          <w:bCs/>
          <w:sz w:val="32"/>
          <w:szCs w:val="32"/>
          <w:rtl/>
        </w:rPr>
        <w:t>تحديات تطبيق القيادة المرنة</w:t>
      </w:r>
      <w:r w:rsidRPr="000E73B2">
        <w:rPr>
          <w:rFonts w:asciiTheme="majorBidi" w:hAnsiTheme="majorBidi" w:cstheme="majorBidi"/>
          <w:b/>
          <w:bCs/>
          <w:sz w:val="32"/>
          <w:szCs w:val="32"/>
        </w:rPr>
        <w:t>:</w:t>
      </w:r>
    </w:p>
    <w:p w14:paraId="4C72AF34"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مقاومة التغيير من قبل بعض الموظفين أو بسبب الإدارة التقليدية</w:t>
      </w:r>
      <w:r w:rsidRPr="000E73B2">
        <w:rPr>
          <w:rFonts w:asciiTheme="majorBidi" w:hAnsiTheme="majorBidi" w:cstheme="majorBidi"/>
          <w:sz w:val="32"/>
          <w:szCs w:val="32"/>
        </w:rPr>
        <w:t>.</w:t>
      </w:r>
    </w:p>
    <w:p w14:paraId="66B84A62"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ضعف ثقافة الابتكار في بعض المؤسسات التعليمية الخاصة</w:t>
      </w:r>
      <w:r w:rsidRPr="000E73B2">
        <w:rPr>
          <w:rFonts w:asciiTheme="majorBidi" w:hAnsiTheme="majorBidi" w:cstheme="majorBidi"/>
          <w:sz w:val="32"/>
          <w:szCs w:val="32"/>
        </w:rPr>
        <w:t>.</w:t>
      </w:r>
    </w:p>
    <w:p w14:paraId="470A9267" w14:textId="77777777" w:rsidR="004E195D" w:rsidRDefault="004E195D" w:rsidP="004E195D">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محدودية الموارد المالية والبشرية اللازمة لدعم المرونة والابتكار</w:t>
      </w:r>
      <w:r w:rsidRPr="000E73B2">
        <w:rPr>
          <w:rFonts w:asciiTheme="majorBidi" w:hAnsiTheme="majorBidi" w:cstheme="majorBidi"/>
          <w:sz w:val="32"/>
          <w:szCs w:val="32"/>
        </w:rPr>
        <w:t>.</w:t>
      </w:r>
    </w:p>
    <w:p w14:paraId="7B9F5C78" w14:textId="77777777" w:rsidR="004E195D" w:rsidRPr="000E73B2" w:rsidRDefault="004E195D" w:rsidP="004E195D">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صعوبة التنبؤ بالتغيرات البيئية وتأثيرها المتوقع على الخطط الاستراتيجية</w:t>
      </w:r>
      <w:r w:rsidRPr="000E73B2">
        <w:rPr>
          <w:rFonts w:asciiTheme="majorBidi" w:hAnsiTheme="majorBidi" w:cstheme="majorBidi"/>
          <w:sz w:val="32"/>
          <w:szCs w:val="32"/>
        </w:rPr>
        <w:t>.</w:t>
      </w:r>
    </w:p>
    <w:p w14:paraId="2BAB6CBE" w14:textId="77777777" w:rsidR="004E195D" w:rsidRDefault="004E195D" w:rsidP="004E195D">
      <w:pPr>
        <w:bidi/>
        <w:spacing w:line="360" w:lineRule="auto"/>
        <w:jc w:val="both"/>
        <w:rPr>
          <w:rFonts w:asciiTheme="majorBidi" w:hAnsiTheme="majorBidi" w:cs="Times New Roman"/>
          <w:sz w:val="32"/>
          <w:szCs w:val="32"/>
          <w:rtl/>
        </w:rPr>
      </w:pPr>
      <w:r w:rsidRPr="000E73B2">
        <w:rPr>
          <w:rFonts w:asciiTheme="majorBidi" w:hAnsiTheme="majorBidi" w:cs="Times New Roman"/>
          <w:sz w:val="32"/>
          <w:szCs w:val="32"/>
          <w:rtl/>
        </w:rPr>
        <w:t>- الحاجة إلى تدريب القادة على مهارات المرونة، وإدارة الأزمات، ودعم الابتكار.</w:t>
      </w:r>
    </w:p>
    <w:p w14:paraId="6A778652" w14:textId="77777777" w:rsidR="004E195D" w:rsidRPr="002A38EA" w:rsidRDefault="004E195D" w:rsidP="004E195D">
      <w:pPr>
        <w:bidi/>
        <w:spacing w:line="360" w:lineRule="auto"/>
        <w:jc w:val="both"/>
        <w:rPr>
          <w:rFonts w:asciiTheme="majorBidi" w:hAnsiTheme="majorBidi" w:cs="Times New Roman"/>
          <w:b/>
          <w:bCs/>
          <w:sz w:val="32"/>
          <w:szCs w:val="32"/>
          <w:rtl/>
        </w:rPr>
      </w:pPr>
      <w:r w:rsidRPr="000A1FE3">
        <w:rPr>
          <w:rFonts w:asciiTheme="majorBidi" w:hAnsiTheme="majorBidi" w:cs="Times New Roman" w:hint="cs"/>
          <w:b/>
          <w:bCs/>
          <w:sz w:val="32"/>
          <w:szCs w:val="32"/>
          <w:rtl/>
        </w:rPr>
        <w:t>2. الابتكار التنظيمي</w:t>
      </w:r>
      <w:r>
        <w:rPr>
          <w:rFonts w:asciiTheme="majorBidi" w:hAnsiTheme="majorBidi" w:cs="Times New Roman" w:hint="cs"/>
          <w:b/>
          <w:bCs/>
          <w:sz w:val="32"/>
          <w:szCs w:val="32"/>
          <w:rtl/>
        </w:rPr>
        <w:t xml:space="preserve"> </w:t>
      </w:r>
    </w:p>
    <w:p w14:paraId="0668D4B4" w14:textId="77777777" w:rsidR="004E195D" w:rsidRPr="002A38EA" w:rsidRDefault="004E195D" w:rsidP="004E195D">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 xml:space="preserve">أصبح الابتكار من أهم المتطلبات في الإدارة الحديثة؛ فأساليب الإدارة التقليدية التي يتبعها المديرون والقادة في أداء واجباتهم تجاه المنظمة تؤدي إلى تراجعها وفشلها. ولضمان بقاء المنظمة واستمراريتها، يجب على المدير أن يؤدي المهام الموكلة إليه بكفاءة وتميز، بحيث يصبح التجديد والابتكار سمتين أساسيتين في أدائه. فبدون الابتكار، لا يمكن مواجهة التحديات الراهنة، وينبغي أن يكون الابتكار شاملاً ومفيداً للجميع </w:t>
      </w:r>
      <w:r w:rsidRPr="00C9129E">
        <w:rPr>
          <w:rFonts w:asciiTheme="majorBidi" w:hAnsiTheme="majorBidi" w:cs="Times New Roman"/>
          <w:sz w:val="20"/>
          <w:szCs w:val="20"/>
          <w:rtl/>
        </w:rPr>
        <w:t>(أبو سنيمة، 2020).</w:t>
      </w:r>
    </w:p>
    <w:p w14:paraId="7EB4B9DB" w14:textId="77777777" w:rsidR="004E195D" w:rsidRDefault="004E195D" w:rsidP="004E195D">
      <w:pPr>
        <w:bidi/>
        <w:spacing w:line="360" w:lineRule="auto"/>
        <w:jc w:val="both"/>
        <w:rPr>
          <w:rFonts w:asciiTheme="majorBidi" w:hAnsiTheme="majorBidi" w:cs="Times New Roman"/>
          <w:sz w:val="32"/>
          <w:szCs w:val="32"/>
          <w:rtl/>
        </w:rPr>
      </w:pPr>
      <w:r w:rsidRPr="000A1FE3">
        <w:rPr>
          <w:rFonts w:asciiTheme="majorBidi" w:hAnsiTheme="majorBidi" w:cs="Times New Roman"/>
          <w:sz w:val="32"/>
          <w:szCs w:val="32"/>
          <w:rtl/>
        </w:rPr>
        <w:t>تواجه المنظمات المعاصرة تحديات متزايدة بسبب التغيرات المتسارعة في البيئة الاقتصادية والتكنولوجية، مما يفرض عليها البحث عن أساليب جديدة للتكيف مع هذه المتغيرات وضمان استدامة أدائها. وفي هذا الإطار، برز مفهوم الابتكار التنظيمي كأحد أهم الأدوات التي تعتمد عليها المؤسسات لتعزيز قدرتها التنافسية وتحسين كفاءتها التشغيلية</w:t>
      </w:r>
      <w:r w:rsidRPr="000A1FE3">
        <w:rPr>
          <w:rFonts w:asciiTheme="majorBidi" w:hAnsiTheme="majorBidi" w:cs="Times New Roman"/>
          <w:sz w:val="32"/>
          <w:szCs w:val="32"/>
        </w:rPr>
        <w:t>.</w:t>
      </w:r>
      <w:r>
        <w:rPr>
          <w:rFonts w:asciiTheme="majorBidi" w:hAnsiTheme="majorBidi" w:cs="Times New Roman" w:hint="cs"/>
          <w:sz w:val="32"/>
          <w:szCs w:val="32"/>
          <w:rtl/>
        </w:rPr>
        <w:t xml:space="preserve"> </w:t>
      </w:r>
      <w:r w:rsidRPr="000A1FE3">
        <w:rPr>
          <w:rFonts w:asciiTheme="majorBidi" w:hAnsiTheme="majorBidi" w:cs="Times New Roman"/>
          <w:sz w:val="32"/>
          <w:szCs w:val="32"/>
          <w:rtl/>
        </w:rPr>
        <w:t>ويحتل الابتكار التنظيمي مكانة محورية في الأدبيات الإدارية الحديثة، إذ يشمل تطوير الهياكل التنظيمية، وأساليب الإدارة، وطرق العمل بما يسهم في رفع مستوى الأداء المؤسسي وتعزيز قدرة المنظمة على التكيف مع المتغيرات البيئية. وقد شدد الاقتصادي جوزيف شومبيتر على أن الابتكار يمثل القوة المحركة للتطور الاقتصادي، مساهماً في إحداث تحولات جوهرية في أساليب الإنتاج والتنظيم داخل المؤسسات</w:t>
      </w:r>
      <w:r w:rsidRPr="00C9129E">
        <w:rPr>
          <w:rFonts w:asciiTheme="majorBidi" w:hAnsiTheme="majorBidi" w:cs="Times New Roman"/>
          <w:sz w:val="20"/>
          <w:szCs w:val="20"/>
        </w:rPr>
        <w:t xml:space="preserve"> (Schumpeter, 1934)</w:t>
      </w:r>
      <w:r w:rsidRPr="00C9129E">
        <w:rPr>
          <w:rFonts w:asciiTheme="majorBidi" w:hAnsiTheme="majorBidi" w:cs="Times New Roman" w:hint="cs"/>
          <w:sz w:val="20"/>
          <w:szCs w:val="20"/>
          <w:rtl/>
        </w:rPr>
        <w:t>.</w:t>
      </w:r>
      <w:r>
        <w:rPr>
          <w:rFonts w:asciiTheme="majorBidi" w:hAnsiTheme="majorBidi" w:cs="Times New Roman" w:hint="cs"/>
          <w:sz w:val="32"/>
          <w:szCs w:val="32"/>
          <w:rtl/>
        </w:rPr>
        <w:t xml:space="preserve"> </w:t>
      </w:r>
    </w:p>
    <w:p w14:paraId="764AF6CC" w14:textId="77777777" w:rsidR="004E195D" w:rsidRDefault="004E195D" w:rsidP="004E195D">
      <w:pPr>
        <w:bidi/>
        <w:spacing w:line="360" w:lineRule="auto"/>
        <w:jc w:val="both"/>
        <w:rPr>
          <w:rFonts w:asciiTheme="majorBidi" w:hAnsiTheme="majorBidi" w:cs="Times New Roman"/>
          <w:sz w:val="32"/>
          <w:szCs w:val="32"/>
          <w:rtl/>
        </w:rPr>
      </w:pPr>
      <w:r w:rsidRPr="000A1FE3">
        <w:rPr>
          <w:rFonts w:asciiTheme="majorBidi" w:hAnsiTheme="majorBidi" w:cs="Times New Roman"/>
          <w:sz w:val="32"/>
          <w:szCs w:val="32"/>
          <w:rtl/>
        </w:rPr>
        <w:lastRenderedPageBreak/>
        <w:t xml:space="preserve">علاوة على ذلك، يعتبر العديد من الباحثين أن الابتكار التنظيمي عملية ديناميكية ومستمرة تسعى المنظمة من خلالها إلى تطوير ممارساتها الإدارية والتنظيمية لتحقيق الكفاءة والفعالية في الأداء </w:t>
      </w:r>
      <w:r w:rsidRPr="00C9129E">
        <w:rPr>
          <w:rFonts w:asciiTheme="majorBidi" w:hAnsiTheme="majorBidi" w:cs="Times New Roman"/>
          <w:sz w:val="20"/>
          <w:szCs w:val="20"/>
          <w:rtl/>
        </w:rPr>
        <w:t>(</w:t>
      </w:r>
      <w:r w:rsidRPr="00C9129E">
        <w:rPr>
          <w:rFonts w:asciiTheme="majorBidi" w:hAnsiTheme="majorBidi" w:cs="Times New Roman"/>
          <w:sz w:val="20"/>
          <w:szCs w:val="20"/>
        </w:rPr>
        <w:t>Crossan &amp; Apaydin, 2010</w:t>
      </w:r>
      <w:r w:rsidRPr="00C9129E">
        <w:rPr>
          <w:rFonts w:asciiTheme="majorBidi" w:hAnsiTheme="majorBidi" w:cs="Times New Roman"/>
          <w:sz w:val="20"/>
          <w:szCs w:val="20"/>
          <w:rtl/>
        </w:rPr>
        <w:t>).</w:t>
      </w:r>
    </w:p>
    <w:p w14:paraId="34EAF435" w14:textId="77777777" w:rsidR="004E195D" w:rsidRPr="000A1FE3" w:rsidRDefault="004E195D" w:rsidP="004E195D">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1.2 </w:t>
      </w:r>
      <w:r w:rsidRPr="000A1FE3">
        <w:rPr>
          <w:rFonts w:asciiTheme="majorBidi" w:hAnsiTheme="majorBidi" w:cs="Times New Roman"/>
          <w:b/>
          <w:bCs/>
          <w:sz w:val="32"/>
          <w:szCs w:val="32"/>
          <w:rtl/>
        </w:rPr>
        <w:t>مفهوم الابتكار التنظيمي:</w:t>
      </w:r>
    </w:p>
    <w:p w14:paraId="34A77816" w14:textId="77777777" w:rsidR="004E195D" w:rsidRDefault="004E195D" w:rsidP="004E195D">
      <w:pPr>
        <w:bidi/>
        <w:spacing w:line="360" w:lineRule="auto"/>
        <w:jc w:val="both"/>
        <w:rPr>
          <w:rFonts w:asciiTheme="majorBidi" w:hAnsiTheme="majorBidi" w:cs="Times New Roman"/>
          <w:sz w:val="32"/>
          <w:szCs w:val="32"/>
          <w:rtl/>
        </w:rPr>
      </w:pPr>
      <w:r w:rsidRPr="000A1FE3">
        <w:rPr>
          <w:rFonts w:asciiTheme="majorBidi" w:hAnsiTheme="majorBidi" w:cs="Times New Roman"/>
          <w:sz w:val="32"/>
          <w:szCs w:val="32"/>
          <w:rtl/>
        </w:rPr>
        <w:t xml:space="preserve"> تعددت تعريفات الابتكار التنظيمي في الأدبيات الإدارية نتيجة لتعدد زوايا النظر التي تناول بها الباحثون هذا المفهوم.</w:t>
      </w:r>
    </w:p>
    <w:p w14:paraId="17B6ADE0" w14:textId="77777777" w:rsidR="004E195D"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tl/>
        </w:rPr>
        <w:t>عرّف بيرلا مادان (2017) الابتكار التنظيمي بأنه توليد الأفكار أو الأنظمة أو المنتجات والخدمات الجديدة، ثم قبولها وتنفيذها، مما يضمن الاستخدام الإبداعي والابتكار الأصيل.</w:t>
      </w:r>
    </w:p>
    <w:p w14:paraId="56392199" w14:textId="77777777" w:rsidR="004E195D"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w:t>
      </w:r>
      <w:r w:rsidRPr="002A38EA">
        <w:rPr>
          <w:rFonts w:asciiTheme="majorBidi" w:hAnsiTheme="majorBidi" w:cs="Times New Roman"/>
          <w:sz w:val="32"/>
          <w:szCs w:val="32"/>
          <w:rtl/>
        </w:rPr>
        <w:t xml:space="preserve"> بينما عرّفه حيالي (2017) بأنه تنمية تستجيب لحاجات الحاضر دون أن تعرض حاجات الأجيال السابقة للخطر. ويُعرَّف الابتكار بأنه قيمة مضافة لأداء المنظمة وأنشطتها الوطنية، وهو تطوير لقيمة المستفيدين من خلال توفير احتياجات جديدة أو تلبية متطلبات المستفيدين الحاليين والسوق بطرق متميزة </w:t>
      </w:r>
      <w:r w:rsidRPr="00C9129E">
        <w:rPr>
          <w:rFonts w:asciiTheme="majorBidi" w:hAnsiTheme="majorBidi" w:cs="Times New Roman"/>
          <w:sz w:val="20"/>
          <w:szCs w:val="20"/>
          <w:rtl/>
        </w:rPr>
        <w:t>(</w:t>
      </w:r>
      <w:r w:rsidRPr="00C9129E">
        <w:rPr>
          <w:rFonts w:asciiTheme="majorBidi" w:hAnsiTheme="majorBidi" w:cs="Times New Roman"/>
          <w:sz w:val="20"/>
          <w:szCs w:val="20"/>
        </w:rPr>
        <w:t xml:space="preserve">Alharbi, Jamil, Mahmood, and </w:t>
      </w:r>
      <w:proofErr w:type="spellStart"/>
      <w:r w:rsidRPr="00C9129E">
        <w:rPr>
          <w:rFonts w:asciiTheme="majorBidi" w:hAnsiTheme="majorBidi" w:cs="Times New Roman"/>
          <w:sz w:val="20"/>
          <w:szCs w:val="20"/>
        </w:rPr>
        <w:t>Shaharoun</w:t>
      </w:r>
      <w:proofErr w:type="spellEnd"/>
      <w:r w:rsidRPr="00C9129E">
        <w:rPr>
          <w:rFonts w:asciiTheme="majorBidi" w:hAnsiTheme="majorBidi" w:cs="Times New Roman"/>
          <w:sz w:val="20"/>
          <w:szCs w:val="20"/>
        </w:rPr>
        <w:t>, 2019</w:t>
      </w:r>
      <w:r w:rsidRPr="00C9129E">
        <w:rPr>
          <w:rFonts w:asciiTheme="majorBidi" w:hAnsiTheme="majorBidi" w:cs="Times New Roman"/>
          <w:sz w:val="20"/>
          <w:szCs w:val="20"/>
          <w:rtl/>
        </w:rPr>
        <w:t>).</w:t>
      </w:r>
    </w:p>
    <w:p w14:paraId="68CABF66" w14:textId="77777777" w:rsidR="004E195D"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0A1FE3">
        <w:rPr>
          <w:rFonts w:asciiTheme="majorBidi" w:hAnsiTheme="majorBidi" w:cs="Times New Roman"/>
          <w:sz w:val="32"/>
          <w:szCs w:val="32"/>
          <w:rtl/>
        </w:rPr>
        <w:t>فعرّفته منظمة التعاون الاقتصادي والتنمية (</w:t>
      </w:r>
      <w:r w:rsidRPr="000A1FE3">
        <w:rPr>
          <w:rFonts w:asciiTheme="majorBidi" w:hAnsiTheme="majorBidi" w:cs="Times New Roman"/>
          <w:sz w:val="32"/>
          <w:szCs w:val="32"/>
        </w:rPr>
        <w:t>OECD</w:t>
      </w:r>
      <w:r w:rsidRPr="000A1FE3">
        <w:rPr>
          <w:rFonts w:asciiTheme="majorBidi" w:hAnsiTheme="majorBidi" w:cs="Times New Roman"/>
          <w:sz w:val="32"/>
          <w:szCs w:val="32"/>
          <w:rtl/>
        </w:rPr>
        <w:t xml:space="preserve">) بأنه: تطبيق طريقة تنظيمية جديدة في ممارسات الأعمال، أو تنظيم مكان العمل، أو العلاقات الخارجية للمنظمة </w:t>
      </w:r>
      <w:r w:rsidRPr="00C9129E">
        <w:rPr>
          <w:rFonts w:asciiTheme="majorBidi" w:hAnsiTheme="majorBidi" w:cs="Times New Roman"/>
          <w:sz w:val="20"/>
          <w:szCs w:val="20"/>
          <w:rtl/>
        </w:rPr>
        <w:t>(</w:t>
      </w:r>
      <w:r w:rsidRPr="00C9129E">
        <w:rPr>
          <w:rFonts w:asciiTheme="majorBidi" w:hAnsiTheme="majorBidi" w:cs="Times New Roman"/>
          <w:sz w:val="20"/>
          <w:szCs w:val="20"/>
        </w:rPr>
        <w:t>OECD, 2018</w:t>
      </w:r>
      <w:r w:rsidRPr="00C9129E">
        <w:rPr>
          <w:rFonts w:asciiTheme="majorBidi" w:hAnsiTheme="majorBidi" w:cs="Times New Roman"/>
          <w:sz w:val="20"/>
          <w:szCs w:val="20"/>
          <w:rtl/>
        </w:rPr>
        <w:t>).</w:t>
      </w:r>
    </w:p>
    <w:p w14:paraId="451D9D92" w14:textId="77777777" w:rsidR="004E195D"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w:t>
      </w:r>
      <w:r w:rsidRPr="000A1FE3">
        <w:rPr>
          <w:rFonts w:asciiTheme="majorBidi" w:hAnsiTheme="majorBidi" w:cs="Times New Roman"/>
          <w:sz w:val="32"/>
          <w:szCs w:val="32"/>
          <w:rtl/>
        </w:rPr>
        <w:t xml:space="preserve"> يرى الباحث فريبورز دامنبور (</w:t>
      </w:r>
      <w:r w:rsidRPr="000A1FE3">
        <w:rPr>
          <w:rFonts w:asciiTheme="majorBidi" w:hAnsiTheme="majorBidi" w:cs="Times New Roman"/>
          <w:sz w:val="32"/>
          <w:szCs w:val="32"/>
        </w:rPr>
        <w:t xml:space="preserve">Fariborz </w:t>
      </w:r>
      <w:proofErr w:type="spellStart"/>
      <w:r w:rsidRPr="000A1FE3">
        <w:rPr>
          <w:rFonts w:asciiTheme="majorBidi" w:hAnsiTheme="majorBidi" w:cs="Times New Roman"/>
          <w:sz w:val="32"/>
          <w:szCs w:val="32"/>
        </w:rPr>
        <w:t>Damanpour</w:t>
      </w:r>
      <w:proofErr w:type="spellEnd"/>
      <w:r w:rsidRPr="000A1FE3">
        <w:rPr>
          <w:rFonts w:asciiTheme="majorBidi" w:hAnsiTheme="majorBidi" w:cs="Times New Roman"/>
          <w:sz w:val="32"/>
          <w:szCs w:val="32"/>
          <w:rtl/>
        </w:rPr>
        <w:t xml:space="preserve">) أن الابتكار التنظيمي يتمثل في تبني أفكار أو ممارسات إدارية جديدة داخل المنظمة بما يؤدي إلى تحسين الأداء وزيادة الكفاءة التنظيمية </w:t>
      </w:r>
      <w:r w:rsidRPr="00C9129E">
        <w:rPr>
          <w:rFonts w:asciiTheme="majorBidi" w:hAnsiTheme="majorBidi" w:cs="Times New Roman"/>
          <w:sz w:val="20"/>
          <w:szCs w:val="20"/>
          <w:rtl/>
        </w:rPr>
        <w:t>(</w:t>
      </w:r>
      <w:proofErr w:type="spellStart"/>
      <w:r w:rsidRPr="00C9129E">
        <w:rPr>
          <w:rFonts w:asciiTheme="majorBidi" w:hAnsiTheme="majorBidi" w:cs="Times New Roman"/>
          <w:sz w:val="20"/>
          <w:szCs w:val="20"/>
        </w:rPr>
        <w:t>Damanpour</w:t>
      </w:r>
      <w:proofErr w:type="spellEnd"/>
      <w:r w:rsidRPr="00C9129E">
        <w:rPr>
          <w:rFonts w:asciiTheme="majorBidi" w:hAnsiTheme="majorBidi" w:cs="Times New Roman"/>
          <w:sz w:val="20"/>
          <w:szCs w:val="20"/>
        </w:rPr>
        <w:t>, 1991</w:t>
      </w:r>
      <w:r w:rsidRPr="00C9129E">
        <w:rPr>
          <w:rFonts w:asciiTheme="majorBidi" w:hAnsiTheme="majorBidi" w:cs="Times New Roman"/>
          <w:sz w:val="20"/>
          <w:szCs w:val="20"/>
          <w:rtl/>
        </w:rPr>
        <w:t>).</w:t>
      </w:r>
    </w:p>
    <w:p w14:paraId="1C32CB00" w14:textId="77777777" w:rsidR="004E195D" w:rsidRPr="00C9129E" w:rsidRDefault="004E195D" w:rsidP="004E195D">
      <w:pPr>
        <w:bidi/>
        <w:spacing w:line="360" w:lineRule="auto"/>
        <w:jc w:val="both"/>
        <w:rPr>
          <w:rFonts w:asciiTheme="majorBidi" w:hAnsiTheme="majorBidi" w:cs="Times New Roman"/>
          <w:sz w:val="20"/>
          <w:szCs w:val="20"/>
          <w:rtl/>
        </w:rPr>
      </w:pPr>
      <w:r>
        <w:rPr>
          <w:rFonts w:asciiTheme="majorBidi" w:hAnsiTheme="majorBidi" w:cs="Times New Roman" w:hint="cs"/>
          <w:sz w:val="32"/>
          <w:szCs w:val="32"/>
          <w:rtl/>
        </w:rPr>
        <w:t>-</w:t>
      </w:r>
      <w:r w:rsidRPr="000A1FE3">
        <w:rPr>
          <w:rFonts w:asciiTheme="majorBidi" w:hAnsiTheme="majorBidi" w:cs="Times New Roman"/>
          <w:sz w:val="32"/>
          <w:szCs w:val="32"/>
          <w:rtl/>
        </w:rPr>
        <w:t xml:space="preserve"> كما عرّفه المفكر الإداري بيتر دراكر (</w:t>
      </w:r>
      <w:r w:rsidRPr="000A1FE3">
        <w:rPr>
          <w:rFonts w:asciiTheme="majorBidi" w:hAnsiTheme="majorBidi" w:cs="Times New Roman"/>
          <w:sz w:val="32"/>
          <w:szCs w:val="32"/>
        </w:rPr>
        <w:t>Peter Drucker</w:t>
      </w:r>
      <w:r w:rsidRPr="000A1FE3">
        <w:rPr>
          <w:rFonts w:asciiTheme="majorBidi" w:hAnsiTheme="majorBidi" w:cs="Times New Roman"/>
          <w:sz w:val="32"/>
          <w:szCs w:val="32"/>
          <w:rtl/>
        </w:rPr>
        <w:t xml:space="preserve">) بأنه الأداة التي تستخدمها المنظمات لتحويل التغيير إلى فرصة من خلال تطوير أساليب الإدارة والعمل داخل المؤسسات </w:t>
      </w:r>
      <w:r w:rsidRPr="00C9129E">
        <w:rPr>
          <w:rFonts w:asciiTheme="majorBidi" w:hAnsiTheme="majorBidi" w:cs="Times New Roman"/>
          <w:sz w:val="20"/>
          <w:szCs w:val="20"/>
          <w:rtl/>
        </w:rPr>
        <w:t>(</w:t>
      </w:r>
      <w:r w:rsidRPr="00C9129E">
        <w:rPr>
          <w:rFonts w:asciiTheme="majorBidi" w:hAnsiTheme="majorBidi" w:cs="Times New Roman"/>
          <w:sz w:val="20"/>
          <w:szCs w:val="20"/>
        </w:rPr>
        <w:t>Drucker, 1985</w:t>
      </w:r>
      <w:r w:rsidRPr="00C9129E">
        <w:rPr>
          <w:rFonts w:asciiTheme="majorBidi" w:hAnsiTheme="majorBidi" w:cs="Times New Roman"/>
          <w:sz w:val="20"/>
          <w:szCs w:val="20"/>
          <w:rtl/>
        </w:rPr>
        <w:t>).</w:t>
      </w:r>
    </w:p>
    <w:p w14:paraId="63A2741F" w14:textId="77777777" w:rsidR="004E195D" w:rsidRPr="00BC0466" w:rsidRDefault="004E195D" w:rsidP="004E195D">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BC0466">
        <w:rPr>
          <w:rFonts w:asciiTheme="majorBidi" w:hAnsiTheme="majorBidi" w:cstheme="majorBidi"/>
          <w:sz w:val="32"/>
          <w:szCs w:val="32"/>
          <w:rtl/>
        </w:rPr>
        <w:t xml:space="preserve">من حيث المبدأ، يُعرَّف الابتكار التنظيمي بأنه العملية التي تُطوِّر من خلالها المنظمة منتجات أو خدمات جديدة متطورة، ونجاحها في طرح هذه المنتجات أو الخدمات في السوق. ومن منظور </w:t>
      </w:r>
      <w:r w:rsidRPr="00BC0466">
        <w:rPr>
          <w:rFonts w:asciiTheme="majorBidi" w:hAnsiTheme="majorBidi" w:cstheme="majorBidi"/>
          <w:sz w:val="32"/>
          <w:szCs w:val="32"/>
          <w:rtl/>
        </w:rPr>
        <w:lastRenderedPageBreak/>
        <w:t xml:space="preserve">آخر، يُمكن تعريفه بأنه قدرة المنظمة على تحويل الأفكار والمعرفة إلى خدمات أو عمليات أو منتجات جديدة بشكل منتظم لصالح أصحاب المصلحة فيها </w:t>
      </w:r>
      <w:r w:rsidRPr="00C9129E">
        <w:rPr>
          <w:rFonts w:asciiTheme="majorBidi" w:hAnsiTheme="majorBidi" w:cstheme="majorBidi"/>
          <w:sz w:val="20"/>
          <w:szCs w:val="20"/>
          <w:rtl/>
        </w:rPr>
        <w:t>(الحربي وآخرون، 2019)</w:t>
      </w:r>
      <w:r w:rsidRPr="00C9129E">
        <w:rPr>
          <w:rFonts w:asciiTheme="majorBidi" w:hAnsiTheme="majorBidi" w:cstheme="majorBidi"/>
          <w:sz w:val="20"/>
          <w:szCs w:val="20"/>
        </w:rPr>
        <w:t>.</w:t>
      </w:r>
    </w:p>
    <w:p w14:paraId="6A4DC125" w14:textId="77777777" w:rsidR="004E195D" w:rsidRPr="00BC0466" w:rsidRDefault="004E195D" w:rsidP="004E195D">
      <w:pPr>
        <w:bidi/>
        <w:spacing w:line="360" w:lineRule="auto"/>
        <w:jc w:val="both"/>
        <w:rPr>
          <w:rFonts w:asciiTheme="majorBidi" w:hAnsiTheme="majorBidi" w:cstheme="majorBidi"/>
          <w:sz w:val="32"/>
          <w:szCs w:val="32"/>
          <w:rtl/>
        </w:rPr>
      </w:pPr>
      <w:r w:rsidRPr="00BC0466">
        <w:rPr>
          <w:rFonts w:asciiTheme="majorBidi" w:hAnsiTheme="majorBidi" w:cstheme="majorBidi"/>
          <w:sz w:val="32"/>
          <w:szCs w:val="32"/>
          <w:rtl/>
        </w:rPr>
        <w:t xml:space="preserve">توجد تعريفات متعددة للابتكار التنظيمي في دراسات مختلفة. ومع ذلك، تجدر الإشارة إلى أن جميع التعريفات تُشير إلى الابتكار التنظيمي كعملية منهجية واحدة تشمل الأفكار والسلوكيات التي يُمكن أن تُسهم في تغيير المنظمة إيجابياً </w:t>
      </w:r>
      <w:r w:rsidRPr="001240F8">
        <w:rPr>
          <w:rFonts w:asciiTheme="majorBidi" w:hAnsiTheme="majorBidi" w:cstheme="majorBidi"/>
          <w:sz w:val="20"/>
          <w:szCs w:val="20"/>
          <w:rtl/>
        </w:rPr>
        <w:t>(دامانبور وأرافيند، 2012).</w:t>
      </w:r>
    </w:p>
    <w:p w14:paraId="43F79A42" w14:textId="77777777" w:rsidR="004E195D" w:rsidRDefault="004E195D" w:rsidP="004E195D">
      <w:pPr>
        <w:bidi/>
        <w:spacing w:line="360" w:lineRule="auto"/>
        <w:jc w:val="both"/>
        <w:rPr>
          <w:rFonts w:asciiTheme="majorBidi" w:hAnsiTheme="majorBidi" w:cs="Times New Roman"/>
          <w:sz w:val="32"/>
          <w:szCs w:val="32"/>
          <w:rtl/>
        </w:rPr>
      </w:pPr>
      <w:r w:rsidRPr="000A1FE3">
        <w:rPr>
          <w:rFonts w:asciiTheme="majorBidi" w:hAnsiTheme="majorBidi" w:cs="Times New Roman"/>
          <w:sz w:val="32"/>
          <w:szCs w:val="32"/>
          <w:rtl/>
        </w:rPr>
        <w:t>بناءً على هذه التعريفات، يمكن القول إن الابتكار التنظيمي يشير إلى إحداث تغييرات جديدة في الهياكل التنظيمية، أو العمليات الإدارية، أو الممارسات المتبعة، بما يساهم في تحسين الأداء المؤسسي وتعزيز القدرة التنافسية للمنظمات.</w:t>
      </w:r>
    </w:p>
    <w:p w14:paraId="0CE5AC72" w14:textId="77777777" w:rsidR="004E195D" w:rsidRPr="002A38EA" w:rsidRDefault="004E195D" w:rsidP="004E195D">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2.2 </w:t>
      </w:r>
      <w:r w:rsidRPr="002A38EA">
        <w:rPr>
          <w:rFonts w:asciiTheme="majorBidi" w:hAnsiTheme="majorBidi" w:cs="Times New Roman"/>
          <w:b/>
          <w:bCs/>
          <w:sz w:val="32"/>
          <w:szCs w:val="32"/>
          <w:rtl/>
        </w:rPr>
        <w:t>أهمية الابتكار التنظيمي</w:t>
      </w:r>
      <w:r w:rsidRPr="002A38EA">
        <w:rPr>
          <w:rFonts w:asciiTheme="majorBidi" w:hAnsiTheme="majorBidi" w:cs="Times New Roman"/>
          <w:b/>
          <w:bCs/>
          <w:sz w:val="32"/>
          <w:szCs w:val="32"/>
        </w:rPr>
        <w:t>:</w:t>
      </w:r>
    </w:p>
    <w:p w14:paraId="62155C6A" w14:textId="77777777" w:rsidR="004E195D" w:rsidRPr="002A38EA" w:rsidRDefault="004E195D" w:rsidP="004E195D">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يؤثر الابتكار التنظيمي تأثيراً كبيراً على أداء المنظمة واستمراريتها، فهو يمكّن المؤسسة من اكتساب ميزة تنافسية وتوسيع حصتها السوقية عبر إنتاج منتجات فريدة ومبتكرة لعملائها. عندما تنجح المنظمة في ذلك، فإنها تحسّن مخرجاتها، وهو ما يحدد بشكل كبير معدل نجاحها. ولضمان فعالية الابتكار التنظيمي، يجب على المدراء التركيز على أربعة مجالات استراتيجية: العمليات، والسياق التنظيمي الداعم، والروابط الخارجية الفعالة، والتعلم. تساعد هذه المجالات المنظمة على تعزيز روح الابتكار لدى موظفيها، مما يترجم في نهاية المطاف إلى ابتكار تنظيمي</w:t>
      </w:r>
      <w:r w:rsidRPr="002A38EA">
        <w:rPr>
          <w:rFonts w:asciiTheme="majorBidi" w:hAnsiTheme="majorBidi" w:cs="Times New Roman"/>
          <w:sz w:val="32"/>
          <w:szCs w:val="32"/>
        </w:rPr>
        <w:t>.</w:t>
      </w:r>
    </w:p>
    <w:p w14:paraId="688747E4" w14:textId="77777777" w:rsidR="004E195D" w:rsidRPr="002A38EA" w:rsidRDefault="004E195D" w:rsidP="004E195D">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لا تكمن أهمية الابتكار في القدرة التنافسية للمؤسسة فحسب، بل تمتد لتشمل التنمية الاجتماعية أيضاً. وقد ذكر كل من مارتن (2017) وتوهيدي وجباري (2012) أهمية الابتكار التنظيمي في النقاط التالية</w:t>
      </w:r>
      <w:r w:rsidRPr="002A38EA">
        <w:rPr>
          <w:rFonts w:asciiTheme="majorBidi" w:hAnsiTheme="majorBidi" w:cs="Times New Roman"/>
          <w:sz w:val="32"/>
          <w:szCs w:val="32"/>
        </w:rPr>
        <w:t>:</w:t>
      </w:r>
    </w:p>
    <w:p w14:paraId="28DDD98F"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يمكن أن يتجلى الابتكار عند إدخال أو تسويق منتج أو خدمة جديدة أو مُحسَّنة تختلف عن المنتجات أو الخدمات الحالية</w:t>
      </w:r>
      <w:r w:rsidRPr="002A38EA">
        <w:rPr>
          <w:rFonts w:asciiTheme="majorBidi" w:hAnsiTheme="majorBidi" w:cs="Times New Roman"/>
          <w:sz w:val="32"/>
          <w:szCs w:val="32"/>
        </w:rPr>
        <w:t>.</w:t>
      </w:r>
    </w:p>
    <w:p w14:paraId="61F013B8"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يوضح هذا أن الابتكار يؤدي إلى ظهور منتجات وخدمات جديدة في السوق</w:t>
      </w:r>
      <w:r w:rsidRPr="002A38EA">
        <w:rPr>
          <w:rFonts w:asciiTheme="majorBidi" w:hAnsiTheme="majorBidi" w:cs="Times New Roman"/>
          <w:sz w:val="32"/>
          <w:szCs w:val="32"/>
        </w:rPr>
        <w:t>.</w:t>
      </w:r>
    </w:p>
    <w:p w14:paraId="523172B4"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lastRenderedPageBreak/>
        <w:t xml:space="preserve">-  </w:t>
      </w:r>
      <w:r w:rsidRPr="002A38EA">
        <w:rPr>
          <w:rFonts w:asciiTheme="majorBidi" w:hAnsiTheme="majorBidi" w:cs="Times New Roman"/>
          <w:sz w:val="32"/>
          <w:szCs w:val="32"/>
          <w:rtl/>
        </w:rPr>
        <w:t>يعمل الابتكار التنظيمي على إيجاد عملية إنتاج بديلة أو تحسين عملية الأعمال الحالية بأكثر الطرق ابتكاراً لإنتاج شكل جديد</w:t>
      </w:r>
      <w:r w:rsidRPr="002A38EA">
        <w:rPr>
          <w:rFonts w:asciiTheme="majorBidi" w:hAnsiTheme="majorBidi" w:cs="Times New Roman"/>
          <w:sz w:val="32"/>
          <w:szCs w:val="32"/>
        </w:rPr>
        <w:t>.</w:t>
      </w:r>
    </w:p>
    <w:p w14:paraId="4E0A3CB4"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يفتح الابتكار أبواباً لأسواق جديدة، ويتعلق بضمان تسويق سلس للمنتجات المستحدثة</w:t>
      </w:r>
      <w:r w:rsidRPr="002A38EA">
        <w:rPr>
          <w:rFonts w:asciiTheme="majorBidi" w:hAnsiTheme="majorBidi" w:cs="Times New Roman"/>
          <w:sz w:val="32"/>
          <w:szCs w:val="32"/>
        </w:rPr>
        <w:t>.</w:t>
      </w:r>
    </w:p>
    <w:p w14:paraId="79C7B302"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يؤدي التجديد من جانب الموظفين والإدارة إلى خيارات تسويقية أفضل وتحقيق مبيعات أعلى</w:t>
      </w:r>
      <w:r w:rsidRPr="002A38EA">
        <w:rPr>
          <w:rFonts w:asciiTheme="majorBidi" w:hAnsiTheme="majorBidi" w:cs="Times New Roman"/>
          <w:sz w:val="32"/>
          <w:szCs w:val="32"/>
        </w:rPr>
        <w:t>.</w:t>
      </w:r>
    </w:p>
    <w:p w14:paraId="7D2B49F6"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يُسهم الابتكار التنظيمي في تطوير مصادر إمداد بديلة مثل المواد والمعدات والمدخلات الأخرى المتنوعة</w:t>
      </w:r>
      <w:r w:rsidRPr="002A38EA">
        <w:rPr>
          <w:rFonts w:asciiTheme="majorBidi" w:hAnsiTheme="majorBidi" w:cs="Times New Roman"/>
          <w:sz w:val="32"/>
          <w:szCs w:val="32"/>
        </w:rPr>
        <w:t>.</w:t>
      </w:r>
    </w:p>
    <w:p w14:paraId="00C1547D"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ينتج عن الابتكار التنظيمي تحولات جوهرية في الهياكل الصناعية والتنظيمية</w:t>
      </w:r>
      <w:r w:rsidRPr="002A38EA">
        <w:rPr>
          <w:rFonts w:asciiTheme="majorBidi" w:hAnsiTheme="majorBidi" w:cs="Times New Roman"/>
          <w:sz w:val="32"/>
          <w:szCs w:val="32"/>
        </w:rPr>
        <w:t>.</w:t>
      </w:r>
    </w:p>
    <w:p w14:paraId="13D2E51A"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يمهد الابتكار الطريق لترويج المبتكرين</w:t>
      </w:r>
      <w:r w:rsidRPr="002A38EA">
        <w:rPr>
          <w:rFonts w:asciiTheme="majorBidi" w:hAnsiTheme="majorBidi" w:cs="Times New Roman"/>
          <w:sz w:val="32"/>
          <w:szCs w:val="32"/>
        </w:rPr>
        <w:t>.</w:t>
      </w:r>
    </w:p>
    <w:p w14:paraId="1CABD7F0"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يحسّن الابتكار التنظيمي من الإبداع والمرونة، مما يعزز الابتكارات التكنولوجية</w:t>
      </w:r>
      <w:r w:rsidRPr="002A38EA">
        <w:rPr>
          <w:rFonts w:asciiTheme="majorBidi" w:hAnsiTheme="majorBidi" w:cs="Times New Roman"/>
          <w:sz w:val="32"/>
          <w:szCs w:val="32"/>
        </w:rPr>
        <w:t>.</w:t>
      </w:r>
    </w:p>
    <w:p w14:paraId="0787C7BA" w14:textId="77777777" w:rsidR="004E195D" w:rsidRPr="002A38EA" w:rsidRDefault="004E195D" w:rsidP="004E195D">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أما الحيالي (2016) فقد أشار إلى أهمية الابتكار التنظيمي كالتالي</w:t>
      </w:r>
      <w:r w:rsidRPr="002A38EA">
        <w:rPr>
          <w:rFonts w:asciiTheme="majorBidi" w:hAnsiTheme="majorBidi" w:cs="Times New Roman"/>
          <w:sz w:val="32"/>
          <w:szCs w:val="32"/>
        </w:rPr>
        <w:t>:</w:t>
      </w:r>
    </w:p>
    <w:p w14:paraId="7F05E8DF" w14:textId="77777777" w:rsidR="004E195D" w:rsidRPr="002A38EA"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سمة إنسانية تعكس حالة من الارتقاء الذهني لتحدي المألوف وتوليد المعرفة عبر خلق شيء جديد</w:t>
      </w:r>
      <w:r w:rsidRPr="002A38EA">
        <w:rPr>
          <w:rFonts w:asciiTheme="majorBidi" w:hAnsiTheme="majorBidi" w:cs="Times New Roman"/>
          <w:sz w:val="32"/>
          <w:szCs w:val="32"/>
        </w:rPr>
        <w:t>.</w:t>
      </w:r>
    </w:p>
    <w:p w14:paraId="20C3A159" w14:textId="77777777" w:rsidR="004E195D"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w:t>
      </w:r>
      <w:r w:rsidRPr="002A38EA">
        <w:rPr>
          <w:rFonts w:asciiTheme="majorBidi" w:hAnsiTheme="majorBidi" w:cs="Times New Roman"/>
          <w:sz w:val="32"/>
          <w:szCs w:val="32"/>
          <w:rtl/>
        </w:rPr>
        <w:t xml:space="preserve">  الوصول إلى أفضل المنتجات من خلال الالتزام بأفضل العمليات التي ينفذها كوادر متميزة ومؤهلة.</w:t>
      </w:r>
    </w:p>
    <w:p w14:paraId="0C11859D" w14:textId="77777777" w:rsidR="004E195D" w:rsidRPr="001240F8" w:rsidRDefault="004E195D" w:rsidP="004E195D">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3.2 </w:t>
      </w:r>
      <w:r w:rsidRPr="001240F8">
        <w:rPr>
          <w:rFonts w:asciiTheme="majorBidi" w:hAnsiTheme="majorBidi" w:cs="Times New Roman"/>
          <w:b/>
          <w:bCs/>
          <w:sz w:val="32"/>
          <w:szCs w:val="32"/>
          <w:rtl/>
        </w:rPr>
        <w:t>أبعاد الابتكار التنظيمي</w:t>
      </w:r>
      <w:r w:rsidRPr="001240F8">
        <w:rPr>
          <w:rFonts w:asciiTheme="majorBidi" w:hAnsiTheme="majorBidi" w:cs="Times New Roman"/>
          <w:b/>
          <w:bCs/>
          <w:sz w:val="32"/>
          <w:szCs w:val="32"/>
        </w:rPr>
        <w:t>:</w:t>
      </w:r>
    </w:p>
    <w:p w14:paraId="173F86F1" w14:textId="77777777" w:rsidR="004E195D" w:rsidRPr="002A38EA" w:rsidRDefault="004E195D" w:rsidP="004E195D">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تعددت أبعاد الابتكار التنظيمي، ففي الأدبيات التي تم الاطلاع عليها، لوحظ وجود أكثر من نموذج، وقد استعرض عبد الحليم (2021) التقسيمات الأكثر شيوعا والمتفق عليها بالغالبية وتحديد أبعاد الابتكار التنظيمي التالية: الابتكار الإداري الابتكار التقني، الابتكار الإضافي الابتكار الاستراتيجي والبشري</w:t>
      </w:r>
      <w:r w:rsidRPr="002A38EA">
        <w:rPr>
          <w:rFonts w:asciiTheme="majorBidi" w:hAnsiTheme="majorBidi" w:cs="Times New Roman"/>
          <w:sz w:val="32"/>
          <w:szCs w:val="32"/>
        </w:rPr>
        <w:t>.</w:t>
      </w:r>
    </w:p>
    <w:p w14:paraId="7B289A26"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الإداري</w:t>
      </w:r>
      <w:r w:rsidRPr="001240F8">
        <w:rPr>
          <w:rFonts w:asciiTheme="majorBidi" w:hAnsiTheme="majorBidi" w:cs="Times New Roman"/>
          <w:b/>
          <w:bCs/>
          <w:sz w:val="32"/>
          <w:szCs w:val="32"/>
        </w:rPr>
        <w:t xml:space="preserve"> :</w:t>
      </w:r>
    </w:p>
    <w:p w14:paraId="5FAE9266" w14:textId="3948069A" w:rsidR="004E195D" w:rsidRPr="002A38EA" w:rsidRDefault="004E195D" w:rsidP="004E195D">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lastRenderedPageBreak/>
        <w:t xml:space="preserve">يعد الابتكار الإداري واحداً من مجالات الابتكار التنظيمي، وهو الفضاء الذي يمس تطوير الجانب الإداري للمؤسسات، فهناك عدة مفاهيم للابتكار الإداري، حيث عرفه </w:t>
      </w:r>
      <w:r w:rsidR="000360B7" w:rsidRPr="000360B7">
        <w:rPr>
          <w:rFonts w:asciiTheme="majorBidi" w:hAnsiTheme="majorBidi" w:cs="Times New Roman"/>
          <w:sz w:val="20"/>
          <w:szCs w:val="20"/>
        </w:rPr>
        <w:t>)</w:t>
      </w:r>
      <w:r w:rsidRPr="000360B7">
        <w:rPr>
          <w:rFonts w:asciiTheme="majorBidi" w:hAnsiTheme="majorBidi" w:cs="Times New Roman"/>
          <w:sz w:val="20"/>
          <w:szCs w:val="20"/>
          <w:rtl/>
        </w:rPr>
        <w:t xml:space="preserve">الشرقاوي </w:t>
      </w:r>
      <w:r w:rsidR="000360B7">
        <w:rPr>
          <w:rFonts w:asciiTheme="majorBidi" w:hAnsiTheme="majorBidi" w:cs="Times New Roman" w:hint="cs"/>
          <w:sz w:val="20"/>
          <w:szCs w:val="20"/>
          <w:rtl/>
        </w:rPr>
        <w:t>ص33، 2016</w:t>
      </w:r>
      <w:r w:rsidRPr="000360B7">
        <w:rPr>
          <w:rFonts w:asciiTheme="majorBidi" w:hAnsiTheme="majorBidi" w:cs="Times New Roman"/>
          <w:sz w:val="20"/>
          <w:szCs w:val="20"/>
          <w:rtl/>
        </w:rPr>
        <w:t>)</w:t>
      </w:r>
      <w:r w:rsidRPr="002A38EA">
        <w:rPr>
          <w:rFonts w:asciiTheme="majorBidi" w:hAnsiTheme="majorBidi" w:cs="Times New Roman"/>
          <w:sz w:val="32"/>
          <w:szCs w:val="32"/>
          <w:rtl/>
        </w:rPr>
        <w:t xml:space="preserve"> أنه يشمل جميع أعمال الإدارة وأوجه العملية الإدارية والوظيفية للمنظمة كالمالية والأفراد وغيرها</w:t>
      </w:r>
      <w:r w:rsidRPr="002A38EA">
        <w:rPr>
          <w:rFonts w:asciiTheme="majorBidi" w:hAnsiTheme="majorBidi" w:cs="Times New Roman"/>
          <w:sz w:val="32"/>
          <w:szCs w:val="32"/>
        </w:rPr>
        <w:t>"</w:t>
      </w:r>
    </w:p>
    <w:p w14:paraId="473330CA" w14:textId="77777777" w:rsidR="004E195D" w:rsidRDefault="004E195D" w:rsidP="004E195D">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ويوضح مفهوم الابتكار الإداري التعريف الذي قدمه عبد الحليم (2022) بأن الابتكار الإداري هو الإتيان بالجديد بكل ما يتجاوز الطريقة الواحدة إلى الطرق المتعددة التي تعني أن الطريقة الإدارية لها أكثر من طريقة لتحقيق الأهداف الإدارية بكفاءة عالية، والدليل على ذلك أن بعض الطرق لم توجد حتى الآن ولا يزال على المبتكرين الوصول إليها، بما يتجاوز أي طريقة</w:t>
      </w:r>
    </w:p>
    <w:p w14:paraId="11E39824" w14:textId="77777777" w:rsidR="004E195D" w:rsidRPr="001E7F26" w:rsidRDefault="004E195D" w:rsidP="004E195D">
      <w:pPr>
        <w:bidi/>
        <w:spacing w:line="360" w:lineRule="auto"/>
        <w:jc w:val="both"/>
        <w:rPr>
          <w:rFonts w:asciiTheme="majorBidi" w:hAnsiTheme="majorBidi" w:cs="Times New Roman"/>
          <w:sz w:val="32"/>
          <w:szCs w:val="32"/>
          <w:rtl/>
        </w:rPr>
      </w:pPr>
      <w:r w:rsidRPr="001E7F26">
        <w:rPr>
          <w:rFonts w:asciiTheme="majorBidi" w:hAnsiTheme="majorBidi" w:cs="Times New Roman"/>
          <w:sz w:val="32"/>
          <w:szCs w:val="32"/>
          <w:rtl/>
        </w:rPr>
        <w:t>فيما يتعلق بالفعالية أو الكفاءة، فإن المهم ليس الابتكار الماضي أو الحالي، بل كيفية إدارة الابتكار بشكل مستمر. وقد أشار جوديه ومارك</w:t>
      </w:r>
      <w:r>
        <w:rPr>
          <w:rFonts w:asciiTheme="majorBidi" w:hAnsiTheme="majorBidi" w:cs="Times New Roman" w:hint="cs"/>
          <w:sz w:val="32"/>
          <w:szCs w:val="32"/>
          <w:rtl/>
        </w:rPr>
        <w:t xml:space="preserve"> (</w:t>
      </w:r>
      <w:r w:rsidRPr="001E7F26">
        <w:rPr>
          <w:rFonts w:asciiTheme="majorBidi" w:hAnsiTheme="majorBidi" w:cs="Times New Roman"/>
          <w:sz w:val="32"/>
          <w:szCs w:val="32"/>
        </w:rPr>
        <w:t>Godet and Marc</w:t>
      </w:r>
      <w:r>
        <w:rPr>
          <w:rFonts w:asciiTheme="majorBidi" w:hAnsiTheme="majorBidi" w:cs="Times New Roman" w:hint="cs"/>
          <w:sz w:val="32"/>
          <w:szCs w:val="32"/>
          <w:rtl/>
        </w:rPr>
        <w:t>،2019)</w:t>
      </w:r>
      <w:r w:rsidRPr="001E7F26">
        <w:rPr>
          <w:rFonts w:asciiTheme="majorBidi" w:hAnsiTheme="majorBidi" w:cs="Times New Roman"/>
          <w:sz w:val="32"/>
          <w:szCs w:val="32"/>
        </w:rPr>
        <w:t xml:space="preserve"> </w:t>
      </w:r>
      <w:r w:rsidRPr="001E7F26">
        <w:rPr>
          <w:rFonts w:asciiTheme="majorBidi" w:hAnsiTheme="majorBidi" w:cs="Times New Roman"/>
          <w:sz w:val="32"/>
          <w:szCs w:val="32"/>
          <w:rtl/>
        </w:rPr>
        <w:t xml:space="preserve">إلى أهم </w:t>
      </w:r>
      <w:r w:rsidRPr="001240F8">
        <w:rPr>
          <w:rFonts w:asciiTheme="majorBidi" w:hAnsiTheme="majorBidi" w:cs="Times New Roman"/>
          <w:b/>
          <w:bCs/>
          <w:sz w:val="32"/>
          <w:szCs w:val="32"/>
          <w:rtl/>
        </w:rPr>
        <w:t>خصائص الابتكار الإداري</w:t>
      </w:r>
      <w:r w:rsidRPr="001E7F26">
        <w:rPr>
          <w:rFonts w:asciiTheme="majorBidi" w:hAnsiTheme="majorBidi" w:cs="Times New Roman"/>
          <w:sz w:val="32"/>
          <w:szCs w:val="32"/>
          <w:rtl/>
        </w:rPr>
        <w:t>، ومنها: اعتماد ابتكار المؤسسات على مبادئ جديدة تتحدى أساليب الإدارة التقليدية، وتنفيذ الابتكار بأسلوب منهجي يتضمن مجموعة مبتكرة من العمليات وأدوات التنفيذ، وكون الابتكار جزءًا من برنامج مستمر للاختراع يساهم في إحداث تطور تراكمي مع مرور الوقت. بناءً على ما سبق، يتضح أن الابتكار الإداري يعني التغيرات التي تجريها إدارات التعليم في الهيكل التنظيمي، وتصميم العمل وفق استراتيجيات وسياسات الإدارة، بما يحقق رؤية الإدارة وأهدافها</w:t>
      </w:r>
      <w:r w:rsidRPr="001E7F26">
        <w:rPr>
          <w:rFonts w:asciiTheme="majorBidi" w:hAnsiTheme="majorBidi" w:cs="Times New Roman"/>
          <w:sz w:val="32"/>
          <w:szCs w:val="32"/>
        </w:rPr>
        <w:t>.</w:t>
      </w:r>
    </w:p>
    <w:p w14:paraId="63505FFD"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التقني (التكنولوجي)</w:t>
      </w:r>
      <w:r w:rsidRPr="001240F8">
        <w:rPr>
          <w:rFonts w:asciiTheme="majorBidi" w:hAnsiTheme="majorBidi" w:cs="Times New Roman" w:hint="cs"/>
          <w:b/>
          <w:bCs/>
          <w:sz w:val="32"/>
          <w:szCs w:val="32"/>
          <w:rtl/>
        </w:rPr>
        <w:t>:</w:t>
      </w:r>
    </w:p>
    <w:p w14:paraId="1D7F4E9E" w14:textId="77777777" w:rsidR="004E195D" w:rsidRPr="001E7F26" w:rsidRDefault="004E195D" w:rsidP="004E195D">
      <w:pPr>
        <w:bidi/>
        <w:spacing w:line="360" w:lineRule="auto"/>
        <w:jc w:val="both"/>
        <w:rPr>
          <w:rFonts w:asciiTheme="majorBidi" w:hAnsiTheme="majorBidi" w:cs="Times New Roman"/>
          <w:sz w:val="32"/>
          <w:szCs w:val="32"/>
          <w:rtl/>
        </w:rPr>
      </w:pPr>
      <w:r w:rsidRPr="001E7F26">
        <w:rPr>
          <w:rFonts w:asciiTheme="majorBidi" w:hAnsiTheme="majorBidi" w:cs="Times New Roman"/>
          <w:sz w:val="32"/>
          <w:szCs w:val="32"/>
          <w:rtl/>
        </w:rPr>
        <w:t>فقد عرّف شرار (2019) نظام الابتكار التكنولوجي بأنه: شبكة ديناميكية من الجهات الفاعلة التي تتفاعل في مجال اقتصادي/صناعي معين، في ظل بنية تحتية مؤسسية محددة، وتشارك في إنشاء التكنولوجيا ونشرها واستخدامها. ويُعد نظام الابتكار التكنولوجي مفهومًا طُور في المجال العلمي للابتكار؛ حيث يعمل على شرح طبيعة التغير التكنولوجي ومعدله. كما عرّفه مجيد (2017) بأنه شبكة ديناميكية من الجهات الفاعلة التي تتفاعل في مجال اقتصادي/صناعي معين، في ظل بنية تحتية مؤسسية محددة، وتشارك في إنشاء التكنولوجيا ونشرها واستخدامها</w:t>
      </w:r>
      <w:r w:rsidRPr="001E7F26">
        <w:rPr>
          <w:rFonts w:asciiTheme="majorBidi" w:hAnsiTheme="majorBidi" w:cs="Times New Roman"/>
          <w:sz w:val="32"/>
          <w:szCs w:val="32"/>
        </w:rPr>
        <w:t>.</w:t>
      </w:r>
    </w:p>
    <w:p w14:paraId="37F7D7D8" w14:textId="77777777" w:rsidR="004E195D" w:rsidRDefault="004E195D" w:rsidP="004E195D">
      <w:pPr>
        <w:bidi/>
        <w:spacing w:line="360" w:lineRule="auto"/>
        <w:jc w:val="both"/>
        <w:rPr>
          <w:rFonts w:asciiTheme="majorBidi" w:hAnsiTheme="majorBidi" w:cs="Times New Roman"/>
          <w:sz w:val="32"/>
          <w:szCs w:val="32"/>
          <w:rtl/>
        </w:rPr>
      </w:pPr>
      <w:r w:rsidRPr="001E7F26">
        <w:rPr>
          <w:rFonts w:asciiTheme="majorBidi" w:hAnsiTheme="majorBidi" w:cs="Times New Roman"/>
          <w:sz w:val="32"/>
          <w:szCs w:val="32"/>
          <w:rtl/>
        </w:rPr>
        <w:lastRenderedPageBreak/>
        <w:t xml:space="preserve">وفي السياق ذاته، أشارت دراسة التويجري (2022) إلى إمكانية تطبيق النهج التكنولوجي على ثلاثة مستويات على الأقل من التحليل للتكنولوجيا، إما من ناحية مجال المعرفة، أو على منتج، أو على مجموعة من المنتجات ذات الصلة بهدف تلبية وظيفة (مجتمعية) معينة. وقد أثبت النهج نفسه أهميته في شرح أسباب تطور التقنيات المستدامة (مثل الطاقة) ونشرها في مجتمع ما، أو أسباب فشلها، حيث أشارت دراسات نظام الابتكار إلى تأثير الهياكل المجتمعية على التغيير التكنولوجي، وبشكل غير مباشر على النمو الاقتصادي طويل الأجل داخل الدول أو القطاعات أو المجالات التكنولوجية. </w:t>
      </w:r>
    </w:p>
    <w:p w14:paraId="3A204825" w14:textId="77777777" w:rsidR="004E195D" w:rsidRDefault="004E195D" w:rsidP="004E195D">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من أبرز خصائص الابتكار التكنولوجي ما يلي</w:t>
      </w:r>
      <w:r w:rsidRPr="00434046">
        <w:rPr>
          <w:rFonts w:asciiTheme="majorBidi" w:hAnsiTheme="majorBidi" w:cs="Times New Roman"/>
          <w:sz w:val="32"/>
          <w:szCs w:val="32"/>
          <w:rtl/>
        </w:rPr>
        <w:t xml:space="preserve">: أولاً، يؤكد مفهوم نظام الابتكار التكنولوجي أن مجرد تحفيز تدفق المعرفة لا يكفي لإحداث التغيير التكنولوجي والأداء الاقتصادي؛ بل يتطلب الأمر استثمار هذه المعرفة لخلق فرص عمل جديدة. ويركز هذا المفهوم على أهمية الأفراد كمصادر للابتكار، وهو جانب يُغفَل عنه أحيانًا في النُهج التي تركز على الاقتصاد الكلي أو المستويات الوطنية والقطاعية لنظم الابتكار. ثانيًا، يركز نهج نظام الابتكار التكنولوجي غالبًا على ديناميكيات النظام. وقد شجع التركيز على العمل الريادي العلماء على النظر إلى نظام الابتكار التكنولوجي كبنية تُبنى بمرور الوقت. تُسمى مكونات النظام في نظام الابتكار التكنولوجي «الهياكل»، وهي تمثل الجانب الثابت للنظام، إذ تتسم باستقرار نسبي مع الزمن. وهناك ثلاث فئات أساسية تميز الجهات الفاعلة: وهي المنظمات التي تساهم في التكنولوجيا، سواء كمطور أو متبنٍ، أو بشكل غير مباشر كمنظم أو ممول، وما إلى ذلك؛ حيث تُنشئ هذه الجهات وتُطوّر وتنشر وتستخدم الخيارات والإجراءات والتقنيات ضمن نظام الابتكار التكنولوجي. وتُعد المؤسسات (الهياكل المؤسسية) جوهر مفهوم نظام الابتكار؛ لذا فمن الشائع اعتبارها القواعد التي تحكم اللعبة في مجتمع ما، أو بشكل أكثر رسمية، القيود الموضوعة من قِبَل البشر التي تُشكّل التفاعل الإنساني. أما العوامل التكنولوجية، فتتكون الهياكل التكنولوجية فيها من المصنوعات والبنى التحتية التكنولوجية التي تُدمج فيها، وتشمل أيضًا الأعمال التقنية الاقتصادية المرتبطة بهذه المصنوعات، بما في ذلك التكاليف، والسلامة، والموثوقية. وتُعد هذه السمات حاسمة لفهم آليات </w:t>
      </w:r>
      <w:r w:rsidRPr="00434046">
        <w:rPr>
          <w:rFonts w:asciiTheme="majorBidi" w:hAnsiTheme="majorBidi" w:cs="Times New Roman"/>
          <w:sz w:val="32"/>
          <w:szCs w:val="32"/>
          <w:rtl/>
        </w:rPr>
        <w:lastRenderedPageBreak/>
        <w:t>النتائج المتبادلة بين التغير التكنولوجي والتغيير المؤسسي. وبناءً على ما سبق، يتضح أن الابتكار التقني هو ما تُحققه إدارة التعليم باستخدام وسائل التكنولوجيا المختلفة بهدف تطوير العمل أو تقديم خدمة أفضل وجديدة للموظفين وكافة المستفيدين.</w:t>
      </w:r>
    </w:p>
    <w:p w14:paraId="037C82A5" w14:textId="77777777" w:rsidR="004E195D" w:rsidRPr="00B65AE6" w:rsidRDefault="004E195D" w:rsidP="004E195D">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الابتكار الاستراتيجي:</w:t>
      </w:r>
      <w:r w:rsidRPr="00B65AE6">
        <w:rPr>
          <w:rFonts w:asciiTheme="majorBidi" w:hAnsiTheme="majorBidi" w:cs="Times New Roman"/>
          <w:sz w:val="32"/>
          <w:szCs w:val="32"/>
          <w:rtl/>
        </w:rPr>
        <w:t xml:space="preserve"> </w:t>
      </w:r>
    </w:p>
    <w:p w14:paraId="5AACA731"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عرّف العياط (2015) الابتكار الاستراتيجي بأنه قدرة تنظيمية تتطلب نظامًا إداريًا مصممًا لدعم هدف إنشاء أعمال جديدة، ويشمل هذا الهدف إعادة تخصيص الموارد وتغيير نماذج الأعمال. وأشار العياط إلى أن نظام الإدارة الاستراتيجية يتكون من ثمانية عناصر أساسية هي</w:t>
      </w:r>
      <w:r w:rsidRPr="00B65AE6">
        <w:rPr>
          <w:rFonts w:asciiTheme="majorBidi" w:hAnsiTheme="majorBidi" w:cs="Times New Roman"/>
          <w:sz w:val="32"/>
          <w:szCs w:val="32"/>
        </w:rPr>
        <w:t>:</w:t>
      </w:r>
    </w:p>
    <w:p w14:paraId="2C96E5EF"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1</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رؤية واضحة</w:t>
      </w:r>
      <w:r w:rsidRPr="00B65AE6">
        <w:rPr>
          <w:rFonts w:asciiTheme="majorBidi" w:hAnsiTheme="majorBidi" w:cs="Times New Roman"/>
          <w:sz w:val="32"/>
          <w:szCs w:val="32"/>
        </w:rPr>
        <w:t>.</w:t>
      </w:r>
    </w:p>
    <w:p w14:paraId="33FFC137"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2</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ثقافة مرنة</w:t>
      </w:r>
      <w:r w:rsidRPr="00B65AE6">
        <w:rPr>
          <w:rFonts w:asciiTheme="majorBidi" w:hAnsiTheme="majorBidi" w:cs="Times New Roman"/>
          <w:sz w:val="32"/>
          <w:szCs w:val="32"/>
        </w:rPr>
        <w:t>.</w:t>
      </w:r>
    </w:p>
    <w:p w14:paraId="75A42814"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3</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الحوكمة</w:t>
      </w:r>
      <w:r w:rsidRPr="00B65AE6">
        <w:rPr>
          <w:rFonts w:asciiTheme="majorBidi" w:hAnsiTheme="majorBidi" w:cs="Times New Roman"/>
          <w:sz w:val="32"/>
          <w:szCs w:val="32"/>
        </w:rPr>
        <w:t>.</w:t>
      </w:r>
    </w:p>
    <w:p w14:paraId="35A283F2"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4</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هيكل تنظيمي متناغم</w:t>
      </w:r>
      <w:r w:rsidRPr="00B65AE6">
        <w:rPr>
          <w:rFonts w:asciiTheme="majorBidi" w:hAnsiTheme="majorBidi" w:cs="Times New Roman"/>
          <w:sz w:val="32"/>
          <w:szCs w:val="32"/>
        </w:rPr>
        <w:t>.</w:t>
      </w:r>
    </w:p>
    <w:p w14:paraId="36ACBE58"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5</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عمليات مستدامة</w:t>
      </w:r>
      <w:r w:rsidRPr="00B65AE6">
        <w:rPr>
          <w:rFonts w:asciiTheme="majorBidi" w:hAnsiTheme="majorBidi" w:cs="Times New Roman"/>
          <w:sz w:val="32"/>
          <w:szCs w:val="32"/>
        </w:rPr>
        <w:t>.</w:t>
      </w:r>
    </w:p>
    <w:p w14:paraId="1C0F113C"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6</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إدارة المواهب</w:t>
      </w:r>
      <w:r w:rsidRPr="00B65AE6">
        <w:rPr>
          <w:rFonts w:asciiTheme="majorBidi" w:hAnsiTheme="majorBidi" w:cs="Times New Roman"/>
          <w:sz w:val="32"/>
          <w:szCs w:val="32"/>
        </w:rPr>
        <w:t>.</w:t>
      </w:r>
    </w:p>
    <w:p w14:paraId="0914E76B"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7</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الموارد المتوفرة</w:t>
      </w:r>
      <w:r w:rsidRPr="00B65AE6">
        <w:rPr>
          <w:rFonts w:asciiTheme="majorBidi" w:hAnsiTheme="majorBidi" w:cs="Times New Roman"/>
          <w:sz w:val="32"/>
          <w:szCs w:val="32"/>
        </w:rPr>
        <w:t>.</w:t>
      </w:r>
    </w:p>
    <w:p w14:paraId="01FEA554"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8</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المقاييس المناسبة</w:t>
      </w:r>
      <w:r w:rsidRPr="00B65AE6">
        <w:rPr>
          <w:rFonts w:asciiTheme="majorBidi" w:hAnsiTheme="majorBidi" w:cs="Times New Roman"/>
          <w:sz w:val="32"/>
          <w:szCs w:val="32"/>
        </w:rPr>
        <w:t>.</w:t>
      </w:r>
    </w:p>
    <w:p w14:paraId="2119367F"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وأكد القادري في دراسته (2021) ضرورة تصميم هذه العناصر لتعزيز بعضها البعض؛ لأنه في كثير من الأحيان، حتى مع وجود نية لخلق "تصورات جديدة"، يتم الاعتماد على نفس العمليات ومجموعات المهارات ونماذج تخصيص الموارد. وأشار القادري إلى وجود ثلاث كفاءات تنظيمية لإدارة الابتكار الاستراتيجي بنجاح</w:t>
      </w:r>
      <w:r w:rsidRPr="00B65AE6">
        <w:rPr>
          <w:rFonts w:asciiTheme="majorBidi" w:hAnsiTheme="majorBidi" w:cs="Times New Roman"/>
          <w:sz w:val="32"/>
          <w:szCs w:val="32"/>
        </w:rPr>
        <w:t>:</w:t>
      </w:r>
    </w:p>
    <w:p w14:paraId="5F4C7BB5"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lastRenderedPageBreak/>
        <w:t>1</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الاكتشاف: وهي كفاءة التصور والقدرة على الإبداع والاعتراف بالفرص وتوضيحها والتعبير عنها</w:t>
      </w:r>
      <w:r w:rsidRPr="00B65AE6">
        <w:rPr>
          <w:rFonts w:asciiTheme="majorBidi" w:hAnsiTheme="majorBidi" w:cs="Times New Roman"/>
          <w:sz w:val="32"/>
          <w:szCs w:val="32"/>
        </w:rPr>
        <w:t>.</w:t>
      </w:r>
    </w:p>
    <w:p w14:paraId="1432A9DF"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2</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الحضانة: وهي كفاءة التجريب وتطوير الفرصة إلى مشاريع حقيقية</w:t>
      </w:r>
      <w:r w:rsidRPr="00B65AE6">
        <w:rPr>
          <w:rFonts w:asciiTheme="majorBidi" w:hAnsiTheme="majorBidi" w:cs="Times New Roman"/>
          <w:sz w:val="32"/>
          <w:szCs w:val="32"/>
        </w:rPr>
        <w:t>.</w:t>
      </w:r>
    </w:p>
    <w:p w14:paraId="76AB7EB0"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3</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التسريع: وهي كفاءة القياس وتكثيف الأعمال حتى تصبح المشاريع قائمة بذاتها وقادرة على المنافسة بنجاح</w:t>
      </w:r>
      <w:r w:rsidRPr="00B65AE6">
        <w:rPr>
          <w:rFonts w:asciiTheme="majorBidi" w:hAnsiTheme="majorBidi" w:cs="Times New Roman"/>
          <w:sz w:val="32"/>
          <w:szCs w:val="32"/>
        </w:rPr>
        <w:t>.</w:t>
      </w:r>
    </w:p>
    <w:p w14:paraId="2C282C5C"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يجب أن تتضمن كل واحدة من هذه الجوانب (الاكتشاف، الحضانة، التسريع) أشخاصًا مختلفين وعمليات واستراتيجيات مختلفة لتوفير الموارد والمقاييس؛ لأن ما يُحتاَج في مرحلة الاكتشاف يختلف تمامًا عما يُحتاَج في مرحلة التسريع. لذلك، يجب تصميم عناصر نظام الإدارة ضمن وظيفة الابتكار الاستراتيجي لتستوعب كل جزء من هذه الأجزاء</w:t>
      </w:r>
      <w:r w:rsidRPr="00B65AE6">
        <w:rPr>
          <w:rFonts w:asciiTheme="majorBidi" w:hAnsiTheme="majorBidi" w:cs="Times New Roman"/>
          <w:sz w:val="32"/>
          <w:szCs w:val="32"/>
        </w:rPr>
        <w:t>.</w:t>
      </w:r>
    </w:p>
    <w:p w14:paraId="1C3A9A2B" w14:textId="77777777" w:rsidR="004E195D"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وبناءً على ما سبق، يتضح أن الابتكار الاستراتيجي في إدارات التعليم هو قدرة تلك الإدارات التنظيمية على وضع نظام إداري مصمم لدعم هدف إنشاء أعمال جديدة، بما في ذلك إعادة تخصيص الموارد، وتغيير نماذج الأعمال واستراتيجياتها.</w:t>
      </w:r>
    </w:p>
    <w:p w14:paraId="0F3927CF"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الخدمي الإضافي</w:t>
      </w:r>
      <w:r w:rsidRPr="001240F8">
        <w:rPr>
          <w:rFonts w:asciiTheme="majorBidi" w:hAnsiTheme="majorBidi" w:cs="Times New Roman" w:hint="cs"/>
          <w:b/>
          <w:bCs/>
          <w:sz w:val="32"/>
          <w:szCs w:val="32"/>
          <w:rtl/>
        </w:rPr>
        <w:t>:</w:t>
      </w:r>
    </w:p>
    <w:p w14:paraId="1EB8EEEB"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 xml:space="preserve"> يُعرَّف بأنه إما تقديم خدمة جديدة أو إحداث تحسن كبير في خدمة قائمة من حيث الممارسة والتطبيق. قد يتخذ هذا الابتكار شكل قناة اتصال جديدة للتفاعل مع العملاء، أو نظام توزيع مبتكر، أو تقنية جديدة، أو مزيج من هذه العناصر. يشمل ابتكار الخدمة عناصر قابلة للتكرار، بحيث يمكن تحديدها وتطبيقها آليًا في سياقات أو بيئات أخرى. بالتالي، يمكن أن تكون العناصر القابلة للتكرار هي مخرجات الخدمة، أو الإجراءات الكلية أو الجزئية للخدمة (القادري، 2021)</w:t>
      </w:r>
      <w:r w:rsidRPr="00B65AE6">
        <w:rPr>
          <w:rFonts w:asciiTheme="majorBidi" w:hAnsiTheme="majorBidi" w:cs="Times New Roman"/>
          <w:sz w:val="32"/>
          <w:szCs w:val="32"/>
        </w:rPr>
        <w:t>.</w:t>
      </w:r>
    </w:p>
    <w:p w14:paraId="37B2621F" w14:textId="77777777" w:rsidR="004E195D" w:rsidRPr="00B65AE6" w:rsidRDefault="004E195D" w:rsidP="004E195D">
      <w:pPr>
        <w:bidi/>
        <w:spacing w:line="360" w:lineRule="auto"/>
        <w:jc w:val="both"/>
        <w:rPr>
          <w:rFonts w:asciiTheme="majorBidi" w:hAnsiTheme="majorBidi" w:cs="Times New Roman"/>
          <w:sz w:val="32"/>
          <w:szCs w:val="32"/>
          <w:rtl/>
        </w:rPr>
      </w:pPr>
    </w:p>
    <w:p w14:paraId="516B144E"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lastRenderedPageBreak/>
        <w:t>وقد أكدت دراسة عرفة (2015) أن الابتكار في الخدمة يعود بالنفع على كل من مُنتج الخدمة والعملاء، بالإضافة إلى تعزيز الميزة التنافسية للمُبتكِر. ويُعرَّف ابتكار الخدمة بأنه إما مُنتج خدمي أو إجراء لتقديم الخدمة يعتمد على منهج تقني أو إجرائي</w:t>
      </w:r>
      <w:r w:rsidRPr="00B65AE6">
        <w:rPr>
          <w:rFonts w:asciiTheme="majorBidi" w:hAnsiTheme="majorBidi" w:cs="Times New Roman"/>
          <w:sz w:val="32"/>
          <w:szCs w:val="32"/>
        </w:rPr>
        <w:t>.</w:t>
      </w:r>
    </w:p>
    <w:p w14:paraId="13F6D466"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 xml:space="preserve">مع ذلك، لا يرتبط الابتكار بالضرورة بالحداثة التكنولوجية في حد ذاتها؛ فالإبداع يكمن غالبًا في المجالات غير التكنولوجية. يمكن أن يتمثل ابتكار الخدمة في حل جديد لواجهة المستخدم يتيح للمستخدمين التعامل مع النظام بسهولة وألفة، أو في طرق توزيع مبتكرة، أو تطبيق تقنية جديدة ضمن إجراءات الخدمة، أو ابتكار في العمليات والإجراءات في الأعمال اللوجستية وسلسلة التوريد، أو إيجاد طرق جديدة لتنظيم وإدارة الخدمات </w:t>
      </w:r>
      <w:r w:rsidRPr="001240F8">
        <w:rPr>
          <w:rFonts w:asciiTheme="majorBidi" w:hAnsiTheme="majorBidi" w:cs="Times New Roman"/>
          <w:sz w:val="20"/>
          <w:szCs w:val="20"/>
          <w:rtl/>
        </w:rPr>
        <w:t>(مفتاحي، 2016)</w:t>
      </w:r>
      <w:r w:rsidRPr="001240F8">
        <w:rPr>
          <w:rFonts w:asciiTheme="majorBidi" w:hAnsiTheme="majorBidi" w:cs="Times New Roman"/>
          <w:sz w:val="20"/>
          <w:szCs w:val="20"/>
        </w:rPr>
        <w:t>.</w:t>
      </w:r>
    </w:p>
    <w:p w14:paraId="7F3EFB48" w14:textId="77777777" w:rsidR="004E195D"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بناءً على ما سبق، فإن الابتكار الإضافي في إدارات التعليم، من وجهة نظر الباحثة، هو التجديد الذي يتجاوز المهام التنظيمية الأساسية للإدارة، ويهدف إلى زيادة رضا المستفيدين والعاملين وتحسين القدرة التنافسية.</w:t>
      </w:r>
    </w:p>
    <w:p w14:paraId="2E3AFC22"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البشري</w:t>
      </w:r>
      <w:r w:rsidRPr="001240F8">
        <w:rPr>
          <w:rFonts w:asciiTheme="majorBidi" w:hAnsiTheme="majorBidi" w:cs="Times New Roman"/>
          <w:b/>
          <w:bCs/>
          <w:sz w:val="32"/>
          <w:szCs w:val="32"/>
        </w:rPr>
        <w:t>:</w:t>
      </w:r>
    </w:p>
    <w:p w14:paraId="27E76B4F"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تُعد الموارد البشرية من أهم مقومات نجاح المؤسسات التعليمية وطرق تحسين أدائها ومواجهة التحديات والضغوط التي تتعرض لها في الوقت الراهن، كما أنها من أبرز العناصر التي تقود المجتمعات إلى الرقي والتقدم في مختلف المجالات</w:t>
      </w:r>
      <w:r w:rsidRPr="00B65AE6">
        <w:rPr>
          <w:rFonts w:asciiTheme="majorBidi" w:hAnsiTheme="majorBidi" w:cs="Times New Roman"/>
          <w:sz w:val="32"/>
          <w:szCs w:val="32"/>
        </w:rPr>
        <w:t>.</w:t>
      </w:r>
    </w:p>
    <w:p w14:paraId="740C900F"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وقد أكدت دراسة القرعاوي (2022) أن النقص في عدد الأفراد المؤهلين مشكلة تعاني منها أغلب البلدان، خاصة النامية، ويشكل هذا النقص عائقًا أمام الابتكار التنظيمي. لذا، يجب وضع خطة لتطوير الكفاءات والقدرات البشرية داخل المؤسسات التعليمية وتنميتها، وذلك بتوظيف مهارات وقدرات جديدة متخصصة في برامج التحول الرقمي لتطوير الموارد البشرية في تلك المؤسسات</w:t>
      </w:r>
      <w:r w:rsidRPr="00B65AE6">
        <w:rPr>
          <w:rFonts w:asciiTheme="majorBidi" w:hAnsiTheme="majorBidi" w:cs="Times New Roman"/>
          <w:sz w:val="32"/>
          <w:szCs w:val="32"/>
        </w:rPr>
        <w:t>.</w:t>
      </w:r>
    </w:p>
    <w:p w14:paraId="20FF91E7"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ومما سبق يتضح أن الابتكار البشري في إدارات التعليم يتمثل في مدى قدرتها على توظيف واستثمار مهارات وقدرات جديدة ذات خبرة ببرامج التحول الرقمي لتطوير مواردها البشرية ورفع كفاءتها للاستجابة لمتطلبات العمل ومستجداته</w:t>
      </w:r>
      <w:r w:rsidRPr="00B65AE6">
        <w:rPr>
          <w:rFonts w:asciiTheme="majorBidi" w:hAnsiTheme="majorBidi" w:cs="Times New Roman"/>
          <w:sz w:val="32"/>
          <w:szCs w:val="32"/>
        </w:rPr>
        <w:t>.</w:t>
      </w:r>
    </w:p>
    <w:p w14:paraId="078D078A" w14:textId="77777777" w:rsidR="004E195D" w:rsidRPr="001240F8" w:rsidRDefault="004E195D" w:rsidP="004E195D">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lastRenderedPageBreak/>
        <w:t xml:space="preserve"> 4.2 </w:t>
      </w:r>
      <w:r w:rsidRPr="001240F8">
        <w:rPr>
          <w:rFonts w:asciiTheme="majorBidi" w:hAnsiTheme="majorBidi" w:cs="Times New Roman"/>
          <w:b/>
          <w:bCs/>
          <w:sz w:val="32"/>
          <w:szCs w:val="32"/>
          <w:rtl/>
        </w:rPr>
        <w:t>متطلبات الابتكار التنظيمي</w:t>
      </w:r>
      <w:r w:rsidRPr="001240F8">
        <w:rPr>
          <w:rFonts w:asciiTheme="majorBidi" w:hAnsiTheme="majorBidi" w:cs="Times New Roman"/>
          <w:b/>
          <w:bCs/>
          <w:sz w:val="32"/>
          <w:szCs w:val="32"/>
        </w:rPr>
        <w:t>:</w:t>
      </w:r>
    </w:p>
    <w:p w14:paraId="4866EA96" w14:textId="77777777" w:rsidR="004E195D" w:rsidRPr="00B65AE6"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أشارت دراسة الحماد (2018) إلى عدد من متطلبات تطبيق إدارة الابتكار التنظيمي في المؤسسات التعليمية، كان أبرزها: دعم ومساندة الإدارة العليا لتطبيق الابتكار التنظيمي، والتوسع في الشراكة بين قطاعات إدارات التعليم والمجتمع الخارجي، والتركيز على نشر ثقافة الابتكار التنظيمي في الإدارات التعليمية، وتفويض الصلاحيات</w:t>
      </w:r>
      <w:r w:rsidRPr="00B65AE6">
        <w:rPr>
          <w:rFonts w:asciiTheme="majorBidi" w:hAnsiTheme="majorBidi" w:cs="Times New Roman"/>
          <w:sz w:val="32"/>
          <w:szCs w:val="32"/>
        </w:rPr>
        <w:t>.</w:t>
      </w:r>
    </w:p>
    <w:p w14:paraId="2F4251D6" w14:textId="77777777" w:rsidR="004E195D" w:rsidRDefault="004E195D" w:rsidP="004E195D">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كما كشفت دراسة الفايز (2016) والمطيري (2015) عن متطلبات تطبيق الابتكار التنظيمي في المؤسسات التعليمية، ومن أهمها: إيجاد بيئة تنظيمية محفزة للابتكار تتسم بالمرونة، وتبسيط إجراءات العمل، ووجود قنوات اتصال مفتوحة في جميع الاتجاهات بين كافة العاملين.</w:t>
      </w:r>
    </w:p>
    <w:p w14:paraId="1E4A5450"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يجب وضع استراتيجية واضحة للابتكار، تستند إلى مبدأ المشاركة والتعاون، وتُحدَّد وفق معايير دقيقة لتقييم الأداء</w:t>
      </w:r>
      <w:r w:rsidRPr="0064270B">
        <w:rPr>
          <w:rFonts w:asciiTheme="majorBidi" w:hAnsiTheme="majorBidi" w:cs="Times New Roman"/>
          <w:sz w:val="32"/>
          <w:szCs w:val="32"/>
        </w:rPr>
        <w:t>.</w:t>
      </w:r>
    </w:p>
    <w:p w14:paraId="2491452D"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توفير الإمكانات البشرية والمادية اللازمة من المصادر الداخلية والخارجية، مع إتاحة قواعد البيانات والمعلومات للجميع عند الحاجة</w:t>
      </w:r>
      <w:r w:rsidRPr="0064270B">
        <w:rPr>
          <w:rFonts w:asciiTheme="majorBidi" w:hAnsiTheme="majorBidi" w:cs="Times New Roman"/>
          <w:sz w:val="32"/>
          <w:szCs w:val="32"/>
        </w:rPr>
        <w:t>.</w:t>
      </w:r>
    </w:p>
    <w:p w14:paraId="74178717"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التركيز على العمل الجماعي وتجنب الفردية لتهيئة بيئة تنظيمية داعمة للابتكار</w:t>
      </w:r>
      <w:r w:rsidRPr="0064270B">
        <w:rPr>
          <w:rFonts w:asciiTheme="majorBidi" w:hAnsiTheme="majorBidi" w:cs="Times New Roman"/>
          <w:sz w:val="32"/>
          <w:szCs w:val="32"/>
        </w:rPr>
        <w:t>.</w:t>
      </w:r>
    </w:p>
    <w:p w14:paraId="45A682F4"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الاهتمام بتدريب العاملين وضمان استدامة تنميتهم المهنية لإكسابهم القدرات المطلوبة لتطبيق الابتكار التنظيمي</w:t>
      </w:r>
      <w:r w:rsidRPr="0064270B">
        <w:rPr>
          <w:rFonts w:asciiTheme="majorBidi" w:hAnsiTheme="majorBidi" w:cs="Times New Roman"/>
          <w:sz w:val="32"/>
          <w:szCs w:val="32"/>
        </w:rPr>
        <w:t>.</w:t>
      </w:r>
    </w:p>
    <w:p w14:paraId="1FFA9F63"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وضع نظام للحوافز والمكافآت يرتبط مباشرة بالابتكار والمبادرات المبتكرة لدعم الابتكار التنظيمي</w:t>
      </w:r>
      <w:r w:rsidRPr="0064270B">
        <w:rPr>
          <w:rFonts w:asciiTheme="majorBidi" w:hAnsiTheme="majorBidi" w:cs="Times New Roman"/>
          <w:sz w:val="32"/>
          <w:szCs w:val="32"/>
        </w:rPr>
        <w:t>.</w:t>
      </w:r>
    </w:p>
    <w:p w14:paraId="6CC15D26"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اتباع النمط القيادي الذي يشجع على الإبداع، ويتبنى الديمقراطية في الإدارة، ويثير دوافع الإنجاز</w:t>
      </w:r>
      <w:r w:rsidRPr="0064270B">
        <w:rPr>
          <w:rFonts w:asciiTheme="majorBidi" w:hAnsiTheme="majorBidi" w:cs="Times New Roman"/>
          <w:sz w:val="32"/>
          <w:szCs w:val="32"/>
        </w:rPr>
        <w:t>.</w:t>
      </w:r>
    </w:p>
    <w:p w14:paraId="511F5FE2"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يتضح مما سبق وجود متطلبات أساسية لتطبيق الابتكار التنظيمي في المؤسسات التعليمية، تتمحور حول توفير بيئة تنظيمية داعمة، وتصميم استراتيجية ابتكار واضحة قائمة على المشاركة </w:t>
      </w:r>
      <w:r w:rsidRPr="0064270B">
        <w:rPr>
          <w:rFonts w:asciiTheme="majorBidi" w:hAnsiTheme="majorBidi" w:cs="Times New Roman"/>
          <w:sz w:val="32"/>
          <w:szCs w:val="32"/>
          <w:rtl/>
        </w:rPr>
        <w:lastRenderedPageBreak/>
        <w:t>والمرونة، وتأمين مصادر التمويل الداخلية والخارجية، ونشر ثقافة الابتكار، وتعزيز الشراكات بين الإدارات التعليمية والمجتمع الخارجي</w:t>
      </w:r>
      <w:r w:rsidRPr="0064270B">
        <w:rPr>
          <w:rFonts w:asciiTheme="majorBidi" w:hAnsiTheme="majorBidi" w:cs="Times New Roman"/>
          <w:sz w:val="32"/>
          <w:szCs w:val="32"/>
        </w:rPr>
        <w:t>.</w:t>
      </w:r>
    </w:p>
    <w:p w14:paraId="3BAE3C4A" w14:textId="77777777" w:rsidR="004E195D" w:rsidRPr="001240F8" w:rsidRDefault="004E195D" w:rsidP="004E195D">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5.2 </w:t>
      </w:r>
      <w:r w:rsidRPr="001240F8">
        <w:rPr>
          <w:rFonts w:asciiTheme="majorBidi" w:hAnsiTheme="majorBidi" w:cs="Times New Roman"/>
          <w:b/>
          <w:bCs/>
          <w:sz w:val="32"/>
          <w:szCs w:val="32"/>
          <w:rtl/>
        </w:rPr>
        <w:t>استراتيجيات وأساليب الابتكار التنظيمي</w:t>
      </w:r>
      <w:r w:rsidRPr="001240F8">
        <w:rPr>
          <w:rFonts w:asciiTheme="majorBidi" w:hAnsiTheme="majorBidi" w:cs="Times New Roman"/>
          <w:b/>
          <w:bCs/>
          <w:sz w:val="32"/>
          <w:szCs w:val="32"/>
        </w:rPr>
        <w:t>:</w:t>
      </w:r>
    </w:p>
    <w:p w14:paraId="264BBEE6"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أ - استراتيجيات الابتكار التنظيمي</w:t>
      </w:r>
      <w:r w:rsidRPr="001240F8">
        <w:rPr>
          <w:rFonts w:asciiTheme="majorBidi" w:hAnsiTheme="majorBidi" w:cs="Times New Roman"/>
          <w:b/>
          <w:bCs/>
          <w:sz w:val="32"/>
          <w:szCs w:val="32"/>
        </w:rPr>
        <w:t>:</w:t>
      </w:r>
    </w:p>
    <w:p w14:paraId="42E73321"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تُقاس المؤسسات والمنظمات الابتكارية اليوم بمدى اهتمامها بتبني أنشطة تدعم الابتكار ضمن بيئة تنظيمية مبدعة. ولكي تحقق هذه المؤسسات أهدافها الابتكارية، يجب أن تتبنى أنشطة نابعة من الأفراد العاملين بها تكون داعمة للابتكار، وذلك عبر اتباع استراتيجيات وأساليب لاستثمار عمليات الابتكار بفعالية</w:t>
      </w:r>
      <w:r w:rsidRPr="0064270B">
        <w:rPr>
          <w:rFonts w:asciiTheme="majorBidi" w:hAnsiTheme="majorBidi" w:cs="Times New Roman"/>
          <w:sz w:val="32"/>
          <w:szCs w:val="32"/>
        </w:rPr>
        <w:t>.</w:t>
      </w:r>
    </w:p>
    <w:p w14:paraId="3AA14DF5" w14:textId="77777777" w:rsidR="004E195D"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ووفقاً لدراسة عبد الحليم (2022)، تبرز أبرز تلك الاستراتيجيات الداعمة فيما يلي:</w:t>
      </w:r>
    </w:p>
    <w:p w14:paraId="59388918"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 أولاً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المشاركة: </w:t>
      </w:r>
    </w:p>
    <w:p w14:paraId="68F0366F" w14:textId="77777777" w:rsidR="004E195D"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تركز هذه الاستراتيجية على إشراك جميع العاملين عاطفياً وذهنياً في العمل، وإقحامهم في عمليات اتخاذ القرارات، ومنحهم الفرصة للحوار مع إدارة المنظمة لمناقشة ظروف العمل وواقعه.</w:t>
      </w:r>
    </w:p>
    <w:p w14:paraId="62651C8F"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ثانياً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التنمية والتدريب</w:t>
      </w:r>
      <w:r w:rsidRPr="001240F8">
        <w:rPr>
          <w:rFonts w:asciiTheme="majorBidi" w:hAnsiTheme="majorBidi" w:cs="Times New Roman" w:hint="cs"/>
          <w:b/>
          <w:bCs/>
          <w:sz w:val="32"/>
          <w:szCs w:val="32"/>
          <w:rtl/>
        </w:rPr>
        <w:t xml:space="preserve">: </w:t>
      </w:r>
    </w:p>
    <w:p w14:paraId="5C058ACA" w14:textId="77777777" w:rsidR="004E195D"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تركز هذه الاستراتيجية على بناء خطط لها لتطوير مهارات الأفراد العاملين بها المعرفية والمهارية، لزيادة فاعلية الأداء وإنجاز المهام الوظيفية المطلوبة منهم.</w:t>
      </w:r>
    </w:p>
    <w:p w14:paraId="5BAA565A"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ثالثاً </w:t>
      </w:r>
      <w:r>
        <w:rPr>
          <w:rFonts w:asciiTheme="majorBidi" w:hAnsiTheme="majorBidi" w:cs="Times New Roman" w:hint="cs"/>
          <w:b/>
          <w:bCs/>
          <w:sz w:val="32"/>
          <w:szCs w:val="32"/>
          <w:rtl/>
        </w:rPr>
        <w:t xml:space="preserve">- </w:t>
      </w:r>
      <w:r w:rsidRPr="001240F8">
        <w:rPr>
          <w:rFonts w:asciiTheme="majorBidi" w:hAnsiTheme="majorBidi" w:cs="Times New Roman"/>
          <w:b/>
          <w:bCs/>
          <w:sz w:val="32"/>
          <w:szCs w:val="32"/>
          <w:rtl/>
        </w:rPr>
        <w:t>استراتيجية الثقافة التنظيمية:</w:t>
      </w:r>
    </w:p>
    <w:p w14:paraId="30BF94E9"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هي مجموعة القيم والمعتقدات والأخلاق والعادات المشتركة بين أفراد المنظمة التي تؤثر فيهم، وتساعدهم على التكيف والانسجام مع المؤثرات الداخلية والخارجية</w:t>
      </w:r>
      <w:r w:rsidRPr="0064270B">
        <w:rPr>
          <w:rFonts w:asciiTheme="majorBidi" w:hAnsiTheme="majorBidi" w:cs="Times New Roman"/>
          <w:sz w:val="32"/>
          <w:szCs w:val="32"/>
        </w:rPr>
        <w:t>.</w:t>
      </w:r>
    </w:p>
    <w:p w14:paraId="40C07CCC"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رابعاً </w:t>
      </w:r>
      <w:r w:rsidRPr="001240F8">
        <w:rPr>
          <w:rFonts w:asciiTheme="majorBidi" w:hAnsiTheme="majorBidi" w:cs="Times New Roman" w:hint="cs"/>
          <w:b/>
          <w:bCs/>
          <w:sz w:val="32"/>
          <w:szCs w:val="32"/>
          <w:rtl/>
        </w:rPr>
        <w:t xml:space="preserve">- </w:t>
      </w:r>
      <w:r w:rsidRPr="001240F8">
        <w:rPr>
          <w:rFonts w:asciiTheme="majorBidi" w:hAnsiTheme="majorBidi" w:cs="Times New Roman"/>
          <w:b/>
          <w:bCs/>
          <w:sz w:val="32"/>
          <w:szCs w:val="32"/>
          <w:rtl/>
        </w:rPr>
        <w:t xml:space="preserve">استراتيجية الاتصال التنظيمي: </w:t>
      </w:r>
    </w:p>
    <w:p w14:paraId="338062E5"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lastRenderedPageBreak/>
        <w:t>هي عملية نقل وتبادل المعلومات وتدفقها بين الأفراد بأشكال مختلفة، قد تكون اتصالاً صاعداً أو هابطاً أو شبكياً</w:t>
      </w:r>
      <w:r w:rsidRPr="0064270B">
        <w:rPr>
          <w:rFonts w:asciiTheme="majorBidi" w:hAnsiTheme="majorBidi" w:cs="Times New Roman"/>
          <w:sz w:val="32"/>
          <w:szCs w:val="32"/>
        </w:rPr>
        <w:t>.</w:t>
      </w:r>
    </w:p>
    <w:p w14:paraId="5F5EBB4A"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خامساً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الحوافز:</w:t>
      </w:r>
    </w:p>
    <w:p w14:paraId="5043E664"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هي عوامل خارجية تستخدمها المنظمة للتأثير في سلوك وأداء العاملين، وتهدف لرفع الروح المعنوية لديهم وتحفيزهم لتقديم الأفضل وتحقيق الإبداع والابتكار</w:t>
      </w:r>
      <w:r w:rsidRPr="0064270B">
        <w:rPr>
          <w:rFonts w:asciiTheme="majorBidi" w:hAnsiTheme="majorBidi" w:cs="Times New Roman"/>
          <w:sz w:val="32"/>
          <w:szCs w:val="32"/>
        </w:rPr>
        <w:t>.</w:t>
      </w:r>
    </w:p>
    <w:p w14:paraId="57EA625E"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سادساً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النمط القيادي:</w:t>
      </w:r>
    </w:p>
    <w:p w14:paraId="55CC9A65"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هو النشاط الذي يمارسه القائد تجاه مرؤوسيه لتمكينهم من أداء عملهم بفاعلية وتحقيق أهداف المنظمة. ومن أنماطه</w:t>
      </w:r>
      <w:r w:rsidRPr="0064270B">
        <w:rPr>
          <w:rFonts w:asciiTheme="majorBidi" w:hAnsiTheme="majorBidi" w:cs="Times New Roman"/>
          <w:sz w:val="32"/>
          <w:szCs w:val="32"/>
        </w:rPr>
        <w:t>:</w:t>
      </w:r>
    </w:p>
    <w:p w14:paraId="254C0443" w14:textId="77777777" w:rsidR="004E195D" w:rsidRPr="0064270B" w:rsidRDefault="004E195D" w:rsidP="004E195D">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الديكتاتوري:</w:t>
      </w:r>
      <w:r w:rsidRPr="0064270B">
        <w:rPr>
          <w:rFonts w:asciiTheme="majorBidi" w:hAnsiTheme="majorBidi" w:cs="Times New Roman"/>
          <w:sz w:val="32"/>
          <w:szCs w:val="32"/>
          <w:rtl/>
        </w:rPr>
        <w:t xml:space="preserve"> يتميز بمركزية السلطة والاعتماد على أساليب التهديد لإنجاز الأعمال</w:t>
      </w:r>
      <w:r w:rsidRPr="0064270B">
        <w:rPr>
          <w:rFonts w:asciiTheme="majorBidi" w:hAnsiTheme="majorBidi" w:cs="Times New Roman"/>
          <w:sz w:val="32"/>
          <w:szCs w:val="32"/>
        </w:rPr>
        <w:t>.</w:t>
      </w:r>
    </w:p>
    <w:p w14:paraId="704C4392" w14:textId="77777777" w:rsidR="004E195D" w:rsidRPr="0064270B" w:rsidRDefault="004E195D" w:rsidP="004E195D">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المتساهل:</w:t>
      </w:r>
      <w:r w:rsidRPr="0064270B">
        <w:rPr>
          <w:rFonts w:asciiTheme="majorBidi" w:hAnsiTheme="majorBidi" w:cs="Times New Roman"/>
          <w:sz w:val="32"/>
          <w:szCs w:val="32"/>
          <w:rtl/>
        </w:rPr>
        <w:t xml:space="preserve"> يقوم على إعطاء المرؤوسين الحرية المطلقة، ولا يصلح إلا في حالات نادرة، مثل قيادة الفرق العلمية</w:t>
      </w:r>
      <w:r w:rsidRPr="0064270B">
        <w:rPr>
          <w:rFonts w:asciiTheme="majorBidi" w:hAnsiTheme="majorBidi" w:cs="Times New Roman"/>
          <w:sz w:val="32"/>
          <w:szCs w:val="32"/>
        </w:rPr>
        <w:t>.</w:t>
      </w:r>
    </w:p>
    <w:p w14:paraId="38C931F3" w14:textId="77777777" w:rsidR="004E195D" w:rsidRPr="0064270B" w:rsidRDefault="004E195D" w:rsidP="004E195D">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الديمقراطي:</w:t>
      </w:r>
      <w:r w:rsidRPr="0064270B">
        <w:rPr>
          <w:rFonts w:asciiTheme="majorBidi" w:hAnsiTheme="majorBidi" w:cs="Times New Roman"/>
          <w:sz w:val="32"/>
          <w:szCs w:val="32"/>
          <w:rtl/>
        </w:rPr>
        <w:t xml:space="preserve"> يعتمد على مشاركة ومشاورة المرؤوسين</w:t>
      </w:r>
      <w:r w:rsidRPr="0064270B">
        <w:rPr>
          <w:rFonts w:asciiTheme="majorBidi" w:hAnsiTheme="majorBidi" w:cs="Times New Roman"/>
          <w:sz w:val="32"/>
          <w:szCs w:val="32"/>
        </w:rPr>
        <w:t>.</w:t>
      </w:r>
    </w:p>
    <w:p w14:paraId="198DFF23"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سابعاً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التفويض:</w:t>
      </w:r>
    </w:p>
    <w:p w14:paraId="77819C9B"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هي نقل بعض صلاحيات الرئيس إلى المرؤوسين لتمكينهم من إنجاز بعض المهام مع بقاء المسؤولية قائمة على الطرفين</w:t>
      </w:r>
      <w:r w:rsidRPr="0064270B">
        <w:rPr>
          <w:rFonts w:asciiTheme="majorBidi" w:hAnsiTheme="majorBidi" w:cs="Times New Roman"/>
          <w:sz w:val="32"/>
          <w:szCs w:val="32"/>
        </w:rPr>
        <w:t>.</w:t>
      </w:r>
    </w:p>
    <w:p w14:paraId="4261DDAB"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ثامناً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فرق العمل:</w:t>
      </w:r>
    </w:p>
    <w:p w14:paraId="3F81D099"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هي مجموعة من الأفراد يتعاونون ويعملون معاً لتحقيق أهداف محددة</w:t>
      </w:r>
      <w:r w:rsidRPr="0064270B">
        <w:rPr>
          <w:rFonts w:asciiTheme="majorBidi" w:hAnsiTheme="majorBidi" w:cs="Times New Roman"/>
          <w:sz w:val="32"/>
          <w:szCs w:val="32"/>
        </w:rPr>
        <w:t>.</w:t>
      </w:r>
    </w:p>
    <w:p w14:paraId="722C5180"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تاسعاً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التمكين الإداري:</w:t>
      </w:r>
    </w:p>
    <w:p w14:paraId="293F8620"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تركز على تحفيز وتشجيع ومكافأة العاملين ليتمكنوا من إنجاز المهام الموكلة إليهم بحرية ودون تدخل الإدارة</w:t>
      </w:r>
      <w:r w:rsidRPr="0064270B">
        <w:rPr>
          <w:rFonts w:asciiTheme="majorBidi" w:hAnsiTheme="majorBidi" w:cs="Times New Roman"/>
          <w:sz w:val="32"/>
          <w:szCs w:val="32"/>
        </w:rPr>
        <w:t>.</w:t>
      </w:r>
    </w:p>
    <w:p w14:paraId="05093F63"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lastRenderedPageBreak/>
        <w:t xml:space="preserve">عاشراً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التخصص الوظيفي:</w:t>
      </w:r>
    </w:p>
    <w:p w14:paraId="4ED17090"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تعني تخصص العاملين في عمل أو وظيفة معينة</w:t>
      </w:r>
      <w:r w:rsidRPr="0064270B">
        <w:rPr>
          <w:rFonts w:asciiTheme="majorBidi" w:hAnsiTheme="majorBidi" w:cs="Times New Roman"/>
          <w:sz w:val="32"/>
          <w:szCs w:val="32"/>
        </w:rPr>
        <w:t>.</w:t>
      </w:r>
    </w:p>
    <w:p w14:paraId="53D8159C"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الحادي عشر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الهيكل التنظيمي:</w:t>
      </w:r>
    </w:p>
    <w:p w14:paraId="23C1DE96"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هي الإطار الذي يوضح المستويات الإدارية ونطاق مسؤولياتها وصلاحياتها وخط السلطة لكل مستوى، وله دور بارز في دعم الابتكار في كافة المستويات الإدارية</w:t>
      </w:r>
      <w:r w:rsidRPr="0064270B">
        <w:rPr>
          <w:rFonts w:asciiTheme="majorBidi" w:hAnsiTheme="majorBidi" w:cs="Times New Roman"/>
          <w:sz w:val="32"/>
          <w:szCs w:val="32"/>
        </w:rPr>
        <w:t>.</w:t>
      </w:r>
    </w:p>
    <w:p w14:paraId="5F84DCF5"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الثاني عشر</w:t>
      </w:r>
      <w:r w:rsidRPr="001240F8">
        <w:rPr>
          <w:rFonts w:asciiTheme="majorBidi" w:hAnsiTheme="majorBidi" w:cs="Times New Roman" w:hint="cs"/>
          <w:b/>
          <w:bCs/>
          <w:sz w:val="32"/>
          <w:szCs w:val="32"/>
          <w:rtl/>
        </w:rPr>
        <w:t xml:space="preserve">- </w:t>
      </w:r>
      <w:r w:rsidRPr="001240F8">
        <w:rPr>
          <w:rFonts w:asciiTheme="majorBidi" w:hAnsiTheme="majorBidi" w:cs="Times New Roman"/>
          <w:b/>
          <w:bCs/>
          <w:sz w:val="32"/>
          <w:szCs w:val="32"/>
          <w:rtl/>
        </w:rPr>
        <w:t>استراتيجية الإدارة بالأهداف:</w:t>
      </w:r>
    </w:p>
    <w:p w14:paraId="071D9340"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تقوم على تشاركية العمل ووضع الأهداف من قبل الرئيس والمرؤوس، مما يساعد على غرس مبدأ المسؤولية الذاتية والثقة والاحترام المتبادل</w:t>
      </w:r>
      <w:r w:rsidRPr="0064270B">
        <w:rPr>
          <w:rFonts w:asciiTheme="majorBidi" w:hAnsiTheme="majorBidi" w:cs="Times New Roman"/>
          <w:sz w:val="32"/>
          <w:szCs w:val="32"/>
        </w:rPr>
        <w:t>.</w:t>
      </w:r>
    </w:p>
    <w:p w14:paraId="14A6B57A"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الثالث عشر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العصف الذهني:</w:t>
      </w:r>
    </w:p>
    <w:p w14:paraId="5A8CB7C6" w14:textId="77777777" w:rsidR="004E195D"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تعد أساساً لدعم الابتكار والأفكار الجديدة لاعتمادها على أسلوب الإثارة من خلال طرح مشكلة واستعراض الحلول المقترحة.</w:t>
      </w:r>
    </w:p>
    <w:p w14:paraId="63731872" w14:textId="77777777" w:rsidR="004E195D" w:rsidRPr="001240F8" w:rsidRDefault="004E195D" w:rsidP="004E195D">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ب - أساليب الابتكار التنظيمي</w:t>
      </w:r>
      <w:r w:rsidRPr="001240F8">
        <w:rPr>
          <w:rFonts w:asciiTheme="majorBidi" w:hAnsiTheme="majorBidi" w:cs="Times New Roman"/>
          <w:b/>
          <w:bCs/>
          <w:sz w:val="32"/>
          <w:szCs w:val="32"/>
        </w:rPr>
        <w:t>:</w:t>
      </w:r>
    </w:p>
    <w:p w14:paraId="517DAE5F"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تمارس المنظمة الابتكار التنظيمي بطرق مدروسة من قِبل الإدارة، وذلك عبر أسلوبين رئيسيين</w:t>
      </w:r>
      <w:r w:rsidRPr="0064270B">
        <w:rPr>
          <w:rFonts w:asciiTheme="majorBidi" w:hAnsiTheme="majorBidi" w:cs="Times New Roman"/>
          <w:sz w:val="32"/>
          <w:szCs w:val="32"/>
        </w:rPr>
        <w:t>:</w:t>
      </w:r>
    </w:p>
    <w:p w14:paraId="5D974DFF" w14:textId="77777777" w:rsidR="004E195D" w:rsidRPr="004F20F4" w:rsidRDefault="004E195D" w:rsidP="004E195D">
      <w:pPr>
        <w:bidi/>
        <w:spacing w:line="360" w:lineRule="auto"/>
        <w:jc w:val="both"/>
        <w:rPr>
          <w:rFonts w:asciiTheme="majorBidi" w:hAnsiTheme="majorBidi" w:cs="Times New Roman"/>
          <w:sz w:val="32"/>
          <w:szCs w:val="32"/>
          <w:rtl/>
        </w:rPr>
      </w:pPr>
      <w:r w:rsidRPr="004F20F4">
        <w:rPr>
          <w:rFonts w:asciiTheme="majorBidi" w:hAnsiTheme="majorBidi" w:cs="Times New Roman"/>
          <w:b/>
          <w:bCs/>
          <w:sz w:val="32"/>
          <w:szCs w:val="32"/>
          <w:rtl/>
        </w:rPr>
        <w:t>الأول:</w:t>
      </w:r>
      <w:r w:rsidRPr="004F20F4">
        <w:rPr>
          <w:rFonts w:asciiTheme="majorBidi" w:hAnsiTheme="majorBidi" w:cs="Times New Roman"/>
          <w:sz w:val="32"/>
          <w:szCs w:val="32"/>
          <w:rtl/>
        </w:rPr>
        <w:t xml:space="preserve"> اتباع أساليب تفعيل الابتكار التنظيمي</w:t>
      </w:r>
      <w:r w:rsidRPr="004F20F4">
        <w:rPr>
          <w:rFonts w:asciiTheme="majorBidi" w:hAnsiTheme="majorBidi" w:cs="Times New Roman"/>
          <w:sz w:val="32"/>
          <w:szCs w:val="32"/>
        </w:rPr>
        <w:t>.</w:t>
      </w:r>
    </w:p>
    <w:p w14:paraId="10982786" w14:textId="77777777" w:rsidR="004E195D" w:rsidRPr="0064270B" w:rsidRDefault="004E195D" w:rsidP="004E195D">
      <w:pPr>
        <w:bidi/>
        <w:spacing w:line="360" w:lineRule="auto"/>
        <w:jc w:val="both"/>
        <w:rPr>
          <w:rFonts w:asciiTheme="majorBidi" w:hAnsiTheme="majorBidi" w:cs="Times New Roman"/>
          <w:sz w:val="32"/>
          <w:szCs w:val="32"/>
          <w:rtl/>
        </w:rPr>
      </w:pPr>
      <w:r w:rsidRPr="004F20F4">
        <w:rPr>
          <w:rFonts w:asciiTheme="majorBidi" w:hAnsiTheme="majorBidi" w:cs="Times New Roman"/>
          <w:b/>
          <w:bCs/>
          <w:sz w:val="32"/>
          <w:szCs w:val="32"/>
          <w:rtl/>
        </w:rPr>
        <w:t>الثاني:</w:t>
      </w:r>
      <w:r w:rsidRPr="0064270B">
        <w:rPr>
          <w:rFonts w:asciiTheme="majorBidi" w:hAnsiTheme="majorBidi" w:cs="Times New Roman"/>
          <w:sz w:val="32"/>
          <w:szCs w:val="32"/>
          <w:rtl/>
        </w:rPr>
        <w:t xml:space="preserve"> زرع القيم والفلسفة التنظيمية المعززة للابتكار</w:t>
      </w:r>
      <w:r w:rsidRPr="0064270B">
        <w:rPr>
          <w:rFonts w:asciiTheme="majorBidi" w:hAnsiTheme="majorBidi" w:cs="Times New Roman"/>
          <w:sz w:val="32"/>
          <w:szCs w:val="32"/>
        </w:rPr>
        <w:t>.</w:t>
      </w:r>
    </w:p>
    <w:p w14:paraId="38310B22"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وقد وضع المختصون في الإدارة والمنظرون والممارسون عدة أساليب للابتكار التنظيمي، يمكن إيجازها فيما يلي</w:t>
      </w:r>
      <w:r w:rsidRPr="0064270B">
        <w:rPr>
          <w:rFonts w:asciiTheme="majorBidi" w:hAnsiTheme="majorBidi" w:cs="Times New Roman"/>
          <w:sz w:val="32"/>
          <w:szCs w:val="32"/>
        </w:rPr>
        <w:t>:</w:t>
      </w:r>
    </w:p>
    <w:p w14:paraId="4C84EDD2" w14:textId="77777777" w:rsidR="004E195D" w:rsidRPr="004F20F4" w:rsidRDefault="004E195D" w:rsidP="004E195D">
      <w:pPr>
        <w:bidi/>
        <w:spacing w:line="360" w:lineRule="auto"/>
        <w:jc w:val="both"/>
        <w:rPr>
          <w:rFonts w:asciiTheme="majorBidi" w:hAnsiTheme="majorBidi" w:cs="Times New Roman"/>
          <w:b/>
          <w:bCs/>
          <w:sz w:val="32"/>
          <w:szCs w:val="32"/>
          <w:rtl/>
        </w:rPr>
      </w:pPr>
      <w:r w:rsidRPr="004F20F4">
        <w:rPr>
          <w:rFonts w:asciiTheme="majorBidi" w:hAnsiTheme="majorBidi" w:cs="Times New Roman"/>
          <w:b/>
          <w:bCs/>
          <w:sz w:val="32"/>
          <w:szCs w:val="32"/>
          <w:rtl/>
        </w:rPr>
        <w:t>أولاً: الأساليب الإدارية</w:t>
      </w:r>
      <w:r w:rsidRPr="004F20F4">
        <w:rPr>
          <w:rFonts w:asciiTheme="majorBidi" w:hAnsiTheme="majorBidi" w:cs="Times New Roman"/>
          <w:b/>
          <w:bCs/>
          <w:sz w:val="32"/>
          <w:szCs w:val="32"/>
        </w:rPr>
        <w:t>:</w:t>
      </w:r>
    </w:p>
    <w:p w14:paraId="22A45C4B"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lastRenderedPageBreak/>
        <w:t xml:space="preserve">1. </w:t>
      </w:r>
      <w:r w:rsidRPr="0064270B">
        <w:rPr>
          <w:rFonts w:asciiTheme="majorBidi" w:hAnsiTheme="majorBidi" w:cs="Times New Roman"/>
          <w:sz w:val="32"/>
          <w:szCs w:val="32"/>
          <w:rtl/>
        </w:rPr>
        <w:t>المراجعة الجذرية للمنظمة لتنظيم قواعد البيانات وتغيير طرق إدارة الموارد البشرية والتحفيز الجماعي للعمل</w:t>
      </w:r>
      <w:r w:rsidRPr="0064270B">
        <w:rPr>
          <w:rFonts w:asciiTheme="majorBidi" w:hAnsiTheme="majorBidi" w:cs="Times New Roman"/>
          <w:sz w:val="32"/>
          <w:szCs w:val="32"/>
        </w:rPr>
        <w:t>.</w:t>
      </w:r>
    </w:p>
    <w:p w14:paraId="16757C45"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2. </w:t>
      </w:r>
      <w:r w:rsidRPr="0064270B">
        <w:rPr>
          <w:rFonts w:asciiTheme="majorBidi" w:hAnsiTheme="majorBidi" w:cs="Times New Roman"/>
          <w:sz w:val="32"/>
          <w:szCs w:val="32"/>
          <w:rtl/>
        </w:rPr>
        <w:t>تبني المنظمات المرنة، وإعادة تشكيل ورش العمل لتكون مرنة ومواكبة للبيئة التنافسية الخارجية</w:t>
      </w:r>
      <w:r w:rsidRPr="0064270B">
        <w:rPr>
          <w:rFonts w:asciiTheme="majorBidi" w:hAnsiTheme="majorBidi" w:cs="Times New Roman"/>
          <w:sz w:val="32"/>
          <w:szCs w:val="32"/>
        </w:rPr>
        <w:t>.</w:t>
      </w:r>
    </w:p>
    <w:p w14:paraId="342D206F"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3. </w:t>
      </w:r>
      <w:r w:rsidRPr="0064270B">
        <w:rPr>
          <w:rFonts w:asciiTheme="majorBidi" w:hAnsiTheme="majorBidi" w:cs="Times New Roman"/>
          <w:sz w:val="32"/>
          <w:szCs w:val="32"/>
          <w:rtl/>
        </w:rPr>
        <w:t>تنظيم الإنتاج ليصبح أسرع عبر إعادة تصميم العمليات ونظام المعلومات</w:t>
      </w:r>
      <w:r w:rsidRPr="0064270B">
        <w:rPr>
          <w:rFonts w:asciiTheme="majorBidi" w:hAnsiTheme="majorBidi" w:cs="Times New Roman"/>
          <w:sz w:val="32"/>
          <w:szCs w:val="32"/>
        </w:rPr>
        <w:t>.</w:t>
      </w:r>
    </w:p>
    <w:p w14:paraId="42421319"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4. </w:t>
      </w:r>
      <w:r w:rsidRPr="0064270B">
        <w:rPr>
          <w:rFonts w:asciiTheme="majorBidi" w:hAnsiTheme="majorBidi" w:cs="Times New Roman"/>
          <w:sz w:val="32"/>
          <w:szCs w:val="32"/>
          <w:rtl/>
        </w:rPr>
        <w:t>الاعتماد على منظمة قائمة على الإدارة الذكية لرأس المال الفكري، بحيث يكون للمهمات والأفراد ذوي الكفاءات الفكرية تأثير مباشر على استراتيجيات المنظمة</w:t>
      </w:r>
      <w:r w:rsidRPr="0064270B">
        <w:rPr>
          <w:rFonts w:asciiTheme="majorBidi" w:hAnsiTheme="majorBidi" w:cs="Times New Roman"/>
          <w:sz w:val="32"/>
          <w:szCs w:val="32"/>
        </w:rPr>
        <w:t>.</w:t>
      </w:r>
    </w:p>
    <w:p w14:paraId="7BE37893" w14:textId="77777777" w:rsidR="004E195D" w:rsidRPr="0064270B" w:rsidRDefault="004E195D" w:rsidP="004E195D">
      <w:pPr>
        <w:bidi/>
        <w:spacing w:line="360" w:lineRule="auto"/>
        <w:jc w:val="both"/>
        <w:rPr>
          <w:rFonts w:asciiTheme="majorBidi" w:hAnsiTheme="majorBidi" w:cs="Times New Roman"/>
          <w:sz w:val="32"/>
          <w:szCs w:val="32"/>
          <w:rtl/>
        </w:rPr>
      </w:pPr>
      <w:r w:rsidRPr="004F20F4">
        <w:rPr>
          <w:rFonts w:asciiTheme="majorBidi" w:hAnsiTheme="majorBidi" w:cs="Times New Roman"/>
          <w:b/>
          <w:bCs/>
          <w:sz w:val="32"/>
          <w:szCs w:val="32"/>
          <w:rtl/>
        </w:rPr>
        <w:t>ثانياً: تنظيم مساحة العمل،</w:t>
      </w:r>
      <w:r w:rsidRPr="0064270B">
        <w:rPr>
          <w:rFonts w:asciiTheme="majorBidi" w:hAnsiTheme="majorBidi" w:cs="Times New Roman"/>
          <w:sz w:val="32"/>
          <w:szCs w:val="32"/>
          <w:rtl/>
        </w:rPr>
        <w:t xml:space="preserve"> ويتم ذلك بالتركيز على ما يلي</w:t>
      </w:r>
      <w:r w:rsidRPr="0064270B">
        <w:rPr>
          <w:rFonts w:asciiTheme="majorBidi" w:hAnsiTheme="majorBidi" w:cs="Times New Roman"/>
          <w:sz w:val="32"/>
          <w:szCs w:val="32"/>
        </w:rPr>
        <w:t>:</w:t>
      </w:r>
    </w:p>
    <w:p w14:paraId="60959F14"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1. </w:t>
      </w:r>
      <w:r w:rsidRPr="0064270B">
        <w:rPr>
          <w:rFonts w:asciiTheme="majorBidi" w:hAnsiTheme="majorBidi" w:cs="Times New Roman"/>
          <w:sz w:val="32"/>
          <w:szCs w:val="32"/>
          <w:rtl/>
        </w:rPr>
        <w:t>تنظيم الأشكال المختلفة للمساحات، مثل ورش العمل والمكاتب (الفردية والجماعية) والمساحات المفتوحة</w:t>
      </w:r>
      <w:r w:rsidRPr="0064270B">
        <w:rPr>
          <w:rFonts w:asciiTheme="majorBidi" w:hAnsiTheme="majorBidi" w:cs="Times New Roman"/>
          <w:sz w:val="32"/>
          <w:szCs w:val="32"/>
        </w:rPr>
        <w:t>.</w:t>
      </w:r>
    </w:p>
    <w:p w14:paraId="6704AFE2"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2. </w:t>
      </w:r>
      <w:r w:rsidRPr="0064270B">
        <w:rPr>
          <w:rFonts w:asciiTheme="majorBidi" w:hAnsiTheme="majorBidi" w:cs="Times New Roman"/>
          <w:sz w:val="32"/>
          <w:szCs w:val="32"/>
          <w:rtl/>
        </w:rPr>
        <w:t>نظام الاتصالات والمعلومات: تحويل مساحة العمل إلى مساحات افتراضية بإدخال تكنولوجيا المعلومات والاتصال والأجهزة المحمولة؛ لما لها من تأثير كبير على طرق العمل، حيث تسمح للأفراد بطرح أفكارهم وآرائهم، والاطلاع على أفكار الآخرين</w:t>
      </w:r>
      <w:r w:rsidRPr="0064270B">
        <w:rPr>
          <w:rFonts w:asciiTheme="majorBidi" w:hAnsiTheme="majorBidi" w:cs="Times New Roman"/>
          <w:sz w:val="32"/>
          <w:szCs w:val="32"/>
        </w:rPr>
        <w:t>.</w:t>
      </w:r>
    </w:p>
    <w:p w14:paraId="39DC6757" w14:textId="77777777" w:rsidR="004E195D" w:rsidRPr="004F20F4" w:rsidRDefault="004E195D" w:rsidP="004E195D">
      <w:pPr>
        <w:bidi/>
        <w:spacing w:line="360" w:lineRule="auto"/>
        <w:jc w:val="both"/>
        <w:rPr>
          <w:rFonts w:asciiTheme="majorBidi" w:hAnsiTheme="majorBidi" w:cs="Times New Roman"/>
          <w:b/>
          <w:bCs/>
          <w:sz w:val="32"/>
          <w:szCs w:val="32"/>
          <w:rtl/>
        </w:rPr>
      </w:pPr>
      <w:r w:rsidRPr="004F20F4">
        <w:rPr>
          <w:rFonts w:asciiTheme="majorBidi" w:hAnsiTheme="majorBidi" w:cs="Times New Roman"/>
          <w:b/>
          <w:bCs/>
          <w:sz w:val="32"/>
          <w:szCs w:val="32"/>
          <w:rtl/>
        </w:rPr>
        <w:t>ثالثاً: العلاقات الخارجية:</w:t>
      </w:r>
    </w:p>
    <w:p w14:paraId="57754035"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يظهر هذا المفهوم من خلال فكرة الابتكار مع العميل، وإشراك العملاء في ابتكار المنتجات والخدمات عبر تبادل الخبرات والأفكار، ومثال ذلك فكرة الجامعة الافتراضية (التعلم الإلكتروني)</w:t>
      </w:r>
      <w:r w:rsidRPr="0064270B">
        <w:rPr>
          <w:rFonts w:asciiTheme="majorBidi" w:hAnsiTheme="majorBidi" w:cs="Times New Roman"/>
          <w:sz w:val="32"/>
          <w:szCs w:val="32"/>
        </w:rPr>
        <w:t>.</w:t>
      </w:r>
      <w:r>
        <w:rPr>
          <w:rFonts w:asciiTheme="majorBidi" w:hAnsiTheme="majorBidi" w:cs="Times New Roman" w:hint="cs"/>
          <w:sz w:val="32"/>
          <w:szCs w:val="32"/>
          <w:rtl/>
        </w:rPr>
        <w:t xml:space="preserve"> </w:t>
      </w:r>
      <w:r w:rsidRPr="0064270B">
        <w:rPr>
          <w:rFonts w:asciiTheme="majorBidi" w:hAnsiTheme="majorBidi" w:cs="Times New Roman"/>
          <w:sz w:val="32"/>
          <w:szCs w:val="32"/>
          <w:rtl/>
        </w:rPr>
        <w:t>أما المنهج الثاني، فيتمثل في القيم والفلسفات الضمنية التي تعزز الابتكار التنظيمي وتُشكّل بيئة المنظمة لممارسة الابتكار، ومن أبرزها</w:t>
      </w:r>
      <w:r w:rsidRPr="0064270B">
        <w:rPr>
          <w:rFonts w:asciiTheme="majorBidi" w:hAnsiTheme="majorBidi" w:cs="Times New Roman"/>
          <w:sz w:val="32"/>
          <w:szCs w:val="32"/>
        </w:rPr>
        <w:t>:</w:t>
      </w:r>
    </w:p>
    <w:p w14:paraId="482D15A8"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1. </w:t>
      </w:r>
      <w:r w:rsidRPr="0064270B">
        <w:rPr>
          <w:rFonts w:asciiTheme="majorBidi" w:hAnsiTheme="majorBidi" w:cs="Times New Roman"/>
          <w:sz w:val="32"/>
          <w:szCs w:val="32"/>
          <w:rtl/>
        </w:rPr>
        <w:t>نجاح الابتكار مرهون بقبوله من العميل</w:t>
      </w:r>
      <w:r w:rsidRPr="0064270B">
        <w:rPr>
          <w:rFonts w:asciiTheme="majorBidi" w:hAnsiTheme="majorBidi" w:cs="Times New Roman"/>
          <w:sz w:val="32"/>
          <w:szCs w:val="32"/>
        </w:rPr>
        <w:t>.</w:t>
      </w:r>
    </w:p>
    <w:p w14:paraId="04A4B729" w14:textId="77777777" w:rsidR="004E195D"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2. الفكرة هي العنصر الأهم في العملية الابتكارية.</w:t>
      </w:r>
    </w:p>
    <w:p w14:paraId="3E134D4D"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lastRenderedPageBreak/>
        <w:t xml:space="preserve">يجب على المنظمة أن تولي اهتمامًا بالأفراد والكفاءات المبتكرة، وتوفر لهم المساحة اللازمة لدعمهم في طرح أفكارهم وتوثيقها وتطبيقها </w:t>
      </w:r>
      <w:r w:rsidRPr="004F20F4">
        <w:rPr>
          <w:rFonts w:asciiTheme="majorBidi" w:hAnsiTheme="majorBidi" w:cs="Times New Roman"/>
          <w:sz w:val="20"/>
          <w:szCs w:val="20"/>
          <w:rtl/>
        </w:rPr>
        <w:t>(التويجري، 2022)</w:t>
      </w:r>
      <w:r w:rsidRPr="004F20F4">
        <w:rPr>
          <w:rFonts w:asciiTheme="majorBidi" w:hAnsiTheme="majorBidi" w:cs="Times New Roman"/>
          <w:sz w:val="20"/>
          <w:szCs w:val="20"/>
        </w:rPr>
        <w:t>.</w:t>
      </w:r>
    </w:p>
    <w:p w14:paraId="05895FAA"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يتضح مما سبق أن المؤسسات تتبنى العديد من استراتيجيات وأساليب الابتكار التنظيمي. ويتطلب اختيار هذه الطرق والأساليب تخطيطًا مدروسًا يتماشى مع التوجه المستقبلي للمؤسسة ويدفعها نحو التطور والابتكار. ويجب أن ينعكس ذلك في رؤيتها ورسالتها، حيث تركز خططها طويلة المدى على التغيير، والجودة، وتمكين العاملين، والاستجابة لمتطلبات البيئة الداخلية والخارجية، بالإضافة إلى بناء علاقات وشراكات متينة، وتحسين القدرة التنافسية والكفاءة التنظيمية</w:t>
      </w:r>
      <w:r w:rsidRPr="0064270B">
        <w:rPr>
          <w:rFonts w:asciiTheme="majorBidi" w:hAnsiTheme="majorBidi" w:cs="Times New Roman"/>
          <w:sz w:val="32"/>
          <w:szCs w:val="32"/>
        </w:rPr>
        <w:t>.</w:t>
      </w:r>
    </w:p>
    <w:p w14:paraId="0227A453" w14:textId="77777777" w:rsidR="004E195D" w:rsidRPr="004F20F4" w:rsidRDefault="004E195D" w:rsidP="004E195D">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6.2 </w:t>
      </w:r>
      <w:r w:rsidRPr="004F20F4">
        <w:rPr>
          <w:rFonts w:asciiTheme="majorBidi" w:hAnsiTheme="majorBidi" w:cs="Times New Roman"/>
          <w:b/>
          <w:bCs/>
          <w:sz w:val="32"/>
          <w:szCs w:val="32"/>
          <w:rtl/>
        </w:rPr>
        <w:t>معوقات الابتكار التنظيمي</w:t>
      </w:r>
    </w:p>
    <w:p w14:paraId="45D7B408" w14:textId="77777777" w:rsidR="004E195D" w:rsidRPr="0064270B"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ذكرت القيام (2022) مجموعة من المشكلات والمعوقات التي تواجه الابتكار التنظيمي، وأوجزتها في الآتي</w:t>
      </w:r>
      <w:r w:rsidRPr="0064270B">
        <w:rPr>
          <w:rFonts w:asciiTheme="majorBidi" w:hAnsiTheme="majorBidi" w:cs="Times New Roman"/>
          <w:sz w:val="32"/>
          <w:szCs w:val="32"/>
        </w:rPr>
        <w:t>:</w:t>
      </w:r>
    </w:p>
    <w:p w14:paraId="7F22735E"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1. </w:t>
      </w:r>
      <w:r w:rsidRPr="0064270B">
        <w:rPr>
          <w:rFonts w:asciiTheme="majorBidi" w:hAnsiTheme="majorBidi" w:cs="Times New Roman"/>
          <w:sz w:val="32"/>
          <w:szCs w:val="32"/>
          <w:rtl/>
        </w:rPr>
        <w:t>المشكلات الداخلية داخل المؤسسة، مثل: النقد السلبي، والمنافسة غير الشريفة، والضغط المبالغ فيه</w:t>
      </w:r>
      <w:r w:rsidRPr="0064270B">
        <w:rPr>
          <w:rFonts w:asciiTheme="majorBidi" w:hAnsiTheme="majorBidi" w:cs="Times New Roman"/>
          <w:sz w:val="32"/>
          <w:szCs w:val="32"/>
        </w:rPr>
        <w:t>.</w:t>
      </w:r>
    </w:p>
    <w:p w14:paraId="67B0D388"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2. </w:t>
      </w:r>
      <w:r w:rsidRPr="0064270B">
        <w:rPr>
          <w:rFonts w:asciiTheme="majorBidi" w:hAnsiTheme="majorBidi" w:cs="Times New Roman"/>
          <w:sz w:val="32"/>
          <w:szCs w:val="32"/>
          <w:rtl/>
        </w:rPr>
        <w:t>الرقابة الشديدة من قبل الإدارة</w:t>
      </w:r>
      <w:r w:rsidRPr="0064270B">
        <w:rPr>
          <w:rFonts w:asciiTheme="majorBidi" w:hAnsiTheme="majorBidi" w:cs="Times New Roman"/>
          <w:sz w:val="32"/>
          <w:szCs w:val="32"/>
        </w:rPr>
        <w:t>.</w:t>
      </w:r>
    </w:p>
    <w:p w14:paraId="05B00850"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3. </w:t>
      </w:r>
      <w:r w:rsidRPr="0064270B">
        <w:rPr>
          <w:rFonts w:asciiTheme="majorBidi" w:hAnsiTheme="majorBidi" w:cs="Times New Roman"/>
          <w:sz w:val="32"/>
          <w:szCs w:val="32"/>
          <w:rtl/>
        </w:rPr>
        <w:t>التعقيد في الإجراءات الرسمية</w:t>
      </w:r>
      <w:r w:rsidRPr="0064270B">
        <w:rPr>
          <w:rFonts w:asciiTheme="majorBidi" w:hAnsiTheme="majorBidi" w:cs="Times New Roman"/>
          <w:sz w:val="32"/>
          <w:szCs w:val="32"/>
        </w:rPr>
        <w:t>.</w:t>
      </w:r>
    </w:p>
    <w:p w14:paraId="4D3B9ADC" w14:textId="77777777" w:rsidR="004E195D" w:rsidRPr="0064270B" w:rsidRDefault="004E195D" w:rsidP="004E195D">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4. </w:t>
      </w:r>
      <w:r w:rsidRPr="0064270B">
        <w:rPr>
          <w:rFonts w:asciiTheme="majorBidi" w:hAnsiTheme="majorBidi" w:cs="Times New Roman"/>
          <w:sz w:val="32"/>
          <w:szCs w:val="32"/>
          <w:rtl/>
        </w:rPr>
        <w:t>حصر إمكانية التحسين والتطوير بشخص أو منصب معين</w:t>
      </w:r>
      <w:r w:rsidRPr="0064270B">
        <w:rPr>
          <w:rFonts w:asciiTheme="majorBidi" w:hAnsiTheme="majorBidi" w:cs="Times New Roman"/>
          <w:sz w:val="32"/>
          <w:szCs w:val="32"/>
        </w:rPr>
        <w:t>.</w:t>
      </w:r>
    </w:p>
    <w:p w14:paraId="02B0D3CD" w14:textId="77777777" w:rsidR="004E195D" w:rsidRDefault="004E195D" w:rsidP="004E195D">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لذا، يجب على المؤسسات التعليمية الاهتمام بالابتكار التنظيمي في جميع العمليات والمهام المرتبطة بالعملية التعليمية، وجعله منهج حياة لدى الطلاب وفي حياتهم العملية. ولا يتحقق ذلك إلا بتحفيز مديري المدارس في جميع أنشطتهم داخل المدرسة، ولا سيما الأنشطة الإدارية منها </w:t>
      </w:r>
      <w:r w:rsidRPr="004F20F4">
        <w:rPr>
          <w:rFonts w:asciiTheme="majorBidi" w:hAnsiTheme="majorBidi" w:cs="Times New Roman"/>
          <w:sz w:val="20"/>
          <w:szCs w:val="20"/>
          <w:rtl/>
        </w:rPr>
        <w:t>(أبو سنيمة، 2020).</w:t>
      </w:r>
    </w:p>
    <w:p w14:paraId="54BA05D6" w14:textId="77777777" w:rsidR="004E195D" w:rsidRDefault="004E195D" w:rsidP="004E195D">
      <w:pPr>
        <w:bidi/>
        <w:spacing w:line="360" w:lineRule="auto"/>
        <w:jc w:val="both"/>
        <w:rPr>
          <w:rFonts w:asciiTheme="majorBidi" w:hAnsiTheme="majorBidi" w:cstheme="majorBidi"/>
          <w:sz w:val="32"/>
          <w:szCs w:val="32"/>
          <w:rtl/>
        </w:rPr>
      </w:pPr>
    </w:p>
    <w:p w14:paraId="7F7EBC94" w14:textId="77777777" w:rsidR="004E195D" w:rsidRDefault="004E195D" w:rsidP="004E195D">
      <w:pPr>
        <w:bidi/>
        <w:spacing w:line="360" w:lineRule="auto"/>
        <w:jc w:val="both"/>
        <w:rPr>
          <w:rFonts w:asciiTheme="majorBidi" w:hAnsiTheme="majorBidi" w:cstheme="majorBidi"/>
          <w:sz w:val="32"/>
          <w:szCs w:val="32"/>
          <w:rtl/>
        </w:rPr>
      </w:pPr>
    </w:p>
    <w:p w14:paraId="3C1588CE" w14:textId="77777777" w:rsidR="004E195D" w:rsidRDefault="004E195D" w:rsidP="004E195D">
      <w:pPr>
        <w:bidi/>
        <w:spacing w:line="360" w:lineRule="auto"/>
        <w:jc w:val="both"/>
        <w:rPr>
          <w:rFonts w:asciiTheme="majorBidi" w:hAnsiTheme="majorBidi" w:cstheme="majorBidi"/>
          <w:b/>
          <w:bCs/>
          <w:sz w:val="32"/>
          <w:szCs w:val="32"/>
          <w:rtl/>
        </w:rPr>
      </w:pPr>
      <w:r w:rsidRPr="003E7883">
        <w:rPr>
          <w:rFonts w:asciiTheme="majorBidi" w:hAnsiTheme="majorBidi" w:cstheme="majorBidi" w:hint="cs"/>
          <w:b/>
          <w:bCs/>
          <w:sz w:val="32"/>
          <w:szCs w:val="32"/>
          <w:rtl/>
        </w:rPr>
        <w:lastRenderedPageBreak/>
        <w:t>3. الأداء الاستراتيجي</w:t>
      </w:r>
    </w:p>
    <w:p w14:paraId="212E173C" w14:textId="77777777" w:rsidR="004E195D" w:rsidRPr="003E7883" w:rsidRDefault="004E195D" w:rsidP="004E195D">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1.3 </w:t>
      </w:r>
      <w:r w:rsidRPr="003E7883">
        <w:rPr>
          <w:rFonts w:asciiTheme="majorBidi" w:hAnsiTheme="majorBidi" w:cs="Times New Roman"/>
          <w:b/>
          <w:bCs/>
          <w:sz w:val="32"/>
          <w:szCs w:val="32"/>
          <w:rtl/>
        </w:rPr>
        <w:t>مفهوم الأداء الاستراتيجي</w:t>
      </w:r>
      <w:r w:rsidRPr="003E7883">
        <w:rPr>
          <w:rFonts w:asciiTheme="majorBidi" w:hAnsiTheme="majorBidi" w:cstheme="majorBidi"/>
          <w:b/>
          <w:bCs/>
          <w:sz w:val="32"/>
          <w:szCs w:val="32"/>
        </w:rPr>
        <w:t>:</w:t>
      </w:r>
    </w:p>
    <w:p w14:paraId="003E2ED2" w14:textId="77777777" w:rsidR="004E195D" w:rsidRDefault="004E195D" w:rsidP="004E195D">
      <w:pPr>
        <w:bidi/>
        <w:spacing w:line="360" w:lineRule="auto"/>
        <w:jc w:val="both"/>
        <w:rPr>
          <w:rFonts w:asciiTheme="majorBidi" w:hAnsiTheme="majorBidi" w:cs="Times New Roman"/>
          <w:sz w:val="32"/>
          <w:szCs w:val="32"/>
          <w:rtl/>
        </w:rPr>
      </w:pPr>
      <w:r w:rsidRPr="007F01E1">
        <w:rPr>
          <w:rFonts w:asciiTheme="majorBidi" w:hAnsiTheme="majorBidi" w:cs="Times New Roman"/>
          <w:sz w:val="32"/>
          <w:szCs w:val="32"/>
          <w:rtl/>
        </w:rPr>
        <w:t>تُعرّف بأنها عملية منهجية منظمة تهدف إلى التحسين المستمر لأداء المؤسسات ال</w:t>
      </w:r>
      <w:r>
        <w:rPr>
          <w:rFonts w:asciiTheme="majorBidi" w:hAnsiTheme="majorBidi" w:cs="Times New Roman" w:hint="cs"/>
          <w:sz w:val="32"/>
          <w:szCs w:val="32"/>
          <w:rtl/>
        </w:rPr>
        <w:t>تعليمية</w:t>
      </w:r>
      <w:r w:rsidRPr="007F01E1">
        <w:rPr>
          <w:rFonts w:asciiTheme="majorBidi" w:hAnsiTheme="majorBidi" w:cs="Times New Roman"/>
          <w:sz w:val="32"/>
          <w:szCs w:val="32"/>
          <w:rtl/>
        </w:rPr>
        <w:t xml:space="preserve">، وذلك من خلال تحديد استراتيجياتها وأهدافها بطريقة قابلة للقياس عبر عوامل النجاح الحاسمة ومؤشرات الأداء الرئيسية، مما يمكّن من اتخاذ القرارات والإجراءات التصحيحية اللازمة لإبقاء الجامعة على المسار الصحيح </w:t>
      </w:r>
      <w:r w:rsidRPr="007F01E1">
        <w:rPr>
          <w:rFonts w:asciiTheme="majorBidi" w:hAnsiTheme="majorBidi" w:cs="Times New Roman"/>
          <w:sz w:val="20"/>
          <w:szCs w:val="20"/>
          <w:rtl/>
        </w:rPr>
        <w:t>(</w:t>
      </w:r>
      <w:r w:rsidRPr="007F01E1">
        <w:rPr>
          <w:rFonts w:asciiTheme="majorBidi" w:hAnsiTheme="majorBidi" w:cs="Times New Roman"/>
          <w:sz w:val="20"/>
          <w:szCs w:val="20"/>
        </w:rPr>
        <w:t>Rastislav Petra</w:t>
      </w:r>
      <w:r w:rsidRPr="007F01E1">
        <w:rPr>
          <w:rFonts w:asciiTheme="majorBidi" w:hAnsiTheme="majorBidi" w:cs="Times New Roman"/>
          <w:sz w:val="20"/>
          <w:szCs w:val="20"/>
          <w:rtl/>
        </w:rPr>
        <w:t>، 2016، ص 108).</w:t>
      </w:r>
      <w:r w:rsidRPr="007F01E1">
        <w:rPr>
          <w:rFonts w:asciiTheme="majorBidi" w:hAnsiTheme="majorBidi" w:cs="Times New Roman"/>
          <w:sz w:val="32"/>
          <w:szCs w:val="32"/>
          <w:rtl/>
        </w:rPr>
        <w:t xml:space="preserve"> كما تُشير إلى أنها عملية اتباع الجامعة لمجموعة من الأطر والنماذج المستخدمة في إدارة أدائها المؤسسي بما يتوافق مع الاستراتيجية الموضوعة، وتُسهم في ربط أنشطة العاملين في ال</w:t>
      </w:r>
      <w:r>
        <w:rPr>
          <w:rFonts w:asciiTheme="majorBidi" w:hAnsiTheme="majorBidi" w:cs="Times New Roman" w:hint="cs"/>
          <w:sz w:val="32"/>
          <w:szCs w:val="32"/>
          <w:rtl/>
        </w:rPr>
        <w:t>مؤسسات التعليمية</w:t>
      </w:r>
      <w:r w:rsidRPr="007F01E1">
        <w:rPr>
          <w:rFonts w:asciiTheme="majorBidi" w:hAnsiTheme="majorBidi" w:cs="Times New Roman"/>
          <w:sz w:val="32"/>
          <w:szCs w:val="32"/>
          <w:rtl/>
        </w:rPr>
        <w:t xml:space="preserve"> بالأهداف الاستراتيجية والإمكانات المؤسسية المادية والبشرية </w:t>
      </w:r>
      <w:r w:rsidRPr="000360B7">
        <w:rPr>
          <w:rFonts w:asciiTheme="majorBidi" w:hAnsiTheme="majorBidi" w:cs="Times New Roman"/>
          <w:sz w:val="20"/>
          <w:szCs w:val="20"/>
          <w:rtl/>
        </w:rPr>
        <w:t>(إبراهيم، 2017، ص 217).</w:t>
      </w:r>
    </w:p>
    <w:p w14:paraId="6C96CF7B" w14:textId="77777777" w:rsidR="004E195D" w:rsidRPr="003E7883" w:rsidRDefault="004E195D" w:rsidP="004E195D">
      <w:pPr>
        <w:bidi/>
        <w:spacing w:line="360" w:lineRule="auto"/>
        <w:jc w:val="both"/>
        <w:rPr>
          <w:rFonts w:asciiTheme="majorBidi" w:hAnsiTheme="majorBidi" w:cstheme="majorBidi"/>
          <w:sz w:val="32"/>
          <w:szCs w:val="32"/>
          <w:rtl/>
        </w:rPr>
      </w:pPr>
      <w:r w:rsidRPr="003E7883">
        <w:rPr>
          <w:rFonts w:asciiTheme="majorBidi" w:hAnsiTheme="majorBidi" w:cs="Times New Roman"/>
          <w:sz w:val="32"/>
          <w:szCs w:val="32"/>
          <w:rtl/>
        </w:rPr>
        <w:t>من المنظور الاستراتيجي، يرتبط الأداء ارتباطًا وثيقًا بالقدرة التنافسية والتموقع – حاضرًا ومستقبلًا – ويعبر عن قدرة المؤسسة على الاستمرار بالشكل المرغوب فيه في سوق تنافسية متطورة، أي بتحقيق الكفاءة والفعالية في الوقت ذاته. ويشير هوفمان وفامستر</w:t>
      </w:r>
      <w:r w:rsidRPr="003E7883">
        <w:rPr>
          <w:rFonts w:asciiTheme="majorBidi" w:hAnsiTheme="majorBidi" w:cstheme="majorBidi"/>
          <w:sz w:val="32"/>
          <w:szCs w:val="32"/>
        </w:rPr>
        <w:t xml:space="preserve"> (Hoffman &amp; </w:t>
      </w:r>
      <w:proofErr w:type="spellStart"/>
      <w:r w:rsidRPr="003E7883">
        <w:rPr>
          <w:rFonts w:asciiTheme="majorBidi" w:hAnsiTheme="majorBidi" w:cstheme="majorBidi"/>
          <w:sz w:val="32"/>
          <w:szCs w:val="32"/>
        </w:rPr>
        <w:t>Famster</w:t>
      </w:r>
      <w:proofErr w:type="spellEnd"/>
      <w:r w:rsidRPr="003E7883">
        <w:rPr>
          <w:rFonts w:asciiTheme="majorBidi" w:hAnsiTheme="majorBidi" w:cstheme="majorBidi"/>
          <w:sz w:val="32"/>
          <w:szCs w:val="32"/>
        </w:rPr>
        <w:t xml:space="preserve">) </w:t>
      </w:r>
      <w:r w:rsidRPr="003E7883">
        <w:rPr>
          <w:rFonts w:asciiTheme="majorBidi" w:hAnsiTheme="majorBidi" w:cs="Times New Roman"/>
          <w:sz w:val="32"/>
          <w:szCs w:val="32"/>
          <w:rtl/>
        </w:rPr>
        <w:t>إلى أن الأداء الاستراتيجي يمثل أحد المؤشرات المهمة لتميز المنظمات عن منافسيها؛ لكونه يعبر عن كفاءة المنظمة في إنجاز فعالياتها المختلفة</w:t>
      </w:r>
      <w:r w:rsidRPr="003E7883">
        <w:rPr>
          <w:rFonts w:asciiTheme="majorBidi" w:hAnsiTheme="majorBidi" w:cstheme="majorBidi"/>
          <w:sz w:val="32"/>
          <w:szCs w:val="32"/>
        </w:rPr>
        <w:t>.</w:t>
      </w:r>
    </w:p>
    <w:p w14:paraId="70A28D6E" w14:textId="77777777" w:rsidR="004E195D" w:rsidRPr="003E7883"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3E7883">
        <w:rPr>
          <w:rFonts w:asciiTheme="majorBidi" w:hAnsiTheme="majorBidi" w:cs="Times New Roman"/>
          <w:sz w:val="32"/>
          <w:szCs w:val="32"/>
          <w:rtl/>
        </w:rPr>
        <w:t>أضفى أنجيلييه</w:t>
      </w:r>
      <w:r w:rsidRPr="003E7883">
        <w:rPr>
          <w:rFonts w:asciiTheme="majorBidi" w:hAnsiTheme="majorBidi" w:cstheme="majorBidi"/>
          <w:sz w:val="32"/>
          <w:szCs w:val="32"/>
        </w:rPr>
        <w:t xml:space="preserve"> (Angelier) </w:t>
      </w:r>
      <w:r w:rsidRPr="003E7883">
        <w:rPr>
          <w:rFonts w:asciiTheme="majorBidi" w:hAnsiTheme="majorBidi" w:cs="Times New Roman"/>
          <w:sz w:val="32"/>
          <w:szCs w:val="32"/>
          <w:rtl/>
        </w:rPr>
        <w:t>الطابع الاستراتيجي على مفهوم الأداء ونظر إليه من الجانب الكلي، حيث اعتبر أن أداء المنظمة يتجسد في قدرتها على تنفيذ استراتيجياتها وتمكنها من مواجهة القوى التنافسية</w:t>
      </w:r>
      <w:r w:rsidRPr="003E7883">
        <w:rPr>
          <w:rFonts w:asciiTheme="majorBidi" w:hAnsiTheme="majorBidi" w:cstheme="majorBidi"/>
          <w:sz w:val="32"/>
          <w:szCs w:val="32"/>
        </w:rPr>
        <w:t>.</w:t>
      </w:r>
    </w:p>
    <w:p w14:paraId="2718A4D5" w14:textId="77777777" w:rsidR="004E195D" w:rsidRPr="003E7883"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3E7883">
        <w:rPr>
          <w:rFonts w:asciiTheme="majorBidi" w:hAnsiTheme="majorBidi" w:cs="Times New Roman"/>
          <w:sz w:val="32"/>
          <w:szCs w:val="32"/>
          <w:rtl/>
        </w:rPr>
        <w:t>يعبر كوكنز</w:t>
      </w:r>
      <w:r w:rsidRPr="003E7883">
        <w:rPr>
          <w:rFonts w:asciiTheme="majorBidi" w:hAnsiTheme="majorBidi" w:cstheme="majorBidi"/>
          <w:sz w:val="32"/>
          <w:szCs w:val="32"/>
        </w:rPr>
        <w:t xml:space="preserve"> (Cokins) </w:t>
      </w:r>
      <w:r w:rsidRPr="003E7883">
        <w:rPr>
          <w:rFonts w:asciiTheme="majorBidi" w:hAnsiTheme="majorBidi" w:cs="Times New Roman"/>
          <w:sz w:val="32"/>
          <w:szCs w:val="32"/>
          <w:rtl/>
        </w:rPr>
        <w:t>عن الأداء الاستراتيجي بالنتائج المترتبة عن ترجمة الخطط الاستراتيجية للمنظمة، وذلك وفق النظرة الشاملة لعمل المنظمة وتصرفها، وبما يمكّن متخذي القرار من الاستجابة السريعة والتكيف مع التغيرات غير المتوقعة والسريعة في عوامل البيئة الخارجية</w:t>
      </w:r>
      <w:r w:rsidRPr="003E7883">
        <w:rPr>
          <w:rFonts w:asciiTheme="majorBidi" w:hAnsiTheme="majorBidi" w:cstheme="majorBidi"/>
          <w:sz w:val="32"/>
          <w:szCs w:val="32"/>
        </w:rPr>
        <w:t>.</w:t>
      </w:r>
    </w:p>
    <w:p w14:paraId="77783A32" w14:textId="77777777" w:rsidR="004E195D" w:rsidRPr="003E7883" w:rsidRDefault="004E195D" w:rsidP="004E195D">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lastRenderedPageBreak/>
        <w:t xml:space="preserve">- </w:t>
      </w:r>
      <w:r w:rsidRPr="003E7883">
        <w:rPr>
          <w:rFonts w:asciiTheme="majorBidi" w:hAnsiTheme="majorBidi" w:cs="Times New Roman"/>
          <w:sz w:val="32"/>
          <w:szCs w:val="32"/>
          <w:rtl/>
        </w:rPr>
        <w:t>ويقدم بورغينيون</w:t>
      </w:r>
      <w:r w:rsidRPr="003E7883">
        <w:rPr>
          <w:rFonts w:asciiTheme="majorBidi" w:hAnsiTheme="majorBidi" w:cstheme="majorBidi"/>
          <w:sz w:val="32"/>
          <w:szCs w:val="32"/>
        </w:rPr>
        <w:t xml:space="preserve"> (Bourguignon) </w:t>
      </w:r>
      <w:r w:rsidRPr="003E7883">
        <w:rPr>
          <w:rFonts w:asciiTheme="majorBidi" w:hAnsiTheme="majorBidi" w:cs="Times New Roman"/>
          <w:sz w:val="32"/>
          <w:szCs w:val="32"/>
          <w:rtl/>
        </w:rPr>
        <w:t>تعريفًا للأداء الاستراتيجي من خلال ثلاثة مفاهيم أساسية هي: الأداء نتيجة، الأداء فعل (عمل)، والأداء تفوق (نجاح)</w:t>
      </w:r>
      <w:r w:rsidRPr="003E7883">
        <w:rPr>
          <w:rFonts w:asciiTheme="majorBidi" w:hAnsiTheme="majorBidi" w:cstheme="majorBidi"/>
          <w:sz w:val="32"/>
          <w:szCs w:val="32"/>
        </w:rPr>
        <w:t>.</w:t>
      </w:r>
    </w:p>
    <w:p w14:paraId="5A5D808E" w14:textId="77777777" w:rsidR="004E195D" w:rsidRPr="003E7883" w:rsidRDefault="004E195D" w:rsidP="004E195D">
      <w:pPr>
        <w:bidi/>
        <w:spacing w:line="360" w:lineRule="auto"/>
        <w:jc w:val="both"/>
        <w:rPr>
          <w:rFonts w:asciiTheme="majorBidi" w:hAnsiTheme="majorBidi" w:cstheme="majorBidi"/>
          <w:sz w:val="32"/>
          <w:szCs w:val="32"/>
          <w:rtl/>
        </w:rPr>
      </w:pPr>
      <w:r w:rsidRPr="003E7883">
        <w:rPr>
          <w:rFonts w:asciiTheme="majorBidi" w:hAnsiTheme="majorBidi" w:cs="Times New Roman"/>
          <w:sz w:val="32"/>
          <w:szCs w:val="32"/>
          <w:rtl/>
        </w:rPr>
        <w:t>حيث يُقاس الأداء "نتيجة" من خلال مقارنة النتائج بالهدف المحدد؛ بمعنى آخر، قياس الأداء هو تقدير للنتائج المحصلة. وهذه المقاربة هي المعتمدة حتى الآن في مراقبة التسيير، فيتم الاعتماد في قياس الأداء المالي على عدة معايير منها: المردودية، الربحية، الإنتاجية، العائد على الأصول، والكفاءة</w:t>
      </w:r>
      <w:r w:rsidRPr="003E7883">
        <w:rPr>
          <w:rFonts w:asciiTheme="majorBidi" w:hAnsiTheme="majorBidi" w:cstheme="majorBidi"/>
          <w:sz w:val="32"/>
          <w:szCs w:val="32"/>
        </w:rPr>
        <w:t>.</w:t>
      </w:r>
    </w:p>
    <w:p w14:paraId="5019B31B" w14:textId="77777777" w:rsidR="004E195D" w:rsidRPr="003E7883" w:rsidRDefault="004E195D" w:rsidP="004E195D">
      <w:pPr>
        <w:bidi/>
        <w:spacing w:line="360" w:lineRule="auto"/>
        <w:jc w:val="both"/>
        <w:rPr>
          <w:rFonts w:asciiTheme="majorBidi" w:hAnsiTheme="majorBidi" w:cstheme="majorBidi"/>
          <w:sz w:val="32"/>
          <w:szCs w:val="32"/>
          <w:rtl/>
        </w:rPr>
      </w:pPr>
      <w:r w:rsidRPr="003E7883">
        <w:rPr>
          <w:rFonts w:asciiTheme="majorBidi" w:hAnsiTheme="majorBidi" w:cs="Times New Roman"/>
          <w:sz w:val="32"/>
          <w:szCs w:val="32"/>
          <w:rtl/>
        </w:rPr>
        <w:t>إذا كان الأداء "نتيجة" محصلة للفعل، فالأداء هو فعل يتحقق بوجود الإمكانيات والعمليات والمهارات ونوعية اليد العاملة التي تحقق النتائج. بعبارة أخرى، الأداء "فعل" يعبر عن مجموعة من المراحل والعمليات وليس النتيجة التي تظهر في لحظة زمنية محددة</w:t>
      </w:r>
      <w:r w:rsidRPr="003E7883">
        <w:rPr>
          <w:rFonts w:asciiTheme="majorBidi" w:hAnsiTheme="majorBidi" w:cstheme="majorBidi"/>
          <w:sz w:val="32"/>
          <w:szCs w:val="32"/>
        </w:rPr>
        <w:t>.</w:t>
      </w:r>
    </w:p>
    <w:p w14:paraId="04F905C1" w14:textId="77777777" w:rsidR="004E195D" w:rsidRDefault="004E195D" w:rsidP="004E195D">
      <w:pPr>
        <w:bidi/>
        <w:spacing w:line="360" w:lineRule="auto"/>
        <w:jc w:val="both"/>
        <w:rPr>
          <w:rFonts w:asciiTheme="majorBidi" w:hAnsiTheme="majorBidi" w:cs="Times New Roman"/>
          <w:sz w:val="32"/>
          <w:szCs w:val="32"/>
          <w:rtl/>
        </w:rPr>
      </w:pPr>
      <w:r w:rsidRPr="003E7883">
        <w:rPr>
          <w:rFonts w:asciiTheme="majorBidi" w:hAnsiTheme="majorBidi" w:cs="Times New Roman"/>
          <w:sz w:val="32"/>
          <w:szCs w:val="32"/>
          <w:rtl/>
        </w:rPr>
        <w:t>وأخيرًا، الأداء "تفوق (نجاح)" يتحقق من خلال رضا الفاعلين والأطراف الداخلية والخارجية للمنظمة؛ فلا يوجد نجاح دون إقرار خارجي</w:t>
      </w:r>
      <w:r>
        <w:rPr>
          <w:rFonts w:asciiTheme="majorBidi" w:hAnsiTheme="majorBidi" w:cs="Times New Roman" w:hint="cs"/>
          <w:sz w:val="32"/>
          <w:szCs w:val="32"/>
          <w:rtl/>
        </w:rPr>
        <w:t xml:space="preserve"> من السوق.</w:t>
      </w:r>
    </w:p>
    <w:p w14:paraId="605E62A7" w14:textId="77777777" w:rsidR="004E195D" w:rsidRDefault="004E195D" w:rsidP="004E195D">
      <w:pPr>
        <w:bidi/>
        <w:spacing w:line="360" w:lineRule="auto"/>
        <w:jc w:val="both"/>
        <w:rPr>
          <w:rFonts w:asciiTheme="majorBidi" w:hAnsiTheme="majorBidi" w:cs="Times New Roman"/>
          <w:sz w:val="32"/>
          <w:szCs w:val="32"/>
          <w:rtl/>
        </w:rPr>
      </w:pPr>
      <w:r w:rsidRPr="003E7883">
        <w:rPr>
          <w:rFonts w:asciiTheme="majorBidi" w:hAnsiTheme="majorBidi" w:cs="Times New Roman"/>
          <w:sz w:val="32"/>
          <w:szCs w:val="32"/>
          <w:rtl/>
        </w:rPr>
        <w:t xml:space="preserve">وفقاً لهذا التعريف، يُعد الأداء هو النتائج التي تتحقق نتيجة تفاعل العوامل الداخلية المختلفة مع التأثيرات الخارجية، واستغلال المنظمة لها في تحقيق أهدافها. بعبارة أخرى، يشمل الأداء، حسب كاميرون، تحقيق الأهداف، والاستخدام الأمثل للموارد والعمليات، وإرضاء الأطراف المعنية في المؤسسة. بالتالي، يمكن القول إن الأداء يعكس مدى نجاح المؤسسة في أنشطتها، ويتوقف على التصورات الذهنية التي تكونها المؤسسة عن هذا النجاح وعن الأطراف الفاعلة فيها ككل. لذلك، يُعالج الأداء من منظور الوسائل والعمليات والمهارات والمزايا المطلوبة لبلوغ الأهداف، وقد يُعالج أيضاً بمدى اقتراب المؤسسة من الأوضاع التي رسمتها لنفسها مستقبلاً، أي مدى نجاح استراتيجيتها تصوّراً وتطبيقاً. وبذلك، يُعتبر الأداء دالةً لجميع أنشطة المنظمة، وهو المرآة التي تعكس وضعها من مختلف جوانبها، والفعل الذي تسعى جميع الأطراف في المنظمة لتعزيزه. بناءً على ما سبق، يمكن تعريف الأداء الاستراتيجي بأنه "تضافر جهود فريق العمل الاستراتيجي مع أداء الأقسام والوحدات وأداء المنظمة ككل في ظل ظروف البيئة الداخلية والخارجية بها". ويعني </w:t>
      </w:r>
      <w:r w:rsidRPr="003E7883">
        <w:rPr>
          <w:rFonts w:asciiTheme="majorBidi" w:hAnsiTheme="majorBidi" w:cs="Times New Roman"/>
          <w:sz w:val="32"/>
          <w:szCs w:val="32"/>
          <w:rtl/>
        </w:rPr>
        <w:lastRenderedPageBreak/>
        <w:t>ذلك أن الأداء الاستراتيجي يعكس قدرة المنظمة على تلبية متطلبات البيئة الداخلية (الموارد والمهارات) والبيئة الخارجية (العملاء والموردون، إلخ) مقارنة بالمنافسين.</w:t>
      </w:r>
    </w:p>
    <w:p w14:paraId="1FFB7A96" w14:textId="77777777" w:rsidR="004E195D" w:rsidRPr="00681BD1" w:rsidRDefault="004E195D" w:rsidP="004E195D">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tl/>
        </w:rPr>
        <w:t>بناءً على التعريفات السابقة، يمكن تلخيص مفهوم إدارة الأداء الاستراتيجي فيما يلي</w:t>
      </w:r>
      <w:r w:rsidRPr="00681BD1">
        <w:rPr>
          <w:rFonts w:asciiTheme="majorBidi" w:hAnsiTheme="majorBidi" w:cs="Times New Roman"/>
          <w:sz w:val="32"/>
          <w:szCs w:val="32"/>
        </w:rPr>
        <w:t>:</w:t>
      </w:r>
    </w:p>
    <w:p w14:paraId="0D9A7EC6" w14:textId="77777777" w:rsidR="004E195D" w:rsidRPr="00681BD1" w:rsidRDefault="004E195D" w:rsidP="004E195D">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هو نظام يهدف إلى مواءمة الأداء مع الاستراتيجية لتحديد الفجوات في الأداء وأسبابها والمعايير اللازمة لمعالجتها بفعالية</w:t>
      </w:r>
      <w:r w:rsidRPr="00681BD1">
        <w:rPr>
          <w:rFonts w:asciiTheme="majorBidi" w:hAnsiTheme="majorBidi" w:cs="Times New Roman"/>
          <w:sz w:val="32"/>
          <w:szCs w:val="32"/>
        </w:rPr>
        <w:t>.</w:t>
      </w:r>
    </w:p>
    <w:p w14:paraId="7AFE20D5" w14:textId="77777777" w:rsidR="004E195D" w:rsidRPr="00681BD1" w:rsidRDefault="004E195D" w:rsidP="004E195D">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يمثل مجموعة من الأطر والنماذج التي تستخدمها المؤسسات التعليمية لإدارة أدائها بما يتوافق مع الاستراتيجية المحددة</w:t>
      </w:r>
      <w:r w:rsidRPr="00681BD1">
        <w:rPr>
          <w:rFonts w:asciiTheme="majorBidi" w:hAnsiTheme="majorBidi" w:cs="Times New Roman"/>
          <w:sz w:val="32"/>
          <w:szCs w:val="32"/>
        </w:rPr>
        <w:t>.</w:t>
      </w:r>
    </w:p>
    <w:p w14:paraId="023E8059" w14:textId="77777777" w:rsidR="004E195D" w:rsidRPr="00681BD1" w:rsidRDefault="004E195D" w:rsidP="004E195D">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يتضمن دمج أنشطة التخطيط الاستراتيجي وإدارة الأداء للاستفادة المثلى من الموارد المتاحة بكفاءة وفعالية</w:t>
      </w:r>
      <w:r w:rsidRPr="00681BD1">
        <w:rPr>
          <w:rFonts w:asciiTheme="majorBidi" w:hAnsiTheme="majorBidi" w:cs="Times New Roman"/>
          <w:sz w:val="32"/>
          <w:szCs w:val="32"/>
        </w:rPr>
        <w:t>.</w:t>
      </w:r>
    </w:p>
    <w:p w14:paraId="32CE7847" w14:textId="77777777" w:rsidR="004E195D" w:rsidRPr="00681BD1" w:rsidRDefault="004E195D" w:rsidP="004E195D">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هو مجموعة من العمليات التي تساهم في توجيه وضبط سلوك وجهد وقدرة المؤسسات التعليمية وتوجهها الاستراتيجي، بما يحقق الصورة المستقبلية المنشودة</w:t>
      </w:r>
      <w:r w:rsidRPr="00681BD1">
        <w:rPr>
          <w:rFonts w:asciiTheme="majorBidi" w:hAnsiTheme="majorBidi" w:cs="Times New Roman"/>
          <w:sz w:val="32"/>
          <w:szCs w:val="32"/>
        </w:rPr>
        <w:t>.</w:t>
      </w:r>
    </w:p>
    <w:p w14:paraId="35E8FA23" w14:textId="77777777" w:rsidR="004E195D" w:rsidRDefault="004E195D" w:rsidP="004E195D">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tl/>
        </w:rPr>
        <w:t>وعليه، يمكن تعريف الأداء الاستراتيجي إجرائيًا بأنه إطار شامل يضم مجموعة من العمليات التي تمكّن المؤسسات التعليمية من تنفيذ استراتيجياتها وتقويمها بناءً على مؤشرات أداء محددة، قادرة على تشخيص الفجوات ومواطن الخلل وجوانب التميز. ويتم ذلك عبر استخدام مداخل إدارية محددة تمكّن من استثمار كافة الموارد البشرية والمادية، لتحقيق الكفاءة والفاعلية في إدارة الأداء والوصول إلى الصورة المستقبلية المرغوبة.</w:t>
      </w:r>
    </w:p>
    <w:p w14:paraId="45D0DFFD" w14:textId="77777777" w:rsidR="004E195D" w:rsidRPr="00B25EE7" w:rsidRDefault="004E195D" w:rsidP="004E195D">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2.3 </w:t>
      </w:r>
      <w:r w:rsidRPr="00B25EE7">
        <w:rPr>
          <w:rFonts w:asciiTheme="majorBidi" w:hAnsiTheme="majorBidi" w:cs="Times New Roman"/>
          <w:b/>
          <w:bCs/>
          <w:sz w:val="32"/>
          <w:szCs w:val="32"/>
          <w:rtl/>
        </w:rPr>
        <w:t>أهمية الأداء الاستراتيجي</w:t>
      </w:r>
      <w:r w:rsidRPr="00B25EE7">
        <w:rPr>
          <w:rFonts w:asciiTheme="majorBidi" w:hAnsiTheme="majorBidi" w:cs="Times New Roman"/>
          <w:b/>
          <w:bCs/>
          <w:sz w:val="32"/>
          <w:szCs w:val="32"/>
        </w:rPr>
        <w:t>:</w:t>
      </w:r>
    </w:p>
    <w:p w14:paraId="792DCD7D" w14:textId="77777777" w:rsidR="004E195D" w:rsidRPr="00B25EE7" w:rsidRDefault="004E195D" w:rsidP="004E195D">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يرى المسعودي (2017: 58-59) أن للأداء الاستراتيجي أهمية كبيرة تظهر جلياً في كمية المنافع التي يقدمها، ومنها</w:t>
      </w:r>
      <w:r w:rsidRPr="00B25EE7">
        <w:rPr>
          <w:rFonts w:asciiTheme="majorBidi" w:hAnsiTheme="majorBidi" w:cs="Times New Roman"/>
          <w:sz w:val="32"/>
          <w:szCs w:val="32"/>
        </w:rPr>
        <w:t>:</w:t>
      </w:r>
    </w:p>
    <w:p w14:paraId="6D3139C8" w14:textId="77777777" w:rsidR="004E195D" w:rsidRPr="00B25EE7" w:rsidRDefault="004E195D" w:rsidP="004E195D">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1</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يساعد التخطيط للأداء الاستراتيجي المنظمة على كشف العلاقة بين توجهاتها بعيدة الأمد والاستراتيجيات اللازمة لبلوغها</w:t>
      </w:r>
      <w:r w:rsidRPr="00B25EE7">
        <w:rPr>
          <w:rFonts w:asciiTheme="majorBidi" w:hAnsiTheme="majorBidi" w:cs="Times New Roman"/>
          <w:sz w:val="32"/>
          <w:szCs w:val="32"/>
        </w:rPr>
        <w:t>.</w:t>
      </w:r>
    </w:p>
    <w:p w14:paraId="148293C9" w14:textId="77777777" w:rsidR="004E195D" w:rsidRPr="00B25EE7" w:rsidRDefault="004E195D" w:rsidP="004E195D">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lastRenderedPageBreak/>
        <w:t>2</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يلعب الأداء الاستراتيجي دوراً مهماً في عملية الإدارة الاستراتيجية</w:t>
      </w:r>
      <w:r w:rsidRPr="00B25EE7">
        <w:rPr>
          <w:rFonts w:asciiTheme="majorBidi" w:hAnsiTheme="majorBidi" w:cs="Times New Roman"/>
          <w:sz w:val="32"/>
          <w:szCs w:val="32"/>
        </w:rPr>
        <w:t>.</w:t>
      </w:r>
    </w:p>
    <w:p w14:paraId="706C4FAC" w14:textId="77777777" w:rsidR="004E195D" w:rsidRPr="00B25EE7" w:rsidRDefault="004E195D" w:rsidP="004E195D">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يقدم الأداء الاستراتيجي تغذية عكسية شاملة لاستراتيجية المنظمة، مما يساعد على تقليص الفجوة الاستراتيجية وتحسين أداء الاستراتيجية المؤسسية</w:t>
      </w:r>
      <w:r w:rsidRPr="00B25EE7">
        <w:rPr>
          <w:rFonts w:asciiTheme="majorBidi" w:hAnsiTheme="majorBidi" w:cs="Times New Roman"/>
          <w:sz w:val="32"/>
          <w:szCs w:val="32"/>
        </w:rPr>
        <w:t>.</w:t>
      </w:r>
    </w:p>
    <w:p w14:paraId="06396888" w14:textId="77777777" w:rsidR="004E195D" w:rsidRPr="00B25EE7" w:rsidRDefault="004E195D" w:rsidP="004E195D">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4</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يسهم الأداء الاستراتيجي في خفض تكاليف العملاء مقارنة بالمنافسين</w:t>
      </w:r>
      <w:r w:rsidRPr="00B25EE7">
        <w:rPr>
          <w:rFonts w:asciiTheme="majorBidi" w:hAnsiTheme="majorBidi" w:cs="Times New Roman"/>
          <w:sz w:val="32"/>
          <w:szCs w:val="32"/>
        </w:rPr>
        <w:t>.</w:t>
      </w:r>
    </w:p>
    <w:p w14:paraId="636BE45F" w14:textId="77777777" w:rsidR="004E195D" w:rsidRPr="00B25EE7" w:rsidRDefault="004E195D" w:rsidP="004E195D">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5</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يحقق الأداء الاستراتيجي الشمولية في مضمونه باحتوائه العديد من المفاهيم المتعلقة بالفاعلية والكفاءة والتمييز للمنظمة والنجاح التنظيمي، كما يتضمن اتفاقاً ضمنياً يُعبر عن قدرة المنظمة على تحقيق أهدافها وغاياتها</w:t>
      </w:r>
      <w:r w:rsidRPr="00B25EE7">
        <w:rPr>
          <w:rFonts w:asciiTheme="majorBidi" w:hAnsiTheme="majorBidi" w:cs="Times New Roman"/>
          <w:sz w:val="32"/>
          <w:szCs w:val="32"/>
        </w:rPr>
        <w:t>.</w:t>
      </w:r>
    </w:p>
    <w:p w14:paraId="3D250ED7" w14:textId="77777777" w:rsidR="004E195D" w:rsidRDefault="004E195D" w:rsidP="004E195D">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6- يُعد الأداء الاستراتيجي الأساس للتنبؤ بنجاح المنظمات أو فشلها في تنفيذ القرارات والخطط الاستراتيجية.</w:t>
      </w:r>
    </w:p>
    <w:p w14:paraId="51B73162" w14:textId="77777777" w:rsidR="004E195D" w:rsidRPr="0065709A" w:rsidRDefault="004E195D" w:rsidP="004E195D">
      <w:pPr>
        <w:bidi/>
        <w:spacing w:line="360" w:lineRule="auto"/>
        <w:jc w:val="both"/>
        <w:rPr>
          <w:rFonts w:asciiTheme="majorBidi" w:hAnsiTheme="majorBidi" w:cs="Times New Roman"/>
          <w:sz w:val="32"/>
          <w:szCs w:val="32"/>
          <w:rtl/>
        </w:rPr>
      </w:pPr>
      <w:r w:rsidRPr="0065709A">
        <w:rPr>
          <w:rFonts w:asciiTheme="majorBidi" w:hAnsiTheme="majorBidi" w:cs="Times New Roman"/>
          <w:sz w:val="32"/>
          <w:szCs w:val="32"/>
          <w:rtl/>
        </w:rPr>
        <w:t>أوضح كل من ستوبس ووكولين</w:t>
      </w:r>
      <w:r w:rsidRPr="0065709A">
        <w:rPr>
          <w:rFonts w:asciiTheme="majorBidi" w:hAnsiTheme="majorBidi" w:cs="Times New Roman"/>
          <w:sz w:val="32"/>
          <w:szCs w:val="32"/>
        </w:rPr>
        <w:t xml:space="preserve"> </w:t>
      </w:r>
      <w:r w:rsidRPr="000360B7">
        <w:rPr>
          <w:rFonts w:asciiTheme="majorBidi" w:hAnsiTheme="majorBidi" w:cs="Times New Roman"/>
          <w:sz w:val="20"/>
          <w:szCs w:val="20"/>
        </w:rPr>
        <w:t>(Stubbs &amp; Cocklin, 2008: 106)</w:t>
      </w:r>
      <w:r w:rsidRPr="0065709A">
        <w:rPr>
          <w:rFonts w:asciiTheme="majorBidi" w:hAnsiTheme="majorBidi" w:cs="Times New Roman"/>
          <w:sz w:val="32"/>
          <w:szCs w:val="32"/>
        </w:rPr>
        <w:t xml:space="preserve"> </w:t>
      </w:r>
      <w:r w:rsidRPr="0065709A">
        <w:rPr>
          <w:rFonts w:asciiTheme="majorBidi" w:hAnsiTheme="majorBidi" w:cs="Times New Roman"/>
          <w:sz w:val="32"/>
          <w:szCs w:val="32"/>
          <w:rtl/>
        </w:rPr>
        <w:t>أن المنظمات تسعى غالباً إلى تجنب إلحاق الضرر بالبيئة وأصحاب المصلحة، ومحاولة تدارك أي ضرر يحدث من خلال إجراء التعديلات اللازمة. ولتحقيق ذلك، تحتاج المنظمة إلى تطبيق مبدأ الاستدامة. على سبيل المثال، قد تعالج بعض المنظمات الضرر الواقع في منطقة ما بأنشطة تعويضية في منطقة أخرى، مثل تعويض الانبعاثات الضارة عن طريق شراء أرصدة الكربون وزراعة الأشجار. تُعتبر الاستدامة نموذجاً يحاكي قدرة الأرض، ويأخذ في الحسبان التوازنات البيئية لاستيعاب المتطلبات البشرية عبر الزمان والمكان. يركز مفهوم التنمية المستدامة دائماً على الموازنة بين احتياجات الأجيال المتعاقبة، لضمان تلبية الاحتياجات البيئية للأجيال الحالية والمستقبلية على قدم المساواة. ومع التقدم التكنولوجي الهائل والسعي نحو النجاح الاستراتيجي، تتبنى العديد من المنظمات اليوم أساليب تمكنها من تحقيق هذا النجاح، وتُعد الاستدامة من أهم هذه الأساليب، إذ تشير إلى استمرارية الأنشطة التنموية وتوسيع الخيارات المتاحة لأفراد المجتمع للمساهمة في دفع عجلة التنمية بجوانبها الاقتصادية والاجتماعية</w:t>
      </w:r>
      <w:r w:rsidRPr="0065709A">
        <w:rPr>
          <w:rFonts w:asciiTheme="majorBidi" w:hAnsiTheme="majorBidi" w:cs="Times New Roman"/>
          <w:sz w:val="20"/>
          <w:szCs w:val="20"/>
        </w:rPr>
        <w:t xml:space="preserve"> (</w:t>
      </w:r>
      <w:proofErr w:type="spellStart"/>
      <w:r w:rsidRPr="0065709A">
        <w:rPr>
          <w:rFonts w:asciiTheme="majorBidi" w:hAnsiTheme="majorBidi" w:cs="Times New Roman"/>
          <w:sz w:val="20"/>
          <w:szCs w:val="20"/>
        </w:rPr>
        <w:t>Almansoori</w:t>
      </w:r>
      <w:proofErr w:type="spellEnd"/>
      <w:r w:rsidRPr="0065709A">
        <w:rPr>
          <w:rFonts w:asciiTheme="majorBidi" w:hAnsiTheme="majorBidi" w:cs="Times New Roman"/>
          <w:sz w:val="20"/>
          <w:szCs w:val="20"/>
        </w:rPr>
        <w:t>, 2021: 28-29)</w:t>
      </w:r>
      <w:r w:rsidRPr="0065709A">
        <w:rPr>
          <w:rFonts w:asciiTheme="majorBidi" w:hAnsiTheme="majorBidi" w:cs="Times New Roman"/>
          <w:sz w:val="32"/>
          <w:szCs w:val="32"/>
        </w:rPr>
        <w:t>.</w:t>
      </w:r>
    </w:p>
    <w:p w14:paraId="7BEE704A" w14:textId="77777777" w:rsidR="004E195D" w:rsidRPr="0065709A" w:rsidRDefault="004E195D" w:rsidP="004E195D">
      <w:pPr>
        <w:bidi/>
        <w:spacing w:line="360" w:lineRule="auto"/>
        <w:jc w:val="both"/>
        <w:rPr>
          <w:rFonts w:asciiTheme="majorBidi" w:hAnsiTheme="majorBidi" w:cs="Times New Roman"/>
          <w:sz w:val="32"/>
          <w:szCs w:val="32"/>
          <w:rtl/>
        </w:rPr>
      </w:pPr>
    </w:p>
    <w:p w14:paraId="0556B21C" w14:textId="77777777" w:rsidR="004E195D" w:rsidRDefault="004E195D" w:rsidP="004E195D">
      <w:pPr>
        <w:bidi/>
        <w:spacing w:line="360" w:lineRule="auto"/>
        <w:jc w:val="both"/>
        <w:rPr>
          <w:rFonts w:asciiTheme="majorBidi" w:hAnsiTheme="majorBidi" w:cs="Times New Roman"/>
          <w:sz w:val="32"/>
          <w:szCs w:val="32"/>
          <w:rtl/>
        </w:rPr>
      </w:pPr>
      <w:r w:rsidRPr="0065709A">
        <w:rPr>
          <w:rFonts w:asciiTheme="majorBidi" w:hAnsiTheme="majorBidi" w:cs="Times New Roman"/>
          <w:sz w:val="32"/>
          <w:szCs w:val="32"/>
          <w:rtl/>
        </w:rPr>
        <w:lastRenderedPageBreak/>
        <w:t xml:space="preserve">أدركت المنظمات المعاصرة أن العديد من التحديات الاجتماعية والبيئية الكبرى في عصرنا قد تحولت إلى فرص للابتكار وتطوير الأعمال عند النظر إليها من منظور الاستدامة، خلافاً لما كان يُعتقد سابقاً بأنها عقبات أمام التقدم </w:t>
      </w:r>
      <w:r w:rsidRPr="0065709A">
        <w:rPr>
          <w:rFonts w:asciiTheme="majorBidi" w:hAnsiTheme="majorBidi" w:cs="Times New Roman"/>
          <w:sz w:val="20"/>
          <w:szCs w:val="20"/>
          <w:rtl/>
        </w:rPr>
        <w:t>(</w:t>
      </w:r>
      <w:r w:rsidRPr="0065709A">
        <w:rPr>
          <w:rFonts w:asciiTheme="majorBidi" w:hAnsiTheme="majorBidi" w:cs="Times New Roman"/>
          <w:sz w:val="20"/>
          <w:szCs w:val="20"/>
        </w:rPr>
        <w:t>Harmon et al., 2009: 6</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علاوة على ذلك، فإن تبني الأداء الاستراتيجي المستدام يحقق تميزاً واضحاً لمنظمات الأعمال، ويساعد في توليد خدمات وعمليات جديدة، ويعزز الإبداع، ويسهم في فتح أسواق جديدة، ويديم السمعة الجيدة للمنظمة، ويحقق المنفعة لأصحاب المصالح </w:t>
      </w:r>
      <w:r w:rsidRPr="0065709A">
        <w:rPr>
          <w:rFonts w:asciiTheme="majorBidi" w:hAnsiTheme="majorBidi" w:cs="Times New Roman"/>
          <w:sz w:val="20"/>
          <w:szCs w:val="20"/>
          <w:rtl/>
        </w:rPr>
        <w:t>(المسعودي والسيد علي، 2016: 207).</w:t>
      </w:r>
      <w:r w:rsidRPr="0065709A">
        <w:rPr>
          <w:rFonts w:asciiTheme="majorBidi" w:hAnsiTheme="majorBidi" w:cs="Times New Roman"/>
          <w:sz w:val="32"/>
          <w:szCs w:val="32"/>
          <w:rtl/>
        </w:rPr>
        <w:t xml:space="preserve"> كما تشير أغلب البحوث والدراسات إلى أن دمج المعايير البيئية في أدوات صنع القرار وتقييم الأداء، مثل بطاقة الأداء المتوازن المستدامة (</w:t>
      </w:r>
      <w:r w:rsidRPr="0065709A">
        <w:rPr>
          <w:rFonts w:asciiTheme="majorBidi" w:hAnsiTheme="majorBidi" w:cs="Times New Roman"/>
          <w:sz w:val="32"/>
          <w:szCs w:val="32"/>
        </w:rPr>
        <w:t>SBSC</w:t>
      </w:r>
      <w:r w:rsidRPr="0065709A">
        <w:rPr>
          <w:rFonts w:asciiTheme="majorBidi" w:hAnsiTheme="majorBidi" w:cs="Times New Roman"/>
          <w:sz w:val="32"/>
          <w:szCs w:val="32"/>
          <w:rtl/>
        </w:rPr>
        <w:t xml:space="preserve">)، لديه القدرة على تحسين نتائج الأداء البيئي للمنظمات، بل وقد يشير أيضاً إلى المجالات التي يمكن فيها تحقيق وفورات في التكاليف </w:t>
      </w:r>
      <w:r w:rsidRPr="0065709A">
        <w:rPr>
          <w:rFonts w:asciiTheme="majorBidi" w:hAnsiTheme="majorBidi" w:cs="Times New Roman"/>
          <w:sz w:val="20"/>
          <w:szCs w:val="20"/>
          <w:rtl/>
        </w:rPr>
        <w:t>(</w:t>
      </w:r>
      <w:r w:rsidRPr="0065709A">
        <w:rPr>
          <w:rFonts w:asciiTheme="majorBidi" w:hAnsiTheme="majorBidi" w:cs="Times New Roman"/>
          <w:sz w:val="20"/>
          <w:szCs w:val="20"/>
        </w:rPr>
        <w:t>Jassem et al., 2021: 1</w:t>
      </w:r>
      <w:r w:rsidRPr="0065709A">
        <w:rPr>
          <w:rFonts w:asciiTheme="majorBidi" w:hAnsiTheme="majorBidi" w:cs="Times New Roman"/>
          <w:sz w:val="20"/>
          <w:szCs w:val="20"/>
          <w:rtl/>
        </w:rPr>
        <w:t>)</w:t>
      </w:r>
      <w:r w:rsidRPr="0065709A">
        <w:rPr>
          <w:rFonts w:asciiTheme="majorBidi" w:hAnsiTheme="majorBidi" w:cs="Times New Roman"/>
          <w:sz w:val="32"/>
          <w:szCs w:val="32"/>
          <w:rtl/>
        </w:rPr>
        <w:t>.</w:t>
      </w:r>
    </w:p>
    <w:p w14:paraId="69FB8CF3" w14:textId="77777777" w:rsidR="004E195D" w:rsidRPr="007F01E1" w:rsidRDefault="004E195D" w:rsidP="004E195D">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3</w:t>
      </w:r>
      <w:r w:rsidRPr="007F01E1">
        <w:rPr>
          <w:rFonts w:asciiTheme="majorBidi" w:hAnsiTheme="majorBidi" w:cs="Times New Roman"/>
          <w:b/>
          <w:bCs/>
          <w:sz w:val="32"/>
          <w:szCs w:val="32"/>
          <w:rtl/>
        </w:rPr>
        <w:t>.3</w:t>
      </w:r>
      <w:r w:rsidRPr="007F01E1">
        <w:rPr>
          <w:rFonts w:asciiTheme="majorBidi" w:hAnsiTheme="majorBidi" w:cstheme="majorBidi"/>
          <w:b/>
          <w:bCs/>
          <w:sz w:val="32"/>
          <w:szCs w:val="32"/>
        </w:rPr>
        <w:t xml:space="preserve"> </w:t>
      </w:r>
      <w:r w:rsidRPr="007F01E1">
        <w:rPr>
          <w:rFonts w:asciiTheme="majorBidi" w:hAnsiTheme="majorBidi" w:cs="Times New Roman"/>
          <w:b/>
          <w:bCs/>
          <w:sz w:val="32"/>
          <w:szCs w:val="32"/>
          <w:rtl/>
        </w:rPr>
        <w:t>قياس الأداء الاستراتيجي من منظور بطاقة الأداء المتوازن</w:t>
      </w:r>
    </w:p>
    <w:p w14:paraId="725B29A1" w14:textId="77777777" w:rsidR="004E195D" w:rsidRPr="007F01E1" w:rsidRDefault="004E195D" w:rsidP="004E195D">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تهتم بطاقة الأداء المتوازن بثلاثة أطراف رئيسية ذات مصلحة في المنظمة: وهم المساهمون، والزبائن، والعاملون. ويجب أن تتلاءم المقاييس المختارة في كل جانب من هذه الجوانب مع استراتيجية المنظمة، لتحقيق التوازن بين الأهداف قصيرة وطويلة الأجل، وبين المخرجات المرغوبة ومحركات الأداء المؤدية إليها عبر الأبعاد الأربعة للبطاقة</w:t>
      </w:r>
      <w:r w:rsidRPr="007F01E1">
        <w:rPr>
          <w:rFonts w:asciiTheme="majorBidi" w:hAnsiTheme="majorBidi" w:cstheme="majorBidi"/>
          <w:sz w:val="32"/>
          <w:szCs w:val="32"/>
        </w:rPr>
        <w:t>.</w:t>
      </w:r>
    </w:p>
    <w:p w14:paraId="2E590026" w14:textId="77777777" w:rsidR="004E195D" w:rsidRPr="007F01E1" w:rsidRDefault="004E195D" w:rsidP="004E195D">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أ. البعد المالي: يُعد هذا البعد المحصلة النهائية لجميع التغيرات والتحليلات التي تُجرى في الأبعاد الثلاثة الأخرى، حيث يهدف الجميع إلى تحسين صافي ثروة المساهمين أو الملاك</w:t>
      </w:r>
      <w:r w:rsidRPr="007F01E1">
        <w:rPr>
          <w:rFonts w:asciiTheme="majorBidi" w:hAnsiTheme="majorBidi" w:cstheme="majorBidi"/>
          <w:sz w:val="32"/>
          <w:szCs w:val="32"/>
        </w:rPr>
        <w:t>.</w:t>
      </w:r>
    </w:p>
    <w:p w14:paraId="2767729F" w14:textId="77777777" w:rsidR="004E195D" w:rsidRPr="007F01E1" w:rsidRDefault="004E195D" w:rsidP="004E195D">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ب. بعد الزبائن: أكّد كل من كابلان وأتكنسون على أهمية هذا المحور لتحقيق أعلى درجة من إرضاء الزبائن، إذ يؤثر مستوى الرضا في القدرة على استقطاب زبائن جدد والمحافظة على الحاليين، وبالتالي في حصة المنظمة في السوق. يستطيع المؤسسة من خلال هذا المحور الإجابة عن كيفية نظر الزبائن إليها</w:t>
      </w:r>
      <w:r w:rsidRPr="007F01E1">
        <w:rPr>
          <w:rFonts w:asciiTheme="majorBidi" w:hAnsiTheme="majorBidi" w:cstheme="majorBidi"/>
          <w:sz w:val="32"/>
          <w:szCs w:val="32"/>
        </w:rPr>
        <w:t>.</w:t>
      </w:r>
    </w:p>
    <w:p w14:paraId="46A4F5CF" w14:textId="77777777" w:rsidR="004E195D" w:rsidRPr="007F01E1" w:rsidRDefault="004E195D" w:rsidP="004E195D">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 xml:space="preserve">ج. بعد العمليات الداخلية: يركز مديرو المؤسسة على محور العمليات الداخلية لتحديد العمليات الأساسية التي يجب تطويرها والابتكار فيها. فبالإضافة إلى الاهتمام بالعمليات الموجودة، يسلط </w:t>
      </w:r>
      <w:r w:rsidRPr="007F01E1">
        <w:rPr>
          <w:rFonts w:asciiTheme="majorBidi" w:hAnsiTheme="majorBidi" w:cs="Times New Roman"/>
          <w:sz w:val="32"/>
          <w:szCs w:val="32"/>
          <w:rtl/>
        </w:rPr>
        <w:lastRenderedPageBreak/>
        <w:t>هذا البعد الضوء على العمليات الجديدة التي يجب على المؤسسة التحكم فيها لتحقيق الأهداف المحددة، سواء كانت مالية أو متعلقة بالزبائن، كخلق منتجات وخدمات تلبي رغبات الزبائن المستقبلية</w:t>
      </w:r>
      <w:r w:rsidRPr="007F01E1">
        <w:rPr>
          <w:rFonts w:asciiTheme="majorBidi" w:hAnsiTheme="majorBidi" w:cstheme="majorBidi"/>
          <w:sz w:val="32"/>
          <w:szCs w:val="32"/>
        </w:rPr>
        <w:t>.</w:t>
      </w:r>
    </w:p>
    <w:p w14:paraId="4176DAF1" w14:textId="77777777" w:rsidR="004E195D" w:rsidRDefault="004E195D" w:rsidP="004E195D">
      <w:pPr>
        <w:bidi/>
        <w:spacing w:line="360" w:lineRule="auto"/>
        <w:jc w:val="both"/>
        <w:rPr>
          <w:rFonts w:asciiTheme="majorBidi" w:hAnsiTheme="majorBidi" w:cs="Times New Roman"/>
          <w:sz w:val="32"/>
          <w:szCs w:val="32"/>
          <w:rtl/>
        </w:rPr>
      </w:pPr>
      <w:r w:rsidRPr="007F01E1">
        <w:rPr>
          <w:rFonts w:asciiTheme="majorBidi" w:hAnsiTheme="majorBidi" w:cs="Times New Roman"/>
          <w:sz w:val="32"/>
          <w:szCs w:val="32"/>
          <w:rtl/>
        </w:rPr>
        <w:t>د. بعد التعلم والنمو: يهدف هذا البعد إلى توجيه الأفراد نحو التطوير والتحسين المستمرين الضروريين للبقاء. تدرس المنظمة في هذا البعد ما يجب عليها فعله للاحتفاظ بالمعرفة التقنية اللازمة لفهم وتلبية احتياجات الزبائن وتطوير تلك المعرفة، إلى جانب دراسة كيفية الحفاظ على الكفاءة المطلوبة للعمليات التي تخلق قيمة للزبون.</w:t>
      </w:r>
    </w:p>
    <w:p w14:paraId="07BA3A1A" w14:textId="77777777" w:rsidR="004E195D" w:rsidRPr="0065709A" w:rsidRDefault="004E195D" w:rsidP="004E195D">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 4.3 </w:t>
      </w:r>
      <w:r w:rsidRPr="0065709A">
        <w:rPr>
          <w:rFonts w:asciiTheme="majorBidi" w:hAnsiTheme="majorBidi" w:cs="Times New Roman"/>
          <w:b/>
          <w:bCs/>
          <w:sz w:val="32"/>
          <w:szCs w:val="32"/>
          <w:rtl/>
        </w:rPr>
        <w:t>عوائق تحقيق الأداء الاستراتيجي المستدام</w:t>
      </w:r>
    </w:p>
    <w:p w14:paraId="0E53B62A" w14:textId="77777777" w:rsidR="004E195D" w:rsidRPr="0065709A" w:rsidRDefault="004E195D" w:rsidP="004E195D">
      <w:pPr>
        <w:bidi/>
        <w:spacing w:line="360" w:lineRule="auto"/>
        <w:jc w:val="both"/>
        <w:rPr>
          <w:rFonts w:asciiTheme="majorBidi" w:hAnsiTheme="majorBidi" w:cs="Times New Roman"/>
          <w:sz w:val="32"/>
          <w:szCs w:val="32"/>
          <w:rtl/>
        </w:rPr>
      </w:pPr>
      <w:r w:rsidRPr="0065709A">
        <w:rPr>
          <w:rFonts w:asciiTheme="majorBidi" w:hAnsiTheme="majorBidi" w:cs="Times New Roman"/>
          <w:sz w:val="32"/>
          <w:szCs w:val="32"/>
          <w:rtl/>
        </w:rPr>
        <w:t>أصبحت المسؤولية الاجتماعية للمنظمات والاستدامة بعدين مهمين لاستراتيجية المنظمة؛ إذ يسعى عدد متزايد من المنظمات إلى تحديد ورصد الآثار الاجتماعية والبيئية لعملياتها. وعلى الرغم من هذا الاهتمام، يواجه الدمج الفعال للاستدامة في استراتيجية الأعمال وإدارتها عقبات جسيمة. ويبدو أن العنصر الأساسي يكمن في إمكانية تحديد ورصد المؤشرات التي تراعي الأبعاد الثلاثة للأداء المستدام، بالإضافة إلى أصحاب المصلحة بمختلف أنواعهم</w:t>
      </w:r>
      <w:r w:rsidRPr="0065709A">
        <w:rPr>
          <w:rFonts w:asciiTheme="majorBidi" w:hAnsiTheme="majorBidi" w:cs="Times New Roman"/>
          <w:sz w:val="20"/>
          <w:szCs w:val="20"/>
        </w:rPr>
        <w:t xml:space="preserve"> (Petrini &amp; </w:t>
      </w:r>
      <w:proofErr w:type="spellStart"/>
      <w:r w:rsidRPr="0065709A">
        <w:rPr>
          <w:rFonts w:asciiTheme="majorBidi" w:hAnsiTheme="majorBidi" w:cs="Times New Roman"/>
          <w:sz w:val="20"/>
          <w:szCs w:val="20"/>
        </w:rPr>
        <w:t>Pozzebon</w:t>
      </w:r>
      <w:proofErr w:type="spellEnd"/>
      <w:r w:rsidRPr="0065709A">
        <w:rPr>
          <w:rFonts w:asciiTheme="majorBidi" w:hAnsiTheme="majorBidi" w:cs="Times New Roman"/>
          <w:sz w:val="20"/>
          <w:szCs w:val="20"/>
        </w:rPr>
        <w:t>, 2009: 180)</w:t>
      </w:r>
      <w:r w:rsidRPr="0065709A">
        <w:rPr>
          <w:rFonts w:asciiTheme="majorBidi" w:hAnsiTheme="majorBidi" w:cs="Times New Roman"/>
          <w:sz w:val="32"/>
          <w:szCs w:val="32"/>
        </w:rPr>
        <w:t xml:space="preserve">. </w:t>
      </w:r>
      <w:r w:rsidRPr="0065709A">
        <w:rPr>
          <w:rFonts w:asciiTheme="majorBidi" w:hAnsiTheme="majorBidi" w:cs="Times New Roman"/>
          <w:sz w:val="32"/>
          <w:szCs w:val="32"/>
          <w:rtl/>
        </w:rPr>
        <w:t xml:space="preserve">ويقع الجزء الأكبر من المسؤولية في هذا النظام على عاتق المنظمات التي تشكل الهيكل الرئيسي للاقتصاد العالمي </w:t>
      </w:r>
      <w:r w:rsidRPr="0065709A">
        <w:rPr>
          <w:rFonts w:asciiTheme="majorBidi" w:hAnsiTheme="majorBidi" w:cs="Times New Roman"/>
          <w:sz w:val="20"/>
          <w:szCs w:val="20"/>
          <w:rtl/>
        </w:rPr>
        <w:t>(اليساري، 2014: 124)</w:t>
      </w:r>
      <w:r w:rsidRPr="0065709A">
        <w:rPr>
          <w:rFonts w:asciiTheme="majorBidi" w:hAnsiTheme="majorBidi" w:cs="Times New Roman"/>
          <w:sz w:val="20"/>
          <w:szCs w:val="20"/>
        </w:rPr>
        <w:t>.</w:t>
      </w:r>
    </w:p>
    <w:p w14:paraId="3C801E02" w14:textId="77777777" w:rsidR="004E195D" w:rsidRPr="0065709A" w:rsidRDefault="004E195D" w:rsidP="004E195D">
      <w:pPr>
        <w:bidi/>
        <w:spacing w:line="360" w:lineRule="auto"/>
        <w:jc w:val="both"/>
        <w:rPr>
          <w:rFonts w:asciiTheme="majorBidi" w:hAnsiTheme="majorBidi" w:cs="Times New Roman"/>
          <w:sz w:val="20"/>
          <w:szCs w:val="20"/>
          <w:rtl/>
        </w:rPr>
      </w:pPr>
      <w:r w:rsidRPr="0065709A">
        <w:rPr>
          <w:rFonts w:asciiTheme="majorBidi" w:hAnsiTheme="majorBidi" w:cs="Times New Roman"/>
          <w:sz w:val="32"/>
          <w:szCs w:val="32"/>
          <w:rtl/>
        </w:rPr>
        <w:t xml:space="preserve">على الرغم من أن تعظيم القيمة للمساهمين هو الهدف الأساسي للمنظمات، فإن معظمها لا يتابع الإصلاحات البيئية إلا إذا كان ذلك يصب في مصلحتها الذاتية، أو إذا كانت التشريعات والقوانين تُلزمها بذلك، أو نتيجة لضغط أصحاب المصلحة، أو ربما بهدف اكتساب الشرعية التنظيمية والحفاظ عليها </w:t>
      </w:r>
      <w:r w:rsidRPr="0065709A">
        <w:rPr>
          <w:rFonts w:asciiTheme="majorBidi" w:hAnsiTheme="majorBidi" w:cs="Times New Roman"/>
          <w:sz w:val="20"/>
          <w:szCs w:val="20"/>
          <w:rtl/>
        </w:rPr>
        <w:t>(</w:t>
      </w:r>
      <w:r w:rsidRPr="0065709A">
        <w:rPr>
          <w:rFonts w:asciiTheme="majorBidi" w:hAnsiTheme="majorBidi" w:cs="Times New Roman"/>
          <w:sz w:val="20"/>
          <w:szCs w:val="20"/>
        </w:rPr>
        <w:t>Stubbs &amp; Cocklin, 2008: 105</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ولكي تتحول المنظمة نحو الاستدامة والأداء المستدام، يجب عليها إحداث تغييرات جذرية في أدائها، وأن تولي اهتمامًا متساويًا لجميع عوامل الأداء المستدام (الاقتصادية والبيئية والاجتماعية) دون تفضيل أحدها على الآخرين </w:t>
      </w:r>
      <w:r w:rsidRPr="0065709A">
        <w:rPr>
          <w:rFonts w:asciiTheme="majorBidi" w:hAnsiTheme="majorBidi" w:cs="Times New Roman"/>
          <w:sz w:val="20"/>
          <w:szCs w:val="20"/>
          <w:rtl/>
        </w:rPr>
        <w:t>(اليساري، 2014: 124)</w:t>
      </w:r>
      <w:r w:rsidRPr="0065709A">
        <w:rPr>
          <w:rFonts w:asciiTheme="majorBidi" w:hAnsiTheme="majorBidi" w:cs="Times New Roman"/>
          <w:sz w:val="32"/>
          <w:szCs w:val="32"/>
          <w:rtl/>
        </w:rPr>
        <w:t xml:space="preserve">. ورغم تزايد الاهتمام بممارسات الاستدامة، لا يزال التنفيذ الفعلي والفعال لها يواجه العديد من </w:t>
      </w:r>
      <w:r w:rsidRPr="0065709A">
        <w:rPr>
          <w:rFonts w:asciiTheme="majorBidi" w:hAnsiTheme="majorBidi" w:cs="Times New Roman"/>
          <w:sz w:val="32"/>
          <w:szCs w:val="32"/>
          <w:rtl/>
        </w:rPr>
        <w:lastRenderedPageBreak/>
        <w:t xml:space="preserve">العقبات الخطيرة؛ حيث أبقت معظم المنظمات مسألة الاستدامة منفصلة عن اعتبارات استراتيجية العمل وتقييم الأداء، التي غالبًا ما تهيمن عليها المؤشرات الاقتصادية البحتة </w:t>
      </w:r>
      <w:r w:rsidRPr="0065709A">
        <w:rPr>
          <w:rFonts w:asciiTheme="majorBidi" w:hAnsiTheme="majorBidi" w:cs="Times New Roman"/>
          <w:sz w:val="20"/>
          <w:szCs w:val="20"/>
          <w:rtl/>
        </w:rPr>
        <w:t>(</w:t>
      </w:r>
      <w:r w:rsidRPr="0065709A">
        <w:rPr>
          <w:rFonts w:asciiTheme="majorBidi" w:hAnsiTheme="majorBidi" w:cs="Times New Roman"/>
          <w:sz w:val="20"/>
          <w:szCs w:val="20"/>
        </w:rPr>
        <w:t xml:space="preserve">Petrini &amp; </w:t>
      </w:r>
      <w:proofErr w:type="spellStart"/>
      <w:r w:rsidRPr="0065709A">
        <w:rPr>
          <w:rFonts w:asciiTheme="majorBidi" w:hAnsiTheme="majorBidi" w:cs="Times New Roman"/>
          <w:sz w:val="20"/>
          <w:szCs w:val="20"/>
        </w:rPr>
        <w:t>Pozzebon</w:t>
      </w:r>
      <w:proofErr w:type="spellEnd"/>
      <w:r w:rsidRPr="0065709A">
        <w:rPr>
          <w:rFonts w:asciiTheme="majorBidi" w:hAnsiTheme="majorBidi" w:cs="Times New Roman"/>
          <w:sz w:val="20"/>
          <w:szCs w:val="20"/>
        </w:rPr>
        <w:t>, 2009: 179</w:t>
      </w:r>
      <w:r w:rsidRPr="0065709A">
        <w:rPr>
          <w:rFonts w:asciiTheme="majorBidi" w:hAnsiTheme="majorBidi" w:cs="Times New Roman"/>
          <w:sz w:val="20"/>
          <w:szCs w:val="20"/>
          <w:rtl/>
        </w:rPr>
        <w:t>).</w:t>
      </w:r>
    </w:p>
    <w:p w14:paraId="1A0C07C6" w14:textId="77777777" w:rsidR="004E195D" w:rsidRDefault="004E195D" w:rsidP="004E195D">
      <w:pPr>
        <w:bidi/>
        <w:spacing w:line="360" w:lineRule="auto"/>
        <w:jc w:val="both"/>
        <w:rPr>
          <w:rFonts w:asciiTheme="majorBidi" w:hAnsiTheme="majorBidi" w:cs="Times New Roman"/>
          <w:sz w:val="32"/>
          <w:szCs w:val="32"/>
        </w:rPr>
      </w:pPr>
      <w:r w:rsidRPr="0065709A">
        <w:rPr>
          <w:rFonts w:asciiTheme="majorBidi" w:hAnsiTheme="majorBidi" w:cs="Times New Roman"/>
          <w:sz w:val="32"/>
          <w:szCs w:val="32"/>
          <w:rtl/>
        </w:rPr>
        <w:t xml:space="preserve">أوضح كالدرا وآخرون </w:t>
      </w:r>
      <w:r w:rsidRPr="0065709A">
        <w:rPr>
          <w:rFonts w:asciiTheme="majorBidi" w:hAnsiTheme="majorBidi" w:cs="Times New Roman"/>
          <w:sz w:val="20"/>
          <w:szCs w:val="20"/>
          <w:rtl/>
        </w:rPr>
        <w:t>(</w:t>
      </w:r>
      <w:r w:rsidRPr="0065709A">
        <w:rPr>
          <w:rFonts w:asciiTheme="majorBidi" w:hAnsiTheme="majorBidi" w:cs="Times New Roman"/>
          <w:sz w:val="20"/>
          <w:szCs w:val="20"/>
        </w:rPr>
        <w:t>Caldera et al., 2019, 20-21</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أن هناك ستة عوائق أساسية تواجه الأعمال المستدامة، وهي: نقص الموارد المالية، وضيق الوقت، ونقص المعرفة، والمخاطر المرتبطة بتطبيق ممارسات الاستدامة الجديدة، والسياسات واللوائح والتشريعات الحالية، والثقافة التنظيمية السائدة. وتُعد ثقافة المنظمة القائمة عائقاً مهماً يمنعها من ممارسة الاستدامة. من جهة أخرى، أشار تشهارباغي ولينش </w:t>
      </w:r>
      <w:r w:rsidRPr="0065709A">
        <w:rPr>
          <w:rFonts w:asciiTheme="majorBidi" w:hAnsiTheme="majorBidi" w:cs="Times New Roman"/>
          <w:sz w:val="20"/>
          <w:szCs w:val="20"/>
          <w:rtl/>
        </w:rPr>
        <w:t>(</w:t>
      </w:r>
      <w:proofErr w:type="spellStart"/>
      <w:r w:rsidRPr="0065709A">
        <w:rPr>
          <w:rFonts w:asciiTheme="majorBidi" w:hAnsiTheme="majorBidi" w:cs="Times New Roman"/>
          <w:sz w:val="20"/>
          <w:szCs w:val="20"/>
        </w:rPr>
        <w:t>Chaharbaghi</w:t>
      </w:r>
      <w:proofErr w:type="spellEnd"/>
      <w:r w:rsidRPr="0065709A">
        <w:rPr>
          <w:rFonts w:asciiTheme="majorBidi" w:hAnsiTheme="majorBidi" w:cs="Times New Roman"/>
          <w:sz w:val="20"/>
          <w:szCs w:val="20"/>
        </w:rPr>
        <w:t xml:space="preserve"> &amp; Lynch, 1999, 46</w:t>
      </w:r>
      <w:r w:rsidRPr="0065709A">
        <w:rPr>
          <w:rFonts w:asciiTheme="majorBidi" w:hAnsiTheme="majorBidi" w:cs="Times New Roman"/>
          <w:sz w:val="20"/>
          <w:szCs w:val="20"/>
          <w:rtl/>
        </w:rPr>
        <w:t xml:space="preserve">) </w:t>
      </w:r>
      <w:r w:rsidRPr="0065709A">
        <w:rPr>
          <w:rFonts w:asciiTheme="majorBidi" w:hAnsiTheme="majorBidi" w:cs="Times New Roman"/>
          <w:sz w:val="32"/>
          <w:szCs w:val="32"/>
          <w:rtl/>
        </w:rPr>
        <w:t xml:space="preserve">إلى أن التحدي الرئيس يكمن في الصراع المتأصل والنظرة الشمولية للموارد وكيفية تطويرها لتحقيق البقاء والقدرة التنافسية المستقبلية؛ فبدون النظر إلى الحاضر والمستقبل معاً، لا يمكن أن يتوفر سياق للاستدامة. في حين ذكر العينا وأتان </w:t>
      </w:r>
      <w:r w:rsidRPr="0065709A">
        <w:rPr>
          <w:rFonts w:asciiTheme="majorBidi" w:hAnsiTheme="majorBidi" w:cs="Times New Roman"/>
          <w:sz w:val="20"/>
          <w:szCs w:val="20"/>
          <w:rtl/>
        </w:rPr>
        <w:t>(</w:t>
      </w:r>
      <w:r w:rsidRPr="0065709A">
        <w:rPr>
          <w:rFonts w:asciiTheme="majorBidi" w:hAnsiTheme="majorBidi" w:cs="Times New Roman"/>
          <w:sz w:val="20"/>
          <w:szCs w:val="20"/>
        </w:rPr>
        <w:t>Al Aina &amp; Atan, 2020, 1-2</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أن عدم توفر قادة مؤهلين يمتلكون قاعدة معرفية واسعة يمثل أحد أهم محددات الأداء الاستراتيجي المستدام؛ إذ تُعد مرونة التفكير والأفق الواسع عوامل نجاح رئيسة ومهمة لزيادة الأداء الاستراتيجي واستدامته، حيث يُنظر إلى القادة الموهوبين على أنهم الموارد الأساسية التي تؤدي إلى مزايا تنافسية مستدامة وأداء استراتيجي مستدام بارز. ولكن، وفقاً لبحوث إدارة المواهب، تبيّن أن معظم المنظمات تواجه تحديات تتعلق بإدارة الموارد الموهوبة تفوق قيود رأس المال، إذ لا يشكل الموظفون الموهوبون سوى نسبة 53% من إجمالي الموظفين في المنظمات.</w:t>
      </w:r>
    </w:p>
    <w:p w14:paraId="5A92F0A0" w14:textId="77777777" w:rsidR="004E195D" w:rsidRDefault="004E195D" w:rsidP="004E195D">
      <w:pPr>
        <w:bidi/>
        <w:spacing w:line="360" w:lineRule="auto"/>
        <w:jc w:val="both"/>
        <w:rPr>
          <w:rFonts w:asciiTheme="majorBidi" w:hAnsiTheme="majorBidi" w:cs="Times New Roman"/>
          <w:sz w:val="32"/>
          <w:szCs w:val="32"/>
          <w:rtl/>
        </w:rPr>
      </w:pPr>
    </w:p>
    <w:p w14:paraId="5225FEB8" w14:textId="77777777" w:rsidR="004E195D" w:rsidRDefault="004E195D" w:rsidP="004E195D">
      <w:pPr>
        <w:bidi/>
        <w:spacing w:line="360" w:lineRule="auto"/>
        <w:jc w:val="both"/>
        <w:rPr>
          <w:rFonts w:asciiTheme="majorBidi" w:hAnsiTheme="majorBidi" w:cs="Times New Roman"/>
          <w:sz w:val="32"/>
          <w:szCs w:val="32"/>
          <w:rtl/>
        </w:rPr>
      </w:pPr>
    </w:p>
    <w:p w14:paraId="16A9B575" w14:textId="77777777" w:rsidR="004E195D" w:rsidRDefault="004E195D" w:rsidP="004E195D">
      <w:pPr>
        <w:bidi/>
        <w:spacing w:line="360" w:lineRule="auto"/>
        <w:jc w:val="both"/>
        <w:rPr>
          <w:rFonts w:asciiTheme="majorBidi" w:hAnsiTheme="majorBidi" w:cs="Times New Roman"/>
          <w:sz w:val="32"/>
          <w:szCs w:val="32"/>
          <w:rtl/>
        </w:rPr>
      </w:pPr>
    </w:p>
    <w:p w14:paraId="07A31077" w14:textId="77777777" w:rsidR="004E195D" w:rsidRDefault="004E195D" w:rsidP="004E195D">
      <w:pPr>
        <w:bidi/>
        <w:spacing w:line="360" w:lineRule="auto"/>
        <w:jc w:val="both"/>
        <w:rPr>
          <w:rFonts w:asciiTheme="majorBidi" w:hAnsiTheme="majorBidi" w:cs="Times New Roman"/>
          <w:sz w:val="32"/>
          <w:szCs w:val="32"/>
          <w:rtl/>
        </w:rPr>
      </w:pPr>
    </w:p>
    <w:p w14:paraId="15BB593C" w14:textId="77777777" w:rsidR="004E195D" w:rsidRPr="003E7883" w:rsidRDefault="004E195D" w:rsidP="004E195D">
      <w:pPr>
        <w:bidi/>
        <w:spacing w:line="360" w:lineRule="auto"/>
        <w:jc w:val="both"/>
        <w:rPr>
          <w:rFonts w:asciiTheme="majorBidi" w:hAnsiTheme="majorBidi" w:cstheme="majorBidi"/>
          <w:sz w:val="32"/>
          <w:szCs w:val="32"/>
        </w:rPr>
      </w:pPr>
    </w:p>
    <w:p w14:paraId="75035F71" w14:textId="77777777" w:rsidR="004E195D" w:rsidRPr="004E195D" w:rsidRDefault="004E195D" w:rsidP="00347C2A">
      <w:pPr>
        <w:bidi/>
        <w:spacing w:line="360" w:lineRule="auto"/>
        <w:rPr>
          <w:rFonts w:asciiTheme="majorBidi" w:hAnsiTheme="majorBidi" w:cs="Times New Roman"/>
          <w:b/>
          <w:bCs/>
          <w:sz w:val="32"/>
          <w:szCs w:val="32"/>
        </w:rPr>
      </w:pPr>
    </w:p>
    <w:p w14:paraId="2B57BB9C" w14:textId="5AC28F61" w:rsidR="00347C2A" w:rsidRPr="00347C2A" w:rsidRDefault="00347C2A" w:rsidP="004E195D">
      <w:pPr>
        <w:bidi/>
        <w:spacing w:line="360" w:lineRule="auto"/>
        <w:rPr>
          <w:rFonts w:asciiTheme="majorBidi" w:hAnsiTheme="majorBidi" w:cstheme="majorBidi"/>
          <w:sz w:val="32"/>
          <w:szCs w:val="32"/>
          <w:rtl/>
        </w:rPr>
      </w:pPr>
      <w:r w:rsidRPr="00347C2A">
        <w:rPr>
          <w:rFonts w:asciiTheme="majorBidi" w:hAnsiTheme="majorBidi" w:cs="Times New Roman"/>
          <w:b/>
          <w:bCs/>
          <w:sz w:val="32"/>
          <w:szCs w:val="32"/>
          <w:rtl/>
        </w:rPr>
        <w:t>تمهيد فصل الدراسات السابقة</w:t>
      </w:r>
    </w:p>
    <w:p w14:paraId="7E6252DC" w14:textId="1BAC78F2" w:rsidR="00347C2A" w:rsidRPr="00347C2A" w:rsidRDefault="00347C2A" w:rsidP="004E195D">
      <w:pPr>
        <w:bidi/>
        <w:spacing w:line="360" w:lineRule="auto"/>
        <w:rPr>
          <w:rFonts w:asciiTheme="majorBidi" w:hAnsiTheme="majorBidi" w:cstheme="majorBidi"/>
          <w:sz w:val="32"/>
          <w:szCs w:val="32"/>
        </w:rPr>
      </w:pPr>
      <w:r w:rsidRPr="00347C2A">
        <w:rPr>
          <w:rFonts w:asciiTheme="majorBidi" w:hAnsiTheme="majorBidi" w:cs="Times New Roman"/>
          <w:sz w:val="32"/>
          <w:szCs w:val="32"/>
          <w:rtl/>
        </w:rPr>
        <w:t>يهدف هذا الفصل إلى استعراض الدراسات السابقة المرتبطة بموضوع البحث، وهو تأثير القيادة المرنة على الأداء الاستراتيجي عبر الابتكار التنظيمي. ويُعد استعراض الدراسات السابقة خطوة جوهرية لفهم الإطار النظري للبحث، وتحديد الفجوات البحثية التي سيعالجها البحث الحالي</w:t>
      </w:r>
      <w:r w:rsidRPr="00347C2A">
        <w:rPr>
          <w:rFonts w:asciiTheme="majorBidi" w:hAnsiTheme="majorBidi" w:cstheme="majorBidi"/>
          <w:sz w:val="32"/>
          <w:szCs w:val="32"/>
        </w:rPr>
        <w:t>.</w:t>
      </w:r>
      <w:r w:rsidR="004E195D">
        <w:rPr>
          <w:rFonts w:asciiTheme="majorBidi" w:hAnsiTheme="majorBidi" w:cstheme="majorBidi" w:hint="cs"/>
          <w:sz w:val="32"/>
          <w:szCs w:val="32"/>
          <w:rtl/>
        </w:rPr>
        <w:t xml:space="preserve"> </w:t>
      </w:r>
      <w:r w:rsidRPr="00347C2A">
        <w:rPr>
          <w:rFonts w:asciiTheme="majorBidi" w:hAnsiTheme="majorBidi" w:cs="Times New Roman"/>
          <w:sz w:val="32"/>
          <w:szCs w:val="32"/>
          <w:rtl/>
        </w:rPr>
        <w:t>يتضمن الفصل عرض</w:t>
      </w:r>
      <w:r w:rsidR="004E195D">
        <w:rPr>
          <w:rFonts w:asciiTheme="majorBidi" w:hAnsiTheme="majorBidi" w:cs="Times New Roman" w:hint="cs"/>
          <w:sz w:val="32"/>
          <w:szCs w:val="32"/>
          <w:rtl/>
          <w:lang w:bidi="ar-EG"/>
        </w:rPr>
        <w:t>ًا</w:t>
      </w:r>
      <w:r w:rsidRPr="00347C2A">
        <w:rPr>
          <w:rFonts w:asciiTheme="majorBidi" w:hAnsiTheme="majorBidi" w:cs="Times New Roman"/>
          <w:sz w:val="32"/>
          <w:szCs w:val="32"/>
          <w:rtl/>
        </w:rPr>
        <w:t xml:space="preserve"> للدراسات في مجالات متنوعة، تشمل ما يلي</w:t>
      </w:r>
      <w:r w:rsidRPr="00347C2A">
        <w:rPr>
          <w:rFonts w:asciiTheme="majorBidi" w:hAnsiTheme="majorBidi" w:cstheme="majorBidi"/>
          <w:sz w:val="32"/>
          <w:szCs w:val="32"/>
        </w:rPr>
        <w:t>:</w:t>
      </w:r>
    </w:p>
    <w:p w14:paraId="1D11C187" w14:textId="6A89928A" w:rsidR="00347C2A" w:rsidRPr="00347C2A" w:rsidRDefault="00347C2A" w:rsidP="00347C2A">
      <w:pPr>
        <w:bidi/>
        <w:spacing w:line="360" w:lineRule="auto"/>
        <w:rPr>
          <w:rFonts w:asciiTheme="majorBidi" w:hAnsiTheme="majorBidi" w:cstheme="majorBidi"/>
          <w:sz w:val="32"/>
          <w:szCs w:val="32"/>
          <w:rtl/>
        </w:rPr>
      </w:pPr>
      <w:r w:rsidRPr="00347C2A">
        <w:rPr>
          <w:rFonts w:asciiTheme="majorBidi" w:hAnsiTheme="majorBidi" w:cs="Times New Roman"/>
          <w:sz w:val="32"/>
          <w:szCs w:val="32"/>
          <w:rtl/>
        </w:rPr>
        <w:t>الدراسات العربية: التي تناولت القيادة المرنة أو القيادة الاستراتيجية وأثرها على الأداء التنظيمي أو الابتكار في المؤسسات التعليمية والإدارية</w:t>
      </w:r>
      <w:r w:rsidRPr="00347C2A">
        <w:rPr>
          <w:rFonts w:asciiTheme="majorBidi" w:hAnsiTheme="majorBidi" w:cstheme="majorBidi"/>
          <w:sz w:val="32"/>
          <w:szCs w:val="32"/>
        </w:rPr>
        <w:t>.</w:t>
      </w:r>
    </w:p>
    <w:p w14:paraId="64FD754A" w14:textId="77777777" w:rsidR="004E195D" w:rsidRDefault="00347C2A" w:rsidP="00347C2A">
      <w:pPr>
        <w:bidi/>
        <w:spacing w:line="360" w:lineRule="auto"/>
        <w:rPr>
          <w:rFonts w:asciiTheme="majorBidi" w:hAnsiTheme="majorBidi" w:cstheme="majorBidi"/>
          <w:sz w:val="32"/>
          <w:szCs w:val="32"/>
        </w:rPr>
      </w:pPr>
      <w:r w:rsidRPr="00347C2A">
        <w:rPr>
          <w:rFonts w:asciiTheme="majorBidi" w:hAnsiTheme="majorBidi" w:cs="Times New Roman"/>
          <w:sz w:val="32"/>
          <w:szCs w:val="32"/>
          <w:rtl/>
        </w:rPr>
        <w:t>الدراسات الأجنبية: التي ركزت على القيادة المرنة والاستراتيجية، والرشاقة التنظيمية، ودورها في تعزيز الابتكار وتحقيق الأداء الاستراتيجي في قطاعات مختلفة</w:t>
      </w:r>
      <w:r w:rsidRPr="00347C2A">
        <w:rPr>
          <w:rFonts w:asciiTheme="majorBidi" w:hAnsiTheme="majorBidi" w:cstheme="majorBidi"/>
          <w:sz w:val="32"/>
          <w:szCs w:val="32"/>
        </w:rPr>
        <w:t>.</w:t>
      </w:r>
      <w:r>
        <w:rPr>
          <w:rFonts w:asciiTheme="majorBidi" w:hAnsiTheme="majorBidi" w:cstheme="majorBidi"/>
          <w:sz w:val="32"/>
          <w:szCs w:val="32"/>
        </w:rPr>
        <w:t xml:space="preserve"> </w:t>
      </w:r>
    </w:p>
    <w:p w14:paraId="794AE01D" w14:textId="0527DAB1" w:rsidR="00347C2A" w:rsidRPr="00347C2A" w:rsidRDefault="00347C2A" w:rsidP="004E195D">
      <w:pPr>
        <w:bidi/>
        <w:spacing w:line="360" w:lineRule="auto"/>
        <w:rPr>
          <w:rFonts w:asciiTheme="majorBidi" w:hAnsiTheme="majorBidi" w:cstheme="majorBidi"/>
          <w:sz w:val="32"/>
          <w:szCs w:val="32"/>
        </w:rPr>
      </w:pPr>
      <w:r w:rsidRPr="00347C2A">
        <w:rPr>
          <w:rFonts w:asciiTheme="majorBidi" w:hAnsiTheme="majorBidi" w:cs="Times New Roman"/>
          <w:sz w:val="32"/>
          <w:szCs w:val="32"/>
          <w:rtl/>
        </w:rPr>
        <w:t>بالإضافة إلى ذلك، يعرض الفصل الأطر البحثية والمنهجيات المتبعة في هذه الدراسات، وأبرز النتائج والتوصيات التي توصلت إليها، وذلك لتوفير أساس متين لدعم فرضيات البحث الحالي وتصميم أدوات جمع البيانات الملائمة.</w:t>
      </w:r>
    </w:p>
    <w:p w14:paraId="54793E0F" w14:textId="4884C0D4" w:rsidR="00C52DBC" w:rsidRPr="00C52DBC" w:rsidRDefault="00347C2A" w:rsidP="00347C2A">
      <w:pPr>
        <w:bidi/>
        <w:spacing w:line="360" w:lineRule="auto"/>
        <w:jc w:val="both"/>
        <w:rPr>
          <w:rFonts w:asciiTheme="majorBidi" w:hAnsiTheme="majorBidi" w:cstheme="majorBidi"/>
          <w:b/>
          <w:bCs/>
          <w:sz w:val="32"/>
          <w:szCs w:val="32"/>
          <w:rtl/>
        </w:rPr>
      </w:pPr>
      <w:r>
        <w:rPr>
          <w:rFonts w:asciiTheme="majorBidi" w:hAnsiTheme="majorBidi" w:cstheme="majorBidi"/>
          <w:b/>
          <w:bCs/>
          <w:sz w:val="32"/>
          <w:szCs w:val="32"/>
        </w:rPr>
        <w:t>1</w:t>
      </w:r>
      <w:r w:rsidR="00C52DBC">
        <w:rPr>
          <w:rFonts w:asciiTheme="majorBidi" w:hAnsiTheme="majorBidi" w:cstheme="majorBidi" w:hint="cs"/>
          <w:b/>
          <w:bCs/>
          <w:sz w:val="32"/>
          <w:szCs w:val="32"/>
          <w:rtl/>
        </w:rPr>
        <w:t xml:space="preserve">. </w:t>
      </w:r>
      <w:r w:rsidR="00C52DBC" w:rsidRPr="00C52DBC">
        <w:rPr>
          <w:rFonts w:asciiTheme="majorBidi" w:hAnsiTheme="majorBidi" w:cstheme="majorBidi" w:hint="cs"/>
          <w:b/>
          <w:bCs/>
          <w:sz w:val="32"/>
          <w:szCs w:val="32"/>
          <w:rtl/>
        </w:rPr>
        <w:t>البارقي (2021)</w:t>
      </w:r>
    </w:p>
    <w:p w14:paraId="117B4AC6" w14:textId="55485F34" w:rsidR="00022F03" w:rsidRPr="000D25F6" w:rsidRDefault="000D25F6" w:rsidP="00C52DBC">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 </w:t>
      </w:r>
      <w:r w:rsidR="00022F03" w:rsidRPr="000D25F6">
        <w:rPr>
          <w:rFonts w:asciiTheme="majorBidi" w:hAnsiTheme="majorBidi" w:cstheme="majorBidi"/>
          <w:b/>
          <w:bCs/>
          <w:sz w:val="32"/>
          <w:szCs w:val="32"/>
          <w:rtl/>
        </w:rPr>
        <w:t>(البارقي، 2021)، تطوير أداء إدارات التعليم بالمملكة العربية السعودية لتحقيق الميزة التنافسية</w:t>
      </w:r>
    </w:p>
    <w:p w14:paraId="41F0400F" w14:textId="77777777" w:rsidR="00022F03" w:rsidRPr="000D25F6" w:rsidRDefault="00022F03" w:rsidP="000D25F6">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هذه الدراسة إلى تحديد واقع أداء مديريات التعليم في المملكة العربية السعودية في تحقيق الميزة التنافسية ضمن خمسة أبعاد (التكلفة، الجودة، المرونة، وقت التسليم، الإبداع)، وتوضيح الصعوبات التي تواجه تطوير هذا الأداء، وتحديد المتطلبات اللازمة لتحقيقه. المنهجية: اعتمدت الدراسة على المنهج الوصفي المسحي. عينة الدراسة: تكونت العينة من فئتين: الفئة الأولى شملت رؤساء الإدارات في مديريات التعليم في (الرياض، حائل، الأحساء، مكة المكرمة، جازان) </w:t>
      </w:r>
      <w:r w:rsidRPr="000D25F6">
        <w:rPr>
          <w:rFonts w:asciiTheme="majorBidi" w:hAnsiTheme="majorBidi" w:cstheme="majorBidi"/>
          <w:sz w:val="32"/>
          <w:szCs w:val="32"/>
          <w:rtl/>
        </w:rPr>
        <w:lastRenderedPageBreak/>
        <w:t>بالمملكة العربية السعودية، وبلغ عددهم (215). أما الفئة الثانية فشملت مديري التعليم ونوابهم في مديريات التعليم الخمس ذاتها، وبلغ عددهم (10). أدوات الدراسة: استُخدمت أداتان لجمع البيانات: الأولى كانت استبيانًا حول واقع الأداء لتحقيق الميزة التنافسية، وقد وُزِّع على رؤساء الأقسام. أما الأداة الثانية فكانت المقابلة، التي أُجريت مع مديري التعليم ونوابهم. النتائج الرئيسية: كشفت الدراسة عن النتائج التالية: كان مستوى مفهوم "واقع أداء مديريات التعليم في المملكة العربية السعودية لتحقيق الميزة التنافسية" متوسطًا. احتل بُعد "وقت التسليم" المرتبة الأولى بدرجة أداء عالية، بينما احتلت الأبعاد الأربعة الأخرى (المرونة، التكلفة، الجودة، الإبداع) المراتب من الثانية إلى الخامسة على التوالي بدرجة أداء متوسطة، وذلك وفقًا لآراء عينة الدراسة من رؤساء الأقسام. اتفق المشاركون في الدراسة بشكل متوسط على وجود صعوبات في تحقيق الميزة التنافسية في مديريات التعليم؛ وحصلت جميع أبعاد المفهوم على درجات صعوبة متوسطة.</w:t>
      </w:r>
    </w:p>
    <w:p w14:paraId="760A66D5" w14:textId="2054F5A3" w:rsidR="000D25F6" w:rsidRPr="000D25F6" w:rsidRDefault="000D25F6" w:rsidP="000D25F6">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2.</w:t>
      </w:r>
      <w:r>
        <w:rPr>
          <w:rFonts w:asciiTheme="majorBidi" w:hAnsiTheme="majorBidi" w:cstheme="majorBidi" w:hint="cs"/>
          <w:b/>
          <w:bCs/>
          <w:sz w:val="32"/>
          <w:szCs w:val="32"/>
          <w:rtl/>
        </w:rPr>
        <w:t xml:space="preserve"> دراسة</w:t>
      </w:r>
      <w:r w:rsidRPr="000D25F6">
        <w:rPr>
          <w:rFonts w:asciiTheme="majorBidi" w:hAnsiTheme="majorBidi" w:cstheme="majorBidi" w:hint="cs"/>
          <w:b/>
          <w:bCs/>
          <w:sz w:val="32"/>
          <w:szCs w:val="32"/>
          <w:rtl/>
        </w:rPr>
        <w:t xml:space="preserve"> الجريري و سالم (2021)</w:t>
      </w:r>
    </w:p>
    <w:p w14:paraId="42C82A1A" w14:textId="746C18E5" w:rsidR="00022F03" w:rsidRDefault="00022F03" w:rsidP="000D25F6">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الجرجري وسالم (</w:t>
      </w:r>
      <w:r w:rsidR="00C52DBC">
        <w:rPr>
          <w:rFonts w:asciiTheme="majorBidi" w:hAnsiTheme="majorBidi" w:cstheme="majorBidi" w:hint="cs"/>
          <w:b/>
          <w:bCs/>
          <w:sz w:val="32"/>
          <w:szCs w:val="32"/>
          <w:rtl/>
          <w:lang w:bidi="fa-IR"/>
        </w:rPr>
        <w:t>2021</w:t>
      </w:r>
      <w:r w:rsidRPr="000D25F6">
        <w:rPr>
          <w:rFonts w:asciiTheme="majorBidi" w:hAnsiTheme="majorBidi" w:cstheme="majorBidi"/>
          <w:b/>
          <w:bCs/>
          <w:sz w:val="32"/>
          <w:szCs w:val="32"/>
          <w:rtl/>
          <w:lang w:bidi="fa-IR"/>
        </w:rPr>
        <w:t xml:space="preserve">) </w:t>
      </w:r>
      <w:r w:rsidRPr="000D25F6">
        <w:rPr>
          <w:rFonts w:asciiTheme="majorBidi" w:hAnsiTheme="majorBidi" w:cstheme="majorBidi"/>
          <w:b/>
          <w:bCs/>
          <w:sz w:val="32"/>
          <w:szCs w:val="32"/>
          <w:rtl/>
        </w:rPr>
        <w:t>بعنوان" دور القيادة المرنة في إمكانية التنفيذ الاستراتيجي "</w:t>
      </w:r>
      <w:r w:rsidRPr="000D25F6">
        <w:rPr>
          <w:rFonts w:asciiTheme="majorBidi" w:hAnsiTheme="majorBidi" w:cstheme="majorBidi"/>
          <w:sz w:val="32"/>
          <w:szCs w:val="32"/>
          <w:rtl/>
        </w:rPr>
        <w:t>دراسة استطلاعية الآراء عينة من القيادات الإدارية في الجامعة التقنية الشمالية وتشكيلاتها في محافظة نينوي" إلى الكشف عن العلاقة بين القيادة المرنة والنفيذ الاستراتيجي، واشتملت عينة الدراسة على (</w:t>
      </w:r>
      <w:r w:rsidRPr="000D25F6">
        <w:rPr>
          <w:rFonts w:asciiTheme="majorBidi" w:hAnsiTheme="majorBidi" w:cstheme="majorBidi"/>
          <w:sz w:val="32"/>
          <w:szCs w:val="32"/>
          <w:rtl/>
          <w:lang w:bidi="fa-IR"/>
        </w:rPr>
        <w:t xml:space="preserve">۱۰۰) </w:t>
      </w:r>
      <w:r w:rsidRPr="000D25F6">
        <w:rPr>
          <w:rFonts w:asciiTheme="majorBidi" w:hAnsiTheme="majorBidi" w:cstheme="majorBidi"/>
          <w:sz w:val="32"/>
          <w:szCs w:val="32"/>
          <w:rtl/>
        </w:rPr>
        <w:t xml:space="preserve">قائدا من القيادات الإدارية في الجامعة التقنية الشمالية في محافظة نينوى، كما اعتمدت الدراسة المنهج الوصفي الارتباطي، واستعانت بالاستبانة كأداة للدراسة، كما توصلت إلى عدد من النتائج الهامة ومنها: وجود علاقة ارتباطية ذات دلالة إحصائية بين القيادة المرنة بأبعادها المتمثلة بـ (التكيف الاستباقي، التعامل مع الغموض، تفعيل الموارد المنظمية، قبول التغيير، خفة الحركة) وامكانية التنفيذ الاستراتيجي بأبعادها المتمثلة بـ (الهيكل التنظيمي، الانظمة المهارات الثقافة والقيم المنظمية الملاك الوظيفي في المنظمات المبحوثة، مما يشير إلى أن توفر القيادة المرنة لقادة المنظمات القدرة على العمل والتصرف بطرق مختلفة وفقا للظروف والمواقف التي تواجههم، مما يؤمن لهم القدرة على مواجهة الأزمات والتعامل مع الغموض كما أوصت الدراسة بعدد من التوصيات ومن أهمها ضرورة الحفاظ على هيكل تنظيمي </w:t>
      </w:r>
      <w:r w:rsidRPr="000D25F6">
        <w:rPr>
          <w:rFonts w:asciiTheme="majorBidi" w:hAnsiTheme="majorBidi" w:cstheme="majorBidi"/>
          <w:sz w:val="32"/>
          <w:szCs w:val="32"/>
          <w:rtl/>
        </w:rPr>
        <w:lastRenderedPageBreak/>
        <w:t>عضوي فهو يمنح المسؤولين عن عملية التنفيذ المرونة والقدرة على الابداع والمشاركة في القرارات ذات الصلة بعملية التنفيذ الاستراتيجي فضلا عن توفير فرص أكبر للتكيف السريع مع التغيير واستثمار الفرص المتاحة.</w:t>
      </w:r>
    </w:p>
    <w:p w14:paraId="16807A48" w14:textId="4C6825E8" w:rsidR="000D25F6" w:rsidRPr="000D25F6" w:rsidRDefault="000D25F6" w:rsidP="000D25F6">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3. دراسة يوسف وعبدالباري (2021)</w:t>
      </w:r>
    </w:p>
    <w:p w14:paraId="4D0C8F5B" w14:textId="0C421E30" w:rsidR="00C52DBC" w:rsidRDefault="006679E1" w:rsidP="004E195D">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يوسف وعبد الباري (2021)، المعنونة "القيادة الرشيقة ودورها في تحقيق الريادة الاستراتيجية بالتطبيق على شركة مصر للطيران"</w:t>
      </w:r>
      <w:r w:rsidRPr="000D25F6">
        <w:rPr>
          <w:rFonts w:asciiTheme="majorBidi" w:hAnsiTheme="majorBidi" w:cstheme="majorBidi"/>
          <w:sz w:val="32"/>
          <w:szCs w:val="32"/>
          <w:rtl/>
        </w:rPr>
        <w:t>، إلى تحديد دور القيادة الرشيقة في دعم الريادة الاستراتيجية داخل المؤسسات. اعتمدت الدراسة على المنهج الوصفي التحليلي وطُبِّقت على عينة من العاملين في شركة مصر للطيران. وأظهرت النتائج أن القيادة الرشيقة توفر إطارًا تنظيميًا مرنًا يمكّن المؤسسات من التكيف مع التغيرات البيئية، ويعزز قدرتها التنافسية، ويساعدها على تحقيق الأداء الاستراتيجي. كما أكدت الدراسة أن تبني القيادة الرشيقة يسهم في تطوير القدرات الابتكارية للمنظمات.</w:t>
      </w:r>
    </w:p>
    <w:p w14:paraId="0904A8A5" w14:textId="02674D08" w:rsidR="000D25F6" w:rsidRPr="000D25F6" w:rsidRDefault="000D25F6" w:rsidP="000D25F6">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4. دراسة حسين (2022)</w:t>
      </w:r>
    </w:p>
    <w:p w14:paraId="08B8F1FE" w14:textId="6282F6F1" w:rsidR="00022F03" w:rsidRPr="000D25F6" w:rsidRDefault="00022F03" w:rsidP="000D25F6">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حسين</w:t>
      </w:r>
      <w:r w:rsidR="00C52DBC">
        <w:rPr>
          <w:rFonts w:asciiTheme="majorBidi" w:hAnsiTheme="majorBidi" w:cstheme="majorBidi" w:hint="cs"/>
          <w:b/>
          <w:bCs/>
          <w:sz w:val="32"/>
          <w:szCs w:val="32"/>
          <w:rtl/>
        </w:rPr>
        <w:t xml:space="preserve"> (2022</w:t>
      </w:r>
      <w:r w:rsidRPr="000D25F6">
        <w:rPr>
          <w:rFonts w:asciiTheme="majorBidi" w:hAnsiTheme="majorBidi" w:cstheme="majorBidi"/>
          <w:b/>
          <w:bCs/>
          <w:sz w:val="32"/>
          <w:szCs w:val="32"/>
          <w:rtl/>
        </w:rPr>
        <w:t>) ،أثر القيادة الاستراتيجية على الأداء الاستراتيجي في مؤسسات التعليم العالي: الدور الوسيط لإدارة التغيير.</w:t>
      </w:r>
    </w:p>
    <w:p w14:paraId="3A28570B" w14:textId="77777777" w:rsidR="00022F03" w:rsidRDefault="00022F03" w:rsidP="000D25F6">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هدفت دراسة حسين (2022) إلى تحديد أثر القيادة الاستراتيجية في تعزيز الأداء الاستراتيجي للمؤسسات التعليم العالي الأردنية، مع اختبار دور إدارة التغيير كوسيط في هذه العلاقة، بالاعتماد على منهج بطاقة الأداء المتوازن لقياس الأداء الاستراتيجي</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اعتمدت الدراسة على المنهج الوصفي التحليلي، واستخدمت الاستبانة كأداة رئيسية لجمع البيانات. وشمل مجتمع الدراسة جميع الجامعات الرسمية في الأردن، وعددها (11) جامعة. اتبعت الدراسة أسلوب المسح الشامل، حيث وزعت الاستبانات على جميع الجامعات الرسمية. وتمثلت وحدة المعاينة في عمداء الكليات بالجامعات الأردنية الرسمية؛ وبلغ حجم العينة (350) فردًا، في حين كانت الاستبانات الصالحة للتحليل الإحصائي (238) استبانة</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أظهرت النتائج وجود تأثير دال إحصائياً لجميع أبعاد القيادة </w:t>
      </w:r>
      <w:r w:rsidRPr="000D25F6">
        <w:rPr>
          <w:rFonts w:asciiTheme="majorBidi" w:hAnsiTheme="majorBidi" w:cstheme="majorBidi"/>
          <w:sz w:val="32"/>
          <w:szCs w:val="32"/>
          <w:rtl/>
        </w:rPr>
        <w:lastRenderedPageBreak/>
        <w:t>الاستراتيجية في الأداء الاستراتيجي للجامعات الأردنية الرسمية. كما توصلت النتائج إلى أن إدارة التغيير تؤدي دوراً وسيطاً في العلاقة بين القيادة الاستراتيجية والأداء الاستراتيجي، إذ تسهم في تعزيز قدرة المؤسسات التعليمية على التكيف مع التغيرات البيئية وتحقيق أهدافها الاستراتيجية بكفاءة</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وبينت الدراسة أيضاً أن تبني ممارسات القيادة الاستراتيجية يسهم في تحسين عمليات التخطيط والتنفيذ الاستراتيجي، مما ينعكس إيجاباً على مؤشرات الأداء المؤسسي وفق أبعاد بطاقة الأداء المتوازن. وفي ضوء النتائج، أوصت الدراسة بضرورة اهتمام الجامعات الأردنية بتعزيز مهارات التعلم المستمر لدى القيادات الأكاديمية والإدارية، وتطوير قدراتهم في مجال إدارة التغيير، بما يدعم تحسين الأداء الاستراتيجي للمؤسسات التعليمية.</w:t>
      </w:r>
    </w:p>
    <w:p w14:paraId="1771B91A" w14:textId="61276D04" w:rsidR="000D25F6" w:rsidRPr="000D25F6" w:rsidRDefault="000D25F6" w:rsidP="000D25F6">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5. دراسة أحمد (2023)</w:t>
      </w:r>
    </w:p>
    <w:p w14:paraId="771C3DC9" w14:textId="3B694D46" w:rsidR="00022F03" w:rsidRDefault="00C45B39" w:rsidP="000D25F6">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سعت </w:t>
      </w:r>
      <w:r w:rsidRPr="000D25F6">
        <w:rPr>
          <w:rFonts w:asciiTheme="majorBidi" w:hAnsiTheme="majorBidi" w:cstheme="majorBidi"/>
          <w:b/>
          <w:bCs/>
          <w:sz w:val="32"/>
          <w:szCs w:val="32"/>
          <w:rtl/>
        </w:rPr>
        <w:t>دراسة أحمد (</w:t>
      </w:r>
      <w:r w:rsidR="000D25F6">
        <w:rPr>
          <w:rFonts w:asciiTheme="majorBidi" w:hAnsiTheme="majorBidi" w:cstheme="majorBidi" w:hint="cs"/>
          <w:b/>
          <w:bCs/>
          <w:sz w:val="32"/>
          <w:szCs w:val="32"/>
          <w:rtl/>
          <w:lang w:bidi="fa-IR"/>
        </w:rPr>
        <w:t>2023</w:t>
      </w:r>
      <w:r w:rsidRPr="000D25F6">
        <w:rPr>
          <w:rFonts w:asciiTheme="majorBidi" w:hAnsiTheme="majorBidi" w:cstheme="majorBidi"/>
          <w:b/>
          <w:bCs/>
          <w:sz w:val="32"/>
          <w:szCs w:val="32"/>
          <w:rtl/>
          <w:lang w:bidi="fa-IR"/>
        </w:rPr>
        <w:t xml:space="preserve">) </w:t>
      </w:r>
      <w:r w:rsidRPr="000D25F6">
        <w:rPr>
          <w:rFonts w:asciiTheme="majorBidi" w:hAnsiTheme="majorBidi" w:cstheme="majorBidi"/>
          <w:b/>
          <w:bCs/>
          <w:sz w:val="32"/>
          <w:szCs w:val="32"/>
          <w:rtl/>
        </w:rPr>
        <w:t>بعنوان" تأثير الأداء الإستراتيجي لمنتجي المعرفة على السلوك الابتكاري للعاملين"</w:t>
      </w:r>
      <w:r w:rsidRPr="000D25F6">
        <w:rPr>
          <w:rFonts w:asciiTheme="majorBidi" w:hAnsiTheme="majorBidi" w:cstheme="majorBidi"/>
          <w:sz w:val="32"/>
          <w:szCs w:val="32"/>
          <w:rtl/>
        </w:rPr>
        <w:t xml:space="preserve"> إلى الكشف عن وجود أثر للأداء الإستراتيجي لمنتجي المعرفة على السلوك الابتكاري لدي العاملين بجامعة بورسعيد، واشتملت الدراسة على عينة عشوائية بلغ حجمها (</w:t>
      </w:r>
      <w:r w:rsidRPr="000D25F6">
        <w:rPr>
          <w:rFonts w:asciiTheme="majorBidi" w:hAnsiTheme="majorBidi" w:cstheme="majorBidi"/>
          <w:sz w:val="32"/>
          <w:szCs w:val="32"/>
          <w:rtl/>
          <w:lang w:bidi="fa-IR"/>
        </w:rPr>
        <w:t xml:space="preserve">۲۷۳) </w:t>
      </w:r>
      <w:r w:rsidRPr="000D25F6">
        <w:rPr>
          <w:rFonts w:asciiTheme="majorBidi" w:hAnsiTheme="majorBidi" w:cstheme="majorBidi"/>
          <w:sz w:val="32"/>
          <w:szCs w:val="32"/>
          <w:rtl/>
        </w:rPr>
        <w:t>عضوا من أعضاء هيئة التدريس والهيئة المعاونة بكليات جامعة بورسعيد، واعتمدت الدراسة المنهج الوصفي كمنهج للدراسة، كما استعانت الدراسة بقائمة الاستقصاء، والمقابلات كأداتا للدراسة، وقد توصلت الدراسة إلى عدد من النتائج ومن أهمها: وجود تأثير إيجابي ذو دلالة إحصائية بين أبعاد الأداء الإستراتيجي التي تمثلت في ( أداء الدور، وأداء الدور الإضافي لمنتجي المعرفة والسلوك الابتكاري للعاملين والذي تمثل في ( توليد الأفكار الجديدة ترويج الأفكار الجديدة، تنفيذ الأفكار الجديدة) لدي العاملين في جامعة بورسعيد ، كما أوصت الدراسة بضرورة تشجيع المديرين للعاملين على المساعدة المتبادلة بينهم مما يزيد من التفاعلات الإيجابية بينهم، وبالتالي يساهم في رفع أدائهم الوظيفي، وضرورة قيام المديرين بإنشاء أجواء داعمة الزيادة السلوك الابتكاري الموظفين</w:t>
      </w:r>
      <w:r w:rsidRPr="000D25F6">
        <w:rPr>
          <w:rFonts w:asciiTheme="majorBidi" w:hAnsiTheme="majorBidi" w:cstheme="majorBidi"/>
          <w:sz w:val="32"/>
          <w:szCs w:val="32"/>
        </w:rPr>
        <w:t>.</w:t>
      </w:r>
    </w:p>
    <w:p w14:paraId="2762E96D" w14:textId="255DBDDA" w:rsidR="000D25F6" w:rsidRPr="000D25F6" w:rsidRDefault="000D25F6" w:rsidP="000D25F6">
      <w:pPr>
        <w:bidi/>
        <w:spacing w:line="360" w:lineRule="auto"/>
        <w:jc w:val="both"/>
        <w:rPr>
          <w:rFonts w:asciiTheme="majorBidi" w:hAnsiTheme="majorBidi" w:cstheme="majorBidi"/>
          <w:b/>
          <w:bCs/>
          <w:sz w:val="32"/>
          <w:szCs w:val="32"/>
          <w:rtl/>
        </w:rPr>
      </w:pPr>
      <w:r w:rsidRPr="000D25F6">
        <w:rPr>
          <w:rFonts w:asciiTheme="majorBidi" w:hAnsiTheme="majorBidi" w:cstheme="majorBidi" w:hint="cs"/>
          <w:b/>
          <w:bCs/>
          <w:sz w:val="32"/>
          <w:szCs w:val="32"/>
          <w:rtl/>
        </w:rPr>
        <w:t>6. دراسة أحمد و بدوي (2024)</w:t>
      </w:r>
    </w:p>
    <w:p w14:paraId="43753EA9" w14:textId="5ED96B55" w:rsidR="00254574" w:rsidRPr="000D25F6" w:rsidRDefault="000D25F6" w:rsidP="000D25F6">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lastRenderedPageBreak/>
        <w:t>أحمد</w:t>
      </w:r>
      <w:r w:rsidRPr="000D25F6">
        <w:rPr>
          <w:rFonts w:asciiTheme="majorBidi" w:hAnsiTheme="majorBidi" w:cstheme="majorBidi"/>
          <w:b/>
          <w:bCs/>
          <w:sz w:val="32"/>
          <w:szCs w:val="32"/>
          <w:rtl/>
        </w:rPr>
        <w:t xml:space="preserve"> </w:t>
      </w:r>
      <w:r w:rsidR="00F43DF8" w:rsidRPr="000D25F6">
        <w:rPr>
          <w:rFonts w:asciiTheme="majorBidi" w:hAnsiTheme="majorBidi" w:cstheme="majorBidi"/>
          <w:b/>
          <w:bCs/>
          <w:sz w:val="32"/>
          <w:szCs w:val="32"/>
          <w:rtl/>
        </w:rPr>
        <w:t>&amp;</w:t>
      </w:r>
      <w:r>
        <w:rPr>
          <w:rFonts w:asciiTheme="majorBidi" w:hAnsiTheme="majorBidi" w:cstheme="majorBidi" w:hint="cs"/>
          <w:b/>
          <w:bCs/>
          <w:sz w:val="32"/>
          <w:szCs w:val="32"/>
          <w:rtl/>
        </w:rPr>
        <w:t xml:space="preserve"> </w:t>
      </w:r>
      <w:r w:rsidRPr="000D25F6">
        <w:rPr>
          <w:rFonts w:asciiTheme="majorBidi" w:hAnsiTheme="majorBidi" w:cstheme="majorBidi"/>
          <w:b/>
          <w:bCs/>
          <w:sz w:val="32"/>
          <w:szCs w:val="32"/>
          <w:rtl/>
        </w:rPr>
        <w:t>بدوي</w:t>
      </w:r>
      <w:r w:rsidR="00F43DF8" w:rsidRPr="000D25F6">
        <w:rPr>
          <w:rFonts w:asciiTheme="majorBidi" w:hAnsiTheme="majorBidi" w:cstheme="majorBidi"/>
          <w:b/>
          <w:bCs/>
          <w:sz w:val="32"/>
          <w:szCs w:val="32"/>
          <w:rtl/>
        </w:rPr>
        <w:t xml:space="preserve"> </w:t>
      </w:r>
      <w:r>
        <w:rPr>
          <w:rFonts w:asciiTheme="majorBidi" w:hAnsiTheme="majorBidi" w:cstheme="majorBidi" w:hint="cs"/>
          <w:b/>
          <w:bCs/>
          <w:sz w:val="32"/>
          <w:szCs w:val="32"/>
          <w:rtl/>
        </w:rPr>
        <w:t>(2024</w:t>
      </w:r>
      <w:r w:rsidR="00F43DF8" w:rsidRPr="000D25F6">
        <w:rPr>
          <w:rFonts w:asciiTheme="majorBidi" w:hAnsiTheme="majorBidi" w:cstheme="majorBidi"/>
          <w:b/>
          <w:bCs/>
          <w:sz w:val="32"/>
          <w:szCs w:val="32"/>
          <w:rtl/>
        </w:rPr>
        <w:t xml:space="preserve">)، </w:t>
      </w:r>
      <w:r w:rsidR="00F43DF8" w:rsidRPr="000D25F6">
        <w:rPr>
          <w:rFonts w:asciiTheme="majorBidi" w:hAnsiTheme="majorBidi" w:cstheme="majorBidi"/>
          <w:b/>
          <w:bCs/>
          <w:sz w:val="32"/>
          <w:szCs w:val="32"/>
          <w:rtl/>
        </w:rPr>
        <w:t>تأثير مرونة القيادة والابتكار التنظيمي على الأداء التنظيمي</w:t>
      </w:r>
    </w:p>
    <w:p w14:paraId="3B474D8E" w14:textId="5F8CD8A0" w:rsidR="00C52DBC" w:rsidRPr="000D25F6" w:rsidRDefault="00F43DF8" w:rsidP="004E195D">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تهدف هذه الورقة البحثية إلى دراسة تأثير مرونة القيادة والابتكار التنظيمي على الأداء التنظيمي في قطاع النفط المصري. جُمعت البيانات عبر استبيان يضم 34 عبارة، من عينة عشوائية غير احتمالية شملت 320 موظفًا من شركات مختلفة في هذا القطاع، وذلك لتسهيل عملية جمع البيانات. استُخدمت تقنيات إحصائية مختلفة لتحليل البيانات واختبار الفرضيات. كشفت النتائج عن وجود علاقة ذات دلالة إحصائية بين مرونة القيادة والأداء التنظيمي (عند مستوى دلالة </w:t>
      </w:r>
      <w:r w:rsidRPr="000D25F6">
        <w:rPr>
          <w:rFonts w:asciiTheme="majorBidi" w:hAnsiTheme="majorBidi" w:cstheme="majorBidi"/>
          <w:sz w:val="32"/>
          <w:szCs w:val="32"/>
        </w:rPr>
        <w:t>P≤ 0.01</w:t>
      </w:r>
      <w:r w:rsidRPr="000D25F6">
        <w:rPr>
          <w:rFonts w:asciiTheme="majorBidi" w:hAnsiTheme="majorBidi" w:cstheme="majorBidi"/>
          <w:sz w:val="32"/>
          <w:szCs w:val="32"/>
          <w:rtl/>
        </w:rPr>
        <w:t>)، وكذلك علاقة ذات دلالة إحصائية بين الابتكار التنظيمي والأداء التنظيمي. بناءً على ذلك، يوصي الباحث بضرورة تبني مرونة القيادة والابتكار التنظيمي في قطاع النفط المصري، والاستفادة من العوامل والمحركات الرئيسية لكل منهما لتعزيز الأداء التنظيمي لشركاته وتحقيق أعلى مستوياته الممكنة.</w:t>
      </w:r>
    </w:p>
    <w:p w14:paraId="4997AB07" w14:textId="1416E99E" w:rsidR="000D25F6" w:rsidRDefault="000D25F6" w:rsidP="000D25F6">
      <w:pPr>
        <w:bidi/>
        <w:spacing w:line="360" w:lineRule="auto"/>
        <w:jc w:val="both"/>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 xml:space="preserve">7. </w:t>
      </w:r>
      <w:r w:rsidR="00C52DBC">
        <w:rPr>
          <w:rFonts w:asciiTheme="majorBidi" w:hAnsiTheme="majorBidi" w:cstheme="majorBidi" w:hint="cs"/>
          <w:b/>
          <w:bCs/>
          <w:sz w:val="32"/>
          <w:szCs w:val="32"/>
          <w:rtl/>
          <w:lang w:bidi="ar-EG"/>
        </w:rPr>
        <w:t>سعد و حسن (2024)</w:t>
      </w:r>
    </w:p>
    <w:p w14:paraId="7F3EA461" w14:textId="10897A3F" w:rsidR="00254574" w:rsidRPr="000D25F6" w:rsidRDefault="00E32331" w:rsidP="000D25F6">
      <w:pPr>
        <w:bidi/>
        <w:spacing w:line="360" w:lineRule="auto"/>
        <w:jc w:val="both"/>
        <w:rPr>
          <w:rFonts w:asciiTheme="majorBidi" w:hAnsiTheme="majorBidi" w:cstheme="majorBidi"/>
          <w:b/>
          <w:bCs/>
          <w:sz w:val="32"/>
          <w:szCs w:val="32"/>
          <w:rtl/>
          <w:lang w:bidi="ar-EG"/>
        </w:rPr>
      </w:pPr>
      <w:r w:rsidRPr="000D25F6">
        <w:rPr>
          <w:rFonts w:asciiTheme="majorBidi" w:hAnsiTheme="majorBidi" w:cstheme="majorBidi"/>
          <w:b/>
          <w:bCs/>
          <w:sz w:val="32"/>
          <w:szCs w:val="32"/>
          <w:rtl/>
          <w:lang w:bidi="ar-EG"/>
        </w:rPr>
        <w:t xml:space="preserve">سعد&amp; حسن </w:t>
      </w:r>
      <w:r w:rsidR="00C52DBC">
        <w:rPr>
          <w:rFonts w:asciiTheme="majorBidi" w:hAnsiTheme="majorBidi" w:cstheme="majorBidi" w:hint="cs"/>
          <w:b/>
          <w:bCs/>
          <w:sz w:val="32"/>
          <w:szCs w:val="32"/>
          <w:rtl/>
          <w:lang w:bidi="ar-EG"/>
        </w:rPr>
        <w:t>(2024</w:t>
      </w:r>
      <w:r w:rsidRPr="000D25F6">
        <w:rPr>
          <w:rFonts w:asciiTheme="majorBidi" w:hAnsiTheme="majorBidi" w:cstheme="majorBidi"/>
          <w:b/>
          <w:bCs/>
          <w:sz w:val="32"/>
          <w:szCs w:val="32"/>
          <w:rtl/>
          <w:lang w:bidi="ar-EG"/>
        </w:rPr>
        <w:t>)</w:t>
      </w:r>
      <w:r w:rsidRPr="000D25F6">
        <w:rPr>
          <w:rFonts w:asciiTheme="majorBidi" w:hAnsiTheme="majorBidi" w:cstheme="majorBidi"/>
          <w:b/>
          <w:bCs/>
          <w:sz w:val="32"/>
          <w:szCs w:val="32"/>
          <w:rtl/>
        </w:rPr>
        <w:t xml:space="preserve"> </w:t>
      </w:r>
      <w:r w:rsidRPr="000D25F6">
        <w:rPr>
          <w:rFonts w:asciiTheme="majorBidi" w:hAnsiTheme="majorBidi" w:cstheme="majorBidi"/>
          <w:b/>
          <w:bCs/>
          <w:sz w:val="32"/>
          <w:szCs w:val="32"/>
          <w:rtl/>
          <w:lang w:bidi="ar-EG"/>
        </w:rPr>
        <w:t>المرونة التنظيمية وأثرها على الأداء التنظيمي من خلال القيادة الرؤيوية والقدرات التنافسية التنظيمية في المستشفيات في مصر</w:t>
      </w:r>
    </w:p>
    <w:p w14:paraId="59346798" w14:textId="21324727" w:rsidR="00254574" w:rsidRDefault="00CA65FD" w:rsidP="000D25F6">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في بيئة الأعمال سريعة التغير اليوم، لا يمكن لأي مؤسسة أن تنأى بنفسها عن المنافسة. لذا، تضطر المؤسسات للعمل في بيئات تتسم بعدم الاستقرار، والديناميكية العالية، والتنافسية الشديدة، والتغير المستمر. وفي المجال الطبي تحديدًا، يقع على عاتق المؤسسة التزام أخلاقي تجاه المرضى بتقديم أفضل الممارسات العلاجية المتاحة، وفي الوقت نفسه، يجب عليها السعي لتحسين أدائها. ولتحقيق هذه المعادلة الصعبة، يجب أن تتسم المؤسسة بالمرونة في إدارة عملياتها، وأن يقترن ذلك بقيادة ذات رؤية ثاقبة، وأن تستفيد إلى أقصى حد من قدراتها التنافسية. تُعد المرونة الاستراتيجية مفتاح نجاح المؤسسات في بيئة الأعمال المتغيرة بسرعة؛ إذ تمكّنها من تحقيق أهدافها بكفاءة وفعالية، وتساعدها على تعزيز وضعها التنافسي. أُجريت هذه الدراسة على 413 من العاملين في المجال الطبي من مختلف القطاعات والمؤهلات، شملوا الأطباء والصيادلة </w:t>
      </w:r>
      <w:r w:rsidRPr="000D25F6">
        <w:rPr>
          <w:rFonts w:asciiTheme="majorBidi" w:hAnsiTheme="majorBidi" w:cstheme="majorBidi"/>
          <w:sz w:val="32"/>
          <w:szCs w:val="32"/>
          <w:rtl/>
        </w:rPr>
        <w:lastRenderedPageBreak/>
        <w:t>وأطباء الأسنان ورؤساء التمريض، باستخدام استبيان لتقييم أثر المرونة التنظيمية على الأداء التنظيمي، مع الأخذ في الحسبان الدور الوسيط للقيادة الرؤيوية والقدرات التنافسية التشغيلية. أظهرت النتائج أن بناء العلاقات ورضا العملاء يحفزان المرونة التنظيمية والأداء، وأن القيادة الرؤيوية تلعب دورًا محوريًا في تشكيل القدرات وتحقيق رضا العملاء، وأن القدرات التنافسية التشغيلية (خاصة بناء العلاقات والقدرات التكيفية) تمثل عوامل وسيطة رئيسية. يُسلط هذا البحث الضوء على التفاعل الحاسم بين المرونة التنظيمية، والقيادة، والقدرات التنافسية التشغيلية في تحقيق أداء تنظيمي متميز. ومن خلال دمج القيادة وتطوير القدرات ضمن أطر المرونة، يمكن للمؤسسات أن تزدهر في البيئات غير المستقرة والديناميكية. كما تؤكد النتائج على أهمية موازنة أبعاد المرونة لتجنب النتائج العكسية، وتُبرز التفاعل الدقيق بين المرونة والقيادة والاستراتيجيات التنظيمية في تعزيز الميزة التنافسية والأداء.</w:t>
      </w:r>
    </w:p>
    <w:p w14:paraId="27800D51" w14:textId="309CEFF7" w:rsidR="00C52DBC" w:rsidRPr="00C52DBC" w:rsidRDefault="00C52DBC" w:rsidP="00C52DBC">
      <w:pPr>
        <w:bidi/>
        <w:spacing w:line="360" w:lineRule="auto"/>
        <w:jc w:val="both"/>
        <w:rPr>
          <w:rFonts w:asciiTheme="majorBidi" w:hAnsiTheme="majorBidi" w:cstheme="majorBidi"/>
          <w:b/>
          <w:bCs/>
          <w:sz w:val="32"/>
          <w:szCs w:val="32"/>
          <w:rtl/>
        </w:rPr>
      </w:pPr>
      <w:r w:rsidRPr="00C52DBC">
        <w:rPr>
          <w:rFonts w:asciiTheme="majorBidi" w:hAnsiTheme="majorBidi" w:cstheme="majorBidi" w:hint="cs"/>
          <w:b/>
          <w:bCs/>
          <w:sz w:val="32"/>
          <w:szCs w:val="32"/>
          <w:rtl/>
        </w:rPr>
        <w:t>8. بدوي و علي (2024)</w:t>
      </w:r>
    </w:p>
    <w:p w14:paraId="55E5384C" w14:textId="7A1E49FC" w:rsidR="00254574" w:rsidRPr="000D25F6" w:rsidRDefault="00C52DBC" w:rsidP="000D25F6">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بدوي</w:t>
      </w:r>
      <w:r w:rsidRPr="000D25F6">
        <w:rPr>
          <w:rFonts w:asciiTheme="majorBidi" w:hAnsiTheme="majorBidi" w:cstheme="majorBidi"/>
          <w:b/>
          <w:bCs/>
          <w:sz w:val="32"/>
          <w:szCs w:val="32"/>
          <w:rtl/>
        </w:rPr>
        <w:t xml:space="preserve"> </w:t>
      </w:r>
      <w:r w:rsidR="00E32331" w:rsidRPr="000D25F6">
        <w:rPr>
          <w:rFonts w:asciiTheme="majorBidi" w:hAnsiTheme="majorBidi" w:cstheme="majorBidi"/>
          <w:b/>
          <w:bCs/>
          <w:sz w:val="32"/>
          <w:szCs w:val="32"/>
          <w:rtl/>
        </w:rPr>
        <w:t>&amp;</w:t>
      </w:r>
      <w:r w:rsidRPr="000D25F6">
        <w:rPr>
          <w:rFonts w:asciiTheme="majorBidi" w:hAnsiTheme="majorBidi" w:cstheme="majorBidi"/>
          <w:b/>
          <w:bCs/>
          <w:sz w:val="32"/>
          <w:szCs w:val="32"/>
          <w:rtl/>
        </w:rPr>
        <w:t>علي</w:t>
      </w:r>
      <w:r w:rsidRPr="000D25F6">
        <w:rPr>
          <w:rFonts w:asciiTheme="majorBidi" w:hAnsiTheme="majorBidi" w:cstheme="majorBidi"/>
          <w:b/>
          <w:bCs/>
          <w:sz w:val="32"/>
          <w:szCs w:val="32"/>
          <w:rtl/>
        </w:rPr>
        <w:t xml:space="preserve"> </w:t>
      </w:r>
      <w:r w:rsidR="00E32331" w:rsidRPr="000D25F6">
        <w:rPr>
          <w:rFonts w:asciiTheme="majorBidi" w:hAnsiTheme="majorBidi" w:cstheme="majorBidi"/>
          <w:b/>
          <w:bCs/>
          <w:sz w:val="32"/>
          <w:szCs w:val="32"/>
          <w:rtl/>
        </w:rPr>
        <w:t xml:space="preserve"> </w:t>
      </w:r>
      <w:r>
        <w:rPr>
          <w:rFonts w:asciiTheme="majorBidi" w:hAnsiTheme="majorBidi" w:cstheme="majorBidi" w:hint="cs"/>
          <w:b/>
          <w:bCs/>
          <w:sz w:val="32"/>
          <w:szCs w:val="32"/>
          <w:rtl/>
        </w:rPr>
        <w:t>(</w:t>
      </w:r>
      <w:r w:rsidR="00E32331" w:rsidRPr="000D25F6">
        <w:rPr>
          <w:rFonts w:asciiTheme="majorBidi" w:hAnsiTheme="majorBidi" w:cstheme="majorBidi"/>
          <w:b/>
          <w:bCs/>
          <w:sz w:val="32"/>
          <w:szCs w:val="32"/>
          <w:rtl/>
        </w:rPr>
        <w:t xml:space="preserve">2024) </w:t>
      </w:r>
      <w:r w:rsidR="00E32331" w:rsidRPr="000D25F6">
        <w:rPr>
          <w:rFonts w:asciiTheme="majorBidi" w:hAnsiTheme="majorBidi" w:cstheme="majorBidi"/>
          <w:b/>
          <w:bCs/>
          <w:sz w:val="32"/>
          <w:szCs w:val="32"/>
          <w:rtl/>
        </w:rPr>
        <w:t>دراسة مؤثرة في معدل التغير في معدل التغير في العلاقة بين التخطيط التنظيمي</w:t>
      </w:r>
    </w:p>
    <w:p w14:paraId="43EF36D5" w14:textId="655D0127" w:rsidR="00254574" w:rsidRDefault="00E32331" w:rsidP="000D25F6">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تهدف هذه الدراسة إلى استكشاف أثر أنماط القيادة كمتغير معتدل على العلاقة بين التخطيط الاستراتيجي والأداء التنظيمي في الشركات الصغيرة بقطاع الكهروميكانيكا في مصر. ركزت الدراسة بشكل أساسي على التساؤل حول وجود دلالة إحصائية لتأثير أساليب القيادة على هذه العلاقة، وتناولت أسئلة فرعية تتعلق بتأثير التخطيط الفعال على التخطيط المؤسسي</w:t>
      </w:r>
      <w:r w:rsidRPr="000D25F6">
        <w:rPr>
          <w:rFonts w:asciiTheme="majorBidi" w:hAnsiTheme="majorBidi" w:cstheme="majorBidi"/>
          <w:sz w:val="32"/>
          <w:szCs w:val="32"/>
        </w:rPr>
        <w:t>.</w:t>
      </w:r>
      <w:r w:rsidR="00E438AE" w:rsidRPr="000D25F6">
        <w:rPr>
          <w:rFonts w:asciiTheme="majorBidi" w:hAnsiTheme="majorBidi" w:cstheme="majorBidi"/>
          <w:sz w:val="32"/>
          <w:szCs w:val="32"/>
          <w:rtl/>
        </w:rPr>
        <w:t xml:space="preserve"> </w:t>
      </w:r>
      <w:r w:rsidRPr="000D25F6">
        <w:rPr>
          <w:rFonts w:asciiTheme="majorBidi" w:hAnsiTheme="majorBidi" w:cstheme="majorBidi"/>
          <w:sz w:val="32"/>
          <w:szCs w:val="32"/>
          <w:rtl/>
        </w:rPr>
        <w:t>اعتمدت الدراسة على تحليل استجابات البحث باستخدام الإحصاء الوصفي. وقد أسفرت عن نتائج واضحة، من أبرزها اكتمال الحصول على عناصر أساسية مثل الرؤية والمعرفة والبيئات اللازمة للتخطيط الشامل، مما يؤكد أهمية هذا العامل في قطاع الشركات الصغيرة في مصر</w:t>
      </w:r>
      <w:r w:rsidRPr="000D25F6">
        <w:rPr>
          <w:rFonts w:asciiTheme="majorBidi" w:hAnsiTheme="majorBidi" w:cstheme="majorBidi"/>
          <w:sz w:val="32"/>
          <w:szCs w:val="32"/>
        </w:rPr>
        <w:t>.</w:t>
      </w:r>
      <w:r w:rsidR="00E438AE" w:rsidRPr="000D25F6">
        <w:rPr>
          <w:rFonts w:asciiTheme="majorBidi" w:hAnsiTheme="majorBidi" w:cstheme="majorBidi"/>
          <w:sz w:val="32"/>
          <w:szCs w:val="32"/>
          <w:rtl/>
        </w:rPr>
        <w:t xml:space="preserve"> </w:t>
      </w:r>
      <w:r w:rsidRPr="000D25F6">
        <w:rPr>
          <w:rFonts w:asciiTheme="majorBidi" w:hAnsiTheme="majorBidi" w:cstheme="majorBidi"/>
          <w:sz w:val="32"/>
          <w:szCs w:val="32"/>
          <w:rtl/>
        </w:rPr>
        <w:t xml:space="preserve">كما توصلت الدراسة إلى نتائج عالية الجودة من حيث معايير تحقيق النتائج وأداء البحوث، مما يشير إلى وجود تأثير تخطيطي فعال ينعكس على تحسين الأداء من منظور القيادة. وخلصت إلى أن نمط القيادة النشط </w:t>
      </w:r>
      <w:r w:rsidRPr="000D25F6">
        <w:rPr>
          <w:rFonts w:asciiTheme="majorBidi" w:hAnsiTheme="majorBidi" w:cstheme="majorBidi"/>
          <w:sz w:val="32"/>
          <w:szCs w:val="32"/>
          <w:rtl/>
        </w:rPr>
        <w:lastRenderedPageBreak/>
        <w:t>يؤثر على الأداء التنظيمي، وتحديداً فيما يتعلق بمعايير جودة الأداء وتحقيق النتائج، مما يبرهن على التأثير الإيجابي للتخطيط الفعال تحت إشراف القيادة. ومن الملاحظ أن هذا النمط القيادي يتنوع ويتناسب مع مراحل مختلفة للشركات الصغيرة في القطاع الكهروميكانيكي، ولكنه لا يؤثر بشكل مباشر على تحسين التعلم التنظيمي. وفي الختام، أكدت الدراسة الأهمية الإحصائية للتخطيط على الأداء التنظيمي، مع اعتبار أنماط القيادة عاملًا معدِّلاً يحدث اختلافات في النتائج.</w:t>
      </w:r>
      <w:r w:rsidRPr="000D25F6">
        <w:rPr>
          <w:rFonts w:asciiTheme="majorBidi" w:hAnsiTheme="majorBidi" w:cstheme="majorBidi"/>
          <w:sz w:val="32"/>
          <w:szCs w:val="32"/>
          <w:rtl/>
        </w:rPr>
        <w:t xml:space="preserve"> </w:t>
      </w:r>
      <w:r w:rsidRPr="000D25F6">
        <w:rPr>
          <w:rFonts w:asciiTheme="majorBidi" w:hAnsiTheme="majorBidi" w:cstheme="majorBidi"/>
          <w:sz w:val="32"/>
          <w:szCs w:val="32"/>
          <w:rtl/>
        </w:rPr>
        <w:t>حللت الدراسة استجابات عينة البحث باستخدام الأساليب الإحصائية الوصفية، وأظهرت النتائج جوانب هامة متعددة؛ منها حصول عناصر مثل الرؤية والرسالة وتقييم البيئة في التخطيط الاستراتيجي على نسب موافقة عالية، مما يعكس فعالية هذه المكونات في قطاع الشركات الصغيرة في مصر. كما كشفت الدراسة عن استجابة إيجابية من العينة تجاه تطوير أهداف الاستراتيجية وتنفيذ وتقييم الخطط الاستراتيجية، مما يؤكد دور التخطيط الاستراتيجي في تعزيز الأداء التنظيمي. وفيما يخص الأداء التنظيمي، أظهرت النتائج مستويات عالية من الالتزام بمعايير الجودة، وتحقيق الأهداف، وأداء الموظفين، مما يشير إلى أثر إيجابي للتخطيط الاستراتيجي على تحسين الأداء من منظور القيادة. وخلصت الدراسة إلى أن أسلوب القيادة التحويلية هو الأسلوب الأنسب في قطاع الكهروميكانيكا بالشركات الصغيرة خلال مراحل عدم استقرار الظروف المحيطة، حيث أظهر تأثيراً إيجابياً في تحسين كل من التخطيط الاستراتيجي والأداء التنظيمي. وتؤكد الدراسة وجود تأثير ذي دلالة إحصائية للتخطيط الاستراتيجي على الأداء التنظيمي، مع دور محوري لأساليب القيادة كعامل وسيط يعزز هذه العلاقة.</w:t>
      </w:r>
    </w:p>
    <w:p w14:paraId="392D6B9A" w14:textId="0FD0FB6C" w:rsidR="00C52DBC" w:rsidRPr="00C52DBC" w:rsidRDefault="00C52DBC" w:rsidP="00C52DBC">
      <w:pPr>
        <w:bidi/>
        <w:spacing w:line="360" w:lineRule="auto"/>
        <w:jc w:val="both"/>
        <w:rPr>
          <w:rFonts w:asciiTheme="majorBidi" w:hAnsiTheme="majorBidi" w:cstheme="majorBidi"/>
          <w:b/>
          <w:bCs/>
          <w:sz w:val="32"/>
          <w:szCs w:val="32"/>
          <w:rtl/>
        </w:rPr>
      </w:pPr>
      <w:r w:rsidRPr="00C52DBC">
        <w:rPr>
          <w:rFonts w:asciiTheme="majorBidi" w:hAnsiTheme="majorBidi" w:cstheme="majorBidi" w:hint="cs"/>
          <w:b/>
          <w:bCs/>
          <w:sz w:val="32"/>
          <w:szCs w:val="32"/>
          <w:rtl/>
        </w:rPr>
        <w:t>9. الشايب (2024)</w:t>
      </w:r>
    </w:p>
    <w:p w14:paraId="1A09BD85" w14:textId="3B2E1B68" w:rsidR="00E438AE" w:rsidRPr="000D25F6" w:rsidRDefault="00E438AE" w:rsidP="000D25F6">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 xml:space="preserve">الشايب، </w:t>
      </w:r>
      <w:r w:rsidR="00C52DBC">
        <w:rPr>
          <w:rFonts w:asciiTheme="majorBidi" w:hAnsiTheme="majorBidi" w:cstheme="majorBidi" w:hint="cs"/>
          <w:b/>
          <w:bCs/>
          <w:sz w:val="32"/>
          <w:szCs w:val="32"/>
          <w:rtl/>
        </w:rPr>
        <w:t>(</w:t>
      </w:r>
      <w:r w:rsidRPr="000D25F6">
        <w:rPr>
          <w:rFonts w:asciiTheme="majorBidi" w:hAnsiTheme="majorBidi" w:cstheme="majorBidi"/>
          <w:b/>
          <w:bCs/>
          <w:sz w:val="32"/>
          <w:szCs w:val="32"/>
          <w:rtl/>
        </w:rPr>
        <w:t xml:space="preserve">2024) </w:t>
      </w:r>
      <w:r w:rsidRPr="000D25F6">
        <w:rPr>
          <w:rFonts w:asciiTheme="majorBidi" w:hAnsiTheme="majorBidi" w:cstheme="majorBidi"/>
          <w:b/>
          <w:bCs/>
          <w:sz w:val="32"/>
          <w:szCs w:val="32"/>
          <w:rtl/>
        </w:rPr>
        <w:t>دور القيادة الرقمية في تعزيز الابتكار التنظيمي وتحقيق الميزة التنافسية من وجهة نظر مديرات المدارس الثانوية بمنطقة عسير</w:t>
      </w:r>
    </w:p>
    <w:p w14:paraId="172E3A41" w14:textId="76BBB488" w:rsidR="00E32331" w:rsidRDefault="00E438AE" w:rsidP="000D25F6">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يهدف هذا البحث إلى استكشاف واقع دور القيادة الرقمية في تعزيز الابتكار التنظيمي وتحقيق الميزة التنافسية، وذلك من وجهة نظر مديرات المدارس الثانوية في منطقة عسير. ولتحقيق هذا </w:t>
      </w:r>
      <w:r w:rsidRPr="000D25F6">
        <w:rPr>
          <w:rFonts w:asciiTheme="majorBidi" w:hAnsiTheme="majorBidi" w:cstheme="majorBidi"/>
          <w:sz w:val="32"/>
          <w:szCs w:val="32"/>
          <w:rtl/>
        </w:rPr>
        <w:lastRenderedPageBreak/>
        <w:t>الهدف، اعتُمد المنهج الوصفي، واستُخدمت الاستبانة لجمع البيانات. وقد طُبِّق البحث على عينة شملت (102) مديرة مدرسة ثانوية في المنطقة، موزّعات حسب متغيري المؤهل العلمي وعدد سنوات الخبرة. أشارت النتائج إلى أن واقع دور القيادة الرقمية في تعزيز الابتكار التنظيمي كان مرتفعًا في جميع أبعاده (الابتكار الإداري، والبشري، والتقني). كما تبين أن دورها في تحقيق الميزة التنافسية كان مرتفعًا أيضًا في جميع أبعادها (الجودة، والإبداع، والبيئة التنظيمية للمدرسة). وتوصلت النتائج إلى أن مستوى التحديات التي تواجه تطبيق القيادة الرقمية وتحدّ من دورها في تعزيز الابتكار وتحقيق الميزة التنافسية جاء منخفضًا. علاوة على ذلك، أشارت النتائج إلى وجود فروق ذات دلالة إحصائية في استجابات العينة تعزى لمتغير المؤهل العلمي، وكانت لصالح الحاصلات على درجة الماجستير فما فوق مقارنة بالحاصلات على درجة البكالوريوس. كما لوحظ وجود فروق ذات دلالة إحصائية تعزى لمتغير سنوات الخبرة، وكانت لصالح ذوات سنوات الخبرة الأعلى.</w:t>
      </w:r>
    </w:p>
    <w:p w14:paraId="50DC050A" w14:textId="2C44EC4C" w:rsidR="00C52DBC" w:rsidRPr="00C52DBC" w:rsidRDefault="00C52DBC" w:rsidP="00C52DBC">
      <w:pPr>
        <w:bidi/>
        <w:spacing w:line="360" w:lineRule="auto"/>
        <w:jc w:val="both"/>
        <w:rPr>
          <w:rFonts w:asciiTheme="majorBidi" w:hAnsiTheme="majorBidi" w:cstheme="majorBidi"/>
          <w:b/>
          <w:bCs/>
          <w:sz w:val="32"/>
          <w:szCs w:val="32"/>
          <w:rtl/>
        </w:rPr>
      </w:pPr>
      <w:r w:rsidRPr="00C52DBC">
        <w:rPr>
          <w:rFonts w:asciiTheme="majorBidi" w:hAnsiTheme="majorBidi" w:cstheme="majorBidi" w:hint="cs"/>
          <w:b/>
          <w:bCs/>
          <w:sz w:val="32"/>
          <w:szCs w:val="32"/>
          <w:rtl/>
        </w:rPr>
        <w:t>10. العتيبي (2025)</w:t>
      </w:r>
    </w:p>
    <w:p w14:paraId="7373CD00" w14:textId="150FC373" w:rsidR="00950472" w:rsidRPr="000D25F6" w:rsidRDefault="00E438AE" w:rsidP="000D25F6">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w:t>
      </w:r>
      <w:r w:rsidRPr="000D25F6">
        <w:rPr>
          <w:rFonts w:asciiTheme="majorBidi" w:hAnsiTheme="majorBidi" w:cstheme="majorBidi"/>
          <w:b/>
          <w:bCs/>
          <w:sz w:val="32"/>
          <w:szCs w:val="32"/>
          <w:rtl/>
        </w:rPr>
        <w:t>دراسة العتيبي (</w:t>
      </w:r>
      <w:r w:rsidRPr="000D25F6">
        <w:rPr>
          <w:rFonts w:asciiTheme="majorBidi" w:hAnsiTheme="majorBidi" w:cstheme="majorBidi"/>
          <w:b/>
          <w:bCs/>
          <w:sz w:val="32"/>
          <w:szCs w:val="32"/>
          <w:rtl/>
          <w:lang w:bidi="fa-IR"/>
        </w:rPr>
        <w:t>۲۰۲</w:t>
      </w:r>
      <w:r w:rsidRPr="000D25F6">
        <w:rPr>
          <w:rFonts w:asciiTheme="majorBidi" w:hAnsiTheme="majorBidi" w:cstheme="majorBidi"/>
          <w:b/>
          <w:bCs/>
          <w:sz w:val="32"/>
          <w:szCs w:val="32"/>
          <w:rtl/>
        </w:rPr>
        <w:t>٥) بعنوان" درجة تطبيق أبعاد أسلوب الإدارة المرنة لدى مديرات المدارس الثانوية الحكومية بمدينة الرياض"</w:t>
      </w:r>
      <w:r w:rsidRPr="000D25F6">
        <w:rPr>
          <w:rFonts w:asciiTheme="majorBidi" w:hAnsiTheme="majorBidi" w:cstheme="majorBidi"/>
          <w:sz w:val="32"/>
          <w:szCs w:val="32"/>
          <w:rtl/>
        </w:rPr>
        <w:t xml:space="preserve"> إلى التعرف على مستوي تطبيق أبعاد الإدارة المرنة لدي مديرات المدارس الثانوية الحكومية بمدينة الرياض، وقد اشتملت الدراسة على عينة مكونة من (</w:t>
      </w:r>
      <w:r w:rsidRPr="000D25F6">
        <w:rPr>
          <w:rFonts w:asciiTheme="majorBidi" w:hAnsiTheme="majorBidi" w:cstheme="majorBidi"/>
          <w:sz w:val="32"/>
          <w:szCs w:val="32"/>
          <w:rtl/>
          <w:lang w:bidi="fa-IR"/>
        </w:rPr>
        <w:t xml:space="preserve">۱۲۰) </w:t>
      </w:r>
      <w:r w:rsidRPr="000D25F6">
        <w:rPr>
          <w:rFonts w:asciiTheme="majorBidi" w:hAnsiTheme="majorBidi" w:cstheme="majorBidi"/>
          <w:sz w:val="32"/>
          <w:szCs w:val="32"/>
          <w:rtl/>
        </w:rPr>
        <w:t>من جميع مديرات المدارس الثانوية الحكومية بمدينة الرياض، واعتمدت الدراسة المنهج الوصفي المسحي كمنهج للدراسة، واستعانت بالاستبانة كأداة للدراسة، وقد توصلت الدراسة إلى عدد من النتائج ومن أهمها: جاء مستوي تطبيق أبعاد الإدارة المرنة لدي مديرات المدارس الثانوية الحكومية بمدينة الرياض بدرجة مرتفعة حيث جاءت المرونة الهيكلية في الرتبة الأولي، يليها المرونة الاستراتيجية، وفي الأخير جاءت المرونة السلوكية، كما أوصت الدراسة بضرورة تقديم دعم لتمكين المديرات من الجوانب التنظيمية وتطوير القدرة القيادية في مجالات التخطيط الاستراتيجي والتواصل المهني المرن</w:t>
      </w:r>
      <w:r w:rsidRPr="000D25F6">
        <w:rPr>
          <w:rFonts w:asciiTheme="majorBidi" w:hAnsiTheme="majorBidi" w:cstheme="majorBidi"/>
          <w:sz w:val="32"/>
          <w:szCs w:val="32"/>
        </w:rPr>
        <w:t>.</w:t>
      </w:r>
    </w:p>
    <w:p w14:paraId="1003DA93" w14:textId="77777777" w:rsidR="00C45B39" w:rsidRPr="000D25F6" w:rsidRDefault="00C45B39" w:rsidP="000D25F6">
      <w:pPr>
        <w:bidi/>
        <w:spacing w:line="360" w:lineRule="auto"/>
        <w:jc w:val="both"/>
        <w:rPr>
          <w:rFonts w:asciiTheme="majorBidi" w:hAnsiTheme="majorBidi" w:cstheme="majorBidi"/>
          <w:sz w:val="32"/>
          <w:szCs w:val="32"/>
          <w:rtl/>
        </w:rPr>
      </w:pPr>
    </w:p>
    <w:p w14:paraId="537BA78E" w14:textId="77777777" w:rsidR="00E438AE" w:rsidRDefault="00E438AE" w:rsidP="000D25F6">
      <w:pPr>
        <w:bidi/>
        <w:spacing w:line="360" w:lineRule="auto"/>
        <w:jc w:val="both"/>
        <w:rPr>
          <w:rFonts w:asciiTheme="majorBidi" w:hAnsiTheme="majorBidi" w:cstheme="majorBidi"/>
          <w:b/>
          <w:bCs/>
          <w:sz w:val="32"/>
          <w:szCs w:val="32"/>
        </w:rPr>
      </w:pPr>
      <w:r w:rsidRPr="000D25F6">
        <w:rPr>
          <w:rFonts w:asciiTheme="majorBidi" w:hAnsiTheme="majorBidi" w:cstheme="majorBidi"/>
          <w:b/>
          <w:bCs/>
          <w:sz w:val="32"/>
          <w:szCs w:val="32"/>
          <w:rtl/>
        </w:rPr>
        <w:t>ثانيا الدراسات الأجنبية</w:t>
      </w:r>
    </w:p>
    <w:p w14:paraId="2D628577" w14:textId="1A7C1907" w:rsidR="00C52DBC" w:rsidRPr="00C52DBC" w:rsidRDefault="004E054F" w:rsidP="00C52DBC">
      <w:pPr>
        <w:pStyle w:val="ListParagraph"/>
        <w:bidi/>
        <w:spacing w:line="360" w:lineRule="auto"/>
        <w:jc w:val="right"/>
        <w:rPr>
          <w:rFonts w:asciiTheme="majorBidi" w:hAnsiTheme="majorBidi" w:cstheme="majorBidi"/>
          <w:b/>
          <w:bCs/>
          <w:sz w:val="32"/>
          <w:szCs w:val="32"/>
        </w:rPr>
      </w:pPr>
      <w:r>
        <w:rPr>
          <w:rFonts w:asciiTheme="majorBidi" w:hAnsiTheme="majorBidi" w:cstheme="majorBidi"/>
          <w:b/>
          <w:bCs/>
          <w:sz w:val="32"/>
          <w:szCs w:val="32"/>
        </w:rPr>
        <w:t>(2022)</w:t>
      </w:r>
      <w:r w:rsidRPr="000D25F6">
        <w:rPr>
          <w:rFonts w:asciiTheme="majorBidi" w:hAnsiTheme="majorBidi" w:cstheme="majorBidi" w:hint="cs"/>
          <w:b/>
          <w:bCs/>
          <w:sz w:val="32"/>
          <w:szCs w:val="32"/>
          <w:rtl/>
        </w:rPr>
        <w:t>,</w:t>
      </w:r>
      <w:r w:rsidR="00C52DBC" w:rsidRPr="000D25F6">
        <w:rPr>
          <w:rFonts w:asciiTheme="majorBidi" w:hAnsiTheme="majorBidi" w:cstheme="majorBidi"/>
          <w:b/>
          <w:bCs/>
          <w:sz w:val="32"/>
          <w:szCs w:val="32"/>
          <w:rtl/>
        </w:rPr>
        <w:t>.</w:t>
      </w:r>
      <w:r w:rsidR="00D4577D">
        <w:rPr>
          <w:rFonts w:asciiTheme="majorBidi" w:hAnsiTheme="majorBidi" w:cstheme="majorBidi"/>
          <w:b/>
          <w:bCs/>
          <w:sz w:val="32"/>
          <w:szCs w:val="32"/>
        </w:rPr>
        <w:t xml:space="preserve">1. </w:t>
      </w:r>
      <w:proofErr w:type="spellStart"/>
      <w:r w:rsidR="00C52DBC" w:rsidRPr="000D25F6">
        <w:rPr>
          <w:rFonts w:asciiTheme="majorBidi" w:hAnsiTheme="majorBidi" w:cstheme="majorBidi"/>
          <w:b/>
          <w:bCs/>
          <w:sz w:val="32"/>
          <w:szCs w:val="32"/>
        </w:rPr>
        <w:t>Narenji</w:t>
      </w:r>
      <w:proofErr w:type="spellEnd"/>
      <w:r w:rsidR="00C52DBC" w:rsidRPr="000D25F6">
        <w:rPr>
          <w:rFonts w:asciiTheme="majorBidi" w:hAnsiTheme="majorBidi" w:cstheme="majorBidi"/>
          <w:b/>
          <w:bCs/>
          <w:sz w:val="32"/>
          <w:szCs w:val="32"/>
        </w:rPr>
        <w:t xml:space="preserve"> Thani et al</w:t>
      </w:r>
    </w:p>
    <w:p w14:paraId="2DE3D8DA" w14:textId="74806D2E" w:rsidR="00C52DBC" w:rsidRPr="000D25F6" w:rsidRDefault="00C52DBC" w:rsidP="00D4577D">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بعنوان: "أثر التطوير الذاتي على الميل نحو الابتكار التنظيمي في مؤسسات التعليم العالي مع الدور الوسيط المرونة الموارد البشرية"</w:t>
      </w:r>
      <w:r w:rsidRPr="000D25F6">
        <w:rPr>
          <w:rFonts w:asciiTheme="majorBidi" w:hAnsiTheme="majorBidi" w:cstheme="majorBidi"/>
          <w:sz w:val="32"/>
          <w:szCs w:val="32"/>
          <w:rtl/>
        </w:rPr>
        <w:t xml:space="preserve"> إلى الكشف عن أثر التطوير الذاتي على التوجه نحو الابتكار التنظيمي، مع التركيز على توضيح الدور الوسيط المرونة الموارد البشرية في مؤسسات التعليم العالي، وقد اشتملت عينة الدراسة على (٢١٤) من الموظفين غير الأكاديميين في جامعة خوارزمي في ایران، وقد تبنت الدراسة المنهج الوصفي الارتباطي، كما استعانت بالاستبانة التي تقيس التطوير الذاتي ومرونة الموارد البشرية والتوجه نحو الابتكار التنظيمي كأداة للدراسة، وقد توصلت هذه الدراسة إلى العديد من النتائج من أهمها: وجود أثر إيجابي للتطوير الذاتي للعاملين على تحسين قدراتهم ومهاراتهم وسلوكياتهم والنمو الشخصي والمهني لديهم مما يعزز من مرونتهم ويدعم التوجه نحو الابتكار التنظيمي في مؤسسات التعليم العالي، كما تبين وجود تأثير إيجابي المرونة الموارد البشرية المتمثلة في الاستقلالية، والإدارة الذاتية، والتنظيم الذاتي، والتعلم الذاتي، والقيادة الذاتية على تحسين قدرتهم على الاستجابة للتغيرات والمتطلبات البيئية بشكل أفضل من خلال الابتكار في سلوكيات وأساليب العمل وتقديم أفكار جديدة ومبتكرة، وأوصت الدراسة بالعديد من التوصيات أهمها يجب اجراء المزيد من الدراسات المستقبلية التي تهدف إلى البحث عن المزيد من العوامل التي تعزز من الابتكار التنظيمي في مؤسسات التعليم العالي.</w:t>
      </w:r>
    </w:p>
    <w:p w14:paraId="7084B36A" w14:textId="6905CB55" w:rsidR="00C52DBC" w:rsidRPr="00372FC7" w:rsidRDefault="00D4577D" w:rsidP="00D4577D">
      <w:pPr>
        <w:bidi/>
        <w:spacing w:line="360" w:lineRule="auto"/>
        <w:jc w:val="right"/>
        <w:rPr>
          <w:rFonts w:asciiTheme="majorBidi" w:hAnsiTheme="majorBidi" w:cstheme="majorBidi"/>
          <w:b/>
          <w:bCs/>
          <w:sz w:val="32"/>
          <w:szCs w:val="32"/>
        </w:rPr>
      </w:pPr>
      <w:r w:rsidRPr="00372FC7">
        <w:rPr>
          <w:rFonts w:asciiTheme="majorBidi" w:hAnsiTheme="majorBidi" w:cstheme="majorBidi"/>
          <w:b/>
          <w:bCs/>
          <w:sz w:val="32"/>
          <w:szCs w:val="32"/>
        </w:rPr>
        <w:t xml:space="preserve">2. </w:t>
      </w:r>
      <w:r w:rsidRPr="00372FC7">
        <w:rPr>
          <w:rFonts w:asciiTheme="majorBidi" w:hAnsiTheme="majorBidi" w:cstheme="majorBidi"/>
          <w:b/>
          <w:bCs/>
          <w:sz w:val="32"/>
          <w:szCs w:val="32"/>
        </w:rPr>
        <w:t xml:space="preserve">Astuti, </w:t>
      </w:r>
      <w:proofErr w:type="spellStart"/>
      <w:r w:rsidRPr="00372FC7">
        <w:rPr>
          <w:rFonts w:asciiTheme="majorBidi" w:hAnsiTheme="majorBidi" w:cstheme="majorBidi"/>
          <w:b/>
          <w:bCs/>
          <w:sz w:val="32"/>
          <w:szCs w:val="32"/>
        </w:rPr>
        <w:t>Djati</w:t>
      </w:r>
      <w:proofErr w:type="spellEnd"/>
      <w:r w:rsidRPr="00372FC7">
        <w:rPr>
          <w:rFonts w:asciiTheme="majorBidi" w:hAnsiTheme="majorBidi" w:cstheme="majorBidi"/>
          <w:b/>
          <w:bCs/>
          <w:sz w:val="32"/>
          <w:szCs w:val="32"/>
        </w:rPr>
        <w:t xml:space="preserve"> &amp; </w:t>
      </w:r>
      <w:r w:rsidR="00DA7619" w:rsidRPr="00372FC7">
        <w:rPr>
          <w:rFonts w:asciiTheme="majorBidi" w:hAnsiTheme="majorBidi" w:cstheme="majorBidi"/>
          <w:b/>
          <w:bCs/>
          <w:sz w:val="32"/>
          <w:szCs w:val="32"/>
        </w:rPr>
        <w:t>Santosa, (</w:t>
      </w:r>
      <w:r w:rsidRPr="00372FC7">
        <w:rPr>
          <w:rFonts w:asciiTheme="majorBidi" w:hAnsiTheme="majorBidi" w:cstheme="majorBidi"/>
          <w:b/>
          <w:bCs/>
          <w:sz w:val="32"/>
          <w:szCs w:val="32"/>
        </w:rPr>
        <w:t>2023</w:t>
      </w:r>
      <w:r w:rsidRPr="00372FC7">
        <w:rPr>
          <w:rFonts w:asciiTheme="majorBidi" w:hAnsiTheme="majorBidi" w:cstheme="majorBidi"/>
          <w:b/>
          <w:bCs/>
          <w:sz w:val="32"/>
          <w:szCs w:val="32"/>
        </w:rPr>
        <w:t>)</w:t>
      </w:r>
    </w:p>
    <w:p w14:paraId="05D6C387" w14:textId="1E65C509" w:rsidR="00372FC7" w:rsidRPr="000D25F6" w:rsidRDefault="00372FC7" w:rsidP="00372FC7">
      <w:pPr>
        <w:bidi/>
        <w:spacing w:line="360" w:lineRule="auto"/>
        <w:rPr>
          <w:rFonts w:asciiTheme="majorBidi" w:hAnsiTheme="majorBidi" w:cstheme="majorBidi"/>
          <w:b/>
          <w:bCs/>
          <w:sz w:val="32"/>
          <w:szCs w:val="32"/>
          <w:rtl/>
        </w:rPr>
      </w:pPr>
      <w:r>
        <w:rPr>
          <w:rFonts w:asciiTheme="majorBidi" w:hAnsiTheme="majorBidi" w:cs="Times New Roman" w:hint="cs"/>
          <w:b/>
          <w:bCs/>
          <w:sz w:val="32"/>
          <w:szCs w:val="32"/>
          <w:rtl/>
          <w:lang w:bidi="ar-EG"/>
        </w:rPr>
        <w:t xml:space="preserve">بعنوان </w:t>
      </w:r>
      <w:r w:rsidRPr="00372FC7">
        <w:rPr>
          <w:rFonts w:asciiTheme="majorBidi" w:hAnsiTheme="majorBidi" w:cs="Times New Roman"/>
          <w:b/>
          <w:bCs/>
          <w:sz w:val="32"/>
          <w:szCs w:val="32"/>
          <w:rtl/>
        </w:rPr>
        <w:t>أثر القيادة المرنة والثقافة التنظيمية والقدرات الديناميكية على الرشاقة التنظيمية مع توسيط الابتكار.</w:t>
      </w:r>
    </w:p>
    <w:p w14:paraId="5E643E66" w14:textId="4144A90F" w:rsidR="006679E1" w:rsidRPr="000D25F6" w:rsidRDefault="006679E1" w:rsidP="00372FC7">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lastRenderedPageBreak/>
        <w:t>هدفت دراسة أجريت بواسطة أستوتي وزملاؤه</w:t>
      </w:r>
      <w:r w:rsidRPr="000D25F6">
        <w:rPr>
          <w:rFonts w:asciiTheme="majorBidi" w:hAnsiTheme="majorBidi" w:cstheme="majorBidi"/>
          <w:sz w:val="32"/>
          <w:szCs w:val="32"/>
        </w:rPr>
        <w:t xml:space="preserve"> </w:t>
      </w:r>
      <w:r w:rsidRPr="000D25F6">
        <w:rPr>
          <w:rFonts w:asciiTheme="majorBidi" w:hAnsiTheme="majorBidi" w:cstheme="majorBidi"/>
          <w:sz w:val="32"/>
          <w:szCs w:val="32"/>
          <w:rtl/>
        </w:rPr>
        <w:t>إلى تحليل تأثير القيادة المرنة، والثقافة التنظيمية، والقدرات الديناميكية على الرشاقة التنظيمية، مع الأخذ في الاعتبار دور الابتكار كمتغير وسيط</w:t>
      </w:r>
      <w:r w:rsidRPr="000D25F6">
        <w:rPr>
          <w:rFonts w:asciiTheme="majorBidi" w:hAnsiTheme="majorBidi" w:cstheme="majorBidi"/>
          <w:sz w:val="32"/>
          <w:szCs w:val="32"/>
        </w:rPr>
        <w:t>.</w:t>
      </w:r>
    </w:p>
    <w:p w14:paraId="1DC390AA" w14:textId="3533E054" w:rsidR="006679E1" w:rsidRDefault="006679E1" w:rsidP="00372FC7">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شملت الدراسة 365 قائدًا إداريًا في شركات صناعة السيارات بإندونيسيا، وطُبِّق عليها منهج التحليل الكمي باستخدام نموذج المعادلات الهيكلية</w:t>
      </w:r>
      <w:r w:rsidRPr="000D25F6">
        <w:rPr>
          <w:rFonts w:asciiTheme="majorBidi" w:hAnsiTheme="majorBidi" w:cstheme="majorBidi"/>
          <w:sz w:val="32"/>
          <w:szCs w:val="32"/>
        </w:rPr>
        <w:t>.</w:t>
      </w:r>
      <w:r w:rsidR="00372FC7">
        <w:rPr>
          <w:rFonts w:asciiTheme="majorBidi" w:hAnsiTheme="majorBidi" w:cstheme="majorBidi" w:hint="cs"/>
          <w:sz w:val="32"/>
          <w:szCs w:val="32"/>
          <w:rtl/>
        </w:rPr>
        <w:t xml:space="preserve"> </w:t>
      </w:r>
      <w:r w:rsidRPr="000D25F6">
        <w:rPr>
          <w:rFonts w:asciiTheme="majorBidi" w:hAnsiTheme="majorBidi" w:cstheme="majorBidi"/>
          <w:sz w:val="32"/>
          <w:szCs w:val="32"/>
          <w:rtl/>
        </w:rPr>
        <w:t>أظهرت النتائج أن للقيادة المرنة تأثيرًا إيجابيًا على الابتكار التنظيمي، كما أن الابتكار يسهم بدوره في تعزيز كل من الرشاقة التنظيمية والأداء التنظيمي.</w:t>
      </w:r>
    </w:p>
    <w:p w14:paraId="6DAD4F33" w14:textId="267B4AFD" w:rsidR="005E5B3F" w:rsidRDefault="005E5B3F" w:rsidP="005E5B3F">
      <w:pPr>
        <w:bidi/>
        <w:spacing w:line="360" w:lineRule="auto"/>
        <w:jc w:val="right"/>
        <w:rPr>
          <w:rFonts w:asciiTheme="majorBidi" w:hAnsiTheme="majorBidi" w:cstheme="majorBidi"/>
          <w:b/>
          <w:bCs/>
          <w:sz w:val="32"/>
          <w:szCs w:val="32"/>
        </w:rPr>
      </w:pPr>
      <w:r>
        <w:rPr>
          <w:rStyle w:val="aupe"/>
          <w:rFonts w:asciiTheme="majorBidi" w:hAnsiTheme="majorBidi" w:cstheme="majorBidi"/>
          <w:b/>
          <w:bCs/>
          <w:sz w:val="32"/>
          <w:szCs w:val="32"/>
        </w:rPr>
        <w:t xml:space="preserve">3. </w:t>
      </w:r>
      <w:r w:rsidRPr="000D25F6">
        <w:rPr>
          <w:rStyle w:val="aupe"/>
          <w:rFonts w:asciiTheme="majorBidi" w:hAnsiTheme="majorBidi" w:cstheme="majorBidi"/>
          <w:b/>
          <w:bCs/>
          <w:sz w:val="32"/>
          <w:szCs w:val="32"/>
        </w:rPr>
        <w:t xml:space="preserve">Bassey D. N., Uwa K.L., </w:t>
      </w:r>
      <w:proofErr w:type="spellStart"/>
      <w:r w:rsidRPr="000D25F6">
        <w:rPr>
          <w:rStyle w:val="aupe"/>
          <w:rFonts w:asciiTheme="majorBidi" w:hAnsiTheme="majorBidi" w:cstheme="majorBidi"/>
          <w:b/>
          <w:bCs/>
          <w:sz w:val="32"/>
          <w:szCs w:val="32"/>
        </w:rPr>
        <w:t>Okurebia</w:t>
      </w:r>
      <w:proofErr w:type="spellEnd"/>
      <w:r w:rsidRPr="000D25F6">
        <w:rPr>
          <w:rStyle w:val="aupe"/>
          <w:rFonts w:asciiTheme="majorBidi" w:hAnsiTheme="majorBidi" w:cstheme="majorBidi"/>
          <w:b/>
          <w:bCs/>
          <w:sz w:val="32"/>
          <w:szCs w:val="32"/>
        </w:rPr>
        <w:t xml:space="preserve"> S. (2023)</w:t>
      </w:r>
      <w:r w:rsidRPr="000D25F6">
        <w:rPr>
          <w:rFonts w:asciiTheme="majorBidi" w:hAnsiTheme="majorBidi" w:cstheme="majorBidi"/>
          <w:b/>
          <w:bCs/>
          <w:sz w:val="32"/>
          <w:szCs w:val="32"/>
        </w:rPr>
        <w:t xml:space="preserve"> </w:t>
      </w:r>
    </w:p>
    <w:p w14:paraId="52B1735B" w14:textId="379F4756" w:rsidR="00E00BDF" w:rsidRDefault="00E00BDF" w:rsidP="005E5B3F">
      <w:pPr>
        <w:bidi/>
        <w:spacing w:line="360" w:lineRule="auto"/>
        <w:jc w:val="both"/>
        <w:rPr>
          <w:rFonts w:asciiTheme="majorBidi" w:hAnsiTheme="majorBidi" w:cstheme="majorBidi"/>
          <w:b/>
          <w:bCs/>
          <w:sz w:val="32"/>
          <w:szCs w:val="32"/>
        </w:rPr>
      </w:pPr>
      <w:r w:rsidRPr="00E00BDF">
        <w:rPr>
          <w:rFonts w:asciiTheme="majorBidi" w:hAnsiTheme="majorBidi" w:cs="Times New Roman"/>
          <w:b/>
          <w:bCs/>
          <w:sz w:val="32"/>
          <w:szCs w:val="32"/>
          <w:rtl/>
        </w:rPr>
        <w:t>الرشاقة الاستراتيجية والأداء التنظيمي في شركات تصنيع مختارة في منطقة جنوب-جنوب نيجيريا.</w:t>
      </w:r>
    </w:p>
    <w:p w14:paraId="285F676F" w14:textId="1A4B3809" w:rsidR="005E5B3F" w:rsidRDefault="005E5B3F" w:rsidP="00E00BD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ركزت هذه الورقة البحثية على دراسة تأثير المرونة الاستراتيجية على الأداء التنظيمي في عينة من شركات التصنيع بجنوب نيجيريا. وكان الهدف الأساسي للدراسة هو فحص أثر المرونة الاستراتيجية على الأداء التنظيمي في هذه الشركات، وقد صيغت أسئلة البحث وفرضياته لتحقيق هذا الهدف. اعتمدت الدراسة على المنهج المسحي، حيث اختيرت عينة مكونة من 177 مستجيبًا من إجمالي مجتمع الدراسة البالغ 319 مستجيبًا. وكانت الأداة الرئيسية لجمع البيانات استبيانًا مُهيكلاً، تم توزيعه على المستجيبين باستخدام صيغة باولي للتمثيل النسبي من مجتمع الدراسة. وحُللت البيانات باستخدام النسبة المئوية البسيطة وتحليل الانحدار الخطي البسيط. أظهرت النتائج أن بُعدي المرونة الاستراتيجية، وهما القيادة الاستراتيجية والمرونة التنظيمية، لهما تأثير إحصائي ملحوظ على الأداء التنظيمي؛ حيث بلغت قيمة معامل التحديد </w:t>
      </w:r>
      <w:r w:rsidRPr="000D25F6">
        <w:rPr>
          <w:rFonts w:asciiTheme="majorBidi" w:hAnsiTheme="majorBidi" w:cstheme="majorBidi"/>
          <w:sz w:val="32"/>
          <w:szCs w:val="32"/>
        </w:rPr>
        <w:t>(X²) 666</w:t>
      </w:r>
      <w:r w:rsidRPr="000D25F6">
        <w:rPr>
          <w:rFonts w:asciiTheme="majorBidi" w:hAnsiTheme="majorBidi" w:cstheme="majorBidi"/>
          <w:sz w:val="32"/>
          <w:szCs w:val="32"/>
          <w:rtl/>
        </w:rPr>
        <w:t xml:space="preserve"> وقيمة مربع كاي 763 عند مستوى دلالة 0.05. وبناءً على نتائج التحليل، خلصت الدراسة إلى أن بُعدي المرونة الاستراتيجية (الحساسية الاستراتيجية والكفاءة الأساسية) يمثلان جانبين متكاملين يؤثران على الأداء التنظيمي. بناءً على ذلك، يوصى بتمكين كل منظمة بأبعاد المرونة الاستراتيجية لمساعدتها على التنقل بنجاح في بيئة الأعمال المعقدة والمتغيرة باستمرار.</w:t>
      </w:r>
    </w:p>
    <w:p w14:paraId="404D5CB7" w14:textId="277C4E0E" w:rsidR="00E00BDF" w:rsidRPr="004E054F" w:rsidRDefault="004E054F" w:rsidP="00E00BDF">
      <w:pPr>
        <w:spacing w:line="360" w:lineRule="auto"/>
        <w:jc w:val="both"/>
        <w:rPr>
          <w:rFonts w:asciiTheme="majorBidi" w:hAnsiTheme="majorBidi" w:cstheme="majorBidi"/>
          <w:b/>
          <w:bCs/>
          <w:sz w:val="32"/>
          <w:szCs w:val="32"/>
        </w:rPr>
      </w:pPr>
      <w:r>
        <w:rPr>
          <w:rFonts w:asciiTheme="majorBidi" w:hAnsiTheme="majorBidi" w:cstheme="majorBidi"/>
          <w:b/>
          <w:bCs/>
          <w:sz w:val="32"/>
          <w:szCs w:val="32"/>
        </w:rPr>
        <w:lastRenderedPageBreak/>
        <w:t>4</w:t>
      </w:r>
      <w:r w:rsidRPr="004E054F">
        <w:rPr>
          <w:rFonts w:asciiTheme="majorBidi" w:hAnsiTheme="majorBidi" w:cstheme="majorBidi"/>
          <w:b/>
          <w:bCs/>
          <w:sz w:val="32"/>
          <w:szCs w:val="32"/>
        </w:rPr>
        <w:t xml:space="preserve">. </w:t>
      </w:r>
      <w:proofErr w:type="spellStart"/>
      <w:r w:rsidR="00E00BDF" w:rsidRPr="004E054F">
        <w:rPr>
          <w:rFonts w:asciiTheme="majorBidi" w:hAnsiTheme="majorBidi" w:cstheme="majorBidi"/>
          <w:b/>
          <w:bCs/>
          <w:sz w:val="32"/>
          <w:szCs w:val="32"/>
        </w:rPr>
        <w:t>Ashkevari</w:t>
      </w:r>
      <w:proofErr w:type="spellEnd"/>
      <w:r w:rsidR="00DA7619">
        <w:rPr>
          <w:rFonts w:asciiTheme="majorBidi" w:hAnsiTheme="majorBidi" w:cstheme="majorBidi"/>
          <w:b/>
          <w:bCs/>
          <w:sz w:val="32"/>
          <w:szCs w:val="32"/>
        </w:rPr>
        <w:t>,</w:t>
      </w:r>
      <w:r w:rsidR="00E00BDF" w:rsidRPr="004E054F">
        <w:rPr>
          <w:rFonts w:asciiTheme="majorBidi" w:hAnsiTheme="majorBidi" w:cstheme="majorBidi"/>
          <w:b/>
          <w:bCs/>
          <w:sz w:val="32"/>
          <w:szCs w:val="32"/>
        </w:rPr>
        <w:t xml:space="preserve"> (2024)</w:t>
      </w:r>
    </w:p>
    <w:p w14:paraId="72EAAAFA" w14:textId="65AE72A9" w:rsidR="00E00BDF" w:rsidRPr="004E054F" w:rsidRDefault="004E054F" w:rsidP="004E054F">
      <w:pPr>
        <w:bidi/>
        <w:spacing w:line="360" w:lineRule="auto"/>
        <w:rPr>
          <w:rFonts w:asciiTheme="majorBidi" w:hAnsiTheme="majorBidi" w:cstheme="majorBidi"/>
          <w:b/>
          <w:bCs/>
          <w:sz w:val="32"/>
          <w:szCs w:val="32"/>
          <w:rtl/>
        </w:rPr>
      </w:pPr>
      <w:r w:rsidRPr="004E054F">
        <w:rPr>
          <w:rFonts w:asciiTheme="majorBidi" w:hAnsiTheme="majorBidi" w:cs="Times New Roman"/>
          <w:b/>
          <w:bCs/>
          <w:sz w:val="32"/>
          <w:szCs w:val="32"/>
          <w:rtl/>
        </w:rPr>
        <w:t>دراسة أثر القيادة الاستراتيجية على الأداء التنظيمي مع الأخذ في الاعتبار الدور الوسيط للابتكار التنظيمي.</w:t>
      </w:r>
    </w:p>
    <w:p w14:paraId="11FF8DD0" w14:textId="395F4D04" w:rsidR="005E5B3F" w:rsidRDefault="00E00BDF" w:rsidP="004E195D">
      <w:pPr>
        <w:bidi/>
        <w:spacing w:line="360" w:lineRule="auto"/>
        <w:rPr>
          <w:rFonts w:asciiTheme="majorBidi" w:hAnsiTheme="majorBidi" w:cstheme="majorBidi"/>
          <w:sz w:val="32"/>
          <w:szCs w:val="32"/>
        </w:rPr>
      </w:pPr>
      <w:r w:rsidRPr="000D25F6">
        <w:rPr>
          <w:rFonts w:asciiTheme="majorBidi" w:hAnsiTheme="majorBidi" w:cstheme="majorBidi"/>
          <w:sz w:val="32"/>
          <w:szCs w:val="32"/>
          <w:rtl/>
        </w:rPr>
        <w:t>هدفت الدراسة إلى فحص تأثير القيادة الاستراتيجية على الأداء التنظيمي، مع أخذ الابتكار التنظيمي كمتغير وسيط. تم تطبيق الدراسة على 190 مديرًا في شركة إيران خودرو الصناعية، واستُخدم تحليل نمذجة المعادلات الهيكلية باستخدام المربعات الصغرى الجزئية (</w:t>
      </w:r>
      <w:r w:rsidRPr="000D25F6">
        <w:rPr>
          <w:rFonts w:asciiTheme="majorBidi" w:hAnsiTheme="majorBidi" w:cstheme="majorBidi"/>
          <w:sz w:val="32"/>
          <w:szCs w:val="32"/>
        </w:rPr>
        <w:t>SEM-PLS</w:t>
      </w:r>
      <w:r w:rsidRPr="000D25F6">
        <w:rPr>
          <w:rFonts w:asciiTheme="majorBidi" w:hAnsiTheme="majorBidi" w:cstheme="majorBidi"/>
          <w:sz w:val="32"/>
          <w:szCs w:val="32"/>
          <w:rtl/>
        </w:rPr>
        <w:t>). وأظهرت النتائج ما يلي: أولاً، يوجد تأثير إيجابي ومباشر للقيادة الاستراتيجية على الابتكار التنظيمي. ثانيًا، يؤثر الابتكار التنظيمي تأثيرًا إيجابيًا في الأداء التنظيمي. ثالثًا، يؤدي الابتكار دور الوسيط في العلاقة بين القيادة والأداء.</w:t>
      </w:r>
    </w:p>
    <w:p w14:paraId="142EAB38" w14:textId="1B0DB392" w:rsidR="004E054F" w:rsidRPr="000D25F6" w:rsidRDefault="004E054F" w:rsidP="004E054F">
      <w:pPr>
        <w:bidi/>
        <w:spacing w:line="360" w:lineRule="auto"/>
        <w:jc w:val="right"/>
        <w:rPr>
          <w:rFonts w:asciiTheme="majorBidi" w:hAnsiTheme="majorBidi" w:cstheme="majorBidi"/>
          <w:sz w:val="32"/>
          <w:szCs w:val="32"/>
        </w:rPr>
      </w:pPr>
      <w:r w:rsidRPr="00833CC7">
        <w:rPr>
          <w:rFonts w:asciiTheme="majorBidi" w:hAnsiTheme="majorBidi" w:cstheme="majorBidi"/>
          <w:b/>
          <w:bCs/>
          <w:sz w:val="32"/>
          <w:szCs w:val="32"/>
        </w:rPr>
        <w:t>5</w:t>
      </w:r>
      <w:r>
        <w:rPr>
          <w:rFonts w:asciiTheme="majorBidi" w:hAnsiTheme="majorBidi" w:cstheme="majorBidi"/>
          <w:sz w:val="32"/>
          <w:szCs w:val="32"/>
        </w:rPr>
        <w:t xml:space="preserve">. </w:t>
      </w:r>
      <w:r w:rsidRPr="000D25F6">
        <w:rPr>
          <w:rFonts w:asciiTheme="majorBidi" w:hAnsiTheme="majorBidi" w:cstheme="majorBidi"/>
          <w:b/>
          <w:bCs/>
          <w:sz w:val="32"/>
          <w:szCs w:val="32"/>
        </w:rPr>
        <w:t xml:space="preserve">Porkodi, </w:t>
      </w:r>
      <w:r w:rsidR="00DA7619">
        <w:rPr>
          <w:rFonts w:asciiTheme="majorBidi" w:hAnsiTheme="majorBidi" w:cstheme="majorBidi"/>
          <w:b/>
          <w:bCs/>
          <w:sz w:val="32"/>
          <w:szCs w:val="32"/>
        </w:rPr>
        <w:t>(</w:t>
      </w:r>
      <w:r w:rsidRPr="000D25F6">
        <w:rPr>
          <w:rFonts w:asciiTheme="majorBidi" w:hAnsiTheme="majorBidi" w:cstheme="majorBidi"/>
          <w:b/>
          <w:bCs/>
          <w:sz w:val="32"/>
          <w:szCs w:val="32"/>
        </w:rPr>
        <w:t>2024</w:t>
      </w:r>
      <w:r w:rsidR="00DA7619">
        <w:rPr>
          <w:rFonts w:asciiTheme="majorBidi" w:hAnsiTheme="majorBidi" w:cstheme="majorBidi"/>
          <w:b/>
          <w:bCs/>
          <w:sz w:val="32"/>
          <w:szCs w:val="32"/>
        </w:rPr>
        <w:t>)</w:t>
      </w:r>
    </w:p>
    <w:p w14:paraId="5D6B2CA1" w14:textId="77777777" w:rsidR="004E054F" w:rsidRPr="000D25F6" w:rsidRDefault="004E054F" w:rsidP="004E054F">
      <w:pPr>
        <w:bidi/>
        <w:spacing w:line="360" w:lineRule="auto"/>
        <w:jc w:val="both"/>
        <w:rPr>
          <w:rFonts w:asciiTheme="majorBidi" w:hAnsiTheme="majorBidi" w:cstheme="majorBidi"/>
          <w:sz w:val="32"/>
          <w:szCs w:val="32"/>
          <w:rtl/>
        </w:rPr>
      </w:pPr>
      <w:r w:rsidRPr="004E054F">
        <w:rPr>
          <w:rFonts w:asciiTheme="majorBidi" w:hAnsiTheme="majorBidi" w:cstheme="majorBidi"/>
          <w:sz w:val="32"/>
          <w:szCs w:val="32"/>
          <w:rtl/>
        </w:rPr>
        <w:t>هدفت</w:t>
      </w:r>
      <w:r w:rsidRPr="000D25F6">
        <w:rPr>
          <w:rFonts w:asciiTheme="majorBidi" w:hAnsiTheme="majorBidi" w:cstheme="majorBidi"/>
          <w:b/>
          <w:bCs/>
          <w:sz w:val="32"/>
          <w:szCs w:val="32"/>
          <w:rtl/>
        </w:rPr>
        <w:t xml:space="preserve"> دراسة </w:t>
      </w:r>
      <w:r w:rsidRPr="004E054F">
        <w:rPr>
          <w:rFonts w:asciiTheme="majorBidi" w:hAnsiTheme="majorBidi" w:cs="Times New Roman"/>
          <w:b/>
          <w:bCs/>
          <w:sz w:val="32"/>
          <w:szCs w:val="32"/>
          <w:rtl/>
        </w:rPr>
        <w:t xml:space="preserve">فاعلية القيادة المرنة في التطبيق: تحليل تلوي شامل للدراسات التجريبية حول نتائج المنظمات </w:t>
      </w:r>
      <w:r w:rsidRPr="000D25F6">
        <w:rPr>
          <w:rFonts w:asciiTheme="majorBidi" w:hAnsiTheme="majorBidi" w:cstheme="majorBidi"/>
          <w:b/>
          <w:bCs/>
          <w:sz w:val="32"/>
          <w:szCs w:val="32"/>
          <w:rtl/>
        </w:rPr>
        <w:t>،</w:t>
      </w:r>
      <w:r w:rsidRPr="000D25F6">
        <w:rPr>
          <w:rFonts w:asciiTheme="majorBidi" w:hAnsiTheme="majorBidi" w:cstheme="majorBidi"/>
          <w:sz w:val="32"/>
          <w:szCs w:val="32"/>
          <w:rtl/>
        </w:rPr>
        <w:t xml:space="preserve"> إلى تحليل نتائج الدراسات السابقة المتعلقة بتأثير القيادة المرنة على نتائج المنظمات. اعتمدت الدراسة على منهج التحليل البعدي (</w:t>
      </w:r>
      <w:r w:rsidRPr="000D25F6">
        <w:rPr>
          <w:rFonts w:asciiTheme="majorBidi" w:hAnsiTheme="majorBidi" w:cstheme="majorBidi"/>
          <w:sz w:val="32"/>
          <w:szCs w:val="32"/>
        </w:rPr>
        <w:t>Meta-Analysis</w:t>
      </w:r>
      <w:r w:rsidRPr="000D25F6">
        <w:rPr>
          <w:rFonts w:asciiTheme="majorBidi" w:hAnsiTheme="majorBidi" w:cstheme="majorBidi"/>
          <w:sz w:val="32"/>
          <w:szCs w:val="32"/>
          <w:rtl/>
        </w:rPr>
        <w:t>) لعدد كبير من الدراسات التجريبية. وأظهرت النتائج أن القيادة المرنة تؤثر إيجابًا في عدد من مخرجات الأداء التنظيمي، وتشمل: الابتكار التنظيمي، وأداء العاملين، وفعالية الفرق، والقدرة التنافسية للمنظمات.</w:t>
      </w:r>
    </w:p>
    <w:p w14:paraId="327CC41D" w14:textId="24C50211" w:rsidR="004E054F" w:rsidRDefault="00833CC7" w:rsidP="004E054F">
      <w:pPr>
        <w:shd w:val="clear" w:color="auto" w:fill="FFFFFF"/>
        <w:spacing w:after="0" w:line="360" w:lineRule="auto"/>
        <w:jc w:val="both"/>
        <w:outlineLvl w:val="0"/>
        <w:rPr>
          <w:rFonts w:asciiTheme="majorBidi" w:hAnsiTheme="majorBidi" w:cstheme="majorBidi"/>
          <w:b/>
          <w:bCs/>
          <w:sz w:val="32"/>
          <w:szCs w:val="32"/>
          <w:shd w:val="clear" w:color="auto" w:fill="FFFFFF"/>
        </w:rPr>
      </w:pPr>
      <w:r>
        <w:rPr>
          <w:rFonts w:asciiTheme="majorBidi" w:hAnsiTheme="majorBidi" w:cstheme="majorBidi"/>
          <w:b/>
          <w:bCs/>
          <w:sz w:val="32"/>
          <w:szCs w:val="32"/>
          <w:shd w:val="clear" w:color="auto" w:fill="FFFFFF"/>
        </w:rPr>
        <w:t xml:space="preserve">6. </w:t>
      </w:r>
      <w:r w:rsidR="004E054F" w:rsidRPr="000D25F6">
        <w:rPr>
          <w:rFonts w:asciiTheme="majorBidi" w:hAnsiTheme="majorBidi" w:cstheme="majorBidi"/>
          <w:b/>
          <w:bCs/>
          <w:sz w:val="32"/>
          <w:szCs w:val="32"/>
          <w:shd w:val="clear" w:color="auto" w:fill="FFFFFF"/>
        </w:rPr>
        <w:t>Bhat,</w:t>
      </w:r>
      <w:r>
        <w:rPr>
          <w:rFonts w:asciiTheme="majorBidi" w:hAnsiTheme="majorBidi" w:cstheme="majorBidi"/>
          <w:b/>
          <w:bCs/>
          <w:sz w:val="32"/>
          <w:szCs w:val="32"/>
          <w:shd w:val="clear" w:color="auto" w:fill="FFFFFF"/>
        </w:rPr>
        <w:t xml:space="preserve"> (</w:t>
      </w:r>
      <w:r w:rsidR="004E054F" w:rsidRPr="000D25F6">
        <w:rPr>
          <w:rFonts w:asciiTheme="majorBidi" w:hAnsiTheme="majorBidi" w:cstheme="majorBidi"/>
          <w:b/>
          <w:bCs/>
          <w:sz w:val="32"/>
          <w:szCs w:val="32"/>
          <w:shd w:val="clear" w:color="auto" w:fill="FFFFFF"/>
          <w:rtl/>
        </w:rPr>
        <w:t>2025</w:t>
      </w:r>
      <w:r w:rsidR="004E054F" w:rsidRPr="000D25F6">
        <w:rPr>
          <w:rFonts w:asciiTheme="majorBidi" w:hAnsiTheme="majorBidi" w:cstheme="majorBidi"/>
          <w:b/>
          <w:bCs/>
          <w:sz w:val="32"/>
          <w:szCs w:val="32"/>
          <w:shd w:val="clear" w:color="auto" w:fill="FFFFFF"/>
        </w:rPr>
        <w:t>)</w:t>
      </w:r>
      <w:r w:rsidR="004E054F" w:rsidRPr="000D25F6">
        <w:rPr>
          <w:rFonts w:asciiTheme="majorBidi" w:hAnsiTheme="majorBidi" w:cstheme="majorBidi"/>
          <w:b/>
          <w:bCs/>
          <w:sz w:val="32"/>
          <w:szCs w:val="32"/>
          <w:shd w:val="clear" w:color="auto" w:fill="FFFFFF"/>
          <w:rtl/>
        </w:rPr>
        <w:t xml:space="preserve"> </w:t>
      </w:r>
    </w:p>
    <w:p w14:paraId="7437201F" w14:textId="593FDDBF" w:rsidR="00DA7619" w:rsidRDefault="00DA7619" w:rsidP="004E054F">
      <w:pPr>
        <w:bidi/>
        <w:spacing w:line="360" w:lineRule="auto"/>
        <w:jc w:val="both"/>
        <w:rPr>
          <w:rFonts w:asciiTheme="majorBidi" w:hAnsiTheme="majorBidi" w:cstheme="majorBidi"/>
          <w:b/>
          <w:bCs/>
          <w:sz w:val="32"/>
          <w:szCs w:val="32"/>
          <w:shd w:val="clear" w:color="auto" w:fill="FFFFFF"/>
        </w:rPr>
      </w:pPr>
      <w:r>
        <w:rPr>
          <w:rFonts w:asciiTheme="majorBidi" w:hAnsiTheme="majorBidi" w:cs="Times New Roman"/>
          <w:b/>
          <w:bCs/>
          <w:sz w:val="32"/>
          <w:szCs w:val="32"/>
          <w:shd w:val="clear" w:color="auto" w:fill="FFFFFF"/>
        </w:rPr>
        <w:t xml:space="preserve"> </w:t>
      </w:r>
      <w:r>
        <w:rPr>
          <w:rFonts w:asciiTheme="majorBidi" w:hAnsiTheme="majorBidi" w:cs="Times New Roman" w:hint="cs"/>
          <w:b/>
          <w:bCs/>
          <w:sz w:val="32"/>
          <w:szCs w:val="32"/>
          <w:shd w:val="clear" w:color="auto" w:fill="FFFFFF"/>
          <w:rtl/>
          <w:lang w:bidi="ar-EG"/>
        </w:rPr>
        <w:t xml:space="preserve">دراسة بعنوان: </w:t>
      </w:r>
      <w:r w:rsidRPr="00DA7619">
        <w:rPr>
          <w:rFonts w:asciiTheme="majorBidi" w:hAnsiTheme="majorBidi" w:cs="Times New Roman"/>
          <w:b/>
          <w:bCs/>
          <w:sz w:val="32"/>
          <w:szCs w:val="32"/>
          <w:shd w:val="clear" w:color="auto" w:fill="FFFFFF"/>
          <w:rtl/>
        </w:rPr>
        <w:t>القيادة الاستراتيجية وأداء الابتكار: دراسة دور الرشاقة التنظيمية.</w:t>
      </w:r>
    </w:p>
    <w:p w14:paraId="49D7C1C9" w14:textId="2F4DC917" w:rsidR="00E438AE" w:rsidRDefault="004E054F" w:rsidP="00833CC7">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 xml:space="preserve">في بيئة الأعمال الديناميكية الحالية، تُعدّ القيادة الاستراتيجية والمرونة التنظيمية عاملين حاسمين لأداء الابتكار. تبحث هذه الدراسة في التفاعل بين استراتيجيات القيادة وممارسات المرونة، وتأثيرهما المشترك على تعزيز الابتكار داخل المؤسسات. لجمع البيانات، استُخدمت منهجية بحثية متكاملة شملت 120 شركة متوسطة وكبيرة الحجم في الأسواق الناشئة، بالإضافة إلى مقابلات معمقة مع 15 من كبار القادة. تُشير النتائج إلى أن ممارسات القيادة المرنة تُحسّن أداء </w:t>
      </w:r>
      <w:r w:rsidRPr="000D25F6">
        <w:rPr>
          <w:rFonts w:asciiTheme="majorBidi" w:hAnsiTheme="majorBidi" w:cstheme="majorBidi"/>
          <w:sz w:val="32"/>
          <w:szCs w:val="32"/>
          <w:rtl/>
        </w:rPr>
        <w:lastRenderedPageBreak/>
        <w:t>الابتكار بشكل ملحوظ عبر تعزيز المرونة التنظيمية، وسرعة اتخاذ القرارات، وثقافة التجريب. وتُؤكد الدراسة على أهمية دمج القيادة الاستراتيجية مع المرونة التنظيمية للحفاظ على الميزة التنافسية في الأسواق سريعة التطور.</w:t>
      </w:r>
    </w:p>
    <w:p w14:paraId="32A83141" w14:textId="106D6A98" w:rsidR="00372FC7" w:rsidRPr="00372FC7" w:rsidRDefault="00833CC7" w:rsidP="00372FC7">
      <w:pPr>
        <w:bidi/>
        <w:spacing w:line="360" w:lineRule="auto"/>
        <w:jc w:val="right"/>
        <w:rPr>
          <w:rFonts w:asciiTheme="majorBidi" w:hAnsiTheme="majorBidi" w:cstheme="majorBidi"/>
          <w:b/>
          <w:bCs/>
          <w:sz w:val="32"/>
          <w:szCs w:val="32"/>
          <w:rtl/>
        </w:rPr>
      </w:pPr>
      <w:r>
        <w:rPr>
          <w:rFonts w:asciiTheme="majorBidi" w:hAnsiTheme="majorBidi" w:cstheme="majorBidi"/>
          <w:b/>
          <w:bCs/>
          <w:sz w:val="32"/>
          <w:szCs w:val="32"/>
        </w:rPr>
        <w:t>7</w:t>
      </w:r>
      <w:r w:rsidR="00372FC7" w:rsidRPr="00372FC7">
        <w:rPr>
          <w:rFonts w:asciiTheme="majorBidi" w:hAnsiTheme="majorBidi" w:cstheme="majorBidi"/>
          <w:b/>
          <w:bCs/>
          <w:sz w:val="32"/>
          <w:szCs w:val="32"/>
        </w:rPr>
        <w:t xml:space="preserve">. </w:t>
      </w:r>
      <w:r w:rsidR="00372FC7" w:rsidRPr="00372FC7">
        <w:rPr>
          <w:rFonts w:asciiTheme="majorBidi" w:hAnsiTheme="majorBidi" w:cstheme="majorBidi"/>
          <w:b/>
          <w:bCs/>
          <w:sz w:val="32"/>
          <w:szCs w:val="32"/>
        </w:rPr>
        <w:t>Husein et al</w:t>
      </w:r>
      <w:r w:rsidR="00372FC7" w:rsidRPr="00372FC7">
        <w:rPr>
          <w:rFonts w:asciiTheme="majorBidi" w:hAnsiTheme="majorBidi" w:cstheme="majorBidi"/>
          <w:b/>
          <w:bCs/>
          <w:sz w:val="32"/>
          <w:szCs w:val="32"/>
        </w:rPr>
        <w:t xml:space="preserve">., </w:t>
      </w:r>
      <w:r>
        <w:rPr>
          <w:rFonts w:asciiTheme="majorBidi" w:hAnsiTheme="majorBidi" w:cstheme="majorBidi"/>
          <w:b/>
          <w:bCs/>
          <w:sz w:val="32"/>
          <w:szCs w:val="32"/>
        </w:rPr>
        <w:t>(</w:t>
      </w:r>
      <w:r w:rsidR="00372FC7" w:rsidRPr="00372FC7">
        <w:rPr>
          <w:rFonts w:asciiTheme="majorBidi" w:hAnsiTheme="majorBidi" w:cstheme="majorBidi"/>
          <w:b/>
          <w:bCs/>
          <w:sz w:val="32"/>
          <w:szCs w:val="32"/>
        </w:rPr>
        <w:t>2025</w:t>
      </w:r>
      <w:r>
        <w:rPr>
          <w:rFonts w:asciiTheme="majorBidi" w:hAnsiTheme="majorBidi" w:cstheme="majorBidi"/>
          <w:b/>
          <w:bCs/>
          <w:sz w:val="32"/>
          <w:szCs w:val="32"/>
        </w:rPr>
        <w:t>)</w:t>
      </w:r>
    </w:p>
    <w:p w14:paraId="3E3C5EE0" w14:textId="783D1836" w:rsidR="00254574" w:rsidRDefault="00E438AE" w:rsidP="00372FC7">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هدفت دراسة</w:t>
      </w:r>
      <w:r w:rsidRPr="000D25F6">
        <w:rPr>
          <w:rFonts w:asciiTheme="majorBidi" w:hAnsiTheme="majorBidi" w:cstheme="majorBidi"/>
          <w:b/>
          <w:bCs/>
          <w:sz w:val="32"/>
          <w:szCs w:val="32"/>
        </w:rPr>
        <w:t xml:space="preserve"> </w:t>
      </w:r>
      <w:r w:rsidRPr="000D25F6">
        <w:rPr>
          <w:rFonts w:asciiTheme="majorBidi" w:hAnsiTheme="majorBidi" w:cstheme="majorBidi"/>
          <w:b/>
          <w:bCs/>
          <w:sz w:val="32"/>
          <w:szCs w:val="32"/>
          <w:rtl/>
        </w:rPr>
        <w:t>بعنوان: "تأثير القيادة المرئة والتعلم التنظيمي ورأس المال الاجتماعي على الميزة التنافسية الدور الوسيط للأداء التنظيمي المستدام"</w:t>
      </w:r>
      <w:r w:rsidRPr="000D25F6">
        <w:rPr>
          <w:rFonts w:asciiTheme="majorBidi" w:hAnsiTheme="majorBidi" w:cstheme="majorBidi"/>
          <w:sz w:val="32"/>
          <w:szCs w:val="32"/>
          <w:rtl/>
        </w:rPr>
        <w:t xml:space="preserve"> إلى الكشف عن تأثير القيادة المرنة والتعلم التنظيمي ورأس المال الاجتماعي على تحسين الأداء التنظيمي المستدام وتحقيق الميزة التنافسية في المدارس الابتدائية الخاصة، وقد اشتملت عينة الدراسة على (</w:t>
      </w:r>
      <w:r w:rsidRPr="000D25F6">
        <w:rPr>
          <w:rFonts w:asciiTheme="majorBidi" w:hAnsiTheme="majorBidi" w:cstheme="majorBidi"/>
          <w:sz w:val="32"/>
          <w:szCs w:val="32"/>
          <w:rtl/>
          <w:lang w:bidi="fa-IR"/>
        </w:rPr>
        <w:t xml:space="preserve">۲۱۱) </w:t>
      </w:r>
      <w:r w:rsidRPr="000D25F6">
        <w:rPr>
          <w:rFonts w:asciiTheme="majorBidi" w:hAnsiTheme="majorBidi" w:cstheme="majorBidi"/>
          <w:sz w:val="32"/>
          <w:szCs w:val="32"/>
          <w:rtl/>
        </w:rPr>
        <w:t>من مديري المدارس الخاصة في اندونيسيا، وقد تبنت الدراسة المنهج المختلط بشقيه الكمي والنوعي، كما استعانت بالاستبانة والمقابلات كأداة للدراسة، وقد توصلت هذه الدراسة إلى العديد من النتائج من أهمها: وجود تأثير إيجابي للقيادة المرنة والتعلم التنظيمي ورأس المال الاجتماعي على الأداء التنظيمي والميزة التنافسية في مؤسسات التعليم، حيث تعزز القيادة المرنة من توفير بيئة تعليمية داعمة، وبناء علاقات تعاونية لدعم البرامج المدرسية، وبناء شراكات مع مختلف الجهات المعنية، والمراقبة المنتظمة لأداء المعلمين وتعزيز كفاءاتهم عبر التدريب المستمر مما يعزز من مستويات الأداء التنظيمي، وأوصت الدراسة بالعديد من التوصيات أهمها يجب اجراء المزيد من الدراسات المستقبلية التي تهدف إلى البحث عن المزيد من العوامل التي تعزز من الأداء</w:t>
      </w:r>
      <w:r w:rsidR="00950472" w:rsidRPr="000D25F6">
        <w:rPr>
          <w:rFonts w:asciiTheme="majorBidi" w:hAnsiTheme="majorBidi" w:cstheme="majorBidi"/>
          <w:sz w:val="32"/>
          <w:szCs w:val="32"/>
          <w:rtl/>
        </w:rPr>
        <w:t xml:space="preserve"> </w:t>
      </w:r>
      <w:r w:rsidRPr="000D25F6">
        <w:rPr>
          <w:rFonts w:asciiTheme="majorBidi" w:hAnsiTheme="majorBidi" w:cstheme="majorBidi"/>
          <w:sz w:val="32"/>
          <w:szCs w:val="32"/>
          <w:rtl/>
        </w:rPr>
        <w:t>التنظيمي في المؤسسات التعليمية، والعمل على تحسين مستويات الإدارة لدى القيادات التعليمية لتحقيق الميزة التنافسية.</w:t>
      </w:r>
    </w:p>
    <w:p w14:paraId="3AB506E3" w14:textId="4C8D0765" w:rsidR="004E054F" w:rsidRDefault="00833CC7" w:rsidP="004E054F">
      <w:pPr>
        <w:bidi/>
        <w:spacing w:line="360" w:lineRule="auto"/>
        <w:jc w:val="right"/>
        <w:rPr>
          <w:rFonts w:asciiTheme="majorBidi" w:hAnsiTheme="majorBidi" w:cstheme="majorBidi"/>
          <w:b/>
          <w:bCs/>
          <w:sz w:val="32"/>
          <w:szCs w:val="32"/>
          <w:lang w:bidi="ar-EG"/>
        </w:rPr>
      </w:pPr>
      <w:r>
        <w:rPr>
          <w:rFonts w:asciiTheme="majorBidi" w:hAnsiTheme="majorBidi" w:cstheme="majorBidi"/>
          <w:b/>
          <w:bCs/>
          <w:sz w:val="32"/>
          <w:szCs w:val="32"/>
          <w:lang w:bidi="ar-EG"/>
        </w:rPr>
        <w:t xml:space="preserve">8. </w:t>
      </w:r>
      <w:r w:rsidR="004E054F" w:rsidRPr="000D25F6">
        <w:rPr>
          <w:rFonts w:asciiTheme="majorBidi" w:hAnsiTheme="majorBidi" w:cstheme="majorBidi"/>
          <w:b/>
          <w:bCs/>
          <w:sz w:val="32"/>
          <w:szCs w:val="32"/>
          <w:lang w:bidi="ar-EG"/>
        </w:rPr>
        <w:t xml:space="preserve">Musa, </w:t>
      </w:r>
      <w:r>
        <w:rPr>
          <w:rFonts w:asciiTheme="majorBidi" w:hAnsiTheme="majorBidi" w:cstheme="majorBidi"/>
          <w:b/>
          <w:bCs/>
          <w:sz w:val="32"/>
          <w:szCs w:val="32"/>
          <w:lang w:bidi="ar-EG"/>
        </w:rPr>
        <w:t>(</w:t>
      </w:r>
      <w:r w:rsidR="004E054F" w:rsidRPr="000D25F6">
        <w:rPr>
          <w:rFonts w:asciiTheme="majorBidi" w:hAnsiTheme="majorBidi" w:cstheme="majorBidi"/>
          <w:b/>
          <w:bCs/>
          <w:sz w:val="32"/>
          <w:szCs w:val="32"/>
          <w:lang w:bidi="ar-EG"/>
        </w:rPr>
        <w:t>2025</w:t>
      </w:r>
      <w:r>
        <w:rPr>
          <w:rFonts w:asciiTheme="majorBidi" w:hAnsiTheme="majorBidi" w:cstheme="majorBidi"/>
          <w:b/>
          <w:bCs/>
          <w:sz w:val="32"/>
          <w:szCs w:val="32"/>
          <w:lang w:bidi="ar-EG"/>
        </w:rPr>
        <w:t>)</w:t>
      </w:r>
    </w:p>
    <w:p w14:paraId="398D289D" w14:textId="2FB935E9" w:rsidR="00833CC7" w:rsidRDefault="00833CC7" w:rsidP="004E054F">
      <w:pPr>
        <w:bidi/>
        <w:spacing w:line="360" w:lineRule="auto"/>
        <w:jc w:val="both"/>
        <w:rPr>
          <w:rFonts w:asciiTheme="majorBidi" w:hAnsiTheme="majorBidi" w:cstheme="majorBidi"/>
          <w:b/>
          <w:bCs/>
          <w:sz w:val="32"/>
          <w:szCs w:val="32"/>
          <w:lang w:bidi="ar-EG"/>
        </w:rPr>
      </w:pPr>
      <w:r>
        <w:rPr>
          <w:rFonts w:asciiTheme="majorBidi" w:hAnsiTheme="majorBidi" w:cs="Times New Roman"/>
          <w:b/>
          <w:bCs/>
          <w:sz w:val="32"/>
          <w:szCs w:val="32"/>
          <w:lang w:bidi="ar-EG"/>
        </w:rPr>
        <w:t xml:space="preserve"> </w:t>
      </w:r>
      <w:r>
        <w:rPr>
          <w:rFonts w:asciiTheme="majorBidi" w:hAnsiTheme="majorBidi" w:cs="Times New Roman" w:hint="cs"/>
          <w:b/>
          <w:bCs/>
          <w:sz w:val="32"/>
          <w:szCs w:val="32"/>
          <w:rtl/>
          <w:lang w:bidi="ar-EG"/>
        </w:rPr>
        <w:t xml:space="preserve">دراسة بعنوان: </w:t>
      </w:r>
      <w:r w:rsidRPr="00833CC7">
        <w:rPr>
          <w:rFonts w:asciiTheme="majorBidi" w:hAnsiTheme="majorBidi" w:cs="Times New Roman"/>
          <w:b/>
          <w:bCs/>
          <w:sz w:val="32"/>
          <w:szCs w:val="32"/>
          <w:rtl/>
          <w:lang w:bidi="ar-EG"/>
        </w:rPr>
        <w:t>القيادة المرنة والابتكار في القطاع العام في دولة الإمارات العربية المتحدة من خلال إطار هيكلي للتغيير التحويلي.</w:t>
      </w:r>
    </w:p>
    <w:p w14:paraId="60166A92" w14:textId="532E7D63" w:rsidR="005E5B3F" w:rsidRDefault="004E054F" w:rsidP="00833CC7">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lastRenderedPageBreak/>
        <w:t>في عصر يتسم بالتغيرات المؤسسية المتسارعة وتزايد توقعات المواطنين، يجب على مؤسسات القطاع العام تعزيز قدرتها على التكيف للحفاظ على فعاليتها. استكشفت هذه الدراسة دور القيادة الرشيقة في دفع عجلة التحول المؤسسي في القطاع العام بدولة الإمارات العربية المتحدة، متطرقة إلى القدرة على الابتكار كمتغير وسيط. ولتحقيق ذلك، تم تطوير إطار نظري يجمع بين نظرية رشاقة القيادة، ونظرية القدرات الديناميكية، ونماذج الابتكار في القطاع العام. جُمعت البيانات من 386 موظفًا حكوميًا (معلمين وضباط شرطة ورجال إطفاء)، وحُللت باستخدام نمذجة المعادلات الهيكلية (</w:t>
      </w:r>
      <w:proofErr w:type="spellStart"/>
      <w:r w:rsidRPr="000D25F6">
        <w:rPr>
          <w:rFonts w:asciiTheme="majorBidi" w:hAnsiTheme="majorBidi" w:cstheme="majorBidi"/>
          <w:sz w:val="32"/>
          <w:szCs w:val="32"/>
        </w:rPr>
        <w:t>SmartPLS</w:t>
      </w:r>
      <w:proofErr w:type="spellEnd"/>
      <w:r w:rsidRPr="000D25F6">
        <w:rPr>
          <w:rFonts w:asciiTheme="majorBidi" w:hAnsiTheme="majorBidi" w:cstheme="majorBidi"/>
          <w:sz w:val="32"/>
          <w:szCs w:val="32"/>
          <w:rtl/>
        </w:rPr>
        <w:t>). وكشفت النتائج التجريبية أن القيادة الرشيقة لا تؤثر بشكل مباشر على التحول المؤسسي؛ بل إن تأثيرها يتوسط بالكامل عبر القدرة على الابتكار، وتحديداً الكفاءات السياسية والاجتماعية، وذلك من خلال معامل مسار غير مباشر قوي (</w:t>
      </w:r>
      <w:r w:rsidRPr="000D25F6">
        <w:rPr>
          <w:rFonts w:asciiTheme="majorBidi" w:hAnsiTheme="majorBidi" w:cstheme="majorBidi"/>
          <w:sz w:val="32"/>
          <w:szCs w:val="32"/>
        </w:rPr>
        <w:t>β = 0.615</w:t>
      </w:r>
      <w:r w:rsidRPr="000D25F6">
        <w:rPr>
          <w:rFonts w:asciiTheme="majorBidi" w:hAnsiTheme="majorBidi" w:cstheme="majorBidi"/>
          <w:sz w:val="32"/>
          <w:szCs w:val="32"/>
          <w:rtl/>
        </w:rPr>
        <w:t xml:space="preserve">، </w:t>
      </w:r>
      <w:r w:rsidRPr="000D25F6">
        <w:rPr>
          <w:rFonts w:asciiTheme="majorBidi" w:hAnsiTheme="majorBidi" w:cstheme="majorBidi"/>
          <w:sz w:val="32"/>
          <w:szCs w:val="32"/>
        </w:rPr>
        <w:t>p &lt; 0.001</w:t>
      </w:r>
      <w:r w:rsidRPr="000D25F6">
        <w:rPr>
          <w:rFonts w:asciiTheme="majorBidi" w:hAnsiTheme="majorBidi" w:cstheme="majorBidi"/>
          <w:sz w:val="32"/>
          <w:szCs w:val="32"/>
          <w:rtl/>
        </w:rPr>
        <w:t>). تؤكد هذه النتائج الدور المحوري للابتكار كقناة تُترجم من خلالها القيادة الرشيقة إلى نتائج تحويلية. وتقدم الدراسة إسهامات نظرية وعملية لصناع السياسات الذين يسعون إلى مواءمة الحوكمة مع أهداف التنمية الوطنية، مثل "نحن الإمارات 2031" و"خطة الإمارات المئوية 2071".</w:t>
      </w:r>
    </w:p>
    <w:p w14:paraId="39213628" w14:textId="6E630F2E" w:rsidR="00833CC7" w:rsidRPr="00372FC7" w:rsidRDefault="00833CC7" w:rsidP="00833CC7">
      <w:pPr>
        <w:bidi/>
        <w:spacing w:line="360" w:lineRule="auto"/>
        <w:jc w:val="right"/>
        <w:rPr>
          <w:rFonts w:asciiTheme="majorBidi" w:hAnsiTheme="majorBidi" w:cstheme="majorBidi"/>
          <w:b/>
          <w:bCs/>
          <w:sz w:val="32"/>
          <w:szCs w:val="32"/>
        </w:rPr>
      </w:pPr>
      <w:r>
        <w:rPr>
          <w:rFonts w:asciiTheme="majorBidi" w:hAnsiTheme="majorBidi" w:cstheme="majorBidi"/>
          <w:b/>
          <w:bCs/>
          <w:sz w:val="32"/>
          <w:szCs w:val="32"/>
        </w:rPr>
        <w:t>9</w:t>
      </w:r>
      <w:r w:rsidRPr="00372FC7">
        <w:rPr>
          <w:rFonts w:asciiTheme="majorBidi" w:hAnsiTheme="majorBidi" w:cstheme="majorBidi"/>
          <w:b/>
          <w:bCs/>
          <w:sz w:val="32"/>
          <w:szCs w:val="32"/>
        </w:rPr>
        <w:t xml:space="preserve">. </w:t>
      </w:r>
      <w:proofErr w:type="spellStart"/>
      <w:r w:rsidRPr="00372FC7">
        <w:rPr>
          <w:rFonts w:asciiTheme="majorBidi" w:hAnsiTheme="majorBidi" w:cstheme="majorBidi"/>
          <w:b/>
          <w:bCs/>
          <w:sz w:val="32"/>
          <w:szCs w:val="32"/>
        </w:rPr>
        <w:t>Phakamach</w:t>
      </w:r>
      <w:proofErr w:type="spellEnd"/>
      <w:r w:rsidRPr="00372FC7">
        <w:rPr>
          <w:rFonts w:asciiTheme="majorBidi" w:hAnsiTheme="majorBidi" w:cstheme="majorBidi"/>
          <w:b/>
          <w:bCs/>
          <w:sz w:val="32"/>
          <w:szCs w:val="32"/>
        </w:rPr>
        <w:t xml:space="preserve"> et al., </w:t>
      </w:r>
      <w:r>
        <w:rPr>
          <w:rFonts w:asciiTheme="majorBidi" w:hAnsiTheme="majorBidi" w:cstheme="majorBidi"/>
          <w:b/>
          <w:bCs/>
          <w:sz w:val="32"/>
          <w:szCs w:val="32"/>
        </w:rPr>
        <w:t>(</w:t>
      </w:r>
      <w:r w:rsidRPr="00372FC7">
        <w:rPr>
          <w:rFonts w:asciiTheme="majorBidi" w:hAnsiTheme="majorBidi" w:cstheme="majorBidi"/>
          <w:b/>
          <w:bCs/>
          <w:sz w:val="32"/>
          <w:szCs w:val="32"/>
        </w:rPr>
        <w:t>2025</w:t>
      </w:r>
      <w:r>
        <w:rPr>
          <w:rFonts w:asciiTheme="majorBidi" w:hAnsiTheme="majorBidi" w:cstheme="majorBidi"/>
          <w:b/>
          <w:bCs/>
          <w:sz w:val="32"/>
          <w:szCs w:val="32"/>
        </w:rPr>
        <w:t>)</w:t>
      </w:r>
      <w:r w:rsidRPr="00372FC7">
        <w:rPr>
          <w:rFonts w:asciiTheme="majorBidi" w:hAnsiTheme="majorBidi" w:cstheme="majorBidi"/>
          <w:b/>
          <w:bCs/>
          <w:sz w:val="32"/>
          <w:szCs w:val="32"/>
        </w:rPr>
        <w:t xml:space="preserve"> </w:t>
      </w:r>
    </w:p>
    <w:p w14:paraId="6AA60C95" w14:textId="181A5298" w:rsidR="00833CC7" w:rsidRPr="00833CC7" w:rsidRDefault="00833CC7" w:rsidP="004E195D">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بعنوان: القيادة المرنة في التعليم العالي التايلاندي تطوير الإداريين لعصر التعليم الرقمي إلى تحليل خصائص ومكونات القيادة المرنة في مؤسسات التعليم العالي في تايلاندا</w:t>
      </w:r>
      <w:r w:rsidRPr="000D25F6">
        <w:rPr>
          <w:rFonts w:asciiTheme="majorBidi" w:hAnsiTheme="majorBidi" w:cstheme="majorBidi"/>
          <w:sz w:val="32"/>
          <w:szCs w:val="32"/>
          <w:rtl/>
        </w:rPr>
        <w:t xml:space="preserve">، وقد اشتملت عينة الدراسة على (٥٩٩) من الإداريين والموظفين وأعضاء هيئة التدريس العاملين في تسع مؤسسات تابعة لجامعة راجا ماتجالا للتكنولوجيا، وقد تبنت الدراسة المنهج المختلط بشقيه الكمي والنوعي، كما استعانت بالاستبانة والمقابلات ومناقشة مجموعة التركيز كأدوات للدراسة، وقد توصلت هذه الدراسة إلى العديد من النتائج من أهمها: وجود العديد الخصائص التي تميزت بها القيادة المرنة في الجامعات منها امتلاك سمات شخصية تمكنهم من التكيف السريع، والتركيز على التطوير التنظيمي الشامل، وتمكين الموظفين لتحقيق النجاح التنظيمي بسرعة وفعالية، كما اشتملت القيادة المرنة على عدة سمات منها التأثير القوي والكاريزما، والمرونة </w:t>
      </w:r>
      <w:r w:rsidRPr="000D25F6">
        <w:rPr>
          <w:rFonts w:asciiTheme="majorBidi" w:hAnsiTheme="majorBidi" w:cstheme="majorBidi"/>
          <w:sz w:val="32"/>
          <w:szCs w:val="32"/>
          <w:rtl/>
        </w:rPr>
        <w:lastRenderedPageBreak/>
        <w:t>والقدرة على التكيف والاستقلالية والإلهام، النضج العاطفي واتخاذ القرارات الفعالة القدرة على التواصل الاستراتيجي وإدارة التغيير وتنمية المهارات والكفاءات الرقمية، بوناء ثقافة تنظيمية مرنة، وتعزيز بيئة إبداعية وقيم مشتركة، تبني وجهات نظر جديدة والتعلم مدى الحياة، وأوصت الدراسة بالعديد من التوصيات أهمها يجب العمل على تحسين مهارات ومعرفة القيادة المرنة بما يمكنها من دمج هذه المعرفة لتطوير مؤسسات عالية تتناسب مع التنمية الحالية في تايلاند</w:t>
      </w:r>
      <w:r w:rsidRPr="000D25F6">
        <w:rPr>
          <w:rFonts w:asciiTheme="majorBidi" w:hAnsiTheme="majorBidi" w:cstheme="majorBidi"/>
          <w:sz w:val="32"/>
          <w:szCs w:val="32"/>
        </w:rPr>
        <w:t>.</w:t>
      </w:r>
    </w:p>
    <w:p w14:paraId="7EF23165" w14:textId="51493A35" w:rsidR="00372FC7" w:rsidRDefault="00833CC7" w:rsidP="00372FC7">
      <w:pPr>
        <w:bidi/>
        <w:spacing w:line="360" w:lineRule="auto"/>
        <w:jc w:val="right"/>
        <w:rPr>
          <w:rFonts w:asciiTheme="majorBidi" w:hAnsiTheme="majorBidi" w:cstheme="majorBidi"/>
          <w:b/>
          <w:bCs/>
          <w:sz w:val="32"/>
          <w:szCs w:val="32"/>
        </w:rPr>
      </w:pPr>
      <w:r>
        <w:rPr>
          <w:rFonts w:asciiTheme="majorBidi" w:hAnsiTheme="majorBidi" w:cstheme="majorBidi"/>
          <w:b/>
          <w:bCs/>
          <w:sz w:val="32"/>
          <w:szCs w:val="32"/>
        </w:rPr>
        <w:t>10</w:t>
      </w:r>
      <w:r w:rsidR="005E5B3F">
        <w:rPr>
          <w:rFonts w:asciiTheme="majorBidi" w:hAnsiTheme="majorBidi" w:cstheme="majorBidi"/>
          <w:b/>
          <w:bCs/>
          <w:sz w:val="32"/>
          <w:szCs w:val="32"/>
        </w:rPr>
        <w:t xml:space="preserve">. </w:t>
      </w:r>
      <w:r w:rsidR="00950472" w:rsidRPr="000D25F6">
        <w:rPr>
          <w:rFonts w:asciiTheme="majorBidi" w:hAnsiTheme="majorBidi" w:cstheme="majorBidi"/>
          <w:b/>
          <w:bCs/>
          <w:sz w:val="32"/>
          <w:szCs w:val="32"/>
        </w:rPr>
        <w:t>Alhameed &amp; Emeagwali 2026</w:t>
      </w:r>
    </w:p>
    <w:p w14:paraId="4DF2C7B3" w14:textId="7E3CE096" w:rsidR="00833CC7" w:rsidRDefault="00833CC7" w:rsidP="000D25F6">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دراسة بعنوان: </w:t>
      </w:r>
      <w:r w:rsidRPr="00833CC7">
        <w:rPr>
          <w:rFonts w:asciiTheme="majorBidi" w:hAnsiTheme="majorBidi" w:cs="Times New Roman"/>
          <w:b/>
          <w:bCs/>
          <w:sz w:val="32"/>
          <w:szCs w:val="32"/>
          <w:rtl/>
        </w:rPr>
        <w:t>القيادة الرقمية الاستراتيجية للتحول المستدام: دور الرشاقة التنظيمية والرقمنة والثقافة في تعزيز الأداء المتفوق.</w:t>
      </w:r>
    </w:p>
    <w:p w14:paraId="163B4A9C" w14:textId="25F2E9B8" w:rsidR="00F43DF8" w:rsidRDefault="00254574" w:rsidP="00833CC7">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lang w:bidi="ar-EG"/>
        </w:rPr>
        <w:t xml:space="preserve">تناولت </w:t>
      </w:r>
      <w:r w:rsidRPr="000D25F6">
        <w:rPr>
          <w:rFonts w:asciiTheme="majorBidi" w:hAnsiTheme="majorBidi" w:cstheme="majorBidi"/>
          <w:sz w:val="32"/>
          <w:szCs w:val="32"/>
          <w:rtl/>
        </w:rPr>
        <w:t>هذه الدراسة كيف تساهم القيادة التحويلية الرقمية في تحقيق أداء تنظيمي متميز ومستدام، معتمدةً على الدور الوسيط للمرونة التنظيمية والتحول الرقمي، وتقييم دور الثقافة الرقمية كعامل مُعدِّل. انطلاقًا من منظور الموارد، تُعرّف الدراسة القيادة التحويلية الرقمية بأنها قدرة استراتيجية غير ملموسة تُمكّن المؤسسة من توظيف الموارد الرقمية والمرنة لتحقيق نتائج أداء مستدامة في البيئات الرقمية دائمة التغير. جُمعت البيانات عبر استبيان إلكتروني شمل 284 مديرًا من الرتب العليا والمتوسطة في 13 بنكًا تجاريًا فلسطينيًا، وهو قطاع يخضع لتنظيمات صارمة ويتعرض لضغوط رقمية مكثفة ضمن سياق اقتصادي ناشئ. لتحليل العلاقات المفترضة، استُخدم نمذجة المعادلات الهيكلية للمربعات الصغرى الجزئية</w:t>
      </w:r>
      <w:r w:rsidRPr="000D25F6">
        <w:rPr>
          <w:rFonts w:asciiTheme="majorBidi" w:hAnsiTheme="majorBidi" w:cstheme="majorBidi"/>
          <w:sz w:val="32"/>
          <w:szCs w:val="32"/>
        </w:rPr>
        <w:t xml:space="preserve"> (PLS-SEM) </w:t>
      </w:r>
      <w:r w:rsidRPr="000D25F6">
        <w:rPr>
          <w:rFonts w:asciiTheme="majorBidi" w:hAnsiTheme="majorBidi" w:cstheme="majorBidi"/>
          <w:sz w:val="32"/>
          <w:szCs w:val="32"/>
          <w:rtl/>
        </w:rPr>
        <w:t>بالاستعانة ببرنامج</w:t>
      </w:r>
      <w:r w:rsidRPr="000D25F6">
        <w:rPr>
          <w:rFonts w:asciiTheme="majorBidi" w:hAnsiTheme="majorBidi" w:cstheme="majorBidi"/>
          <w:sz w:val="32"/>
          <w:szCs w:val="32"/>
        </w:rPr>
        <w:t xml:space="preserve"> </w:t>
      </w:r>
      <w:proofErr w:type="spellStart"/>
      <w:r w:rsidRPr="000D25F6">
        <w:rPr>
          <w:rFonts w:asciiTheme="majorBidi" w:hAnsiTheme="majorBidi" w:cstheme="majorBidi"/>
          <w:sz w:val="32"/>
          <w:szCs w:val="32"/>
        </w:rPr>
        <w:t>SmartPLS</w:t>
      </w:r>
      <w:proofErr w:type="spellEnd"/>
      <w:r w:rsidR="00347C2A">
        <w:rPr>
          <w:rFonts w:asciiTheme="majorBidi" w:hAnsiTheme="majorBidi" w:cstheme="majorBidi" w:hint="cs"/>
          <w:sz w:val="32"/>
          <w:szCs w:val="32"/>
          <w:rtl/>
        </w:rPr>
        <w:t xml:space="preserve"> </w:t>
      </w:r>
      <w:r w:rsidRPr="000D25F6">
        <w:rPr>
          <w:rFonts w:asciiTheme="majorBidi" w:hAnsiTheme="majorBidi" w:cstheme="majorBidi"/>
          <w:sz w:val="32"/>
          <w:szCs w:val="32"/>
        </w:rPr>
        <w:t xml:space="preserve">4.0. </w:t>
      </w:r>
      <w:r w:rsidRPr="000D25F6">
        <w:rPr>
          <w:rFonts w:asciiTheme="majorBidi" w:hAnsiTheme="majorBidi" w:cstheme="majorBidi"/>
          <w:sz w:val="32"/>
          <w:szCs w:val="32"/>
          <w:rtl/>
        </w:rPr>
        <w:t xml:space="preserve">تُظهر النتائج أن القيادة التحويلية الرقمية تُعزز بشكل ملحوظ كلاً من المرونة التنظيمية والتحول الرقمي، مما يسهم إيجابًا في الأداء التنظيمي. تعمل المرونة التنظيمية والتحول الرقمي كوسيطتين، مستقلتين ومتتابعتين، تكشفان عن مسار متعدد المراحل لبناء القدرات؛ حيث تعزز القيادة من خلاله القدرة على التكيف والمرونة على المدى الطويل. وتشير النتائج كذلك إلى أن الثقافة الرقمية تؤثر في فاعلية التحول الذي تقوده القيادة، وتحدد كيفية ترسيخ المبادرات الرقمية في الإجراءات التنظيمية الدائمة بدلاً من تحقيق مكاسب كفاءة قصيرة الأجل. ومن خلال إعادة </w:t>
      </w:r>
      <w:r w:rsidRPr="000D25F6">
        <w:rPr>
          <w:rFonts w:asciiTheme="majorBidi" w:hAnsiTheme="majorBidi" w:cstheme="majorBidi"/>
          <w:sz w:val="32"/>
          <w:szCs w:val="32"/>
          <w:rtl/>
        </w:rPr>
        <w:lastRenderedPageBreak/>
        <w:t>صياغة التحول المستدام باعتباره استمرارية للأداء التنظيمي عبر المرونة والتجديد الرقمي والتوافق الثقافي – بدلاً من اعتباره مجرد نتيجة بيئية واجتماعية وحوكمة</w:t>
      </w:r>
      <w:r w:rsidRPr="000D25F6">
        <w:rPr>
          <w:rFonts w:asciiTheme="majorBidi" w:hAnsiTheme="majorBidi" w:cstheme="majorBidi"/>
          <w:sz w:val="32"/>
          <w:szCs w:val="32"/>
        </w:rPr>
        <w:t xml:space="preserve"> (ESG) – </w:t>
      </w:r>
      <w:r w:rsidRPr="000D25F6">
        <w:rPr>
          <w:rFonts w:asciiTheme="majorBidi" w:hAnsiTheme="majorBidi" w:cstheme="majorBidi"/>
          <w:sz w:val="32"/>
          <w:szCs w:val="32"/>
          <w:rtl/>
        </w:rPr>
        <w:t>تُحسّن هذه الدراسة شروط نظرية الموارد والقدرات في السياقات الرقمية. نظريًا، تُسهم الدراسة في توضيح كيفية توليد القدرات التي تُمكّنها القيادة لتحقيق ميزة تنافسية مستدامة، وتقدم رؤى إدارية عملية لتنمية المرونة، وتضمين التحول الرقمي، وتعزيز الجاهزية الثقافية لدعم المرونة التنظيمية طويلة الأمد</w:t>
      </w:r>
      <w:r w:rsidRPr="000D25F6">
        <w:rPr>
          <w:rFonts w:asciiTheme="majorBidi" w:hAnsiTheme="majorBidi" w:cstheme="majorBidi"/>
          <w:sz w:val="32"/>
          <w:szCs w:val="32"/>
        </w:rPr>
        <w:t xml:space="preserve">. </w:t>
      </w:r>
    </w:p>
    <w:p w14:paraId="47241243" w14:textId="77777777" w:rsidR="004E195D" w:rsidRDefault="004E195D" w:rsidP="004E195D">
      <w:pPr>
        <w:bidi/>
        <w:spacing w:line="360" w:lineRule="auto"/>
        <w:jc w:val="both"/>
        <w:rPr>
          <w:rFonts w:asciiTheme="majorBidi" w:hAnsiTheme="majorBidi" w:cstheme="majorBidi"/>
          <w:sz w:val="32"/>
          <w:szCs w:val="32"/>
          <w:rtl/>
        </w:rPr>
      </w:pPr>
    </w:p>
    <w:p w14:paraId="44D8555D" w14:textId="77777777" w:rsidR="004E195D" w:rsidRDefault="004E195D" w:rsidP="004E195D">
      <w:pPr>
        <w:bidi/>
        <w:spacing w:line="360" w:lineRule="auto"/>
        <w:jc w:val="both"/>
        <w:rPr>
          <w:rFonts w:asciiTheme="majorBidi" w:hAnsiTheme="majorBidi" w:cstheme="majorBidi"/>
          <w:sz w:val="32"/>
          <w:szCs w:val="32"/>
          <w:rtl/>
        </w:rPr>
      </w:pPr>
    </w:p>
    <w:p w14:paraId="1C8E1698" w14:textId="77777777" w:rsidR="004E195D" w:rsidRDefault="004E195D" w:rsidP="004E195D">
      <w:pPr>
        <w:bidi/>
        <w:spacing w:line="360" w:lineRule="auto"/>
        <w:jc w:val="both"/>
        <w:rPr>
          <w:rFonts w:asciiTheme="majorBidi" w:hAnsiTheme="majorBidi" w:cstheme="majorBidi"/>
          <w:sz w:val="32"/>
          <w:szCs w:val="32"/>
          <w:rtl/>
        </w:rPr>
      </w:pPr>
    </w:p>
    <w:p w14:paraId="78A342EF" w14:textId="77777777" w:rsidR="004E195D" w:rsidRDefault="004E195D" w:rsidP="004E195D">
      <w:pPr>
        <w:bidi/>
        <w:spacing w:line="360" w:lineRule="auto"/>
        <w:jc w:val="both"/>
        <w:rPr>
          <w:rFonts w:asciiTheme="majorBidi" w:hAnsiTheme="majorBidi" w:cstheme="majorBidi"/>
          <w:sz w:val="32"/>
          <w:szCs w:val="32"/>
          <w:rtl/>
        </w:rPr>
      </w:pPr>
    </w:p>
    <w:p w14:paraId="3800A591" w14:textId="77777777" w:rsidR="004E195D" w:rsidRDefault="004E195D" w:rsidP="004E195D">
      <w:pPr>
        <w:bidi/>
        <w:spacing w:line="360" w:lineRule="auto"/>
        <w:jc w:val="both"/>
        <w:rPr>
          <w:rFonts w:asciiTheme="majorBidi" w:hAnsiTheme="majorBidi" w:cstheme="majorBidi"/>
          <w:sz w:val="32"/>
          <w:szCs w:val="32"/>
          <w:rtl/>
        </w:rPr>
      </w:pPr>
    </w:p>
    <w:p w14:paraId="263D07A7" w14:textId="77777777" w:rsidR="004E195D" w:rsidRDefault="004E195D" w:rsidP="004E195D">
      <w:pPr>
        <w:bidi/>
        <w:spacing w:line="360" w:lineRule="auto"/>
        <w:jc w:val="both"/>
        <w:rPr>
          <w:rFonts w:asciiTheme="majorBidi" w:hAnsiTheme="majorBidi" w:cstheme="majorBidi"/>
          <w:sz w:val="32"/>
          <w:szCs w:val="32"/>
          <w:rtl/>
        </w:rPr>
      </w:pPr>
    </w:p>
    <w:p w14:paraId="61722BD7" w14:textId="77777777" w:rsidR="004E195D" w:rsidRDefault="004E195D" w:rsidP="004E195D">
      <w:pPr>
        <w:bidi/>
        <w:spacing w:line="360" w:lineRule="auto"/>
        <w:jc w:val="both"/>
        <w:rPr>
          <w:rFonts w:asciiTheme="majorBidi" w:hAnsiTheme="majorBidi" w:cstheme="majorBidi"/>
          <w:sz w:val="32"/>
          <w:szCs w:val="32"/>
          <w:rtl/>
        </w:rPr>
      </w:pPr>
    </w:p>
    <w:p w14:paraId="0F78830F" w14:textId="77777777" w:rsidR="004E195D" w:rsidRDefault="004E195D" w:rsidP="004E195D">
      <w:pPr>
        <w:bidi/>
        <w:spacing w:line="360" w:lineRule="auto"/>
        <w:jc w:val="both"/>
        <w:rPr>
          <w:rFonts w:asciiTheme="majorBidi" w:hAnsiTheme="majorBidi" w:cstheme="majorBidi"/>
          <w:sz w:val="32"/>
          <w:szCs w:val="32"/>
          <w:rtl/>
        </w:rPr>
      </w:pPr>
    </w:p>
    <w:p w14:paraId="04A64657" w14:textId="77777777" w:rsidR="004E195D" w:rsidRDefault="004E195D" w:rsidP="004E195D">
      <w:pPr>
        <w:bidi/>
        <w:spacing w:line="360" w:lineRule="auto"/>
        <w:jc w:val="both"/>
        <w:rPr>
          <w:rFonts w:asciiTheme="majorBidi" w:hAnsiTheme="majorBidi" w:cstheme="majorBidi"/>
          <w:sz w:val="32"/>
          <w:szCs w:val="32"/>
          <w:rtl/>
        </w:rPr>
      </w:pPr>
    </w:p>
    <w:p w14:paraId="67C99544" w14:textId="77777777" w:rsidR="004E195D" w:rsidRDefault="004E195D" w:rsidP="004E195D">
      <w:pPr>
        <w:bidi/>
        <w:spacing w:line="360" w:lineRule="auto"/>
        <w:jc w:val="both"/>
        <w:rPr>
          <w:rFonts w:asciiTheme="majorBidi" w:hAnsiTheme="majorBidi" w:cstheme="majorBidi"/>
          <w:sz w:val="32"/>
          <w:szCs w:val="32"/>
          <w:rtl/>
        </w:rPr>
      </w:pPr>
    </w:p>
    <w:p w14:paraId="5A06BC5F" w14:textId="77777777" w:rsidR="004E195D" w:rsidRDefault="004E195D" w:rsidP="004E195D">
      <w:pPr>
        <w:bidi/>
        <w:spacing w:line="360" w:lineRule="auto"/>
        <w:jc w:val="both"/>
        <w:rPr>
          <w:rFonts w:asciiTheme="majorBidi" w:hAnsiTheme="majorBidi" w:cstheme="majorBidi"/>
          <w:sz w:val="32"/>
          <w:szCs w:val="32"/>
          <w:rtl/>
        </w:rPr>
      </w:pPr>
    </w:p>
    <w:p w14:paraId="6938FB1A" w14:textId="77777777" w:rsidR="004E195D" w:rsidRDefault="004E195D" w:rsidP="004E195D">
      <w:pPr>
        <w:bidi/>
        <w:spacing w:line="360" w:lineRule="auto"/>
        <w:jc w:val="both"/>
        <w:rPr>
          <w:rFonts w:asciiTheme="majorBidi" w:hAnsiTheme="majorBidi" w:cstheme="majorBidi"/>
          <w:sz w:val="32"/>
          <w:szCs w:val="32"/>
          <w:rtl/>
        </w:rPr>
      </w:pPr>
    </w:p>
    <w:p w14:paraId="4E596FE0" w14:textId="77777777" w:rsidR="004E195D" w:rsidRDefault="004E195D" w:rsidP="004E195D">
      <w:pPr>
        <w:bidi/>
        <w:spacing w:line="360" w:lineRule="auto"/>
        <w:jc w:val="both"/>
        <w:rPr>
          <w:rFonts w:asciiTheme="majorBidi" w:hAnsiTheme="majorBidi" w:cstheme="majorBidi"/>
          <w:sz w:val="32"/>
          <w:szCs w:val="32"/>
          <w:rtl/>
        </w:rPr>
      </w:pPr>
    </w:p>
    <w:p w14:paraId="02B4AA16" w14:textId="211BC0E7" w:rsidR="00833CC7" w:rsidRDefault="00833CC7" w:rsidP="00833CC7">
      <w:pPr>
        <w:bidi/>
        <w:spacing w:line="360" w:lineRule="auto"/>
        <w:jc w:val="both"/>
        <w:rPr>
          <w:rFonts w:asciiTheme="majorBidi" w:hAnsiTheme="majorBidi" w:cstheme="majorBidi"/>
          <w:b/>
          <w:bCs/>
          <w:sz w:val="32"/>
          <w:szCs w:val="32"/>
          <w:rtl/>
        </w:rPr>
      </w:pPr>
      <w:r w:rsidRPr="00833CC7">
        <w:rPr>
          <w:rFonts w:asciiTheme="majorBidi" w:hAnsiTheme="majorBidi" w:cstheme="majorBidi" w:hint="cs"/>
          <w:b/>
          <w:bCs/>
          <w:sz w:val="32"/>
          <w:szCs w:val="32"/>
          <w:rtl/>
        </w:rPr>
        <w:lastRenderedPageBreak/>
        <w:t xml:space="preserve">قائمة المراجع: </w:t>
      </w:r>
    </w:p>
    <w:p w14:paraId="375C5ED7" w14:textId="051E7609" w:rsidR="00347C2A" w:rsidRDefault="00347C2A" w:rsidP="00347C2A">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الدراسات العربية</w:t>
      </w:r>
    </w:p>
    <w:p w14:paraId="06A94417" w14:textId="69941525" w:rsidR="009D160C" w:rsidRPr="00857B04" w:rsidRDefault="009D160C" w:rsidP="00857B04">
      <w:pPr>
        <w:pStyle w:val="ListParagraph"/>
        <w:numPr>
          <w:ilvl w:val="0"/>
          <w:numId w:val="10"/>
        </w:numPr>
        <w:bidi/>
        <w:spacing w:line="360" w:lineRule="auto"/>
        <w:jc w:val="both"/>
        <w:rPr>
          <w:rFonts w:asciiTheme="majorBidi" w:hAnsiTheme="majorBidi" w:cstheme="majorBidi"/>
          <w:sz w:val="28"/>
          <w:szCs w:val="28"/>
          <w:rtl/>
        </w:rPr>
      </w:pPr>
      <w:r w:rsidRPr="00857B04">
        <w:rPr>
          <w:rFonts w:asciiTheme="majorBidi" w:hAnsiTheme="majorBidi" w:cs="Times New Roman" w:hint="cs"/>
          <w:sz w:val="28"/>
          <w:szCs w:val="28"/>
          <w:rtl/>
        </w:rPr>
        <w:t>أ</w:t>
      </w:r>
      <w:r w:rsidRPr="00857B04">
        <w:rPr>
          <w:rFonts w:asciiTheme="majorBidi" w:hAnsiTheme="majorBidi" w:cs="Times New Roman"/>
          <w:sz w:val="28"/>
          <w:szCs w:val="28"/>
          <w:rtl/>
        </w:rPr>
        <w:t>بو سنيمة، أ. س. (2020). الابتكار التنظيمي لدى مديري المدارس الحكومية بمحافظات غزة وعلاقته بالسعادة الوظيفية لدى المعلمين من وجهة نظرهم. رسالة ماجستير غير منشورة، جامعة الأقصى.</w:t>
      </w:r>
    </w:p>
    <w:p w14:paraId="3EC7AB40" w14:textId="717B427E" w:rsidR="00833CC7" w:rsidRPr="00857B04" w:rsidRDefault="00347C2A" w:rsidP="00857B04">
      <w:pPr>
        <w:pStyle w:val="ListParagraph"/>
        <w:numPr>
          <w:ilvl w:val="0"/>
          <w:numId w:val="10"/>
        </w:numPr>
        <w:bidi/>
        <w:spacing w:line="360" w:lineRule="auto"/>
        <w:jc w:val="both"/>
        <w:rPr>
          <w:rFonts w:asciiTheme="majorBidi" w:eastAsia="Times New Roman" w:hAnsiTheme="majorBidi" w:cs="Times New Roman"/>
          <w:color w:val="111111"/>
          <w:kern w:val="0"/>
          <w:sz w:val="28"/>
          <w:szCs w:val="28"/>
          <w:rtl/>
          <w14:ligatures w14:val="none"/>
        </w:rPr>
      </w:pPr>
      <w:r w:rsidRPr="00857B04">
        <w:rPr>
          <w:rFonts w:asciiTheme="majorBidi" w:eastAsia="Times New Roman" w:hAnsiTheme="majorBidi" w:cs="Times New Roman"/>
          <w:color w:val="111111"/>
          <w:kern w:val="0"/>
          <w:sz w:val="28"/>
          <w:szCs w:val="28"/>
          <w:rtl/>
          <w14:ligatures w14:val="none"/>
        </w:rPr>
        <w:t>أحمد، ح.، &amp; بدوي، أ. (2024). تأثير مرونة القيادة والابتكار التنظيمي على الأداء التنظيمي في قطاع النفط المصري. مجلة البحوث الإدارية والاقتصادية.</w:t>
      </w:r>
    </w:p>
    <w:p w14:paraId="11D9EF31" w14:textId="50812F40" w:rsidR="009D160C" w:rsidRPr="00857B04" w:rsidRDefault="00347C2A"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أحمد، س. (2023). تأثير الأداء الإستراتيجي لمنتجي المعرفة على السلوك الابتكاري للعاملين: دراسة حالة جامعة بورسعيد. مجلة الإدارة والابتكار.</w:t>
      </w:r>
    </w:p>
    <w:p w14:paraId="6C700DA4" w14:textId="130BA461" w:rsidR="00347C2A" w:rsidRPr="00857B04" w:rsidRDefault="00347C2A"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الجرجري، ع.، &amp; سالم، م. (2021). دور القيادة المرنة في إمكانية التنفيذ الاستراتيجي: دراسة استطلاعية لآراء القيادات الإدارية في الجامعة التقنية الشمالية بمحافظة نينوى. مجلة البحوث الإدارية.</w:t>
      </w:r>
    </w:p>
    <w:p w14:paraId="6E2F4BBD" w14:textId="37A40D40" w:rsidR="009D160C" w:rsidRPr="00857B04" w:rsidRDefault="009D160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hint="cs"/>
          <w:color w:val="111111"/>
          <w:kern w:val="0"/>
          <w:sz w:val="28"/>
          <w:szCs w:val="28"/>
          <w:rtl/>
          <w14:ligatures w14:val="none"/>
        </w:rPr>
        <w:t>ا</w:t>
      </w:r>
      <w:r w:rsidRPr="00857B04">
        <w:rPr>
          <w:rFonts w:asciiTheme="majorBidi" w:eastAsia="Times New Roman" w:hAnsiTheme="majorBidi" w:cs="Times New Roman"/>
          <w:color w:val="111111"/>
          <w:kern w:val="0"/>
          <w:sz w:val="28"/>
          <w:szCs w:val="28"/>
          <w:rtl/>
          <w14:ligatures w14:val="none"/>
        </w:rPr>
        <w:t>لعياط، ج. (2015). الإدارة الإلكترونية. دار أمجد للنشر والتوزيع.</w:t>
      </w:r>
    </w:p>
    <w:p w14:paraId="66AE53D7" w14:textId="03C86CCF" w:rsidR="00347C2A" w:rsidRPr="00857B04" w:rsidRDefault="00347C2A"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بدوي، أ.، &amp; علي، م. (2024). أثر أنماط القيادة كمتغير معتدل على العلاقة بين التخطيط الاستراتيجي والأداء التنظيمي في الشركات الصغيرة بقطاع الكهروميكانيكا في مصر. مجلة العلوم الإدارية والتطبيقية.</w:t>
      </w:r>
    </w:p>
    <w:p w14:paraId="469EA276" w14:textId="2EE54239" w:rsidR="00CF37FC" w:rsidRPr="00857B04" w:rsidRDefault="00CF37F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البارقي، ع. (2021). تطوير أداء إدارات التعليم بالمملكة العربية السعودية لتحقيق الميزة التنافسية. مجلة العلوم التربوية والإدارية.</w:t>
      </w:r>
    </w:p>
    <w:p w14:paraId="296F22C6" w14:textId="05373309" w:rsidR="00CF37FC" w:rsidRPr="00857B04" w:rsidRDefault="00CF37F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التويجري، ح. (2022). تصور مقترح لتطوير إدارة برنامج الدراسات العليا في كليات التربية في ضوء نماذج الابتكار التنظيمي. مجلة التربية، جامعة الأزهر، 2(193)، 254.</w:t>
      </w:r>
    </w:p>
    <w:p w14:paraId="5B92B86B" w14:textId="2823FFD0" w:rsidR="00CF37FC" w:rsidRPr="00857B04" w:rsidRDefault="00CF37F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الحيالي، ط. (2016). دور الابتكار والبحث العلمي في تحفيز الاقتصاد وتحقيق الاستدامة. رأس الخيمة: دائرة التنمية الاقتصادية، الإمارات.</w:t>
      </w:r>
    </w:p>
    <w:p w14:paraId="7BA52030" w14:textId="0819A495" w:rsidR="00347C2A"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00347C2A" w:rsidRPr="00857B04">
        <w:rPr>
          <w:rFonts w:asciiTheme="majorBidi" w:eastAsia="Times New Roman" w:hAnsiTheme="majorBidi" w:cs="Times New Roman"/>
          <w:color w:val="111111"/>
          <w:kern w:val="0"/>
          <w:sz w:val="28"/>
          <w:szCs w:val="28"/>
          <w:rtl/>
          <w14:ligatures w14:val="none"/>
        </w:rPr>
        <w:t>الشايب، ع. (2024). دور القيادة الرقمية في تعزيز الابتكار التنظيمي وتحقيق الميزة التنافسية من وجهة نظر مديرات المدارس الثانوية بمنطقة عسير. مجلة الإدارة التعليمية.</w:t>
      </w:r>
    </w:p>
    <w:p w14:paraId="6EBDE89D" w14:textId="3C44FCF2" w:rsidR="00D12D7D"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الشرقاوي، أ. (2016). إدارة الأعمال في منظور اقتصادي. دار غيداء للتوزيع والنشر.</w:t>
      </w:r>
    </w:p>
    <w:p w14:paraId="03F072E0" w14:textId="32AC93F0" w:rsidR="00D12D7D"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الشهري، ع. م. ع. (2018). درجة تطبيق الإدارة الإلكترونية في مدارس محافظة المجاردة وعلاقتها بتحسين الأداء المدرسي. مجلة العلوم التربوية والنفسية، 2(15)، 1-.</w:t>
      </w:r>
    </w:p>
    <w:p w14:paraId="397F1EF4" w14:textId="36C9BD5B" w:rsidR="00347C2A" w:rsidRPr="00857B04" w:rsidRDefault="00347C2A"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lastRenderedPageBreak/>
        <w:t>العتيبي، س. (2025). درجة تطبيق أبعاد أسلوب الإدارة المرنة لدى مديرات المدارس الثانوية الحكومية بمدينة الرياض. مجلة الإدارة التربوية الحديثة.</w:t>
      </w:r>
    </w:p>
    <w:p w14:paraId="465C11ED" w14:textId="440B1F7B" w:rsidR="009D160C" w:rsidRPr="00857B04" w:rsidRDefault="009D160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 xml:space="preserve"> العماري، ج. ن. م. (2022). درجة ممارسة مديرات المدارس الثانوية للقيادة الرقمية بمحافظة خميس مشيط. مجلة التربية، 194(2)، 200-239.</w:t>
      </w:r>
    </w:p>
    <w:p w14:paraId="2C883CFA" w14:textId="77777777" w:rsidR="00CF37FC" w:rsidRPr="00857B04" w:rsidRDefault="00CF37FC" w:rsidP="00857B04">
      <w:pPr>
        <w:pStyle w:val="ListParagraph"/>
        <w:numPr>
          <w:ilvl w:val="0"/>
          <w:numId w:val="10"/>
        </w:numPr>
        <w:bidi/>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القرعاوي، ح. م. (2022). تصور مقترح للتحول الرقمي في الجامعات السعودية في ضوء أبعاد التحول الرقمي. مجلة الفنون والأدب وعلوم الإنسانيات والاجتماع، 13(82)، 37-58</w:t>
      </w:r>
      <w:r w:rsidRPr="00857B04">
        <w:rPr>
          <w:rFonts w:asciiTheme="majorBidi" w:eastAsia="Times New Roman" w:hAnsiTheme="majorBidi" w:cs="Times New Roman"/>
          <w:color w:val="111111"/>
          <w:kern w:val="0"/>
          <w:sz w:val="28"/>
          <w:szCs w:val="28"/>
          <w14:ligatures w14:val="none"/>
        </w:rPr>
        <w:t>.</w:t>
      </w:r>
    </w:p>
    <w:p w14:paraId="75405D69" w14:textId="491B5AA9" w:rsidR="00CF37FC" w:rsidRPr="00857B04" w:rsidRDefault="00CF37F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العيّاط، ج. (2015). الإدارة الإلكترونية. دار أمجد للنشر والتوزيع.</w:t>
      </w:r>
    </w:p>
    <w:p w14:paraId="5E0E8260" w14:textId="34B74C1D" w:rsidR="009D160C" w:rsidRPr="00857B04" w:rsidRDefault="00CF37F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009D160C" w:rsidRPr="00857B04">
        <w:rPr>
          <w:rFonts w:asciiTheme="majorBidi" w:eastAsia="Times New Roman" w:hAnsiTheme="majorBidi" w:cs="Times New Roman"/>
          <w:color w:val="111111"/>
          <w:kern w:val="0"/>
          <w:sz w:val="28"/>
          <w:szCs w:val="28"/>
          <w:rtl/>
          <w14:ligatures w14:val="none"/>
        </w:rPr>
        <w:t>القادري، أ. (2021). دور إدارة المواهب البشرية في تحسين مستوى الابتكار التنظيمي. رسالة ماجستير غير منشورة، جامعة غزة.</w:t>
      </w:r>
    </w:p>
    <w:p w14:paraId="2762B04E" w14:textId="230B6470" w:rsidR="009D160C" w:rsidRPr="00857B04" w:rsidRDefault="009D160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القحام، أ.، &amp; عطريش، ل. (2020). أثر الإبداع التنظيمي في تحقيق الميزة التنافسية بمؤسسة الخزف الصحي بالميلية. رسالة ماجستير غير منشورة، كلية العلوم الاقتصادية والتجارية وعلوم التسيير.</w:t>
      </w:r>
    </w:p>
    <w:p w14:paraId="488B3270" w14:textId="1447A82D" w:rsidR="009D160C" w:rsidRPr="00857B04" w:rsidRDefault="009D160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 xml:space="preserve"> القيام، ر. (2022). مفهوم الابتكار التنظيمي. تم الاسترداد من الموقع الإلكتروني: </w:t>
      </w:r>
      <w:r w:rsidRPr="00857B04">
        <w:rPr>
          <w:rFonts w:asciiTheme="majorBidi" w:eastAsia="Times New Roman" w:hAnsiTheme="majorBidi" w:cs="Times New Roman"/>
          <w:color w:val="111111"/>
          <w:kern w:val="0"/>
          <w:sz w:val="28"/>
          <w:szCs w:val="28"/>
          <w14:ligatures w14:val="none"/>
        </w:rPr>
        <w:fldChar w:fldCharType="begin"/>
      </w:r>
      <w:r w:rsidRPr="00857B04">
        <w:rPr>
          <w:rFonts w:asciiTheme="majorBidi" w:eastAsia="Times New Roman" w:hAnsiTheme="majorBidi" w:cs="Times New Roman"/>
          <w:color w:val="111111"/>
          <w:kern w:val="0"/>
          <w:sz w:val="28"/>
          <w:szCs w:val="28"/>
          <w14:ligatures w14:val="none"/>
        </w:rPr>
        <w:instrText>HYPERLINK "</w:instrText>
      </w:r>
      <w:r w:rsidRPr="00857B04">
        <w:rPr>
          <w:rFonts w:asciiTheme="majorBidi" w:eastAsia="Times New Roman" w:hAnsiTheme="majorBidi" w:cs="Times New Roman"/>
          <w:color w:val="111111"/>
          <w:kern w:val="0"/>
          <w:sz w:val="28"/>
          <w:szCs w:val="28"/>
          <w14:ligatures w14:val="none"/>
        </w:rPr>
        <w:instrText>https://mawdoo3.com</w:instrText>
      </w:r>
      <w:r w:rsidRPr="00857B04">
        <w:rPr>
          <w:rFonts w:asciiTheme="majorBidi" w:eastAsia="Times New Roman" w:hAnsiTheme="majorBidi" w:cs="Times New Roman"/>
          <w:color w:val="111111"/>
          <w:kern w:val="0"/>
          <w:sz w:val="28"/>
          <w:szCs w:val="28"/>
          <w14:ligatures w14:val="none"/>
        </w:rPr>
        <w:instrText>"</w:instrText>
      </w:r>
      <w:r w:rsidRPr="00857B04">
        <w:rPr>
          <w:rFonts w:asciiTheme="majorBidi" w:eastAsia="Times New Roman" w:hAnsiTheme="majorBidi" w:cs="Times New Roman"/>
          <w:color w:val="111111"/>
          <w:kern w:val="0"/>
          <w:sz w:val="28"/>
          <w:szCs w:val="28"/>
          <w14:ligatures w14:val="none"/>
        </w:rPr>
        <w:fldChar w:fldCharType="separate"/>
      </w:r>
      <w:r w:rsidRPr="00857B04">
        <w:rPr>
          <w:rStyle w:val="Hyperlink"/>
          <w:rFonts w:asciiTheme="majorBidi" w:eastAsia="Times New Roman" w:hAnsiTheme="majorBidi" w:cs="Times New Roman"/>
          <w:kern w:val="0"/>
          <w:sz w:val="28"/>
          <w:szCs w:val="28"/>
          <w14:ligatures w14:val="none"/>
        </w:rPr>
        <w:t>https://mawdoo3.com</w:t>
      </w:r>
      <w:r w:rsidRPr="00857B04">
        <w:rPr>
          <w:rFonts w:asciiTheme="majorBidi" w:eastAsia="Times New Roman" w:hAnsiTheme="majorBidi" w:cs="Times New Roman"/>
          <w:color w:val="111111"/>
          <w:kern w:val="0"/>
          <w:sz w:val="28"/>
          <w:szCs w:val="28"/>
          <w14:ligatures w14:val="none"/>
        </w:rPr>
        <w:fldChar w:fldCharType="end"/>
      </w:r>
    </w:p>
    <w:p w14:paraId="1C0043CB" w14:textId="25381EB9" w:rsidR="00CF37FC" w:rsidRPr="00857B04" w:rsidRDefault="00CF37FC"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النعمي، ع. ع.، &amp; حتاملة، ح. (2022). القيادة الرقمية ودورها في تطوير أداء المعلمين في مدارس مديرية التربية والتعليم للواء بني عبيد. المجلة الأردنية في العلوم.</w:t>
      </w:r>
    </w:p>
    <w:p w14:paraId="74732CE8" w14:textId="0DFB317E" w:rsidR="00D12D7D"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حسين، أ. (2022). أثر القيادة الاستراتيجية على الأداء الاستراتيجي في مؤسسات التعليم العالي: الدور الوسيط لإدارة التغيير. مجلة الدراسات الإدارية والقيادية.</w:t>
      </w:r>
      <w:r w:rsidRPr="00857B04">
        <w:rPr>
          <w:rFonts w:asciiTheme="majorBidi" w:eastAsia="Times New Roman" w:hAnsiTheme="majorBidi" w:cs="Times New Roman"/>
          <w:color w:val="111111"/>
          <w:kern w:val="0"/>
          <w:sz w:val="28"/>
          <w:szCs w:val="28"/>
          <w14:ligatures w14:val="none"/>
        </w:rPr>
        <w:t xml:space="preserve">  </w:t>
      </w:r>
    </w:p>
    <w:p w14:paraId="57AC56AD" w14:textId="331C14D4" w:rsidR="00347C2A" w:rsidRPr="00857B04" w:rsidRDefault="00347C2A"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سعد، م.، &amp; حسن، ع. (2024). المرونة التنظيمية وأثرها على الأداء التنظيمي من خلال القيادة الرؤيوية والقدرات التنافسية التنظيمية في المستشفيات في مصر. مجلة الإدارة الصحية.</w:t>
      </w:r>
    </w:p>
    <w:p w14:paraId="1AB38C42" w14:textId="3C550DB1" w:rsidR="00D12D7D"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شرار، م. (2019). إدارة المعرفة وأثرها على الابتكار التنظيمي: دراسة تطبيقية على شركات الاتصالات الفلسطينية. رسالة ماجستير غير منشورة، جامعة الخليل.</w:t>
      </w:r>
    </w:p>
    <w:p w14:paraId="23AC308F" w14:textId="6F071C0B" w:rsidR="00D12D7D"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 xml:space="preserve"> عساف، م. ع. م. (2015). استراتيجية مقترحة لإدارة الإبداع كمدخل لتحقيق الميزة التنافسية في مؤسسات التعليم العالي. مجلة عالم الفكر، 3(1)، 734-755.</w:t>
      </w:r>
      <w:r w:rsidRPr="00857B04">
        <w:rPr>
          <w:rFonts w:asciiTheme="majorBidi" w:eastAsia="Times New Roman" w:hAnsiTheme="majorBidi" w:cs="Times New Roman"/>
          <w:color w:val="111111"/>
          <w:kern w:val="0"/>
          <w:sz w:val="28"/>
          <w:szCs w:val="28"/>
          <w14:ligatures w14:val="none"/>
        </w:rPr>
        <w:t xml:space="preserve">  </w:t>
      </w:r>
    </w:p>
    <w:p w14:paraId="6AAAF319" w14:textId="39B205FE" w:rsidR="00D12D7D"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 xml:space="preserve"> عيد، ه. ج. ع. (2022). تصور مقترح لتحقيق متطلبات الميزة التنافسية بالجامعات الخاصة في ضوء الاتجاهات الحديثة. مجلة كلية التربية ببنها، 132(3)، 658-740.</w:t>
      </w:r>
    </w:p>
    <w:p w14:paraId="4644C262" w14:textId="724C1A3D" w:rsidR="00D12D7D"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lastRenderedPageBreak/>
        <w:t xml:space="preserve"> </w:t>
      </w:r>
      <w:r w:rsidRPr="00857B04">
        <w:rPr>
          <w:rFonts w:asciiTheme="majorBidi" w:eastAsia="Times New Roman" w:hAnsiTheme="majorBidi" w:cs="Times New Roman"/>
          <w:color w:val="111111"/>
          <w:kern w:val="0"/>
          <w:sz w:val="28"/>
          <w:szCs w:val="28"/>
          <w:rtl/>
          <w14:ligatures w14:val="none"/>
        </w:rPr>
        <w:t>قداري، س.، &amp; باسيدي، أ. (2021). دور الابتكار التكنولوجي في تحقيق الميزة التنافسية لدى المؤسسات الصغيرة والمتوسطة: دراسة حالة مجمع الهامل بأدرار. رسالة ماجستير غير منشورة، كلية العلوم الاقتصادية والتجارية وعلوم التسيير.</w:t>
      </w:r>
    </w:p>
    <w:p w14:paraId="7E9D04DA" w14:textId="242F0182" w:rsidR="00D12D7D"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 xml:space="preserve"> مج</w:t>
      </w:r>
      <w:r w:rsidRPr="00857B04">
        <w:rPr>
          <w:rFonts w:asciiTheme="majorBidi" w:eastAsia="Times New Roman" w:hAnsiTheme="majorBidi" w:cs="Times New Roman" w:hint="cs"/>
          <w:color w:val="111111"/>
          <w:kern w:val="0"/>
          <w:sz w:val="28"/>
          <w:szCs w:val="28"/>
          <w:rtl/>
          <w14:ligatures w14:val="none"/>
        </w:rPr>
        <w:t>ی</w:t>
      </w:r>
      <w:r w:rsidRPr="00857B04">
        <w:rPr>
          <w:rFonts w:asciiTheme="majorBidi" w:eastAsia="Times New Roman" w:hAnsiTheme="majorBidi" w:cs="Times New Roman" w:hint="eastAsia"/>
          <w:color w:val="111111"/>
          <w:kern w:val="0"/>
          <w:sz w:val="28"/>
          <w:szCs w:val="28"/>
          <w:rtl/>
          <w14:ligatures w14:val="none"/>
        </w:rPr>
        <w:t>د،</w:t>
      </w:r>
      <w:r w:rsidRPr="00857B04">
        <w:rPr>
          <w:rFonts w:asciiTheme="majorBidi" w:eastAsia="Times New Roman" w:hAnsiTheme="majorBidi" w:cs="Times New Roman"/>
          <w:color w:val="111111"/>
          <w:kern w:val="0"/>
          <w:sz w:val="28"/>
          <w:szCs w:val="28"/>
          <w:rtl/>
          <w14:ligatures w14:val="none"/>
        </w:rPr>
        <w:t xml:space="preserve"> ح. (2017). مدى توافر متطلبات الابتكار المنظمي في منظمات تقنية المعلومات وأساهمها في تعزيز التنمية المستدامة: دراسة ميدانية. مجلة الإدارة والاقتصاد، 40(113)، 112-129.</w:t>
      </w:r>
    </w:p>
    <w:p w14:paraId="125C2010" w14:textId="0556D530" w:rsidR="00D12D7D" w:rsidRPr="00857B04" w:rsidRDefault="00D12D7D" w:rsidP="00857B04">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مفتاحي، ز. (2016). أثر المناخ التنظيمي على الابتكار التنظيمي: دراسة ميدانية لعينة من المؤسسات الصغيرة والمتوسطة في ولاية ورقلة. رسالة ماجستير غير منشورة، جامعة قاصدي مرباح.</w:t>
      </w:r>
    </w:p>
    <w:p w14:paraId="01475343" w14:textId="0803418F" w:rsidR="00D12D7D" w:rsidRPr="00857B04" w:rsidRDefault="00D12D7D" w:rsidP="00857B04">
      <w:pPr>
        <w:pStyle w:val="ListParagraph"/>
        <w:numPr>
          <w:ilvl w:val="0"/>
          <w:numId w:val="10"/>
        </w:numPr>
        <w:bidi/>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هلال، ط. ع.، &amp; أرباب، س. أ. (2020). أثر الابتكار التنظيمي في إدارة الأزمات: دراسة ميدانية على العاملين بالشركة السودانية المصرية للصناعات الكهربائية. مجلة الجامعة الإسلامية للدراسات الاقتصادية والإدارية، 28(3)، 158-175</w:t>
      </w:r>
      <w:r w:rsidRPr="00857B04">
        <w:rPr>
          <w:rFonts w:asciiTheme="majorBidi" w:eastAsia="Times New Roman" w:hAnsiTheme="majorBidi" w:cs="Times New Roman"/>
          <w:color w:val="111111"/>
          <w:kern w:val="0"/>
          <w:sz w:val="28"/>
          <w:szCs w:val="28"/>
          <w14:ligatures w14:val="none"/>
        </w:rPr>
        <w:t>.</w:t>
      </w:r>
    </w:p>
    <w:p w14:paraId="4C6F4684" w14:textId="718AB8FF" w:rsidR="00347C2A" w:rsidRPr="00857B04" w:rsidRDefault="00D12D7D" w:rsidP="00857B04">
      <w:pPr>
        <w:pStyle w:val="ListParagraph"/>
        <w:numPr>
          <w:ilvl w:val="0"/>
          <w:numId w:val="10"/>
        </w:numPr>
        <w:bidi/>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00347C2A" w:rsidRPr="00857B04">
        <w:rPr>
          <w:rFonts w:asciiTheme="majorBidi" w:eastAsia="Times New Roman" w:hAnsiTheme="majorBidi" w:cs="Times New Roman"/>
          <w:color w:val="111111"/>
          <w:kern w:val="0"/>
          <w:sz w:val="28"/>
          <w:szCs w:val="28"/>
          <w:rtl/>
          <w14:ligatures w14:val="none"/>
        </w:rPr>
        <w:t>يوسف، م.، &amp; عبد الباري، أ. (2021). القيادة الرشيقة ودورها في تحقيق الريادة الاستراتيجية: التطبيق على شركة مصر للطيران. مجلة الإدارة الحديثة.</w:t>
      </w:r>
    </w:p>
    <w:p w14:paraId="6AF0897E" w14:textId="28D79DD6" w:rsidR="00857B04" w:rsidRPr="00857B04" w:rsidRDefault="00347C2A" w:rsidP="00857B04">
      <w:pPr>
        <w:bidi/>
        <w:spacing w:line="360" w:lineRule="auto"/>
        <w:jc w:val="both"/>
        <w:rPr>
          <w:rFonts w:asciiTheme="majorBidi" w:eastAsia="Times New Roman" w:hAnsiTheme="majorBidi" w:cstheme="majorBidi"/>
          <w:b/>
          <w:bCs/>
          <w:color w:val="111111"/>
          <w:kern w:val="0"/>
          <w:sz w:val="28"/>
          <w:szCs w:val="28"/>
          <w14:ligatures w14:val="none"/>
        </w:rPr>
      </w:pPr>
      <w:r w:rsidRPr="00857B04">
        <w:rPr>
          <w:rFonts w:asciiTheme="majorBidi" w:eastAsia="Times New Roman" w:hAnsiTheme="majorBidi" w:cstheme="majorBidi" w:hint="cs"/>
          <w:b/>
          <w:bCs/>
          <w:color w:val="111111"/>
          <w:kern w:val="0"/>
          <w:sz w:val="28"/>
          <w:szCs w:val="28"/>
          <w:rtl/>
          <w14:ligatures w14:val="none"/>
        </w:rPr>
        <w:t>الدراسات الأجنبية</w:t>
      </w:r>
    </w:p>
    <w:p w14:paraId="10342E91" w14:textId="0676332B" w:rsidR="00347C2A" w:rsidRPr="00857B04" w:rsidRDefault="00347C2A" w:rsidP="00857B04">
      <w:pPr>
        <w:pStyle w:val="ListParagraph"/>
        <w:numPr>
          <w:ilvl w:val="0"/>
          <w:numId w:val="8"/>
        </w:numPr>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Ahmad, H., &amp; Badawi, A. (2024). Influence of leadership agility and organizational innovation on organizational performance: An empirical study in Egyptian petroleum companies. Humanities and Social Sciences Journal</w:t>
      </w:r>
      <w:r w:rsidRPr="00857B04">
        <w:rPr>
          <w:rFonts w:asciiTheme="majorBidi" w:eastAsia="Times New Roman" w:hAnsiTheme="majorBidi" w:cs="Times New Roman"/>
          <w:color w:val="111111"/>
          <w:kern w:val="0"/>
          <w:sz w:val="28"/>
          <w:szCs w:val="28"/>
          <w:rtl/>
          <w14:ligatures w14:val="none"/>
        </w:rPr>
        <w:t>.</w:t>
      </w:r>
    </w:p>
    <w:p w14:paraId="0667A260" w14:textId="6A303FD4" w:rsidR="00857B04" w:rsidRPr="00857B04" w:rsidRDefault="00857B04" w:rsidP="00857B04">
      <w:pPr>
        <w:pStyle w:val="ListParagraph"/>
        <w:numPr>
          <w:ilvl w:val="0"/>
          <w:numId w:val="8"/>
        </w:numPr>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Alharbi, I. B. A., Jamil, R., Mahmood, N., &amp; </w:t>
      </w:r>
      <w:proofErr w:type="spellStart"/>
      <w:r w:rsidRPr="00857B04">
        <w:rPr>
          <w:rFonts w:asciiTheme="majorBidi" w:eastAsia="Times New Roman" w:hAnsiTheme="majorBidi" w:cs="Times New Roman"/>
          <w:color w:val="111111"/>
          <w:kern w:val="0"/>
          <w:sz w:val="28"/>
          <w:szCs w:val="28"/>
          <w14:ligatures w14:val="none"/>
        </w:rPr>
        <w:t>Shaharoun</w:t>
      </w:r>
      <w:proofErr w:type="spellEnd"/>
      <w:r w:rsidRPr="00857B04">
        <w:rPr>
          <w:rFonts w:asciiTheme="majorBidi" w:eastAsia="Times New Roman" w:hAnsiTheme="majorBidi" w:cs="Times New Roman"/>
          <w:color w:val="111111"/>
          <w:kern w:val="0"/>
          <w:sz w:val="28"/>
          <w:szCs w:val="28"/>
          <w14:ligatures w14:val="none"/>
        </w:rPr>
        <w:t xml:space="preserve">, A. M. (2019). Organizational innovation: A review paper. Open Journal of Business and Management, 7, 1196-1206. </w:t>
      </w:r>
      <w:hyperlink r:id="rId8" w:history="1">
        <w:r w:rsidRPr="00857B04">
          <w:rPr>
            <w:rStyle w:val="Hyperlink"/>
            <w:rFonts w:asciiTheme="majorBidi" w:eastAsia="Times New Roman" w:hAnsiTheme="majorBidi" w:cs="Times New Roman"/>
            <w:kern w:val="0"/>
            <w:sz w:val="28"/>
            <w:szCs w:val="28"/>
            <w14:ligatures w14:val="none"/>
          </w:rPr>
          <w:t>https://doi.org/10.4236/ojbm.2019.73084</w:t>
        </w:r>
      </w:hyperlink>
    </w:p>
    <w:p w14:paraId="43608411" w14:textId="2513F05B" w:rsidR="00857B04" w:rsidRPr="00857B04" w:rsidRDefault="00857B04" w:rsidP="00857B04">
      <w:pPr>
        <w:pStyle w:val="ListParagraph"/>
        <w:numPr>
          <w:ilvl w:val="0"/>
          <w:numId w:val="8"/>
        </w:numPr>
        <w:spacing w:line="360" w:lineRule="auto"/>
        <w:jc w:val="both"/>
        <w:rPr>
          <w:rFonts w:asciiTheme="majorBidi" w:eastAsia="Times New Roman" w:hAnsiTheme="majorBidi" w:cs="Times New Roman"/>
          <w:color w:val="111111"/>
          <w:kern w:val="0"/>
          <w:sz w:val="28"/>
          <w:szCs w:val="28"/>
          <w14:ligatures w14:val="none"/>
        </w:rPr>
      </w:pPr>
      <w:proofErr w:type="spellStart"/>
      <w:r w:rsidRPr="00857B04">
        <w:rPr>
          <w:rFonts w:asciiTheme="majorBidi" w:eastAsia="Times New Roman" w:hAnsiTheme="majorBidi" w:cs="Times New Roman"/>
          <w:color w:val="111111"/>
          <w:kern w:val="0"/>
          <w:sz w:val="28"/>
          <w:szCs w:val="28"/>
          <w14:ligatures w14:val="none"/>
        </w:rPr>
        <w:t>Ashkevari</w:t>
      </w:r>
      <w:proofErr w:type="spellEnd"/>
      <w:r w:rsidRPr="00857B04">
        <w:rPr>
          <w:rFonts w:asciiTheme="majorBidi" w:eastAsia="Times New Roman" w:hAnsiTheme="majorBidi" w:cs="Times New Roman"/>
          <w:color w:val="111111"/>
          <w:kern w:val="0"/>
          <w:sz w:val="28"/>
          <w:szCs w:val="28"/>
          <w14:ligatures w14:val="none"/>
        </w:rPr>
        <w:t>, P. (2024). Examining the impact of strategic leadership on organizational performance considering the mediating role of organizational innovation. Journal of Industrial Management.</w:t>
      </w:r>
    </w:p>
    <w:p w14:paraId="21BDB930" w14:textId="3C6455EF" w:rsidR="00347C2A" w:rsidRPr="00857B04" w:rsidRDefault="00347C2A"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Astuti, R. D., </w:t>
      </w:r>
      <w:proofErr w:type="spellStart"/>
      <w:r w:rsidRPr="00857B04">
        <w:rPr>
          <w:rFonts w:asciiTheme="majorBidi" w:eastAsia="Times New Roman" w:hAnsiTheme="majorBidi" w:cstheme="majorBidi"/>
          <w:color w:val="111111"/>
          <w:kern w:val="0"/>
          <w:sz w:val="28"/>
          <w:szCs w:val="28"/>
          <w14:ligatures w14:val="none"/>
        </w:rPr>
        <w:t>Djati</w:t>
      </w:r>
      <w:proofErr w:type="spellEnd"/>
      <w:r w:rsidRPr="00857B04">
        <w:rPr>
          <w:rFonts w:asciiTheme="majorBidi" w:eastAsia="Times New Roman" w:hAnsiTheme="majorBidi" w:cstheme="majorBidi"/>
          <w:color w:val="111111"/>
          <w:kern w:val="0"/>
          <w:sz w:val="28"/>
          <w:szCs w:val="28"/>
          <w14:ligatures w14:val="none"/>
        </w:rPr>
        <w:t xml:space="preserve">, S. P., &amp; Santosa, P. W. (2023). The effect of agile leadership, organizational culture, and dynamic capabilities on organization agility </w:t>
      </w:r>
      <w:r w:rsidRPr="00857B04">
        <w:rPr>
          <w:rFonts w:asciiTheme="majorBidi" w:eastAsia="Times New Roman" w:hAnsiTheme="majorBidi" w:cstheme="majorBidi"/>
          <w:color w:val="111111"/>
          <w:kern w:val="0"/>
          <w:sz w:val="28"/>
          <w:szCs w:val="28"/>
          <w14:ligatures w14:val="none"/>
        </w:rPr>
        <w:t>is mediated</w:t>
      </w:r>
      <w:r w:rsidRPr="00857B04">
        <w:rPr>
          <w:rFonts w:asciiTheme="majorBidi" w:eastAsia="Times New Roman" w:hAnsiTheme="majorBidi" w:cstheme="majorBidi"/>
          <w:color w:val="111111"/>
          <w:kern w:val="0"/>
          <w:sz w:val="28"/>
          <w:szCs w:val="28"/>
          <w14:ligatures w14:val="none"/>
        </w:rPr>
        <w:t xml:space="preserve"> by innovation. International Journal of Economics Development Research.</w:t>
      </w:r>
    </w:p>
    <w:p w14:paraId="19A87EA6" w14:textId="04606293" w:rsidR="00347C2A" w:rsidRPr="00857B04" w:rsidRDefault="00347C2A"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lastRenderedPageBreak/>
        <w:t xml:space="preserve">Bassey, D. N., Uwa, K. L., &amp; </w:t>
      </w:r>
      <w:proofErr w:type="spellStart"/>
      <w:r w:rsidRPr="00857B04">
        <w:rPr>
          <w:rFonts w:asciiTheme="majorBidi" w:eastAsia="Times New Roman" w:hAnsiTheme="majorBidi" w:cstheme="majorBidi"/>
          <w:color w:val="111111"/>
          <w:kern w:val="0"/>
          <w:sz w:val="28"/>
          <w:szCs w:val="28"/>
          <w14:ligatures w14:val="none"/>
        </w:rPr>
        <w:t>Okurebia</w:t>
      </w:r>
      <w:proofErr w:type="spellEnd"/>
      <w:r w:rsidRPr="00857B04">
        <w:rPr>
          <w:rFonts w:asciiTheme="majorBidi" w:eastAsia="Times New Roman" w:hAnsiTheme="majorBidi" w:cstheme="majorBidi"/>
          <w:color w:val="111111"/>
          <w:kern w:val="0"/>
          <w:sz w:val="28"/>
          <w:szCs w:val="28"/>
          <w14:ligatures w14:val="none"/>
        </w:rPr>
        <w:t>, S. (2023). Strategic agility and organizational performance in selected manufacturing firms in South-South Nigeria. Journal of Management Studies.</w:t>
      </w:r>
    </w:p>
    <w:p w14:paraId="5432B020" w14:textId="6CE78FD4" w:rsidR="00347C2A" w:rsidRPr="00857B04" w:rsidRDefault="00347C2A"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Bhat, M. A. (2025). Strategic leadership and innovation performance: Examining the role of organizational agility. Journal of Business and Innovation Studies.</w:t>
      </w:r>
    </w:p>
    <w:p w14:paraId="45759797" w14:textId="50D900B4"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Brett, J. (2019). Evolving digital leadership. Australia: Spencer Science Media.</w:t>
      </w:r>
    </w:p>
    <w:p w14:paraId="103AD2E1" w14:textId="2C173C4F"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Chatterjee, S., et al. (2019). Actualizing information technology </w:t>
      </w:r>
      <w:r w:rsidRPr="00857B04">
        <w:rPr>
          <w:rFonts w:asciiTheme="majorBidi" w:eastAsia="Times New Roman" w:hAnsiTheme="majorBidi" w:cstheme="majorBidi"/>
          <w:color w:val="111111"/>
          <w:kern w:val="0"/>
          <w:sz w:val="28"/>
          <w:szCs w:val="28"/>
          <w14:ligatures w14:val="none"/>
        </w:rPr>
        <w:t>affords</w:t>
      </w:r>
      <w:r w:rsidRPr="00857B04">
        <w:rPr>
          <w:rFonts w:asciiTheme="majorBidi" w:eastAsia="Times New Roman" w:hAnsiTheme="majorBidi" w:cstheme="majorBidi"/>
          <w:color w:val="111111"/>
          <w:kern w:val="0"/>
          <w:sz w:val="28"/>
          <w:szCs w:val="28"/>
          <w14:ligatures w14:val="none"/>
        </w:rPr>
        <w:t xml:space="preserve"> organizational innovation: The role of organizational courage. The Journal of Strategic Information Systems, 28(4), 1-54.</w:t>
      </w:r>
    </w:p>
    <w:p w14:paraId="64DB72BE" w14:textId="1E2FE6D8"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Depolo, M., &amp; Vignoli, M. (2019). Accompanying organizational innovation by research: The case for performance evaluation of Italian school principals. </w:t>
      </w:r>
      <w:proofErr w:type="gramStart"/>
      <w:r w:rsidRPr="00857B04">
        <w:rPr>
          <w:rFonts w:asciiTheme="majorBidi" w:eastAsia="Times New Roman" w:hAnsiTheme="majorBidi" w:cstheme="majorBidi"/>
          <w:color w:val="111111"/>
          <w:kern w:val="0"/>
          <w:sz w:val="28"/>
          <w:szCs w:val="28"/>
          <w14:ligatures w14:val="none"/>
        </w:rPr>
        <w:t>Master’s</w:t>
      </w:r>
      <w:proofErr w:type="gramEnd"/>
      <w:r w:rsidRPr="00857B04">
        <w:rPr>
          <w:rFonts w:asciiTheme="majorBidi" w:eastAsia="Times New Roman" w:hAnsiTheme="majorBidi" w:cstheme="majorBidi"/>
          <w:color w:val="111111"/>
          <w:kern w:val="0"/>
          <w:sz w:val="28"/>
          <w:szCs w:val="28"/>
          <w14:ligatures w14:val="none"/>
        </w:rPr>
        <w:t xml:space="preserve"> in business administration</w:t>
      </w:r>
      <w:r w:rsidRPr="00857B04">
        <w:rPr>
          <w:rFonts w:asciiTheme="majorBidi" w:eastAsia="Times New Roman" w:hAnsiTheme="majorBidi" w:cstheme="majorBidi"/>
          <w:color w:val="111111"/>
          <w:kern w:val="0"/>
          <w:sz w:val="28"/>
          <w:szCs w:val="28"/>
          <w14:ligatures w14:val="none"/>
        </w:rPr>
        <w:t>, Di Trento University, Italy.</w:t>
      </w:r>
    </w:p>
    <w:p w14:paraId="23DA22BF" w14:textId="0B465C14"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heme="majorBidi"/>
          <w:color w:val="111111"/>
          <w:kern w:val="0"/>
          <w:sz w:val="28"/>
          <w:szCs w:val="28"/>
          <w14:ligatures w14:val="none"/>
        </w:rPr>
        <w:t xml:space="preserve">Dirisu, J. I., Iyiola, O., &amp; </w:t>
      </w:r>
      <w:proofErr w:type="spellStart"/>
      <w:r w:rsidRPr="00857B04">
        <w:rPr>
          <w:rFonts w:asciiTheme="majorBidi" w:eastAsia="Times New Roman" w:hAnsiTheme="majorBidi" w:cstheme="majorBidi"/>
          <w:color w:val="111111"/>
          <w:kern w:val="0"/>
          <w:sz w:val="28"/>
          <w:szCs w:val="28"/>
          <w14:ligatures w14:val="none"/>
        </w:rPr>
        <w:t>Ibidunni</w:t>
      </w:r>
      <w:proofErr w:type="spellEnd"/>
      <w:r w:rsidRPr="00857B04">
        <w:rPr>
          <w:rFonts w:asciiTheme="majorBidi" w:eastAsia="Times New Roman" w:hAnsiTheme="majorBidi" w:cstheme="majorBidi"/>
          <w:color w:val="111111"/>
          <w:kern w:val="0"/>
          <w:sz w:val="28"/>
          <w:szCs w:val="28"/>
          <w14:ligatures w14:val="none"/>
        </w:rPr>
        <w:t>, O. S. (2013). Product differentiation: A tool of competitive advantage and optimal organizational performance (A study of Unilever Nigeria PLC). European Scientific Journal, 9(34), 258-281.</w:t>
      </w:r>
    </w:p>
    <w:p w14:paraId="00F5D7EA" w14:textId="560174A4"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heme="majorBidi"/>
          <w:color w:val="111111"/>
          <w:kern w:val="0"/>
          <w:sz w:val="28"/>
          <w:szCs w:val="28"/>
          <w14:ligatures w14:val="none"/>
        </w:rPr>
        <w:t xml:space="preserve">Godet, M., Durance, P., &amp; </w:t>
      </w:r>
      <w:proofErr w:type="spellStart"/>
      <w:r w:rsidRPr="00857B04">
        <w:rPr>
          <w:rFonts w:asciiTheme="majorBidi" w:eastAsia="Times New Roman" w:hAnsiTheme="majorBidi" w:cstheme="majorBidi"/>
          <w:color w:val="111111"/>
          <w:kern w:val="0"/>
          <w:sz w:val="28"/>
          <w:szCs w:val="28"/>
          <w14:ligatures w14:val="none"/>
        </w:rPr>
        <w:t>Mousli</w:t>
      </w:r>
      <w:proofErr w:type="spellEnd"/>
      <w:r w:rsidRPr="00857B04">
        <w:rPr>
          <w:rFonts w:asciiTheme="majorBidi" w:eastAsia="Times New Roman" w:hAnsiTheme="majorBidi" w:cstheme="majorBidi"/>
          <w:color w:val="111111"/>
          <w:kern w:val="0"/>
          <w:sz w:val="28"/>
          <w:szCs w:val="28"/>
          <w14:ligatures w14:val="none"/>
        </w:rPr>
        <w:t xml:space="preserve">, M. (2019). </w:t>
      </w:r>
      <w:proofErr w:type="spellStart"/>
      <w:r w:rsidRPr="00857B04">
        <w:rPr>
          <w:rFonts w:asciiTheme="majorBidi" w:eastAsia="Times New Roman" w:hAnsiTheme="majorBidi" w:cstheme="majorBidi"/>
          <w:color w:val="111111"/>
          <w:kern w:val="0"/>
          <w:sz w:val="28"/>
          <w:szCs w:val="28"/>
          <w14:ligatures w14:val="none"/>
        </w:rPr>
        <w:t>Créativité</w:t>
      </w:r>
      <w:proofErr w:type="spellEnd"/>
      <w:r w:rsidRPr="00857B04">
        <w:rPr>
          <w:rFonts w:asciiTheme="majorBidi" w:eastAsia="Times New Roman" w:hAnsiTheme="majorBidi" w:cstheme="majorBidi"/>
          <w:color w:val="111111"/>
          <w:kern w:val="0"/>
          <w:sz w:val="28"/>
          <w:szCs w:val="28"/>
          <w14:ligatures w14:val="none"/>
        </w:rPr>
        <w:t xml:space="preserve"> et innovation dans les </w:t>
      </w:r>
      <w:proofErr w:type="spellStart"/>
      <w:r w:rsidRPr="00857B04">
        <w:rPr>
          <w:rFonts w:asciiTheme="majorBidi" w:eastAsia="Times New Roman" w:hAnsiTheme="majorBidi" w:cstheme="majorBidi"/>
          <w:color w:val="111111"/>
          <w:kern w:val="0"/>
          <w:sz w:val="28"/>
          <w:szCs w:val="28"/>
          <w14:ligatures w14:val="none"/>
        </w:rPr>
        <w:t>territoires</w:t>
      </w:r>
      <w:proofErr w:type="spellEnd"/>
      <w:r w:rsidRPr="00857B04">
        <w:rPr>
          <w:rFonts w:asciiTheme="majorBidi" w:eastAsia="Times New Roman" w:hAnsiTheme="majorBidi" w:cstheme="majorBidi"/>
          <w:color w:val="111111"/>
          <w:kern w:val="0"/>
          <w:sz w:val="28"/>
          <w:szCs w:val="28"/>
          <w14:ligatures w14:val="none"/>
        </w:rPr>
        <w:t xml:space="preserve">. France: Conseil </w:t>
      </w:r>
      <w:proofErr w:type="spellStart"/>
      <w:r w:rsidRPr="00857B04">
        <w:rPr>
          <w:rFonts w:asciiTheme="majorBidi" w:eastAsia="Times New Roman" w:hAnsiTheme="majorBidi" w:cstheme="majorBidi"/>
          <w:color w:val="111111"/>
          <w:kern w:val="0"/>
          <w:sz w:val="28"/>
          <w:szCs w:val="28"/>
          <w14:ligatures w14:val="none"/>
        </w:rPr>
        <w:t>d'analyse</w:t>
      </w:r>
      <w:proofErr w:type="spellEnd"/>
      <w:r w:rsidRPr="00857B04">
        <w:rPr>
          <w:rFonts w:asciiTheme="majorBidi" w:eastAsia="Times New Roman" w:hAnsiTheme="majorBidi" w:cstheme="majorBidi"/>
          <w:color w:val="111111"/>
          <w:kern w:val="0"/>
          <w:sz w:val="28"/>
          <w:szCs w:val="28"/>
          <w14:ligatures w14:val="none"/>
        </w:rPr>
        <w:t xml:space="preserve"> </w:t>
      </w:r>
      <w:proofErr w:type="spellStart"/>
      <w:r w:rsidRPr="00857B04">
        <w:rPr>
          <w:rFonts w:asciiTheme="majorBidi" w:eastAsia="Times New Roman" w:hAnsiTheme="majorBidi" w:cstheme="majorBidi"/>
          <w:color w:val="111111"/>
          <w:kern w:val="0"/>
          <w:sz w:val="28"/>
          <w:szCs w:val="28"/>
          <w14:ligatures w14:val="none"/>
        </w:rPr>
        <w:t>économique</w:t>
      </w:r>
      <w:proofErr w:type="spellEnd"/>
      <w:r w:rsidRPr="00857B04">
        <w:rPr>
          <w:rFonts w:asciiTheme="majorBidi" w:eastAsia="Times New Roman" w:hAnsiTheme="majorBidi" w:cstheme="majorBidi"/>
          <w:color w:val="111111"/>
          <w:kern w:val="0"/>
          <w:sz w:val="28"/>
          <w:szCs w:val="28"/>
          <w14:ligatures w14:val="none"/>
        </w:rPr>
        <w:t>.</w:t>
      </w:r>
    </w:p>
    <w:p w14:paraId="45E860D2" w14:textId="38039C57"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heme="majorBidi"/>
          <w:color w:val="111111"/>
          <w:kern w:val="0"/>
          <w:sz w:val="28"/>
          <w:szCs w:val="28"/>
          <w14:ligatures w14:val="none"/>
        </w:rPr>
        <w:t>Hero, J. L. (2020, June). Exploring the principal's technology leadership: Its influence on teachers' technological proficiency. International Journal of Academic Pedagogical Research, 4(6), 4-10.</w:t>
      </w:r>
    </w:p>
    <w:p w14:paraId="442A6E6C" w14:textId="4822EC4E" w:rsidR="00347C2A" w:rsidRPr="00857B04" w:rsidRDefault="00347C2A"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Husein, A., et al. (2025). Impact of agile leadership, organizational learning, and social capital on competitive advantage: The mediating role of sustainable organizational performance. International Journal of Organizational Leadership.</w:t>
      </w:r>
    </w:p>
    <w:p w14:paraId="1A2BFAFA" w14:textId="5757BC86" w:rsidR="00347C2A" w:rsidRPr="00857B04" w:rsidRDefault="00347C2A"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proofErr w:type="spellStart"/>
      <w:r w:rsidRPr="00857B04">
        <w:rPr>
          <w:rFonts w:asciiTheme="majorBidi" w:eastAsia="Times New Roman" w:hAnsiTheme="majorBidi" w:cstheme="majorBidi"/>
          <w:color w:val="111111"/>
          <w:kern w:val="0"/>
          <w:sz w:val="28"/>
          <w:szCs w:val="28"/>
          <w14:ligatures w14:val="none"/>
        </w:rPr>
        <w:lastRenderedPageBreak/>
        <w:t>Jassmy</w:t>
      </w:r>
      <w:proofErr w:type="spellEnd"/>
      <w:r w:rsidRPr="00857B04">
        <w:rPr>
          <w:rFonts w:asciiTheme="majorBidi" w:eastAsia="Times New Roman" w:hAnsiTheme="majorBidi" w:cstheme="majorBidi"/>
          <w:color w:val="111111"/>
          <w:kern w:val="0"/>
          <w:sz w:val="28"/>
          <w:szCs w:val="28"/>
          <w14:ligatures w14:val="none"/>
        </w:rPr>
        <w:t xml:space="preserve">, B. A., &amp; Katea, A. H. (2022). Agile leadership and its impact on organizational innovation: An analytical study in Iraqi universities. </w:t>
      </w:r>
      <w:proofErr w:type="spellStart"/>
      <w:r w:rsidRPr="00857B04">
        <w:rPr>
          <w:rFonts w:asciiTheme="majorBidi" w:eastAsia="Times New Roman" w:hAnsiTheme="majorBidi" w:cstheme="majorBidi"/>
          <w:color w:val="111111"/>
          <w:kern w:val="0"/>
          <w:sz w:val="28"/>
          <w:szCs w:val="28"/>
          <w14:ligatures w14:val="none"/>
        </w:rPr>
        <w:t>Versita</w:t>
      </w:r>
      <w:proofErr w:type="spellEnd"/>
      <w:r w:rsidRPr="00857B04">
        <w:rPr>
          <w:rFonts w:asciiTheme="majorBidi" w:eastAsia="Times New Roman" w:hAnsiTheme="majorBidi" w:cstheme="majorBidi"/>
          <w:color w:val="111111"/>
          <w:kern w:val="0"/>
          <w:sz w:val="28"/>
          <w:szCs w:val="28"/>
          <w14:ligatures w14:val="none"/>
        </w:rPr>
        <w:t xml:space="preserve"> Journal.</w:t>
      </w:r>
    </w:p>
    <w:p w14:paraId="504AC759" w14:textId="42AE3274"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heme="majorBidi"/>
          <w:color w:val="111111"/>
          <w:kern w:val="0"/>
          <w:sz w:val="28"/>
          <w:szCs w:val="28"/>
          <w14:ligatures w14:val="none"/>
        </w:rPr>
        <w:t xml:space="preserve">Martin. (2017). The innovation process: Definition, models, risks &amp; opportunities, tips. </w:t>
      </w:r>
      <w:proofErr w:type="spellStart"/>
      <w:r w:rsidRPr="00857B04">
        <w:rPr>
          <w:rFonts w:asciiTheme="majorBidi" w:eastAsia="Times New Roman" w:hAnsiTheme="majorBidi" w:cstheme="majorBidi"/>
          <w:color w:val="111111"/>
          <w:kern w:val="0"/>
          <w:sz w:val="28"/>
          <w:szCs w:val="28"/>
          <w14:ligatures w14:val="none"/>
        </w:rPr>
        <w:t>Cleverism</w:t>
      </w:r>
      <w:proofErr w:type="spellEnd"/>
      <w:r w:rsidRPr="00857B04">
        <w:rPr>
          <w:rFonts w:asciiTheme="majorBidi" w:eastAsia="Times New Roman" w:hAnsiTheme="majorBidi" w:cstheme="majorBidi"/>
          <w:color w:val="111111"/>
          <w:kern w:val="0"/>
          <w:sz w:val="28"/>
          <w:szCs w:val="28"/>
          <w14:ligatures w14:val="none"/>
        </w:rPr>
        <w:t xml:space="preserve">. </w:t>
      </w:r>
      <w:hyperlink r:id="rId9" w:history="1">
        <w:r w:rsidRPr="00857B04">
          <w:rPr>
            <w:rStyle w:val="Hyperlink"/>
            <w:rFonts w:asciiTheme="majorBidi" w:eastAsia="Times New Roman" w:hAnsiTheme="majorBidi" w:cstheme="majorBidi"/>
            <w:kern w:val="0"/>
            <w:sz w:val="28"/>
            <w:szCs w:val="28"/>
            <w14:ligatures w14:val="none"/>
          </w:rPr>
          <w:t>https://www.cleverism.com/innovation-process-definition-models-tips</w:t>
        </w:r>
      </w:hyperlink>
    </w:p>
    <w:p w14:paraId="319C50ED" w14:textId="5AE12169"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heme="majorBidi"/>
          <w:color w:val="111111"/>
          <w:kern w:val="0"/>
          <w:sz w:val="28"/>
          <w:szCs w:val="28"/>
          <w14:ligatures w14:val="none"/>
        </w:rPr>
        <w:t xml:space="preserve">Muthami </w:t>
      </w:r>
      <w:proofErr w:type="spellStart"/>
      <w:r w:rsidRPr="00857B04">
        <w:rPr>
          <w:rFonts w:asciiTheme="majorBidi" w:eastAsia="Times New Roman" w:hAnsiTheme="majorBidi" w:cstheme="majorBidi"/>
          <w:color w:val="111111"/>
          <w:kern w:val="0"/>
          <w:sz w:val="28"/>
          <w:szCs w:val="28"/>
          <w14:ligatures w14:val="none"/>
        </w:rPr>
        <w:t>Kising'u</w:t>
      </w:r>
      <w:proofErr w:type="spellEnd"/>
      <w:r w:rsidRPr="00857B04">
        <w:rPr>
          <w:rFonts w:asciiTheme="majorBidi" w:eastAsia="Times New Roman" w:hAnsiTheme="majorBidi" w:cstheme="majorBidi"/>
          <w:color w:val="111111"/>
          <w:kern w:val="0"/>
          <w:sz w:val="28"/>
          <w:szCs w:val="28"/>
          <w14:ligatures w14:val="none"/>
        </w:rPr>
        <w:t>, T., et al. (2016). The role of organizational innovation in sustainable competitive advantage in universities in Kenya. The International Journal of Sciences and Humanities Invention, 15(3), 135-148.</w:t>
      </w:r>
    </w:p>
    <w:p w14:paraId="6123471B" w14:textId="1697D435" w:rsidR="00857B04" w:rsidRPr="00857B04" w:rsidRDefault="00347C2A"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Musa, R. (2025). Leadership agility and innovation in the public sector in the United Arab Emirates through a structural framework for transformative change. Public Administration Review.</w:t>
      </w:r>
    </w:p>
    <w:p w14:paraId="55902403" w14:textId="15ED5BD7" w:rsidR="00347C2A" w:rsidRPr="00857B04" w:rsidRDefault="00347C2A"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proofErr w:type="spellStart"/>
      <w:r w:rsidRPr="00857B04">
        <w:rPr>
          <w:rFonts w:asciiTheme="majorBidi" w:eastAsia="Times New Roman" w:hAnsiTheme="majorBidi" w:cstheme="majorBidi"/>
          <w:color w:val="111111"/>
          <w:kern w:val="0"/>
          <w:sz w:val="28"/>
          <w:szCs w:val="28"/>
          <w14:ligatures w14:val="none"/>
        </w:rPr>
        <w:t>Narenji</w:t>
      </w:r>
      <w:proofErr w:type="spellEnd"/>
      <w:r w:rsidRPr="00857B04">
        <w:rPr>
          <w:rFonts w:asciiTheme="majorBidi" w:eastAsia="Times New Roman" w:hAnsiTheme="majorBidi" w:cstheme="majorBidi"/>
          <w:color w:val="111111"/>
          <w:kern w:val="0"/>
          <w:sz w:val="28"/>
          <w:szCs w:val="28"/>
          <w14:ligatures w14:val="none"/>
        </w:rPr>
        <w:t xml:space="preserve"> Thani, M., et al. (2022). The effect of self-development on the tendency toward organizational innovation in higher education institutions with the mediating role of human resource flexibility. International Journal of Educational Management.</w:t>
      </w:r>
    </w:p>
    <w:p w14:paraId="0DB27FB4" w14:textId="6C9CAAAB"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Oluwayemisi, B. B., &amp; Adeoye, A. O. (2018). Organizational learning, organizational innovation, and organizational performance: Empirical evidence among selected manufacturing companies in Lagos metropolis, Nigeria. Journal of Economics and Management, 33</w:t>
      </w:r>
      <w:proofErr w:type="gramStart"/>
      <w:r w:rsidRPr="00857B04">
        <w:rPr>
          <w:rFonts w:asciiTheme="majorBidi" w:eastAsia="Times New Roman" w:hAnsiTheme="majorBidi" w:cstheme="majorBidi"/>
          <w:color w:val="111111"/>
          <w:kern w:val="0"/>
          <w:sz w:val="28"/>
          <w:szCs w:val="28"/>
          <w14:ligatures w14:val="none"/>
        </w:rPr>
        <w:t>A(</w:t>
      </w:r>
      <w:proofErr w:type="gramEnd"/>
      <w:r w:rsidRPr="00857B04">
        <w:rPr>
          <w:rFonts w:asciiTheme="majorBidi" w:eastAsia="Times New Roman" w:hAnsiTheme="majorBidi" w:cstheme="majorBidi"/>
          <w:color w:val="111111"/>
          <w:kern w:val="0"/>
          <w:sz w:val="28"/>
          <w:szCs w:val="28"/>
          <w14:ligatures w14:val="none"/>
        </w:rPr>
        <w:t>3).</w:t>
      </w:r>
    </w:p>
    <w:p w14:paraId="00D8D5AA" w14:textId="695BC6E6" w:rsidR="00347C2A" w:rsidRPr="00857B04" w:rsidRDefault="00347C2A"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Porkodi, S. (2024). The effectiveness of agile leadership in practice: A comprehensive meta-analysis of empirical studies on organizational outcomes. Journal of Organizational Studies.</w:t>
      </w:r>
    </w:p>
    <w:p w14:paraId="75DB9025" w14:textId="75973407"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proofErr w:type="spellStart"/>
      <w:r w:rsidRPr="00857B04">
        <w:rPr>
          <w:rFonts w:asciiTheme="majorBidi" w:eastAsia="Times New Roman" w:hAnsiTheme="majorBidi" w:cstheme="majorBidi"/>
          <w:color w:val="111111"/>
          <w:kern w:val="0"/>
          <w:sz w:val="28"/>
          <w:szCs w:val="28"/>
          <w14:ligatures w14:val="none"/>
        </w:rPr>
        <w:t>Sitthisomjin</w:t>
      </w:r>
      <w:proofErr w:type="spellEnd"/>
      <w:r w:rsidRPr="00857B04">
        <w:rPr>
          <w:rFonts w:asciiTheme="majorBidi" w:eastAsia="Times New Roman" w:hAnsiTheme="majorBidi" w:cstheme="majorBidi"/>
          <w:color w:val="111111"/>
          <w:kern w:val="0"/>
          <w:sz w:val="28"/>
          <w:szCs w:val="28"/>
          <w14:ligatures w14:val="none"/>
        </w:rPr>
        <w:t xml:space="preserve">, S., &amp; </w:t>
      </w:r>
      <w:proofErr w:type="spellStart"/>
      <w:r w:rsidRPr="00857B04">
        <w:rPr>
          <w:rFonts w:asciiTheme="majorBidi" w:eastAsia="Times New Roman" w:hAnsiTheme="majorBidi" w:cstheme="majorBidi"/>
          <w:color w:val="111111"/>
          <w:kern w:val="0"/>
          <w:sz w:val="28"/>
          <w:szCs w:val="28"/>
          <w14:ligatures w14:val="none"/>
        </w:rPr>
        <w:t>Phuseeorn</w:t>
      </w:r>
      <w:proofErr w:type="spellEnd"/>
      <w:r w:rsidRPr="00857B04">
        <w:rPr>
          <w:rFonts w:asciiTheme="majorBidi" w:eastAsia="Times New Roman" w:hAnsiTheme="majorBidi" w:cstheme="majorBidi"/>
          <w:color w:val="111111"/>
          <w:kern w:val="0"/>
          <w:sz w:val="28"/>
          <w:szCs w:val="28"/>
          <w14:ligatures w14:val="none"/>
        </w:rPr>
        <w:t>, P. (2018). The effects of innovation management on school performance of secondary schools in Thailand. International Journal of Education Management Studies.</w:t>
      </w:r>
    </w:p>
    <w:p w14:paraId="47163679" w14:textId="6BFE1064"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lastRenderedPageBreak/>
        <w:t xml:space="preserve"> </w:t>
      </w:r>
      <w:r w:rsidRPr="00857B04">
        <w:rPr>
          <w:rFonts w:asciiTheme="majorBidi" w:eastAsia="Times New Roman" w:hAnsiTheme="majorBidi" w:cstheme="majorBidi"/>
          <w:color w:val="111111"/>
          <w:kern w:val="0"/>
          <w:sz w:val="28"/>
          <w:szCs w:val="28"/>
          <w14:ligatures w14:val="none"/>
        </w:rPr>
        <w:t xml:space="preserve">Tohidi, H., &amp; Jabbari, M. M. (2012). The importance of innovation and its crucial role in growth, survival and success of organizations. Procedia Technology, 1, 535-538. </w:t>
      </w:r>
      <w:hyperlink r:id="rId10" w:history="1">
        <w:r w:rsidRPr="00857B04">
          <w:rPr>
            <w:rStyle w:val="Hyperlink"/>
            <w:rFonts w:asciiTheme="majorBidi" w:eastAsia="Times New Roman" w:hAnsiTheme="majorBidi" w:cstheme="majorBidi"/>
            <w:kern w:val="0"/>
            <w:sz w:val="28"/>
            <w:szCs w:val="28"/>
            <w14:ligatures w14:val="none"/>
          </w:rPr>
          <w:t>https://doi.org/10.1016/j.protcy.2012.02.116</w:t>
        </w:r>
      </w:hyperlink>
    </w:p>
    <w:p w14:paraId="717AC729" w14:textId="4F897836" w:rsidR="00857B04" w:rsidRPr="00857B04" w:rsidRDefault="00857B04" w:rsidP="00857B04">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heme="majorBidi"/>
          <w:color w:val="111111"/>
          <w:kern w:val="0"/>
          <w:sz w:val="28"/>
          <w:szCs w:val="28"/>
          <w14:ligatures w14:val="none"/>
        </w:rPr>
        <w:t xml:space="preserve">Zubancic, T., &amp; </w:t>
      </w:r>
      <w:proofErr w:type="spellStart"/>
      <w:r w:rsidRPr="00857B04">
        <w:rPr>
          <w:rFonts w:asciiTheme="majorBidi" w:eastAsia="Times New Roman" w:hAnsiTheme="majorBidi" w:cstheme="majorBidi"/>
          <w:color w:val="111111"/>
          <w:kern w:val="0"/>
          <w:sz w:val="28"/>
          <w:szCs w:val="28"/>
          <w14:ligatures w14:val="none"/>
        </w:rPr>
        <w:t>Herneoja</w:t>
      </w:r>
      <w:proofErr w:type="spellEnd"/>
      <w:r w:rsidRPr="00857B04">
        <w:rPr>
          <w:rFonts w:asciiTheme="majorBidi" w:eastAsia="Times New Roman" w:hAnsiTheme="majorBidi" w:cstheme="majorBidi"/>
          <w:color w:val="111111"/>
          <w:kern w:val="0"/>
          <w:sz w:val="28"/>
          <w:szCs w:val="28"/>
          <w14:ligatures w14:val="none"/>
        </w:rPr>
        <w:t>, A. (2016). Digital leadership. ResearchGate, 10(34), 34-63.</w:t>
      </w:r>
    </w:p>
    <w:p w14:paraId="36AE4A6E" w14:textId="77777777" w:rsidR="00347C2A" w:rsidRPr="00857B04" w:rsidRDefault="00347C2A" w:rsidP="00857B04">
      <w:pPr>
        <w:pStyle w:val="ListParagraph"/>
        <w:spacing w:line="360" w:lineRule="auto"/>
        <w:jc w:val="both"/>
        <w:rPr>
          <w:rFonts w:asciiTheme="majorBidi" w:eastAsia="Times New Roman" w:hAnsiTheme="majorBidi" w:cstheme="majorBidi"/>
          <w:color w:val="111111"/>
          <w:kern w:val="0"/>
          <w:sz w:val="28"/>
          <w:szCs w:val="28"/>
          <w14:ligatures w14:val="none"/>
        </w:rPr>
      </w:pPr>
    </w:p>
    <w:sectPr w:rsidR="00347C2A" w:rsidRPr="00857B04" w:rsidSect="004E195D">
      <w:footerReference w:type="default" r:id="rId11"/>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ED87C" w14:textId="77777777" w:rsidR="00CC05EC" w:rsidRDefault="00CC05EC" w:rsidP="00254574">
      <w:pPr>
        <w:spacing w:after="0" w:line="240" w:lineRule="auto"/>
      </w:pPr>
      <w:r>
        <w:separator/>
      </w:r>
    </w:p>
  </w:endnote>
  <w:endnote w:type="continuationSeparator" w:id="0">
    <w:p w14:paraId="2F5BC9A4" w14:textId="77777777" w:rsidR="00CC05EC" w:rsidRDefault="00CC05EC" w:rsidP="00254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842388"/>
      <w:docPartObj>
        <w:docPartGallery w:val="Page Numbers (Bottom of Page)"/>
        <w:docPartUnique/>
      </w:docPartObj>
    </w:sdtPr>
    <w:sdtEndPr>
      <w:rPr>
        <w:noProof/>
      </w:rPr>
    </w:sdtEndPr>
    <w:sdtContent>
      <w:p w14:paraId="601EB0B9" w14:textId="70A5DE02" w:rsidR="00254574" w:rsidRDefault="002545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EEE5B4" w14:textId="77777777" w:rsidR="00254574" w:rsidRDefault="002545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2CA52" w14:textId="77777777" w:rsidR="00CC05EC" w:rsidRDefault="00CC05EC" w:rsidP="00254574">
      <w:pPr>
        <w:spacing w:after="0" w:line="240" w:lineRule="auto"/>
      </w:pPr>
      <w:r>
        <w:separator/>
      </w:r>
    </w:p>
  </w:footnote>
  <w:footnote w:type="continuationSeparator" w:id="0">
    <w:p w14:paraId="0D29F363" w14:textId="77777777" w:rsidR="00CC05EC" w:rsidRDefault="00CC05EC" w:rsidP="00254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F1C89"/>
    <w:multiLevelType w:val="hybridMultilevel"/>
    <w:tmpl w:val="B48CD412"/>
    <w:lvl w:ilvl="0" w:tplc="166A3182">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63181"/>
    <w:multiLevelType w:val="multilevel"/>
    <w:tmpl w:val="CEFE9EE4"/>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B843387"/>
    <w:multiLevelType w:val="hybridMultilevel"/>
    <w:tmpl w:val="35E6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847B2C"/>
    <w:multiLevelType w:val="hybridMultilevel"/>
    <w:tmpl w:val="D89A3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AC4B80"/>
    <w:multiLevelType w:val="hybridMultilevel"/>
    <w:tmpl w:val="F5509556"/>
    <w:lvl w:ilvl="0" w:tplc="E474B180">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AA1FB6"/>
    <w:multiLevelType w:val="hybridMultilevel"/>
    <w:tmpl w:val="9B2C55A2"/>
    <w:lvl w:ilvl="0" w:tplc="166A3182">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5428BF"/>
    <w:multiLevelType w:val="hybridMultilevel"/>
    <w:tmpl w:val="F620E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617A2D"/>
    <w:multiLevelType w:val="hybridMultilevel"/>
    <w:tmpl w:val="24C64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4B414B"/>
    <w:multiLevelType w:val="hybridMultilevel"/>
    <w:tmpl w:val="8452E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8A6A53"/>
    <w:multiLevelType w:val="hybridMultilevel"/>
    <w:tmpl w:val="8B466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4142645">
    <w:abstractNumId w:val="9"/>
  </w:num>
  <w:num w:numId="2" w16cid:durableId="512769636">
    <w:abstractNumId w:val="8"/>
  </w:num>
  <w:num w:numId="3" w16cid:durableId="366873670">
    <w:abstractNumId w:val="7"/>
  </w:num>
  <w:num w:numId="4" w16cid:durableId="1704936374">
    <w:abstractNumId w:val="3"/>
  </w:num>
  <w:num w:numId="5" w16cid:durableId="1904023806">
    <w:abstractNumId w:val="4"/>
  </w:num>
  <w:num w:numId="6" w16cid:durableId="1888178201">
    <w:abstractNumId w:val="2"/>
  </w:num>
  <w:num w:numId="7" w16cid:durableId="1490832261">
    <w:abstractNumId w:val="6"/>
  </w:num>
  <w:num w:numId="8" w16cid:durableId="292953920">
    <w:abstractNumId w:val="5"/>
  </w:num>
  <w:num w:numId="9" w16cid:durableId="391202465">
    <w:abstractNumId w:val="1"/>
  </w:num>
  <w:num w:numId="10" w16cid:durableId="1202867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737"/>
    <w:rsid w:val="00022F03"/>
    <w:rsid w:val="000360B7"/>
    <w:rsid w:val="000D25F6"/>
    <w:rsid w:val="002526BC"/>
    <w:rsid w:val="00254574"/>
    <w:rsid w:val="00347C2A"/>
    <w:rsid w:val="00372FC7"/>
    <w:rsid w:val="00377A91"/>
    <w:rsid w:val="004070B1"/>
    <w:rsid w:val="004E054F"/>
    <w:rsid w:val="004E195D"/>
    <w:rsid w:val="00541A7E"/>
    <w:rsid w:val="005E5B3F"/>
    <w:rsid w:val="006273B1"/>
    <w:rsid w:val="00647BB3"/>
    <w:rsid w:val="006679E1"/>
    <w:rsid w:val="0069675E"/>
    <w:rsid w:val="0076365C"/>
    <w:rsid w:val="007C6EFB"/>
    <w:rsid w:val="00833CC7"/>
    <w:rsid w:val="00857B04"/>
    <w:rsid w:val="00870505"/>
    <w:rsid w:val="00950472"/>
    <w:rsid w:val="009D160C"/>
    <w:rsid w:val="00AA5737"/>
    <w:rsid w:val="00C056AD"/>
    <w:rsid w:val="00C45B39"/>
    <w:rsid w:val="00C52DBC"/>
    <w:rsid w:val="00C85F3A"/>
    <w:rsid w:val="00CA4A67"/>
    <w:rsid w:val="00CA65FD"/>
    <w:rsid w:val="00CC05EC"/>
    <w:rsid w:val="00CC3494"/>
    <w:rsid w:val="00CF37FC"/>
    <w:rsid w:val="00D12D7D"/>
    <w:rsid w:val="00D4577D"/>
    <w:rsid w:val="00DA7619"/>
    <w:rsid w:val="00E00BDF"/>
    <w:rsid w:val="00E0493E"/>
    <w:rsid w:val="00E32331"/>
    <w:rsid w:val="00E438AE"/>
    <w:rsid w:val="00F43D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3B96"/>
  <w15:chartTrackingRefBased/>
  <w15:docId w15:val="{A98ED9BD-ABC8-4457-850A-0162AC1C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574"/>
  </w:style>
  <w:style w:type="paragraph" w:styleId="Heading1">
    <w:name w:val="heading 1"/>
    <w:basedOn w:val="Normal"/>
    <w:next w:val="Normal"/>
    <w:link w:val="Heading1Char"/>
    <w:uiPriority w:val="9"/>
    <w:qFormat/>
    <w:rsid w:val="00AA57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57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57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57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57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57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7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7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7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7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57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57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57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57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57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7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7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737"/>
    <w:rPr>
      <w:rFonts w:eastAsiaTheme="majorEastAsia" w:cstheme="majorBidi"/>
      <w:color w:val="272727" w:themeColor="text1" w:themeTint="D8"/>
    </w:rPr>
  </w:style>
  <w:style w:type="paragraph" w:styleId="Title">
    <w:name w:val="Title"/>
    <w:basedOn w:val="Normal"/>
    <w:next w:val="Normal"/>
    <w:link w:val="TitleChar"/>
    <w:uiPriority w:val="10"/>
    <w:qFormat/>
    <w:rsid w:val="00AA5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7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7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7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737"/>
    <w:pPr>
      <w:spacing w:before="160"/>
      <w:jc w:val="center"/>
    </w:pPr>
    <w:rPr>
      <w:i/>
      <w:iCs/>
      <w:color w:val="404040" w:themeColor="text1" w:themeTint="BF"/>
    </w:rPr>
  </w:style>
  <w:style w:type="character" w:customStyle="1" w:styleId="QuoteChar">
    <w:name w:val="Quote Char"/>
    <w:basedOn w:val="DefaultParagraphFont"/>
    <w:link w:val="Quote"/>
    <w:uiPriority w:val="29"/>
    <w:rsid w:val="00AA5737"/>
    <w:rPr>
      <w:i/>
      <w:iCs/>
      <w:color w:val="404040" w:themeColor="text1" w:themeTint="BF"/>
    </w:rPr>
  </w:style>
  <w:style w:type="paragraph" w:styleId="ListParagraph">
    <w:name w:val="List Paragraph"/>
    <w:basedOn w:val="Normal"/>
    <w:uiPriority w:val="34"/>
    <w:qFormat/>
    <w:rsid w:val="00AA5737"/>
    <w:pPr>
      <w:ind w:left="720"/>
      <w:contextualSpacing/>
    </w:pPr>
  </w:style>
  <w:style w:type="character" w:styleId="IntenseEmphasis">
    <w:name w:val="Intense Emphasis"/>
    <w:basedOn w:val="DefaultParagraphFont"/>
    <w:uiPriority w:val="21"/>
    <w:qFormat/>
    <w:rsid w:val="00AA5737"/>
    <w:rPr>
      <w:i/>
      <w:iCs/>
      <w:color w:val="2F5496" w:themeColor="accent1" w:themeShade="BF"/>
    </w:rPr>
  </w:style>
  <w:style w:type="paragraph" w:styleId="IntenseQuote">
    <w:name w:val="Intense Quote"/>
    <w:basedOn w:val="Normal"/>
    <w:next w:val="Normal"/>
    <w:link w:val="IntenseQuoteChar"/>
    <w:uiPriority w:val="30"/>
    <w:qFormat/>
    <w:rsid w:val="00AA57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5737"/>
    <w:rPr>
      <w:i/>
      <w:iCs/>
      <w:color w:val="2F5496" w:themeColor="accent1" w:themeShade="BF"/>
    </w:rPr>
  </w:style>
  <w:style w:type="character" w:styleId="IntenseReference">
    <w:name w:val="Intense Reference"/>
    <w:basedOn w:val="DefaultParagraphFont"/>
    <w:uiPriority w:val="32"/>
    <w:qFormat/>
    <w:rsid w:val="00AA5737"/>
    <w:rPr>
      <w:b/>
      <w:bCs/>
      <w:smallCaps/>
      <w:color w:val="2F5496" w:themeColor="accent1" w:themeShade="BF"/>
      <w:spacing w:val="5"/>
    </w:rPr>
  </w:style>
  <w:style w:type="paragraph" w:styleId="Header">
    <w:name w:val="header"/>
    <w:basedOn w:val="Normal"/>
    <w:link w:val="HeaderChar"/>
    <w:uiPriority w:val="99"/>
    <w:unhideWhenUsed/>
    <w:rsid w:val="002545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574"/>
  </w:style>
  <w:style w:type="paragraph" w:styleId="Footer">
    <w:name w:val="footer"/>
    <w:basedOn w:val="Normal"/>
    <w:link w:val="FooterChar"/>
    <w:uiPriority w:val="99"/>
    <w:unhideWhenUsed/>
    <w:rsid w:val="002545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574"/>
  </w:style>
  <w:style w:type="character" w:styleId="Emphasis">
    <w:name w:val="Emphasis"/>
    <w:basedOn w:val="DefaultParagraphFont"/>
    <w:uiPriority w:val="20"/>
    <w:qFormat/>
    <w:rsid w:val="00F43DF8"/>
    <w:rPr>
      <w:i/>
      <w:iCs/>
    </w:rPr>
  </w:style>
  <w:style w:type="character" w:customStyle="1" w:styleId="aupe">
    <w:name w:val="_aupe"/>
    <w:basedOn w:val="DefaultParagraphFont"/>
    <w:rsid w:val="00CA4A67"/>
  </w:style>
  <w:style w:type="character" w:styleId="Hyperlink">
    <w:name w:val="Hyperlink"/>
    <w:basedOn w:val="DefaultParagraphFont"/>
    <w:uiPriority w:val="99"/>
    <w:unhideWhenUsed/>
    <w:rsid w:val="009D160C"/>
    <w:rPr>
      <w:color w:val="0563C1" w:themeColor="hyperlink"/>
      <w:u w:val="single"/>
    </w:rPr>
  </w:style>
  <w:style w:type="character" w:styleId="UnresolvedMention">
    <w:name w:val="Unresolved Mention"/>
    <w:basedOn w:val="DefaultParagraphFont"/>
    <w:uiPriority w:val="99"/>
    <w:semiHidden/>
    <w:unhideWhenUsed/>
    <w:rsid w:val="009D16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236/ojbm.2019.7308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16/j.protcy.2012.02.116" TargetMode="External"/><Relationship Id="rId4" Type="http://schemas.openxmlformats.org/officeDocument/2006/relationships/settings" Target="settings.xml"/><Relationship Id="rId9" Type="http://schemas.openxmlformats.org/officeDocument/2006/relationships/hyperlink" Target="https://www.cleverism.com/innovation-process-definition-models-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93BE7-BBB2-4E34-8631-B35B17B12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10859</Words>
  <Characters>61899</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elnageh researcher</dc:creator>
  <cp:keywords/>
  <dc:description/>
  <cp:lastModifiedBy>elnageh researcher</cp:lastModifiedBy>
  <cp:revision>2</cp:revision>
  <dcterms:created xsi:type="dcterms:W3CDTF">2026-03-10T12:33:00Z</dcterms:created>
  <dcterms:modified xsi:type="dcterms:W3CDTF">2026-03-10T12:33:00Z</dcterms:modified>
</cp:coreProperties>
</file>