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ED54E" w14:textId="28902883" w:rsidR="004F600B" w:rsidRDefault="00195FBA">
      <w:pPr>
        <w:bidi/>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41CDC61" wp14:editId="523F378D">
            <wp:simplePos x="0" y="0"/>
            <wp:positionH relativeFrom="margin">
              <wp:align>center</wp:align>
            </wp:positionH>
            <wp:positionV relativeFrom="margin">
              <wp:posOffset>-228600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4314D5">
        <w:rPr>
          <w:rFonts w:ascii="ae_Cortoba" w:hAnsi="ae_Cortoba" w:cs="ae_Cortoba"/>
          <w:b/>
          <w:bCs/>
          <w:color w:val="548DD4" w:themeColor="text2" w:themeTint="99"/>
          <w:sz w:val="40"/>
          <w:szCs w:val="40"/>
        </w:rPr>
        <w:tab/>
      </w:r>
    </w:p>
    <w:p w14:paraId="2CD9EE8C"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3FA14933"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2982094A"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جامعة ميدأوشن</w:t>
      </w:r>
    </w:p>
    <w:p w14:paraId="7CAB149A" w14:textId="77777777" w:rsidR="004F600B" w:rsidRDefault="00195FBA">
      <w:pPr>
        <w:pStyle w:val="a7"/>
        <w:bidi/>
        <w:spacing w:line="360" w:lineRule="auto"/>
        <w:ind w:right="-270"/>
        <w:jc w:val="center"/>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كلية الإدارة</w:t>
      </w:r>
    </w:p>
    <w:p w14:paraId="4A42450A" w14:textId="77777777" w:rsidR="004F600B" w:rsidRDefault="004F600B">
      <w:pPr>
        <w:pStyle w:val="a7"/>
        <w:bidi/>
        <w:spacing w:line="360" w:lineRule="auto"/>
        <w:ind w:right="-270"/>
        <w:jc w:val="center"/>
        <w:rPr>
          <w:rFonts w:ascii="Traditional Arabic" w:hAnsi="Traditional Arabic" w:cs="Traditional Arabic"/>
          <w:b/>
          <w:bCs/>
          <w:color w:val="000000" w:themeColor="text1"/>
          <w:rtl/>
        </w:rPr>
      </w:pPr>
    </w:p>
    <w:p w14:paraId="6B5F7C74"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t xml:space="preserve">أثر التميز المؤسسي على جودة تجربة المريض </w:t>
      </w:r>
    </w:p>
    <w:p w14:paraId="49365697"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دراسة وصفية تحليلية على تجمع القصيم الصحي بالمملكة العربية السعودية</w:t>
      </w:r>
    </w:p>
    <w:p w14:paraId="44A4C0A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0"/>
          <w:szCs w:val="20"/>
          <w:rtl/>
        </w:rPr>
      </w:pPr>
      <w:r>
        <w:rPr>
          <w:rFonts w:ascii="Traditional Arabic" w:hAnsi="Traditional Arabic" w:cs="Traditional Arabic"/>
          <w:b/>
          <w:bCs/>
          <w:sz w:val="20"/>
          <w:szCs w:val="20"/>
          <w:rtl/>
        </w:rPr>
        <w:t>إعداد</w:t>
      </w:r>
    </w:p>
    <w:p w14:paraId="7F7F08A0"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8"/>
          <w:szCs w:val="28"/>
          <w:rtl/>
        </w:rPr>
        <w:t>عايد عوض الرشيدي</w:t>
      </w:r>
    </w:p>
    <w:p w14:paraId="477AD30B"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المملكة العربية السعودية</w:t>
      </w:r>
    </w:p>
    <w:p w14:paraId="4DFF1CA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رسالة مٌقدمة لجامعة ميدأوشن لنيل درجة الدكتوراة </w:t>
      </w:r>
    </w:p>
    <w:p w14:paraId="4EFAC300" w14:textId="77777777" w:rsidR="004F600B" w:rsidRDefault="00195FBA">
      <w:pPr>
        <w:bidi/>
        <w:spacing w:before="100" w:beforeAutospacing="1" w:after="100" w:afterAutospacing="1" w:line="360" w:lineRule="auto"/>
        <w:ind w:left="534" w:hanging="340"/>
        <w:jc w:val="center"/>
        <w:rPr>
          <w:rFonts w:ascii="Arial" w:hAnsi="Arial" w:cs="Arial"/>
          <w:sz w:val="20"/>
          <w:szCs w:val="20"/>
          <w:rtl/>
        </w:rPr>
      </w:pPr>
      <w:r>
        <w:rPr>
          <w:rFonts w:ascii="Traditional Arabic" w:hAnsi="Traditional Arabic" w:cs="Traditional Arabic" w:hint="cs"/>
          <w:b/>
          <w:bCs/>
          <w:sz w:val="24"/>
          <w:szCs w:val="24"/>
          <w:rtl/>
        </w:rPr>
        <w:t>في</w:t>
      </w:r>
      <w:r>
        <w:rPr>
          <w:rFonts w:ascii="Arial" w:hAnsi="Arial" w:cs="Arial" w:hint="cs"/>
          <w:sz w:val="20"/>
          <w:szCs w:val="20"/>
          <w:rtl/>
        </w:rPr>
        <w:t xml:space="preserve"> </w:t>
      </w:r>
    </w:p>
    <w:p w14:paraId="0517C7C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الإدارة</w:t>
      </w:r>
    </w:p>
    <w:p w14:paraId="7C57923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sz w:val="16"/>
          <w:szCs w:val="16"/>
        </w:rPr>
      </w:pPr>
      <w:r>
        <w:rPr>
          <w:rFonts w:ascii="Traditional Arabic" w:hAnsi="Traditional Arabic" w:cs="Traditional Arabic"/>
          <w:sz w:val="16"/>
          <w:szCs w:val="16"/>
          <w:rtl/>
        </w:rPr>
        <w:t>عام ...........</w:t>
      </w:r>
    </w:p>
    <w:p w14:paraId="4690B33A" w14:textId="77777777" w:rsidR="004F600B" w:rsidRDefault="004F600B">
      <w:pPr>
        <w:bidi/>
        <w:spacing w:line="360" w:lineRule="auto"/>
        <w:ind w:left="534" w:hanging="340"/>
        <w:jc w:val="center"/>
        <w:rPr>
          <w:rFonts w:ascii="Arial" w:hAnsi="Arial" w:cs="Arial"/>
          <w:sz w:val="20"/>
          <w:szCs w:val="20"/>
        </w:rPr>
      </w:pPr>
    </w:p>
    <w:p w14:paraId="383885EC" w14:textId="77777777" w:rsidR="004F600B" w:rsidRDefault="004F600B">
      <w:pPr>
        <w:bidi/>
        <w:spacing w:line="360" w:lineRule="auto"/>
        <w:ind w:left="534" w:hanging="340"/>
        <w:jc w:val="center"/>
        <w:rPr>
          <w:rFonts w:ascii="Arial" w:hAnsi="Arial" w:cs="Arial"/>
          <w:sz w:val="20"/>
          <w:szCs w:val="20"/>
        </w:rPr>
      </w:pPr>
    </w:p>
    <w:p w14:paraId="6B767E02" w14:textId="77777777" w:rsidR="004F600B" w:rsidRDefault="004F600B">
      <w:pPr>
        <w:bidi/>
        <w:spacing w:line="360" w:lineRule="auto"/>
        <w:ind w:left="534" w:hanging="340"/>
        <w:jc w:val="center"/>
        <w:rPr>
          <w:rFonts w:ascii="Arial" w:hAnsi="Arial" w:cs="Arial"/>
          <w:sz w:val="20"/>
          <w:szCs w:val="20"/>
        </w:rPr>
      </w:pPr>
    </w:p>
    <w:p w14:paraId="3BCCF34F" w14:textId="77777777" w:rsidR="004F600B" w:rsidRDefault="00195FBA">
      <w:pPr>
        <w:bidi/>
        <w:spacing w:line="360" w:lineRule="auto"/>
        <w:ind w:left="534" w:hanging="340"/>
        <w:jc w:val="center"/>
        <w:rPr>
          <w:rFonts w:ascii="Arial" w:hAnsi="Arial" w:cs="Arial"/>
          <w:sz w:val="20"/>
          <w:szCs w:val="20"/>
        </w:rPr>
      </w:pPr>
      <w:r>
        <w:rPr>
          <w:rFonts w:asciiTheme="majorBidi" w:hAnsiTheme="majorBidi" w:cstheme="majorBidi"/>
          <w:noProof/>
          <w:sz w:val="20"/>
          <w:szCs w:val="20"/>
        </w:rPr>
        <w:lastRenderedPageBreak/>
        <w:drawing>
          <wp:anchor distT="0" distB="0" distL="114300" distR="114300" simplePos="0" relativeHeight="251661312" behindDoc="1" locked="0" layoutInCell="1" allowOverlap="1" wp14:anchorId="5E42EC8B" wp14:editId="487985E9">
            <wp:simplePos x="0" y="0"/>
            <wp:positionH relativeFrom="column">
              <wp:posOffset>1917700</wp:posOffset>
            </wp:positionH>
            <wp:positionV relativeFrom="paragraph">
              <wp:posOffset>6350</wp:posOffset>
            </wp:positionV>
            <wp:extent cx="1518285" cy="664210"/>
            <wp:effectExtent l="0" t="0" r="5715" b="2540"/>
            <wp:wrapTight wrapText="bothSides">
              <wp:wrapPolygon edited="0">
                <wp:start x="19513" y="0"/>
                <wp:lineTo x="0" y="6815"/>
                <wp:lineTo x="0" y="21063"/>
                <wp:lineTo x="21139" y="21063"/>
                <wp:lineTo x="21410" y="18585"/>
                <wp:lineTo x="21410" y="3098"/>
                <wp:lineTo x="21139" y="0"/>
                <wp:lineTo x="19513" y="0"/>
              </wp:wrapPolygon>
            </wp:wrapTight>
            <wp:docPr id="616226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6548"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18285" cy="664210"/>
                    </a:xfrm>
                    <a:prstGeom prst="rect">
                      <a:avLst/>
                    </a:prstGeom>
                    <a:noFill/>
                  </pic:spPr>
                </pic:pic>
              </a:graphicData>
            </a:graphic>
          </wp:anchor>
        </w:drawing>
      </w:r>
    </w:p>
    <w:p w14:paraId="409EFCC9" w14:textId="77777777" w:rsidR="004F600B" w:rsidRDefault="004F600B">
      <w:pPr>
        <w:bidi/>
        <w:spacing w:line="360" w:lineRule="auto"/>
        <w:ind w:left="534" w:hanging="340"/>
        <w:jc w:val="center"/>
        <w:rPr>
          <w:rFonts w:ascii="Arial" w:hAnsi="Arial" w:cs="Arial"/>
          <w:sz w:val="20"/>
          <w:szCs w:val="20"/>
        </w:rPr>
      </w:pPr>
    </w:p>
    <w:p w14:paraId="2E5471C1" w14:textId="77777777" w:rsidR="004F600B" w:rsidRDefault="004F600B">
      <w:pPr>
        <w:spacing w:line="360" w:lineRule="auto"/>
        <w:ind w:left="534" w:hanging="340"/>
        <w:jc w:val="center"/>
        <w:rPr>
          <w:rFonts w:asciiTheme="majorBidi" w:hAnsiTheme="majorBidi" w:cstheme="majorBidi"/>
          <w:sz w:val="20"/>
          <w:szCs w:val="20"/>
        </w:rPr>
      </w:pPr>
    </w:p>
    <w:p w14:paraId="789CBE92" w14:textId="77777777" w:rsidR="004F600B" w:rsidRDefault="004F600B">
      <w:pPr>
        <w:spacing w:line="360" w:lineRule="auto"/>
        <w:ind w:left="534" w:hanging="340"/>
        <w:jc w:val="center"/>
        <w:rPr>
          <w:rFonts w:asciiTheme="majorBidi" w:hAnsiTheme="majorBidi" w:cstheme="majorBidi"/>
          <w:sz w:val="20"/>
          <w:szCs w:val="20"/>
        </w:rPr>
      </w:pPr>
    </w:p>
    <w:p w14:paraId="3047CF7E"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8"/>
          <w:szCs w:val="28"/>
        </w:rPr>
      </w:pPr>
      <w:r>
        <w:rPr>
          <w:rFonts w:asciiTheme="majorBidi" w:hAnsiTheme="majorBidi" w:cstheme="majorBidi"/>
          <w:b/>
          <w:bCs/>
          <w:sz w:val="28"/>
          <w:szCs w:val="28"/>
        </w:rPr>
        <w:t>Midocean University</w:t>
      </w:r>
    </w:p>
    <w:p w14:paraId="4DEFD031"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4"/>
          <w:szCs w:val="24"/>
        </w:rPr>
      </w:pPr>
      <w:r>
        <w:rPr>
          <w:rFonts w:asciiTheme="majorBidi" w:hAnsiTheme="majorBidi" w:cstheme="majorBidi"/>
          <w:b/>
          <w:bCs/>
          <w:sz w:val="24"/>
          <w:szCs w:val="24"/>
        </w:rPr>
        <w:t>College of Management</w:t>
      </w:r>
    </w:p>
    <w:p w14:paraId="0412C338" w14:textId="77777777" w:rsidR="004F600B" w:rsidRDefault="004F600B">
      <w:pPr>
        <w:spacing w:before="100" w:beforeAutospacing="1" w:after="100" w:afterAutospacing="1" w:line="360" w:lineRule="auto"/>
        <w:rPr>
          <w:rFonts w:asciiTheme="majorBidi" w:hAnsiTheme="majorBidi" w:cstheme="majorBidi"/>
          <w:sz w:val="20"/>
          <w:szCs w:val="20"/>
        </w:rPr>
      </w:pPr>
    </w:p>
    <w:p w14:paraId="5ED7DF88"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36"/>
          <w:szCs w:val="36"/>
        </w:rPr>
        <w:t>The Impact of Institutional Excellence on Quality of Patient Experience</w:t>
      </w:r>
    </w:p>
    <w:p w14:paraId="1AA75A59"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 xml:space="preserve"> Descriptive analytical study at Qassim Health Cluster, Saudi Arabia</w:t>
      </w:r>
    </w:p>
    <w:p w14:paraId="2141B81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By</w:t>
      </w:r>
    </w:p>
    <w:p w14:paraId="713F0C56"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8"/>
          <w:szCs w:val="28"/>
        </w:rPr>
        <w:t>Ayed Awadh Alreshidi</w:t>
      </w:r>
    </w:p>
    <w:p w14:paraId="1AC926DF"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Kingdom of Saudi Arabia</w:t>
      </w:r>
    </w:p>
    <w:p w14:paraId="31E4F495"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787BB1E"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Submitted to Midocean University in partial fulfillment of the requirements for the degree of doctor</w:t>
      </w:r>
    </w:p>
    <w:p w14:paraId="6D223035"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In</w:t>
      </w:r>
    </w:p>
    <w:p w14:paraId="53A057F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Management</w:t>
      </w:r>
    </w:p>
    <w:p w14:paraId="495A879A"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110EAA0" w14:textId="77777777" w:rsidR="004F600B" w:rsidRDefault="00195FBA">
      <w:pPr>
        <w:spacing w:before="100" w:beforeAutospacing="1" w:after="100" w:afterAutospacing="1" w:line="360" w:lineRule="auto"/>
        <w:jc w:val="center"/>
        <w:rPr>
          <w:rFonts w:asciiTheme="majorBidi" w:hAnsiTheme="majorBidi" w:cstheme="majorBidi"/>
          <w:color w:val="000000" w:themeColor="text1"/>
          <w:sz w:val="16"/>
          <w:szCs w:val="16"/>
          <w:rtl/>
        </w:rPr>
      </w:pPr>
      <w:r>
        <w:rPr>
          <w:rFonts w:asciiTheme="majorBidi" w:hAnsiTheme="majorBidi" w:cstheme="majorBidi"/>
          <w:color w:val="000000" w:themeColor="text1"/>
          <w:sz w:val="16"/>
          <w:szCs w:val="16"/>
        </w:rPr>
        <w:t>----------</w:t>
      </w:r>
    </w:p>
    <w:p w14:paraId="7105C122" w14:textId="77777777" w:rsidR="004F600B" w:rsidRDefault="004F600B">
      <w:pPr>
        <w:spacing w:before="100" w:beforeAutospacing="1" w:after="100" w:afterAutospacing="1" w:line="360" w:lineRule="auto"/>
        <w:jc w:val="center"/>
        <w:rPr>
          <w:rFonts w:asciiTheme="majorBidi" w:hAnsiTheme="majorBidi" w:cstheme="majorBidi"/>
          <w:color w:val="000000" w:themeColor="text1"/>
          <w:sz w:val="16"/>
          <w:szCs w:val="16"/>
          <w:rtl/>
        </w:rPr>
      </w:pPr>
    </w:p>
    <w:p w14:paraId="04CF1A5C" w14:textId="77777777" w:rsidR="004F600B" w:rsidRDefault="00195FBA">
      <w:pPr>
        <w:spacing w:before="100" w:beforeAutospacing="1" w:after="100" w:afterAutospacing="1" w:line="360" w:lineRule="auto"/>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قائمة المحتويات</w:t>
      </w:r>
    </w:p>
    <w:tbl>
      <w:tblPr>
        <w:tblStyle w:val="aa"/>
        <w:bidiVisual/>
        <w:tblW w:w="8360" w:type="dxa"/>
        <w:tblInd w:w="162" w:type="dxa"/>
        <w:tblLook w:val="04A0" w:firstRow="1" w:lastRow="0" w:firstColumn="1" w:lastColumn="0" w:noHBand="0" w:noVBand="1"/>
      </w:tblPr>
      <w:tblGrid>
        <w:gridCol w:w="6947"/>
        <w:gridCol w:w="1413"/>
      </w:tblGrid>
      <w:tr w:rsidR="004F600B" w14:paraId="6EE47DC4" w14:textId="77777777">
        <w:trPr>
          <w:trHeight w:val="369"/>
        </w:trPr>
        <w:tc>
          <w:tcPr>
            <w:tcW w:w="6947" w:type="dxa"/>
          </w:tcPr>
          <w:p w14:paraId="1832E935"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فصول الدراسة</w:t>
            </w:r>
          </w:p>
        </w:tc>
        <w:tc>
          <w:tcPr>
            <w:tcW w:w="1413" w:type="dxa"/>
          </w:tcPr>
          <w:p w14:paraId="7429490D"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الصفحة</w:t>
            </w:r>
          </w:p>
        </w:tc>
      </w:tr>
      <w:tr w:rsidR="004F600B" w14:paraId="623574CE" w14:textId="77777777">
        <w:tc>
          <w:tcPr>
            <w:tcW w:w="6947" w:type="dxa"/>
          </w:tcPr>
          <w:p w14:paraId="4EB9C6C2" w14:textId="1B3E5424" w:rsidR="004F600B" w:rsidRDefault="00F97D54" w:rsidP="00F97D54">
            <w:pPr>
              <w:bidi/>
              <w:spacing w:before="100" w:beforeAutospacing="1" w:after="100" w:afterAutospacing="1" w:line="360" w:lineRule="auto"/>
              <w:rPr>
                <w:rFonts w:ascii="Traditional Arabic" w:hAnsi="Traditional Arabic" w:cs="Traditional Arabic"/>
                <w:b/>
                <w:bCs/>
                <w:color w:val="000000" w:themeColor="text1"/>
                <w:sz w:val="28"/>
                <w:szCs w:val="28"/>
                <w:rtl/>
              </w:rPr>
            </w:pPr>
            <w:r w:rsidRPr="00F97D54">
              <w:rPr>
                <w:rFonts w:ascii="Traditional Arabic" w:hAnsi="Traditional Arabic" w:cs="Traditional Arabic"/>
                <w:b/>
                <w:bCs/>
                <w:color w:val="000000" w:themeColor="text1"/>
                <w:sz w:val="28"/>
                <w:szCs w:val="28"/>
                <w:rtl/>
              </w:rPr>
              <w:t>الفصل الثاني: الإطار النظري للدراسة</w:t>
            </w:r>
            <w:r>
              <w:rPr>
                <w:rFonts w:ascii="Traditional Arabic" w:hAnsi="Traditional Arabic" w:cs="Traditional Arabic" w:hint="cs"/>
                <w:b/>
                <w:bCs/>
                <w:color w:val="000000" w:themeColor="text1"/>
                <w:sz w:val="28"/>
                <w:szCs w:val="28"/>
                <w:rtl/>
              </w:rPr>
              <w:t xml:space="preserve"> </w:t>
            </w:r>
            <w:r w:rsidRPr="00F97D54">
              <w:rPr>
                <w:rFonts w:ascii="Traditional Arabic" w:hAnsi="Traditional Arabic" w:cs="Traditional Arabic"/>
                <w:b/>
                <w:bCs/>
                <w:color w:val="000000" w:themeColor="text1"/>
                <w:sz w:val="28"/>
                <w:szCs w:val="28"/>
                <w:rtl/>
              </w:rPr>
              <w:t>(مراجعة الأدبيات ذات العلاقة)</w:t>
            </w:r>
          </w:p>
        </w:tc>
        <w:tc>
          <w:tcPr>
            <w:tcW w:w="1413" w:type="dxa"/>
          </w:tcPr>
          <w:p w14:paraId="480AD25F"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8"/>
                <w:szCs w:val="28"/>
                <w:rtl/>
              </w:rPr>
            </w:pPr>
          </w:p>
        </w:tc>
      </w:tr>
      <w:tr w:rsidR="004F600B" w14:paraId="1B0DF4B7" w14:textId="77777777">
        <w:tc>
          <w:tcPr>
            <w:tcW w:w="6947" w:type="dxa"/>
          </w:tcPr>
          <w:p w14:paraId="37CEEB10" w14:textId="785D4543" w:rsidR="004F600B" w:rsidRDefault="00D02A7D">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D02A7D">
              <w:rPr>
                <w:rFonts w:ascii="Traditional Arabic" w:hAnsi="Traditional Arabic" w:cs="Traditional Arabic"/>
                <w:b/>
                <w:bCs/>
                <w:color w:val="000000" w:themeColor="text1"/>
                <w:sz w:val="24"/>
                <w:szCs w:val="24"/>
                <w:rtl/>
              </w:rPr>
              <w:t>الإطار النظري</w:t>
            </w:r>
          </w:p>
        </w:tc>
        <w:tc>
          <w:tcPr>
            <w:tcW w:w="1413" w:type="dxa"/>
          </w:tcPr>
          <w:p w14:paraId="181C91B1" w14:textId="0D61C548"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29357B34" w14:textId="77777777">
        <w:tc>
          <w:tcPr>
            <w:tcW w:w="6947" w:type="dxa"/>
          </w:tcPr>
          <w:p w14:paraId="0171D9EA" w14:textId="638B2B18" w:rsidR="004F600B" w:rsidRDefault="00D02A7D">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الدراسات السابقة</w:t>
            </w:r>
          </w:p>
        </w:tc>
        <w:tc>
          <w:tcPr>
            <w:tcW w:w="1413" w:type="dxa"/>
          </w:tcPr>
          <w:p w14:paraId="07C199C9"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bl>
    <w:p w14:paraId="254A1940"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26B78557"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69833351" w14:textId="77777777" w:rsidR="004F600B" w:rsidRDefault="004F600B">
      <w:pPr>
        <w:bidi/>
        <w:spacing w:after="200" w:line="276" w:lineRule="auto"/>
        <w:rPr>
          <w:rFonts w:ascii="Sakkal Majalla" w:hAnsi="Sakkal Majalla" w:cs="Sakkal Majalla"/>
          <w:b/>
          <w:bCs/>
          <w:color w:val="00B0F0"/>
          <w:sz w:val="32"/>
          <w:szCs w:val="32"/>
          <w:u w:val="single"/>
          <w:rtl/>
        </w:rPr>
      </w:pPr>
    </w:p>
    <w:p w14:paraId="312A5A44" w14:textId="77777777" w:rsidR="00D02A7D" w:rsidRDefault="00D02A7D" w:rsidP="00947153">
      <w:pPr>
        <w:bidi/>
        <w:spacing w:after="200" w:line="276" w:lineRule="auto"/>
        <w:rPr>
          <w:rFonts w:ascii="Sakkal Majalla" w:hAnsi="Sakkal Majalla" w:cs="Sakkal Majalla"/>
          <w:b/>
          <w:bCs/>
          <w:color w:val="00B0F0"/>
          <w:sz w:val="32"/>
          <w:szCs w:val="32"/>
          <w:u w:val="single"/>
          <w:rtl/>
        </w:rPr>
      </w:pPr>
    </w:p>
    <w:p w14:paraId="60FA05D3"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0AE7E380"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E73DBE9"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17DE9D3E"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6FBE24B0"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778F21A"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66128591"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24BA06BF"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6403D43"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70033766" w14:textId="72BEA340" w:rsidR="00D02A7D" w:rsidRPr="001416DA" w:rsidRDefault="004D75FB" w:rsidP="00362D29">
      <w:pPr>
        <w:bidi/>
        <w:spacing w:after="200" w:line="360" w:lineRule="auto"/>
        <w:rPr>
          <w:rFonts w:ascii="Traditional Arabic" w:hAnsi="Traditional Arabic" w:cs="Traditional Arabic"/>
          <w:b/>
          <w:bCs/>
          <w:color w:val="000000" w:themeColor="text1"/>
          <w:sz w:val="32"/>
          <w:szCs w:val="32"/>
          <w:u w:val="single"/>
          <w:rtl/>
        </w:rPr>
      </w:pPr>
      <w:r w:rsidRPr="001416DA">
        <w:rPr>
          <w:rFonts w:ascii="Traditional Arabic" w:hAnsi="Traditional Arabic" w:cs="Traditional Arabic"/>
          <w:b/>
          <w:bCs/>
          <w:color w:val="000000" w:themeColor="text1"/>
          <w:sz w:val="32"/>
          <w:szCs w:val="32"/>
          <w:u w:val="single"/>
          <w:rtl/>
        </w:rPr>
        <w:lastRenderedPageBreak/>
        <w:t xml:space="preserve">الفصل </w:t>
      </w:r>
      <w:proofErr w:type="gramStart"/>
      <w:r w:rsidRPr="001416DA">
        <w:rPr>
          <w:rFonts w:ascii="Traditional Arabic" w:hAnsi="Traditional Arabic" w:cs="Traditional Arabic"/>
          <w:b/>
          <w:bCs/>
          <w:color w:val="000000" w:themeColor="text1"/>
          <w:sz w:val="32"/>
          <w:szCs w:val="32"/>
          <w:u w:val="single"/>
          <w:rtl/>
        </w:rPr>
        <w:t>الثاني :</w:t>
      </w:r>
      <w:r w:rsidR="00E06221" w:rsidRPr="001416DA">
        <w:rPr>
          <w:rFonts w:ascii="Traditional Arabic" w:hAnsi="Traditional Arabic" w:cs="Traditional Arabic"/>
          <w:b/>
          <w:bCs/>
          <w:color w:val="000000" w:themeColor="text1"/>
          <w:sz w:val="32"/>
          <w:szCs w:val="32"/>
          <w:u w:val="single"/>
          <w:rtl/>
        </w:rPr>
        <w:t>الإطار</w:t>
      </w:r>
      <w:proofErr w:type="gramEnd"/>
      <w:r w:rsidR="00E06221" w:rsidRPr="001416DA">
        <w:rPr>
          <w:rFonts w:ascii="Traditional Arabic" w:hAnsi="Traditional Arabic" w:cs="Traditional Arabic"/>
          <w:b/>
          <w:bCs/>
          <w:color w:val="000000" w:themeColor="text1"/>
          <w:sz w:val="32"/>
          <w:szCs w:val="32"/>
          <w:u w:val="single"/>
          <w:rtl/>
        </w:rPr>
        <w:t xml:space="preserve"> النظري</w:t>
      </w:r>
      <w:r w:rsidRPr="001416DA">
        <w:rPr>
          <w:rFonts w:ascii="Traditional Arabic" w:hAnsi="Traditional Arabic" w:cs="Traditional Arabic"/>
          <w:b/>
          <w:bCs/>
          <w:color w:val="000000" w:themeColor="text1"/>
          <w:sz w:val="32"/>
          <w:szCs w:val="32"/>
          <w:u w:val="single"/>
          <w:rtl/>
        </w:rPr>
        <w:t xml:space="preserve"> والدراسات السابقة</w:t>
      </w:r>
    </w:p>
    <w:p w14:paraId="03CB27E5" w14:textId="1360FD73" w:rsidR="00E06221" w:rsidRPr="00362D29" w:rsidRDefault="00E06221" w:rsidP="00362D29">
      <w:pPr>
        <w:bidi/>
        <w:spacing w:after="200" w:line="360" w:lineRule="auto"/>
        <w:rPr>
          <w:rFonts w:ascii="Traditional Arabic" w:hAnsi="Traditional Arabic" w:cs="Traditional Arabic"/>
          <w:b/>
          <w:bCs/>
          <w:color w:val="000000" w:themeColor="text1"/>
          <w:sz w:val="28"/>
          <w:szCs w:val="28"/>
          <w:rtl/>
        </w:rPr>
      </w:pPr>
      <w:proofErr w:type="gramStart"/>
      <w:r w:rsidRPr="00362D29">
        <w:rPr>
          <w:rFonts w:ascii="Traditional Arabic" w:hAnsi="Traditional Arabic" w:cs="Traditional Arabic"/>
          <w:b/>
          <w:bCs/>
          <w:color w:val="000000" w:themeColor="text1"/>
          <w:sz w:val="28"/>
          <w:szCs w:val="28"/>
          <w:rtl/>
        </w:rPr>
        <w:t>مقدمة :</w:t>
      </w:r>
      <w:proofErr w:type="gramEnd"/>
    </w:p>
    <w:p w14:paraId="40C0F315" w14:textId="41BAF1AB" w:rsidR="00771E8A" w:rsidRPr="00362D29" w:rsidRDefault="00575EB6"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يتناول هذا الفصل الإطار النظري والدراسات السابقة ذات الصلة بموضوع الدراسة الحالية "أثر التميز المؤسسي على جودة تجربة المريض: دراسة وصفية تحليلية على تجمع القصيم الصحي بالمملكة العربية السعودية"، وذلك بهدف تأسيس قاعدة علمية راسخة تسهم في تفسير العلاقة بين متغيرات الدراسة، وتحديد موقعها ضمن الأدبيات المعاصرة في مجال الإدارة الصحية والتميز المؤسسي وتجربة المريض</w:t>
      </w:r>
      <w:r w:rsidR="00771E8A" w:rsidRPr="00362D29">
        <w:rPr>
          <w:rFonts w:ascii="Traditional Arabic" w:hAnsi="Traditional Arabic" w:cs="Traditional Arabic"/>
          <w:color w:val="000000" w:themeColor="text1"/>
          <w:sz w:val="24"/>
          <w:szCs w:val="24"/>
        </w:rPr>
        <w:t>.</w:t>
      </w:r>
    </w:p>
    <w:p w14:paraId="65107966" w14:textId="6D39AB00" w:rsidR="00771E8A" w:rsidRPr="00362D29" w:rsidRDefault="00FD1985"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ويُعَدّ الإطار النظري أحد الركائز الأساسية في البناء العلمي للدراسة، إذ يوفّر الأسس المفاهيمية والنماذج المرجعية التي تفسّر أبعاد التميز المؤسسي من جهة، ومحددات جودة تجربة المريض من جهة أخرى، كما يوضح الخلفيات الفكرية للنموذج الوطني السعودي للتميز المؤسسي لجائزة الملك عبد العزيز للجودة، وعلاقته بالنماذج العالمية للتميز، في سياق التحول الصحي ورؤية المملكة 2030</w:t>
      </w:r>
      <w:r w:rsidR="00771E8A" w:rsidRPr="00362D29">
        <w:rPr>
          <w:rFonts w:ascii="Traditional Arabic" w:hAnsi="Traditional Arabic" w:cs="Traditional Arabic"/>
          <w:color w:val="000000" w:themeColor="text1"/>
          <w:sz w:val="24"/>
          <w:szCs w:val="24"/>
        </w:rPr>
        <w:t>.</w:t>
      </w:r>
    </w:p>
    <w:p w14:paraId="6BD15CB2" w14:textId="5464AAAF" w:rsidR="00771E8A" w:rsidRPr="00362D29" w:rsidRDefault="000A066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 xml:space="preserve">كما يستعرض الفصل الدراسات السابقة العربية والأجنبية الحديثة ذات الصلة بالمتغير المستقل (التميز المؤسسي) والمتغير التابع (جودة تجربة المريض)، إضافة إلى الدراسات التي تناولت العلاقة بينهما بصورة مباشرة أو غير مباشرة، مع تحليل أوجه التشابه والاختلاف بينها وبين الدراسة الحالية، </w:t>
      </w:r>
      <w:r w:rsidR="008251F8" w:rsidRPr="00362D29">
        <w:rPr>
          <w:rFonts w:ascii="Traditional Arabic" w:hAnsi="Traditional Arabic" w:cs="Traditional Arabic"/>
          <w:color w:val="000000" w:themeColor="text1"/>
          <w:sz w:val="24"/>
          <w:szCs w:val="24"/>
          <w:rtl/>
        </w:rPr>
        <w:t xml:space="preserve">مع إبراز أوجه الاستفادة من تلك الدراسات وما تميزت به الدراسة الحالية </w:t>
      </w:r>
      <w:r w:rsidR="00771E8A" w:rsidRPr="00362D29">
        <w:rPr>
          <w:rFonts w:ascii="Traditional Arabic" w:hAnsi="Traditional Arabic" w:cs="Traditional Arabic"/>
          <w:color w:val="000000" w:themeColor="text1"/>
          <w:sz w:val="24"/>
          <w:szCs w:val="24"/>
          <w:rtl/>
        </w:rPr>
        <w:t>وصولًا إلى تحديد الفجوة البحثية التي تسعى هذه الدراسة إلى سدّها من خلال اختبار العلاقة التطبيقية بين مبادئ النموذج الوطني للتميز المؤسسي وأبعاد تجربة المريض في بيئة التجمعات الصحية السعودية</w:t>
      </w:r>
      <w:r w:rsidR="00771E8A" w:rsidRPr="00362D29">
        <w:rPr>
          <w:rFonts w:ascii="Traditional Arabic" w:hAnsi="Traditional Arabic" w:cs="Traditional Arabic"/>
          <w:color w:val="000000" w:themeColor="text1"/>
          <w:sz w:val="24"/>
          <w:szCs w:val="24"/>
        </w:rPr>
        <w:t>.</w:t>
      </w:r>
    </w:p>
    <w:p w14:paraId="77D6363D" w14:textId="0B4C903E" w:rsidR="00A11921" w:rsidRPr="00362D29" w:rsidRDefault="00771E8A"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وذلك </w:t>
      </w:r>
      <w:r w:rsidR="0004727B" w:rsidRPr="00362D29">
        <w:rPr>
          <w:rFonts w:ascii="Traditional Arabic" w:hAnsi="Traditional Arabic" w:cs="Traditional Arabic"/>
          <w:color w:val="000000" w:themeColor="text1"/>
          <w:sz w:val="24"/>
          <w:szCs w:val="24"/>
          <w:rtl/>
        </w:rPr>
        <w:t xml:space="preserve">توضيحا </w:t>
      </w:r>
      <w:r w:rsidR="00E800FF" w:rsidRPr="00362D29">
        <w:rPr>
          <w:rFonts w:ascii="Traditional Arabic" w:hAnsi="Traditional Arabic" w:cs="Traditional Arabic"/>
          <w:color w:val="000000" w:themeColor="text1"/>
          <w:sz w:val="24"/>
          <w:szCs w:val="24"/>
          <w:rtl/>
        </w:rPr>
        <w:t xml:space="preserve">لكيفية </w:t>
      </w:r>
      <w:r w:rsidRPr="00362D29">
        <w:rPr>
          <w:rFonts w:ascii="Traditional Arabic" w:hAnsi="Traditional Arabic" w:cs="Traditional Arabic"/>
          <w:color w:val="000000" w:themeColor="text1"/>
          <w:sz w:val="24"/>
          <w:szCs w:val="24"/>
          <w:rtl/>
        </w:rPr>
        <w:t>بناء النموذج المفاهيمي للدراسة، وصياغة الفرضيات، وتحديد الأبعاد المعتمدة للقياس،</w:t>
      </w:r>
      <w:r w:rsidR="00915879" w:rsidRPr="00362D29">
        <w:rPr>
          <w:rFonts w:ascii="Traditional Arabic" w:hAnsi="Traditional Arabic" w:cs="Traditional Arabic"/>
          <w:color w:val="000000" w:themeColor="text1"/>
          <w:sz w:val="24"/>
          <w:szCs w:val="24"/>
          <w:rtl/>
        </w:rPr>
        <w:t xml:space="preserve"> الذي</w:t>
      </w:r>
      <w:r w:rsidRPr="00362D29">
        <w:rPr>
          <w:rFonts w:ascii="Traditional Arabic" w:hAnsi="Traditional Arabic" w:cs="Traditional Arabic"/>
          <w:color w:val="000000" w:themeColor="text1"/>
          <w:sz w:val="24"/>
          <w:szCs w:val="24"/>
          <w:rtl/>
        </w:rPr>
        <w:t xml:space="preserve"> يعزز الاتساق العلمي بين الإطار النظري والمنهجية التطبيقية للدراسة.</w:t>
      </w:r>
      <w:r w:rsidR="000535EB" w:rsidRPr="00362D29">
        <w:rPr>
          <w:rFonts w:ascii="Traditional Arabic" w:hAnsi="Traditional Arabic" w:cs="Traditional Arabic"/>
          <w:color w:val="000000" w:themeColor="text1"/>
          <w:sz w:val="24"/>
          <w:szCs w:val="24"/>
          <w:rtl/>
        </w:rPr>
        <w:t xml:space="preserve"> </w:t>
      </w:r>
      <w:r w:rsidR="00A11921" w:rsidRPr="00362D29">
        <w:rPr>
          <w:rFonts w:ascii="Traditional Arabic" w:hAnsi="Traditional Arabic" w:cs="Traditional Arabic"/>
          <w:color w:val="000000" w:themeColor="text1"/>
          <w:sz w:val="24"/>
          <w:szCs w:val="24"/>
          <w:rtl/>
        </w:rPr>
        <w:t>و</w:t>
      </w:r>
      <w:r w:rsidR="00915879" w:rsidRPr="00362D29">
        <w:rPr>
          <w:rFonts w:ascii="Traditional Arabic" w:hAnsi="Traditional Arabic" w:cs="Traditional Arabic"/>
          <w:color w:val="000000" w:themeColor="text1"/>
          <w:sz w:val="24"/>
          <w:szCs w:val="24"/>
          <w:rtl/>
        </w:rPr>
        <w:t xml:space="preserve">كذلك </w:t>
      </w:r>
      <w:r w:rsidR="00186AD4" w:rsidRPr="00362D29">
        <w:rPr>
          <w:rFonts w:ascii="Traditional Arabic" w:hAnsi="Traditional Arabic" w:cs="Traditional Arabic"/>
          <w:color w:val="000000" w:themeColor="text1"/>
          <w:sz w:val="24"/>
          <w:szCs w:val="24"/>
          <w:rtl/>
        </w:rPr>
        <w:t>ل</w:t>
      </w:r>
      <w:r w:rsidR="00A11921" w:rsidRPr="00362D29">
        <w:rPr>
          <w:rFonts w:ascii="Traditional Arabic" w:hAnsi="Traditional Arabic" w:cs="Traditional Arabic"/>
          <w:color w:val="000000" w:themeColor="text1"/>
          <w:sz w:val="24"/>
          <w:szCs w:val="24"/>
          <w:rtl/>
        </w:rPr>
        <w:t>تقديم مساهمة علمية وعملية تدعم جهود تطوير القطاع الصحي في المملكة العربية السعودية، بما يتماشى مع التطلعات الوطنية نحو مستقبل صحي مزدهر.</w:t>
      </w:r>
    </w:p>
    <w:p w14:paraId="606DA155"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08C45C30"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61770868"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0C89BDDA"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20D71156"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209CD013" w14:textId="474F17EE" w:rsidR="00771E8A" w:rsidRPr="00362D29" w:rsidRDefault="00BB2F97" w:rsidP="00362D29">
      <w:pPr>
        <w:bidi/>
        <w:spacing w:after="200" w:line="360" w:lineRule="auto"/>
        <w:rPr>
          <w:rFonts w:ascii="Traditional Arabic" w:hAnsi="Traditional Arabic" w:cs="Traditional Arabic"/>
          <w:b/>
          <w:bCs/>
          <w:color w:val="000000" w:themeColor="text1"/>
          <w:sz w:val="28"/>
          <w:szCs w:val="28"/>
          <w:rtl/>
        </w:rPr>
      </w:pPr>
      <w:proofErr w:type="gramStart"/>
      <w:r w:rsidRPr="00362D29">
        <w:rPr>
          <w:rFonts w:ascii="Traditional Arabic" w:hAnsi="Traditional Arabic" w:cs="Traditional Arabic"/>
          <w:b/>
          <w:bCs/>
          <w:color w:val="000000" w:themeColor="text1"/>
          <w:sz w:val="28"/>
          <w:szCs w:val="28"/>
          <w:rtl/>
        </w:rPr>
        <w:lastRenderedPageBreak/>
        <w:t>اولاً :</w:t>
      </w:r>
      <w:proofErr w:type="gramEnd"/>
      <w:r w:rsidRPr="00362D29">
        <w:rPr>
          <w:rFonts w:ascii="Traditional Arabic" w:hAnsi="Traditional Arabic" w:cs="Traditional Arabic"/>
          <w:b/>
          <w:bCs/>
          <w:color w:val="000000" w:themeColor="text1"/>
          <w:sz w:val="28"/>
          <w:szCs w:val="28"/>
          <w:rtl/>
        </w:rPr>
        <w:t xml:space="preserve"> </w:t>
      </w:r>
      <w:r w:rsidR="001F73E2" w:rsidRPr="00362D29">
        <w:rPr>
          <w:rFonts w:ascii="Traditional Arabic" w:hAnsi="Traditional Arabic" w:cs="Traditional Arabic"/>
          <w:b/>
          <w:bCs/>
          <w:color w:val="000000" w:themeColor="text1"/>
          <w:sz w:val="28"/>
          <w:szCs w:val="28"/>
          <w:rtl/>
        </w:rPr>
        <w:t>ال</w:t>
      </w:r>
      <w:r w:rsidR="00DB1F43" w:rsidRPr="00362D29">
        <w:rPr>
          <w:rFonts w:ascii="Traditional Arabic" w:hAnsi="Traditional Arabic" w:cs="Traditional Arabic"/>
          <w:b/>
          <w:bCs/>
          <w:color w:val="000000" w:themeColor="text1"/>
          <w:sz w:val="28"/>
          <w:szCs w:val="28"/>
          <w:rtl/>
        </w:rPr>
        <w:t>مبحث</w:t>
      </w:r>
      <w:r w:rsidR="005125A2" w:rsidRPr="00362D29">
        <w:rPr>
          <w:rFonts w:ascii="Traditional Arabic" w:hAnsi="Traditional Arabic" w:cs="Traditional Arabic"/>
          <w:b/>
          <w:bCs/>
          <w:color w:val="000000" w:themeColor="text1"/>
          <w:sz w:val="28"/>
          <w:szCs w:val="28"/>
          <w:rtl/>
        </w:rPr>
        <w:t xml:space="preserve"> </w:t>
      </w:r>
      <w:r w:rsidR="001F73E2" w:rsidRPr="00362D29">
        <w:rPr>
          <w:rFonts w:ascii="Traditional Arabic" w:hAnsi="Traditional Arabic" w:cs="Traditional Arabic"/>
          <w:b/>
          <w:bCs/>
          <w:color w:val="000000" w:themeColor="text1"/>
          <w:sz w:val="28"/>
          <w:szCs w:val="28"/>
          <w:rtl/>
        </w:rPr>
        <w:t>الأول (</w:t>
      </w:r>
      <w:r w:rsidR="005125A2" w:rsidRPr="00362D29">
        <w:rPr>
          <w:rFonts w:ascii="Traditional Arabic" w:hAnsi="Traditional Arabic" w:cs="Traditional Arabic"/>
          <w:b/>
          <w:bCs/>
          <w:color w:val="000000" w:themeColor="text1"/>
          <w:sz w:val="28"/>
          <w:szCs w:val="28"/>
          <w:rtl/>
        </w:rPr>
        <w:t>المتغير المستقل</w:t>
      </w:r>
      <w:r w:rsidR="001F73E2" w:rsidRPr="00362D29">
        <w:rPr>
          <w:rFonts w:ascii="Traditional Arabic" w:hAnsi="Traditional Arabic" w:cs="Traditional Arabic"/>
          <w:b/>
          <w:bCs/>
          <w:color w:val="000000" w:themeColor="text1"/>
          <w:sz w:val="28"/>
          <w:szCs w:val="28"/>
          <w:rtl/>
        </w:rPr>
        <w:t>)</w:t>
      </w:r>
      <w:r w:rsidR="005125A2" w:rsidRPr="00362D29">
        <w:rPr>
          <w:rFonts w:ascii="Traditional Arabic" w:hAnsi="Traditional Arabic" w:cs="Traditional Arabic"/>
          <w:b/>
          <w:bCs/>
          <w:color w:val="000000" w:themeColor="text1"/>
          <w:sz w:val="28"/>
          <w:szCs w:val="28"/>
          <w:rtl/>
        </w:rPr>
        <w:t xml:space="preserve"> : ا</w:t>
      </w:r>
      <w:r w:rsidR="00E05E1F" w:rsidRPr="00362D29">
        <w:rPr>
          <w:rFonts w:ascii="Traditional Arabic" w:hAnsi="Traditional Arabic" w:cs="Traditional Arabic"/>
          <w:b/>
          <w:bCs/>
          <w:color w:val="000000" w:themeColor="text1"/>
          <w:sz w:val="28"/>
          <w:szCs w:val="28"/>
          <w:rtl/>
        </w:rPr>
        <w:t xml:space="preserve">لتميز المؤسسي </w:t>
      </w:r>
    </w:p>
    <w:p w14:paraId="60AAB455" w14:textId="6A665438" w:rsidR="003D2061" w:rsidRPr="00362D29" w:rsidRDefault="003D2061"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التعريفات والمفاهيم النظرية للتميز المؤسسي</w:t>
      </w:r>
    </w:p>
    <w:p w14:paraId="448BAF10" w14:textId="3AE80459" w:rsidR="00950BE4" w:rsidRPr="00362D29" w:rsidRDefault="00950BE4"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التميز المؤسسي حالة من التفوق والريادة تسعى المنظمات للوصول إليها من خلال تبني ممارسات إدارية حديثة تضمن تحقيق نتائج مستدامة تفوق توقعات جميع أصحاب المصلحة. وقد عرفه (العتيبي، 2021) بأنه "نظام إداري متكامل يهدف إلى تحسين أداء المنظمة بشكل مستمر عبر التركيز على الجودة والابتكار". بينما يشير (النموذج الوطني، 2022) إلى أن التميز هو المكون الأساسي لجوائز الجودة والمحرك الرئيسي للمنشآت نحو تبني أنظمة عمل تتسم بالكفاءة والفعالية</w:t>
      </w:r>
      <w:r w:rsidRPr="00362D29">
        <w:rPr>
          <w:rFonts w:ascii="Traditional Arabic" w:hAnsi="Traditional Arabic" w:cs="Traditional Arabic"/>
          <w:color w:val="000000" w:themeColor="text1"/>
          <w:sz w:val="24"/>
          <w:szCs w:val="24"/>
        </w:rPr>
        <w:t>.</w:t>
      </w:r>
    </w:p>
    <w:p w14:paraId="4213B8AC" w14:textId="23350849"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التميز المؤسسي أحد المفاهيم الإدارية المعاصرة التي ارتبطت بتطور نماذج الجودة الشاملة والتحول التنظيمي، حيث لم يعد يقتصر على تحقيق الأداء الجيد، بل يمتد ليعكس قدرة المنظمة على تحقيق نتائج مستدامة تتفوق بها على نظيراتها من خلال منظومة متكاملة من القيادة، والاستراتيجية، والموارد، والعمليات، والنتائج (</w:t>
      </w:r>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Ahmed &amp; Sur, 2023</w:t>
      </w:r>
      <w:r w:rsidRPr="00362D29">
        <w:rPr>
          <w:rFonts w:ascii="Traditional Arabic" w:hAnsi="Traditional Arabic" w:cs="Traditional Arabic"/>
          <w:color w:val="000000" w:themeColor="text1"/>
          <w:sz w:val="24"/>
          <w:szCs w:val="24"/>
          <w:rtl/>
        </w:rPr>
        <w:t>).</w:t>
      </w:r>
    </w:p>
    <w:p w14:paraId="09A07208"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وقد عرّفت </w:t>
      </w:r>
      <w:commentRangeStart w:id="0"/>
      <w:r w:rsidRPr="001436A3">
        <w:rPr>
          <w:rFonts w:ascii="Traditional Arabic" w:hAnsi="Traditional Arabic" w:cs="Traditional Arabic"/>
          <w:color w:val="FF0000"/>
          <w:sz w:val="24"/>
          <w:szCs w:val="24"/>
          <w:rtl/>
        </w:rPr>
        <w:t xml:space="preserve">دراسة </w:t>
      </w:r>
      <w:commentRangeEnd w:id="0"/>
      <w:r w:rsidR="001436A3">
        <w:rPr>
          <w:rStyle w:val="ac"/>
          <w:rtl/>
        </w:rPr>
        <w:commentReference w:id="0"/>
      </w:r>
      <w:r w:rsidRPr="00362D29">
        <w:rPr>
          <w:rFonts w:ascii="Traditional Arabic" w:hAnsi="Traditional Arabic" w:cs="Traditional Arabic"/>
          <w:color w:val="000000" w:themeColor="text1"/>
          <w:sz w:val="24"/>
          <w:szCs w:val="24"/>
          <w:rtl/>
        </w:rPr>
        <w:t>(</w:t>
      </w:r>
      <w:proofErr w:type="spellStart"/>
      <w:r w:rsidRPr="00362D29">
        <w:rPr>
          <w:rFonts w:ascii="Traditional Arabic" w:hAnsi="Traditional Arabic" w:cs="Traditional Arabic"/>
          <w:color w:val="000000" w:themeColor="text1"/>
          <w:sz w:val="24"/>
          <w:szCs w:val="24"/>
        </w:rPr>
        <w:t>Barnawi</w:t>
      </w:r>
      <w:proofErr w:type="spellEnd"/>
      <w:r w:rsidRPr="00362D29">
        <w:rPr>
          <w:rFonts w:ascii="Traditional Arabic" w:hAnsi="Traditional Arabic" w:cs="Traditional Arabic"/>
          <w:color w:val="000000" w:themeColor="text1"/>
          <w:sz w:val="24"/>
          <w:szCs w:val="24"/>
        </w:rPr>
        <w:t>, 2022</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التميز المؤسسي</w:t>
      </w:r>
      <w:r w:rsidRPr="00362D29">
        <w:rPr>
          <w:rFonts w:ascii="Traditional Arabic" w:hAnsi="Traditional Arabic" w:cs="Traditional Arabic"/>
          <w:color w:val="000000" w:themeColor="text1"/>
          <w:sz w:val="24"/>
          <w:szCs w:val="24"/>
          <w:rtl/>
        </w:rPr>
        <w:t xml:space="preserve"> بأنه إطار إداري شامل يهدف إلى تحقيق نتائج متوازنة ومستدامة من خلال تطبيق معايير محددة ترتكز على القيادة الفعالة، والحوكمة، والتحسين المستمر، والتركيز على أصحاب المصلحة، مما يؤكد طبيعته المنهجية الاستراتيجية.</w:t>
      </w:r>
    </w:p>
    <w:p w14:paraId="6B4364AF" w14:textId="76621583"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وفي </w:t>
      </w:r>
      <w:r w:rsidR="00F05DBE" w:rsidRPr="00362D29">
        <w:rPr>
          <w:rFonts w:ascii="Traditional Arabic" w:hAnsi="Traditional Arabic" w:cs="Traditional Arabic"/>
          <w:color w:val="000000" w:themeColor="text1"/>
          <w:sz w:val="24"/>
          <w:szCs w:val="24"/>
          <w:rtl/>
        </w:rPr>
        <w:t>الرعاية الصحية</w:t>
      </w:r>
      <w:r w:rsidRPr="00362D29">
        <w:rPr>
          <w:rFonts w:ascii="Traditional Arabic" w:hAnsi="Traditional Arabic" w:cs="Traditional Arabic"/>
          <w:color w:val="000000" w:themeColor="text1"/>
          <w:sz w:val="24"/>
          <w:szCs w:val="24"/>
          <w:rtl/>
        </w:rPr>
        <w:t xml:space="preserve">، عرّفت دراسة (الرويلي، 2025) </w:t>
      </w:r>
      <w:r w:rsidRPr="00362D29">
        <w:rPr>
          <w:rFonts w:ascii="Traditional Arabic" w:hAnsi="Traditional Arabic" w:cs="Traditional Arabic"/>
          <w:b/>
          <w:bCs/>
          <w:color w:val="000000" w:themeColor="text1"/>
          <w:sz w:val="24"/>
          <w:szCs w:val="24"/>
          <w:rtl/>
        </w:rPr>
        <w:t>التميز المؤسسي</w:t>
      </w:r>
      <w:r w:rsidRPr="00362D29">
        <w:rPr>
          <w:rFonts w:ascii="Traditional Arabic" w:hAnsi="Traditional Arabic" w:cs="Traditional Arabic"/>
          <w:color w:val="000000" w:themeColor="text1"/>
          <w:sz w:val="24"/>
          <w:szCs w:val="24"/>
          <w:rtl/>
        </w:rPr>
        <w:t xml:space="preserve"> بأنه قدرة المؤسسة الصحية على توظيف مواردها البشرية والتنظيمية بكفاءة عالية بما ينعكس إيجابًا على جودة الرعاية الصحية، مؤكدة أن التطوير المستمر والموارد البشرية المؤهلة يمثلان عاملين حاسمين في تحقيق الأداء المتميز.</w:t>
      </w:r>
    </w:p>
    <w:p w14:paraId="137A8E3B"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كما أوضحت دراسة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أن التميز المؤسسي في القطاع الصحي يتمثل في منظومة من الممارسات الإدارية المتكاملة التي تؤثر بصورة مباشرة في جودة الخدمات الصحية، لا سيما عبر أبعاد القيادة، والثقافة التنظيمية، والهيكل التنظيمي، والتركيز على العميل.</w:t>
      </w:r>
    </w:p>
    <w:p w14:paraId="5FAF1C43"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وفي إطار نماذج الأعمال، أشارت دراسة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إلى أن التميز المؤسسي يرتبط بعوامل نجاح حرجة تشمل وضوح الاستراتيجية، وفعالية الاتصال التنظيمي، واستخدام البيانات في اتخاذ القرار، ووجود إطار حوكمة واضح، مما يعكس ضرورة توافر بيئة تنظيمية داعمة لتحقيقه.</w:t>
      </w:r>
    </w:p>
    <w:p w14:paraId="5BDC2455"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كما أكدت دراسة (</w:t>
      </w:r>
      <w:r w:rsidRPr="00362D29">
        <w:rPr>
          <w:rFonts w:ascii="Traditional Arabic" w:hAnsi="Traditional Arabic" w:cs="Traditional Arabic"/>
          <w:color w:val="000000" w:themeColor="text1"/>
          <w:sz w:val="24"/>
          <w:szCs w:val="24"/>
        </w:rPr>
        <w:t>Alsaleem, 2025</w:t>
      </w:r>
      <w:r w:rsidRPr="00362D29">
        <w:rPr>
          <w:rFonts w:ascii="Traditional Arabic" w:hAnsi="Traditional Arabic" w:cs="Traditional Arabic"/>
          <w:color w:val="000000" w:themeColor="text1"/>
          <w:sz w:val="24"/>
          <w:szCs w:val="24"/>
          <w:rtl/>
        </w:rPr>
        <w:t>) على أهمية التكامل بين معايير الاعتماد الصحي الوطني ونماذج التميز المؤسسي، موضحة أن هذا التكامل يعزز من جودة القيادة الإدارية ويرسخ ممارسات التميز داخل المؤسسات الصحية.</w:t>
      </w:r>
    </w:p>
    <w:p w14:paraId="276AC399"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lastRenderedPageBreak/>
        <w:t xml:space="preserve">وعليه، يمكن تعريف </w:t>
      </w:r>
      <w:commentRangeStart w:id="1"/>
      <w:r w:rsidRPr="00A229E8">
        <w:rPr>
          <w:rFonts w:ascii="Traditional Arabic" w:hAnsi="Traditional Arabic" w:cs="Traditional Arabic"/>
          <w:color w:val="FF0000"/>
          <w:sz w:val="24"/>
          <w:szCs w:val="24"/>
          <w:rtl/>
        </w:rPr>
        <w:t xml:space="preserve">التميز المؤسسي </w:t>
      </w:r>
      <w:commentRangeEnd w:id="1"/>
      <w:r w:rsidR="00A229E8">
        <w:rPr>
          <w:rStyle w:val="ac"/>
          <w:rtl/>
        </w:rPr>
        <w:commentReference w:id="1"/>
      </w:r>
      <w:r w:rsidRPr="00362D29">
        <w:rPr>
          <w:rFonts w:ascii="Traditional Arabic" w:hAnsi="Traditional Arabic" w:cs="Traditional Arabic"/>
          <w:color w:val="000000" w:themeColor="text1"/>
          <w:sz w:val="24"/>
          <w:szCs w:val="24"/>
          <w:rtl/>
        </w:rPr>
        <w:t>في ضوء الأدبيات السابقة بأنه منظومة إدارية استراتيجية شاملة ترتكز على القيادة الفاعلة، وإدارة الموارد بكفاءة، وتحسين العمليات بصورة مستمرة، بما يؤدي إلى تحقيق نتائج مستدامة ذات قيمة للمستفيدين وأصحاب المصلحة (</w:t>
      </w:r>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Ahmed &amp; Sur, 2023</w:t>
      </w:r>
      <w:r w:rsidRPr="00362D29">
        <w:rPr>
          <w:rFonts w:ascii="Traditional Arabic" w:hAnsi="Traditional Arabic" w:cs="Traditional Arabic"/>
          <w:color w:val="000000" w:themeColor="text1"/>
          <w:sz w:val="24"/>
          <w:szCs w:val="24"/>
          <w:rtl/>
        </w:rPr>
        <w:t>؛ الرويلي، 2025).</w:t>
      </w:r>
    </w:p>
    <w:p w14:paraId="58BCF9E0" w14:textId="4FFD8971" w:rsidR="00830769" w:rsidRPr="00362D29" w:rsidRDefault="00830769"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أهداف التميز المؤسسي</w:t>
      </w:r>
    </w:p>
    <w:p w14:paraId="64CAFE09" w14:textId="4AB36CEE"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تتعدد أهداف التميز المؤسسي وفق السياقات </w:t>
      </w:r>
      <w:proofErr w:type="gramStart"/>
      <w:r w:rsidRPr="00362D29">
        <w:rPr>
          <w:rFonts w:ascii="Traditional Arabic" w:hAnsi="Traditional Arabic" w:cs="Traditional Arabic"/>
          <w:color w:val="000000" w:themeColor="text1"/>
          <w:sz w:val="24"/>
          <w:szCs w:val="24"/>
          <w:rtl/>
        </w:rPr>
        <w:t>التطبيقية،  وتتفق</w:t>
      </w:r>
      <w:proofErr w:type="gramEnd"/>
      <w:r w:rsidRPr="00362D29">
        <w:rPr>
          <w:rFonts w:ascii="Traditional Arabic" w:hAnsi="Traditional Arabic" w:cs="Traditional Arabic"/>
          <w:color w:val="000000" w:themeColor="text1"/>
          <w:sz w:val="24"/>
          <w:szCs w:val="24"/>
          <w:rtl/>
        </w:rPr>
        <w:t xml:space="preserve"> الأدبيات المعاصرة على أن التميز المؤسسي لا يمثل مجرد إطار تنظيمي، بل منظومة استراتيجية تسعى إلى تحقيق مجموعة من الأهداف المتكاملة التي تعزز الأداء المؤسسي بصورة مستدامة</w:t>
      </w:r>
      <w:r w:rsidR="00537BE5" w:rsidRPr="00362D29">
        <w:rPr>
          <w:rFonts w:ascii="Traditional Arabic" w:hAnsi="Traditional Arabic" w:cs="Traditional Arabic"/>
          <w:rtl/>
        </w:rPr>
        <w:t xml:space="preserve"> (</w:t>
      </w:r>
      <w:r w:rsidR="00537BE5" w:rsidRPr="00362D29">
        <w:rPr>
          <w:rFonts w:ascii="Traditional Arabic" w:hAnsi="Traditional Arabic" w:cs="Traditional Arabic"/>
          <w:color w:val="000000" w:themeColor="text1"/>
          <w:sz w:val="24"/>
          <w:szCs w:val="24"/>
          <w:rtl/>
        </w:rPr>
        <w:t>الرويلي، 2025).</w:t>
      </w:r>
      <w:r w:rsidRPr="00362D29">
        <w:rPr>
          <w:rFonts w:ascii="Traditional Arabic" w:hAnsi="Traditional Arabic" w:cs="Traditional Arabic"/>
          <w:color w:val="000000" w:themeColor="text1"/>
          <w:sz w:val="24"/>
          <w:szCs w:val="24"/>
          <w:rtl/>
        </w:rPr>
        <w:t xml:space="preserve"> ، كما تشير الدراسات إلى مجموعة من الأهداف الجوهرية المشتركة للتميز المؤسسي، من أبرزها والتي يمكن تنظيمها في المحاور الآتية</w:t>
      </w:r>
      <w:r w:rsidRPr="00362D29">
        <w:rPr>
          <w:rFonts w:ascii="Traditional Arabic" w:hAnsi="Traditional Arabic" w:cs="Traditional Arabic"/>
          <w:color w:val="000000" w:themeColor="text1"/>
          <w:sz w:val="24"/>
          <w:szCs w:val="24"/>
        </w:rPr>
        <w:t>:</w:t>
      </w:r>
    </w:p>
    <w:p w14:paraId="5A807C2E" w14:textId="77777777" w:rsidR="00830769" w:rsidRPr="00362D29" w:rsidRDefault="00830769" w:rsidP="00C42472">
      <w:pPr>
        <w:numPr>
          <w:ilvl w:val="0"/>
          <w:numId w:val="10"/>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تحقيق أداء تنظيمي مستدام ومتفوق</w:t>
      </w:r>
    </w:p>
    <w:p w14:paraId="0E28D38B" w14:textId="77777777"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بينت </w:t>
      </w:r>
      <w:proofErr w:type="gramStart"/>
      <w:r w:rsidRPr="00362D29">
        <w:rPr>
          <w:rFonts w:ascii="Traditional Arabic" w:hAnsi="Traditional Arabic" w:cs="Traditional Arabic"/>
          <w:color w:val="000000" w:themeColor="text1"/>
          <w:sz w:val="24"/>
          <w:szCs w:val="24"/>
          <w:rtl/>
        </w:rPr>
        <w:t xml:space="preserve">دراسة </w:t>
      </w:r>
      <w:r w:rsidRPr="00362D29">
        <w:rPr>
          <w:rFonts w:ascii="Traditional Arabic" w:hAnsi="Traditional Arabic" w:cs="Traditional Arabic"/>
          <w:color w:val="000000" w:themeColor="text1"/>
          <w:sz w:val="24"/>
          <w:szCs w:val="24"/>
        </w:rPr>
        <w:t xml:space="preserve"> (</w:t>
      </w:r>
      <w:proofErr w:type="gramEnd"/>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ان التميز المؤسسي يهدف إلى الانتقال بالمؤسسة من مستوى الأداء المقبول إلى مستوى الأداء المتفوق القادر على الاستمرارية في بيئة تنافسية متغيرة، من خلال تبني منهجية إدارية شاملة تركز على النتائج بعيدة المدى وليس الإنجازات المرحلية فقط. مما يعزز ذلك التحول من الإدارة التقليدية إلى الإدارة الاستراتيجية القائمة على خلق القيمة وتحقيق التوازن بين الممكنات والنتائج</w:t>
      </w:r>
      <w:r w:rsidRPr="00362D29">
        <w:rPr>
          <w:rFonts w:ascii="Traditional Arabic" w:hAnsi="Traditional Arabic" w:cs="Traditional Arabic"/>
          <w:color w:val="000000" w:themeColor="text1"/>
          <w:sz w:val="24"/>
          <w:szCs w:val="24"/>
        </w:rPr>
        <w:t>.</w:t>
      </w:r>
    </w:p>
    <w:p w14:paraId="4F484560" w14:textId="77777777" w:rsidR="00830769" w:rsidRPr="00362D29" w:rsidRDefault="00830769" w:rsidP="00C42472">
      <w:pPr>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رفع جودة الخدمات وتحسين نتائج الأداء</w:t>
      </w:r>
    </w:p>
    <w:p w14:paraId="229A5176" w14:textId="77777777"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في السياق الصحي، أوضحت دراسة (الرويلي، 2025) ودراسة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xml:space="preserve"> ان الهدف الجوهري للتميز المؤسسي يتمثل في تحسين جودة الخدمات الصحية وتعزيز نتائج الرعاية من خلال تطوير العمليات الإدارية والسريرية ورفع كفاءتها كما</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بينت دراسة (الغامدي، 2024) أن تبني الممارسات الاستراتيجية الإبداعية يسهم بصورة مباشرة في تعزيز مستويات التميز القيادي والتشغيلي داخل المستشفيات، مما ينعكس إيجابًا على جودة المخرجات الصحية</w:t>
      </w:r>
      <w:r w:rsidRPr="00362D29">
        <w:rPr>
          <w:rFonts w:ascii="Traditional Arabic" w:hAnsi="Traditional Arabic" w:cs="Traditional Arabic"/>
          <w:color w:val="000000" w:themeColor="text1"/>
          <w:sz w:val="24"/>
          <w:szCs w:val="24"/>
        </w:rPr>
        <w:t>.</w:t>
      </w:r>
    </w:p>
    <w:p w14:paraId="1533F0B0" w14:textId="77777777" w:rsidR="00830769" w:rsidRPr="00362D29" w:rsidRDefault="00830769" w:rsidP="00C42472">
      <w:pPr>
        <w:numPr>
          <w:ilvl w:val="0"/>
          <w:numId w:val="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t xml:space="preserve">تمكين القيادات الإدارية من اتخاذ قرارات استراتيجية قائمة على البيانات </w:t>
      </w:r>
    </w:p>
    <w:p w14:paraId="04A55B18" w14:textId="77777777" w:rsidR="00830769" w:rsidRPr="00362D29" w:rsidRDefault="00830769"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دعم القيادات الإدارية بالأدوات التحليلية والبيانات الدقيقة أحد الأهداف المحورية للتميز المؤسسي، حيث يسهم في تحسين جودة القرارات الاستراتيجية وتعزيز كفاءة تخصيص الموارد</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xml:space="preserve">ويؤكد هذا الهدف أهمية الحوكمة المؤسسية والقيادة القائمة على الأدلة في تحقيق نتائج مؤثرة ومستدامة </w:t>
      </w:r>
      <w:r w:rsidRPr="00362D29">
        <w:rPr>
          <w:rFonts w:ascii="Traditional Arabic" w:hAnsi="Traditional Arabic" w:cs="Traditional Arabic"/>
          <w:color w:val="000000" w:themeColor="text1"/>
          <w:sz w:val="24"/>
          <w:szCs w:val="24"/>
        </w:rPr>
        <w:t>(Alsaleem, 2025)</w:t>
      </w:r>
      <w:r w:rsidRPr="00362D29">
        <w:rPr>
          <w:rFonts w:ascii="Traditional Arabic" w:hAnsi="Traditional Arabic" w:cs="Traditional Arabic"/>
          <w:color w:val="000000" w:themeColor="text1"/>
          <w:sz w:val="24"/>
          <w:szCs w:val="24"/>
          <w:rtl/>
        </w:rPr>
        <w:t>.</w:t>
      </w:r>
    </w:p>
    <w:p w14:paraId="0012B0A8"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tl/>
        </w:rPr>
      </w:pPr>
    </w:p>
    <w:p w14:paraId="4190DEF8"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tl/>
        </w:rPr>
      </w:pPr>
    </w:p>
    <w:p w14:paraId="79CE035B"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Pr>
      </w:pPr>
    </w:p>
    <w:p w14:paraId="56A46250" w14:textId="77777777" w:rsidR="00830769" w:rsidRPr="00362D29" w:rsidRDefault="00830769" w:rsidP="00C42472">
      <w:pPr>
        <w:numPr>
          <w:ilvl w:val="0"/>
          <w:numId w:val="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lastRenderedPageBreak/>
        <w:t>دعم التكامل بين الاعتماد المؤسسي ونماذج الجودة</w:t>
      </w:r>
      <w:r w:rsidRPr="00362D29">
        <w:rPr>
          <w:rFonts w:ascii="Traditional Arabic" w:hAnsi="Traditional Arabic" w:cs="Traditional Arabic"/>
          <w:b/>
          <w:bCs/>
          <w:color w:val="000000" w:themeColor="text1"/>
          <w:sz w:val="24"/>
          <w:szCs w:val="24"/>
        </w:rPr>
        <w:t xml:space="preserve"> </w:t>
      </w:r>
    </w:p>
    <w:p w14:paraId="0A18A124" w14:textId="77777777" w:rsidR="000B335B" w:rsidRPr="00362D29" w:rsidRDefault="00830769"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تشير </w:t>
      </w:r>
      <w:proofErr w:type="gramStart"/>
      <w:r w:rsidRPr="00362D29">
        <w:rPr>
          <w:rFonts w:ascii="Traditional Arabic" w:hAnsi="Traditional Arabic" w:cs="Traditional Arabic"/>
          <w:color w:val="000000" w:themeColor="text1"/>
          <w:sz w:val="24"/>
          <w:szCs w:val="24"/>
          <w:rtl/>
        </w:rPr>
        <w:t xml:space="preserve">دراسة </w:t>
      </w:r>
      <w:r w:rsidRPr="00362D29">
        <w:rPr>
          <w:rFonts w:ascii="Traditional Arabic" w:hAnsi="Traditional Arabic" w:cs="Traditional Arabic"/>
          <w:color w:val="000000" w:themeColor="text1"/>
          <w:sz w:val="24"/>
          <w:szCs w:val="24"/>
        </w:rPr>
        <w:t xml:space="preserve"> (</w:t>
      </w:r>
      <w:proofErr w:type="gramEnd"/>
      <w:r w:rsidRPr="00362D29">
        <w:rPr>
          <w:rFonts w:ascii="Traditional Arabic" w:hAnsi="Traditional Arabic" w:cs="Traditional Arabic"/>
          <w:color w:val="000000" w:themeColor="text1"/>
          <w:sz w:val="24"/>
          <w:szCs w:val="24"/>
        </w:rPr>
        <w:t>Alsaleem, 2025)</w:t>
      </w:r>
      <w:r w:rsidRPr="00362D29">
        <w:rPr>
          <w:rFonts w:ascii="Traditional Arabic" w:hAnsi="Traditional Arabic" w:cs="Traditional Arabic"/>
          <w:color w:val="000000" w:themeColor="text1"/>
          <w:sz w:val="24"/>
          <w:szCs w:val="24"/>
          <w:rtl/>
        </w:rPr>
        <w:t>ان التميز المؤسسي يسعى إلى مواءمة معايير الاعتماد المؤسسي مع نماذج التميز العالمية والوطنية بما يحقق الاتساق بين متطلبات الجودة والتحسين المستمر</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ويُسهم هذا التكامل في تقليل الازدواجية في الجهود، وتحقيق الاستفادة القصوى من أدوات القياس والتقييم المؤسسي</w:t>
      </w:r>
      <w:r w:rsidRPr="00362D29">
        <w:rPr>
          <w:rFonts w:ascii="Traditional Arabic" w:hAnsi="Traditional Arabic" w:cs="Traditional Arabic"/>
          <w:color w:val="000000" w:themeColor="text1"/>
          <w:sz w:val="24"/>
          <w:szCs w:val="24"/>
        </w:rPr>
        <w:t>.</w:t>
      </w:r>
    </w:p>
    <w:p w14:paraId="24A35CBF" w14:textId="67CBA227" w:rsidR="00830769" w:rsidRPr="00362D29" w:rsidRDefault="00830769" w:rsidP="00C42472">
      <w:pPr>
        <w:pStyle w:val="ab"/>
        <w:numPr>
          <w:ilvl w:val="0"/>
          <w:numId w:val="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t xml:space="preserve">تعزيز ثقافة التحسين المستمر والابتكار التنظيمي </w:t>
      </w:r>
    </w:p>
    <w:p w14:paraId="2223CC93" w14:textId="320083F8"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من الأهداف المهمة للتميز المؤسسي تحديد نقاط القوة ومجالات التحسين، وترتيب الأولويات الاستراتيجية استنادًا إلى تحليل منهجي للأداء، بما يساعد المؤسسة على التركيز على العوامل ذات التأثير الأعلى في النتائج.</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ويُسهم ذلك في تقليل معوقات الأداء وتعزيز كفاءة تنفيذ الخطط الاستراتيجية (الغامدي، 2024).</w:t>
      </w:r>
      <w:r w:rsidR="00E304C9"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وفي القطاع </w:t>
      </w:r>
      <w:proofErr w:type="gramStart"/>
      <w:r w:rsidRPr="00362D29">
        <w:rPr>
          <w:rFonts w:ascii="Traditional Arabic" w:hAnsi="Traditional Arabic" w:cs="Traditional Arabic"/>
          <w:b/>
          <w:bCs/>
          <w:color w:val="000000" w:themeColor="text1"/>
          <w:sz w:val="24"/>
          <w:szCs w:val="24"/>
          <w:rtl/>
        </w:rPr>
        <w:t xml:space="preserve">الصحي </w:t>
      </w:r>
      <w:r w:rsidRPr="00362D29">
        <w:rPr>
          <w:rFonts w:ascii="Traditional Arabic" w:hAnsi="Traditional Arabic" w:cs="Traditional Arabic"/>
          <w:color w:val="000000" w:themeColor="text1"/>
          <w:sz w:val="24"/>
          <w:szCs w:val="24"/>
          <w:rtl/>
        </w:rPr>
        <w:t>،</w:t>
      </w:r>
      <w:proofErr w:type="gramEnd"/>
      <w:r w:rsidRPr="00362D29">
        <w:rPr>
          <w:rFonts w:ascii="Traditional Arabic" w:hAnsi="Traditional Arabic" w:cs="Traditional Arabic"/>
          <w:color w:val="000000" w:themeColor="text1"/>
          <w:sz w:val="24"/>
          <w:szCs w:val="24"/>
          <w:rtl/>
        </w:rPr>
        <w:t xml:space="preserve"> اشارت دراسة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xml:space="preserve"> إلى ان التميز المؤسسي يرتبط بهدف رئيسي يتمثل في </w:t>
      </w:r>
      <w:r w:rsidRPr="00362D29">
        <w:rPr>
          <w:rFonts w:ascii="Traditional Arabic" w:hAnsi="Traditional Arabic" w:cs="Traditional Arabic"/>
          <w:b/>
          <w:bCs/>
          <w:color w:val="000000" w:themeColor="text1"/>
          <w:sz w:val="24"/>
          <w:szCs w:val="24"/>
          <w:rtl/>
        </w:rPr>
        <w:t>تحقيق قيمة صحية مستدامة للمريض والمجتمع</w:t>
      </w:r>
      <w:r w:rsidRPr="00362D29">
        <w:rPr>
          <w:rFonts w:ascii="Traditional Arabic" w:hAnsi="Traditional Arabic" w:cs="Traditional Arabic"/>
          <w:color w:val="000000" w:themeColor="text1"/>
          <w:sz w:val="24"/>
          <w:szCs w:val="24"/>
          <w:rtl/>
        </w:rPr>
        <w:t xml:space="preserve"> عبر تحسين النتائج السريرية والإدارية </w:t>
      </w:r>
    </w:p>
    <w:p w14:paraId="21F03EE5" w14:textId="77777777" w:rsidR="0038217F" w:rsidRPr="00362D29" w:rsidRDefault="0038217F" w:rsidP="00C42472">
      <w:pPr>
        <w:pStyle w:val="ab"/>
        <w:numPr>
          <w:ilvl w:val="0"/>
          <w:numId w:val="8"/>
        </w:numPr>
        <w:bidi/>
        <w:spacing w:before="0" w:after="160" w:line="360" w:lineRule="auto"/>
        <w:rPr>
          <w:rFonts w:ascii="Traditional Arabic" w:hAnsi="Traditional Arabic" w:cs="Traditional Arabic"/>
          <w:b/>
          <w:bCs/>
          <w:sz w:val="24"/>
          <w:szCs w:val="24"/>
        </w:rPr>
      </w:pPr>
      <w:r w:rsidRPr="00362D29">
        <w:rPr>
          <w:rFonts w:ascii="Traditional Arabic" w:hAnsi="Traditional Arabic" w:cs="Traditional Arabic"/>
          <w:b/>
          <w:bCs/>
          <w:sz w:val="24"/>
          <w:szCs w:val="24"/>
          <w:rtl/>
        </w:rPr>
        <w:t>تعزيز القدرة التنافسية والسمعة المؤسسية</w:t>
      </w:r>
    </w:p>
    <w:p w14:paraId="651AA9A2" w14:textId="77777777" w:rsidR="005E4C22" w:rsidRPr="00362D29" w:rsidRDefault="005E4C22"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بينت دراسة (</w:t>
      </w:r>
      <w:r w:rsidRPr="00362D29">
        <w:rPr>
          <w:rFonts w:ascii="Traditional Arabic" w:hAnsi="Traditional Arabic" w:cs="Traditional Arabic"/>
          <w:sz w:val="24"/>
          <w:szCs w:val="24"/>
        </w:rPr>
        <w:t>Salih &amp; Dolah, 2023</w:t>
      </w:r>
      <w:r w:rsidRPr="00362D29">
        <w:rPr>
          <w:rFonts w:ascii="Traditional Arabic" w:hAnsi="Traditional Arabic" w:cs="Traditional Arabic"/>
          <w:sz w:val="24"/>
          <w:szCs w:val="24"/>
          <w:rtl/>
        </w:rPr>
        <w:t>) أن التميز المؤسسي يهدف إلى تعزيز الموقع التنافسي للمؤسسة من خلال تحسين جودة الأداء ورفع كفاءة العمليات وتقديم قيمة مضافة للمستفيدين، بما يمكّنها من الاستجابة للتحديات وتحقيق نتائج مستدامة تتفوق بها على المنافسين</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كما يسهم الالتزام بمعايير الجودة والحوكمة والشفافية في بناء سمعة مؤسسية إيجابية وتعزيز ثقة أصحاب المصلحة، خاصة في ظل وضوح الاستراتيجية وفعالية الاتصال التنظيمي</w:t>
      </w:r>
    </w:p>
    <w:p w14:paraId="376138B3" w14:textId="4E17913C" w:rsidR="001330FB" w:rsidRPr="00362D29" w:rsidRDefault="005E4C22" w:rsidP="00362D29">
      <w:pPr>
        <w:bidi/>
        <w:spacing w:before="0" w:after="160"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وفي القطاع الصحي، ترتبط القدرة التنافسية بقدرة المنشأة على جذب المستفيدين والحفاظ على رضاهم واستقطاب الكفاءات البشرية، مما يعزز مكانتها المهنية (البلوي وإسماعيل، 2025). وقد بينت دراسة (الرويلي، 2025) أن تطبيق عوامل التميز المؤسسي في إدارة المستشفيات يسهم في تحسين جودة الرعاية الصحية ورفع الأداء المؤسسي، وهو ما ينعكس إيجابًا على السمعة والمكانة التنافسية</w:t>
      </w:r>
      <w:r w:rsidRPr="00362D29">
        <w:rPr>
          <w:rFonts w:ascii="Traditional Arabic" w:hAnsi="Traditional Arabic" w:cs="Traditional Arabic"/>
          <w:sz w:val="24"/>
          <w:szCs w:val="24"/>
        </w:rPr>
        <w:t>.</w:t>
      </w:r>
    </w:p>
    <w:p w14:paraId="39092F47" w14:textId="26730D9F" w:rsidR="004B31D4" w:rsidRPr="00362D29" w:rsidRDefault="004B31D4"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أهمية التميز المؤسسي</w:t>
      </w:r>
    </w:p>
    <w:p w14:paraId="3067828C" w14:textId="77777777"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تكمن أهمية التميز المؤسسي في كونه إطارًا استراتيجيًا متكاملًا يسمح بتقييم الأداء المؤسسي بصورة شمولية تربط بين الممكنات والنتائج، مما يضمن تحقيق التوازن بين المدخلات والعمليات والمخرجات (</w:t>
      </w:r>
      <w:r w:rsidRPr="001416DA">
        <w:rPr>
          <w:rFonts w:ascii="Traditional Arabic" w:hAnsi="Traditional Arabic" w:cs="Traditional Arabic"/>
          <w:color w:val="000000" w:themeColor="text1"/>
          <w:sz w:val="24"/>
          <w:szCs w:val="24"/>
        </w:rPr>
        <w:t>Barnawi, 2022</w:t>
      </w:r>
      <w:r w:rsidRPr="001416DA">
        <w:rPr>
          <w:rFonts w:ascii="Traditional Arabic" w:hAnsi="Traditional Arabic" w:cs="Traditional Arabic"/>
          <w:color w:val="000000" w:themeColor="text1"/>
          <w:sz w:val="24"/>
          <w:szCs w:val="24"/>
          <w:rtl/>
        </w:rPr>
        <w:t>).</w:t>
      </w:r>
    </w:p>
    <w:p w14:paraId="0E0800D7" w14:textId="372B5D5F" w:rsidR="004B31D4" w:rsidRPr="001416DA" w:rsidRDefault="008266A1"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يُسهم</w:t>
      </w:r>
      <w:r w:rsidR="004B31D4" w:rsidRPr="001416DA">
        <w:rPr>
          <w:rFonts w:ascii="Traditional Arabic" w:hAnsi="Traditional Arabic" w:cs="Traditional Arabic"/>
          <w:color w:val="000000" w:themeColor="text1"/>
          <w:sz w:val="24"/>
          <w:szCs w:val="24"/>
          <w:rtl/>
        </w:rPr>
        <w:t xml:space="preserve"> </w:t>
      </w:r>
      <w:r w:rsidR="009F4ABE" w:rsidRPr="001416DA">
        <w:rPr>
          <w:rFonts w:ascii="Traditional Arabic" w:hAnsi="Traditional Arabic" w:cs="Traditional Arabic"/>
          <w:color w:val="000000" w:themeColor="text1"/>
          <w:sz w:val="24"/>
          <w:szCs w:val="24"/>
          <w:rtl/>
        </w:rPr>
        <w:t xml:space="preserve">التميز المؤسسي </w:t>
      </w:r>
      <w:r w:rsidR="004B31D4" w:rsidRPr="001416DA">
        <w:rPr>
          <w:rFonts w:ascii="Traditional Arabic" w:hAnsi="Traditional Arabic" w:cs="Traditional Arabic"/>
          <w:color w:val="000000" w:themeColor="text1"/>
          <w:sz w:val="24"/>
          <w:szCs w:val="24"/>
          <w:rtl/>
        </w:rPr>
        <w:t>في تحويل الاستراتيجية إلى مؤشرات أداء قابلة للقياس، مما يعزز فعالية الإدارة المؤسسية</w:t>
      </w:r>
      <w:r w:rsidRPr="001416DA">
        <w:rPr>
          <w:rFonts w:ascii="Traditional Arabic" w:hAnsi="Traditional Arabic" w:cs="Traditional Arabic"/>
          <w:color w:val="000000" w:themeColor="text1"/>
          <w:sz w:val="24"/>
          <w:szCs w:val="24"/>
          <w:rtl/>
        </w:rPr>
        <w:t xml:space="preserve"> (السيابي، 2024)</w:t>
      </w:r>
      <w:r w:rsidR="002237FA" w:rsidRPr="001416DA">
        <w:rPr>
          <w:rFonts w:ascii="Traditional Arabic" w:hAnsi="Traditional Arabic" w:cs="Traditional Arabic"/>
          <w:color w:val="000000" w:themeColor="text1"/>
          <w:sz w:val="24"/>
          <w:szCs w:val="24"/>
          <w:rtl/>
        </w:rPr>
        <w:t>.</w:t>
      </w:r>
    </w:p>
    <w:p w14:paraId="6414F29F" w14:textId="21768FCB"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tl/>
        </w:rPr>
      </w:pPr>
      <w:r w:rsidRPr="001416DA">
        <w:rPr>
          <w:rFonts w:ascii="Traditional Arabic" w:hAnsi="Traditional Arabic" w:cs="Traditional Arabic"/>
          <w:color w:val="000000" w:themeColor="text1"/>
          <w:sz w:val="24"/>
          <w:szCs w:val="24"/>
          <w:rtl/>
        </w:rPr>
        <w:t xml:space="preserve">تبني نماذج التميز المؤسسي يسهم في تحسين الحوكمة، وتعزيز ثقافة الجودة، وتحقيق الاستدامة التنظيمية، لا سيما في ظل التحولات </w:t>
      </w:r>
      <w:proofErr w:type="gramStart"/>
      <w:r w:rsidRPr="001416DA">
        <w:rPr>
          <w:rFonts w:ascii="Traditional Arabic" w:hAnsi="Traditional Arabic" w:cs="Traditional Arabic"/>
          <w:color w:val="000000" w:themeColor="text1"/>
          <w:sz w:val="24"/>
          <w:szCs w:val="24"/>
          <w:rtl/>
        </w:rPr>
        <w:t>الرقمية</w:t>
      </w:r>
      <w:r w:rsidR="002237FA" w:rsidRPr="001416DA">
        <w:rPr>
          <w:rFonts w:ascii="Traditional Arabic" w:hAnsi="Traditional Arabic" w:cs="Traditional Arabic"/>
          <w:color w:val="000000" w:themeColor="text1"/>
          <w:sz w:val="24"/>
          <w:szCs w:val="24"/>
          <w:rtl/>
        </w:rPr>
        <w:t>(</w:t>
      </w:r>
      <w:proofErr w:type="gramEnd"/>
      <w:r w:rsidR="002237FA" w:rsidRPr="001416DA">
        <w:rPr>
          <w:rFonts w:ascii="Traditional Arabic" w:hAnsi="Traditional Arabic" w:cs="Traditional Arabic"/>
          <w:color w:val="000000" w:themeColor="text1"/>
          <w:sz w:val="24"/>
          <w:szCs w:val="24"/>
        </w:rPr>
        <w:t>Ahmed &amp; Sur, 2023</w:t>
      </w:r>
      <w:r w:rsidR="002237FA" w:rsidRPr="001416DA">
        <w:rPr>
          <w:rFonts w:ascii="Traditional Arabic" w:hAnsi="Traditional Arabic" w:cs="Traditional Arabic"/>
          <w:color w:val="000000" w:themeColor="text1"/>
          <w:sz w:val="24"/>
          <w:szCs w:val="24"/>
          <w:rtl/>
        </w:rPr>
        <w:t>).</w:t>
      </w:r>
    </w:p>
    <w:p w14:paraId="12ACB8A6" w14:textId="77777777"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lastRenderedPageBreak/>
        <w:t>وفي السياق السعودي، أوضحت دراسة (البلوي وإسماعيل، 2025) أن التزام الإدارة العليا يعد عاملاً حاسمًا في تحقيق التميز المؤسسي المستدام، حيث فسر الالتزام نسبة كبيرة من التغير في الأداء المؤسسي</w:t>
      </w:r>
      <w:r w:rsidRPr="001416DA">
        <w:rPr>
          <w:rFonts w:ascii="Traditional Arabic" w:hAnsi="Traditional Arabic" w:cs="Traditional Arabic"/>
          <w:color w:val="000000" w:themeColor="text1"/>
          <w:sz w:val="24"/>
          <w:szCs w:val="24"/>
        </w:rPr>
        <w:t>.</w:t>
      </w:r>
    </w:p>
    <w:p w14:paraId="07346797" w14:textId="77777777"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كما أظهرت دراسة</w:t>
      </w:r>
      <w:r w:rsidRPr="001416DA">
        <w:rPr>
          <w:rFonts w:ascii="Traditional Arabic" w:hAnsi="Traditional Arabic" w:cs="Traditional Arabic"/>
          <w:color w:val="000000" w:themeColor="text1"/>
          <w:sz w:val="24"/>
          <w:szCs w:val="24"/>
        </w:rPr>
        <w:t xml:space="preserve"> (Zehra et al., 2025) </w:t>
      </w:r>
      <w:r w:rsidRPr="001416DA">
        <w:rPr>
          <w:rFonts w:ascii="Traditional Arabic" w:hAnsi="Traditional Arabic" w:cs="Traditional Arabic"/>
          <w:color w:val="000000" w:themeColor="text1"/>
          <w:sz w:val="24"/>
          <w:szCs w:val="24"/>
          <w:rtl/>
        </w:rPr>
        <w:t>أن المؤسسات التي تطبق مبادئ التميز تحقق مستويات أعلى من الأداء المتوازن مقارنة بالمؤسسات التقليدية</w:t>
      </w:r>
      <w:r w:rsidRPr="001416DA">
        <w:rPr>
          <w:rFonts w:ascii="Traditional Arabic" w:hAnsi="Traditional Arabic" w:cs="Traditional Arabic"/>
          <w:color w:val="000000" w:themeColor="text1"/>
          <w:sz w:val="24"/>
          <w:szCs w:val="24"/>
        </w:rPr>
        <w:t>.</w:t>
      </w:r>
    </w:p>
    <w:p w14:paraId="0076B093" w14:textId="77777777" w:rsidR="004B31D4" w:rsidRPr="00362D29" w:rsidRDefault="004B31D4" w:rsidP="00362D29">
      <w:pPr>
        <w:bidi/>
        <w:spacing w:line="360" w:lineRule="auto"/>
        <w:jc w:val="both"/>
        <w:rPr>
          <w:rFonts w:ascii="Traditional Arabic" w:hAnsi="Traditional Arabic" w:cs="Traditional Arabic"/>
          <w:b/>
          <w:bCs/>
          <w:color w:val="000000" w:themeColor="text1"/>
          <w:sz w:val="24"/>
          <w:szCs w:val="24"/>
        </w:rPr>
      </w:pPr>
      <w:commentRangeStart w:id="2"/>
      <w:r w:rsidRPr="004E77A5">
        <w:rPr>
          <w:rFonts w:ascii="Traditional Arabic" w:hAnsi="Traditional Arabic" w:cs="Traditional Arabic"/>
          <w:b/>
          <w:bCs/>
          <w:color w:val="FF0000"/>
          <w:sz w:val="24"/>
          <w:szCs w:val="24"/>
          <w:rtl/>
        </w:rPr>
        <w:t>وبذلك يمكن القول إن أهمية التميز المؤسسي تتجلى في</w:t>
      </w:r>
      <w:r w:rsidRPr="004E77A5">
        <w:rPr>
          <w:rFonts w:ascii="Traditional Arabic" w:hAnsi="Traditional Arabic" w:cs="Traditional Arabic"/>
          <w:b/>
          <w:bCs/>
          <w:color w:val="FF0000"/>
          <w:sz w:val="24"/>
          <w:szCs w:val="24"/>
        </w:rPr>
        <w:t>:</w:t>
      </w:r>
      <w:commentRangeEnd w:id="2"/>
      <w:r w:rsidR="004E77A5">
        <w:rPr>
          <w:rStyle w:val="ac"/>
          <w:rtl/>
        </w:rPr>
        <w:commentReference w:id="2"/>
      </w:r>
    </w:p>
    <w:p w14:paraId="6460AB07" w14:textId="77777777" w:rsidR="004B31D4" w:rsidRPr="00362D29" w:rsidRDefault="004B31D4" w:rsidP="00C42472">
      <w:pPr>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توفير إطار استراتيجي موحد لتقييم الأداء</w:t>
      </w:r>
      <w:r w:rsidRPr="00362D29">
        <w:rPr>
          <w:rFonts w:ascii="Traditional Arabic" w:hAnsi="Traditional Arabic" w:cs="Traditional Arabic"/>
          <w:color w:val="000000" w:themeColor="text1"/>
          <w:sz w:val="24"/>
          <w:szCs w:val="24"/>
        </w:rPr>
        <w:t>.</w:t>
      </w:r>
    </w:p>
    <w:p w14:paraId="6B8E0B26" w14:textId="77777777" w:rsidR="004B31D4" w:rsidRPr="00362D29" w:rsidRDefault="004B31D4" w:rsidP="00C42472">
      <w:pPr>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تعزيز التكامل بين الجودة والحوكمة</w:t>
      </w:r>
      <w:r w:rsidRPr="00362D29">
        <w:rPr>
          <w:rFonts w:ascii="Traditional Arabic" w:hAnsi="Traditional Arabic" w:cs="Traditional Arabic"/>
          <w:color w:val="000000" w:themeColor="text1"/>
          <w:sz w:val="24"/>
          <w:szCs w:val="24"/>
        </w:rPr>
        <w:t>.</w:t>
      </w:r>
    </w:p>
    <w:p w14:paraId="434EB3C8" w14:textId="77777777" w:rsidR="004B31D4" w:rsidRPr="00362D29" w:rsidRDefault="004B31D4" w:rsidP="00C42472">
      <w:pPr>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دعم التحول المؤسسي والرقمي</w:t>
      </w:r>
      <w:r w:rsidRPr="00362D29">
        <w:rPr>
          <w:rFonts w:ascii="Traditional Arabic" w:hAnsi="Traditional Arabic" w:cs="Traditional Arabic"/>
          <w:color w:val="000000" w:themeColor="text1"/>
          <w:sz w:val="24"/>
          <w:szCs w:val="24"/>
        </w:rPr>
        <w:t>.</w:t>
      </w:r>
    </w:p>
    <w:p w14:paraId="3D53C69D" w14:textId="77777777" w:rsidR="004B31D4" w:rsidRPr="00362D29" w:rsidRDefault="004B31D4" w:rsidP="00C42472">
      <w:pPr>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تحقيق نتائج متوازنة بين الأداء المالي والتشغيلي وخدمة المستفيد</w:t>
      </w:r>
      <w:r w:rsidRPr="00362D29">
        <w:rPr>
          <w:rFonts w:ascii="Traditional Arabic" w:hAnsi="Traditional Arabic" w:cs="Traditional Arabic"/>
          <w:color w:val="000000" w:themeColor="text1"/>
          <w:sz w:val="24"/>
          <w:szCs w:val="24"/>
        </w:rPr>
        <w:t>.</w:t>
      </w:r>
    </w:p>
    <w:p w14:paraId="51F74F66" w14:textId="77777777" w:rsidR="004B31D4" w:rsidRPr="00362D29" w:rsidRDefault="004B31D4" w:rsidP="00C42472">
      <w:pPr>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ضمان الاستدامة المؤسسية طويلة المدى</w:t>
      </w:r>
      <w:r w:rsidRPr="00362D29">
        <w:rPr>
          <w:rFonts w:ascii="Traditional Arabic" w:hAnsi="Traditional Arabic" w:cs="Traditional Arabic"/>
          <w:color w:val="000000" w:themeColor="text1"/>
          <w:sz w:val="24"/>
          <w:szCs w:val="24"/>
        </w:rPr>
        <w:t>.</w:t>
      </w:r>
    </w:p>
    <w:p w14:paraId="06A1A0C1" w14:textId="67E8B694" w:rsidR="005A276F" w:rsidRPr="00362D29" w:rsidRDefault="005A276F"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أبعاد التميز المؤسسي</w:t>
      </w:r>
    </w:p>
    <w:p w14:paraId="01A0ADC3"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 xml:space="preserve">يرتكز التميز المؤسسي على مجموعة من الأبعاد المتكاملة التي تشكل البنية الهيكلية لأي نموذج </w:t>
      </w:r>
      <w:proofErr w:type="gramStart"/>
      <w:r w:rsidRPr="00362D29">
        <w:rPr>
          <w:rFonts w:ascii="Traditional Arabic" w:hAnsi="Traditional Arabic" w:cs="Traditional Arabic"/>
          <w:sz w:val="24"/>
          <w:szCs w:val="24"/>
          <w:rtl/>
        </w:rPr>
        <w:t>تميز ،</w:t>
      </w:r>
      <w:proofErr w:type="gramEnd"/>
      <w:r w:rsidRPr="00362D29">
        <w:rPr>
          <w:rFonts w:ascii="Traditional Arabic" w:hAnsi="Traditional Arabic" w:cs="Traditional Arabic"/>
          <w:sz w:val="24"/>
          <w:szCs w:val="24"/>
          <w:rtl/>
        </w:rPr>
        <w:t xml:space="preserve"> حيث تتفاعل هذه الأبعاد بصورة ديناميكية لتحقيق نتائج مستدامة ومتوازنة، وقد أكدت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أن هذه الأبعاد تمثل الأساس الذي تقوم عليه نماذج التميز المؤسسي المعاصرة. وبالرغم من تنوع أبعاد التميز المؤسسي، إلا أن معظم الدراسات تتفق على أبعاد رئيسية تشمل</w:t>
      </w:r>
      <w:r w:rsidRPr="00362D29">
        <w:rPr>
          <w:rFonts w:ascii="Traditional Arabic" w:hAnsi="Traditional Arabic" w:cs="Traditional Arabic"/>
          <w:sz w:val="24"/>
          <w:szCs w:val="24"/>
        </w:rPr>
        <w:t>:</w:t>
      </w:r>
    </w:p>
    <w:p w14:paraId="0C36B44F" w14:textId="44E572B3"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القيادة</w:t>
      </w:r>
    </w:p>
    <w:p w14:paraId="29B00375" w14:textId="77777777" w:rsidR="005A276F" w:rsidRPr="00362D29" w:rsidRDefault="005A276F" w:rsidP="00362D29">
      <w:pPr>
        <w:bidi/>
        <w:spacing w:before="0" w:after="160"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تمثل القيادة الركيزة الجوهرية في تحقيق التميز المؤسسي، إذ تضطلع بدور استراتيجي في صياغة الرؤية وتحديد الاتجاهات المستقبلية، إضافة إلى ترسيخ ثقافة التحسين المستمر داخل المؤسسة. فالقيادة الفاعلة لا تقتصر على التوجيه الإداري، بل تمتد إلى تمكين العاملين وتحفيزهم، وتعزيز الالتزام بالقيم المؤسسية، ودعم الابتكار التنظيمي. وقد أوضحت دراسة</w:t>
      </w:r>
      <w:r w:rsidRPr="00362D29">
        <w:rPr>
          <w:rFonts w:ascii="Traditional Arabic" w:hAnsi="Traditional Arabic" w:cs="Traditional Arabic"/>
          <w:sz w:val="24"/>
          <w:szCs w:val="24"/>
        </w:rPr>
        <w:t xml:space="preserve"> (Al-Samawi &amp; Al-Sayaghi, 2024) </w:t>
      </w:r>
      <w:r w:rsidRPr="00362D29">
        <w:rPr>
          <w:rFonts w:ascii="Traditional Arabic" w:hAnsi="Traditional Arabic" w:cs="Traditional Arabic"/>
          <w:sz w:val="24"/>
          <w:szCs w:val="24"/>
          <w:rtl/>
        </w:rPr>
        <w:t>أن القيادة ترتبط إيجابيًا بجودة الخدمات الصحية، كما بينت دراسة</w:t>
      </w:r>
      <w:r w:rsidRPr="00362D29">
        <w:rPr>
          <w:rFonts w:ascii="Traditional Arabic" w:hAnsi="Traditional Arabic" w:cs="Traditional Arabic"/>
          <w:sz w:val="24"/>
          <w:szCs w:val="24"/>
        </w:rPr>
        <w:t xml:space="preserve"> (Alsaleem, 2025) </w:t>
      </w:r>
      <w:r w:rsidRPr="00362D29">
        <w:rPr>
          <w:rFonts w:ascii="Traditional Arabic" w:hAnsi="Traditional Arabic" w:cs="Traditional Arabic"/>
          <w:sz w:val="24"/>
          <w:szCs w:val="24"/>
          <w:rtl/>
        </w:rPr>
        <w:t>وجود توافق واضح بين معايير القيادة في برامج الاعتماد الوطني وأبعاد نموذج التميز المؤسسي، مما يعكس أهميتها المحورية في البيئة الصحية السعودية</w:t>
      </w:r>
      <w:r w:rsidRPr="00362D29">
        <w:rPr>
          <w:rFonts w:ascii="Traditional Arabic" w:hAnsi="Traditional Arabic" w:cs="Traditional Arabic"/>
          <w:sz w:val="24"/>
          <w:szCs w:val="24"/>
        </w:rPr>
        <w:t>.</w:t>
      </w:r>
    </w:p>
    <w:p w14:paraId="5D5E0B92" w14:textId="77777777" w:rsidR="00537BE5" w:rsidRPr="00362D29" w:rsidRDefault="00537BE5" w:rsidP="00362D29">
      <w:pPr>
        <w:bidi/>
        <w:spacing w:before="0" w:after="160" w:line="360" w:lineRule="auto"/>
        <w:jc w:val="both"/>
        <w:rPr>
          <w:rFonts w:ascii="Traditional Arabic" w:hAnsi="Traditional Arabic" w:cs="Traditional Arabic"/>
          <w:sz w:val="24"/>
          <w:szCs w:val="24"/>
          <w:rtl/>
        </w:rPr>
      </w:pPr>
    </w:p>
    <w:p w14:paraId="142F1271" w14:textId="77777777" w:rsidR="00537BE5" w:rsidRPr="00362D29" w:rsidRDefault="00537BE5" w:rsidP="00362D29">
      <w:pPr>
        <w:bidi/>
        <w:spacing w:before="0" w:after="160" w:line="360" w:lineRule="auto"/>
        <w:jc w:val="both"/>
        <w:rPr>
          <w:rFonts w:ascii="Traditional Arabic" w:hAnsi="Traditional Arabic" w:cs="Traditional Arabic"/>
          <w:sz w:val="24"/>
          <w:szCs w:val="24"/>
        </w:rPr>
      </w:pPr>
    </w:p>
    <w:p w14:paraId="60816CCA" w14:textId="77777777"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lastRenderedPageBreak/>
        <w:t>الاستراتيجية</w:t>
      </w:r>
    </w:p>
    <w:p w14:paraId="60377C4D"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يقوم التميز المؤسسي على وجود استراتيجية واضحة ومعلنة تستند إلى تحليل بيئي شامل، وتترجم الرؤية المؤسسية إلى أهداف قابلة للقياس والتنفيذ. فالاستراتيجية المتميزة تضمن مواءمة الموارد مع الأولويات، وتربط الخطط التشغيلية بالأهداف بعيدة المدى. وقد أظهرت دراسة (الغامدي، 2024) وجود علاقة قوية بين الممارسات الاستراتيجية الإبداعية ومستوى التميز المؤسسي، مما يؤكد أن وضوح التوجه الاستراتيجي يمثل أحد محددات التفوق المؤسسي</w:t>
      </w:r>
      <w:r w:rsidRPr="00362D29">
        <w:rPr>
          <w:rFonts w:ascii="Traditional Arabic" w:hAnsi="Traditional Arabic" w:cs="Traditional Arabic"/>
          <w:sz w:val="24"/>
          <w:szCs w:val="24"/>
        </w:rPr>
        <w:t>.</w:t>
      </w:r>
    </w:p>
    <w:p w14:paraId="4BA88252" w14:textId="7CC15B54"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الموارد البشرية</w:t>
      </w:r>
    </w:p>
    <w:p w14:paraId="1A9C504B"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يشكل المورد البشري عنصرًا حاسمًا في تحقيق التميز، إذ يعتمد الأداء المؤسسي على كفاءة العاملين، ومستوى تمكينهم، ومشاركتهم في اتخاذ القرار. ويتحقق ذلك من خلال التدريب المستمر، والتحفيز، وبناء ثقافة تنظيمية داعمة للأداء العالي. وقد أكدت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أن الأفراد يمثلون أحد ممكنات التميز الرئيسة في النماذج العالمية، كما بينت دراسة</w:t>
      </w:r>
      <w:r w:rsidRPr="00362D29">
        <w:rPr>
          <w:rFonts w:ascii="Traditional Arabic" w:hAnsi="Traditional Arabic" w:cs="Traditional Arabic"/>
          <w:sz w:val="24"/>
          <w:szCs w:val="24"/>
        </w:rPr>
        <w:t xml:space="preserve"> (Alsaleem, 2025) </w:t>
      </w:r>
      <w:r w:rsidRPr="00362D29">
        <w:rPr>
          <w:rFonts w:ascii="Traditional Arabic" w:hAnsi="Traditional Arabic" w:cs="Traditional Arabic"/>
          <w:sz w:val="24"/>
          <w:szCs w:val="24"/>
          <w:rtl/>
        </w:rPr>
        <w:t>أهمية تكامل إدارة الموارد البشرية مع معايير الاعتماد لتحقيق الأداء المتميز داخل المستشفيات</w:t>
      </w:r>
      <w:r w:rsidRPr="00362D29">
        <w:rPr>
          <w:rFonts w:ascii="Traditional Arabic" w:hAnsi="Traditional Arabic" w:cs="Traditional Arabic"/>
          <w:sz w:val="24"/>
          <w:szCs w:val="24"/>
        </w:rPr>
        <w:t>.</w:t>
      </w:r>
    </w:p>
    <w:p w14:paraId="79C1122D" w14:textId="72BB4148"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العمليات</w:t>
      </w:r>
    </w:p>
    <w:p w14:paraId="7EE34CBE"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تمثل العمليات الإدارية والتشغيلية الإطار الذي يتم من خلاله تحويل الموارد إلى نتائج، ويعد تحسين العمليات بصورة مستمرة شرطًا أساسيًا لتحقيق الكفاءة والجودة. فالعمليات الفعالة تتسم بالوضوح، والانسيابية، وتقليل الهدر، والاعتماد على مؤشرات أداء دقيقة. وقد أشارت دراسة</w:t>
      </w:r>
      <w:r w:rsidRPr="00362D29">
        <w:rPr>
          <w:rFonts w:ascii="Traditional Arabic" w:hAnsi="Traditional Arabic" w:cs="Traditional Arabic"/>
          <w:sz w:val="24"/>
          <w:szCs w:val="24"/>
        </w:rPr>
        <w:t xml:space="preserve"> (Al-Samawi &amp; Al-Sayaghi, 2024) </w:t>
      </w:r>
      <w:r w:rsidRPr="00362D29">
        <w:rPr>
          <w:rFonts w:ascii="Traditional Arabic" w:hAnsi="Traditional Arabic" w:cs="Traditional Arabic"/>
          <w:sz w:val="24"/>
          <w:szCs w:val="24"/>
          <w:rtl/>
        </w:rPr>
        <w:t>إلى أن تطوير العمليات يرتبط مباشرة بتحسين جودة الخدمات الصحية، مما يعكس الدور المحوري لهذا البعد في المؤسسات الصحية</w:t>
      </w:r>
      <w:r w:rsidRPr="00362D29">
        <w:rPr>
          <w:rFonts w:ascii="Traditional Arabic" w:hAnsi="Traditional Arabic" w:cs="Traditional Arabic"/>
          <w:sz w:val="24"/>
          <w:szCs w:val="24"/>
        </w:rPr>
        <w:t>.</w:t>
      </w:r>
    </w:p>
    <w:p w14:paraId="710413B9" w14:textId="1EE4A331"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الشراكات والموارد</w:t>
      </w:r>
    </w:p>
    <w:p w14:paraId="4475A667"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يرتبط التميز المؤسسي بقدرة المؤسسة على إدارة مواردها المادية والمالية والتقنية بكفاءة، إضافة إلى بناء شراكات استراتيجية مع الجهات ذات العلاقة. فإدارة الموارد بصورة رشيدة تضمن الاستدامة، بينما تسهم الشراكات في تبادل الخبرات وتعزيز القدرة التنافسية. وقد أوضحت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أن إدارة الشراكات والموارد تعد من الممكنات الأساسية في نماذج التميز، لما لها من أثر مباشر في دعم تنفيذ الاستراتيجية وتحقيق النتائج</w:t>
      </w:r>
      <w:r w:rsidRPr="00362D29">
        <w:rPr>
          <w:rFonts w:ascii="Traditional Arabic" w:hAnsi="Traditional Arabic" w:cs="Traditional Arabic"/>
          <w:sz w:val="24"/>
          <w:szCs w:val="24"/>
        </w:rPr>
        <w:t>.</w:t>
      </w:r>
    </w:p>
    <w:p w14:paraId="707DA38B" w14:textId="70904E7D"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النتائج</w:t>
      </w:r>
    </w:p>
    <w:p w14:paraId="50A5967C" w14:textId="1EF7FB71" w:rsidR="00771E8A" w:rsidRPr="00362D29" w:rsidRDefault="005A276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sz w:val="24"/>
          <w:szCs w:val="24"/>
          <w:rtl/>
        </w:rPr>
        <w:t xml:space="preserve">تُعد النتائج المؤشر النهائي لمدى نجاح المؤسسة في تطبيق أبعاد التميز، وتشمل نتائج الأداء المالي، ورضا العملاء، ورضا العاملين، ونتائج المجتمع، إضافة إلى النتائج التشغيلية الرئيسية. فالتميز لا يقاس فقط بجودة الممكنات، بل بمدى انعكاسها على مؤشرات الأداء الفعلية. وقد </w:t>
      </w:r>
      <w:r w:rsidRPr="00362D29">
        <w:rPr>
          <w:rFonts w:ascii="Traditional Arabic" w:hAnsi="Traditional Arabic" w:cs="Traditional Arabic"/>
          <w:sz w:val="24"/>
          <w:szCs w:val="24"/>
          <w:rtl/>
        </w:rPr>
        <w:lastRenderedPageBreak/>
        <w:t>أكدت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 xml:space="preserve">أن التركيز على النتائج المتوازنة يمثل جوهر فلسفة التميز المؤسسي، بينما أظهرت دراسة      </w:t>
      </w:r>
      <w:proofErr w:type="gramStart"/>
      <w:r w:rsidRPr="00362D29">
        <w:rPr>
          <w:rFonts w:ascii="Traditional Arabic" w:hAnsi="Traditional Arabic" w:cs="Traditional Arabic"/>
          <w:sz w:val="24"/>
          <w:szCs w:val="24"/>
          <w:rtl/>
        </w:rPr>
        <w:t xml:space="preserve">  </w:t>
      </w:r>
      <w:r w:rsidRPr="00362D29">
        <w:rPr>
          <w:rFonts w:ascii="Traditional Arabic" w:hAnsi="Traditional Arabic" w:cs="Traditional Arabic"/>
          <w:sz w:val="24"/>
          <w:szCs w:val="24"/>
        </w:rPr>
        <w:t xml:space="preserve"> (</w:t>
      </w:r>
      <w:proofErr w:type="gramEnd"/>
      <w:r w:rsidRPr="00362D29">
        <w:rPr>
          <w:rFonts w:ascii="Traditional Arabic" w:hAnsi="Traditional Arabic" w:cs="Traditional Arabic"/>
          <w:sz w:val="24"/>
          <w:szCs w:val="24"/>
        </w:rPr>
        <w:t xml:space="preserve">Al-Samawi &amp; Al-Sayaghi, 2024) </w:t>
      </w:r>
      <w:r w:rsidRPr="00362D29">
        <w:rPr>
          <w:rFonts w:ascii="Traditional Arabic" w:hAnsi="Traditional Arabic" w:cs="Traditional Arabic"/>
          <w:sz w:val="24"/>
          <w:szCs w:val="24"/>
          <w:rtl/>
        </w:rPr>
        <w:t>أن ارتفاع مستوى تطبيق أبعاد التميز يرتبط بتحسن ملموس في جودة الخدمات الصحية ورضا المستفيدين</w:t>
      </w:r>
    </w:p>
    <w:p w14:paraId="499E09AB" w14:textId="1B225820" w:rsidR="00E52E8F" w:rsidRPr="00362D29" w:rsidRDefault="00E52E8F"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خصائص التميز المؤسسي</w:t>
      </w:r>
    </w:p>
    <w:p w14:paraId="7B6BCFBD" w14:textId="727F6E6E"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أن التميز المؤسسي لا يُعد مجرد إطار تنظيمي، بل يمثل فلسفة إدارية متكاملة تتسم بمجموعة من الخصائص التي تميّزه عن النظم الإدارية التقليدية</w:t>
      </w:r>
      <w:r w:rsidR="000E7996" w:rsidRPr="00362D29">
        <w:rPr>
          <w:rFonts w:ascii="Traditional Arabic" w:hAnsi="Traditional Arabic" w:cs="Traditional Arabic"/>
          <w:color w:val="000000" w:themeColor="text1"/>
          <w:sz w:val="24"/>
          <w:szCs w:val="24"/>
          <w:rtl/>
        </w:rPr>
        <w:t xml:space="preserve"> </w:t>
      </w:r>
      <w:r w:rsidR="00FB7DFF"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وقد بينت الدراسات السابقة أن هذه الخصائص تشكل السمات الجوهرية للمنظمات المتميزة، ويمكن عرضها على النحو الآتي</w:t>
      </w:r>
      <w:r w:rsidRPr="00362D29">
        <w:rPr>
          <w:rFonts w:ascii="Traditional Arabic" w:hAnsi="Traditional Arabic" w:cs="Traditional Arabic"/>
          <w:color w:val="000000" w:themeColor="text1"/>
          <w:sz w:val="24"/>
          <w:szCs w:val="24"/>
        </w:rPr>
        <w:t>:</w:t>
      </w:r>
    </w:p>
    <w:p w14:paraId="601DA68E" w14:textId="720D7D18" w:rsidR="00E52E8F" w:rsidRPr="00362D29" w:rsidRDefault="00E52E8F"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الشمولية والتكامل المؤسسي</w:t>
      </w:r>
    </w:p>
    <w:p w14:paraId="6C8B6DC6"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يتسم التميز المؤسسي بالشمولية، إذ لا يقتصر على جانب إداري معين، بل يمتد ليشمل القيادة، والاستراتيجية، والموارد، والعمليات، والنتائج في إطار مترابط ومتوازن. فالمنظمة المتميزة تنظر إلى أدائها نظرة كلية، بحيث يتم الربط بين الممكنات والنتائج بصورة منهجية. وقد أكدت دراسة</w:t>
      </w:r>
      <w:r w:rsidRPr="00362D29">
        <w:rPr>
          <w:rFonts w:ascii="Traditional Arabic" w:hAnsi="Traditional Arabic" w:cs="Traditional Arabic"/>
          <w:color w:val="000000" w:themeColor="text1"/>
          <w:sz w:val="24"/>
          <w:szCs w:val="24"/>
        </w:rPr>
        <w:t xml:space="preserve"> (Barnawi, 2022) </w:t>
      </w:r>
      <w:r w:rsidRPr="00362D29">
        <w:rPr>
          <w:rFonts w:ascii="Traditional Arabic" w:hAnsi="Traditional Arabic" w:cs="Traditional Arabic"/>
          <w:color w:val="000000" w:themeColor="text1"/>
          <w:sz w:val="24"/>
          <w:szCs w:val="24"/>
          <w:rtl/>
        </w:rPr>
        <w:t>أن النماذج العالمية للتميز تقوم على فلسفة التكامل بين مختلف مكونات النظام المؤسسي لضمان تحقيق نتائج مستدامة</w:t>
      </w:r>
      <w:r w:rsidRPr="00362D29">
        <w:rPr>
          <w:rFonts w:ascii="Traditional Arabic" w:hAnsi="Traditional Arabic" w:cs="Traditional Arabic"/>
          <w:color w:val="000000" w:themeColor="text1"/>
          <w:sz w:val="24"/>
          <w:szCs w:val="24"/>
        </w:rPr>
        <w:t>.</w:t>
      </w:r>
    </w:p>
    <w:p w14:paraId="3BFF3D1E" w14:textId="722F68D9"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التركيز على أصحاب المصلحة</w:t>
      </w:r>
    </w:p>
    <w:p w14:paraId="49D868DC"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من الخصائص الأساسية للتميز المؤسسي التركيز على تحقيق قيمة متوازنة لجميع أصحاب المصلحة، وفي مقدمتهم العملاء، والمستفيدون والعاملون والمجتمع. فالمنظمات المتميزة لا تكتفي بتحقيق أهدافها الداخلية، بل تسعى إلى تلبية توقعات المستفيدين وتعزيز رضاهم بصورة مستمرة. وقد أظهرت دراسة</w:t>
      </w:r>
      <w:r w:rsidRPr="00362D29">
        <w:rPr>
          <w:rFonts w:ascii="Traditional Arabic" w:hAnsi="Traditional Arabic" w:cs="Traditional Arabic"/>
          <w:color w:val="000000" w:themeColor="text1"/>
          <w:sz w:val="24"/>
          <w:szCs w:val="24"/>
        </w:rPr>
        <w:t xml:space="preserve"> (Al-Samawi &amp; Al-Sayaghi, 2024) </w:t>
      </w:r>
      <w:r w:rsidRPr="00362D29">
        <w:rPr>
          <w:rFonts w:ascii="Traditional Arabic" w:hAnsi="Traditional Arabic" w:cs="Traditional Arabic"/>
          <w:color w:val="000000" w:themeColor="text1"/>
          <w:sz w:val="24"/>
          <w:szCs w:val="24"/>
          <w:rtl/>
        </w:rPr>
        <w:t>وجود علاقة إيجابية بين تطبيق ممارسات التميز المؤسسي وتحسن جودة الخدمات الصحية ورضا العملاء</w:t>
      </w:r>
      <w:r w:rsidRPr="00362D29">
        <w:rPr>
          <w:rFonts w:ascii="Traditional Arabic" w:hAnsi="Traditional Arabic" w:cs="Traditional Arabic"/>
          <w:color w:val="000000" w:themeColor="text1"/>
          <w:sz w:val="24"/>
          <w:szCs w:val="24"/>
        </w:rPr>
        <w:t>.</w:t>
      </w:r>
    </w:p>
    <w:p w14:paraId="0E3BAC46" w14:textId="3D46FF15"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الاعتماد على القياس وإدارة الأداء</w:t>
      </w:r>
    </w:p>
    <w:p w14:paraId="224C9F92"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يتميز التميز المؤسسي بالاعتماد على مؤشرات أداء واضحة وأنظمة قياس دقيقة لمتابعة التقدم وتحليل الفجوات وتحسين النتائج. فالقياس المستمر يمثل أداة أساسية لاتخاذ القرار المبني على البيانات وتحقيق التحسين المنهجي. وقد أوضحت دراسة (السيابي، 2024) أن التكامل بين نموذج</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وأدوات قياس الأداء يسهم في تحويل الاستراتيجية إلى مؤشرات قابلة للتقييم والتحسين</w:t>
      </w:r>
      <w:r w:rsidRPr="00362D29">
        <w:rPr>
          <w:rFonts w:ascii="Traditional Arabic" w:hAnsi="Traditional Arabic" w:cs="Traditional Arabic"/>
          <w:color w:val="000000" w:themeColor="text1"/>
          <w:sz w:val="24"/>
          <w:szCs w:val="24"/>
        </w:rPr>
        <w:t>.</w:t>
      </w:r>
    </w:p>
    <w:p w14:paraId="64E1E9AD"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tl/>
        </w:rPr>
      </w:pPr>
    </w:p>
    <w:p w14:paraId="103C82A5"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Pr>
      </w:pPr>
    </w:p>
    <w:p w14:paraId="709268F8" w14:textId="6ED1E871"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التحسين المستمر والابتكار</w:t>
      </w:r>
    </w:p>
    <w:p w14:paraId="3BD1F67E"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يمثل التحسين المستمر سمة جوهرية للتميز المؤسسي، حيث تتبنى المنظمة المتميزة ثقافة تطوير دائمة تسعى من خلالها إلى مراجعة العمليات وتحديث الممارسات وتعزيز الابتكار. وقد أكدت دراسة</w:t>
      </w:r>
      <w:r w:rsidRPr="00362D29">
        <w:rPr>
          <w:rFonts w:ascii="Traditional Arabic" w:hAnsi="Traditional Arabic" w:cs="Traditional Arabic"/>
          <w:color w:val="000000" w:themeColor="text1"/>
          <w:sz w:val="24"/>
          <w:szCs w:val="24"/>
        </w:rPr>
        <w:t xml:space="preserve"> (Salih &amp; Dolah, 2023) </w:t>
      </w:r>
      <w:r w:rsidRPr="00362D29">
        <w:rPr>
          <w:rFonts w:ascii="Traditional Arabic" w:hAnsi="Traditional Arabic" w:cs="Traditional Arabic"/>
          <w:color w:val="000000" w:themeColor="text1"/>
          <w:sz w:val="24"/>
          <w:szCs w:val="24"/>
          <w:rtl/>
        </w:rPr>
        <w:t>أن ثقافة التحسين المستمر تُعد من عوامل النجاح الحرجة في تطبيق نماذج التميز، بينما أشارت دراسة (الغامدي، 2024) إلى أن الممارسات الاستراتيجية الإبداعية ترتبط بارتفاع مستوى التميز المؤسسي</w:t>
      </w:r>
      <w:r w:rsidRPr="00362D29">
        <w:rPr>
          <w:rFonts w:ascii="Traditional Arabic" w:hAnsi="Traditional Arabic" w:cs="Traditional Arabic"/>
          <w:color w:val="000000" w:themeColor="text1"/>
          <w:sz w:val="24"/>
          <w:szCs w:val="24"/>
        </w:rPr>
        <w:t>.</w:t>
      </w:r>
    </w:p>
    <w:p w14:paraId="00EA181E" w14:textId="012198EC"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القيادة التحويلية والحوكمة الرشيدة</w:t>
      </w:r>
    </w:p>
    <w:p w14:paraId="2FABF04B"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تُعد القيادة الفاعلة أحد أبرز خصائص المنظمات المتميزة، حيث تسهم في ترسيخ القيم المؤسسية، وتعزيز الالتزام التنظيمي، ودعم التغيير الإيجابي. كما ترتبط هذه القيادة بوجود نظام حوكمة واضح يحدد الأدوار والمسؤوليات ويعزز الشفافية والمساءلة. وقد بينت دراسة (الرويلي وظفرة، 2025) وجود تأثير مباشر للقيادة التحويلية على مستوى التميز المؤسسي، كما أكدت دراسة</w:t>
      </w:r>
      <w:r w:rsidRPr="00362D29">
        <w:rPr>
          <w:rFonts w:ascii="Traditional Arabic" w:hAnsi="Traditional Arabic" w:cs="Traditional Arabic"/>
          <w:color w:val="000000" w:themeColor="text1"/>
          <w:sz w:val="24"/>
          <w:szCs w:val="24"/>
        </w:rPr>
        <w:t xml:space="preserve"> (Alsaleem, 2025) </w:t>
      </w:r>
      <w:r w:rsidRPr="00362D29">
        <w:rPr>
          <w:rFonts w:ascii="Traditional Arabic" w:hAnsi="Traditional Arabic" w:cs="Traditional Arabic"/>
          <w:color w:val="000000" w:themeColor="text1"/>
          <w:sz w:val="24"/>
          <w:szCs w:val="24"/>
          <w:rtl/>
        </w:rPr>
        <w:t>أهمية التكامل بين معايير الاعتماد والتميز لتعزيز الحوكمة المؤسسية</w:t>
      </w:r>
      <w:r w:rsidRPr="00362D29">
        <w:rPr>
          <w:rFonts w:ascii="Traditional Arabic" w:hAnsi="Traditional Arabic" w:cs="Traditional Arabic"/>
          <w:color w:val="000000" w:themeColor="text1"/>
          <w:sz w:val="24"/>
          <w:szCs w:val="24"/>
        </w:rPr>
        <w:t>.</w:t>
      </w:r>
    </w:p>
    <w:p w14:paraId="722E4C54" w14:textId="6A0574BC"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الاستدامة والتوجه المستقبلي</w:t>
      </w:r>
    </w:p>
    <w:p w14:paraId="4709CBAE" w14:textId="332A6E78" w:rsidR="00E52E8F" w:rsidRPr="00362D29" w:rsidRDefault="00E52E8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يتسم التميز المؤسسي بالتوجه نحو الاستدامة طويلة المدى، حيث تسعى المنظمة إلى تحقيق توازن بين الأداء الحالي والاستعداد للتحديات المستقبلية. ويشمل ذلك الاستثمار في الموارد البشرية والتقنية، وبناء قدرات تنظيمية قادرة على التكيف مع المتغيرات. وقد أوضحت دراسة</w:t>
      </w:r>
      <w:r w:rsidRPr="00362D29">
        <w:rPr>
          <w:rFonts w:ascii="Traditional Arabic" w:hAnsi="Traditional Arabic" w:cs="Traditional Arabic"/>
          <w:color w:val="000000" w:themeColor="text1"/>
          <w:sz w:val="24"/>
          <w:szCs w:val="24"/>
        </w:rPr>
        <w:t xml:space="preserve"> (Ahmed &amp; Sur, 2023) </w:t>
      </w:r>
      <w:r w:rsidRPr="00362D29">
        <w:rPr>
          <w:rFonts w:ascii="Traditional Arabic" w:hAnsi="Traditional Arabic" w:cs="Traditional Arabic"/>
          <w:color w:val="000000" w:themeColor="text1"/>
          <w:sz w:val="24"/>
          <w:szCs w:val="24"/>
          <w:rtl/>
        </w:rPr>
        <w:t>أن تطبيق أطر التميز يسهم في تحقيق الاستدامة المؤسسية، خاصة في ظل التحول الرقمي في القطاع الصحي</w:t>
      </w:r>
      <w:r w:rsidRPr="00362D29">
        <w:rPr>
          <w:rFonts w:ascii="Traditional Arabic" w:hAnsi="Traditional Arabic" w:cs="Traditional Arabic"/>
          <w:color w:val="000000" w:themeColor="text1"/>
          <w:sz w:val="24"/>
          <w:szCs w:val="24"/>
        </w:rPr>
        <w:t>.</w:t>
      </w:r>
    </w:p>
    <w:p w14:paraId="3CDC2FC2" w14:textId="3D9A1609" w:rsidR="007C3CCB" w:rsidRPr="00362D29" w:rsidRDefault="007C3CCB"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المتطلبات الرئيسية لتحقيق التميز المؤسسي</w:t>
      </w:r>
    </w:p>
    <w:p w14:paraId="6620FD97" w14:textId="77777777"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التزام القيادة العليا وتبنّي التميز كخيار استراتيجي</w:t>
      </w:r>
    </w:p>
    <w:p w14:paraId="0C574CFD" w14:textId="3DC605CA" w:rsidR="007C3CCB" w:rsidRPr="00362D29" w:rsidRDefault="00AB6D67"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يتطلب تحقيق التميز المؤسسي توافر مجموعة من المقومات التنظيمية، في مقدمتها التزام الإدارة العليا ودعمها المستمر لمبادرات </w:t>
      </w:r>
      <w:proofErr w:type="gramStart"/>
      <w:r w:rsidRPr="00362D29">
        <w:rPr>
          <w:rFonts w:ascii="Traditional Arabic" w:hAnsi="Traditional Arabic" w:cs="Traditional Arabic"/>
          <w:color w:val="000000" w:themeColor="text1"/>
          <w:sz w:val="24"/>
          <w:szCs w:val="24"/>
          <w:rtl/>
        </w:rPr>
        <w:t>الجودة ،ويتحقق</w:t>
      </w:r>
      <w:proofErr w:type="gramEnd"/>
      <w:r w:rsidRPr="00362D29">
        <w:rPr>
          <w:rFonts w:ascii="Traditional Arabic" w:hAnsi="Traditional Arabic" w:cs="Traditional Arabic"/>
          <w:color w:val="000000" w:themeColor="text1"/>
          <w:sz w:val="24"/>
          <w:szCs w:val="24"/>
          <w:rtl/>
        </w:rPr>
        <w:t xml:space="preserve"> ذلك</w:t>
      </w:r>
      <w:r w:rsidR="007C3CCB" w:rsidRPr="00362D29">
        <w:rPr>
          <w:rFonts w:ascii="Traditional Arabic" w:hAnsi="Traditional Arabic" w:cs="Traditional Arabic"/>
          <w:color w:val="000000" w:themeColor="text1"/>
          <w:sz w:val="24"/>
          <w:szCs w:val="24"/>
          <w:rtl/>
        </w:rPr>
        <w:t xml:space="preserve"> عندما تتبنى القيادة العليا النموذج وتترجمه إلى توجهات واضحة وأولويات تنفيذية</w:t>
      </w:r>
      <w:r w:rsidRPr="00362D29">
        <w:rPr>
          <w:rFonts w:ascii="Traditional Arabic" w:hAnsi="Traditional Arabic" w:cs="Traditional Arabic"/>
          <w:color w:val="000000" w:themeColor="text1"/>
          <w:sz w:val="24"/>
          <w:szCs w:val="24"/>
          <w:rtl/>
        </w:rPr>
        <w:t xml:space="preserve"> </w:t>
      </w:r>
      <w:r w:rsidR="003F58FC" w:rsidRPr="00362D29">
        <w:rPr>
          <w:rFonts w:ascii="Traditional Arabic" w:hAnsi="Traditional Arabic" w:cs="Traditional Arabic"/>
          <w:color w:val="000000" w:themeColor="text1"/>
          <w:sz w:val="24"/>
          <w:szCs w:val="24"/>
          <w:rtl/>
        </w:rPr>
        <w:t xml:space="preserve"> (البلوي وإسماعيل، 2025)</w:t>
      </w:r>
      <w:r w:rsidRPr="00362D29">
        <w:rPr>
          <w:rFonts w:ascii="Traditional Arabic" w:hAnsi="Traditional Arabic" w:cs="Traditional Arabic"/>
          <w:color w:val="000000" w:themeColor="text1"/>
          <w:sz w:val="24"/>
          <w:szCs w:val="24"/>
          <w:rtl/>
        </w:rPr>
        <w:t>؛</w:t>
      </w:r>
      <w:r w:rsidR="007C3CCB" w:rsidRPr="00362D29">
        <w:rPr>
          <w:rFonts w:ascii="Traditional Arabic" w:hAnsi="Traditional Arabic" w:cs="Traditional Arabic"/>
          <w:color w:val="000000" w:themeColor="text1"/>
          <w:sz w:val="24"/>
          <w:szCs w:val="24"/>
          <w:rtl/>
        </w:rPr>
        <w:t xml:space="preserve"> لأن القيادة هي المحرك الأول لتفعيل المعايير وضمان الاستمرارية</w:t>
      </w:r>
      <w:r w:rsidR="003F58FC" w:rsidRPr="00362D29">
        <w:rPr>
          <w:rFonts w:ascii="Traditional Arabic" w:hAnsi="Traditional Arabic" w:cs="Traditional Arabic"/>
          <w:color w:val="000000" w:themeColor="text1"/>
          <w:sz w:val="24"/>
          <w:szCs w:val="24"/>
          <w:rtl/>
        </w:rPr>
        <w:t xml:space="preserve"> (</w:t>
      </w:r>
      <w:r w:rsidR="003F58FC" w:rsidRPr="00362D29">
        <w:rPr>
          <w:rFonts w:ascii="Traditional Arabic" w:hAnsi="Traditional Arabic" w:cs="Traditional Arabic"/>
          <w:color w:val="000000" w:themeColor="text1"/>
          <w:sz w:val="24"/>
          <w:szCs w:val="24"/>
        </w:rPr>
        <w:t>Alsaleem, 2025</w:t>
      </w:r>
      <w:r w:rsidR="003F58FC" w:rsidRPr="00362D29">
        <w:rPr>
          <w:rFonts w:ascii="Traditional Arabic" w:hAnsi="Traditional Arabic" w:cs="Traditional Arabic"/>
          <w:color w:val="000000" w:themeColor="text1"/>
          <w:sz w:val="24"/>
          <w:szCs w:val="24"/>
          <w:rtl/>
        </w:rPr>
        <w:t>).</w:t>
      </w:r>
    </w:p>
    <w:p w14:paraId="0C314B86" w14:textId="77777777"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وضوح الرؤية والاستراتيجية وربطها بمؤشرات قياس</w:t>
      </w:r>
    </w:p>
    <w:p w14:paraId="058E1EA5" w14:textId="1DC25D36" w:rsidR="00AB6D67" w:rsidRPr="00362D29" w:rsidRDefault="007C3CCB" w:rsidP="00362D29">
      <w:pPr>
        <w:bidi/>
        <w:spacing w:line="360" w:lineRule="auto"/>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يتطلب التميز وجود رؤية استراتيجية واضحة تُترجم إلى أهداف قابلة للقياس</w:t>
      </w:r>
      <w:r w:rsidR="00CC2120" w:rsidRPr="00362D29">
        <w:rPr>
          <w:rFonts w:ascii="Traditional Arabic" w:hAnsi="Traditional Arabic" w:cs="Traditional Arabic"/>
          <w:color w:val="000000" w:themeColor="text1"/>
          <w:sz w:val="24"/>
          <w:szCs w:val="24"/>
          <w:rtl/>
        </w:rPr>
        <w:t xml:space="preserve"> (الغامدي، 2024)</w:t>
      </w:r>
      <w:r w:rsidRPr="00362D29">
        <w:rPr>
          <w:rFonts w:ascii="Traditional Arabic" w:hAnsi="Traditional Arabic" w:cs="Traditional Arabic"/>
          <w:color w:val="000000" w:themeColor="text1"/>
          <w:sz w:val="24"/>
          <w:szCs w:val="24"/>
          <w:rtl/>
        </w:rPr>
        <w:t xml:space="preserve">، بحيث تصبح جهود التحسين مرتبطة بنتائج محددة وليس أنشطة منفصلة، مما يدعم التقييم والتحسين </w:t>
      </w:r>
      <w:r w:rsidR="00CC2120" w:rsidRPr="00362D29">
        <w:rPr>
          <w:rFonts w:ascii="Traditional Arabic" w:hAnsi="Traditional Arabic" w:cs="Traditional Arabic"/>
          <w:color w:val="000000" w:themeColor="text1"/>
          <w:sz w:val="24"/>
          <w:szCs w:val="24"/>
          <w:rtl/>
        </w:rPr>
        <w:t>المستمر (السيابي، 2023).</w:t>
      </w:r>
      <w:r w:rsidR="002640A2" w:rsidRPr="00362D29">
        <w:rPr>
          <w:rFonts w:ascii="Traditional Arabic" w:hAnsi="Traditional Arabic" w:cs="Traditional Arabic"/>
          <w:color w:val="000000" w:themeColor="text1"/>
          <w:sz w:val="24"/>
          <w:szCs w:val="24"/>
          <w:rtl/>
        </w:rPr>
        <w:t xml:space="preserve"> </w:t>
      </w:r>
    </w:p>
    <w:p w14:paraId="3E45CC25" w14:textId="4F206E62" w:rsidR="007C3CCB"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lastRenderedPageBreak/>
        <w:t>حيث أكدت دراسة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أن من أهم عوامل النجاح الحرجة وضوح الاستراتيجية، وفعالية الاتصال التنظيمي، وتحليل البيانات، وتبني إطار حوكمة واضح.</w:t>
      </w:r>
    </w:p>
    <w:p w14:paraId="16B5839B" w14:textId="05F4855E"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 xml:space="preserve">ثقافة التحسين المستمر </w:t>
      </w:r>
      <w:r w:rsidR="005D379E" w:rsidRPr="00362D29">
        <w:rPr>
          <w:rFonts w:ascii="Traditional Arabic" w:hAnsi="Traditional Arabic" w:cs="Traditional Arabic"/>
          <w:b/>
          <w:bCs/>
          <w:color w:val="000000" w:themeColor="text1"/>
          <w:sz w:val="24"/>
          <w:szCs w:val="24"/>
          <w:rtl/>
        </w:rPr>
        <w:t>والاستدامة</w:t>
      </w:r>
    </w:p>
    <w:p w14:paraId="62080904" w14:textId="407E6176" w:rsidR="007C3CCB" w:rsidRPr="00362D29" w:rsidRDefault="007C3CCB"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تُعد ثقافة التحسين المستمر من المتطلبات الجوهرية لنجاح تطبيق نماذج التميز</w:t>
      </w:r>
      <w:r w:rsidR="002640A2" w:rsidRPr="00362D29">
        <w:rPr>
          <w:rFonts w:ascii="Traditional Arabic" w:hAnsi="Traditional Arabic" w:cs="Traditional Arabic"/>
          <w:color w:val="000000" w:themeColor="text1"/>
          <w:sz w:val="24"/>
          <w:szCs w:val="24"/>
          <w:rtl/>
        </w:rPr>
        <w:t xml:space="preserve"> </w:t>
      </w:r>
      <w:r w:rsidR="002640A2"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xml:space="preserve">، لأنها تضمن أن التطوير لا يرتبط بمبادرات </w:t>
      </w:r>
      <w:r w:rsidR="002640A2" w:rsidRPr="00362D29">
        <w:rPr>
          <w:rFonts w:ascii="Traditional Arabic" w:hAnsi="Traditional Arabic" w:cs="Traditional Arabic"/>
          <w:color w:val="000000" w:themeColor="text1"/>
          <w:sz w:val="24"/>
          <w:szCs w:val="24"/>
          <w:rtl/>
        </w:rPr>
        <w:t>مؤقتة،</w:t>
      </w:r>
      <w:r w:rsidRPr="00362D29">
        <w:rPr>
          <w:rFonts w:ascii="Traditional Arabic" w:hAnsi="Traditional Arabic" w:cs="Traditional Arabic"/>
          <w:color w:val="000000" w:themeColor="text1"/>
          <w:sz w:val="24"/>
          <w:szCs w:val="24"/>
          <w:rtl/>
        </w:rPr>
        <w:t xml:space="preserve"> بل يصبح ممارسة تنظيمية </w:t>
      </w:r>
      <w:proofErr w:type="gramStart"/>
      <w:r w:rsidR="002640A2" w:rsidRPr="00362D29">
        <w:rPr>
          <w:rFonts w:ascii="Traditional Arabic" w:hAnsi="Traditional Arabic" w:cs="Traditional Arabic"/>
          <w:color w:val="000000" w:themeColor="text1"/>
          <w:sz w:val="24"/>
          <w:szCs w:val="24"/>
          <w:rtl/>
        </w:rPr>
        <w:t xml:space="preserve">مستدامة </w:t>
      </w:r>
      <w:r w:rsidR="002640A2" w:rsidRPr="00362D29">
        <w:rPr>
          <w:rFonts w:ascii="Traditional Arabic" w:hAnsi="Traditional Arabic" w:cs="Traditional Arabic"/>
          <w:color w:val="000000" w:themeColor="text1"/>
          <w:sz w:val="24"/>
          <w:szCs w:val="24"/>
        </w:rPr>
        <w:t>.</w:t>
      </w:r>
      <w:proofErr w:type="gramEnd"/>
      <w:r w:rsidRPr="00362D29">
        <w:rPr>
          <w:rFonts w:ascii="Traditional Arabic" w:hAnsi="Traditional Arabic" w:cs="Traditional Arabic"/>
          <w:color w:val="000000" w:themeColor="text1"/>
          <w:sz w:val="24"/>
          <w:szCs w:val="24"/>
        </w:rPr>
        <w:t xml:space="preserve"> </w:t>
      </w:r>
      <w:r w:rsidR="002640A2"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Pr>
        <w:t>Ahmed &amp; Sur, 2023)</w:t>
      </w:r>
      <w:r w:rsidR="002640A2" w:rsidRPr="00362D29">
        <w:rPr>
          <w:rFonts w:ascii="Traditional Arabic" w:hAnsi="Traditional Arabic" w:cs="Traditional Arabic"/>
          <w:color w:val="000000" w:themeColor="text1"/>
          <w:sz w:val="24"/>
          <w:szCs w:val="24"/>
          <w:rtl/>
        </w:rPr>
        <w:t xml:space="preserve"> </w:t>
      </w:r>
    </w:p>
    <w:p w14:paraId="694EB84A" w14:textId="2B981F46" w:rsidR="007C3CCB" w:rsidRPr="00362D29" w:rsidRDefault="00635589"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تطوير الموارد البشرية</w:t>
      </w:r>
      <w:r w:rsidR="007C3CCB" w:rsidRPr="00362D29">
        <w:rPr>
          <w:rFonts w:ascii="Traditional Arabic" w:hAnsi="Traditional Arabic" w:cs="Traditional Arabic"/>
          <w:b/>
          <w:bCs/>
          <w:color w:val="000000" w:themeColor="text1"/>
          <w:sz w:val="24"/>
          <w:szCs w:val="24"/>
          <w:rtl/>
        </w:rPr>
        <w:t xml:space="preserve"> </w:t>
      </w:r>
    </w:p>
    <w:p w14:paraId="44A0D2E5" w14:textId="39A8D2E9" w:rsidR="002640A2"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أوضحت دراسة (الرويلي، 2025) أن تطوير الموارد البشرية يمثل العامل الحاسم في تحسين جودة النظام الصحي وتحقيق التميز المؤسسي</w:t>
      </w:r>
      <w:r w:rsidRPr="00362D29">
        <w:rPr>
          <w:rFonts w:ascii="Traditional Arabic" w:hAnsi="Traditional Arabic" w:cs="Traditional Arabic"/>
          <w:color w:val="000000" w:themeColor="text1"/>
          <w:sz w:val="24"/>
          <w:szCs w:val="24"/>
        </w:rPr>
        <w:t>.</w:t>
      </w:r>
    </w:p>
    <w:p w14:paraId="19A79EC3" w14:textId="276BD7C4" w:rsidR="007C3CCB"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حيث </w:t>
      </w:r>
      <w:r w:rsidR="007C3CCB" w:rsidRPr="00362D29">
        <w:rPr>
          <w:rFonts w:ascii="Traditional Arabic" w:hAnsi="Traditional Arabic" w:cs="Traditional Arabic"/>
          <w:color w:val="000000" w:themeColor="text1"/>
          <w:sz w:val="24"/>
          <w:szCs w:val="24"/>
          <w:rtl/>
        </w:rPr>
        <w:t>ينجح التميز عندما يمتلك العاملون صلاحيات واقعية لاتخاذ قرارات مرتبطة بعملهم اليومي</w:t>
      </w:r>
      <w:r w:rsidRPr="00362D29">
        <w:rPr>
          <w:rFonts w:ascii="Traditional Arabic" w:hAnsi="Traditional Arabic" w:cs="Traditional Arabic"/>
          <w:color w:val="000000" w:themeColor="text1"/>
          <w:sz w:val="24"/>
          <w:szCs w:val="24"/>
          <w:rtl/>
        </w:rPr>
        <w:t xml:space="preserve"> (سلمان وآخرون، 2025)</w:t>
      </w:r>
      <w:r w:rsidR="007C3CCB" w:rsidRPr="00362D29">
        <w:rPr>
          <w:rFonts w:ascii="Traditional Arabic" w:hAnsi="Traditional Arabic" w:cs="Traditional Arabic"/>
          <w:color w:val="000000" w:themeColor="text1"/>
          <w:sz w:val="24"/>
          <w:szCs w:val="24"/>
          <w:rtl/>
        </w:rPr>
        <w:t xml:space="preserve">، لأن تمكين </w:t>
      </w:r>
      <w:r w:rsidR="005D379E" w:rsidRPr="00362D29">
        <w:rPr>
          <w:rFonts w:ascii="Traditional Arabic" w:hAnsi="Traditional Arabic" w:cs="Traditional Arabic"/>
          <w:color w:val="000000" w:themeColor="text1"/>
          <w:sz w:val="24"/>
          <w:szCs w:val="24"/>
          <w:rtl/>
        </w:rPr>
        <w:t xml:space="preserve">العاملين </w:t>
      </w:r>
      <w:r w:rsidR="007C3CCB" w:rsidRPr="00362D29">
        <w:rPr>
          <w:rFonts w:ascii="Traditional Arabic" w:hAnsi="Traditional Arabic" w:cs="Traditional Arabic"/>
          <w:color w:val="000000" w:themeColor="text1"/>
          <w:sz w:val="24"/>
          <w:szCs w:val="24"/>
          <w:rtl/>
        </w:rPr>
        <w:t xml:space="preserve">يدعم سرعة حل المشكلات ويعزز الانتماء ويقوي جودة التنفيذ داخل </w:t>
      </w:r>
      <w:r w:rsidR="005D379E" w:rsidRPr="00362D29">
        <w:rPr>
          <w:rFonts w:ascii="Traditional Arabic" w:hAnsi="Traditional Arabic" w:cs="Traditional Arabic"/>
          <w:color w:val="000000" w:themeColor="text1"/>
          <w:sz w:val="24"/>
          <w:szCs w:val="24"/>
          <w:rtl/>
        </w:rPr>
        <w:t xml:space="preserve">المؤسسة </w:t>
      </w:r>
      <w:r w:rsidR="005D379E" w:rsidRPr="00362D29">
        <w:rPr>
          <w:rFonts w:ascii="Traditional Arabic" w:hAnsi="Traditional Arabic" w:cs="Traditional Arabic"/>
          <w:color w:val="000000" w:themeColor="text1"/>
          <w:sz w:val="24"/>
          <w:szCs w:val="24"/>
        </w:rPr>
        <w:t>Salih &amp; Dolah, 2023)</w:t>
      </w:r>
      <w:r w:rsidR="005D379E" w:rsidRPr="00362D29">
        <w:rPr>
          <w:rFonts w:ascii="Traditional Arabic" w:hAnsi="Traditional Arabic" w:cs="Traditional Arabic"/>
          <w:color w:val="000000" w:themeColor="text1"/>
          <w:sz w:val="24"/>
          <w:szCs w:val="24"/>
          <w:rtl/>
        </w:rPr>
        <w:t>).</w:t>
      </w:r>
    </w:p>
    <w:p w14:paraId="4E826D10" w14:textId="362B481B"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 xml:space="preserve">جاهزية تنظيمية وبنية </w:t>
      </w:r>
      <w:r w:rsidR="00635589" w:rsidRPr="00362D29">
        <w:rPr>
          <w:rFonts w:ascii="Traditional Arabic" w:hAnsi="Traditional Arabic" w:cs="Traditional Arabic"/>
          <w:b/>
          <w:bCs/>
          <w:color w:val="000000" w:themeColor="text1"/>
          <w:sz w:val="24"/>
          <w:szCs w:val="24"/>
          <w:rtl/>
        </w:rPr>
        <w:t>هيكلية</w:t>
      </w:r>
      <w:r w:rsidRPr="00362D29">
        <w:rPr>
          <w:rFonts w:ascii="Traditional Arabic" w:hAnsi="Traditional Arabic" w:cs="Traditional Arabic"/>
          <w:b/>
          <w:bCs/>
          <w:color w:val="000000" w:themeColor="text1"/>
          <w:sz w:val="24"/>
          <w:szCs w:val="24"/>
          <w:rtl/>
        </w:rPr>
        <w:t xml:space="preserve"> داعمة </w:t>
      </w:r>
    </w:p>
    <w:p w14:paraId="788DA66F" w14:textId="411B6C52" w:rsidR="007C3CCB" w:rsidRPr="00362D29" w:rsidRDefault="007C3CCB"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تطبيق نم</w:t>
      </w:r>
      <w:r w:rsidR="00C804CA" w:rsidRPr="00362D29">
        <w:rPr>
          <w:rFonts w:ascii="Traditional Arabic" w:hAnsi="Traditional Arabic" w:cs="Traditional Arabic"/>
          <w:color w:val="000000" w:themeColor="text1"/>
          <w:sz w:val="24"/>
          <w:szCs w:val="24"/>
          <w:rtl/>
        </w:rPr>
        <w:t>ا</w:t>
      </w:r>
      <w:r w:rsidRPr="00362D29">
        <w:rPr>
          <w:rFonts w:ascii="Traditional Arabic" w:hAnsi="Traditional Arabic" w:cs="Traditional Arabic"/>
          <w:color w:val="000000" w:themeColor="text1"/>
          <w:sz w:val="24"/>
          <w:szCs w:val="24"/>
          <w:rtl/>
        </w:rPr>
        <w:t xml:space="preserve">ذج التميز </w:t>
      </w:r>
      <w:r w:rsidR="00C804CA" w:rsidRPr="00362D29">
        <w:rPr>
          <w:rFonts w:ascii="Traditional Arabic" w:hAnsi="Traditional Arabic" w:cs="Traditional Arabic"/>
          <w:color w:val="000000" w:themeColor="text1"/>
          <w:sz w:val="24"/>
          <w:szCs w:val="24"/>
          <w:rtl/>
        </w:rPr>
        <w:t>ت</w:t>
      </w:r>
      <w:r w:rsidRPr="00362D29">
        <w:rPr>
          <w:rFonts w:ascii="Traditional Arabic" w:hAnsi="Traditional Arabic" w:cs="Traditional Arabic"/>
          <w:color w:val="000000" w:themeColor="text1"/>
          <w:sz w:val="24"/>
          <w:szCs w:val="24"/>
          <w:rtl/>
        </w:rPr>
        <w:t xml:space="preserve">حتاج </w:t>
      </w:r>
      <w:r w:rsidR="00C804CA" w:rsidRPr="00362D29">
        <w:rPr>
          <w:rFonts w:ascii="Traditional Arabic" w:hAnsi="Traditional Arabic" w:cs="Traditional Arabic"/>
          <w:color w:val="000000" w:themeColor="text1"/>
          <w:sz w:val="24"/>
          <w:szCs w:val="24"/>
          <w:rtl/>
        </w:rPr>
        <w:t>ل</w:t>
      </w:r>
      <w:r w:rsidRPr="00362D29">
        <w:rPr>
          <w:rFonts w:ascii="Traditional Arabic" w:hAnsi="Traditional Arabic" w:cs="Traditional Arabic"/>
          <w:color w:val="000000" w:themeColor="text1"/>
          <w:sz w:val="24"/>
          <w:szCs w:val="24"/>
          <w:rtl/>
        </w:rPr>
        <w:t>جاهزية تنظيمية و</w:t>
      </w:r>
      <w:r w:rsidR="00635589" w:rsidRPr="00362D29">
        <w:rPr>
          <w:rFonts w:ascii="Traditional Arabic" w:hAnsi="Traditional Arabic" w:cs="Traditional Arabic"/>
          <w:color w:val="000000" w:themeColor="text1"/>
          <w:sz w:val="24"/>
          <w:szCs w:val="24"/>
          <w:rtl/>
        </w:rPr>
        <w:t>هيكلة</w:t>
      </w:r>
      <w:r w:rsidRPr="00362D29">
        <w:rPr>
          <w:rFonts w:ascii="Traditional Arabic" w:hAnsi="Traditional Arabic" w:cs="Traditional Arabic"/>
          <w:color w:val="000000" w:themeColor="text1"/>
          <w:sz w:val="24"/>
          <w:szCs w:val="24"/>
          <w:rtl/>
        </w:rPr>
        <w:t xml:space="preserve"> مؤسسية </w:t>
      </w:r>
      <w:r w:rsidR="00635589" w:rsidRPr="00362D29">
        <w:rPr>
          <w:rFonts w:ascii="Traditional Arabic" w:hAnsi="Traditional Arabic" w:cs="Traditional Arabic"/>
          <w:color w:val="000000" w:themeColor="text1"/>
          <w:sz w:val="24"/>
          <w:szCs w:val="24"/>
          <w:rtl/>
        </w:rPr>
        <w:t xml:space="preserve">مرنة </w:t>
      </w:r>
      <w:r w:rsidRPr="00362D29">
        <w:rPr>
          <w:rFonts w:ascii="Traditional Arabic" w:hAnsi="Traditional Arabic" w:cs="Traditional Arabic"/>
          <w:color w:val="000000" w:themeColor="text1"/>
          <w:sz w:val="24"/>
          <w:szCs w:val="24"/>
          <w:rtl/>
        </w:rPr>
        <w:t>داعمة لضمان الاستدامة وتحقيق النتائج</w:t>
      </w:r>
      <w:r w:rsidR="00C804CA" w:rsidRPr="00362D29">
        <w:rPr>
          <w:rFonts w:ascii="Traditional Arabic" w:hAnsi="Traditional Arabic" w:cs="Traditional Arabic"/>
          <w:color w:val="000000" w:themeColor="text1"/>
          <w:sz w:val="24"/>
          <w:szCs w:val="24"/>
          <w:rtl/>
        </w:rPr>
        <w:t xml:space="preserve"> (</w:t>
      </w:r>
      <w:r w:rsidR="00C804CA" w:rsidRPr="00362D29">
        <w:rPr>
          <w:rFonts w:ascii="Traditional Arabic" w:hAnsi="Traditional Arabic" w:cs="Traditional Arabic"/>
          <w:color w:val="000000" w:themeColor="text1"/>
          <w:sz w:val="24"/>
          <w:szCs w:val="24"/>
        </w:rPr>
        <w:t>Alsaleem, 2025</w:t>
      </w:r>
      <w:r w:rsidR="00C804CA"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tl/>
        </w:rPr>
        <w:t xml:space="preserve">، وليس مجرد تبنٍ شكلي </w:t>
      </w:r>
      <w:proofErr w:type="gramStart"/>
      <w:r w:rsidRPr="00362D29">
        <w:rPr>
          <w:rFonts w:ascii="Traditional Arabic" w:hAnsi="Traditional Arabic" w:cs="Traditional Arabic"/>
          <w:color w:val="000000" w:themeColor="text1"/>
          <w:sz w:val="24"/>
          <w:szCs w:val="24"/>
          <w:rtl/>
        </w:rPr>
        <w:t>للمعايير</w:t>
      </w:r>
      <w:r w:rsidR="00C804CA"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 xml:space="preserve"> (</w:t>
      </w:r>
      <w:proofErr w:type="gramEnd"/>
      <w:r w:rsidRPr="00362D29">
        <w:rPr>
          <w:rFonts w:ascii="Traditional Arabic" w:hAnsi="Traditional Arabic" w:cs="Traditional Arabic"/>
          <w:color w:val="000000" w:themeColor="text1"/>
          <w:sz w:val="24"/>
          <w:szCs w:val="24"/>
        </w:rPr>
        <w:t>Barnawi, 2022</w:t>
      </w:r>
      <w:r w:rsidR="00C804CA" w:rsidRPr="00362D29">
        <w:rPr>
          <w:rFonts w:ascii="Traditional Arabic" w:hAnsi="Traditional Arabic" w:cs="Traditional Arabic"/>
          <w:color w:val="000000" w:themeColor="text1"/>
          <w:sz w:val="24"/>
          <w:szCs w:val="24"/>
        </w:rPr>
        <w:t>)</w:t>
      </w:r>
      <w:r w:rsidR="00C804CA" w:rsidRPr="00362D29">
        <w:rPr>
          <w:rFonts w:ascii="Traditional Arabic" w:hAnsi="Traditional Arabic" w:cs="Traditional Arabic"/>
          <w:color w:val="000000" w:themeColor="text1"/>
          <w:sz w:val="24"/>
          <w:szCs w:val="24"/>
          <w:rtl/>
        </w:rPr>
        <w:t>.</w:t>
      </w:r>
    </w:p>
    <w:p w14:paraId="2255C38A" w14:textId="77777777"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توافر الموارد والتدريب وبناء القدرات</w:t>
      </w:r>
    </w:p>
    <w:p w14:paraId="5EBE3AC2" w14:textId="4A205244" w:rsidR="007C3CCB" w:rsidRPr="00362D29" w:rsidRDefault="007C3CCB"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تحتاج نماذج التميز إلى موارد كافية وبرامج تدريب وتطوير مهني</w:t>
      </w:r>
      <w:r w:rsidR="00FC3D90" w:rsidRPr="00362D29">
        <w:rPr>
          <w:rFonts w:ascii="Traditional Arabic" w:hAnsi="Traditional Arabic" w:cs="Traditional Arabic"/>
          <w:color w:val="000000" w:themeColor="text1"/>
          <w:sz w:val="24"/>
          <w:szCs w:val="24"/>
          <w:rtl/>
        </w:rPr>
        <w:t xml:space="preserve"> (محمود، 2025)</w:t>
      </w:r>
      <w:r w:rsidRPr="00362D29">
        <w:rPr>
          <w:rFonts w:ascii="Traditional Arabic" w:hAnsi="Traditional Arabic" w:cs="Traditional Arabic"/>
          <w:color w:val="000000" w:themeColor="text1"/>
          <w:sz w:val="24"/>
          <w:szCs w:val="24"/>
          <w:rtl/>
        </w:rPr>
        <w:t>، إذ يرتبط فشل التطبيق في كثير من الحالات بنقص الموارد والتدريب وضعف التأهيل المرتبط بالمعايير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w:t>
      </w:r>
    </w:p>
    <w:p w14:paraId="1DAB5B40"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3D487CB"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A3A89DF"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4472E537"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D44ABF4"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74DBEF1"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1A1B0F60"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6591444C" w14:textId="77777777" w:rsidR="00D424B0" w:rsidRPr="00362D29" w:rsidRDefault="00D424B0"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lastRenderedPageBreak/>
        <w:t>مقومات وعوامل نجاح التميز المؤسسي</w:t>
      </w:r>
    </w:p>
    <w:p w14:paraId="10F5FD97"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التزام القيادة العليا وتبني رؤية التميز</w:t>
      </w:r>
    </w:p>
    <w:p w14:paraId="480E458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يُعد التزام القيادة العليا حجر الأساس في نجاح التميز المؤسسي؛ لأنه يترجم التميز من “شعارات” إلى “قرارات” وسياسات وتمويل ومتابعة. أن القيادة عندما تتبنى رؤية التميز وتدعمها سلوكيًا (قدوة، مساءلة، تحفيز)، ترتفع قدرة المنظمة على تثبيت الممارسات وتحقيق نتائج مستدامة </w:t>
      </w:r>
      <w:r w:rsidRPr="00362D29">
        <w:rPr>
          <w:rFonts w:ascii="Traditional Arabic" w:eastAsia="Aptos" w:hAnsi="Traditional Arabic" w:cs="Traditional Arabic"/>
          <w:kern w:val="2"/>
          <w:sz w:val="24"/>
          <w:szCs w:val="24"/>
          <w14:ligatures w14:val="standardContextual"/>
        </w:rPr>
        <w:t>(Barnawi, 2022</w:t>
      </w:r>
      <w:proofErr w:type="gramStart"/>
      <w:r w:rsidRPr="00362D29">
        <w:rPr>
          <w:rFonts w:ascii="Traditional Arabic" w:eastAsia="Aptos" w:hAnsi="Traditional Arabic" w:cs="Traditional Arabic"/>
          <w:kern w:val="2"/>
          <w:sz w:val="24"/>
          <w:szCs w:val="24"/>
          <w14:ligatures w14:val="standardContextual"/>
        </w:rPr>
        <w:t xml:space="preserve">) </w:t>
      </w:r>
      <w:r w:rsidRPr="00362D29">
        <w:rPr>
          <w:rFonts w:ascii="Traditional Arabic" w:eastAsia="Aptos" w:hAnsi="Traditional Arabic" w:cs="Traditional Arabic"/>
          <w:kern w:val="2"/>
          <w:sz w:val="24"/>
          <w:szCs w:val="24"/>
          <w:rtl/>
          <w14:ligatures w14:val="standardContextual"/>
        </w:rPr>
        <w:t>.</w:t>
      </w:r>
      <w:proofErr w:type="gramEnd"/>
    </w:p>
    <w:p w14:paraId="668D0974"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وضوح الرؤية الاستراتيجية </w:t>
      </w:r>
    </w:p>
    <w:p w14:paraId="4BB08BB2" w14:textId="77777777" w:rsidR="00D424B0" w:rsidRPr="00362D29" w:rsidRDefault="00D424B0" w:rsidP="00362D29">
      <w:p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نجاح التميز المؤسسي يرتبط بوجود رؤية استراتيجية واضحة تُترجم إلى أهداف تشغيلية قابلة للقياس، بحيث يصبح “التميز” مسارًا إداريًا منظّمًا لا مبادرات متناثرة. أن وضوح الرؤية الاستراتيجية يرفع اتساق القرارات وتكامل الجهود ويُحسّن قدرة المؤسسة على تحديد الأولويات وتوجيه الموارد. (البلوي وإسماعيل، 2025).</w:t>
      </w:r>
    </w:p>
    <w:p w14:paraId="4EEBFC5C"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تمكين العاملين </w:t>
      </w:r>
    </w:p>
    <w:p w14:paraId="4E3D475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تمكين العاملين يُعد من مقومات نجاح التميز لأنه يزيد سرعة اتخاذ القرار، ويرفع جودة التنفيذ، ويُحوّل الموظف من منفّذ إلى شريك في التحسين. وتبرز ممارسات التمكين في تفويض الصلاحيات، والتدريب والتطوير المستمر، والتواصل المفتوح، ودعم المبادرات الذاتية بما يعزز الابتكار والمسؤولية المهنية داخل المؤسسة (سالمان وآخرون، 2025)</w:t>
      </w:r>
      <w:r w:rsidRPr="00362D29">
        <w:rPr>
          <w:rFonts w:ascii="Traditional Arabic" w:eastAsia="Aptos" w:hAnsi="Traditional Arabic" w:cs="Traditional Arabic"/>
          <w:kern w:val="2"/>
          <w:sz w:val="24"/>
          <w:szCs w:val="24"/>
          <w14:ligatures w14:val="standardContextual"/>
        </w:rPr>
        <w:t xml:space="preserve">. </w:t>
      </w:r>
    </w:p>
    <w:p w14:paraId="1FE5A580"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إدارة التغيير وتقليل مقاومة التحول</w:t>
      </w:r>
    </w:p>
    <w:p w14:paraId="480AE662"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إدارة التغيير وتقليل مقاومة التحول</w:t>
      </w:r>
    </w:p>
    <w:p w14:paraId="653510FF"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تطبيق نماذج التميز غالباً يتطلب تغييراً في الثقافة والعمليات، لذلك تُعد إدارة التغيير شرطاً لازماً لتقليل مقاومة العاملين وتثبيت الممارسات الجديدة. إن قصور إدارة التغيير من الأسباب المتكررة لفشل تطبيق نماذج التميز أو تذبذب نتائجها حتى مع وجود إطار نموذجي واضح (محمود، 2025).</w:t>
      </w:r>
    </w:p>
    <w:p w14:paraId="3FD9E6D8"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توافر الموارد وبناء القدرات والتدريب</w:t>
      </w:r>
    </w:p>
    <w:p w14:paraId="2579CF0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التميز المؤسسي ليس مجرد تبنٍّ نظري للمعايير، بل يحتاج موارد بشرية ومالية وتقنية تدعم التحول وتضمن استمراره؛ كما أن التدريب يرفع كفاءة التنفيذ ويعزز توحيد الفهم داخل المؤسسة. وتؤكد الأدبيات أن نقص الموارد والتدريب من أبرز معوقات نجاح تطبيق نماذج التميز وتحقيق نتائج مستقرة. (سلمان وآخرون، 2025).</w:t>
      </w:r>
    </w:p>
    <w:p w14:paraId="6B8274DC" w14:textId="77777777" w:rsidR="00F904E1" w:rsidRPr="00362D29" w:rsidRDefault="00F904E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D07075E"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الانضباط الإداري والحوكمة وتحديد المسؤوليات</w:t>
      </w:r>
    </w:p>
    <w:p w14:paraId="21B28F38"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توافر “الضبط الإداري” كمنظومة للحوكمة (لوائح واضحة، متابعة دقيقة، توزيع مسؤوليات، رقابة داخلية) يدعم التميز لأنه يمنع العشوائية ويضمن اتساق القرارات. أن ارتفاع الانضباط الإداري يرتبط بمستويات أعلى من التميز المؤسسي، ويظهر أثره في ثقافة الجودة وقدرة المؤسسة على التقييم الذاتي وتحسين الأداء (أحمد، 2025)</w:t>
      </w:r>
      <w:r w:rsidRPr="00362D29">
        <w:rPr>
          <w:rFonts w:ascii="Traditional Arabic" w:eastAsia="Aptos" w:hAnsi="Traditional Arabic" w:cs="Traditional Arabic"/>
          <w:kern w:val="2"/>
          <w:sz w:val="24"/>
          <w:szCs w:val="24"/>
          <w14:ligatures w14:val="standardContextual"/>
        </w:rPr>
        <w:t xml:space="preserve">. </w:t>
      </w:r>
    </w:p>
    <w:p w14:paraId="5A2D2AAA"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التقييم الذاتي وقياس الأداء المنتظم</w:t>
      </w:r>
    </w:p>
    <w:p w14:paraId="11CA950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نجاح التميز المؤسسي يتطلب قياسًا مستمرًا للأداء وتقييمًا ذاتيًا يوضح الفجوات ويُحوّلها إلى خطط تحسين؛ لأن التقييم الذاتي ليس إجراءً شكليًا، بل آلية لضمان التحسين المستمر وربط الأداء بالمؤشرات، بما يعزز القدرة على كشف مكامن الخلل قبل تضخمها (أحمد، 2025)</w:t>
      </w:r>
      <w:r w:rsidRPr="00362D29">
        <w:rPr>
          <w:rFonts w:ascii="Traditional Arabic" w:eastAsia="Aptos" w:hAnsi="Traditional Arabic" w:cs="Traditional Arabic"/>
          <w:kern w:val="2"/>
          <w:sz w:val="24"/>
          <w:szCs w:val="24"/>
          <w14:ligatures w14:val="standardContextual"/>
        </w:rPr>
        <w:t xml:space="preserve">. </w:t>
      </w:r>
    </w:p>
    <w:p w14:paraId="23C2E14A"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فعالية مشروعات التحسين وثقافة التحسين المستمر</w:t>
      </w:r>
    </w:p>
    <w:p w14:paraId="4DFEF2F3" w14:textId="6BF7E153"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تتحقق فاعلية التميز المؤسسي بترجمة معاييره إلى مشروعات تحسين إجرائية ذات مخرجات قابلة للقياس، تدعمها ثقافة مؤسسية تتبنى التطوير المستمر لضمان استدامة الأداء. وقد أكدت دراسة (أحمد، 2025) وجود ارتباط وثيق بين مشروعات التحسين ورفع مستوى التميز في مؤسسات الرعاية الصحية، كما شددت دراسة (الرويلي، 2025) على أن التطوير المستمر يمثل شرطاً جوهرياً للتميز وإدارة النظام الصحي بكفاءة.</w:t>
      </w:r>
    </w:p>
    <w:p w14:paraId="48BB4292" w14:textId="77777777" w:rsidR="00D424B0" w:rsidRPr="00362D29" w:rsidRDefault="00D424B0"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التحديات والمعوقات في تحقيق التميز المؤسسي</w:t>
      </w:r>
    </w:p>
    <w:p w14:paraId="52F5C343"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ضعف الدعم القيادي </w:t>
      </w:r>
    </w:p>
    <w:p w14:paraId="3950D495"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أبرز معوقات التميز المؤسسي ضعف الدعم القيادي (</w:t>
      </w:r>
      <w:r w:rsidRPr="00362D29">
        <w:rPr>
          <w:rFonts w:ascii="Traditional Arabic" w:eastAsia="Aptos" w:hAnsi="Traditional Arabic" w:cs="Traditional Arabic"/>
          <w:kern w:val="2"/>
          <w:sz w:val="24"/>
          <w:szCs w:val="24"/>
          <w14:ligatures w14:val="standardContextual"/>
        </w:rPr>
        <w:t>Barnawi, 2022</w:t>
      </w:r>
      <w:proofErr w:type="gramStart"/>
      <w:r w:rsidRPr="00362D29">
        <w:rPr>
          <w:rFonts w:ascii="Traditional Arabic" w:eastAsia="Aptos" w:hAnsi="Traditional Arabic" w:cs="Traditional Arabic"/>
          <w:kern w:val="2"/>
          <w:sz w:val="24"/>
          <w:szCs w:val="24"/>
          <w:rtl/>
          <w14:ligatures w14:val="standardContextual"/>
        </w:rPr>
        <w:t>) ،</w:t>
      </w:r>
      <w:proofErr w:type="gramEnd"/>
      <w:r w:rsidRPr="00362D29">
        <w:rPr>
          <w:rFonts w:ascii="Traditional Arabic" w:eastAsia="Aptos" w:hAnsi="Traditional Arabic" w:cs="Traditional Arabic"/>
          <w:kern w:val="2"/>
          <w:sz w:val="24"/>
          <w:szCs w:val="24"/>
          <w:rtl/>
          <w14:ligatures w14:val="standardContextual"/>
        </w:rPr>
        <w:t xml:space="preserve"> وتراجع متابعة مؤشرات الأداء، وتباطؤ تنفيذ التحسينات، بما ينعكس على النتائج المؤسسية النهائية (</w:t>
      </w:r>
      <w:r w:rsidRPr="00362D29">
        <w:rPr>
          <w:rFonts w:ascii="Traditional Arabic" w:eastAsia="Aptos" w:hAnsi="Traditional Arabic" w:cs="Traditional Arabic"/>
          <w:kern w:val="2"/>
          <w:sz w:val="24"/>
          <w:szCs w:val="24"/>
          <w14:ligatures w14:val="standardContextual"/>
        </w:rPr>
        <w:t>Salih &amp; Dolah, 2023</w:t>
      </w:r>
      <w:r w:rsidRPr="00362D29">
        <w:rPr>
          <w:rFonts w:ascii="Traditional Arabic" w:eastAsia="Aptos" w:hAnsi="Traditional Arabic" w:cs="Traditional Arabic"/>
          <w:kern w:val="2"/>
          <w:sz w:val="24"/>
          <w:szCs w:val="24"/>
          <w:rtl/>
          <w14:ligatures w14:val="standardContextual"/>
        </w:rPr>
        <w:t>).</w:t>
      </w:r>
    </w:p>
    <w:p w14:paraId="6CF8198A"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مقاومة التغيير والثقافة التنظيمية غير الداعمة</w:t>
      </w:r>
    </w:p>
    <w:p w14:paraId="04F8B2EE"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تطبيق نماذج التميز يتطلب تغييرًا في السلوك المؤسسي </w:t>
      </w:r>
      <w:proofErr w:type="gramStart"/>
      <w:r w:rsidRPr="00362D29">
        <w:rPr>
          <w:rFonts w:ascii="Traditional Arabic" w:eastAsia="Aptos" w:hAnsi="Traditional Arabic" w:cs="Traditional Arabic"/>
          <w:kern w:val="2"/>
          <w:sz w:val="24"/>
          <w:szCs w:val="24"/>
          <w:rtl/>
          <w14:ligatures w14:val="standardContextual"/>
        </w:rPr>
        <w:t>والعمليات ،</w:t>
      </w:r>
      <w:proofErr w:type="gramEnd"/>
      <w:r w:rsidRPr="00362D29">
        <w:rPr>
          <w:rFonts w:ascii="Traditional Arabic" w:eastAsia="Aptos" w:hAnsi="Traditional Arabic" w:cs="Traditional Arabic"/>
          <w:kern w:val="2"/>
          <w:sz w:val="24"/>
          <w:szCs w:val="24"/>
          <w:rtl/>
          <w14:ligatures w14:val="standardContextual"/>
        </w:rPr>
        <w:t xml:space="preserve"> لذا تمثل مقاومة التغيير وضعف الثقافة الداعمة للجودة والتحسين المستمر عائقًا جوهريًا(محمود، 2025). حيث تقل المشاركة الداخلية وتتراجع مبادرات التطوير، وتصبح إجراءات التميز شكلية وغير مؤسسية (</w:t>
      </w:r>
      <w:r w:rsidRPr="00362D29">
        <w:rPr>
          <w:rFonts w:ascii="Traditional Arabic" w:eastAsia="Aptos" w:hAnsi="Traditional Arabic" w:cs="Traditional Arabic"/>
          <w:kern w:val="2"/>
          <w:sz w:val="24"/>
          <w:szCs w:val="24"/>
          <w14:ligatures w14:val="standardContextual"/>
        </w:rPr>
        <w:t>Ahmed &amp; Sur, 2023</w:t>
      </w:r>
      <w:r w:rsidRPr="00362D29">
        <w:rPr>
          <w:rFonts w:ascii="Traditional Arabic" w:eastAsia="Aptos" w:hAnsi="Traditional Arabic" w:cs="Traditional Arabic"/>
          <w:kern w:val="2"/>
          <w:sz w:val="24"/>
          <w:szCs w:val="24"/>
          <w:rtl/>
          <w14:ligatures w14:val="standardContextual"/>
        </w:rPr>
        <w:t>).</w:t>
      </w:r>
    </w:p>
    <w:p w14:paraId="53F5083C"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نقص الموارد البشرية والمالية</w:t>
      </w:r>
    </w:p>
    <w:p w14:paraId="7A49D357"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تعثر تطبيق التميز يرتبط غالبًا بنقص الموارد البشرية أو المالية أو التقنية، وضعف برامج التدريب وبناء القدرات؛ لأن المعايير تحتاج فهمًا موحدًا ومهارات تنفيذية وأدوات قياس وتحسين (</w:t>
      </w:r>
      <w:r w:rsidRPr="00362D29">
        <w:rPr>
          <w:rFonts w:ascii="Traditional Arabic" w:eastAsia="Aptos" w:hAnsi="Traditional Arabic" w:cs="Traditional Arabic"/>
          <w:kern w:val="2"/>
          <w:sz w:val="24"/>
          <w:szCs w:val="24"/>
          <w14:ligatures w14:val="standardContextual"/>
        </w:rPr>
        <w:t>(Mohamed et al., 2018</w:t>
      </w:r>
      <w:r w:rsidRPr="00362D29">
        <w:rPr>
          <w:rFonts w:ascii="Traditional Arabic" w:eastAsia="Aptos" w:hAnsi="Traditional Arabic" w:cs="Traditional Arabic"/>
          <w:kern w:val="2"/>
          <w:sz w:val="24"/>
          <w:szCs w:val="24"/>
          <w:rtl/>
          <w14:ligatures w14:val="standardContextual"/>
        </w:rPr>
        <w:t>، وبدون ذلك تظهر فجوات واضحة بين التصميم النظري والتطبيق الميداني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w:t>
      </w:r>
    </w:p>
    <w:p w14:paraId="7D3D9FDF"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ضعف تكامل الاستراتيجية مع مؤشرات الأداء والقياس</w:t>
      </w:r>
    </w:p>
    <w:p w14:paraId="402B242D"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المعوقات المتكررة عدم تحويل الاستراتيجية إلى أهداف تشغيلية ومؤشرات قياس فعّالة، مما يؤدي إلى فجوة بين التخطيط والتنفيذ (</w:t>
      </w:r>
      <w:r w:rsidRPr="00362D29">
        <w:rPr>
          <w:rFonts w:ascii="Traditional Arabic" w:eastAsia="Aptos" w:hAnsi="Traditional Arabic" w:cs="Traditional Arabic"/>
          <w:kern w:val="2"/>
          <w:sz w:val="24"/>
          <w:szCs w:val="24"/>
          <w14:ligatures w14:val="standardContextual"/>
        </w:rPr>
        <w:t>Salih &amp; Dolah, 2023</w:t>
      </w:r>
      <w:r w:rsidRPr="00362D29">
        <w:rPr>
          <w:rFonts w:ascii="Traditional Arabic" w:eastAsia="Aptos" w:hAnsi="Traditional Arabic" w:cs="Traditional Arabic"/>
          <w:kern w:val="2"/>
          <w:sz w:val="24"/>
          <w:szCs w:val="24"/>
          <w:rtl/>
          <w14:ligatures w14:val="standardContextual"/>
        </w:rPr>
        <w:t>)، وغياب القدرة على التقييم الدوري والتحسين المبني على البيانات، فتضعف قدرة المؤسسة على إثبات أثر التميز على النتائج (السيابي، 2024).</w:t>
      </w:r>
    </w:p>
    <w:p w14:paraId="5217970E"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تعقيد العمليات وتفاوت النضج المؤسسي </w:t>
      </w:r>
    </w:p>
    <w:p w14:paraId="6E0AE394"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قد تواجه المؤسسة تحديًا يتمثل في تعقيد العمليات وتعدد المسارات الإجرائية وتباين مستوى النضج بين الإدارات (الرويلي، 2025</w:t>
      </w:r>
      <w:proofErr w:type="gramStart"/>
      <w:r w:rsidRPr="00362D29">
        <w:rPr>
          <w:rFonts w:ascii="Traditional Arabic" w:eastAsia="Aptos" w:hAnsi="Traditional Arabic" w:cs="Traditional Arabic"/>
          <w:kern w:val="2"/>
          <w:sz w:val="24"/>
          <w:szCs w:val="24"/>
          <w:rtl/>
          <w14:ligatures w14:val="standardContextual"/>
        </w:rPr>
        <w:t>) ،</w:t>
      </w:r>
      <w:proofErr w:type="gramEnd"/>
      <w:r w:rsidRPr="00362D29">
        <w:rPr>
          <w:rFonts w:ascii="Traditional Arabic" w:eastAsia="Aptos" w:hAnsi="Traditional Arabic" w:cs="Traditional Arabic"/>
          <w:kern w:val="2"/>
          <w:sz w:val="24"/>
          <w:szCs w:val="24"/>
          <w:rtl/>
          <w14:ligatures w14:val="standardContextual"/>
        </w:rPr>
        <w:t xml:space="preserve"> وهو ما يخلق تفاوتًا في الالتزام بالمعايير ويؤدي إلى نتائج غير متجانسة، خصوصًا في المؤسسات الصحية ذات العمليات السريرية والإدارية المتشابكة</w:t>
      </w:r>
      <w:r w:rsidRPr="00362D29">
        <w:rPr>
          <w:rFonts w:ascii="Traditional Arabic" w:eastAsia="Aptos" w:hAnsi="Traditional Arabic" w:cs="Traditional Arabic"/>
          <w:kern w:val="2"/>
          <w:sz w:val="24"/>
          <w:szCs w:val="24"/>
          <w14:ligatures w14:val="standardContextual"/>
        </w:rPr>
        <w:t xml:space="preserve">Al-Samawi &amp; Al-Sayaghi, 2024) </w:t>
      </w:r>
      <w:r w:rsidRPr="00362D29">
        <w:rPr>
          <w:rFonts w:ascii="Traditional Arabic" w:eastAsia="Aptos" w:hAnsi="Traditional Arabic" w:cs="Traditional Arabic"/>
          <w:kern w:val="2"/>
          <w:sz w:val="24"/>
          <w:szCs w:val="24"/>
          <w:rtl/>
          <w14:ligatures w14:val="standardContextual"/>
        </w:rPr>
        <w:t>).</w:t>
      </w:r>
    </w:p>
    <w:p w14:paraId="32C98965"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ضعف الانضباط الإداري وتشتت المسؤوليات</w:t>
      </w:r>
    </w:p>
    <w:p w14:paraId="78A8BF6E"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ضعف الانضباط الإداري يؤدي إلى تداخل الأدوار، وتكرار المهام، وضعف المساءلة، مما يضعف تطبيق معايير التميز ويؤثر على الاستدامة (عبد البصير، 2021)، لأن التميز يحتاج وضوح مسؤوليات، وإجراءات متابعة، ومراجعات دورية (</w:t>
      </w:r>
      <w:r w:rsidRPr="00362D29">
        <w:rPr>
          <w:rFonts w:ascii="Traditional Arabic" w:eastAsia="Aptos" w:hAnsi="Traditional Arabic" w:cs="Traditional Arabic"/>
          <w:kern w:val="2"/>
          <w:sz w:val="24"/>
          <w:szCs w:val="24"/>
          <w14:ligatures w14:val="standardContextual"/>
        </w:rPr>
        <w:t>Alanazi, 2017</w:t>
      </w:r>
      <w:r w:rsidRPr="00362D29">
        <w:rPr>
          <w:rFonts w:ascii="Traditional Arabic" w:eastAsia="Aptos" w:hAnsi="Traditional Arabic" w:cs="Traditional Arabic"/>
          <w:kern w:val="2"/>
          <w:sz w:val="24"/>
          <w:szCs w:val="24"/>
          <w:rtl/>
          <w14:ligatures w14:val="standardContextual"/>
        </w:rPr>
        <w:t>).</w:t>
      </w:r>
    </w:p>
    <w:p w14:paraId="7CC4D3B2"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ضعف التكامل بين نماذج التميز ومتطلبات الاعتماد/التقييم</w:t>
      </w:r>
    </w:p>
    <w:p w14:paraId="25FA53DE" w14:textId="6C14BFB2"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قد تظهر معوقات عندما لا يتم مواءمة نموذج التميز مع متطلبات الاعتماد أو أنظمة التقييم الداخلي، فتتكرر الجهود وتزداد الأعباء الإدارية ويضعف الاتساق</w:t>
      </w:r>
      <w:r w:rsidR="0082429A" w:rsidRPr="00362D29">
        <w:rPr>
          <w:rFonts w:ascii="Traditional Arabic" w:eastAsia="Aptos" w:hAnsi="Traditional Arabic" w:cs="Traditional Arabic"/>
          <w:kern w:val="2"/>
          <w:sz w:val="24"/>
          <w:szCs w:val="24"/>
          <w:rtl/>
          <w14:ligatures w14:val="standardContextual"/>
        </w:rPr>
        <w:t xml:space="preserve"> (</w:t>
      </w:r>
      <w:r w:rsidR="0082429A" w:rsidRPr="00362D29">
        <w:rPr>
          <w:rFonts w:ascii="Traditional Arabic" w:eastAsia="Aptos" w:hAnsi="Traditional Arabic" w:cs="Traditional Arabic"/>
          <w:kern w:val="2"/>
          <w:sz w:val="24"/>
          <w:szCs w:val="24"/>
          <w14:ligatures w14:val="standardContextual"/>
        </w:rPr>
        <w:t>Alsaleem, 2025</w:t>
      </w:r>
      <w:r w:rsidR="0082429A"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بينما ينجح التطبيق عندما يتم دمج الأطر وتوحيد المؤشرات وتقليل الازدواجية (السيابي، 2024)</w:t>
      </w:r>
      <w:r w:rsidR="00235D37" w:rsidRPr="00362D29">
        <w:rPr>
          <w:rFonts w:ascii="Traditional Arabic" w:eastAsia="Aptos" w:hAnsi="Traditional Arabic" w:cs="Traditional Arabic"/>
          <w:kern w:val="2"/>
          <w:sz w:val="24"/>
          <w:szCs w:val="24"/>
          <w:rtl/>
          <w14:ligatures w14:val="standardContextual"/>
        </w:rPr>
        <w:t>.</w:t>
      </w:r>
    </w:p>
    <w:p w14:paraId="0F703D66"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تحديات الاستدامة واستمرارية التحسين بعد مرحلة “التبني”</w:t>
      </w:r>
    </w:p>
    <w:p w14:paraId="5FF02C0C"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حتى بعد تبني النموذج، قد تواجه المؤسسات صعوبة في استدامة التحسين بسبب الإرهاق التنظيمي، أو ضعف المتابعة، أو عدم تحويل التحسين إلى ممارسة يومية. وتؤكد الأدبيات أن الفشل غالبًا لا يكون في “التطبيق الأولي” بل في “الاستمرار” وتحويل التميز إلى ثقافة مؤسسية (</w:t>
      </w:r>
      <w:r w:rsidRPr="00362D29">
        <w:rPr>
          <w:rFonts w:ascii="Traditional Arabic" w:eastAsia="Aptos" w:hAnsi="Traditional Arabic" w:cs="Traditional Arabic"/>
          <w:kern w:val="2"/>
          <w:sz w:val="24"/>
          <w:szCs w:val="24"/>
          <w14:ligatures w14:val="standardContextual"/>
        </w:rPr>
        <w:t>Ahmed &amp; Sur, 2023</w:t>
      </w:r>
      <w:r w:rsidRPr="00362D29">
        <w:rPr>
          <w:rFonts w:ascii="Traditional Arabic" w:eastAsia="Aptos" w:hAnsi="Traditional Arabic" w:cs="Traditional Arabic"/>
          <w:kern w:val="2"/>
          <w:sz w:val="24"/>
          <w:szCs w:val="24"/>
          <w:rtl/>
          <w14:ligatures w14:val="standardContextual"/>
        </w:rPr>
        <w:t>).</w:t>
      </w:r>
    </w:p>
    <w:p w14:paraId="640432E9" w14:textId="77777777" w:rsidR="00E06221" w:rsidRPr="00362D29" w:rsidRDefault="00E06221" w:rsidP="00362D29">
      <w:pPr>
        <w:bidi/>
        <w:spacing w:after="200" w:line="360" w:lineRule="auto"/>
        <w:jc w:val="both"/>
        <w:rPr>
          <w:rFonts w:ascii="Traditional Arabic" w:hAnsi="Traditional Arabic" w:cs="Traditional Arabic"/>
          <w:b/>
          <w:bCs/>
          <w:color w:val="00B0F0"/>
          <w:sz w:val="24"/>
          <w:szCs w:val="24"/>
          <w:u w:val="single"/>
          <w:rtl/>
        </w:rPr>
      </w:pPr>
    </w:p>
    <w:p w14:paraId="004F0102" w14:textId="77777777" w:rsidR="00D02A7D" w:rsidRPr="00362D29" w:rsidRDefault="00D02A7D" w:rsidP="00362D29">
      <w:pPr>
        <w:bidi/>
        <w:spacing w:after="200" w:line="360" w:lineRule="auto"/>
        <w:rPr>
          <w:rFonts w:ascii="Traditional Arabic" w:hAnsi="Traditional Arabic" w:cs="Traditional Arabic"/>
          <w:b/>
          <w:bCs/>
          <w:color w:val="00B0F0"/>
          <w:sz w:val="32"/>
          <w:szCs w:val="32"/>
          <w:u w:val="single"/>
          <w:rtl/>
        </w:rPr>
      </w:pPr>
    </w:p>
    <w:p w14:paraId="3847869A" w14:textId="77777777" w:rsidR="00701601" w:rsidRPr="00362D29" w:rsidRDefault="00701601" w:rsidP="00362D29">
      <w:pPr>
        <w:bidi/>
        <w:spacing w:before="0" w:after="160" w:line="360" w:lineRule="auto"/>
        <w:rPr>
          <w:rFonts w:ascii="Traditional Arabic" w:eastAsia="Aptos" w:hAnsi="Traditional Arabic" w:cs="Traditional Arabic"/>
          <w:kern w:val="2"/>
          <w:rtl/>
          <w14:ligatures w14:val="standardContextual"/>
        </w:rPr>
      </w:pPr>
    </w:p>
    <w:p w14:paraId="45CC2F20" w14:textId="24359FFE" w:rsidR="00701601" w:rsidRPr="00362D29" w:rsidRDefault="00701601"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commentRangeStart w:id="3"/>
      <w:r w:rsidRPr="00B87F63">
        <w:rPr>
          <w:rFonts w:ascii="Traditional Arabic" w:eastAsia="Aptos" w:hAnsi="Traditional Arabic" w:cs="Traditional Arabic"/>
          <w:b/>
          <w:bCs/>
          <w:color w:val="FF0000"/>
          <w:kern w:val="2"/>
          <w:sz w:val="32"/>
          <w:szCs w:val="32"/>
          <w:rtl/>
          <w14:ligatures w14:val="standardContextual"/>
        </w:rPr>
        <w:lastRenderedPageBreak/>
        <w:t xml:space="preserve">التميز المؤسسي </w:t>
      </w:r>
      <w:commentRangeEnd w:id="3"/>
      <w:r w:rsidR="00B87F63">
        <w:rPr>
          <w:rStyle w:val="ac"/>
          <w:rtl/>
        </w:rPr>
        <w:commentReference w:id="3"/>
      </w:r>
      <w:r w:rsidRPr="00362D29">
        <w:rPr>
          <w:rFonts w:ascii="Traditional Arabic" w:eastAsia="Aptos" w:hAnsi="Traditional Arabic" w:cs="Traditional Arabic"/>
          <w:b/>
          <w:bCs/>
          <w:kern w:val="2"/>
          <w:sz w:val="32"/>
          <w:szCs w:val="32"/>
          <w:rtl/>
          <w14:ligatures w14:val="standardContextual"/>
        </w:rPr>
        <w:t>وجودة الخدمات الصحية</w:t>
      </w:r>
    </w:p>
    <w:p w14:paraId="4538A73B" w14:textId="4C90F101"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التعريف</w:t>
      </w:r>
    </w:p>
    <w:p w14:paraId="29745CA6" w14:textId="5D15E41B" w:rsidR="00701601" w:rsidRPr="00362D29" w:rsidRDefault="0085336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يُعرَّف التميز المؤسسي في السياق الصحي بأنه منهج إداري شمولي يهدف إلى بلوغ مستويات متفوقة من الأداء التنظيمي والسريري عبر تكامل القيادة الفاعلة، وكفاءة إدارة الموارد، وتحسين العمليات، والتركيز الجوهري على المستفيد، بما ينعكس إيجاباً على جودة الخدمات ونتائج الرعاية الصحية (</w:t>
      </w:r>
      <w:r w:rsidR="00701601" w:rsidRPr="00362D29">
        <w:rPr>
          <w:rFonts w:ascii="Traditional Arabic" w:eastAsia="Aptos" w:hAnsi="Traditional Arabic" w:cs="Traditional Arabic"/>
          <w:kern w:val="2"/>
          <w:sz w:val="24"/>
          <w:szCs w:val="24"/>
          <w14:ligatures w14:val="standardContextual"/>
        </w:rPr>
        <w:t>Ahmed &amp; Sur, 2023</w:t>
      </w:r>
      <w:r w:rsidR="00701601" w:rsidRPr="00362D29">
        <w:rPr>
          <w:rFonts w:ascii="Traditional Arabic" w:eastAsia="Aptos" w:hAnsi="Traditional Arabic" w:cs="Traditional Arabic"/>
          <w:kern w:val="2"/>
          <w:sz w:val="24"/>
          <w:szCs w:val="24"/>
          <w:rtl/>
          <w14:ligatures w14:val="standardContextual"/>
        </w:rPr>
        <w:t>). وفي هذا الإطار، تبرز جودة الخدمات الصحية كقدرة محورية للنظام الصحي على تقديم رعاية آمنة وفعّالة ومتمحورة حول المريض، استناداً إلى معايير علمية دقيقة وقابلة للقياس الكمي والنوعي (الرويلي، 2025).</w:t>
      </w:r>
    </w:p>
    <w:p w14:paraId="70131A74" w14:textId="09052A8A"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العلاقة بين التميز المؤسسي وجودة الخدمات الصحية</w:t>
      </w:r>
    </w:p>
    <w:p w14:paraId="27EABF4A" w14:textId="7179A361" w:rsidR="00701601" w:rsidRPr="00362D29" w:rsidRDefault="0085336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أثبتت الأدبيات العلمية وجود علاقة ارتباطية وتأثيرية طردية بين تبني أبعاد التميز المؤسسي والارتقاء بجودة الخدمات الصحية؛ حيث يعمل التميز كإطار لضبط العمليات وتقليل التباين في الأداء (</w:t>
      </w:r>
      <w:r w:rsidR="00701601" w:rsidRPr="00362D29">
        <w:rPr>
          <w:rFonts w:ascii="Traditional Arabic" w:eastAsia="Aptos" w:hAnsi="Traditional Arabic" w:cs="Traditional Arabic"/>
          <w:kern w:val="2"/>
          <w:sz w:val="24"/>
          <w:szCs w:val="24"/>
          <w14:ligatures w14:val="standardContextual"/>
        </w:rPr>
        <w:t>Mohamed et al., 2018</w:t>
      </w:r>
      <w:r w:rsidR="00701601" w:rsidRPr="00362D29">
        <w:rPr>
          <w:rFonts w:ascii="Traditional Arabic" w:eastAsia="Aptos" w:hAnsi="Traditional Arabic" w:cs="Traditional Arabic"/>
          <w:kern w:val="2"/>
          <w:sz w:val="24"/>
          <w:szCs w:val="24"/>
          <w:rtl/>
          <w14:ligatures w14:val="standardContextual"/>
        </w:rPr>
        <w:t>). كما يسهم في تعزيز التنسيق بين الوحدات الإدارية والسريرية بما يضمن انسيابية الخدمة (عبد البصير، 2021). وقد أكدت الدراسات الحديثة أن المنظمات الصحية التي تتبنى نماذج التميز تحقق قفزات نوعية في مؤشرات السلامة ورضا المستفيدين مقارنة بالمنظمات التقليدية (</w:t>
      </w:r>
      <w:r w:rsidR="00701601" w:rsidRPr="00362D29">
        <w:rPr>
          <w:rFonts w:ascii="Traditional Arabic" w:eastAsia="Aptos" w:hAnsi="Traditional Arabic" w:cs="Traditional Arabic"/>
          <w:kern w:val="2"/>
          <w:sz w:val="24"/>
          <w:szCs w:val="24"/>
          <w14:ligatures w14:val="standardContextual"/>
        </w:rPr>
        <w:t>Al-Samawi &amp; Al-Sayaghi, 2024</w:t>
      </w:r>
      <w:r w:rsidR="00701601" w:rsidRPr="00362D29">
        <w:rPr>
          <w:rFonts w:ascii="Traditional Arabic" w:eastAsia="Aptos" w:hAnsi="Traditional Arabic" w:cs="Traditional Arabic"/>
          <w:kern w:val="2"/>
          <w:sz w:val="24"/>
          <w:szCs w:val="24"/>
          <w:rtl/>
          <w14:ligatures w14:val="standardContextual"/>
        </w:rPr>
        <w:t>).</w:t>
      </w:r>
    </w:p>
    <w:p w14:paraId="73B94A21" w14:textId="1A07FC40"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مبررات الربط بين التميز المؤسسي وجودة الخدمات الصحية</w:t>
      </w:r>
    </w:p>
    <w:p w14:paraId="265DC26F" w14:textId="2B078F0A"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تنبثق مبررات هذا الربط من الطبيعة المعقدة للبيئة الصحية، وتنامي توقعات المستفيدين، وتزايد متطلبات الحوكمة والاشراف السريري، مما يستوجب وجود إطار إداري متكامل يتجاوز الحلول المجزأة (</w:t>
      </w:r>
      <w:r w:rsidR="00701601" w:rsidRPr="00362D29">
        <w:rPr>
          <w:rFonts w:ascii="Traditional Arabic" w:eastAsia="Aptos" w:hAnsi="Traditional Arabic" w:cs="Traditional Arabic"/>
          <w:kern w:val="2"/>
          <w:sz w:val="24"/>
          <w:szCs w:val="24"/>
          <w14:ligatures w14:val="standardContextual"/>
        </w:rPr>
        <w:t>Salih &amp; Dolah, 2023</w:t>
      </w:r>
      <w:r w:rsidR="00701601" w:rsidRPr="00362D29">
        <w:rPr>
          <w:rFonts w:ascii="Traditional Arabic" w:eastAsia="Aptos" w:hAnsi="Traditional Arabic" w:cs="Traditional Arabic"/>
          <w:kern w:val="2"/>
          <w:sz w:val="24"/>
          <w:szCs w:val="24"/>
          <w:rtl/>
          <w14:ligatures w14:val="standardContextual"/>
        </w:rPr>
        <w:t>). وتوفر نماذج التميز هذا الإطار من خلال دمج القيادة، والتوجه الاستراتيجي، وإدارة الأداء، والتحسين المستمر في منظومة موحدة تدعم جودة الخدمة بشكل منهجي ومستدام (السيابي، 2024).</w:t>
      </w:r>
    </w:p>
    <w:p w14:paraId="75F8EC45" w14:textId="15272231"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التميز المؤسسي في تحسين جودة الخدمات الصحية</w:t>
      </w:r>
    </w:p>
    <w:p w14:paraId="698D0C00" w14:textId="50A4B75D"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تكمن الأهمية الاستراتيجية للتميز المؤسسي في قدرته على تعزيز مرونة المستشفيات في تقديم رعاية آمنة وفعّالة ومتسقة عبر بناء ثقافة مؤسسية داعمة للجودة وتمكين العاملين (الغامدي، 2024). كما يسهم في رفع كفاءة استخدام الموارد وتقليل الهدر المادي والزمني، مما ينعكس على تحسين تجربة المريض الكلية (الرويلي، 2025). وفي سياق التحول الصحي السعودي، يبرز التميز كأداة لتمكين المنشآت من تحقيق مستهدفات الكفاءة التشغيلية وجودة المخرجات السريرية (محمود، 2025).</w:t>
      </w:r>
    </w:p>
    <w:p w14:paraId="63123C6E" w14:textId="5905436B"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أهداف التميز المؤسسي المرتبطة بجودة الخدمات الصحية</w:t>
      </w:r>
    </w:p>
    <w:p w14:paraId="4DA53F65" w14:textId="07F0938F"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تتمحور أهداف التميز في القطاع الصحي حول تحقيق رعاية عالية الجودة تتسم بالاتساق والاستمرارية، مع تعزيز الاعتماد على القرارات المبنية على البيانات والأدلة (</w:t>
      </w:r>
      <w:r w:rsidR="00701601" w:rsidRPr="00362D29">
        <w:rPr>
          <w:rFonts w:ascii="Traditional Arabic" w:eastAsia="Aptos" w:hAnsi="Traditional Arabic" w:cs="Traditional Arabic"/>
          <w:kern w:val="2"/>
          <w:sz w:val="24"/>
          <w:szCs w:val="24"/>
          <w14:ligatures w14:val="standardContextual"/>
        </w:rPr>
        <w:t>Alsaleem, 2025</w:t>
      </w:r>
      <w:r w:rsidR="00701601" w:rsidRPr="00362D29">
        <w:rPr>
          <w:rFonts w:ascii="Traditional Arabic" w:eastAsia="Aptos" w:hAnsi="Traditional Arabic" w:cs="Traditional Arabic"/>
          <w:kern w:val="2"/>
          <w:sz w:val="24"/>
          <w:szCs w:val="24"/>
          <w:rtl/>
          <w14:ligatures w14:val="standardContextual"/>
        </w:rPr>
        <w:t>). كما تسعى هذه الممارسات إلى ضمان التكامل الوظيفي بين مختلف مستويات الرعاية، ورفع مستوى ثقة المستفيدين من خلال تقديم خدمات صحية محورها الإنسان تضمن أعلى معايير السلامة (</w:t>
      </w:r>
      <w:r w:rsidR="00701601" w:rsidRPr="00362D29">
        <w:rPr>
          <w:rFonts w:ascii="Traditional Arabic" w:eastAsia="Aptos" w:hAnsi="Traditional Arabic" w:cs="Traditional Arabic"/>
          <w:kern w:val="2"/>
          <w:sz w:val="24"/>
          <w:szCs w:val="24"/>
          <w14:ligatures w14:val="standardContextual"/>
        </w:rPr>
        <w:t>Al-Samawi &amp; Al-Sayaghi, 2024</w:t>
      </w:r>
      <w:r w:rsidR="00701601" w:rsidRPr="00362D29">
        <w:rPr>
          <w:rFonts w:ascii="Traditional Arabic" w:eastAsia="Aptos" w:hAnsi="Traditional Arabic" w:cs="Traditional Arabic"/>
          <w:kern w:val="2"/>
          <w:sz w:val="24"/>
          <w:szCs w:val="24"/>
          <w:rtl/>
          <w14:ligatures w14:val="standardContextual"/>
        </w:rPr>
        <w:t>) (عبد البصير، 2021).</w:t>
      </w:r>
    </w:p>
    <w:p w14:paraId="577DF40F" w14:textId="150BF2A9"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تطبيق التميز المؤسسي لتحسين جودة الخدمات الصحية</w:t>
      </w:r>
    </w:p>
    <w:p w14:paraId="1608D2A5" w14:textId="77777777" w:rsidR="00701601" w:rsidRPr="00362D29" w:rsidRDefault="0070160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يتحقق التطبيق الفعلي للتميز في المؤسسات الصحية عبر مواءمة الاستراتيجيات التنظيمية مع نماذج التميز المعتمدة مثل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xml:space="preserve"> أو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وربطها بمؤشرات أداء (</w:t>
      </w:r>
      <w:r w:rsidRPr="00362D29">
        <w:rPr>
          <w:rFonts w:ascii="Traditional Arabic" w:eastAsia="Aptos" w:hAnsi="Traditional Arabic" w:cs="Traditional Arabic"/>
          <w:kern w:val="2"/>
          <w:sz w:val="24"/>
          <w:szCs w:val="24"/>
          <w14:ligatures w14:val="standardContextual"/>
        </w:rPr>
        <w:t>KPIs</w:t>
      </w:r>
      <w:r w:rsidRPr="00362D29">
        <w:rPr>
          <w:rFonts w:ascii="Traditional Arabic" w:eastAsia="Aptos" w:hAnsi="Traditional Arabic" w:cs="Traditional Arabic"/>
          <w:kern w:val="2"/>
          <w:sz w:val="24"/>
          <w:szCs w:val="24"/>
          <w:rtl/>
          <w14:ligatures w14:val="standardContextual"/>
        </w:rPr>
        <w:t>) دقيقة (الرويلي، 2025). ويشير الباحثون إلى أن نجاح هذا التحول يعتمد بشكل جوهري على تفعيل القيادة الداعمة للجودة، ودمج معايير التميز مع أنظمة الاعتماد الوطني والدولي، مع ضمان التقييم الذاتي الدوري لتحديد فجوات الأداء وتوجيه جهود التحسين (السيابي، 2024) (سليمان وشاهين، 2024).</w:t>
      </w:r>
    </w:p>
    <w:p w14:paraId="26AD45AC"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775C6027"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3DE8F20"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A007745"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32B1A9E4"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7F94EAA6"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A2F42A1"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8058ED4"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224916E"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6B85CCB2" w14:textId="13B92DF3" w:rsidR="00701601" w:rsidRPr="00733665" w:rsidRDefault="00143959" w:rsidP="00362D29">
      <w:pPr>
        <w:bidi/>
        <w:spacing w:before="0" w:after="160" w:line="360" w:lineRule="auto"/>
        <w:jc w:val="both"/>
        <w:rPr>
          <w:rFonts w:ascii="Traditional Arabic" w:eastAsia="Aptos" w:hAnsi="Traditional Arabic" w:cs="Traditional Arabic"/>
          <w:b/>
          <w:bCs/>
          <w:color w:val="FF0000"/>
          <w:kern w:val="2"/>
          <w:sz w:val="32"/>
          <w:szCs w:val="32"/>
          <w:rtl/>
          <w14:ligatures w14:val="standardContextual"/>
        </w:rPr>
      </w:pPr>
      <w:commentRangeStart w:id="4"/>
      <w:r w:rsidRPr="00733665">
        <w:rPr>
          <w:rFonts w:ascii="Traditional Arabic" w:eastAsia="Aptos" w:hAnsi="Traditional Arabic" w:cs="Traditional Arabic"/>
          <w:b/>
          <w:bCs/>
          <w:color w:val="FF0000"/>
          <w:kern w:val="2"/>
          <w:sz w:val="32"/>
          <w:szCs w:val="32"/>
          <w:rtl/>
          <w14:ligatures w14:val="standardContextual"/>
        </w:rPr>
        <w:lastRenderedPageBreak/>
        <w:t xml:space="preserve">نماذج التميز المؤسسي </w:t>
      </w:r>
      <w:commentRangeEnd w:id="4"/>
      <w:r w:rsidR="00733665">
        <w:rPr>
          <w:rStyle w:val="ac"/>
          <w:rtl/>
        </w:rPr>
        <w:commentReference w:id="4"/>
      </w:r>
    </w:p>
    <w:p w14:paraId="7472663D" w14:textId="235AAD74" w:rsidR="00143959" w:rsidRPr="00362D29" w:rsidRDefault="0092339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مقدمة:</w:t>
      </w:r>
    </w:p>
    <w:p w14:paraId="2396C61B" w14:textId="28A02B49" w:rsidR="0092339D" w:rsidRPr="00362D29" w:rsidRDefault="0092339D"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تُمثل نماذج التميز المؤسسي أطراً إدارية شمولية صُممت لتمكين المنظمات من تقييم أدائها بشكل ذاتي ومستمر، وتحديد الفجوات بين واقعها التشغيلي ومعايير الريادة العالمية. ولا تقتصر هذه النماذج على كونها أدوات لنيل الجوائز التقديرية، بل تُعد خارطة طريق استراتيجية تهدف إلى </w:t>
      </w:r>
      <w:r w:rsidR="009A6D64" w:rsidRPr="00362D29">
        <w:rPr>
          <w:rFonts w:ascii="Traditional Arabic" w:eastAsia="Aptos" w:hAnsi="Traditional Arabic" w:cs="Traditional Arabic"/>
          <w:kern w:val="2"/>
          <w:sz w:val="24"/>
          <w:szCs w:val="24"/>
          <w:rtl/>
          <w14:ligatures w14:val="standardContextual"/>
        </w:rPr>
        <w:t>تكاملية</w:t>
      </w:r>
      <w:r w:rsidRPr="00362D29">
        <w:rPr>
          <w:rFonts w:ascii="Traditional Arabic" w:eastAsia="Aptos" w:hAnsi="Traditional Arabic" w:cs="Traditional Arabic"/>
          <w:kern w:val="2"/>
          <w:sz w:val="24"/>
          <w:szCs w:val="24"/>
          <w:rtl/>
          <w14:ligatures w14:val="standardContextual"/>
        </w:rPr>
        <w:t xml:space="preserve"> العمليات، وتعزيز ثقافة الابتكار، وتحقيق نتائج مستدامة تلبي تطلعات كافة أصحاب المصلحة (السيابي، 2024).</w:t>
      </w:r>
    </w:p>
    <w:p w14:paraId="6A3AC988" w14:textId="77777777" w:rsidR="0092339D" w:rsidRPr="00362D29" w:rsidRDefault="0092339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وتستند فلسفة هذه النماذج إلى مجموعة من المبادئ والقيم الإدارية الحديثة، مثل القيادة بالإلهام، والتركيز على المستفيد، وإدارة العمليات بناءً على الحقائق والبيانات. وتتعدد هذه النماذج وتتنوع باختلاف السياقات الجغرافية والتنظيمية؛ فمنها ما هو عالمي واسع الانتشار كالنموذج الأوروبي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ونموذج مالكولم بالدريج الأمريكي (</w:t>
      </w:r>
      <w:r w:rsidRPr="00362D29">
        <w:rPr>
          <w:rFonts w:ascii="Traditional Arabic" w:eastAsia="Aptos" w:hAnsi="Traditional Arabic" w:cs="Traditional Arabic"/>
          <w:kern w:val="2"/>
          <w:sz w:val="24"/>
          <w:szCs w:val="24"/>
          <w14:ligatures w14:val="standardContextual"/>
        </w:rPr>
        <w:t>Baldrige</w:t>
      </w:r>
      <w:r w:rsidRPr="00362D29">
        <w:rPr>
          <w:rFonts w:ascii="Traditional Arabic" w:eastAsia="Aptos" w:hAnsi="Traditional Arabic" w:cs="Traditional Arabic"/>
          <w:kern w:val="2"/>
          <w:sz w:val="24"/>
          <w:szCs w:val="24"/>
          <w:rtl/>
          <w14:ligatures w14:val="standardContextual"/>
        </w:rPr>
        <w:t>)، ومنها ما هو وطني مُصمم ليلائم الخصوصية التنظيمية المحلية كالنموذج الوطني السعودي للتميز المؤسسي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(سليمان وشاهين، 2024). وفيما يلي تناول تفصيلي لهذه النماذج من حيث نشأتها، ومكوناتها، وآليات تطبيقها في القطاع الصحي.</w:t>
      </w:r>
    </w:p>
    <w:p w14:paraId="0D90AB41" w14:textId="13F2FF95" w:rsidR="00FF5C4D" w:rsidRPr="00362D29" w:rsidRDefault="00185D1D" w:rsidP="00362D29">
      <w:pPr>
        <w:bidi/>
        <w:spacing w:after="200" w:line="360" w:lineRule="auto"/>
        <w:rPr>
          <w:rFonts w:ascii="Traditional Arabic" w:eastAsia="Calibri" w:hAnsi="Traditional Arabic" w:cs="Traditional Arabic"/>
          <w:b/>
          <w:bCs/>
          <w:color w:val="0070C0"/>
          <w:sz w:val="32"/>
          <w:szCs w:val="32"/>
          <w:rtl/>
        </w:rPr>
      </w:pPr>
      <w:r w:rsidRPr="00362D29">
        <w:rPr>
          <w:rFonts w:ascii="Traditional Arabic" w:eastAsia="Calibri" w:hAnsi="Traditional Arabic" w:cs="Traditional Arabic"/>
          <w:b/>
          <w:bCs/>
          <w:color w:val="0070C0"/>
          <w:sz w:val="32"/>
          <w:szCs w:val="32"/>
          <w:rtl/>
        </w:rPr>
        <w:t>اولا</w:t>
      </w:r>
      <w:r w:rsidR="008F64F8" w:rsidRPr="00362D29">
        <w:rPr>
          <w:rFonts w:ascii="Traditional Arabic" w:eastAsia="Calibri" w:hAnsi="Traditional Arabic" w:cs="Traditional Arabic"/>
          <w:b/>
          <w:bCs/>
          <w:color w:val="0070C0"/>
          <w:sz w:val="32"/>
          <w:szCs w:val="32"/>
          <w:rtl/>
        </w:rPr>
        <w:t xml:space="preserve">ً: النموذج الأوروبي للتميز </w:t>
      </w:r>
      <w:proofErr w:type="gramStart"/>
      <w:r w:rsidR="008F64F8" w:rsidRPr="00362D29">
        <w:rPr>
          <w:rFonts w:ascii="Traditional Arabic" w:eastAsia="Calibri" w:hAnsi="Traditional Arabic" w:cs="Traditional Arabic"/>
          <w:b/>
          <w:bCs/>
          <w:color w:val="0070C0"/>
          <w:sz w:val="32"/>
          <w:szCs w:val="32"/>
          <w:rtl/>
        </w:rPr>
        <w:t>المؤسسي</w:t>
      </w:r>
      <w:r w:rsidR="004B792E" w:rsidRPr="00362D29">
        <w:rPr>
          <w:rFonts w:ascii="Traditional Arabic" w:eastAsia="Calibri" w:hAnsi="Traditional Arabic" w:cs="Traditional Arabic"/>
          <w:b/>
          <w:bCs/>
          <w:color w:val="0070C0"/>
          <w:sz w:val="32"/>
          <w:szCs w:val="32"/>
          <w:rtl/>
        </w:rPr>
        <w:t xml:space="preserve"> </w:t>
      </w:r>
      <w:r w:rsidR="004B792E" w:rsidRPr="00362D29">
        <w:rPr>
          <w:rFonts w:ascii="Traditional Arabic" w:eastAsia="Calibri" w:hAnsi="Traditional Arabic" w:cs="Traditional Arabic"/>
          <w:b/>
          <w:bCs/>
          <w:color w:val="0070C0"/>
          <w:sz w:val="32"/>
          <w:szCs w:val="32"/>
        </w:rPr>
        <w:t>.</w:t>
      </w:r>
      <w:proofErr w:type="gramEnd"/>
      <w:r w:rsidR="004B792E" w:rsidRPr="00362D29">
        <w:rPr>
          <w:rFonts w:ascii="Traditional Arabic" w:eastAsia="Calibri" w:hAnsi="Traditional Arabic" w:cs="Traditional Arabic"/>
          <w:b/>
          <w:bCs/>
          <w:color w:val="0070C0"/>
          <w:sz w:val="32"/>
          <w:szCs w:val="32"/>
        </w:rPr>
        <w:t xml:space="preserve"> (EFQM, 2025)</w:t>
      </w:r>
    </w:p>
    <w:p w14:paraId="3EBC904F" w14:textId="77B24868" w:rsidR="008F64F8" w:rsidRPr="00362D29" w:rsidRDefault="008F64F8" w:rsidP="00362D29">
      <w:pPr>
        <w:bidi/>
        <w:spacing w:before="0" w:after="160" w:line="360" w:lineRule="auto"/>
        <w:jc w:val="right"/>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14:ligatures w14:val="standardContextual"/>
        </w:rPr>
        <w:t xml:space="preserve"> </w:t>
      </w:r>
      <w:r w:rsidR="00272841"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14:ligatures w14:val="standardContextual"/>
        </w:rPr>
        <w:t>EFQM</w:t>
      </w:r>
      <w:r w:rsidR="00272841" w:rsidRPr="00362D29">
        <w:rPr>
          <w:rFonts w:ascii="Traditional Arabic" w:hAnsi="Traditional Arabic" w:cs="Traditional Arabic"/>
          <w:b/>
          <w:bCs/>
        </w:rPr>
        <w:t xml:space="preserve">) </w:t>
      </w:r>
      <w:r w:rsidR="00272841" w:rsidRPr="00362D29">
        <w:rPr>
          <w:rFonts w:ascii="Traditional Arabic" w:eastAsia="Aptos" w:hAnsi="Traditional Arabic" w:cs="Traditional Arabic"/>
          <w:b/>
          <w:bCs/>
          <w:kern w:val="2"/>
          <w:sz w:val="24"/>
          <w:szCs w:val="24"/>
          <w14:ligatures w14:val="standardContextual"/>
        </w:rPr>
        <w:t>European Foundation for Quality Management</w:t>
      </w:r>
    </w:p>
    <w:p w14:paraId="071D6E38" w14:textId="7C05EB80" w:rsidR="008F64F8" w:rsidRPr="00362D29" w:rsidRDefault="008F64F8" w:rsidP="00C42472">
      <w:pPr>
        <w:pStyle w:val="ab"/>
        <w:numPr>
          <w:ilvl w:val="0"/>
          <w:numId w:val="12"/>
        </w:numPr>
        <w:bidi/>
        <w:spacing w:before="0" w:after="160" w:line="360" w:lineRule="auto"/>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التعريف </w:t>
      </w:r>
      <w:r w:rsidR="008737C1" w:rsidRPr="00362D29">
        <w:rPr>
          <w:rFonts w:ascii="Traditional Arabic" w:eastAsia="Aptos" w:hAnsi="Traditional Arabic" w:cs="Traditional Arabic"/>
          <w:b/>
          <w:bCs/>
          <w:kern w:val="2"/>
          <w:sz w:val="24"/>
          <w:szCs w:val="24"/>
          <w:rtl/>
          <w14:ligatures w14:val="standardContextual"/>
        </w:rPr>
        <w:t>والمفهوم</w:t>
      </w:r>
      <w:r w:rsidR="00FF5C4D" w:rsidRPr="00362D29">
        <w:rPr>
          <w:rFonts w:ascii="Traditional Arabic" w:eastAsia="Aptos" w:hAnsi="Traditional Arabic" w:cs="Traditional Arabic"/>
          <w:b/>
          <w:bCs/>
          <w:kern w:val="2"/>
          <w:sz w:val="24"/>
          <w:szCs w:val="24"/>
          <w:rtl/>
          <w14:ligatures w14:val="standardContextual"/>
        </w:rPr>
        <w:t>:</w:t>
      </w:r>
    </w:p>
    <w:p w14:paraId="77BEA9DE" w14:textId="4D309131" w:rsidR="008F64F8" w:rsidRPr="00362D29" w:rsidRDefault="005C77C2"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يُعرف النموذج الأوروبي للتميز المؤسسي </w:t>
      </w:r>
      <w:r w:rsidR="0046083A"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ب</w:t>
      </w:r>
      <w:r w:rsidR="0046083A" w:rsidRPr="00362D29">
        <w:rPr>
          <w:rFonts w:ascii="Traditional Arabic" w:eastAsia="Aptos" w:hAnsi="Traditional Arabic" w:cs="Traditional Arabic"/>
          <w:kern w:val="2"/>
          <w:sz w:val="24"/>
          <w:szCs w:val="24"/>
          <w:rtl/>
          <w14:ligatures w14:val="standardContextual"/>
        </w:rPr>
        <w:t>المؤسسة الأوروبية لإدارة الجودة". تأسست عام 1988 كإطار عمل شامل لتقييم وتحسين أداء المؤسسات</w:t>
      </w:r>
      <w:r w:rsidRPr="00362D29">
        <w:rPr>
          <w:rFonts w:ascii="Traditional Arabic" w:eastAsia="Aptos" w:hAnsi="Traditional Arabic" w:cs="Traditional Arabic"/>
          <w:kern w:val="2"/>
          <w:sz w:val="24"/>
          <w:szCs w:val="24"/>
          <w:rtl/>
          <w14:ligatures w14:val="standardContextual"/>
        </w:rPr>
        <w:t>.</w:t>
      </w:r>
      <w:r w:rsidR="00B05452" w:rsidRPr="00362D29">
        <w:rPr>
          <w:rFonts w:ascii="Traditional Arabic" w:eastAsia="Aptos" w:hAnsi="Traditional Arabic" w:cs="Traditional Arabic"/>
          <w:kern w:val="2"/>
          <w:sz w:val="24"/>
          <w:szCs w:val="24"/>
          <w:rtl/>
          <w14:ligatures w14:val="standardContextual"/>
        </w:rPr>
        <w:t xml:space="preserve"> يُ</w:t>
      </w:r>
      <w:r w:rsidR="008F64F8" w:rsidRPr="00362D29">
        <w:rPr>
          <w:rFonts w:ascii="Traditional Arabic" w:eastAsia="Aptos" w:hAnsi="Traditional Arabic" w:cs="Traditional Arabic"/>
          <w:kern w:val="2"/>
          <w:sz w:val="24"/>
          <w:szCs w:val="24"/>
          <w:rtl/>
          <w14:ligatures w14:val="standardContextual"/>
        </w:rPr>
        <w:t xml:space="preserve">ُعد </w:t>
      </w:r>
      <w:r w:rsidR="007C3E26" w:rsidRPr="00362D29">
        <w:rPr>
          <w:rFonts w:ascii="Traditional Arabic" w:eastAsia="Aptos" w:hAnsi="Traditional Arabic" w:cs="Traditional Arabic"/>
          <w:kern w:val="2"/>
          <w:sz w:val="24"/>
          <w:szCs w:val="24"/>
          <w:rtl/>
          <w14:ligatures w14:val="standardContextual"/>
        </w:rPr>
        <w:t>ال</w:t>
      </w:r>
      <w:r w:rsidR="008F64F8" w:rsidRPr="00362D29">
        <w:rPr>
          <w:rFonts w:ascii="Traditional Arabic" w:eastAsia="Aptos" w:hAnsi="Traditional Arabic" w:cs="Traditional Arabic"/>
          <w:kern w:val="2"/>
          <w:sz w:val="24"/>
          <w:szCs w:val="24"/>
          <w:rtl/>
          <w14:ligatures w14:val="standardContextual"/>
        </w:rPr>
        <w:t>نموذج</w:t>
      </w:r>
      <w:r w:rsidR="007C3E26" w:rsidRPr="00362D29">
        <w:rPr>
          <w:rFonts w:ascii="Traditional Arabic" w:eastAsia="Aptos" w:hAnsi="Traditional Arabic" w:cs="Traditional Arabic"/>
          <w:kern w:val="2"/>
          <w:sz w:val="24"/>
          <w:szCs w:val="24"/>
          <w:rtl/>
          <w14:ligatures w14:val="standardContextual"/>
        </w:rPr>
        <w:t xml:space="preserve"> الأوربي للتميز المؤسسي</w:t>
      </w:r>
      <w:r w:rsidR="008F64F8" w:rsidRPr="00362D29">
        <w:rPr>
          <w:rFonts w:ascii="Traditional Arabic" w:eastAsia="Aptos" w:hAnsi="Traditional Arabic" w:cs="Traditional Arabic"/>
          <w:kern w:val="2"/>
          <w:sz w:val="24"/>
          <w:szCs w:val="24"/>
          <w14:ligatures w14:val="standardContextual"/>
        </w:rPr>
        <w:t xml:space="preserve"> </w:t>
      </w:r>
      <w:r w:rsidR="00B05452" w:rsidRPr="00362D29">
        <w:rPr>
          <w:rFonts w:ascii="Traditional Arabic" w:eastAsia="Aptos" w:hAnsi="Traditional Arabic" w:cs="Traditional Arabic"/>
          <w:kern w:val="2"/>
          <w:sz w:val="24"/>
          <w:szCs w:val="24"/>
          <w14:ligatures w14:val="standardContextual"/>
        </w:rPr>
        <w:t>(</w:t>
      </w:r>
      <w:r w:rsidR="008F64F8" w:rsidRPr="00362D29">
        <w:rPr>
          <w:rFonts w:ascii="Traditional Arabic" w:eastAsia="Aptos" w:hAnsi="Traditional Arabic" w:cs="Traditional Arabic"/>
          <w:kern w:val="2"/>
          <w:sz w:val="24"/>
          <w:szCs w:val="24"/>
          <w14:ligatures w14:val="standardContextual"/>
        </w:rPr>
        <w:t>EFQM</w:t>
      </w:r>
      <w:r w:rsidR="00B05452" w:rsidRPr="00362D29">
        <w:rPr>
          <w:rFonts w:ascii="Traditional Arabic" w:eastAsia="Aptos" w:hAnsi="Traditional Arabic" w:cs="Traditional Arabic"/>
          <w:kern w:val="2"/>
          <w:sz w:val="24"/>
          <w:szCs w:val="24"/>
          <w14:ligatures w14:val="standardContextual"/>
        </w:rPr>
        <w:t>)</w:t>
      </w:r>
      <w:r w:rsidR="008F64F8" w:rsidRPr="00362D29">
        <w:rPr>
          <w:rFonts w:ascii="Traditional Arabic" w:eastAsia="Aptos" w:hAnsi="Traditional Arabic" w:cs="Traditional Arabic"/>
          <w:kern w:val="2"/>
          <w:sz w:val="24"/>
          <w:szCs w:val="24"/>
          <w14:ligatures w14:val="standardContextual"/>
        </w:rPr>
        <w:t xml:space="preserve"> </w:t>
      </w:r>
      <w:r w:rsidR="008F64F8" w:rsidRPr="00362D29">
        <w:rPr>
          <w:rFonts w:ascii="Traditional Arabic" w:eastAsia="Aptos" w:hAnsi="Traditional Arabic" w:cs="Traditional Arabic"/>
          <w:kern w:val="2"/>
          <w:sz w:val="24"/>
          <w:szCs w:val="24"/>
          <w:rtl/>
          <w14:ligatures w14:val="standardContextual"/>
        </w:rPr>
        <w:t xml:space="preserve">إطارًا مرجعيًا عالميًا للتميّز </w:t>
      </w:r>
      <w:r w:rsidR="007C3E26" w:rsidRPr="00362D29">
        <w:rPr>
          <w:rFonts w:ascii="Traditional Arabic" w:eastAsia="Aptos" w:hAnsi="Traditional Arabic" w:cs="Traditional Arabic"/>
          <w:kern w:val="2"/>
          <w:sz w:val="24"/>
          <w:szCs w:val="24"/>
          <w:rtl/>
          <w14:ligatures w14:val="standardContextual"/>
        </w:rPr>
        <w:t xml:space="preserve">يهدف إلى مساعدة </w:t>
      </w:r>
      <w:r w:rsidR="008F64F8" w:rsidRPr="00362D29">
        <w:rPr>
          <w:rFonts w:ascii="Traditional Arabic" w:eastAsia="Aptos" w:hAnsi="Traditional Arabic" w:cs="Traditional Arabic"/>
          <w:kern w:val="2"/>
          <w:sz w:val="24"/>
          <w:szCs w:val="24"/>
          <w:rtl/>
          <w14:ligatures w14:val="standardContextual"/>
        </w:rPr>
        <w:t xml:space="preserve">المؤسسات على تحقيق نتائج </w:t>
      </w:r>
      <w:r w:rsidR="006F22B0" w:rsidRPr="00362D29">
        <w:rPr>
          <w:rFonts w:ascii="Traditional Arabic" w:eastAsia="Aptos" w:hAnsi="Traditional Arabic" w:cs="Traditional Arabic"/>
          <w:kern w:val="2"/>
          <w:sz w:val="24"/>
          <w:szCs w:val="24"/>
          <w:rtl/>
          <w14:ligatures w14:val="standardContextual"/>
        </w:rPr>
        <w:t>متميزة في الأداء،</w:t>
      </w:r>
      <w:r w:rsidR="008F64F8" w:rsidRPr="00362D29">
        <w:rPr>
          <w:rFonts w:ascii="Traditional Arabic" w:eastAsia="Aptos" w:hAnsi="Traditional Arabic" w:cs="Traditional Arabic"/>
          <w:kern w:val="2"/>
          <w:sz w:val="24"/>
          <w:szCs w:val="24"/>
          <w:rtl/>
          <w14:ligatures w14:val="standardContextual"/>
        </w:rPr>
        <w:t xml:space="preserve"> عبر تبنّي أفضل الممارسات، وتحسين القدرة على التحسين المستدام والمستمر وفهم المنظومة المؤسسية</w:t>
      </w:r>
      <w:r w:rsidR="008F64F8" w:rsidRPr="00362D29">
        <w:rPr>
          <w:rFonts w:ascii="Traditional Arabic" w:eastAsia="Aptos" w:hAnsi="Traditional Arabic" w:cs="Traditional Arabic"/>
          <w:kern w:val="2"/>
          <w:sz w:val="24"/>
          <w:szCs w:val="24"/>
          <w14:ligatures w14:val="standardContextual"/>
        </w:rPr>
        <w:t xml:space="preserve"> (Ecosystem) </w:t>
      </w:r>
      <w:r w:rsidR="008F64F8" w:rsidRPr="00362D29">
        <w:rPr>
          <w:rFonts w:ascii="Traditional Arabic" w:eastAsia="Aptos" w:hAnsi="Traditional Arabic" w:cs="Traditional Arabic"/>
          <w:kern w:val="2"/>
          <w:sz w:val="24"/>
          <w:szCs w:val="24"/>
          <w:rtl/>
          <w14:ligatures w14:val="standardContextual"/>
        </w:rPr>
        <w:t xml:space="preserve">وإدارة العلاقات مع المعنيين الرئيسيين بصورة </w:t>
      </w:r>
      <w:proofErr w:type="gramStart"/>
      <w:r w:rsidR="008F64F8" w:rsidRPr="00362D29">
        <w:rPr>
          <w:rFonts w:ascii="Traditional Arabic" w:eastAsia="Aptos" w:hAnsi="Traditional Arabic" w:cs="Traditional Arabic"/>
          <w:kern w:val="2"/>
          <w:sz w:val="24"/>
          <w:szCs w:val="24"/>
          <w:rtl/>
          <w14:ligatures w14:val="standardContextual"/>
        </w:rPr>
        <w:t>منهجية</w:t>
      </w:r>
      <w:r w:rsidR="00D64CE0" w:rsidRPr="00362D29">
        <w:rPr>
          <w:rFonts w:ascii="Traditional Arabic" w:eastAsia="Aptos" w:hAnsi="Traditional Arabic" w:cs="Traditional Arabic"/>
          <w:kern w:val="2"/>
          <w:sz w:val="24"/>
          <w:szCs w:val="24"/>
          <w:rtl/>
          <w14:ligatures w14:val="standardContextual"/>
        </w:rPr>
        <w:t xml:space="preserve"> </w:t>
      </w:r>
      <w:r w:rsidR="008F64F8" w:rsidRPr="00362D29">
        <w:rPr>
          <w:rFonts w:ascii="Traditional Arabic" w:eastAsia="Aptos" w:hAnsi="Traditional Arabic" w:cs="Traditional Arabic"/>
          <w:kern w:val="2"/>
          <w:sz w:val="24"/>
          <w:szCs w:val="24"/>
          <w14:ligatures w14:val="standardContextual"/>
        </w:rPr>
        <w:t>.</w:t>
      </w:r>
      <w:proofErr w:type="gramEnd"/>
      <w:r w:rsidR="008F64F8" w:rsidRPr="00362D29">
        <w:rPr>
          <w:rFonts w:ascii="Traditional Arabic" w:eastAsia="Aptos" w:hAnsi="Traditional Arabic" w:cs="Traditional Arabic"/>
          <w:kern w:val="2"/>
          <w:sz w:val="24"/>
          <w:szCs w:val="24"/>
          <w14:ligatures w14:val="standardContextual"/>
        </w:rPr>
        <w:t xml:space="preserve"> (EFQM</w:t>
      </w:r>
      <w:r w:rsidR="00FF3ED7" w:rsidRPr="00362D29">
        <w:rPr>
          <w:rFonts w:ascii="Traditional Arabic" w:eastAsia="Aptos" w:hAnsi="Traditional Arabic" w:cs="Traditional Arabic"/>
          <w:kern w:val="2"/>
          <w:sz w:val="24"/>
          <w:szCs w:val="24"/>
          <w14:ligatures w14:val="standardContextual"/>
        </w:rPr>
        <w:t>,</w:t>
      </w:r>
      <w:r w:rsidR="00D64CE0" w:rsidRPr="00362D29">
        <w:rPr>
          <w:rFonts w:ascii="Traditional Arabic" w:eastAsia="Aptos" w:hAnsi="Traditional Arabic" w:cs="Traditional Arabic"/>
          <w:kern w:val="2"/>
          <w:sz w:val="24"/>
          <w:szCs w:val="24"/>
          <w14:ligatures w14:val="standardContextual"/>
        </w:rPr>
        <w:t xml:space="preserve"> 2025)</w:t>
      </w:r>
    </w:p>
    <w:p w14:paraId="355BAD53" w14:textId="43ED12B3" w:rsidR="00343959" w:rsidRPr="00362D29" w:rsidRDefault="008F64F8"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يرتكز</w:t>
      </w:r>
      <w:r w:rsidRPr="00362D29">
        <w:rPr>
          <w:rFonts w:ascii="Traditional Arabic" w:eastAsia="Aptos" w:hAnsi="Traditional Arabic" w:cs="Traditional Arabic"/>
          <w:kern w:val="2"/>
          <w:sz w:val="24"/>
          <w:szCs w:val="24"/>
          <w14:ligatures w14:val="standardContextual"/>
        </w:rPr>
        <w:t xml:space="preserve"> </w:t>
      </w:r>
      <w:r w:rsidR="00AB273A"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EFQM</w:t>
      </w:r>
      <w:r w:rsidR="00AB273A"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w:t>
      </w:r>
      <w:r w:rsidR="00AB273A" w:rsidRPr="00362D29">
        <w:rPr>
          <w:rFonts w:ascii="Traditional Arabic" w:eastAsia="Aptos" w:hAnsi="Traditional Arabic" w:cs="Traditional Arabic"/>
          <w:kern w:val="2"/>
          <w:sz w:val="24"/>
          <w:szCs w:val="24"/>
          <w:rtl/>
          <w14:ligatures w14:val="standardContextual"/>
        </w:rPr>
        <w:t xml:space="preserve">النموذج الأوروبي للتميز المؤسسي </w:t>
      </w:r>
      <w:r w:rsidRPr="00362D29">
        <w:rPr>
          <w:rFonts w:ascii="Traditional Arabic" w:eastAsia="Aptos" w:hAnsi="Traditional Arabic" w:cs="Traditional Arabic"/>
          <w:kern w:val="2"/>
          <w:sz w:val="24"/>
          <w:szCs w:val="24"/>
          <w:rtl/>
          <w14:ligatures w14:val="standardContextual"/>
        </w:rPr>
        <w:t>على مفهوم ثلاثي يوضح منطق التميز المؤسسي</w:t>
      </w:r>
      <w:r w:rsidR="008737C1" w:rsidRPr="00362D29">
        <w:rPr>
          <w:rFonts w:ascii="Traditional Arabic" w:eastAsia="Aptos" w:hAnsi="Traditional Arabic" w:cs="Traditional Arabic"/>
          <w:kern w:val="2"/>
          <w:sz w:val="24"/>
          <w:szCs w:val="24"/>
          <w:rtl/>
          <w14:ligatures w14:val="standardContextual"/>
        </w:rPr>
        <w:t xml:space="preserve"> يتضمن “التوجه – التنفيذ – النتائج</w:t>
      </w:r>
      <w:r w:rsidR="00343959" w:rsidRPr="00362D29">
        <w:rPr>
          <w:rFonts w:ascii="Traditional Arabic" w:eastAsia="Aptos" w:hAnsi="Traditional Arabic" w:cs="Traditional Arabic"/>
          <w:kern w:val="2"/>
          <w:sz w:val="24"/>
          <w:szCs w:val="24"/>
          <w:rtl/>
          <w14:ligatures w14:val="standardContextual"/>
        </w:rPr>
        <w:t>"</w:t>
      </w:r>
      <w:r w:rsidR="009C10F2" w:rsidRPr="00362D29">
        <w:rPr>
          <w:rFonts w:ascii="Traditional Arabic" w:eastAsia="Aptos" w:hAnsi="Traditional Arabic" w:cs="Traditional Arabic"/>
          <w:kern w:val="2"/>
          <w:sz w:val="24"/>
          <w:szCs w:val="24"/>
          <w14:ligatures w14:val="standardContextual"/>
        </w:rPr>
        <w:t>. (EFQM, 2025)</w:t>
      </w:r>
    </w:p>
    <w:p w14:paraId="7D221628" w14:textId="559D044B" w:rsidR="008F64F8" w:rsidRPr="00362D29" w:rsidRDefault="008F64F8"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التوجه </w:t>
      </w:r>
      <w:r w:rsidR="00343959" w:rsidRPr="00362D29">
        <w:rPr>
          <w:rFonts w:ascii="Traditional Arabic" w:eastAsia="Aptos" w:hAnsi="Traditional Arabic" w:cs="Traditional Arabic"/>
          <w:kern w:val="2"/>
          <w:sz w:val="24"/>
          <w:szCs w:val="24"/>
          <w:rtl/>
          <w14:ligatures w14:val="standardContextual"/>
        </w:rPr>
        <w:t xml:space="preserve">للإجابة على </w:t>
      </w:r>
      <w:r w:rsidRPr="00362D29">
        <w:rPr>
          <w:rFonts w:ascii="Traditional Arabic" w:eastAsia="Aptos" w:hAnsi="Traditional Arabic" w:cs="Traditional Arabic"/>
          <w:kern w:val="2"/>
          <w:sz w:val="24"/>
          <w:szCs w:val="24"/>
          <w:rtl/>
          <w14:ligatures w14:val="standardContextual"/>
        </w:rPr>
        <w:t xml:space="preserve">(لماذا توجد المؤسسة وما غاياتها ورؤيتها واستراتيجيتها)، ثم التنفيذ </w:t>
      </w:r>
      <w:r w:rsidR="009C10F2" w:rsidRPr="00362D29">
        <w:rPr>
          <w:rFonts w:ascii="Traditional Arabic" w:eastAsia="Aptos" w:hAnsi="Traditional Arabic" w:cs="Traditional Arabic"/>
          <w:kern w:val="2"/>
          <w:sz w:val="24"/>
          <w:szCs w:val="24"/>
          <w:rtl/>
          <w14:ligatures w14:val="standardContextual"/>
        </w:rPr>
        <w:t xml:space="preserve">للإجابة على </w:t>
      </w:r>
      <w:r w:rsidRPr="00362D29">
        <w:rPr>
          <w:rFonts w:ascii="Traditional Arabic" w:eastAsia="Aptos" w:hAnsi="Traditional Arabic" w:cs="Traditional Arabic"/>
          <w:kern w:val="2"/>
          <w:sz w:val="24"/>
          <w:szCs w:val="24"/>
          <w:rtl/>
          <w14:ligatures w14:val="standardContextual"/>
        </w:rPr>
        <w:t>(كيف تُدار المؤسسة وتُشرك المعنيين وتخلق قيمة مستدامة وتقيس الأداء والتحول)، ثم النتائج التي تُترجم أثر ذلك على المعنيين والأداء الاستراتيجي والتشغيلي. (السيابي، 2023</w:t>
      </w:r>
      <w:proofErr w:type="gramStart"/>
      <w:r w:rsidRPr="00362D29">
        <w:rPr>
          <w:rFonts w:ascii="Traditional Arabic" w:eastAsia="Aptos" w:hAnsi="Traditional Arabic" w:cs="Traditional Arabic"/>
          <w:kern w:val="2"/>
          <w:sz w:val="24"/>
          <w:szCs w:val="24"/>
          <w:rtl/>
          <w14:ligatures w14:val="standardContextual"/>
        </w:rPr>
        <w:t>)</w:t>
      </w:r>
      <w:r w:rsidR="009C10F2" w:rsidRPr="00362D29">
        <w:rPr>
          <w:rFonts w:ascii="Traditional Arabic" w:eastAsia="Aptos" w:hAnsi="Traditional Arabic" w:cs="Traditional Arabic"/>
          <w:kern w:val="2"/>
          <w:sz w:val="24"/>
          <w:szCs w:val="24"/>
          <w:rtl/>
          <w14:ligatures w14:val="standardContextual"/>
        </w:rPr>
        <w:t xml:space="preserve"> </w:t>
      </w:r>
      <w:r w:rsidR="009C10F2" w:rsidRPr="00362D29">
        <w:rPr>
          <w:rFonts w:ascii="Traditional Arabic" w:eastAsia="Aptos" w:hAnsi="Traditional Arabic" w:cs="Traditional Arabic"/>
          <w:kern w:val="2"/>
          <w:sz w:val="24"/>
          <w:szCs w:val="24"/>
          <w14:ligatures w14:val="standardContextual"/>
        </w:rPr>
        <w:t>.</w:t>
      </w:r>
      <w:proofErr w:type="gramEnd"/>
      <w:r w:rsidR="009C10F2" w:rsidRPr="00362D29">
        <w:rPr>
          <w:rFonts w:ascii="Traditional Arabic" w:eastAsia="Aptos" w:hAnsi="Traditional Arabic" w:cs="Traditional Arabic"/>
          <w:kern w:val="2"/>
          <w:sz w:val="24"/>
          <w:szCs w:val="24"/>
          <w14:ligatures w14:val="standardContextual"/>
        </w:rPr>
        <w:t xml:space="preserve"> (EFQM, 2025)</w:t>
      </w:r>
    </w:p>
    <w:p w14:paraId="690C887C" w14:textId="2AF1EF8A" w:rsidR="0050758E" w:rsidRPr="00362D29" w:rsidRDefault="008F64F8" w:rsidP="00C42472">
      <w:pPr>
        <w:pStyle w:val="ab"/>
        <w:numPr>
          <w:ilvl w:val="0"/>
          <w:numId w:val="12"/>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14:ligatures w14:val="standardContextual"/>
        </w:rPr>
        <w:lastRenderedPageBreak/>
        <w:t xml:space="preserve"> </w:t>
      </w:r>
      <w:r w:rsidRPr="00362D29">
        <w:rPr>
          <w:rFonts w:ascii="Traditional Arabic" w:eastAsia="Aptos" w:hAnsi="Traditional Arabic" w:cs="Traditional Arabic"/>
          <w:b/>
          <w:bCs/>
          <w:kern w:val="2"/>
          <w:sz w:val="24"/>
          <w:szCs w:val="24"/>
          <w:rtl/>
          <w14:ligatures w14:val="standardContextual"/>
        </w:rPr>
        <w:t>المكوّنات والهيكل العام للنموذج</w:t>
      </w:r>
    </w:p>
    <w:p w14:paraId="42B9E802" w14:textId="565B08C4" w:rsidR="00603FCA" w:rsidRPr="00362D29" w:rsidRDefault="008F64F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يتكون النموذج من </w:t>
      </w:r>
      <w:r w:rsidR="0050758E" w:rsidRPr="00362D29">
        <w:rPr>
          <w:rFonts w:ascii="Traditional Arabic" w:eastAsia="Aptos" w:hAnsi="Traditional Arabic" w:cs="Traditional Arabic"/>
          <w:kern w:val="2"/>
          <w:sz w:val="24"/>
          <w:szCs w:val="24"/>
          <w:rtl/>
          <w14:ligatures w14:val="standardContextual"/>
        </w:rPr>
        <w:t>ثلاث</w:t>
      </w:r>
      <w:r w:rsidRPr="00362D29">
        <w:rPr>
          <w:rFonts w:ascii="Traditional Arabic" w:eastAsia="Aptos" w:hAnsi="Traditional Arabic" w:cs="Traditional Arabic"/>
          <w:kern w:val="2"/>
          <w:sz w:val="24"/>
          <w:szCs w:val="24"/>
          <w:rtl/>
          <w14:ligatures w14:val="standardContextual"/>
        </w:rPr>
        <w:t xml:space="preserve"> مجالات رئيسية (التوجه–التنفيذ–النتائج)، وتندرج تحتها </w:t>
      </w:r>
      <w:r w:rsidRPr="00362D29">
        <w:rPr>
          <w:rFonts w:ascii="Traditional Arabic" w:eastAsia="Aptos" w:hAnsi="Traditional Arabic" w:cs="Traditional Arabic"/>
          <w:b/>
          <w:bCs/>
          <w:kern w:val="2"/>
          <w:sz w:val="24"/>
          <w:szCs w:val="24"/>
          <w:rtl/>
          <w14:ligatures w14:val="standardContextual"/>
        </w:rPr>
        <w:t>سبعة معايير تمثل مجالات التقييم والتحسين</w:t>
      </w:r>
      <w:r w:rsidRPr="00362D29">
        <w:rPr>
          <w:rFonts w:ascii="Traditional Arabic" w:eastAsia="Aptos" w:hAnsi="Traditional Arabic" w:cs="Traditional Arabic"/>
          <w:kern w:val="2"/>
          <w:sz w:val="24"/>
          <w:szCs w:val="24"/>
          <w:rtl/>
          <w14:ligatures w14:val="standardContextual"/>
        </w:rPr>
        <w:t>، بما يسمح ببناء صورة شاملة عن نضج المؤسسة وقدرتها على تحقيق التميز والاستدامة</w:t>
      </w:r>
      <w:r w:rsidR="000A0001" w:rsidRPr="00362D29">
        <w:rPr>
          <w:rFonts w:ascii="Traditional Arabic" w:eastAsia="Aptos" w:hAnsi="Traditional Arabic" w:cs="Traditional Arabic"/>
          <w:kern w:val="2"/>
          <w:sz w:val="24"/>
          <w:szCs w:val="24"/>
          <w:rtl/>
          <w14:ligatures w14:val="standardContextual"/>
        </w:rPr>
        <w:t xml:space="preserve"> (</w:t>
      </w:r>
      <w:r w:rsidR="000A0001" w:rsidRPr="00362D29">
        <w:rPr>
          <w:rFonts w:ascii="Traditional Arabic" w:eastAsia="Aptos" w:hAnsi="Traditional Arabic" w:cs="Traditional Arabic"/>
          <w:kern w:val="2"/>
          <w:sz w:val="24"/>
          <w:szCs w:val="24"/>
          <w14:ligatures w14:val="standardContextual"/>
        </w:rPr>
        <w:t>EFQM, 2025</w:t>
      </w:r>
      <w:r w:rsidR="000A0001" w:rsidRPr="00362D29">
        <w:rPr>
          <w:rFonts w:ascii="Traditional Arabic" w:eastAsia="Aptos" w:hAnsi="Traditional Arabic" w:cs="Traditional Arabic"/>
          <w:kern w:val="2"/>
          <w:sz w:val="24"/>
          <w:szCs w:val="24"/>
          <w:rtl/>
          <w14:ligatures w14:val="standardContextual"/>
        </w:rPr>
        <w:t>).</w:t>
      </w:r>
    </w:p>
    <w:p w14:paraId="78022A7E" w14:textId="77777777" w:rsidR="00603FCA" w:rsidRPr="00362D29" w:rsidRDefault="00603FCA" w:rsidP="00C42472">
      <w:pPr>
        <w:pStyle w:val="ab"/>
        <w:numPr>
          <w:ilvl w:val="0"/>
          <w:numId w:val="12"/>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معايير </w:t>
      </w:r>
      <w:r w:rsidRPr="00362D29">
        <w:rPr>
          <w:rFonts w:ascii="Traditional Arabic" w:eastAsia="Aptos" w:hAnsi="Traditional Arabic" w:cs="Traditional Arabic"/>
          <w:b/>
          <w:bCs/>
          <w:kern w:val="2"/>
          <w:sz w:val="24"/>
          <w:szCs w:val="24"/>
          <w14:ligatures w14:val="standardContextual"/>
        </w:rPr>
        <w:t>EFQM</w:t>
      </w:r>
      <w:r w:rsidRPr="00362D29">
        <w:rPr>
          <w:rFonts w:ascii="Traditional Arabic" w:eastAsia="Aptos" w:hAnsi="Traditional Arabic" w:cs="Traditional Arabic"/>
          <w:b/>
          <w:bCs/>
          <w:kern w:val="2"/>
          <w:sz w:val="24"/>
          <w:szCs w:val="24"/>
          <w:rtl/>
          <w14:ligatures w14:val="standardContextual"/>
        </w:rPr>
        <w:t xml:space="preserve"> السبعة </w:t>
      </w:r>
    </w:p>
    <w:p w14:paraId="06252780" w14:textId="76D5E0C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يعرض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 المعايير على النحو الآتي، بوصفها “خريطة” لتقييم نضج المؤسسة:</w:t>
      </w:r>
    </w:p>
    <w:p w14:paraId="5A691990" w14:textId="66E06CBB" w:rsidR="00603FCA" w:rsidRPr="00362D29" w:rsidRDefault="00603FCA" w:rsidP="00C42472">
      <w:pPr>
        <w:pStyle w:val="ab"/>
        <w:numPr>
          <w:ilvl w:val="0"/>
          <w:numId w:val="1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التوجه (</w:t>
      </w:r>
      <w:r w:rsidRPr="00362D29">
        <w:rPr>
          <w:rFonts w:ascii="Traditional Arabic" w:eastAsia="Aptos" w:hAnsi="Traditional Arabic" w:cs="Traditional Arabic"/>
          <w:b/>
          <w:bCs/>
          <w:kern w:val="2"/>
          <w:sz w:val="24"/>
          <w:szCs w:val="24"/>
          <w14:ligatures w14:val="standardContextual"/>
        </w:rPr>
        <w:t>Direction</w:t>
      </w:r>
      <w:r w:rsidRPr="00362D29">
        <w:rPr>
          <w:rFonts w:ascii="Traditional Arabic" w:eastAsia="Aptos" w:hAnsi="Traditional Arabic" w:cs="Traditional Arabic"/>
          <w:b/>
          <w:bCs/>
          <w:kern w:val="2"/>
          <w:sz w:val="24"/>
          <w:szCs w:val="24"/>
          <w:rtl/>
          <w14:ligatures w14:val="standardContextual"/>
        </w:rPr>
        <w:t>)</w:t>
      </w:r>
    </w:p>
    <w:p w14:paraId="0D068EC5"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1: الغايات والرؤية والاستراتيجية (</w:t>
      </w:r>
      <w:r w:rsidRPr="00362D29">
        <w:rPr>
          <w:rFonts w:ascii="Traditional Arabic" w:eastAsia="Aptos" w:hAnsi="Traditional Arabic" w:cs="Traditional Arabic"/>
          <w:b/>
          <w:bCs/>
          <w:kern w:val="2"/>
          <w:sz w:val="24"/>
          <w:szCs w:val="24"/>
          <w14:ligatures w14:val="standardContextual"/>
        </w:rPr>
        <w:t>Purpose, Vision &amp; Strategy</w:t>
      </w:r>
      <w:r w:rsidRPr="00362D29">
        <w:rPr>
          <w:rFonts w:ascii="Traditional Arabic" w:eastAsia="Aptos" w:hAnsi="Traditional Arabic" w:cs="Traditional Arabic"/>
          <w:b/>
          <w:bCs/>
          <w:kern w:val="2"/>
          <w:sz w:val="24"/>
          <w:szCs w:val="24"/>
          <w:rtl/>
          <w14:ligatures w14:val="standardContextual"/>
        </w:rPr>
        <w:t>)</w:t>
      </w:r>
    </w:p>
    <w:p w14:paraId="4F9FCCCB" w14:textId="4CE3B40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وضوح “سبب وجود المؤسسة” (الغاية/الرسالة الجوهرية)، وكيف تُترجم الغاية إلى رؤية مستقبلية واتجاه استراتيجي واضح. كما يهتم بمدى قدرة المؤسسة على بناء استراتيجية تستند إلى تحليل البيئة الداخلية والخارجية، وفهم احتياجات أصحاب المصلحة، وتحديد الأولويات الاستراتيجية بصورة قابلة للقياس والمتابعة. ويُعد هذا المعيار أساسًا لضمان أن جميع المبادرات والبرامج التشغيلية تعمل في اتجاه واحد متسق مع الغاية والرؤية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40806E8C"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2: الثقافة المؤسسية والقيادة (</w:t>
      </w:r>
      <w:r w:rsidRPr="00362D29">
        <w:rPr>
          <w:rFonts w:ascii="Traditional Arabic" w:eastAsia="Aptos" w:hAnsi="Traditional Arabic" w:cs="Traditional Arabic"/>
          <w:b/>
          <w:bCs/>
          <w:kern w:val="2"/>
          <w:sz w:val="24"/>
          <w:szCs w:val="24"/>
          <w14:ligatures w14:val="standardContextual"/>
        </w:rPr>
        <w:t>Organizational Culture &amp; Leadership</w:t>
      </w:r>
      <w:r w:rsidRPr="00362D29">
        <w:rPr>
          <w:rFonts w:ascii="Traditional Arabic" w:eastAsia="Aptos" w:hAnsi="Traditional Arabic" w:cs="Traditional Arabic"/>
          <w:b/>
          <w:bCs/>
          <w:kern w:val="2"/>
          <w:sz w:val="24"/>
          <w:szCs w:val="24"/>
          <w:rtl/>
          <w14:ligatures w14:val="standardContextual"/>
        </w:rPr>
        <w:t>)</w:t>
      </w:r>
    </w:p>
    <w:p w14:paraId="1A1DD2CB" w14:textId="2E1546C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دور القيادة في تشكيل ثقافة مؤسسية داعمة للتميز، عبر ترسيخ القيم، وتعزيز السلوكيات التنظيمية الإيجابية، وخلق بيئة عمل تمكّن الأفراد وتدعم التعلم والشفافية والمساءلة. كما يركز على كيفية قيادة التغيير وإدارة التوازن بين النتائج قصيرة المدى والاستدامة طويلة المدى، بما يضمن أن الثقافة ليست “معلنة” فقط، بل مفعّلة ومُلاحظة في الممارسات اليومية</w:t>
      </w:r>
      <w:r w:rsidR="0001456A"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052C78BC" w14:textId="3CB65137" w:rsidR="00603FCA" w:rsidRPr="00362D29" w:rsidRDefault="00603FCA" w:rsidP="00C42472">
      <w:pPr>
        <w:pStyle w:val="ab"/>
        <w:numPr>
          <w:ilvl w:val="0"/>
          <w:numId w:val="1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التنفيذ (</w:t>
      </w:r>
      <w:r w:rsidRPr="00362D29">
        <w:rPr>
          <w:rFonts w:ascii="Traditional Arabic" w:eastAsia="Aptos" w:hAnsi="Traditional Arabic" w:cs="Traditional Arabic"/>
          <w:b/>
          <w:bCs/>
          <w:kern w:val="2"/>
          <w:sz w:val="24"/>
          <w:szCs w:val="24"/>
          <w14:ligatures w14:val="standardContextual"/>
        </w:rPr>
        <w:t>Execution</w:t>
      </w:r>
      <w:r w:rsidRPr="00362D29">
        <w:rPr>
          <w:rFonts w:ascii="Traditional Arabic" w:eastAsia="Aptos" w:hAnsi="Traditional Arabic" w:cs="Traditional Arabic"/>
          <w:b/>
          <w:bCs/>
          <w:kern w:val="2"/>
          <w:sz w:val="24"/>
          <w:szCs w:val="24"/>
          <w:rtl/>
          <w14:ligatures w14:val="standardContextual"/>
        </w:rPr>
        <w:t>)</w:t>
      </w:r>
    </w:p>
    <w:p w14:paraId="1620869C"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3: إشراك المعنيين (</w:t>
      </w:r>
      <w:r w:rsidRPr="00362D29">
        <w:rPr>
          <w:rFonts w:ascii="Traditional Arabic" w:eastAsia="Aptos" w:hAnsi="Traditional Arabic" w:cs="Traditional Arabic"/>
          <w:b/>
          <w:bCs/>
          <w:kern w:val="2"/>
          <w:sz w:val="24"/>
          <w:szCs w:val="24"/>
          <w14:ligatures w14:val="standardContextual"/>
        </w:rPr>
        <w:t>Engaging Stakeholders</w:t>
      </w:r>
      <w:r w:rsidRPr="00362D29">
        <w:rPr>
          <w:rFonts w:ascii="Traditional Arabic" w:eastAsia="Aptos" w:hAnsi="Traditional Arabic" w:cs="Traditional Arabic"/>
          <w:b/>
          <w:bCs/>
          <w:kern w:val="2"/>
          <w:sz w:val="24"/>
          <w:szCs w:val="24"/>
          <w:rtl/>
          <w14:ligatures w14:val="standardContextual"/>
        </w:rPr>
        <w:t>)</w:t>
      </w:r>
    </w:p>
    <w:p w14:paraId="32EFABB0" w14:textId="3E0ADE6A" w:rsidR="00603FCA"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يؤكد هذا المعيار أن تحقيق التميز يتطلب بناء علاقات فعّالة مع المعنيين الرئيسيين (مثل الموظفين، العملاء/المستفيدين، الشركاء، المجتمع)، عبر فهم توقعاتهم وإشراكهم في التحسين والتطوير. ويشمل ذلك آليات التواصل، وإدارة تجربة المعنيين، وقياس مستوى الرضا والانطباعات، وتحويل التغذية الراجعة إلى تحسينات قابلة للتنفيذ، بما يعزز الثقة ويزيد من قيمة المؤسسة لديهم</w:t>
      </w:r>
      <w:r w:rsidR="0001456A" w:rsidRPr="00362D29">
        <w:rPr>
          <w:rFonts w:ascii="Traditional Arabic" w:eastAsia="Aptos" w:hAnsi="Traditional Arabic" w:cs="Traditional Arabic"/>
          <w:kern w:val="2"/>
          <w:sz w:val="24"/>
          <w:szCs w:val="24"/>
          <w:rtl/>
          <w14:ligatures w14:val="standardContextual"/>
        </w:rPr>
        <w:t xml:space="preserve"> (</w:t>
      </w:r>
      <w:r w:rsidR="0001456A" w:rsidRPr="00362D29">
        <w:rPr>
          <w:rFonts w:ascii="Traditional Arabic" w:eastAsia="Aptos" w:hAnsi="Traditional Arabic" w:cs="Traditional Arabic"/>
          <w:kern w:val="2"/>
          <w:sz w:val="24"/>
          <w:szCs w:val="24"/>
          <w14:ligatures w14:val="standardContextual"/>
        </w:rPr>
        <w:t>EFQM, 2025</w:t>
      </w:r>
      <w:r w:rsidR="0001456A" w:rsidRPr="00362D29">
        <w:rPr>
          <w:rFonts w:ascii="Traditional Arabic" w:eastAsia="Aptos" w:hAnsi="Traditional Arabic" w:cs="Traditional Arabic"/>
          <w:kern w:val="2"/>
          <w:sz w:val="24"/>
          <w:szCs w:val="24"/>
          <w:rtl/>
          <w14:ligatures w14:val="standardContextual"/>
        </w:rPr>
        <w:t>).</w:t>
      </w:r>
    </w:p>
    <w:p w14:paraId="4E2DF948" w14:textId="77777777" w:rsidR="00216C7C" w:rsidRDefault="00216C7C" w:rsidP="00216C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0F199E1D" w14:textId="77777777" w:rsidR="00216C7C" w:rsidRPr="00362D29" w:rsidRDefault="00216C7C" w:rsidP="00216C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2F9A4AB1"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المعيار 4: خلق قيمة مستدامة (</w:t>
      </w:r>
      <w:r w:rsidRPr="00362D29">
        <w:rPr>
          <w:rFonts w:ascii="Traditional Arabic" w:eastAsia="Aptos" w:hAnsi="Traditional Arabic" w:cs="Traditional Arabic"/>
          <w:b/>
          <w:bCs/>
          <w:kern w:val="2"/>
          <w:sz w:val="24"/>
          <w:szCs w:val="24"/>
          <w14:ligatures w14:val="standardContextual"/>
        </w:rPr>
        <w:t>Creating Sustainable Value</w:t>
      </w:r>
      <w:r w:rsidRPr="00362D29">
        <w:rPr>
          <w:rFonts w:ascii="Traditional Arabic" w:eastAsia="Aptos" w:hAnsi="Traditional Arabic" w:cs="Traditional Arabic"/>
          <w:b/>
          <w:bCs/>
          <w:kern w:val="2"/>
          <w:sz w:val="24"/>
          <w:szCs w:val="24"/>
          <w:rtl/>
          <w14:ligatures w14:val="standardContextual"/>
        </w:rPr>
        <w:t>)</w:t>
      </w:r>
    </w:p>
    <w:p w14:paraId="4D303447" w14:textId="4F253795"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يركز هذا المعيار على كيفية خلق المؤسسة لقيمة “مستمرة” وليست مؤقتة، من خلال تحسين الخدمات/المنتجات، والابتكار، وإدارة الموارد بمسؤولية، ومراعاة الاستدامة البيئية والاجتماعية والاقتصادية. ويتضمن كذلك إدارة سلسلة القيمة وتحسينها وتقليل الهدر ورفع الكفاءة، بما يعكس قدرة المؤسسة على تحقيق نتائج مستدامة وتحسين أثرها على المعنيين والمجتمع </w:t>
      </w:r>
      <w:r w:rsidR="0001456A" w:rsidRPr="00362D29">
        <w:rPr>
          <w:rFonts w:ascii="Traditional Arabic" w:eastAsia="Aptos" w:hAnsi="Traditional Arabic" w:cs="Traditional Arabic"/>
          <w:kern w:val="2"/>
          <w:sz w:val="24"/>
          <w:szCs w:val="24"/>
          <w:rtl/>
          <w14:ligatures w14:val="standardContextual"/>
        </w:rPr>
        <w:t>(السيابي، 2023) (</w:t>
      </w:r>
      <w:r w:rsidR="0001456A" w:rsidRPr="00362D29">
        <w:rPr>
          <w:rFonts w:ascii="Traditional Arabic" w:eastAsia="Aptos" w:hAnsi="Traditional Arabic" w:cs="Traditional Arabic"/>
          <w:kern w:val="2"/>
          <w:sz w:val="24"/>
          <w:szCs w:val="24"/>
          <w14:ligatures w14:val="standardContextual"/>
        </w:rPr>
        <w:t>EFQM, 2025</w:t>
      </w:r>
      <w:r w:rsidR="0001456A" w:rsidRPr="00362D29">
        <w:rPr>
          <w:rFonts w:ascii="Traditional Arabic" w:eastAsia="Aptos" w:hAnsi="Traditional Arabic" w:cs="Traditional Arabic"/>
          <w:kern w:val="2"/>
          <w:sz w:val="24"/>
          <w:szCs w:val="24"/>
          <w:rtl/>
          <w14:ligatures w14:val="standardContextual"/>
        </w:rPr>
        <w:t>)</w:t>
      </w:r>
      <w:r w:rsidR="00CB09E0" w:rsidRPr="00362D29">
        <w:rPr>
          <w:rFonts w:ascii="Traditional Arabic" w:eastAsia="Aptos" w:hAnsi="Traditional Arabic" w:cs="Traditional Arabic"/>
          <w:kern w:val="2"/>
          <w:sz w:val="24"/>
          <w:szCs w:val="24"/>
          <w:rtl/>
          <w14:ligatures w14:val="standardContextual"/>
        </w:rPr>
        <w:t>.</w:t>
      </w:r>
    </w:p>
    <w:p w14:paraId="4D5268AD"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5: قيادة الأداء والتحول (</w:t>
      </w:r>
      <w:r w:rsidRPr="00362D29">
        <w:rPr>
          <w:rFonts w:ascii="Traditional Arabic" w:eastAsia="Aptos" w:hAnsi="Traditional Arabic" w:cs="Traditional Arabic"/>
          <w:b/>
          <w:bCs/>
          <w:kern w:val="2"/>
          <w:sz w:val="24"/>
          <w:szCs w:val="24"/>
          <w14:ligatures w14:val="standardContextual"/>
        </w:rPr>
        <w:t>Driving Performance &amp; Transformation</w:t>
      </w:r>
      <w:r w:rsidRPr="00362D29">
        <w:rPr>
          <w:rFonts w:ascii="Traditional Arabic" w:eastAsia="Aptos" w:hAnsi="Traditional Arabic" w:cs="Traditional Arabic"/>
          <w:b/>
          <w:bCs/>
          <w:kern w:val="2"/>
          <w:sz w:val="24"/>
          <w:szCs w:val="24"/>
          <w:rtl/>
          <w14:ligatures w14:val="standardContextual"/>
        </w:rPr>
        <w:t>)</w:t>
      </w:r>
    </w:p>
    <w:p w14:paraId="6D86895D" w14:textId="4EF9F877"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يركز هذا المعيار على إدارة الأداء بشكل منهجي عبر مؤشرات قياس واضحة، ومراجعات دورية، وربط القرارات بالبيانات، بالإضافة إلى قيادة التحول المؤسسي (التطوير/التحول الرقمي/إعادة التصميم). ويهتم بقدرة المؤسسة على تحقيق توازن بين “تشغيل الأداء اليومي” و“إدارة التغيير والتحول”، بما يضمن الاستجابة للمتغيرات والحفاظ على التنافسية </w:t>
      </w:r>
      <w:proofErr w:type="gramStart"/>
      <w:r w:rsidRPr="00362D29">
        <w:rPr>
          <w:rFonts w:ascii="Traditional Arabic" w:eastAsia="Aptos" w:hAnsi="Traditional Arabic" w:cs="Traditional Arabic"/>
          <w:kern w:val="2"/>
          <w:sz w:val="24"/>
          <w:szCs w:val="24"/>
          <w:rtl/>
          <w14:ligatures w14:val="standardContextual"/>
        </w:rPr>
        <w:t>والاستدامة</w:t>
      </w:r>
      <w:r w:rsidR="00CB09E0" w:rsidRPr="00362D29">
        <w:rPr>
          <w:rFonts w:ascii="Traditional Arabic" w:eastAsia="Aptos" w:hAnsi="Traditional Arabic" w:cs="Traditional Arabic"/>
          <w:kern w:val="2"/>
          <w:sz w:val="24"/>
          <w:szCs w:val="24"/>
          <w:rtl/>
          <w14:ligatures w14:val="standardContextual"/>
        </w:rPr>
        <w:t>(</w:t>
      </w:r>
      <w:proofErr w:type="gramEnd"/>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5D50B0CA" w14:textId="2340B64B" w:rsidR="00603FCA" w:rsidRPr="00362D29" w:rsidRDefault="00603FCA" w:rsidP="00C42472">
      <w:pPr>
        <w:pStyle w:val="ab"/>
        <w:numPr>
          <w:ilvl w:val="0"/>
          <w:numId w:val="1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النتائج (</w:t>
      </w:r>
      <w:r w:rsidRPr="00362D29">
        <w:rPr>
          <w:rFonts w:ascii="Traditional Arabic" w:eastAsia="Aptos" w:hAnsi="Traditional Arabic" w:cs="Traditional Arabic"/>
          <w:b/>
          <w:bCs/>
          <w:kern w:val="2"/>
          <w:sz w:val="24"/>
          <w:szCs w:val="24"/>
          <w14:ligatures w14:val="standardContextual"/>
        </w:rPr>
        <w:t>Results</w:t>
      </w:r>
      <w:r w:rsidRPr="00362D29">
        <w:rPr>
          <w:rFonts w:ascii="Traditional Arabic" w:eastAsia="Aptos" w:hAnsi="Traditional Arabic" w:cs="Traditional Arabic"/>
          <w:b/>
          <w:bCs/>
          <w:kern w:val="2"/>
          <w:sz w:val="24"/>
          <w:szCs w:val="24"/>
          <w:rtl/>
          <w14:ligatures w14:val="standardContextual"/>
        </w:rPr>
        <w:t>)</w:t>
      </w:r>
    </w:p>
    <w:p w14:paraId="7B9B26E5"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6: انطباعات المعنيين (</w:t>
      </w:r>
      <w:r w:rsidRPr="00362D29">
        <w:rPr>
          <w:rFonts w:ascii="Traditional Arabic" w:eastAsia="Aptos" w:hAnsi="Traditional Arabic" w:cs="Traditional Arabic"/>
          <w:b/>
          <w:bCs/>
          <w:kern w:val="2"/>
          <w:sz w:val="24"/>
          <w:szCs w:val="24"/>
          <w14:ligatures w14:val="standardContextual"/>
        </w:rPr>
        <w:t>Stakeholder Perceptions</w:t>
      </w:r>
      <w:r w:rsidRPr="00362D29">
        <w:rPr>
          <w:rFonts w:ascii="Traditional Arabic" w:eastAsia="Aptos" w:hAnsi="Traditional Arabic" w:cs="Traditional Arabic"/>
          <w:b/>
          <w:bCs/>
          <w:kern w:val="2"/>
          <w:sz w:val="24"/>
          <w:szCs w:val="24"/>
          <w:rtl/>
          <w14:ligatures w14:val="standardContextual"/>
        </w:rPr>
        <w:t>)</w:t>
      </w:r>
    </w:p>
    <w:p w14:paraId="0A302684" w14:textId="473F8E06"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نتائج “الإدراك والانطباع” لدى المعنيين، أي كيف يرى المعنيون المؤسسة فعليًا بناءً على خبراتهم معها (مثل الثقة، الرضا، الولاء، السمعة، جودة العلاقة). ويؤكد أن النتائج لا تُقاس فقط بالأرقام الداخلية، بل بمدى انعكاس الأداء على صورة المؤسسة لدى من تتعامل معهم، باعتبار أن الانطباعات تمثل مؤشرًا حاسمًا لنجاح التوجه والتنفيذ</w:t>
      </w:r>
      <w:r w:rsidR="00CB09E0" w:rsidRPr="00362D29">
        <w:rPr>
          <w:rFonts w:ascii="Traditional Arabic" w:eastAsia="Aptos" w:hAnsi="Traditional Arabic" w:cs="Traditional Arabic"/>
          <w:kern w:val="2"/>
          <w:sz w:val="24"/>
          <w:szCs w:val="24"/>
          <w:rtl/>
          <w14:ligatures w14:val="standardContextual"/>
        </w:rPr>
        <w:t xml:space="preserve"> (</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74424B39"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7: الأداء الاستراتيجي والتشغيلي (</w:t>
      </w:r>
      <w:r w:rsidRPr="00362D29">
        <w:rPr>
          <w:rFonts w:ascii="Traditional Arabic" w:eastAsia="Aptos" w:hAnsi="Traditional Arabic" w:cs="Traditional Arabic"/>
          <w:b/>
          <w:bCs/>
          <w:kern w:val="2"/>
          <w:sz w:val="24"/>
          <w:szCs w:val="24"/>
          <w14:ligatures w14:val="standardContextual"/>
        </w:rPr>
        <w:t>Strategic &amp; Operational Performance</w:t>
      </w:r>
      <w:r w:rsidRPr="00362D29">
        <w:rPr>
          <w:rFonts w:ascii="Traditional Arabic" w:eastAsia="Aptos" w:hAnsi="Traditional Arabic" w:cs="Traditional Arabic"/>
          <w:b/>
          <w:bCs/>
          <w:kern w:val="2"/>
          <w:sz w:val="24"/>
          <w:szCs w:val="24"/>
          <w:rtl/>
          <w14:ligatures w14:val="standardContextual"/>
        </w:rPr>
        <w:t>)</w:t>
      </w:r>
    </w:p>
    <w:p w14:paraId="6F43F4B6" w14:textId="76BB3BB1" w:rsidR="00DE262E"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النتائج الكمية والعملية التي تحققها المؤسسة مقارنة بأهدافها الاستراتيجية والتشغيلية، مثل مؤشرات الكفاءة، الإنتاجية، الجودة، الاستدامة المالية، وإدارة الموارد. كما يركز على الاتجاهات (</w:t>
      </w:r>
      <w:r w:rsidRPr="00362D29">
        <w:rPr>
          <w:rFonts w:ascii="Traditional Arabic" w:eastAsia="Aptos" w:hAnsi="Traditional Arabic" w:cs="Traditional Arabic"/>
          <w:kern w:val="2"/>
          <w:sz w:val="24"/>
          <w:szCs w:val="24"/>
          <w14:ligatures w14:val="standardContextual"/>
        </w:rPr>
        <w:t>Trends</w:t>
      </w:r>
      <w:r w:rsidRPr="00362D29">
        <w:rPr>
          <w:rFonts w:ascii="Traditional Arabic" w:eastAsia="Aptos" w:hAnsi="Traditional Arabic" w:cs="Traditional Arabic"/>
          <w:kern w:val="2"/>
          <w:sz w:val="24"/>
          <w:szCs w:val="24"/>
          <w:rtl/>
          <w14:ligatures w14:val="standardContextual"/>
        </w:rPr>
        <w:t>) والمقارنات (</w:t>
      </w:r>
      <w:r w:rsidRPr="00362D29">
        <w:rPr>
          <w:rFonts w:ascii="Traditional Arabic" w:eastAsia="Aptos" w:hAnsi="Traditional Arabic" w:cs="Traditional Arabic"/>
          <w:kern w:val="2"/>
          <w:sz w:val="24"/>
          <w:szCs w:val="24"/>
          <w14:ligatures w14:val="standardContextual"/>
        </w:rPr>
        <w:t>Benchmarks</w:t>
      </w:r>
      <w:r w:rsidRPr="00362D29">
        <w:rPr>
          <w:rFonts w:ascii="Traditional Arabic" w:eastAsia="Aptos" w:hAnsi="Traditional Arabic" w:cs="Traditional Arabic"/>
          <w:kern w:val="2"/>
          <w:sz w:val="24"/>
          <w:szCs w:val="24"/>
          <w:rtl/>
          <w14:ligatures w14:val="standardContextual"/>
        </w:rPr>
        <w:t>) ومدى اتساق النتائج عبر الزمن، بما يوضح قدرة المؤسسة على تحقيق أداء قوي ومستقر وليس نتائج متذبذبة</w:t>
      </w:r>
      <w:r w:rsidR="00CB09E0" w:rsidRPr="00362D29">
        <w:rPr>
          <w:rFonts w:ascii="Traditional Arabic" w:eastAsia="Aptos" w:hAnsi="Traditional Arabic" w:cs="Traditional Arabic"/>
          <w:kern w:val="2"/>
          <w:sz w:val="24"/>
          <w:szCs w:val="24"/>
          <w:rtl/>
          <w14:ligatures w14:val="standardContextual"/>
        </w:rPr>
        <w:t xml:space="preserve"> (</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35C7386D" w14:textId="77EA36C4" w:rsidR="00DE262E" w:rsidRPr="00362D29" w:rsidRDefault="00DE262E" w:rsidP="00C42472">
      <w:pPr>
        <w:pStyle w:val="ab"/>
        <w:numPr>
          <w:ilvl w:val="0"/>
          <w:numId w:val="12"/>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أداة التقييم في النموذج الأوربي للتميز المؤسسي</w:t>
      </w:r>
      <w:r w:rsidRPr="00362D29">
        <w:rPr>
          <w:rFonts w:ascii="Traditional Arabic" w:eastAsia="Aptos" w:hAnsi="Traditional Arabic" w:cs="Traditional Arabic"/>
          <w:b/>
          <w:bCs/>
          <w:kern w:val="2"/>
          <w:sz w:val="24"/>
          <w:szCs w:val="24"/>
          <w14:ligatures w14:val="standardContextual"/>
        </w:rPr>
        <w:t xml:space="preserve"> (RADAR) </w:t>
      </w:r>
    </w:p>
    <w:p w14:paraId="5C3601BC" w14:textId="2D776C02" w:rsidR="00DE262E" w:rsidRDefault="00DE262E"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يعتمد</w:t>
      </w:r>
      <w:r w:rsidRPr="00362D29">
        <w:rPr>
          <w:rFonts w:ascii="Traditional Arabic" w:eastAsia="Aptos" w:hAnsi="Traditional Arabic" w:cs="Traditional Arabic"/>
          <w:kern w:val="2"/>
          <w:sz w:val="24"/>
          <w:szCs w:val="24"/>
          <w14:ligatures w14:val="standardContextual"/>
        </w:rPr>
        <w:t xml:space="preserve"> EFQM </w:t>
      </w:r>
      <w:r w:rsidRPr="00362D29">
        <w:rPr>
          <w:rFonts w:ascii="Traditional Arabic" w:eastAsia="Aptos" w:hAnsi="Traditional Arabic" w:cs="Traditional Arabic"/>
          <w:kern w:val="2"/>
          <w:sz w:val="24"/>
          <w:szCs w:val="24"/>
          <w:rtl/>
          <w14:ligatures w14:val="standardContextual"/>
        </w:rPr>
        <w:t>على أداة تشخيص/تقييم مركزية تُسمى</w:t>
      </w:r>
      <w:r w:rsidRPr="00362D29">
        <w:rPr>
          <w:rFonts w:ascii="Traditional Arabic" w:eastAsia="Aptos" w:hAnsi="Traditional Arabic" w:cs="Traditional Arabic"/>
          <w:kern w:val="2"/>
          <w:sz w:val="24"/>
          <w:szCs w:val="24"/>
          <w14:ligatures w14:val="standardContextual"/>
        </w:rPr>
        <w:t xml:space="preserve"> RADAR </w:t>
      </w:r>
      <w:r w:rsidRPr="00362D29">
        <w:rPr>
          <w:rFonts w:ascii="Traditional Arabic" w:eastAsia="Aptos" w:hAnsi="Traditional Arabic" w:cs="Traditional Arabic"/>
          <w:kern w:val="2"/>
          <w:sz w:val="24"/>
          <w:szCs w:val="24"/>
          <w:rtl/>
          <w14:ligatures w14:val="standardContextual"/>
        </w:rPr>
        <w:t>تُستخدم لتقييم “التوجه والتنفيذ” وكذلك “النتائج”، بما يضمن أن التقييم لا يقتصر على وجود ممارسات مكتوبة، بل يمتد إلى جودة تطبيقها واتساقها ونتائجها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1FB84408" w14:textId="77777777" w:rsidR="00216C7C" w:rsidRDefault="00216C7C" w:rsidP="00216C7C">
      <w:pPr>
        <w:bidi/>
        <w:spacing w:before="0" w:after="160" w:line="360" w:lineRule="auto"/>
        <w:rPr>
          <w:rFonts w:ascii="Traditional Arabic" w:eastAsia="Aptos" w:hAnsi="Traditional Arabic" w:cs="Traditional Arabic"/>
          <w:kern w:val="2"/>
          <w:sz w:val="24"/>
          <w:szCs w:val="24"/>
          <w:rtl/>
          <w14:ligatures w14:val="standardContextual"/>
        </w:rPr>
      </w:pPr>
    </w:p>
    <w:p w14:paraId="2D97CE7D" w14:textId="77777777" w:rsidR="00216C7C" w:rsidRPr="00362D29" w:rsidRDefault="00216C7C" w:rsidP="00216C7C">
      <w:pPr>
        <w:bidi/>
        <w:spacing w:before="0" w:after="160" w:line="360" w:lineRule="auto"/>
        <w:rPr>
          <w:rFonts w:ascii="Traditional Arabic" w:eastAsia="Aptos" w:hAnsi="Traditional Arabic" w:cs="Traditional Arabic"/>
          <w:kern w:val="2"/>
          <w:sz w:val="24"/>
          <w:szCs w:val="24"/>
          <w:rtl/>
          <w14:ligatures w14:val="standardContextual"/>
        </w:rPr>
      </w:pPr>
    </w:p>
    <w:p w14:paraId="1895D2A0" w14:textId="066177D7" w:rsidR="00DE262E" w:rsidRPr="00362D29" w:rsidRDefault="00DE262E" w:rsidP="00C42472">
      <w:pPr>
        <w:pStyle w:val="ab"/>
        <w:numPr>
          <w:ilvl w:val="0"/>
          <w:numId w:val="13"/>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مكوّنات</w:t>
      </w:r>
      <w:r w:rsidRPr="00362D29">
        <w:rPr>
          <w:rFonts w:ascii="Traditional Arabic" w:eastAsia="Aptos" w:hAnsi="Traditional Arabic" w:cs="Traditional Arabic"/>
          <w:b/>
          <w:bCs/>
          <w:kern w:val="2"/>
          <w:sz w:val="24"/>
          <w:szCs w:val="24"/>
          <w14:ligatures w14:val="standardContextual"/>
        </w:rPr>
        <w:t xml:space="preserve"> RADAR </w:t>
      </w:r>
      <w:r w:rsidRPr="00362D29">
        <w:rPr>
          <w:rFonts w:ascii="Traditional Arabic" w:eastAsia="Aptos" w:hAnsi="Traditional Arabic" w:cs="Traditional Arabic"/>
          <w:b/>
          <w:bCs/>
          <w:kern w:val="2"/>
          <w:sz w:val="24"/>
          <w:szCs w:val="24"/>
          <w:rtl/>
          <w14:ligatures w14:val="standardContextual"/>
        </w:rPr>
        <w:t>لتقييم “التوجه والتنفيذ</w:t>
      </w:r>
      <w:r w:rsidRPr="00362D29">
        <w:rPr>
          <w:rFonts w:ascii="Traditional Arabic" w:eastAsia="Aptos" w:hAnsi="Traditional Arabic" w:cs="Traditional Arabic"/>
          <w:b/>
          <w:bCs/>
          <w:kern w:val="2"/>
          <w:sz w:val="24"/>
          <w:szCs w:val="24"/>
          <w14:ligatures w14:val="standardContextual"/>
        </w:rPr>
        <w:t>”</w:t>
      </w:r>
    </w:p>
    <w:p w14:paraId="01BC5604" w14:textId="66FA137A" w:rsidR="00DE262E" w:rsidRPr="00362D29" w:rsidRDefault="00DE262E" w:rsidP="00362D29">
      <w:p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يُظهر الدليل </w:t>
      </w:r>
      <w:r w:rsidR="00FE3065" w:rsidRPr="00362D29">
        <w:rPr>
          <w:rFonts w:ascii="Traditional Arabic" w:eastAsia="Aptos" w:hAnsi="Traditional Arabic" w:cs="Traditional Arabic"/>
          <w:b/>
          <w:bCs/>
          <w:kern w:val="2"/>
          <w:sz w:val="24"/>
          <w:szCs w:val="24"/>
          <w:rtl/>
          <w14:ligatures w14:val="standardContextual"/>
        </w:rPr>
        <w:t>(</w:t>
      </w:r>
      <w:r w:rsidR="00FE3065" w:rsidRPr="00362D29">
        <w:rPr>
          <w:rFonts w:ascii="Traditional Arabic" w:eastAsia="Aptos" w:hAnsi="Traditional Arabic" w:cs="Traditional Arabic"/>
          <w:b/>
          <w:bCs/>
          <w:kern w:val="2"/>
          <w:sz w:val="24"/>
          <w:szCs w:val="24"/>
          <w14:ligatures w14:val="standardContextual"/>
        </w:rPr>
        <w:t>EFQM, 2025</w:t>
      </w:r>
      <w:r w:rsidR="00FE3065"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أن</w:t>
      </w:r>
      <w:r w:rsidRPr="00362D29">
        <w:rPr>
          <w:rFonts w:ascii="Traditional Arabic" w:eastAsia="Aptos" w:hAnsi="Traditional Arabic" w:cs="Traditional Arabic"/>
          <w:b/>
          <w:bCs/>
          <w:kern w:val="2"/>
          <w:sz w:val="24"/>
          <w:szCs w:val="24"/>
          <w14:ligatures w14:val="standardContextual"/>
        </w:rPr>
        <w:t xml:space="preserve"> RADAR </w:t>
      </w:r>
      <w:r w:rsidRPr="00362D29">
        <w:rPr>
          <w:rFonts w:ascii="Traditional Arabic" w:eastAsia="Aptos" w:hAnsi="Traditional Arabic" w:cs="Traditional Arabic"/>
          <w:b/>
          <w:bCs/>
          <w:kern w:val="2"/>
          <w:sz w:val="24"/>
          <w:szCs w:val="24"/>
          <w:rtl/>
          <w14:ligatures w14:val="standardContextual"/>
        </w:rPr>
        <w:t>يقيس التوجه والتنفيذ عبر عناصر مترابطة، أبرزها</w:t>
      </w:r>
      <w:r w:rsidRPr="00362D29">
        <w:rPr>
          <w:rFonts w:ascii="Traditional Arabic" w:eastAsia="Aptos" w:hAnsi="Traditional Arabic" w:cs="Traditional Arabic"/>
          <w:b/>
          <w:bCs/>
          <w:kern w:val="2"/>
          <w:sz w:val="24"/>
          <w:szCs w:val="24"/>
          <w14:ligatures w14:val="standardContextual"/>
        </w:rPr>
        <w:t>:</w:t>
      </w:r>
    </w:p>
    <w:p w14:paraId="7BB3123C" w14:textId="1D91ABCE" w:rsidR="00DE262E" w:rsidRPr="00362D29" w:rsidRDefault="00DE262E" w:rsidP="00C42472">
      <w:pPr>
        <w:pStyle w:val="ab"/>
        <w:numPr>
          <w:ilvl w:val="0"/>
          <w:numId w:val="14"/>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المنهج</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(Approach) </w:t>
      </w:r>
      <w:r w:rsidRPr="00362D29">
        <w:rPr>
          <w:rFonts w:ascii="Traditional Arabic" w:eastAsia="Aptos" w:hAnsi="Traditional Arabic" w:cs="Traditional Arabic"/>
          <w:kern w:val="2"/>
          <w:sz w:val="24"/>
          <w:szCs w:val="24"/>
          <w:rtl/>
          <w14:ligatures w14:val="standardContextual"/>
        </w:rPr>
        <w:t>وجود نهج منطقي واضح يستجيب لاحتياجات المعنيين ويستشرف المتطلبات المستقبلية</w:t>
      </w:r>
      <w:r w:rsidRPr="00362D29">
        <w:rPr>
          <w:rFonts w:ascii="Traditional Arabic" w:eastAsia="Aptos" w:hAnsi="Traditional Arabic" w:cs="Traditional Arabic"/>
          <w:kern w:val="2"/>
          <w:sz w:val="24"/>
          <w:szCs w:val="24"/>
          <w14:ligatures w14:val="standardContextual"/>
        </w:rPr>
        <w:t>.</w:t>
      </w:r>
    </w:p>
    <w:p w14:paraId="75EF2D32" w14:textId="4CFCF048" w:rsidR="00DE262E" w:rsidRPr="00362D29" w:rsidRDefault="00DE262E" w:rsidP="00C42472">
      <w:pPr>
        <w:pStyle w:val="ab"/>
        <w:numPr>
          <w:ilvl w:val="0"/>
          <w:numId w:val="14"/>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التطبيق/التنفيذ</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(Deployment) </w:t>
      </w:r>
      <w:r w:rsidRPr="00362D29">
        <w:rPr>
          <w:rFonts w:ascii="Traditional Arabic" w:eastAsia="Aptos" w:hAnsi="Traditional Arabic" w:cs="Traditional Arabic"/>
          <w:kern w:val="2"/>
          <w:sz w:val="24"/>
          <w:szCs w:val="24"/>
          <w:rtl/>
          <w14:ligatures w14:val="standardContextual"/>
        </w:rPr>
        <w:t>تطبيق النهج بشكل مناسب ومستمر وفي النواحي ذات الصلة</w:t>
      </w:r>
      <w:r w:rsidRPr="00362D29">
        <w:rPr>
          <w:rFonts w:ascii="Traditional Arabic" w:eastAsia="Aptos" w:hAnsi="Traditional Arabic" w:cs="Traditional Arabic"/>
          <w:kern w:val="2"/>
          <w:sz w:val="24"/>
          <w:szCs w:val="24"/>
          <w14:ligatures w14:val="standardContextual"/>
        </w:rPr>
        <w:t>.</w:t>
      </w:r>
    </w:p>
    <w:p w14:paraId="3D779522" w14:textId="342E3609" w:rsidR="00DE262E" w:rsidRPr="00362D29" w:rsidRDefault="00DE262E" w:rsidP="00C42472">
      <w:pPr>
        <w:pStyle w:val="ab"/>
        <w:numPr>
          <w:ilvl w:val="0"/>
          <w:numId w:val="14"/>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المرونة</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(Agility/Flexibility) </w:t>
      </w:r>
      <w:r w:rsidRPr="00362D29">
        <w:rPr>
          <w:rFonts w:ascii="Traditional Arabic" w:eastAsia="Aptos" w:hAnsi="Traditional Arabic" w:cs="Traditional Arabic"/>
          <w:kern w:val="2"/>
          <w:sz w:val="24"/>
          <w:szCs w:val="24"/>
          <w:rtl/>
          <w14:ligatures w14:val="standardContextual"/>
        </w:rPr>
        <w:t>قابلية التكيف مع المتغيرات</w:t>
      </w:r>
      <w:r w:rsidRPr="00362D29">
        <w:rPr>
          <w:rFonts w:ascii="Traditional Arabic" w:eastAsia="Aptos" w:hAnsi="Traditional Arabic" w:cs="Traditional Arabic"/>
          <w:kern w:val="2"/>
          <w:sz w:val="24"/>
          <w:szCs w:val="24"/>
          <w14:ligatures w14:val="standardContextual"/>
        </w:rPr>
        <w:t>.</w:t>
      </w:r>
    </w:p>
    <w:p w14:paraId="6962E0A4" w14:textId="0AD20570" w:rsidR="007B0D2B" w:rsidRPr="00362D29" w:rsidRDefault="00DE262E" w:rsidP="00C42472">
      <w:pPr>
        <w:pStyle w:val="ab"/>
        <w:numPr>
          <w:ilvl w:val="0"/>
          <w:numId w:val="1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التقويم والتحسين (</w:t>
      </w:r>
      <w:r w:rsidRPr="00362D29">
        <w:rPr>
          <w:rFonts w:ascii="Traditional Arabic" w:eastAsia="Aptos" w:hAnsi="Traditional Arabic" w:cs="Traditional Arabic"/>
          <w:kern w:val="2"/>
          <w:sz w:val="24"/>
          <w:szCs w:val="24"/>
          <w14:ligatures w14:val="standardContextual"/>
        </w:rPr>
        <w:t>Assessment &amp; Refinement</w:t>
      </w:r>
      <w:r w:rsidRPr="00362D29">
        <w:rPr>
          <w:rFonts w:ascii="Traditional Arabic" w:eastAsia="Aptos" w:hAnsi="Traditional Arabic" w:cs="Traditional Arabic"/>
          <w:kern w:val="2"/>
          <w:sz w:val="24"/>
          <w:szCs w:val="24"/>
          <w:rtl/>
          <w14:ligatures w14:val="standardContextual"/>
        </w:rPr>
        <w:t>): جمع التغذية الراجعة الداخلية والخارجية وفهمها وتحويلها إلى تعلم وتحسين ونشر للممارسات المحسنة</w:t>
      </w:r>
      <w:r w:rsidR="00FE3065" w:rsidRPr="00362D29">
        <w:rPr>
          <w:rFonts w:ascii="Traditional Arabic" w:eastAsia="Aptos" w:hAnsi="Traditional Arabic" w:cs="Traditional Arabic"/>
          <w:kern w:val="2"/>
          <w:sz w:val="24"/>
          <w:szCs w:val="24"/>
          <w:rtl/>
          <w14:ligatures w14:val="standardContextual"/>
        </w:rPr>
        <w:t>.</w:t>
      </w:r>
    </w:p>
    <w:p w14:paraId="5E213ED9" w14:textId="326F0D6D" w:rsidR="00974166" w:rsidRPr="00362D29" w:rsidRDefault="0066559F" w:rsidP="00362D29">
      <w:pPr>
        <w:bidi/>
        <w:spacing w:after="200" w:line="360" w:lineRule="auto"/>
        <w:rPr>
          <w:rFonts w:ascii="Traditional Arabic" w:eastAsia="Calibri" w:hAnsi="Traditional Arabic" w:cs="Traditional Arabic"/>
          <w:b/>
          <w:bCs/>
          <w:color w:val="0070C0"/>
          <w:sz w:val="32"/>
          <w:szCs w:val="32"/>
        </w:rPr>
      </w:pPr>
      <w:proofErr w:type="gramStart"/>
      <w:r w:rsidRPr="00362D29">
        <w:rPr>
          <w:rFonts w:ascii="Traditional Arabic" w:eastAsia="Calibri" w:hAnsi="Traditional Arabic" w:cs="Traditional Arabic"/>
          <w:b/>
          <w:bCs/>
          <w:color w:val="0070C0"/>
          <w:sz w:val="32"/>
          <w:szCs w:val="32"/>
          <w:rtl/>
        </w:rPr>
        <w:t>ثانياً :</w:t>
      </w:r>
      <w:proofErr w:type="gramEnd"/>
      <w:r w:rsidRPr="00362D29">
        <w:rPr>
          <w:rFonts w:ascii="Traditional Arabic" w:eastAsia="Calibri" w:hAnsi="Traditional Arabic" w:cs="Traditional Arabic"/>
          <w:b/>
          <w:bCs/>
          <w:color w:val="0070C0"/>
          <w:sz w:val="32"/>
          <w:szCs w:val="32"/>
          <w:rtl/>
        </w:rPr>
        <w:t xml:space="preserve"> </w:t>
      </w:r>
      <w:r w:rsidR="00974166" w:rsidRPr="00362D29">
        <w:rPr>
          <w:rFonts w:ascii="Traditional Arabic" w:eastAsia="Calibri" w:hAnsi="Traditional Arabic" w:cs="Traditional Arabic"/>
          <w:b/>
          <w:bCs/>
          <w:color w:val="0070C0"/>
          <w:sz w:val="32"/>
          <w:szCs w:val="32"/>
          <w:rtl/>
        </w:rPr>
        <w:t>النموذج الأمريكي للتميز (</w:t>
      </w:r>
      <w:r w:rsidR="00974166" w:rsidRPr="00362D29">
        <w:rPr>
          <w:rFonts w:ascii="Traditional Arabic" w:eastAsia="Calibri" w:hAnsi="Traditional Arabic" w:cs="Traditional Arabic"/>
          <w:b/>
          <w:bCs/>
          <w:color w:val="0070C0"/>
          <w:sz w:val="32"/>
          <w:szCs w:val="32"/>
        </w:rPr>
        <w:t>Baldrige</w:t>
      </w:r>
      <w:r w:rsidR="00974166" w:rsidRPr="00362D29">
        <w:rPr>
          <w:rFonts w:ascii="Traditional Arabic" w:eastAsia="Calibri" w:hAnsi="Traditional Arabic" w:cs="Traditional Arabic"/>
          <w:b/>
          <w:bCs/>
          <w:color w:val="0070C0"/>
          <w:sz w:val="32"/>
          <w:szCs w:val="32"/>
          <w:rtl/>
        </w:rPr>
        <w:t xml:space="preserve">) </w:t>
      </w:r>
    </w:p>
    <w:p w14:paraId="3C74FEAC" w14:textId="66B37C11" w:rsidR="00974166" w:rsidRPr="00362D29" w:rsidRDefault="00974166" w:rsidP="00C42472">
      <w:pPr>
        <w:pStyle w:val="ab"/>
        <w:numPr>
          <w:ilvl w:val="0"/>
          <w:numId w:val="12"/>
        </w:numPr>
        <w:bidi/>
        <w:spacing w:after="0" w:line="360" w:lineRule="auto"/>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التعريف والمفهوم</w:t>
      </w:r>
    </w:p>
    <w:p w14:paraId="6F5ADF47" w14:textId="7E7FC4BD" w:rsidR="00974166" w:rsidRPr="00362D29" w:rsidRDefault="007679DA"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نموذج بالدريج للتميز (</w:t>
      </w:r>
      <w:r w:rsidRPr="00362D29">
        <w:rPr>
          <w:rFonts w:ascii="Traditional Arabic" w:eastAsia="Times New Roman" w:hAnsi="Traditional Arabic" w:cs="Traditional Arabic"/>
          <w:sz w:val="24"/>
          <w:szCs w:val="24"/>
        </w:rPr>
        <w:t>Baldrige Excellence Framework</w:t>
      </w:r>
      <w:r w:rsidRPr="00362D29">
        <w:rPr>
          <w:rFonts w:ascii="Traditional Arabic" w:eastAsia="Times New Roman" w:hAnsi="Traditional Arabic" w:cs="Traditional Arabic"/>
          <w:sz w:val="24"/>
          <w:szCs w:val="24"/>
          <w:rtl/>
        </w:rPr>
        <w:t>) الإطار الاستراتيجي الشامل المعتمد في الولايات المتحدة الأمريكية لتحسين الأداء المؤسسي. وقد تأسس هذا النموذج بموجب قانون الكونجرس الأمريكي في عام 1987، ويديره المعهد الوطني للمعايير والتقنية (</w:t>
      </w:r>
      <w:r w:rsidRPr="00362D29">
        <w:rPr>
          <w:rFonts w:ascii="Traditional Arabic" w:eastAsia="Times New Roman" w:hAnsi="Traditional Arabic" w:cs="Traditional Arabic"/>
          <w:sz w:val="24"/>
          <w:szCs w:val="24"/>
        </w:rPr>
        <w:t>NIST</w:t>
      </w:r>
      <w:r w:rsidRPr="00362D29">
        <w:rPr>
          <w:rFonts w:ascii="Traditional Arabic" w:eastAsia="Times New Roman" w:hAnsi="Traditional Arabic" w:cs="Traditional Arabic"/>
          <w:sz w:val="24"/>
          <w:szCs w:val="24"/>
          <w:rtl/>
        </w:rPr>
        <w:t>) التابع لوزارة التجارة الأمريكية (</w:t>
      </w:r>
      <w:r w:rsidRPr="00362D29">
        <w:rPr>
          <w:rFonts w:ascii="Traditional Arabic" w:eastAsia="Times New Roman" w:hAnsi="Traditional Arabic" w:cs="Traditional Arabic"/>
          <w:sz w:val="24"/>
          <w:szCs w:val="24"/>
        </w:rPr>
        <w:t>NIST, 2024</w:t>
      </w:r>
      <w:r w:rsidRPr="00362D29">
        <w:rPr>
          <w:rFonts w:ascii="Traditional Arabic" w:eastAsia="Times New Roman" w:hAnsi="Traditional Arabic" w:cs="Traditional Arabic"/>
          <w:sz w:val="24"/>
          <w:szCs w:val="24"/>
          <w:rtl/>
        </w:rPr>
        <w:t>). ويهدف النموذج إلى تعزيز القدرة التنافسية والابتكار وتحقيق نتائج مستدامة</w:t>
      </w:r>
      <w:r w:rsidR="00101D80" w:rsidRPr="00362D29">
        <w:rPr>
          <w:rFonts w:ascii="Traditional Arabic" w:eastAsia="Times New Roman" w:hAnsi="Traditional Arabic" w:cs="Traditional Arabic"/>
          <w:sz w:val="24"/>
          <w:szCs w:val="24"/>
          <w:rtl/>
        </w:rPr>
        <w:t xml:space="preserve"> </w:t>
      </w:r>
      <w:r w:rsidR="00974166" w:rsidRPr="00362D29">
        <w:rPr>
          <w:rFonts w:ascii="Traditional Arabic" w:eastAsia="Times New Roman" w:hAnsi="Traditional Arabic" w:cs="Traditional Arabic"/>
          <w:sz w:val="24"/>
          <w:szCs w:val="24"/>
          <w:rtl/>
        </w:rPr>
        <w:t>(سليمان وشاهين، 2024).</w:t>
      </w:r>
    </w:p>
    <w:p w14:paraId="21E63FEF" w14:textId="77777777" w:rsidR="00275233"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ويقوم المفهوم الجوهري لنموذج بالدريج على فلسفة "النظام المتكامل"، حيث يتم النظر إلى المؤسسة ككيان واحد تترابط أجزاؤه لتحقيق القيمة. وتؤكد دراسة (</w:t>
      </w:r>
      <w:r w:rsidRPr="00362D29">
        <w:rPr>
          <w:rFonts w:ascii="Traditional Arabic" w:eastAsia="Times New Roman" w:hAnsi="Traditional Arabic" w:cs="Traditional Arabic"/>
          <w:sz w:val="24"/>
          <w:szCs w:val="24"/>
        </w:rPr>
        <w:t>Alanazi, 2017</w:t>
      </w:r>
      <w:r w:rsidRPr="00362D29">
        <w:rPr>
          <w:rFonts w:ascii="Traditional Arabic" w:eastAsia="Times New Roman" w:hAnsi="Traditional Arabic" w:cs="Traditional Arabic"/>
          <w:sz w:val="24"/>
          <w:szCs w:val="24"/>
          <w:rtl/>
        </w:rPr>
        <w:t>) أن هذا النموذج يعد أحد الأطر المرجعية العالمية التي ألهمت العديد من النماذج الوطنية الأخرى، مع ضرورة تكييفه مع الخصوصية الثقافية لكل دولة</w:t>
      </w:r>
    </w:p>
    <w:p w14:paraId="5950C951" w14:textId="008C5003" w:rsidR="00974166" w:rsidRPr="00362D29" w:rsidRDefault="00974166" w:rsidP="00C42472">
      <w:pPr>
        <w:pStyle w:val="ab"/>
        <w:numPr>
          <w:ilvl w:val="0"/>
          <w:numId w:val="12"/>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المكونات والهيكل</w:t>
      </w:r>
    </w:p>
    <w:p w14:paraId="0B48202A"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يتكون هيكل نموذج بالدريج من سبع فئات مترابطة تشكل نظاماً إدارياً متكاملاً، وتتمثل في:</w:t>
      </w:r>
    </w:p>
    <w:p w14:paraId="6906A8C6"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1.القيادة (</w:t>
      </w:r>
      <w:r w:rsidRPr="00362D29">
        <w:rPr>
          <w:rFonts w:ascii="Traditional Arabic" w:eastAsia="Times New Roman" w:hAnsi="Traditional Arabic" w:cs="Traditional Arabic"/>
          <w:b/>
          <w:bCs/>
          <w:sz w:val="24"/>
          <w:szCs w:val="24"/>
        </w:rPr>
        <w:t>Leadership</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تركز على كيفية قيادة الإدارة العليا للمؤسسة، وهو ما يدعمه (البلوي وإسماعيل، 2025) بتأكيدهم أن التزام الإدارة العليا هو العامل الحاسم في تحقيق التميز المؤسسي المستدام.</w:t>
      </w:r>
    </w:p>
    <w:p w14:paraId="3F8592A4"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2.الاستراتيجية (</w:t>
      </w:r>
      <w:r w:rsidRPr="00362D29">
        <w:rPr>
          <w:rFonts w:ascii="Traditional Arabic" w:eastAsia="Times New Roman" w:hAnsi="Traditional Arabic" w:cs="Traditional Arabic"/>
          <w:b/>
          <w:bCs/>
          <w:sz w:val="24"/>
          <w:szCs w:val="24"/>
        </w:rPr>
        <w:t>Strategy</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تهتم بكيفية وضع الأهداف الاستراتيجية، حيث أشار (الغامدي، 2024) إلى أن الإدارة الاستراتيجية الإبداعية ترتبط طردياً بتميز المستشفيات.</w:t>
      </w:r>
    </w:p>
    <w:p w14:paraId="025767D6"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3.المستفيدون (</w:t>
      </w:r>
      <w:r w:rsidRPr="00362D29">
        <w:rPr>
          <w:rFonts w:ascii="Traditional Arabic" w:eastAsia="Times New Roman" w:hAnsi="Traditional Arabic" w:cs="Traditional Arabic"/>
          <w:b/>
          <w:bCs/>
          <w:sz w:val="24"/>
          <w:szCs w:val="24"/>
        </w:rPr>
        <w:t>Customers/Patients</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تركز على بناء علاقات قوية مع المرضى وفهم متطلباتهم، وهو ما أكدته دراسة (</w:t>
      </w:r>
      <w:r w:rsidRPr="00362D29">
        <w:rPr>
          <w:rFonts w:ascii="Traditional Arabic" w:eastAsia="Times New Roman" w:hAnsi="Traditional Arabic" w:cs="Traditional Arabic"/>
          <w:sz w:val="24"/>
          <w:szCs w:val="24"/>
        </w:rPr>
        <w:t>Kamal, 2023</w:t>
      </w:r>
      <w:r w:rsidRPr="00362D29">
        <w:rPr>
          <w:rFonts w:ascii="Traditional Arabic" w:eastAsia="Times New Roman" w:hAnsi="Traditional Arabic" w:cs="Traditional Arabic"/>
          <w:sz w:val="24"/>
          <w:szCs w:val="24"/>
          <w:rtl/>
        </w:rPr>
        <w:t>) من أن التركيز على المستفيد يؤدي لتحسن مباشر في رضا المرضى.</w:t>
      </w:r>
    </w:p>
    <w:p w14:paraId="6E373071" w14:textId="6A817CD8"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4.القياس والتحليل وإدارة المعرفة (</w:t>
      </w:r>
      <w:r w:rsidRPr="00362D29">
        <w:rPr>
          <w:rFonts w:ascii="Traditional Arabic" w:eastAsia="Times New Roman" w:hAnsi="Traditional Arabic" w:cs="Traditional Arabic"/>
          <w:b/>
          <w:bCs/>
          <w:sz w:val="24"/>
          <w:szCs w:val="24"/>
        </w:rPr>
        <w:t>Measurement, Analysis, and Knowledge Management</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تُعد "عقل" النظام، حيث تهتم باستخدام البيانات لدعم اتخاذ القرار (</w:t>
      </w:r>
      <w:r w:rsidRPr="00362D29">
        <w:rPr>
          <w:rFonts w:ascii="Traditional Arabic" w:eastAsia="Times New Roman" w:hAnsi="Traditional Arabic" w:cs="Traditional Arabic"/>
          <w:sz w:val="24"/>
          <w:szCs w:val="24"/>
        </w:rPr>
        <w:t>Salih</w:t>
      </w:r>
      <w:r w:rsidR="00B50DED" w:rsidRPr="00362D29">
        <w:rPr>
          <w:rFonts w:ascii="Traditional Arabic" w:eastAsia="Times New Roman" w:hAnsi="Traditional Arabic" w:cs="Traditional Arabic"/>
          <w:sz w:val="24"/>
          <w:szCs w:val="24"/>
        </w:rPr>
        <w:t>, 2023</w:t>
      </w:r>
      <w:r w:rsidRPr="00362D29">
        <w:rPr>
          <w:rFonts w:ascii="Traditional Arabic" w:eastAsia="Times New Roman" w:hAnsi="Traditional Arabic" w:cs="Traditional Arabic"/>
          <w:sz w:val="24"/>
          <w:szCs w:val="24"/>
          <w:rtl/>
        </w:rPr>
        <w:t xml:space="preserve"> &amp; </w:t>
      </w:r>
      <w:r w:rsidRPr="00362D29">
        <w:rPr>
          <w:rFonts w:ascii="Traditional Arabic" w:eastAsia="Times New Roman" w:hAnsi="Traditional Arabic" w:cs="Traditional Arabic"/>
          <w:sz w:val="24"/>
          <w:szCs w:val="24"/>
        </w:rPr>
        <w:t>Dolah</w:t>
      </w:r>
      <w:r w:rsidRPr="00362D29">
        <w:rPr>
          <w:rFonts w:ascii="Traditional Arabic" w:eastAsia="Times New Roman" w:hAnsi="Traditional Arabic" w:cs="Traditional Arabic"/>
          <w:sz w:val="24"/>
          <w:szCs w:val="24"/>
          <w:rtl/>
        </w:rPr>
        <w:t>).</w:t>
      </w:r>
    </w:p>
    <w:p w14:paraId="564A45A1"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5.القوى العاملة (</w:t>
      </w:r>
      <w:r w:rsidRPr="00362D29">
        <w:rPr>
          <w:rFonts w:ascii="Traditional Arabic" w:eastAsia="Times New Roman" w:hAnsi="Traditional Arabic" w:cs="Traditional Arabic"/>
          <w:b/>
          <w:bCs/>
          <w:sz w:val="24"/>
          <w:szCs w:val="24"/>
        </w:rPr>
        <w:t>Workforce</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تركز على تمكين الموظفين وبناء بيئة عمل محفزة، وهو ما يتفق مع دراسة (سلمان وآخرون، 2025) حول دور تمكين العاملين في تعزيز التميز.</w:t>
      </w:r>
    </w:p>
    <w:p w14:paraId="7A5E1584"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6.العمليات (</w:t>
      </w:r>
      <w:r w:rsidRPr="00362D29">
        <w:rPr>
          <w:rFonts w:ascii="Traditional Arabic" w:eastAsia="Times New Roman" w:hAnsi="Traditional Arabic" w:cs="Traditional Arabic"/>
          <w:b/>
          <w:bCs/>
          <w:sz w:val="24"/>
          <w:szCs w:val="24"/>
        </w:rPr>
        <w:t>Operations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تهتم بتصميم وإدارة وتحسين العمليات التشغيلية لتقديم قيمة مستدامة (سليمان وشاهين، 2024).</w:t>
      </w:r>
    </w:p>
    <w:p w14:paraId="499CE9FF" w14:textId="77777777" w:rsidR="002656BE"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7.النتائج (</w:t>
      </w:r>
      <w:r w:rsidRPr="00362D29">
        <w:rPr>
          <w:rFonts w:ascii="Traditional Arabic" w:eastAsia="Times New Roman" w:hAnsi="Traditional Arabic" w:cs="Traditional Arabic"/>
          <w:b/>
          <w:bCs/>
          <w:sz w:val="24"/>
          <w:szCs w:val="24"/>
        </w:rPr>
        <w:t>Results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تقيس مخرجات المؤسسة في كافة المجالات، وهو ما ركزت عليه دراسة (</w:t>
      </w:r>
      <w:r w:rsidRPr="00362D29">
        <w:rPr>
          <w:rFonts w:ascii="Traditional Arabic" w:eastAsia="Times New Roman" w:hAnsi="Traditional Arabic" w:cs="Traditional Arabic"/>
          <w:sz w:val="24"/>
          <w:szCs w:val="24"/>
        </w:rPr>
        <w:t>Mohamed et al., 2018</w:t>
      </w:r>
      <w:r w:rsidRPr="00362D29">
        <w:rPr>
          <w:rFonts w:ascii="Traditional Arabic" w:eastAsia="Times New Roman" w:hAnsi="Traditional Arabic" w:cs="Traditional Arabic"/>
          <w:sz w:val="24"/>
          <w:szCs w:val="24"/>
          <w:rtl/>
        </w:rPr>
        <w:t>) بربط التميز بالإنتاجية التنظيمية.</w:t>
      </w:r>
    </w:p>
    <w:p w14:paraId="3429983E" w14:textId="7C260ED8" w:rsidR="00974166" w:rsidRPr="00362D29" w:rsidRDefault="00974166" w:rsidP="00C42472">
      <w:pPr>
        <w:pStyle w:val="ab"/>
        <w:numPr>
          <w:ilvl w:val="0"/>
          <w:numId w:val="12"/>
        </w:numPr>
        <w:bidi/>
        <w:spacing w:after="0" w:line="360" w:lineRule="auto"/>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أداة التقييم (منطق </w:t>
      </w:r>
      <w:r w:rsidRPr="00362D29">
        <w:rPr>
          <w:rFonts w:ascii="Traditional Arabic" w:eastAsia="Times New Roman" w:hAnsi="Traditional Arabic" w:cs="Traditional Arabic"/>
          <w:b/>
          <w:bCs/>
          <w:sz w:val="24"/>
          <w:szCs w:val="24"/>
        </w:rPr>
        <w:t>ADLI</w:t>
      </w:r>
      <w:r w:rsidRPr="00362D29">
        <w:rPr>
          <w:rFonts w:ascii="Traditional Arabic" w:eastAsia="Times New Roman" w:hAnsi="Traditional Arabic" w:cs="Traditional Arabic"/>
          <w:b/>
          <w:bCs/>
          <w:sz w:val="24"/>
          <w:szCs w:val="24"/>
          <w:rtl/>
        </w:rPr>
        <w:t>)</w:t>
      </w:r>
    </w:p>
    <w:p w14:paraId="3AC24D74" w14:textId="77777777" w:rsidR="00974166" w:rsidRPr="00362D29" w:rsidRDefault="00974166" w:rsidP="00362D29">
      <w:pPr>
        <w:bidi/>
        <w:spacing w:after="0" w:line="360" w:lineRule="auto"/>
        <w:ind w:left="360"/>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يستخدم نموذج بالدريج مصفوفة تقييم دقيقة تُعرف بـ (</w:t>
      </w:r>
      <w:r w:rsidRPr="00362D29">
        <w:rPr>
          <w:rFonts w:ascii="Traditional Arabic" w:eastAsia="Times New Roman" w:hAnsi="Traditional Arabic" w:cs="Traditional Arabic"/>
          <w:sz w:val="24"/>
          <w:szCs w:val="24"/>
        </w:rPr>
        <w:t>ADLI</w:t>
      </w:r>
      <w:r w:rsidRPr="00362D29">
        <w:rPr>
          <w:rFonts w:ascii="Traditional Arabic" w:eastAsia="Times New Roman" w:hAnsi="Traditional Arabic" w:cs="Traditional Arabic"/>
          <w:sz w:val="24"/>
          <w:szCs w:val="24"/>
          <w:rtl/>
        </w:rPr>
        <w:t>) لتقييم "العمليات"، وتتكون من:</w:t>
      </w:r>
    </w:p>
    <w:p w14:paraId="4B222731" w14:textId="5B146DED"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المنهج (</w:t>
      </w:r>
      <w:r w:rsidRPr="00362D29">
        <w:rPr>
          <w:rFonts w:ascii="Traditional Arabic" w:eastAsia="Times New Roman" w:hAnsi="Traditional Arabic" w:cs="Traditional Arabic"/>
          <w:b/>
          <w:bCs/>
          <w:sz w:val="24"/>
          <w:szCs w:val="24"/>
        </w:rPr>
        <w:t>Approach</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ملاءمة الأساليب المستخدمة.</w:t>
      </w:r>
    </w:p>
    <w:p w14:paraId="78466AA6" w14:textId="39CA07DF"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التطبيق (</w:t>
      </w:r>
      <w:r w:rsidRPr="00362D29">
        <w:rPr>
          <w:rFonts w:ascii="Traditional Arabic" w:eastAsia="Times New Roman" w:hAnsi="Traditional Arabic" w:cs="Traditional Arabic"/>
          <w:b/>
          <w:bCs/>
          <w:sz w:val="24"/>
          <w:szCs w:val="24"/>
        </w:rPr>
        <w:t>Deployment</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انتشار المنهج في كافة الوحدات التنظيمية.</w:t>
      </w:r>
    </w:p>
    <w:p w14:paraId="40765911" w14:textId="169CC9A2"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التعلم (</w:t>
      </w:r>
      <w:r w:rsidRPr="00362D29">
        <w:rPr>
          <w:rFonts w:ascii="Traditional Arabic" w:eastAsia="Times New Roman" w:hAnsi="Traditional Arabic" w:cs="Traditional Arabic"/>
          <w:b/>
          <w:bCs/>
          <w:sz w:val="24"/>
          <w:szCs w:val="24"/>
        </w:rPr>
        <w:t>Learning</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تقييم المنهج وتحسينه من خلال دورات الابتكار، وهو ما أكد (الرويلي، 2025) على كونه شرطاً أساسياً للتميز.</w:t>
      </w:r>
    </w:p>
    <w:p w14:paraId="1743B745" w14:textId="17F01A9B"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التكامل (</w:t>
      </w:r>
      <w:r w:rsidRPr="00362D29">
        <w:rPr>
          <w:rFonts w:ascii="Traditional Arabic" w:eastAsia="Times New Roman" w:hAnsi="Traditional Arabic" w:cs="Traditional Arabic"/>
          <w:b/>
          <w:bCs/>
          <w:sz w:val="24"/>
          <w:szCs w:val="24"/>
        </w:rPr>
        <w:t>Integration</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مواءمة المنهج مع الاحتياجات التنظيمية الحالية والمستقبلية.</w:t>
      </w:r>
    </w:p>
    <w:p w14:paraId="240B6AD7" w14:textId="32105C41" w:rsidR="00D02A7D"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وتؤكد دراسة (أحمد، 2025) أن تطبيق هذه المنهجيات في التقييم الذاتي يسهم في رفع مستوى الضبط الإداري وتحقيق التميز في مؤسسات الرعاية الصحية.</w:t>
      </w:r>
    </w:p>
    <w:p w14:paraId="1ECD7F49" w14:textId="1D4D52E9" w:rsidR="00132353" w:rsidRPr="00362D29" w:rsidRDefault="008C3AD7" w:rsidP="00362D29">
      <w:pPr>
        <w:bidi/>
        <w:spacing w:after="200" w:line="360" w:lineRule="auto"/>
        <w:rPr>
          <w:rFonts w:ascii="Traditional Arabic" w:eastAsia="Calibri" w:hAnsi="Traditional Arabic" w:cs="Traditional Arabic"/>
          <w:b/>
          <w:bCs/>
          <w:color w:val="0070C0"/>
          <w:sz w:val="32"/>
          <w:szCs w:val="32"/>
          <w:u w:val="single"/>
        </w:rPr>
      </w:pPr>
      <w:proofErr w:type="gramStart"/>
      <w:r w:rsidRPr="00362D29">
        <w:rPr>
          <w:rFonts w:ascii="Traditional Arabic" w:eastAsia="Calibri" w:hAnsi="Traditional Arabic" w:cs="Traditional Arabic"/>
          <w:b/>
          <w:bCs/>
          <w:color w:val="0070C0"/>
          <w:sz w:val="32"/>
          <w:szCs w:val="32"/>
          <w:u w:val="single"/>
          <w:rtl/>
        </w:rPr>
        <w:t>ثالثاً :</w:t>
      </w:r>
      <w:proofErr w:type="gramEnd"/>
      <w:r w:rsidRPr="00362D29">
        <w:rPr>
          <w:rFonts w:ascii="Traditional Arabic" w:eastAsia="Calibri" w:hAnsi="Traditional Arabic" w:cs="Traditional Arabic"/>
          <w:b/>
          <w:bCs/>
          <w:color w:val="0070C0"/>
          <w:sz w:val="32"/>
          <w:szCs w:val="32"/>
          <w:u w:val="single"/>
          <w:rtl/>
        </w:rPr>
        <w:t xml:space="preserve"> </w:t>
      </w:r>
      <w:r w:rsidR="00132353" w:rsidRPr="00362D29">
        <w:rPr>
          <w:rFonts w:ascii="Traditional Arabic" w:eastAsia="Calibri" w:hAnsi="Traditional Arabic" w:cs="Traditional Arabic"/>
          <w:b/>
          <w:bCs/>
          <w:color w:val="0070C0"/>
          <w:sz w:val="32"/>
          <w:szCs w:val="32"/>
          <w:u w:val="single"/>
          <w:rtl/>
        </w:rPr>
        <w:t xml:space="preserve">النموذج الياباني للتميز المؤسسي (جائزة ديمنج – </w:t>
      </w:r>
      <w:r w:rsidR="00132353" w:rsidRPr="00362D29">
        <w:rPr>
          <w:rFonts w:ascii="Traditional Arabic" w:eastAsia="Calibri" w:hAnsi="Traditional Arabic" w:cs="Traditional Arabic"/>
          <w:b/>
          <w:bCs/>
          <w:color w:val="0070C0"/>
          <w:sz w:val="32"/>
          <w:szCs w:val="32"/>
          <w:u w:val="single"/>
        </w:rPr>
        <w:t>(Deming Prize</w:t>
      </w:r>
    </w:p>
    <w:p w14:paraId="4C98D408"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التعريف والنشأة</w:t>
      </w:r>
    </w:p>
    <w:p w14:paraId="1E0B1FCF"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النموذج الياباني للتميز، والمعروف عالمياً بـ "جائزة ديمنج" (</w:t>
      </w:r>
      <w:r w:rsidRPr="00362D29">
        <w:rPr>
          <w:rFonts w:ascii="Traditional Arabic" w:eastAsia="Times New Roman" w:hAnsi="Traditional Arabic" w:cs="Traditional Arabic"/>
          <w:sz w:val="24"/>
          <w:szCs w:val="24"/>
        </w:rPr>
        <w:t>Deming Prize</w:t>
      </w:r>
      <w:r w:rsidRPr="00362D29">
        <w:rPr>
          <w:rFonts w:ascii="Traditional Arabic" w:eastAsia="Times New Roman" w:hAnsi="Traditional Arabic" w:cs="Traditional Arabic"/>
          <w:sz w:val="24"/>
          <w:szCs w:val="24"/>
          <w:rtl/>
        </w:rPr>
        <w:t>)، حجر الزاوية في تاريخ نماذج التميز المؤسسي وأقدمها على الإطلاق. تأسس هذا النموذج في عام 1951 من قبل الاتحاد الياباني للعلماء والمهندسين (</w:t>
      </w:r>
      <w:r w:rsidRPr="00362D29">
        <w:rPr>
          <w:rFonts w:ascii="Traditional Arabic" w:eastAsia="Times New Roman" w:hAnsi="Traditional Arabic" w:cs="Traditional Arabic"/>
          <w:sz w:val="24"/>
          <w:szCs w:val="24"/>
        </w:rPr>
        <w:t>JUSE</w:t>
      </w:r>
      <w:r w:rsidRPr="00362D29">
        <w:rPr>
          <w:rFonts w:ascii="Traditional Arabic" w:eastAsia="Times New Roman" w:hAnsi="Traditional Arabic" w:cs="Traditional Arabic"/>
          <w:sz w:val="24"/>
          <w:szCs w:val="24"/>
          <w:rtl/>
        </w:rPr>
        <w:t xml:space="preserve">) تكريماً لإسهامات "إدوارد ديمنج" </w:t>
      </w:r>
      <w:r w:rsidRPr="00362D29">
        <w:rPr>
          <w:rFonts w:ascii="Traditional Arabic" w:eastAsia="Times New Roman" w:hAnsi="Traditional Arabic" w:cs="Traditional Arabic"/>
          <w:sz w:val="24"/>
          <w:szCs w:val="24"/>
          <w:rtl/>
        </w:rPr>
        <w:lastRenderedPageBreak/>
        <w:t>في تطوير الصناعة اليابانية بعد الحرب العالمية الثانية. ويُعرف النموذج بأنه إطار تقييمي يمنح للمؤسسات التي تنجح في تطبيق مفاهيم إدارة الجودة الشاملة (</w:t>
      </w:r>
      <w:r w:rsidRPr="00362D29">
        <w:rPr>
          <w:rFonts w:ascii="Traditional Arabic" w:eastAsia="Times New Roman" w:hAnsi="Traditional Arabic" w:cs="Traditional Arabic"/>
          <w:sz w:val="24"/>
          <w:szCs w:val="24"/>
        </w:rPr>
        <w:t>TQM</w:t>
      </w:r>
      <w:r w:rsidRPr="00362D29">
        <w:rPr>
          <w:rFonts w:ascii="Traditional Arabic" w:eastAsia="Times New Roman" w:hAnsi="Traditional Arabic" w:cs="Traditional Arabic"/>
          <w:sz w:val="24"/>
          <w:szCs w:val="24"/>
          <w:rtl/>
        </w:rPr>
        <w:t>) بفاعلية وابتكار، مما يساهم في تحسين الأداء المؤسسي وتحقيق الاستدامة (الرويلي، 2025).</w:t>
      </w:r>
    </w:p>
    <w:p w14:paraId="2BD00711"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الفلسفة والمفهوم</w:t>
      </w:r>
    </w:p>
    <w:p w14:paraId="66ABD9DC"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تقوم فلسفة النموذج الياباني على مبدأ أن الجودة هي مسؤولية جماعية تبدأ من الإدارة العليا وتمتد لتشمل كافة العاملين في المؤسسة. ويتمحور المفهوم الجوهري للنموذج حول "التحسين المستمر" (</w:t>
      </w:r>
      <w:r w:rsidRPr="00362D29">
        <w:rPr>
          <w:rFonts w:ascii="Traditional Arabic" w:eastAsia="Times New Roman" w:hAnsi="Traditional Arabic" w:cs="Traditional Arabic"/>
          <w:sz w:val="24"/>
          <w:szCs w:val="24"/>
        </w:rPr>
        <w:t>Kaizen</w:t>
      </w:r>
      <w:r w:rsidRPr="00362D29">
        <w:rPr>
          <w:rFonts w:ascii="Traditional Arabic" w:eastAsia="Times New Roman" w:hAnsi="Traditional Arabic" w:cs="Traditional Arabic"/>
          <w:sz w:val="24"/>
          <w:szCs w:val="24"/>
          <w:rtl/>
        </w:rPr>
        <w:t>) كنهج دائم وليس مجرد إجراء مؤقت. وتؤكد الأدبيات (الرويلي، 2025) أن التطوير المستمر هو الشرط الأساسي الذي تتفق عليه كافة نماذج التميز العالمية، وهو ما جسده ديمنج في فلسفته التي تنبذ الاعتماد على الفحص النهائي وتدعو بدلاً من ذلك إلى الوقاية وبناء الجودة داخل العمليات منذ البداية.</w:t>
      </w:r>
    </w:p>
    <w:p w14:paraId="69D1C016"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مبادئ ديمنج الأربعة عشر (14 </w:t>
      </w:r>
      <w:r w:rsidRPr="00362D29">
        <w:rPr>
          <w:rFonts w:ascii="Traditional Arabic" w:eastAsia="Times New Roman" w:hAnsi="Traditional Arabic" w:cs="Traditional Arabic"/>
          <w:b/>
          <w:bCs/>
          <w:sz w:val="24"/>
          <w:szCs w:val="24"/>
        </w:rPr>
        <w:t>Principles</w:t>
      </w:r>
      <w:r w:rsidRPr="00362D29">
        <w:rPr>
          <w:rFonts w:ascii="Traditional Arabic" w:eastAsia="Times New Roman" w:hAnsi="Traditional Arabic" w:cs="Traditional Arabic"/>
          <w:b/>
          <w:bCs/>
          <w:sz w:val="24"/>
          <w:szCs w:val="24"/>
          <w:rtl/>
        </w:rPr>
        <w:t>)</w:t>
      </w:r>
    </w:p>
    <w:p w14:paraId="2EC2ECCD"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يرتكز النموذج الياباني على أربعة عشر مبدأً إدارياً تشكل الدعامة الفكرية للتميز، وهي كالتالي:</w:t>
      </w:r>
    </w:p>
    <w:p w14:paraId="07034207"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تحديد هدف ثابت ودائم للتحسين: لضمان استمرارية المؤسسة وتنافسيتها (البلوي وإسماعيل، 2025).</w:t>
      </w:r>
    </w:p>
    <w:p w14:paraId="2308B9F2"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تبني الفلسفة الجديدة للتميز: لمواجهة التحديات الاقتصادية والتحولات الإدارية الحديثة.</w:t>
      </w:r>
    </w:p>
    <w:p w14:paraId="20D2439F"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التوقف عن الاعتماد على الفحص الكلي: والتركيز على بناء الجودة داخل العمليات منذ البداية.</w:t>
      </w:r>
    </w:p>
    <w:p w14:paraId="3D78E1E9"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التوقف عن تقييم العمل بناءً على السعر فقط: وبناء علاقات طويلة الأمد مع الموردين على أساس الثقة والجودة.</w:t>
      </w:r>
    </w:p>
    <w:p w14:paraId="617F757E"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التحسين المستمر والدائم للنظام: في كل عملية من عمليات التخطيط والإنتاج والخدمة.</w:t>
      </w:r>
    </w:p>
    <w:p w14:paraId="71CB5868"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قواعد التدريب أثناء العمل: لرفع كفاءة العاملين وتوحيد لغة العمل (</w:t>
      </w:r>
      <w:r w:rsidRPr="00362D29">
        <w:rPr>
          <w:rFonts w:ascii="Traditional Arabic" w:eastAsia="Times New Roman" w:hAnsi="Traditional Arabic" w:cs="Traditional Arabic"/>
          <w:sz w:val="24"/>
          <w:szCs w:val="24"/>
        </w:rPr>
        <w:t>Barnawi, 2022</w:t>
      </w:r>
      <w:r w:rsidRPr="00362D29">
        <w:rPr>
          <w:rFonts w:ascii="Traditional Arabic" w:eastAsia="Times New Roman" w:hAnsi="Traditional Arabic" w:cs="Traditional Arabic"/>
          <w:sz w:val="24"/>
          <w:szCs w:val="24"/>
          <w:rtl/>
        </w:rPr>
        <w:t>).</w:t>
      </w:r>
    </w:p>
    <w:p w14:paraId="210B94BB"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القيادة الفعالة: التي تهدف لمساعدة الأفراد والمعدات على أداء عمل أفضل (سلمان وآخرون، 2025).</w:t>
      </w:r>
    </w:p>
    <w:p w14:paraId="545582A7"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القضاء على الخوف: لخلق بيئة عمل آمنة تسمح للجميع بالعمل بفاعلية لصالح المؤسسة.</w:t>
      </w:r>
    </w:p>
    <w:p w14:paraId="6F822DC3"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تحطيم الحواجز بين الإدارات: لتعزيز العمل الجماعي كفريق واحد لتحقيق أهداف المؤسسة (</w:t>
      </w:r>
      <w:r w:rsidRPr="00362D29">
        <w:rPr>
          <w:rFonts w:ascii="Traditional Arabic" w:eastAsia="Times New Roman" w:hAnsi="Traditional Arabic" w:cs="Traditional Arabic"/>
          <w:sz w:val="24"/>
          <w:szCs w:val="24"/>
        </w:rPr>
        <w:t>Zhao et al., 2023</w:t>
      </w:r>
      <w:r w:rsidRPr="00362D29">
        <w:rPr>
          <w:rFonts w:ascii="Traditional Arabic" w:eastAsia="Times New Roman" w:hAnsi="Traditional Arabic" w:cs="Traditional Arabic"/>
          <w:sz w:val="24"/>
          <w:szCs w:val="24"/>
          <w:rtl/>
        </w:rPr>
        <w:t>).</w:t>
      </w:r>
    </w:p>
    <w:p w14:paraId="70227DA9"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التخلص من الشعارات والمطالبات الجوفاء: التي تطالب بإنتاجية أعلى دون توفير الوسائل اللازمة لتحقيقها.</w:t>
      </w:r>
    </w:p>
    <w:p w14:paraId="763BA4EB"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التخلص من الحصص الرقمية (الأهداف الكمية): واستبدالها بالقيادة التي تركز على جودة العمليات.</w:t>
      </w:r>
    </w:p>
    <w:p w14:paraId="6932B432"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إزالة العوائق التي تحرم العاملين من حقهم في الاعتزاز بعملهم: وتقدير مساهماتهم الفردية والجماعية.</w:t>
      </w:r>
    </w:p>
    <w:p w14:paraId="5937C07F"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برنامج قوي للتعليم والتطوير الذاتي: لضمان نمو رأس المال البشري بشكل مستمر.</w:t>
      </w:r>
    </w:p>
    <w:p w14:paraId="4AE0BC46"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اتخاذ الإجراءات اللازمة لإنجاز التحول: بمشاركة جميع العاملين في المؤسسة لتحقيق التميز.</w:t>
      </w:r>
    </w:p>
    <w:p w14:paraId="2AA3B81A"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منهجية التحسين المستمر (دائرة </w:t>
      </w:r>
      <w:r w:rsidRPr="00362D29">
        <w:rPr>
          <w:rFonts w:ascii="Traditional Arabic" w:eastAsia="Times New Roman" w:hAnsi="Traditional Arabic" w:cs="Traditional Arabic"/>
          <w:b/>
          <w:bCs/>
          <w:sz w:val="24"/>
          <w:szCs w:val="24"/>
        </w:rPr>
        <w:t>PDCA</w:t>
      </w:r>
      <w:r w:rsidRPr="00362D29">
        <w:rPr>
          <w:rFonts w:ascii="Traditional Arabic" w:eastAsia="Times New Roman" w:hAnsi="Traditional Arabic" w:cs="Traditional Arabic"/>
          <w:b/>
          <w:bCs/>
          <w:sz w:val="24"/>
          <w:szCs w:val="24"/>
          <w:rtl/>
        </w:rPr>
        <w:t>)</w:t>
      </w:r>
    </w:p>
    <w:p w14:paraId="65DA7BC9"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تُعرف هذه المنهجية بـ "دائرة ديمنج " للتحسين المستمر، وتتكون من أربع مراحل دورية:</w:t>
      </w:r>
    </w:p>
    <w:p w14:paraId="09CBACA8"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التخطيط (</w:t>
      </w:r>
      <w:r w:rsidRPr="00362D29">
        <w:rPr>
          <w:rFonts w:ascii="Traditional Arabic" w:eastAsia="Times New Roman" w:hAnsi="Traditional Arabic" w:cs="Traditional Arabic"/>
          <w:sz w:val="24"/>
          <w:szCs w:val="24"/>
        </w:rPr>
        <w:t>Plan</w:t>
      </w:r>
      <w:r w:rsidRPr="00362D29">
        <w:rPr>
          <w:rFonts w:ascii="Traditional Arabic" w:eastAsia="Times New Roman" w:hAnsi="Traditional Arabic" w:cs="Traditional Arabic"/>
          <w:sz w:val="24"/>
          <w:szCs w:val="24"/>
          <w:rtl/>
        </w:rPr>
        <w:t>): تحديد الأهداف وتحليل البيانات للوصول إلى أسباب المشكلات.</w:t>
      </w:r>
    </w:p>
    <w:p w14:paraId="65AB6C51"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lastRenderedPageBreak/>
        <w:t>التنفيذ (</w:t>
      </w:r>
      <w:r w:rsidRPr="00362D29">
        <w:rPr>
          <w:rFonts w:ascii="Traditional Arabic" w:eastAsia="Times New Roman" w:hAnsi="Traditional Arabic" w:cs="Traditional Arabic"/>
          <w:sz w:val="24"/>
          <w:szCs w:val="24"/>
        </w:rPr>
        <w:t>Do</w:t>
      </w:r>
      <w:r w:rsidRPr="00362D29">
        <w:rPr>
          <w:rFonts w:ascii="Traditional Arabic" w:eastAsia="Times New Roman" w:hAnsi="Traditional Arabic" w:cs="Traditional Arabic"/>
          <w:sz w:val="24"/>
          <w:szCs w:val="24"/>
          <w:rtl/>
        </w:rPr>
        <w:t>): تطبيق الحلول المقترحة على نطاق تجريبي محدود.</w:t>
      </w:r>
    </w:p>
    <w:p w14:paraId="7C673D9B"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الفحص (</w:t>
      </w:r>
      <w:r w:rsidRPr="00362D29">
        <w:rPr>
          <w:rFonts w:ascii="Traditional Arabic" w:eastAsia="Times New Roman" w:hAnsi="Traditional Arabic" w:cs="Traditional Arabic"/>
          <w:sz w:val="24"/>
          <w:szCs w:val="24"/>
        </w:rPr>
        <w:t>Check</w:t>
      </w:r>
      <w:r w:rsidRPr="00362D29">
        <w:rPr>
          <w:rFonts w:ascii="Traditional Arabic" w:eastAsia="Times New Roman" w:hAnsi="Traditional Arabic" w:cs="Traditional Arabic"/>
          <w:sz w:val="24"/>
          <w:szCs w:val="24"/>
          <w:rtl/>
        </w:rPr>
        <w:t>): تقييم النتائج ومقارنتها بالأهداف الموضوعة باستخدام أدوات القياس (</w:t>
      </w:r>
      <w:r w:rsidRPr="00362D29">
        <w:rPr>
          <w:rFonts w:ascii="Traditional Arabic" w:eastAsia="Times New Roman" w:hAnsi="Traditional Arabic" w:cs="Traditional Arabic"/>
          <w:sz w:val="24"/>
          <w:szCs w:val="24"/>
        </w:rPr>
        <w:t>Kamal, 2023</w:t>
      </w:r>
      <w:r w:rsidRPr="00362D29">
        <w:rPr>
          <w:rFonts w:ascii="Traditional Arabic" w:eastAsia="Times New Roman" w:hAnsi="Traditional Arabic" w:cs="Traditional Arabic"/>
          <w:sz w:val="24"/>
          <w:szCs w:val="24"/>
          <w:rtl/>
        </w:rPr>
        <w:t>).</w:t>
      </w:r>
    </w:p>
    <w:p w14:paraId="1FB36FE0"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التصحيح/التعميم (</w:t>
      </w:r>
      <w:r w:rsidRPr="00362D29">
        <w:rPr>
          <w:rFonts w:ascii="Traditional Arabic" w:eastAsia="Times New Roman" w:hAnsi="Traditional Arabic" w:cs="Traditional Arabic"/>
          <w:sz w:val="24"/>
          <w:szCs w:val="24"/>
        </w:rPr>
        <w:t>Act</w:t>
      </w:r>
      <w:r w:rsidRPr="00362D29">
        <w:rPr>
          <w:rFonts w:ascii="Traditional Arabic" w:eastAsia="Times New Roman" w:hAnsi="Traditional Arabic" w:cs="Traditional Arabic"/>
          <w:sz w:val="24"/>
          <w:szCs w:val="24"/>
          <w:rtl/>
        </w:rPr>
        <w:t>): اعتماد الحلول الناجحة وتعميمها أو إعادة التخطيط للتحسين.</w:t>
      </w:r>
    </w:p>
    <w:p w14:paraId="41D7B4EC"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خامساً: معايير التقييم وأدواته</w:t>
      </w:r>
    </w:p>
    <w:p w14:paraId="0B44A5B1"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يعتمد النموذج الياباني في تقييمه على ثلاثة محاور رئيسية، يتم تقييم كل منها بمقياس يصل إلى 100 نقطة:</w:t>
      </w:r>
    </w:p>
    <w:p w14:paraId="6395369D" w14:textId="77777777" w:rsidR="00132353" w:rsidRPr="00362D29" w:rsidRDefault="00132353" w:rsidP="00C42472">
      <w:pPr>
        <w:numPr>
          <w:ilvl w:val="0"/>
          <w:numId w:val="2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دور الإدارة العليا: يقيس مدى فهم الإدارة لمبادئ الجودة الشاملة والتزامها بتطبيق السياسات والاستراتيجيات، وهو ما أكده (البلوي وإسماعيل، 2025) كعامل حاسم في استدامة التميز.</w:t>
      </w:r>
    </w:p>
    <w:p w14:paraId="6E5D1187" w14:textId="77777777" w:rsidR="00132353" w:rsidRPr="00362D29" w:rsidRDefault="00132353" w:rsidP="00C42472">
      <w:pPr>
        <w:numPr>
          <w:ilvl w:val="0"/>
          <w:numId w:val="2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العمليات الأساسية: تشمل تكامل العمليات، الابتكار في تقديم الخدمات، ومدى تأثر المؤسسة بالبيئة المحيطة (الغامدي، 2024).</w:t>
      </w:r>
    </w:p>
    <w:p w14:paraId="037668D9" w14:textId="77777777" w:rsidR="00132353" w:rsidRPr="00362D29" w:rsidRDefault="00132353" w:rsidP="00C42472">
      <w:pPr>
        <w:numPr>
          <w:ilvl w:val="0"/>
          <w:numId w:val="2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الأنشطة الاستثنائية: تركز على توظيف الأفكار المتميزة لتحقيق أفضل النتائج الممكنة.</w:t>
      </w:r>
    </w:p>
    <w:p w14:paraId="70A10999" w14:textId="77777777" w:rsidR="00132353" w:rsidRPr="00362D29" w:rsidRDefault="00132353" w:rsidP="00C42472">
      <w:pPr>
        <w:numPr>
          <w:ilvl w:val="0"/>
          <w:numId w:val="2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كما يركز النموذج على استخدام "الأدوات الإحصائية" لضبط الجودة، مثل (مخطط ايشيكاوا، مخطط باريتو، وخرائط المراقبة الإحصائية) لتحليل جذور المشكلات وضمان استقرار العمليات (أحمد، 2025).</w:t>
      </w:r>
    </w:p>
    <w:p w14:paraId="6CFA1855"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سادساً: نظام المعرفة العميقة (</w:t>
      </w:r>
      <w:r w:rsidRPr="00362D29">
        <w:rPr>
          <w:rFonts w:ascii="Traditional Arabic" w:eastAsia="Times New Roman" w:hAnsi="Traditional Arabic" w:cs="Traditional Arabic"/>
          <w:b/>
          <w:bCs/>
          <w:sz w:val="24"/>
          <w:szCs w:val="24"/>
        </w:rPr>
        <w:t>System of Profound Knowledge</w:t>
      </w:r>
      <w:r w:rsidRPr="00362D29">
        <w:rPr>
          <w:rFonts w:ascii="Traditional Arabic" w:eastAsia="Times New Roman" w:hAnsi="Traditional Arabic" w:cs="Traditional Arabic"/>
          <w:b/>
          <w:bCs/>
          <w:sz w:val="24"/>
          <w:szCs w:val="24"/>
          <w:rtl/>
        </w:rPr>
        <w:t>)</w:t>
      </w:r>
    </w:p>
    <w:p w14:paraId="5184687E" w14:textId="5572E309"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يمثل هذا النظام الركيزة الفكرية التي يجب أن يمتلكها المديرون لتحقيق التميز، ويتكون من </w:t>
      </w:r>
      <w:r w:rsidR="002F483E" w:rsidRPr="00362D29">
        <w:rPr>
          <w:rFonts w:ascii="Traditional Arabic" w:eastAsia="Times New Roman" w:hAnsi="Traditional Arabic" w:cs="Traditional Arabic"/>
          <w:sz w:val="24"/>
          <w:szCs w:val="24"/>
          <w:rtl/>
        </w:rPr>
        <w:t>أربع</w:t>
      </w:r>
      <w:r w:rsidRPr="00362D29">
        <w:rPr>
          <w:rFonts w:ascii="Traditional Arabic" w:eastAsia="Times New Roman" w:hAnsi="Traditional Arabic" w:cs="Traditional Arabic"/>
          <w:sz w:val="24"/>
          <w:szCs w:val="24"/>
          <w:rtl/>
        </w:rPr>
        <w:t xml:space="preserve"> مكونات مترابطة:</w:t>
      </w:r>
    </w:p>
    <w:p w14:paraId="5FA98E1A" w14:textId="77777777" w:rsidR="00132353" w:rsidRPr="00362D29"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فهم النظام: رؤية المؤسسة ككيان متكامل يهدف لتحقيق غرض مشترك (السياسي، 2024).</w:t>
      </w:r>
    </w:p>
    <w:p w14:paraId="06BD5D9B" w14:textId="77777777" w:rsidR="00132353" w:rsidRPr="00362D29"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فهم التباين: التمييز بين الأسباب العامة والخاصة للانحرافات للتعامل معها بذكاء علمي.</w:t>
      </w:r>
    </w:p>
    <w:p w14:paraId="29BCB4D6" w14:textId="77777777" w:rsidR="00132353" w:rsidRPr="00362D29"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نظرية المعرفة: اتخاذ القرارات بناءً على بيانات موثوقة وتجارب علمية بدلاً من السدح أو الرأي الشخصي.</w:t>
      </w:r>
    </w:p>
    <w:p w14:paraId="4772520E" w14:textId="77777777" w:rsidR="00132353" w:rsidRPr="00362D29"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علم النفس: فهم السلوك البشري لبناء بيئة عمل تشجع على التعاون والابتكار (سلمان وآخرون، 2025).</w:t>
      </w:r>
    </w:p>
    <w:p w14:paraId="07C2B489" w14:textId="5328EF02" w:rsidR="00132353" w:rsidRPr="00362D29" w:rsidRDefault="00D473CF" w:rsidP="00362D29">
      <w:pPr>
        <w:bidi/>
        <w:spacing w:after="200" w:line="360" w:lineRule="auto"/>
        <w:rPr>
          <w:rFonts w:ascii="Traditional Arabic" w:eastAsia="Calibri" w:hAnsi="Traditional Arabic" w:cs="Traditional Arabic"/>
          <w:b/>
          <w:bCs/>
          <w:color w:val="0070C0"/>
          <w:sz w:val="32"/>
          <w:szCs w:val="32"/>
          <w:rtl/>
        </w:rPr>
      </w:pPr>
      <w:proofErr w:type="gramStart"/>
      <w:r w:rsidRPr="00362D29">
        <w:rPr>
          <w:rFonts w:ascii="Traditional Arabic" w:eastAsia="Calibri" w:hAnsi="Traditional Arabic" w:cs="Traditional Arabic"/>
          <w:b/>
          <w:bCs/>
          <w:color w:val="0070C0"/>
          <w:sz w:val="32"/>
          <w:szCs w:val="32"/>
          <w:rtl/>
        </w:rPr>
        <w:t>رابعا :</w:t>
      </w:r>
      <w:proofErr w:type="gramEnd"/>
      <w:r w:rsidRPr="00362D29">
        <w:rPr>
          <w:rFonts w:ascii="Traditional Arabic" w:eastAsia="Calibri" w:hAnsi="Traditional Arabic" w:cs="Traditional Arabic"/>
          <w:b/>
          <w:bCs/>
          <w:color w:val="0070C0"/>
          <w:sz w:val="32"/>
          <w:szCs w:val="32"/>
          <w:rtl/>
        </w:rPr>
        <w:t xml:space="preserve"> </w:t>
      </w:r>
      <w:r w:rsidR="00E825F7" w:rsidRPr="00362D29">
        <w:rPr>
          <w:rFonts w:ascii="Traditional Arabic" w:eastAsia="Calibri" w:hAnsi="Traditional Arabic" w:cs="Traditional Arabic"/>
          <w:b/>
          <w:bCs/>
          <w:color w:val="0070C0"/>
          <w:sz w:val="32"/>
          <w:szCs w:val="32"/>
          <w:rtl/>
        </w:rPr>
        <w:t>النموذج الوطني السعودي للتميز المؤسسي (جائزة الملك عبد العزيز للجودة 2022)</w:t>
      </w:r>
    </w:p>
    <w:p w14:paraId="72CD5850" w14:textId="50352747" w:rsidR="0015367F"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النموذج الوطني السعودي للتميز المؤسسي، المتمثل في جائزة الملك عبد العزيز للجودة</w:t>
      </w:r>
      <w:r w:rsidR="001477E1" w:rsidRPr="00362D29">
        <w:rPr>
          <w:rFonts w:ascii="Traditional Arabic" w:eastAsia="Times New Roman" w:hAnsi="Traditional Arabic" w:cs="Traditional Arabic"/>
          <w:sz w:val="24"/>
          <w:szCs w:val="24"/>
          <w:rtl/>
        </w:rPr>
        <w:t xml:space="preserve"> -</w:t>
      </w:r>
      <w:r w:rsidR="00CC4555" w:rsidRPr="00362D29">
        <w:rPr>
          <w:rFonts w:ascii="Traditional Arabic" w:eastAsia="Times New Roman" w:hAnsi="Traditional Arabic" w:cs="Traditional Arabic"/>
          <w:sz w:val="24"/>
          <w:szCs w:val="24"/>
          <w:rtl/>
        </w:rPr>
        <w:t xml:space="preserve"> </w:t>
      </w:r>
      <w:r w:rsidR="00CC4555" w:rsidRPr="00362D29">
        <w:rPr>
          <w:rFonts w:ascii="Traditional Arabic" w:eastAsia="Times New Roman" w:hAnsi="Traditional Arabic" w:cs="Traditional Arabic"/>
          <w:sz w:val="24"/>
          <w:szCs w:val="24"/>
        </w:rPr>
        <w:t>King Abdulaziz Quality Award</w:t>
      </w:r>
      <w:r w:rsidRPr="00362D29">
        <w:rPr>
          <w:rFonts w:ascii="Traditional Arabic" w:eastAsia="Times New Roman" w:hAnsi="Traditional Arabic" w:cs="Traditional Arabic"/>
          <w:sz w:val="24"/>
          <w:szCs w:val="24"/>
          <w:rtl/>
        </w:rPr>
        <w:t xml:space="preserve"> (</w:t>
      </w:r>
      <w:r w:rsidRPr="00362D29">
        <w:rPr>
          <w:rFonts w:ascii="Traditional Arabic" w:eastAsia="Times New Roman" w:hAnsi="Traditional Arabic" w:cs="Traditional Arabic"/>
          <w:sz w:val="24"/>
          <w:szCs w:val="24"/>
        </w:rPr>
        <w:t>KAQA</w:t>
      </w:r>
      <w:r w:rsidRPr="00362D29">
        <w:rPr>
          <w:rFonts w:ascii="Traditional Arabic" w:eastAsia="Times New Roman" w:hAnsi="Traditional Arabic" w:cs="Traditional Arabic"/>
          <w:sz w:val="24"/>
          <w:szCs w:val="24"/>
          <w:rtl/>
        </w:rPr>
        <w:t>)، إطاراً وطنياً رائداً يهدف إلى تعزيز ثقافة التميز والجودة الشاملة في مختلف القطاعات بالمملكة العربية السعودية. ويحظى هذا النموذج بأهمية بالغة في رسالة الدكتوراة الحالية نظراً لكون مبادئه هي الأساس الذي تستند إليه الدراسة في قياس أثر التميز المؤسسي على جودة تجربة المريض.</w:t>
      </w:r>
    </w:p>
    <w:p w14:paraId="3EA488F5" w14:textId="77777777" w:rsidR="008976AF" w:rsidRPr="00362D29" w:rsidRDefault="008976AF" w:rsidP="008976AF">
      <w:pPr>
        <w:bidi/>
        <w:spacing w:before="0" w:after="0" w:line="360" w:lineRule="auto"/>
        <w:jc w:val="both"/>
        <w:rPr>
          <w:rFonts w:ascii="Traditional Arabic" w:eastAsia="Times New Roman" w:hAnsi="Traditional Arabic" w:cs="Traditional Arabic"/>
          <w:sz w:val="24"/>
          <w:szCs w:val="24"/>
          <w:rtl/>
        </w:rPr>
      </w:pPr>
    </w:p>
    <w:p w14:paraId="4AC1EE5F" w14:textId="77777777" w:rsidR="0015367F" w:rsidRPr="008976AF" w:rsidRDefault="0015367F" w:rsidP="00C42472">
      <w:pPr>
        <w:numPr>
          <w:ilvl w:val="0"/>
          <w:numId w:val="27"/>
        </w:numPr>
        <w:bidi/>
        <w:spacing w:before="0" w:after="0" w:line="360" w:lineRule="auto"/>
        <w:contextualSpacing/>
        <w:jc w:val="both"/>
        <w:rPr>
          <w:rFonts w:ascii="Traditional Arabic" w:eastAsia="Times New Roman" w:hAnsi="Traditional Arabic" w:cs="Traditional Arabic"/>
          <w:sz w:val="32"/>
          <w:szCs w:val="32"/>
          <w:rtl/>
        </w:rPr>
      </w:pPr>
      <w:r w:rsidRPr="008976AF">
        <w:rPr>
          <w:rFonts w:ascii="Traditional Arabic" w:eastAsia="Times New Roman" w:hAnsi="Traditional Arabic" w:cs="Traditional Arabic"/>
          <w:b/>
          <w:bCs/>
          <w:sz w:val="32"/>
          <w:szCs w:val="32"/>
          <w:rtl/>
        </w:rPr>
        <w:lastRenderedPageBreak/>
        <w:t>التعريف، التاريخ، والتطور</w:t>
      </w:r>
    </w:p>
    <w:p w14:paraId="6AA2253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يُعرف النموذج الوطني للتميز المؤسسي بأنه إطار عمل متكامل وشامل، مصمم لتقييم أداء المنظمات وتحفيزها على تبني أفضل الممارسات الإدارية، بهدف تحقيق مستويات متقدمة من الجودة والتميز. ويركز النموذج على المواءمة مع الرؤى الوطنية والتطورات العالمية، بما في ذلك مفاهيم الجيل الرابع من الجودة (</w:t>
      </w:r>
      <w:r w:rsidRPr="00362D29">
        <w:rPr>
          <w:rFonts w:ascii="Traditional Arabic" w:eastAsia="Times New Roman" w:hAnsi="Traditional Arabic" w:cs="Traditional Arabic"/>
          <w:sz w:val="24"/>
          <w:szCs w:val="24"/>
        </w:rPr>
        <w:t>Quality 4.0</w:t>
      </w:r>
      <w:r w:rsidRPr="00362D29">
        <w:rPr>
          <w:rFonts w:ascii="Traditional Arabic" w:eastAsia="Times New Roman" w:hAnsi="Traditional Arabic" w:cs="Traditional Arabic"/>
          <w:sz w:val="24"/>
          <w:szCs w:val="24"/>
          <w:rtl/>
        </w:rPr>
        <w:t>) وتطبيقات الثورة الصناعية الرابعة كالذكاء الاصطناعي وإنترنت الأشياء (جائزة الملك عبد العزيز للجودة، 2022).</w:t>
      </w:r>
    </w:p>
    <w:p w14:paraId="6979BD2A"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التاريخ والتطور</w:t>
      </w:r>
    </w:p>
    <w:p w14:paraId="7E5AD177" w14:textId="352FB7B1"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تأسست جائزة الملك عبد العزيز للجودة كأعلى جائزة وطنية للتميز في المملكة العربية السعودية</w:t>
      </w:r>
      <w:r w:rsidR="002704B1" w:rsidRPr="00362D29">
        <w:rPr>
          <w:rFonts w:ascii="Traditional Arabic" w:hAnsi="Traditional Arabic" w:cs="Traditional Arabic"/>
          <w:rtl/>
        </w:rPr>
        <w:t xml:space="preserve"> </w:t>
      </w:r>
      <w:r w:rsidR="002704B1" w:rsidRPr="00362D29">
        <w:rPr>
          <w:rFonts w:ascii="Traditional Arabic" w:eastAsia="Times New Roman" w:hAnsi="Traditional Arabic" w:cs="Traditional Arabic"/>
          <w:sz w:val="24"/>
          <w:szCs w:val="24"/>
          <w:rtl/>
        </w:rPr>
        <w:t xml:space="preserve">بموجب </w:t>
      </w:r>
      <w:r w:rsidR="00B505F3" w:rsidRPr="00362D29">
        <w:rPr>
          <w:rFonts w:ascii="Traditional Arabic" w:eastAsia="Times New Roman" w:hAnsi="Traditional Arabic" w:cs="Traditional Arabic"/>
          <w:sz w:val="24"/>
          <w:szCs w:val="24"/>
          <w:rtl/>
        </w:rPr>
        <w:t>توجيهات</w:t>
      </w:r>
      <w:r w:rsidR="002704B1" w:rsidRPr="00362D29">
        <w:rPr>
          <w:rFonts w:ascii="Traditional Arabic" w:eastAsia="Times New Roman" w:hAnsi="Traditional Arabic" w:cs="Traditional Arabic"/>
          <w:sz w:val="24"/>
          <w:szCs w:val="24"/>
          <w:rtl/>
        </w:rPr>
        <w:t xml:space="preserve"> المقام السامي </w:t>
      </w:r>
      <w:r w:rsidR="00B505F3" w:rsidRPr="00362D29">
        <w:rPr>
          <w:rFonts w:ascii="Traditional Arabic" w:eastAsia="Times New Roman" w:hAnsi="Traditional Arabic" w:cs="Traditional Arabic"/>
          <w:sz w:val="24"/>
          <w:szCs w:val="24"/>
          <w:rtl/>
        </w:rPr>
        <w:t xml:space="preserve">في </w:t>
      </w:r>
      <w:r w:rsidR="007615B6" w:rsidRPr="00362D29">
        <w:rPr>
          <w:rFonts w:ascii="Traditional Arabic" w:eastAsia="Times New Roman" w:hAnsi="Traditional Arabic" w:cs="Traditional Arabic"/>
          <w:sz w:val="24"/>
          <w:szCs w:val="24"/>
          <w:rtl/>
        </w:rPr>
        <w:t>1420هـ</w:t>
      </w:r>
      <w:r w:rsidR="002704B1" w:rsidRPr="00362D29">
        <w:rPr>
          <w:rFonts w:ascii="Traditional Arabic" w:eastAsia="Times New Roman" w:hAnsi="Traditional Arabic" w:cs="Traditional Arabic"/>
          <w:sz w:val="24"/>
          <w:szCs w:val="24"/>
          <w:rtl/>
        </w:rPr>
        <w:t>ـ</w:t>
      </w:r>
      <w:r w:rsidRPr="00362D29">
        <w:rPr>
          <w:rFonts w:ascii="Traditional Arabic" w:eastAsia="Times New Roman" w:hAnsi="Traditional Arabic" w:cs="Traditional Arabic"/>
          <w:sz w:val="24"/>
          <w:szCs w:val="24"/>
          <w:rtl/>
        </w:rPr>
        <w:t>، بهدف نشر ثقافة الجودة والتميز وتحفيز المنظمات على التنافس الإيجابي. وقد شهد النموذج تطورات مستمرة لضمان مواكبته لأحدث التوجهات العالمية وأفضل الممارسات. كان آخر هذه التحديثات هو إصدار النموذج لعام 2022، والذي جاء ليعكس توجهات القيادة الرشيدة ورؤية المملكة 2030، مع التركيز على مفاهيم مثل إدارة المعرفة والتحول الرقمي (جائزة الملك عبد العزيز للجودة، 2022).</w:t>
      </w:r>
    </w:p>
    <w:p w14:paraId="7D22C0EE"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النموذج والجودة</w:t>
      </w:r>
    </w:p>
    <w:p w14:paraId="395070A9" w14:textId="7A71F422"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يرتبط النموذج الوطني ارتباطاً وثيقاً بمفاهيم الجودة الشاملة، حيث لا يقتصر على تقييم النتائج النهائية فحسب، بل يمتد ليشمل تقييم العمليات والممكنات التي تؤدي إلى هذه النتائج. ويهدف النموذج إلى غرس ثقافة التحسين المستمر والجودة في نسيج المنظمات، مما يسهم في رفع كفاءة الأداء وتحسين جودة الخدمات المقدمة، وهو ما يتوافق مع التوجهات العالمية نحو الجودة 4.0 التي تعتمد على التقنيات الحديثة لتحقيق مستويات غير مسبوقة من الجودة والكفاءة </w:t>
      </w:r>
      <w:r w:rsidR="00997C5A" w:rsidRPr="00362D29">
        <w:rPr>
          <w:rFonts w:ascii="Traditional Arabic" w:eastAsia="Times New Roman" w:hAnsi="Traditional Arabic" w:cs="Traditional Arabic"/>
          <w:sz w:val="24"/>
          <w:szCs w:val="24"/>
        </w:rPr>
        <w:t>(Ahmed &amp; Sur, 2023)</w:t>
      </w:r>
      <w:r w:rsidRPr="00362D29">
        <w:rPr>
          <w:rFonts w:ascii="Traditional Arabic" w:eastAsia="Times New Roman" w:hAnsi="Traditional Arabic" w:cs="Traditional Arabic"/>
          <w:sz w:val="24"/>
          <w:szCs w:val="24"/>
          <w:rtl/>
        </w:rPr>
        <w:t>.</w:t>
      </w:r>
    </w:p>
    <w:p w14:paraId="5DFEC328" w14:textId="77777777" w:rsidR="0015367F" w:rsidRPr="00362D29" w:rsidRDefault="0015367F" w:rsidP="00C42472">
      <w:pPr>
        <w:numPr>
          <w:ilvl w:val="0"/>
          <w:numId w:val="2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36"/>
          <w:szCs w:val="36"/>
          <w:rtl/>
        </w:rPr>
        <w:t>المبادئ الأساسية للتميز المؤسسي (المبادئ التسعة)</w:t>
      </w:r>
    </w:p>
    <w:p w14:paraId="1191C57A"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يستند النموذج الوطني للتميز المؤسسي على </w:t>
      </w:r>
      <w:r w:rsidRPr="00362D29">
        <w:rPr>
          <w:rFonts w:ascii="Traditional Arabic" w:eastAsia="Times New Roman" w:hAnsi="Traditional Arabic" w:cs="Traditional Arabic"/>
          <w:b/>
          <w:bCs/>
          <w:sz w:val="24"/>
          <w:szCs w:val="24"/>
          <w:rtl/>
        </w:rPr>
        <w:t>تسعة مبادئ جوهرية</w:t>
      </w:r>
      <w:r w:rsidRPr="00362D29">
        <w:rPr>
          <w:rFonts w:ascii="Traditional Arabic" w:eastAsia="Times New Roman" w:hAnsi="Traditional Arabic" w:cs="Traditional Arabic"/>
          <w:sz w:val="24"/>
          <w:szCs w:val="24"/>
          <w:rtl/>
        </w:rPr>
        <w:t xml:space="preserve"> تشكل الأساس الفلسفي والتوجيهي للمنظمات الساعية للتميز، وهي كالتالي (جائزة الملك عبد العزيز للجودة، 2022):</w:t>
      </w:r>
    </w:p>
    <w:p w14:paraId="20519B09"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القيادة بالإلهام والقدوة الحسنة:</w:t>
      </w:r>
      <w:r w:rsidRPr="00362D29">
        <w:rPr>
          <w:rFonts w:ascii="Traditional Arabic" w:eastAsia="Times New Roman" w:hAnsi="Traditional Arabic" w:cs="Traditional Arabic"/>
          <w:sz w:val="24"/>
          <w:szCs w:val="24"/>
          <w:rtl/>
        </w:rPr>
        <w:t xml:space="preserve"> يؤكد هذا المبدأ على الدور المحوري للقيادة في توجيه المنظمة نحو التميز من خلال تحديد رؤية واضحة، وغرس القيم المؤسسية، وتوفير بيئة عمل محفزة. فالقادة المتميزون هم من يمثلون قدوة حسنة، ويلهمون العاملين، ويضمنون مواءمة الأهداف الاستراتيجية مع رؤية المملكة 2030 (البلوي وإسماعيل، 2025).</w:t>
      </w:r>
    </w:p>
    <w:p w14:paraId="75B56735"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الاهتمام بالموارد البشرية:</w:t>
      </w:r>
      <w:r w:rsidRPr="00362D29">
        <w:rPr>
          <w:rFonts w:ascii="Traditional Arabic" w:eastAsia="Times New Roman" w:hAnsi="Traditional Arabic" w:cs="Traditional Arabic"/>
          <w:sz w:val="24"/>
          <w:szCs w:val="24"/>
          <w:rtl/>
        </w:rPr>
        <w:t xml:space="preserve"> يرى النموذج أن الموارد البشرية هي المحرك الأساسي للتميز. لذا، يجب على المنظمات الاهتمام بتمكين العاملين، وتطوير قدراتهم، وتوفير بيئة عمل جاذبة ومحفزة تشجع على الإبداع والابتكار، مما ينعكس إيجاباً على أدائهم ورضاهم الوظيفي (سلمان وآخرون، 2025).</w:t>
      </w:r>
    </w:p>
    <w:p w14:paraId="4B454C45"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التركيز على المستفيدين:</w:t>
      </w:r>
      <w:r w:rsidRPr="00362D29">
        <w:rPr>
          <w:rFonts w:ascii="Traditional Arabic" w:eastAsia="Times New Roman" w:hAnsi="Traditional Arabic" w:cs="Traditional Arabic"/>
          <w:sz w:val="24"/>
          <w:szCs w:val="24"/>
          <w:rtl/>
        </w:rPr>
        <w:t xml:space="preserve"> يضع هذا المبدأ المستفيد (العميل أو المريض) في صميم اهتمامات المنظمة. فالتميز الحقيقي ينبع من فهم احتياجات المستفيدين وتوقعاتهم، وتقديم خدمات ومنتجات تفوق هذه التوقعات، مع قياس رضاهم بشكل مستمر لضمان ولائهم واستقطاب مستفيدين جدد (عشوري، 2025).</w:t>
      </w:r>
    </w:p>
    <w:p w14:paraId="3C8BE230"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إدارة العمليات:</w:t>
      </w:r>
      <w:r w:rsidRPr="00362D29">
        <w:rPr>
          <w:rFonts w:ascii="Traditional Arabic" w:eastAsia="Times New Roman" w:hAnsi="Traditional Arabic" w:cs="Traditional Arabic"/>
          <w:sz w:val="24"/>
          <w:szCs w:val="24"/>
          <w:rtl/>
        </w:rPr>
        <w:t xml:space="preserve"> يشدد النموذج على أهمية إدارة العمليات الرئيسية والداعمة بفاعلية وكفاءة. ويتطلب ذلك تصميم العمليات وتوثيقها وتحسينها بشكل مستمر لضمان سلاسة الأداء، وتقليل الهدر، وزيادة الإنتاجية، مما يسهم في تحقيق الأهداف الاستراتيجية للمنظمة (منصور، 2021).</w:t>
      </w:r>
    </w:p>
    <w:p w14:paraId="5D710D39"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تطوير الشراكات الناجحة:</w:t>
      </w:r>
      <w:r w:rsidRPr="00362D29">
        <w:rPr>
          <w:rFonts w:ascii="Traditional Arabic" w:eastAsia="Times New Roman" w:hAnsi="Traditional Arabic" w:cs="Traditional Arabic"/>
          <w:sz w:val="24"/>
          <w:szCs w:val="24"/>
          <w:rtl/>
        </w:rPr>
        <w:t xml:space="preserve"> يدرك النموذج أن التميز لا يمكن تحقيقه بمعزل عن الآخرين. لذا، يشجع على بناء وتطوير شراكات استراتيجية مع مختلف الأطراف المعنية (موردين، جهات حكومية، مجتمع) لتبادل المعرفة والموارد، وتعزيز القدرة التنافسية، وتحقيق أهداف مشتركة تسهم في التنمية الشاملة (الغامدي، 2024).</w:t>
      </w:r>
    </w:p>
    <w:p w14:paraId="55152FFA"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التعلم والتحسين المستمر:</w:t>
      </w:r>
      <w:r w:rsidRPr="00362D29">
        <w:rPr>
          <w:rFonts w:ascii="Traditional Arabic" w:eastAsia="Times New Roman" w:hAnsi="Traditional Arabic" w:cs="Traditional Arabic"/>
          <w:sz w:val="24"/>
          <w:szCs w:val="24"/>
          <w:rtl/>
        </w:rPr>
        <w:t xml:space="preserve"> يعتبر هذا المبدأ أساساً لاستدامة التميز، حيث يدعو المنظمات إلى تبني ثقافة التعلم من التجارب والممارسات، وإجراء مقارنات معيارية مع أفضل المنظمات، وتطبيق منهجيات التحسين المستمر (كايزن ودائرة </w:t>
      </w:r>
      <w:r w:rsidRPr="00362D29">
        <w:rPr>
          <w:rFonts w:ascii="Traditional Arabic" w:eastAsia="Times New Roman" w:hAnsi="Traditional Arabic" w:cs="Traditional Arabic"/>
          <w:sz w:val="24"/>
          <w:szCs w:val="24"/>
        </w:rPr>
        <w:t>PDCA</w:t>
      </w:r>
      <w:r w:rsidRPr="00362D29">
        <w:rPr>
          <w:rFonts w:ascii="Traditional Arabic" w:eastAsia="Times New Roman" w:hAnsi="Traditional Arabic" w:cs="Traditional Arabic"/>
          <w:sz w:val="24"/>
          <w:szCs w:val="24"/>
          <w:rtl/>
        </w:rPr>
        <w:t>) لضمان التطور المستمر في الأداء والخدمات (أحمد، 2025).</w:t>
      </w:r>
    </w:p>
    <w:p w14:paraId="28DE75B8"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تعزيز الإبداع وتسخير الابتكار:</w:t>
      </w:r>
      <w:r w:rsidRPr="00362D29">
        <w:rPr>
          <w:rFonts w:ascii="Traditional Arabic" w:eastAsia="Times New Roman" w:hAnsi="Traditional Arabic" w:cs="Traditional Arabic"/>
          <w:sz w:val="24"/>
          <w:szCs w:val="24"/>
          <w:rtl/>
        </w:rPr>
        <w:t xml:space="preserve"> يمثل الإبداع والابتكار ميزة تنافسية حاسمة في العصر الحديث. ويحث النموذج المنظمات على توفير بيئة تشجع على توليد الأفكار الجديدة، وتطوير المنتجات والخدمات المبتكرة، والاستفادة من التقنيات الحديثة لتعزيز قدرتها على التكيف مع المتغيرات وتحقيق الريادة (الرويلي وظفرة، 2025).</w:t>
      </w:r>
    </w:p>
    <w:p w14:paraId="7956DCE5" w14:textId="002A88FF"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المساهمة في التنمية المستدامة:</w:t>
      </w:r>
      <w:r w:rsidRPr="00362D29">
        <w:rPr>
          <w:rFonts w:ascii="Traditional Arabic" w:eastAsia="Times New Roman" w:hAnsi="Traditional Arabic" w:cs="Traditional Arabic"/>
          <w:sz w:val="24"/>
          <w:szCs w:val="24"/>
          <w:rtl/>
        </w:rPr>
        <w:t xml:space="preserve"> يؤكد هذا المبدأ على المسؤولية المجتمعية للمنظمات ودورها في تحقيق التنمية المستدامة. ويتطلب ذلك الموازنة بين الأهداف الاقتصادية والاجتماعية والبيئية، والالتزام بالشفافية والممارسات الأخلاقية، والمساهمة الفاعلة في خدمة المجتمع (عبد البصير، 2021).</w:t>
      </w:r>
    </w:p>
    <w:p w14:paraId="14654138"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تحقيق نتائج متفوقة ومستدامة:</w:t>
      </w:r>
      <w:r w:rsidRPr="00362D29">
        <w:rPr>
          <w:rFonts w:ascii="Traditional Arabic" w:eastAsia="Times New Roman" w:hAnsi="Traditional Arabic" w:cs="Traditional Arabic"/>
          <w:sz w:val="24"/>
          <w:szCs w:val="24"/>
          <w:rtl/>
        </w:rPr>
        <w:t xml:space="preserve"> يهدف النموذج في نهاية المطاف إلى تحقيق نتائج متميزة ومستدامة في جميع جوانب الأداء. ويجب أن تكون هذه النتائج شاملة، وإيجابية، ومتوافقة مع أهداف رؤية المملكة 2030، وأن تعكس التزام المنظمة بالتحسين المستمر والتميز (</w:t>
      </w:r>
      <w:r w:rsidRPr="00362D29">
        <w:rPr>
          <w:rFonts w:ascii="Traditional Arabic" w:eastAsia="Times New Roman" w:hAnsi="Traditional Arabic" w:cs="Traditional Arabic"/>
          <w:sz w:val="24"/>
          <w:szCs w:val="24"/>
        </w:rPr>
        <w:t>Mohamed et al., 2018</w:t>
      </w:r>
      <w:r w:rsidRPr="00362D29">
        <w:rPr>
          <w:rFonts w:ascii="Traditional Arabic" w:eastAsia="Times New Roman" w:hAnsi="Traditional Arabic" w:cs="Traditional Arabic"/>
          <w:sz w:val="24"/>
          <w:szCs w:val="24"/>
          <w:rtl/>
        </w:rPr>
        <w:t>).</w:t>
      </w:r>
    </w:p>
    <w:p w14:paraId="0B83B6EC"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36"/>
          <w:szCs w:val="36"/>
          <w:rtl/>
        </w:rPr>
        <w:t>معايير التقييم</w:t>
      </w:r>
      <w:r w:rsidRPr="00362D29">
        <w:rPr>
          <w:rFonts w:ascii="Traditional Arabic" w:eastAsia="Times New Roman" w:hAnsi="Traditional Arabic" w:cs="Traditional Arabic"/>
          <w:sz w:val="24"/>
          <w:szCs w:val="24"/>
          <w:rtl/>
        </w:rPr>
        <w:t xml:space="preserve"> </w:t>
      </w:r>
    </w:p>
    <w:p w14:paraId="570D2A57"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يعتمد النموذج الوطني للتميز المؤسسي على ثمانية معايير رئيسية، مقسمة إلى مجموعتين (جائزة الملك عبد العزيز للجودة، 2022):</w:t>
      </w:r>
    </w:p>
    <w:p w14:paraId="2F1E24B2" w14:textId="77777777" w:rsidR="0015367F" w:rsidRPr="00362D29" w:rsidRDefault="0015367F" w:rsidP="00C42472">
      <w:pPr>
        <w:numPr>
          <w:ilvl w:val="0"/>
          <w:numId w:val="21"/>
        </w:numPr>
        <w:bidi/>
        <w:spacing w:before="0" w:after="0" w:line="360" w:lineRule="auto"/>
        <w:contextualSpacing/>
        <w:jc w:val="both"/>
        <w:rPr>
          <w:rFonts w:ascii="Traditional Arabic" w:eastAsia="Times New Roman" w:hAnsi="Traditional Arabic" w:cs="Traditional Arabic"/>
          <w:b/>
          <w:bCs/>
          <w:sz w:val="27"/>
          <w:szCs w:val="27"/>
          <w:rtl/>
        </w:rPr>
      </w:pPr>
      <w:r w:rsidRPr="00362D29">
        <w:rPr>
          <w:rFonts w:ascii="Traditional Arabic" w:eastAsia="Times New Roman" w:hAnsi="Traditional Arabic" w:cs="Traditional Arabic"/>
          <w:b/>
          <w:bCs/>
          <w:sz w:val="27"/>
          <w:szCs w:val="27"/>
          <w:rtl/>
        </w:rPr>
        <w:t xml:space="preserve">المجموعة </w:t>
      </w:r>
      <w:proofErr w:type="gramStart"/>
      <w:r w:rsidRPr="00362D29">
        <w:rPr>
          <w:rFonts w:ascii="Traditional Arabic" w:eastAsia="Times New Roman" w:hAnsi="Traditional Arabic" w:cs="Traditional Arabic"/>
          <w:b/>
          <w:bCs/>
          <w:sz w:val="27"/>
          <w:szCs w:val="27"/>
          <w:rtl/>
        </w:rPr>
        <w:t>الأولى :</w:t>
      </w:r>
      <w:proofErr w:type="gramEnd"/>
      <w:r w:rsidRPr="00362D29">
        <w:rPr>
          <w:rFonts w:ascii="Traditional Arabic" w:eastAsia="Times New Roman" w:hAnsi="Traditional Arabic" w:cs="Traditional Arabic"/>
          <w:b/>
          <w:bCs/>
          <w:sz w:val="27"/>
          <w:szCs w:val="27"/>
          <w:rtl/>
        </w:rPr>
        <w:t xml:space="preserve"> معايير الممكنات</w:t>
      </w:r>
      <w:r w:rsidRPr="00362D29">
        <w:rPr>
          <w:rFonts w:ascii="Traditional Arabic" w:eastAsia="Times New Roman" w:hAnsi="Traditional Arabic" w:cs="Traditional Arabic"/>
          <w:b/>
          <w:bCs/>
          <w:sz w:val="27"/>
          <w:szCs w:val="27"/>
        </w:rPr>
        <w:t xml:space="preserve">(Enablers) </w:t>
      </w:r>
      <w:r w:rsidRPr="00362D29">
        <w:rPr>
          <w:rFonts w:ascii="Traditional Arabic" w:eastAsia="Times New Roman" w:hAnsi="Traditional Arabic" w:cs="Traditional Arabic"/>
          <w:b/>
          <w:bCs/>
          <w:sz w:val="27"/>
          <w:szCs w:val="27"/>
          <w:rtl/>
        </w:rPr>
        <w:t xml:space="preserve"> - (5) معايير  </w:t>
      </w:r>
    </w:p>
    <w:p w14:paraId="3272996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تركز هذه المعايير على </w:t>
      </w:r>
      <w:r w:rsidRPr="00362D29">
        <w:rPr>
          <w:rFonts w:ascii="Traditional Arabic" w:eastAsia="Times New Roman" w:hAnsi="Traditional Arabic" w:cs="Traditional Arabic"/>
          <w:b/>
          <w:bCs/>
          <w:sz w:val="24"/>
          <w:szCs w:val="24"/>
          <w:rtl/>
        </w:rPr>
        <w:t>كيفية تحقيق المنظمة للتميز</w:t>
      </w:r>
      <w:r w:rsidRPr="00362D29">
        <w:rPr>
          <w:rFonts w:ascii="Traditional Arabic" w:eastAsia="Times New Roman" w:hAnsi="Traditional Arabic" w:cs="Traditional Arabic"/>
          <w:sz w:val="24"/>
          <w:szCs w:val="24"/>
          <w:rtl/>
        </w:rPr>
        <w:t xml:space="preserve"> من خلال الممارسات والعمليات. وتشمل:</w:t>
      </w:r>
    </w:p>
    <w:p w14:paraId="7172FA79"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lastRenderedPageBreak/>
        <w:t>القيادة الإدارية: تقييم مدى فاعلية القيادة في تحديد التوجه الاستراتيجي، ومراجعة الأداء، وتعزيز العلاقات مع الأطراف المعنية، ودعم ثقافة الجودة والابتكار، وإدارة المخاطر والتغيير.</w:t>
      </w:r>
    </w:p>
    <w:p w14:paraId="62FFE4CC"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التخطيط الاستراتيجي: تقييم كيفية إعداد ونشر وتطبيق ومراجعة الخطط الاستراتيجية لضمان تحقيق الأهداف ومواءمتها مع الرؤى الوطنية.</w:t>
      </w:r>
    </w:p>
    <w:p w14:paraId="0DF9553B"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الموارد البشرية: تقييم كيفية تخطيط وإدارة وتطوير وتمكين الموارد البشرية، وتوفير بيئة عمل محفزة، وتعزيز التواصل والعمل التطوعي.</w:t>
      </w:r>
    </w:p>
    <w:p w14:paraId="31477A39"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الموارد والشراكات: تقييم كيفية إدارة الشراكات الاستراتيجية، والموارد المالية، والمرافق، والتحول الرقمي، وإدارة المعرفة لدعم أهداف المنظمة.</w:t>
      </w:r>
    </w:p>
    <w:p w14:paraId="1E28A29E"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sz w:val="24"/>
          <w:szCs w:val="24"/>
          <w:rtl/>
        </w:rPr>
        <w:t xml:space="preserve">إدارة العمليات والمنتجات </w:t>
      </w:r>
      <w:proofErr w:type="gramStart"/>
      <w:r w:rsidRPr="00362D29">
        <w:rPr>
          <w:rFonts w:ascii="Traditional Arabic" w:eastAsia="Times New Roman" w:hAnsi="Traditional Arabic" w:cs="Traditional Arabic"/>
          <w:sz w:val="24"/>
          <w:szCs w:val="24"/>
          <w:rtl/>
        </w:rPr>
        <w:t>والخدمات :</w:t>
      </w:r>
      <w:proofErr w:type="gramEnd"/>
      <w:r w:rsidRPr="00362D29">
        <w:rPr>
          <w:rFonts w:ascii="Traditional Arabic" w:eastAsia="Times New Roman" w:hAnsi="Traditional Arabic" w:cs="Traditional Arabic"/>
          <w:sz w:val="24"/>
          <w:szCs w:val="24"/>
          <w:rtl/>
        </w:rPr>
        <w:t xml:space="preserve"> تقييم كيفية تصميم وتحديد وإدارة العمليات والمنتجات والخدمات، وتحسينها المستمر، وتسويقها، وإدارة العلاقة مع المستفيدين</w:t>
      </w:r>
    </w:p>
    <w:p w14:paraId="17F34CEF" w14:textId="77777777" w:rsidR="0015367F" w:rsidRPr="00362D29" w:rsidRDefault="0015367F" w:rsidP="00C42472">
      <w:pPr>
        <w:numPr>
          <w:ilvl w:val="0"/>
          <w:numId w:val="2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 xml:space="preserve">المجموعة </w:t>
      </w:r>
      <w:proofErr w:type="gramStart"/>
      <w:r w:rsidRPr="00362D29">
        <w:rPr>
          <w:rFonts w:ascii="Traditional Arabic" w:eastAsia="Times New Roman" w:hAnsi="Traditional Arabic" w:cs="Traditional Arabic"/>
          <w:b/>
          <w:bCs/>
          <w:sz w:val="27"/>
          <w:szCs w:val="27"/>
          <w:rtl/>
        </w:rPr>
        <w:t>الثانية :</w:t>
      </w:r>
      <w:proofErr w:type="gramEnd"/>
      <w:r w:rsidRPr="00362D29">
        <w:rPr>
          <w:rFonts w:ascii="Traditional Arabic" w:eastAsia="Times New Roman" w:hAnsi="Traditional Arabic" w:cs="Traditional Arabic"/>
          <w:b/>
          <w:bCs/>
          <w:sz w:val="27"/>
          <w:szCs w:val="27"/>
          <w:rtl/>
        </w:rPr>
        <w:t xml:space="preserve"> معايير النتائج </w:t>
      </w:r>
      <w:r w:rsidRPr="00362D29">
        <w:rPr>
          <w:rFonts w:ascii="Traditional Arabic" w:eastAsia="Times New Roman" w:hAnsi="Traditional Arabic" w:cs="Traditional Arabic"/>
          <w:b/>
          <w:bCs/>
          <w:sz w:val="27"/>
          <w:szCs w:val="27"/>
        </w:rPr>
        <w:t xml:space="preserve">(Results) </w:t>
      </w:r>
      <w:r w:rsidRPr="00362D29">
        <w:rPr>
          <w:rFonts w:ascii="Traditional Arabic" w:eastAsia="Times New Roman" w:hAnsi="Traditional Arabic" w:cs="Traditional Arabic"/>
          <w:b/>
          <w:bCs/>
          <w:sz w:val="27"/>
          <w:szCs w:val="27"/>
          <w:rtl/>
        </w:rPr>
        <w:t xml:space="preserve"> </w:t>
      </w:r>
    </w:p>
    <w:p w14:paraId="6BDB35E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تركز هذه المعايير على </w:t>
      </w:r>
      <w:r w:rsidRPr="00362D29">
        <w:rPr>
          <w:rFonts w:ascii="Traditional Arabic" w:eastAsia="Times New Roman" w:hAnsi="Traditional Arabic" w:cs="Traditional Arabic"/>
          <w:b/>
          <w:bCs/>
          <w:sz w:val="24"/>
          <w:szCs w:val="24"/>
          <w:rtl/>
        </w:rPr>
        <w:t>ما حققته المنظمة من إنجازات</w:t>
      </w:r>
      <w:r w:rsidRPr="00362D29">
        <w:rPr>
          <w:rFonts w:ascii="Traditional Arabic" w:eastAsia="Times New Roman" w:hAnsi="Traditional Arabic" w:cs="Traditional Arabic"/>
          <w:sz w:val="24"/>
          <w:szCs w:val="24"/>
          <w:rtl/>
        </w:rPr>
        <w:t>. وتشمل:</w:t>
      </w:r>
    </w:p>
    <w:p w14:paraId="53AED666" w14:textId="77777777" w:rsidR="0015367F" w:rsidRPr="00362D29" w:rsidRDefault="0015367F" w:rsidP="00C42472">
      <w:pPr>
        <w:numPr>
          <w:ilvl w:val="0"/>
          <w:numId w:val="24"/>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المستفيدين:</w:t>
      </w:r>
      <w:r w:rsidRPr="00362D29">
        <w:rPr>
          <w:rFonts w:ascii="Traditional Arabic" w:eastAsia="Times New Roman" w:hAnsi="Traditional Arabic" w:cs="Traditional Arabic"/>
          <w:sz w:val="24"/>
          <w:szCs w:val="24"/>
          <w:rtl/>
        </w:rPr>
        <w:t xml:space="preserve"> تقييم آراء المستفيدين ومؤشرات الأداء المتعلقة برضاهم وولائهم وتوقعاتهم (</w:t>
      </w:r>
      <w:r w:rsidRPr="00362D29">
        <w:rPr>
          <w:rFonts w:ascii="Traditional Arabic" w:eastAsia="Times New Roman" w:hAnsi="Traditional Arabic" w:cs="Traditional Arabic"/>
          <w:sz w:val="24"/>
          <w:szCs w:val="24"/>
        </w:rPr>
        <w:t>Alhuseini et al., 2025</w:t>
      </w:r>
      <w:r w:rsidRPr="00362D29">
        <w:rPr>
          <w:rFonts w:ascii="Traditional Arabic" w:eastAsia="Times New Roman" w:hAnsi="Traditional Arabic" w:cs="Traditional Arabic"/>
          <w:sz w:val="24"/>
          <w:szCs w:val="24"/>
          <w:rtl/>
        </w:rPr>
        <w:t>).</w:t>
      </w:r>
    </w:p>
    <w:p w14:paraId="7563E2FD" w14:textId="77777777" w:rsidR="0015367F" w:rsidRPr="00362D29" w:rsidRDefault="0015367F" w:rsidP="00C42472">
      <w:pPr>
        <w:numPr>
          <w:ilvl w:val="0"/>
          <w:numId w:val="24"/>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الموارد البشرية:</w:t>
      </w:r>
      <w:r w:rsidRPr="00362D29">
        <w:rPr>
          <w:rFonts w:ascii="Traditional Arabic" w:eastAsia="Times New Roman" w:hAnsi="Traditional Arabic" w:cs="Traditional Arabic"/>
          <w:sz w:val="24"/>
          <w:szCs w:val="24"/>
          <w:rtl/>
        </w:rPr>
        <w:t xml:space="preserve"> تقييم آراء الموارد البشرية ومؤشرات الأداء المتعلقة برضاهم، ومشاركتهم، وتطويرهم، وبيئة عملهم.</w:t>
      </w:r>
    </w:p>
    <w:p w14:paraId="11D7C6C4" w14:textId="073130CA" w:rsidR="0015367F" w:rsidRPr="00362D29" w:rsidRDefault="0015367F" w:rsidP="00C42472">
      <w:pPr>
        <w:numPr>
          <w:ilvl w:val="0"/>
          <w:numId w:val="24"/>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الأداء الرئيسية:</w:t>
      </w:r>
      <w:r w:rsidRPr="00362D29">
        <w:rPr>
          <w:rFonts w:ascii="Traditional Arabic" w:eastAsia="Times New Roman" w:hAnsi="Traditional Arabic" w:cs="Traditional Arabic"/>
          <w:sz w:val="24"/>
          <w:szCs w:val="24"/>
          <w:rtl/>
        </w:rPr>
        <w:t xml:space="preserve"> تقييم مخرجات الأعمال الرئيسية ومؤشرات الأداء التشغيلية والمالية والمجتمعية التي تعكس تحقيق الأهداف الاستراتيجية (</w:t>
      </w:r>
      <w:r w:rsidRPr="00362D29">
        <w:rPr>
          <w:rFonts w:ascii="Traditional Arabic" w:eastAsia="Times New Roman" w:hAnsi="Traditional Arabic" w:cs="Traditional Arabic"/>
          <w:sz w:val="24"/>
          <w:szCs w:val="24"/>
        </w:rPr>
        <w:t>Alsaleem, 2025</w:t>
      </w:r>
      <w:r w:rsidRPr="00362D29">
        <w:rPr>
          <w:rFonts w:ascii="Traditional Arabic" w:eastAsia="Times New Roman" w:hAnsi="Traditional Arabic" w:cs="Traditional Arabic"/>
          <w:sz w:val="24"/>
          <w:szCs w:val="24"/>
          <w:rtl/>
        </w:rPr>
        <w:t>).</w:t>
      </w:r>
    </w:p>
    <w:p w14:paraId="1DF10D7E"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b/>
          <w:bCs/>
          <w:sz w:val="36"/>
          <w:szCs w:val="36"/>
          <w:rtl/>
        </w:rPr>
      </w:pPr>
      <w:r w:rsidRPr="00362D29">
        <w:rPr>
          <w:rFonts w:ascii="Traditional Arabic" w:eastAsia="Times New Roman" w:hAnsi="Traditional Arabic" w:cs="Traditional Arabic"/>
          <w:b/>
          <w:bCs/>
          <w:sz w:val="36"/>
          <w:szCs w:val="36"/>
          <w:rtl/>
        </w:rPr>
        <w:t>أداة القياس "إتقان</w:t>
      </w:r>
    </w:p>
    <w:p w14:paraId="439F6EC5" w14:textId="77777777" w:rsidR="0015367F" w:rsidRPr="00362D29" w:rsidRDefault="0015367F" w:rsidP="00C42472">
      <w:pPr>
        <w:numPr>
          <w:ilvl w:val="0"/>
          <w:numId w:val="2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التعريف</w:t>
      </w:r>
    </w:p>
    <w:p w14:paraId="566946CB"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"إتقان"</w:t>
      </w:r>
      <w:r w:rsidRPr="00362D29">
        <w:rPr>
          <w:rFonts w:ascii="Traditional Arabic" w:eastAsia="Times New Roman" w:hAnsi="Traditional Arabic" w:cs="Traditional Arabic"/>
          <w:sz w:val="24"/>
          <w:szCs w:val="24"/>
          <w:rtl/>
        </w:rPr>
        <w:t xml:space="preserve"> هي أداة التقييم الذاتي المعتمدة من قبل جائزة الملك عبد العزيز للجودة، وهي مصممة لمساعدة المنظمات على تقييم أدائها بشكل منهجي وموضوعي وفقاً لمعايير النموذج الوطني للتميز المؤسسي. تهدف الأداة إلى تحديد نقاط القوة وفرص التحسين، وتوجيه المنظمات نحو صياغة خطط عمل فعالة لتحقيق التميز (جائزة الملك عبد العزيز للجودة، 2022)</w:t>
      </w:r>
    </w:p>
    <w:p w14:paraId="1FCDC1AD" w14:textId="77777777" w:rsidR="0015367F" w:rsidRPr="00362D29" w:rsidRDefault="0015367F" w:rsidP="00C42472">
      <w:pPr>
        <w:numPr>
          <w:ilvl w:val="0"/>
          <w:numId w:val="2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المكونات الرئيسية لأداة "إتقان"</w:t>
      </w:r>
    </w:p>
    <w:p w14:paraId="338BBADA"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تتكون أداة "إتقان" من </w:t>
      </w:r>
      <w:r w:rsidRPr="00362D29">
        <w:rPr>
          <w:rFonts w:ascii="Traditional Arabic" w:eastAsia="Times New Roman" w:hAnsi="Traditional Arabic" w:cs="Traditional Arabic"/>
          <w:b/>
          <w:bCs/>
          <w:sz w:val="24"/>
          <w:szCs w:val="24"/>
          <w:rtl/>
        </w:rPr>
        <w:t>خمس مكونات رئيسية</w:t>
      </w:r>
      <w:r w:rsidRPr="00362D29">
        <w:rPr>
          <w:rFonts w:ascii="Traditional Arabic" w:eastAsia="Times New Roman" w:hAnsi="Traditional Arabic" w:cs="Traditional Arabic"/>
          <w:sz w:val="24"/>
          <w:szCs w:val="24"/>
          <w:rtl/>
        </w:rPr>
        <w:t>، تضمن تقييماً شاملاً ومتوازناً لأداء المنظمة:</w:t>
      </w:r>
    </w:p>
    <w:p w14:paraId="128C0F18"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التقييم الذاتي (</w:t>
      </w:r>
      <w:r w:rsidRPr="00362D29">
        <w:rPr>
          <w:rFonts w:ascii="Traditional Arabic" w:eastAsia="Times New Roman" w:hAnsi="Traditional Arabic" w:cs="Traditional Arabic"/>
          <w:b/>
          <w:bCs/>
          <w:sz w:val="24"/>
          <w:szCs w:val="24"/>
        </w:rPr>
        <w:t>Self-Assessment</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تقوم المنظمة بتقييم أدائها بنفسها بناءً على معايير النموذج، مما يعزز الفهم الداخلي لنقاط القوة والضعف.</w:t>
      </w:r>
    </w:p>
    <w:p w14:paraId="222BD3A7"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الوثائق والأدلة (</w:t>
      </w:r>
      <w:r w:rsidRPr="00362D29">
        <w:rPr>
          <w:rFonts w:ascii="Traditional Arabic" w:eastAsia="Times New Roman" w:hAnsi="Traditional Arabic" w:cs="Traditional Arabic"/>
          <w:b/>
          <w:bCs/>
          <w:sz w:val="24"/>
          <w:szCs w:val="24"/>
        </w:rPr>
        <w:t>Documentation and Evidence</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يتطلب التقييم تقديم وثائق وأدلة موثوقة تدعم الممارسات والنتائج التي تم الإبلاغ عنها.</w:t>
      </w:r>
    </w:p>
    <w:p w14:paraId="06636F89"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الزيارات الميدانية (</w:t>
      </w:r>
      <w:r w:rsidRPr="00362D29">
        <w:rPr>
          <w:rFonts w:ascii="Traditional Arabic" w:eastAsia="Times New Roman" w:hAnsi="Traditional Arabic" w:cs="Traditional Arabic"/>
          <w:b/>
          <w:bCs/>
          <w:sz w:val="24"/>
          <w:szCs w:val="24"/>
        </w:rPr>
        <w:t>Site Visits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يقوم مقيمون خارجيون بزيارات ميدانية للتحقق من صحة المعلومات المقدمة وملاحظة الممارسات على أرض الواقع.</w:t>
      </w:r>
    </w:p>
    <w:p w14:paraId="2FBA8149"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تقرير التغذية الراجعة (</w:t>
      </w:r>
      <w:r w:rsidRPr="00362D29">
        <w:rPr>
          <w:rFonts w:ascii="Traditional Arabic" w:eastAsia="Times New Roman" w:hAnsi="Traditional Arabic" w:cs="Traditional Arabic"/>
          <w:sz w:val="24"/>
          <w:szCs w:val="24"/>
        </w:rPr>
        <w:t>Feedback Report</w:t>
      </w:r>
      <w:r w:rsidRPr="00362D29">
        <w:rPr>
          <w:rFonts w:ascii="Traditional Arabic" w:eastAsia="Times New Roman" w:hAnsi="Traditional Arabic" w:cs="Traditional Arabic"/>
          <w:sz w:val="24"/>
          <w:szCs w:val="24"/>
          <w:rtl/>
        </w:rPr>
        <w:t>): يتم تزويد المنظمة بتقرير مفصل يتضمن نقاط القوة وفرص التحسين، مع توصيات محددة.</w:t>
      </w:r>
    </w:p>
    <w:p w14:paraId="20FE8EEF"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خطة التحسين (</w:t>
      </w:r>
      <w:r w:rsidRPr="00362D29">
        <w:rPr>
          <w:rFonts w:ascii="Traditional Arabic" w:eastAsia="Times New Roman" w:hAnsi="Traditional Arabic" w:cs="Traditional Arabic"/>
          <w:sz w:val="24"/>
          <w:szCs w:val="24"/>
        </w:rPr>
        <w:t>Improvement Plan</w:t>
      </w:r>
      <w:r w:rsidRPr="00362D29">
        <w:rPr>
          <w:rFonts w:ascii="Traditional Arabic" w:eastAsia="Times New Roman" w:hAnsi="Traditional Arabic" w:cs="Traditional Arabic"/>
          <w:sz w:val="24"/>
          <w:szCs w:val="24"/>
          <w:rtl/>
        </w:rPr>
        <w:t>): بناءً على التقرير، تقوم المنظمة بوضع خطة عمل تفصيلية لمعالجة فرص التحسين وتحقيق مستويات أعلى من التميز.</w:t>
      </w:r>
    </w:p>
    <w:p w14:paraId="7B4E07C0" w14:textId="4C834658"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بهذا التوصيف الشامل، يمثل النموذج الوطني للتميز المؤسسي إطاراً متيناً للدراسة الحالية، حيث يوفر الأسس النظرية والمنهجية لتحليل أثر التميز المؤسسي على جودة تجربة المريض في سياق تجمع القصيم الصحي.</w:t>
      </w:r>
    </w:p>
    <w:p w14:paraId="7B8C3E4B" w14:textId="77777777" w:rsidR="0015367F" w:rsidRPr="00362D29" w:rsidRDefault="0015367F" w:rsidP="00C42472">
      <w:pPr>
        <w:numPr>
          <w:ilvl w:val="0"/>
          <w:numId w:val="27"/>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b/>
          <w:bCs/>
          <w:sz w:val="36"/>
          <w:szCs w:val="36"/>
          <w:rtl/>
        </w:rPr>
        <w:t>النموذج الوطني للتميز المؤسسي والتحول الصحي وجودة الخدمات الصحية</w:t>
      </w:r>
    </w:p>
    <w:p w14:paraId="5659017E" w14:textId="2579C240" w:rsidR="0015367F" w:rsidRPr="00362D29" w:rsidRDefault="0015367F" w:rsidP="000F389E">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النموذج الوطني للتميز المؤسسي (جائزة الملك عبد العزيز للجودة 2022) ركيزة أساسية في دعم مسيرة التحول الصحي بالمملكة العربية السعودية، حيث يتسق بشكل عميق مع متطلبات رؤية المملكة 2030 وبرنامج التحول الصحي الطموح (جائزة الملك عبد العزيز للجودة، 2022). إن جدوى تطبيق هذا النموذج في القطاع الصحي تتجلى في قدرته على توجيه المنظمات الصحية نحو تبني أفضل الممارسات العالمية والمحلية، مما يعزز كفاءتها التشغيلية وفاعليتها في تقديم الرعاية. وقد أظهرت العديد من الدراسات أن تطبيق أطر التميز المؤسسي يسهم بشكل مباشر في تحسين جودة الخدمات الصحية، من خلال ترسيخ ثقافة التحسين المستمر، وتمكين الكوادر البشرية، وتطوير العمليات (سلمان وآخرون، 2025؛ الرويلي وظفرة، 2025).</w:t>
      </w:r>
    </w:p>
    <w:p w14:paraId="79592ABE" w14:textId="0E5E93F7" w:rsidR="00732864" w:rsidRPr="000F389E" w:rsidRDefault="0015367F" w:rsidP="000F389E">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تخدم مفاهيم النموذج الوطني جودة الخدمات الصحية بشكل محوري، خاصة عبر مبادئه التي تركز على "القيادة بالإلهام والقدوة الحسنة" و"الاهتمام بالموارد البشرية" و"إدارة العمليات"، والتي تضمن بيئة عمل محفزة ومنظمة تسهم في تقديم رعاية صحية عالية الجودة (البلوي وإسماعيل، 2025؛ منصور، 2021). ولكن الأهم من ذلك، يبرز تأثير النموذج على المخرجات الصحية من خلال تركيزه الجوهري على "التركيز على المستفيدين" و"تحقيق نتائج متفوقة ومستدامة". فمن خلال فهم احتياجات المرضى وتوقعاتهم، وقياس رضاهم بشكل مستمر، يمكن للمنظمات الصحية تصميم خدمات تتمحور حول المريض، مما يؤدي إلى تحسين تجربته الصحية بشكل عام (عشوري، 2025). هذا التركيز لا يقتصر على رضا المريض فحسب، بل يمتد ليشمل تحسين المؤشرات السريرية، وتقليل الأخطاء الطبية، وزيادة فعالية العلاج، وبالتالي تحقيق مخرجات صحية أفضل وأكثر استدامة تتوافق مع أهداف التحول الصحي الرامية إلى مجتمع حيوي ونظام رعاية صحية فعال (</w:t>
      </w:r>
      <w:r w:rsidRPr="00362D29">
        <w:rPr>
          <w:rFonts w:ascii="Traditional Arabic" w:eastAsia="Times New Roman" w:hAnsi="Traditional Arabic" w:cs="Traditional Arabic"/>
          <w:sz w:val="24"/>
          <w:szCs w:val="24"/>
        </w:rPr>
        <w:t>Alhuseini et al., 2025</w:t>
      </w:r>
      <w:r w:rsidRPr="00362D29">
        <w:rPr>
          <w:rFonts w:ascii="Traditional Arabic" w:eastAsia="Times New Roman" w:hAnsi="Traditional Arabic" w:cs="Traditional Arabic"/>
          <w:sz w:val="24"/>
          <w:szCs w:val="24"/>
          <w:rtl/>
        </w:rPr>
        <w:t xml:space="preserve">؛ </w:t>
      </w:r>
      <w:r w:rsidRPr="00362D29">
        <w:rPr>
          <w:rFonts w:ascii="Traditional Arabic" w:eastAsia="Times New Roman" w:hAnsi="Traditional Arabic" w:cs="Traditional Arabic"/>
          <w:sz w:val="24"/>
          <w:szCs w:val="24"/>
        </w:rPr>
        <w:t>Alsaleem, 2025</w:t>
      </w:r>
      <w:r w:rsidRPr="00362D29">
        <w:rPr>
          <w:rFonts w:ascii="Traditional Arabic" w:eastAsia="Times New Roman" w:hAnsi="Traditional Arabic" w:cs="Traditional Arabic"/>
          <w:sz w:val="24"/>
          <w:szCs w:val="24"/>
          <w:rtl/>
        </w:rPr>
        <w:t>).</w:t>
      </w:r>
    </w:p>
    <w:p w14:paraId="74AE6A6A" w14:textId="1C92918B" w:rsidR="00732864" w:rsidRPr="00362D29" w:rsidRDefault="001F1000" w:rsidP="00732864">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r w:rsidRPr="00362D29">
        <w:rPr>
          <w:rFonts w:ascii="Traditional Arabic" w:eastAsia="Calibri" w:hAnsi="Traditional Arabic" w:cs="Traditional Arabic"/>
          <w:b/>
          <w:bCs/>
          <w:color w:val="00B0F0"/>
          <w:sz w:val="32"/>
          <w:szCs w:val="32"/>
          <w:u w:val="single"/>
          <w:rtl/>
        </w:rPr>
        <w:lastRenderedPageBreak/>
        <w:t xml:space="preserve">مقارنة بين نماذج </w:t>
      </w:r>
      <w:r w:rsidR="00096052" w:rsidRPr="00362D29">
        <w:rPr>
          <w:rFonts w:ascii="Traditional Arabic" w:eastAsia="Calibri" w:hAnsi="Traditional Arabic" w:cs="Traditional Arabic"/>
          <w:b/>
          <w:bCs/>
          <w:color w:val="00B0F0"/>
          <w:sz w:val="32"/>
          <w:szCs w:val="32"/>
          <w:u w:val="single"/>
          <w:rtl/>
        </w:rPr>
        <w:t xml:space="preserve">التميز المؤسسي التي تم تناولها </w:t>
      </w:r>
    </w:p>
    <w:tbl>
      <w:tblPr>
        <w:tblpPr w:leftFromText="180" w:rightFromText="180" w:topFromText="120" w:bottomFromText="120" w:vertAnchor="text" w:horzAnchor="margin" w:tblpXSpec="center" w:tblpY="777"/>
        <w:tblW w:w="57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2125"/>
        <w:gridCol w:w="2125"/>
        <w:gridCol w:w="2131"/>
        <w:gridCol w:w="990"/>
      </w:tblGrid>
      <w:tr w:rsidR="00732864" w:rsidRPr="00732864" w14:paraId="75A79246" w14:textId="77777777" w:rsidTr="00215DD6">
        <w:trPr>
          <w:cantSplit/>
          <w:trHeight w:val="687"/>
          <w:tblHeader/>
        </w:trPr>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37988D73"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الوطني</w:t>
            </w:r>
            <w:r w:rsidRPr="00732864">
              <w:rPr>
                <w:rFonts w:ascii="Traditional Arabic" w:eastAsia="Times New Roman" w:hAnsi="Traditional Arabic" w:cs="Traditional Arabic"/>
                <w:b/>
                <w:bCs/>
                <w:sz w:val="24"/>
                <w:szCs w:val="24"/>
              </w:rPr>
              <w:t xml:space="preserve"> </w:t>
            </w:r>
            <w:r w:rsidRPr="00732864">
              <w:rPr>
                <w:rFonts w:ascii="Traditional Arabic" w:eastAsia="Times New Roman" w:hAnsi="Traditional Arabic" w:cs="Traditional Arabic"/>
                <w:b/>
                <w:bCs/>
                <w:sz w:val="24"/>
                <w:szCs w:val="24"/>
                <w:rtl/>
              </w:rPr>
              <w:t>السعودي</w:t>
            </w:r>
            <w:r w:rsidRPr="00732864">
              <w:rPr>
                <w:rFonts w:ascii="Traditional Arabic" w:eastAsia="Times New Roman" w:hAnsi="Traditional Arabic" w:cs="Traditional Arabic"/>
                <w:b/>
                <w:bCs/>
                <w:sz w:val="24"/>
                <w:szCs w:val="24"/>
              </w:rPr>
              <w:t xml:space="preserve"> (KAQA 2022)</w:t>
            </w:r>
          </w:p>
        </w:tc>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72774CF7"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الأوروبي</w:t>
            </w:r>
            <w:r w:rsidRPr="00732864">
              <w:rPr>
                <w:rFonts w:ascii="Traditional Arabic" w:eastAsia="Times New Roman" w:hAnsi="Traditional Arabic" w:cs="Traditional Arabic"/>
                <w:b/>
                <w:bCs/>
                <w:sz w:val="24"/>
                <w:szCs w:val="24"/>
              </w:rPr>
              <w:t xml:space="preserve"> </w:t>
            </w:r>
          </w:p>
          <w:p w14:paraId="65D097EA"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Pr>
              <w:t>(EFQM 2025)</w:t>
            </w:r>
          </w:p>
        </w:tc>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0E60D356"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الأمريكي</w:t>
            </w:r>
            <w:r w:rsidRPr="00732864">
              <w:rPr>
                <w:rFonts w:ascii="Traditional Arabic" w:eastAsia="Times New Roman" w:hAnsi="Traditional Arabic" w:cs="Traditional Arabic"/>
                <w:b/>
                <w:bCs/>
                <w:sz w:val="24"/>
                <w:szCs w:val="24"/>
              </w:rPr>
              <w:t xml:space="preserve"> </w:t>
            </w:r>
          </w:p>
          <w:p w14:paraId="3398503A"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Pr>
              <w:t>(Baldrige 2024)</w:t>
            </w:r>
          </w:p>
        </w:tc>
        <w:tc>
          <w:tcPr>
            <w:tcW w:w="1122"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754A8D92"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الياباني</w:t>
            </w:r>
            <w:r w:rsidRPr="00732864">
              <w:rPr>
                <w:rFonts w:ascii="Traditional Arabic" w:eastAsia="Times New Roman" w:hAnsi="Traditional Arabic" w:cs="Traditional Arabic"/>
                <w:b/>
                <w:bCs/>
                <w:sz w:val="24"/>
                <w:szCs w:val="24"/>
              </w:rPr>
              <w:t xml:space="preserve"> (Deming Prize)</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8260556"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w:t>
            </w:r>
          </w:p>
        </w:tc>
      </w:tr>
      <w:tr w:rsidR="00732864" w:rsidRPr="00732864" w14:paraId="2FE28377"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8A3860F"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مزيج من أفضل الممارسات العالمية مع خصوصية محلية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45AC663"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الفلسفة الأوروبية للجودة الشاملة والتنمية المستدامة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979B51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الفلسفة الأمريكية لإدارة الجودة الشاملة والتميز في الأداء</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2D25B170"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الفلسفة اليابانية لمبادئ الجودة الشاملة (</w:t>
            </w:r>
            <w:r w:rsidRPr="00732864">
              <w:rPr>
                <w:rFonts w:ascii="Traditional Arabic" w:eastAsia="Times New Roman" w:hAnsi="Traditional Arabic" w:cs="Traditional Arabic"/>
                <w:sz w:val="24"/>
                <w:szCs w:val="24"/>
              </w:rPr>
              <w:t>TQM</w:t>
            </w:r>
            <w:r w:rsidRPr="00732864">
              <w:rPr>
                <w:rFonts w:ascii="Traditional Arabic" w:eastAsia="Times New Roman" w:hAnsi="Traditional Arabic" w:cs="Traditional Arabic"/>
                <w:sz w:val="24"/>
                <w:szCs w:val="24"/>
                <w:rtl/>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1A14ED5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tl/>
              </w:rPr>
            </w:pPr>
            <w:r w:rsidRPr="00732864">
              <w:rPr>
                <w:rFonts w:ascii="Traditional Arabic" w:eastAsia="Times New Roman" w:hAnsi="Traditional Arabic" w:cs="Traditional Arabic"/>
                <w:b/>
                <w:bCs/>
                <w:sz w:val="24"/>
                <w:szCs w:val="24"/>
                <w:rtl/>
              </w:rPr>
              <w:t>المرجعية الفكرية</w:t>
            </w:r>
          </w:p>
        </w:tc>
      </w:tr>
      <w:tr w:rsidR="00732864" w:rsidRPr="00732864" w14:paraId="554EC594"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FDA4A0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تحقيق الريادة الوطنية والعالمية للمنظمات السعودية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4574B5C"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تحقيق التميز المستدام والقدرة التنافسية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3F2C735"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تعزيز القدرة التنافسية للمنظمات الأمريكية</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3D144B3"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تحسين جودة المنتجات والخدمات وزيادة الإنتاجية</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E455806" w14:textId="01ECD158"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الهدف</w:t>
            </w:r>
          </w:p>
        </w:tc>
      </w:tr>
      <w:tr w:rsidR="00732864" w:rsidRPr="00732864" w14:paraId="124BECB2"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9FEB214"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إطار وطني لتعزيز التميز والجودة الشاملة ومواكبة رؤية 2030</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B029802"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إطار عمل عالمي للتميز المستدام، يركز على خلق قيمة مستدامة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D8E7066"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إطار عمل وطني أمريكي للتميز في الأداء، يركز على التنافسية</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C7AD392"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جائزة عالمية للجودة الشاملة، تركز على التحكم الإحصائي</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والتحسين المستمر</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2F134BB3"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التعريف والفلسفة</w:t>
            </w:r>
          </w:p>
        </w:tc>
      </w:tr>
      <w:tr w:rsidR="00732864" w:rsidRPr="00732864" w14:paraId="6121725D"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05C413E7"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التميز الشامل في الأداء المؤسسي، ومواءمة الأهداف الوطنية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E3C30FA"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خلق قيمة مستدامة، قيادة الأداء، تسخير الإبداع، بناء</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القدرات</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62FB92A"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التميز في الأداء والنتائج، القيادة، الاستراتيجية، التركيز</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على العميل</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FDF7200"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الجودة الشاملة، التحسين المستمر، التحكم في العمليات،</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مشاركة العاملين</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5A2539A6"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الركائز الاساسية</w:t>
            </w:r>
          </w:p>
        </w:tc>
      </w:tr>
      <w:tr w:rsidR="00732864" w:rsidRPr="00732864" w14:paraId="2760A38B"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B2D4A8D" w14:textId="661C2169" w:rsidR="00732864" w:rsidRPr="00732864" w:rsidRDefault="00BA6A92" w:rsidP="00BA6A92">
            <w:pPr>
              <w:bidi/>
              <w:spacing w:before="100" w:beforeAutospacing="1" w:after="100" w:afterAutospacing="1"/>
              <w:jc w:val="center"/>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9 </w:t>
            </w:r>
            <w:r w:rsidR="00732864" w:rsidRPr="00732864">
              <w:rPr>
                <w:rFonts w:ascii="Traditional Arabic" w:eastAsia="Times New Roman" w:hAnsi="Traditional Arabic" w:cs="Traditional Arabic"/>
                <w:sz w:val="24"/>
                <w:szCs w:val="24"/>
                <w:rtl/>
              </w:rPr>
              <w:t>مبادئ أساسية (مثل القيادة، المستفيدون، الموارد البشرية،</w:t>
            </w:r>
            <w:r w:rsidR="00732864" w:rsidRPr="00732864">
              <w:rPr>
                <w:rFonts w:ascii="Traditional Arabic" w:eastAsia="Times New Roman" w:hAnsi="Traditional Arabic" w:cs="Traditional Arabic"/>
                <w:sz w:val="24"/>
                <w:szCs w:val="24"/>
              </w:rPr>
              <w:t xml:space="preserve"> </w:t>
            </w:r>
            <w:r w:rsidR="00FC7B6E" w:rsidRPr="00732864">
              <w:rPr>
                <w:rFonts w:ascii="Traditional Arabic" w:eastAsia="Times New Roman" w:hAnsi="Traditional Arabic" w:cs="Traditional Arabic" w:hint="cs"/>
                <w:sz w:val="24"/>
                <w:szCs w:val="24"/>
                <w:rtl/>
              </w:rPr>
              <w:t>الابتكار</w:t>
            </w:r>
            <w:r w:rsidR="00FC7B6E">
              <w:rPr>
                <w:rFonts w:ascii="Traditional Arabic" w:eastAsia="Times New Roman" w:hAnsi="Traditional Arabic" w:cs="Traditional Arabic"/>
                <w:sz w:val="24"/>
                <w:szCs w:val="24"/>
              </w:rPr>
              <w:t xml:space="preserve"> (</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391EB38" w14:textId="483505CB" w:rsidR="00732864" w:rsidRPr="00732864" w:rsidRDefault="00FC7B6E" w:rsidP="00BA6A92">
            <w:pPr>
              <w:bidi/>
              <w:spacing w:before="100" w:beforeAutospacing="1" w:after="100" w:afterAutospacing="1"/>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r w:rsidR="00732864" w:rsidRPr="00732864">
              <w:rPr>
                <w:rFonts w:ascii="Traditional Arabic" w:eastAsia="Times New Roman" w:hAnsi="Traditional Arabic" w:cs="Traditional Arabic"/>
                <w:sz w:val="24"/>
                <w:szCs w:val="24"/>
              </w:rPr>
              <w:t xml:space="preserve"> </w:t>
            </w:r>
            <w:r w:rsidR="00732864" w:rsidRPr="00732864">
              <w:rPr>
                <w:rFonts w:ascii="Traditional Arabic" w:eastAsia="Times New Roman" w:hAnsi="Traditional Arabic" w:cs="Traditional Arabic"/>
                <w:sz w:val="24"/>
                <w:szCs w:val="24"/>
                <w:rtl/>
              </w:rPr>
              <w:t xml:space="preserve">محاور رئيسية (التوجه، التنفيذ، النتائج) </w:t>
            </w:r>
            <w:r w:rsidR="00BA6A92" w:rsidRPr="00732864">
              <w:rPr>
                <w:rFonts w:ascii="Traditional Arabic" w:eastAsia="Times New Roman" w:hAnsi="Traditional Arabic" w:cs="Traditional Arabic" w:hint="cs"/>
                <w:sz w:val="24"/>
                <w:szCs w:val="24"/>
                <w:rtl/>
              </w:rPr>
              <w:t>و7</w:t>
            </w:r>
            <w:r w:rsidR="00732864" w:rsidRPr="00732864">
              <w:rPr>
                <w:rFonts w:ascii="Traditional Arabic" w:eastAsia="Times New Roman" w:hAnsi="Traditional Arabic" w:cs="Traditional Arabic"/>
                <w:sz w:val="24"/>
                <w:szCs w:val="24"/>
                <w:rtl/>
              </w:rPr>
              <w:t xml:space="preserve"> معايير</w:t>
            </w:r>
            <w:r w:rsidR="00732864"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FF9C80B" w14:textId="0EFAA9DC" w:rsidR="00732864" w:rsidRPr="00732864" w:rsidRDefault="00FC7B6E" w:rsidP="00BA6A92">
            <w:pPr>
              <w:bidi/>
              <w:spacing w:before="100" w:beforeAutospacing="1" w:after="100" w:afterAutospacing="1"/>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7 </w:t>
            </w:r>
            <w:r w:rsidR="00732864" w:rsidRPr="00732864">
              <w:rPr>
                <w:rFonts w:ascii="Traditional Arabic" w:eastAsia="Times New Roman" w:hAnsi="Traditional Arabic" w:cs="Traditional Arabic"/>
                <w:sz w:val="24"/>
                <w:szCs w:val="24"/>
                <w:rtl/>
              </w:rPr>
              <w:t>فئات رئيسية (القيادة، الاستراتيجية، المستفيدون، القياس،</w:t>
            </w:r>
            <w:r w:rsidR="00732864" w:rsidRPr="00732864">
              <w:rPr>
                <w:rFonts w:ascii="Traditional Arabic" w:eastAsia="Times New Roman" w:hAnsi="Traditional Arabic" w:cs="Traditional Arabic"/>
                <w:sz w:val="24"/>
                <w:szCs w:val="24"/>
              </w:rPr>
              <w:t xml:space="preserve"> </w:t>
            </w:r>
            <w:r w:rsidR="00732864" w:rsidRPr="00732864">
              <w:rPr>
                <w:rFonts w:ascii="Traditional Arabic" w:eastAsia="Times New Roman" w:hAnsi="Traditional Arabic" w:cs="Traditional Arabic"/>
                <w:sz w:val="24"/>
                <w:szCs w:val="24"/>
                <w:rtl/>
              </w:rPr>
              <w:t>القوى العاملة، العمليات، النتائج</w:t>
            </w:r>
            <w:r>
              <w:rPr>
                <w:rFonts w:ascii="Traditional Arabic" w:eastAsia="Times New Roman" w:hAnsi="Traditional Arabic" w:cs="Traditional Arabic" w:hint="cs"/>
                <w:sz w:val="24"/>
                <w:szCs w:val="24"/>
                <w:rtl/>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6C7C1BD8" w14:textId="0D7D936F" w:rsidR="00732864" w:rsidRPr="00732864" w:rsidRDefault="00BA6A92" w:rsidP="00BA6A92">
            <w:pPr>
              <w:bidi/>
              <w:spacing w:before="100" w:beforeAutospacing="1" w:after="100" w:afterAutospacing="1"/>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14</w:t>
            </w:r>
            <w:r w:rsidR="00732864" w:rsidRPr="00732864">
              <w:rPr>
                <w:rFonts w:ascii="Traditional Arabic" w:eastAsia="Times New Roman" w:hAnsi="Traditional Arabic" w:cs="Traditional Arabic"/>
                <w:sz w:val="24"/>
                <w:szCs w:val="24"/>
                <w:rtl/>
              </w:rPr>
              <w:t>مبدأ لديمنج (مثل التحسين المستمر، التدريب</w:t>
            </w:r>
            <w:r w:rsidR="00FC7B6E">
              <w:rPr>
                <w:rFonts w:ascii="Traditional Arabic" w:eastAsia="Times New Roman" w:hAnsi="Traditional Arabic" w:cs="Traditional Arabic" w:hint="cs"/>
                <w:sz w:val="24"/>
                <w:szCs w:val="24"/>
                <w:rtl/>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7045231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المبادئ والمعايير</w:t>
            </w:r>
          </w:p>
        </w:tc>
      </w:tr>
      <w:tr w:rsidR="00732864" w:rsidRPr="00732864" w14:paraId="5596F350"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16ED227"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b/>
                <w:bCs/>
                <w:sz w:val="24"/>
                <w:szCs w:val="24"/>
                <w:rtl/>
              </w:rPr>
              <w:t>إتقان</w:t>
            </w:r>
            <w:r w:rsidRPr="00732864">
              <w:rPr>
                <w:rFonts w:ascii="Traditional Arabic" w:eastAsia="Times New Roman" w:hAnsi="Traditional Arabic" w:cs="Traditional Arabic"/>
                <w:b/>
                <w:bCs/>
                <w:sz w:val="24"/>
                <w:szCs w:val="24"/>
              </w:rPr>
              <w:t>:</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تقييم ذاتي، وثائق، زيارات ميدانية، تقرير تغذية راجعة، خطة</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تحسين</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3810705"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Pr>
              <w:t>RADAR</w:t>
            </w:r>
          </w:p>
          <w:p w14:paraId="17F73764" w14:textId="7527CCD8"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النتائج، النهج، النشر، التقييم والمراجعة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225A45FD" w14:textId="12EA7D4D" w:rsidR="00BA6A92"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b/>
                <w:bCs/>
                <w:sz w:val="24"/>
                <w:szCs w:val="24"/>
              </w:rPr>
              <w:t>ADLI:</w:t>
            </w:r>
          </w:p>
          <w:p w14:paraId="6F0BC571" w14:textId="1C707C39"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المنهج، التطبيق، التعلم، التكامل (للعمليات) + تقييم</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النتائج</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1A28594"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b/>
                <w:bCs/>
                <w:sz w:val="24"/>
                <w:szCs w:val="24"/>
              </w:rPr>
              <w:t>PDCA Cycle:</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التخطيط، التنفيذ، الفحص، التصحيح (لتحسين العمليات)</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2EB3D2E"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أداة التقييم</w:t>
            </w:r>
          </w:p>
        </w:tc>
      </w:tr>
      <w:tr w:rsidR="00732864" w:rsidRPr="00732864" w14:paraId="47AD0D44"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B012998"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جميع القطاعات (حكومي، خاص، غير ربحي)</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6A5646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جميع أنواع المنظمات والقطاعات</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620A1930" w14:textId="0381D883"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جميع أنواع المنظمات والقطاعات (مع إصدارات خاصة بالرعاية</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الصحية</w:t>
            </w:r>
            <w:r w:rsidR="009F3A3F">
              <w:rPr>
                <w:rFonts w:ascii="Traditional Arabic" w:eastAsia="Times New Roman" w:hAnsi="Traditional Arabic" w:cs="Traditional Arabic" w:hint="cs"/>
                <w:sz w:val="24"/>
                <w:szCs w:val="24"/>
                <w:rtl/>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87528BF"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جميع أنواع المنظمات والقطاعات</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01A8E6D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القطاع المستهدف</w:t>
            </w:r>
          </w:p>
        </w:tc>
      </w:tr>
    </w:tbl>
    <w:p w14:paraId="5DC7E672" w14:textId="57E61F22" w:rsidR="00051E95" w:rsidRPr="00185E04" w:rsidRDefault="003E0024" w:rsidP="00051E95">
      <w:pPr>
        <w:bidi/>
        <w:rPr>
          <w:rFonts w:ascii="Traditional Arabic" w:hAnsi="Traditional Arabic" w:cs="Traditional Arabic"/>
          <w:sz w:val="24"/>
          <w:szCs w:val="24"/>
          <w:rtl/>
        </w:rPr>
      </w:pPr>
      <w:r>
        <w:rPr>
          <w:rFonts w:ascii="Traditional Arabic" w:eastAsia="Times New Roman" w:hAnsi="Traditional Arabic" w:cs="Traditional Arabic"/>
          <w:sz w:val="24"/>
          <w:szCs w:val="24"/>
        </w:rPr>
        <w:t xml:space="preserve"> </w:t>
      </w:r>
      <w:r w:rsidR="00051E95" w:rsidRPr="00185E04">
        <w:rPr>
          <w:rFonts w:ascii="Traditional Arabic" w:hAnsi="Traditional Arabic" w:cs="Traditional Arabic"/>
          <w:sz w:val="24"/>
          <w:szCs w:val="24"/>
          <w:rtl/>
        </w:rPr>
        <w:t xml:space="preserve">يوضح </w:t>
      </w:r>
      <w:commentRangeStart w:id="5"/>
      <w:r w:rsidR="00051E95" w:rsidRPr="00733665">
        <w:rPr>
          <w:rFonts w:ascii="Traditional Arabic" w:hAnsi="Traditional Arabic" w:cs="Traditional Arabic"/>
          <w:color w:val="FF0000"/>
          <w:sz w:val="24"/>
          <w:szCs w:val="24"/>
          <w:rtl/>
        </w:rPr>
        <w:t xml:space="preserve">الجدول التالي </w:t>
      </w:r>
      <w:commentRangeEnd w:id="5"/>
      <w:r w:rsidR="00733665">
        <w:rPr>
          <w:rStyle w:val="ac"/>
          <w:rtl/>
        </w:rPr>
        <w:commentReference w:id="5"/>
      </w:r>
      <w:r w:rsidR="00051E95" w:rsidRPr="00185E04">
        <w:rPr>
          <w:rFonts w:ascii="Traditional Arabic" w:hAnsi="Traditional Arabic" w:cs="Traditional Arabic"/>
          <w:sz w:val="24"/>
          <w:szCs w:val="24"/>
          <w:rtl/>
        </w:rPr>
        <w:t xml:space="preserve">مقارنة بين </w:t>
      </w:r>
      <w:r w:rsidR="00051E95" w:rsidRPr="00185E04">
        <w:rPr>
          <w:rFonts w:ascii="Traditional Arabic" w:hAnsi="Traditional Arabic" w:cs="Traditional Arabic" w:hint="cs"/>
          <w:sz w:val="24"/>
          <w:szCs w:val="24"/>
          <w:rtl/>
        </w:rPr>
        <w:t>أبرز</w:t>
      </w:r>
      <w:r w:rsidR="00051E95" w:rsidRPr="00185E04">
        <w:rPr>
          <w:rFonts w:ascii="Traditional Arabic" w:hAnsi="Traditional Arabic" w:cs="Traditional Arabic"/>
          <w:sz w:val="24"/>
          <w:szCs w:val="24"/>
          <w:rtl/>
        </w:rPr>
        <w:t xml:space="preserve"> نماذج التميز المؤسسي العالمية والنموذج الوطني السعودي</w:t>
      </w:r>
      <w:r w:rsidR="00464818">
        <w:rPr>
          <w:rFonts w:ascii="Traditional Arabic" w:hAnsi="Traditional Arabic" w:cs="Traditional Arabic" w:hint="cs"/>
          <w:sz w:val="24"/>
          <w:szCs w:val="24"/>
          <w:rtl/>
        </w:rPr>
        <w:t xml:space="preserve"> للتميز</w:t>
      </w:r>
      <w:r w:rsidR="00051E95">
        <w:rPr>
          <w:rFonts w:ascii="Traditional Arabic" w:hAnsi="Traditional Arabic" w:cs="Traditional Arabic" w:hint="cs"/>
          <w:sz w:val="24"/>
          <w:szCs w:val="24"/>
          <w:rtl/>
        </w:rPr>
        <w:t xml:space="preserve"> لإبراز أوجه التشابه والاختلاف</w:t>
      </w:r>
      <w:r w:rsidR="00051E95" w:rsidRPr="00185E04">
        <w:rPr>
          <w:rFonts w:ascii="Traditional Arabic" w:hAnsi="Traditional Arabic" w:cs="Traditional Arabic"/>
          <w:sz w:val="24"/>
          <w:szCs w:val="24"/>
          <w:rtl/>
        </w:rPr>
        <w:t xml:space="preserve">  </w:t>
      </w:r>
    </w:p>
    <w:p w14:paraId="6A14227D" w14:textId="259EE8AB" w:rsidR="00C202BD" w:rsidRPr="00464818" w:rsidRDefault="00C202BD" w:rsidP="00C202BD">
      <w:pPr>
        <w:bidi/>
        <w:spacing w:before="0" w:after="160" w:line="360" w:lineRule="auto"/>
        <w:ind w:left="720"/>
        <w:contextualSpacing/>
        <w:jc w:val="center"/>
        <w:rPr>
          <w:rFonts w:ascii="Traditional Arabic" w:eastAsia="Aptos" w:hAnsi="Traditional Arabic" w:cs="Traditional Arabic"/>
          <w:kern w:val="2"/>
          <w:sz w:val="24"/>
          <w:szCs w:val="24"/>
          <w14:ligatures w14:val="standardContextual"/>
        </w:rPr>
      </w:pPr>
      <w:r w:rsidRPr="00464818">
        <w:rPr>
          <w:rFonts w:ascii="Traditional Arabic" w:eastAsia="Aptos" w:hAnsi="Traditional Arabic" w:cs="Traditional Arabic"/>
          <w:kern w:val="2"/>
          <w:sz w:val="24"/>
          <w:szCs w:val="24"/>
          <w:rtl/>
          <w14:ligatures w14:val="standardContextual"/>
        </w:rPr>
        <w:t xml:space="preserve">جدول </w:t>
      </w:r>
      <w:proofErr w:type="gramStart"/>
      <w:r w:rsidRPr="00464818">
        <w:rPr>
          <w:rFonts w:ascii="Traditional Arabic" w:eastAsia="Aptos" w:hAnsi="Traditional Arabic" w:cs="Traditional Arabic"/>
          <w:kern w:val="2"/>
          <w:sz w:val="24"/>
          <w:szCs w:val="24"/>
          <w:rtl/>
          <w14:ligatures w14:val="standardContextual"/>
        </w:rPr>
        <w:t>( .</w:t>
      </w:r>
      <w:proofErr w:type="gramEnd"/>
      <w:r w:rsidRPr="00464818">
        <w:rPr>
          <w:rFonts w:ascii="Traditional Arabic" w:eastAsia="Aptos" w:hAnsi="Traditional Arabic" w:cs="Traditional Arabic"/>
          <w:kern w:val="2"/>
          <w:sz w:val="24"/>
          <w:szCs w:val="24"/>
          <w:rtl/>
          <w14:ligatures w14:val="standardContextual"/>
        </w:rPr>
        <w:t xml:space="preserve">. ) : مقارنة بين </w:t>
      </w:r>
      <w:r w:rsidR="00051E95" w:rsidRPr="00464818">
        <w:rPr>
          <w:rFonts w:ascii="Traditional Arabic" w:eastAsia="Aptos" w:hAnsi="Traditional Arabic" w:cs="Traditional Arabic" w:hint="cs"/>
          <w:kern w:val="2"/>
          <w:sz w:val="24"/>
          <w:szCs w:val="24"/>
          <w:rtl/>
          <w14:ligatures w14:val="standardContextual"/>
        </w:rPr>
        <w:t>أبرز</w:t>
      </w:r>
      <w:r w:rsidRPr="00464818">
        <w:rPr>
          <w:rFonts w:ascii="Traditional Arabic" w:eastAsia="Aptos" w:hAnsi="Traditional Arabic" w:cs="Traditional Arabic" w:hint="cs"/>
          <w:kern w:val="2"/>
          <w:sz w:val="24"/>
          <w:szCs w:val="24"/>
          <w:rtl/>
          <w14:ligatures w14:val="standardContextual"/>
        </w:rPr>
        <w:t xml:space="preserve"> نماذج التميز المؤسسي</w:t>
      </w:r>
      <w:r w:rsidR="00051E95" w:rsidRPr="00464818">
        <w:rPr>
          <w:rFonts w:ascii="Traditional Arabic" w:eastAsia="Aptos" w:hAnsi="Traditional Arabic" w:cs="Traditional Arabic" w:hint="cs"/>
          <w:kern w:val="2"/>
          <w:sz w:val="24"/>
          <w:szCs w:val="24"/>
          <w:rtl/>
          <w14:ligatures w14:val="standardContextual"/>
        </w:rPr>
        <w:t xml:space="preserve"> والنموذج الوطني السعودي</w:t>
      </w:r>
      <w:r w:rsidR="00464818" w:rsidRPr="00464818">
        <w:rPr>
          <w:rFonts w:ascii="Traditional Arabic" w:eastAsia="Aptos" w:hAnsi="Traditional Arabic" w:cs="Traditional Arabic" w:hint="cs"/>
          <w:kern w:val="2"/>
          <w:sz w:val="24"/>
          <w:szCs w:val="24"/>
          <w:rtl/>
          <w14:ligatures w14:val="standardContextual"/>
        </w:rPr>
        <w:t xml:space="preserve"> للتميز</w:t>
      </w:r>
    </w:p>
    <w:p w14:paraId="5B08B62E" w14:textId="77777777" w:rsidR="00732864" w:rsidRDefault="00732864" w:rsidP="00732864">
      <w:pPr>
        <w:bidi/>
        <w:spacing w:before="0" w:after="160" w:line="360" w:lineRule="auto"/>
        <w:rPr>
          <w:rFonts w:ascii="Traditional Arabic" w:eastAsia="Times New Roman" w:hAnsi="Traditional Arabic" w:cs="Traditional Arabic"/>
          <w:sz w:val="24"/>
          <w:szCs w:val="24"/>
          <w:rtl/>
        </w:rPr>
      </w:pPr>
    </w:p>
    <w:p w14:paraId="576719CA" w14:textId="77777777" w:rsidR="00464818" w:rsidRPr="00362D29" w:rsidRDefault="00464818" w:rsidP="00464818">
      <w:pPr>
        <w:bidi/>
        <w:spacing w:before="0" w:after="160" w:line="360" w:lineRule="auto"/>
        <w:rPr>
          <w:rFonts w:ascii="Traditional Arabic" w:eastAsia="Aptos" w:hAnsi="Traditional Arabic" w:cs="Traditional Arabic"/>
          <w:kern w:val="2"/>
          <w:sz w:val="24"/>
          <w:szCs w:val="24"/>
          <w14:ligatures w14:val="standardContextual"/>
        </w:rPr>
      </w:pPr>
    </w:p>
    <w:p w14:paraId="638E3B4C"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المبحث الثاني: جودة تجربة المريض (المتغير التابع)</w:t>
      </w:r>
    </w:p>
    <w:p w14:paraId="6285B224" w14:textId="6DF28C44" w:rsidR="009A7640" w:rsidRPr="00362D29" w:rsidRDefault="009A7640"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أولاً: </w:t>
      </w:r>
      <w:commentRangeStart w:id="6"/>
      <w:r w:rsidRPr="007237F5">
        <w:rPr>
          <w:rFonts w:ascii="Traditional Arabic" w:eastAsia="Aptos" w:hAnsi="Traditional Arabic" w:cs="Traditional Arabic"/>
          <w:b/>
          <w:bCs/>
          <w:color w:val="FF0000"/>
          <w:kern w:val="2"/>
          <w:sz w:val="28"/>
          <w:szCs w:val="28"/>
          <w:rtl/>
          <w14:ligatures w14:val="standardContextual"/>
        </w:rPr>
        <w:t>مقدمة عن تجربة المريض</w:t>
      </w:r>
      <w:commentRangeEnd w:id="6"/>
      <w:r w:rsidR="007237F5" w:rsidRPr="007237F5">
        <w:rPr>
          <w:rStyle w:val="ac"/>
          <w:color w:val="FF0000"/>
          <w:rtl/>
        </w:rPr>
        <w:commentReference w:id="6"/>
      </w:r>
    </w:p>
    <w:p w14:paraId="3E0FFF9F"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أحد الركائز الأساسية التي تقوم عليها النظم الصحية الحديثة، حيث لم يعد المريض مجرد متلقٍ سلبي للخدمة العلاجية، بل أصبح شريكاً محورياً في العملية الرعاية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يبدأ فهم تجربة المريض من إدراك طبيعة "المريض" كإنسان يمر بحالة من الضعف والاحتياج، مما يولد لديه مجموعة من الاحتياجات المادية والنفسية والاجتماعية التي تتجاوز مجرد العلاج السريري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06CE49DC"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لقد شهد التوجه العالمي في الرعاية الصحية تحولاً جذرياً من "الرعاية المتمحورة حول المرض" إلى "الرعاية المتمحورة حول المريض"، وذلك نتيجة لعدة مبررات جوهرية </w:t>
      </w:r>
      <w:proofErr w:type="gramStart"/>
      <w:r w:rsidRPr="00362D29">
        <w:rPr>
          <w:rFonts w:ascii="Traditional Arabic" w:eastAsia="Aptos" w:hAnsi="Traditional Arabic" w:cs="Traditional Arabic"/>
          <w:kern w:val="2"/>
          <w:sz w:val="24"/>
          <w:szCs w:val="24"/>
          <w:rtl/>
          <w14:ligatures w14:val="standardContextual"/>
        </w:rPr>
        <w:t>أبرزها :</w:t>
      </w:r>
      <w:proofErr w:type="gramEnd"/>
    </w:p>
    <w:p w14:paraId="32F44142"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زيادة وعي المستفيدين وتوقعاتهم المتنامية:</w:t>
      </w:r>
      <w:r w:rsidRPr="00362D29">
        <w:rPr>
          <w:rFonts w:ascii="Traditional Arabic" w:eastAsia="Aptos" w:hAnsi="Traditional Arabic" w:cs="Traditional Arabic"/>
          <w:kern w:val="2"/>
          <w:sz w:val="24"/>
          <w:szCs w:val="24"/>
          <w:rtl/>
          <w14:ligatures w14:val="standardContextual"/>
        </w:rPr>
        <w:t xml:space="preserve"> لم يعد المرضى مجرد متلقين سلبيين للخدمة، بل أصبحوا أكثر اطلاعاً على حقوقهم وخياراتهم العلاجية بفضل سهولة الوصول للمعلومات. هذا الوعي المتزايد رفع من سقف توقعاتهم ليس فقط تجاه الجودة السريرية، بل أيضاً تجاه جودة التعامل، الشفافية، والمشاركة في اتخاذ القرارات المتعلقة بصحتهم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w:t>
      </w:r>
    </w:p>
    <w:p w14:paraId="5F784DA0"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تنامي التنافسية بين المؤسسات الصحية:</w:t>
      </w:r>
      <w:r w:rsidRPr="00362D29">
        <w:rPr>
          <w:rFonts w:ascii="Traditional Arabic" w:eastAsia="Aptos" w:hAnsi="Traditional Arabic" w:cs="Traditional Arabic"/>
          <w:kern w:val="2"/>
          <w:sz w:val="24"/>
          <w:szCs w:val="24"/>
          <w:rtl/>
          <w14:ligatures w14:val="standardContextual"/>
        </w:rPr>
        <w:t xml:space="preserve"> في ظل بيئة الرعاية الصحية التنافسية، أصبحت تجربة المريض عاملاً حاسماً في جذب المرضى والاحتفاظ بهم. المؤسسات التي تقدم تجربة متميزة تكتسب ميزة تنافسية، بينما تلك التي تهمل هذا الجانب قد تخسر حصتها السوقية وثقة المجتمع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2546EC5C"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قصور الجودة الفنية وحدها في تحقيق النتائج المرجوة:</w:t>
      </w:r>
      <w:r w:rsidRPr="00362D29">
        <w:rPr>
          <w:rFonts w:ascii="Traditional Arabic" w:eastAsia="Aptos" w:hAnsi="Traditional Arabic" w:cs="Traditional Arabic"/>
          <w:kern w:val="2"/>
          <w:sz w:val="24"/>
          <w:szCs w:val="24"/>
          <w:rtl/>
          <w14:ligatures w14:val="standardContextual"/>
        </w:rPr>
        <w:t xml:space="preserve"> أظهرت العديد من التقارير والدراسات أن التركيز على الجودة السريرية والنتائج الطبية البحتة، دون الاهتمام بالجوانب الإنسانية والتواصلية، لا يكفي لتحقيق الشفاء الكامل أو الرضا المستدام للمريض. فالجودة الشاملة للرعاية تتطلب دمج الجودة الفنية مع الجودة الإدراكية التي يختبرها المريض (</w:t>
      </w:r>
      <w:r w:rsidRPr="00362D29">
        <w:rPr>
          <w:rFonts w:ascii="Traditional Arabic" w:eastAsia="Aptos" w:hAnsi="Traditional Arabic" w:cs="Traditional Arabic"/>
          <w:kern w:val="2"/>
          <w:sz w:val="24"/>
          <w:szCs w:val="24"/>
          <w14:ligatures w14:val="standardContextual"/>
        </w:rPr>
        <w:t>WHO, 2018</w:t>
      </w:r>
      <w:r w:rsidRPr="00362D29">
        <w:rPr>
          <w:rFonts w:ascii="Traditional Arabic" w:eastAsia="Aptos" w:hAnsi="Traditional Arabic" w:cs="Traditional Arabic"/>
          <w:kern w:val="2"/>
          <w:sz w:val="24"/>
          <w:szCs w:val="24"/>
          <w:rtl/>
          <w14:ligatures w14:val="standardContextual"/>
        </w:rPr>
        <w:t>).</w:t>
      </w:r>
    </w:p>
    <w:p w14:paraId="2CE65B37"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التأثير المباشر لتجربة المريض على المخرجات الصحية:</w:t>
      </w:r>
      <w:r w:rsidRPr="00362D29">
        <w:rPr>
          <w:rFonts w:ascii="Traditional Arabic" w:eastAsia="Aptos" w:hAnsi="Traditional Arabic" w:cs="Traditional Arabic"/>
          <w:kern w:val="2"/>
          <w:sz w:val="24"/>
          <w:szCs w:val="24"/>
          <w:rtl/>
          <w14:ligatures w14:val="standardContextual"/>
        </w:rPr>
        <w:t xml:space="preserve"> تؤكد الأدبيات الحديثة أن تجربة المريض الإيجابية ترتبط بشكل مباشر بتحسن المخرجات السريرية، حيث يكون المرضى الذين يمرون بتجربة جيدة أكثر التزاماً بخطط العلاج، وأقل عرضة للمضاعفات، وأسرع في التعافي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 هذا التوجه أدى إلى ظهور "تجربة المريض" كبعد مستقل ومهم من أبعاد الجودة، يعكس مدى احترام النظام الصحي لقيم المريض وتفضيلاته.</w:t>
      </w:r>
    </w:p>
    <w:p w14:paraId="39EFEFD4" w14:textId="77777777" w:rsidR="00525B8D" w:rsidRPr="00362D29" w:rsidRDefault="00525B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0A8A5D4C" w14:textId="77777777" w:rsidR="00525B8D" w:rsidRPr="00362D29" w:rsidRDefault="00525B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1C4625FF" w14:textId="44D06A49" w:rsidR="009A7640" w:rsidRPr="00362D29" w:rsidRDefault="009A7640"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ثانياً: تعريف تجربة المريض</w:t>
      </w:r>
    </w:p>
    <w:p w14:paraId="4A2C7962"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تعددت التعريفات التي قدمتها المنظمات الدولية والباحثون لمفهوم تجربة المريض، ويمكن استعراض أبرزها فيما يلي:</w:t>
      </w:r>
    </w:p>
    <w:p w14:paraId="273984F6"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1.تعريف معهد بيريل (</w:t>
      </w:r>
      <w:r w:rsidRPr="00362D29">
        <w:rPr>
          <w:rFonts w:ascii="Traditional Arabic" w:eastAsia="Aptos" w:hAnsi="Traditional Arabic" w:cs="Traditional Arabic"/>
          <w:b/>
          <w:bCs/>
          <w:kern w:val="2"/>
          <w:sz w:val="24"/>
          <w:szCs w:val="24"/>
          <w14:ligatures w14:val="standardContextual"/>
        </w:rPr>
        <w:t>The Beryl Institute</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يُعرفها بأنها "مجموع كافة التفاعلات التي تتشكل من خلال ثقافة المنظمة، والتي تؤثر على تصورات المريض عبر استمرارية الرعاية"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ويتميز هذا التعريف بشموليته حيث يربط بين التفاعلات المباشرة وثقافة المنظمة وتصورات المريض في جميع مراحل العلاج.</w:t>
      </w:r>
    </w:p>
    <w:p w14:paraId="64AE9B78"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2.تعريف وكالة أبحاث وجودة الرعاية الصحية (</w:t>
      </w:r>
      <w:r w:rsidRPr="00362D29">
        <w:rPr>
          <w:rFonts w:ascii="Traditional Arabic" w:eastAsia="Aptos" w:hAnsi="Traditional Arabic" w:cs="Traditional Arabic"/>
          <w:b/>
          <w:bCs/>
          <w:kern w:val="2"/>
          <w:sz w:val="24"/>
          <w:szCs w:val="24"/>
          <w14:ligatures w14:val="standardContextual"/>
        </w:rPr>
        <w:t>AHRQ</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تشير إلى أنها "نطاق التفاعلات التي يمتلكها المرضى مع نظام الرعاية الصحية، بما في ذلك جوانب تقديم الرعاية التي يقدرها المرضى عالياً مثل الحصول على مواعيد في الوقت المناسب، وسهولة الوصول إلى المعلومات، والتواصل الجيد مع مقدمي الرعاية"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w:t>
      </w:r>
    </w:p>
    <w:p w14:paraId="198F3D16"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3.تعريف منظمة الصحة العالمية (</w:t>
      </w:r>
      <w:r w:rsidRPr="00362D29">
        <w:rPr>
          <w:rFonts w:ascii="Traditional Arabic" w:eastAsia="Aptos" w:hAnsi="Traditional Arabic" w:cs="Traditional Arabic"/>
          <w:b/>
          <w:bCs/>
          <w:kern w:val="2"/>
          <w:sz w:val="24"/>
          <w:szCs w:val="24"/>
          <w14:ligatures w14:val="standardContextual"/>
        </w:rPr>
        <w:t>WHO</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تركز المنظمة على أن تجربة المريض هي انعكاس لمدى استجابة النظام الصحي لتوقعات الأفراد واحتياجاتهم غير الطبية، مع الحفاظ على كرامتهم واستقلاليتهم (</w:t>
      </w:r>
      <w:r w:rsidRPr="00362D29">
        <w:rPr>
          <w:rFonts w:ascii="Traditional Arabic" w:eastAsia="Aptos" w:hAnsi="Traditional Arabic" w:cs="Traditional Arabic"/>
          <w:kern w:val="2"/>
          <w:sz w:val="24"/>
          <w:szCs w:val="24"/>
          <w14:ligatures w14:val="standardContextual"/>
        </w:rPr>
        <w:t>WHO, 2018</w:t>
      </w:r>
      <w:r w:rsidRPr="00362D29">
        <w:rPr>
          <w:rFonts w:ascii="Traditional Arabic" w:eastAsia="Aptos" w:hAnsi="Traditional Arabic" w:cs="Traditional Arabic"/>
          <w:kern w:val="2"/>
          <w:sz w:val="24"/>
          <w:szCs w:val="24"/>
          <w:rtl/>
          <w14:ligatures w14:val="standardContextual"/>
        </w:rPr>
        <w:t>).</w:t>
      </w:r>
    </w:p>
    <w:p w14:paraId="27273D73"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4</w:t>
      </w:r>
      <w:r w:rsidRPr="00362D29">
        <w:rPr>
          <w:rFonts w:ascii="Traditional Arabic" w:eastAsia="Aptos" w:hAnsi="Traditional Arabic" w:cs="Traditional Arabic"/>
          <w:b/>
          <w:bCs/>
          <w:kern w:val="2"/>
          <w:sz w:val="24"/>
          <w:szCs w:val="24"/>
          <w:rtl/>
          <w14:ligatures w14:val="standardContextual"/>
        </w:rPr>
        <w:t xml:space="preserve">.التعريف الإجرائي (التعريف الشامل): </w:t>
      </w:r>
      <w:r w:rsidRPr="00362D29">
        <w:rPr>
          <w:rFonts w:ascii="Traditional Arabic" w:eastAsia="Aptos" w:hAnsi="Traditional Arabic" w:cs="Traditional Arabic"/>
          <w:kern w:val="2"/>
          <w:sz w:val="24"/>
          <w:szCs w:val="24"/>
          <w:rtl/>
          <w14:ligatures w14:val="standardContextual"/>
        </w:rPr>
        <w:t>يمكن صياغة تجربة المريض بأنها "كل ما يقال ويفعل ويؤثر على أفكار ومشاعر ورفاهية المرضى"، وهي تشمل الجوانب الموضوعية لما حدث فعلاً أثناء الرعاية، والجوانب الذاتية لكيفية إدراك المريض لتلك الرعاية (</w:t>
      </w:r>
      <w:r w:rsidRPr="00362D29">
        <w:rPr>
          <w:rFonts w:ascii="Traditional Arabic" w:eastAsia="Aptos" w:hAnsi="Traditional Arabic" w:cs="Traditional Arabic"/>
          <w:kern w:val="2"/>
          <w:sz w:val="24"/>
          <w:szCs w:val="24"/>
          <w14:ligatures w14:val="standardContextual"/>
        </w:rPr>
        <w:t>Oben, 2020; Ozcelik et al., 2021</w:t>
      </w:r>
      <w:r w:rsidRPr="00362D29">
        <w:rPr>
          <w:rFonts w:ascii="Traditional Arabic" w:eastAsia="Aptos" w:hAnsi="Traditional Arabic" w:cs="Traditional Arabic"/>
          <w:kern w:val="2"/>
          <w:sz w:val="24"/>
          <w:szCs w:val="24"/>
          <w:rtl/>
          <w14:ligatures w14:val="standardContextual"/>
        </w:rPr>
        <w:t>).</w:t>
      </w:r>
    </w:p>
    <w:p w14:paraId="276D310E" w14:textId="6CB06945" w:rsidR="009A7640" w:rsidRPr="00362D29" w:rsidRDefault="009A7640"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ثالثاً: مفهوم تجربة المريض</w:t>
      </w:r>
      <w:r w:rsidR="008A6F36">
        <w:rPr>
          <w:rFonts w:ascii="Traditional Arabic" w:eastAsia="Aptos" w:hAnsi="Traditional Arabic" w:cs="Traditional Arabic" w:hint="cs"/>
          <w:b/>
          <w:bCs/>
          <w:kern w:val="2"/>
          <w:sz w:val="28"/>
          <w:szCs w:val="28"/>
          <w:rtl/>
          <w14:ligatures w14:val="standardContextual"/>
        </w:rPr>
        <w:t xml:space="preserve"> والمفاهيم المتعلقة به</w:t>
      </w:r>
    </w:p>
    <w:p w14:paraId="22FFBC7B"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مفهوم تجربة المريض مفهوماً شمولياً يتجاوز مجرد "رضا المريض". فبينما يركز الرضا على التوقعات الذاتية ومدى تلبيتها، تركز التجربة على رصد حقائق ما حدث فعلاً أثناء رحلة العلاج (هل تم التواصل بوضوح؟ هل تم شرح الأدوية؟)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w:t>
      </w:r>
    </w:p>
    <w:p w14:paraId="47EE7EB8"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يقوم المفهوم على أربعة عناصر جوهرية:</w:t>
      </w:r>
    </w:p>
    <w:p w14:paraId="23802FFD" w14:textId="77777777" w:rsidR="009A7640" w:rsidRPr="00362D29" w:rsidRDefault="009A7640" w:rsidP="00C42472">
      <w:pPr>
        <w:numPr>
          <w:ilvl w:val="0"/>
          <w:numId w:val="3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التفاعلات (</w:t>
      </w:r>
      <w:r w:rsidRPr="00362D29">
        <w:rPr>
          <w:rFonts w:ascii="Traditional Arabic" w:eastAsia="Aptos" w:hAnsi="Traditional Arabic" w:cs="Traditional Arabic"/>
          <w:kern w:val="2"/>
          <w:sz w:val="24"/>
          <w:szCs w:val="24"/>
          <w14:ligatures w14:val="standardContextual"/>
        </w:rPr>
        <w:t>Interactions</w:t>
      </w:r>
      <w:r w:rsidRPr="00362D29">
        <w:rPr>
          <w:rFonts w:ascii="Traditional Arabic" w:eastAsia="Aptos" w:hAnsi="Traditional Arabic" w:cs="Traditional Arabic"/>
          <w:kern w:val="2"/>
          <w:sz w:val="24"/>
          <w:szCs w:val="24"/>
          <w:rtl/>
          <w14:ligatures w14:val="standardContextual"/>
        </w:rPr>
        <w:t>): وهي نقاط الاتصال المخطط لها بين المريض والمنظمة (أشخاص، عمليات، بيئة).</w:t>
      </w:r>
    </w:p>
    <w:p w14:paraId="07BDB9E8" w14:textId="77777777" w:rsidR="009A7640" w:rsidRPr="00362D29" w:rsidRDefault="009A7640" w:rsidP="00C42472">
      <w:pPr>
        <w:numPr>
          <w:ilvl w:val="0"/>
          <w:numId w:val="3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الثقافة (</w:t>
      </w:r>
      <w:r w:rsidRPr="00362D29">
        <w:rPr>
          <w:rFonts w:ascii="Traditional Arabic" w:eastAsia="Aptos" w:hAnsi="Traditional Arabic" w:cs="Traditional Arabic"/>
          <w:kern w:val="2"/>
          <w:sz w:val="24"/>
          <w:szCs w:val="24"/>
          <w14:ligatures w14:val="standardContextual"/>
        </w:rPr>
        <w:t>Culture</w:t>
      </w:r>
      <w:r w:rsidRPr="00362D29">
        <w:rPr>
          <w:rFonts w:ascii="Traditional Arabic" w:eastAsia="Aptos" w:hAnsi="Traditional Arabic" w:cs="Traditional Arabic"/>
          <w:kern w:val="2"/>
          <w:sz w:val="24"/>
          <w:szCs w:val="24"/>
          <w:rtl/>
          <w14:ligatures w14:val="standardContextual"/>
        </w:rPr>
        <w:t>): القيم والرؤية التي تتبناها المنظمة وتنعكس على سلوك موظفيها.</w:t>
      </w:r>
    </w:p>
    <w:p w14:paraId="1491A737" w14:textId="77777777" w:rsidR="009A7640" w:rsidRPr="00362D29" w:rsidRDefault="009A7640" w:rsidP="00C42472">
      <w:pPr>
        <w:numPr>
          <w:ilvl w:val="0"/>
          <w:numId w:val="3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التصورات (</w:t>
      </w:r>
      <w:r w:rsidRPr="00362D29">
        <w:rPr>
          <w:rFonts w:ascii="Traditional Arabic" w:eastAsia="Aptos" w:hAnsi="Traditional Arabic" w:cs="Traditional Arabic"/>
          <w:kern w:val="2"/>
          <w:sz w:val="24"/>
          <w:szCs w:val="24"/>
          <w14:ligatures w14:val="standardContextual"/>
        </w:rPr>
        <w:t>Perceptions</w:t>
      </w:r>
      <w:r w:rsidRPr="00362D29">
        <w:rPr>
          <w:rFonts w:ascii="Traditional Arabic" w:eastAsia="Aptos" w:hAnsi="Traditional Arabic" w:cs="Traditional Arabic"/>
          <w:kern w:val="2"/>
          <w:sz w:val="24"/>
          <w:szCs w:val="24"/>
          <w:rtl/>
          <w14:ligatures w14:val="standardContextual"/>
        </w:rPr>
        <w:t>): ما يفهمه المريض ويتذكره من تلك التفاعلات بناءً على خلفيته الثقافية وقيمه.</w:t>
      </w:r>
    </w:p>
    <w:p w14:paraId="2336DAF1" w14:textId="12CFABE1" w:rsidR="00476B1D" w:rsidRPr="00362D29" w:rsidRDefault="009A7640" w:rsidP="00C42472">
      <w:pPr>
        <w:numPr>
          <w:ilvl w:val="0"/>
          <w:numId w:val="30"/>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استمرارية الرعاية (</w:t>
      </w:r>
      <w:r w:rsidRPr="00362D29">
        <w:rPr>
          <w:rFonts w:ascii="Traditional Arabic" w:eastAsia="Aptos" w:hAnsi="Traditional Arabic" w:cs="Traditional Arabic"/>
          <w:kern w:val="2"/>
          <w:sz w:val="24"/>
          <w:szCs w:val="24"/>
          <w14:ligatures w14:val="standardContextual"/>
        </w:rPr>
        <w:t>Continuum of Care</w:t>
      </w:r>
      <w:r w:rsidRPr="00362D29">
        <w:rPr>
          <w:rFonts w:ascii="Traditional Arabic" w:eastAsia="Aptos" w:hAnsi="Traditional Arabic" w:cs="Traditional Arabic"/>
          <w:kern w:val="2"/>
          <w:sz w:val="24"/>
          <w:szCs w:val="24"/>
          <w:rtl/>
          <w14:ligatures w14:val="standardContextual"/>
        </w:rPr>
        <w:t>): تبدأ التجربة من مرحلة ما قبل دخول المستشفى وتستمر إلى ما بعد الخروج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22852D32" w14:textId="77777777" w:rsidR="00476B1D" w:rsidRPr="00362D29" w:rsidRDefault="00476B1D" w:rsidP="00362D29">
      <w:pPr>
        <w:bidi/>
        <w:spacing w:before="0" w:after="160" w:line="360" w:lineRule="auto"/>
        <w:contextualSpacing/>
        <w:jc w:val="both"/>
        <w:rPr>
          <w:rFonts w:ascii="Traditional Arabic" w:eastAsia="Aptos" w:hAnsi="Traditional Arabic" w:cs="Traditional Arabic"/>
          <w:kern w:val="2"/>
          <w:sz w:val="24"/>
          <w:szCs w:val="24"/>
          <w14:ligatures w14:val="standardContextual"/>
        </w:rPr>
      </w:pPr>
    </w:p>
    <w:p w14:paraId="5723CF49" w14:textId="5E8DE6D8" w:rsidR="009A7640" w:rsidRPr="00362D29" w:rsidRDefault="00680129" w:rsidP="00C42472">
      <w:pPr>
        <w:numPr>
          <w:ilvl w:val="0"/>
          <w:numId w:val="31"/>
        </w:numPr>
        <w:bidi/>
        <w:spacing w:before="0" w:after="160" w:line="360" w:lineRule="auto"/>
        <w:contextualSpacing/>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 xml:space="preserve">مفهوم </w:t>
      </w:r>
      <w:r w:rsidR="009A7640" w:rsidRPr="00362D29">
        <w:rPr>
          <w:rFonts w:ascii="Traditional Arabic" w:eastAsia="Aptos" w:hAnsi="Traditional Arabic" w:cs="Traditional Arabic"/>
          <w:b/>
          <w:bCs/>
          <w:kern w:val="2"/>
          <w:sz w:val="28"/>
          <w:szCs w:val="28"/>
          <w:rtl/>
          <w14:ligatures w14:val="standardContextual"/>
        </w:rPr>
        <w:t xml:space="preserve">تجربة المريض مقابل </w:t>
      </w: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رضا المريض</w:t>
      </w:r>
    </w:p>
    <w:p w14:paraId="13D3FC63" w14:textId="3170B7AB"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التمييز والتفرقة بين مفهومي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ورضا المريض (</w:t>
      </w:r>
      <w:r w:rsidRPr="00362D29">
        <w:rPr>
          <w:rFonts w:ascii="Traditional Arabic" w:eastAsia="Aptos" w:hAnsi="Traditional Arabic" w:cs="Traditional Arabic"/>
          <w:kern w:val="2"/>
          <w:sz w:val="24"/>
          <w:szCs w:val="24"/>
          <w14:ligatures w14:val="standardContextual"/>
        </w:rPr>
        <w:t>Patient Satisfaction</w:t>
      </w:r>
      <w:r w:rsidRPr="00362D29">
        <w:rPr>
          <w:rFonts w:ascii="Traditional Arabic" w:eastAsia="Aptos" w:hAnsi="Traditional Arabic" w:cs="Traditional Arabic"/>
          <w:kern w:val="2"/>
          <w:sz w:val="24"/>
          <w:szCs w:val="24"/>
          <w:rtl/>
          <w14:ligatures w14:val="standardContextual"/>
        </w:rPr>
        <w:t xml:space="preserve">) أمراً جوهرياً في سياق الرعاية الصحية الحديثة، فبالرغم من تداولهما أحياناً بشكل مترادف، إلا أنهما يمثلان بعدين مختلفين تماماً ولهما دلالات متباينة على جودة الرعاية وتحسينها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468625C6"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تجربة المريض (</w:t>
      </w:r>
      <w:r w:rsidRPr="00362D29">
        <w:rPr>
          <w:rFonts w:ascii="Traditional Arabic" w:eastAsia="Aptos" w:hAnsi="Traditional Arabic" w:cs="Traditional Arabic"/>
          <w:b/>
          <w:bCs/>
          <w:kern w:val="2"/>
          <w:sz w:val="24"/>
          <w:szCs w:val="24"/>
          <w14:ligatures w14:val="standardContextual"/>
        </w:rPr>
        <w:t>Patient Experience</w:t>
      </w:r>
      <w:r w:rsidRPr="00362D29">
        <w:rPr>
          <w:rFonts w:ascii="Traditional Arabic" w:eastAsia="Aptos" w:hAnsi="Traditional Arabic" w:cs="Traditional Arabic"/>
          <w:b/>
          <w:bCs/>
          <w:kern w:val="2"/>
          <w:sz w:val="24"/>
          <w:szCs w:val="24"/>
          <w:rtl/>
          <w14:ligatures w14:val="standardContextual"/>
        </w:rPr>
        <w:t>)</w:t>
      </w:r>
    </w:p>
    <w:p w14:paraId="23640588" w14:textId="558865FB"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تُعرف تجربة المريض بأنها مجموع كافة التفاعلات التي يخوضها المريض مع نظام الرعاية الصحية، وكيفية إدراكه لهذه التفاعلات. وهي تشمل كل نقطة اتصال، بدءاً من لحظة الترحيب في الاستقبال، مروراً بالرعاية المقدمة من الأطباء والممرضين وغيرهم من مقدمي الرعاية الصحية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4F34FBC3" w14:textId="6E8F7DA2"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عند قياس تجربة المريض، ينصب التركيز على (ما قد حدث بالفعل)، أي تقييم الجودة الموضوعية للرعاية من منظور المريض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 xml:space="preserve">). فالهدف هو تحديد ما إذا كانت الجوانب المختلفة للنظام الصحي – من التواصل وسلامة المرضى إلى بيئة المستشفى – تعكس رعاية عالية الجودة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3EAB3B03"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2</w:t>
      </w:r>
      <w:r w:rsidRPr="00362D29">
        <w:rPr>
          <w:rFonts w:ascii="Traditional Arabic" w:eastAsia="Aptos" w:hAnsi="Traditional Arabic" w:cs="Traditional Arabic"/>
          <w:b/>
          <w:bCs/>
          <w:kern w:val="2"/>
          <w:sz w:val="24"/>
          <w:szCs w:val="24"/>
          <w:rtl/>
          <w14:ligatures w14:val="standardContextual"/>
        </w:rPr>
        <w:t>. رضا المريض (</w:t>
      </w:r>
      <w:r w:rsidRPr="00362D29">
        <w:rPr>
          <w:rFonts w:ascii="Traditional Arabic" w:eastAsia="Aptos" w:hAnsi="Traditional Arabic" w:cs="Traditional Arabic"/>
          <w:b/>
          <w:bCs/>
          <w:kern w:val="2"/>
          <w:sz w:val="24"/>
          <w:szCs w:val="24"/>
          <w14:ligatures w14:val="standardContextual"/>
        </w:rPr>
        <w:t>Patient Satisfaction</w:t>
      </w:r>
      <w:r w:rsidRPr="00362D29">
        <w:rPr>
          <w:rFonts w:ascii="Traditional Arabic" w:eastAsia="Aptos" w:hAnsi="Traditional Arabic" w:cs="Traditional Arabic"/>
          <w:b/>
          <w:bCs/>
          <w:kern w:val="2"/>
          <w:sz w:val="24"/>
          <w:szCs w:val="24"/>
          <w:rtl/>
          <w14:ligatures w14:val="standardContextual"/>
        </w:rPr>
        <w:t>)</w:t>
      </w:r>
    </w:p>
    <w:p w14:paraId="1126811C" w14:textId="77777777" w:rsidR="00EC0B49"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يعتمد رضا المريض على </w:t>
      </w:r>
      <w:r w:rsidRPr="00362D29">
        <w:rPr>
          <w:rFonts w:ascii="Traditional Arabic" w:eastAsia="Aptos" w:hAnsi="Traditional Arabic" w:cs="Traditional Arabic"/>
          <w:b/>
          <w:bCs/>
          <w:kern w:val="2"/>
          <w:sz w:val="24"/>
          <w:szCs w:val="24"/>
          <w:rtl/>
          <w14:ligatures w14:val="standardContextual"/>
        </w:rPr>
        <w:t>توقعات المريض</w:t>
      </w:r>
      <w:r w:rsidRPr="00362D29">
        <w:rPr>
          <w:rFonts w:ascii="Traditional Arabic" w:eastAsia="Aptos" w:hAnsi="Traditional Arabic" w:cs="Traditional Arabic"/>
          <w:kern w:val="2"/>
          <w:sz w:val="24"/>
          <w:szCs w:val="24"/>
          <w:rtl/>
          <w14:ligatures w14:val="standardContextual"/>
        </w:rPr>
        <w:t xml:space="preserve"> الخاصة به فيما يتعلق بقطاع الرعاية الصحية، وما إذا كانت هذه التوقعات قد تحققت ام </w:t>
      </w:r>
      <w:proofErr w:type="gramStart"/>
      <w:r w:rsidRPr="00362D29">
        <w:rPr>
          <w:rFonts w:ascii="Traditional Arabic" w:eastAsia="Aptos" w:hAnsi="Traditional Arabic" w:cs="Traditional Arabic"/>
          <w:kern w:val="2"/>
          <w:sz w:val="24"/>
          <w:szCs w:val="24"/>
          <w:rtl/>
          <w14:ligatures w14:val="standardContextual"/>
        </w:rPr>
        <w:t>لا ،</w:t>
      </w:r>
      <w:proofErr w:type="gramEnd"/>
      <w:r w:rsidRPr="00362D29">
        <w:rPr>
          <w:rFonts w:ascii="Traditional Arabic" w:eastAsia="Aptos" w:hAnsi="Traditional Arabic" w:cs="Traditional Arabic"/>
          <w:kern w:val="2"/>
          <w:sz w:val="24"/>
          <w:szCs w:val="24"/>
          <w:rtl/>
          <w14:ligatures w14:val="standardContextual"/>
        </w:rPr>
        <w:t xml:space="preserve"> وبالتالي، فإن رضا المريض يُعد مقياساً ذاتياً للرعاية الصحية. يمكن لمريضين أن يتلقيا نفس الرعاية تماماً، ولكن يكون لديهما مستويات رضا مختلفة بسبب اختلاف توقعاتهما الذاتية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0A1FC43A" w14:textId="2F52A8E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كما تشير الأدبيات إلى أن الرضا ليس مقياساً موثوقاً للجودة، حيث يميل المريض إلى إعطاء تقييم إيجابي بعد العلاج مباشرة، وتزداد فرص التقييم الإيجابي إذا صيغت الأسئلة بشكل إيجابي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1289DB9B" w14:textId="4DBA8FAA" w:rsidR="00EC0B49" w:rsidRPr="00362D29" w:rsidRDefault="009A7640" w:rsidP="00C42472">
      <w:pPr>
        <w:pStyle w:val="ab"/>
        <w:numPr>
          <w:ilvl w:val="0"/>
          <w:numId w:val="2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أوجه الاختلاف والتشابه</w:t>
      </w:r>
      <w:r w:rsidR="00662003" w:rsidRPr="00362D29">
        <w:rPr>
          <w:rFonts w:ascii="Traditional Arabic" w:eastAsia="Aptos" w:hAnsi="Traditional Arabic" w:cs="Traditional Arabic"/>
          <w:b/>
          <w:bCs/>
          <w:kern w:val="2"/>
          <w:sz w:val="24"/>
          <w:szCs w:val="24"/>
          <w:rtl/>
          <w14:ligatures w14:val="standardContextual"/>
        </w:rPr>
        <w:t xml:space="preserve"> </w:t>
      </w:r>
      <w:r w:rsidR="00EC0B49" w:rsidRPr="00362D29">
        <w:rPr>
          <w:rFonts w:ascii="Traditional Arabic" w:eastAsia="Aptos" w:hAnsi="Traditional Arabic" w:cs="Traditional Arabic"/>
          <w:b/>
          <w:bCs/>
          <w:kern w:val="2"/>
          <w:sz w:val="24"/>
          <w:szCs w:val="24"/>
          <w:rtl/>
          <w14:ligatures w14:val="standardContextual"/>
        </w:rPr>
        <w:t>(</w:t>
      </w:r>
      <w:r w:rsidR="00EC0B49" w:rsidRPr="00362D29">
        <w:rPr>
          <w:rFonts w:ascii="Traditional Arabic" w:eastAsia="Aptos" w:hAnsi="Traditional Arabic" w:cs="Traditional Arabic"/>
          <w:b/>
          <w:bCs/>
          <w:kern w:val="2"/>
          <w:sz w:val="24"/>
          <w:szCs w:val="24"/>
          <w14:ligatures w14:val="standardContextual"/>
        </w:rPr>
        <w:t>Health Academy, 2022</w:t>
      </w:r>
      <w:r w:rsidR="00EC0B49" w:rsidRPr="00362D29">
        <w:rPr>
          <w:rFonts w:ascii="Traditional Arabic" w:eastAsia="Aptos" w:hAnsi="Traditional Arabic" w:cs="Traditional Arabic"/>
          <w:b/>
          <w:bCs/>
          <w:kern w:val="2"/>
          <w:sz w:val="24"/>
          <w:szCs w:val="24"/>
          <w:rtl/>
          <w14:ligatures w14:val="standardContextual"/>
        </w:rPr>
        <w:t>).</w:t>
      </w:r>
    </w:p>
    <w:p w14:paraId="40670FEA" w14:textId="55ED7914" w:rsidR="009A7640" w:rsidRPr="00362D29" w:rsidRDefault="009A7640" w:rsidP="00362D29">
      <w:pPr>
        <w:bidi/>
        <w:spacing w:before="0" w:after="160" w:line="360" w:lineRule="auto"/>
        <w:ind w:left="360"/>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بينما تتداخل </w:t>
      </w:r>
      <w:r w:rsidR="004D4AE1" w:rsidRPr="00362D29">
        <w:rPr>
          <w:rFonts w:ascii="Traditional Arabic" w:eastAsia="Aptos" w:hAnsi="Traditional Arabic" w:cs="Traditional Arabic"/>
          <w:kern w:val="2"/>
          <w:sz w:val="24"/>
          <w:szCs w:val="24"/>
          <w:rtl/>
          <w14:ligatures w14:val="standardContextual"/>
        </w:rPr>
        <w:t xml:space="preserve">مفاهيم </w:t>
      </w:r>
      <w:r w:rsidRPr="00362D29">
        <w:rPr>
          <w:rFonts w:ascii="Traditional Arabic" w:eastAsia="Aptos" w:hAnsi="Traditional Arabic" w:cs="Traditional Arabic"/>
          <w:kern w:val="2"/>
          <w:sz w:val="24"/>
          <w:szCs w:val="24"/>
          <w:rtl/>
          <w14:ligatures w14:val="standardContextual"/>
        </w:rPr>
        <w:t xml:space="preserve">تجربة المريض ورضا المريض في بعض الجوانب، إلا أن هناك اختلافات جوهرية تميز كلاً منهما، مما يجعل تجربة المريض مقياساً أفضل لجودة الرعاية. يمكن تلخيص هذه الفروقات في </w:t>
      </w:r>
      <w:commentRangeStart w:id="7"/>
      <w:r w:rsidRPr="00A231C7">
        <w:rPr>
          <w:rFonts w:ascii="Traditional Arabic" w:eastAsia="Aptos" w:hAnsi="Traditional Arabic" w:cs="Traditional Arabic"/>
          <w:color w:val="FF0000"/>
          <w:kern w:val="2"/>
          <w:sz w:val="24"/>
          <w:szCs w:val="24"/>
          <w:rtl/>
          <w14:ligatures w14:val="standardContextual"/>
        </w:rPr>
        <w:t>الجدول التالي</w:t>
      </w:r>
      <w:r w:rsidRPr="00362D29">
        <w:rPr>
          <w:rFonts w:ascii="Traditional Arabic" w:eastAsia="Aptos" w:hAnsi="Traditional Arabic" w:cs="Traditional Arabic"/>
          <w:kern w:val="2"/>
          <w:sz w:val="24"/>
          <w:szCs w:val="24"/>
          <w:rtl/>
          <w14:ligatures w14:val="standardContextual"/>
        </w:rPr>
        <w:t>:</w:t>
      </w:r>
      <w:commentRangeEnd w:id="7"/>
      <w:r w:rsidR="00A231C7">
        <w:rPr>
          <w:rStyle w:val="ac"/>
          <w:rtl/>
        </w:rPr>
        <w:commentReference w:id="7"/>
      </w:r>
    </w:p>
    <w:p w14:paraId="3C97692F" w14:textId="77777777" w:rsidR="00FB6F0D" w:rsidRPr="00A231C7" w:rsidRDefault="00FB6F0D" w:rsidP="00362D29">
      <w:pPr>
        <w:bidi/>
        <w:spacing w:before="0" w:after="160" w:line="360" w:lineRule="auto"/>
        <w:jc w:val="both"/>
        <w:rPr>
          <w:rFonts w:ascii="Traditional Arabic" w:eastAsia="Aptos" w:hAnsi="Traditional Arabic" w:cs="Traditional Arabic"/>
          <w:color w:val="FF0000"/>
          <w:kern w:val="2"/>
          <w:sz w:val="24"/>
          <w:szCs w:val="24"/>
          <w:rtl/>
          <w14:ligatures w14:val="standardContextual"/>
        </w:rPr>
      </w:pPr>
    </w:p>
    <w:p w14:paraId="5950598A" w14:textId="77777777" w:rsidR="00FB6F0D" w:rsidRPr="00362D29" w:rsidRDefault="00FB6F0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tbl>
      <w:tblPr>
        <w:tblStyle w:val="10"/>
        <w:bidiVisual/>
        <w:tblW w:w="0" w:type="auto"/>
        <w:tblLook w:val="04A0" w:firstRow="1" w:lastRow="0" w:firstColumn="1" w:lastColumn="0" w:noHBand="0" w:noVBand="1"/>
      </w:tblPr>
      <w:tblGrid>
        <w:gridCol w:w="1214"/>
        <w:gridCol w:w="3399"/>
        <w:gridCol w:w="3683"/>
      </w:tblGrid>
      <w:tr w:rsidR="009A7640" w:rsidRPr="00362D29" w14:paraId="4CF49F54" w14:textId="77777777" w:rsidTr="00680129">
        <w:tc>
          <w:tcPr>
            <w:tcW w:w="1214" w:type="dxa"/>
            <w:shd w:val="clear" w:color="auto" w:fill="F2F2F2" w:themeFill="background1" w:themeFillShade="F2"/>
            <w:vAlign w:val="center"/>
          </w:tcPr>
          <w:p w14:paraId="4CDA4891" w14:textId="30B250D0" w:rsidR="009A7640" w:rsidRPr="00362D29" w:rsidRDefault="00965A21"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lastRenderedPageBreak/>
              <w:t>نقاط المقارنة</w:t>
            </w:r>
          </w:p>
        </w:tc>
        <w:tc>
          <w:tcPr>
            <w:tcW w:w="3399" w:type="dxa"/>
            <w:shd w:val="clear" w:color="auto" w:fill="F2F2F2" w:themeFill="background1" w:themeFillShade="F2"/>
          </w:tcPr>
          <w:p w14:paraId="6D1EC43B" w14:textId="2FDC474E" w:rsidR="009A7640" w:rsidRPr="00362D29" w:rsidRDefault="001052BA"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تجربة المريض (</w:t>
            </w:r>
            <w:r w:rsidRPr="00362D29">
              <w:rPr>
                <w:rFonts w:ascii="Traditional Arabic" w:eastAsia="Aptos" w:hAnsi="Traditional Arabic" w:cs="Traditional Arabic"/>
                <w:b/>
                <w:bCs/>
                <w:sz w:val="24"/>
                <w:szCs w:val="24"/>
              </w:rPr>
              <w:t>Patient Experience</w:t>
            </w:r>
            <w:r w:rsidRPr="00362D29">
              <w:rPr>
                <w:rFonts w:ascii="Traditional Arabic" w:eastAsia="Aptos" w:hAnsi="Traditional Arabic" w:cs="Traditional Arabic"/>
                <w:b/>
                <w:bCs/>
                <w:sz w:val="24"/>
                <w:szCs w:val="24"/>
                <w:rtl/>
              </w:rPr>
              <w:t>)</w:t>
            </w:r>
          </w:p>
        </w:tc>
        <w:tc>
          <w:tcPr>
            <w:tcW w:w="3683" w:type="dxa"/>
            <w:shd w:val="clear" w:color="auto" w:fill="F2F2F2" w:themeFill="background1" w:themeFillShade="F2"/>
          </w:tcPr>
          <w:p w14:paraId="505AF84E" w14:textId="73F16B00" w:rsidR="009A7640" w:rsidRPr="00362D29" w:rsidRDefault="00DB7E13"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 xml:space="preserve">رضا المريض </w:t>
            </w:r>
            <w:r w:rsidR="004171BF" w:rsidRPr="00362D29">
              <w:rPr>
                <w:rFonts w:ascii="Traditional Arabic" w:eastAsia="Aptos" w:hAnsi="Traditional Arabic" w:cs="Traditional Arabic"/>
                <w:b/>
                <w:bCs/>
                <w:sz w:val="24"/>
                <w:szCs w:val="24"/>
                <w:rtl/>
              </w:rPr>
              <w:t>(</w:t>
            </w:r>
            <w:r w:rsidR="004171BF" w:rsidRPr="00362D29">
              <w:rPr>
                <w:rFonts w:ascii="Traditional Arabic" w:eastAsia="Aptos" w:hAnsi="Traditional Arabic" w:cs="Traditional Arabic"/>
                <w:b/>
                <w:bCs/>
                <w:sz w:val="24"/>
                <w:szCs w:val="24"/>
              </w:rPr>
              <w:t>Patient Satisfaction</w:t>
            </w:r>
            <w:r w:rsidR="004171BF" w:rsidRPr="00362D29">
              <w:rPr>
                <w:rFonts w:ascii="Traditional Arabic" w:eastAsia="Aptos" w:hAnsi="Traditional Arabic" w:cs="Traditional Arabic"/>
                <w:b/>
                <w:bCs/>
                <w:sz w:val="24"/>
                <w:szCs w:val="24"/>
                <w:rtl/>
              </w:rPr>
              <w:t>)</w:t>
            </w:r>
          </w:p>
        </w:tc>
      </w:tr>
      <w:tr w:rsidR="009A7640" w:rsidRPr="00362D29" w14:paraId="798CD869" w14:textId="77777777" w:rsidTr="00680129">
        <w:tc>
          <w:tcPr>
            <w:tcW w:w="1214" w:type="dxa"/>
            <w:shd w:val="clear" w:color="auto" w:fill="F2F2F2" w:themeFill="background1" w:themeFillShade="F2"/>
            <w:vAlign w:val="center"/>
          </w:tcPr>
          <w:p w14:paraId="5F912EEF" w14:textId="77777777" w:rsidR="009A7640" w:rsidRPr="00362D29" w:rsidRDefault="009A764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التعريف</w:t>
            </w:r>
          </w:p>
        </w:tc>
        <w:tc>
          <w:tcPr>
            <w:tcW w:w="3399" w:type="dxa"/>
          </w:tcPr>
          <w:p w14:paraId="5FC2635C" w14:textId="0FD645C4" w:rsidR="009A7640" w:rsidRPr="00362D29" w:rsidRDefault="007919D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مجموعة التفاعلات التي يخوضها </w:t>
            </w:r>
            <w:r w:rsidR="00094A91" w:rsidRPr="00362D29">
              <w:rPr>
                <w:rFonts w:ascii="Traditional Arabic" w:eastAsia="Aptos" w:hAnsi="Traditional Arabic" w:cs="Traditional Arabic"/>
                <w:sz w:val="24"/>
                <w:szCs w:val="24"/>
                <w:rtl/>
              </w:rPr>
              <w:t xml:space="preserve">المريض في النظام الصحي وكيفية إدراكه لها </w:t>
            </w:r>
          </w:p>
        </w:tc>
        <w:tc>
          <w:tcPr>
            <w:tcW w:w="3683" w:type="dxa"/>
          </w:tcPr>
          <w:p w14:paraId="3F6AA6C6" w14:textId="11FFE252" w:rsidR="009A7640" w:rsidRPr="00362D29" w:rsidRDefault="0066200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مدى تلبية توقعات المريض الخاصة بالرعاية</w:t>
            </w:r>
          </w:p>
        </w:tc>
      </w:tr>
      <w:tr w:rsidR="009A7640" w:rsidRPr="00362D29" w14:paraId="73959E68" w14:textId="77777777" w:rsidTr="00680129">
        <w:tc>
          <w:tcPr>
            <w:tcW w:w="1214" w:type="dxa"/>
            <w:shd w:val="clear" w:color="auto" w:fill="F2F2F2" w:themeFill="background1" w:themeFillShade="F2"/>
            <w:vAlign w:val="center"/>
          </w:tcPr>
          <w:p w14:paraId="2B573639" w14:textId="77777777" w:rsidR="009A7640" w:rsidRPr="00362D29" w:rsidRDefault="009A764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الهدف</w:t>
            </w:r>
          </w:p>
        </w:tc>
        <w:tc>
          <w:tcPr>
            <w:tcW w:w="3399" w:type="dxa"/>
          </w:tcPr>
          <w:p w14:paraId="4BC7E8C5" w14:textId="09B8ABF2" w:rsidR="009A7640" w:rsidRPr="00362D29" w:rsidRDefault="007B6FA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تحسين جودة الرعاية من خلال فهم مسار المريض وتفاعلاته</w:t>
            </w:r>
          </w:p>
        </w:tc>
        <w:tc>
          <w:tcPr>
            <w:tcW w:w="3683" w:type="dxa"/>
          </w:tcPr>
          <w:p w14:paraId="4F39B305" w14:textId="7181CBA2" w:rsidR="009A7640" w:rsidRPr="00362D29" w:rsidRDefault="00FE37F4"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قياس مدى سعادة المريض </w:t>
            </w:r>
            <w:r w:rsidR="001F3FC3" w:rsidRPr="00362D29">
              <w:rPr>
                <w:rFonts w:ascii="Traditional Arabic" w:eastAsia="Aptos" w:hAnsi="Traditional Arabic" w:cs="Traditional Arabic"/>
                <w:sz w:val="24"/>
                <w:szCs w:val="24"/>
                <w:rtl/>
              </w:rPr>
              <w:t xml:space="preserve">عن الخدمة </w:t>
            </w:r>
          </w:p>
        </w:tc>
      </w:tr>
      <w:tr w:rsidR="009A7640" w:rsidRPr="00362D29" w14:paraId="1346D2CA" w14:textId="77777777" w:rsidTr="00680129">
        <w:tc>
          <w:tcPr>
            <w:tcW w:w="1214" w:type="dxa"/>
            <w:shd w:val="clear" w:color="auto" w:fill="F2F2F2" w:themeFill="background1" w:themeFillShade="F2"/>
            <w:vAlign w:val="center"/>
          </w:tcPr>
          <w:p w14:paraId="4DEAE295" w14:textId="47A501B0" w:rsidR="009A7640" w:rsidRPr="00362D29" w:rsidRDefault="00D678BA"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الطبيعة</w:t>
            </w:r>
          </w:p>
        </w:tc>
        <w:tc>
          <w:tcPr>
            <w:tcW w:w="3399" w:type="dxa"/>
          </w:tcPr>
          <w:p w14:paraId="4703500F" w14:textId="5D8D7D0D" w:rsidR="009A7640" w:rsidRPr="00362D29" w:rsidRDefault="00251019" w:rsidP="00362D29">
            <w:pPr>
              <w:bidi/>
              <w:spacing w:line="360" w:lineRule="auto"/>
              <w:jc w:val="both"/>
              <w:rPr>
                <w:rFonts w:ascii="Traditional Arabic" w:eastAsia="Aptos" w:hAnsi="Traditional Arabic" w:cs="Traditional Arabic"/>
                <w:sz w:val="24"/>
                <w:szCs w:val="24"/>
                <w:rtl/>
              </w:rPr>
            </w:pPr>
            <w:proofErr w:type="gramStart"/>
            <w:r w:rsidRPr="00362D29">
              <w:rPr>
                <w:rFonts w:ascii="Traditional Arabic" w:eastAsia="Aptos" w:hAnsi="Traditional Arabic" w:cs="Traditional Arabic"/>
                <w:sz w:val="24"/>
                <w:szCs w:val="24"/>
                <w:rtl/>
              </w:rPr>
              <w:t>شاملة ،</w:t>
            </w:r>
            <w:proofErr w:type="gramEnd"/>
            <w:r w:rsidRPr="00362D29">
              <w:rPr>
                <w:rFonts w:ascii="Traditional Arabic" w:eastAsia="Aptos" w:hAnsi="Traditional Arabic" w:cs="Traditional Arabic"/>
                <w:sz w:val="24"/>
                <w:szCs w:val="24"/>
                <w:rtl/>
              </w:rPr>
              <w:t xml:space="preserve"> تركز على العمليات ، والتواصل ، السلامة ، البيئة </w:t>
            </w:r>
          </w:p>
        </w:tc>
        <w:tc>
          <w:tcPr>
            <w:tcW w:w="3683" w:type="dxa"/>
          </w:tcPr>
          <w:p w14:paraId="652338CC" w14:textId="1471E449" w:rsidR="009A7640" w:rsidRPr="00362D29" w:rsidRDefault="00567910" w:rsidP="00362D29">
            <w:pPr>
              <w:bidi/>
              <w:spacing w:line="360" w:lineRule="auto"/>
              <w:jc w:val="both"/>
              <w:rPr>
                <w:rFonts w:ascii="Traditional Arabic" w:eastAsia="Aptos" w:hAnsi="Traditional Arabic" w:cs="Traditional Arabic"/>
                <w:sz w:val="24"/>
                <w:szCs w:val="24"/>
                <w:rtl/>
              </w:rPr>
            </w:pPr>
            <w:proofErr w:type="gramStart"/>
            <w:r w:rsidRPr="00362D29">
              <w:rPr>
                <w:rFonts w:ascii="Traditional Arabic" w:eastAsia="Aptos" w:hAnsi="Traditional Arabic" w:cs="Traditional Arabic"/>
                <w:sz w:val="24"/>
                <w:szCs w:val="24"/>
                <w:rtl/>
              </w:rPr>
              <w:t>ذاتية ،</w:t>
            </w:r>
            <w:proofErr w:type="gramEnd"/>
            <w:r w:rsidRPr="00362D29">
              <w:rPr>
                <w:rFonts w:ascii="Traditional Arabic" w:eastAsia="Aptos" w:hAnsi="Traditional Arabic" w:cs="Traditional Arabic"/>
                <w:sz w:val="24"/>
                <w:szCs w:val="24"/>
                <w:rtl/>
              </w:rPr>
              <w:t xml:space="preserve"> وشخصية ، </w:t>
            </w:r>
            <w:r w:rsidR="00537201" w:rsidRPr="00362D29">
              <w:rPr>
                <w:rFonts w:ascii="Traditional Arabic" w:eastAsia="Aptos" w:hAnsi="Traditional Arabic" w:cs="Traditional Arabic"/>
                <w:sz w:val="24"/>
                <w:szCs w:val="24"/>
                <w:rtl/>
              </w:rPr>
              <w:t>تتأثر</w:t>
            </w:r>
            <w:r w:rsidRPr="00362D29">
              <w:rPr>
                <w:rFonts w:ascii="Traditional Arabic" w:eastAsia="Aptos" w:hAnsi="Traditional Arabic" w:cs="Traditional Arabic"/>
                <w:sz w:val="24"/>
                <w:szCs w:val="24"/>
                <w:rtl/>
              </w:rPr>
              <w:t xml:space="preserve"> بحالة </w:t>
            </w:r>
            <w:r w:rsidR="008661CC" w:rsidRPr="00362D29">
              <w:rPr>
                <w:rFonts w:ascii="Traditional Arabic" w:eastAsia="Aptos" w:hAnsi="Traditional Arabic" w:cs="Traditional Arabic"/>
                <w:sz w:val="24"/>
                <w:szCs w:val="24"/>
                <w:rtl/>
              </w:rPr>
              <w:t>المريض المزاجية والتوقعات الفردية</w:t>
            </w:r>
          </w:p>
        </w:tc>
      </w:tr>
      <w:tr w:rsidR="009A7640" w:rsidRPr="00362D29" w14:paraId="3637A04C" w14:textId="77777777" w:rsidTr="00680129">
        <w:tc>
          <w:tcPr>
            <w:tcW w:w="1214" w:type="dxa"/>
            <w:shd w:val="clear" w:color="auto" w:fill="F2F2F2" w:themeFill="background1" w:themeFillShade="F2"/>
            <w:vAlign w:val="center"/>
          </w:tcPr>
          <w:p w14:paraId="1F113958" w14:textId="5CC84615" w:rsidR="009A7640" w:rsidRPr="00362D29" w:rsidRDefault="00D53D85"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التركيز</w:t>
            </w:r>
          </w:p>
        </w:tc>
        <w:tc>
          <w:tcPr>
            <w:tcW w:w="3399" w:type="dxa"/>
          </w:tcPr>
          <w:p w14:paraId="72D1B404" w14:textId="06B8BDBB" w:rsidR="009A7640" w:rsidRPr="00362D29" w:rsidRDefault="00D53D8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الجودة الموضوعية (</w:t>
            </w:r>
            <w:r w:rsidR="00C6189B" w:rsidRPr="00362D29">
              <w:rPr>
                <w:rFonts w:ascii="Traditional Arabic" w:eastAsia="Aptos" w:hAnsi="Traditional Arabic" w:cs="Traditional Arabic"/>
                <w:sz w:val="24"/>
                <w:szCs w:val="24"/>
              </w:rPr>
              <w:t>Objective</w:t>
            </w:r>
            <w:r w:rsidR="00C6189B" w:rsidRPr="00362D29">
              <w:rPr>
                <w:rFonts w:ascii="Traditional Arabic" w:eastAsia="Aptos" w:hAnsi="Traditional Arabic" w:cs="Traditional Arabic"/>
                <w:sz w:val="24"/>
                <w:szCs w:val="24"/>
                <w:rtl/>
              </w:rPr>
              <w:t xml:space="preserve">) ما كان ينبغي ان يحدث </w:t>
            </w:r>
            <w:r w:rsidR="00B44032" w:rsidRPr="00362D29">
              <w:rPr>
                <w:rFonts w:ascii="Traditional Arabic" w:eastAsia="Aptos" w:hAnsi="Traditional Arabic" w:cs="Traditional Arabic"/>
                <w:sz w:val="24"/>
                <w:szCs w:val="24"/>
                <w:rtl/>
              </w:rPr>
              <w:t>حدث بالفعل.</w:t>
            </w:r>
          </w:p>
        </w:tc>
        <w:tc>
          <w:tcPr>
            <w:tcW w:w="3683" w:type="dxa"/>
          </w:tcPr>
          <w:p w14:paraId="71F3EF7E" w14:textId="169C218C" w:rsidR="009A7640" w:rsidRPr="00362D29" w:rsidRDefault="00B44032"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الجودة الذاتية (</w:t>
            </w:r>
            <w:r w:rsidRPr="00362D29">
              <w:rPr>
                <w:rFonts w:ascii="Traditional Arabic" w:eastAsia="Aptos" w:hAnsi="Traditional Arabic" w:cs="Traditional Arabic"/>
                <w:sz w:val="24"/>
                <w:szCs w:val="24"/>
              </w:rPr>
              <w:t>Subjective</w:t>
            </w:r>
            <w:r w:rsidRPr="00362D29">
              <w:rPr>
                <w:rFonts w:ascii="Traditional Arabic" w:eastAsia="Aptos" w:hAnsi="Traditional Arabic" w:cs="Traditional Arabic"/>
                <w:sz w:val="24"/>
                <w:szCs w:val="24"/>
                <w:rtl/>
              </w:rPr>
              <w:t xml:space="preserve">) </w:t>
            </w:r>
            <w:r w:rsidR="00547E32" w:rsidRPr="00362D29">
              <w:rPr>
                <w:rFonts w:ascii="Traditional Arabic" w:eastAsia="Aptos" w:hAnsi="Traditional Arabic" w:cs="Traditional Arabic"/>
                <w:sz w:val="24"/>
                <w:szCs w:val="24"/>
                <w:rtl/>
              </w:rPr>
              <w:t>مدى تلبية التوقعات الذاتية للمريض.</w:t>
            </w:r>
          </w:p>
        </w:tc>
      </w:tr>
      <w:tr w:rsidR="009A7640" w:rsidRPr="00362D29" w14:paraId="37C3C329" w14:textId="77777777" w:rsidTr="00680129">
        <w:tc>
          <w:tcPr>
            <w:tcW w:w="1214" w:type="dxa"/>
            <w:shd w:val="clear" w:color="auto" w:fill="F2F2F2" w:themeFill="background1" w:themeFillShade="F2"/>
            <w:vAlign w:val="center"/>
          </w:tcPr>
          <w:p w14:paraId="0F0D5044" w14:textId="737CD249" w:rsidR="009A7640" w:rsidRPr="00362D29" w:rsidRDefault="00547E3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التأثر</w:t>
            </w:r>
          </w:p>
        </w:tc>
        <w:tc>
          <w:tcPr>
            <w:tcW w:w="3399" w:type="dxa"/>
          </w:tcPr>
          <w:p w14:paraId="0CCCED37" w14:textId="0AFF9247" w:rsidR="009A7640" w:rsidRPr="00362D29" w:rsidRDefault="000E760E"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أقل تأثرا بالعوامل </w:t>
            </w:r>
            <w:r w:rsidR="00755689" w:rsidRPr="00362D29">
              <w:rPr>
                <w:rFonts w:ascii="Traditional Arabic" w:eastAsia="Aptos" w:hAnsi="Traditional Arabic" w:cs="Traditional Arabic"/>
                <w:sz w:val="24"/>
                <w:szCs w:val="24"/>
                <w:rtl/>
              </w:rPr>
              <w:t>الشخصية والمزاجية</w:t>
            </w:r>
          </w:p>
        </w:tc>
        <w:tc>
          <w:tcPr>
            <w:tcW w:w="3683" w:type="dxa"/>
          </w:tcPr>
          <w:p w14:paraId="2CB50669" w14:textId="2CEEECF9" w:rsidR="009A7640" w:rsidRPr="00362D29" w:rsidRDefault="0075568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تتأثر بشدة بالعوامل المزاجية و</w:t>
            </w:r>
            <w:r w:rsidR="005A4B83" w:rsidRPr="00362D29">
              <w:rPr>
                <w:rFonts w:ascii="Traditional Arabic" w:eastAsia="Aptos" w:hAnsi="Traditional Arabic" w:cs="Traditional Arabic"/>
                <w:sz w:val="24"/>
                <w:szCs w:val="24"/>
                <w:rtl/>
              </w:rPr>
              <w:t>كيفية صياغة الاسئلة</w:t>
            </w:r>
          </w:p>
        </w:tc>
      </w:tr>
      <w:tr w:rsidR="009A7640" w:rsidRPr="00362D29" w14:paraId="3F9E321D" w14:textId="77777777" w:rsidTr="00680129">
        <w:tc>
          <w:tcPr>
            <w:tcW w:w="1214" w:type="dxa"/>
            <w:shd w:val="clear" w:color="auto" w:fill="F2F2F2" w:themeFill="background1" w:themeFillShade="F2"/>
            <w:vAlign w:val="center"/>
          </w:tcPr>
          <w:p w14:paraId="6C22CDA4" w14:textId="132C052D" w:rsidR="009A7640" w:rsidRPr="00362D29" w:rsidRDefault="005A4B83"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الأهمية للجودة</w:t>
            </w:r>
          </w:p>
        </w:tc>
        <w:tc>
          <w:tcPr>
            <w:tcW w:w="3399" w:type="dxa"/>
          </w:tcPr>
          <w:p w14:paraId="0E37ECF0" w14:textId="18386E61" w:rsidR="009A7640" w:rsidRPr="00362D29" w:rsidRDefault="00FD4DF2"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من </w:t>
            </w:r>
            <w:r w:rsidR="00740020" w:rsidRPr="00362D29">
              <w:rPr>
                <w:rFonts w:ascii="Traditional Arabic" w:eastAsia="Aptos" w:hAnsi="Traditional Arabic" w:cs="Traditional Arabic"/>
                <w:sz w:val="24"/>
                <w:szCs w:val="24"/>
                <w:rtl/>
              </w:rPr>
              <w:t>أفضل</w:t>
            </w:r>
            <w:r w:rsidRPr="00362D29">
              <w:rPr>
                <w:rFonts w:ascii="Traditional Arabic" w:eastAsia="Aptos" w:hAnsi="Traditional Arabic" w:cs="Traditional Arabic"/>
                <w:sz w:val="24"/>
                <w:szCs w:val="24"/>
                <w:rtl/>
              </w:rPr>
              <w:t xml:space="preserve"> المقاييس </w:t>
            </w:r>
            <w:r w:rsidR="00740020" w:rsidRPr="00362D29">
              <w:rPr>
                <w:rFonts w:ascii="Traditional Arabic" w:eastAsia="Aptos" w:hAnsi="Traditional Arabic" w:cs="Traditional Arabic"/>
                <w:sz w:val="24"/>
                <w:szCs w:val="24"/>
                <w:rtl/>
              </w:rPr>
              <w:t xml:space="preserve">الموثوقة </w:t>
            </w:r>
            <w:r w:rsidR="00D97C32" w:rsidRPr="00362D29">
              <w:rPr>
                <w:rFonts w:ascii="Traditional Arabic" w:eastAsia="Aptos" w:hAnsi="Traditional Arabic" w:cs="Traditional Arabic"/>
                <w:sz w:val="24"/>
                <w:szCs w:val="24"/>
                <w:rtl/>
              </w:rPr>
              <w:t>لجودة الخدمة الصحية ورعاية المرضى</w:t>
            </w:r>
            <w:r w:rsidR="00740020" w:rsidRPr="00362D29">
              <w:rPr>
                <w:rFonts w:ascii="Traditional Arabic" w:eastAsia="Aptos" w:hAnsi="Traditional Arabic" w:cs="Traditional Arabic"/>
                <w:sz w:val="24"/>
                <w:szCs w:val="24"/>
                <w:rtl/>
              </w:rPr>
              <w:t xml:space="preserve">. </w:t>
            </w:r>
            <w:r w:rsidR="00DE351B" w:rsidRPr="00362D29">
              <w:rPr>
                <w:rFonts w:ascii="Traditional Arabic" w:eastAsia="Aptos" w:hAnsi="Traditional Arabic" w:cs="Traditional Arabic"/>
                <w:sz w:val="24"/>
                <w:szCs w:val="24"/>
                <w:rtl/>
              </w:rPr>
              <w:t xml:space="preserve">يعكس الأداء </w:t>
            </w:r>
            <w:proofErr w:type="gramStart"/>
            <w:r w:rsidR="00DE351B" w:rsidRPr="00362D29">
              <w:rPr>
                <w:rFonts w:ascii="Traditional Arabic" w:eastAsia="Aptos" w:hAnsi="Traditional Arabic" w:cs="Traditional Arabic"/>
                <w:sz w:val="24"/>
                <w:szCs w:val="24"/>
                <w:rtl/>
              </w:rPr>
              <w:t>الفعلي ،</w:t>
            </w:r>
            <w:proofErr w:type="gramEnd"/>
            <w:r w:rsidR="00DE351B" w:rsidRPr="00362D29">
              <w:rPr>
                <w:rFonts w:ascii="Traditional Arabic" w:eastAsia="Aptos" w:hAnsi="Traditional Arabic" w:cs="Traditional Arabic"/>
                <w:sz w:val="24"/>
                <w:szCs w:val="24"/>
                <w:rtl/>
              </w:rPr>
              <w:t xml:space="preserve"> </w:t>
            </w:r>
            <w:r w:rsidR="00740020" w:rsidRPr="00362D29">
              <w:rPr>
                <w:rFonts w:ascii="Traditional Arabic" w:eastAsia="Aptos" w:hAnsi="Traditional Arabic" w:cs="Traditional Arabic"/>
                <w:sz w:val="24"/>
                <w:szCs w:val="24"/>
                <w:rtl/>
              </w:rPr>
              <w:t xml:space="preserve">يحدد ما </w:t>
            </w:r>
            <w:r w:rsidR="00F36673" w:rsidRPr="00362D29">
              <w:rPr>
                <w:rFonts w:ascii="Traditional Arabic" w:eastAsia="Aptos" w:hAnsi="Traditional Arabic" w:cs="Traditional Arabic"/>
                <w:sz w:val="24"/>
                <w:szCs w:val="24"/>
                <w:rtl/>
              </w:rPr>
              <w:t>إذا</w:t>
            </w:r>
            <w:r w:rsidR="00740020" w:rsidRPr="00362D29">
              <w:rPr>
                <w:rFonts w:ascii="Traditional Arabic" w:eastAsia="Aptos" w:hAnsi="Traditional Arabic" w:cs="Traditional Arabic"/>
                <w:sz w:val="24"/>
                <w:szCs w:val="24"/>
                <w:rtl/>
              </w:rPr>
              <w:t xml:space="preserve"> كانت المعايير تم تحقيقها ام لا</w:t>
            </w:r>
            <w:r w:rsidR="0084010E" w:rsidRPr="00362D29">
              <w:rPr>
                <w:rFonts w:ascii="Traditional Arabic" w:eastAsia="Aptos" w:hAnsi="Traditional Arabic" w:cs="Traditional Arabic"/>
                <w:sz w:val="24"/>
                <w:szCs w:val="24"/>
                <w:rtl/>
              </w:rPr>
              <w:t xml:space="preserve"> </w:t>
            </w:r>
          </w:p>
        </w:tc>
        <w:tc>
          <w:tcPr>
            <w:tcW w:w="3683" w:type="dxa"/>
          </w:tcPr>
          <w:p w14:paraId="12897D72" w14:textId="0BA9ADD4" w:rsidR="009A7640" w:rsidRPr="00362D29" w:rsidRDefault="0084010E"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ليس مقياسا موثوقاً لجودة الخدمات الصحية ولا يعكس الأداء الفعلي</w:t>
            </w:r>
          </w:p>
        </w:tc>
      </w:tr>
      <w:tr w:rsidR="009A7640" w:rsidRPr="00362D29" w14:paraId="58F04BF2" w14:textId="77777777" w:rsidTr="00680129">
        <w:tc>
          <w:tcPr>
            <w:tcW w:w="1214" w:type="dxa"/>
            <w:shd w:val="clear" w:color="auto" w:fill="F2F2F2" w:themeFill="background1" w:themeFillShade="F2"/>
            <w:vAlign w:val="center"/>
          </w:tcPr>
          <w:p w14:paraId="32F5691D" w14:textId="57B9969A" w:rsidR="009A7640" w:rsidRPr="00362D29" w:rsidRDefault="00DE351B"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القياس</w:t>
            </w:r>
          </w:p>
        </w:tc>
        <w:tc>
          <w:tcPr>
            <w:tcW w:w="3399" w:type="dxa"/>
          </w:tcPr>
          <w:p w14:paraId="0BCE4A91" w14:textId="1D8A46C3" w:rsidR="009A7640" w:rsidRPr="00362D29" w:rsidRDefault="00C05AD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مقياس موضوعي لجودة ا</w:t>
            </w:r>
            <w:r w:rsidR="003C360A" w:rsidRPr="00362D29">
              <w:rPr>
                <w:rFonts w:ascii="Traditional Arabic" w:eastAsia="Aptos" w:hAnsi="Traditional Arabic" w:cs="Traditional Arabic"/>
                <w:sz w:val="24"/>
                <w:szCs w:val="24"/>
                <w:rtl/>
              </w:rPr>
              <w:t xml:space="preserve">لخدمة من منظور المريض (مثال </w:t>
            </w:r>
            <w:r w:rsidR="003C360A" w:rsidRPr="00362D29">
              <w:rPr>
                <w:rFonts w:ascii="Traditional Arabic" w:eastAsia="Aptos" w:hAnsi="Traditional Arabic" w:cs="Traditional Arabic"/>
                <w:sz w:val="24"/>
                <w:szCs w:val="24"/>
              </w:rPr>
              <w:t>CAHPS</w:t>
            </w:r>
            <w:r w:rsidR="003C360A" w:rsidRPr="00362D29">
              <w:rPr>
                <w:rFonts w:ascii="Traditional Arabic" w:eastAsia="Aptos" w:hAnsi="Traditional Arabic" w:cs="Traditional Arabic"/>
                <w:sz w:val="24"/>
                <w:szCs w:val="24"/>
                <w:rtl/>
              </w:rPr>
              <w:t>)</w:t>
            </w:r>
          </w:p>
        </w:tc>
        <w:tc>
          <w:tcPr>
            <w:tcW w:w="3683" w:type="dxa"/>
          </w:tcPr>
          <w:p w14:paraId="040F45AA" w14:textId="4EA137D8" w:rsidR="009A7640" w:rsidRPr="00362D29" w:rsidRDefault="00F3667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مقياس ذاتي يعتمد على توقعات المريض </w:t>
            </w:r>
            <w:r w:rsidR="004174D1" w:rsidRPr="00362D29">
              <w:rPr>
                <w:rFonts w:ascii="Traditional Arabic" w:eastAsia="Aptos" w:hAnsi="Traditional Arabic" w:cs="Traditional Arabic"/>
                <w:sz w:val="24"/>
                <w:szCs w:val="24"/>
                <w:rtl/>
              </w:rPr>
              <w:t>الشخصية (أسئلة مغلقة الإجابة بنعم او لا)</w:t>
            </w:r>
          </w:p>
        </w:tc>
      </w:tr>
    </w:tbl>
    <w:p w14:paraId="67EF4975" w14:textId="107F1405" w:rsidR="00E06F01" w:rsidRPr="00362D29" w:rsidRDefault="00F34388" w:rsidP="00362D29">
      <w:pPr>
        <w:bidi/>
        <w:spacing w:before="0" w:after="160" w:line="360" w:lineRule="auto"/>
        <w:ind w:left="720"/>
        <w:contextualSpacing/>
        <w:jc w:val="center"/>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جدول </w:t>
      </w:r>
      <w:proofErr w:type="gramStart"/>
      <w:r w:rsidRPr="00362D29">
        <w:rPr>
          <w:rFonts w:ascii="Traditional Arabic" w:eastAsia="Aptos" w:hAnsi="Traditional Arabic" w:cs="Traditional Arabic"/>
          <w:kern w:val="2"/>
          <w:sz w:val="24"/>
          <w:szCs w:val="24"/>
          <w:rtl/>
          <w14:ligatures w14:val="standardContextual"/>
        </w:rPr>
        <w:t xml:space="preserve">( </w:t>
      </w:r>
      <w:r w:rsidR="006C1C8E" w:rsidRPr="00362D29">
        <w:rPr>
          <w:rFonts w:ascii="Traditional Arabic" w:eastAsia="Aptos" w:hAnsi="Traditional Arabic" w:cs="Traditional Arabic"/>
          <w:kern w:val="2"/>
          <w:sz w:val="24"/>
          <w:szCs w:val="24"/>
          <w:rtl/>
          <w14:ligatures w14:val="standardContextual"/>
        </w:rPr>
        <w:t>.</w:t>
      </w:r>
      <w:proofErr w:type="gramEnd"/>
      <w:r w:rsidR="006C1C8E"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 : </w:t>
      </w:r>
      <w:r w:rsidR="006D697D" w:rsidRPr="00362D29">
        <w:rPr>
          <w:rFonts w:ascii="Traditional Arabic" w:eastAsia="Aptos" w:hAnsi="Traditional Arabic" w:cs="Traditional Arabic"/>
          <w:kern w:val="2"/>
          <w:sz w:val="24"/>
          <w:szCs w:val="24"/>
          <w:rtl/>
          <w14:ligatures w14:val="standardContextual"/>
        </w:rPr>
        <w:t xml:space="preserve">مقارنة بين </w:t>
      </w:r>
      <w:r w:rsidR="009A7640" w:rsidRPr="00362D29">
        <w:rPr>
          <w:rFonts w:ascii="Traditional Arabic" w:eastAsia="Aptos" w:hAnsi="Traditional Arabic" w:cs="Traditional Arabic"/>
          <w:kern w:val="2"/>
          <w:sz w:val="24"/>
          <w:szCs w:val="24"/>
          <w:rtl/>
          <w14:ligatures w14:val="standardContextual"/>
        </w:rPr>
        <w:t xml:space="preserve">تجربة المريض </w:t>
      </w:r>
      <w:r w:rsidR="00B64AA0" w:rsidRPr="00362D29">
        <w:rPr>
          <w:rFonts w:ascii="Traditional Arabic" w:eastAsia="Aptos" w:hAnsi="Traditional Arabic" w:cs="Traditional Arabic"/>
          <w:kern w:val="2"/>
          <w:sz w:val="24"/>
          <w:szCs w:val="24"/>
          <w:rtl/>
          <w14:ligatures w14:val="standardContextual"/>
        </w:rPr>
        <w:t>ورضا</w:t>
      </w:r>
      <w:r w:rsidR="009A7640" w:rsidRPr="00362D29">
        <w:rPr>
          <w:rFonts w:ascii="Traditional Arabic" w:eastAsia="Aptos" w:hAnsi="Traditional Arabic" w:cs="Traditional Arabic"/>
          <w:kern w:val="2"/>
          <w:sz w:val="24"/>
          <w:szCs w:val="24"/>
          <w:rtl/>
          <w14:ligatures w14:val="standardContextual"/>
        </w:rPr>
        <w:t xml:space="preserve"> المريض</w:t>
      </w:r>
    </w:p>
    <w:p w14:paraId="0E477B9F" w14:textId="67062530" w:rsidR="004D4AE1" w:rsidRPr="00362D29" w:rsidRDefault="009A7640" w:rsidP="00362D29">
      <w:pPr>
        <w:bidi/>
        <w:spacing w:before="0" w:after="160" w:line="360" w:lineRule="auto"/>
        <w:contextualSpacing/>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kern w:val="2"/>
          <w:sz w:val="24"/>
          <w:szCs w:val="24"/>
          <w:rtl/>
          <w14:ligatures w14:val="standardContextual"/>
        </w:rPr>
        <w:t>لذا تُعد تجربة المريض مقياساً أكثر دقة وموثوقية لجودة الرعاية الصحية مقارنة برضا المريض، حيث تركز على الجوانب الموضوعية للرعاية وتفاعلات المريض الفعلية مع النظام الصحي، مما يدفع نحو رعاية تتمحور حول المريض بشكل أكثر فعالية</w:t>
      </w:r>
      <w:r w:rsidRPr="00362D29">
        <w:rPr>
          <w:rFonts w:ascii="Traditional Arabic" w:eastAsia="Aptos" w:hAnsi="Traditional Arabic" w:cs="Traditional Arabic"/>
          <w:kern w:val="2"/>
          <w:sz w:val="24"/>
          <w:szCs w:val="24"/>
          <w14:ligatures w14:val="standardContextual"/>
        </w:rPr>
        <w:t xml:space="preserve"> </w:t>
      </w:r>
      <w:r w:rsidR="004D4AE1" w:rsidRPr="00362D29">
        <w:rPr>
          <w:rFonts w:ascii="Traditional Arabic" w:eastAsia="Aptos" w:hAnsi="Traditional Arabic" w:cs="Traditional Arabic"/>
          <w:kern w:val="2"/>
          <w:sz w:val="24"/>
          <w:szCs w:val="24"/>
          <w14:ligatures w14:val="standardContextual"/>
        </w:rPr>
        <w:t>(Health Academy, 2022</w:t>
      </w:r>
      <w:r w:rsidR="004D4AE1" w:rsidRPr="00362D29">
        <w:rPr>
          <w:rFonts w:ascii="Traditional Arabic" w:eastAsia="Aptos" w:hAnsi="Traditional Arabic" w:cs="Traditional Arabic"/>
          <w:kern w:val="2"/>
          <w:sz w:val="24"/>
          <w:szCs w:val="24"/>
          <w:rtl/>
          <w14:ligatures w14:val="standardContextual"/>
        </w:rPr>
        <w:t>).</w:t>
      </w:r>
    </w:p>
    <w:p w14:paraId="2E5AB989" w14:textId="11448FA6" w:rsidR="009A7640" w:rsidRPr="00362D29" w:rsidRDefault="00680129" w:rsidP="00C42472">
      <w:pPr>
        <w:pStyle w:val="ab"/>
        <w:numPr>
          <w:ilvl w:val="0"/>
          <w:numId w:val="31"/>
        </w:num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 xml:space="preserve">تجربة المريض مقابل </w:t>
      </w: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مشاركة المريض</w:t>
      </w:r>
    </w:p>
    <w:p w14:paraId="736BD1B1" w14:textId="5B877CF8" w:rsidR="00845019" w:rsidRPr="00362D29" w:rsidRDefault="009A764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في ظل التحولات المتسارعة التي يشهدها القطاع الصحي، برزت مصطلحات محورية تهدف إلى الارتقاء بجودة الرعاية الصحية، ومن أبرز هذه المصطلحات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ومشاركة المريض (</w:t>
      </w:r>
      <w:r w:rsidRPr="00362D29">
        <w:rPr>
          <w:rFonts w:ascii="Traditional Arabic" w:eastAsia="Aptos" w:hAnsi="Traditional Arabic" w:cs="Traditional Arabic"/>
          <w:kern w:val="2"/>
          <w:sz w:val="24"/>
          <w:szCs w:val="24"/>
          <w14:ligatures w14:val="standardContextual"/>
        </w:rPr>
        <w:t>Patient Engagement</w:t>
      </w:r>
      <w:r w:rsidRPr="00362D29">
        <w:rPr>
          <w:rFonts w:ascii="Traditional Arabic" w:eastAsia="Aptos" w:hAnsi="Traditional Arabic" w:cs="Traditional Arabic"/>
          <w:kern w:val="2"/>
          <w:sz w:val="24"/>
          <w:szCs w:val="24"/>
          <w:rtl/>
          <w14:ligatures w14:val="standardContextual"/>
        </w:rPr>
        <w:t>). وبالرغم من استخدامهما المتبادل في كثير من الأحيان، إلا أن هناك تمايزاً دقيقاً وجوهرياً بينهما ينعكس على دور المريض في العملية العلاجية (الهيئة السعودية للتخصصات الصحية، 2025).</w:t>
      </w:r>
    </w:p>
    <w:p w14:paraId="0F2AEFC0" w14:textId="77777777" w:rsidR="00F84C3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1. مفهوم تجربة المريض (</w:t>
      </w:r>
      <w:r w:rsidRPr="00362D29">
        <w:rPr>
          <w:rFonts w:ascii="Traditional Arabic" w:eastAsia="Aptos" w:hAnsi="Traditional Arabic" w:cs="Traditional Arabic"/>
          <w:b/>
          <w:bCs/>
          <w:kern w:val="2"/>
          <w:sz w:val="24"/>
          <w:szCs w:val="24"/>
          <w14:ligatures w14:val="standardContextual"/>
        </w:rPr>
        <w:t>Patient Experience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w:t>
      </w:r>
      <w:r w:rsidR="00F84C30" w:rsidRPr="00362D29">
        <w:rPr>
          <w:rFonts w:ascii="Traditional Arabic" w:eastAsia="Aptos" w:hAnsi="Traditional Arabic" w:cs="Traditional Arabic"/>
          <w:b/>
          <w:bCs/>
          <w:kern w:val="2"/>
          <w:sz w:val="24"/>
          <w:szCs w:val="24"/>
          <w:rtl/>
          <w14:ligatures w14:val="standardContextual"/>
        </w:rPr>
        <w:t>(</w:t>
      </w:r>
      <w:r w:rsidR="00F84C30" w:rsidRPr="00362D29">
        <w:rPr>
          <w:rFonts w:ascii="Traditional Arabic" w:eastAsia="Aptos" w:hAnsi="Traditional Arabic" w:cs="Traditional Arabic"/>
          <w:b/>
          <w:bCs/>
          <w:kern w:val="2"/>
          <w:sz w:val="24"/>
          <w:szCs w:val="24"/>
          <w14:ligatures w14:val="standardContextual"/>
        </w:rPr>
        <w:t>Health Academy, 2022</w:t>
      </w:r>
      <w:r w:rsidR="00F84C30" w:rsidRPr="00362D29">
        <w:rPr>
          <w:rFonts w:ascii="Traditional Arabic" w:eastAsia="Aptos" w:hAnsi="Traditional Arabic" w:cs="Traditional Arabic"/>
          <w:b/>
          <w:bCs/>
          <w:kern w:val="2"/>
          <w:sz w:val="24"/>
          <w:szCs w:val="24"/>
          <w:rtl/>
          <w14:ligatures w14:val="standardContextual"/>
        </w:rPr>
        <w:t>).</w:t>
      </w:r>
    </w:p>
    <w:p w14:paraId="3DF575ED" w14:textId="42C9E528"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تُشير تجربة المريض بشكل عام إلى حدث "استقبالي" (</w:t>
      </w:r>
      <w:r w:rsidRPr="00362D29">
        <w:rPr>
          <w:rFonts w:ascii="Traditional Arabic" w:eastAsia="Aptos" w:hAnsi="Traditional Arabic" w:cs="Traditional Arabic"/>
          <w:kern w:val="2"/>
          <w:sz w:val="24"/>
          <w:szCs w:val="24"/>
          <w14:ligatures w14:val="standardContextual"/>
        </w:rPr>
        <w:t>Passive Event</w:t>
      </w:r>
      <w:r w:rsidRPr="00362D29">
        <w:rPr>
          <w:rFonts w:ascii="Traditional Arabic" w:eastAsia="Aptos" w:hAnsi="Traditional Arabic" w:cs="Traditional Arabic"/>
          <w:kern w:val="2"/>
          <w:sz w:val="24"/>
          <w:szCs w:val="24"/>
          <w:rtl/>
          <w14:ligatures w14:val="standardContextual"/>
        </w:rPr>
        <w:t xml:space="preserve">) يقع للمريض أو من حوله أثناء رحلته العلاجية. فهي تركز على جودة التفاعلات والخدمات المقدمة وكيفية إدراك المريض لها </w:t>
      </w:r>
      <w:r w:rsidR="00F84C30" w:rsidRPr="00362D29">
        <w:rPr>
          <w:rFonts w:ascii="Traditional Arabic" w:eastAsia="Aptos" w:hAnsi="Traditional Arabic" w:cs="Traditional Arabic"/>
          <w:kern w:val="2"/>
          <w:sz w:val="24"/>
          <w:szCs w:val="24"/>
          <w:rtl/>
          <w14:ligatures w14:val="standardContextual"/>
        </w:rPr>
        <w:t>(</w:t>
      </w:r>
      <w:r w:rsidR="00F84C30" w:rsidRPr="00362D29">
        <w:rPr>
          <w:rFonts w:ascii="Traditional Arabic" w:eastAsia="Aptos" w:hAnsi="Traditional Arabic" w:cs="Traditional Arabic"/>
          <w:kern w:val="2"/>
          <w:sz w:val="24"/>
          <w:szCs w:val="24"/>
          <w14:ligatures w14:val="standardContextual"/>
        </w:rPr>
        <w:t>Health Academy, 2022</w:t>
      </w:r>
      <w:r w:rsidR="00F84C30" w:rsidRPr="00362D29">
        <w:rPr>
          <w:rFonts w:ascii="Traditional Arabic" w:eastAsia="Aptos" w:hAnsi="Traditional Arabic" w:cs="Traditional Arabic"/>
          <w:kern w:val="2"/>
          <w:sz w:val="24"/>
          <w:szCs w:val="24"/>
          <w:rtl/>
          <w14:ligatures w14:val="standardContextual"/>
        </w:rPr>
        <w:t>)</w:t>
      </w:r>
      <w:r w:rsidR="00FE532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ومن أمثلة ذلك:</w:t>
      </w:r>
    </w:p>
    <w:p w14:paraId="0CB9EB61"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مدى سهولة أو صعوبة الحصول على موعد.</w:t>
      </w:r>
    </w:p>
    <w:p w14:paraId="53879964"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مقدار الوقت الذي يقضيه مقدم الخدمة في الاستماع للمريض.</w:t>
      </w:r>
    </w:p>
    <w:p w14:paraId="1414712A"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الظروف البيئية في غرفة الانتظار (مثل درجة الحرارة والهدوء).</w:t>
      </w:r>
    </w:p>
    <w:p w14:paraId="6F4617F2"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طريقة تعامل الموظفين مع المرضى </w:t>
      </w:r>
      <w:proofErr w:type="gramStart"/>
      <w:r w:rsidRPr="00362D29">
        <w:rPr>
          <w:rFonts w:ascii="Traditional Arabic" w:eastAsia="Aptos" w:hAnsi="Traditional Arabic" w:cs="Traditional Arabic"/>
          <w:kern w:val="2"/>
          <w:sz w:val="24"/>
          <w:szCs w:val="24"/>
          <w:rtl/>
          <w14:ligatures w14:val="standardContextual"/>
        </w:rPr>
        <w:t>الآخرين .</w:t>
      </w:r>
      <w:proofErr w:type="gramEnd"/>
    </w:p>
    <w:p w14:paraId="6F1187E3" w14:textId="48608CA3"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مفهوم مشاركة المريض (</w:t>
      </w:r>
      <w:r w:rsidRPr="00362D29">
        <w:rPr>
          <w:rFonts w:ascii="Traditional Arabic" w:eastAsia="Aptos" w:hAnsi="Traditional Arabic" w:cs="Traditional Arabic"/>
          <w:b/>
          <w:bCs/>
          <w:kern w:val="2"/>
          <w:sz w:val="24"/>
          <w:szCs w:val="24"/>
          <w14:ligatures w14:val="standardContextual"/>
        </w:rPr>
        <w:t>Patient Engagement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w:t>
      </w:r>
    </w:p>
    <w:p w14:paraId="0E96FBBD" w14:textId="1B1B93C0"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على النقيض من ذلك، تُعد مشاركة المريض حدثاً "نشطاً" (</w:t>
      </w:r>
      <w:r w:rsidRPr="00362D29">
        <w:rPr>
          <w:rFonts w:ascii="Traditional Arabic" w:eastAsia="Aptos" w:hAnsi="Traditional Arabic" w:cs="Traditional Arabic"/>
          <w:kern w:val="2"/>
          <w:sz w:val="24"/>
          <w:szCs w:val="24"/>
          <w14:ligatures w14:val="standardContextual"/>
        </w:rPr>
        <w:t>Active Participant</w:t>
      </w:r>
      <w:r w:rsidRPr="00362D29">
        <w:rPr>
          <w:rFonts w:ascii="Traditional Arabic" w:eastAsia="Aptos" w:hAnsi="Traditional Arabic" w:cs="Traditional Arabic"/>
          <w:kern w:val="2"/>
          <w:sz w:val="24"/>
          <w:szCs w:val="24"/>
          <w:rtl/>
          <w14:ligatures w14:val="standardContextual"/>
        </w:rPr>
        <w:t xml:space="preserve">) يحدث عندما يكون المريض مشاركاً فاعلاً وصانعاً للقرار في رعايته الخاصة. فالمشاركة هي خيار يتخذه المريض للانخراط في العملية الصحية </w:t>
      </w:r>
      <w:r w:rsidR="00FE5328" w:rsidRPr="00362D29">
        <w:rPr>
          <w:rFonts w:ascii="Traditional Arabic" w:eastAsia="Aptos" w:hAnsi="Traditional Arabic" w:cs="Traditional Arabic"/>
          <w:kern w:val="2"/>
          <w:sz w:val="24"/>
          <w:szCs w:val="24"/>
          <w:rtl/>
          <w14:ligatures w14:val="standardContextual"/>
        </w:rPr>
        <w:t>(</w:t>
      </w:r>
      <w:r w:rsidR="00FE5328" w:rsidRPr="00362D29">
        <w:rPr>
          <w:rFonts w:ascii="Traditional Arabic" w:eastAsia="Aptos" w:hAnsi="Traditional Arabic" w:cs="Traditional Arabic"/>
          <w:kern w:val="2"/>
          <w:sz w:val="24"/>
          <w:szCs w:val="24"/>
          <w14:ligatures w14:val="standardContextual"/>
        </w:rPr>
        <w:t>Health Academy, 2022</w:t>
      </w:r>
      <w:r w:rsidR="00FE532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ومن أمثلة ذلك:</w:t>
      </w:r>
    </w:p>
    <w:p w14:paraId="51444745" w14:textId="77777777" w:rsidR="009A7640" w:rsidRPr="00362D29"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مشاركة المريض وعائلته في أنشطة التثقيف الصحي والوعي الصحي.</w:t>
      </w:r>
    </w:p>
    <w:p w14:paraId="436EF217" w14:textId="77777777" w:rsidR="009A7640" w:rsidRPr="00362D29"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وصول المريض إلى سجلاته الصحية الشخصية عبر الإنترنت واستخدامها.</w:t>
      </w:r>
    </w:p>
    <w:p w14:paraId="124A35E6" w14:textId="77777777" w:rsidR="009A7640" w:rsidRPr="00362D29"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التزام المريض بخطط الرعاية والعلاج المقررة له.</w:t>
      </w:r>
    </w:p>
    <w:p w14:paraId="739FF359" w14:textId="07DEAE17" w:rsidR="00FE5328" w:rsidRPr="00362D29"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مشاركة المريض في مبادرات تقديم التغذية الراجعة والملاحظات.</w:t>
      </w:r>
    </w:p>
    <w:p w14:paraId="5F754E0A" w14:textId="19FA26E7" w:rsidR="009A7640" w:rsidRPr="00362D29" w:rsidRDefault="005C421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009A7640" w:rsidRPr="00362D29">
        <w:rPr>
          <w:rFonts w:ascii="Traditional Arabic" w:eastAsia="Aptos" w:hAnsi="Traditional Arabic" w:cs="Traditional Arabic"/>
          <w:b/>
          <w:bCs/>
          <w:kern w:val="2"/>
          <w:sz w:val="24"/>
          <w:szCs w:val="24"/>
          <w:rtl/>
          <w14:ligatures w14:val="standardContextual"/>
        </w:rPr>
        <w:t xml:space="preserve">. أوجه الاختلاف والتشابه </w:t>
      </w:r>
      <w:r w:rsidR="009C7175">
        <w:rPr>
          <w:rFonts w:ascii="Traditional Arabic" w:eastAsia="Aptos" w:hAnsi="Traditional Arabic" w:cs="Traditional Arabic" w:hint="cs"/>
          <w:b/>
          <w:bCs/>
          <w:kern w:val="2"/>
          <w:sz w:val="24"/>
          <w:szCs w:val="24"/>
          <w:rtl/>
          <w14:ligatures w14:val="standardContextual"/>
        </w:rPr>
        <w:t xml:space="preserve">بين مفهوم </w:t>
      </w:r>
      <w:r w:rsidR="008A6F36">
        <w:rPr>
          <w:rFonts w:ascii="Traditional Arabic" w:eastAsia="Aptos" w:hAnsi="Traditional Arabic" w:cs="Traditional Arabic" w:hint="cs"/>
          <w:b/>
          <w:bCs/>
          <w:kern w:val="2"/>
          <w:sz w:val="24"/>
          <w:szCs w:val="24"/>
          <w:rtl/>
          <w14:ligatures w14:val="standardContextual"/>
        </w:rPr>
        <w:t>تجربة المريض ومشاركة المريض</w:t>
      </w:r>
    </w:p>
    <w:p w14:paraId="323FCDAB"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يمكن تلخيص الفروقات الجوهرية بين تجربة المريض ومشاركة المريض بناءً على ما ورد في منهج برنامج </w:t>
      </w:r>
      <w:commentRangeStart w:id="8"/>
      <w:r w:rsidRPr="00AB445F">
        <w:rPr>
          <w:rFonts w:ascii="Traditional Arabic" w:eastAsia="Aptos" w:hAnsi="Traditional Arabic" w:cs="Traditional Arabic"/>
          <w:b/>
          <w:bCs/>
          <w:color w:val="FF0000"/>
          <w:kern w:val="2"/>
          <w:sz w:val="24"/>
          <w:szCs w:val="24"/>
          <w:rtl/>
          <w14:ligatures w14:val="standardContextual"/>
        </w:rPr>
        <w:t xml:space="preserve">تجربة المريض (2025) على </w:t>
      </w:r>
      <w:commentRangeEnd w:id="8"/>
      <w:r w:rsidR="00AB445F">
        <w:rPr>
          <w:rStyle w:val="ac"/>
          <w:rtl/>
        </w:rPr>
        <w:commentReference w:id="8"/>
      </w:r>
      <w:r w:rsidRPr="00362D29">
        <w:rPr>
          <w:rFonts w:ascii="Traditional Arabic" w:eastAsia="Aptos" w:hAnsi="Traditional Arabic" w:cs="Traditional Arabic"/>
          <w:b/>
          <w:bCs/>
          <w:kern w:val="2"/>
          <w:sz w:val="24"/>
          <w:szCs w:val="24"/>
          <w:rtl/>
          <w14:ligatures w14:val="standardContextual"/>
        </w:rPr>
        <w:t>النحو التالي:</w:t>
      </w:r>
    </w:p>
    <w:tbl>
      <w:tblPr>
        <w:tblStyle w:val="10"/>
        <w:bidiVisual/>
        <w:tblW w:w="0" w:type="auto"/>
        <w:tblLook w:val="04A0" w:firstRow="1" w:lastRow="0" w:firstColumn="1" w:lastColumn="0" w:noHBand="0" w:noVBand="1"/>
      </w:tblPr>
      <w:tblGrid>
        <w:gridCol w:w="1211"/>
        <w:gridCol w:w="3544"/>
        <w:gridCol w:w="3541"/>
      </w:tblGrid>
      <w:tr w:rsidR="00CF70A2" w:rsidRPr="00362D29" w14:paraId="38BF4930" w14:textId="77777777" w:rsidTr="00CF70A2">
        <w:tc>
          <w:tcPr>
            <w:tcW w:w="1211" w:type="dxa"/>
            <w:shd w:val="clear" w:color="auto" w:fill="F2F2F2" w:themeFill="background1" w:themeFillShade="F2"/>
            <w:vAlign w:val="center"/>
          </w:tcPr>
          <w:p w14:paraId="54C1F282" w14:textId="24CF5ECB"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نقاط المقارنة</w:t>
            </w:r>
          </w:p>
        </w:tc>
        <w:tc>
          <w:tcPr>
            <w:tcW w:w="3544" w:type="dxa"/>
            <w:shd w:val="clear" w:color="auto" w:fill="F2F2F2" w:themeFill="background1" w:themeFillShade="F2"/>
          </w:tcPr>
          <w:p w14:paraId="2F8159D1" w14:textId="42745CAD"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تجربة المريض (</w:t>
            </w:r>
            <w:r w:rsidRPr="00362D29">
              <w:rPr>
                <w:rFonts w:ascii="Traditional Arabic" w:eastAsia="Aptos" w:hAnsi="Traditional Arabic" w:cs="Traditional Arabic"/>
                <w:b/>
                <w:bCs/>
                <w:sz w:val="24"/>
                <w:szCs w:val="24"/>
              </w:rPr>
              <w:t>Patient Experience</w:t>
            </w:r>
            <w:r w:rsidRPr="00362D29">
              <w:rPr>
                <w:rFonts w:ascii="Traditional Arabic" w:eastAsia="Aptos" w:hAnsi="Traditional Arabic" w:cs="Traditional Arabic"/>
                <w:b/>
                <w:bCs/>
                <w:sz w:val="24"/>
                <w:szCs w:val="24"/>
                <w:rtl/>
              </w:rPr>
              <w:t>)</w:t>
            </w:r>
          </w:p>
        </w:tc>
        <w:tc>
          <w:tcPr>
            <w:tcW w:w="3541" w:type="dxa"/>
            <w:shd w:val="clear" w:color="auto" w:fill="F2F2F2" w:themeFill="background1" w:themeFillShade="F2"/>
          </w:tcPr>
          <w:p w14:paraId="105F72AE" w14:textId="31E2A8B0"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مشاركة المريض (</w:t>
            </w:r>
            <w:r w:rsidRPr="00362D29">
              <w:rPr>
                <w:rFonts w:ascii="Traditional Arabic" w:eastAsia="Aptos" w:hAnsi="Traditional Arabic" w:cs="Traditional Arabic"/>
                <w:b/>
                <w:bCs/>
                <w:sz w:val="24"/>
                <w:szCs w:val="24"/>
              </w:rPr>
              <w:t xml:space="preserve">Patient </w:t>
            </w:r>
            <w:r w:rsidR="00846BAC" w:rsidRPr="00362D29">
              <w:rPr>
                <w:rFonts w:ascii="Traditional Arabic" w:eastAsia="Aptos" w:hAnsi="Traditional Arabic" w:cs="Traditional Arabic"/>
                <w:b/>
                <w:bCs/>
                <w:sz w:val="24"/>
                <w:szCs w:val="24"/>
              </w:rPr>
              <w:t>Engagement</w:t>
            </w:r>
            <w:r w:rsidRPr="00362D29">
              <w:rPr>
                <w:rFonts w:ascii="Traditional Arabic" w:eastAsia="Aptos" w:hAnsi="Traditional Arabic" w:cs="Traditional Arabic"/>
                <w:b/>
                <w:bCs/>
                <w:sz w:val="24"/>
                <w:szCs w:val="24"/>
                <w:rtl/>
              </w:rPr>
              <w:t>)</w:t>
            </w:r>
          </w:p>
        </w:tc>
      </w:tr>
      <w:tr w:rsidR="009A7640" w:rsidRPr="00362D29" w14:paraId="4674F80C" w14:textId="77777777" w:rsidTr="00FE5328">
        <w:tc>
          <w:tcPr>
            <w:tcW w:w="1211" w:type="dxa"/>
            <w:shd w:val="clear" w:color="auto" w:fill="F2F2F2" w:themeFill="background1" w:themeFillShade="F2"/>
          </w:tcPr>
          <w:p w14:paraId="1D679752" w14:textId="63EDADB3" w:rsidR="009A7640" w:rsidRPr="00362D29" w:rsidRDefault="0025721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المفهوم</w:t>
            </w:r>
          </w:p>
        </w:tc>
        <w:tc>
          <w:tcPr>
            <w:tcW w:w="3544" w:type="dxa"/>
          </w:tcPr>
          <w:p w14:paraId="2A24F94F" w14:textId="5FDE3315" w:rsidR="009A7640" w:rsidRPr="00362D29" w:rsidRDefault="00C2445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تصف ما حدث للمريض اثناء تلقي الخدمة</w:t>
            </w:r>
          </w:p>
        </w:tc>
        <w:tc>
          <w:tcPr>
            <w:tcW w:w="3541" w:type="dxa"/>
          </w:tcPr>
          <w:p w14:paraId="677D2157" w14:textId="1F3F4DE5" w:rsidR="009A7640" w:rsidRPr="00362D29" w:rsidRDefault="00C2445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تُعبر عن </w:t>
            </w:r>
            <w:r w:rsidR="004B42AE" w:rsidRPr="00362D29">
              <w:rPr>
                <w:rFonts w:ascii="Traditional Arabic" w:eastAsia="Aptos" w:hAnsi="Traditional Arabic" w:cs="Traditional Arabic"/>
                <w:sz w:val="24"/>
                <w:szCs w:val="24"/>
                <w:rtl/>
              </w:rPr>
              <w:t>خيار المريض</w:t>
            </w:r>
            <w:r w:rsidRPr="00362D29">
              <w:rPr>
                <w:rFonts w:ascii="Traditional Arabic" w:eastAsia="Aptos" w:hAnsi="Traditional Arabic" w:cs="Traditional Arabic"/>
                <w:sz w:val="24"/>
                <w:szCs w:val="24"/>
                <w:rtl/>
              </w:rPr>
              <w:t xml:space="preserve"> </w:t>
            </w:r>
            <w:r w:rsidR="004B42AE" w:rsidRPr="00362D29">
              <w:rPr>
                <w:rFonts w:ascii="Traditional Arabic" w:eastAsia="Aptos" w:hAnsi="Traditional Arabic" w:cs="Traditional Arabic"/>
                <w:sz w:val="24"/>
                <w:szCs w:val="24"/>
                <w:rtl/>
              </w:rPr>
              <w:t>في المشاركة والالتزام</w:t>
            </w:r>
          </w:p>
        </w:tc>
      </w:tr>
      <w:tr w:rsidR="009A7640" w:rsidRPr="00362D29" w14:paraId="4B366B00" w14:textId="77777777" w:rsidTr="00FE5328">
        <w:tc>
          <w:tcPr>
            <w:tcW w:w="1211" w:type="dxa"/>
            <w:shd w:val="clear" w:color="auto" w:fill="F2F2F2" w:themeFill="background1" w:themeFillShade="F2"/>
          </w:tcPr>
          <w:p w14:paraId="105CBE5A" w14:textId="5DD29EB7" w:rsidR="009A7640" w:rsidRPr="00362D29" w:rsidRDefault="00AD0FD4"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دور المريض</w:t>
            </w:r>
          </w:p>
        </w:tc>
        <w:tc>
          <w:tcPr>
            <w:tcW w:w="3544" w:type="dxa"/>
          </w:tcPr>
          <w:p w14:paraId="50FF3BF1" w14:textId="2657DC13" w:rsidR="009A7640" w:rsidRPr="00362D29" w:rsidRDefault="00AD0FD4"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دور استقبالي (</w:t>
            </w:r>
            <w:r w:rsidRPr="00362D29">
              <w:rPr>
                <w:rFonts w:ascii="Traditional Arabic" w:eastAsia="Aptos" w:hAnsi="Traditional Arabic" w:cs="Traditional Arabic"/>
                <w:sz w:val="24"/>
                <w:szCs w:val="24"/>
              </w:rPr>
              <w:t>Passive</w:t>
            </w:r>
            <w:r w:rsidRPr="00362D29">
              <w:rPr>
                <w:rFonts w:ascii="Traditional Arabic" w:eastAsia="Aptos" w:hAnsi="Traditional Arabic" w:cs="Traditional Arabic"/>
                <w:sz w:val="24"/>
                <w:szCs w:val="24"/>
                <w:rtl/>
              </w:rPr>
              <w:t xml:space="preserve">) </w:t>
            </w:r>
            <w:r w:rsidR="00F249B9" w:rsidRPr="00362D29">
              <w:rPr>
                <w:rFonts w:ascii="Traditional Arabic" w:eastAsia="Aptos" w:hAnsi="Traditional Arabic" w:cs="Traditional Arabic"/>
                <w:sz w:val="24"/>
                <w:szCs w:val="24"/>
                <w:rtl/>
              </w:rPr>
              <w:t>متلقي للخدمة</w:t>
            </w:r>
          </w:p>
        </w:tc>
        <w:tc>
          <w:tcPr>
            <w:tcW w:w="3541" w:type="dxa"/>
          </w:tcPr>
          <w:p w14:paraId="6AAB5DB2" w14:textId="5B3B8FD3" w:rsidR="009A7640" w:rsidRPr="00362D29" w:rsidRDefault="00F249B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دور نشط (</w:t>
            </w:r>
            <w:r w:rsidRPr="00362D29">
              <w:rPr>
                <w:rFonts w:ascii="Traditional Arabic" w:eastAsia="Aptos" w:hAnsi="Traditional Arabic" w:cs="Traditional Arabic"/>
                <w:sz w:val="24"/>
                <w:szCs w:val="24"/>
              </w:rPr>
              <w:t>Active</w:t>
            </w:r>
            <w:r w:rsidRPr="00362D29">
              <w:rPr>
                <w:rFonts w:ascii="Traditional Arabic" w:eastAsia="Aptos" w:hAnsi="Traditional Arabic" w:cs="Traditional Arabic"/>
                <w:sz w:val="24"/>
                <w:szCs w:val="24"/>
                <w:rtl/>
              </w:rPr>
              <w:t xml:space="preserve">) فعال </w:t>
            </w:r>
            <w:r w:rsidR="00DD2694" w:rsidRPr="00362D29">
              <w:rPr>
                <w:rFonts w:ascii="Traditional Arabic" w:eastAsia="Aptos" w:hAnsi="Traditional Arabic" w:cs="Traditional Arabic"/>
                <w:sz w:val="24"/>
                <w:szCs w:val="24"/>
                <w:rtl/>
              </w:rPr>
              <w:t xml:space="preserve">كشريك وصانع قرار </w:t>
            </w:r>
          </w:p>
        </w:tc>
      </w:tr>
      <w:tr w:rsidR="009A7640" w:rsidRPr="00362D29" w14:paraId="2ADCF571" w14:textId="77777777" w:rsidTr="00FE5328">
        <w:tc>
          <w:tcPr>
            <w:tcW w:w="1211" w:type="dxa"/>
            <w:shd w:val="clear" w:color="auto" w:fill="F2F2F2" w:themeFill="background1" w:themeFillShade="F2"/>
          </w:tcPr>
          <w:p w14:paraId="01B3CA14" w14:textId="3A2F322A" w:rsidR="009A7640" w:rsidRPr="00362D29" w:rsidRDefault="00944C06"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التركيز</w:t>
            </w:r>
          </w:p>
        </w:tc>
        <w:tc>
          <w:tcPr>
            <w:tcW w:w="3544" w:type="dxa"/>
          </w:tcPr>
          <w:p w14:paraId="695C0408" w14:textId="7F52E013" w:rsidR="009A7640" w:rsidRPr="00362D29" w:rsidRDefault="00502F2C"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 التركيز </w:t>
            </w:r>
            <w:r w:rsidR="007537FA" w:rsidRPr="00362D29">
              <w:rPr>
                <w:rFonts w:ascii="Traditional Arabic" w:eastAsia="Aptos" w:hAnsi="Traditional Arabic" w:cs="Traditional Arabic"/>
                <w:sz w:val="24"/>
                <w:szCs w:val="24"/>
                <w:rtl/>
              </w:rPr>
              <w:t>على نقاط الاتصال بين المريض والخدمة الصحية</w:t>
            </w:r>
            <w:r w:rsidR="00852AAD" w:rsidRPr="00362D29">
              <w:rPr>
                <w:rFonts w:ascii="Traditional Arabic" w:eastAsia="Aptos" w:hAnsi="Traditional Arabic" w:cs="Traditional Arabic"/>
                <w:sz w:val="24"/>
                <w:szCs w:val="24"/>
                <w:rtl/>
              </w:rPr>
              <w:t xml:space="preserve"> وجودة ال</w:t>
            </w:r>
            <w:r w:rsidR="005657DD" w:rsidRPr="00362D29">
              <w:rPr>
                <w:rFonts w:ascii="Traditional Arabic" w:eastAsia="Aptos" w:hAnsi="Traditional Arabic" w:cs="Traditional Arabic"/>
                <w:sz w:val="24"/>
                <w:szCs w:val="24"/>
                <w:rtl/>
              </w:rPr>
              <w:t>بيئة المحيطة</w:t>
            </w:r>
          </w:p>
        </w:tc>
        <w:tc>
          <w:tcPr>
            <w:tcW w:w="3541" w:type="dxa"/>
          </w:tcPr>
          <w:p w14:paraId="0A138B8A" w14:textId="7DF49027" w:rsidR="009A7640" w:rsidRPr="00362D29" w:rsidRDefault="001A7EA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التركيز على الاستمرارية والالتزام </w:t>
            </w:r>
            <w:r w:rsidR="0024739F" w:rsidRPr="00362D29">
              <w:rPr>
                <w:rFonts w:ascii="Traditional Arabic" w:eastAsia="Aptos" w:hAnsi="Traditional Arabic" w:cs="Traditional Arabic"/>
                <w:sz w:val="24"/>
                <w:szCs w:val="24"/>
                <w:rtl/>
              </w:rPr>
              <w:t>وسلوك المريض ومساهمته في الرعاية</w:t>
            </w:r>
          </w:p>
        </w:tc>
      </w:tr>
      <w:tr w:rsidR="009A7640" w:rsidRPr="00362D29" w14:paraId="31333296" w14:textId="77777777" w:rsidTr="00FE5328">
        <w:tc>
          <w:tcPr>
            <w:tcW w:w="1211" w:type="dxa"/>
            <w:shd w:val="clear" w:color="auto" w:fill="F2F2F2" w:themeFill="background1" w:themeFillShade="F2"/>
          </w:tcPr>
          <w:p w14:paraId="79C0AE63" w14:textId="7FF96AE5" w:rsidR="009A7640" w:rsidRPr="00362D29" w:rsidRDefault="00475468"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lastRenderedPageBreak/>
              <w:t>الهدف</w:t>
            </w:r>
          </w:p>
        </w:tc>
        <w:tc>
          <w:tcPr>
            <w:tcW w:w="3544" w:type="dxa"/>
          </w:tcPr>
          <w:p w14:paraId="6FEF10F6" w14:textId="53188FC1" w:rsidR="009A7640" w:rsidRPr="00362D29" w:rsidRDefault="0047546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تحسين جودة </w:t>
            </w:r>
            <w:r w:rsidR="00530C0D" w:rsidRPr="00362D29">
              <w:rPr>
                <w:rFonts w:ascii="Traditional Arabic" w:eastAsia="Aptos" w:hAnsi="Traditional Arabic" w:cs="Traditional Arabic"/>
                <w:sz w:val="24"/>
                <w:szCs w:val="24"/>
                <w:rtl/>
              </w:rPr>
              <w:t xml:space="preserve">الخدمات </w:t>
            </w:r>
            <w:r w:rsidR="00905DA8" w:rsidRPr="00362D29">
              <w:rPr>
                <w:rFonts w:ascii="Traditional Arabic" w:eastAsia="Aptos" w:hAnsi="Traditional Arabic" w:cs="Traditional Arabic"/>
                <w:sz w:val="24"/>
                <w:szCs w:val="24"/>
                <w:rtl/>
              </w:rPr>
              <w:t xml:space="preserve">والنتائج </w:t>
            </w:r>
            <w:r w:rsidR="00530C0D" w:rsidRPr="00362D29">
              <w:rPr>
                <w:rFonts w:ascii="Traditional Arabic" w:eastAsia="Aptos" w:hAnsi="Traditional Arabic" w:cs="Traditional Arabic"/>
                <w:sz w:val="24"/>
                <w:szCs w:val="24"/>
                <w:rtl/>
              </w:rPr>
              <w:t>الصحية من خلال تجاوز التوقعات وتقليل معاناة المريض</w:t>
            </w:r>
          </w:p>
        </w:tc>
        <w:tc>
          <w:tcPr>
            <w:tcW w:w="3541" w:type="dxa"/>
          </w:tcPr>
          <w:p w14:paraId="416A9717" w14:textId="3AD5B7B9" w:rsidR="009A7640" w:rsidRPr="00362D29" w:rsidRDefault="00905DA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تحسين جودة الخدمات والنتائج الصحية من خلال تمكين المرضى وذويهم </w:t>
            </w:r>
            <w:r w:rsidR="001F3A11" w:rsidRPr="00362D29">
              <w:rPr>
                <w:rFonts w:ascii="Traditional Arabic" w:eastAsia="Aptos" w:hAnsi="Traditional Arabic" w:cs="Traditional Arabic"/>
                <w:sz w:val="24"/>
                <w:szCs w:val="24"/>
                <w:rtl/>
              </w:rPr>
              <w:t>ليكونوا فاعلين وخفض التكاليف.</w:t>
            </w:r>
          </w:p>
        </w:tc>
      </w:tr>
      <w:tr w:rsidR="009A7640" w:rsidRPr="00362D29" w14:paraId="7E9C4C9A" w14:textId="77777777" w:rsidTr="00FE5328">
        <w:tc>
          <w:tcPr>
            <w:tcW w:w="1211" w:type="dxa"/>
            <w:shd w:val="clear" w:color="auto" w:fill="F2F2F2" w:themeFill="background1" w:themeFillShade="F2"/>
          </w:tcPr>
          <w:p w14:paraId="1428672E" w14:textId="302D8D6F" w:rsidR="009A7640" w:rsidRPr="00362D29" w:rsidRDefault="006C59D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التأثير</w:t>
            </w:r>
          </w:p>
        </w:tc>
        <w:tc>
          <w:tcPr>
            <w:tcW w:w="3544" w:type="dxa"/>
          </w:tcPr>
          <w:p w14:paraId="6D0B1C83" w14:textId="3AB27DAD" w:rsidR="009A7640" w:rsidRPr="00362D29" w:rsidRDefault="006C59D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على رضا المريض </w:t>
            </w:r>
            <w:r w:rsidR="003C39B5" w:rsidRPr="00362D29">
              <w:rPr>
                <w:rFonts w:ascii="Traditional Arabic" w:eastAsia="Aptos" w:hAnsi="Traditional Arabic" w:cs="Traditional Arabic"/>
                <w:sz w:val="24"/>
                <w:szCs w:val="24"/>
                <w:rtl/>
              </w:rPr>
              <w:t>وانطباعه عن الخدمة الصحية</w:t>
            </w:r>
          </w:p>
        </w:tc>
        <w:tc>
          <w:tcPr>
            <w:tcW w:w="3541" w:type="dxa"/>
          </w:tcPr>
          <w:p w14:paraId="5E51AE65" w14:textId="2516857F" w:rsidR="009A7640" w:rsidRPr="00362D29" w:rsidRDefault="003C39B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على النتائج </w:t>
            </w:r>
            <w:r w:rsidR="00F06046" w:rsidRPr="00362D29">
              <w:rPr>
                <w:rFonts w:ascii="Traditional Arabic" w:eastAsia="Aptos" w:hAnsi="Traditional Arabic" w:cs="Traditional Arabic"/>
                <w:sz w:val="24"/>
                <w:szCs w:val="24"/>
                <w:rtl/>
              </w:rPr>
              <w:t xml:space="preserve">الصحية وجودة الحياة </w:t>
            </w:r>
          </w:p>
        </w:tc>
      </w:tr>
      <w:tr w:rsidR="009A7640" w:rsidRPr="00362D29" w14:paraId="0A5FDFED" w14:textId="77777777" w:rsidTr="00FE5328">
        <w:tc>
          <w:tcPr>
            <w:tcW w:w="1211" w:type="dxa"/>
            <w:shd w:val="clear" w:color="auto" w:fill="F2F2F2" w:themeFill="background1" w:themeFillShade="F2"/>
          </w:tcPr>
          <w:p w14:paraId="4D33B012" w14:textId="014F2D7B" w:rsidR="009A7640" w:rsidRPr="00362D29" w:rsidRDefault="00F06046"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القياس</w:t>
            </w:r>
          </w:p>
        </w:tc>
        <w:tc>
          <w:tcPr>
            <w:tcW w:w="3544" w:type="dxa"/>
          </w:tcPr>
          <w:p w14:paraId="52F693C1" w14:textId="2A8E09F1" w:rsidR="009A7640" w:rsidRPr="00362D29" w:rsidRDefault="0094422B"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مقاييس تجربة المريض المُبلغ عنها </w:t>
            </w:r>
          </w:p>
        </w:tc>
        <w:tc>
          <w:tcPr>
            <w:tcW w:w="3541" w:type="dxa"/>
          </w:tcPr>
          <w:p w14:paraId="588F3E8F" w14:textId="0426761D" w:rsidR="009A7640" w:rsidRPr="00362D29" w:rsidRDefault="00E8704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مقاييس النتائج الصحية المُبلغ عنها </w:t>
            </w:r>
          </w:p>
        </w:tc>
      </w:tr>
    </w:tbl>
    <w:p w14:paraId="29594BBC" w14:textId="09346FA9" w:rsidR="009A68EC" w:rsidRPr="00362D29" w:rsidRDefault="00845019" w:rsidP="00362D29">
      <w:pPr>
        <w:bidi/>
        <w:spacing w:before="0" w:after="160" w:line="360" w:lineRule="auto"/>
        <w:ind w:left="720"/>
        <w:contextualSpacing/>
        <w:jc w:val="center"/>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جدول </w:t>
      </w:r>
      <w:proofErr w:type="gramStart"/>
      <w:r w:rsidRPr="00362D29">
        <w:rPr>
          <w:rFonts w:ascii="Traditional Arabic" w:eastAsia="Aptos" w:hAnsi="Traditional Arabic" w:cs="Traditional Arabic"/>
          <w:kern w:val="2"/>
          <w:sz w:val="24"/>
          <w:szCs w:val="24"/>
          <w:rtl/>
          <w14:ligatures w14:val="standardContextual"/>
        </w:rPr>
        <w:t>( .</w:t>
      </w:r>
      <w:proofErr w:type="gramEnd"/>
      <w:r w:rsidRPr="00362D29">
        <w:rPr>
          <w:rFonts w:ascii="Traditional Arabic" w:eastAsia="Aptos" w:hAnsi="Traditional Arabic" w:cs="Traditional Arabic"/>
          <w:kern w:val="2"/>
          <w:sz w:val="24"/>
          <w:szCs w:val="24"/>
          <w:rtl/>
          <w14:ligatures w14:val="standardContextual"/>
        </w:rPr>
        <w:t xml:space="preserve">. ) : مقارنة بين </w:t>
      </w:r>
      <w:r w:rsidR="009A7640" w:rsidRPr="00362D29">
        <w:rPr>
          <w:rFonts w:ascii="Traditional Arabic" w:eastAsia="Aptos" w:hAnsi="Traditional Arabic" w:cs="Traditional Arabic"/>
          <w:kern w:val="2"/>
          <w:sz w:val="24"/>
          <w:szCs w:val="24"/>
          <w:rtl/>
          <w14:ligatures w14:val="standardContextual"/>
        </w:rPr>
        <w:t xml:space="preserve">تجربة المريض </w:t>
      </w:r>
      <w:r w:rsidRPr="00362D29">
        <w:rPr>
          <w:rFonts w:ascii="Traditional Arabic" w:eastAsia="Aptos" w:hAnsi="Traditional Arabic" w:cs="Traditional Arabic"/>
          <w:kern w:val="2"/>
          <w:sz w:val="24"/>
          <w:szCs w:val="24"/>
          <w:rtl/>
          <w14:ligatures w14:val="standardContextual"/>
        </w:rPr>
        <w:t>ومشاركة</w:t>
      </w:r>
      <w:r w:rsidR="009A7640" w:rsidRPr="00362D29">
        <w:rPr>
          <w:rFonts w:ascii="Traditional Arabic" w:eastAsia="Aptos" w:hAnsi="Traditional Arabic" w:cs="Traditional Arabic"/>
          <w:kern w:val="2"/>
          <w:sz w:val="24"/>
          <w:szCs w:val="24"/>
          <w:rtl/>
          <w14:ligatures w14:val="standardContextual"/>
        </w:rPr>
        <w:t xml:space="preserve"> المريض</w:t>
      </w:r>
    </w:p>
    <w:p w14:paraId="05FF6EA5" w14:textId="2AD6723C" w:rsidR="009A68EC" w:rsidRPr="00362D29" w:rsidRDefault="005C421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w:t>
      </w:r>
      <w:r w:rsidR="009A68EC" w:rsidRPr="00362D29">
        <w:rPr>
          <w:rFonts w:ascii="Traditional Arabic" w:eastAsia="Aptos" w:hAnsi="Traditional Arabic" w:cs="Traditional Arabic"/>
          <w:b/>
          <w:bCs/>
          <w:kern w:val="2"/>
          <w:sz w:val="24"/>
          <w:szCs w:val="24"/>
          <w:rtl/>
          <w14:ligatures w14:val="standardContextual"/>
        </w:rPr>
        <w:t xml:space="preserve">. العلاقة بين </w:t>
      </w:r>
      <w:r w:rsidR="008A6F36">
        <w:rPr>
          <w:rFonts w:ascii="Traditional Arabic" w:eastAsia="Aptos" w:hAnsi="Traditional Arabic" w:cs="Traditional Arabic" w:hint="cs"/>
          <w:b/>
          <w:bCs/>
          <w:kern w:val="2"/>
          <w:sz w:val="24"/>
          <w:szCs w:val="24"/>
          <w:rtl/>
          <w14:ligatures w14:val="standardContextual"/>
        </w:rPr>
        <w:t xml:space="preserve">مفهوم </w:t>
      </w:r>
      <w:r w:rsidR="009A68EC" w:rsidRPr="00362D29">
        <w:rPr>
          <w:rFonts w:ascii="Traditional Arabic" w:eastAsia="Aptos" w:hAnsi="Traditional Arabic" w:cs="Traditional Arabic"/>
          <w:b/>
          <w:bCs/>
          <w:kern w:val="2"/>
          <w:sz w:val="24"/>
          <w:szCs w:val="24"/>
          <w:rtl/>
          <w14:ligatures w14:val="standardContextual"/>
        </w:rPr>
        <w:t>تجربة</w:t>
      </w:r>
      <w:r w:rsidR="009C1D48" w:rsidRPr="00362D29">
        <w:rPr>
          <w:rFonts w:ascii="Traditional Arabic" w:eastAsia="Aptos" w:hAnsi="Traditional Arabic" w:cs="Traditional Arabic"/>
          <w:b/>
          <w:bCs/>
          <w:kern w:val="2"/>
          <w:sz w:val="24"/>
          <w:szCs w:val="24"/>
          <w:rtl/>
          <w14:ligatures w14:val="standardContextual"/>
        </w:rPr>
        <w:t xml:space="preserve"> المريض</w:t>
      </w:r>
      <w:r w:rsidR="009A68EC" w:rsidRPr="00362D29">
        <w:rPr>
          <w:rFonts w:ascii="Traditional Arabic" w:eastAsia="Aptos" w:hAnsi="Traditional Arabic" w:cs="Traditional Arabic"/>
          <w:b/>
          <w:bCs/>
          <w:kern w:val="2"/>
          <w:sz w:val="24"/>
          <w:szCs w:val="24"/>
          <w:rtl/>
          <w14:ligatures w14:val="standardContextual"/>
        </w:rPr>
        <w:t xml:space="preserve"> ومشاركة</w:t>
      </w:r>
      <w:r w:rsidR="009C1D48" w:rsidRPr="00362D29">
        <w:rPr>
          <w:rFonts w:ascii="Traditional Arabic" w:eastAsia="Aptos" w:hAnsi="Traditional Arabic" w:cs="Traditional Arabic"/>
          <w:b/>
          <w:bCs/>
          <w:kern w:val="2"/>
          <w:sz w:val="24"/>
          <w:szCs w:val="24"/>
          <w:rtl/>
          <w14:ligatures w14:val="standardContextual"/>
        </w:rPr>
        <w:t xml:space="preserve"> المريض</w:t>
      </w:r>
    </w:p>
    <w:p w14:paraId="44808BB5" w14:textId="491CB885" w:rsidR="00476B1D"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يؤكد هذا التمايز أن </w:t>
      </w:r>
      <w:r w:rsidR="00143E75" w:rsidRPr="00362D29">
        <w:rPr>
          <w:rFonts w:ascii="Traditional Arabic" w:eastAsia="Aptos" w:hAnsi="Traditional Arabic" w:cs="Traditional Arabic"/>
          <w:kern w:val="2"/>
          <w:sz w:val="24"/>
          <w:szCs w:val="24"/>
          <w:rtl/>
          <w14:ligatures w14:val="standardContextual"/>
        </w:rPr>
        <w:t xml:space="preserve">التميز في </w:t>
      </w:r>
      <w:r w:rsidRPr="00362D29">
        <w:rPr>
          <w:rFonts w:ascii="Traditional Arabic" w:eastAsia="Aptos" w:hAnsi="Traditional Arabic" w:cs="Traditional Arabic"/>
          <w:kern w:val="2"/>
          <w:sz w:val="24"/>
          <w:szCs w:val="24"/>
          <w:rtl/>
          <w14:ligatures w14:val="standardContextual"/>
        </w:rPr>
        <w:t xml:space="preserve">الرعاية الصحية </w:t>
      </w:r>
      <w:r w:rsidR="00143E75" w:rsidRPr="00362D29">
        <w:rPr>
          <w:rFonts w:ascii="Traditional Arabic" w:eastAsia="Aptos" w:hAnsi="Traditional Arabic" w:cs="Traditional Arabic"/>
          <w:kern w:val="2"/>
          <w:sz w:val="24"/>
          <w:szCs w:val="24"/>
          <w:rtl/>
          <w14:ligatures w14:val="standardContextual"/>
        </w:rPr>
        <w:t>لا يت</w:t>
      </w:r>
      <w:r w:rsidRPr="00362D29">
        <w:rPr>
          <w:rFonts w:ascii="Traditional Arabic" w:eastAsia="Aptos" w:hAnsi="Traditional Arabic" w:cs="Traditional Arabic"/>
          <w:kern w:val="2"/>
          <w:sz w:val="24"/>
          <w:szCs w:val="24"/>
          <w:rtl/>
          <w14:ligatures w14:val="standardContextual"/>
        </w:rPr>
        <w:t xml:space="preserve">طلب فقط توفير تجربة مريحة وعالية الجودة للمريض، بل يتعدى ذلك إلى خلق بيئة تحفز المريض على المشاركة النشطة في مساره </w:t>
      </w:r>
      <w:proofErr w:type="gramStart"/>
      <w:r w:rsidRPr="00362D29">
        <w:rPr>
          <w:rFonts w:ascii="Traditional Arabic" w:eastAsia="Aptos" w:hAnsi="Traditional Arabic" w:cs="Traditional Arabic"/>
          <w:kern w:val="2"/>
          <w:sz w:val="24"/>
          <w:szCs w:val="24"/>
          <w:rtl/>
          <w14:ligatures w14:val="standardContextual"/>
        </w:rPr>
        <w:t>العلاجي</w:t>
      </w:r>
      <w:r w:rsidR="007B5D6E" w:rsidRPr="00362D29">
        <w:rPr>
          <w:rFonts w:ascii="Traditional Arabic" w:eastAsia="Aptos" w:hAnsi="Traditional Arabic" w:cs="Traditional Arabic"/>
          <w:kern w:val="2"/>
          <w:sz w:val="24"/>
          <w:szCs w:val="24"/>
          <w:rtl/>
          <w14:ligatures w14:val="standardContextual"/>
        </w:rPr>
        <w:t>(</w:t>
      </w:r>
      <w:proofErr w:type="gramEnd"/>
      <w:r w:rsidR="007B5D6E" w:rsidRPr="00362D29">
        <w:rPr>
          <w:rFonts w:ascii="Traditional Arabic" w:eastAsia="Aptos" w:hAnsi="Traditional Arabic" w:cs="Traditional Arabic"/>
          <w:kern w:val="2"/>
          <w:sz w:val="24"/>
          <w:szCs w:val="24"/>
          <w:rtl/>
          <w14:ligatures w14:val="standardContextual"/>
        </w:rPr>
        <w:t>محمود، 2025)</w:t>
      </w:r>
      <w:r w:rsidR="00E709C1"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وهو ما يتماشى مع توجهات التحول الصحي في المملكة العربية السعودية نحو رعاية تتمحور حول الإنسان </w:t>
      </w:r>
      <w:r w:rsidR="007B5D6E" w:rsidRPr="00362D29">
        <w:rPr>
          <w:rFonts w:ascii="Traditional Arabic" w:eastAsia="Aptos" w:hAnsi="Traditional Arabic" w:cs="Traditional Arabic"/>
          <w:kern w:val="2"/>
          <w:sz w:val="24"/>
          <w:szCs w:val="24"/>
          <w14:ligatures w14:val="standardContextual"/>
        </w:rPr>
        <w:t>(Health Academy, 2022</w:t>
      </w:r>
      <w:r w:rsidR="00E709C1" w:rsidRPr="00362D29">
        <w:rPr>
          <w:rFonts w:ascii="Traditional Arabic" w:eastAsia="Aptos" w:hAnsi="Traditional Arabic" w:cs="Traditional Arabic"/>
          <w:kern w:val="2"/>
          <w:sz w:val="24"/>
          <w:szCs w:val="24"/>
          <w14:ligatures w14:val="standardContextual"/>
        </w:rPr>
        <w:t>)</w:t>
      </w:r>
      <w:r w:rsidR="00E709C1" w:rsidRPr="00362D29">
        <w:rPr>
          <w:rFonts w:ascii="Traditional Arabic" w:eastAsia="Aptos" w:hAnsi="Traditional Arabic" w:cs="Traditional Arabic"/>
          <w:kern w:val="2"/>
          <w:sz w:val="24"/>
          <w:szCs w:val="24"/>
          <w:rtl/>
          <w14:ligatures w14:val="standardContextual"/>
        </w:rPr>
        <w:t>.</w:t>
      </w:r>
    </w:p>
    <w:p w14:paraId="01BBC509" w14:textId="717BE7A2" w:rsidR="005C4F80" w:rsidRPr="00362D29" w:rsidRDefault="005C4F8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توجد علاقة طردية وثيقة بين المفهومين؛ فالتجربة السيئة للمريض غالباً ما تؤدي إلى ضعف في مستوى مشاركته وانخراطه في الرعاية. وتكمن أهمية هذا التمييز في أن الأبحاث أثبتت أن المرضى الذين يشاركون بفعالية في رعايتهم الصحية هم أكثر عرضة لتحقيق نتائج صحية أفضل </w:t>
      </w:r>
      <w:r w:rsidR="00E709C1" w:rsidRPr="00362D29">
        <w:rPr>
          <w:rFonts w:ascii="Traditional Arabic" w:eastAsia="Aptos" w:hAnsi="Traditional Arabic" w:cs="Traditional Arabic"/>
          <w:kern w:val="2"/>
          <w:sz w:val="24"/>
          <w:szCs w:val="24"/>
          <w:rtl/>
          <w14:ligatures w14:val="standardContextual"/>
        </w:rPr>
        <w:t>(</w:t>
      </w:r>
      <w:r w:rsidR="00E709C1" w:rsidRPr="00362D29">
        <w:rPr>
          <w:rFonts w:ascii="Traditional Arabic" w:eastAsia="Aptos" w:hAnsi="Traditional Arabic" w:cs="Traditional Arabic"/>
          <w:kern w:val="2"/>
          <w:sz w:val="24"/>
          <w:szCs w:val="24"/>
          <w14:ligatures w14:val="standardContextual"/>
        </w:rPr>
        <w:t>Health Academy, 2022</w:t>
      </w:r>
      <w:r w:rsidR="00E709C1"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كما تؤكد الدراسات أن دمج مقاييس تجربة المريض مع مقاييس النتائج يعزز من فاعلية الرعاية الصحية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75F41009" w14:textId="77777777" w:rsidR="00087D96" w:rsidRPr="00362D29" w:rsidRDefault="00087D96"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رابعاً: أهمية تجربة المريض </w:t>
      </w:r>
    </w:p>
    <w:p w14:paraId="2F182A72"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تنبثق أهمية تجربة المريض من تأثيرها المباشر على الخدمات الصحية على عدة مستويات:</w:t>
      </w:r>
    </w:p>
    <w:p w14:paraId="4D2136F2"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1.المخرجات الصحية (</w:t>
      </w:r>
      <w:r w:rsidRPr="00362D29">
        <w:rPr>
          <w:rFonts w:ascii="Traditional Arabic" w:eastAsia="Aptos" w:hAnsi="Traditional Arabic" w:cs="Traditional Arabic"/>
          <w:kern w:val="2"/>
          <w14:ligatures w14:val="standardContextual"/>
        </w:rPr>
        <w:t>Clinical Outcomes</w:t>
      </w:r>
      <w:r w:rsidRPr="00362D29">
        <w:rPr>
          <w:rFonts w:ascii="Traditional Arabic" w:eastAsia="Aptos" w:hAnsi="Traditional Arabic" w:cs="Traditional Arabic"/>
          <w:kern w:val="2"/>
          <w:rtl/>
          <w14:ligatures w14:val="standardContextual"/>
        </w:rPr>
        <w:t>): تؤكد الدراسات وجود ارتباط طردي بين تجربة المريض الإيجابية والنتائج السريرية؛ فالمرضى الذين يحظون بتجربة جيدة يكونون أكثر التزاماً بخطط العلاج، وأقل عرضة لإعادة التنويم، وأسرع في التعافي (</w:t>
      </w:r>
      <w:r w:rsidRPr="00362D29">
        <w:rPr>
          <w:rFonts w:ascii="Traditional Arabic" w:eastAsia="Aptos" w:hAnsi="Traditional Arabic" w:cs="Traditional Arabic"/>
          <w:kern w:val="2"/>
          <w14:ligatures w14:val="standardContextual"/>
        </w:rPr>
        <w:t>Alhuseini et al., 2025; Wolf et al., 2014</w:t>
      </w:r>
      <w:r w:rsidRPr="00362D29">
        <w:rPr>
          <w:rFonts w:ascii="Traditional Arabic" w:eastAsia="Aptos" w:hAnsi="Traditional Arabic" w:cs="Traditional Arabic"/>
          <w:kern w:val="2"/>
          <w:rtl/>
          <w14:ligatures w14:val="standardContextual"/>
        </w:rPr>
        <w:t>).</w:t>
      </w:r>
    </w:p>
    <w:p w14:paraId="0E45D276"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2.سلامة المرضى (</w:t>
      </w:r>
      <w:r w:rsidRPr="00362D29">
        <w:rPr>
          <w:rFonts w:ascii="Traditional Arabic" w:eastAsia="Aptos" w:hAnsi="Traditional Arabic" w:cs="Traditional Arabic"/>
          <w:kern w:val="2"/>
          <w14:ligatures w14:val="standardContextual"/>
        </w:rPr>
        <w:t>Patient Safety</w:t>
      </w:r>
      <w:r w:rsidRPr="00362D29">
        <w:rPr>
          <w:rFonts w:ascii="Traditional Arabic" w:eastAsia="Aptos" w:hAnsi="Traditional Arabic" w:cs="Traditional Arabic"/>
          <w:kern w:val="2"/>
          <w:rtl/>
          <w14:ligatures w14:val="standardContextual"/>
        </w:rPr>
        <w:t>): التواصل الفعال كجزء من تجربة المريض يقلل من الأخطاء الطبية وسوء الفهم بين الفريق الطبي والمريض (</w:t>
      </w:r>
      <w:r w:rsidRPr="00362D29">
        <w:rPr>
          <w:rFonts w:ascii="Traditional Arabic" w:eastAsia="Aptos" w:hAnsi="Traditional Arabic" w:cs="Traditional Arabic"/>
          <w:kern w:val="2"/>
          <w14:ligatures w14:val="standardContextual"/>
        </w:rPr>
        <w:t>AHRQ, 2017</w:t>
      </w:r>
      <w:r w:rsidRPr="00362D29">
        <w:rPr>
          <w:rFonts w:ascii="Traditional Arabic" w:eastAsia="Aptos" w:hAnsi="Traditional Arabic" w:cs="Traditional Arabic"/>
          <w:kern w:val="2"/>
          <w:rtl/>
          <w14:ligatures w14:val="standardContextual"/>
        </w:rPr>
        <w:t>).</w:t>
      </w:r>
    </w:p>
    <w:p w14:paraId="27A7A59A"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3.الكفاءة التشغيلية والسمعة المؤسسية: التجربة الإيجابية تقلل من الشكاوى القانونية، وتعزز ولاء المريض للمنظمة، مما يقلل التكاليف الناتجة عن الهدر الإداري (</w:t>
      </w:r>
      <w:r w:rsidRPr="00362D29">
        <w:rPr>
          <w:rFonts w:ascii="Traditional Arabic" w:eastAsia="Aptos" w:hAnsi="Traditional Arabic" w:cs="Traditional Arabic"/>
          <w:kern w:val="2"/>
          <w14:ligatures w14:val="standardContextual"/>
        </w:rPr>
        <w:t>Ozcelik et al., 2021</w:t>
      </w:r>
      <w:r w:rsidRPr="00362D29">
        <w:rPr>
          <w:rFonts w:ascii="Traditional Arabic" w:eastAsia="Aptos" w:hAnsi="Traditional Arabic" w:cs="Traditional Arabic"/>
          <w:kern w:val="2"/>
          <w:rtl/>
          <w14:ligatures w14:val="standardContextual"/>
        </w:rPr>
        <w:t>).</w:t>
      </w:r>
    </w:p>
    <w:p w14:paraId="67105A33" w14:textId="6FE74923" w:rsidR="006228A3"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lastRenderedPageBreak/>
        <w:t xml:space="preserve">4.جودة الخدمات الصحية: تعتبر تجربة المريض </w:t>
      </w:r>
      <w:r w:rsidR="000F45E8" w:rsidRPr="00362D29">
        <w:rPr>
          <w:rFonts w:ascii="Traditional Arabic" w:eastAsia="Aptos" w:hAnsi="Traditional Arabic" w:cs="Traditional Arabic"/>
          <w:kern w:val="2"/>
          <w:rtl/>
          <w14:ligatures w14:val="standardContextual"/>
        </w:rPr>
        <w:t>مقياس</w:t>
      </w:r>
      <w:r w:rsidR="00900456" w:rsidRPr="00362D29">
        <w:rPr>
          <w:rFonts w:ascii="Traditional Arabic" w:eastAsia="Aptos" w:hAnsi="Traditional Arabic" w:cs="Traditional Arabic"/>
          <w:kern w:val="2"/>
          <w:rtl/>
          <w14:ligatures w14:val="standardContextual"/>
        </w:rPr>
        <w:t xml:space="preserve"> </w:t>
      </w:r>
      <w:r w:rsidRPr="00362D29">
        <w:rPr>
          <w:rFonts w:ascii="Traditional Arabic" w:eastAsia="Aptos" w:hAnsi="Traditional Arabic" w:cs="Traditional Arabic"/>
          <w:kern w:val="2"/>
          <w:rtl/>
          <w14:ligatures w14:val="standardContextual"/>
        </w:rPr>
        <w:t>لجودة</w:t>
      </w:r>
      <w:r w:rsidR="00900456" w:rsidRPr="00362D29">
        <w:rPr>
          <w:rFonts w:ascii="Traditional Arabic" w:eastAsia="Aptos" w:hAnsi="Traditional Arabic" w:cs="Traditional Arabic"/>
          <w:kern w:val="2"/>
          <w:rtl/>
          <w14:ligatures w14:val="standardContextual"/>
        </w:rPr>
        <w:t xml:space="preserve"> الخدمات الصحية</w:t>
      </w:r>
      <w:r w:rsidRPr="00362D29">
        <w:rPr>
          <w:rFonts w:ascii="Traditional Arabic" w:eastAsia="Aptos" w:hAnsi="Traditional Arabic" w:cs="Traditional Arabic"/>
          <w:kern w:val="2"/>
          <w:rtl/>
          <w14:ligatures w14:val="standardContextual"/>
        </w:rPr>
        <w:t xml:space="preserve"> إلى جانب </w:t>
      </w:r>
      <w:r w:rsidR="00900456" w:rsidRPr="00362D29">
        <w:rPr>
          <w:rFonts w:ascii="Traditional Arabic" w:eastAsia="Aptos" w:hAnsi="Traditional Arabic" w:cs="Traditional Arabic"/>
          <w:kern w:val="2"/>
          <w:rtl/>
          <w14:ligatures w14:val="standardContextual"/>
        </w:rPr>
        <w:t xml:space="preserve">مقاييس </w:t>
      </w:r>
      <w:r w:rsidRPr="00362D29">
        <w:rPr>
          <w:rFonts w:ascii="Traditional Arabic" w:eastAsia="Aptos" w:hAnsi="Traditional Arabic" w:cs="Traditional Arabic"/>
          <w:kern w:val="2"/>
          <w:rtl/>
          <w14:ligatures w14:val="standardContextual"/>
        </w:rPr>
        <w:t xml:space="preserve">الفعالية السريرية وسلامة المرضى. </w:t>
      </w:r>
      <w:r w:rsidR="005A5A53" w:rsidRPr="00362D29">
        <w:rPr>
          <w:rFonts w:ascii="Traditional Arabic" w:eastAsia="Aptos" w:hAnsi="Traditional Arabic" w:cs="Traditional Arabic"/>
          <w:kern w:val="2"/>
          <w:rtl/>
          <w14:ligatures w14:val="standardContextual"/>
        </w:rPr>
        <w:t>حيث تعتبر</w:t>
      </w:r>
      <w:r w:rsidRPr="00362D29">
        <w:rPr>
          <w:rFonts w:ascii="Traditional Arabic" w:eastAsia="Aptos" w:hAnsi="Traditional Arabic" w:cs="Traditional Arabic"/>
          <w:kern w:val="2"/>
          <w:rtl/>
          <w14:ligatures w14:val="standardContextual"/>
        </w:rPr>
        <w:t xml:space="preserve"> تجربة المريض </w:t>
      </w:r>
      <w:r w:rsidR="000C0274" w:rsidRPr="00362D29">
        <w:rPr>
          <w:rFonts w:ascii="Traditional Arabic" w:eastAsia="Aptos" w:hAnsi="Traditional Arabic" w:cs="Traditional Arabic"/>
          <w:kern w:val="2"/>
          <w:rtl/>
          <w14:ligatures w14:val="standardContextual"/>
        </w:rPr>
        <w:t>ان</w:t>
      </w:r>
      <w:r w:rsidR="008E3771" w:rsidRPr="00362D29">
        <w:rPr>
          <w:rFonts w:ascii="Traditional Arabic" w:eastAsia="Aptos" w:hAnsi="Traditional Arabic" w:cs="Traditional Arabic"/>
          <w:kern w:val="2"/>
          <w:rtl/>
          <w14:ligatures w14:val="standardContextual"/>
        </w:rPr>
        <w:t xml:space="preserve">عكاس لجودة الخدمة الصحية </w:t>
      </w:r>
      <w:r w:rsidRPr="00362D29">
        <w:rPr>
          <w:rFonts w:ascii="Traditional Arabic" w:eastAsia="Aptos" w:hAnsi="Traditional Arabic" w:cs="Traditional Arabic"/>
          <w:kern w:val="2"/>
          <w:rtl/>
          <w14:ligatures w14:val="standardContextual"/>
        </w:rPr>
        <w:t>من خلال وضع "المستفيد" في مركز القرار، مما يضمن تقديم خدمة تتسم بالاحترام والكرامة والشفافية (</w:t>
      </w:r>
      <w:r w:rsidRPr="00362D29">
        <w:rPr>
          <w:rFonts w:ascii="Traditional Arabic" w:eastAsia="Aptos" w:hAnsi="Traditional Arabic" w:cs="Traditional Arabic"/>
          <w:kern w:val="2"/>
          <w14:ligatures w14:val="standardContextual"/>
        </w:rPr>
        <w:t>WHO, 2018; Oben, 2020</w:t>
      </w:r>
      <w:r w:rsidRPr="00362D29">
        <w:rPr>
          <w:rFonts w:ascii="Traditional Arabic" w:eastAsia="Aptos" w:hAnsi="Traditional Arabic" w:cs="Traditional Arabic"/>
          <w:kern w:val="2"/>
          <w:rtl/>
          <w14:ligatures w14:val="standardContextual"/>
        </w:rPr>
        <w:t>).</w:t>
      </w:r>
    </w:p>
    <w:p w14:paraId="3A0B6A2B" w14:textId="3F8832C4" w:rsidR="00087D96" w:rsidRPr="00362D29" w:rsidRDefault="00087D96"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خامساً: تجربة المريض </w:t>
      </w:r>
      <w:r w:rsidR="00DF71ED" w:rsidRPr="00362D29">
        <w:rPr>
          <w:rFonts w:ascii="Traditional Arabic" w:eastAsia="Aptos" w:hAnsi="Traditional Arabic" w:cs="Traditional Arabic"/>
          <w:b/>
          <w:bCs/>
          <w:kern w:val="2"/>
          <w:sz w:val="28"/>
          <w:szCs w:val="28"/>
          <w:rtl/>
          <w14:ligatures w14:val="standardContextual"/>
        </w:rPr>
        <w:t>مؤشر ل</w:t>
      </w:r>
      <w:r w:rsidRPr="00362D29">
        <w:rPr>
          <w:rFonts w:ascii="Traditional Arabic" w:eastAsia="Aptos" w:hAnsi="Traditional Arabic" w:cs="Traditional Arabic"/>
          <w:b/>
          <w:bCs/>
          <w:kern w:val="2"/>
          <w:sz w:val="28"/>
          <w:szCs w:val="28"/>
          <w:rtl/>
          <w14:ligatures w14:val="standardContextual"/>
        </w:rPr>
        <w:t>جودة الخدمات الصحية</w:t>
      </w:r>
    </w:p>
    <w:p w14:paraId="3025D2F3" w14:textId="13FC5CA0"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تُعد تجربة المريض </w:t>
      </w:r>
      <w:r w:rsidRPr="00362D29">
        <w:rPr>
          <w:rFonts w:ascii="Traditional Arabic" w:eastAsia="Aptos" w:hAnsi="Traditional Arabic" w:cs="Traditional Arabic"/>
          <w:b/>
          <w:bCs/>
          <w:kern w:val="2"/>
          <w:sz w:val="24"/>
          <w:szCs w:val="24"/>
          <w:rtl/>
          <w14:ligatures w14:val="standardContextual"/>
        </w:rPr>
        <w:t>مقياساً اساسياً في منظومة جودة الرعاية الصحية</w:t>
      </w:r>
      <w:r w:rsidRPr="00362D29">
        <w:rPr>
          <w:rFonts w:ascii="Traditional Arabic" w:eastAsia="Aptos" w:hAnsi="Traditional Arabic" w:cs="Traditional Arabic"/>
          <w:kern w:val="2"/>
          <w:sz w:val="24"/>
          <w:szCs w:val="24"/>
          <w:rtl/>
          <w14:ligatures w14:val="standardContextual"/>
        </w:rPr>
        <w:t>، إلى جانب الفعالية السريرية وسلامة المرضى. ولا يُنظر إليها اليوم كمجرد إضافة تكميلية، بل كعنصر حاسم يقيس مدى نجاح النظام الصحي في تحقيق أهدافه الإنسانية والتشغيلية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xml:space="preserve">; </w:t>
      </w:r>
      <w:r w:rsidR="008D4603"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وفيما يلي تفصيل لموقع تجربة المريض</w:t>
      </w:r>
      <w:r w:rsidR="00D601E9" w:rsidRPr="00362D29">
        <w:rPr>
          <w:rFonts w:ascii="Traditional Arabic" w:eastAsia="Aptos" w:hAnsi="Traditional Arabic" w:cs="Traditional Arabic"/>
          <w:b/>
          <w:bCs/>
          <w:kern w:val="2"/>
          <w:sz w:val="24"/>
          <w:szCs w:val="24"/>
          <w:rtl/>
          <w14:ligatures w14:val="standardContextual"/>
        </w:rPr>
        <w:t xml:space="preserve"> كمقياس</w:t>
      </w:r>
      <w:r w:rsidRPr="00362D29">
        <w:rPr>
          <w:rFonts w:ascii="Traditional Arabic" w:eastAsia="Aptos" w:hAnsi="Traditional Arabic" w:cs="Traditional Arabic"/>
          <w:b/>
          <w:bCs/>
          <w:kern w:val="2"/>
          <w:sz w:val="24"/>
          <w:szCs w:val="24"/>
          <w:rtl/>
          <w14:ligatures w14:val="standardContextual"/>
        </w:rPr>
        <w:t xml:space="preserve"> ضمن </w:t>
      </w:r>
      <w:r w:rsidR="003501BF" w:rsidRPr="00362D29">
        <w:rPr>
          <w:rFonts w:ascii="Traditional Arabic" w:eastAsia="Aptos" w:hAnsi="Traditional Arabic" w:cs="Traditional Arabic"/>
          <w:b/>
          <w:bCs/>
          <w:kern w:val="2"/>
          <w:sz w:val="24"/>
          <w:szCs w:val="24"/>
          <w:rtl/>
          <w14:ligatures w14:val="standardContextual"/>
        </w:rPr>
        <w:t>ال</w:t>
      </w:r>
      <w:r w:rsidRPr="00362D29">
        <w:rPr>
          <w:rFonts w:ascii="Traditional Arabic" w:eastAsia="Aptos" w:hAnsi="Traditional Arabic" w:cs="Traditional Arabic"/>
          <w:b/>
          <w:bCs/>
          <w:kern w:val="2"/>
          <w:sz w:val="24"/>
          <w:szCs w:val="24"/>
          <w:rtl/>
          <w14:ligatures w14:val="standardContextual"/>
        </w:rPr>
        <w:t xml:space="preserve">أطر </w:t>
      </w:r>
      <w:r w:rsidR="003501BF" w:rsidRPr="00362D29">
        <w:rPr>
          <w:rFonts w:ascii="Traditional Arabic" w:eastAsia="Aptos" w:hAnsi="Traditional Arabic" w:cs="Traditional Arabic"/>
          <w:b/>
          <w:bCs/>
          <w:kern w:val="2"/>
          <w:sz w:val="24"/>
          <w:szCs w:val="24"/>
          <w:rtl/>
          <w14:ligatures w14:val="standardContextual"/>
        </w:rPr>
        <w:t>العالمية ل</w:t>
      </w:r>
      <w:r w:rsidRPr="00362D29">
        <w:rPr>
          <w:rFonts w:ascii="Traditional Arabic" w:eastAsia="Aptos" w:hAnsi="Traditional Arabic" w:cs="Traditional Arabic"/>
          <w:b/>
          <w:bCs/>
          <w:kern w:val="2"/>
          <w:sz w:val="24"/>
          <w:szCs w:val="24"/>
          <w:rtl/>
          <w14:ligatures w14:val="standardContextual"/>
        </w:rPr>
        <w:t xml:space="preserve">جودة </w:t>
      </w:r>
      <w:r w:rsidR="00D601E9" w:rsidRPr="00362D29">
        <w:rPr>
          <w:rFonts w:ascii="Traditional Arabic" w:eastAsia="Aptos" w:hAnsi="Traditional Arabic" w:cs="Traditional Arabic"/>
          <w:b/>
          <w:bCs/>
          <w:kern w:val="2"/>
          <w:sz w:val="24"/>
          <w:szCs w:val="24"/>
          <w:rtl/>
          <w14:ligatures w14:val="standardContextual"/>
        </w:rPr>
        <w:t xml:space="preserve">الخدمات </w:t>
      </w:r>
      <w:r w:rsidR="003501BF" w:rsidRPr="00362D29">
        <w:rPr>
          <w:rFonts w:ascii="Traditional Arabic" w:eastAsia="Aptos" w:hAnsi="Traditional Arabic" w:cs="Traditional Arabic"/>
          <w:b/>
          <w:bCs/>
          <w:kern w:val="2"/>
          <w:sz w:val="24"/>
          <w:szCs w:val="24"/>
          <w:rtl/>
          <w14:ligatures w14:val="standardContextual"/>
        </w:rPr>
        <w:t>الصحية</w:t>
      </w:r>
      <w:r w:rsidRPr="00362D29">
        <w:rPr>
          <w:rFonts w:ascii="Traditional Arabic" w:eastAsia="Aptos" w:hAnsi="Traditional Arabic" w:cs="Traditional Arabic"/>
          <w:b/>
          <w:bCs/>
          <w:kern w:val="2"/>
          <w:sz w:val="24"/>
          <w:szCs w:val="24"/>
          <w:rtl/>
          <w14:ligatures w14:val="standardContextual"/>
        </w:rPr>
        <w:t>:</w:t>
      </w:r>
    </w:p>
    <w:p w14:paraId="361A8893" w14:textId="08BCDC48"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1. </w:t>
      </w:r>
      <w:r w:rsidR="00606A48" w:rsidRPr="00362D29">
        <w:rPr>
          <w:rFonts w:ascii="Traditional Arabic" w:eastAsia="Aptos" w:hAnsi="Traditional Arabic" w:cs="Traditional Arabic"/>
          <w:b/>
          <w:bCs/>
          <w:kern w:val="2"/>
          <w:sz w:val="24"/>
          <w:szCs w:val="24"/>
          <w:rtl/>
          <w14:ligatures w14:val="standardContextual"/>
        </w:rPr>
        <w:t xml:space="preserve">موقع </w:t>
      </w:r>
      <w:r w:rsidRPr="00362D29">
        <w:rPr>
          <w:rFonts w:ascii="Traditional Arabic" w:eastAsia="Aptos" w:hAnsi="Traditional Arabic" w:cs="Traditional Arabic"/>
          <w:b/>
          <w:bCs/>
          <w:kern w:val="2"/>
          <w:sz w:val="24"/>
          <w:szCs w:val="24"/>
          <w:rtl/>
          <w14:ligatures w14:val="standardContextual"/>
        </w:rPr>
        <w:t>تجربة المريض في أبعاد الجودة الستة (</w:t>
      </w:r>
      <w:r w:rsidRPr="00362D29">
        <w:rPr>
          <w:rFonts w:ascii="Traditional Arabic" w:eastAsia="Aptos" w:hAnsi="Traditional Arabic" w:cs="Traditional Arabic"/>
          <w:b/>
          <w:bCs/>
          <w:kern w:val="2"/>
          <w:sz w:val="24"/>
          <w:szCs w:val="24"/>
          <w14:ligatures w14:val="standardContextual"/>
        </w:rPr>
        <w:t>STEEEP</w:t>
      </w:r>
      <w:r w:rsidRPr="00362D29">
        <w:rPr>
          <w:rFonts w:ascii="Traditional Arabic" w:eastAsia="Aptos" w:hAnsi="Traditional Arabic" w:cs="Traditional Arabic"/>
          <w:b/>
          <w:bCs/>
          <w:kern w:val="2"/>
          <w:sz w:val="24"/>
          <w:szCs w:val="24"/>
          <w:rtl/>
          <w14:ligatures w14:val="standardContextual"/>
        </w:rPr>
        <w:t>)</w:t>
      </w:r>
    </w:p>
    <w:p w14:paraId="32F63024" w14:textId="347B89E5"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حدد معهد الطب الأمريكي (</w:t>
      </w:r>
      <w:r w:rsidRPr="00362D29">
        <w:rPr>
          <w:rFonts w:ascii="Traditional Arabic" w:eastAsia="Aptos" w:hAnsi="Traditional Arabic" w:cs="Traditional Arabic"/>
          <w:kern w:val="2"/>
          <w:sz w:val="24"/>
          <w:szCs w:val="24"/>
          <w14:ligatures w14:val="standardContextual"/>
        </w:rPr>
        <w:t>Institute of Medicine - IOM</w:t>
      </w:r>
      <w:r w:rsidRPr="00362D29">
        <w:rPr>
          <w:rFonts w:ascii="Traditional Arabic" w:eastAsia="Aptos" w:hAnsi="Traditional Arabic" w:cs="Traditional Arabic"/>
          <w:kern w:val="2"/>
          <w:sz w:val="24"/>
          <w:szCs w:val="24"/>
          <w:rtl/>
          <w14:ligatures w14:val="standardContextual"/>
        </w:rPr>
        <w:t>) في تقريره الشهير "</w:t>
      </w:r>
      <w:r w:rsidRPr="00362D29">
        <w:rPr>
          <w:rFonts w:ascii="Traditional Arabic" w:eastAsia="Aptos" w:hAnsi="Traditional Arabic" w:cs="Traditional Arabic"/>
          <w:kern w:val="2"/>
          <w:sz w:val="24"/>
          <w:szCs w:val="24"/>
          <w14:ligatures w14:val="standardContextual"/>
        </w:rPr>
        <w:t>Crossing the Quality Chasm</w:t>
      </w:r>
      <w:r w:rsidRPr="00362D29">
        <w:rPr>
          <w:rFonts w:ascii="Traditional Arabic" w:eastAsia="Aptos" w:hAnsi="Traditional Arabic" w:cs="Traditional Arabic"/>
          <w:kern w:val="2"/>
          <w:sz w:val="24"/>
          <w:szCs w:val="24"/>
          <w:rtl/>
          <w14:ligatures w14:val="standardContextual"/>
        </w:rPr>
        <w:t xml:space="preserve">" ستة أبعاد أساسية </w:t>
      </w:r>
      <w:r w:rsidR="00606A48" w:rsidRPr="00362D29">
        <w:rPr>
          <w:rFonts w:ascii="Traditional Arabic" w:eastAsia="Aptos" w:hAnsi="Traditional Arabic" w:cs="Traditional Arabic"/>
          <w:kern w:val="2"/>
          <w:sz w:val="24"/>
          <w:szCs w:val="24"/>
          <w:rtl/>
          <w14:ligatures w14:val="standardContextual"/>
        </w:rPr>
        <w:t xml:space="preserve">لقياس </w:t>
      </w:r>
      <w:r w:rsidRPr="00362D29">
        <w:rPr>
          <w:rFonts w:ascii="Traditional Arabic" w:eastAsia="Aptos" w:hAnsi="Traditional Arabic" w:cs="Traditional Arabic"/>
          <w:kern w:val="2"/>
          <w:sz w:val="24"/>
          <w:szCs w:val="24"/>
          <w:rtl/>
          <w14:ligatures w14:val="standardContextual"/>
        </w:rPr>
        <w:t>جودة الرعاية الصحية، يُرمز لها اختصاراً بـ (</w:t>
      </w:r>
      <w:r w:rsidRPr="00362D29">
        <w:rPr>
          <w:rFonts w:ascii="Traditional Arabic" w:eastAsia="Aptos" w:hAnsi="Traditional Arabic" w:cs="Traditional Arabic"/>
          <w:kern w:val="2"/>
          <w:sz w:val="24"/>
          <w:szCs w:val="24"/>
          <w14:ligatures w14:val="standardContextual"/>
        </w:rPr>
        <w:t>STEEEP</w:t>
      </w:r>
      <w:r w:rsidRPr="00362D29">
        <w:rPr>
          <w:rFonts w:ascii="Traditional Arabic" w:eastAsia="Aptos" w:hAnsi="Traditional Arabic" w:cs="Traditional Arabic"/>
          <w:kern w:val="2"/>
          <w:sz w:val="24"/>
          <w:szCs w:val="24"/>
          <w:rtl/>
          <w14:ligatures w14:val="standardContextual"/>
        </w:rPr>
        <w:t xml:space="preserve">). وتأتي تجربة المريض (المتمثلة في الرعاية </w:t>
      </w:r>
      <w:r w:rsidR="00457999" w:rsidRPr="00362D29">
        <w:rPr>
          <w:rFonts w:ascii="Traditional Arabic" w:eastAsia="Aptos" w:hAnsi="Traditional Arabic" w:cs="Traditional Arabic"/>
          <w:kern w:val="2"/>
          <w:sz w:val="24"/>
          <w:szCs w:val="24"/>
          <w:rtl/>
          <w14:ligatures w14:val="standardContextual"/>
        </w:rPr>
        <w:t>المرتكزة</w:t>
      </w:r>
      <w:r w:rsidRPr="00362D29">
        <w:rPr>
          <w:rFonts w:ascii="Traditional Arabic" w:eastAsia="Aptos" w:hAnsi="Traditional Arabic" w:cs="Traditional Arabic"/>
          <w:kern w:val="2"/>
          <w:sz w:val="24"/>
          <w:szCs w:val="24"/>
          <w:rtl/>
          <w14:ligatures w14:val="standardContextual"/>
        </w:rPr>
        <w:t xml:space="preserve"> </w:t>
      </w:r>
      <w:r w:rsidR="00457999" w:rsidRPr="00362D29">
        <w:rPr>
          <w:rFonts w:ascii="Traditional Arabic" w:eastAsia="Aptos" w:hAnsi="Traditional Arabic" w:cs="Traditional Arabic"/>
          <w:kern w:val="2"/>
          <w:sz w:val="24"/>
          <w:szCs w:val="24"/>
          <w:rtl/>
          <w14:ligatures w14:val="standardContextual"/>
        </w:rPr>
        <w:t>على</w:t>
      </w:r>
      <w:r w:rsidRPr="00362D29">
        <w:rPr>
          <w:rFonts w:ascii="Traditional Arabic" w:eastAsia="Aptos" w:hAnsi="Traditional Arabic" w:cs="Traditional Arabic"/>
          <w:kern w:val="2"/>
          <w:sz w:val="24"/>
          <w:szCs w:val="24"/>
          <w:rtl/>
          <w14:ligatures w14:val="standardContextual"/>
        </w:rPr>
        <w:t xml:space="preserve"> المريض) كأحد هذه الأبعاد الجوهرية </w:t>
      </w:r>
      <w:r w:rsidR="00AD1231" w:rsidRPr="00362D29">
        <w:rPr>
          <w:rFonts w:ascii="Traditional Arabic" w:eastAsia="Aptos" w:hAnsi="Traditional Arabic" w:cs="Traditional Arabic"/>
          <w:kern w:val="2"/>
          <w:sz w:val="24"/>
          <w:szCs w:val="24"/>
          <w:rtl/>
          <w14:ligatures w14:val="standardContextual"/>
        </w:rPr>
        <w:t>(</w:t>
      </w:r>
      <w:r w:rsidR="00AD1231" w:rsidRPr="00362D29">
        <w:rPr>
          <w:rFonts w:ascii="Traditional Arabic" w:eastAsia="Aptos" w:hAnsi="Traditional Arabic" w:cs="Traditional Arabic"/>
          <w:kern w:val="2"/>
          <w:sz w:val="24"/>
          <w:szCs w:val="24"/>
          <w14:ligatures w14:val="standardContextual"/>
        </w:rPr>
        <w:t>Health Academy, 2022</w:t>
      </w:r>
      <w:r w:rsidR="00AD1231" w:rsidRPr="00362D29">
        <w:rPr>
          <w:rFonts w:ascii="Traditional Arabic" w:eastAsia="Aptos" w:hAnsi="Traditional Arabic" w:cs="Traditional Arabic"/>
          <w:kern w:val="2"/>
          <w:sz w:val="24"/>
          <w:szCs w:val="24"/>
          <w:rtl/>
          <w14:ligatures w14:val="standardContextual"/>
        </w:rPr>
        <w:t>).</w:t>
      </w:r>
    </w:p>
    <w:p w14:paraId="29A1AC85" w14:textId="700927B9" w:rsidR="00073274" w:rsidRPr="00362D29" w:rsidRDefault="00073274"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الآمنة</w:t>
      </w:r>
      <w:r w:rsidR="0046653F" w:rsidRPr="00362D29">
        <w:rPr>
          <w:rFonts w:ascii="Traditional Arabic" w:eastAsia="Aptos" w:hAnsi="Traditional Arabic" w:cs="Traditional Arabic"/>
          <w:b/>
          <w:bCs/>
          <w:kern w:val="2"/>
          <w:sz w:val="24"/>
          <w:szCs w:val="24"/>
          <w:rtl/>
          <w14:ligatures w14:val="standardContextual"/>
        </w:rPr>
        <w:t xml:space="preserve"> (</w:t>
      </w:r>
      <w:r w:rsidR="0046653F" w:rsidRPr="00362D29">
        <w:rPr>
          <w:rFonts w:ascii="Traditional Arabic" w:eastAsia="Aptos" w:hAnsi="Traditional Arabic" w:cs="Traditional Arabic"/>
          <w:b/>
          <w:bCs/>
          <w:kern w:val="2"/>
          <w:sz w:val="24"/>
          <w:szCs w:val="24"/>
          <w14:ligatures w14:val="standardContextual"/>
        </w:rPr>
        <w:t>S</w:t>
      </w:r>
      <w:r w:rsidR="0046653F"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Safe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تجنب إلحاق الأذى بالمرضى من الرعاية التي تهدف لمساعدتهم.</w:t>
      </w:r>
    </w:p>
    <w:p w14:paraId="42BD2902" w14:textId="2A45DE1E" w:rsidR="00F03797" w:rsidRPr="00362D29" w:rsidRDefault="00F03797"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في الوقت المناسب (</w:t>
      </w:r>
      <w:r w:rsidRPr="00362D29">
        <w:rPr>
          <w:rFonts w:ascii="Traditional Arabic" w:eastAsia="Aptos" w:hAnsi="Traditional Arabic" w:cs="Traditional Arabic"/>
          <w:b/>
          <w:bCs/>
          <w:kern w:val="2"/>
          <w:sz w:val="24"/>
          <w:szCs w:val="24"/>
          <w14:ligatures w14:val="standardContextual"/>
        </w:rPr>
        <w:t>T</w:t>
      </w:r>
      <w:r w:rsidRPr="00362D29">
        <w:rPr>
          <w:rFonts w:ascii="Traditional Arabic" w:eastAsia="Aptos" w:hAnsi="Traditional Arabic" w:cs="Traditional Arabic"/>
          <w:b/>
          <w:bCs/>
          <w:kern w:val="2"/>
          <w:sz w:val="24"/>
          <w:szCs w:val="24"/>
          <w:rtl/>
          <w14:ligatures w14:val="standardContextual"/>
        </w:rPr>
        <w:t>) - (</w:t>
      </w:r>
      <w:r w:rsidRPr="00362D29">
        <w:rPr>
          <w:rFonts w:ascii="Traditional Arabic" w:eastAsia="Aptos" w:hAnsi="Traditional Arabic" w:cs="Traditional Arabic"/>
          <w:b/>
          <w:bCs/>
          <w:kern w:val="2"/>
          <w:sz w:val="24"/>
          <w:szCs w:val="24"/>
          <w14:ligatures w14:val="standardContextual"/>
        </w:rPr>
        <w:t>Timely</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تقليل فترات الانتظار والتأخير الضار أحياناً.</w:t>
      </w:r>
    </w:p>
    <w:p w14:paraId="26ABB75B" w14:textId="5566ECC1" w:rsidR="00F03797" w:rsidRPr="00362D29" w:rsidRDefault="00F03797"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الفعالة (</w:t>
      </w:r>
      <w:r w:rsidRPr="00362D29">
        <w:rPr>
          <w:rFonts w:ascii="Traditional Arabic" w:eastAsia="Aptos" w:hAnsi="Traditional Arabic" w:cs="Traditional Arabic"/>
          <w:b/>
          <w:bCs/>
          <w:kern w:val="2"/>
          <w:sz w:val="24"/>
          <w:szCs w:val="24"/>
          <w14:ligatures w14:val="standardContextual"/>
        </w:rPr>
        <w:t>E</w:t>
      </w:r>
      <w:r w:rsidRPr="00362D29">
        <w:rPr>
          <w:rFonts w:ascii="Traditional Arabic" w:eastAsia="Aptos" w:hAnsi="Traditional Arabic" w:cs="Traditional Arabic"/>
          <w:b/>
          <w:bCs/>
          <w:kern w:val="2"/>
          <w:sz w:val="24"/>
          <w:szCs w:val="24"/>
          <w:rtl/>
          <w14:ligatures w14:val="standardContextual"/>
        </w:rPr>
        <w:t>) - (</w:t>
      </w:r>
      <w:r w:rsidRPr="00362D29">
        <w:rPr>
          <w:rFonts w:ascii="Traditional Arabic" w:eastAsia="Aptos" w:hAnsi="Traditional Arabic" w:cs="Traditional Arabic"/>
          <w:b/>
          <w:bCs/>
          <w:kern w:val="2"/>
          <w:sz w:val="24"/>
          <w:szCs w:val="24"/>
          <w14:ligatures w14:val="standardContextual"/>
        </w:rPr>
        <w:t>Effective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الخدمات بناءً على المعرفة العلمية لكل من يمكنه الاستفادة منها.</w:t>
      </w:r>
    </w:p>
    <w:p w14:paraId="0D182233" w14:textId="6895895E" w:rsidR="00EC07D8" w:rsidRPr="00362D29" w:rsidRDefault="00EC07D8"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الكفؤة</w:t>
      </w:r>
      <w:r w:rsidR="00F82EE8" w:rsidRPr="00362D29">
        <w:rPr>
          <w:rFonts w:ascii="Traditional Arabic" w:eastAsia="Aptos" w:hAnsi="Traditional Arabic" w:cs="Traditional Arabic"/>
          <w:b/>
          <w:bCs/>
          <w:kern w:val="2"/>
          <w:sz w:val="24"/>
          <w:szCs w:val="24"/>
          <w:rtl/>
          <w14:ligatures w14:val="standardContextual"/>
        </w:rPr>
        <w:t xml:space="preserve"> (</w:t>
      </w:r>
      <w:r w:rsidR="00F82EE8" w:rsidRPr="00362D29">
        <w:rPr>
          <w:rFonts w:ascii="Traditional Arabic" w:eastAsia="Aptos" w:hAnsi="Traditional Arabic" w:cs="Traditional Arabic"/>
          <w:b/>
          <w:bCs/>
          <w:kern w:val="2"/>
          <w:sz w:val="24"/>
          <w:szCs w:val="24"/>
          <w14:ligatures w14:val="standardContextual"/>
        </w:rPr>
        <w:t>E</w:t>
      </w:r>
      <w:r w:rsidR="00F82EE8"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Efficient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تجنب الهدر في المعدات، والإمدادات، والأفكار، والطاقة.</w:t>
      </w:r>
    </w:p>
    <w:p w14:paraId="1F6AFB59" w14:textId="4BC3D282" w:rsidR="00F017DA" w:rsidRPr="00362D29" w:rsidRDefault="00F017DA"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العادلة</w:t>
      </w:r>
      <w:r w:rsidR="004466EF" w:rsidRPr="00362D29">
        <w:rPr>
          <w:rFonts w:ascii="Traditional Arabic" w:eastAsia="Aptos" w:hAnsi="Traditional Arabic" w:cs="Traditional Arabic"/>
          <w:b/>
          <w:bCs/>
          <w:kern w:val="2"/>
          <w:sz w:val="24"/>
          <w:szCs w:val="24"/>
          <w:rtl/>
          <w14:ligatures w14:val="standardContextual"/>
        </w:rPr>
        <w:t xml:space="preserve"> (</w:t>
      </w:r>
      <w:r w:rsidR="004466EF" w:rsidRPr="00362D29">
        <w:rPr>
          <w:rFonts w:ascii="Traditional Arabic" w:eastAsia="Aptos" w:hAnsi="Traditional Arabic" w:cs="Traditional Arabic"/>
          <w:b/>
          <w:bCs/>
          <w:kern w:val="2"/>
          <w:sz w:val="24"/>
          <w:szCs w:val="24"/>
          <w14:ligatures w14:val="standardContextual"/>
        </w:rPr>
        <w:t>E</w:t>
      </w:r>
      <w:r w:rsidR="004466EF"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Equitable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رعاية لا تختلف جودتها بسبب الخصائص الشخصية مثل الجنس أو العرق أو الموقع الجغرافي.</w:t>
      </w:r>
    </w:p>
    <w:p w14:paraId="337225E3" w14:textId="326FACA1" w:rsidR="00073274" w:rsidRPr="00362D29" w:rsidRDefault="00073274"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الرعاية </w:t>
      </w:r>
      <w:r w:rsidR="0046653F" w:rsidRPr="00362D29">
        <w:rPr>
          <w:rFonts w:ascii="Traditional Arabic" w:eastAsia="Aptos" w:hAnsi="Traditional Arabic" w:cs="Traditional Arabic"/>
          <w:b/>
          <w:bCs/>
          <w:kern w:val="2"/>
          <w:sz w:val="24"/>
          <w:szCs w:val="24"/>
          <w:rtl/>
          <w14:ligatures w14:val="standardContextual"/>
        </w:rPr>
        <w:t>المرتكزة على</w:t>
      </w:r>
      <w:r w:rsidRPr="00362D29">
        <w:rPr>
          <w:rFonts w:ascii="Traditional Arabic" w:eastAsia="Aptos" w:hAnsi="Traditional Arabic" w:cs="Traditional Arabic"/>
          <w:b/>
          <w:bCs/>
          <w:kern w:val="2"/>
          <w:sz w:val="24"/>
          <w:szCs w:val="24"/>
          <w:rtl/>
          <w14:ligatures w14:val="standardContextual"/>
        </w:rPr>
        <w:t xml:space="preserve"> المريض</w:t>
      </w:r>
      <w:r w:rsidR="0046653F" w:rsidRPr="00362D29">
        <w:rPr>
          <w:rFonts w:ascii="Traditional Arabic" w:eastAsia="Aptos" w:hAnsi="Traditional Arabic" w:cs="Traditional Arabic"/>
          <w:b/>
          <w:bCs/>
          <w:kern w:val="2"/>
          <w:sz w:val="24"/>
          <w:szCs w:val="24"/>
          <w:rtl/>
          <w14:ligatures w14:val="standardContextual"/>
        </w:rPr>
        <w:t xml:space="preserve"> (</w:t>
      </w:r>
      <w:r w:rsidR="002F7CDA" w:rsidRPr="00362D29">
        <w:rPr>
          <w:rFonts w:ascii="Traditional Arabic" w:eastAsia="Aptos" w:hAnsi="Traditional Arabic" w:cs="Traditional Arabic"/>
          <w:b/>
          <w:bCs/>
          <w:kern w:val="2"/>
          <w:sz w:val="24"/>
          <w:szCs w:val="24"/>
          <w14:ligatures w14:val="standardContextual"/>
        </w:rPr>
        <w:t>P</w:t>
      </w:r>
      <w:r w:rsidR="002F7CDA"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Patient-centered/Patient Experience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رعاية تحترم تفضيلات المريض الفردية واحتياجاته وقيمه، وتضمن أن قيم المريض هي التي توجه جميع القرارات السريرية.</w:t>
      </w:r>
    </w:p>
    <w:p w14:paraId="5C3B0840" w14:textId="4E2B275B"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2. </w:t>
      </w:r>
      <w:r w:rsidR="00CD5D0A" w:rsidRPr="00362D29">
        <w:rPr>
          <w:rFonts w:ascii="Traditional Arabic" w:eastAsia="Aptos" w:hAnsi="Traditional Arabic" w:cs="Traditional Arabic"/>
          <w:b/>
          <w:bCs/>
          <w:kern w:val="2"/>
          <w:sz w:val="24"/>
          <w:szCs w:val="24"/>
          <w:rtl/>
          <w14:ligatures w14:val="standardContextual"/>
        </w:rPr>
        <w:t>مقاييس جودة ال</w:t>
      </w:r>
      <w:r w:rsidR="00BB0416" w:rsidRPr="00362D29">
        <w:rPr>
          <w:rFonts w:ascii="Traditional Arabic" w:eastAsia="Aptos" w:hAnsi="Traditional Arabic" w:cs="Traditional Arabic"/>
          <w:b/>
          <w:bCs/>
          <w:kern w:val="2"/>
          <w:sz w:val="24"/>
          <w:szCs w:val="24"/>
          <w:rtl/>
          <w14:ligatures w14:val="standardContextual"/>
        </w:rPr>
        <w:t>رعاية الصحية:</w:t>
      </w:r>
      <w:r w:rsidRPr="00362D29">
        <w:rPr>
          <w:rFonts w:ascii="Traditional Arabic" w:eastAsia="Aptos" w:hAnsi="Traditional Arabic" w:cs="Traditional Arabic"/>
          <w:b/>
          <w:bCs/>
          <w:kern w:val="2"/>
          <w:sz w:val="24"/>
          <w:szCs w:val="24"/>
          <w:rtl/>
          <w14:ligatures w14:val="standardContextual"/>
        </w:rPr>
        <w:t xml:space="preserve"> تجربة المريض والفعالية السريرية وسلامة المريض</w:t>
      </w:r>
    </w:p>
    <w:p w14:paraId="5FB86E24" w14:textId="1C336D3C" w:rsidR="00073274" w:rsidRPr="00362D29" w:rsidRDefault="00510AAC"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تؤ</w:t>
      </w:r>
      <w:r w:rsidR="0057633B" w:rsidRPr="00362D29">
        <w:rPr>
          <w:rFonts w:ascii="Traditional Arabic" w:eastAsia="Aptos" w:hAnsi="Traditional Arabic" w:cs="Traditional Arabic"/>
          <w:kern w:val="2"/>
          <w:sz w:val="24"/>
          <w:szCs w:val="24"/>
          <w:rtl/>
          <w14:ligatures w14:val="standardContextual"/>
        </w:rPr>
        <w:t>كد</w:t>
      </w:r>
      <w:r w:rsidR="00073274" w:rsidRPr="00362D29">
        <w:rPr>
          <w:rFonts w:ascii="Traditional Arabic" w:eastAsia="Aptos" w:hAnsi="Traditional Arabic" w:cs="Traditional Arabic"/>
          <w:kern w:val="2"/>
          <w:sz w:val="24"/>
          <w:szCs w:val="24"/>
          <w:rtl/>
          <w14:ligatures w14:val="standardContextual"/>
        </w:rPr>
        <w:t xml:space="preserve"> </w:t>
      </w:r>
      <w:r w:rsidR="00D9607B" w:rsidRPr="00362D29">
        <w:rPr>
          <w:rFonts w:ascii="Traditional Arabic" w:eastAsia="Aptos" w:hAnsi="Traditional Arabic" w:cs="Traditional Arabic"/>
          <w:kern w:val="2"/>
          <w:sz w:val="24"/>
          <w:szCs w:val="24"/>
          <w:rtl/>
          <w14:ligatures w14:val="standardContextual"/>
        </w:rPr>
        <w:t>المعاهد الوطنية الأمريكية للصحة (</w:t>
      </w:r>
      <w:r w:rsidR="00D9607B" w:rsidRPr="00362D29">
        <w:rPr>
          <w:rFonts w:ascii="Traditional Arabic" w:eastAsia="Aptos" w:hAnsi="Traditional Arabic" w:cs="Traditional Arabic"/>
          <w:kern w:val="2"/>
          <w:sz w:val="24"/>
          <w:szCs w:val="24"/>
          <w14:ligatures w14:val="standardContextual"/>
        </w:rPr>
        <w:t>NIH, 2024</w:t>
      </w:r>
      <w:r w:rsidR="00D9607B" w:rsidRPr="00362D29">
        <w:rPr>
          <w:rFonts w:ascii="Traditional Arabic" w:eastAsia="Aptos" w:hAnsi="Traditional Arabic" w:cs="Traditional Arabic"/>
          <w:kern w:val="2"/>
          <w:sz w:val="24"/>
          <w:szCs w:val="24"/>
          <w:rtl/>
          <w14:ligatures w14:val="standardContextual"/>
        </w:rPr>
        <w:t>) وهيئة الخدمات الصحية الوطنية البريطانية (</w:t>
      </w:r>
      <w:r w:rsidR="00D9607B" w:rsidRPr="00362D29">
        <w:rPr>
          <w:rFonts w:ascii="Traditional Arabic" w:eastAsia="Aptos" w:hAnsi="Traditional Arabic" w:cs="Traditional Arabic"/>
          <w:kern w:val="2"/>
          <w:sz w:val="24"/>
          <w:szCs w:val="24"/>
          <w14:ligatures w14:val="standardContextual"/>
        </w:rPr>
        <w:t>NHS, 2011</w:t>
      </w:r>
      <w:r w:rsidR="00D9607B" w:rsidRPr="00362D29">
        <w:rPr>
          <w:rFonts w:ascii="Traditional Arabic" w:eastAsia="Aptos" w:hAnsi="Traditional Arabic" w:cs="Traditional Arabic"/>
          <w:kern w:val="2"/>
          <w:sz w:val="24"/>
          <w:szCs w:val="24"/>
          <w:rtl/>
          <w14:ligatures w14:val="standardContextual"/>
        </w:rPr>
        <w:t>)، على أن</w:t>
      </w:r>
      <w:r w:rsidR="00073274" w:rsidRPr="00362D29">
        <w:rPr>
          <w:rFonts w:ascii="Traditional Arabic" w:eastAsia="Aptos" w:hAnsi="Traditional Arabic" w:cs="Traditional Arabic"/>
          <w:kern w:val="2"/>
          <w:sz w:val="24"/>
          <w:szCs w:val="24"/>
          <w:rtl/>
          <w14:ligatures w14:val="standardContextual"/>
        </w:rPr>
        <w:t>،</w:t>
      </w:r>
      <w:r w:rsidR="00F91F36" w:rsidRPr="00362D29">
        <w:rPr>
          <w:rFonts w:ascii="Traditional Arabic" w:eastAsia="Aptos" w:hAnsi="Traditional Arabic" w:cs="Traditional Arabic"/>
          <w:kern w:val="2"/>
          <w:sz w:val="24"/>
          <w:szCs w:val="24"/>
          <w:rtl/>
          <w14:ligatures w14:val="standardContextual"/>
        </w:rPr>
        <w:t xml:space="preserve"> مؤشرات قياس</w:t>
      </w:r>
      <w:r w:rsidR="00073274" w:rsidRPr="00362D29">
        <w:rPr>
          <w:rFonts w:ascii="Traditional Arabic" w:eastAsia="Aptos" w:hAnsi="Traditional Arabic" w:cs="Traditional Arabic"/>
          <w:kern w:val="2"/>
          <w:sz w:val="24"/>
          <w:szCs w:val="24"/>
          <w:rtl/>
          <w14:ligatures w14:val="standardContextual"/>
        </w:rPr>
        <w:t xml:space="preserve"> تجربة المريض ليست منفصلة عن </w:t>
      </w:r>
      <w:r w:rsidR="00DE0B8C" w:rsidRPr="00362D29">
        <w:rPr>
          <w:rFonts w:ascii="Traditional Arabic" w:eastAsia="Aptos" w:hAnsi="Traditional Arabic" w:cs="Traditional Arabic"/>
          <w:kern w:val="2"/>
          <w:sz w:val="24"/>
          <w:szCs w:val="24"/>
          <w:rtl/>
          <w14:ligatures w14:val="standardContextual"/>
        </w:rPr>
        <w:t xml:space="preserve">مؤشرات قياس </w:t>
      </w:r>
      <w:r w:rsidR="00073274" w:rsidRPr="00362D29">
        <w:rPr>
          <w:rFonts w:ascii="Traditional Arabic" w:eastAsia="Aptos" w:hAnsi="Traditional Arabic" w:cs="Traditional Arabic"/>
          <w:kern w:val="2"/>
          <w:sz w:val="24"/>
          <w:szCs w:val="24"/>
          <w:rtl/>
          <w14:ligatures w14:val="standardContextual"/>
        </w:rPr>
        <w:t>الجوانب الفنية للرعاية</w:t>
      </w:r>
      <w:r w:rsidR="00DE0B8C" w:rsidRPr="00362D29">
        <w:rPr>
          <w:rFonts w:ascii="Traditional Arabic" w:eastAsia="Aptos" w:hAnsi="Traditional Arabic" w:cs="Traditional Arabic"/>
          <w:kern w:val="2"/>
          <w:sz w:val="24"/>
          <w:szCs w:val="24"/>
          <w:rtl/>
          <w14:ligatures w14:val="standardContextual"/>
        </w:rPr>
        <w:t xml:space="preserve"> الصحية</w:t>
      </w:r>
      <w:r w:rsidR="00073274" w:rsidRPr="00362D29">
        <w:rPr>
          <w:rFonts w:ascii="Traditional Arabic" w:eastAsia="Aptos" w:hAnsi="Traditional Arabic" w:cs="Traditional Arabic"/>
          <w:kern w:val="2"/>
          <w:sz w:val="24"/>
          <w:szCs w:val="24"/>
          <w:rtl/>
          <w14:ligatures w14:val="standardContextual"/>
        </w:rPr>
        <w:t>، بل هي مرتبطة بها ارتباطاً وثيقاً و</w:t>
      </w:r>
      <w:r w:rsidR="004E147A" w:rsidRPr="00362D29">
        <w:rPr>
          <w:rFonts w:ascii="Traditional Arabic" w:eastAsia="Aptos" w:hAnsi="Traditional Arabic" w:cs="Traditional Arabic"/>
          <w:kern w:val="2"/>
          <w:sz w:val="24"/>
          <w:szCs w:val="24"/>
          <w:rtl/>
          <w14:ligatures w14:val="standardContextual"/>
        </w:rPr>
        <w:t xml:space="preserve">تتأثر بها </w:t>
      </w:r>
      <w:r w:rsidR="006B3CD4" w:rsidRPr="00362D29">
        <w:rPr>
          <w:rFonts w:ascii="Traditional Arabic" w:eastAsia="Aptos" w:hAnsi="Traditional Arabic" w:cs="Traditional Arabic"/>
          <w:kern w:val="2"/>
          <w:sz w:val="24"/>
          <w:szCs w:val="24"/>
          <w:rtl/>
          <w14:ligatures w14:val="standardContextual"/>
        </w:rPr>
        <w:t>وتؤثر</w:t>
      </w:r>
      <w:r w:rsidR="00073274" w:rsidRPr="00362D29">
        <w:rPr>
          <w:rFonts w:ascii="Traditional Arabic" w:eastAsia="Aptos" w:hAnsi="Traditional Arabic" w:cs="Traditional Arabic"/>
          <w:kern w:val="2"/>
          <w:sz w:val="24"/>
          <w:szCs w:val="24"/>
          <w:rtl/>
          <w14:ligatures w14:val="standardContextual"/>
        </w:rPr>
        <w:t xml:space="preserve"> فيها بشكل مباشر </w:t>
      </w:r>
      <w:r w:rsidR="00961618" w:rsidRPr="00362D29">
        <w:rPr>
          <w:rFonts w:ascii="Traditional Arabic" w:eastAsia="Aptos" w:hAnsi="Traditional Arabic" w:cs="Traditional Arabic"/>
          <w:kern w:val="2"/>
          <w:sz w:val="24"/>
          <w:szCs w:val="24"/>
          <w:rtl/>
          <w14:ligatures w14:val="standardContextual"/>
        </w:rPr>
        <w:t>(</w:t>
      </w:r>
      <w:r w:rsidR="00961618" w:rsidRPr="00362D29">
        <w:rPr>
          <w:rFonts w:ascii="Traditional Arabic" w:eastAsia="Aptos" w:hAnsi="Traditional Arabic" w:cs="Traditional Arabic"/>
          <w:kern w:val="2"/>
          <w:sz w:val="24"/>
          <w:szCs w:val="24"/>
          <w14:ligatures w14:val="standardContextual"/>
        </w:rPr>
        <w:t>Health Academy, 2022</w:t>
      </w:r>
      <w:proofErr w:type="gramStart"/>
      <w:r w:rsidR="00961618" w:rsidRPr="00362D29">
        <w:rPr>
          <w:rFonts w:ascii="Traditional Arabic" w:eastAsia="Aptos" w:hAnsi="Traditional Arabic" w:cs="Traditional Arabic"/>
          <w:kern w:val="2"/>
          <w:sz w:val="24"/>
          <w:szCs w:val="24"/>
          <w:rtl/>
          <w14:ligatures w14:val="standardContextual"/>
        </w:rPr>
        <w:t>) ،</w:t>
      </w:r>
      <w:proofErr w:type="gramEnd"/>
      <w:r w:rsidR="00961618" w:rsidRPr="00362D29">
        <w:rPr>
          <w:rFonts w:ascii="Traditional Arabic" w:eastAsia="Aptos" w:hAnsi="Traditional Arabic" w:cs="Traditional Arabic"/>
          <w:kern w:val="2"/>
          <w:sz w:val="24"/>
          <w:szCs w:val="24"/>
          <w:rtl/>
          <w14:ligatures w14:val="standardContextual"/>
        </w:rPr>
        <w:t xml:space="preserve"> </w:t>
      </w:r>
      <w:r w:rsidR="00073274" w:rsidRPr="00362D29">
        <w:rPr>
          <w:rFonts w:ascii="Traditional Arabic" w:eastAsia="Aptos" w:hAnsi="Traditional Arabic" w:cs="Traditional Arabic"/>
          <w:kern w:val="2"/>
          <w:sz w:val="24"/>
          <w:szCs w:val="24"/>
          <w:rtl/>
          <w14:ligatures w14:val="standardContextual"/>
        </w:rPr>
        <w:t>ويمكن توضيح هذه العلاقة التكاملية من خلال النقاط التالية:</w:t>
      </w:r>
    </w:p>
    <w:p w14:paraId="416654B0" w14:textId="19D4C9E7" w:rsidR="00073274" w:rsidRPr="00362D29" w:rsidRDefault="00073274" w:rsidP="00C42472">
      <w:pPr>
        <w:pStyle w:val="ab"/>
        <w:numPr>
          <w:ilvl w:val="0"/>
          <w:numId w:val="3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المخرجات السريرية:</w:t>
      </w:r>
      <w:r w:rsidRPr="00362D29">
        <w:rPr>
          <w:rFonts w:ascii="Traditional Arabic" w:eastAsia="Aptos" w:hAnsi="Traditional Arabic" w:cs="Traditional Arabic"/>
          <w:kern w:val="2"/>
          <w:sz w:val="24"/>
          <w:szCs w:val="24"/>
          <w:rtl/>
          <w14:ligatures w14:val="standardContextual"/>
        </w:rPr>
        <w:t xml:space="preserve"> أثبتت الأدلة البحثية أن المنظمات الأكثر تركيزاً على المريض تحقق نتائج سريرية أفضل. فعلى سبيل المثال، يظهر مرضى السكري مهارات أفضل في الإدارة الذاتية لحالتهم وجودة حياة أعلى عندما يبلغون عن تفاعلات إيجابية مع مقدمي الخدمة </w:t>
      </w:r>
      <w:r w:rsidR="00961618" w:rsidRPr="00362D29">
        <w:rPr>
          <w:rFonts w:ascii="Traditional Arabic" w:eastAsia="Aptos" w:hAnsi="Traditional Arabic" w:cs="Traditional Arabic"/>
          <w:kern w:val="2"/>
          <w:sz w:val="24"/>
          <w:szCs w:val="24"/>
          <w:rtl/>
          <w14:ligatures w14:val="standardContextual"/>
        </w:rPr>
        <w:t>(</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w:t>
      </w:r>
    </w:p>
    <w:p w14:paraId="0DCBB636" w14:textId="6997CC47" w:rsidR="00073274" w:rsidRPr="00362D29" w:rsidRDefault="00073274" w:rsidP="00C42472">
      <w:pPr>
        <w:pStyle w:val="ab"/>
        <w:numPr>
          <w:ilvl w:val="0"/>
          <w:numId w:val="3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سلامة المرضى:</w:t>
      </w:r>
      <w:r w:rsidRPr="00362D29">
        <w:rPr>
          <w:rFonts w:ascii="Traditional Arabic" w:eastAsia="Aptos" w:hAnsi="Traditional Arabic" w:cs="Traditional Arabic"/>
          <w:kern w:val="2"/>
          <w:sz w:val="24"/>
          <w:szCs w:val="24"/>
          <w:rtl/>
          <w14:ligatures w14:val="standardContextual"/>
        </w:rPr>
        <w:t xml:space="preserve"> يؤدي التواصل الفعال بين الطبيب والمريض إلى زيادة الالتزام بتناول الأدوية واتباع الخطط العلاجية، مما يقلل من احتمالية وقوع الأخطاء الطبية أو الانتكاسات الناتجة عن سوء الفهم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56F09519" w14:textId="382225AD" w:rsidR="00961618" w:rsidRPr="00362D29" w:rsidRDefault="00073274" w:rsidP="00C42472">
      <w:pPr>
        <w:pStyle w:val="ab"/>
        <w:numPr>
          <w:ilvl w:val="0"/>
          <w:numId w:val="34"/>
        </w:num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عملية الشفاء:</w:t>
      </w:r>
      <w:r w:rsidRPr="00362D29">
        <w:rPr>
          <w:rFonts w:ascii="Traditional Arabic" w:eastAsia="Aptos" w:hAnsi="Traditional Arabic" w:cs="Traditional Arabic"/>
          <w:kern w:val="2"/>
          <w:sz w:val="24"/>
          <w:szCs w:val="24"/>
          <w:rtl/>
          <w14:ligatures w14:val="standardContextual"/>
        </w:rPr>
        <w:t xml:space="preserve"> يسهم الدعم العاطفي وتخفيف القلق والخوف لدى المريض في تسريع عملية الاستشفاء، حيث أن الحالة النفسية الإيجابية للمريض تعد عاملاً حاسماً في استجابة الجسم للعلاج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xml:space="preserve">; </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w:t>
      </w:r>
    </w:p>
    <w:p w14:paraId="0E99B22B" w14:textId="3BA8D498"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3. تجربة المريض </w:t>
      </w:r>
      <w:r w:rsidR="009A57DF" w:rsidRPr="00362D29">
        <w:rPr>
          <w:rFonts w:ascii="Traditional Arabic" w:eastAsia="Aptos" w:hAnsi="Traditional Arabic" w:cs="Traditional Arabic"/>
          <w:b/>
          <w:bCs/>
          <w:kern w:val="2"/>
          <w:sz w:val="24"/>
          <w:szCs w:val="24"/>
          <w:rtl/>
          <w14:ligatures w14:val="standardContextual"/>
        </w:rPr>
        <w:t>كمقياس</w:t>
      </w:r>
      <w:r w:rsidRPr="00362D29">
        <w:rPr>
          <w:rFonts w:ascii="Traditional Arabic" w:eastAsia="Aptos" w:hAnsi="Traditional Arabic" w:cs="Traditional Arabic"/>
          <w:b/>
          <w:bCs/>
          <w:kern w:val="2"/>
          <w:sz w:val="24"/>
          <w:szCs w:val="24"/>
          <w:rtl/>
          <w14:ligatures w14:val="standardContextual"/>
        </w:rPr>
        <w:t xml:space="preserve"> هام في </w:t>
      </w:r>
      <w:r w:rsidR="009B4A61" w:rsidRPr="00362D29">
        <w:rPr>
          <w:rFonts w:ascii="Traditional Arabic" w:eastAsia="Aptos" w:hAnsi="Traditional Arabic" w:cs="Traditional Arabic"/>
          <w:b/>
          <w:bCs/>
          <w:kern w:val="2"/>
          <w:sz w:val="24"/>
          <w:szCs w:val="24"/>
          <w:rtl/>
          <w14:ligatures w14:val="standardContextual"/>
        </w:rPr>
        <w:t xml:space="preserve">تحقيق </w:t>
      </w:r>
      <w:r w:rsidRPr="00362D29">
        <w:rPr>
          <w:rFonts w:ascii="Traditional Arabic" w:eastAsia="Aptos" w:hAnsi="Traditional Arabic" w:cs="Traditional Arabic"/>
          <w:b/>
          <w:bCs/>
          <w:kern w:val="2"/>
          <w:sz w:val="24"/>
          <w:szCs w:val="24"/>
          <w:rtl/>
          <w14:ligatures w14:val="standardContextual"/>
        </w:rPr>
        <w:t>الهدف الثلاثي (</w:t>
      </w:r>
      <w:r w:rsidRPr="00362D29">
        <w:rPr>
          <w:rFonts w:ascii="Traditional Arabic" w:eastAsia="Aptos" w:hAnsi="Traditional Arabic" w:cs="Traditional Arabic"/>
          <w:b/>
          <w:bCs/>
          <w:kern w:val="2"/>
          <w:sz w:val="24"/>
          <w:szCs w:val="24"/>
          <w14:ligatures w14:val="standardContextual"/>
        </w:rPr>
        <w:t>Triple Aim</w:t>
      </w:r>
      <w:r w:rsidRPr="00362D29">
        <w:rPr>
          <w:rFonts w:ascii="Traditional Arabic" w:eastAsia="Aptos" w:hAnsi="Traditional Arabic" w:cs="Traditional Arabic"/>
          <w:b/>
          <w:bCs/>
          <w:kern w:val="2"/>
          <w:sz w:val="24"/>
          <w:szCs w:val="24"/>
          <w:rtl/>
          <w14:ligatures w14:val="standardContextual"/>
        </w:rPr>
        <w:t>)</w:t>
      </w:r>
    </w:p>
    <w:p w14:paraId="3954C402" w14:textId="46BB8842"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إطار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xml:space="preserve">)، الذي طوره معهد تحسين الرعاية الصحية </w:t>
      </w:r>
      <w:r w:rsidR="009561AA" w:rsidRPr="00362D29">
        <w:rPr>
          <w:rFonts w:ascii="Traditional Arabic" w:eastAsia="Aptos" w:hAnsi="Traditional Arabic" w:cs="Traditional Arabic"/>
          <w:kern w:val="2"/>
          <w:sz w:val="24"/>
          <w:szCs w:val="24"/>
          <w:rtl/>
          <w14:ligatures w14:val="standardContextual"/>
        </w:rPr>
        <w:t>(</w:t>
      </w:r>
      <w:r w:rsidR="009561AA" w:rsidRPr="00362D29">
        <w:rPr>
          <w:rFonts w:ascii="Traditional Arabic" w:eastAsia="Aptos" w:hAnsi="Traditional Arabic" w:cs="Traditional Arabic"/>
          <w:kern w:val="2"/>
          <w:sz w:val="24"/>
          <w:szCs w:val="24"/>
          <w14:ligatures w14:val="standardContextual"/>
        </w:rPr>
        <w:t>IHI, 2024</w:t>
      </w:r>
      <w:r w:rsidR="009561AA"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نموذجاً استراتيجياً لتحسين أداء الأنظمة الصحية</w:t>
      </w:r>
      <w:r w:rsidR="00831A92" w:rsidRPr="00362D29">
        <w:rPr>
          <w:rFonts w:ascii="Traditional Arabic" w:eastAsia="Aptos" w:hAnsi="Traditional Arabic" w:cs="Traditional Arabic"/>
          <w:kern w:val="2"/>
          <w:sz w:val="24"/>
          <w:szCs w:val="24"/>
          <w:rtl/>
          <w14:ligatures w14:val="standardContextual"/>
        </w:rPr>
        <w:t xml:space="preserve"> و</w:t>
      </w:r>
      <w:r w:rsidR="008E7EE6" w:rsidRPr="00362D29">
        <w:rPr>
          <w:rFonts w:ascii="Traditional Arabic" w:eastAsia="Aptos" w:hAnsi="Traditional Arabic" w:cs="Traditional Arabic"/>
          <w:kern w:val="2"/>
          <w:sz w:val="24"/>
          <w:szCs w:val="24"/>
          <w:rtl/>
          <w14:ligatures w14:val="standardContextual"/>
        </w:rPr>
        <w:t xml:space="preserve">يتضمن (تحسين تجربة </w:t>
      </w:r>
      <w:proofErr w:type="gramStart"/>
      <w:r w:rsidR="008E7EE6" w:rsidRPr="00362D29">
        <w:rPr>
          <w:rFonts w:ascii="Traditional Arabic" w:eastAsia="Aptos" w:hAnsi="Traditional Arabic" w:cs="Traditional Arabic"/>
          <w:kern w:val="2"/>
          <w:sz w:val="24"/>
          <w:szCs w:val="24"/>
          <w:rtl/>
          <w14:ligatures w14:val="standardContextual"/>
        </w:rPr>
        <w:t>المريض ،</w:t>
      </w:r>
      <w:proofErr w:type="gramEnd"/>
      <w:r w:rsidR="008E7EE6" w:rsidRPr="00362D29">
        <w:rPr>
          <w:rFonts w:ascii="Traditional Arabic" w:eastAsia="Aptos" w:hAnsi="Traditional Arabic" w:cs="Traditional Arabic"/>
          <w:kern w:val="2"/>
          <w:sz w:val="24"/>
          <w:szCs w:val="24"/>
          <w:rtl/>
          <w14:ligatures w14:val="standardContextual"/>
        </w:rPr>
        <w:t xml:space="preserve"> تحسين صحة السكان ، </w:t>
      </w:r>
      <w:r w:rsidR="00DB5FB7" w:rsidRPr="00362D29">
        <w:rPr>
          <w:rFonts w:ascii="Traditional Arabic" w:eastAsia="Aptos" w:hAnsi="Traditional Arabic" w:cs="Traditional Arabic"/>
          <w:kern w:val="2"/>
          <w:sz w:val="24"/>
          <w:szCs w:val="24"/>
          <w:rtl/>
          <w14:ligatures w14:val="standardContextual"/>
        </w:rPr>
        <w:t>خفض تكلفة الرعاية)</w:t>
      </w:r>
      <w:r w:rsidRPr="00362D29">
        <w:rPr>
          <w:rFonts w:ascii="Traditional Arabic" w:eastAsia="Aptos" w:hAnsi="Traditional Arabic" w:cs="Traditional Arabic"/>
          <w:kern w:val="2"/>
          <w:sz w:val="24"/>
          <w:szCs w:val="24"/>
          <w:rtl/>
          <w14:ligatures w14:val="standardContextual"/>
        </w:rPr>
        <w:t xml:space="preserve">. وتعتبر تجربة المريض هي الركيزة الأولى والأساسية </w:t>
      </w:r>
      <w:r w:rsidR="002A1E9E" w:rsidRPr="00362D29">
        <w:rPr>
          <w:rFonts w:ascii="Traditional Arabic" w:eastAsia="Aptos" w:hAnsi="Traditional Arabic" w:cs="Traditional Arabic"/>
          <w:kern w:val="2"/>
          <w:sz w:val="24"/>
          <w:szCs w:val="24"/>
          <w:rtl/>
          <w14:ligatures w14:val="standardContextual"/>
        </w:rPr>
        <w:t>كمؤشر لقياس</w:t>
      </w:r>
      <w:r w:rsidRPr="00362D29">
        <w:rPr>
          <w:rFonts w:ascii="Traditional Arabic" w:eastAsia="Aptos" w:hAnsi="Traditional Arabic" w:cs="Traditional Arabic"/>
          <w:kern w:val="2"/>
          <w:sz w:val="24"/>
          <w:szCs w:val="24"/>
          <w:rtl/>
          <w14:ligatures w14:val="standardContextual"/>
        </w:rPr>
        <w:t xml:space="preserve"> تحقيق هذا الهدف </w:t>
      </w:r>
      <w:r w:rsidR="00A8235E" w:rsidRPr="00362D29">
        <w:rPr>
          <w:rFonts w:ascii="Traditional Arabic" w:eastAsia="Aptos" w:hAnsi="Traditional Arabic" w:cs="Traditional Arabic"/>
          <w:kern w:val="2"/>
          <w:sz w:val="24"/>
          <w:szCs w:val="24"/>
          <w:rtl/>
          <w14:ligatures w14:val="standardContextual"/>
        </w:rPr>
        <w:t>(</w:t>
      </w:r>
      <w:r w:rsidR="00A8235E" w:rsidRPr="00362D29">
        <w:rPr>
          <w:rFonts w:ascii="Traditional Arabic" w:eastAsia="Aptos" w:hAnsi="Traditional Arabic" w:cs="Traditional Arabic"/>
          <w:kern w:val="2"/>
          <w:sz w:val="24"/>
          <w:szCs w:val="24"/>
          <w14:ligatures w14:val="standardContextual"/>
        </w:rPr>
        <w:t>Health Academy, 2022</w:t>
      </w:r>
      <w:r w:rsidR="00A8235E" w:rsidRPr="00362D29">
        <w:rPr>
          <w:rFonts w:ascii="Traditional Arabic" w:eastAsia="Aptos" w:hAnsi="Traditional Arabic" w:cs="Traditional Arabic"/>
          <w:kern w:val="2"/>
          <w:sz w:val="24"/>
          <w:szCs w:val="24"/>
          <w:rtl/>
          <w14:ligatures w14:val="standardContextual"/>
        </w:rPr>
        <w:t>):</w:t>
      </w:r>
    </w:p>
    <w:p w14:paraId="03F056E6" w14:textId="26639EF1" w:rsidR="00073274" w:rsidRPr="00362D29" w:rsidRDefault="00073274" w:rsidP="00C42472">
      <w:pPr>
        <w:pStyle w:val="ab"/>
        <w:numPr>
          <w:ilvl w:val="0"/>
          <w:numId w:val="35"/>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تجربة المريض في الرعاية (بما في ذلك الجودة والرضا):</w:t>
      </w:r>
      <w:r w:rsidRPr="00362D29">
        <w:rPr>
          <w:rFonts w:ascii="Traditional Arabic" w:eastAsia="Aptos" w:hAnsi="Traditional Arabic" w:cs="Traditional Arabic"/>
          <w:kern w:val="2"/>
          <w:sz w:val="24"/>
          <w:szCs w:val="24"/>
          <w:rtl/>
          <w14:ligatures w14:val="standardContextual"/>
        </w:rPr>
        <w:t xml:space="preserve"> هي نقطة الانطلاق، حيث أن خلق تجربة إيجابية يؤدي إلى "تفعيل المريض" (</w:t>
      </w:r>
      <w:r w:rsidRPr="00362D29">
        <w:rPr>
          <w:rFonts w:ascii="Traditional Arabic" w:eastAsia="Aptos" w:hAnsi="Traditional Arabic" w:cs="Traditional Arabic"/>
          <w:kern w:val="2"/>
          <w:sz w:val="24"/>
          <w:szCs w:val="24"/>
          <w14:ligatures w14:val="standardContextual"/>
        </w:rPr>
        <w:t>Patient Activation</w:t>
      </w:r>
      <w:r w:rsidRPr="00362D29">
        <w:rPr>
          <w:rFonts w:ascii="Traditional Arabic" w:eastAsia="Aptos" w:hAnsi="Traditional Arabic" w:cs="Traditional Arabic"/>
          <w:kern w:val="2"/>
          <w:sz w:val="24"/>
          <w:szCs w:val="24"/>
          <w:rtl/>
          <w14:ligatures w14:val="standardContextual"/>
        </w:rPr>
        <w:t>)، مما يمكنه من تحمل مسؤولية صحته والالتزام بخطته العلاجية.</w:t>
      </w:r>
    </w:p>
    <w:p w14:paraId="364264AF" w14:textId="4D39B2E1" w:rsidR="00073274" w:rsidRPr="00362D29" w:rsidRDefault="00073274" w:rsidP="00C42472">
      <w:pPr>
        <w:pStyle w:val="ab"/>
        <w:numPr>
          <w:ilvl w:val="0"/>
          <w:numId w:val="35"/>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صحة السكان:</w:t>
      </w:r>
      <w:r w:rsidRPr="00362D29">
        <w:rPr>
          <w:rFonts w:ascii="Traditional Arabic" w:eastAsia="Aptos" w:hAnsi="Traditional Arabic" w:cs="Traditional Arabic"/>
          <w:kern w:val="2"/>
          <w:sz w:val="24"/>
          <w:szCs w:val="24"/>
          <w:rtl/>
          <w14:ligatures w14:val="standardContextual"/>
        </w:rPr>
        <w:t xml:space="preserve"> من خلال التزام المرضى بالرعاية الوقائية والفحوصات الدورية نتيجة لتجربتهم الإيجابية مع النظام الصحي.</w:t>
      </w:r>
    </w:p>
    <w:p w14:paraId="2C1D7115" w14:textId="53530048" w:rsidR="00073274" w:rsidRPr="00362D29" w:rsidRDefault="00073274" w:rsidP="00C42472">
      <w:pPr>
        <w:pStyle w:val="ab"/>
        <w:numPr>
          <w:ilvl w:val="0"/>
          <w:numId w:val="35"/>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خفض تكلفة الرعاية الصحية للفرد:</w:t>
      </w:r>
      <w:r w:rsidRPr="00362D29">
        <w:rPr>
          <w:rFonts w:ascii="Traditional Arabic" w:eastAsia="Aptos" w:hAnsi="Traditional Arabic" w:cs="Traditional Arabic"/>
          <w:kern w:val="2"/>
          <w:sz w:val="24"/>
          <w:szCs w:val="24"/>
          <w:rtl/>
          <w14:ligatures w14:val="standardContextual"/>
        </w:rPr>
        <w:t xml:space="preserve"> المرضى "المفعلون" والمنخرطون في رعايتهم غالباً ما تكون تكاليف رعايتهم أقل على المدى الطويل بسبب قلة الانتكاسات والحاجة إلى التدخلات الطارئة المكلفة </w:t>
      </w:r>
      <w:r w:rsidR="00A8235E" w:rsidRPr="00362D29">
        <w:rPr>
          <w:rFonts w:ascii="Traditional Arabic" w:eastAsia="Aptos" w:hAnsi="Traditional Arabic" w:cs="Traditional Arabic"/>
          <w:kern w:val="2"/>
          <w:sz w:val="24"/>
          <w:szCs w:val="24"/>
          <w:rtl/>
          <w14:ligatures w14:val="standardContextual"/>
        </w:rPr>
        <w:t>(</w:t>
      </w:r>
      <w:r w:rsidR="00A8235E" w:rsidRPr="00362D29">
        <w:rPr>
          <w:rFonts w:ascii="Traditional Arabic" w:eastAsia="Aptos" w:hAnsi="Traditional Arabic" w:cs="Traditional Arabic"/>
          <w:kern w:val="2"/>
          <w:sz w:val="24"/>
          <w:szCs w:val="24"/>
          <w14:ligatures w14:val="standardContextual"/>
        </w:rPr>
        <w:t>Health Academy, 2022</w:t>
      </w:r>
      <w:r w:rsidR="00A8235E" w:rsidRPr="00362D29">
        <w:rPr>
          <w:rFonts w:ascii="Traditional Arabic" w:eastAsia="Aptos" w:hAnsi="Traditional Arabic" w:cs="Traditional Arabic"/>
          <w:kern w:val="2"/>
          <w:sz w:val="24"/>
          <w:szCs w:val="24"/>
          <w:rtl/>
          <w14:ligatures w14:val="standardContextual"/>
        </w:rPr>
        <w:t>).</w:t>
      </w:r>
    </w:p>
    <w:p w14:paraId="0087EE80" w14:textId="77777777"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إن دمج تجربة المريض ضمن هذه الأطر العالمية يؤكد على أنها معيار موضوعي لجودة المستشفى، وتكشف مقاييسها عن مشكلات نظامية هامة مثل الفجوات في التواصل أو التأخير في النتائج، مما يساهم في تحسين الكفاءة الكلية للمنظمة الصحية (</w:t>
      </w:r>
      <w:r w:rsidRPr="00362D29">
        <w:rPr>
          <w:rFonts w:ascii="Traditional Arabic" w:eastAsia="Aptos" w:hAnsi="Traditional Arabic" w:cs="Traditional Arabic"/>
          <w:kern w:val="2"/>
          <w:sz w:val="24"/>
          <w:szCs w:val="24"/>
          <w14:ligatures w14:val="standardContextual"/>
        </w:rPr>
        <w:t>Jamieson Gilmore et al., 2025</w:t>
      </w:r>
      <w:r w:rsidRPr="00362D29">
        <w:rPr>
          <w:rFonts w:ascii="Traditional Arabic" w:eastAsia="Aptos" w:hAnsi="Traditional Arabic" w:cs="Traditional Arabic"/>
          <w:kern w:val="2"/>
          <w:sz w:val="24"/>
          <w:szCs w:val="24"/>
          <w:rtl/>
          <w14:ligatures w14:val="standardContextual"/>
        </w:rPr>
        <w:t>).</w:t>
      </w:r>
    </w:p>
    <w:p w14:paraId="3AF4EB54" w14:textId="77777777" w:rsidR="009B108B" w:rsidRPr="00362D29" w:rsidRDefault="009B108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7EC95AFA" w14:textId="77777777" w:rsidR="00A07479" w:rsidRPr="00362D29" w:rsidRDefault="00A07479"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1655CB09" w14:textId="77777777" w:rsidR="00087D96" w:rsidRPr="00362D29" w:rsidRDefault="00087D96"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7C0BAC5D" w14:textId="77777777" w:rsidR="0085770B" w:rsidRPr="00362D29" w:rsidRDefault="0085770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654B0BB5" w14:textId="3791DDF1" w:rsidR="001F73E2" w:rsidRPr="00362D29" w:rsidRDefault="00714036"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سادس</w:t>
      </w:r>
      <w:r w:rsidR="00AC783D" w:rsidRPr="00362D29">
        <w:rPr>
          <w:rFonts w:ascii="Traditional Arabic" w:eastAsia="Aptos" w:hAnsi="Traditional Arabic" w:cs="Traditional Arabic"/>
          <w:b/>
          <w:bCs/>
          <w:kern w:val="2"/>
          <w:sz w:val="28"/>
          <w:szCs w:val="28"/>
          <w:rtl/>
          <w14:ligatures w14:val="standardContextual"/>
        </w:rPr>
        <w:t>اً</w:t>
      </w:r>
      <w:r w:rsidR="001F73E2" w:rsidRPr="00362D29">
        <w:rPr>
          <w:rFonts w:ascii="Traditional Arabic" w:eastAsia="Aptos" w:hAnsi="Traditional Arabic" w:cs="Traditional Arabic"/>
          <w:b/>
          <w:bCs/>
          <w:kern w:val="2"/>
          <w:sz w:val="28"/>
          <w:szCs w:val="28"/>
          <w:rtl/>
          <w14:ligatures w14:val="standardContextual"/>
        </w:rPr>
        <w:t>: الأطر المختلفة لتجربة المريض</w:t>
      </w:r>
    </w:p>
    <w:p w14:paraId="0B0CFA0F"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استعرضت الأدبيات عدة أطر مفاهيمية واستراتيجية لفهم وتحسين تجربة المريض، وفيما يلي شرح وافٍ لهذه الأطر:</w:t>
      </w:r>
    </w:p>
    <w:p w14:paraId="0BE1BE69" w14:textId="14C6C097" w:rsidR="001F73E2" w:rsidRPr="00362D29" w:rsidRDefault="001F73E2" w:rsidP="00C42472">
      <w:pPr>
        <w:numPr>
          <w:ilvl w:val="0"/>
          <w:numId w:val="2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الإطار المفاهيمي لرحلة الإنسان (</w:t>
      </w:r>
      <w:r w:rsidRPr="00362D29">
        <w:rPr>
          <w:rFonts w:ascii="Traditional Arabic" w:eastAsia="Aptos" w:hAnsi="Traditional Arabic" w:cs="Traditional Arabic"/>
          <w:b/>
          <w:bCs/>
          <w:kern w:val="2"/>
          <w:sz w:val="24"/>
          <w:szCs w:val="24"/>
          <w14:ligatures w14:val="standardContextual"/>
        </w:rPr>
        <w:t xml:space="preserve">Human Experience </w:t>
      </w:r>
      <w:r w:rsidR="00C35683" w:rsidRPr="00362D29">
        <w:rPr>
          <w:rFonts w:ascii="Traditional Arabic" w:eastAsia="Aptos" w:hAnsi="Traditional Arabic" w:cs="Traditional Arabic"/>
          <w:b/>
          <w:bCs/>
          <w:kern w:val="2"/>
          <w:sz w:val="24"/>
          <w:szCs w:val="24"/>
          <w14:ligatures w14:val="standardContextual"/>
        </w:rPr>
        <w:t xml:space="preserve">Conceptual </w:t>
      </w:r>
      <w:r w:rsidRPr="00362D29">
        <w:rPr>
          <w:rFonts w:ascii="Traditional Arabic" w:eastAsia="Aptos" w:hAnsi="Traditional Arabic" w:cs="Traditional Arabic"/>
          <w:b/>
          <w:bCs/>
          <w:kern w:val="2"/>
          <w:sz w:val="24"/>
          <w:szCs w:val="24"/>
          <w14:ligatures w14:val="standardContextual"/>
        </w:rPr>
        <w:t>Framework</w:t>
      </w:r>
      <w:r w:rsidRPr="00362D29">
        <w:rPr>
          <w:rFonts w:ascii="Traditional Arabic" w:eastAsia="Aptos" w:hAnsi="Traditional Arabic" w:cs="Traditional Arabic"/>
          <w:b/>
          <w:bCs/>
          <w:kern w:val="2"/>
          <w:sz w:val="24"/>
          <w:szCs w:val="24"/>
          <w:rtl/>
          <w14:ligatures w14:val="standardContextual"/>
        </w:rPr>
        <w:t>)</w:t>
      </w:r>
    </w:p>
    <w:p w14:paraId="6E527505"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يرتكز هذا الإطار على فلسفة أن الرعاية الصحية ليست مجرد صناعة خدمات، بل هي علاقة إنسانية عميقة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يوضح هذا الإطار أن الفرد يمر بثلاث مراحل مفاهيمية:</w:t>
      </w:r>
    </w:p>
    <w:p w14:paraId="6C602777" w14:textId="6FB1F564" w:rsidR="001F73E2" w:rsidRPr="00362D29" w:rsidRDefault="001F73E2" w:rsidP="00C42472">
      <w:pPr>
        <w:pStyle w:val="ab"/>
        <w:numPr>
          <w:ilvl w:val="0"/>
          <w:numId w:val="31"/>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الإنسان (</w:t>
      </w:r>
      <w:r w:rsidRPr="00362D29">
        <w:rPr>
          <w:rFonts w:ascii="Traditional Arabic" w:eastAsia="Aptos" w:hAnsi="Traditional Arabic" w:cs="Traditional Arabic"/>
          <w:b/>
          <w:bCs/>
          <w:kern w:val="2"/>
          <w:sz w:val="24"/>
          <w:szCs w:val="24"/>
          <w14:ligatures w14:val="standardContextual"/>
        </w:rPr>
        <w:t>The Person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الفرد في حالته الطبيعية الفريدة قبل المرض، حيث تشكل قيمه ومعتقداته وخلفيته الثقافية الأساس الذي سيبني عليه تصوراته لاحقاً.</w:t>
      </w:r>
    </w:p>
    <w:p w14:paraId="3FD6FABD" w14:textId="191FF0F2" w:rsidR="001F73E2" w:rsidRPr="00362D29" w:rsidRDefault="001F73E2" w:rsidP="00C42472">
      <w:pPr>
        <w:pStyle w:val="ab"/>
        <w:numPr>
          <w:ilvl w:val="0"/>
          <w:numId w:val="31"/>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المريض (</w:t>
      </w:r>
      <w:r w:rsidRPr="00362D29">
        <w:rPr>
          <w:rFonts w:ascii="Traditional Arabic" w:eastAsia="Aptos" w:hAnsi="Traditional Arabic" w:cs="Traditional Arabic"/>
          <w:b/>
          <w:bCs/>
          <w:kern w:val="2"/>
          <w:sz w:val="24"/>
          <w:szCs w:val="24"/>
          <w14:ligatures w14:val="standardContextual"/>
        </w:rPr>
        <w:t>The Patient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الإنسان الذي يعاني من أعراض المرض، وهنا تبدأ التجربة النفسية والجسدية للألم والقلق قبل حتى التفاعل مع النظام الصحي.</w:t>
      </w:r>
    </w:p>
    <w:p w14:paraId="355DFDE7" w14:textId="796B31E0" w:rsidR="001F73E2" w:rsidRPr="00362D29" w:rsidRDefault="001F73E2" w:rsidP="00C42472">
      <w:pPr>
        <w:pStyle w:val="ab"/>
        <w:numPr>
          <w:ilvl w:val="0"/>
          <w:numId w:val="31"/>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المستخدم (</w:t>
      </w:r>
      <w:r w:rsidRPr="00362D29">
        <w:rPr>
          <w:rFonts w:ascii="Traditional Arabic" w:eastAsia="Aptos" w:hAnsi="Traditional Arabic" w:cs="Traditional Arabic"/>
          <w:b/>
          <w:bCs/>
          <w:kern w:val="2"/>
          <w:sz w:val="24"/>
          <w:szCs w:val="24"/>
          <w14:ligatures w14:val="standardContextual"/>
        </w:rPr>
        <w:t>The User</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المريض عندما يبدأ أول تفاعل له مع خدمات الرعاية الصحية.</w:t>
      </w:r>
    </w:p>
    <w:p w14:paraId="71E24734"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ويؤكد هذا الإطار أن "إنسانية" المريض ومقدم الخدمة هي المحرك الأساسي للتجربة، وأن النجاح يكمن في معاملة المريض كإنسان كامل (جسدياً، وعاطفياً، واجتماعياً، وروحياً) وليس مجرد مجموعة من الأعراض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10D29040" w14:textId="5C3F9B03" w:rsidR="001F73E2" w:rsidRPr="00362D29" w:rsidRDefault="001F73E2" w:rsidP="00C42472">
      <w:pPr>
        <w:numPr>
          <w:ilvl w:val="0"/>
          <w:numId w:val="2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نموذج (</w:t>
      </w:r>
      <w:r w:rsidR="0085770B" w:rsidRPr="00362D29">
        <w:rPr>
          <w:rFonts w:ascii="Traditional Arabic" w:eastAsia="Aptos" w:hAnsi="Traditional Arabic" w:cs="Traditional Arabic"/>
          <w:b/>
          <w:bCs/>
          <w:kern w:val="2"/>
          <w:sz w:val="24"/>
          <w:szCs w:val="24"/>
          <w14:ligatures w14:val="standardContextual"/>
        </w:rPr>
        <w:t xml:space="preserve">5 </w:t>
      </w:r>
      <w:r w:rsidRPr="00362D29">
        <w:rPr>
          <w:rFonts w:ascii="Traditional Arabic" w:eastAsia="Aptos" w:hAnsi="Traditional Arabic" w:cs="Traditional Arabic"/>
          <w:b/>
          <w:bCs/>
          <w:kern w:val="2"/>
          <w:sz w:val="24"/>
          <w:szCs w:val="24"/>
          <w14:ligatures w14:val="standardContextual"/>
        </w:rPr>
        <w:t>Ps Model</w:t>
      </w:r>
      <w:r w:rsidRPr="00362D29">
        <w:rPr>
          <w:rFonts w:ascii="Traditional Arabic" w:eastAsia="Aptos" w:hAnsi="Traditional Arabic" w:cs="Traditional Arabic"/>
          <w:b/>
          <w:bCs/>
          <w:kern w:val="2"/>
          <w:sz w:val="24"/>
          <w:szCs w:val="24"/>
          <w:rtl/>
          <w14:ligatures w14:val="standardContextual"/>
        </w:rPr>
        <w:t>) للتحليل الشمولي</w:t>
      </w:r>
      <w:r w:rsidR="00CC106B" w:rsidRPr="00362D29">
        <w:rPr>
          <w:rFonts w:ascii="Traditional Arabic" w:eastAsia="Aptos" w:hAnsi="Traditional Arabic" w:cs="Traditional Arabic"/>
          <w:b/>
          <w:bCs/>
          <w:kern w:val="2"/>
          <w:sz w:val="24"/>
          <w:szCs w:val="24"/>
          <w:rtl/>
          <w14:ligatures w14:val="standardContextual"/>
        </w:rPr>
        <w:t xml:space="preserve"> (</w:t>
      </w:r>
      <w:r w:rsidR="00CC106B" w:rsidRPr="00362D29">
        <w:rPr>
          <w:rFonts w:ascii="Traditional Arabic" w:eastAsia="Aptos" w:hAnsi="Traditional Arabic" w:cs="Traditional Arabic"/>
          <w:b/>
          <w:bCs/>
          <w:kern w:val="2"/>
          <w:sz w:val="24"/>
          <w:szCs w:val="24"/>
          <w14:ligatures w14:val="standardContextual"/>
        </w:rPr>
        <w:t>Health Academy, 2022</w:t>
      </w:r>
      <w:r w:rsidR="00CC106B" w:rsidRPr="00362D29">
        <w:rPr>
          <w:rFonts w:ascii="Traditional Arabic" w:eastAsia="Aptos" w:hAnsi="Traditional Arabic" w:cs="Traditional Arabic"/>
          <w:b/>
          <w:bCs/>
          <w:kern w:val="2"/>
          <w:sz w:val="24"/>
          <w:szCs w:val="24"/>
          <w:rtl/>
          <w14:ligatures w14:val="standardContextual"/>
        </w:rPr>
        <w:t>):</w:t>
      </w:r>
    </w:p>
    <w:p w14:paraId="78F4B28D"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يقدم هذا النموذج إطاراً متكاملاً يحدد خمسة فاعلين أساسيين يشكلون تجربة المريض بشكل مشترك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5E72BA1D" w14:textId="4107632F"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المزود (</w:t>
      </w:r>
      <w:r w:rsidRPr="00362D29">
        <w:rPr>
          <w:rFonts w:ascii="Traditional Arabic" w:eastAsia="Aptos" w:hAnsi="Traditional Arabic" w:cs="Traditional Arabic"/>
          <w:b/>
          <w:bCs/>
          <w:kern w:val="2"/>
          <w:sz w:val="24"/>
          <w:szCs w:val="24"/>
          <w14:ligatures w14:val="standardContextual"/>
        </w:rPr>
        <w:t>Provider</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يشمل العمليات الإدارية، أساليب القيادة، والسياسات التنظيمية التي تهيئ المسرح للتجربة.</w:t>
      </w:r>
    </w:p>
    <w:p w14:paraId="725AE424" w14:textId="5374D6AB"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الطبيب (</w:t>
      </w:r>
      <w:r w:rsidRPr="00362D29">
        <w:rPr>
          <w:rFonts w:ascii="Traditional Arabic" w:eastAsia="Aptos" w:hAnsi="Traditional Arabic" w:cs="Traditional Arabic"/>
          <w:b/>
          <w:bCs/>
          <w:kern w:val="2"/>
          <w:sz w:val="24"/>
          <w:szCs w:val="24"/>
          <w14:ligatures w14:val="standardContextual"/>
        </w:rPr>
        <w:t>Physician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على جودة التفاعل السريري، مهارات التواصل، والقدرة على بناء الثقة مع المريض.</w:t>
      </w:r>
    </w:p>
    <w:p w14:paraId="23EF31B7" w14:textId="445C3ABC"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المريض (</w:t>
      </w:r>
      <w:r w:rsidRPr="00362D29">
        <w:rPr>
          <w:rFonts w:ascii="Traditional Arabic" w:eastAsia="Aptos" w:hAnsi="Traditional Arabic" w:cs="Traditional Arabic"/>
          <w:b/>
          <w:bCs/>
          <w:kern w:val="2"/>
          <w:sz w:val="24"/>
          <w:szCs w:val="24"/>
          <w14:ligatures w14:val="standardContextual"/>
        </w:rPr>
        <w:t>Patient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ينظر للمريض كعنصر فاعل (</w:t>
      </w:r>
      <w:r w:rsidRPr="00362D29">
        <w:rPr>
          <w:rFonts w:ascii="Traditional Arabic" w:eastAsia="Aptos" w:hAnsi="Traditional Arabic" w:cs="Traditional Arabic"/>
          <w:kern w:val="2"/>
          <w:sz w:val="24"/>
          <w:szCs w:val="24"/>
          <w14:ligatures w14:val="standardContextual"/>
        </w:rPr>
        <w:t>Co-creator</w:t>
      </w:r>
      <w:r w:rsidRPr="00362D29">
        <w:rPr>
          <w:rFonts w:ascii="Traditional Arabic" w:eastAsia="Aptos" w:hAnsi="Traditional Arabic" w:cs="Traditional Arabic"/>
          <w:kern w:val="2"/>
          <w:sz w:val="24"/>
          <w:szCs w:val="24"/>
          <w:rtl/>
          <w14:ligatures w14:val="standardContextual"/>
        </w:rPr>
        <w:t>) يساهم في تشكيل تجربته من خلال مشاركته والتزامه وتوقعاته.</w:t>
      </w:r>
    </w:p>
    <w:p w14:paraId="2A52FE0B" w14:textId="21460542"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الأفراد (</w:t>
      </w:r>
      <w:r w:rsidRPr="00362D29">
        <w:rPr>
          <w:rFonts w:ascii="Traditional Arabic" w:eastAsia="Aptos" w:hAnsi="Traditional Arabic" w:cs="Traditional Arabic"/>
          <w:b/>
          <w:bCs/>
          <w:kern w:val="2"/>
          <w:sz w:val="24"/>
          <w:szCs w:val="24"/>
          <w14:ligatures w14:val="standardContextual"/>
        </w:rPr>
        <w:t>Personnel</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يبرز دور طاقم التمريض والموظفين الإداريين كأكثر الفئات احتكاكاً بالمريض وتأثيراً على انطباعاته اليومية.</w:t>
      </w:r>
    </w:p>
    <w:p w14:paraId="4CE8A730" w14:textId="4491E627" w:rsidR="001F73E2" w:rsidRPr="00362D29" w:rsidRDefault="00AB3B11"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البيئة </w:t>
      </w:r>
      <w:r w:rsidR="001F73E2" w:rsidRPr="00362D29">
        <w:rPr>
          <w:rFonts w:ascii="Traditional Arabic" w:eastAsia="Aptos" w:hAnsi="Traditional Arabic" w:cs="Traditional Arabic"/>
          <w:b/>
          <w:bCs/>
          <w:kern w:val="2"/>
          <w:sz w:val="24"/>
          <w:szCs w:val="24"/>
          <w:rtl/>
          <w14:ligatures w14:val="standardContextual"/>
        </w:rPr>
        <w:t>المحيط</w:t>
      </w:r>
      <w:r w:rsidRPr="00362D29">
        <w:rPr>
          <w:rFonts w:ascii="Traditional Arabic" w:eastAsia="Aptos" w:hAnsi="Traditional Arabic" w:cs="Traditional Arabic"/>
          <w:b/>
          <w:bCs/>
          <w:kern w:val="2"/>
          <w:sz w:val="24"/>
          <w:szCs w:val="24"/>
          <w:rtl/>
          <w14:ligatures w14:val="standardContextual"/>
        </w:rPr>
        <w:t>ة</w:t>
      </w:r>
      <w:r w:rsidR="001F73E2" w:rsidRPr="00362D29">
        <w:rPr>
          <w:rFonts w:ascii="Traditional Arabic" w:eastAsia="Aptos" w:hAnsi="Traditional Arabic" w:cs="Traditional Arabic"/>
          <w:b/>
          <w:bCs/>
          <w:kern w:val="2"/>
          <w:sz w:val="24"/>
          <w:szCs w:val="24"/>
          <w:rtl/>
          <w14:ligatures w14:val="standardContextual"/>
        </w:rPr>
        <w:t xml:space="preserve"> (</w:t>
      </w:r>
      <w:r w:rsidR="001F73E2" w:rsidRPr="00362D29">
        <w:rPr>
          <w:rFonts w:ascii="Traditional Arabic" w:eastAsia="Aptos" w:hAnsi="Traditional Arabic" w:cs="Traditional Arabic"/>
          <w:b/>
          <w:bCs/>
          <w:kern w:val="2"/>
          <w:sz w:val="24"/>
          <w:szCs w:val="24"/>
          <w14:ligatures w14:val="standardContextual"/>
        </w:rPr>
        <w:t>Periphery</w:t>
      </w:r>
      <w:r w:rsidR="001F73E2" w:rsidRPr="00362D29">
        <w:rPr>
          <w:rFonts w:ascii="Traditional Arabic" w:eastAsia="Aptos" w:hAnsi="Traditional Arabic" w:cs="Traditional Arabic"/>
          <w:b/>
          <w:bCs/>
          <w:kern w:val="2"/>
          <w:sz w:val="24"/>
          <w:szCs w:val="24"/>
          <w:rtl/>
          <w14:ligatures w14:val="standardContextual"/>
        </w:rPr>
        <w:t>):</w:t>
      </w:r>
      <w:r w:rsidR="001F73E2" w:rsidRPr="00362D29">
        <w:rPr>
          <w:rFonts w:ascii="Traditional Arabic" w:eastAsia="Aptos" w:hAnsi="Traditional Arabic" w:cs="Traditional Arabic"/>
          <w:kern w:val="2"/>
          <w:sz w:val="24"/>
          <w:szCs w:val="24"/>
          <w:rtl/>
          <w14:ligatures w14:val="standardContextual"/>
        </w:rPr>
        <w:t xml:space="preserve"> يشمل البيئة المادية (</w:t>
      </w:r>
      <w:r w:rsidR="001F73E2" w:rsidRPr="00362D29">
        <w:rPr>
          <w:rFonts w:ascii="Traditional Arabic" w:eastAsia="Aptos" w:hAnsi="Traditional Arabic" w:cs="Traditional Arabic"/>
          <w:kern w:val="2"/>
          <w:sz w:val="24"/>
          <w:szCs w:val="24"/>
          <w14:ligatures w14:val="standardContextual"/>
        </w:rPr>
        <w:t>Servicescape</w:t>
      </w:r>
      <w:r w:rsidR="001F73E2" w:rsidRPr="00362D29">
        <w:rPr>
          <w:rFonts w:ascii="Traditional Arabic" w:eastAsia="Aptos" w:hAnsi="Traditional Arabic" w:cs="Traditional Arabic"/>
          <w:kern w:val="2"/>
          <w:sz w:val="24"/>
          <w:szCs w:val="24"/>
          <w:rtl/>
          <w14:ligatures w14:val="standardContextual"/>
        </w:rPr>
        <w:t>)، النظافة، الهدوء، والخدمات المساندة التي تضفي طابعاً من الراحة أو الانزعاج على رحلة العلاج.</w:t>
      </w:r>
    </w:p>
    <w:p w14:paraId="5E65E0FC" w14:textId="77777777" w:rsidR="00AB3B11" w:rsidRPr="00362D29" w:rsidRDefault="00AB3B11" w:rsidP="00362D29">
      <w:pPr>
        <w:pStyle w:val="ab"/>
        <w:bidi/>
        <w:spacing w:before="0" w:after="160" w:line="360" w:lineRule="auto"/>
        <w:jc w:val="both"/>
        <w:rPr>
          <w:rFonts w:ascii="Traditional Arabic" w:eastAsia="Aptos" w:hAnsi="Traditional Arabic" w:cs="Traditional Arabic"/>
          <w:kern w:val="2"/>
          <w:sz w:val="24"/>
          <w:szCs w:val="24"/>
          <w:rtl/>
          <w14:ligatures w14:val="standardContextual"/>
        </w:rPr>
      </w:pPr>
    </w:p>
    <w:p w14:paraId="1462C950" w14:textId="77777777" w:rsidR="001F73E2" w:rsidRPr="00362D29" w:rsidRDefault="001F73E2" w:rsidP="00C42472">
      <w:pPr>
        <w:numPr>
          <w:ilvl w:val="0"/>
          <w:numId w:val="2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الإطار الاستراتيجي لتحسين تجربة المريض (</w:t>
      </w:r>
      <w:r w:rsidRPr="00362D29">
        <w:rPr>
          <w:rFonts w:ascii="Traditional Arabic" w:eastAsia="Aptos" w:hAnsi="Traditional Arabic" w:cs="Traditional Arabic"/>
          <w:b/>
          <w:bCs/>
          <w:kern w:val="2"/>
          <w:sz w:val="24"/>
          <w:szCs w:val="24"/>
          <w14:ligatures w14:val="standardContextual"/>
        </w:rPr>
        <w:t>Strategic Framework for PX Improvement</w:t>
      </w:r>
      <w:r w:rsidRPr="00362D29">
        <w:rPr>
          <w:rFonts w:ascii="Traditional Arabic" w:eastAsia="Aptos" w:hAnsi="Traditional Arabic" w:cs="Traditional Arabic"/>
          <w:b/>
          <w:bCs/>
          <w:kern w:val="2"/>
          <w:sz w:val="24"/>
          <w:szCs w:val="24"/>
          <w:rtl/>
          <w14:ligatures w14:val="standardContextual"/>
        </w:rPr>
        <w:t>)</w:t>
      </w:r>
    </w:p>
    <w:p w14:paraId="2CD1B29E"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هذا الإطار الأكثر أهمية للمؤسسات الصحية الساعية لتحقيق ميزة تنافسية واستدامة، حيث يركز على سد الفجوة بين توقعات المستفيدين والخدمات الفعلية المقدمة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يتكون هذا الإطار من عدة ركائز استراتيجية مترابطة:</w:t>
      </w:r>
    </w:p>
    <w:p w14:paraId="03BE25DA" w14:textId="7F897711"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الثقافة التنظيمية (</w:t>
      </w:r>
      <w:r w:rsidRPr="00362D29">
        <w:rPr>
          <w:rFonts w:ascii="Traditional Arabic" w:eastAsia="Aptos" w:hAnsi="Traditional Arabic" w:cs="Traditional Arabic"/>
          <w:b/>
          <w:bCs/>
          <w:kern w:val="2"/>
          <w:sz w:val="24"/>
          <w:szCs w:val="24"/>
          <w14:ligatures w14:val="standardContextual"/>
        </w:rPr>
        <w:t>Culture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بناء ثقافة تدعم تجربة المريض وتجعلها أولوية قصوى لدى جميع العاملين، بحيث لا تكون مجرد شعارات، بل ممارسات يومية.</w:t>
      </w:r>
    </w:p>
    <w:p w14:paraId="30BED67E" w14:textId="57A9C7C0"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التواصل الفعال (</w:t>
      </w:r>
      <w:r w:rsidRPr="00362D29">
        <w:rPr>
          <w:rFonts w:ascii="Traditional Arabic" w:eastAsia="Aptos" w:hAnsi="Traditional Arabic" w:cs="Traditional Arabic"/>
          <w:b/>
          <w:bCs/>
          <w:kern w:val="2"/>
          <w:sz w:val="24"/>
          <w:szCs w:val="24"/>
          <w14:ligatures w14:val="standardContextual"/>
        </w:rPr>
        <w:t>Communication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تسهيل قنوات الاتصال بين المريض ومقدم الخدمة، وضمان تدفق المعلومات بوضوح وشفافية.</w:t>
      </w:r>
    </w:p>
    <w:p w14:paraId="24375F64" w14:textId="27610544"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إشراك المرضى (</w:t>
      </w:r>
      <w:r w:rsidRPr="00362D29">
        <w:rPr>
          <w:rFonts w:ascii="Traditional Arabic" w:eastAsia="Aptos" w:hAnsi="Traditional Arabic" w:cs="Traditional Arabic"/>
          <w:b/>
          <w:bCs/>
          <w:kern w:val="2"/>
          <w:sz w:val="24"/>
          <w:szCs w:val="24"/>
          <w14:ligatures w14:val="standardContextual"/>
        </w:rPr>
        <w:t>Patient Engagement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تحويل المريض من متلقٍ سلبي إلى مشارك نشط في خطة علاجه، مما يعزز من شعوره بالسيطرة والرضا.</w:t>
      </w:r>
    </w:p>
    <w:p w14:paraId="7B533AF8" w14:textId="5013C67D"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والشفافية (</w:t>
      </w:r>
      <w:r w:rsidRPr="00362D29">
        <w:rPr>
          <w:rFonts w:ascii="Traditional Arabic" w:eastAsia="Aptos" w:hAnsi="Traditional Arabic" w:cs="Traditional Arabic"/>
          <w:b/>
          <w:bCs/>
          <w:kern w:val="2"/>
          <w:sz w:val="24"/>
          <w:szCs w:val="24"/>
          <w14:ligatures w14:val="standardContextual"/>
        </w:rPr>
        <w:t>Access</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Transparency</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جعل الخدمات سهلة الوصول (مواعيد، معلومات) وتوفير بيانات دقيقة حول جودة الأداء والنتائج السريرية للمستفيدين.</w:t>
      </w:r>
    </w:p>
    <w:p w14:paraId="430A2C69" w14:textId="21B27983"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البيئة المتعاطفة (</w:t>
      </w:r>
      <w:r w:rsidRPr="00362D29">
        <w:rPr>
          <w:rFonts w:ascii="Traditional Arabic" w:eastAsia="Aptos" w:hAnsi="Traditional Arabic" w:cs="Traditional Arabic"/>
          <w:b/>
          <w:bCs/>
          <w:kern w:val="2"/>
          <w:sz w:val="24"/>
          <w:szCs w:val="24"/>
          <w14:ligatures w14:val="standardContextual"/>
        </w:rPr>
        <w:t>Empathetic Environment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خلق مناخ يسوده التعاطف والاحترام، حيث يتم تقدير الحالة النفسية للمريض والتعامل معها بجدية.</w:t>
      </w:r>
    </w:p>
    <w:p w14:paraId="78569CC5" w14:textId="56EC50BC"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التركيز على النتائج السريرية (</w:t>
      </w:r>
      <w:r w:rsidRPr="00362D29">
        <w:rPr>
          <w:rFonts w:ascii="Traditional Arabic" w:eastAsia="Aptos" w:hAnsi="Traditional Arabic" w:cs="Traditional Arabic"/>
          <w:b/>
          <w:bCs/>
          <w:kern w:val="2"/>
          <w:sz w:val="24"/>
          <w:szCs w:val="24"/>
          <w14:ligatures w14:val="standardContextual"/>
        </w:rPr>
        <w:t>Clinical Outcomes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ربط تحسين التجربة بتحقيق نتائج صحية أفضل، مما يثبت الجدوى الاقتصادية والطبية للاستثمار في تجربة المريض (</w:t>
      </w:r>
      <w:r w:rsidRPr="00362D29">
        <w:rPr>
          <w:rFonts w:ascii="Traditional Arabic" w:eastAsia="Aptos" w:hAnsi="Traditional Arabic" w:cs="Traditional Arabic"/>
          <w:kern w:val="2"/>
          <w:sz w:val="24"/>
          <w:szCs w:val="24"/>
          <w14:ligatures w14:val="standardContextual"/>
        </w:rPr>
        <w:t>Beryl Institute, 2024; Oben, 2020</w:t>
      </w:r>
      <w:r w:rsidRPr="00362D29">
        <w:rPr>
          <w:rFonts w:ascii="Traditional Arabic" w:eastAsia="Aptos" w:hAnsi="Traditional Arabic" w:cs="Traditional Arabic"/>
          <w:kern w:val="2"/>
          <w:sz w:val="24"/>
          <w:szCs w:val="24"/>
          <w:rtl/>
          <w14:ligatures w14:val="standardContextual"/>
        </w:rPr>
        <w:t>).</w:t>
      </w:r>
    </w:p>
    <w:p w14:paraId="00BAC7C3" w14:textId="373197EF" w:rsidR="004569CD" w:rsidRPr="00362D29" w:rsidRDefault="004569C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سابعاً: محركات تجربة المريض</w:t>
      </w:r>
      <w:r w:rsidRPr="00362D29">
        <w:rPr>
          <w:rFonts w:ascii="Traditional Arabic" w:eastAsia="Aptos" w:hAnsi="Traditional Arabic" w:cs="Traditional Arabic"/>
          <w:b/>
          <w:bCs/>
          <w:kern w:val="2"/>
          <w:sz w:val="28"/>
          <w:szCs w:val="28"/>
          <w14:ligatures w14:val="standardContextual"/>
        </w:rPr>
        <w:t xml:space="preserve"> (Drivers of Patient Experience)</w:t>
      </w:r>
    </w:p>
    <w:p w14:paraId="20382F45" w14:textId="57D06387"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تُعد محركات تجربة المريض بمثابة العوامل الجوهرية التي تشكل انطباعات المرضى وتصوراتهم حول جودة الرعاية الصحية المقدمة لهم. وتتجاوز هذه المحركات مجرد تقديم العلاج السريري لتشمل الأبعاد الإنسانية، التنظيمية، والبيئية التي تتفاعل معاً لرسم الصورة الذهنية للمريض عن المنظمة </w:t>
      </w:r>
      <w:proofErr w:type="gramStart"/>
      <w:r w:rsidRPr="00362D29">
        <w:rPr>
          <w:rFonts w:ascii="Traditional Arabic" w:eastAsia="Aptos" w:hAnsi="Traditional Arabic" w:cs="Traditional Arabic"/>
          <w:kern w:val="2"/>
          <w:sz w:val="24"/>
          <w:szCs w:val="24"/>
          <w:rtl/>
          <w14:ligatures w14:val="standardContextual"/>
        </w:rPr>
        <w:t>الصحية</w:t>
      </w:r>
      <w:r w:rsidRPr="00362D29">
        <w:rPr>
          <w:rFonts w:ascii="Traditional Arabic" w:eastAsia="Aptos" w:hAnsi="Traditional Arabic" w:cs="Traditional Arabic"/>
          <w:kern w:val="2"/>
          <w:sz w:val="24"/>
          <w:szCs w:val="24"/>
          <w14:ligatures w14:val="standardContextual"/>
        </w:rPr>
        <w:t xml:space="preserve"> </w:t>
      </w:r>
      <w:r w:rsidR="006B777C" w:rsidRPr="00362D29">
        <w:rPr>
          <w:rFonts w:ascii="Traditional Arabic" w:eastAsia="Aptos" w:hAnsi="Traditional Arabic" w:cs="Traditional Arabic"/>
          <w:kern w:val="2"/>
          <w:sz w:val="24"/>
          <w:szCs w:val="24"/>
          <w14:ligatures w14:val="standardContextual"/>
        </w:rPr>
        <w:t>.</w:t>
      </w:r>
      <w:proofErr w:type="gramEnd"/>
      <w:r w:rsidRPr="00362D29">
        <w:rPr>
          <w:rFonts w:ascii="Traditional Arabic" w:eastAsia="Aptos" w:hAnsi="Traditional Arabic" w:cs="Traditional Arabic"/>
          <w:kern w:val="2"/>
          <w:sz w:val="24"/>
          <w:szCs w:val="24"/>
          <w14:ligatures w14:val="standardContextual"/>
        </w:rPr>
        <w:t xml:space="preserve">(Adams et al., 2025) </w:t>
      </w:r>
      <w:r w:rsidRPr="00362D29">
        <w:rPr>
          <w:rFonts w:ascii="Traditional Arabic" w:eastAsia="Aptos" w:hAnsi="Traditional Arabic" w:cs="Traditional Arabic"/>
          <w:kern w:val="2"/>
          <w:sz w:val="24"/>
          <w:szCs w:val="24"/>
          <w:rtl/>
          <w14:ligatures w14:val="standardContextual"/>
        </w:rPr>
        <w:t>وقد أثبتت الدراسات الحديثة أن تحديد هذه المحركات بدقة يُعد الخطوة الأولى والأساسية نحو تصميم استراتيجيات فعالة لتحسين الجودة والتميز المؤسسي</w:t>
      </w:r>
      <w:r w:rsidRPr="00362D29">
        <w:rPr>
          <w:rFonts w:ascii="Traditional Arabic" w:eastAsia="Aptos" w:hAnsi="Traditional Arabic" w:cs="Traditional Arabic"/>
          <w:kern w:val="2"/>
          <w:sz w:val="24"/>
          <w:szCs w:val="24"/>
          <w14:ligatures w14:val="standardContextual"/>
        </w:rPr>
        <w:t xml:space="preserve"> (Zehra et al., 2025)</w:t>
      </w:r>
      <w:r w:rsidR="006B777C" w:rsidRPr="00362D29">
        <w:rPr>
          <w:rFonts w:ascii="Traditional Arabic" w:eastAsia="Aptos" w:hAnsi="Traditional Arabic" w:cs="Traditional Arabic"/>
          <w:kern w:val="2"/>
          <w:sz w:val="24"/>
          <w:szCs w:val="24"/>
          <w:rtl/>
          <w14:ligatures w14:val="standardContextual"/>
        </w:rPr>
        <w:t>.</w:t>
      </w:r>
    </w:p>
    <w:p w14:paraId="077273B1" w14:textId="38383755" w:rsidR="006B777C" w:rsidRPr="00362D29" w:rsidRDefault="006B777C" w:rsidP="00C42472">
      <w:pPr>
        <w:pStyle w:val="ab"/>
        <w:numPr>
          <w:ilvl w:val="0"/>
          <w:numId w:val="3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إطار الاعمدة الثلاثة </w:t>
      </w:r>
      <w:r w:rsidR="00E02A60">
        <w:rPr>
          <w:rFonts w:ascii="Traditional Arabic" w:eastAsia="Aptos" w:hAnsi="Traditional Arabic" w:cs="Traditional Arabic" w:hint="cs"/>
          <w:b/>
          <w:bCs/>
          <w:kern w:val="2"/>
          <w:sz w:val="28"/>
          <w:szCs w:val="28"/>
          <w:rtl/>
          <w14:ligatures w14:val="standardContextual"/>
        </w:rPr>
        <w:t xml:space="preserve">- محركات </w:t>
      </w:r>
      <w:r w:rsidR="00811683" w:rsidRPr="00362D29">
        <w:rPr>
          <w:rFonts w:ascii="Traditional Arabic" w:eastAsia="Aptos" w:hAnsi="Traditional Arabic" w:cs="Traditional Arabic"/>
          <w:b/>
          <w:bCs/>
          <w:kern w:val="2"/>
          <w:sz w:val="28"/>
          <w:szCs w:val="28"/>
          <w:rtl/>
          <w14:ligatures w14:val="standardContextual"/>
        </w:rPr>
        <w:t xml:space="preserve">تجربة </w:t>
      </w:r>
      <w:proofErr w:type="gramStart"/>
      <w:r w:rsidR="00811683" w:rsidRPr="00362D29">
        <w:rPr>
          <w:rFonts w:ascii="Traditional Arabic" w:eastAsia="Aptos" w:hAnsi="Traditional Arabic" w:cs="Traditional Arabic"/>
          <w:b/>
          <w:bCs/>
          <w:kern w:val="2"/>
          <w:sz w:val="28"/>
          <w:szCs w:val="28"/>
          <w:rtl/>
          <w14:ligatures w14:val="standardContextual"/>
        </w:rPr>
        <w:t>المريض :</w:t>
      </w:r>
      <w:proofErr w:type="gramEnd"/>
    </w:p>
    <w:p w14:paraId="36D05377" w14:textId="0E01F58A"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وفي إطار السعي لتحديد هذه المحركات، قدمت دراسة حديثة نموذجاً يُعرف بـ "الأعمدة الثلاثة لتجربة المريض</w:t>
      </w:r>
      <w:r w:rsidRPr="00362D29">
        <w:rPr>
          <w:rFonts w:ascii="Traditional Arabic" w:eastAsia="Aptos" w:hAnsi="Traditional Arabic" w:cs="Traditional Arabic"/>
          <w:kern w:val="2"/>
          <w:sz w:val="24"/>
          <w:szCs w:val="24"/>
          <w14:ligatures w14:val="standardContextual"/>
        </w:rPr>
        <w:t>" (The Three Pillars of Patient Experience)</w:t>
      </w:r>
      <w:r w:rsidRPr="00362D29">
        <w:rPr>
          <w:rFonts w:ascii="Traditional Arabic" w:eastAsia="Aptos" w:hAnsi="Traditional Arabic" w:cs="Traditional Arabic"/>
          <w:kern w:val="2"/>
          <w:sz w:val="24"/>
          <w:szCs w:val="24"/>
          <w:rtl/>
          <w14:ligatures w14:val="standardContextual"/>
        </w:rPr>
        <w:t xml:space="preserve">، حيث حددت </w:t>
      </w:r>
      <w:r w:rsidR="00231531" w:rsidRPr="00362D29">
        <w:rPr>
          <w:rFonts w:ascii="Traditional Arabic" w:eastAsia="Aptos" w:hAnsi="Traditional Arabic" w:cs="Traditional Arabic"/>
          <w:b/>
          <w:bCs/>
          <w:kern w:val="2"/>
          <w:sz w:val="24"/>
          <w:szCs w:val="24"/>
          <w:rtl/>
          <w14:ligatures w14:val="standardContextual"/>
        </w:rPr>
        <w:t>ثلاث</w:t>
      </w:r>
      <w:r w:rsidRPr="00362D29">
        <w:rPr>
          <w:rFonts w:ascii="Traditional Arabic" w:eastAsia="Aptos" w:hAnsi="Traditional Arabic" w:cs="Traditional Arabic"/>
          <w:b/>
          <w:bCs/>
          <w:kern w:val="2"/>
          <w:sz w:val="24"/>
          <w:szCs w:val="24"/>
          <w:rtl/>
          <w14:ligatures w14:val="standardContextual"/>
        </w:rPr>
        <w:t xml:space="preserve"> محركات رئيسية</w:t>
      </w:r>
      <w:r w:rsidRPr="00362D29">
        <w:rPr>
          <w:rFonts w:ascii="Traditional Arabic" w:eastAsia="Aptos" w:hAnsi="Traditional Arabic" w:cs="Traditional Arabic"/>
          <w:kern w:val="2"/>
          <w:sz w:val="24"/>
          <w:szCs w:val="24"/>
          <w:rtl/>
          <w14:ligatures w14:val="standardContextual"/>
        </w:rPr>
        <w:t xml:space="preserve"> تتكامل فيما بينها لتحقيق تجربة مريض استثنائية</w:t>
      </w:r>
      <w:r w:rsidRPr="00362D29">
        <w:rPr>
          <w:rFonts w:ascii="Traditional Arabic" w:eastAsia="Aptos" w:hAnsi="Traditional Arabic" w:cs="Traditional Arabic"/>
          <w:kern w:val="2"/>
          <w:sz w:val="24"/>
          <w:szCs w:val="24"/>
          <w14:ligatures w14:val="standardContextual"/>
        </w:rPr>
        <w:t xml:space="preserve"> (Adams et al., 2025)</w:t>
      </w:r>
      <w:r w:rsidR="00CF0EAD" w:rsidRPr="00362D29">
        <w:rPr>
          <w:rFonts w:ascii="Traditional Arabic" w:eastAsia="Aptos" w:hAnsi="Traditional Arabic" w:cs="Traditional Arabic"/>
          <w:kern w:val="2"/>
          <w:sz w:val="24"/>
          <w:szCs w:val="24"/>
          <w:rtl/>
          <w14:ligatures w14:val="standardContextual"/>
        </w:rPr>
        <w:t>:</w:t>
      </w:r>
    </w:p>
    <w:p w14:paraId="02A40D24" w14:textId="5DF18D46"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1</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تقديم علاج آمن وفي الوقت المناسب وفعال</w:t>
      </w:r>
      <w:r w:rsidRPr="00362D29">
        <w:rPr>
          <w:rFonts w:ascii="Traditional Arabic" w:eastAsia="Aptos" w:hAnsi="Traditional Arabic" w:cs="Traditional Arabic"/>
          <w:kern w:val="2"/>
          <w:sz w:val="24"/>
          <w:szCs w:val="24"/>
          <w14:ligatures w14:val="standardContextual"/>
        </w:rPr>
        <w:t xml:space="preserve"> (Provision of safe, timely, and effective treatment): </w:t>
      </w:r>
      <w:r w:rsidRPr="00362D29">
        <w:rPr>
          <w:rFonts w:ascii="Traditional Arabic" w:eastAsia="Aptos" w:hAnsi="Traditional Arabic" w:cs="Traditional Arabic"/>
          <w:kern w:val="2"/>
          <w:sz w:val="24"/>
          <w:szCs w:val="24"/>
          <w:rtl/>
          <w14:ligatures w14:val="standardContextual"/>
        </w:rPr>
        <w:t>ويُعد هذا المحرك هو الركيزة الأساسية التي يبحث عنها المريض عند طلب الرعاية، حيث يرتبط مباشرة بالنتائج السريرية وسلامة الإجراءات الطبية وقصر فترات الانتظار. ويتوافق هذا مع ما أكده</w:t>
      </w:r>
      <w:r w:rsidRPr="00362D29">
        <w:rPr>
          <w:rFonts w:ascii="Traditional Arabic" w:eastAsia="Aptos" w:hAnsi="Traditional Arabic" w:cs="Traditional Arabic"/>
          <w:kern w:val="2"/>
          <w:sz w:val="24"/>
          <w:szCs w:val="24"/>
          <w14:ligatures w14:val="standardContextual"/>
        </w:rPr>
        <w:t xml:space="preserve"> (Alhuseini et al., 2025) </w:t>
      </w:r>
      <w:r w:rsidRPr="00362D29">
        <w:rPr>
          <w:rFonts w:ascii="Traditional Arabic" w:eastAsia="Aptos" w:hAnsi="Traditional Arabic" w:cs="Traditional Arabic"/>
          <w:kern w:val="2"/>
          <w:sz w:val="24"/>
          <w:szCs w:val="24"/>
          <w:rtl/>
          <w14:ligatures w14:val="standardContextual"/>
        </w:rPr>
        <w:t>من أن "الانتقال السلس خلال الزيارة" وسرعة الاستجابة تُعد من العوامل المؤثرة بقوة في تقييم المريض لتجربته</w:t>
      </w:r>
      <w:r w:rsidRPr="00362D29">
        <w:rPr>
          <w:rFonts w:ascii="Traditional Arabic" w:eastAsia="Aptos" w:hAnsi="Traditional Arabic" w:cs="Traditional Arabic"/>
          <w:kern w:val="2"/>
          <w:sz w:val="24"/>
          <w:szCs w:val="24"/>
          <w14:ligatures w14:val="standardContextual"/>
        </w:rPr>
        <w:t>.</w:t>
      </w:r>
    </w:p>
    <w:p w14:paraId="7F4CCBAA" w14:textId="0D26DC4E"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2</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تعزيز الروابط الإنسانية مع طاقم عمل مهتم ومتفهم</w:t>
      </w:r>
      <w:r w:rsidRPr="00362D29">
        <w:rPr>
          <w:rFonts w:ascii="Traditional Arabic" w:eastAsia="Aptos" w:hAnsi="Traditional Arabic" w:cs="Traditional Arabic"/>
          <w:kern w:val="2"/>
          <w:sz w:val="24"/>
          <w:szCs w:val="24"/>
          <w14:ligatures w14:val="standardContextual"/>
        </w:rPr>
        <w:t xml:space="preserve"> (Fostering human connections with caring and attentive staff</w:t>
      </w:r>
      <w:proofErr w:type="gramStart"/>
      <w:r w:rsidRPr="00362D29">
        <w:rPr>
          <w:rFonts w:ascii="Traditional Arabic" w:eastAsia="Aptos" w:hAnsi="Traditional Arabic" w:cs="Traditional Arabic"/>
          <w:kern w:val="2"/>
          <w:sz w:val="24"/>
          <w:szCs w:val="24"/>
          <w14:ligatures w14:val="standardContextual"/>
        </w:rPr>
        <w:t xml:space="preserve">): </w:t>
      </w:r>
      <w:r w:rsidR="005B1595"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يشير</w:t>
      </w:r>
      <w:proofErr w:type="gramEnd"/>
      <w:r w:rsidRPr="00362D29">
        <w:rPr>
          <w:rFonts w:ascii="Traditional Arabic" w:eastAsia="Aptos" w:hAnsi="Traditional Arabic" w:cs="Traditional Arabic"/>
          <w:kern w:val="2"/>
          <w:sz w:val="24"/>
          <w:szCs w:val="24"/>
          <w:rtl/>
          <w14:ligatures w14:val="standardContextual"/>
        </w:rPr>
        <w:t xml:space="preserve"> هذا المحرك إلى الجانب العاطفي والاجتماعي في الرعاية، حيث يلعب تعاطف الممارسين الصحيين وقدرتهم على بناء علاقة ثقة مع المريض دوراً حاسماً في تحسين تجربته. </w:t>
      </w:r>
      <w:r w:rsidR="005B1595" w:rsidRPr="00362D29">
        <w:rPr>
          <w:rFonts w:ascii="Traditional Arabic" w:eastAsia="Aptos" w:hAnsi="Traditional Arabic" w:cs="Traditional Arabic"/>
          <w:kern w:val="2"/>
          <w:sz w:val="24"/>
          <w:szCs w:val="24"/>
          <w:rtl/>
          <w14:ligatures w14:val="standardContextual"/>
        </w:rPr>
        <w:t>كما أكدت ذلك</w:t>
      </w:r>
      <w:r w:rsidRPr="00362D29">
        <w:rPr>
          <w:rFonts w:ascii="Traditional Arabic" w:eastAsia="Aptos" w:hAnsi="Traditional Arabic" w:cs="Traditional Arabic"/>
          <w:kern w:val="2"/>
          <w:sz w:val="24"/>
          <w:szCs w:val="24"/>
          <w:rtl/>
          <w14:ligatures w14:val="standardContextual"/>
        </w:rPr>
        <w:t xml:space="preserve"> دراسة (</w:t>
      </w:r>
      <w:r w:rsidR="004C5B88" w:rsidRPr="00362D29">
        <w:rPr>
          <w:rFonts w:ascii="Traditional Arabic" w:eastAsia="Aptos" w:hAnsi="Traditional Arabic" w:cs="Traditional Arabic"/>
          <w:kern w:val="2"/>
          <w:sz w:val="24"/>
          <w:szCs w:val="24"/>
          <w:rtl/>
          <w14:ligatures w14:val="standardContextual"/>
        </w:rPr>
        <w:t>السنان</w:t>
      </w:r>
      <w:r w:rsidRPr="00362D29">
        <w:rPr>
          <w:rFonts w:ascii="Traditional Arabic" w:eastAsia="Aptos" w:hAnsi="Traditional Arabic" w:cs="Traditional Arabic"/>
          <w:kern w:val="2"/>
          <w:sz w:val="24"/>
          <w:szCs w:val="24"/>
          <w:rtl/>
          <w14:ligatures w14:val="standardContextual"/>
        </w:rPr>
        <w:t>، 2026) إلى أن جودة أداء الممارسين الصحيين وشمولية تقييمهم لاحتياجات المريض الإنسانية تُعد متغيراً تنبؤياً مباشراً لفعالية تجربة المريض</w:t>
      </w:r>
      <w:r w:rsidRPr="00362D29">
        <w:rPr>
          <w:rFonts w:ascii="Traditional Arabic" w:eastAsia="Aptos" w:hAnsi="Traditional Arabic" w:cs="Traditional Arabic"/>
          <w:kern w:val="2"/>
          <w:sz w:val="24"/>
          <w:szCs w:val="24"/>
          <w14:ligatures w14:val="standardContextual"/>
        </w:rPr>
        <w:t>.</w:t>
      </w:r>
    </w:p>
    <w:p w14:paraId="60F5686E" w14:textId="0FD6F10E"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3</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توفير بيئة مريحة واستشفائية</w:t>
      </w:r>
      <w:r w:rsidRPr="00362D29">
        <w:rPr>
          <w:rFonts w:ascii="Traditional Arabic" w:eastAsia="Aptos" w:hAnsi="Traditional Arabic" w:cs="Traditional Arabic"/>
          <w:kern w:val="2"/>
          <w:sz w:val="24"/>
          <w:szCs w:val="24"/>
          <w14:ligatures w14:val="standardContextual"/>
        </w:rPr>
        <w:t xml:space="preserve"> (Provision of a comfortable and healing environment): </w:t>
      </w:r>
      <w:r w:rsidRPr="00362D29">
        <w:rPr>
          <w:rFonts w:ascii="Traditional Arabic" w:eastAsia="Aptos" w:hAnsi="Traditional Arabic" w:cs="Traditional Arabic"/>
          <w:kern w:val="2"/>
          <w:sz w:val="24"/>
          <w:szCs w:val="24"/>
          <w:rtl/>
          <w14:ligatures w14:val="standardContextual"/>
        </w:rPr>
        <w:t xml:space="preserve">لا تقتصر التجربة على التفاعل البشري فحسب، بل تمتد لتشمل البيئة المادية المحيطة بالمريض. وتؤكد </w:t>
      </w:r>
      <w:r w:rsidR="00866D2F" w:rsidRPr="00362D29">
        <w:rPr>
          <w:rFonts w:ascii="Traditional Arabic" w:eastAsia="Aptos" w:hAnsi="Traditional Arabic" w:cs="Traditional Arabic"/>
          <w:kern w:val="2"/>
          <w:sz w:val="24"/>
          <w:szCs w:val="24"/>
          <w:rtl/>
          <w14:ligatures w14:val="standardContextual"/>
        </w:rPr>
        <w:t xml:space="preserve">ذلك </w:t>
      </w:r>
      <w:r w:rsidRPr="00362D29">
        <w:rPr>
          <w:rFonts w:ascii="Traditional Arabic" w:eastAsia="Aptos" w:hAnsi="Traditional Arabic" w:cs="Traditional Arabic"/>
          <w:kern w:val="2"/>
          <w:sz w:val="24"/>
          <w:szCs w:val="24"/>
          <w:rtl/>
          <w14:ligatures w14:val="standardContextual"/>
        </w:rPr>
        <w:t>دراسة (محمود، 2025) أن تصميم المستشفيات الذكية وتوفير بيئة مادية مريحة وهادئة يسهم بشكل مباشر في رفع كفاءة الأداء وتحسين المخرجات الصحية وتجربة المرضى بشكل عام</w:t>
      </w:r>
      <w:r w:rsidRPr="00362D29">
        <w:rPr>
          <w:rFonts w:ascii="Traditional Arabic" w:eastAsia="Aptos" w:hAnsi="Traditional Arabic" w:cs="Traditional Arabic"/>
          <w:kern w:val="2"/>
          <w:sz w:val="24"/>
          <w:szCs w:val="24"/>
          <w14:ligatures w14:val="standardContextual"/>
        </w:rPr>
        <w:t>.</w:t>
      </w:r>
    </w:p>
    <w:p w14:paraId="13CE5366" w14:textId="7EF57457" w:rsidR="00731E06" w:rsidRPr="00362D29" w:rsidRDefault="004726BF" w:rsidP="00C42472">
      <w:pPr>
        <w:pStyle w:val="ab"/>
        <w:numPr>
          <w:ilvl w:val="0"/>
          <w:numId w:val="40"/>
        </w:num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محركات تجربة المريض في السياق التنظيمي</w:t>
      </w:r>
    </w:p>
    <w:p w14:paraId="54FC4415" w14:textId="4078C8E9" w:rsidR="004726BF" w:rsidRPr="00362D29" w:rsidRDefault="00F64F47"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تؤكد </w:t>
      </w:r>
      <w:r w:rsidR="00FF6D98" w:rsidRPr="00362D29">
        <w:rPr>
          <w:rFonts w:ascii="Traditional Arabic" w:eastAsia="Aptos" w:hAnsi="Traditional Arabic" w:cs="Traditional Arabic"/>
          <w:kern w:val="2"/>
          <w:sz w:val="24"/>
          <w:szCs w:val="24"/>
          <w:rtl/>
          <w14:ligatures w14:val="standardContextual"/>
        </w:rPr>
        <w:t>(</w:t>
      </w:r>
      <w:r w:rsidR="00FF6D98" w:rsidRPr="00362D29">
        <w:rPr>
          <w:rFonts w:ascii="Traditional Arabic" w:eastAsia="Aptos" w:hAnsi="Traditional Arabic" w:cs="Traditional Arabic"/>
          <w:kern w:val="2"/>
          <w:sz w:val="24"/>
          <w:szCs w:val="24"/>
          <w14:ligatures w14:val="standardContextual"/>
        </w:rPr>
        <w:t>Health Academy, 2022</w:t>
      </w:r>
      <w:proofErr w:type="gramStart"/>
      <w:r w:rsidR="00FF6D98" w:rsidRPr="00362D29">
        <w:rPr>
          <w:rFonts w:ascii="Traditional Arabic" w:eastAsia="Aptos" w:hAnsi="Traditional Arabic" w:cs="Traditional Arabic"/>
          <w:kern w:val="2"/>
          <w:sz w:val="24"/>
          <w:szCs w:val="24"/>
          <w:rtl/>
          <w14:ligatures w14:val="standardContextual"/>
        </w:rPr>
        <w:t>) ،</w:t>
      </w:r>
      <w:proofErr w:type="gramEnd"/>
      <w:r w:rsidR="00FF6D9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أن</w:t>
      </w:r>
      <w:r w:rsidR="004726BF" w:rsidRPr="00362D29">
        <w:rPr>
          <w:rFonts w:ascii="Traditional Arabic" w:eastAsia="Aptos" w:hAnsi="Traditional Arabic" w:cs="Traditional Arabic"/>
          <w:kern w:val="2"/>
          <w:sz w:val="24"/>
          <w:szCs w:val="24"/>
          <w:rtl/>
          <w14:ligatures w14:val="standardContextual"/>
        </w:rPr>
        <w:t xml:space="preserve"> محركات </w:t>
      </w:r>
      <w:r w:rsidR="00FF6D98" w:rsidRPr="00362D29">
        <w:rPr>
          <w:rFonts w:ascii="Traditional Arabic" w:eastAsia="Aptos" w:hAnsi="Traditional Arabic" w:cs="Traditional Arabic"/>
          <w:kern w:val="2"/>
          <w:sz w:val="24"/>
          <w:szCs w:val="24"/>
          <w:rtl/>
          <w14:ligatures w14:val="standardContextual"/>
        </w:rPr>
        <w:t xml:space="preserve">تجربة المريض </w:t>
      </w:r>
      <w:r w:rsidR="004726BF" w:rsidRPr="00362D29">
        <w:rPr>
          <w:rFonts w:ascii="Traditional Arabic" w:eastAsia="Aptos" w:hAnsi="Traditional Arabic" w:cs="Traditional Arabic"/>
          <w:kern w:val="2"/>
          <w:sz w:val="24"/>
          <w:szCs w:val="24"/>
          <w:rtl/>
          <w14:ligatures w14:val="standardContextual"/>
        </w:rPr>
        <w:t xml:space="preserve">تتجذر بعمق في ثقافة المنظمة وقيادتها، حيث تشكل هذه الثقافة والقيادة الموجه الأساسي لآلية اتخاذ القرارات والتفاعلات الإنسانية والنتائج المحققة. كما تشدد على ضرورة استيعاب منظور المريض الفردي، نظراً لتباين المحركات وفقاً للخلفية الثقافية، والحالة الصحية، والمستوى التعليمي للمريض </w:t>
      </w:r>
      <w:r w:rsidR="00BB5280" w:rsidRPr="00362D29">
        <w:rPr>
          <w:rFonts w:ascii="Traditional Arabic" w:eastAsia="Aptos" w:hAnsi="Traditional Arabic" w:cs="Traditional Arabic"/>
          <w:kern w:val="2"/>
          <w:sz w:val="24"/>
          <w:szCs w:val="24"/>
          <w:rtl/>
          <w14:ligatures w14:val="standardContextual"/>
        </w:rPr>
        <w:t>(</w:t>
      </w:r>
      <w:r w:rsidR="00BB5280" w:rsidRPr="00362D29">
        <w:rPr>
          <w:rFonts w:ascii="Traditional Arabic" w:eastAsia="Aptos" w:hAnsi="Traditional Arabic" w:cs="Traditional Arabic"/>
          <w:kern w:val="2"/>
          <w:sz w:val="24"/>
          <w:szCs w:val="24"/>
          <w14:ligatures w14:val="standardContextual"/>
        </w:rPr>
        <w:t>Health Academy, 2022</w:t>
      </w:r>
      <w:r w:rsidR="00BB5280" w:rsidRPr="00362D29">
        <w:rPr>
          <w:rFonts w:ascii="Traditional Arabic" w:eastAsia="Aptos" w:hAnsi="Traditional Arabic" w:cs="Traditional Arabic"/>
          <w:kern w:val="2"/>
          <w:sz w:val="24"/>
          <w:szCs w:val="24"/>
          <w:rtl/>
          <w14:ligatures w14:val="standardContextual"/>
        </w:rPr>
        <w:t>)</w:t>
      </w:r>
      <w:r w:rsidR="004726BF" w:rsidRPr="00362D29">
        <w:rPr>
          <w:rFonts w:ascii="Traditional Arabic" w:eastAsia="Aptos" w:hAnsi="Traditional Arabic" w:cs="Traditional Arabic"/>
          <w:kern w:val="2"/>
          <w:sz w:val="24"/>
          <w:szCs w:val="24"/>
          <w:rtl/>
          <w14:ligatures w14:val="standardContextual"/>
        </w:rPr>
        <w:t>. ولتفعيل ذلك، يتعين على القيادات الصحية تبني استراتيجيات منهجية لاستكشاف هذه المحركات، ومن أبرزها</w:t>
      </w:r>
      <w:r w:rsidR="004726BF" w:rsidRPr="00362D29">
        <w:rPr>
          <w:rFonts w:ascii="Traditional Arabic" w:eastAsia="Aptos" w:hAnsi="Traditional Arabic" w:cs="Traditional Arabic"/>
          <w:kern w:val="2"/>
          <w:sz w:val="24"/>
          <w:szCs w:val="24"/>
          <w14:ligatures w14:val="standardContextual"/>
        </w:rPr>
        <w:t>:"</w:t>
      </w:r>
    </w:p>
    <w:p w14:paraId="0CEE4764" w14:textId="35F3D35A"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416EDF">
        <w:rPr>
          <w:rFonts w:ascii="Traditional Arabic" w:eastAsia="Aptos" w:hAnsi="Traditional Arabic" w:cs="Traditional Arabic"/>
          <w:b/>
          <w:bCs/>
          <w:kern w:val="2"/>
          <w:sz w:val="24"/>
          <w:szCs w:val="24"/>
          <w:rtl/>
          <w14:ligatures w14:val="standardContextual"/>
        </w:rPr>
        <w:t>1</w:t>
      </w:r>
      <w:r w:rsidRPr="00416EDF">
        <w:rPr>
          <w:rFonts w:ascii="Traditional Arabic" w:eastAsia="Aptos" w:hAnsi="Traditional Arabic" w:cs="Traditional Arabic"/>
          <w:b/>
          <w:bCs/>
          <w:kern w:val="2"/>
          <w:sz w:val="24"/>
          <w:szCs w:val="24"/>
          <w14:ligatures w14:val="standardContextual"/>
        </w:rPr>
        <w:t>.</w:t>
      </w:r>
      <w:r w:rsidRPr="00416EDF">
        <w:rPr>
          <w:rFonts w:ascii="Traditional Arabic" w:eastAsia="Aptos" w:hAnsi="Traditional Arabic" w:cs="Traditional Arabic"/>
          <w:b/>
          <w:bCs/>
          <w:kern w:val="2"/>
          <w:sz w:val="24"/>
          <w:szCs w:val="24"/>
          <w:rtl/>
          <w14:ligatures w14:val="standardContextual"/>
        </w:rPr>
        <w:t>الاستثمار في فهم أعمق</w:t>
      </w:r>
      <w:r w:rsidR="00A72D54" w:rsidRPr="00416EDF">
        <w:rPr>
          <w:rFonts w:ascii="Traditional Arabic" w:eastAsia="Aptos" w:hAnsi="Traditional Arabic" w:cs="Traditional Arabic"/>
          <w:b/>
          <w:bCs/>
          <w:kern w:val="2"/>
          <w:sz w:val="24"/>
          <w:szCs w:val="24"/>
          <w:rtl/>
          <w14:ligatures w14:val="standardContextual"/>
        </w:rPr>
        <w:t xml:space="preserve"> لتجربة المريض</w:t>
      </w:r>
      <w:r w:rsidRPr="00416EDF">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من خلال أنظمة إدارة معلومات كافية لمراقبة مقاييس الجودة والخبرة والسلامة الرئيسية داخل منظماتهم</w:t>
      </w:r>
      <w:r w:rsidRPr="00362D29">
        <w:rPr>
          <w:rFonts w:ascii="Traditional Arabic" w:eastAsia="Aptos" w:hAnsi="Traditional Arabic" w:cs="Traditional Arabic"/>
          <w:kern w:val="2"/>
          <w:sz w:val="24"/>
          <w:szCs w:val="24"/>
          <w14:ligatures w14:val="standardContextual"/>
        </w:rPr>
        <w:t>.</w:t>
      </w:r>
    </w:p>
    <w:p w14:paraId="131E399D" w14:textId="138FB003"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تأسيس الشفافية في الوقت الفعلي:</w:t>
      </w:r>
      <w:r w:rsidRPr="00362D29">
        <w:rPr>
          <w:rFonts w:ascii="Traditional Arabic" w:eastAsia="Aptos" w:hAnsi="Traditional Arabic" w:cs="Traditional Arabic"/>
          <w:kern w:val="2"/>
          <w:sz w:val="24"/>
          <w:szCs w:val="24"/>
          <w:rtl/>
          <w14:ligatures w14:val="standardContextual"/>
        </w:rPr>
        <w:t xml:space="preserve"> من الضروري أن تعطي فرق الرعاية الصحية الأولوية للكشف عن نقاط الضعف في العمليات وفهمها، والتي تنتج فجوات في قدرة فريقهم على تقديم رعاية جيدة. إن وجود شفافية في الوقت الفعلي حول كيفية إدراك المرضى للرعاية التي يتلقونها أمر بالغ الأهمية</w:t>
      </w:r>
      <w:r w:rsidRPr="00362D29">
        <w:rPr>
          <w:rFonts w:ascii="Traditional Arabic" w:eastAsia="Aptos" w:hAnsi="Traditional Arabic" w:cs="Traditional Arabic"/>
          <w:kern w:val="2"/>
          <w:sz w:val="24"/>
          <w:szCs w:val="24"/>
          <w14:ligatures w14:val="standardContextual"/>
        </w:rPr>
        <w:t>.</w:t>
      </w:r>
    </w:p>
    <w:p w14:paraId="31BC7B9C" w14:textId="52D6F70C"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التواصل قبل الخروج من المستشفى:</w:t>
      </w:r>
      <w:r w:rsidRPr="00362D29">
        <w:rPr>
          <w:rFonts w:ascii="Traditional Arabic" w:eastAsia="Aptos" w:hAnsi="Traditional Arabic" w:cs="Traditional Arabic"/>
          <w:kern w:val="2"/>
          <w:sz w:val="24"/>
          <w:szCs w:val="24"/>
          <w:rtl/>
          <w14:ligatures w14:val="standardContextual"/>
        </w:rPr>
        <w:t xml:space="preserve"> من خلال الاستثمار في منصة لإدارة ملاحظات المرضى ومعلوماتهم في الوقت الفعلي، والتي تتواصل تلقائياً مع الفرق المناوبة بشأن مخاوف المرضى، يمكن للفرق إجراء استعادة الخدمة قبل مغادرة المرضى للمستشفى</w:t>
      </w:r>
      <w:r w:rsidRPr="00362D29">
        <w:rPr>
          <w:rFonts w:ascii="Traditional Arabic" w:eastAsia="Aptos" w:hAnsi="Traditional Arabic" w:cs="Traditional Arabic"/>
          <w:kern w:val="2"/>
          <w:sz w:val="24"/>
          <w:szCs w:val="24"/>
          <w14:ligatures w14:val="standardContextual"/>
        </w:rPr>
        <w:t>.</w:t>
      </w:r>
    </w:p>
    <w:p w14:paraId="008A880C" w14:textId="01B4E16D"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4</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 xml:space="preserve">تطوير ثقافة التعلم: </w:t>
      </w:r>
      <w:r w:rsidRPr="00362D29">
        <w:rPr>
          <w:rFonts w:ascii="Traditional Arabic" w:eastAsia="Aptos" w:hAnsi="Traditional Arabic" w:cs="Traditional Arabic"/>
          <w:kern w:val="2"/>
          <w:sz w:val="24"/>
          <w:szCs w:val="24"/>
          <w:rtl/>
          <w14:ligatures w14:val="standardContextual"/>
        </w:rPr>
        <w:t>لا يكفي التعلم من المرضى على أساس ربع سنوي. تحتاج الفرق إلى التعلم في الوقت الفعلي من كل تجربة مريض بطريقة غير متحيزة، حتى يتمكنوا باستمرار من الكشف عن كيفية تقديم أفضل رعاية ممكنة</w:t>
      </w:r>
      <w:r w:rsidRPr="00362D29">
        <w:rPr>
          <w:rFonts w:ascii="Traditional Arabic" w:eastAsia="Aptos" w:hAnsi="Traditional Arabic" w:cs="Traditional Arabic"/>
          <w:kern w:val="2"/>
          <w:sz w:val="24"/>
          <w:szCs w:val="24"/>
          <w14:ligatures w14:val="standardContextual"/>
        </w:rPr>
        <w:t>.</w:t>
      </w:r>
    </w:p>
    <w:p w14:paraId="77ECAF37" w14:textId="77777777" w:rsidR="00C139AC"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الاستماع إلى المرضى بكلماتهم الخاصة:</w:t>
      </w:r>
      <w:r w:rsidRPr="00362D29">
        <w:rPr>
          <w:rFonts w:ascii="Traditional Arabic" w:eastAsia="Aptos" w:hAnsi="Traditional Arabic" w:cs="Traditional Arabic"/>
          <w:kern w:val="2"/>
          <w:sz w:val="24"/>
          <w:szCs w:val="24"/>
          <w:rtl/>
          <w14:ligatures w14:val="standardContextual"/>
        </w:rPr>
        <w:t xml:space="preserve"> العديد من الاستبيانات الحالية المستخدمة في الرعاية الصحية تقيد المرضى بتقديم ملاحظات على مقياس رقمي أو متعدد الخيارات، دون خيار لتقديم ملاحظات إضافية (الهيئة السعودية للتخصصات الصحية، 2025)</w:t>
      </w:r>
      <w:r w:rsidRPr="00362D29">
        <w:rPr>
          <w:rFonts w:ascii="Traditional Arabic" w:eastAsia="Aptos" w:hAnsi="Traditional Arabic" w:cs="Traditional Arabic"/>
          <w:kern w:val="2"/>
          <w:sz w:val="24"/>
          <w:szCs w:val="24"/>
          <w14:ligatures w14:val="standardContextual"/>
        </w:rPr>
        <w:t>.</w:t>
      </w:r>
    </w:p>
    <w:p w14:paraId="7A590A41" w14:textId="77777777" w:rsidR="00B16EC8" w:rsidRPr="00362D29" w:rsidRDefault="004569CD" w:rsidP="00C42472">
      <w:pPr>
        <w:pStyle w:val="ab"/>
        <w:numPr>
          <w:ilvl w:val="0"/>
          <w:numId w:val="40"/>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وفي سياق التميز المؤسسي، يرى (الرويلي، 2025) أن </w:t>
      </w:r>
      <w:r w:rsidRPr="00362D29">
        <w:rPr>
          <w:rFonts w:ascii="Traditional Arabic" w:eastAsia="Aptos" w:hAnsi="Traditional Arabic" w:cs="Traditional Arabic"/>
          <w:b/>
          <w:bCs/>
          <w:kern w:val="2"/>
          <w:sz w:val="24"/>
          <w:szCs w:val="24"/>
          <w:rtl/>
          <w14:ligatures w14:val="standardContextual"/>
        </w:rPr>
        <w:t>"العنصر البشري المؤهل"</w:t>
      </w:r>
      <w:r w:rsidRPr="00362D29">
        <w:rPr>
          <w:rFonts w:ascii="Traditional Arabic" w:eastAsia="Aptos" w:hAnsi="Traditional Arabic" w:cs="Traditional Arabic"/>
          <w:kern w:val="2"/>
          <w:sz w:val="24"/>
          <w:szCs w:val="24"/>
          <w:rtl/>
          <w14:ligatures w14:val="standardContextual"/>
        </w:rPr>
        <w:t xml:space="preserve"> و</w:t>
      </w:r>
      <w:r w:rsidR="00C139AC"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الالتزام بالتحسين المستمر</w:t>
      </w:r>
      <w:r w:rsidR="00B16EC8"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هما المحركان الخفيان اللذان يضمنان استدامة جودة تجربة المريض. وهذا ما يدعمه</w:t>
      </w:r>
      <w:r w:rsidRPr="00362D29">
        <w:rPr>
          <w:rFonts w:ascii="Traditional Arabic" w:eastAsia="Aptos" w:hAnsi="Traditional Arabic" w:cs="Traditional Arabic"/>
          <w:kern w:val="2"/>
          <w:sz w:val="24"/>
          <w:szCs w:val="24"/>
          <w14:ligatures w14:val="standardContextual"/>
        </w:rPr>
        <w:t xml:space="preserve"> (Salih &amp; Dolah, 2023) </w:t>
      </w:r>
      <w:r w:rsidRPr="00362D29">
        <w:rPr>
          <w:rFonts w:ascii="Traditional Arabic" w:eastAsia="Aptos" w:hAnsi="Traditional Arabic" w:cs="Traditional Arabic"/>
          <w:kern w:val="2"/>
          <w:sz w:val="24"/>
          <w:szCs w:val="24"/>
          <w:rtl/>
          <w14:ligatures w14:val="standardContextual"/>
        </w:rPr>
        <w:t xml:space="preserve">بالتأكيد على أن </w:t>
      </w:r>
      <w:r w:rsidRPr="00362D29">
        <w:rPr>
          <w:rFonts w:ascii="Traditional Arabic" w:eastAsia="Aptos" w:hAnsi="Traditional Arabic" w:cs="Traditional Arabic"/>
          <w:b/>
          <w:bCs/>
          <w:kern w:val="2"/>
          <w:sz w:val="24"/>
          <w:szCs w:val="24"/>
          <w:rtl/>
          <w14:ligatures w14:val="standardContextual"/>
        </w:rPr>
        <w:t>"وضوح الاستراتيجية وفعالية الاتصال"</w:t>
      </w:r>
      <w:r w:rsidRPr="00362D29">
        <w:rPr>
          <w:rFonts w:ascii="Traditional Arabic" w:eastAsia="Aptos" w:hAnsi="Traditional Arabic" w:cs="Traditional Arabic"/>
          <w:kern w:val="2"/>
          <w:sz w:val="24"/>
          <w:szCs w:val="24"/>
          <w:rtl/>
          <w14:ligatures w14:val="standardContextual"/>
        </w:rPr>
        <w:t xml:space="preserve"> هما من عوامل النجاح الحرجة التي تقود المنظمات الصحية نحو التميز في تقديم تجربة مريض متميزة</w:t>
      </w:r>
      <w:r w:rsidRPr="00362D29">
        <w:rPr>
          <w:rFonts w:ascii="Traditional Arabic" w:eastAsia="Aptos" w:hAnsi="Traditional Arabic" w:cs="Traditional Arabic"/>
          <w:kern w:val="2"/>
          <w:sz w:val="24"/>
          <w:szCs w:val="24"/>
          <w14:ligatures w14:val="standardContextual"/>
        </w:rPr>
        <w:t>.</w:t>
      </w:r>
    </w:p>
    <w:p w14:paraId="4422844C" w14:textId="22D35EE0" w:rsidR="00454581" w:rsidRPr="00362D29" w:rsidRDefault="004569CD" w:rsidP="00C42472">
      <w:pPr>
        <w:pStyle w:val="ab"/>
        <w:numPr>
          <w:ilvl w:val="0"/>
          <w:numId w:val="40"/>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خلاصة القول، إن تجربة المريض لا تتحقق من خلال عامل واحد، بل هي نتاج تفاعل معقد بين </w:t>
      </w:r>
      <w:r w:rsidR="00D97E0F" w:rsidRPr="00362D29">
        <w:rPr>
          <w:rFonts w:ascii="Traditional Arabic" w:eastAsia="Aptos" w:hAnsi="Traditional Arabic" w:cs="Traditional Arabic"/>
          <w:kern w:val="2"/>
          <w:sz w:val="24"/>
          <w:szCs w:val="24"/>
          <w:rtl/>
          <w14:ligatures w14:val="standardContextual"/>
        </w:rPr>
        <w:t xml:space="preserve">مجموعة كبيرة من المحركات </w:t>
      </w:r>
      <w:r w:rsidRPr="00362D29">
        <w:rPr>
          <w:rFonts w:ascii="Traditional Arabic" w:eastAsia="Aptos" w:hAnsi="Traditional Arabic" w:cs="Traditional Arabic"/>
          <w:kern w:val="2"/>
          <w:sz w:val="24"/>
          <w:szCs w:val="24"/>
          <w:rtl/>
          <w14:ligatures w14:val="standardContextual"/>
        </w:rPr>
        <w:t>كفاءة العلاج السريري، وجودة التواصل الإنساني، وراحة البيئة المادية، مدعومة ببنية تحتية تقنية متطورة وثقافة تنظيمية وقيادة واعية تضع المريض في قلب استراتيجيات التميز المؤسسي</w:t>
      </w:r>
      <w:r w:rsidRPr="00362D29">
        <w:rPr>
          <w:rFonts w:ascii="Traditional Arabic" w:eastAsia="Aptos" w:hAnsi="Traditional Arabic" w:cs="Traditional Arabic"/>
          <w:kern w:val="2"/>
          <w:sz w:val="24"/>
          <w:szCs w:val="24"/>
          <w14:ligatures w14:val="standardContextual"/>
        </w:rPr>
        <w:t xml:space="preserve"> (Adams et al., 2025; Zehra et al., 2025;</w:t>
      </w:r>
      <w:r w:rsidR="00FD45F4" w:rsidRPr="00362D29">
        <w:rPr>
          <w:rFonts w:ascii="Traditional Arabic" w:eastAsia="Aptos" w:hAnsi="Traditional Arabic" w:cs="Traditional Arabic"/>
          <w:kern w:val="2"/>
          <w:sz w:val="24"/>
          <w:szCs w:val="24"/>
          <w14:ligatures w14:val="standardContextual"/>
        </w:rPr>
        <w:t xml:space="preserve"> </w:t>
      </w:r>
      <w:r w:rsidR="0079367C" w:rsidRPr="00362D29">
        <w:rPr>
          <w:rFonts w:ascii="Traditional Arabic" w:eastAsia="Aptos" w:hAnsi="Traditional Arabic" w:cs="Traditional Arabic"/>
          <w:kern w:val="2"/>
          <w:sz w:val="24"/>
          <w:szCs w:val="24"/>
          <w14:ligatures w14:val="standardContextual"/>
        </w:rPr>
        <w:t>Health Academy, 2024)</w:t>
      </w:r>
    </w:p>
    <w:p w14:paraId="61F5C1C4" w14:textId="77777777" w:rsidR="0079367C" w:rsidRPr="00362D29" w:rsidRDefault="0079367C" w:rsidP="00362D29">
      <w:pPr>
        <w:pStyle w:val="ab"/>
        <w:bidi/>
        <w:spacing w:before="0" w:after="160" w:line="360" w:lineRule="auto"/>
        <w:jc w:val="both"/>
        <w:rPr>
          <w:rFonts w:ascii="Traditional Arabic" w:eastAsia="Aptos" w:hAnsi="Traditional Arabic" w:cs="Traditional Arabic"/>
          <w:kern w:val="2"/>
          <w:sz w:val="24"/>
          <w:szCs w:val="24"/>
          <w14:ligatures w14:val="standardContextual"/>
        </w:rPr>
      </w:pPr>
    </w:p>
    <w:p w14:paraId="10CE4A33" w14:textId="2C9F7DB6" w:rsidR="00454581" w:rsidRPr="00362D29" w:rsidRDefault="004569CD"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ثامناً</w:t>
      </w:r>
      <w:r w:rsidR="00454581" w:rsidRPr="00362D29">
        <w:rPr>
          <w:rFonts w:ascii="Traditional Arabic" w:eastAsia="Aptos" w:hAnsi="Traditional Arabic" w:cs="Traditional Arabic"/>
          <w:b/>
          <w:bCs/>
          <w:kern w:val="2"/>
          <w:sz w:val="28"/>
          <w:szCs w:val="28"/>
          <w:rtl/>
          <w14:ligatures w14:val="standardContextual"/>
        </w:rPr>
        <w:t>: أبعاد جودة تجربة المريض (</w:t>
      </w:r>
      <w:r w:rsidR="00454581" w:rsidRPr="00362D29">
        <w:rPr>
          <w:rFonts w:ascii="Traditional Arabic" w:eastAsia="Aptos" w:hAnsi="Traditional Arabic" w:cs="Traditional Arabic"/>
          <w:b/>
          <w:bCs/>
          <w:kern w:val="2"/>
          <w:sz w:val="28"/>
          <w:szCs w:val="28"/>
          <w14:ligatures w14:val="standardContextual"/>
        </w:rPr>
        <w:t>Dimensions of Patient Experience Quality</w:t>
      </w:r>
      <w:r w:rsidR="00454581" w:rsidRPr="00362D29">
        <w:rPr>
          <w:rFonts w:ascii="Traditional Arabic" w:eastAsia="Aptos" w:hAnsi="Traditional Arabic" w:cs="Traditional Arabic"/>
          <w:b/>
          <w:bCs/>
          <w:kern w:val="2"/>
          <w:sz w:val="28"/>
          <w:szCs w:val="28"/>
          <w:rtl/>
          <w14:ligatures w14:val="standardContextual"/>
        </w:rPr>
        <w:t>)</w:t>
      </w:r>
    </w:p>
    <w:p w14:paraId="5501537A" w14:textId="50685D1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تُعد أبعاد جودة تجربة المريض الركيزة الأساسية لتقييم مدى نجاح المؤسسات الصحية في تقديم رعاية </w:t>
      </w:r>
      <w:r w:rsidR="009B54B7" w:rsidRPr="00362D29">
        <w:rPr>
          <w:rFonts w:ascii="Traditional Arabic" w:eastAsia="Aptos" w:hAnsi="Traditional Arabic" w:cs="Traditional Arabic"/>
          <w:kern w:val="2"/>
          <w:sz w:val="24"/>
          <w:szCs w:val="24"/>
          <w:rtl/>
          <w14:ligatures w14:val="standardContextual"/>
        </w:rPr>
        <w:t>متميزة ذات جودة وفاعلية</w:t>
      </w:r>
      <w:r w:rsidRPr="00362D29">
        <w:rPr>
          <w:rFonts w:ascii="Traditional Arabic" w:eastAsia="Aptos" w:hAnsi="Traditional Arabic" w:cs="Traditional Arabic"/>
          <w:kern w:val="2"/>
          <w:sz w:val="24"/>
          <w:szCs w:val="24"/>
          <w:rtl/>
          <w14:ligatures w14:val="standardContextual"/>
        </w:rPr>
        <w:t xml:space="preserve">. ونظراً للطبيعة المعقدة والمتعددة </w:t>
      </w:r>
      <w:r w:rsidR="00C839E6" w:rsidRPr="00362D29">
        <w:rPr>
          <w:rFonts w:ascii="Traditional Arabic" w:eastAsia="Aptos" w:hAnsi="Traditional Arabic" w:cs="Traditional Arabic"/>
          <w:kern w:val="2"/>
          <w:sz w:val="24"/>
          <w:szCs w:val="24"/>
          <w:rtl/>
          <w14:ligatures w14:val="standardContextual"/>
        </w:rPr>
        <w:t xml:space="preserve">لأوجه </w:t>
      </w:r>
      <w:r w:rsidRPr="00362D29">
        <w:rPr>
          <w:rFonts w:ascii="Traditional Arabic" w:eastAsia="Aptos" w:hAnsi="Traditional Arabic" w:cs="Traditional Arabic"/>
          <w:kern w:val="2"/>
          <w:sz w:val="24"/>
          <w:szCs w:val="24"/>
          <w:rtl/>
          <w14:ligatures w14:val="standardContextual"/>
        </w:rPr>
        <w:t>تجربة المريض، فقد اعتمدت العديد من الهيئات والمؤسسات العالمية أطراً ومجموعات مختلفة من الأبعاد لتحديد مكونات هذه التجربة وقياسها. ورغم وجود تباين في عدد وتسميات هذه الأبعاد، إلا أنها تتفق جميعاً على أهمية وضع المريض في صميم الرعاية الصحية (</w:t>
      </w:r>
      <w:r w:rsidR="001E2F67"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14:ligatures w14:val="standardContextual"/>
        </w:rPr>
        <w:t>; Oben, 2020</w:t>
      </w:r>
      <w:r w:rsidRPr="00362D29">
        <w:rPr>
          <w:rFonts w:ascii="Traditional Arabic" w:eastAsia="Aptos" w:hAnsi="Traditional Arabic" w:cs="Traditional Arabic"/>
          <w:kern w:val="2"/>
          <w:sz w:val="24"/>
          <w:szCs w:val="24"/>
          <w:rtl/>
          <w14:ligatures w14:val="standardContextual"/>
        </w:rPr>
        <w:t>).</w:t>
      </w:r>
    </w:p>
    <w:p w14:paraId="2EEC5E11" w14:textId="77777777" w:rsidR="00454581" w:rsidRPr="00362D29" w:rsidRDefault="00454581" w:rsidP="00C42472">
      <w:pPr>
        <w:pStyle w:val="ab"/>
        <w:numPr>
          <w:ilvl w:val="0"/>
          <w:numId w:val="41"/>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تعريف أبعاد جودة تجربة المريض:</w:t>
      </w:r>
    </w:p>
    <w:p w14:paraId="3CE1777C"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يمكن تعريف أبعاد جودة تجربة المريض بأنها "المكونات أو العناصر الأساسية التي تشكل مجمل التفاعلات والخبرات التي يمر بها المريض خلال رحلته العلاجية داخل النظام الصحي، والتي تُقيم بناءً على مدى تلبيتها لتوقعات المريض واحتياجاته وقيمه، ومدى تأثيرها على تصوراته الشاملة لجودة الرعاية المقدمة"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هذه الأبعاد لا تقتصر على الجوانب السريرية فحسب، بل تمتد لتشمل الجوانب الإنسانية، التنظيمية، والبيئية التي تؤثر في شعور المريض بالرعاية والاهتمام (منظمة الصحة العالمية، 2018).</w:t>
      </w:r>
    </w:p>
    <w:p w14:paraId="30B1AA9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من أبرز هذه الأطر:</w:t>
      </w:r>
    </w:p>
    <w:p w14:paraId="2AE919F9" w14:textId="1DE41C3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•معهد الطب الأمريكي (</w:t>
      </w:r>
      <w:r w:rsidRPr="00362D29">
        <w:rPr>
          <w:rFonts w:ascii="Traditional Arabic" w:eastAsia="Aptos" w:hAnsi="Traditional Arabic" w:cs="Traditional Arabic"/>
          <w:b/>
          <w:bCs/>
          <w:kern w:val="2"/>
          <w:sz w:val="24"/>
          <w:szCs w:val="24"/>
          <w14:ligatures w14:val="standardContextual"/>
        </w:rPr>
        <w:t>Institute of Medicine - IOM</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في تقريره "</w:t>
      </w:r>
      <w:r w:rsidRPr="00362D29">
        <w:rPr>
          <w:rFonts w:ascii="Traditional Arabic" w:eastAsia="Aptos" w:hAnsi="Traditional Arabic" w:cs="Traditional Arabic"/>
          <w:kern w:val="2"/>
          <w:sz w:val="24"/>
          <w:szCs w:val="24"/>
          <w14:ligatures w14:val="standardContextual"/>
        </w:rPr>
        <w:t>Crossing the Quality Chasm</w:t>
      </w:r>
      <w:r w:rsidRPr="00362D29">
        <w:rPr>
          <w:rFonts w:ascii="Traditional Arabic" w:eastAsia="Aptos" w:hAnsi="Traditional Arabic" w:cs="Traditional Arabic"/>
          <w:kern w:val="2"/>
          <w:sz w:val="24"/>
          <w:szCs w:val="24"/>
          <w:rtl/>
          <w14:ligatures w14:val="standardContextual"/>
        </w:rPr>
        <w:t xml:space="preserve">"، حدد المعهد ستة أبعاد لجودة الرعاية الصحية، تُعرف اختصاراً بـ </w:t>
      </w:r>
      <w:r w:rsidRPr="00362D29">
        <w:rPr>
          <w:rFonts w:ascii="Traditional Arabic" w:eastAsia="Aptos" w:hAnsi="Traditional Arabic" w:cs="Traditional Arabic"/>
          <w:kern w:val="2"/>
          <w:sz w:val="24"/>
          <w:szCs w:val="24"/>
          <w14:ligatures w14:val="standardContextual"/>
        </w:rPr>
        <w:t>STEEEP</w:t>
      </w:r>
      <w:r w:rsidRPr="00362D29">
        <w:rPr>
          <w:rFonts w:ascii="Traditional Arabic" w:eastAsia="Aptos" w:hAnsi="Traditional Arabic" w:cs="Traditional Arabic"/>
          <w:kern w:val="2"/>
          <w:sz w:val="24"/>
          <w:szCs w:val="24"/>
          <w:rtl/>
          <w14:ligatures w14:val="standardContextual"/>
        </w:rPr>
        <w:t xml:space="preserve">، حيث تُعد الرعاية </w:t>
      </w:r>
      <w:r w:rsidR="00337CA5" w:rsidRPr="00362D29">
        <w:rPr>
          <w:rFonts w:ascii="Traditional Arabic" w:eastAsia="Aptos" w:hAnsi="Traditional Arabic" w:cs="Traditional Arabic"/>
          <w:kern w:val="2"/>
          <w:sz w:val="24"/>
          <w:szCs w:val="24"/>
          <w:rtl/>
          <w14:ligatures w14:val="standardContextual"/>
        </w:rPr>
        <w:t>المرتكزة</w:t>
      </w:r>
      <w:r w:rsidRPr="00362D29">
        <w:rPr>
          <w:rFonts w:ascii="Traditional Arabic" w:eastAsia="Aptos" w:hAnsi="Traditional Arabic" w:cs="Traditional Arabic"/>
          <w:kern w:val="2"/>
          <w:sz w:val="24"/>
          <w:szCs w:val="24"/>
          <w:rtl/>
          <w14:ligatures w14:val="standardContextual"/>
        </w:rPr>
        <w:t xml:space="preserve"> حول المريض (</w:t>
      </w:r>
      <w:r w:rsidRPr="00362D29">
        <w:rPr>
          <w:rFonts w:ascii="Traditional Arabic" w:eastAsia="Aptos" w:hAnsi="Traditional Arabic" w:cs="Traditional Arabic"/>
          <w:kern w:val="2"/>
          <w:sz w:val="24"/>
          <w:szCs w:val="24"/>
          <w14:ligatures w14:val="standardContextual"/>
        </w:rPr>
        <w:t>Patient-centered</w:t>
      </w:r>
      <w:r w:rsidRPr="00362D29">
        <w:rPr>
          <w:rFonts w:ascii="Traditional Arabic" w:eastAsia="Aptos" w:hAnsi="Traditional Arabic" w:cs="Traditional Arabic"/>
          <w:kern w:val="2"/>
          <w:sz w:val="24"/>
          <w:szCs w:val="24"/>
          <w:rtl/>
          <w14:ligatures w14:val="standardContextual"/>
        </w:rPr>
        <w:t>) أحد هذه الأبعاد الجوهرية (معهد الطب، 2001). وتشمل الأبعاد الأخرى: الرعاية الآمنة (</w:t>
      </w:r>
      <w:r w:rsidRPr="00362D29">
        <w:rPr>
          <w:rFonts w:ascii="Traditional Arabic" w:eastAsia="Aptos" w:hAnsi="Traditional Arabic" w:cs="Traditional Arabic"/>
          <w:kern w:val="2"/>
          <w:sz w:val="24"/>
          <w:szCs w:val="24"/>
          <w14:ligatures w14:val="standardContextual"/>
        </w:rPr>
        <w:t>Safe</w:t>
      </w:r>
      <w:r w:rsidRPr="00362D29">
        <w:rPr>
          <w:rFonts w:ascii="Traditional Arabic" w:eastAsia="Aptos" w:hAnsi="Traditional Arabic" w:cs="Traditional Arabic"/>
          <w:kern w:val="2"/>
          <w:sz w:val="24"/>
          <w:szCs w:val="24"/>
          <w:rtl/>
          <w14:ligatures w14:val="standardContextual"/>
        </w:rPr>
        <w:t>)، الرعاية الفعالة (</w:t>
      </w:r>
      <w:r w:rsidRPr="00362D29">
        <w:rPr>
          <w:rFonts w:ascii="Traditional Arabic" w:eastAsia="Aptos" w:hAnsi="Traditional Arabic" w:cs="Traditional Arabic"/>
          <w:kern w:val="2"/>
          <w:sz w:val="24"/>
          <w:szCs w:val="24"/>
          <w14:ligatures w14:val="standardContextual"/>
        </w:rPr>
        <w:t>Effective</w:t>
      </w:r>
      <w:r w:rsidRPr="00362D29">
        <w:rPr>
          <w:rFonts w:ascii="Traditional Arabic" w:eastAsia="Aptos" w:hAnsi="Traditional Arabic" w:cs="Traditional Arabic"/>
          <w:kern w:val="2"/>
          <w:sz w:val="24"/>
          <w:szCs w:val="24"/>
          <w:rtl/>
          <w14:ligatures w14:val="standardContextual"/>
        </w:rPr>
        <w:t>)، الرعاية في الوقت المناسب (</w:t>
      </w:r>
      <w:r w:rsidRPr="00362D29">
        <w:rPr>
          <w:rFonts w:ascii="Traditional Arabic" w:eastAsia="Aptos" w:hAnsi="Traditional Arabic" w:cs="Traditional Arabic"/>
          <w:kern w:val="2"/>
          <w:sz w:val="24"/>
          <w:szCs w:val="24"/>
          <w14:ligatures w14:val="standardContextual"/>
        </w:rPr>
        <w:t>Timely</w:t>
      </w:r>
      <w:r w:rsidRPr="00362D29">
        <w:rPr>
          <w:rFonts w:ascii="Traditional Arabic" w:eastAsia="Aptos" w:hAnsi="Traditional Arabic" w:cs="Traditional Arabic"/>
          <w:kern w:val="2"/>
          <w:sz w:val="24"/>
          <w:szCs w:val="24"/>
          <w:rtl/>
          <w14:ligatures w14:val="standardContextual"/>
        </w:rPr>
        <w:t>)، الرعاية الكفؤة (</w:t>
      </w:r>
      <w:r w:rsidRPr="00362D29">
        <w:rPr>
          <w:rFonts w:ascii="Traditional Arabic" w:eastAsia="Aptos" w:hAnsi="Traditional Arabic" w:cs="Traditional Arabic"/>
          <w:kern w:val="2"/>
          <w:sz w:val="24"/>
          <w:szCs w:val="24"/>
          <w14:ligatures w14:val="standardContextual"/>
        </w:rPr>
        <w:t>Efficient</w:t>
      </w:r>
      <w:r w:rsidRPr="00362D29">
        <w:rPr>
          <w:rFonts w:ascii="Traditional Arabic" w:eastAsia="Aptos" w:hAnsi="Traditional Arabic" w:cs="Traditional Arabic"/>
          <w:kern w:val="2"/>
          <w:sz w:val="24"/>
          <w:szCs w:val="24"/>
          <w:rtl/>
          <w14:ligatures w14:val="standardContextual"/>
        </w:rPr>
        <w:t>)، والرعاية العادلة (</w:t>
      </w:r>
      <w:r w:rsidRPr="00362D29">
        <w:rPr>
          <w:rFonts w:ascii="Traditional Arabic" w:eastAsia="Aptos" w:hAnsi="Traditional Arabic" w:cs="Traditional Arabic"/>
          <w:kern w:val="2"/>
          <w:sz w:val="24"/>
          <w:szCs w:val="24"/>
          <w14:ligatures w14:val="standardContextual"/>
        </w:rPr>
        <w:t>Equitable</w:t>
      </w:r>
      <w:r w:rsidRPr="00362D29">
        <w:rPr>
          <w:rFonts w:ascii="Traditional Arabic" w:eastAsia="Aptos" w:hAnsi="Traditional Arabic" w:cs="Traditional Arabic"/>
          <w:kern w:val="2"/>
          <w:sz w:val="24"/>
          <w:szCs w:val="24"/>
          <w:rtl/>
          <w14:ligatures w14:val="standardContextual"/>
        </w:rPr>
        <w:t>).</w:t>
      </w:r>
    </w:p>
    <w:p w14:paraId="4B96401F" w14:textId="1274DF12"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•معهد بيريل (</w:t>
      </w:r>
      <w:r w:rsidRPr="00362D29">
        <w:rPr>
          <w:rFonts w:ascii="Traditional Arabic" w:eastAsia="Aptos" w:hAnsi="Traditional Arabic" w:cs="Traditional Arabic"/>
          <w:b/>
          <w:bCs/>
          <w:kern w:val="2"/>
          <w:sz w:val="24"/>
          <w:szCs w:val="24"/>
          <w14:ligatures w14:val="standardContextual"/>
        </w:rPr>
        <w:t>The Beryl Institute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قد حدد المعهد أربعة </w:t>
      </w:r>
      <w:r w:rsidR="00337CA5" w:rsidRPr="00362D29">
        <w:rPr>
          <w:rFonts w:ascii="Traditional Arabic" w:eastAsia="Aptos" w:hAnsi="Traditional Arabic" w:cs="Traditional Arabic"/>
          <w:kern w:val="2"/>
          <w:sz w:val="24"/>
          <w:szCs w:val="24"/>
          <w:rtl/>
          <w14:ligatures w14:val="standardContextual"/>
        </w:rPr>
        <w:t>أبعاد</w:t>
      </w:r>
      <w:r w:rsidRPr="00362D29">
        <w:rPr>
          <w:rFonts w:ascii="Traditional Arabic" w:eastAsia="Aptos" w:hAnsi="Traditional Arabic" w:cs="Traditional Arabic"/>
          <w:kern w:val="2"/>
          <w:sz w:val="24"/>
          <w:szCs w:val="24"/>
          <w:rtl/>
          <w14:ligatures w14:val="standardContextual"/>
        </w:rPr>
        <w:t xml:space="preserve"> رئيسية </w:t>
      </w:r>
      <w:r w:rsidR="00337CA5" w:rsidRPr="00362D29">
        <w:rPr>
          <w:rFonts w:ascii="Traditional Arabic" w:eastAsia="Aptos" w:hAnsi="Traditional Arabic" w:cs="Traditional Arabic"/>
          <w:kern w:val="2"/>
          <w:sz w:val="24"/>
          <w:szCs w:val="24"/>
          <w:rtl/>
          <w14:ligatures w14:val="standardContextual"/>
        </w:rPr>
        <w:t>ل</w:t>
      </w:r>
      <w:r w:rsidRPr="00362D29">
        <w:rPr>
          <w:rFonts w:ascii="Traditional Arabic" w:eastAsia="Aptos" w:hAnsi="Traditional Arabic" w:cs="Traditional Arabic"/>
          <w:kern w:val="2"/>
          <w:sz w:val="24"/>
          <w:szCs w:val="24"/>
          <w:rtl/>
          <w14:ligatures w14:val="standardContextual"/>
        </w:rPr>
        <w:t>تجربة المريض: التفاعلات الشخصية، ثقافة المنظمة، تصورات المريض وعائلته، واستمرارية الرعاية</w:t>
      </w:r>
      <w:r w:rsidR="00457206" w:rsidRPr="00362D29">
        <w:rPr>
          <w:rFonts w:ascii="Traditional Arabic" w:eastAsia="Aptos" w:hAnsi="Traditional Arabic" w:cs="Traditional Arabic"/>
          <w:kern w:val="2"/>
          <w:sz w:val="24"/>
          <w:szCs w:val="24"/>
          <w:rtl/>
          <w14:ligatures w14:val="standardContextual"/>
        </w:rPr>
        <w:t xml:space="preserve"> (معهد بيريل، 2024).</w:t>
      </w:r>
    </w:p>
    <w:p w14:paraId="07BCEFB9" w14:textId="77777777" w:rsidR="001353B0"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التفاعلات الشخصية (</w:t>
      </w:r>
      <w:r w:rsidRPr="00362D29">
        <w:rPr>
          <w:rFonts w:ascii="Traditional Arabic" w:eastAsia="Aptos" w:hAnsi="Traditional Arabic" w:cs="Traditional Arabic"/>
          <w:b/>
          <w:bCs/>
          <w:kern w:val="2"/>
          <w:sz w:val="24"/>
          <w:szCs w:val="24"/>
          <w14:ligatures w14:val="standardContextual"/>
        </w:rPr>
        <w:t>Sum of All Interactions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يشير هذا البعد إلى أن تجربة المريض ليست مجرد لقاء طبي واحد، بل هي تراكم لكافة اللمسات والتفاعلات التي تحدث بين المريض وعائلته من جهة، وبين كافة الكوادر الطبية والإدارية من جهة أخرى. ويشمل ذلك التواصل اللفظي وغير اللفظي، والتعاطف، والسرعة في الاستجابة، سواء كانت هذه التفاعلات سريرية أو غير سريرية.</w:t>
      </w:r>
    </w:p>
    <w:p w14:paraId="0AD69A28" w14:textId="77777777" w:rsidR="001353B0"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ثقافة المنظمة (</w:t>
      </w:r>
      <w:r w:rsidRPr="00362D29">
        <w:rPr>
          <w:rFonts w:ascii="Traditional Arabic" w:eastAsia="Aptos" w:hAnsi="Traditional Arabic" w:cs="Traditional Arabic"/>
          <w:b/>
          <w:bCs/>
          <w:kern w:val="2"/>
          <w:sz w:val="24"/>
          <w:szCs w:val="24"/>
          <w14:ligatures w14:val="standardContextual"/>
        </w:rPr>
        <w:t>Shaped by Organization’s Culture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يعتبر معهد بيريل أن الثقافة التنظيمية هي المحرك الأساسي للتجربة؛ فهي مجموعة القيم والمعتقدات والسلوكيات التي تتبناها المنشأة الصحية. فالثقافة الإيجابية التي تدعم الموظفين وتعزز العمل بروح الفريق تنعكس بشكل مباشر على جودة التعامل مع المرضى، حيث تصبح الرعاية المتمحورة حول الإنسان جزءاً أصيلاً من السلوك اليومي وليس مجرد إجراءات رسمية.</w:t>
      </w:r>
    </w:p>
    <w:p w14:paraId="4BCF5208" w14:textId="77777777" w:rsidR="001353B0"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تصورات المريض وعائلته (</w:t>
      </w:r>
      <w:r w:rsidRPr="00362D29">
        <w:rPr>
          <w:rFonts w:ascii="Traditional Arabic" w:eastAsia="Aptos" w:hAnsi="Traditional Arabic" w:cs="Traditional Arabic"/>
          <w:b/>
          <w:bCs/>
          <w:kern w:val="2"/>
          <w:sz w:val="24"/>
          <w:szCs w:val="24"/>
          <w14:ligatures w14:val="standardContextual"/>
        </w:rPr>
        <w:t>Influence Patient Perceptions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هذا البعد على الجانب الذاتي للتجربة، حيث أن ما يهم ليس فقط ما تم تقديمه من رعاية، بل كيف "أدرك" المريض وعائلته تلك الرعاية وشعروا بها. تتأثر هذه التصورات بتوقعات المريض، وقيمه الشخصية، وخلفيته الثقافية، وهي التي تحدد في النهاية مدى رضاه وثقته في النظام الصحي.</w:t>
      </w:r>
    </w:p>
    <w:p w14:paraId="598FD2FF" w14:textId="58421C44" w:rsidR="00B00C69"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استمرارية الرعاية (</w:t>
      </w:r>
      <w:r w:rsidRPr="00362D29">
        <w:rPr>
          <w:rFonts w:ascii="Traditional Arabic" w:eastAsia="Aptos" w:hAnsi="Traditional Arabic" w:cs="Traditional Arabic"/>
          <w:b/>
          <w:bCs/>
          <w:kern w:val="2"/>
          <w:sz w:val="24"/>
          <w:szCs w:val="24"/>
          <w14:ligatures w14:val="standardContextual"/>
        </w:rPr>
        <w:t>Across the Continuum of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يؤكد هذا البعد على أن تجربة المريض تبدأ قبل دخول المنشأة الصحية (منذ حجز الموعد) وتستمر إلى ما بعد الخروج (المتابعة المنزلية). فالتجربة الناجحة هي التي تضمن انتقالاً سلساً ومنسقاً للمريض بين مختلف الأقسام والمستويات العلاجية، مما يقلل من شعوره بالقلق ويعزز من سلامته (</w:t>
      </w:r>
      <w:r w:rsidRPr="00362D29">
        <w:rPr>
          <w:rFonts w:ascii="Traditional Arabic" w:eastAsia="Aptos" w:hAnsi="Traditional Arabic" w:cs="Traditional Arabic"/>
          <w:kern w:val="2"/>
          <w:sz w:val="24"/>
          <w:szCs w:val="24"/>
          <w14:ligatures w14:val="standardContextual"/>
        </w:rPr>
        <w:t>The Beryl Institute, 2024</w:t>
      </w:r>
      <w:r w:rsidRPr="00362D29">
        <w:rPr>
          <w:rFonts w:ascii="Traditional Arabic" w:eastAsia="Aptos" w:hAnsi="Traditional Arabic" w:cs="Traditional Arabic"/>
          <w:kern w:val="2"/>
          <w:sz w:val="24"/>
          <w:szCs w:val="24"/>
          <w:rtl/>
          <w14:ligatures w14:val="standardContextual"/>
        </w:rPr>
        <w:t>).</w:t>
      </w:r>
    </w:p>
    <w:p w14:paraId="5E26B6DB" w14:textId="16DE87FF"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•وكالة أبحاث وجودة الرعاية الصحية (</w:t>
      </w:r>
      <w:r w:rsidRPr="00362D29">
        <w:rPr>
          <w:rFonts w:ascii="Traditional Arabic" w:eastAsia="Aptos" w:hAnsi="Traditional Arabic" w:cs="Traditional Arabic"/>
          <w:b/>
          <w:bCs/>
          <w:kern w:val="2"/>
          <w:sz w:val="24"/>
          <w:szCs w:val="24"/>
          <w14:ligatures w14:val="standardContextual"/>
        </w:rPr>
        <w:t>Agency for Healthcare Research and Quality - AHRQ</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تركز الوكالة على جوانب متعددة لتجربة المريض، والتي تشمل الحصول على مواعيد في الوقت المناسب، وسهولة الوصول إلى المعلومات، والتواصل الجيد مع الأطباء والموظفين، بالإضافة إلى مدى احترام الرعاية لتفضيلات المريض واحتياجاته وقيمه </w:t>
      </w:r>
      <w:r w:rsidR="00E25581" w:rsidRPr="00362D29">
        <w:rPr>
          <w:rFonts w:ascii="Traditional Arabic" w:eastAsia="Aptos" w:hAnsi="Traditional Arabic" w:cs="Traditional Arabic"/>
          <w:kern w:val="2"/>
          <w:sz w:val="24"/>
          <w:szCs w:val="24"/>
          <w:rtl/>
          <w14:ligatures w14:val="standardContextual"/>
        </w:rPr>
        <w:t>(</w:t>
      </w:r>
      <w:r w:rsidR="00E25581" w:rsidRPr="00362D29">
        <w:rPr>
          <w:rFonts w:ascii="Traditional Arabic" w:eastAsia="Aptos" w:hAnsi="Traditional Arabic" w:cs="Traditional Arabic"/>
          <w:kern w:val="2"/>
          <w:sz w:val="24"/>
          <w:szCs w:val="24"/>
          <w14:ligatures w14:val="standardContextual"/>
        </w:rPr>
        <w:t>AHRQ, 202</w:t>
      </w:r>
      <w:r w:rsidR="00034A35" w:rsidRPr="00362D29">
        <w:rPr>
          <w:rFonts w:ascii="Traditional Arabic" w:eastAsia="Aptos" w:hAnsi="Traditional Arabic" w:cs="Traditional Arabic"/>
          <w:kern w:val="2"/>
          <w:sz w:val="24"/>
          <w:szCs w:val="24"/>
          <w14:ligatures w14:val="standardContextual"/>
        </w:rPr>
        <w:t>5</w:t>
      </w:r>
      <w:r w:rsidR="00E25581" w:rsidRPr="00362D29">
        <w:rPr>
          <w:rFonts w:ascii="Traditional Arabic" w:eastAsia="Aptos" w:hAnsi="Traditional Arabic" w:cs="Traditional Arabic"/>
          <w:kern w:val="2"/>
          <w:sz w:val="24"/>
          <w:szCs w:val="24"/>
          <w:rtl/>
          <w14:ligatures w14:val="standardContextual"/>
        </w:rPr>
        <w:t>)</w:t>
      </w:r>
      <w:r w:rsidR="00034A35"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كما تؤكد </w:t>
      </w:r>
      <w:r w:rsidR="00250591" w:rsidRPr="00362D29">
        <w:rPr>
          <w:rFonts w:ascii="Traditional Arabic" w:eastAsia="Aptos" w:hAnsi="Traditional Arabic" w:cs="Traditional Arabic"/>
          <w:kern w:val="2"/>
          <w:sz w:val="24"/>
          <w:szCs w:val="24"/>
          <w:rtl/>
          <w14:ligatures w14:val="standardContextual"/>
        </w:rPr>
        <w:t>(</w:t>
      </w:r>
      <w:r w:rsidR="00250591" w:rsidRPr="00362D29">
        <w:rPr>
          <w:rFonts w:ascii="Traditional Arabic" w:eastAsia="Aptos" w:hAnsi="Traditional Arabic" w:cs="Traditional Arabic"/>
          <w:kern w:val="2"/>
          <w:sz w:val="24"/>
          <w:szCs w:val="24"/>
          <w14:ligatures w14:val="standardContextual"/>
        </w:rPr>
        <w:t>AHRQ, 2025</w:t>
      </w:r>
      <w:r w:rsidR="00250591"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على أن تقييم تجربة المريض إلى جانب الفعالية والسلامة يقدم صورة كاملة لجودة الرعاية الصحية </w:t>
      </w:r>
      <w:r w:rsidR="009F19BB" w:rsidRPr="00362D29">
        <w:rPr>
          <w:rFonts w:ascii="Traditional Arabic" w:eastAsia="Aptos" w:hAnsi="Traditional Arabic" w:cs="Traditional Arabic"/>
          <w:kern w:val="2"/>
          <w:sz w:val="24"/>
          <w:szCs w:val="24"/>
          <w:rtl/>
          <w14:ligatures w14:val="standardContextual"/>
        </w:rPr>
        <w:t>و</w:t>
      </w:r>
      <w:r w:rsidRPr="00362D29">
        <w:rPr>
          <w:rFonts w:ascii="Traditional Arabic" w:eastAsia="Aptos" w:hAnsi="Traditional Arabic" w:cs="Traditional Arabic"/>
          <w:kern w:val="2"/>
          <w:sz w:val="24"/>
          <w:szCs w:val="24"/>
          <w:rtl/>
          <w14:ligatures w14:val="standardContextual"/>
        </w:rPr>
        <w:t xml:space="preserve">من </w:t>
      </w:r>
      <w:r w:rsidR="00FC469D" w:rsidRPr="00362D29">
        <w:rPr>
          <w:rFonts w:ascii="Traditional Arabic" w:eastAsia="Aptos" w:hAnsi="Traditional Arabic" w:cs="Traditional Arabic"/>
          <w:kern w:val="2"/>
          <w:sz w:val="24"/>
          <w:szCs w:val="24"/>
          <w:rtl/>
          <w14:ligatures w14:val="standardContextual"/>
        </w:rPr>
        <w:t>الابعاد</w:t>
      </w:r>
      <w:r w:rsidR="009F19BB"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الأساسية </w:t>
      </w:r>
      <w:r w:rsidR="009F19BB" w:rsidRPr="00362D29">
        <w:rPr>
          <w:rFonts w:ascii="Traditional Arabic" w:eastAsia="Aptos" w:hAnsi="Traditional Arabic" w:cs="Traditional Arabic"/>
          <w:kern w:val="2"/>
          <w:sz w:val="24"/>
          <w:szCs w:val="24"/>
          <w:rtl/>
          <w14:ligatures w14:val="standardContextual"/>
        </w:rPr>
        <w:t xml:space="preserve">لتجربة المريض </w:t>
      </w:r>
      <w:r w:rsidRPr="00362D29">
        <w:rPr>
          <w:rFonts w:ascii="Traditional Arabic" w:eastAsia="Aptos" w:hAnsi="Traditional Arabic" w:cs="Traditional Arabic"/>
          <w:kern w:val="2"/>
          <w:sz w:val="24"/>
          <w:szCs w:val="24"/>
          <w:rtl/>
          <w14:ligatures w14:val="standardContextual"/>
        </w:rPr>
        <w:t xml:space="preserve">التي تحددها </w:t>
      </w:r>
      <w:r w:rsidRPr="00362D29">
        <w:rPr>
          <w:rFonts w:ascii="Traditional Arabic" w:eastAsia="Aptos" w:hAnsi="Traditional Arabic" w:cs="Traditional Arabic"/>
          <w:kern w:val="2"/>
          <w:sz w:val="24"/>
          <w:szCs w:val="24"/>
          <w14:ligatures w14:val="standardContextual"/>
        </w:rPr>
        <w:t>AHRQ</w:t>
      </w:r>
      <w:r w:rsidR="009F19BB" w:rsidRPr="00362D29">
        <w:rPr>
          <w:rFonts w:ascii="Traditional Arabic" w:eastAsia="Aptos" w:hAnsi="Traditional Arabic" w:cs="Traditional Arabic"/>
          <w:kern w:val="2"/>
          <w:sz w:val="24"/>
          <w:szCs w:val="24"/>
          <w:rtl/>
          <w14:ligatures w14:val="standardContextual"/>
        </w:rPr>
        <w:t xml:space="preserve"> التالي</w:t>
      </w:r>
      <w:r w:rsidRPr="00362D29">
        <w:rPr>
          <w:rFonts w:ascii="Traditional Arabic" w:eastAsia="Aptos" w:hAnsi="Traditional Arabic" w:cs="Traditional Arabic"/>
          <w:kern w:val="2"/>
          <w:sz w:val="24"/>
          <w:szCs w:val="24"/>
          <w:rtl/>
          <w14:ligatures w14:val="standardContextual"/>
        </w:rPr>
        <w:t>:</w:t>
      </w:r>
    </w:p>
    <w:p w14:paraId="073128F6" w14:textId="60066251" w:rsidR="00822A08" w:rsidRPr="00362D29" w:rsidRDefault="006C122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w:t>
      </w:r>
      <w:r w:rsidR="00822A08" w:rsidRPr="00362D29">
        <w:rPr>
          <w:rFonts w:ascii="Traditional Arabic" w:eastAsia="Aptos" w:hAnsi="Traditional Arabic" w:cs="Traditional Arabic"/>
          <w:b/>
          <w:bCs/>
          <w:kern w:val="2"/>
          <w:sz w:val="24"/>
          <w:szCs w:val="24"/>
          <w:rtl/>
          <w14:ligatures w14:val="standardContextual"/>
        </w:rPr>
        <w:t>التواصل مع الأطباء (</w:t>
      </w:r>
      <w:r w:rsidR="00822A08" w:rsidRPr="00362D29">
        <w:rPr>
          <w:rFonts w:ascii="Traditional Arabic" w:eastAsia="Aptos" w:hAnsi="Traditional Arabic" w:cs="Traditional Arabic"/>
          <w:b/>
          <w:bCs/>
          <w:kern w:val="2"/>
          <w:sz w:val="24"/>
          <w:szCs w:val="24"/>
          <w14:ligatures w14:val="standardContextual"/>
        </w:rPr>
        <w:t>Communication with Clinicians</w:t>
      </w:r>
      <w:r w:rsidR="00822A08" w:rsidRPr="00362D29">
        <w:rPr>
          <w:rFonts w:ascii="Traditional Arabic" w:eastAsia="Aptos" w:hAnsi="Traditional Arabic" w:cs="Traditional Arabic"/>
          <w:b/>
          <w:bCs/>
          <w:kern w:val="2"/>
          <w:sz w:val="24"/>
          <w:szCs w:val="24"/>
          <w:rtl/>
          <w14:ligatures w14:val="standardContextual"/>
        </w:rPr>
        <w:t>):</w:t>
      </w:r>
      <w:r w:rsidR="00822A08" w:rsidRPr="00362D29">
        <w:rPr>
          <w:rFonts w:ascii="Traditional Arabic" w:eastAsia="Aptos" w:hAnsi="Traditional Arabic" w:cs="Traditional Arabic"/>
          <w:kern w:val="2"/>
          <w:sz w:val="24"/>
          <w:szCs w:val="24"/>
          <w:rtl/>
          <w14:ligatures w14:val="standardContextual"/>
        </w:rPr>
        <w:t xml:space="preserve"> يشمل وضوح التواصل، والإنصات الفعال من قبل الأطباء، وتقديم المعلومات بطريقة مفهومة ومحترمة.</w:t>
      </w:r>
    </w:p>
    <w:p w14:paraId="03FD0930"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•الحصول على المعلومات (</w:t>
      </w:r>
      <w:r w:rsidRPr="00362D29">
        <w:rPr>
          <w:rFonts w:ascii="Traditional Arabic" w:eastAsia="Aptos" w:hAnsi="Traditional Arabic" w:cs="Traditional Arabic"/>
          <w:b/>
          <w:bCs/>
          <w:kern w:val="2"/>
          <w:sz w:val="24"/>
          <w:szCs w:val="24"/>
          <w14:ligatures w14:val="standardContextual"/>
        </w:rPr>
        <w:t>Getting Information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يتعلق بمدى سهولة حصول المريض على معلومات دقيقة وشاملة حول حالته الصحية، وخيارات العلاج، وكيفية العناية الذاتية.</w:t>
      </w:r>
    </w:p>
    <w:p w14:paraId="1D56232C"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إلى الرعاية (</w:t>
      </w:r>
      <w:r w:rsidRPr="00362D29">
        <w:rPr>
          <w:rFonts w:ascii="Traditional Arabic" w:eastAsia="Aptos" w:hAnsi="Traditional Arabic" w:cs="Traditional Arabic"/>
          <w:b/>
          <w:bCs/>
          <w:kern w:val="2"/>
          <w:sz w:val="24"/>
          <w:szCs w:val="24"/>
          <w14:ligatures w14:val="standardContextual"/>
        </w:rPr>
        <w:t>Access to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على توفر المواعيد في الوقت المناسب، وسهولة التنقل داخل النظام الصحي، وتقليل أوقات الانتظار للحصول على الخدمات.</w:t>
      </w:r>
    </w:p>
    <w:p w14:paraId="0C901353"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•الاحترام والكياسة (</w:t>
      </w:r>
      <w:r w:rsidRPr="00362D29">
        <w:rPr>
          <w:rFonts w:ascii="Traditional Arabic" w:eastAsia="Aptos" w:hAnsi="Traditional Arabic" w:cs="Traditional Arabic"/>
          <w:b/>
          <w:bCs/>
          <w:kern w:val="2"/>
          <w:sz w:val="24"/>
          <w:szCs w:val="24"/>
          <w14:ligatures w14:val="standardContextual"/>
        </w:rPr>
        <w:t>Courtesy and Respect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يتضمن معاملة المرضى بكرامة، واحترام قيمهم وتفضيلاتهم، وإظهار التعاطف من قبل جميع الكوادر.</w:t>
      </w:r>
    </w:p>
    <w:p w14:paraId="0E41FD72"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•تنسيق الرعاية (</w:t>
      </w:r>
      <w:r w:rsidRPr="00362D29">
        <w:rPr>
          <w:rFonts w:ascii="Traditional Arabic" w:eastAsia="Aptos" w:hAnsi="Traditional Arabic" w:cs="Traditional Arabic"/>
          <w:b/>
          <w:bCs/>
          <w:kern w:val="2"/>
          <w:sz w:val="24"/>
          <w:szCs w:val="24"/>
          <w14:ligatures w14:val="standardContextual"/>
        </w:rPr>
        <w:t>Care Coordination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يشير إلى سلاسة الانتقال بين مقدمي الرعاية والأقسام المختلفة، والتأكد من تكامل الخدمات وتجنب الازدواجية.</w:t>
      </w:r>
    </w:p>
    <w:p w14:paraId="14A4AAED"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الملائمة ثقافياً (</w:t>
      </w:r>
      <w:r w:rsidRPr="00362D29">
        <w:rPr>
          <w:rFonts w:ascii="Traditional Arabic" w:eastAsia="Aptos" w:hAnsi="Traditional Arabic" w:cs="Traditional Arabic"/>
          <w:b/>
          <w:bCs/>
          <w:kern w:val="2"/>
          <w:sz w:val="24"/>
          <w:szCs w:val="24"/>
          <w14:ligatures w14:val="standardContextual"/>
        </w:rPr>
        <w:t>Culturally Appropriate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تعني تقديم رعاية تحترم الخلفية الثقافية والدينية والاجتماعية للمريض وتتكيف معها.</w:t>
      </w:r>
    </w:p>
    <w:p w14:paraId="0C3DF588"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•المشاركة في اتخاذ القرار (</w:t>
      </w:r>
      <w:r w:rsidRPr="00362D29">
        <w:rPr>
          <w:rFonts w:ascii="Traditional Arabic" w:eastAsia="Aptos" w:hAnsi="Traditional Arabic" w:cs="Traditional Arabic"/>
          <w:b/>
          <w:bCs/>
          <w:kern w:val="2"/>
          <w:sz w:val="24"/>
          <w:szCs w:val="24"/>
          <w14:ligatures w14:val="standardContextual"/>
        </w:rPr>
        <w:t>Shared Decision-Making</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يبرز أهمية إشراك المريض بشكل فعال في القرارات المتعلقة بخطته العلاجية، بناءً على معلومات وافية وتفضيلاته الشخصية.</w:t>
      </w:r>
    </w:p>
    <w:p w14:paraId="4001150F" w14:textId="67218CCA"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•دعم الإدارة الذاتية (</w:t>
      </w:r>
      <w:r w:rsidRPr="00362D29">
        <w:rPr>
          <w:rFonts w:ascii="Traditional Arabic" w:eastAsia="Aptos" w:hAnsi="Traditional Arabic" w:cs="Traditional Arabic"/>
          <w:b/>
          <w:bCs/>
          <w:kern w:val="2"/>
          <w:sz w:val="24"/>
          <w:szCs w:val="24"/>
          <w14:ligatures w14:val="standardContextual"/>
        </w:rPr>
        <w:t>Self-Management Support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يهدف إلى تمكين المرضى من إدارة حالاتهم الصحية المزمنة أو التعافي بعد العلاج، من خلال توفير الأدوات والمعرفة اللازمة (</w:t>
      </w:r>
      <w:r w:rsidRPr="00362D29">
        <w:rPr>
          <w:rFonts w:ascii="Traditional Arabic" w:eastAsia="Aptos" w:hAnsi="Traditional Arabic" w:cs="Traditional Arabic"/>
          <w:kern w:val="2"/>
          <w:sz w:val="24"/>
          <w:szCs w:val="24"/>
          <w14:ligatures w14:val="standardContextual"/>
        </w:rPr>
        <w:t>Self-Management Support</w:t>
      </w:r>
      <w:r w:rsidRPr="00362D29">
        <w:rPr>
          <w:rFonts w:ascii="Traditional Arabic" w:eastAsia="Aptos" w:hAnsi="Traditional Arabic" w:cs="Traditional Arabic"/>
          <w:kern w:val="2"/>
          <w:sz w:val="24"/>
          <w:szCs w:val="24"/>
          <w:rtl/>
          <w14:ligatures w14:val="standardContextual"/>
        </w:rPr>
        <w:t>)</w:t>
      </w:r>
    </w:p>
    <w:p w14:paraId="13B2F7E5" w14:textId="2000EF9E"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•هيئة الخدمات الصحية الوطنية بالمملكة المتحدة (</w:t>
      </w:r>
      <w:r w:rsidRPr="00362D29">
        <w:rPr>
          <w:rFonts w:ascii="Traditional Arabic" w:eastAsia="Aptos" w:hAnsi="Traditional Arabic" w:cs="Traditional Arabic"/>
          <w:b/>
          <w:bCs/>
          <w:kern w:val="2"/>
          <w:sz w:val="24"/>
          <w:szCs w:val="24"/>
          <w14:ligatures w14:val="standardContextual"/>
        </w:rPr>
        <w:t>NHS - National Health Service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في إطارها لتجربة المريض، تؤكد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مجموعة من العناصر الحاسمة </w:t>
      </w:r>
      <w:r w:rsidR="001668AB" w:rsidRPr="00362D29">
        <w:rPr>
          <w:rFonts w:ascii="Traditional Arabic" w:eastAsia="Aptos" w:hAnsi="Traditional Arabic" w:cs="Traditional Arabic"/>
          <w:kern w:val="2"/>
          <w:sz w:val="24"/>
          <w:szCs w:val="24"/>
          <w:rtl/>
          <w14:ligatures w14:val="standardContextual"/>
        </w:rPr>
        <w:t>ل</w:t>
      </w:r>
      <w:r w:rsidRPr="00362D29">
        <w:rPr>
          <w:rFonts w:ascii="Traditional Arabic" w:eastAsia="Aptos" w:hAnsi="Traditional Arabic" w:cs="Traditional Arabic"/>
          <w:kern w:val="2"/>
          <w:sz w:val="24"/>
          <w:szCs w:val="24"/>
          <w:rtl/>
          <w14:ligatures w14:val="standardContextual"/>
        </w:rPr>
        <w:t>تجربة المريض،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 وتشمل هذه العناصر:</w:t>
      </w:r>
    </w:p>
    <w:p w14:paraId="53DCCF8D"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•احترام قيم المريض وتفضيلاته واحتياجاته المعبر عنها:</w:t>
      </w:r>
      <w:r w:rsidRPr="00362D29">
        <w:rPr>
          <w:rFonts w:ascii="Traditional Arabic" w:eastAsia="Aptos" w:hAnsi="Traditional Arabic" w:cs="Traditional Arabic"/>
          <w:kern w:val="2"/>
          <w:sz w:val="24"/>
          <w:szCs w:val="24"/>
          <w:rtl/>
          <w14:ligatures w14:val="standardContextual"/>
        </w:rPr>
        <w:t xml:space="preserve"> بما في ذلك القضايا الثقافية، وكرامة المريض وخصوصيته واستقلاليته، والوعي بقضايا جودة الحياة، والمشاركة في اتخاذ القرار.</w:t>
      </w:r>
    </w:p>
    <w:p w14:paraId="5913396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•تنسيق وتكامل الرعاية:</w:t>
      </w:r>
      <w:r w:rsidRPr="00362D29">
        <w:rPr>
          <w:rFonts w:ascii="Traditional Arabic" w:eastAsia="Aptos" w:hAnsi="Traditional Arabic" w:cs="Traditional Arabic"/>
          <w:kern w:val="2"/>
          <w:sz w:val="24"/>
          <w:szCs w:val="24"/>
          <w:rtl/>
          <w14:ligatures w14:val="standardContextual"/>
        </w:rPr>
        <w:t xml:space="preserve"> عبر نظام الرعاية الصحية والاجتماعية.</w:t>
      </w:r>
    </w:p>
    <w:p w14:paraId="518CF9F5"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•المعلومات والاتصال والتعليم:</w:t>
      </w:r>
      <w:r w:rsidRPr="00362D29">
        <w:rPr>
          <w:rFonts w:ascii="Traditional Arabic" w:eastAsia="Aptos" w:hAnsi="Traditional Arabic" w:cs="Traditional Arabic"/>
          <w:kern w:val="2"/>
          <w:sz w:val="24"/>
          <w:szCs w:val="24"/>
          <w:rtl/>
          <w14:ligatures w14:val="standardContextual"/>
        </w:rPr>
        <w:t xml:space="preserve"> حول الحالة السريرية، والتقدم، والتشخيص، وعمليات الرعاية لتسهيل الاستقلالية والرعاية الذاتية وتعزيز الصحة.</w:t>
      </w:r>
    </w:p>
    <w:p w14:paraId="285DFCEE"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•الراحة الجسدية:</w:t>
      </w:r>
      <w:r w:rsidRPr="00362D29">
        <w:rPr>
          <w:rFonts w:ascii="Traditional Arabic" w:eastAsia="Aptos" w:hAnsi="Traditional Arabic" w:cs="Traditional Arabic"/>
          <w:kern w:val="2"/>
          <w:sz w:val="24"/>
          <w:szCs w:val="24"/>
          <w:rtl/>
          <w14:ligatures w14:val="standardContextual"/>
        </w:rPr>
        <w:t xml:space="preserve"> بما في ذلك إدارة الألم، والمساعدة في أنشطة الحياة اليومية، والبيئة النظيفة والمريحة.</w:t>
      </w:r>
    </w:p>
    <w:p w14:paraId="38BCF088"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•الدعم العاطفي:</w:t>
      </w:r>
      <w:r w:rsidRPr="00362D29">
        <w:rPr>
          <w:rFonts w:ascii="Traditional Arabic" w:eastAsia="Aptos" w:hAnsi="Traditional Arabic" w:cs="Traditional Arabic"/>
          <w:kern w:val="2"/>
          <w:sz w:val="24"/>
          <w:szCs w:val="24"/>
          <w:rtl/>
          <w14:ligatures w14:val="standardContextual"/>
        </w:rPr>
        <w:t xml:space="preserve"> وتخفيف الخوف والقلق بشأن قضايا مثل الحالة السريرية، والتشخيص، وتأثير المرض على المرضى وعائلاتهم وأموالهم.</w:t>
      </w:r>
    </w:p>
    <w:p w14:paraId="4364627B"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•الترحيب بمشاركة العائلة والأصدقاء:</w:t>
      </w:r>
      <w:r w:rsidRPr="00362D29">
        <w:rPr>
          <w:rFonts w:ascii="Traditional Arabic" w:eastAsia="Aptos" w:hAnsi="Traditional Arabic" w:cs="Traditional Arabic"/>
          <w:kern w:val="2"/>
          <w:sz w:val="24"/>
          <w:szCs w:val="24"/>
          <w:rtl/>
          <w14:ligatures w14:val="standardContextual"/>
        </w:rPr>
        <w:t xml:space="preserve"> الذين يعتمد عليهم المرضى ومستخدمو الخدمة في اتخاذ القرار، وإظهار الوعي وتلبية احتياجاتهم كمقدمي رعاية.</w:t>
      </w:r>
    </w:p>
    <w:p w14:paraId="7D22D0B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•الانتقال والاستمرارية:</w:t>
      </w:r>
      <w:r w:rsidRPr="00362D29">
        <w:rPr>
          <w:rFonts w:ascii="Traditional Arabic" w:eastAsia="Aptos" w:hAnsi="Traditional Arabic" w:cs="Traditional Arabic"/>
          <w:kern w:val="2"/>
          <w:sz w:val="24"/>
          <w:szCs w:val="24"/>
          <w:rtl/>
          <w14:ligatures w14:val="standardContextual"/>
        </w:rPr>
        <w:t xml:space="preserve"> فيما يتعلق بالمعلومات التي ستساعد المرضى على رعاية أنفسهم بعيداً عن الإعداد السريري، والتنسيق والتخطيط والدعم لتسهيل الانتقال.</w:t>
      </w:r>
    </w:p>
    <w:p w14:paraId="3BACDF22"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إلى الرعاية:</w:t>
      </w:r>
      <w:r w:rsidRPr="00362D29">
        <w:rPr>
          <w:rFonts w:ascii="Traditional Arabic" w:eastAsia="Aptos" w:hAnsi="Traditional Arabic" w:cs="Traditional Arabic"/>
          <w:kern w:val="2"/>
          <w:sz w:val="24"/>
          <w:szCs w:val="24"/>
          <w:rtl/>
          <w14:ligatures w14:val="standardContextual"/>
        </w:rPr>
        <w:t xml:space="preserve"> مع الاهتمام، على سبيل المثال، بالوقت المستغرق في انتظار الدخول أو الوقت بين الدخول والتسكين في غرفة في بيئة المرضى الداخليين، ووقت الانتظار للموعد أو الزيارة في بيئة المرضى الخارجيين، الرعاية الأولية أو الرعاية الاجتماعية.</w:t>
      </w:r>
    </w:p>
    <w:p w14:paraId="71F8E41B" w14:textId="31EE2725" w:rsidR="00454581" w:rsidRPr="00362D29" w:rsidRDefault="00454581" w:rsidP="00C42472">
      <w:pPr>
        <w:pStyle w:val="ab"/>
        <w:numPr>
          <w:ilvl w:val="0"/>
          <w:numId w:val="4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تعتمد الدراسة الحالية، وبما يتوافق مع الإطار العام لجودة الرعاية </w:t>
      </w:r>
      <w:r w:rsidR="00A46C22" w:rsidRPr="00362D29">
        <w:rPr>
          <w:rFonts w:ascii="Traditional Arabic" w:eastAsia="Aptos" w:hAnsi="Traditional Arabic" w:cs="Traditional Arabic"/>
          <w:b/>
          <w:bCs/>
          <w:kern w:val="2"/>
          <w:sz w:val="24"/>
          <w:szCs w:val="24"/>
          <w:rtl/>
          <w14:ligatures w14:val="standardContextual"/>
        </w:rPr>
        <w:t>المرتكزة على</w:t>
      </w:r>
      <w:r w:rsidRPr="00362D29">
        <w:rPr>
          <w:rFonts w:ascii="Traditional Arabic" w:eastAsia="Aptos" w:hAnsi="Traditional Arabic" w:cs="Traditional Arabic"/>
          <w:b/>
          <w:bCs/>
          <w:kern w:val="2"/>
          <w:sz w:val="24"/>
          <w:szCs w:val="24"/>
          <w:rtl/>
          <w14:ligatures w14:val="standardContextual"/>
        </w:rPr>
        <w:t xml:space="preserve"> المريض، على ثمانية أبعاد جوهرية مستقاة من الأدبيات العلمية والممارسات العالمية الرائدة، والتي تُعد أساس قياس المتغير التابع </w:t>
      </w:r>
      <w:r w:rsidR="00095235" w:rsidRPr="00362D29">
        <w:rPr>
          <w:rFonts w:ascii="Traditional Arabic" w:eastAsia="Aptos" w:hAnsi="Traditional Arabic" w:cs="Traditional Arabic"/>
          <w:b/>
          <w:bCs/>
          <w:kern w:val="2"/>
          <w:sz w:val="24"/>
          <w:szCs w:val="24"/>
          <w:rtl/>
          <w14:ligatures w14:val="standardContextual"/>
        </w:rPr>
        <w:t xml:space="preserve">(جودة </w:t>
      </w:r>
      <w:r w:rsidR="00E65DDB" w:rsidRPr="00362D29">
        <w:rPr>
          <w:rFonts w:ascii="Traditional Arabic" w:eastAsia="Aptos" w:hAnsi="Traditional Arabic" w:cs="Traditional Arabic"/>
          <w:b/>
          <w:bCs/>
          <w:kern w:val="2"/>
          <w:sz w:val="24"/>
          <w:szCs w:val="24"/>
          <w:rtl/>
          <w14:ligatures w14:val="standardContextual"/>
        </w:rPr>
        <w:t xml:space="preserve">تجربة المريض) </w:t>
      </w:r>
      <w:r w:rsidRPr="00362D29">
        <w:rPr>
          <w:rFonts w:ascii="Traditional Arabic" w:eastAsia="Aptos" w:hAnsi="Traditional Arabic" w:cs="Traditional Arabic"/>
          <w:b/>
          <w:bCs/>
          <w:kern w:val="2"/>
          <w:sz w:val="24"/>
          <w:szCs w:val="24"/>
          <w:rtl/>
          <w14:ligatures w14:val="standardContextual"/>
        </w:rPr>
        <w:t xml:space="preserve">في </w:t>
      </w:r>
      <w:r w:rsidR="00D91E4B" w:rsidRPr="00362D29">
        <w:rPr>
          <w:rFonts w:ascii="Traditional Arabic" w:eastAsia="Aptos" w:hAnsi="Traditional Arabic" w:cs="Traditional Arabic"/>
          <w:b/>
          <w:bCs/>
          <w:kern w:val="2"/>
          <w:sz w:val="24"/>
          <w:szCs w:val="24"/>
          <w:rtl/>
          <w14:ligatures w14:val="standardContextual"/>
        </w:rPr>
        <w:t>هذه الدراسة</w:t>
      </w:r>
      <w:r w:rsidRPr="00362D29">
        <w:rPr>
          <w:rFonts w:ascii="Traditional Arabic" w:eastAsia="Aptos" w:hAnsi="Traditional Arabic" w:cs="Traditional Arabic"/>
          <w:b/>
          <w:bCs/>
          <w:kern w:val="2"/>
          <w:sz w:val="24"/>
          <w:szCs w:val="24"/>
          <w:rtl/>
          <w14:ligatures w14:val="standardContextual"/>
        </w:rPr>
        <w:t xml:space="preserve">. هذه الأبعاد، التي تتبناها العديد من المؤسسات الصحية العالمية والمحلية تشكل في مجموعها </w:t>
      </w:r>
      <w:r w:rsidR="00823839" w:rsidRPr="00362D29">
        <w:rPr>
          <w:rFonts w:ascii="Traditional Arabic" w:eastAsia="Aptos" w:hAnsi="Traditional Arabic" w:cs="Traditional Arabic"/>
          <w:b/>
          <w:bCs/>
          <w:kern w:val="2"/>
          <w:sz w:val="24"/>
          <w:szCs w:val="24"/>
          <w:rtl/>
          <w14:ligatures w14:val="standardContextual"/>
        </w:rPr>
        <w:t xml:space="preserve">أبعاد </w:t>
      </w:r>
      <w:r w:rsidRPr="00362D29">
        <w:rPr>
          <w:rFonts w:ascii="Traditional Arabic" w:eastAsia="Aptos" w:hAnsi="Traditional Arabic" w:cs="Traditional Arabic"/>
          <w:b/>
          <w:bCs/>
          <w:kern w:val="2"/>
          <w:sz w:val="24"/>
          <w:szCs w:val="24"/>
          <w:rtl/>
          <w14:ligatures w14:val="standardContextual"/>
        </w:rPr>
        <w:t>جودة تجربة المريض، وهي:</w:t>
      </w:r>
    </w:p>
    <w:p w14:paraId="7453C7F5"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الوصول إلى الرعاية (</w:t>
      </w:r>
      <w:r w:rsidRPr="00362D29">
        <w:rPr>
          <w:rFonts w:ascii="Traditional Arabic" w:eastAsia="Aptos" w:hAnsi="Traditional Arabic" w:cs="Traditional Arabic"/>
          <w:b/>
          <w:bCs/>
          <w:kern w:val="2"/>
          <w:sz w:val="24"/>
          <w:szCs w:val="24"/>
          <w14:ligatures w14:val="standardContextual"/>
        </w:rPr>
        <w:t>Access to Care</w:t>
      </w:r>
      <w:r w:rsidRPr="00362D29">
        <w:rPr>
          <w:rFonts w:ascii="Traditional Arabic" w:eastAsia="Aptos" w:hAnsi="Traditional Arabic" w:cs="Traditional Arabic"/>
          <w:b/>
          <w:bCs/>
          <w:kern w:val="2"/>
          <w:sz w:val="24"/>
          <w:szCs w:val="24"/>
          <w:rtl/>
          <w14:ligatures w14:val="standardContextual"/>
        </w:rPr>
        <w:t>)</w:t>
      </w:r>
    </w:p>
    <w:p w14:paraId="4D2AEE6D" w14:textId="09E94650"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يشير هذا البعد إلى قدرة المريض على الحصول على الخدمات الصحية في الوقت والمكان المناسبين دون عوائق غير مبررة. ويتضمن ذلك سهولة حجز المواعيد، وتوفر الخدمات المتخصصة، وقصر فترات الانتظار في العيادات أو أقسام الطوارئ </w:t>
      </w:r>
      <w:r w:rsidR="00E563A2" w:rsidRPr="00362D29">
        <w:rPr>
          <w:rFonts w:ascii="Traditional Arabic" w:eastAsia="Aptos" w:hAnsi="Traditional Arabic" w:cs="Traditional Arabic"/>
          <w:kern w:val="2"/>
          <w:sz w:val="24"/>
          <w:szCs w:val="24"/>
          <w:rtl/>
          <w14:ligatures w14:val="standardContextual"/>
        </w:rPr>
        <w:t>(</w:t>
      </w:r>
      <w:r w:rsidR="00E563A2" w:rsidRPr="00362D29">
        <w:rPr>
          <w:rFonts w:ascii="Traditional Arabic" w:eastAsia="Aptos" w:hAnsi="Traditional Arabic" w:cs="Traditional Arabic"/>
          <w:kern w:val="2"/>
          <w:sz w:val="24"/>
          <w:szCs w:val="24"/>
          <w14:ligatures w14:val="standardContextual"/>
        </w:rPr>
        <w:t>Health Academy, 2022</w:t>
      </w:r>
      <w:r w:rsidR="00E563A2"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إن تحسين الوصول يعد مؤشراً حيوياً على كفاءة النظام الصحي وقدرته على الاستجابة لاحتياجات المجتمع (محمود، 2025). وقد أكدت كل من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w:t>
      </w:r>
      <w:r w:rsidR="000A4DC1" w:rsidRPr="00362D29">
        <w:rPr>
          <w:rFonts w:ascii="Traditional Arabic" w:eastAsia="Aptos" w:hAnsi="Traditional Arabic" w:cs="Traditional Arabic"/>
          <w:kern w:val="2"/>
          <w:sz w:val="24"/>
          <w:szCs w:val="24"/>
          <w:rtl/>
          <w14:ligatures w14:val="standardContextual"/>
        </w:rPr>
        <w:t>و</w:t>
      </w:r>
      <w:r w:rsidR="000A4DC1"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أهمية هذا البعد كعنصر أساسي في تجربة المريض، مع التركيز على سهولة الوصول للمعلومات والمواعيد (</w:t>
      </w:r>
      <w:r w:rsidRPr="00362D29">
        <w:rPr>
          <w:rFonts w:ascii="Traditional Arabic" w:eastAsia="Aptos" w:hAnsi="Traditional Arabic" w:cs="Traditional Arabic"/>
          <w:kern w:val="2"/>
          <w:sz w:val="24"/>
          <w:szCs w:val="24"/>
          <w14:ligatures w14:val="standardContextual"/>
        </w:rPr>
        <w:t xml:space="preserve">AHRQ, </w:t>
      </w:r>
      <w:r w:rsidR="00095235"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03099F26"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2. تنسيق الخدمة (</w:t>
      </w:r>
      <w:r w:rsidRPr="00362D29">
        <w:rPr>
          <w:rFonts w:ascii="Traditional Arabic" w:eastAsia="Aptos" w:hAnsi="Traditional Arabic" w:cs="Traditional Arabic"/>
          <w:b/>
          <w:bCs/>
          <w:kern w:val="2"/>
          <w:sz w:val="24"/>
          <w:szCs w:val="24"/>
          <w14:ligatures w14:val="standardContextual"/>
        </w:rPr>
        <w:t>Service Coordination</w:t>
      </w:r>
      <w:r w:rsidRPr="00362D29">
        <w:rPr>
          <w:rFonts w:ascii="Traditional Arabic" w:eastAsia="Aptos" w:hAnsi="Traditional Arabic" w:cs="Traditional Arabic"/>
          <w:b/>
          <w:bCs/>
          <w:kern w:val="2"/>
          <w:sz w:val="24"/>
          <w:szCs w:val="24"/>
          <w:rtl/>
          <w14:ligatures w14:val="standardContextual"/>
        </w:rPr>
        <w:t>)</w:t>
      </w:r>
    </w:p>
    <w:p w14:paraId="232B163A" w14:textId="1A7C39AC"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البعد على ضمان التكامل والانسجام بين مختلف مراحل الرعاية والأقسام المشاركة في رحلة المريض العلاجية. ويشمل ذلك التنسيق السريري بين الأطباء، وتنسيق الخدمات المساندة (مثل المختبر والأشعة)، وضمان انتقال المريض بسلاسة بين مستويات الرعاية المختلفة (منظمة الصحة العالمية، 2018). ويؤدي التنسيق الفعال إلى تقليل الأخطاء الطبية وضمان استمرارية الرعاية (</w:t>
      </w:r>
      <w:r w:rsidRPr="00362D29">
        <w:rPr>
          <w:rFonts w:ascii="Traditional Arabic" w:eastAsia="Aptos" w:hAnsi="Traditional Arabic" w:cs="Traditional Arabic"/>
          <w:kern w:val="2"/>
          <w:sz w:val="24"/>
          <w:szCs w:val="24"/>
          <w14:ligatures w14:val="standardContextual"/>
        </w:rPr>
        <w:t xml:space="preserve">AHRQ, </w:t>
      </w:r>
      <w:r w:rsidR="002C00B0"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rtl/>
          <w14:ligatures w14:val="standardContextual"/>
        </w:rPr>
        <w:t xml:space="preserve">.). وقد أبرزت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أهمية "تنسيق وتكامل الرعاية عبر نظام الرعاية الصحية والاجتماعية"، بينما أشارت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إلى "تنسيق الرعاية" كأحد الجوانب الأساسية (</w:t>
      </w:r>
      <w:r w:rsidRPr="00362D29">
        <w:rPr>
          <w:rFonts w:ascii="Traditional Arabic" w:eastAsia="Aptos" w:hAnsi="Traditional Arabic" w:cs="Traditional Arabic"/>
          <w:kern w:val="2"/>
          <w:sz w:val="24"/>
          <w:szCs w:val="24"/>
          <w14:ligatures w14:val="standardContextual"/>
        </w:rPr>
        <w:t xml:space="preserve">AHRQ, </w:t>
      </w:r>
      <w:r w:rsidR="002C00B0"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470062FF"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 التواصل (</w:t>
      </w:r>
      <w:r w:rsidRPr="00362D29">
        <w:rPr>
          <w:rFonts w:ascii="Traditional Arabic" w:eastAsia="Aptos" w:hAnsi="Traditional Arabic" w:cs="Traditional Arabic"/>
          <w:b/>
          <w:bCs/>
          <w:kern w:val="2"/>
          <w:sz w:val="24"/>
          <w:szCs w:val="24"/>
          <w14:ligatures w14:val="standardContextual"/>
        </w:rPr>
        <w:t>Communication</w:t>
      </w:r>
      <w:r w:rsidRPr="00362D29">
        <w:rPr>
          <w:rFonts w:ascii="Traditional Arabic" w:eastAsia="Aptos" w:hAnsi="Traditional Arabic" w:cs="Traditional Arabic"/>
          <w:b/>
          <w:bCs/>
          <w:kern w:val="2"/>
          <w:sz w:val="24"/>
          <w:szCs w:val="24"/>
          <w:rtl/>
          <w14:ligatures w14:val="standardContextual"/>
        </w:rPr>
        <w:t>)</w:t>
      </w:r>
    </w:p>
    <w:p w14:paraId="74E2BCC1" w14:textId="4A3FB03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التواصل الفعال حجر الزاوية في تجربة المريض، حيث يشمل مهارات الاستماع الفعال من قبل الطاقم الطبي، ووضوح الشرح المتعلق بالتشخيص والعلاج، واستخدام لغة مفهومة للمريض بعيداً عن المصطلحات المعقدة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 xml:space="preserve">). إن التواصل الجيد يبني جسور الثقة ويقلل من القلق النفسي لدى المريض </w:t>
      </w:r>
      <w:r w:rsidR="002C00B0" w:rsidRPr="00362D29">
        <w:rPr>
          <w:rFonts w:ascii="Traditional Arabic" w:eastAsia="Aptos" w:hAnsi="Traditional Arabic" w:cs="Traditional Arabic"/>
          <w:kern w:val="2"/>
          <w:sz w:val="24"/>
          <w:szCs w:val="24"/>
          <w:rtl/>
          <w14:ligatures w14:val="standardContextual"/>
        </w:rPr>
        <w:t>(</w:t>
      </w:r>
      <w:r w:rsidR="002C00B0" w:rsidRPr="00362D29">
        <w:rPr>
          <w:rFonts w:ascii="Traditional Arabic" w:eastAsia="Aptos" w:hAnsi="Traditional Arabic" w:cs="Traditional Arabic"/>
          <w:kern w:val="2"/>
          <w:sz w:val="24"/>
          <w:szCs w:val="24"/>
          <w14:ligatures w14:val="standardContextual"/>
        </w:rPr>
        <w:t>Health Academy, 2022</w:t>
      </w:r>
      <w:r w:rsidR="002C00B0"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وتشدد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على "التواصل مع الأطباء" و"الحصول على المعلومات"، بينما تؤكد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"المعلومات والاتصال والتعليم" كعناصر حاسمة (</w:t>
      </w:r>
      <w:r w:rsidRPr="00362D29">
        <w:rPr>
          <w:rFonts w:ascii="Traditional Arabic" w:eastAsia="Aptos" w:hAnsi="Traditional Arabic" w:cs="Traditional Arabic"/>
          <w:kern w:val="2"/>
          <w:sz w:val="24"/>
          <w:szCs w:val="24"/>
          <w14:ligatures w14:val="standardContextual"/>
        </w:rPr>
        <w:t>AHRQ,</w:t>
      </w:r>
      <w:r w:rsidR="00AA7B5A" w:rsidRPr="00362D29">
        <w:rPr>
          <w:rFonts w:ascii="Traditional Arabic" w:eastAsia="Aptos" w:hAnsi="Traditional Arabic" w:cs="Traditional Arabic"/>
          <w:kern w:val="2"/>
          <w:sz w:val="24"/>
          <w:szCs w:val="24"/>
          <w14:ligatures w14:val="standardContextual"/>
        </w:rPr>
        <w:t xml:space="preserve"> 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39703C70"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 الاحترام (</w:t>
      </w:r>
      <w:r w:rsidRPr="00362D29">
        <w:rPr>
          <w:rFonts w:ascii="Traditional Arabic" w:eastAsia="Aptos" w:hAnsi="Traditional Arabic" w:cs="Traditional Arabic"/>
          <w:b/>
          <w:bCs/>
          <w:kern w:val="2"/>
          <w:sz w:val="24"/>
          <w:szCs w:val="24"/>
          <w14:ligatures w14:val="standardContextual"/>
        </w:rPr>
        <w:t>Respect for Values and Preferences</w:t>
      </w:r>
      <w:r w:rsidRPr="00362D29">
        <w:rPr>
          <w:rFonts w:ascii="Traditional Arabic" w:eastAsia="Aptos" w:hAnsi="Traditional Arabic" w:cs="Traditional Arabic"/>
          <w:b/>
          <w:bCs/>
          <w:kern w:val="2"/>
          <w:sz w:val="24"/>
          <w:szCs w:val="24"/>
          <w:rtl/>
          <w14:ligatures w14:val="standardContextual"/>
        </w:rPr>
        <w:t>)</w:t>
      </w:r>
    </w:p>
    <w:p w14:paraId="21CB6623" w14:textId="3DB17C52"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يتضمن هذا البعد معاملة المريض بكرامة واحترام، ومراعاة قيمه الثقافية والدينية والاجتماعية. كما يشمل احترام خصوصية المريض، وإشراكه في اتخاذ القرارات المتعلقة بخطته العلاجية بناءً على تفضيلاته الشخصية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 إن الرعاية القائمة على الاحترام تعزز من شعور المريض بآدميته وتقدير المؤسسة له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وقد شددت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"احترام قيم المريض وتفضيلاته واحتياجاته المعبر عنها"، وذكرت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"الاحترام والكياسة" و"الرعاية الملائمة ثقافياً" (</w:t>
      </w:r>
      <w:r w:rsidRPr="00362D29">
        <w:rPr>
          <w:rFonts w:ascii="Traditional Arabic" w:eastAsia="Aptos" w:hAnsi="Traditional Arabic" w:cs="Traditional Arabic"/>
          <w:kern w:val="2"/>
          <w:sz w:val="24"/>
          <w:szCs w:val="24"/>
          <w14:ligatures w14:val="standardContextual"/>
        </w:rPr>
        <w:t xml:space="preserve">AHRQ, </w:t>
      </w:r>
      <w:r w:rsidR="00AA7B5A"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131A1134"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 المعلومات والتعليم (</w:t>
      </w:r>
      <w:r w:rsidRPr="00362D29">
        <w:rPr>
          <w:rFonts w:ascii="Traditional Arabic" w:eastAsia="Aptos" w:hAnsi="Traditional Arabic" w:cs="Traditional Arabic"/>
          <w:b/>
          <w:bCs/>
          <w:kern w:val="2"/>
          <w:sz w:val="24"/>
          <w:szCs w:val="24"/>
          <w14:ligatures w14:val="standardContextual"/>
        </w:rPr>
        <w:t>Information and Education</w:t>
      </w:r>
      <w:r w:rsidRPr="00362D29">
        <w:rPr>
          <w:rFonts w:ascii="Traditional Arabic" w:eastAsia="Aptos" w:hAnsi="Traditional Arabic" w:cs="Traditional Arabic"/>
          <w:b/>
          <w:bCs/>
          <w:kern w:val="2"/>
          <w:sz w:val="24"/>
          <w:szCs w:val="24"/>
          <w:rtl/>
          <w14:ligatures w14:val="standardContextual"/>
        </w:rPr>
        <w:t>)</w:t>
      </w:r>
    </w:p>
    <w:p w14:paraId="6A12AC1D" w14:textId="10EA79E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يتمثل هذا البعد في تزويد المريض وعائلته بمعلومات دقيقة وكاملة حول حالته الصحية، والنتائج المتوقعة للعلاج، والتعليمات اللازمة للعناية الذاتية بعد الخروج من المستشفى (محمود، 2025). ويهدف ذلك إلى تمكين المريض معرفياً ليصبح شريكاً فاعلاً في العملية العلاجية </w:t>
      </w:r>
      <w:r w:rsidR="004D114B" w:rsidRPr="00362D29">
        <w:rPr>
          <w:rFonts w:ascii="Traditional Arabic" w:eastAsia="Aptos" w:hAnsi="Traditional Arabic" w:cs="Traditional Arabic"/>
          <w:kern w:val="2"/>
          <w:sz w:val="24"/>
          <w:szCs w:val="24"/>
          <w:rtl/>
          <w14:ligatures w14:val="standardContextual"/>
        </w:rPr>
        <w:t>(</w:t>
      </w:r>
      <w:r w:rsidR="004D114B" w:rsidRPr="00362D29">
        <w:rPr>
          <w:rFonts w:ascii="Traditional Arabic" w:eastAsia="Aptos" w:hAnsi="Traditional Arabic" w:cs="Traditional Arabic"/>
          <w:kern w:val="2"/>
          <w:sz w:val="24"/>
          <w:szCs w:val="24"/>
          <w14:ligatures w14:val="standardContextual"/>
        </w:rPr>
        <w:t>Health Academy, 2022</w:t>
      </w:r>
      <w:r w:rsidR="004D114B"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ويتوافق هذا البعد مع تركيز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على "الحصول على المعلومات" </w:t>
      </w:r>
      <w:r w:rsidR="004D114B" w:rsidRPr="00362D29">
        <w:rPr>
          <w:rFonts w:ascii="Traditional Arabic" w:eastAsia="Aptos" w:hAnsi="Traditional Arabic" w:cs="Traditional Arabic"/>
          <w:kern w:val="2"/>
          <w:sz w:val="24"/>
          <w:szCs w:val="24"/>
          <w:rtl/>
          <w14:ligatures w14:val="standardContextual"/>
        </w:rPr>
        <w:t>و</w:t>
      </w:r>
      <w:r w:rsidR="004D114B"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"المعلومات والاتصال والتعليم" (</w:t>
      </w:r>
      <w:r w:rsidRPr="00362D29">
        <w:rPr>
          <w:rFonts w:ascii="Traditional Arabic" w:eastAsia="Aptos" w:hAnsi="Traditional Arabic" w:cs="Traditional Arabic"/>
          <w:kern w:val="2"/>
          <w:sz w:val="24"/>
          <w:szCs w:val="24"/>
          <w14:ligatures w14:val="standardContextual"/>
        </w:rPr>
        <w:t xml:space="preserve">AHRQ, </w:t>
      </w:r>
      <w:r w:rsidR="004D114B"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6961C586"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6. البيئة المادية (</w:t>
      </w:r>
      <w:r w:rsidRPr="00362D29">
        <w:rPr>
          <w:rFonts w:ascii="Traditional Arabic" w:eastAsia="Aptos" w:hAnsi="Traditional Arabic" w:cs="Traditional Arabic"/>
          <w:b/>
          <w:bCs/>
          <w:kern w:val="2"/>
          <w:sz w:val="24"/>
          <w:szCs w:val="24"/>
          <w14:ligatures w14:val="standardContextual"/>
        </w:rPr>
        <w:t>Physical Environment</w:t>
      </w:r>
      <w:r w:rsidRPr="00362D29">
        <w:rPr>
          <w:rFonts w:ascii="Traditional Arabic" w:eastAsia="Aptos" w:hAnsi="Traditional Arabic" w:cs="Traditional Arabic"/>
          <w:b/>
          <w:bCs/>
          <w:kern w:val="2"/>
          <w:sz w:val="24"/>
          <w:szCs w:val="24"/>
          <w:rtl/>
          <w14:ligatures w14:val="standardContextual"/>
        </w:rPr>
        <w:t>)</w:t>
      </w:r>
    </w:p>
    <w:p w14:paraId="66E3A295"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تشمل البيئة المادية كافة العناصر الملموسة التي يتفاعل معها المريض، مثل نظافة المرافق، وهدوء غرف التنويم، وتوفر سبل الراحة المادية، وتصميم المرفق الصحي بشكل يسهل الحركة والتنقل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تلعب البيئة المادية دوراً حاسماً في تشكيل الانطباع الأول للمريض وتعزيز شعوره بالأمان والراحة (محمود، 2025). وقد أشارت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إلى "الراحة الجسدية" و"البيئة النظيفة والمريحة" كجزء من هذا البعد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w:t>
      </w:r>
    </w:p>
    <w:p w14:paraId="45E12677"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7. الدعم العاطفي (</w:t>
      </w:r>
      <w:r w:rsidRPr="00362D29">
        <w:rPr>
          <w:rFonts w:ascii="Traditional Arabic" w:eastAsia="Aptos" w:hAnsi="Traditional Arabic" w:cs="Traditional Arabic"/>
          <w:b/>
          <w:bCs/>
          <w:kern w:val="2"/>
          <w:sz w:val="24"/>
          <w:szCs w:val="24"/>
          <w14:ligatures w14:val="standardContextual"/>
        </w:rPr>
        <w:t>Emotional Support</w:t>
      </w:r>
      <w:r w:rsidRPr="00362D29">
        <w:rPr>
          <w:rFonts w:ascii="Traditional Arabic" w:eastAsia="Aptos" w:hAnsi="Traditional Arabic" w:cs="Traditional Arabic"/>
          <w:b/>
          <w:bCs/>
          <w:kern w:val="2"/>
          <w:sz w:val="24"/>
          <w:szCs w:val="24"/>
          <w:rtl/>
          <w14:ligatures w14:val="standardContextual"/>
        </w:rPr>
        <w:t>)</w:t>
      </w:r>
    </w:p>
    <w:p w14:paraId="698D7221" w14:textId="15125EC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يركز هذا البعد على التعامل مع الجوانب النفسية للمرض، مثل القلق والتوتر والخوف من النتائج أو الإجراءات الطبية. ويتطلب ذلك من مقدمي الرعاية إظهار التعاطف، وتقديم الدعم النفسي اللازم، ومساعدة المريض على التأقلم مع التحديات الصحية التي يواجهها (منظمة الصحة العالمية، 2018). إن الدعم العاطفي يسهم بشكل مباشر في تسريع عملية الشفاء وتحسين المخرجات الصحية </w:t>
      </w:r>
      <w:r w:rsidR="004D114B" w:rsidRPr="00362D29">
        <w:rPr>
          <w:rFonts w:ascii="Traditional Arabic" w:eastAsia="Aptos" w:hAnsi="Traditional Arabic" w:cs="Traditional Arabic"/>
          <w:kern w:val="2"/>
          <w:sz w:val="24"/>
          <w:szCs w:val="24"/>
          <w:rtl/>
          <w14:ligatures w14:val="standardContextual"/>
        </w:rPr>
        <w:t>(</w:t>
      </w:r>
      <w:r w:rsidR="004D114B" w:rsidRPr="00362D29">
        <w:rPr>
          <w:rFonts w:ascii="Traditional Arabic" w:eastAsia="Aptos" w:hAnsi="Traditional Arabic" w:cs="Traditional Arabic"/>
          <w:kern w:val="2"/>
          <w:sz w:val="24"/>
          <w:szCs w:val="24"/>
          <w14:ligatures w14:val="standardContextual"/>
        </w:rPr>
        <w:t>Health Academy, 2022</w:t>
      </w:r>
      <w:r w:rsidR="004D114B"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وقد أكدت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أهمية "الدعم العاطفي وتخفيف الخوف والقلق"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w:t>
      </w:r>
    </w:p>
    <w:p w14:paraId="72604017"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8. المشاركة (</w:t>
      </w:r>
      <w:r w:rsidRPr="00362D29">
        <w:rPr>
          <w:rFonts w:ascii="Traditional Arabic" w:eastAsia="Aptos" w:hAnsi="Traditional Arabic" w:cs="Traditional Arabic"/>
          <w:b/>
          <w:bCs/>
          <w:kern w:val="2"/>
          <w:sz w:val="24"/>
          <w:szCs w:val="24"/>
          <w14:ligatures w14:val="standardContextual"/>
        </w:rPr>
        <w:t>Participation/Involvement of Family</w:t>
      </w:r>
      <w:r w:rsidRPr="00362D29">
        <w:rPr>
          <w:rFonts w:ascii="Traditional Arabic" w:eastAsia="Aptos" w:hAnsi="Traditional Arabic" w:cs="Traditional Arabic"/>
          <w:b/>
          <w:bCs/>
          <w:kern w:val="2"/>
          <w:sz w:val="24"/>
          <w:szCs w:val="24"/>
          <w:rtl/>
          <w14:ligatures w14:val="standardContextual"/>
        </w:rPr>
        <w:t>)</w:t>
      </w:r>
    </w:p>
    <w:p w14:paraId="7187A5F8" w14:textId="701EF43B"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يشير هذا البعد إلى إشراك عائلة المريض وأصدقائه المقربين في عملية الرعاية، والاعتراف بدورهم الحيوي في دعم المريض. ويتضمن ذلك توفير التسهيلات اللازمة لتواجدهم، </w:t>
      </w:r>
      <w:r w:rsidR="004D114B" w:rsidRPr="00362D29">
        <w:rPr>
          <w:rFonts w:ascii="Traditional Arabic" w:eastAsia="Aptos" w:hAnsi="Traditional Arabic" w:cs="Traditional Arabic"/>
          <w:kern w:val="2"/>
          <w:sz w:val="24"/>
          <w:szCs w:val="24"/>
          <w:rtl/>
          <w14:ligatures w14:val="standardContextual"/>
        </w:rPr>
        <w:t>واطلاعهم</w:t>
      </w:r>
      <w:r w:rsidRPr="00362D29">
        <w:rPr>
          <w:rFonts w:ascii="Traditional Arabic" w:eastAsia="Aptos" w:hAnsi="Traditional Arabic" w:cs="Traditional Arabic"/>
          <w:kern w:val="2"/>
          <w:sz w:val="24"/>
          <w:szCs w:val="24"/>
          <w:rtl/>
          <w14:ligatures w14:val="standardContextual"/>
        </w:rPr>
        <w:t xml:space="preserve"> على مستجدات الحالة الصحية (بناءً على رغبة المريض)، وإشراكهم في قرارات الرعاية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إن مشاركة الأسرة تعزز من شبكة الدعم الاجتماعي للمريض وتضمن بيئة علاجية متكاملة (محمود، 2025). وقد ذكرت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"المشاركة في اتخاذ القرار" و"دعم الإدارة الذاتية"، بينما أشارت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إلى "الترحيب بمشاركة العائلة والأصدقاء" (</w:t>
      </w:r>
      <w:r w:rsidRPr="00362D29">
        <w:rPr>
          <w:rFonts w:ascii="Traditional Arabic" w:eastAsia="Aptos" w:hAnsi="Traditional Arabic" w:cs="Traditional Arabic"/>
          <w:kern w:val="2"/>
          <w:sz w:val="24"/>
          <w:szCs w:val="24"/>
          <w14:ligatures w14:val="standardContextual"/>
        </w:rPr>
        <w:t>AHRQ, n.d.; NHS, 2011</w:t>
      </w:r>
      <w:r w:rsidRPr="00362D29">
        <w:rPr>
          <w:rFonts w:ascii="Traditional Arabic" w:eastAsia="Aptos" w:hAnsi="Traditional Arabic" w:cs="Traditional Arabic"/>
          <w:kern w:val="2"/>
          <w:sz w:val="24"/>
          <w:szCs w:val="24"/>
          <w:rtl/>
          <w14:ligatures w14:val="standardContextual"/>
        </w:rPr>
        <w:t>).</w:t>
      </w:r>
    </w:p>
    <w:p w14:paraId="7BF6FF6B"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خلال هذه الأبعاد الثمانية، تسعى الدراسة الحالية لتحليل أثر التميز المؤسسي في تحقيق جودة شاملة لتجربة المريض في تجمع القصيم الصحي، بما يتماشى مع معايير الجودة العالمية وتوجهات رؤية المملكة 2030 في التحول الصحي.</w:t>
      </w:r>
    </w:p>
    <w:p w14:paraId="4DB1B477" w14:textId="3CB34915" w:rsidR="00454581" w:rsidRPr="00362D29" w:rsidRDefault="0038527C"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الخلاصة:</w:t>
      </w:r>
    </w:p>
    <w:p w14:paraId="0CD67931" w14:textId="7E487813" w:rsidR="00882A27" w:rsidRDefault="00454581" w:rsidP="00B036D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يتضح من استعراض أطر عمل الهيئات العالمية المختلفة أن هناك توافقاً جوهرياً حول </w:t>
      </w:r>
      <w:r w:rsidR="00BB11B5" w:rsidRPr="00362D29">
        <w:rPr>
          <w:rFonts w:ascii="Traditional Arabic" w:eastAsia="Aptos" w:hAnsi="Traditional Arabic" w:cs="Traditional Arabic"/>
          <w:kern w:val="2"/>
          <w:sz w:val="24"/>
          <w:szCs w:val="24"/>
          <w:rtl/>
          <w14:ligatures w14:val="standardContextual"/>
        </w:rPr>
        <w:t xml:space="preserve">الابعاد </w:t>
      </w:r>
      <w:r w:rsidR="00E60B16" w:rsidRPr="00362D29">
        <w:rPr>
          <w:rFonts w:ascii="Traditional Arabic" w:eastAsia="Aptos" w:hAnsi="Traditional Arabic" w:cs="Traditional Arabic"/>
          <w:kern w:val="2"/>
          <w:sz w:val="24"/>
          <w:szCs w:val="24"/>
          <w:rtl/>
          <w14:ligatures w14:val="standardContextual"/>
        </w:rPr>
        <w:t>والمكونات</w:t>
      </w:r>
      <w:r w:rsidRPr="00362D29">
        <w:rPr>
          <w:rFonts w:ascii="Traditional Arabic" w:eastAsia="Aptos" w:hAnsi="Traditional Arabic" w:cs="Traditional Arabic"/>
          <w:kern w:val="2"/>
          <w:sz w:val="24"/>
          <w:szCs w:val="24"/>
          <w:rtl/>
          <w14:ligatures w14:val="standardContextual"/>
        </w:rPr>
        <w:t xml:space="preserve"> الأساسية التي تشكل تجربة المريض الجيدة. فبينما قد تختلف التسميات أو عدد الأبعاد، إلا أن المحاور الرئيسية مثل </w:t>
      </w:r>
      <w:r w:rsidRPr="00362D29">
        <w:rPr>
          <w:rFonts w:ascii="Traditional Arabic" w:eastAsia="Aptos" w:hAnsi="Traditional Arabic" w:cs="Traditional Arabic"/>
          <w:b/>
          <w:bCs/>
          <w:kern w:val="2"/>
          <w:sz w:val="24"/>
          <w:szCs w:val="24"/>
          <w:rtl/>
          <w14:ligatures w14:val="standardContextual"/>
        </w:rPr>
        <w:t>الوصول السهل للرعاية، والتواصل الفعال، والاحترام المتبادل، وتوفير المعلومات الكافية، وتنسيق الرعاية، والدعم العاطفي، والبيئة المادية المريحة، ومشاركة المريض وعائلته،</w:t>
      </w:r>
      <w:r w:rsidRPr="00362D29">
        <w:rPr>
          <w:rFonts w:ascii="Traditional Arabic" w:eastAsia="Aptos" w:hAnsi="Traditional Arabic" w:cs="Traditional Arabic"/>
          <w:kern w:val="2"/>
          <w:sz w:val="24"/>
          <w:szCs w:val="24"/>
          <w:rtl/>
          <w14:ligatures w14:val="standardContextual"/>
        </w:rPr>
        <w:t xml:space="preserve"> تظل عناصر </w:t>
      </w:r>
      <w:r w:rsidRPr="00362D29">
        <w:rPr>
          <w:rFonts w:ascii="Traditional Arabic" w:eastAsia="Aptos" w:hAnsi="Traditional Arabic" w:cs="Traditional Arabic"/>
          <w:kern w:val="2"/>
          <w:sz w:val="24"/>
          <w:szCs w:val="24"/>
          <w:rtl/>
          <w14:ligatures w14:val="standardContextual"/>
        </w:rPr>
        <w:lastRenderedPageBreak/>
        <w:t xml:space="preserve">ثابتة </w:t>
      </w:r>
      <w:r w:rsidR="00BB11B5" w:rsidRPr="00362D29">
        <w:rPr>
          <w:rFonts w:ascii="Traditional Arabic" w:eastAsia="Aptos" w:hAnsi="Traditional Arabic" w:cs="Traditional Arabic"/>
          <w:kern w:val="2"/>
          <w:sz w:val="24"/>
          <w:szCs w:val="24"/>
          <w:rtl/>
          <w14:ligatures w14:val="standardContextual"/>
        </w:rPr>
        <w:t xml:space="preserve">ومشتركة </w:t>
      </w:r>
      <w:r w:rsidRPr="00362D29">
        <w:rPr>
          <w:rFonts w:ascii="Traditional Arabic" w:eastAsia="Aptos" w:hAnsi="Traditional Arabic" w:cs="Traditional Arabic"/>
          <w:kern w:val="2"/>
          <w:sz w:val="24"/>
          <w:szCs w:val="24"/>
          <w:rtl/>
          <w14:ligatures w14:val="standardContextual"/>
        </w:rPr>
        <w:t xml:space="preserve">وضرورية لتحقيق رعاية صحية </w:t>
      </w:r>
      <w:r w:rsidR="00AC19EB" w:rsidRPr="00362D29">
        <w:rPr>
          <w:rFonts w:ascii="Traditional Arabic" w:eastAsia="Aptos" w:hAnsi="Traditional Arabic" w:cs="Traditional Arabic"/>
          <w:kern w:val="2"/>
          <w:sz w:val="24"/>
          <w:szCs w:val="24"/>
          <w:rtl/>
          <w14:ligatures w14:val="standardContextual"/>
        </w:rPr>
        <w:t>ترتكز على</w:t>
      </w:r>
      <w:r w:rsidRPr="00362D29">
        <w:rPr>
          <w:rFonts w:ascii="Traditional Arabic" w:eastAsia="Aptos" w:hAnsi="Traditional Arabic" w:cs="Traditional Arabic"/>
          <w:kern w:val="2"/>
          <w:sz w:val="24"/>
          <w:szCs w:val="24"/>
          <w:rtl/>
          <w14:ligatures w14:val="standardContextual"/>
        </w:rPr>
        <w:t xml:space="preserve"> المريض. هذه الأبعاد مجتمعة لا تساهم فقط في تحسين </w:t>
      </w:r>
      <w:r w:rsidR="00AC19EB" w:rsidRPr="00362D29">
        <w:rPr>
          <w:rFonts w:ascii="Traditional Arabic" w:eastAsia="Aptos" w:hAnsi="Traditional Arabic" w:cs="Traditional Arabic"/>
          <w:kern w:val="2"/>
          <w:sz w:val="24"/>
          <w:szCs w:val="24"/>
          <w:rtl/>
          <w14:ligatures w14:val="standardContextual"/>
        </w:rPr>
        <w:t>تجربة المرضى</w:t>
      </w:r>
      <w:r w:rsidRPr="00362D29">
        <w:rPr>
          <w:rFonts w:ascii="Traditional Arabic" w:eastAsia="Aptos" w:hAnsi="Traditional Arabic" w:cs="Traditional Arabic"/>
          <w:kern w:val="2"/>
          <w:sz w:val="24"/>
          <w:szCs w:val="24"/>
          <w:rtl/>
          <w14:ligatures w14:val="standardContextual"/>
        </w:rPr>
        <w:t>، بل تمتد لتؤثر إيجاباً على النتائج الصحية وسلامة المرضى وكفاءة النظام الصحي ككل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معهد الطب، 2001).</w:t>
      </w:r>
    </w:p>
    <w:p w14:paraId="78BDB39B" w14:textId="77777777" w:rsidR="00B036D9" w:rsidRPr="00362D29" w:rsidRDefault="00B036D9" w:rsidP="00B036D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5487083E" w14:textId="213C1005" w:rsidR="001F5AC5" w:rsidRPr="00362D29" w:rsidRDefault="00E60B16"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تاسعاً: </w:t>
      </w:r>
      <w:r w:rsidR="001F5AC5" w:rsidRPr="00362D29">
        <w:rPr>
          <w:rFonts w:ascii="Traditional Arabic" w:eastAsia="Aptos" w:hAnsi="Traditional Arabic" w:cs="Traditional Arabic"/>
          <w:b/>
          <w:bCs/>
          <w:kern w:val="2"/>
          <w:sz w:val="28"/>
          <w:szCs w:val="28"/>
          <w:rtl/>
          <w14:ligatures w14:val="standardContextual"/>
        </w:rPr>
        <w:t>أدوات ومقاييس تجربة المريض (</w:t>
      </w:r>
      <w:r w:rsidR="001F5AC5" w:rsidRPr="00362D29">
        <w:rPr>
          <w:rFonts w:ascii="Traditional Arabic" w:eastAsia="Aptos" w:hAnsi="Traditional Arabic" w:cs="Traditional Arabic"/>
          <w:b/>
          <w:bCs/>
          <w:kern w:val="2"/>
          <w:sz w:val="28"/>
          <w:szCs w:val="28"/>
          <w14:ligatures w14:val="standardContextual"/>
        </w:rPr>
        <w:t>Patient Experience Measurement Tools</w:t>
      </w:r>
      <w:r w:rsidR="001F5AC5" w:rsidRPr="00362D29">
        <w:rPr>
          <w:rFonts w:ascii="Traditional Arabic" w:eastAsia="Aptos" w:hAnsi="Traditional Arabic" w:cs="Traditional Arabic"/>
          <w:b/>
          <w:bCs/>
          <w:kern w:val="2"/>
          <w:sz w:val="28"/>
          <w:szCs w:val="28"/>
          <w:rtl/>
          <w14:ligatures w14:val="standardContextual"/>
        </w:rPr>
        <w:t>)</w:t>
      </w:r>
    </w:p>
    <w:p w14:paraId="5B54283C"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مقدمة</w:t>
      </w:r>
    </w:p>
    <w:p w14:paraId="46986D59" w14:textId="56BADC44"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تجربة المريض عنصراً محورياً في تقييم جودة الرعاية الصحية، حيث تعكس مدى استجابة النظام الصحي لاحتياجات وتوقعات المرضى وقيمهم الفردية (</w:t>
      </w:r>
      <w:r w:rsidRPr="00362D29">
        <w:rPr>
          <w:rFonts w:ascii="Traditional Arabic" w:eastAsia="Aptos" w:hAnsi="Traditional Arabic" w:cs="Traditional Arabic"/>
          <w:kern w:val="2"/>
          <w:sz w:val="24"/>
          <w:szCs w:val="24"/>
          <w14:ligatures w14:val="standardContextual"/>
        </w:rPr>
        <w:t>AHRQ, 20</w:t>
      </w:r>
      <w:r w:rsidR="003E4C7F" w:rsidRPr="00362D29">
        <w:rPr>
          <w:rFonts w:ascii="Traditional Arabic" w:eastAsia="Aptos" w:hAnsi="Traditional Arabic" w:cs="Traditional Arabic"/>
          <w:kern w:val="2"/>
          <w:sz w:val="24"/>
          <w:szCs w:val="24"/>
          <w14:ligatures w14:val="standardContextual"/>
        </w:rPr>
        <w:t>25</w:t>
      </w:r>
      <w:r w:rsidRPr="00362D29">
        <w:rPr>
          <w:rFonts w:ascii="Traditional Arabic" w:eastAsia="Aptos" w:hAnsi="Traditional Arabic" w:cs="Traditional Arabic"/>
          <w:kern w:val="2"/>
          <w:sz w:val="24"/>
          <w:szCs w:val="24"/>
          <w:rtl/>
          <w14:ligatures w14:val="standardContextual"/>
        </w:rPr>
        <w:t xml:space="preserve">). ومع تزايد الوعي بأهمية </w:t>
      </w:r>
      <w:r w:rsidR="003E4C7F"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xml:space="preserve">، أصبح قياسها وتحليلها ضرورة استراتيجية للمؤسسات الصحية التي تسعى إلى التميز وتحسين مخرجات الرعاية </w:t>
      </w:r>
      <w:r w:rsidR="00411F72" w:rsidRPr="00362D29">
        <w:rPr>
          <w:rFonts w:ascii="Traditional Arabic" w:eastAsia="Aptos" w:hAnsi="Traditional Arabic" w:cs="Traditional Arabic"/>
          <w:kern w:val="2"/>
          <w:sz w:val="24"/>
          <w:szCs w:val="24"/>
          <w:rtl/>
          <w14:ligatures w14:val="standardContextual"/>
        </w:rPr>
        <w:t>(</w:t>
      </w:r>
      <w:r w:rsidR="00411F72" w:rsidRPr="00362D29">
        <w:rPr>
          <w:rFonts w:ascii="Traditional Arabic" w:eastAsia="Aptos" w:hAnsi="Traditional Arabic" w:cs="Traditional Arabic"/>
          <w:kern w:val="2"/>
          <w:sz w:val="24"/>
          <w:szCs w:val="24"/>
          <w14:ligatures w14:val="standardContextual"/>
        </w:rPr>
        <w:t>Health Academy, 2022</w:t>
      </w:r>
      <w:r w:rsidR="00411F72" w:rsidRPr="00362D29">
        <w:rPr>
          <w:rFonts w:ascii="Traditional Arabic" w:eastAsia="Aptos" w:hAnsi="Traditional Arabic" w:cs="Traditional Arabic"/>
          <w:kern w:val="2"/>
          <w:sz w:val="24"/>
          <w:szCs w:val="24"/>
          <w:rtl/>
          <w14:ligatures w14:val="standardContextual"/>
        </w:rPr>
        <w:t>).</w:t>
      </w:r>
    </w:p>
    <w:p w14:paraId="60A7CA38" w14:textId="4102639F" w:rsidR="001F5AC5" w:rsidRPr="00362D29" w:rsidRDefault="001F5AC5"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قياس</w:t>
      </w:r>
      <w:r w:rsidR="00411F72" w:rsidRPr="00362D29">
        <w:rPr>
          <w:rFonts w:ascii="Traditional Arabic" w:eastAsia="Aptos" w:hAnsi="Traditional Arabic" w:cs="Traditional Arabic"/>
          <w:b/>
          <w:bCs/>
          <w:kern w:val="2"/>
          <w:sz w:val="28"/>
          <w:szCs w:val="28"/>
          <w:rtl/>
          <w14:ligatures w14:val="standardContextual"/>
        </w:rPr>
        <w:t xml:space="preserve"> تجربة المريض:</w:t>
      </w:r>
    </w:p>
    <w:p w14:paraId="2005ACD9"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لا يقتصر قياس تجربة المريض على مجرد جمع البيانات، بل يمثل أداة حيوية لعدة أسباب جوهرية (</w:t>
      </w:r>
      <w:r w:rsidRPr="00362D29">
        <w:rPr>
          <w:rFonts w:ascii="Traditional Arabic" w:eastAsia="Aptos" w:hAnsi="Traditional Arabic" w:cs="Traditional Arabic"/>
          <w:kern w:val="2"/>
          <w:sz w:val="24"/>
          <w:szCs w:val="24"/>
          <w14:ligatures w14:val="standardContextual"/>
        </w:rPr>
        <w:t>The Beryl Institute, 2023</w:t>
      </w:r>
      <w:r w:rsidRPr="00362D29">
        <w:rPr>
          <w:rFonts w:ascii="Traditional Arabic" w:eastAsia="Aptos" w:hAnsi="Traditional Arabic" w:cs="Traditional Arabic"/>
          <w:kern w:val="2"/>
          <w:sz w:val="24"/>
          <w:szCs w:val="24"/>
          <w:rtl/>
          <w14:ligatures w14:val="standardContextual"/>
        </w:rPr>
        <w:t>):</w:t>
      </w:r>
    </w:p>
    <w:p w14:paraId="14C4C6E5"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1</w:t>
      </w:r>
      <w:r w:rsidRPr="00362D29">
        <w:rPr>
          <w:rFonts w:ascii="Traditional Arabic" w:eastAsia="Aptos" w:hAnsi="Traditional Arabic" w:cs="Traditional Arabic"/>
          <w:b/>
          <w:bCs/>
          <w:kern w:val="2"/>
          <w:sz w:val="24"/>
          <w:szCs w:val="24"/>
          <w:rtl/>
          <w14:ligatures w14:val="standardContextual"/>
        </w:rPr>
        <w:t>.تحسين الجودة:</w:t>
      </w:r>
      <w:r w:rsidRPr="00362D29">
        <w:rPr>
          <w:rFonts w:ascii="Traditional Arabic" w:eastAsia="Aptos" w:hAnsi="Traditional Arabic" w:cs="Traditional Arabic"/>
          <w:kern w:val="2"/>
          <w:sz w:val="24"/>
          <w:szCs w:val="24"/>
          <w:rtl/>
          <w14:ligatures w14:val="standardContextual"/>
        </w:rPr>
        <w:t xml:space="preserve"> يوفر القياس المنتظم لتجربة المريض رؤى قيمة حول نقاط القوة والضعف في تقديم الرعاية، مما يمكن المؤسسات من تحديد مجالات التحسين المستمر وتطوير استراتيجيات فعالة لرفع مستوى الجودة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5C0EEC4C"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2.تعزيز رضا المرضى وولائهم:</w:t>
      </w:r>
      <w:r w:rsidRPr="00362D29">
        <w:rPr>
          <w:rFonts w:ascii="Traditional Arabic" w:eastAsia="Aptos" w:hAnsi="Traditional Arabic" w:cs="Traditional Arabic"/>
          <w:kern w:val="2"/>
          <w:sz w:val="24"/>
          <w:szCs w:val="24"/>
          <w:rtl/>
          <w14:ligatures w14:val="standardContextual"/>
        </w:rPr>
        <w:t xml:space="preserve"> من خلال فهم ما يقدره المرضى وما يؤثر في تجربتهم، يمكن للمؤسسات الصحية تصميم خدمات تلبي توقعاتهم، مما يؤدي إلى زيادة رضاهم وولائهم، وبالتالي تعزيز سمعة المؤسسة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w:t>
      </w:r>
    </w:p>
    <w:p w14:paraId="30FD0329" w14:textId="1ABF3FFD" w:rsidR="00F879B0"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3.دعم اتخاذ القرار:</w:t>
      </w:r>
      <w:r w:rsidRPr="00362D29">
        <w:rPr>
          <w:rFonts w:ascii="Traditional Arabic" w:eastAsia="Aptos" w:hAnsi="Traditional Arabic" w:cs="Traditional Arabic"/>
          <w:kern w:val="2"/>
          <w:sz w:val="24"/>
          <w:szCs w:val="24"/>
          <w:rtl/>
          <w14:ligatures w14:val="standardContextual"/>
        </w:rPr>
        <w:t xml:space="preserve"> توفر بيانات تجربة المريض أدلة قوية للقيادات الصحية لاتخاذ قرارات مستنيرة بشأن تخصيص الموارد، وتطوير البرامج، وتدريب الكوادر البشرية، بما يتماشى مع أولويات المرضى </w:t>
      </w:r>
      <w:r w:rsidR="00F879B0" w:rsidRPr="00362D29">
        <w:rPr>
          <w:rFonts w:ascii="Traditional Arabic" w:eastAsia="Aptos" w:hAnsi="Traditional Arabic" w:cs="Traditional Arabic"/>
          <w:kern w:val="2"/>
          <w:sz w:val="24"/>
          <w:szCs w:val="24"/>
          <w:rtl/>
          <w14:ligatures w14:val="standardContextual"/>
        </w:rPr>
        <w:t>(</w:t>
      </w:r>
      <w:r w:rsidR="00F879B0" w:rsidRPr="00362D29">
        <w:rPr>
          <w:rFonts w:ascii="Traditional Arabic" w:eastAsia="Aptos" w:hAnsi="Traditional Arabic" w:cs="Traditional Arabic"/>
          <w:kern w:val="2"/>
          <w:sz w:val="24"/>
          <w:szCs w:val="24"/>
          <w14:ligatures w14:val="standardContextual"/>
        </w:rPr>
        <w:t>Health Academy, 2022</w:t>
      </w:r>
      <w:r w:rsidR="00F879B0" w:rsidRPr="00362D29">
        <w:rPr>
          <w:rFonts w:ascii="Traditional Arabic" w:eastAsia="Aptos" w:hAnsi="Traditional Arabic" w:cs="Traditional Arabic"/>
          <w:kern w:val="2"/>
          <w:sz w:val="24"/>
          <w:szCs w:val="24"/>
          <w:rtl/>
          <w14:ligatures w14:val="standardContextual"/>
        </w:rPr>
        <w:t>).</w:t>
      </w:r>
    </w:p>
    <w:p w14:paraId="6DED2B6D" w14:textId="0457A261"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4.تحقيق الأهداف الاستراتيجية: </w:t>
      </w:r>
      <w:r w:rsidRPr="00362D29">
        <w:rPr>
          <w:rFonts w:ascii="Traditional Arabic" w:eastAsia="Aptos" w:hAnsi="Traditional Arabic" w:cs="Traditional Arabic"/>
          <w:kern w:val="2"/>
          <w:sz w:val="24"/>
          <w:szCs w:val="24"/>
          <w:rtl/>
          <w14:ligatures w14:val="standardContextual"/>
        </w:rPr>
        <w:t>يساهم قياس تجربة المريض بشكل مباشر في تحقيق أهداف أوسع مثل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الذي يركز على تحسين صحة السكان، وخفض التكاليف، وتحسين تجربة الرعاية (</w:t>
      </w:r>
      <w:r w:rsidRPr="00362D29">
        <w:rPr>
          <w:rFonts w:ascii="Traditional Arabic" w:eastAsia="Aptos" w:hAnsi="Traditional Arabic" w:cs="Traditional Arabic"/>
          <w:kern w:val="2"/>
          <w:sz w:val="24"/>
          <w:szCs w:val="24"/>
          <w14:ligatures w14:val="standardContextual"/>
        </w:rPr>
        <w:t>IHI, 2024</w:t>
      </w:r>
      <w:r w:rsidRPr="00362D29">
        <w:rPr>
          <w:rFonts w:ascii="Traditional Arabic" w:eastAsia="Aptos" w:hAnsi="Traditional Arabic" w:cs="Traditional Arabic"/>
          <w:kern w:val="2"/>
          <w:sz w:val="24"/>
          <w:szCs w:val="24"/>
          <w:rtl/>
          <w14:ligatures w14:val="standardContextual"/>
        </w:rPr>
        <w:t>).</w:t>
      </w:r>
    </w:p>
    <w:p w14:paraId="3EA7EFB5" w14:textId="35915976"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5.المساءلة والشفافية: </w:t>
      </w:r>
      <w:r w:rsidRPr="00362D29">
        <w:rPr>
          <w:rFonts w:ascii="Traditional Arabic" w:eastAsia="Aptos" w:hAnsi="Traditional Arabic" w:cs="Traditional Arabic"/>
          <w:kern w:val="2"/>
          <w:sz w:val="24"/>
          <w:szCs w:val="24"/>
          <w:rtl/>
          <w14:ligatures w14:val="standardContextual"/>
        </w:rPr>
        <w:t>تتيح المقاييس الموحدة لتجربة المريض إمكانية مقارنة الأداء بين المؤسسات المختلفة، مما يعزز الشفافية والمساءلة، ويدفع نحو التنافس الإيجابي لتحقيق أفضل النتائج (</w:t>
      </w:r>
      <w:r w:rsidRPr="00362D29">
        <w:rPr>
          <w:rFonts w:ascii="Traditional Arabic" w:eastAsia="Aptos" w:hAnsi="Traditional Arabic" w:cs="Traditional Arabic"/>
          <w:kern w:val="2"/>
          <w:sz w:val="24"/>
          <w:szCs w:val="24"/>
          <w14:ligatures w14:val="standardContextual"/>
        </w:rPr>
        <w:t>AHRQ, 20</w:t>
      </w:r>
      <w:r w:rsidR="000E682F" w:rsidRPr="00362D29">
        <w:rPr>
          <w:rFonts w:ascii="Traditional Arabic" w:eastAsia="Aptos" w:hAnsi="Traditional Arabic" w:cs="Traditional Arabic"/>
          <w:kern w:val="2"/>
          <w:sz w:val="24"/>
          <w:szCs w:val="24"/>
          <w14:ligatures w14:val="standardContextual"/>
        </w:rPr>
        <w:t>25</w:t>
      </w:r>
      <w:r w:rsidRPr="00362D29">
        <w:rPr>
          <w:rFonts w:ascii="Traditional Arabic" w:eastAsia="Aptos" w:hAnsi="Traditional Arabic" w:cs="Traditional Arabic"/>
          <w:kern w:val="2"/>
          <w:sz w:val="24"/>
          <w:szCs w:val="24"/>
          <w:rtl/>
          <w14:ligatures w14:val="standardContextual"/>
        </w:rPr>
        <w:t>).</w:t>
      </w:r>
    </w:p>
    <w:p w14:paraId="2807A6D8" w14:textId="77777777" w:rsidR="008613ED" w:rsidRPr="00362D29" w:rsidRDefault="00861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BA3B703" w14:textId="54B28A64" w:rsidR="001F5AC5" w:rsidRPr="00362D29" w:rsidRDefault="00861C35" w:rsidP="00C42472">
      <w:pPr>
        <w:pStyle w:val="ab"/>
        <w:numPr>
          <w:ilvl w:val="0"/>
          <w:numId w:val="41"/>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مقاييس تجربة المريض</w:t>
      </w:r>
    </w:p>
    <w:p w14:paraId="62B0DA22" w14:textId="0B713A26"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عند قياس تجربة المريض، لا ينصب التركيز على الرضا العام فحسب، بل يتجاوزه إلى تقييم الأبعاد النوعية التي تشكل هذه التجربة. وتتضمن هذه الأبعاد مجموعة واسعة من التفاعلات والعوامل التي تؤثر في تصور المريض للرعاية، مثل جودة التواصل مع الأطباء والممرضين، وسهولة الوصول إلى الخدمات، واحترام الموظفين، وتوفير المعلومات الكافية، والبيئة المادية للمنشأة، والدعم العاطفي، ومشاركة المريض في اتخاذ القرارات المتعلقة برعايته </w:t>
      </w:r>
      <w:r w:rsidR="00EC2B31" w:rsidRPr="00362D29">
        <w:rPr>
          <w:rFonts w:ascii="Traditional Arabic" w:eastAsia="Aptos" w:hAnsi="Traditional Arabic" w:cs="Traditional Arabic"/>
          <w:kern w:val="2"/>
          <w:sz w:val="24"/>
          <w:szCs w:val="24"/>
          <w:rtl/>
          <w14:ligatures w14:val="standardContextual"/>
        </w:rPr>
        <w:t>(</w:t>
      </w:r>
      <w:r w:rsidR="00EC2B31"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rtl/>
          <w14:ligatures w14:val="standardContextual"/>
        </w:rPr>
        <w:t>).</w:t>
      </w:r>
    </w:p>
    <w:p w14:paraId="5C8F2E0D" w14:textId="29A12342"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ولتحقيق قياس دقيق وفعال لهذه </w:t>
      </w:r>
      <w:proofErr w:type="gramStart"/>
      <w:r w:rsidRPr="00362D29">
        <w:rPr>
          <w:rFonts w:ascii="Traditional Arabic" w:eastAsia="Aptos" w:hAnsi="Traditional Arabic" w:cs="Traditional Arabic"/>
          <w:kern w:val="2"/>
          <w:sz w:val="24"/>
          <w:szCs w:val="24"/>
          <w:rtl/>
          <w14:ligatures w14:val="standardContextual"/>
        </w:rPr>
        <w:t>الابعاد ،</w:t>
      </w:r>
      <w:proofErr w:type="gramEnd"/>
      <w:r w:rsidRPr="00362D29">
        <w:rPr>
          <w:rFonts w:ascii="Traditional Arabic" w:eastAsia="Aptos" w:hAnsi="Traditional Arabic" w:cs="Traditional Arabic"/>
          <w:kern w:val="2"/>
          <w:sz w:val="24"/>
          <w:szCs w:val="24"/>
          <w:rtl/>
          <w14:ligatures w14:val="standardContextual"/>
        </w:rPr>
        <w:t xml:space="preserve"> تعتمد المؤسسات الصحية الرائدة على </w:t>
      </w:r>
      <w:r w:rsidRPr="00362D29">
        <w:rPr>
          <w:rFonts w:ascii="Traditional Arabic" w:eastAsia="Aptos" w:hAnsi="Traditional Arabic" w:cs="Traditional Arabic"/>
          <w:b/>
          <w:bCs/>
          <w:kern w:val="2"/>
          <w:sz w:val="24"/>
          <w:szCs w:val="24"/>
          <w:rtl/>
          <w14:ligatures w14:val="standardContextual"/>
        </w:rPr>
        <w:t xml:space="preserve">خمسة </w:t>
      </w:r>
      <w:r w:rsidR="00255A57" w:rsidRPr="00362D29">
        <w:rPr>
          <w:rFonts w:ascii="Traditional Arabic" w:eastAsia="Aptos" w:hAnsi="Traditional Arabic" w:cs="Traditional Arabic"/>
          <w:b/>
          <w:bCs/>
          <w:kern w:val="2"/>
          <w:sz w:val="24"/>
          <w:szCs w:val="24"/>
          <w:rtl/>
          <w14:ligatures w14:val="standardContextual"/>
        </w:rPr>
        <w:t>مقاييس</w:t>
      </w:r>
      <w:r w:rsidRPr="00362D29">
        <w:rPr>
          <w:rFonts w:ascii="Traditional Arabic" w:eastAsia="Aptos" w:hAnsi="Traditional Arabic" w:cs="Traditional Arabic"/>
          <w:b/>
          <w:bCs/>
          <w:kern w:val="2"/>
          <w:sz w:val="24"/>
          <w:szCs w:val="24"/>
          <w:rtl/>
          <w14:ligatures w14:val="standardContextual"/>
        </w:rPr>
        <w:t xml:space="preserve"> رئيسية</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Key Metrics</w:t>
      </w:r>
      <w:r w:rsidRPr="00362D29">
        <w:rPr>
          <w:rFonts w:ascii="Traditional Arabic" w:eastAsia="Aptos" w:hAnsi="Traditional Arabic" w:cs="Traditional Arabic"/>
          <w:kern w:val="2"/>
          <w:sz w:val="24"/>
          <w:szCs w:val="24"/>
          <w:rtl/>
          <w14:ligatures w14:val="standardContextual"/>
        </w:rPr>
        <w:t>) تساهم في تقديم صورة متكاملة عن جودة التجربة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7BE6913F"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1.صافي نقاط الترويج (</w:t>
      </w:r>
      <w:r w:rsidRPr="00362D29">
        <w:rPr>
          <w:rFonts w:ascii="Traditional Arabic" w:eastAsia="Aptos" w:hAnsi="Traditional Arabic" w:cs="Traditional Arabic"/>
          <w:b/>
          <w:bCs/>
          <w:kern w:val="2"/>
          <w:sz w:val="24"/>
          <w:szCs w:val="24"/>
          <w14:ligatures w14:val="standardContextual"/>
        </w:rPr>
        <w:t>Net Promoter Score - NPS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يقيس مدى احتمالية توصية المريض بالمنشأة الصحية للآخرين على مقياس من (0-10). يُعد هذا المؤشر مقياساً جوهرياً للولاء المؤسسي، حيث تشير الدرجات المرتفعة إلى ثقة المريض وتجربته الإيجابية العميقة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575F06A3" w14:textId="53B0D13B"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2.معدل الاستجابة (</w:t>
      </w:r>
      <w:r w:rsidRPr="00362D29">
        <w:rPr>
          <w:rFonts w:ascii="Traditional Arabic" w:eastAsia="Aptos" w:hAnsi="Traditional Arabic" w:cs="Traditional Arabic"/>
          <w:b/>
          <w:bCs/>
          <w:kern w:val="2"/>
          <w:sz w:val="24"/>
          <w:szCs w:val="24"/>
          <w14:ligatures w14:val="standardContextual"/>
        </w:rPr>
        <w:t>Response Rate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يتتبع النسبة المئوية للمرضى الذين أكملوا الاستبيانات من إجمالي المدعوين. يعكس هذا المؤشر مدى فاعلية استراتيجيات إشراك المريض، حيث يضمن المعدل المرتفع تمثيلاً حقيقياً لكافة فئات المرضى ويقلل من انحياز البيانات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009578F1"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w:t>
      </w:r>
    </w:p>
    <w:p w14:paraId="738E72A7"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3.درجة الرضا العام (</w:t>
      </w:r>
      <w:r w:rsidRPr="00362D29">
        <w:rPr>
          <w:rFonts w:ascii="Traditional Arabic" w:eastAsia="Aptos" w:hAnsi="Traditional Arabic" w:cs="Traditional Arabic"/>
          <w:b/>
          <w:bCs/>
          <w:kern w:val="2"/>
          <w:sz w:val="24"/>
          <w:szCs w:val="24"/>
          <w14:ligatures w14:val="standardContextual"/>
        </w:rPr>
        <w:t>Overall Satisfaction Score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تقييم مباشر وشامل لتصور المريض العام عن جودة الرعاية التي تلقاها. يعمل هذا المؤشر كبارومتر سريع لتحديد الأقسام أو المواقع التي تحتاج إلى تدخلات تحسينية فورية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w:t>
      </w:r>
    </w:p>
    <w:p w14:paraId="3AD16FE6"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4.تجربة التفاعل مع مقدم الخدمة (</w:t>
      </w:r>
      <w:r w:rsidRPr="00362D29">
        <w:rPr>
          <w:rFonts w:ascii="Traditional Arabic" w:eastAsia="Aptos" w:hAnsi="Traditional Arabic" w:cs="Traditional Arabic"/>
          <w:b/>
          <w:bCs/>
          <w:kern w:val="2"/>
          <w:sz w:val="24"/>
          <w:szCs w:val="24"/>
          <w14:ligatures w14:val="standardContextual"/>
        </w:rPr>
        <w:t>Experience with Provider</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يركز بشكل خاص على جودة التواصل، والتعاطف، والمهنية التي أظهرها الفريق الطبي. يُعد هذا المؤشر حاسماً لبناء الثقة وتعزيز التزام المريض بالخطة العلاجية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rtl/>
          <w14:ligatures w14:val="standardContextual"/>
        </w:rPr>
        <w:t>).</w:t>
      </w:r>
    </w:p>
    <w:p w14:paraId="0FBE8E85"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5.المؤشرات التشغيلية المتغيرة (</w:t>
      </w:r>
      <w:r w:rsidRPr="00362D29">
        <w:rPr>
          <w:rFonts w:ascii="Traditional Arabic" w:eastAsia="Aptos" w:hAnsi="Traditional Arabic" w:cs="Traditional Arabic"/>
          <w:b/>
          <w:bCs/>
          <w:kern w:val="2"/>
          <w:sz w:val="24"/>
          <w:szCs w:val="24"/>
          <w14:ligatures w14:val="standardContextual"/>
        </w:rPr>
        <w:t>Rotating Initiative Questions</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وهي أسئلة مخصصة تهدف إلى قياس مبادرات محددة مثل "تقليل وقت الانتظار" أو "نظافة المرافق". تتيح هذه الأسئلة للمؤسسة المرونة في تتبع مدى نجاح استراتيجيات التحسين المؤقتة أو المستهدفة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52614FFD" w14:textId="77777777" w:rsidR="0025291F" w:rsidRPr="00362D29" w:rsidRDefault="0025291F"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35AD47B5" w14:textId="7413256A" w:rsidR="001F5AC5" w:rsidRPr="00CB607B" w:rsidRDefault="001F5AC5" w:rsidP="00C42472">
      <w:pPr>
        <w:pStyle w:val="ab"/>
        <w:numPr>
          <w:ilvl w:val="0"/>
          <w:numId w:val="43"/>
        </w:numPr>
        <w:bidi/>
        <w:spacing w:before="0" w:after="160" w:line="360" w:lineRule="auto"/>
        <w:jc w:val="both"/>
        <w:rPr>
          <w:rFonts w:ascii="Traditional Arabic" w:eastAsia="Aptos" w:hAnsi="Traditional Arabic" w:cs="Traditional Arabic"/>
          <w:b/>
          <w:bCs/>
          <w:color w:val="FF0000"/>
          <w:kern w:val="2"/>
          <w:sz w:val="28"/>
          <w:szCs w:val="28"/>
          <w:rtl/>
          <w14:ligatures w14:val="standardContextual"/>
        </w:rPr>
      </w:pPr>
      <w:commentRangeStart w:id="9"/>
      <w:r w:rsidRPr="00CB607B">
        <w:rPr>
          <w:rFonts w:ascii="Traditional Arabic" w:eastAsia="Aptos" w:hAnsi="Traditional Arabic" w:cs="Traditional Arabic"/>
          <w:b/>
          <w:bCs/>
          <w:color w:val="FF0000"/>
          <w:kern w:val="2"/>
          <w:sz w:val="28"/>
          <w:szCs w:val="28"/>
          <w:rtl/>
          <w14:ligatures w14:val="standardContextual"/>
        </w:rPr>
        <w:lastRenderedPageBreak/>
        <w:t>أدوات ومقاييس تجربة المريض</w:t>
      </w:r>
      <w:commentRangeEnd w:id="9"/>
      <w:r w:rsidR="00CB607B">
        <w:rPr>
          <w:rStyle w:val="ac"/>
          <w:rtl/>
        </w:rPr>
        <w:commentReference w:id="9"/>
      </w:r>
    </w:p>
    <w:p w14:paraId="53A4C02C"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يتطلب القياس الفعال لتجربة المريض استخدام أدوات ومقاييس موثوقة وصالحة، قادرة على التقاط تعقيدات هذه التجربة من منظور المريض. وقد تطورت العديد من هذه الأدوات على المستويين العالمي والمحلي، لتوفير بيانات قابلة للتحليل والتحويل إلى إجراءات تحسين ملموسة. ومن أبرز هذه الأدوات:</w:t>
      </w:r>
    </w:p>
    <w:p w14:paraId="726D3485"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1. استبيانات </w:t>
      </w:r>
      <w:r w:rsidRPr="00362D29">
        <w:rPr>
          <w:rFonts w:ascii="Traditional Arabic" w:eastAsia="Aptos" w:hAnsi="Traditional Arabic" w:cs="Traditional Arabic"/>
          <w:b/>
          <w:bCs/>
          <w:kern w:val="2"/>
          <w:sz w:val="24"/>
          <w:szCs w:val="24"/>
          <w14:ligatures w14:val="standardContextual"/>
        </w:rPr>
        <w:t>CAHPS (Consumer Assessment of Healthcare Providers and Systems)</w:t>
      </w:r>
    </w:p>
    <w:p w14:paraId="6284B8AB" w14:textId="0FA92BDB"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تُعد استبيانات </w:t>
      </w:r>
      <w:r w:rsidRPr="00362D29">
        <w:rPr>
          <w:rFonts w:ascii="Traditional Arabic" w:eastAsia="Aptos" w:hAnsi="Traditional Arabic" w:cs="Traditional Arabic"/>
          <w:b/>
          <w:bCs/>
          <w:kern w:val="2"/>
          <w:sz w:val="24"/>
          <w:szCs w:val="24"/>
          <w14:ligatures w14:val="standardContextual"/>
        </w:rPr>
        <w:t>CAHPS</w:t>
      </w:r>
      <w:r w:rsidRPr="00362D29">
        <w:rPr>
          <w:rFonts w:ascii="Traditional Arabic" w:eastAsia="Aptos" w:hAnsi="Traditional Arabic" w:cs="Traditional Arabic"/>
          <w:b/>
          <w:bCs/>
          <w:kern w:val="2"/>
          <w:sz w:val="24"/>
          <w:szCs w:val="24"/>
          <w:rtl/>
          <w14:ligatures w14:val="standardContextual"/>
        </w:rPr>
        <w:t xml:space="preserve"> </w:t>
      </w:r>
      <w:r w:rsidR="00D9795E" w:rsidRPr="00362D29">
        <w:rPr>
          <w:rFonts w:ascii="Traditional Arabic" w:eastAsia="Aptos" w:hAnsi="Traditional Arabic" w:cs="Traditional Arabic"/>
          <w:b/>
          <w:bCs/>
          <w:kern w:val="2"/>
          <w:sz w:val="24"/>
          <w:szCs w:val="24"/>
          <w:rtl/>
          <w14:ligatures w14:val="standardContextual"/>
        </w:rPr>
        <w:t xml:space="preserve">(تقييم المستفيد لمقدمي الرعاية الصحية والأنظمة) </w:t>
      </w:r>
      <w:r w:rsidRPr="00362D29">
        <w:rPr>
          <w:rFonts w:ascii="Traditional Arabic" w:eastAsia="Aptos" w:hAnsi="Traditional Arabic" w:cs="Traditional Arabic"/>
          <w:kern w:val="2"/>
          <w:sz w:val="24"/>
          <w:szCs w:val="24"/>
          <w:rtl/>
          <w14:ligatures w14:val="standardContextual"/>
        </w:rPr>
        <w:t xml:space="preserve">المعيار الذهبي العالمي لقياس تجربة المريض، حيث صُممت لتقديم تقييم موضوعي لجودة الرعاية من منظور المستفيد. وفيما يلي تفصيل لأبرز أنواعها ومواصفاتها الفنية المحدثة </w:t>
      </w:r>
      <w:r w:rsidR="000870C7" w:rsidRPr="00362D29">
        <w:rPr>
          <w:rFonts w:ascii="Traditional Arabic" w:eastAsia="Aptos" w:hAnsi="Traditional Arabic" w:cs="Traditional Arabic"/>
          <w:kern w:val="2"/>
          <w:sz w:val="24"/>
          <w:szCs w:val="24"/>
          <w:rtl/>
          <w14:ligatures w14:val="standardContextual"/>
        </w:rPr>
        <w:t>(</w:t>
      </w:r>
      <w:r w:rsidR="000870C7" w:rsidRPr="00362D29">
        <w:rPr>
          <w:rFonts w:ascii="Traditional Arabic" w:eastAsia="Aptos" w:hAnsi="Traditional Arabic" w:cs="Traditional Arabic"/>
          <w:kern w:val="2"/>
          <w:sz w:val="24"/>
          <w:szCs w:val="24"/>
          <w14:ligatures w14:val="standardContextual"/>
        </w:rPr>
        <w:t>AHRQ, 2025</w:t>
      </w:r>
      <w:r w:rsidR="000870C7" w:rsidRPr="00362D29">
        <w:rPr>
          <w:rFonts w:ascii="Traditional Arabic" w:eastAsia="Aptos" w:hAnsi="Traditional Arabic" w:cs="Traditional Arabic"/>
          <w:kern w:val="2"/>
          <w:sz w:val="24"/>
          <w:szCs w:val="24"/>
          <w:rtl/>
          <w14:ligatures w14:val="standardContextual"/>
        </w:rPr>
        <w:t>):</w:t>
      </w:r>
    </w:p>
    <w:p w14:paraId="18AD56C2"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أ. استبيان </w:t>
      </w:r>
      <w:r w:rsidRPr="00362D29">
        <w:rPr>
          <w:rFonts w:ascii="Traditional Arabic" w:eastAsia="Aptos" w:hAnsi="Traditional Arabic" w:cs="Traditional Arabic"/>
          <w:b/>
          <w:bCs/>
          <w:kern w:val="2"/>
          <w:sz w:val="24"/>
          <w:szCs w:val="24"/>
          <w14:ligatures w14:val="standardContextual"/>
        </w:rPr>
        <w:t>HCAHPS</w:t>
      </w:r>
      <w:r w:rsidRPr="00362D29">
        <w:rPr>
          <w:rFonts w:ascii="Traditional Arabic" w:eastAsia="Aptos" w:hAnsi="Traditional Arabic" w:cs="Traditional Arabic"/>
          <w:b/>
          <w:bCs/>
          <w:kern w:val="2"/>
          <w:sz w:val="24"/>
          <w:szCs w:val="24"/>
          <w:rtl/>
          <w14:ligatures w14:val="standardContextual"/>
        </w:rPr>
        <w:t xml:space="preserve"> (خاص بالمرضى المنومين في المستشفيات):</w:t>
      </w:r>
    </w:p>
    <w:p w14:paraId="6C910BC2" w14:textId="65FEE6CC" w:rsidR="00005FAF" w:rsidRPr="00362D29" w:rsidRDefault="00005FAF"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w:t>
      </w:r>
      <w:r w:rsidR="00DE40C8" w:rsidRPr="00362D29">
        <w:rPr>
          <w:rFonts w:ascii="Traditional Arabic" w:eastAsia="Aptos" w:hAnsi="Traditional Arabic" w:cs="Traditional Arabic"/>
          <w:b/>
          <w:bCs/>
          <w:kern w:val="2"/>
          <w:sz w:val="24"/>
          <w:szCs w:val="24"/>
          <w:rtl/>
          <w14:ligatures w14:val="standardContextual"/>
        </w:rPr>
        <w:t xml:space="preserve"> والهدف</w:t>
      </w:r>
      <w:r w:rsidRPr="00362D29">
        <w:rPr>
          <w:rFonts w:ascii="Traditional Arabic" w:eastAsia="Aptos" w:hAnsi="Traditional Arabic" w:cs="Traditional Arabic"/>
          <w:b/>
          <w:bCs/>
          <w:kern w:val="2"/>
          <w:sz w:val="24"/>
          <w:szCs w:val="24"/>
          <w:rtl/>
          <w14:ligatures w14:val="standardContextual"/>
        </w:rPr>
        <w:t>:</w:t>
      </w:r>
      <w:r w:rsidR="00465B46" w:rsidRPr="00362D29">
        <w:rPr>
          <w:rFonts w:ascii="Traditional Arabic" w:hAnsi="Traditional Arabic" w:cs="Traditional Arabic"/>
          <w:rtl/>
        </w:rPr>
        <w:t xml:space="preserve"> </w:t>
      </w:r>
      <w:r w:rsidR="00465B46" w:rsidRPr="00362D29">
        <w:rPr>
          <w:rFonts w:ascii="Traditional Arabic" w:eastAsia="Aptos" w:hAnsi="Traditional Arabic" w:cs="Traditional Arabic"/>
          <w:kern w:val="2"/>
          <w:sz w:val="24"/>
          <w:szCs w:val="24"/>
          <w:rtl/>
          <w14:ligatures w14:val="standardContextual"/>
        </w:rPr>
        <w:t xml:space="preserve">طُوِّر استبيان </w:t>
      </w:r>
      <w:r w:rsidR="00465B46" w:rsidRPr="00362D29">
        <w:rPr>
          <w:rFonts w:ascii="Traditional Arabic" w:eastAsia="Aptos" w:hAnsi="Traditional Arabic" w:cs="Traditional Arabic"/>
          <w:kern w:val="2"/>
          <w:sz w:val="24"/>
          <w:szCs w:val="24"/>
          <w14:ligatures w14:val="standardContextual"/>
        </w:rPr>
        <w:t>HCAHPS</w:t>
      </w:r>
      <w:r w:rsidR="00465B46" w:rsidRPr="00362D29">
        <w:rPr>
          <w:rFonts w:ascii="Traditional Arabic" w:eastAsia="Aptos" w:hAnsi="Traditional Arabic" w:cs="Traditional Arabic"/>
          <w:kern w:val="2"/>
          <w:sz w:val="24"/>
          <w:szCs w:val="24"/>
          <w:rtl/>
          <w14:ligatures w14:val="standardContextual"/>
        </w:rPr>
        <w:t xml:space="preserve"> (تقييم المستهلكين لمقدمي الرعاية الصحية وأنظمتها في المستشفيات) من قِبَل مراكز خدمات الرعاية الطبية والرعاية الصحية </w:t>
      </w:r>
      <w:r w:rsidR="00363A4F" w:rsidRPr="00362D29">
        <w:rPr>
          <w:rFonts w:ascii="Traditional Arabic" w:eastAsia="Aptos" w:hAnsi="Traditional Arabic" w:cs="Traditional Arabic"/>
          <w:kern w:val="2"/>
          <w:sz w:val="24"/>
          <w:szCs w:val="24"/>
          <w14:ligatures w14:val="standardContextual"/>
        </w:rPr>
        <w:t>The Centers for Medicare &amp; Medicaid Services (CMS)</w:t>
      </w:r>
      <w:r w:rsidR="00363A4F" w:rsidRPr="00362D29">
        <w:rPr>
          <w:rFonts w:ascii="Traditional Arabic" w:eastAsia="Aptos" w:hAnsi="Traditional Arabic" w:cs="Traditional Arabic"/>
          <w:kern w:val="2"/>
          <w:sz w:val="24"/>
          <w:szCs w:val="24"/>
          <w:rtl/>
          <w14:ligatures w14:val="standardContextual"/>
        </w:rPr>
        <w:t xml:space="preserve"> </w:t>
      </w:r>
      <w:r w:rsidR="00465B46" w:rsidRPr="00362D29">
        <w:rPr>
          <w:rFonts w:ascii="Traditional Arabic" w:eastAsia="Aptos" w:hAnsi="Traditional Arabic" w:cs="Traditional Arabic"/>
          <w:kern w:val="2"/>
          <w:sz w:val="24"/>
          <w:szCs w:val="24"/>
          <w:rtl/>
          <w14:ligatures w14:val="standardContextual"/>
        </w:rPr>
        <w:t xml:space="preserve">ووكالة أبحاث وجودة الرعاية الصحية </w:t>
      </w:r>
      <w:r w:rsidR="0098456E" w:rsidRPr="00362D29">
        <w:rPr>
          <w:rFonts w:ascii="Traditional Arabic" w:eastAsia="Aptos" w:hAnsi="Traditional Arabic" w:cs="Traditional Arabic"/>
          <w:kern w:val="2"/>
          <w:sz w:val="24"/>
          <w:szCs w:val="24"/>
          <w14:ligatures w14:val="standardContextual"/>
        </w:rPr>
        <w:t>The Agency for Healthcare Research and Quality (AHRQ)</w:t>
      </w:r>
      <w:r w:rsidR="00465B46" w:rsidRPr="00362D29">
        <w:rPr>
          <w:rFonts w:ascii="Traditional Arabic" w:eastAsia="Aptos" w:hAnsi="Traditional Arabic" w:cs="Traditional Arabic"/>
          <w:kern w:val="2"/>
          <w:sz w:val="24"/>
          <w:szCs w:val="24"/>
          <w:rtl/>
          <w14:ligatures w14:val="standardContextual"/>
        </w:rPr>
        <w:t xml:space="preserve"> في عام 2002 لتوحيد قياس وجهات نظر المرضى حول الرعاية المقدمة في المستشفيات. وقد اعتُمد رسميًا في مايو 2005، وطُبِّق على الصعيد الوطني من قِبَل مراكز خدمات الرعاية الطبية والرعاية الصحية (</w:t>
      </w:r>
      <w:r w:rsidR="00465B46" w:rsidRPr="00362D29">
        <w:rPr>
          <w:rFonts w:ascii="Traditional Arabic" w:eastAsia="Aptos" w:hAnsi="Traditional Arabic" w:cs="Traditional Arabic"/>
          <w:kern w:val="2"/>
          <w:sz w:val="24"/>
          <w:szCs w:val="24"/>
          <w14:ligatures w14:val="standardContextual"/>
        </w:rPr>
        <w:t>CMS</w:t>
      </w:r>
      <w:r w:rsidR="00465B46" w:rsidRPr="00362D29">
        <w:rPr>
          <w:rFonts w:ascii="Traditional Arabic" w:eastAsia="Aptos" w:hAnsi="Traditional Arabic" w:cs="Traditional Arabic"/>
          <w:kern w:val="2"/>
          <w:sz w:val="24"/>
          <w:szCs w:val="24"/>
          <w:rtl/>
          <w14:ligatures w14:val="standardContextual"/>
        </w:rPr>
        <w:t>) في أكتوبر 2006، مع أول نشر علني للبيانات في مارس 2008</w:t>
      </w:r>
      <w:r w:rsidR="00D167C5" w:rsidRPr="00362D29">
        <w:rPr>
          <w:rFonts w:ascii="Traditional Arabic" w:eastAsia="Aptos" w:hAnsi="Traditional Arabic" w:cs="Traditional Arabic"/>
          <w:kern w:val="2"/>
          <w:sz w:val="24"/>
          <w:szCs w:val="24"/>
          <w:rtl/>
          <w14:ligatures w14:val="standardContextual"/>
        </w:rPr>
        <w:t>(</w:t>
      </w:r>
      <w:r w:rsidR="00D167C5" w:rsidRPr="00362D29">
        <w:rPr>
          <w:rFonts w:ascii="Traditional Arabic" w:eastAsia="Aptos" w:hAnsi="Traditional Arabic" w:cs="Traditional Arabic"/>
          <w:kern w:val="2"/>
          <w:sz w:val="24"/>
          <w:szCs w:val="24"/>
          <w14:ligatures w14:val="standardContextual"/>
        </w:rPr>
        <w:t>CMS, 2025</w:t>
      </w:r>
      <w:r w:rsidR="00D167C5" w:rsidRPr="00362D29">
        <w:rPr>
          <w:rFonts w:ascii="Traditional Arabic" w:eastAsia="Aptos" w:hAnsi="Traditional Arabic" w:cs="Traditional Arabic"/>
          <w:kern w:val="2"/>
          <w:sz w:val="24"/>
          <w:szCs w:val="24"/>
          <w:rtl/>
          <w14:ligatures w14:val="standardContextual"/>
        </w:rPr>
        <w:t>).</w:t>
      </w:r>
    </w:p>
    <w:p w14:paraId="4CE613C3"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والمحاور: </w:t>
      </w:r>
      <w:r w:rsidRPr="00362D29">
        <w:rPr>
          <w:rFonts w:ascii="Traditional Arabic" w:eastAsia="Aptos" w:hAnsi="Traditional Arabic" w:cs="Traditional Arabic"/>
          <w:kern w:val="2"/>
          <w:sz w:val="24"/>
          <w:szCs w:val="24"/>
          <w:rtl/>
          <w14:ligatures w14:val="standardContextual"/>
        </w:rPr>
        <w:t>يركز الاستبيان على 10 محاور رئيسية تشمل: التواصل مع الممرضين، التواصل مع الأطباء، استجابة طاقم المستشفى، نظافة البيئة، هدوء البيئة، التواصل حول الأدوية، معلومات الخروج، التنسيق عند الانتقال من الرعاية، التقييم العام للمستشفى، ومدى الرغبة في التوصية بالمستشفى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3190FE07"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•عدد الأسئلة: </w:t>
      </w:r>
      <w:r w:rsidRPr="00362D29">
        <w:rPr>
          <w:rFonts w:ascii="Traditional Arabic" w:eastAsia="Aptos" w:hAnsi="Traditional Arabic" w:cs="Traditional Arabic"/>
          <w:kern w:val="2"/>
          <w:sz w:val="24"/>
          <w:szCs w:val="24"/>
          <w:rtl/>
          <w14:ligatures w14:val="standardContextual"/>
        </w:rPr>
        <w:t>يتكون الاستبيان المحدث لعام 2025 من 32 سؤالاً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226E1262"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التوزيع: </w:t>
      </w:r>
      <w:r w:rsidRPr="00362D29">
        <w:rPr>
          <w:rFonts w:ascii="Traditional Arabic" w:eastAsia="Aptos" w:hAnsi="Traditional Arabic" w:cs="Traditional Arabic"/>
          <w:kern w:val="2"/>
          <w:sz w:val="24"/>
          <w:szCs w:val="24"/>
          <w:rtl/>
          <w14:ligatures w14:val="standardContextual"/>
        </w:rPr>
        <w:t>يتم تنفيذه عبر ستة أنماط معتمدة: البريد الورقي، الهاتف، البريد مع متابعة هاتفية، والأنماط الرقمية (الويب مع متابعة بريدية أو هاتفية)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73C40A26"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يتم إرسال الاستبيان لعينة عشوائية من المرضى البالغين في فترة تتراوح بين 48 ساعة إلى 6 أسابيع بعد الخروج من المستشفى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42C637C2"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 xml:space="preserve">•المدة المسموحة: </w:t>
      </w:r>
      <w:r w:rsidRPr="00362D29">
        <w:rPr>
          <w:rFonts w:ascii="Traditional Arabic" w:eastAsia="Aptos" w:hAnsi="Traditional Arabic" w:cs="Traditional Arabic"/>
          <w:kern w:val="2"/>
          <w:sz w:val="24"/>
          <w:szCs w:val="24"/>
          <w:rtl/>
          <w14:ligatures w14:val="standardContextual"/>
        </w:rPr>
        <w:t>تم تمديد فترة جمع البيانات في التحديثات الأخيرة لتصل إلى 49 يوماً لضمان أعلى معدل استجابة ممكن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432769C1" w14:textId="6A230EC0" w:rsidR="009B19D1" w:rsidRPr="00362D29" w:rsidRDefault="009B19D1" w:rsidP="00362D29">
      <w:p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•نظام التقييم وإعداد التقارير</w:t>
      </w:r>
      <w:r w:rsidRPr="00362D29">
        <w:rPr>
          <w:rFonts w:ascii="Traditional Arabic" w:eastAsia="Aptos" w:hAnsi="Traditional Arabic" w:cs="Traditional Arabic"/>
          <w:b/>
          <w:bCs/>
          <w:kern w:val="2"/>
          <w:sz w:val="24"/>
          <w:szCs w:val="24"/>
          <w14:ligatures w14:val="standardContextual"/>
        </w:rPr>
        <w:t xml:space="preserve"> (Scoring &amp; Reporting):</w:t>
      </w:r>
    </w:p>
    <w:p w14:paraId="07ECD607" w14:textId="77777777" w:rsidR="00D02A42" w:rsidRPr="00362D29" w:rsidRDefault="00D02A42"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تعتمد </w:t>
      </w:r>
      <w:r w:rsidRPr="00362D29">
        <w:rPr>
          <w:rFonts w:ascii="Traditional Arabic" w:eastAsia="Aptos" w:hAnsi="Traditional Arabic" w:cs="Traditional Arabic"/>
          <w:kern w:val="2"/>
          <w:sz w:val="24"/>
          <w:szCs w:val="24"/>
          <w14:ligatures w14:val="standardContextual"/>
        </w:rPr>
        <w:t>HCAHPS</w:t>
      </w:r>
      <w:r w:rsidRPr="00362D29">
        <w:rPr>
          <w:rFonts w:ascii="Traditional Arabic" w:eastAsia="Aptos" w:hAnsi="Traditional Arabic" w:cs="Traditional Arabic"/>
          <w:kern w:val="2"/>
          <w:sz w:val="24"/>
          <w:szCs w:val="24"/>
          <w:rtl/>
          <w14:ligatures w14:val="standardContextual"/>
        </w:rPr>
        <w:t xml:space="preserve"> منهجية "أعلى صندوق" (</w:t>
      </w:r>
      <w:r w:rsidRPr="00362D29">
        <w:rPr>
          <w:rFonts w:ascii="Traditional Arabic" w:eastAsia="Aptos" w:hAnsi="Traditional Arabic" w:cs="Traditional Arabic"/>
          <w:kern w:val="2"/>
          <w:sz w:val="24"/>
          <w:szCs w:val="24"/>
          <w14:ligatures w14:val="standardContextual"/>
        </w:rPr>
        <w:t>Top-Box Scoring</w:t>
      </w:r>
      <w:r w:rsidRPr="00362D29">
        <w:rPr>
          <w:rFonts w:ascii="Traditional Arabic" w:eastAsia="Aptos" w:hAnsi="Traditional Arabic" w:cs="Traditional Arabic"/>
          <w:kern w:val="2"/>
          <w:sz w:val="24"/>
          <w:szCs w:val="24"/>
          <w:rtl/>
          <w14:ligatures w14:val="standardContextual"/>
        </w:rPr>
        <w:t>)، وهي النسبة المئوية للمرضى الذين اختاروا الإجابة الأكثر إيجابية (مثل "دائماً"). يتم تعديل النتائج إحصائياً لمراعاة تباين خصائص المرضى وطريقة التوزيع (</w:t>
      </w:r>
      <w:r w:rsidRPr="00362D29">
        <w:rPr>
          <w:rFonts w:ascii="Traditional Arabic" w:eastAsia="Aptos" w:hAnsi="Traditional Arabic" w:cs="Traditional Arabic"/>
          <w:kern w:val="2"/>
          <w:sz w:val="24"/>
          <w:szCs w:val="24"/>
          <w14:ligatures w14:val="standardContextual"/>
        </w:rPr>
        <w:t>Patient-Mix &amp; Mode Adjustment</w:t>
      </w:r>
      <w:r w:rsidRPr="00362D29">
        <w:rPr>
          <w:rFonts w:ascii="Traditional Arabic" w:eastAsia="Aptos" w:hAnsi="Traditional Arabic" w:cs="Traditional Arabic"/>
          <w:kern w:val="2"/>
          <w:sz w:val="24"/>
          <w:szCs w:val="24"/>
          <w:rtl/>
          <w14:ligatures w14:val="standardContextual"/>
        </w:rPr>
        <w:t>) لضمان عدالة المقارنة. تُنشر النتائج علناً عبر منصة (</w:t>
      </w:r>
      <w:r w:rsidRPr="00362D29">
        <w:rPr>
          <w:rFonts w:ascii="Traditional Arabic" w:eastAsia="Aptos" w:hAnsi="Traditional Arabic" w:cs="Traditional Arabic"/>
          <w:kern w:val="2"/>
          <w:sz w:val="24"/>
          <w:szCs w:val="24"/>
          <w14:ligatures w14:val="standardContextual"/>
        </w:rPr>
        <w:t>Care Compare</w:t>
      </w:r>
      <w:r w:rsidRPr="00362D29">
        <w:rPr>
          <w:rFonts w:ascii="Traditional Arabic" w:eastAsia="Aptos" w:hAnsi="Traditional Arabic" w:cs="Traditional Arabic"/>
          <w:kern w:val="2"/>
          <w:sz w:val="24"/>
          <w:szCs w:val="24"/>
          <w:rtl/>
          <w14:ligatures w14:val="standardContextual"/>
        </w:rPr>
        <w:t xml:space="preserve">) التابعة لـ </w:t>
      </w:r>
      <w:r w:rsidRPr="00362D29">
        <w:rPr>
          <w:rFonts w:ascii="Traditional Arabic" w:eastAsia="Aptos" w:hAnsi="Traditional Arabic" w:cs="Traditional Arabic"/>
          <w:kern w:val="2"/>
          <w:sz w:val="24"/>
          <w:szCs w:val="24"/>
          <w14:ligatures w14:val="standardContextual"/>
        </w:rPr>
        <w:t>CMS</w:t>
      </w:r>
      <w:r w:rsidRPr="00362D29">
        <w:rPr>
          <w:rFonts w:ascii="Traditional Arabic" w:eastAsia="Aptos" w:hAnsi="Traditional Arabic" w:cs="Traditional Arabic"/>
          <w:kern w:val="2"/>
          <w:sz w:val="24"/>
          <w:szCs w:val="24"/>
          <w:rtl/>
          <w14:ligatures w14:val="standardContextual"/>
        </w:rPr>
        <w:t>، حيث يتم تحويل الدرجات إلى "تقييم بالنجوم" (</w:t>
      </w:r>
      <w:r w:rsidRPr="00362D29">
        <w:rPr>
          <w:rFonts w:ascii="Traditional Arabic" w:eastAsia="Aptos" w:hAnsi="Traditional Arabic" w:cs="Traditional Arabic"/>
          <w:kern w:val="2"/>
          <w:sz w:val="24"/>
          <w:szCs w:val="24"/>
          <w14:ligatures w14:val="standardContextual"/>
        </w:rPr>
        <w:t>Star Ratings</w:t>
      </w:r>
      <w:r w:rsidRPr="00362D29">
        <w:rPr>
          <w:rFonts w:ascii="Traditional Arabic" w:eastAsia="Aptos" w:hAnsi="Traditional Arabic" w:cs="Traditional Arabic"/>
          <w:kern w:val="2"/>
          <w:sz w:val="24"/>
          <w:szCs w:val="24"/>
          <w:rtl/>
          <w14:ligatures w14:val="standardContextual"/>
        </w:rPr>
        <w:t>) من 1 إلى 5، مما يسهل على المستهلكين المقارنة بين المستشفيات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HCAHPS Online, 2026</w:t>
      </w:r>
      <w:r w:rsidRPr="00362D29">
        <w:rPr>
          <w:rFonts w:ascii="Traditional Arabic" w:eastAsia="Aptos" w:hAnsi="Traditional Arabic" w:cs="Traditional Arabic"/>
          <w:kern w:val="2"/>
          <w:sz w:val="24"/>
          <w:szCs w:val="24"/>
          <w:rtl/>
          <w14:ligatures w14:val="standardContextual"/>
        </w:rPr>
        <w:t>).</w:t>
      </w:r>
    </w:p>
    <w:p w14:paraId="4955F34E" w14:textId="12E8CC2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ب. استبيان </w:t>
      </w:r>
      <w:r w:rsidR="00307EE7" w:rsidRPr="00362D29">
        <w:rPr>
          <w:rFonts w:ascii="Traditional Arabic" w:eastAsia="Aptos" w:hAnsi="Traditional Arabic" w:cs="Traditional Arabic"/>
          <w:b/>
          <w:bCs/>
          <w:kern w:val="2"/>
          <w:sz w:val="24"/>
          <w:szCs w:val="24"/>
          <w14:ligatures w14:val="standardContextual"/>
        </w:rPr>
        <w:t>The Consumer Assessment of Healthcare Providers and Systems Clinician &amp; Group (CG-</w:t>
      </w:r>
      <w:proofErr w:type="gramStart"/>
      <w:r w:rsidR="00307EE7" w:rsidRPr="00362D29">
        <w:rPr>
          <w:rFonts w:ascii="Traditional Arabic" w:eastAsia="Aptos" w:hAnsi="Traditional Arabic" w:cs="Traditional Arabic"/>
          <w:b/>
          <w:bCs/>
          <w:kern w:val="2"/>
          <w:sz w:val="24"/>
          <w:szCs w:val="24"/>
          <w14:ligatures w14:val="standardContextual"/>
        </w:rPr>
        <w:t>CAHPS)</w:t>
      </w:r>
      <w:r w:rsidR="00307EE7"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 xml:space="preserve"> (</w:t>
      </w:r>
      <w:proofErr w:type="gramEnd"/>
      <w:r w:rsidRPr="00362D29">
        <w:rPr>
          <w:rFonts w:ascii="Traditional Arabic" w:eastAsia="Aptos" w:hAnsi="Traditional Arabic" w:cs="Traditional Arabic"/>
          <w:b/>
          <w:bCs/>
          <w:kern w:val="2"/>
          <w:sz w:val="24"/>
          <w:szCs w:val="24"/>
          <w:rtl/>
          <w14:ligatures w14:val="standardContextual"/>
        </w:rPr>
        <w:t>خاص بالعيادات الخارجية والأطباء):</w:t>
      </w:r>
    </w:p>
    <w:p w14:paraId="049942DB" w14:textId="58737904" w:rsidR="00F91F12" w:rsidRPr="00362D29" w:rsidRDefault="00F91F12"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 والهدف:</w:t>
      </w:r>
      <w:r w:rsidR="00736956" w:rsidRPr="00362D29">
        <w:rPr>
          <w:rFonts w:ascii="Traditional Arabic" w:hAnsi="Traditional Arabic" w:cs="Traditional Arabic"/>
          <w:rtl/>
        </w:rPr>
        <w:t xml:space="preserve"> </w:t>
      </w:r>
      <w:r w:rsidR="00736956" w:rsidRPr="00362D29">
        <w:rPr>
          <w:rFonts w:ascii="Traditional Arabic" w:eastAsia="Aptos" w:hAnsi="Traditional Arabic" w:cs="Traditional Arabic"/>
          <w:kern w:val="2"/>
          <w:sz w:val="24"/>
          <w:szCs w:val="24"/>
          <w:rtl/>
          <w14:ligatures w14:val="standardContextual"/>
        </w:rPr>
        <w:t>تم تطوير استبيان تقييم المستهلك لمقدمي الرعاية الصحية والأنظمة السريرية والمجموعات (</w:t>
      </w:r>
      <w:r w:rsidR="00736956" w:rsidRPr="00362D29">
        <w:rPr>
          <w:rFonts w:ascii="Traditional Arabic" w:eastAsia="Aptos" w:hAnsi="Traditional Arabic" w:cs="Traditional Arabic"/>
          <w:kern w:val="2"/>
          <w:sz w:val="24"/>
          <w:szCs w:val="24"/>
          <w14:ligatures w14:val="standardContextual"/>
        </w:rPr>
        <w:t>CG-CAHPS</w:t>
      </w:r>
      <w:r w:rsidR="00736956" w:rsidRPr="00362D29">
        <w:rPr>
          <w:rFonts w:ascii="Traditional Arabic" w:eastAsia="Aptos" w:hAnsi="Traditional Arabic" w:cs="Traditional Arabic"/>
          <w:kern w:val="2"/>
          <w:sz w:val="24"/>
          <w:szCs w:val="24"/>
          <w:rtl/>
          <w14:ligatures w14:val="standardContextual"/>
        </w:rPr>
        <w:t>) من قبل وكالة أبحاث وجودة الرعاية الصحية (</w:t>
      </w:r>
      <w:r w:rsidR="00736956" w:rsidRPr="00362D29">
        <w:rPr>
          <w:rFonts w:ascii="Traditional Arabic" w:eastAsia="Aptos" w:hAnsi="Traditional Arabic" w:cs="Traditional Arabic"/>
          <w:kern w:val="2"/>
          <w:sz w:val="24"/>
          <w:szCs w:val="24"/>
          <w14:ligatures w14:val="standardContextual"/>
        </w:rPr>
        <w:t>AHRQ</w:t>
      </w:r>
      <w:r w:rsidR="00736956" w:rsidRPr="00362D29">
        <w:rPr>
          <w:rFonts w:ascii="Traditional Arabic" w:eastAsia="Aptos" w:hAnsi="Traditional Arabic" w:cs="Traditional Arabic"/>
          <w:kern w:val="2"/>
          <w:sz w:val="24"/>
          <w:szCs w:val="24"/>
          <w:rtl/>
          <w14:ligatures w14:val="standardContextual"/>
        </w:rPr>
        <w:t>) في عام 2006، مع إصداره الأولي في عام 2007. وقد صُمم لقياس تجارب المرضى في الرعاية المتنقلة، وتمت صياغته في عام 2008 واختباره ميدانيًا في عام 2009، مع تطبيق واسع النطاق بعد ذلك بوقت قصير</w:t>
      </w:r>
      <w:r w:rsidR="001F7AB1" w:rsidRPr="00362D29">
        <w:rPr>
          <w:rFonts w:ascii="Traditional Arabic" w:eastAsia="Aptos" w:hAnsi="Traditional Arabic" w:cs="Traditional Arabic"/>
          <w:kern w:val="2"/>
          <w:sz w:val="24"/>
          <w:szCs w:val="24"/>
          <w:rtl/>
          <w14:ligatures w14:val="standardContextual"/>
        </w:rPr>
        <w:t xml:space="preserve"> (</w:t>
      </w:r>
      <w:r w:rsidR="001F7AB1"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001F7AB1" w:rsidRPr="00362D29">
        <w:rPr>
          <w:rFonts w:ascii="Traditional Arabic" w:eastAsia="Aptos" w:hAnsi="Traditional Arabic" w:cs="Traditional Arabic"/>
          <w:kern w:val="2"/>
          <w:sz w:val="24"/>
          <w:szCs w:val="24"/>
          <w:rtl/>
          <w14:ligatures w14:val="standardContextual"/>
        </w:rPr>
        <w:t>)</w:t>
      </w:r>
      <w:r w:rsidR="001F7AB1" w:rsidRPr="00362D29">
        <w:rPr>
          <w:rFonts w:ascii="Traditional Arabic" w:eastAsia="Aptos" w:hAnsi="Traditional Arabic" w:cs="Traditional Arabic"/>
          <w:b/>
          <w:bCs/>
          <w:kern w:val="2"/>
          <w:sz w:val="24"/>
          <w:szCs w:val="24"/>
          <w:rtl/>
          <w14:ligatures w14:val="standardContextual"/>
        </w:rPr>
        <w:t>.</w:t>
      </w:r>
    </w:p>
    <w:p w14:paraId="0163CB69" w14:textId="681196A8"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والمحاور: </w:t>
      </w:r>
      <w:r w:rsidRPr="00362D29">
        <w:rPr>
          <w:rFonts w:ascii="Traditional Arabic" w:eastAsia="Aptos" w:hAnsi="Traditional Arabic" w:cs="Traditional Arabic"/>
          <w:kern w:val="2"/>
          <w:sz w:val="24"/>
          <w:szCs w:val="24"/>
          <w:rtl/>
          <w14:ligatures w14:val="standardContextual"/>
        </w:rPr>
        <w:t xml:space="preserve">يركز الإصدار الأحدث (4.0 </w:t>
      </w:r>
      <w:r w:rsidRPr="00362D29">
        <w:rPr>
          <w:rFonts w:ascii="Traditional Arabic" w:eastAsia="Aptos" w:hAnsi="Traditional Arabic" w:cs="Traditional Arabic"/>
          <w:kern w:val="2"/>
          <w:sz w:val="24"/>
          <w:szCs w:val="24"/>
          <w14:ligatures w14:val="standardContextual"/>
        </w:rPr>
        <w:t>Beta</w:t>
      </w:r>
      <w:r w:rsidRPr="00362D29">
        <w:rPr>
          <w:rFonts w:ascii="Traditional Arabic" w:eastAsia="Aptos" w:hAnsi="Traditional Arabic" w:cs="Traditional Arabic"/>
          <w:kern w:val="2"/>
          <w:sz w:val="24"/>
          <w:szCs w:val="24"/>
          <w:rtl/>
          <w14:ligatures w14:val="standardContextual"/>
        </w:rPr>
        <w:t>) على تجربة المريض في آخر زيارة للعيادة، ويشمل محاور: سهولة الوصول إلى الرعاية، التواصل الفعال مع الطبيب، تنسيق الرعاية، تعامل موظفي الاستقبال، والتقييم العام للطبيب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C7F26FA" w14:textId="3CE17D79"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•عدد الأسئلة: </w:t>
      </w:r>
      <w:r w:rsidRPr="00362D29">
        <w:rPr>
          <w:rFonts w:ascii="Traditional Arabic" w:eastAsia="Aptos" w:hAnsi="Traditional Arabic" w:cs="Traditional Arabic"/>
          <w:kern w:val="2"/>
          <w:sz w:val="24"/>
          <w:szCs w:val="24"/>
          <w:rtl/>
          <w14:ligatures w14:val="standardContextual"/>
        </w:rPr>
        <w:t>يضم الاستبيان الأساسي (</w:t>
      </w:r>
      <w:r w:rsidRPr="00362D29">
        <w:rPr>
          <w:rFonts w:ascii="Traditional Arabic" w:eastAsia="Aptos" w:hAnsi="Traditional Arabic" w:cs="Traditional Arabic"/>
          <w:kern w:val="2"/>
          <w:sz w:val="24"/>
          <w:szCs w:val="24"/>
          <w14:ligatures w14:val="standardContextual"/>
        </w:rPr>
        <w:t>Core Survey</w:t>
      </w:r>
      <w:r w:rsidRPr="00362D29">
        <w:rPr>
          <w:rFonts w:ascii="Traditional Arabic" w:eastAsia="Aptos" w:hAnsi="Traditional Arabic" w:cs="Traditional Arabic"/>
          <w:kern w:val="2"/>
          <w:sz w:val="24"/>
          <w:szCs w:val="24"/>
          <w:rtl/>
          <w14:ligatures w14:val="standardContextual"/>
        </w:rPr>
        <w:t>) حوالي 31 سؤالاً في نسخته المخصصة للزيارات، وقد يزيد العدد عند إضافة أسئلة تكميلية (</w:t>
      </w:r>
      <w:r w:rsidRPr="00362D29">
        <w:rPr>
          <w:rFonts w:ascii="Traditional Arabic" w:eastAsia="Aptos" w:hAnsi="Traditional Arabic" w:cs="Traditional Arabic"/>
          <w:kern w:val="2"/>
          <w:sz w:val="24"/>
          <w:szCs w:val="24"/>
          <w14:ligatures w14:val="standardContextual"/>
        </w:rPr>
        <w:t>Supplemental Items</w:t>
      </w:r>
      <w:r w:rsidRPr="00362D29">
        <w:rPr>
          <w:rFonts w:ascii="Traditional Arabic" w:eastAsia="Aptos" w:hAnsi="Traditional Arabic" w:cs="Traditional Arabic"/>
          <w:kern w:val="2"/>
          <w:sz w:val="24"/>
          <w:szCs w:val="24"/>
          <w:rtl/>
          <w14:ligatures w14:val="standardContextual"/>
        </w:rPr>
        <w:t>) حسب حاجة المنشأة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50728A0" w14:textId="14D81C41"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•طريقة التوزيع</w:t>
      </w:r>
      <w:r w:rsidRPr="00362D29">
        <w:rPr>
          <w:rFonts w:ascii="Traditional Arabic" w:eastAsia="Aptos" w:hAnsi="Traditional Arabic" w:cs="Traditional Arabic"/>
          <w:kern w:val="2"/>
          <w:sz w:val="24"/>
          <w:szCs w:val="24"/>
          <w:rtl/>
          <w14:ligatures w14:val="standardContextual"/>
        </w:rPr>
        <w:t>: يُوزع عبر البريد الورقي، أو الهاتف، أو عبر الروابط الرقمية (</w:t>
      </w:r>
      <w:r w:rsidRPr="00362D29">
        <w:rPr>
          <w:rFonts w:ascii="Traditional Arabic" w:eastAsia="Aptos" w:hAnsi="Traditional Arabic" w:cs="Traditional Arabic"/>
          <w:kern w:val="2"/>
          <w:sz w:val="24"/>
          <w:szCs w:val="24"/>
          <w14:ligatures w14:val="standardContextual"/>
        </w:rPr>
        <w:t>Email/SMS</w:t>
      </w:r>
      <w:r w:rsidRPr="00362D29">
        <w:rPr>
          <w:rFonts w:ascii="Traditional Arabic" w:eastAsia="Aptos" w:hAnsi="Traditional Arabic" w:cs="Traditional Arabic"/>
          <w:kern w:val="2"/>
          <w:sz w:val="24"/>
          <w:szCs w:val="24"/>
          <w:rtl/>
          <w14:ligatures w14:val="standardContextual"/>
        </w:rPr>
        <w:t>) التي توجه المريض لاستبيان عبر الويب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5EAE6567" w14:textId="16F53A6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يُفضل إرساله في أقرب وقت ممكن بعد الزيارة، وعادة ما يتم ذلك خلال 24 إلى 72 ساعة لضمان دقة استرجاع المريض لتفاصيل الزيارة، مع مهلة استجابة تصل إلى 4 أسابيع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375141B"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اختيار العينة: </w:t>
      </w:r>
      <w:r w:rsidRPr="00362D29">
        <w:rPr>
          <w:rFonts w:ascii="Traditional Arabic" w:eastAsia="Aptos" w:hAnsi="Traditional Arabic" w:cs="Traditional Arabic"/>
          <w:kern w:val="2"/>
          <w:sz w:val="24"/>
          <w:szCs w:val="24"/>
          <w:rtl/>
          <w14:ligatures w14:val="standardContextual"/>
        </w:rPr>
        <w:t>يتم اختيار المرضى عشوائياً من سجلات المواعيد المنفذة لضمان تمثيل كافة فئات المستفيدين (</w:t>
      </w:r>
      <w:r w:rsidRPr="00362D29">
        <w:rPr>
          <w:rFonts w:ascii="Traditional Arabic" w:eastAsia="Aptos" w:hAnsi="Traditional Arabic" w:cs="Traditional Arabic"/>
          <w:kern w:val="2"/>
          <w:sz w:val="24"/>
          <w:szCs w:val="24"/>
          <w14:ligatures w14:val="standardContextual"/>
        </w:rPr>
        <w:t>AHRQ, 2024</w:t>
      </w:r>
      <w:r w:rsidRPr="00362D29">
        <w:rPr>
          <w:rFonts w:ascii="Traditional Arabic" w:eastAsia="Aptos" w:hAnsi="Traditional Arabic" w:cs="Traditional Arabic"/>
          <w:kern w:val="2"/>
          <w:sz w:val="24"/>
          <w:szCs w:val="24"/>
          <w:rtl/>
          <w14:ligatures w14:val="standardContextual"/>
        </w:rPr>
        <w:t>).</w:t>
      </w:r>
    </w:p>
    <w:p w14:paraId="3CD2D5DE" w14:textId="0C930DC0" w:rsidR="007275D3" w:rsidRPr="00362D29" w:rsidRDefault="007275D3"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•نظام التقييم وإعداد التقارير</w:t>
      </w:r>
      <w:r w:rsidRPr="00362D29">
        <w:rPr>
          <w:rFonts w:ascii="Traditional Arabic" w:eastAsia="Aptos" w:hAnsi="Traditional Arabic" w:cs="Traditional Arabic"/>
          <w:b/>
          <w:bCs/>
          <w:kern w:val="2"/>
          <w:sz w:val="24"/>
          <w:szCs w:val="24"/>
          <w14:ligatures w14:val="standardContextual"/>
        </w:rPr>
        <w:t xml:space="preserve"> (Scoring &amp; Reporting):</w:t>
      </w:r>
    </w:p>
    <w:p w14:paraId="203596DD" w14:textId="72C1E7F4" w:rsidR="007275D3" w:rsidRPr="00362D29" w:rsidRDefault="007275D3"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يستخدم </w:t>
      </w:r>
      <w:r w:rsidRPr="00362D29">
        <w:rPr>
          <w:rFonts w:ascii="Traditional Arabic" w:eastAsia="Aptos" w:hAnsi="Traditional Arabic" w:cs="Traditional Arabic"/>
          <w:kern w:val="2"/>
          <w:sz w:val="24"/>
          <w:szCs w:val="24"/>
          <w14:ligatures w14:val="standardContextual"/>
        </w:rPr>
        <w:t>CG-CAHPS</w:t>
      </w:r>
      <w:r w:rsidRPr="00362D29">
        <w:rPr>
          <w:rFonts w:ascii="Traditional Arabic" w:eastAsia="Aptos" w:hAnsi="Traditional Arabic" w:cs="Traditional Arabic"/>
          <w:kern w:val="2"/>
          <w:sz w:val="24"/>
          <w:szCs w:val="24"/>
          <w:rtl/>
          <w14:ligatures w14:val="standardContextual"/>
        </w:rPr>
        <w:t xml:space="preserve"> نظام "أعلى صندوق" (</w:t>
      </w:r>
      <w:r w:rsidRPr="00362D29">
        <w:rPr>
          <w:rFonts w:ascii="Traditional Arabic" w:eastAsia="Aptos" w:hAnsi="Traditional Arabic" w:cs="Traditional Arabic"/>
          <w:kern w:val="2"/>
          <w:sz w:val="24"/>
          <w:szCs w:val="24"/>
          <w14:ligatures w14:val="standardContextual"/>
        </w:rPr>
        <w:t>Top-Box</w:t>
      </w:r>
      <w:r w:rsidRPr="00362D29">
        <w:rPr>
          <w:rFonts w:ascii="Traditional Arabic" w:eastAsia="Aptos" w:hAnsi="Traditional Arabic" w:cs="Traditional Arabic"/>
          <w:kern w:val="2"/>
          <w:sz w:val="24"/>
          <w:szCs w:val="24"/>
          <w:rtl/>
          <w14:ligatures w14:val="standardContextual"/>
        </w:rPr>
        <w:t>) لاحتساب الدرجات، مع إمكانية استخدام "المتوسط الحسابي الخطي" (</w:t>
      </w:r>
      <w:r w:rsidRPr="00362D29">
        <w:rPr>
          <w:rFonts w:ascii="Traditional Arabic" w:eastAsia="Aptos" w:hAnsi="Traditional Arabic" w:cs="Traditional Arabic"/>
          <w:kern w:val="2"/>
          <w:sz w:val="24"/>
          <w:szCs w:val="24"/>
          <w14:ligatures w14:val="standardContextual"/>
        </w:rPr>
        <w:t>Linear Mean Scores</w:t>
      </w:r>
      <w:r w:rsidRPr="00362D29">
        <w:rPr>
          <w:rFonts w:ascii="Traditional Arabic" w:eastAsia="Aptos" w:hAnsi="Traditional Arabic" w:cs="Traditional Arabic"/>
          <w:kern w:val="2"/>
          <w:sz w:val="24"/>
          <w:szCs w:val="24"/>
          <w:rtl/>
          <w14:ligatures w14:val="standardContextual"/>
        </w:rPr>
        <w:t>) للتحليلات الداخلية العميقة. يتم إعداد تقارير أداء دورية للأطباء والمجموعات الطبية تتضمن مقارنات معيارية (</w:t>
      </w:r>
      <w:r w:rsidRPr="00362D29">
        <w:rPr>
          <w:rFonts w:ascii="Traditional Arabic" w:eastAsia="Aptos" w:hAnsi="Traditional Arabic" w:cs="Traditional Arabic"/>
          <w:kern w:val="2"/>
          <w:sz w:val="24"/>
          <w:szCs w:val="24"/>
          <w14:ligatures w14:val="standardContextual"/>
        </w:rPr>
        <w:t>Benchmarking</w:t>
      </w:r>
      <w:r w:rsidRPr="00362D29">
        <w:rPr>
          <w:rFonts w:ascii="Traditional Arabic" w:eastAsia="Aptos" w:hAnsi="Traditional Arabic" w:cs="Traditional Arabic"/>
          <w:kern w:val="2"/>
          <w:sz w:val="24"/>
          <w:szCs w:val="24"/>
          <w:rtl/>
          <w14:ligatures w14:val="standardContextual"/>
        </w:rPr>
        <w:t>) مع مقدمي خدمة آخرين على المستوى الوطني. تُستخدم هذه النتائج غالباً في برامج الحوافز القائمة على القيمة (</w:t>
      </w:r>
      <w:r w:rsidRPr="00362D29">
        <w:rPr>
          <w:rFonts w:ascii="Traditional Arabic" w:eastAsia="Aptos" w:hAnsi="Traditional Arabic" w:cs="Traditional Arabic"/>
          <w:kern w:val="2"/>
          <w:sz w:val="24"/>
          <w:szCs w:val="24"/>
          <w14:ligatures w14:val="standardContextual"/>
        </w:rPr>
        <w:t>Value-Based Incentives</w:t>
      </w:r>
      <w:r w:rsidRPr="00362D29">
        <w:rPr>
          <w:rFonts w:ascii="Traditional Arabic" w:eastAsia="Aptos" w:hAnsi="Traditional Arabic" w:cs="Traditional Arabic"/>
          <w:kern w:val="2"/>
          <w:sz w:val="24"/>
          <w:szCs w:val="24"/>
          <w:rtl/>
          <w14:ligatures w14:val="standardContextual"/>
        </w:rPr>
        <w:t>) وفي تحسين العمليات التشغيلية داخل العيادات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Quigley et al., 2024</w:t>
      </w:r>
      <w:r w:rsidRPr="00362D29">
        <w:rPr>
          <w:rFonts w:ascii="Traditional Arabic" w:eastAsia="Aptos" w:hAnsi="Traditional Arabic" w:cs="Traditional Arabic"/>
          <w:kern w:val="2"/>
          <w:sz w:val="24"/>
          <w:szCs w:val="24"/>
          <w:rtl/>
          <w14:ligatures w14:val="standardContextual"/>
        </w:rPr>
        <w:t>).</w:t>
      </w:r>
    </w:p>
    <w:p w14:paraId="1D913B09"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استبيان تجربة المريض الأوروبي (</w:t>
      </w:r>
      <w:r w:rsidRPr="00362D29">
        <w:rPr>
          <w:rFonts w:ascii="Traditional Arabic" w:eastAsia="Aptos" w:hAnsi="Traditional Arabic" w:cs="Traditional Arabic"/>
          <w:b/>
          <w:bCs/>
          <w:kern w:val="2"/>
          <w:sz w:val="24"/>
          <w:szCs w:val="24"/>
          <w14:ligatures w14:val="standardContextual"/>
        </w:rPr>
        <w:t>FFT - Friends and Family Test</w:t>
      </w:r>
      <w:r w:rsidRPr="00362D29">
        <w:rPr>
          <w:rFonts w:ascii="Traditional Arabic" w:eastAsia="Aptos" w:hAnsi="Traditional Arabic" w:cs="Traditional Arabic"/>
          <w:b/>
          <w:bCs/>
          <w:kern w:val="2"/>
          <w:sz w:val="24"/>
          <w:szCs w:val="24"/>
          <w:rtl/>
          <w14:ligatures w14:val="standardContextual"/>
        </w:rPr>
        <w:t>)</w:t>
      </w:r>
    </w:p>
    <w:p w14:paraId="16504FAF" w14:textId="365A8DD2" w:rsidR="00F32581" w:rsidRPr="00362D29" w:rsidRDefault="00FB59A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 والهدف:</w:t>
      </w:r>
      <w:r w:rsidRPr="00362D29">
        <w:rPr>
          <w:rFonts w:ascii="Traditional Arabic" w:eastAsia="Aptos" w:hAnsi="Traditional Arabic" w:cs="Traditional Arabic"/>
          <w:kern w:val="2"/>
          <w:sz w:val="24"/>
          <w:szCs w:val="24"/>
          <w:rtl/>
          <w14:ligatures w14:val="standardContextual"/>
        </w:rPr>
        <w:t xml:space="preserve"> </w:t>
      </w:r>
      <w:r w:rsidR="00654206" w:rsidRPr="00362D29">
        <w:rPr>
          <w:rFonts w:ascii="Traditional Arabic" w:eastAsia="Aptos" w:hAnsi="Traditional Arabic" w:cs="Traditional Arabic"/>
          <w:kern w:val="2"/>
          <w:sz w:val="24"/>
          <w:szCs w:val="24"/>
          <w:rtl/>
          <w14:ligatures w14:val="standardContextual"/>
        </w:rPr>
        <w:t>يُ</w:t>
      </w:r>
      <w:r w:rsidR="00F32581" w:rsidRPr="00362D29">
        <w:rPr>
          <w:rFonts w:ascii="Traditional Arabic" w:eastAsia="Aptos" w:hAnsi="Traditional Arabic" w:cs="Traditional Arabic"/>
          <w:kern w:val="2"/>
          <w:sz w:val="24"/>
          <w:szCs w:val="24"/>
          <w:rtl/>
          <w14:ligatures w14:val="standardContextual"/>
        </w:rPr>
        <w:t>عد اختبار الأصدقاء والعائلة (</w:t>
      </w:r>
      <w:r w:rsidR="00F32581" w:rsidRPr="00362D29">
        <w:rPr>
          <w:rFonts w:ascii="Traditional Arabic" w:eastAsia="Aptos" w:hAnsi="Traditional Arabic" w:cs="Traditional Arabic"/>
          <w:kern w:val="2"/>
          <w:sz w:val="24"/>
          <w:szCs w:val="24"/>
          <w14:ligatures w14:val="standardContextual"/>
        </w:rPr>
        <w:t>FFT</w:t>
      </w:r>
      <w:r w:rsidR="00F32581" w:rsidRPr="00362D29">
        <w:rPr>
          <w:rFonts w:ascii="Traditional Arabic" w:eastAsia="Aptos" w:hAnsi="Traditional Arabic" w:cs="Traditional Arabic"/>
          <w:kern w:val="2"/>
          <w:sz w:val="24"/>
          <w:szCs w:val="24"/>
          <w:rtl/>
          <w14:ligatures w14:val="standardContextual"/>
        </w:rPr>
        <w:t>) أداة تقييم وطنية أطلقتها هيئة الخدمات الصحية الوطنية البريطانية (</w:t>
      </w:r>
      <w:r w:rsidR="00F32581" w:rsidRPr="00362D29">
        <w:rPr>
          <w:rFonts w:ascii="Traditional Arabic" w:eastAsia="Aptos" w:hAnsi="Traditional Arabic" w:cs="Traditional Arabic"/>
          <w:kern w:val="2"/>
          <w:sz w:val="24"/>
          <w:szCs w:val="24"/>
          <w14:ligatures w14:val="standardContextual"/>
        </w:rPr>
        <w:t>NHS</w:t>
      </w:r>
      <w:r w:rsidR="00F32581" w:rsidRPr="00362D29">
        <w:rPr>
          <w:rFonts w:ascii="Traditional Arabic" w:eastAsia="Aptos" w:hAnsi="Traditional Arabic" w:cs="Traditional Arabic"/>
          <w:kern w:val="2"/>
          <w:sz w:val="24"/>
          <w:szCs w:val="24"/>
          <w:rtl/>
          <w14:ligatures w14:val="standardContextual"/>
        </w:rPr>
        <w:t>) في عام 2013 كآلية لتقديم تغذية راجعة فورية ومستمرة حول جودة الرعاية (</w:t>
      </w:r>
      <w:r w:rsidR="00F32581" w:rsidRPr="00362D29">
        <w:rPr>
          <w:rFonts w:ascii="Traditional Arabic" w:eastAsia="Aptos" w:hAnsi="Traditional Arabic" w:cs="Traditional Arabic"/>
          <w:kern w:val="2"/>
          <w:sz w:val="24"/>
          <w:szCs w:val="24"/>
          <w14:ligatures w14:val="standardContextual"/>
        </w:rPr>
        <w:t>NHS, 2025</w:t>
      </w:r>
      <w:r w:rsidR="00F32581" w:rsidRPr="00362D29">
        <w:rPr>
          <w:rFonts w:ascii="Traditional Arabic" w:eastAsia="Aptos" w:hAnsi="Traditional Arabic" w:cs="Traditional Arabic"/>
          <w:kern w:val="2"/>
          <w:sz w:val="24"/>
          <w:szCs w:val="24"/>
          <w:rtl/>
          <w14:ligatures w14:val="standardContextual"/>
        </w:rPr>
        <w:t>). يهدف هذا الاستبيان إلى تمكين المرضى من التعبير عن آرائهم بطريقة بسيطة وسريعة</w:t>
      </w:r>
      <w:r w:rsidR="00654206" w:rsidRPr="00362D29">
        <w:rPr>
          <w:rFonts w:ascii="Traditional Arabic" w:eastAsia="Aptos" w:hAnsi="Traditional Arabic" w:cs="Traditional Arabic"/>
          <w:kern w:val="2"/>
          <w:sz w:val="24"/>
          <w:szCs w:val="24"/>
          <w:rtl/>
          <w14:ligatures w14:val="standardContextual"/>
        </w:rPr>
        <w:t xml:space="preserve"> وتقييم مدى احتمالية توصيتهم بالخدمة الصحية لأصدقائهم وعائلاتهم، مع إتاحة الفرصة لتقديم تعليقات نصية حرة. على الرغم من بساطته، يوفر </w:t>
      </w:r>
      <w:r w:rsidR="00654206" w:rsidRPr="00362D29">
        <w:rPr>
          <w:rFonts w:ascii="Traditional Arabic" w:eastAsia="Aptos" w:hAnsi="Traditional Arabic" w:cs="Traditional Arabic"/>
          <w:kern w:val="2"/>
          <w:sz w:val="24"/>
          <w:szCs w:val="24"/>
          <w14:ligatures w14:val="standardContextual"/>
        </w:rPr>
        <w:t>FFT</w:t>
      </w:r>
      <w:r w:rsidR="00654206" w:rsidRPr="00362D29">
        <w:rPr>
          <w:rFonts w:ascii="Traditional Arabic" w:eastAsia="Aptos" w:hAnsi="Traditional Arabic" w:cs="Traditional Arabic"/>
          <w:kern w:val="2"/>
          <w:sz w:val="24"/>
          <w:szCs w:val="24"/>
          <w:rtl/>
          <w14:ligatures w14:val="standardContextual"/>
        </w:rPr>
        <w:t xml:space="preserve"> مؤشراً سريعاً وفعالاً لمستوى رضا المرضى وتجربتهم، ويستخدم كأداة للمساءلة وتحسين الجودة على مستوى الخدمات الفردية </w:t>
      </w:r>
      <w:proofErr w:type="gramStart"/>
      <w:r w:rsidR="00654206" w:rsidRPr="00362D29">
        <w:rPr>
          <w:rFonts w:ascii="Traditional Arabic" w:eastAsia="Aptos" w:hAnsi="Traditional Arabic" w:cs="Traditional Arabic"/>
          <w:kern w:val="2"/>
          <w:sz w:val="24"/>
          <w:szCs w:val="24"/>
          <w:rtl/>
          <w14:ligatures w14:val="standardContextual"/>
        </w:rPr>
        <w:t xml:space="preserve">والمؤسسات </w:t>
      </w:r>
      <w:r w:rsidR="00F32581" w:rsidRPr="00362D29">
        <w:rPr>
          <w:rFonts w:ascii="Traditional Arabic" w:eastAsia="Aptos" w:hAnsi="Traditional Arabic" w:cs="Traditional Arabic"/>
          <w:kern w:val="2"/>
          <w:sz w:val="24"/>
          <w:szCs w:val="24"/>
          <w:rtl/>
          <w14:ligatures w14:val="standardContextual"/>
        </w:rPr>
        <w:t>،</w:t>
      </w:r>
      <w:proofErr w:type="gramEnd"/>
      <w:r w:rsidR="00F32581" w:rsidRPr="00362D29">
        <w:rPr>
          <w:rFonts w:ascii="Traditional Arabic" w:eastAsia="Aptos" w:hAnsi="Traditional Arabic" w:cs="Traditional Arabic"/>
          <w:kern w:val="2"/>
          <w:sz w:val="24"/>
          <w:szCs w:val="24"/>
          <w:rtl/>
          <w14:ligatures w14:val="standardContextual"/>
        </w:rPr>
        <w:t xml:space="preserve"> مما يساعد المنشآت الصحية على تحديد مجالات التحسين الفوري وتعزيز الشفافية والمساءلة (</w:t>
      </w:r>
      <w:r w:rsidR="00F32581" w:rsidRPr="00362D29">
        <w:rPr>
          <w:rFonts w:ascii="Traditional Arabic" w:eastAsia="Aptos" w:hAnsi="Traditional Arabic" w:cs="Traditional Arabic"/>
          <w:kern w:val="2"/>
          <w:sz w:val="24"/>
          <w:szCs w:val="24"/>
          <w14:ligatures w14:val="standardContextual"/>
        </w:rPr>
        <w:t>NHS, 2026</w:t>
      </w:r>
      <w:r w:rsidR="00F32581" w:rsidRPr="00362D29">
        <w:rPr>
          <w:rFonts w:ascii="Traditional Arabic" w:eastAsia="Aptos" w:hAnsi="Traditional Arabic" w:cs="Traditional Arabic"/>
          <w:kern w:val="2"/>
          <w:sz w:val="24"/>
          <w:szCs w:val="24"/>
          <w:rtl/>
          <w14:ligatures w14:val="standardContextual"/>
        </w:rPr>
        <w:t>). وفيما يلي تفصيل لمواصفات هذا الاستبيان:</w:t>
      </w:r>
    </w:p>
    <w:p w14:paraId="220DB03D"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وآلية السؤال: </w:t>
      </w:r>
      <w:r w:rsidRPr="00362D29">
        <w:rPr>
          <w:rFonts w:ascii="Traditional Arabic" w:eastAsia="Aptos" w:hAnsi="Traditional Arabic" w:cs="Traditional Arabic"/>
          <w:kern w:val="2"/>
          <w:sz w:val="24"/>
          <w:szCs w:val="24"/>
          <w:rtl/>
          <w14:ligatures w14:val="standardContextual"/>
        </w:rPr>
        <w:t>يرتكز الاستبيان على سؤال جوهري واحد: "بناءً على تجربتك الإجمالية، ما مدى جودة الخدمة التي تلقيتها؟" (</w:t>
      </w:r>
      <w:r w:rsidRPr="00362D29">
        <w:rPr>
          <w:rFonts w:ascii="Traditional Arabic" w:eastAsia="Aptos" w:hAnsi="Traditional Arabic" w:cs="Traditional Arabic"/>
          <w:kern w:val="2"/>
          <w:sz w:val="24"/>
          <w:szCs w:val="24"/>
          <w14:ligatures w14:val="standardContextual"/>
        </w:rPr>
        <w:t>Overall, how was your experience of our service</w:t>
      </w:r>
      <w:r w:rsidRPr="00362D29">
        <w:rPr>
          <w:rFonts w:ascii="Traditional Arabic" w:eastAsia="Aptos" w:hAnsi="Traditional Arabic" w:cs="Traditional Arabic"/>
          <w:kern w:val="2"/>
          <w:sz w:val="24"/>
          <w:szCs w:val="24"/>
          <w:rtl/>
          <w14:ligatures w14:val="standardContextual"/>
        </w:rPr>
        <w:t>?). تتراوح الإجابات من "جيدة جداً" إلى "سيئة جداً". ويتبع هذا السؤال فقرة مفتوحة تتيح للمريض تقديم تعليقات نصية حرة (</w:t>
      </w:r>
      <w:r w:rsidRPr="00362D29">
        <w:rPr>
          <w:rFonts w:ascii="Traditional Arabic" w:eastAsia="Aptos" w:hAnsi="Traditional Arabic" w:cs="Traditional Arabic"/>
          <w:kern w:val="2"/>
          <w:sz w:val="24"/>
          <w:szCs w:val="24"/>
          <w14:ligatures w14:val="standardContextual"/>
        </w:rPr>
        <w:t>Free-text feedback</w:t>
      </w:r>
      <w:r w:rsidRPr="00362D29">
        <w:rPr>
          <w:rFonts w:ascii="Traditional Arabic" w:eastAsia="Aptos" w:hAnsi="Traditional Arabic" w:cs="Traditional Arabic"/>
          <w:kern w:val="2"/>
          <w:sz w:val="24"/>
          <w:szCs w:val="24"/>
          <w:rtl/>
          <w14:ligatures w14:val="standardContextual"/>
        </w:rPr>
        <w:t>) لشرح أسباب تقييمه، مما يوفر بيانات نوعية (</w:t>
      </w:r>
      <w:r w:rsidRPr="00362D29">
        <w:rPr>
          <w:rFonts w:ascii="Traditional Arabic" w:eastAsia="Aptos" w:hAnsi="Traditional Arabic" w:cs="Traditional Arabic"/>
          <w:kern w:val="2"/>
          <w:sz w:val="24"/>
          <w:szCs w:val="24"/>
          <w14:ligatures w14:val="standardContextual"/>
        </w:rPr>
        <w:t>Qualitative data</w:t>
      </w:r>
      <w:r w:rsidRPr="00362D29">
        <w:rPr>
          <w:rFonts w:ascii="Traditional Arabic" w:eastAsia="Aptos" w:hAnsi="Traditional Arabic" w:cs="Traditional Arabic"/>
          <w:kern w:val="2"/>
          <w:sz w:val="24"/>
          <w:szCs w:val="24"/>
          <w:rtl/>
          <w14:ligatures w14:val="standardContextual"/>
        </w:rPr>
        <w:t>) غنية تتجاوز مجرد الأرقام (</w:t>
      </w:r>
      <w:r w:rsidRPr="00362D29">
        <w:rPr>
          <w:rFonts w:ascii="Traditional Arabic" w:eastAsia="Aptos" w:hAnsi="Traditional Arabic" w:cs="Traditional Arabic"/>
          <w:kern w:val="2"/>
          <w:sz w:val="24"/>
          <w:szCs w:val="24"/>
          <w14:ligatures w14:val="standardContextual"/>
        </w:rPr>
        <w:t>NHS,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Picker, 2025</w:t>
      </w:r>
      <w:r w:rsidRPr="00362D29">
        <w:rPr>
          <w:rFonts w:ascii="Traditional Arabic" w:eastAsia="Aptos" w:hAnsi="Traditional Arabic" w:cs="Traditional Arabic"/>
          <w:kern w:val="2"/>
          <w:sz w:val="24"/>
          <w:szCs w:val="24"/>
          <w:rtl/>
          <w14:ligatures w14:val="standardContextual"/>
        </w:rPr>
        <w:t>).</w:t>
      </w:r>
    </w:p>
    <w:p w14:paraId="022EC877"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التوزيع: </w:t>
      </w:r>
      <w:r w:rsidRPr="00362D29">
        <w:rPr>
          <w:rFonts w:ascii="Traditional Arabic" w:eastAsia="Aptos" w:hAnsi="Traditional Arabic" w:cs="Traditional Arabic"/>
          <w:kern w:val="2"/>
          <w:sz w:val="24"/>
          <w:szCs w:val="24"/>
          <w:rtl/>
          <w14:ligatures w14:val="standardContextual"/>
        </w:rPr>
        <w:t xml:space="preserve">يتميز </w:t>
      </w:r>
      <w:r w:rsidRPr="00362D29">
        <w:rPr>
          <w:rFonts w:ascii="Traditional Arabic" w:eastAsia="Aptos" w:hAnsi="Traditional Arabic" w:cs="Traditional Arabic"/>
          <w:kern w:val="2"/>
          <w:sz w:val="24"/>
          <w:szCs w:val="24"/>
          <w14:ligatures w14:val="standardContextual"/>
        </w:rPr>
        <w:t>FFT</w:t>
      </w:r>
      <w:r w:rsidRPr="00362D29">
        <w:rPr>
          <w:rFonts w:ascii="Traditional Arabic" w:eastAsia="Aptos" w:hAnsi="Traditional Arabic" w:cs="Traditional Arabic"/>
          <w:kern w:val="2"/>
          <w:sz w:val="24"/>
          <w:szCs w:val="24"/>
          <w:rtl/>
          <w14:ligatures w14:val="standardContextual"/>
        </w:rPr>
        <w:t xml:space="preserve"> بمرونة عالية في التوزيع لتناسب كافة فئات المرضى، حيث يمكن تقديمه عبر: البطاقات الورقية، الرسائل النصية القصيرة (</w:t>
      </w:r>
      <w:r w:rsidRPr="00362D29">
        <w:rPr>
          <w:rFonts w:ascii="Traditional Arabic" w:eastAsia="Aptos" w:hAnsi="Traditional Arabic" w:cs="Traditional Arabic"/>
          <w:kern w:val="2"/>
          <w:sz w:val="24"/>
          <w:szCs w:val="24"/>
          <w14:ligatures w14:val="standardContextual"/>
        </w:rPr>
        <w:t>SMS</w:t>
      </w:r>
      <w:r w:rsidRPr="00362D29">
        <w:rPr>
          <w:rFonts w:ascii="Traditional Arabic" w:eastAsia="Aptos" w:hAnsi="Traditional Arabic" w:cs="Traditional Arabic"/>
          <w:kern w:val="2"/>
          <w:sz w:val="24"/>
          <w:szCs w:val="24"/>
          <w:rtl/>
          <w14:ligatures w14:val="standardContextual"/>
        </w:rPr>
        <w:t>)، البريد الإلكتروني، أو الأجهزة اللوحية (</w:t>
      </w:r>
      <w:r w:rsidRPr="00362D29">
        <w:rPr>
          <w:rFonts w:ascii="Traditional Arabic" w:eastAsia="Aptos" w:hAnsi="Traditional Arabic" w:cs="Traditional Arabic"/>
          <w:kern w:val="2"/>
          <w:sz w:val="24"/>
          <w:szCs w:val="24"/>
          <w14:ligatures w14:val="standardContextual"/>
        </w:rPr>
        <w:t>Kiosks</w:t>
      </w:r>
      <w:r w:rsidRPr="00362D29">
        <w:rPr>
          <w:rFonts w:ascii="Traditional Arabic" w:eastAsia="Aptos" w:hAnsi="Traditional Arabic" w:cs="Traditional Arabic"/>
          <w:kern w:val="2"/>
          <w:sz w:val="24"/>
          <w:szCs w:val="24"/>
          <w:rtl/>
          <w14:ligatures w14:val="standardContextual"/>
        </w:rPr>
        <w:t>) الموجودة في مخارج الأقسام (</w:t>
      </w:r>
      <w:r w:rsidRPr="00362D29">
        <w:rPr>
          <w:rFonts w:ascii="Traditional Arabic" w:eastAsia="Aptos" w:hAnsi="Traditional Arabic" w:cs="Traditional Arabic"/>
          <w:kern w:val="2"/>
          <w:sz w:val="24"/>
          <w:szCs w:val="24"/>
          <w14:ligatures w14:val="standardContextual"/>
        </w:rPr>
        <w:t>NHS, 2025</w:t>
      </w:r>
      <w:r w:rsidRPr="00362D29">
        <w:rPr>
          <w:rFonts w:ascii="Traditional Arabic" w:eastAsia="Aptos" w:hAnsi="Traditional Arabic" w:cs="Traditional Arabic"/>
          <w:kern w:val="2"/>
          <w:sz w:val="24"/>
          <w:szCs w:val="24"/>
          <w:rtl/>
          <w14:ligatures w14:val="standardContextual"/>
        </w:rPr>
        <w:t>).</w:t>
      </w:r>
    </w:p>
    <w:p w14:paraId="57CD2877"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يُطلب من المريض تعبئة الاستبيان في نهاية رحلته العلاجية أو عند الخروج من المستشفى مباشرة، أو خلال 48 ساعة من تلقي الخدمة لضمان دقة الانطباعات اللحظية (</w:t>
      </w:r>
      <w:r w:rsidRPr="00362D29">
        <w:rPr>
          <w:rFonts w:ascii="Traditional Arabic" w:eastAsia="Aptos" w:hAnsi="Traditional Arabic" w:cs="Traditional Arabic"/>
          <w:kern w:val="2"/>
          <w:sz w:val="24"/>
          <w:szCs w:val="24"/>
          <w14:ligatures w14:val="standardContextual"/>
        </w:rPr>
        <w:t>NHS, 2026</w:t>
      </w:r>
      <w:r w:rsidRPr="00362D29">
        <w:rPr>
          <w:rFonts w:ascii="Traditional Arabic" w:eastAsia="Aptos" w:hAnsi="Traditional Arabic" w:cs="Traditional Arabic"/>
          <w:kern w:val="2"/>
          <w:sz w:val="24"/>
          <w:szCs w:val="24"/>
          <w:rtl/>
          <w14:ligatures w14:val="standardContextual"/>
        </w:rPr>
        <w:t>).</w:t>
      </w:r>
    </w:p>
    <w:p w14:paraId="6B2C4AA9" w14:textId="04C3B15A"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•نظام التقييم وإعداد التقارير (</w:t>
      </w:r>
      <w:r w:rsidRPr="00362D29">
        <w:rPr>
          <w:rFonts w:ascii="Traditional Arabic" w:eastAsia="Aptos" w:hAnsi="Traditional Arabic" w:cs="Traditional Arabic"/>
          <w:b/>
          <w:bCs/>
          <w:kern w:val="2"/>
          <w:sz w:val="24"/>
          <w:szCs w:val="24"/>
          <w14:ligatures w14:val="standardContextual"/>
        </w:rPr>
        <w:t>Scoring</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Reporting</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يتم احتساب النتائج بناءً على نسبة الاستجابات الإيجابية (جيدة جداً وجيدة) من إجمالي عدد الردود. تُنشر هذه النتائج شهرياً على مستوى وطني عبر موقع (</w:t>
      </w:r>
      <w:r w:rsidRPr="00362D29">
        <w:rPr>
          <w:rFonts w:ascii="Traditional Arabic" w:eastAsia="Aptos" w:hAnsi="Traditional Arabic" w:cs="Traditional Arabic"/>
          <w:kern w:val="2"/>
          <w:sz w:val="24"/>
          <w:szCs w:val="24"/>
          <w14:ligatures w14:val="standardContextual"/>
        </w:rPr>
        <w:t>NHS England</w:t>
      </w:r>
      <w:r w:rsidRPr="00362D29">
        <w:rPr>
          <w:rFonts w:ascii="Traditional Arabic" w:eastAsia="Aptos" w:hAnsi="Traditional Arabic" w:cs="Traditional Arabic"/>
          <w:kern w:val="2"/>
          <w:sz w:val="24"/>
          <w:szCs w:val="24"/>
          <w:rtl/>
          <w14:ligatures w14:val="standardContextual"/>
        </w:rPr>
        <w:t xml:space="preserve">)، كما تلتزم كل منشأة </w:t>
      </w:r>
      <w:r w:rsidRPr="00362D29">
        <w:rPr>
          <w:rFonts w:ascii="Traditional Arabic" w:eastAsia="Aptos" w:hAnsi="Traditional Arabic" w:cs="Traditional Arabic"/>
          <w:kern w:val="2"/>
          <w:sz w:val="24"/>
          <w:szCs w:val="24"/>
          <w:rtl/>
          <w14:ligatures w14:val="standardContextual"/>
        </w:rPr>
        <w:lastRenderedPageBreak/>
        <w:t>صحية بعرض نتائجها في أماكن بارزة داخل الأقسام وعلى مواقعها الإلكترونية لضمان اطلاع المرضى والجمهور على مستوى الأداء (</w:t>
      </w:r>
      <w:r w:rsidRPr="00362D29">
        <w:rPr>
          <w:rFonts w:ascii="Traditional Arabic" w:eastAsia="Aptos" w:hAnsi="Traditional Arabic" w:cs="Traditional Arabic"/>
          <w:kern w:val="2"/>
          <w:sz w:val="24"/>
          <w:szCs w:val="24"/>
          <w14:ligatures w14:val="standardContextual"/>
        </w:rPr>
        <w:t>NHS, 2026</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NHS England, 2025</w:t>
      </w:r>
      <w:r w:rsidRPr="00362D29">
        <w:rPr>
          <w:rFonts w:ascii="Traditional Arabic" w:eastAsia="Aptos" w:hAnsi="Traditional Arabic" w:cs="Traditional Arabic"/>
          <w:kern w:val="2"/>
          <w:sz w:val="24"/>
          <w:szCs w:val="24"/>
          <w:rtl/>
          <w14:ligatures w14:val="standardContextual"/>
        </w:rPr>
        <w:t>).</w:t>
      </w:r>
    </w:p>
    <w:p w14:paraId="7937C4D7" w14:textId="0ADA99A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3. </w:t>
      </w:r>
      <w:r w:rsidR="00AD0248" w:rsidRPr="00362D29">
        <w:rPr>
          <w:rFonts w:ascii="Traditional Arabic" w:eastAsia="Aptos" w:hAnsi="Traditional Arabic" w:cs="Traditional Arabic"/>
          <w:b/>
          <w:bCs/>
          <w:kern w:val="2"/>
          <w:sz w:val="24"/>
          <w:szCs w:val="24"/>
          <w:rtl/>
          <w14:ligatures w14:val="standardContextual"/>
        </w:rPr>
        <w:t>منظومة بريس جاني (</w:t>
      </w:r>
      <w:r w:rsidR="00AD0248" w:rsidRPr="00362D29">
        <w:rPr>
          <w:rFonts w:ascii="Traditional Arabic" w:eastAsia="Aptos" w:hAnsi="Traditional Arabic" w:cs="Traditional Arabic"/>
          <w:b/>
          <w:bCs/>
          <w:kern w:val="2"/>
          <w:sz w:val="24"/>
          <w:szCs w:val="24"/>
          <w14:ligatures w14:val="standardContextual"/>
        </w:rPr>
        <w:t>Press Ganey</w:t>
      </w:r>
      <w:r w:rsidR="00AD0248" w:rsidRPr="00362D29">
        <w:rPr>
          <w:rFonts w:ascii="Traditional Arabic" w:eastAsia="Aptos" w:hAnsi="Traditional Arabic" w:cs="Traditional Arabic"/>
          <w:b/>
          <w:bCs/>
          <w:kern w:val="2"/>
          <w:sz w:val="24"/>
          <w:szCs w:val="24"/>
          <w:rtl/>
          <w14:ligatures w14:val="standardContextual"/>
        </w:rPr>
        <w:t>):</w:t>
      </w:r>
    </w:p>
    <w:p w14:paraId="6B876AE2" w14:textId="685CD57F"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يُعد بريس جاني (</w:t>
      </w:r>
      <w:r w:rsidRPr="00362D29">
        <w:rPr>
          <w:rFonts w:ascii="Traditional Arabic" w:eastAsia="Aptos" w:hAnsi="Traditional Arabic" w:cs="Traditional Arabic"/>
          <w:b/>
          <w:bCs/>
          <w:kern w:val="2"/>
          <w:sz w:val="24"/>
          <w:szCs w:val="24"/>
          <w14:ligatures w14:val="standardContextual"/>
        </w:rPr>
        <w:t>Press Ganey</w:t>
      </w:r>
      <w:r w:rsidRPr="00362D29">
        <w:rPr>
          <w:rFonts w:ascii="Traditional Arabic" w:eastAsia="Aptos" w:hAnsi="Traditional Arabic" w:cs="Traditional Arabic"/>
          <w:b/>
          <w:bCs/>
          <w:kern w:val="2"/>
          <w:sz w:val="24"/>
          <w:szCs w:val="24"/>
          <w:rtl/>
          <w14:ligatures w14:val="standardContextual"/>
        </w:rPr>
        <w:t xml:space="preserve">) أحد أبرز مزودي حلول قياس وتحسين تجربة المريض في الولايات المتحدة الأمريكية والعالم. </w:t>
      </w:r>
      <w:r w:rsidRPr="00362D29">
        <w:rPr>
          <w:rFonts w:ascii="Traditional Arabic" w:eastAsia="Aptos" w:hAnsi="Traditional Arabic" w:cs="Traditional Arabic"/>
          <w:kern w:val="2"/>
          <w:sz w:val="24"/>
          <w:szCs w:val="24"/>
          <w:rtl/>
          <w14:ligatures w14:val="standardContextual"/>
        </w:rPr>
        <w:t xml:space="preserve">يقدم بريس جاني مجموعة شاملة من الاستبيانات والمنصات التحليلية التي تتجاوز مجرد جمع البيانات لتقديم رؤى قابلة للتنفيذ. يركز النموذج على تحليل البيانات من منظور المريض لتحديد المحركات الرئيسية للتجربة، ومقارنة الأداء مع المعايير المرجعية، وتقديم توصيات لتحسين الأداء السريري والتشغيلي. وتُستخدم حلول بريس جاني على نطاق واسع في المستشفيات والأنظمة الصحية لتحسين جودة الرعاية، وتعزيز مشاركة الموظفين، وتحقيق التميز في تجربة المريض </w:t>
      </w:r>
      <w:r w:rsidR="00CF1801" w:rsidRPr="00362D29">
        <w:rPr>
          <w:rFonts w:ascii="Traditional Arabic" w:eastAsia="Aptos" w:hAnsi="Traditional Arabic" w:cs="Traditional Arabic"/>
          <w:kern w:val="2"/>
          <w:sz w:val="24"/>
          <w:szCs w:val="24"/>
          <w:rtl/>
          <w14:ligatures w14:val="standardContextual"/>
        </w:rPr>
        <w:t xml:space="preserve">حيث تعمل مع أكثر من ٣٥.٠٠٠ منشأة صحية على مستوى العالم (تتضمن أكثر من ٥٠% من مستشفيات الولايات المتحدة الأمريكية)؛ بهدف تحسين مستوى الرعاية الصحية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Press Ganey, 202</w:t>
      </w:r>
      <w:r w:rsidR="00B407BE"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214C753" w14:textId="76879CE5" w:rsidR="00FC1CDB" w:rsidRPr="00362D29" w:rsidRDefault="00526E76"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تُعتبر</w:t>
      </w:r>
      <w:r w:rsidR="00FC1CDB" w:rsidRPr="00362D29">
        <w:rPr>
          <w:rFonts w:ascii="Traditional Arabic" w:eastAsia="Aptos" w:hAnsi="Traditional Arabic" w:cs="Traditional Arabic"/>
          <w:kern w:val="2"/>
          <w:sz w:val="24"/>
          <w:szCs w:val="24"/>
          <w:rtl/>
          <w14:ligatures w14:val="standardContextual"/>
        </w:rPr>
        <w:t xml:space="preserve"> بريس جاني (</w:t>
      </w:r>
      <w:r w:rsidR="00FC1CDB" w:rsidRPr="00362D29">
        <w:rPr>
          <w:rFonts w:ascii="Traditional Arabic" w:eastAsia="Aptos" w:hAnsi="Traditional Arabic" w:cs="Traditional Arabic"/>
          <w:kern w:val="2"/>
          <w:sz w:val="24"/>
          <w:szCs w:val="24"/>
          <w14:ligatures w14:val="standardContextual"/>
        </w:rPr>
        <w:t>Press Ganey</w:t>
      </w:r>
      <w:r w:rsidR="00FC1CDB" w:rsidRPr="00362D29">
        <w:rPr>
          <w:rFonts w:ascii="Traditional Arabic" w:eastAsia="Aptos" w:hAnsi="Traditional Arabic" w:cs="Traditional Arabic"/>
          <w:kern w:val="2"/>
          <w:sz w:val="24"/>
          <w:szCs w:val="24"/>
          <w:rtl/>
          <w14:ligatures w14:val="standardContextual"/>
        </w:rPr>
        <w:t xml:space="preserve">) المنظومة العالمية </w:t>
      </w:r>
      <w:r w:rsidR="0044631E" w:rsidRPr="00362D29">
        <w:rPr>
          <w:rFonts w:ascii="Traditional Arabic" w:eastAsia="Aptos" w:hAnsi="Traditional Arabic" w:cs="Traditional Arabic"/>
          <w:kern w:val="2"/>
          <w:sz w:val="24"/>
          <w:szCs w:val="24"/>
          <w:rtl/>
          <w14:ligatures w14:val="standardContextual"/>
        </w:rPr>
        <w:t xml:space="preserve">الرائدة </w:t>
      </w:r>
      <w:r w:rsidR="00FC1CDB" w:rsidRPr="00362D29">
        <w:rPr>
          <w:rFonts w:ascii="Traditional Arabic" w:eastAsia="Aptos" w:hAnsi="Traditional Arabic" w:cs="Traditional Arabic"/>
          <w:kern w:val="2"/>
          <w:sz w:val="24"/>
          <w:szCs w:val="24"/>
          <w:rtl/>
          <w14:ligatures w14:val="standardContextual"/>
        </w:rPr>
        <w:t xml:space="preserve">الأكثر تأثيراً في مجال قياس وتحسين "التجربة الإنسانية" في الرعاية الصحية. </w:t>
      </w:r>
      <w:r w:rsidR="00886A8A" w:rsidRPr="00362D29">
        <w:rPr>
          <w:rFonts w:ascii="Traditional Arabic" w:eastAsia="Aptos" w:hAnsi="Traditional Arabic" w:cs="Traditional Arabic"/>
          <w:kern w:val="2"/>
          <w:sz w:val="24"/>
          <w:szCs w:val="24"/>
          <w:rtl/>
          <w14:ligatures w14:val="standardContextual"/>
        </w:rPr>
        <w:t xml:space="preserve">تمتلك </w:t>
      </w:r>
      <w:r w:rsidR="006E6BA6" w:rsidRPr="00362D29">
        <w:rPr>
          <w:rFonts w:ascii="Traditional Arabic" w:eastAsia="Aptos" w:hAnsi="Traditional Arabic" w:cs="Traditional Arabic"/>
          <w:kern w:val="2"/>
          <w:sz w:val="24"/>
          <w:szCs w:val="24"/>
          <w:rtl/>
          <w14:ligatures w14:val="standardContextual"/>
        </w:rPr>
        <w:t>أكثر</w:t>
      </w:r>
      <w:r w:rsidR="00886A8A" w:rsidRPr="00362D29">
        <w:rPr>
          <w:rFonts w:ascii="Traditional Arabic" w:eastAsia="Aptos" w:hAnsi="Traditional Arabic" w:cs="Traditional Arabic"/>
          <w:kern w:val="2"/>
          <w:sz w:val="24"/>
          <w:szCs w:val="24"/>
          <w:rtl/>
          <w14:ligatures w14:val="standardContextual"/>
        </w:rPr>
        <w:t xml:space="preserve"> من ثلاثة عقود من البحوث والخبرات </w:t>
      </w:r>
      <w:r w:rsidR="004B0AB7" w:rsidRPr="00362D29">
        <w:rPr>
          <w:rFonts w:ascii="Traditional Arabic" w:eastAsia="Aptos" w:hAnsi="Traditional Arabic" w:cs="Traditional Arabic"/>
          <w:kern w:val="2"/>
          <w:sz w:val="24"/>
          <w:szCs w:val="24"/>
          <w:rtl/>
          <w14:ligatures w14:val="standardContextual"/>
        </w:rPr>
        <w:t xml:space="preserve">في هذا </w:t>
      </w:r>
      <w:proofErr w:type="gramStart"/>
      <w:r w:rsidR="004B0AB7" w:rsidRPr="00362D29">
        <w:rPr>
          <w:rFonts w:ascii="Traditional Arabic" w:eastAsia="Aptos" w:hAnsi="Traditional Arabic" w:cs="Traditional Arabic"/>
          <w:kern w:val="2"/>
          <w:sz w:val="24"/>
          <w:szCs w:val="24"/>
          <w:rtl/>
          <w14:ligatures w14:val="standardContextual"/>
        </w:rPr>
        <w:t>المجال ،</w:t>
      </w:r>
      <w:r w:rsidR="00FC1CDB" w:rsidRPr="00362D29">
        <w:rPr>
          <w:rFonts w:ascii="Traditional Arabic" w:eastAsia="Aptos" w:hAnsi="Traditional Arabic" w:cs="Traditional Arabic"/>
          <w:kern w:val="2"/>
          <w:sz w:val="24"/>
          <w:szCs w:val="24"/>
          <w:rtl/>
          <w14:ligatures w14:val="standardContextual"/>
        </w:rPr>
        <w:t>ولا</w:t>
      </w:r>
      <w:proofErr w:type="gramEnd"/>
      <w:r w:rsidR="00FC1CDB" w:rsidRPr="00362D29">
        <w:rPr>
          <w:rFonts w:ascii="Traditional Arabic" w:eastAsia="Aptos" w:hAnsi="Traditional Arabic" w:cs="Traditional Arabic"/>
          <w:kern w:val="2"/>
          <w:sz w:val="24"/>
          <w:szCs w:val="24"/>
          <w:rtl/>
          <w14:ligatures w14:val="standardContextual"/>
        </w:rPr>
        <w:t xml:space="preserve"> تقتصر طبيعتها على كونها مجرد أداة، بل هي كيان متكامل يجمع بين ثلاثة أدوار جوهرية: فهي هيئة استشارية وبحثية رائدة تضع المعايير العالمية، ومنصة تقنية متطورة لجمع وتحليل البيانات الضخمة، ونموذج علمي مثبت لتحويل ملاحظات المرضى إلى خطط عمل استراتيجية (</w:t>
      </w:r>
      <w:r w:rsidR="00FC1CDB" w:rsidRPr="00362D29">
        <w:rPr>
          <w:rFonts w:ascii="Traditional Arabic" w:eastAsia="Aptos" w:hAnsi="Traditional Arabic" w:cs="Traditional Arabic"/>
          <w:kern w:val="2"/>
          <w:sz w:val="24"/>
          <w:szCs w:val="24"/>
          <w14:ligatures w14:val="standardContextual"/>
        </w:rPr>
        <w:t>Press Ganey, 2025</w:t>
      </w:r>
      <w:r w:rsidR="00FC1CDB" w:rsidRPr="00362D29">
        <w:rPr>
          <w:rFonts w:ascii="Traditional Arabic" w:eastAsia="Aptos" w:hAnsi="Traditional Arabic" w:cs="Traditional Arabic"/>
          <w:kern w:val="2"/>
          <w:sz w:val="24"/>
          <w:szCs w:val="24"/>
          <w:rtl/>
          <w14:ligatures w14:val="standardContextual"/>
        </w:rPr>
        <w:t>).</w:t>
      </w:r>
    </w:p>
    <w:p w14:paraId="0CAC0ED8" w14:textId="77777777"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منهجية القياس والنموذج العلمي: يعتمد نموذج بريس جاني على "تحليل المحركات الرئيسية" (</w:t>
      </w:r>
      <w:r w:rsidRPr="00362D29">
        <w:rPr>
          <w:rFonts w:ascii="Traditional Arabic" w:eastAsia="Aptos" w:hAnsi="Traditional Arabic" w:cs="Traditional Arabic"/>
          <w:kern w:val="2"/>
          <w:sz w:val="24"/>
          <w:szCs w:val="24"/>
          <w14:ligatures w14:val="standardContextual"/>
        </w:rPr>
        <w:t>Key Driver Analysis</w:t>
      </w:r>
      <w:r w:rsidRPr="00362D29">
        <w:rPr>
          <w:rFonts w:ascii="Traditional Arabic" w:eastAsia="Aptos" w:hAnsi="Traditional Arabic" w:cs="Traditional Arabic"/>
          <w:kern w:val="2"/>
          <w:sz w:val="24"/>
          <w:szCs w:val="24"/>
          <w:rtl/>
          <w14:ligatures w14:val="standardContextual"/>
        </w:rPr>
        <w:t xml:space="preserve">)، حيث لا يكتفي بقياس الرضا، بل يحدد العوامل الدقيقة التي تؤثر بشكل مباشر على ولاء المريض وتوصيته بالمنشأة. يتكامل هذا النموذج مع معايير </w:t>
      </w:r>
      <w:r w:rsidRPr="00362D29">
        <w:rPr>
          <w:rFonts w:ascii="Traditional Arabic" w:eastAsia="Aptos" w:hAnsi="Traditional Arabic" w:cs="Traditional Arabic"/>
          <w:kern w:val="2"/>
          <w:sz w:val="24"/>
          <w:szCs w:val="24"/>
          <w14:ligatures w14:val="standardContextual"/>
        </w:rPr>
        <w:t>CAHPS</w:t>
      </w:r>
      <w:r w:rsidRPr="00362D29">
        <w:rPr>
          <w:rFonts w:ascii="Traditional Arabic" w:eastAsia="Aptos" w:hAnsi="Traditional Arabic" w:cs="Traditional Arabic"/>
          <w:kern w:val="2"/>
          <w:sz w:val="24"/>
          <w:szCs w:val="24"/>
          <w:rtl/>
          <w14:ligatures w14:val="standardContextual"/>
        </w:rPr>
        <w:t xml:space="preserve"> العالمية، حيث يقوم بريس جاني بإدارة هذه الاستبيانات الرسمية مع إضافة أسئلة تخصصية معمقة توفر رؤى تفصيلية حول سلوكيات مقدمي الخدمة والعمليات التشغيلية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w:t>
      </w:r>
    </w:p>
    <w:p w14:paraId="3FC21FB4" w14:textId="50F0A318"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A52C05">
        <w:rPr>
          <w:rFonts w:ascii="Traditional Arabic" w:eastAsia="Aptos" w:hAnsi="Traditional Arabic" w:cs="Traditional Arabic"/>
          <w:b/>
          <w:bCs/>
          <w:kern w:val="2"/>
          <w:sz w:val="24"/>
          <w:szCs w:val="24"/>
          <w:rtl/>
          <w14:ligatures w14:val="standardContextual"/>
        </w:rPr>
        <w:t>•المنصة التحليلية والمقارنات المعيارية (</w:t>
      </w:r>
      <w:r w:rsidRPr="00A52C05">
        <w:rPr>
          <w:rFonts w:ascii="Traditional Arabic" w:eastAsia="Aptos" w:hAnsi="Traditional Arabic" w:cs="Traditional Arabic"/>
          <w:b/>
          <w:bCs/>
          <w:kern w:val="2"/>
          <w:sz w:val="24"/>
          <w:szCs w:val="24"/>
          <w14:ligatures w14:val="standardContextual"/>
        </w:rPr>
        <w:t>Benchmarking</w:t>
      </w:r>
      <w:r w:rsidRPr="00A52C05">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توفر منصة بريس جاني إمكانية مقارنة أداء المنشأة الصحية مع آلاف المنشآت المماثلة حول العالم، مما يمنح قادة الرعاية الصحية في المملكة أداة قوية لتحديد الفجوات في الأداء ووضع مستهدفات طموحة تتماشى مع رؤية المملكة 2030 في رفع جودة الخدمات الصحية (</w:t>
      </w:r>
      <w:r w:rsidRPr="00362D29">
        <w:rPr>
          <w:rFonts w:ascii="Traditional Arabic" w:eastAsia="Aptos" w:hAnsi="Traditional Arabic" w:cs="Traditional Arabic"/>
          <w:kern w:val="2"/>
          <w:sz w:val="24"/>
          <w:szCs w:val="24"/>
          <w14:ligatures w14:val="standardContextual"/>
        </w:rPr>
        <w:t>Aljo Hani et al.,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Press Ganey, 2024</w:t>
      </w:r>
      <w:r w:rsidRPr="00362D29">
        <w:rPr>
          <w:rFonts w:ascii="Traditional Arabic" w:eastAsia="Aptos" w:hAnsi="Traditional Arabic" w:cs="Traditional Arabic"/>
          <w:kern w:val="2"/>
          <w:sz w:val="24"/>
          <w:szCs w:val="24"/>
          <w:rtl/>
          <w14:ligatures w14:val="standardContextual"/>
        </w:rPr>
        <w:t>).</w:t>
      </w:r>
    </w:p>
    <w:p w14:paraId="15470ED1" w14:textId="77777777"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A52C05">
        <w:rPr>
          <w:rFonts w:ascii="Traditional Arabic" w:eastAsia="Aptos" w:hAnsi="Traditional Arabic" w:cs="Traditional Arabic"/>
          <w:b/>
          <w:bCs/>
          <w:kern w:val="2"/>
          <w:sz w:val="24"/>
          <w:szCs w:val="24"/>
          <w:rtl/>
          <w14:ligatures w14:val="standardContextual"/>
        </w:rPr>
        <w:t>•التحول نحو التجربة الإنسانية الشاملة:</w:t>
      </w:r>
      <w:r w:rsidRPr="00362D29">
        <w:rPr>
          <w:rFonts w:ascii="Traditional Arabic" w:eastAsia="Aptos" w:hAnsi="Traditional Arabic" w:cs="Traditional Arabic"/>
          <w:kern w:val="2"/>
          <w:sz w:val="24"/>
          <w:szCs w:val="24"/>
          <w:rtl/>
          <w14:ligatures w14:val="standardContextual"/>
        </w:rPr>
        <w:t xml:space="preserve"> في عام 2025، وسع بريس جاني نموذجه ليشمل "التجربة الإنسانية الشاملة"، التي تربط بين تجربة المريض، وسلامة المرضى، ومشاركة الموظفين، والفعالية السريرية، مؤكداً أن تحسين تجربة المريض لا ينفصل عن جودة بيئة العمل وسلامة الرعاية المقدمة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005193EE"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14:ligatures w14:val="standardContextual"/>
        </w:rPr>
      </w:pPr>
    </w:p>
    <w:p w14:paraId="1B94AAAA" w14:textId="51F628EF" w:rsidR="00F16B8E" w:rsidRPr="00362D29" w:rsidRDefault="00F16B8E" w:rsidP="00362D29">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عاشرا:</w:t>
      </w:r>
      <w:r w:rsidRPr="00362D29">
        <w:rPr>
          <w:rFonts w:ascii="Traditional Arabic" w:eastAsia="Times New Roman" w:hAnsi="Traditional Arabic" w:cs="Traditional Arabic"/>
          <w:b/>
          <w:bCs/>
          <w:kern w:val="36"/>
          <w:sz w:val="32"/>
          <w:szCs w:val="32"/>
          <w:rtl/>
        </w:rPr>
        <w:t xml:space="preserve"> </w:t>
      </w:r>
      <w:r w:rsidRPr="00362D29">
        <w:rPr>
          <w:rFonts w:ascii="Traditional Arabic" w:eastAsia="Aptos" w:hAnsi="Traditional Arabic" w:cs="Traditional Arabic"/>
          <w:b/>
          <w:bCs/>
          <w:kern w:val="2"/>
          <w:sz w:val="32"/>
          <w:szCs w:val="32"/>
          <w:rtl/>
          <w14:ligatures w14:val="standardContextual"/>
        </w:rPr>
        <w:t>تحسين تجربة المريض (</w:t>
      </w:r>
      <w:r w:rsidRPr="00362D29">
        <w:rPr>
          <w:rFonts w:ascii="Traditional Arabic" w:eastAsia="Aptos" w:hAnsi="Traditional Arabic" w:cs="Traditional Arabic"/>
          <w:b/>
          <w:bCs/>
          <w:kern w:val="2"/>
          <w:sz w:val="32"/>
          <w:szCs w:val="32"/>
          <w14:ligatures w14:val="standardContextual"/>
        </w:rPr>
        <w:t>Patient Experience Improvement</w:t>
      </w:r>
      <w:r w:rsidRPr="00362D29">
        <w:rPr>
          <w:rFonts w:ascii="Traditional Arabic" w:eastAsia="Aptos" w:hAnsi="Traditional Arabic" w:cs="Traditional Arabic"/>
          <w:b/>
          <w:bCs/>
          <w:kern w:val="2"/>
          <w:sz w:val="32"/>
          <w:szCs w:val="32"/>
          <w:rtl/>
          <w14:ligatures w14:val="standardContextual"/>
        </w:rPr>
        <w:t>)</w:t>
      </w:r>
    </w:p>
    <w:p w14:paraId="13567B5F" w14:textId="66B0CF65" w:rsidR="007D6210" w:rsidRPr="00362D29" w:rsidRDefault="007D6210"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تعريف تحسين تجربة المريض</w:t>
      </w:r>
    </w:p>
    <w:p w14:paraId="3163F6CD" w14:textId="134F41D2"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يُعد تحسين تجربة المريض عملية استراتيجية مستمرة تتجاوز مجرد قياس الرضا، لتشمل إعادة تصميم العمليات الصحية بناءً على احتياجات وتوقعات المرضى وعائلاتهم. تهدف هذه العملية إلى ضمان تقديم رعاية صحية تتسم بالكرامة، والتعاطف، والفعالية، بما يتماشى مع أهداف الجودة الشاملة </w:t>
      </w:r>
      <w:r w:rsidR="002659D6" w:rsidRPr="00362D29">
        <w:rPr>
          <w:rFonts w:ascii="Traditional Arabic" w:eastAsia="Aptos" w:hAnsi="Traditional Arabic" w:cs="Traditional Arabic"/>
          <w:kern w:val="2"/>
          <w:sz w:val="24"/>
          <w:szCs w:val="24"/>
          <w:rtl/>
          <w14:ligatures w14:val="standardContextual"/>
        </w:rPr>
        <w:t>(</w:t>
      </w:r>
      <w:r w:rsidR="002659D6" w:rsidRPr="00362D29">
        <w:rPr>
          <w:rFonts w:ascii="Traditional Arabic" w:eastAsia="Aptos" w:hAnsi="Traditional Arabic" w:cs="Traditional Arabic"/>
          <w:kern w:val="2"/>
          <w:sz w:val="24"/>
          <w:szCs w:val="24"/>
          <w14:ligatures w14:val="standardContextual"/>
        </w:rPr>
        <w:t>Health Academy, 2022</w:t>
      </w:r>
      <w:r w:rsidR="002659D6" w:rsidRPr="00362D29">
        <w:rPr>
          <w:rFonts w:ascii="Traditional Arabic" w:eastAsia="Aptos" w:hAnsi="Traditional Arabic" w:cs="Traditional Arabic"/>
          <w:kern w:val="2"/>
          <w:sz w:val="24"/>
          <w:szCs w:val="24"/>
          <w:rtl/>
          <w14:ligatures w14:val="standardContextual"/>
        </w:rPr>
        <w:t>).</w:t>
      </w:r>
    </w:p>
    <w:p w14:paraId="62FFF568" w14:textId="764D402F"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تحسين تجربة المريض</w:t>
      </w:r>
    </w:p>
    <w:p w14:paraId="107675F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لا تقتصر أهمية تحسين تجربة المريض على الجوانب الإنسانية فحسب، بل تمتد لتشمل المخرجات السريرية والأداء المؤسسي، حيث تشير الدراسات إلى أن تحسين التجربة يؤدي إلى:</w:t>
      </w:r>
    </w:p>
    <w:p w14:paraId="2B976C41"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النتائج الصحية:</w:t>
      </w:r>
      <w:r w:rsidRPr="00362D29">
        <w:rPr>
          <w:rFonts w:ascii="Traditional Arabic" w:eastAsia="Aptos" w:hAnsi="Traditional Arabic" w:cs="Traditional Arabic"/>
          <w:kern w:val="2"/>
          <w:sz w:val="24"/>
          <w:szCs w:val="24"/>
          <w:rtl/>
          <w14:ligatures w14:val="standardContextual"/>
        </w:rPr>
        <w:t xml:space="preserve"> يرتبط الالتزام بالخطة العلاجية والنتائج السريرية الإيجابية بجودة التجربة التي يعيشها المريض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w:t>
      </w:r>
    </w:p>
    <w:p w14:paraId="6B20BAF3"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•سلامة المرضى:</w:t>
      </w:r>
      <w:r w:rsidRPr="00362D29">
        <w:rPr>
          <w:rFonts w:ascii="Traditional Arabic" w:eastAsia="Aptos" w:hAnsi="Traditional Arabic" w:cs="Traditional Arabic"/>
          <w:kern w:val="2"/>
          <w:sz w:val="24"/>
          <w:szCs w:val="24"/>
          <w:rtl/>
          <w14:ligatures w14:val="standardContextual"/>
        </w:rPr>
        <w:t xml:space="preserve"> تساهم التجربة الإيجابية القائمة على التواصل الفعال في تقليل الأخطاء الطبية وزيادة وعي المريض بمخاطر العلاج (</w:t>
      </w:r>
      <w:r w:rsidRPr="00362D29">
        <w:rPr>
          <w:rFonts w:ascii="Traditional Arabic" w:eastAsia="Aptos" w:hAnsi="Traditional Arabic" w:cs="Traditional Arabic"/>
          <w:kern w:val="2"/>
          <w:sz w:val="24"/>
          <w:szCs w:val="24"/>
          <w14:ligatures w14:val="standardContextual"/>
        </w:rPr>
        <w:t>Institute of Medicine, 2001</w:t>
      </w:r>
      <w:r w:rsidRPr="00362D29">
        <w:rPr>
          <w:rFonts w:ascii="Traditional Arabic" w:eastAsia="Aptos" w:hAnsi="Traditional Arabic" w:cs="Traditional Arabic"/>
          <w:kern w:val="2"/>
          <w:sz w:val="24"/>
          <w:szCs w:val="24"/>
          <w:rtl/>
          <w14:ligatures w14:val="standardContextual"/>
        </w:rPr>
        <w:t>).</w:t>
      </w:r>
    </w:p>
    <w:p w14:paraId="61B0E51A"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•الكفاءة التشغيلية:</w:t>
      </w:r>
      <w:r w:rsidRPr="00362D29">
        <w:rPr>
          <w:rFonts w:ascii="Traditional Arabic" w:eastAsia="Aptos" w:hAnsi="Traditional Arabic" w:cs="Traditional Arabic"/>
          <w:kern w:val="2"/>
          <w:sz w:val="24"/>
          <w:szCs w:val="24"/>
          <w:rtl/>
          <w14:ligatures w14:val="standardContextual"/>
        </w:rPr>
        <w:t xml:space="preserve"> يقلل تحسين العمليات من فترات الانتظار وهدر الموارد، مما ينعكس إيجاباً على التكاليف الإجمالية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5A51F4C7"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•الولاء والسمعة المؤسسية:</w:t>
      </w:r>
      <w:r w:rsidRPr="00362D29">
        <w:rPr>
          <w:rFonts w:ascii="Traditional Arabic" w:eastAsia="Aptos" w:hAnsi="Traditional Arabic" w:cs="Traditional Arabic"/>
          <w:kern w:val="2"/>
          <w:sz w:val="24"/>
          <w:szCs w:val="24"/>
          <w:rtl/>
          <w14:ligatures w14:val="standardContextual"/>
        </w:rPr>
        <w:t xml:space="preserve"> تعزز التجربة الإيجابية من ثقة المجتمع في المنشأة الصحية وتزيد من احتمالية التوصية بها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48E5088F" w14:textId="6617EA6F" w:rsidR="00865ACD" w:rsidRPr="00362D29" w:rsidRDefault="009E4F1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•تحسين جودة الخدمات </w:t>
      </w:r>
      <w:r w:rsidR="00606B87" w:rsidRPr="00362D29">
        <w:rPr>
          <w:rFonts w:ascii="Traditional Arabic" w:eastAsia="Aptos" w:hAnsi="Traditional Arabic" w:cs="Traditional Arabic"/>
          <w:b/>
          <w:bCs/>
          <w:kern w:val="2"/>
          <w:sz w:val="24"/>
          <w:szCs w:val="24"/>
          <w:rtl/>
          <w14:ligatures w14:val="standardContextual"/>
        </w:rPr>
        <w:t>الصحية:</w:t>
      </w:r>
      <w:r w:rsidR="00606B87" w:rsidRPr="00362D29">
        <w:rPr>
          <w:rFonts w:ascii="Traditional Arabic" w:eastAsia="Aptos" w:hAnsi="Traditional Arabic" w:cs="Traditional Arabic"/>
          <w:kern w:val="2"/>
          <w:sz w:val="24"/>
          <w:szCs w:val="24"/>
          <w:rtl/>
          <w14:ligatures w14:val="standardContextual"/>
        </w:rPr>
        <w:t xml:space="preserve"> يمثل</w:t>
      </w:r>
      <w:r w:rsidRPr="00362D29">
        <w:rPr>
          <w:rFonts w:ascii="Traditional Arabic" w:eastAsia="Aptos" w:hAnsi="Traditional Arabic" w:cs="Traditional Arabic"/>
          <w:kern w:val="2"/>
          <w:sz w:val="24"/>
          <w:szCs w:val="24"/>
          <w:rtl/>
          <w14:ligatures w14:val="standardContextual"/>
        </w:rPr>
        <w:t xml:space="preserve"> تحسين تجربة المريض الركيزة الثالثة في نموذج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xml:space="preserve">)، حيث لا يمكن تحقيق جودة شاملة دون تكامل التجربة مع الفعالية السريرية وسلامة المرضى. إن التحسين المستمر في </w:t>
      </w:r>
      <w:r w:rsidR="003A071C"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xml:space="preserve"> يعمل كمحرك للتغيير الثقافي داخل المنظمات، حيث ينتقل التركيز من "النظام" إلى "الإنسان" </w:t>
      </w:r>
      <w:r w:rsidR="000B6AFD" w:rsidRPr="00362D29">
        <w:rPr>
          <w:rFonts w:ascii="Traditional Arabic" w:eastAsia="Aptos" w:hAnsi="Traditional Arabic" w:cs="Traditional Arabic"/>
          <w:kern w:val="2"/>
          <w:sz w:val="24"/>
          <w:szCs w:val="24"/>
          <w:rtl/>
          <w14:ligatures w14:val="standardContextual"/>
        </w:rPr>
        <w:t>(</w:t>
      </w:r>
      <w:r w:rsidR="000B6AFD" w:rsidRPr="00362D29">
        <w:rPr>
          <w:rFonts w:ascii="Traditional Arabic" w:eastAsia="Aptos" w:hAnsi="Traditional Arabic" w:cs="Traditional Arabic"/>
          <w:kern w:val="2"/>
          <w:sz w:val="24"/>
          <w:szCs w:val="24"/>
          <w14:ligatures w14:val="standardContextual"/>
        </w:rPr>
        <w:t>Health Academy, 2022</w:t>
      </w:r>
      <w:r w:rsidR="000B6AFD"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w:t>
      </w:r>
    </w:p>
    <w:p w14:paraId="15286A6F" w14:textId="3E89A068"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استراتيجيات تحسين تجربة المريض (</w:t>
      </w:r>
      <w:r w:rsidRPr="00362D29">
        <w:rPr>
          <w:rFonts w:ascii="Traditional Arabic" w:eastAsia="Aptos" w:hAnsi="Traditional Arabic" w:cs="Traditional Arabic"/>
          <w:b/>
          <w:bCs/>
          <w:kern w:val="2"/>
          <w:sz w:val="28"/>
          <w:szCs w:val="28"/>
          <w14:ligatures w14:val="standardContextual"/>
        </w:rPr>
        <w:t>Strategies</w:t>
      </w:r>
      <w:r w:rsidRPr="00362D29">
        <w:rPr>
          <w:rFonts w:ascii="Traditional Arabic" w:eastAsia="Aptos" w:hAnsi="Traditional Arabic" w:cs="Traditional Arabic"/>
          <w:b/>
          <w:bCs/>
          <w:kern w:val="2"/>
          <w:sz w:val="28"/>
          <w:szCs w:val="28"/>
          <w:rtl/>
          <w14:ligatures w14:val="standardContextual"/>
        </w:rPr>
        <w:t>)</w:t>
      </w:r>
    </w:p>
    <w:p w14:paraId="4A87ECA1" w14:textId="297E35D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تعتمد المؤسسات الصحية الرائدة مجموعة من الاستراتيجيات </w:t>
      </w:r>
      <w:r w:rsidR="004E7F06" w:rsidRPr="00362D29">
        <w:rPr>
          <w:rFonts w:ascii="Traditional Arabic" w:eastAsia="Aptos" w:hAnsi="Traditional Arabic" w:cs="Traditional Arabic"/>
          <w:kern w:val="2"/>
          <w:sz w:val="24"/>
          <w:szCs w:val="24"/>
          <w:rtl/>
          <w14:ligatures w14:val="standardContextual"/>
        </w:rPr>
        <w:t>المتكاملة</w:t>
      </w:r>
      <w:r w:rsidRPr="00362D29">
        <w:rPr>
          <w:rFonts w:ascii="Traditional Arabic" w:eastAsia="Aptos" w:hAnsi="Traditional Arabic" w:cs="Traditional Arabic"/>
          <w:kern w:val="2"/>
          <w:sz w:val="24"/>
          <w:szCs w:val="24"/>
          <w:rtl/>
          <w14:ligatures w14:val="standardContextual"/>
        </w:rPr>
        <w:t xml:space="preserve"> لتحويل ثقافة المنظمة نحو التمحور حول المريض</w:t>
      </w:r>
      <w:r w:rsidR="004E7F06" w:rsidRPr="00362D29">
        <w:rPr>
          <w:rFonts w:ascii="Traditional Arabic" w:eastAsia="Aptos" w:hAnsi="Traditional Arabic" w:cs="Traditional Arabic"/>
          <w:kern w:val="2"/>
          <w:sz w:val="24"/>
          <w:szCs w:val="24"/>
          <w:rtl/>
          <w14:ligatures w14:val="standardContextual"/>
        </w:rPr>
        <w:t xml:space="preserve"> </w:t>
      </w:r>
      <w:r w:rsidR="00B93F5A" w:rsidRPr="00362D29">
        <w:rPr>
          <w:rFonts w:ascii="Traditional Arabic" w:eastAsia="Aptos" w:hAnsi="Traditional Arabic" w:cs="Traditional Arabic"/>
          <w:kern w:val="2"/>
          <w:sz w:val="24"/>
          <w:szCs w:val="24"/>
          <w:rtl/>
          <w14:ligatures w14:val="standardContextual"/>
        </w:rPr>
        <w:t xml:space="preserve">والتي تم الإشارة لها في الادبيات ومن </w:t>
      </w:r>
      <w:r w:rsidR="00556C2C" w:rsidRPr="00362D29">
        <w:rPr>
          <w:rFonts w:ascii="Traditional Arabic" w:eastAsia="Aptos" w:hAnsi="Traditional Arabic" w:cs="Traditional Arabic"/>
          <w:kern w:val="2"/>
          <w:sz w:val="24"/>
          <w:szCs w:val="24"/>
          <w:rtl/>
          <w14:ligatures w14:val="standardContextual"/>
        </w:rPr>
        <w:t>أبرزها</w:t>
      </w:r>
      <w:r w:rsidR="00B93F5A" w:rsidRPr="00362D29">
        <w:rPr>
          <w:rFonts w:ascii="Traditional Arabic" w:eastAsia="Aptos" w:hAnsi="Traditional Arabic" w:cs="Traditional Arabic"/>
          <w:kern w:val="2"/>
          <w:sz w:val="24"/>
          <w:szCs w:val="24"/>
          <w:rtl/>
          <w14:ligatures w14:val="standardContextual"/>
        </w:rPr>
        <w:t xml:space="preserve"> </w:t>
      </w:r>
      <w:r w:rsidR="00556C2C" w:rsidRPr="00362D29">
        <w:rPr>
          <w:rFonts w:ascii="Traditional Arabic" w:eastAsia="Aptos" w:hAnsi="Traditional Arabic" w:cs="Traditional Arabic"/>
          <w:kern w:val="2"/>
          <w:sz w:val="24"/>
          <w:szCs w:val="24"/>
          <w:rtl/>
          <w14:ligatures w14:val="standardContextual"/>
        </w:rPr>
        <w:t>(</w:t>
      </w:r>
      <w:r w:rsidR="00556C2C" w:rsidRPr="00362D29">
        <w:rPr>
          <w:rFonts w:ascii="Traditional Arabic" w:eastAsia="Aptos" w:hAnsi="Traditional Arabic" w:cs="Traditional Arabic"/>
          <w:kern w:val="2"/>
          <w:sz w:val="24"/>
          <w:szCs w:val="24"/>
          <w14:ligatures w14:val="standardContextual"/>
        </w:rPr>
        <w:t>Health Academy, 2022</w:t>
      </w:r>
      <w:r w:rsidR="00556C2C"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w:t>
      </w:r>
    </w:p>
    <w:p w14:paraId="5B8DC131" w14:textId="7B52AE1C"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1</w:t>
      </w:r>
      <w:r w:rsidRPr="00362D29">
        <w:rPr>
          <w:rFonts w:ascii="Traditional Arabic" w:eastAsia="Aptos" w:hAnsi="Traditional Arabic" w:cs="Traditional Arabic"/>
          <w:b/>
          <w:bCs/>
          <w:kern w:val="2"/>
          <w:sz w:val="24"/>
          <w:szCs w:val="24"/>
          <w:rtl/>
          <w14:ligatures w14:val="standardContextual"/>
        </w:rPr>
        <w:t xml:space="preserve">.الشراكة </w:t>
      </w:r>
      <w:r w:rsidR="00CA149D" w:rsidRPr="00362D29">
        <w:rPr>
          <w:rFonts w:ascii="Traditional Arabic" w:eastAsia="Aptos" w:hAnsi="Traditional Arabic" w:cs="Traditional Arabic"/>
          <w:b/>
          <w:bCs/>
          <w:kern w:val="2"/>
          <w:sz w:val="24"/>
          <w:szCs w:val="24"/>
          <w:rtl/>
          <w14:ligatures w14:val="standardContextual"/>
        </w:rPr>
        <w:t>بين مقدمي الخدمات والمريض</w:t>
      </w:r>
      <w:r w:rsidRPr="00362D29">
        <w:rPr>
          <w:rFonts w:ascii="Traditional Arabic" w:eastAsia="Aptos" w:hAnsi="Traditional Arabic" w:cs="Traditional Arabic"/>
          <w:b/>
          <w:bCs/>
          <w:kern w:val="2"/>
          <w:sz w:val="24"/>
          <w:szCs w:val="24"/>
          <w:rtl/>
          <w14:ligatures w14:val="standardContextual"/>
        </w:rPr>
        <w:t xml:space="preserve"> والأسرة (</w:t>
      </w:r>
      <w:r w:rsidRPr="00362D29">
        <w:rPr>
          <w:rFonts w:ascii="Traditional Arabic" w:eastAsia="Aptos" w:hAnsi="Traditional Arabic" w:cs="Traditional Arabic"/>
          <w:b/>
          <w:bCs/>
          <w:kern w:val="2"/>
          <w:sz w:val="24"/>
          <w:szCs w:val="24"/>
          <w14:ligatures w14:val="standardContextual"/>
        </w:rPr>
        <w:t>Patient/Family</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Staff Partnership</w:t>
      </w:r>
      <w:r w:rsidRPr="00362D29">
        <w:rPr>
          <w:rFonts w:ascii="Traditional Arabic" w:eastAsia="Aptos" w:hAnsi="Traditional Arabic" w:cs="Traditional Arabic"/>
          <w:b/>
          <w:bCs/>
          <w:kern w:val="2"/>
          <w:sz w:val="24"/>
          <w:szCs w:val="24"/>
          <w:rtl/>
          <w14:ligatures w14:val="standardContextual"/>
        </w:rPr>
        <w:t>):</w:t>
      </w:r>
    </w:p>
    <w:p w14:paraId="6839536F" w14:textId="7AA8F4B5"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 xml:space="preserve">تعتبر هذه الاستراتيجية الركيزة الأساسية للتحسين، حيث يتم إشراك المرضى وعائلاتهم كشركاء فاعلين في تصميم وتنفيذ الخدمات الصحية </w:t>
      </w:r>
      <w:r w:rsidR="006478F2" w:rsidRPr="00362D29">
        <w:rPr>
          <w:rFonts w:ascii="Traditional Arabic" w:eastAsia="Aptos" w:hAnsi="Traditional Arabic" w:cs="Traditional Arabic"/>
          <w:kern w:val="2"/>
          <w:sz w:val="24"/>
          <w:szCs w:val="24"/>
          <w:rtl/>
          <w14:ligatures w14:val="standardContextual"/>
        </w:rPr>
        <w:t>(</w:t>
      </w:r>
      <w:r w:rsidR="006478F2" w:rsidRPr="00362D29">
        <w:rPr>
          <w:rFonts w:ascii="Traditional Arabic" w:eastAsia="Aptos" w:hAnsi="Traditional Arabic" w:cs="Traditional Arabic"/>
          <w:kern w:val="2"/>
          <w:sz w:val="24"/>
          <w:szCs w:val="24"/>
          <w14:ligatures w14:val="standardContextual"/>
        </w:rPr>
        <w:t>Health Academy, 2022</w:t>
      </w:r>
      <w:r w:rsidR="006478F2"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يتضمن ذلك تشكيل مجالس استشارية للمرضى وأسرهم (</w:t>
      </w:r>
      <w:r w:rsidRPr="00362D29">
        <w:rPr>
          <w:rFonts w:ascii="Traditional Arabic" w:eastAsia="Aptos" w:hAnsi="Traditional Arabic" w:cs="Traditional Arabic"/>
          <w:kern w:val="2"/>
          <w:sz w:val="24"/>
          <w:szCs w:val="24"/>
          <w14:ligatures w14:val="standardContextual"/>
        </w:rPr>
        <w:t>PFAC</w:t>
      </w:r>
      <w:r w:rsidRPr="00362D29">
        <w:rPr>
          <w:rFonts w:ascii="Traditional Arabic" w:eastAsia="Aptos" w:hAnsi="Traditional Arabic" w:cs="Traditional Arabic"/>
          <w:kern w:val="2"/>
          <w:sz w:val="24"/>
          <w:szCs w:val="24"/>
          <w:rtl/>
          <w14:ligatures w14:val="standardContextual"/>
        </w:rPr>
        <w:t>)</w:t>
      </w:r>
      <w:r w:rsidR="00A92FE6" w:rsidRPr="00362D29">
        <w:rPr>
          <w:rFonts w:ascii="Traditional Arabic" w:eastAsia="Aptos" w:hAnsi="Traditional Arabic" w:cs="Traditional Arabic"/>
          <w:kern w:val="2"/>
          <w:sz w:val="24"/>
          <w:szCs w:val="24"/>
          <w14:ligatures w14:val="standardContextual"/>
        </w:rPr>
        <w:t xml:space="preserve">Patient &amp; Family </w:t>
      </w:r>
      <w:r w:rsidR="00F60637" w:rsidRPr="00362D29">
        <w:rPr>
          <w:rFonts w:ascii="Traditional Arabic" w:eastAsia="Aptos" w:hAnsi="Traditional Arabic" w:cs="Traditional Arabic"/>
          <w:kern w:val="2"/>
          <w:sz w:val="24"/>
          <w:szCs w:val="24"/>
          <w14:ligatures w14:val="standardContextual"/>
        </w:rPr>
        <w:t>Advisory Council</w:t>
      </w:r>
      <w:r w:rsidRPr="00362D29">
        <w:rPr>
          <w:rFonts w:ascii="Traditional Arabic" w:eastAsia="Aptos" w:hAnsi="Traditional Arabic" w:cs="Traditional Arabic"/>
          <w:kern w:val="2"/>
          <w:sz w:val="24"/>
          <w:szCs w:val="24"/>
          <w:rtl/>
          <w14:ligatures w14:val="standardContextual"/>
        </w:rPr>
        <w:t xml:space="preserve"> ودمجهم في فرق المشاريع التحسينية لضمان سماع صوت المريض في كافة المستويات التنظيمية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 xml:space="preserve">). </w:t>
      </w:r>
    </w:p>
    <w:p w14:paraId="7A42B2F8"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2.بناء ثقافة التحسين المؤسسي (</w:t>
      </w:r>
      <w:r w:rsidRPr="00362D29">
        <w:rPr>
          <w:rFonts w:ascii="Traditional Arabic" w:eastAsia="Aptos" w:hAnsi="Traditional Arabic" w:cs="Traditional Arabic"/>
          <w:b/>
          <w:bCs/>
          <w:kern w:val="2"/>
          <w:sz w:val="24"/>
          <w:szCs w:val="24"/>
          <w14:ligatures w14:val="standardContextual"/>
        </w:rPr>
        <w:t>Building Improvement Culture</w:t>
      </w:r>
      <w:r w:rsidRPr="00362D29">
        <w:rPr>
          <w:rFonts w:ascii="Traditional Arabic" w:eastAsia="Aptos" w:hAnsi="Traditional Arabic" w:cs="Traditional Arabic"/>
          <w:b/>
          <w:bCs/>
          <w:kern w:val="2"/>
          <w:sz w:val="24"/>
          <w:szCs w:val="24"/>
          <w:rtl/>
          <w14:ligatures w14:val="standardContextual"/>
        </w:rPr>
        <w:t>):</w:t>
      </w:r>
    </w:p>
    <w:p w14:paraId="6BD8D8A4" w14:textId="5F60ED0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تتطلب هذه الاستراتيجية قيادة مرئية وملتزمة، وتوفير الموارد والبنية التحتية اللازمة، وتطوير مهارات القوى العاملة في منهجيات التحسين. تهدف إلى خلق بيئة تعليمية يشعر فيها الموظفون بالأمان النفسي لاقتراح الأفكار واختبارها. وفقاً لتحليل </w:t>
      </w:r>
      <w:r w:rsidRPr="00362D29">
        <w:rPr>
          <w:rFonts w:ascii="Traditional Arabic" w:eastAsia="Aptos" w:hAnsi="Traditional Arabic" w:cs="Traditional Arabic"/>
          <w:kern w:val="2"/>
          <w:sz w:val="24"/>
          <w:szCs w:val="24"/>
          <w14:ligatures w14:val="standardContextual"/>
        </w:rPr>
        <w:t>Health Foundation</w:t>
      </w:r>
      <w:r w:rsidRPr="00362D29">
        <w:rPr>
          <w:rFonts w:ascii="Traditional Arabic" w:eastAsia="Aptos" w:hAnsi="Traditional Arabic" w:cs="Traditional Arabic"/>
          <w:kern w:val="2"/>
          <w:sz w:val="24"/>
          <w:szCs w:val="24"/>
          <w:rtl/>
          <w14:ligatures w14:val="standardContextual"/>
        </w:rPr>
        <w:t xml:space="preserve">، تشمل المكونات الأربعة الرئيسية لبناء ثقافة التحسين المؤسسي ما يلي </w:t>
      </w:r>
      <w:r w:rsidR="00556C2C" w:rsidRPr="00362D29">
        <w:rPr>
          <w:rFonts w:ascii="Traditional Arabic" w:eastAsia="Aptos" w:hAnsi="Traditional Arabic" w:cs="Traditional Arabic"/>
          <w:kern w:val="2"/>
          <w:sz w:val="24"/>
          <w:szCs w:val="24"/>
          <w:rtl/>
          <w14:ligatures w14:val="standardContextual"/>
        </w:rPr>
        <w:t>(</w:t>
      </w:r>
      <w:r w:rsidR="00556C2C" w:rsidRPr="00362D29">
        <w:rPr>
          <w:rFonts w:ascii="Traditional Arabic" w:eastAsia="Aptos" w:hAnsi="Traditional Arabic" w:cs="Traditional Arabic"/>
          <w:kern w:val="2"/>
          <w:sz w:val="24"/>
          <w:szCs w:val="24"/>
          <w14:ligatures w14:val="standardContextual"/>
        </w:rPr>
        <w:t>Health Academy, 2022</w:t>
      </w:r>
      <w:r w:rsidR="00556C2C" w:rsidRPr="00362D29">
        <w:rPr>
          <w:rFonts w:ascii="Traditional Arabic" w:eastAsia="Aptos" w:hAnsi="Traditional Arabic" w:cs="Traditional Arabic"/>
          <w:kern w:val="2"/>
          <w:sz w:val="24"/>
          <w:szCs w:val="24"/>
          <w:rtl/>
          <w14:ligatures w14:val="standardContextual"/>
        </w:rPr>
        <w:t>)</w:t>
      </w:r>
      <w:r w:rsidR="00E07A74" w:rsidRPr="00362D29">
        <w:rPr>
          <w:rFonts w:ascii="Traditional Arabic" w:eastAsia="Aptos" w:hAnsi="Traditional Arabic" w:cs="Traditional Arabic"/>
          <w:kern w:val="2"/>
          <w:sz w:val="24"/>
          <w:szCs w:val="24"/>
          <w:rtl/>
          <w14:ligatures w14:val="standardContextual"/>
        </w:rPr>
        <w:t>.</w:t>
      </w:r>
    </w:p>
    <w:p w14:paraId="78FBF1DA"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•الحوكمة والقيادة (</w:t>
      </w:r>
      <w:r w:rsidRPr="00362D29">
        <w:rPr>
          <w:rFonts w:ascii="Traditional Arabic" w:eastAsia="Aptos" w:hAnsi="Traditional Arabic" w:cs="Traditional Arabic"/>
          <w:kern w:val="2"/>
          <w:sz w:val="24"/>
          <w:szCs w:val="24"/>
          <w14:ligatures w14:val="standardContextual"/>
        </w:rPr>
        <w:t>Governance and Leadership</w:t>
      </w:r>
      <w:r w:rsidRPr="00362D29">
        <w:rPr>
          <w:rFonts w:ascii="Traditional Arabic" w:eastAsia="Aptos" w:hAnsi="Traditional Arabic" w:cs="Traditional Arabic"/>
          <w:kern w:val="2"/>
          <w:sz w:val="24"/>
          <w:szCs w:val="24"/>
          <w:rtl/>
          <w14:ligatures w14:val="standardContextual"/>
        </w:rPr>
        <w:t>): قيادة واضحة ومركزة على مستوى الإدارة العليا، مع أنظمة حوكمة فعالة تضمن توافق جميع أنشطة التحسين مع أهداف المنظمة.</w:t>
      </w:r>
    </w:p>
    <w:p w14:paraId="747A3626"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•الموارد والبنية التحتية (</w:t>
      </w:r>
      <w:r w:rsidRPr="00362D29">
        <w:rPr>
          <w:rFonts w:ascii="Traditional Arabic" w:eastAsia="Aptos" w:hAnsi="Traditional Arabic" w:cs="Traditional Arabic"/>
          <w:kern w:val="2"/>
          <w:sz w:val="24"/>
          <w:szCs w:val="24"/>
          <w14:ligatures w14:val="standardContextual"/>
        </w:rPr>
        <w:t>Resources and Infrastructure</w:t>
      </w:r>
      <w:r w:rsidRPr="00362D29">
        <w:rPr>
          <w:rFonts w:ascii="Traditional Arabic" w:eastAsia="Aptos" w:hAnsi="Traditional Arabic" w:cs="Traditional Arabic"/>
          <w:kern w:val="2"/>
          <w:sz w:val="24"/>
          <w:szCs w:val="24"/>
          <w:rtl/>
          <w14:ligatures w14:val="standardContextual"/>
        </w:rPr>
        <w:t>): توفير البيانات والمعدات والموارد والصلاحيات اللازمة للفرق لتخطيط وتنفيذ التحسينات المستدامة.</w:t>
      </w:r>
    </w:p>
    <w:p w14:paraId="0F7C36AF"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•القوى العاملة والمهارات (</w:t>
      </w:r>
      <w:r w:rsidRPr="00362D29">
        <w:rPr>
          <w:rFonts w:ascii="Traditional Arabic" w:eastAsia="Aptos" w:hAnsi="Traditional Arabic" w:cs="Traditional Arabic"/>
          <w:kern w:val="2"/>
          <w:sz w:val="24"/>
          <w:szCs w:val="24"/>
          <w14:ligatures w14:val="standardContextual"/>
        </w:rPr>
        <w:t>Workforce and Skills</w:t>
      </w:r>
      <w:r w:rsidRPr="00362D29">
        <w:rPr>
          <w:rFonts w:ascii="Traditional Arabic" w:eastAsia="Aptos" w:hAnsi="Traditional Arabic" w:cs="Traditional Arabic"/>
          <w:kern w:val="2"/>
          <w:sz w:val="24"/>
          <w:szCs w:val="24"/>
          <w:rtl/>
          <w14:ligatures w14:val="standardContextual"/>
        </w:rPr>
        <w:t>): برامج لتطوير مهارات وقدرات الموظفين في منهجيات وأدوات تحسين الجودة.</w:t>
      </w:r>
    </w:p>
    <w:p w14:paraId="2B4A9A30"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•الثقافة والبيئة (</w:t>
      </w:r>
      <w:r w:rsidRPr="00362D29">
        <w:rPr>
          <w:rFonts w:ascii="Traditional Arabic" w:eastAsia="Aptos" w:hAnsi="Traditional Arabic" w:cs="Traditional Arabic"/>
          <w:kern w:val="2"/>
          <w:sz w:val="24"/>
          <w:szCs w:val="24"/>
          <w14:ligatures w14:val="standardContextual"/>
        </w:rPr>
        <w:t>Culture and Environment</w:t>
      </w:r>
      <w:r w:rsidRPr="00362D29">
        <w:rPr>
          <w:rFonts w:ascii="Traditional Arabic" w:eastAsia="Aptos" w:hAnsi="Traditional Arabic" w:cs="Traditional Arabic"/>
          <w:kern w:val="2"/>
          <w:sz w:val="24"/>
          <w:szCs w:val="24"/>
          <w:rtl/>
          <w14:ligatures w14:val="standardContextual"/>
        </w:rPr>
        <w:t>): بيئة عمل داعمة وتعاونية وشاملة، وبيئة تعليمية تتيح للموظفين الوقت والمساحة للتفكير النقدي والشعور بالأمان النفسي للتعبير عن المشكلات واختبار الأفكار الجديدة.</w:t>
      </w:r>
    </w:p>
    <w:p w14:paraId="6809E945" w14:textId="2D8B311D"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002651E1"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تصميم</w:t>
      </w:r>
      <w:r w:rsidR="002651E1" w:rsidRPr="00362D29">
        <w:rPr>
          <w:rFonts w:ascii="Traditional Arabic" w:eastAsia="Aptos" w:hAnsi="Traditional Arabic" w:cs="Traditional Arabic"/>
          <w:b/>
          <w:bCs/>
          <w:kern w:val="2"/>
          <w:sz w:val="24"/>
          <w:szCs w:val="24"/>
          <w:rtl/>
          <w14:ligatures w14:val="standardContextual"/>
        </w:rPr>
        <w:t xml:space="preserve"> الخدمات الصحية</w:t>
      </w:r>
      <w:r w:rsidRPr="00362D29">
        <w:rPr>
          <w:rFonts w:ascii="Traditional Arabic" w:eastAsia="Aptos" w:hAnsi="Traditional Arabic" w:cs="Traditional Arabic"/>
          <w:b/>
          <w:bCs/>
          <w:kern w:val="2"/>
          <w:sz w:val="24"/>
          <w:szCs w:val="24"/>
          <w:rtl/>
          <w14:ligatures w14:val="standardContextual"/>
        </w:rPr>
        <w:t xml:space="preserve"> المتمحور حول الإنسان (</w:t>
      </w:r>
      <w:r w:rsidRPr="00362D29">
        <w:rPr>
          <w:rFonts w:ascii="Traditional Arabic" w:eastAsia="Aptos" w:hAnsi="Traditional Arabic" w:cs="Traditional Arabic"/>
          <w:b/>
          <w:bCs/>
          <w:kern w:val="2"/>
          <w:sz w:val="24"/>
          <w:szCs w:val="24"/>
          <w14:ligatures w14:val="standardContextual"/>
        </w:rPr>
        <w:t>Human-Centered Design</w:t>
      </w:r>
      <w:r w:rsidRPr="00362D29">
        <w:rPr>
          <w:rFonts w:ascii="Traditional Arabic" w:eastAsia="Aptos" w:hAnsi="Traditional Arabic" w:cs="Traditional Arabic"/>
          <w:b/>
          <w:bCs/>
          <w:kern w:val="2"/>
          <w:sz w:val="24"/>
          <w:szCs w:val="24"/>
          <w:rtl/>
          <w14:ligatures w14:val="standardContextual"/>
        </w:rPr>
        <w:t>):</w:t>
      </w:r>
    </w:p>
    <w:p w14:paraId="5F46E0FE" w14:textId="28ABB116"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منهجية تهدف إلى إعادة ابتكار الخدمات الصحية من خلال فهم عميق لتجارب ومشاعر واحتياجات </w:t>
      </w:r>
      <w:r w:rsidR="002651E1" w:rsidRPr="00362D29">
        <w:rPr>
          <w:rFonts w:ascii="Traditional Arabic" w:eastAsia="Aptos" w:hAnsi="Traditional Arabic" w:cs="Traditional Arabic"/>
          <w:kern w:val="2"/>
          <w:sz w:val="24"/>
          <w:szCs w:val="24"/>
          <w:rtl/>
          <w14:ligatures w14:val="standardContextual"/>
        </w:rPr>
        <w:t>المستفيدين</w:t>
      </w:r>
      <w:r w:rsidRPr="00362D29">
        <w:rPr>
          <w:rFonts w:ascii="Traditional Arabic" w:eastAsia="Aptos" w:hAnsi="Traditional Arabic" w:cs="Traditional Arabic"/>
          <w:kern w:val="2"/>
          <w:sz w:val="24"/>
          <w:szCs w:val="24"/>
          <w:rtl/>
          <w14:ligatures w14:val="standardContextual"/>
        </w:rPr>
        <w:t xml:space="preserve"> (المرضى والموظفين)، لضمان أن تكون الحلول التحسينية ملائمة </w:t>
      </w:r>
      <w:r w:rsidR="00750514" w:rsidRPr="00362D29">
        <w:rPr>
          <w:rFonts w:ascii="Traditional Arabic" w:eastAsia="Aptos" w:hAnsi="Traditional Arabic" w:cs="Traditional Arabic"/>
          <w:kern w:val="2"/>
          <w:sz w:val="24"/>
          <w:szCs w:val="24"/>
          <w:rtl/>
          <w14:ligatures w14:val="standardContextual"/>
        </w:rPr>
        <w:t xml:space="preserve">وواقعية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The Beryl Institute, 2025</w:t>
      </w:r>
      <w:r w:rsidRPr="00362D29">
        <w:rPr>
          <w:rFonts w:ascii="Traditional Arabic" w:eastAsia="Aptos" w:hAnsi="Traditional Arabic" w:cs="Traditional Arabic"/>
          <w:kern w:val="2"/>
          <w:sz w:val="24"/>
          <w:szCs w:val="24"/>
          <w:rtl/>
          <w14:ligatures w14:val="standardContextual"/>
        </w:rPr>
        <w:t>).</w:t>
      </w:r>
    </w:p>
    <w:p w14:paraId="3D3263D0" w14:textId="69440967"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أدوات تحسين تجربة المريض (</w:t>
      </w:r>
      <w:r w:rsidRPr="00362D29">
        <w:rPr>
          <w:rFonts w:ascii="Traditional Arabic" w:eastAsia="Aptos" w:hAnsi="Traditional Arabic" w:cs="Traditional Arabic"/>
          <w:b/>
          <w:bCs/>
          <w:kern w:val="2"/>
          <w:sz w:val="28"/>
          <w:szCs w:val="28"/>
          <w14:ligatures w14:val="standardContextual"/>
        </w:rPr>
        <w:t>Tools</w:t>
      </w:r>
      <w:r w:rsidRPr="00362D29">
        <w:rPr>
          <w:rFonts w:ascii="Traditional Arabic" w:eastAsia="Aptos" w:hAnsi="Traditional Arabic" w:cs="Traditional Arabic"/>
          <w:b/>
          <w:bCs/>
          <w:kern w:val="2"/>
          <w:sz w:val="28"/>
          <w:szCs w:val="28"/>
          <w:rtl/>
          <w14:ligatures w14:val="standardContextual"/>
        </w:rPr>
        <w:t>)</w:t>
      </w:r>
    </w:p>
    <w:p w14:paraId="512BFFD9" w14:textId="6C84DA5A"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تستخدم المنظمات أدوات محددة لجمع البيانات النوعية والكمية وتحديد فرص التحسين، وقد أكدت الدراسات السابقة على أهمية تكامل هذه الأدوات لضمان شمولية التحسين</w:t>
      </w:r>
      <w:r w:rsidR="00385E6F" w:rsidRPr="00362D29">
        <w:rPr>
          <w:rFonts w:ascii="Traditional Arabic" w:eastAsia="Aptos" w:hAnsi="Traditional Arabic" w:cs="Traditional Arabic"/>
          <w:kern w:val="2"/>
          <w:sz w:val="24"/>
          <w:szCs w:val="24"/>
          <w:rtl/>
          <w14:ligatures w14:val="standardContextual"/>
        </w:rPr>
        <w:t xml:space="preserve"> ومن </w:t>
      </w:r>
      <w:r w:rsidR="00F17BA2" w:rsidRPr="00362D29">
        <w:rPr>
          <w:rFonts w:ascii="Traditional Arabic" w:eastAsia="Aptos" w:hAnsi="Traditional Arabic" w:cs="Traditional Arabic"/>
          <w:kern w:val="2"/>
          <w:sz w:val="24"/>
          <w:szCs w:val="24"/>
          <w:rtl/>
          <w14:ligatures w14:val="standardContextual"/>
        </w:rPr>
        <w:t>أبرزها</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Song et al., 2020</w:t>
      </w:r>
      <w:r w:rsidRPr="00362D29">
        <w:rPr>
          <w:rFonts w:ascii="Traditional Arabic" w:eastAsia="Aptos" w:hAnsi="Traditional Arabic" w:cs="Traditional Arabic"/>
          <w:kern w:val="2"/>
          <w:sz w:val="24"/>
          <w:szCs w:val="24"/>
          <w:rtl/>
          <w14:ligatures w14:val="standardContextual"/>
        </w:rPr>
        <w:t>):</w:t>
      </w:r>
    </w:p>
    <w:p w14:paraId="20030725"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1.رسم خرائط رحلة المريض (</w:t>
      </w:r>
      <w:r w:rsidRPr="00362D29">
        <w:rPr>
          <w:rFonts w:ascii="Traditional Arabic" w:eastAsia="Aptos" w:hAnsi="Traditional Arabic" w:cs="Traditional Arabic"/>
          <w:b/>
          <w:bCs/>
          <w:kern w:val="2"/>
          <w:sz w:val="24"/>
          <w:szCs w:val="24"/>
          <w14:ligatures w14:val="standardContextual"/>
        </w:rPr>
        <w:t>Patient Journey Mapping</w:t>
      </w:r>
      <w:r w:rsidRPr="00362D29">
        <w:rPr>
          <w:rFonts w:ascii="Traditional Arabic" w:eastAsia="Aptos" w:hAnsi="Traditional Arabic" w:cs="Traditional Arabic"/>
          <w:b/>
          <w:bCs/>
          <w:kern w:val="2"/>
          <w:sz w:val="24"/>
          <w:szCs w:val="24"/>
          <w:rtl/>
          <w14:ligatures w14:val="standardContextual"/>
        </w:rPr>
        <w:t>):</w:t>
      </w:r>
    </w:p>
    <w:p w14:paraId="2F35CBB7" w14:textId="7BA6748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أداة بصرية لتتبع كافة نقاط التماس (</w:t>
      </w:r>
      <w:r w:rsidRPr="00362D29">
        <w:rPr>
          <w:rFonts w:ascii="Traditional Arabic" w:eastAsia="Aptos" w:hAnsi="Traditional Arabic" w:cs="Traditional Arabic"/>
          <w:kern w:val="2"/>
          <w:sz w:val="24"/>
          <w:szCs w:val="24"/>
          <w14:ligatures w14:val="standardContextual"/>
        </w:rPr>
        <w:t>Touchpoints</w:t>
      </w:r>
      <w:r w:rsidRPr="00362D29">
        <w:rPr>
          <w:rFonts w:ascii="Traditional Arabic" w:eastAsia="Aptos" w:hAnsi="Traditional Arabic" w:cs="Traditional Arabic"/>
          <w:kern w:val="2"/>
          <w:sz w:val="24"/>
          <w:szCs w:val="24"/>
          <w:rtl/>
          <w14:ligatures w14:val="standardContextual"/>
        </w:rPr>
        <w:t>) التي يمر بها المريض، مما يساعد في تحديد الفجوات في الخدمة ولحظات الحقيقة (</w:t>
      </w:r>
      <w:r w:rsidRPr="00362D29">
        <w:rPr>
          <w:rFonts w:ascii="Traditional Arabic" w:eastAsia="Aptos" w:hAnsi="Traditional Arabic" w:cs="Traditional Arabic"/>
          <w:kern w:val="2"/>
          <w:sz w:val="24"/>
          <w:szCs w:val="24"/>
          <w14:ligatures w14:val="standardContextual"/>
        </w:rPr>
        <w:t>Moments of Truth</w:t>
      </w:r>
      <w:r w:rsidRPr="00362D29">
        <w:rPr>
          <w:rFonts w:ascii="Traditional Arabic" w:eastAsia="Aptos" w:hAnsi="Traditional Arabic" w:cs="Traditional Arabic"/>
          <w:kern w:val="2"/>
          <w:sz w:val="24"/>
          <w:szCs w:val="24"/>
          <w:rtl/>
          <w14:ligatures w14:val="standardContextual"/>
        </w:rPr>
        <w:t>) التي تؤثر على انطباع المريض (</w:t>
      </w:r>
      <w:r w:rsidRPr="00362D29">
        <w:rPr>
          <w:rFonts w:ascii="Traditional Arabic" w:eastAsia="Aptos" w:hAnsi="Traditional Arabic" w:cs="Traditional Arabic"/>
          <w:kern w:val="2"/>
          <w:sz w:val="24"/>
          <w:szCs w:val="24"/>
          <w14:ligatures w14:val="standardContextual"/>
        </w:rPr>
        <w:t>AHA, 2024</w:t>
      </w:r>
      <w:r w:rsidRPr="00362D29">
        <w:rPr>
          <w:rFonts w:ascii="Traditional Arabic" w:eastAsia="Aptos" w:hAnsi="Traditional Arabic" w:cs="Traditional Arabic"/>
          <w:kern w:val="2"/>
          <w:sz w:val="24"/>
          <w:szCs w:val="24"/>
          <w:rtl/>
          <w14:ligatures w14:val="standardContextual"/>
        </w:rPr>
        <w:t>). وتعد هذه الأداة من أكثر الوسائل فاعلية في فهم العوامل المؤثرة على تجربة المريض في الأقسام</w:t>
      </w:r>
      <w:r w:rsidR="00A152F2" w:rsidRPr="00362D29">
        <w:rPr>
          <w:rFonts w:ascii="Traditional Arabic" w:eastAsia="Aptos" w:hAnsi="Traditional Arabic" w:cs="Traditional Arabic"/>
          <w:kern w:val="2"/>
          <w:sz w:val="24"/>
          <w:szCs w:val="24"/>
          <w:rtl/>
          <w14:ligatures w14:val="standardContextual"/>
        </w:rPr>
        <w:t xml:space="preserve"> التنويم</w:t>
      </w:r>
      <w:r w:rsidRPr="00362D29">
        <w:rPr>
          <w:rFonts w:ascii="Traditional Arabic" w:eastAsia="Aptos" w:hAnsi="Traditional Arabic" w:cs="Traditional Arabic"/>
          <w:kern w:val="2"/>
          <w:sz w:val="24"/>
          <w:szCs w:val="24"/>
          <w:rtl/>
          <w14:ligatures w14:val="standardContextual"/>
        </w:rPr>
        <w:t xml:space="preserve"> والعيادات الخارجية (</w:t>
      </w:r>
      <w:r w:rsidR="00D41C03" w:rsidRPr="00362D29">
        <w:rPr>
          <w:rFonts w:ascii="Traditional Arabic" w:eastAsia="Aptos" w:hAnsi="Traditional Arabic" w:cs="Traditional Arabic"/>
          <w:kern w:val="2"/>
          <w:sz w:val="24"/>
          <w:szCs w:val="24"/>
          <w14:ligatures w14:val="standardContextual"/>
        </w:rPr>
        <w:t>Chen</w:t>
      </w:r>
      <w:r w:rsidRPr="00362D29">
        <w:rPr>
          <w:rFonts w:ascii="Traditional Arabic" w:eastAsia="Aptos" w:hAnsi="Traditional Arabic" w:cs="Traditional Arabic"/>
          <w:kern w:val="2"/>
          <w:sz w:val="24"/>
          <w:szCs w:val="24"/>
          <w14:ligatures w14:val="standardContextual"/>
        </w:rPr>
        <w:t xml:space="preserve"> et al., 2024</w:t>
      </w:r>
      <w:r w:rsidRPr="00362D29">
        <w:rPr>
          <w:rFonts w:ascii="Traditional Arabic" w:eastAsia="Aptos" w:hAnsi="Traditional Arabic" w:cs="Traditional Arabic"/>
          <w:kern w:val="2"/>
          <w:sz w:val="24"/>
          <w:szCs w:val="24"/>
          <w:rtl/>
          <w14:ligatures w14:val="standardContextual"/>
        </w:rPr>
        <w:t>).</w:t>
      </w:r>
    </w:p>
    <w:p w14:paraId="3DD50AF1"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2.المراقبة الظلية (</w:t>
      </w:r>
      <w:r w:rsidRPr="00362D29">
        <w:rPr>
          <w:rFonts w:ascii="Traditional Arabic" w:eastAsia="Aptos" w:hAnsi="Traditional Arabic" w:cs="Traditional Arabic"/>
          <w:b/>
          <w:bCs/>
          <w:kern w:val="2"/>
          <w:sz w:val="24"/>
          <w:szCs w:val="24"/>
          <w14:ligatures w14:val="standardContextual"/>
        </w:rPr>
        <w:t>Shadowing</w:t>
      </w:r>
      <w:r w:rsidRPr="00362D29">
        <w:rPr>
          <w:rFonts w:ascii="Traditional Arabic" w:eastAsia="Aptos" w:hAnsi="Traditional Arabic" w:cs="Traditional Arabic"/>
          <w:b/>
          <w:bCs/>
          <w:kern w:val="2"/>
          <w:sz w:val="24"/>
          <w:szCs w:val="24"/>
          <w:rtl/>
          <w14:ligatures w14:val="standardContextual"/>
        </w:rPr>
        <w:t>):</w:t>
      </w:r>
    </w:p>
    <w:p w14:paraId="311182C3" w14:textId="7EBC3779"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أداة نوعية قوية تعتمد على </w:t>
      </w:r>
      <w:r w:rsidR="00D41C03" w:rsidRPr="00362D29">
        <w:rPr>
          <w:rFonts w:ascii="Traditional Arabic" w:eastAsia="Aptos" w:hAnsi="Traditional Arabic" w:cs="Traditional Arabic"/>
          <w:kern w:val="2"/>
          <w:sz w:val="24"/>
          <w:szCs w:val="24"/>
          <w:rtl/>
          <w14:ligatures w14:val="standardContextual"/>
        </w:rPr>
        <w:t xml:space="preserve">وجود </w:t>
      </w:r>
      <w:r w:rsidRPr="00362D29">
        <w:rPr>
          <w:rFonts w:ascii="Traditional Arabic" w:eastAsia="Aptos" w:hAnsi="Traditional Arabic" w:cs="Traditional Arabic"/>
          <w:kern w:val="2"/>
          <w:sz w:val="24"/>
          <w:szCs w:val="24"/>
          <w:rtl/>
          <w14:ligatures w14:val="standardContextual"/>
        </w:rPr>
        <w:t xml:space="preserve">مرافق </w:t>
      </w:r>
      <w:r w:rsidR="00D41C03" w:rsidRPr="00362D29">
        <w:rPr>
          <w:rFonts w:ascii="Traditional Arabic" w:eastAsia="Aptos" w:hAnsi="Traditional Arabic" w:cs="Traditional Arabic"/>
          <w:kern w:val="2"/>
          <w:sz w:val="24"/>
          <w:szCs w:val="24"/>
          <w:rtl/>
          <w14:ligatures w14:val="standardContextual"/>
        </w:rPr>
        <w:t>لل</w:t>
      </w:r>
      <w:r w:rsidRPr="00362D29">
        <w:rPr>
          <w:rFonts w:ascii="Traditional Arabic" w:eastAsia="Aptos" w:hAnsi="Traditional Arabic" w:cs="Traditional Arabic"/>
          <w:kern w:val="2"/>
          <w:sz w:val="24"/>
          <w:szCs w:val="24"/>
          <w:rtl/>
          <w14:ligatures w14:val="standardContextual"/>
        </w:rPr>
        <w:t>مريض طوال رحلته في المستشفى لملاحظة التجربة كما يعيشها المريض فعلياً، مما يكشف عن تفاصيل دقيقة قد لا تظهر في الاستبيانات التقليدية (</w:t>
      </w:r>
      <w:r w:rsidRPr="00362D29">
        <w:rPr>
          <w:rFonts w:ascii="Traditional Arabic" w:eastAsia="Aptos" w:hAnsi="Traditional Arabic" w:cs="Traditional Arabic"/>
          <w:kern w:val="2"/>
          <w:sz w:val="24"/>
          <w:szCs w:val="24"/>
          <w14:ligatures w14:val="standardContextual"/>
        </w:rPr>
        <w:t>Jones et al., 2021</w:t>
      </w:r>
      <w:r w:rsidRPr="00362D29">
        <w:rPr>
          <w:rFonts w:ascii="Traditional Arabic" w:eastAsia="Aptos" w:hAnsi="Traditional Arabic" w:cs="Traditional Arabic"/>
          <w:kern w:val="2"/>
          <w:sz w:val="24"/>
          <w:szCs w:val="24"/>
          <w:rtl/>
          <w14:ligatures w14:val="standardContextual"/>
        </w:rPr>
        <w:t>). وتبرز أهمية هذه الأداة في تحديد المعوقات التشغيلية التي قد تغيب عن القيادات الإدارية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07D24A0F"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3.المتسوق الخفي (</w:t>
      </w:r>
      <w:r w:rsidRPr="00362D29">
        <w:rPr>
          <w:rFonts w:ascii="Traditional Arabic" w:eastAsia="Aptos" w:hAnsi="Traditional Arabic" w:cs="Traditional Arabic"/>
          <w:b/>
          <w:bCs/>
          <w:kern w:val="2"/>
          <w:sz w:val="24"/>
          <w:szCs w:val="24"/>
          <w14:ligatures w14:val="standardContextual"/>
        </w:rPr>
        <w:t>Mystery Shopper</w:t>
      </w:r>
      <w:r w:rsidRPr="00362D29">
        <w:rPr>
          <w:rFonts w:ascii="Traditional Arabic" w:eastAsia="Aptos" w:hAnsi="Traditional Arabic" w:cs="Traditional Arabic"/>
          <w:b/>
          <w:bCs/>
          <w:kern w:val="2"/>
          <w:sz w:val="24"/>
          <w:szCs w:val="24"/>
          <w:rtl/>
          <w14:ligatures w14:val="standardContextual"/>
        </w:rPr>
        <w:t>):</w:t>
      </w:r>
    </w:p>
    <w:p w14:paraId="296FE569" w14:textId="15A90D21"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تعتمد هذه الأداة على مقيمين م</w:t>
      </w:r>
      <w:r w:rsidR="00D41C03"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دربين يزورون المنشأة كمرضى مجهولين لتقييم مدى الالتزام بمعايير الخدمة وجودة التعامل، مما يوفر صورة واقعية ومحايدة للأداء اليومي (</w:t>
      </w:r>
      <w:r w:rsidRPr="00362D29">
        <w:rPr>
          <w:rFonts w:ascii="Traditional Arabic" w:eastAsia="Aptos" w:hAnsi="Traditional Arabic" w:cs="Traditional Arabic"/>
          <w:kern w:val="2"/>
          <w:sz w:val="24"/>
          <w:szCs w:val="24"/>
          <w14:ligatures w14:val="standardContextual"/>
        </w:rPr>
        <w:t>MOH, 2026</w:t>
      </w:r>
      <w:r w:rsidRPr="00362D29">
        <w:rPr>
          <w:rFonts w:ascii="Traditional Arabic" w:eastAsia="Aptos" w:hAnsi="Traditional Arabic" w:cs="Traditional Arabic"/>
          <w:kern w:val="2"/>
          <w:sz w:val="24"/>
          <w:szCs w:val="24"/>
          <w:rtl/>
          <w14:ligatures w14:val="standardContextual"/>
        </w:rPr>
        <w:t>). وقد أشارت الدراسات إلى دور هذه الأداة في تقييم أثر برامج التميز في الخدمة على المخرجات الفعلية (</w:t>
      </w:r>
      <w:r w:rsidRPr="00362D29">
        <w:rPr>
          <w:rFonts w:ascii="Traditional Arabic" w:eastAsia="Aptos" w:hAnsi="Traditional Arabic" w:cs="Traditional Arabic"/>
          <w:kern w:val="2"/>
          <w:sz w:val="24"/>
          <w:szCs w:val="24"/>
          <w14:ligatures w14:val="standardContextual"/>
        </w:rPr>
        <w:t>Alkahtani et al., 2023</w:t>
      </w:r>
      <w:r w:rsidRPr="00362D29">
        <w:rPr>
          <w:rFonts w:ascii="Traditional Arabic" w:eastAsia="Aptos" w:hAnsi="Traditional Arabic" w:cs="Traditional Arabic"/>
          <w:kern w:val="2"/>
          <w:sz w:val="24"/>
          <w:szCs w:val="24"/>
          <w:rtl/>
          <w14:ligatures w14:val="standardContextual"/>
        </w:rPr>
        <w:t>).</w:t>
      </w:r>
    </w:p>
    <w:p w14:paraId="44C0BD51"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4.أدوات الالتقاط السريع (</w:t>
      </w:r>
      <w:r w:rsidRPr="00362D29">
        <w:rPr>
          <w:rFonts w:ascii="Traditional Arabic" w:eastAsia="Aptos" w:hAnsi="Traditional Arabic" w:cs="Traditional Arabic"/>
          <w:b/>
          <w:bCs/>
          <w:kern w:val="2"/>
          <w:sz w:val="24"/>
          <w:szCs w:val="24"/>
          <w14:ligatures w14:val="standardContextual"/>
        </w:rPr>
        <w:t>Capturing Tools</w:t>
      </w:r>
      <w:r w:rsidRPr="00362D29">
        <w:rPr>
          <w:rFonts w:ascii="Traditional Arabic" w:eastAsia="Aptos" w:hAnsi="Traditional Arabic" w:cs="Traditional Arabic"/>
          <w:b/>
          <w:bCs/>
          <w:kern w:val="2"/>
          <w:sz w:val="24"/>
          <w:szCs w:val="24"/>
          <w:rtl/>
          <w14:ligatures w14:val="standardContextual"/>
        </w:rPr>
        <w:t>):</w:t>
      </w:r>
    </w:p>
    <w:p w14:paraId="312BB3E7" w14:textId="5E375249"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تشمل استبيانات تجربة المريض (مثل </w:t>
      </w:r>
      <w:r w:rsidRPr="00362D29">
        <w:rPr>
          <w:rFonts w:ascii="Traditional Arabic" w:eastAsia="Aptos" w:hAnsi="Traditional Arabic" w:cs="Traditional Arabic"/>
          <w:kern w:val="2"/>
          <w:sz w:val="24"/>
          <w:szCs w:val="24"/>
          <w14:ligatures w14:val="standardContextual"/>
        </w:rPr>
        <w:t>HCAHPS</w:t>
      </w:r>
      <w:r w:rsidRPr="00362D29">
        <w:rPr>
          <w:rFonts w:ascii="Traditional Arabic" w:eastAsia="Aptos" w:hAnsi="Traditional Arabic" w:cs="Traditional Arabic"/>
          <w:kern w:val="2"/>
          <w:sz w:val="24"/>
          <w:szCs w:val="24"/>
          <w:rtl/>
          <w14:ligatures w14:val="standardContextual"/>
        </w:rPr>
        <w:t xml:space="preserve"> </w:t>
      </w:r>
      <w:r w:rsidR="000C24EC" w:rsidRPr="00362D29">
        <w:rPr>
          <w:rFonts w:ascii="Traditional Arabic" w:eastAsia="Aptos" w:hAnsi="Traditional Arabic" w:cs="Traditional Arabic"/>
          <w:kern w:val="2"/>
          <w:sz w:val="24"/>
          <w:szCs w:val="24"/>
          <w:rtl/>
          <w14:ligatures w14:val="standardContextual"/>
        </w:rPr>
        <w:t>و</w:t>
      </w:r>
      <w:r w:rsidR="000C24EC" w:rsidRPr="00362D29">
        <w:rPr>
          <w:rFonts w:ascii="Traditional Arabic" w:eastAsia="Aptos" w:hAnsi="Traditional Arabic" w:cs="Traditional Arabic"/>
          <w:kern w:val="2"/>
          <w:sz w:val="24"/>
          <w:szCs w:val="24"/>
          <w14:ligatures w14:val="standardContextual"/>
        </w:rPr>
        <w:t>Press</w:t>
      </w:r>
      <w:r w:rsidRPr="00362D29">
        <w:rPr>
          <w:rFonts w:ascii="Traditional Arabic" w:eastAsia="Aptos" w:hAnsi="Traditional Arabic" w:cs="Traditional Arabic"/>
          <w:kern w:val="2"/>
          <w:sz w:val="24"/>
          <w:szCs w:val="24"/>
          <w14:ligatures w14:val="standardContextual"/>
        </w:rPr>
        <w:t xml:space="preserve"> Ganey</w:t>
      </w:r>
      <w:r w:rsidRPr="00362D29">
        <w:rPr>
          <w:rFonts w:ascii="Traditional Arabic" w:eastAsia="Aptos" w:hAnsi="Traditional Arabic" w:cs="Traditional Arabic"/>
          <w:kern w:val="2"/>
          <w:sz w:val="24"/>
          <w:szCs w:val="24"/>
          <w:rtl/>
          <w14:ligatures w14:val="standardContextual"/>
        </w:rPr>
        <w:t>)، و</w:t>
      </w:r>
      <w:r w:rsidR="00756D19" w:rsidRPr="00362D29">
        <w:rPr>
          <w:rFonts w:ascii="Traditional Arabic" w:eastAsia="Aptos" w:hAnsi="Traditional Arabic" w:cs="Traditional Arabic"/>
          <w:kern w:val="2"/>
          <w:sz w:val="24"/>
          <w:szCs w:val="24"/>
          <w:rtl/>
          <w14:ligatures w14:val="standardContextual"/>
        </w:rPr>
        <w:t xml:space="preserve">مراكز </w:t>
      </w:r>
      <w:r w:rsidRPr="00362D29">
        <w:rPr>
          <w:rFonts w:ascii="Traditional Arabic" w:eastAsia="Aptos" w:hAnsi="Traditional Arabic" w:cs="Traditional Arabic"/>
          <w:kern w:val="2"/>
          <w:sz w:val="24"/>
          <w:szCs w:val="24"/>
          <w:rtl/>
          <w14:ligatures w14:val="standardContextual"/>
        </w:rPr>
        <w:t xml:space="preserve">تحليل الشكاوى </w:t>
      </w:r>
      <w:proofErr w:type="gramStart"/>
      <w:r w:rsidRPr="00362D29">
        <w:rPr>
          <w:rFonts w:ascii="Traditional Arabic" w:eastAsia="Aptos" w:hAnsi="Traditional Arabic" w:cs="Traditional Arabic"/>
          <w:kern w:val="2"/>
          <w:sz w:val="24"/>
          <w:szCs w:val="24"/>
          <w:rtl/>
          <w14:ligatures w14:val="standardContextual"/>
        </w:rPr>
        <w:t>والبلاغات ،</w:t>
      </w:r>
      <w:proofErr w:type="gramEnd"/>
      <w:r w:rsidRPr="00362D29">
        <w:rPr>
          <w:rFonts w:ascii="Traditional Arabic" w:eastAsia="Aptos" w:hAnsi="Traditional Arabic" w:cs="Traditional Arabic"/>
          <w:kern w:val="2"/>
          <w:sz w:val="24"/>
          <w:szCs w:val="24"/>
          <w:rtl/>
          <w14:ligatures w14:val="standardContextual"/>
        </w:rPr>
        <w:t xml:space="preserve"> ومؤشرات الأداء الرئيسية (</w:t>
      </w:r>
      <w:r w:rsidRPr="00362D29">
        <w:rPr>
          <w:rFonts w:ascii="Traditional Arabic" w:eastAsia="Aptos" w:hAnsi="Traditional Arabic" w:cs="Traditional Arabic"/>
          <w:kern w:val="2"/>
          <w:sz w:val="24"/>
          <w:szCs w:val="24"/>
          <w14:ligatures w14:val="standardContextual"/>
        </w:rPr>
        <w:t>KPIs</w:t>
      </w:r>
      <w:r w:rsidRPr="00362D29">
        <w:rPr>
          <w:rFonts w:ascii="Traditional Arabic" w:eastAsia="Aptos" w:hAnsi="Traditional Arabic" w:cs="Traditional Arabic"/>
          <w:kern w:val="2"/>
          <w:sz w:val="24"/>
          <w:szCs w:val="24"/>
          <w:rtl/>
          <w14:ligatures w14:val="standardContextual"/>
        </w:rPr>
        <w:t xml:space="preserve">) المرتبطة بسلامة المرضى </w:t>
      </w:r>
      <w:r w:rsidR="00756D19" w:rsidRPr="00362D29">
        <w:rPr>
          <w:rFonts w:ascii="Traditional Arabic" w:eastAsia="Aptos" w:hAnsi="Traditional Arabic" w:cs="Traditional Arabic"/>
          <w:kern w:val="2"/>
          <w:sz w:val="24"/>
          <w:szCs w:val="24"/>
          <w:rtl/>
          <w14:ligatures w14:val="standardContextual"/>
        </w:rPr>
        <w:t>(</w:t>
      </w:r>
      <w:r w:rsidR="00756D19" w:rsidRPr="00362D29">
        <w:rPr>
          <w:rFonts w:ascii="Traditional Arabic" w:eastAsia="Aptos" w:hAnsi="Traditional Arabic" w:cs="Traditional Arabic"/>
          <w:kern w:val="2"/>
          <w:sz w:val="24"/>
          <w:szCs w:val="24"/>
          <w14:ligatures w14:val="standardContextual"/>
        </w:rPr>
        <w:t>Health Academy, 2022</w:t>
      </w:r>
      <w:r w:rsidR="00756D19"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وتعتبر هذه الأدوات ضرورية لربط مقاييس التجربة بالمخرجات السريرية المبلغة من المريض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74A178D6" w14:textId="7E4E3EB5"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نماذج تحسين تجربة المريض (</w:t>
      </w:r>
      <w:r w:rsidRPr="00362D29">
        <w:rPr>
          <w:rFonts w:ascii="Traditional Arabic" w:eastAsia="Aptos" w:hAnsi="Traditional Arabic" w:cs="Traditional Arabic"/>
          <w:b/>
          <w:bCs/>
          <w:kern w:val="2"/>
          <w:sz w:val="28"/>
          <w:szCs w:val="28"/>
          <w14:ligatures w14:val="standardContextual"/>
        </w:rPr>
        <w:t>Improvement Models</w:t>
      </w:r>
      <w:r w:rsidRPr="00362D29">
        <w:rPr>
          <w:rFonts w:ascii="Traditional Arabic" w:eastAsia="Aptos" w:hAnsi="Traditional Arabic" w:cs="Traditional Arabic"/>
          <w:b/>
          <w:bCs/>
          <w:kern w:val="2"/>
          <w:sz w:val="28"/>
          <w:szCs w:val="28"/>
          <w:rtl/>
          <w14:ligatures w14:val="standardContextual"/>
        </w:rPr>
        <w:t>)</w:t>
      </w:r>
    </w:p>
    <w:p w14:paraId="71A5945D" w14:textId="5AA79E9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تتعدد نماذج وأطر العمل المستخدمة لتحقيق التحسين المستمر في بيئات الرعاية الصحية بوجه عام، إلا أن الأدبيات والدراسات المتخصصة </w:t>
      </w:r>
      <w:r w:rsidR="00952A2F" w:rsidRPr="00362D29">
        <w:rPr>
          <w:rFonts w:ascii="Traditional Arabic" w:eastAsia="Aptos" w:hAnsi="Traditional Arabic" w:cs="Traditional Arabic"/>
          <w:kern w:val="2"/>
          <w:sz w:val="24"/>
          <w:szCs w:val="24"/>
          <w:rtl/>
          <w14:ligatures w14:val="standardContextual"/>
        </w:rPr>
        <w:t xml:space="preserve">لتحسين تجربة المريض </w:t>
      </w:r>
      <w:r w:rsidRPr="00362D29">
        <w:rPr>
          <w:rFonts w:ascii="Traditional Arabic" w:eastAsia="Aptos" w:hAnsi="Traditional Arabic" w:cs="Traditional Arabic"/>
          <w:kern w:val="2"/>
          <w:sz w:val="24"/>
          <w:szCs w:val="24"/>
          <w:rtl/>
          <w14:ligatures w14:val="standardContextual"/>
        </w:rPr>
        <w:t>ركزت على مجموعة من النماذج المحورية التي تضع تجربة المريض في صلب منهجيتها، ومن أهم هذه النماذج ما يلي</w:t>
      </w:r>
      <w:r w:rsidR="00D1032C" w:rsidRPr="00362D29">
        <w:rPr>
          <w:rFonts w:ascii="Traditional Arabic" w:eastAsia="Aptos" w:hAnsi="Traditional Arabic" w:cs="Traditional Arabic"/>
          <w:kern w:val="2"/>
          <w:sz w:val="24"/>
          <w:szCs w:val="24"/>
          <w:rtl/>
          <w14:ligatures w14:val="standardContextual"/>
        </w:rPr>
        <w:t xml:space="preserve"> </w:t>
      </w:r>
      <w:r w:rsidR="00AD041E" w:rsidRPr="00362D29">
        <w:rPr>
          <w:rFonts w:ascii="Traditional Arabic" w:eastAsia="Aptos" w:hAnsi="Traditional Arabic" w:cs="Traditional Arabic"/>
          <w:kern w:val="2"/>
          <w:sz w:val="24"/>
          <w:szCs w:val="24"/>
          <w:rtl/>
          <w14:ligatures w14:val="standardContextual"/>
        </w:rPr>
        <w:t>(</w:t>
      </w:r>
      <w:r w:rsidR="00AD041E" w:rsidRPr="00362D29">
        <w:rPr>
          <w:rFonts w:ascii="Traditional Arabic" w:eastAsia="Aptos" w:hAnsi="Traditional Arabic" w:cs="Traditional Arabic"/>
          <w:kern w:val="2"/>
          <w:sz w:val="24"/>
          <w:szCs w:val="24"/>
          <w14:ligatures w14:val="standardContextual"/>
        </w:rPr>
        <w:t>Health Academy, 2022</w:t>
      </w:r>
      <w:r w:rsidR="00AD041E" w:rsidRPr="00362D29">
        <w:rPr>
          <w:rFonts w:ascii="Traditional Arabic" w:eastAsia="Aptos" w:hAnsi="Traditional Arabic" w:cs="Traditional Arabic"/>
          <w:kern w:val="2"/>
          <w:sz w:val="24"/>
          <w:szCs w:val="24"/>
          <w:rtl/>
          <w14:ligatures w14:val="standardContextual"/>
        </w:rPr>
        <w:t>)</w:t>
      </w:r>
      <w:r w:rsidR="00D1032C" w:rsidRPr="00362D29">
        <w:rPr>
          <w:rFonts w:ascii="Traditional Arabic" w:eastAsia="Aptos" w:hAnsi="Traditional Arabic" w:cs="Traditional Arabic"/>
          <w:kern w:val="2"/>
          <w:sz w:val="24"/>
          <w:szCs w:val="24"/>
          <w:rtl/>
          <w14:ligatures w14:val="standardContextual"/>
        </w:rPr>
        <w:t>:</w:t>
      </w:r>
    </w:p>
    <w:p w14:paraId="78399FE7"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نموذج بريس جاني للتحسين (</w:t>
      </w:r>
      <w:r w:rsidRPr="00362D29">
        <w:rPr>
          <w:rFonts w:ascii="Traditional Arabic" w:eastAsia="Aptos" w:hAnsi="Traditional Arabic" w:cs="Traditional Arabic"/>
          <w:b/>
          <w:bCs/>
          <w:kern w:val="2"/>
          <w:sz w:val="24"/>
          <w:szCs w:val="24"/>
          <w14:ligatures w14:val="standardContextual"/>
        </w:rPr>
        <w:t>Press Ganey Improvement Model</w:t>
      </w:r>
      <w:r w:rsidRPr="00362D29">
        <w:rPr>
          <w:rFonts w:ascii="Traditional Arabic" w:eastAsia="Aptos" w:hAnsi="Traditional Arabic" w:cs="Traditional Arabic"/>
          <w:b/>
          <w:bCs/>
          <w:kern w:val="2"/>
          <w:sz w:val="24"/>
          <w:szCs w:val="24"/>
          <w:rtl/>
          <w14:ligatures w14:val="standardContextual"/>
        </w:rPr>
        <w:t>)</w:t>
      </w:r>
    </w:p>
    <w:p w14:paraId="55B86551"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يتبع هذا النموذج منهجية منظمة من ست خطوات تهدف إلى تحويل نتائج الاستبيانات إلى تحسينات مستدامة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1E13ACC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•الخطوة 1:</w:t>
      </w:r>
      <w:r w:rsidRPr="00362D29">
        <w:rPr>
          <w:rFonts w:ascii="Traditional Arabic" w:eastAsia="Aptos" w:hAnsi="Traditional Arabic" w:cs="Traditional Arabic"/>
          <w:kern w:val="2"/>
          <w:sz w:val="24"/>
          <w:szCs w:val="24"/>
          <w:rtl/>
          <w14:ligatures w14:val="standardContextual"/>
        </w:rPr>
        <w:t xml:space="preserve"> تحديد الهدف (</w:t>
      </w:r>
      <w:r w:rsidRPr="00362D29">
        <w:rPr>
          <w:rFonts w:ascii="Traditional Arabic" w:eastAsia="Aptos" w:hAnsi="Traditional Arabic" w:cs="Traditional Arabic"/>
          <w:kern w:val="2"/>
          <w:sz w:val="24"/>
          <w:szCs w:val="24"/>
          <w14:ligatures w14:val="standardContextual"/>
        </w:rPr>
        <w:t>Identify Goal</w:t>
      </w:r>
      <w:r w:rsidRPr="00362D29">
        <w:rPr>
          <w:rFonts w:ascii="Traditional Arabic" w:eastAsia="Aptos" w:hAnsi="Traditional Arabic" w:cs="Traditional Arabic"/>
          <w:kern w:val="2"/>
          <w:sz w:val="24"/>
          <w:szCs w:val="24"/>
          <w:rtl/>
          <w14:ligatures w14:val="standardContextual"/>
        </w:rPr>
        <w:t>): اختيار الفرصة التحسينية وتحديد حجم التحسين المستهدف.</w:t>
      </w:r>
    </w:p>
    <w:p w14:paraId="73D7BAF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2:</w:t>
      </w:r>
      <w:r w:rsidRPr="00362D29">
        <w:rPr>
          <w:rFonts w:ascii="Traditional Arabic" w:eastAsia="Aptos" w:hAnsi="Traditional Arabic" w:cs="Traditional Arabic"/>
          <w:kern w:val="2"/>
          <w:sz w:val="24"/>
          <w:szCs w:val="24"/>
          <w:rtl/>
          <w14:ligatures w14:val="standardContextual"/>
        </w:rPr>
        <w:t xml:space="preserve"> تحديد السبب (</w:t>
      </w:r>
      <w:r w:rsidRPr="00362D29">
        <w:rPr>
          <w:rFonts w:ascii="Traditional Arabic" w:eastAsia="Aptos" w:hAnsi="Traditional Arabic" w:cs="Traditional Arabic"/>
          <w:kern w:val="2"/>
          <w:sz w:val="24"/>
          <w:szCs w:val="24"/>
          <w14:ligatures w14:val="standardContextual"/>
        </w:rPr>
        <w:t>Identify Cause</w:t>
      </w:r>
      <w:r w:rsidRPr="00362D29">
        <w:rPr>
          <w:rFonts w:ascii="Traditional Arabic" w:eastAsia="Aptos" w:hAnsi="Traditional Arabic" w:cs="Traditional Arabic"/>
          <w:kern w:val="2"/>
          <w:sz w:val="24"/>
          <w:szCs w:val="24"/>
          <w:rtl/>
          <w14:ligatures w14:val="standardContextual"/>
        </w:rPr>
        <w:t xml:space="preserve">): استخدام أدوات مثل "لماذا الخمسة" (5 </w:t>
      </w:r>
      <w:r w:rsidRPr="00362D29">
        <w:rPr>
          <w:rFonts w:ascii="Traditional Arabic" w:eastAsia="Aptos" w:hAnsi="Traditional Arabic" w:cs="Traditional Arabic"/>
          <w:kern w:val="2"/>
          <w:sz w:val="24"/>
          <w:szCs w:val="24"/>
          <w14:ligatures w14:val="standardContextual"/>
        </w:rPr>
        <w:t>Whys</w:t>
      </w:r>
      <w:r w:rsidRPr="00362D29">
        <w:rPr>
          <w:rFonts w:ascii="Traditional Arabic" w:eastAsia="Aptos" w:hAnsi="Traditional Arabic" w:cs="Traditional Arabic"/>
          <w:kern w:val="2"/>
          <w:sz w:val="24"/>
          <w:szCs w:val="24"/>
          <w:rtl/>
          <w14:ligatures w14:val="standardContextual"/>
        </w:rPr>
        <w:t>) أو "عظمة السمكة" (</w:t>
      </w:r>
      <w:r w:rsidRPr="00362D29">
        <w:rPr>
          <w:rFonts w:ascii="Traditional Arabic" w:eastAsia="Aptos" w:hAnsi="Traditional Arabic" w:cs="Traditional Arabic"/>
          <w:kern w:val="2"/>
          <w:sz w:val="24"/>
          <w:szCs w:val="24"/>
          <w14:ligatures w14:val="standardContextual"/>
        </w:rPr>
        <w:t>Fishbone</w:t>
      </w:r>
      <w:r w:rsidRPr="00362D29">
        <w:rPr>
          <w:rFonts w:ascii="Traditional Arabic" w:eastAsia="Aptos" w:hAnsi="Traditional Arabic" w:cs="Traditional Arabic"/>
          <w:kern w:val="2"/>
          <w:sz w:val="24"/>
          <w:szCs w:val="24"/>
          <w:rtl/>
          <w14:ligatures w14:val="standardContextual"/>
        </w:rPr>
        <w:t>) لفهم الجذور العميقة للمشكلة من وجهة نظر المريض.</w:t>
      </w:r>
    </w:p>
    <w:p w14:paraId="362C4E74"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3:</w:t>
      </w:r>
      <w:r w:rsidRPr="00362D29">
        <w:rPr>
          <w:rFonts w:ascii="Traditional Arabic" w:eastAsia="Aptos" w:hAnsi="Traditional Arabic" w:cs="Traditional Arabic"/>
          <w:kern w:val="2"/>
          <w:sz w:val="24"/>
          <w:szCs w:val="24"/>
          <w:rtl/>
          <w14:ligatures w14:val="standardContextual"/>
        </w:rPr>
        <w:t xml:space="preserve"> توصية بالحل (</w:t>
      </w:r>
      <w:r w:rsidRPr="00362D29">
        <w:rPr>
          <w:rFonts w:ascii="Traditional Arabic" w:eastAsia="Aptos" w:hAnsi="Traditional Arabic" w:cs="Traditional Arabic"/>
          <w:kern w:val="2"/>
          <w:sz w:val="24"/>
          <w:szCs w:val="24"/>
          <w14:ligatures w14:val="standardContextual"/>
        </w:rPr>
        <w:t>Recommend Solution</w:t>
      </w:r>
      <w:r w:rsidRPr="00362D29">
        <w:rPr>
          <w:rFonts w:ascii="Traditional Arabic" w:eastAsia="Aptos" w:hAnsi="Traditional Arabic" w:cs="Traditional Arabic"/>
          <w:kern w:val="2"/>
          <w:sz w:val="24"/>
          <w:szCs w:val="24"/>
          <w:rtl/>
          <w14:ligatures w14:val="standardContextual"/>
        </w:rPr>
        <w:t>): اختيار حلول تعالج السبب الجذري وتؤثر إيجاباً على مشاعر المريض.</w:t>
      </w:r>
    </w:p>
    <w:p w14:paraId="5CCA7EF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4:</w:t>
      </w:r>
      <w:r w:rsidRPr="00362D29">
        <w:rPr>
          <w:rFonts w:ascii="Traditional Arabic" w:eastAsia="Aptos" w:hAnsi="Traditional Arabic" w:cs="Traditional Arabic"/>
          <w:kern w:val="2"/>
          <w:sz w:val="24"/>
          <w:szCs w:val="24"/>
          <w:rtl/>
          <w14:ligatures w14:val="standardContextual"/>
        </w:rPr>
        <w:t xml:space="preserve"> تنفيذ الحل (</w:t>
      </w:r>
      <w:r w:rsidRPr="00362D29">
        <w:rPr>
          <w:rFonts w:ascii="Traditional Arabic" w:eastAsia="Aptos" w:hAnsi="Traditional Arabic" w:cs="Traditional Arabic"/>
          <w:kern w:val="2"/>
          <w:sz w:val="24"/>
          <w:szCs w:val="24"/>
          <w14:ligatures w14:val="standardContextual"/>
        </w:rPr>
        <w:t>Implement Solution</w:t>
      </w:r>
      <w:r w:rsidRPr="00362D29">
        <w:rPr>
          <w:rFonts w:ascii="Traditional Arabic" w:eastAsia="Aptos" w:hAnsi="Traditional Arabic" w:cs="Traditional Arabic"/>
          <w:kern w:val="2"/>
          <w:sz w:val="24"/>
          <w:szCs w:val="24"/>
          <w:rtl/>
          <w14:ligatures w14:val="standardContextual"/>
        </w:rPr>
        <w:t>): البدء بتجارب ريادية (</w:t>
      </w:r>
      <w:r w:rsidRPr="00362D29">
        <w:rPr>
          <w:rFonts w:ascii="Traditional Arabic" w:eastAsia="Aptos" w:hAnsi="Traditional Arabic" w:cs="Traditional Arabic"/>
          <w:kern w:val="2"/>
          <w:sz w:val="24"/>
          <w:szCs w:val="24"/>
          <w14:ligatures w14:val="standardContextual"/>
        </w:rPr>
        <w:t>Pilots</w:t>
      </w:r>
      <w:r w:rsidRPr="00362D29">
        <w:rPr>
          <w:rFonts w:ascii="Traditional Arabic" w:eastAsia="Aptos" w:hAnsi="Traditional Arabic" w:cs="Traditional Arabic"/>
          <w:kern w:val="2"/>
          <w:sz w:val="24"/>
          <w:szCs w:val="24"/>
          <w:rtl/>
          <w14:ligatures w14:val="standardContextual"/>
        </w:rPr>
        <w:t>) وضمان دعم القيادة والموظفين.</w:t>
      </w:r>
    </w:p>
    <w:p w14:paraId="5F74FCB4"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5:</w:t>
      </w:r>
      <w:r w:rsidRPr="00362D29">
        <w:rPr>
          <w:rFonts w:ascii="Traditional Arabic" w:eastAsia="Aptos" w:hAnsi="Traditional Arabic" w:cs="Traditional Arabic"/>
          <w:kern w:val="2"/>
          <w:sz w:val="24"/>
          <w:szCs w:val="24"/>
          <w:rtl/>
          <w14:ligatures w14:val="standardContextual"/>
        </w:rPr>
        <w:t xml:space="preserve"> المراقبة (</w:t>
      </w:r>
      <w:r w:rsidRPr="00362D29">
        <w:rPr>
          <w:rFonts w:ascii="Traditional Arabic" w:eastAsia="Aptos" w:hAnsi="Traditional Arabic" w:cs="Traditional Arabic"/>
          <w:kern w:val="2"/>
          <w:sz w:val="24"/>
          <w:szCs w:val="24"/>
          <w14:ligatures w14:val="standardContextual"/>
        </w:rPr>
        <w:t>Monitor</w:t>
      </w:r>
      <w:r w:rsidRPr="00362D29">
        <w:rPr>
          <w:rFonts w:ascii="Traditional Arabic" w:eastAsia="Aptos" w:hAnsi="Traditional Arabic" w:cs="Traditional Arabic"/>
          <w:kern w:val="2"/>
          <w:sz w:val="24"/>
          <w:szCs w:val="24"/>
          <w:rtl/>
          <w14:ligatures w14:val="standardContextual"/>
        </w:rPr>
        <w:t>): تتبع النتائج باستمرار للتأكد من فاعلية الحل.</w:t>
      </w:r>
    </w:p>
    <w:p w14:paraId="260F69B9"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6:</w:t>
      </w:r>
      <w:r w:rsidRPr="00362D29">
        <w:rPr>
          <w:rFonts w:ascii="Traditional Arabic" w:eastAsia="Aptos" w:hAnsi="Traditional Arabic" w:cs="Traditional Arabic"/>
          <w:kern w:val="2"/>
          <w:sz w:val="24"/>
          <w:szCs w:val="24"/>
          <w:rtl/>
          <w14:ligatures w14:val="standardContextual"/>
        </w:rPr>
        <w:t xml:space="preserve"> المراجعة (</w:t>
      </w:r>
      <w:r w:rsidRPr="00362D29">
        <w:rPr>
          <w:rFonts w:ascii="Traditional Arabic" w:eastAsia="Aptos" w:hAnsi="Traditional Arabic" w:cs="Traditional Arabic"/>
          <w:kern w:val="2"/>
          <w:sz w:val="24"/>
          <w:szCs w:val="24"/>
          <w14:ligatures w14:val="standardContextual"/>
        </w:rPr>
        <w:t>Review</w:t>
      </w:r>
      <w:r w:rsidRPr="00362D29">
        <w:rPr>
          <w:rFonts w:ascii="Traditional Arabic" w:eastAsia="Aptos" w:hAnsi="Traditional Arabic" w:cs="Traditional Arabic"/>
          <w:kern w:val="2"/>
          <w:sz w:val="24"/>
          <w:szCs w:val="24"/>
          <w:rtl/>
          <w14:ligatures w14:val="standardContextual"/>
        </w:rPr>
        <w:t>): تقييم النجاح، الاحتفال بالإنجاز، وتعميم الممارسة أو إعادة البحث في الأسباب إذا لم يتحقق الهدف.</w:t>
      </w:r>
    </w:p>
    <w:p w14:paraId="38579A00"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2. نموذج </w:t>
      </w:r>
      <w:r w:rsidRPr="00362D29">
        <w:rPr>
          <w:rFonts w:ascii="Traditional Arabic" w:eastAsia="Aptos" w:hAnsi="Traditional Arabic" w:cs="Traditional Arabic"/>
          <w:b/>
          <w:bCs/>
          <w:kern w:val="2"/>
          <w:sz w:val="24"/>
          <w:szCs w:val="24"/>
          <w14:ligatures w14:val="standardContextual"/>
        </w:rPr>
        <w:t>IHI</w:t>
      </w:r>
      <w:r w:rsidRPr="00362D29">
        <w:rPr>
          <w:rFonts w:ascii="Traditional Arabic" w:eastAsia="Aptos" w:hAnsi="Traditional Arabic" w:cs="Traditional Arabic"/>
          <w:b/>
          <w:bCs/>
          <w:kern w:val="2"/>
          <w:sz w:val="24"/>
          <w:szCs w:val="24"/>
          <w:rtl/>
          <w14:ligatures w14:val="standardContextual"/>
        </w:rPr>
        <w:t>: أحداث "دائماً" (</w:t>
      </w:r>
      <w:r w:rsidRPr="00362D29">
        <w:rPr>
          <w:rFonts w:ascii="Traditional Arabic" w:eastAsia="Aptos" w:hAnsi="Traditional Arabic" w:cs="Traditional Arabic"/>
          <w:b/>
          <w:bCs/>
          <w:kern w:val="2"/>
          <w:sz w:val="24"/>
          <w:szCs w:val="24"/>
          <w14:ligatures w14:val="standardContextual"/>
        </w:rPr>
        <w:t>Always Events</w:t>
      </w:r>
      <w:r w:rsidRPr="00362D29">
        <w:rPr>
          <w:rFonts w:ascii="Traditional Arabic" w:eastAsia="Aptos" w:hAnsi="Traditional Arabic" w:cs="Traditional Arabic"/>
          <w:b/>
          <w:bCs/>
          <w:kern w:val="2"/>
          <w:sz w:val="24"/>
          <w:szCs w:val="24"/>
          <w:rtl/>
          <w14:ligatures w14:val="standardContextual"/>
        </w:rPr>
        <w:t>)</w:t>
      </w:r>
    </w:p>
    <w:p w14:paraId="13BBC9E5" w14:textId="30C24184"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نموذج أحداث "دائماً" (</w:t>
      </w:r>
      <w:r w:rsidRPr="00362D29">
        <w:rPr>
          <w:rFonts w:ascii="Traditional Arabic" w:eastAsia="Aptos" w:hAnsi="Traditional Arabic" w:cs="Traditional Arabic"/>
          <w:kern w:val="2"/>
          <w:sz w:val="24"/>
          <w:szCs w:val="24"/>
          <w14:ligatures w14:val="standardContextual"/>
        </w:rPr>
        <w:t>Always Events</w:t>
      </w:r>
      <w:r w:rsidRPr="00362D29">
        <w:rPr>
          <w:rFonts w:ascii="Traditional Arabic" w:eastAsia="Aptos" w:hAnsi="Traditional Arabic" w:cs="Traditional Arabic"/>
          <w:kern w:val="2"/>
          <w:sz w:val="24"/>
          <w:szCs w:val="24"/>
          <w:rtl/>
          <w14:ligatures w14:val="standardContextual"/>
        </w:rPr>
        <w:t>)، الذي طوره معهد تحسين الرعاية الصحية (</w:t>
      </w:r>
      <w:r w:rsidRPr="00362D29">
        <w:rPr>
          <w:rFonts w:ascii="Traditional Arabic" w:eastAsia="Aptos" w:hAnsi="Traditional Arabic" w:cs="Traditional Arabic"/>
          <w:kern w:val="2"/>
          <w:sz w:val="24"/>
          <w:szCs w:val="24"/>
          <w14:ligatures w14:val="standardContextual"/>
        </w:rPr>
        <w:t>IHI</w:t>
      </w:r>
      <w:r w:rsidRPr="00362D29">
        <w:rPr>
          <w:rFonts w:ascii="Traditional Arabic" w:eastAsia="Aptos" w:hAnsi="Traditional Arabic" w:cs="Traditional Arabic"/>
          <w:kern w:val="2"/>
          <w:sz w:val="24"/>
          <w:szCs w:val="24"/>
          <w:rtl/>
          <w14:ligatures w14:val="standardContextual"/>
        </w:rPr>
        <w:t xml:space="preserve">) بالتعاون مع مؤسسة </w:t>
      </w:r>
      <w:r w:rsidRPr="00362D29">
        <w:rPr>
          <w:rFonts w:ascii="Traditional Arabic" w:eastAsia="Aptos" w:hAnsi="Traditional Arabic" w:cs="Traditional Arabic"/>
          <w:kern w:val="2"/>
          <w:sz w:val="24"/>
          <w:szCs w:val="24"/>
          <w14:ligatures w14:val="standardContextual"/>
        </w:rPr>
        <w:t>Picker</w:t>
      </w:r>
      <w:r w:rsidRPr="00362D29">
        <w:rPr>
          <w:rFonts w:ascii="Traditional Arabic" w:eastAsia="Aptos" w:hAnsi="Traditional Arabic" w:cs="Traditional Arabic"/>
          <w:kern w:val="2"/>
          <w:sz w:val="24"/>
          <w:szCs w:val="24"/>
          <w:rtl/>
          <w14:ligatures w14:val="standardContextual"/>
        </w:rPr>
        <w:t xml:space="preserve"> </w:t>
      </w:r>
      <w:r w:rsidR="00CD7082" w:rsidRPr="00362D29">
        <w:rPr>
          <w:rFonts w:ascii="Traditional Arabic" w:eastAsia="Aptos" w:hAnsi="Traditional Arabic" w:cs="Traditional Arabic"/>
          <w:kern w:val="2"/>
          <w:sz w:val="24"/>
          <w:szCs w:val="24"/>
          <w:rtl/>
          <w14:ligatures w14:val="standardContextual"/>
        </w:rPr>
        <w:t>و</w:t>
      </w:r>
      <w:r w:rsidR="00CD7082"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14:ligatures w14:val="standardContextual"/>
        </w:rPr>
        <w:t xml:space="preserve"> England</w:t>
      </w:r>
      <w:r w:rsidRPr="00362D29">
        <w:rPr>
          <w:rFonts w:ascii="Traditional Arabic" w:eastAsia="Aptos" w:hAnsi="Traditional Arabic" w:cs="Traditional Arabic"/>
          <w:kern w:val="2"/>
          <w:sz w:val="24"/>
          <w:szCs w:val="24"/>
          <w:rtl/>
          <w14:ligatures w14:val="standardContextual"/>
        </w:rPr>
        <w:t xml:space="preserve">، أحد أقوى المنهجيات العالمية لتحسين </w:t>
      </w:r>
      <w:r w:rsidR="00CD7082"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يركز هذا النموذج على ضمان حدوث جوانب معينة من الرعاية في كل مرة ولدى كل مريض (</w:t>
      </w:r>
      <w:r w:rsidRPr="00362D29">
        <w:rPr>
          <w:rFonts w:ascii="Traditional Arabic" w:eastAsia="Aptos" w:hAnsi="Traditional Arabic" w:cs="Traditional Arabic"/>
          <w:kern w:val="2"/>
          <w:sz w:val="24"/>
          <w:szCs w:val="24"/>
          <w14:ligatures w14:val="standardContextual"/>
        </w:rPr>
        <w:t>IHI, 2025</w:t>
      </w:r>
      <w:r w:rsidRPr="00362D29">
        <w:rPr>
          <w:rFonts w:ascii="Traditional Arabic" w:eastAsia="Aptos" w:hAnsi="Traditional Arabic" w:cs="Traditional Arabic"/>
          <w:kern w:val="2"/>
          <w:sz w:val="24"/>
          <w:szCs w:val="24"/>
          <w:rtl/>
          <w14:ligatures w14:val="standardContextual"/>
        </w:rPr>
        <w:t>).</w:t>
      </w:r>
    </w:p>
    <w:p w14:paraId="263D0C24"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 تعريف أحداث "دائماً":</w:t>
      </w:r>
    </w:p>
    <w:p w14:paraId="0F079287" w14:textId="38C2DBE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تُعرف بأنها "تلك الجوانب من تجربة المريض وعائلته التي يجب أن تحدث دائماً في كل تفاعل مع مقدمي الرعاية الصحية والنظام الصحي" </w:t>
      </w:r>
      <w:r w:rsidR="00CA5274" w:rsidRPr="00362D29">
        <w:rPr>
          <w:rFonts w:ascii="Traditional Arabic" w:eastAsia="Aptos" w:hAnsi="Traditional Arabic" w:cs="Traditional Arabic"/>
          <w:kern w:val="2"/>
          <w:sz w:val="24"/>
          <w:szCs w:val="24"/>
          <w:rtl/>
          <w14:ligatures w14:val="standardContextual"/>
        </w:rPr>
        <w:t>و</w:t>
      </w:r>
      <w:r w:rsidRPr="00362D29">
        <w:rPr>
          <w:rFonts w:ascii="Traditional Arabic" w:eastAsia="Aptos" w:hAnsi="Traditional Arabic" w:cs="Traditional Arabic"/>
          <w:kern w:val="2"/>
          <w:sz w:val="24"/>
          <w:szCs w:val="24"/>
          <w:rtl/>
          <w14:ligatures w14:val="standardContextual"/>
        </w:rPr>
        <w:t>هي التزامات لا تقبل المساومة وتعكس ما يهم المريض حقاً</w:t>
      </w:r>
      <w:r w:rsidR="00CA5274" w:rsidRPr="00362D29">
        <w:rPr>
          <w:rFonts w:ascii="Traditional Arabic" w:eastAsia="Aptos" w:hAnsi="Traditional Arabic" w:cs="Traditional Arabic"/>
          <w:kern w:val="2"/>
          <w:sz w:val="24"/>
          <w:szCs w:val="24"/>
          <w:rtl/>
          <w14:ligatures w14:val="standardContextual"/>
        </w:rPr>
        <w:t xml:space="preserve"> (</w:t>
      </w:r>
      <w:r w:rsidR="00CA5274" w:rsidRPr="00362D29">
        <w:rPr>
          <w:rFonts w:ascii="Traditional Arabic" w:eastAsia="Aptos" w:hAnsi="Traditional Arabic" w:cs="Traditional Arabic"/>
          <w:kern w:val="2"/>
          <w:sz w:val="24"/>
          <w:szCs w:val="24"/>
          <w14:ligatures w14:val="standardContextual"/>
        </w:rPr>
        <w:t>NHS, 2026</w:t>
      </w:r>
      <w:r w:rsidR="00CA5274" w:rsidRPr="00362D29">
        <w:rPr>
          <w:rFonts w:ascii="Traditional Arabic" w:eastAsia="Aptos" w:hAnsi="Traditional Arabic" w:cs="Traditional Arabic"/>
          <w:kern w:val="2"/>
          <w:sz w:val="24"/>
          <w:szCs w:val="24"/>
          <w:rtl/>
          <w14:ligatures w14:val="standardContextual"/>
        </w:rPr>
        <w:t>).</w:t>
      </w:r>
    </w:p>
    <w:p w14:paraId="308D0987"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ب- مراحل تطبيق النموذج:</w:t>
      </w:r>
    </w:p>
    <w:p w14:paraId="2DB35AA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يعتمد النموذج على منهجية علم التحسين (</w:t>
      </w:r>
      <w:r w:rsidRPr="00362D29">
        <w:rPr>
          <w:rFonts w:ascii="Traditional Arabic" w:eastAsia="Aptos" w:hAnsi="Traditional Arabic" w:cs="Traditional Arabic"/>
          <w:kern w:val="2"/>
          <w:sz w:val="24"/>
          <w:szCs w:val="24"/>
          <w14:ligatures w14:val="standardContextual"/>
        </w:rPr>
        <w:t>Improvement Science</w:t>
      </w:r>
      <w:r w:rsidRPr="00362D29">
        <w:rPr>
          <w:rFonts w:ascii="Traditional Arabic" w:eastAsia="Aptos" w:hAnsi="Traditional Arabic" w:cs="Traditional Arabic"/>
          <w:kern w:val="2"/>
          <w:sz w:val="24"/>
          <w:szCs w:val="24"/>
          <w:rtl/>
          <w14:ligatures w14:val="standardContextual"/>
        </w:rPr>
        <w:t>) من خلال الخطوات التالية:</w:t>
      </w:r>
    </w:p>
    <w:p w14:paraId="54A8C37B"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•فهم ما يهم المريض:</w:t>
      </w:r>
      <w:r w:rsidRPr="00362D29">
        <w:rPr>
          <w:rFonts w:ascii="Traditional Arabic" w:eastAsia="Aptos" w:hAnsi="Traditional Arabic" w:cs="Traditional Arabic"/>
          <w:kern w:val="2"/>
          <w:sz w:val="24"/>
          <w:szCs w:val="24"/>
          <w:rtl/>
          <w14:ligatures w14:val="standardContextual"/>
        </w:rPr>
        <w:t xml:space="preserve"> البدء بسؤال المريض "ما الذي يهمك؟" (</w:t>
      </w:r>
      <w:r w:rsidRPr="00362D29">
        <w:rPr>
          <w:rFonts w:ascii="Traditional Arabic" w:eastAsia="Aptos" w:hAnsi="Traditional Arabic" w:cs="Traditional Arabic"/>
          <w:kern w:val="2"/>
          <w:sz w:val="24"/>
          <w:szCs w:val="24"/>
          <w14:ligatures w14:val="standardContextual"/>
        </w:rPr>
        <w:t>What matters to you</w:t>
      </w:r>
      <w:r w:rsidRPr="00362D29">
        <w:rPr>
          <w:rFonts w:ascii="Traditional Arabic" w:eastAsia="Aptos" w:hAnsi="Traditional Arabic" w:cs="Traditional Arabic"/>
          <w:kern w:val="2"/>
          <w:sz w:val="24"/>
          <w:szCs w:val="24"/>
          <w:rtl/>
          <w14:ligatures w14:val="standardContextual"/>
        </w:rPr>
        <w:t>؟) بدلاً من "ما هي مشكلتك؟".</w:t>
      </w:r>
    </w:p>
    <w:p w14:paraId="69601C39"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•الإنتاج المشترك للرؤية (</w:t>
      </w:r>
      <w:r w:rsidRPr="00362D29">
        <w:rPr>
          <w:rFonts w:ascii="Traditional Arabic" w:eastAsia="Aptos" w:hAnsi="Traditional Arabic" w:cs="Traditional Arabic"/>
          <w:b/>
          <w:bCs/>
          <w:kern w:val="2"/>
          <w:sz w:val="24"/>
          <w:szCs w:val="24"/>
          <w14:ligatures w14:val="standardContextual"/>
        </w:rPr>
        <w:t>Co-design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صياغة هدف واضح بالتعاون مع المرضى وعائلاتهم لتحديد الأحداث التي يجب أن تقع دائماً.</w:t>
      </w:r>
    </w:p>
    <w:p w14:paraId="2727AF0B"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•اختبار الأفكار (</w:t>
      </w:r>
      <w:r w:rsidRPr="00362D29">
        <w:rPr>
          <w:rFonts w:ascii="Traditional Arabic" w:eastAsia="Aptos" w:hAnsi="Traditional Arabic" w:cs="Traditional Arabic"/>
          <w:b/>
          <w:bCs/>
          <w:kern w:val="2"/>
          <w:sz w:val="24"/>
          <w:szCs w:val="24"/>
          <w14:ligatures w14:val="standardContextual"/>
        </w:rPr>
        <w:t>PDSA</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استخدام دورات "خطط، نفذ، ادرس، ثم قرر" (</w:t>
      </w:r>
      <w:r w:rsidRPr="00362D29">
        <w:rPr>
          <w:rFonts w:ascii="Traditional Arabic" w:eastAsia="Aptos" w:hAnsi="Traditional Arabic" w:cs="Traditional Arabic"/>
          <w:kern w:val="2"/>
          <w:sz w:val="24"/>
          <w:szCs w:val="24"/>
          <w14:ligatures w14:val="standardContextual"/>
        </w:rPr>
        <w:t>Plan-Do-Study-Act</w:t>
      </w:r>
      <w:r w:rsidRPr="00362D29">
        <w:rPr>
          <w:rFonts w:ascii="Traditional Arabic" w:eastAsia="Aptos" w:hAnsi="Traditional Arabic" w:cs="Traditional Arabic"/>
          <w:kern w:val="2"/>
          <w:sz w:val="24"/>
          <w:szCs w:val="24"/>
          <w:rtl/>
          <w14:ligatures w14:val="standardContextual"/>
        </w:rPr>
        <w:t>) لاختبار التغييرات الصغيرة قبل تعميمها.</w:t>
      </w:r>
    </w:p>
    <w:p w14:paraId="387307E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•الموثوقية والاستدامة:</w:t>
      </w:r>
      <w:r w:rsidRPr="00362D29">
        <w:rPr>
          <w:rFonts w:ascii="Traditional Arabic" w:eastAsia="Aptos" w:hAnsi="Traditional Arabic" w:cs="Traditional Arabic"/>
          <w:kern w:val="2"/>
          <w:sz w:val="24"/>
          <w:szCs w:val="24"/>
          <w:rtl/>
          <w14:ligatures w14:val="standardContextual"/>
        </w:rPr>
        <w:t xml:space="preserve"> دمج هذه الممارسات في العمل اليومي لتصبح جزءاً من ثقافة المنظمة لضمان استمرارية التجربة الإيجابية (</w:t>
      </w:r>
      <w:r w:rsidRPr="00362D29">
        <w:rPr>
          <w:rFonts w:ascii="Traditional Arabic" w:eastAsia="Aptos" w:hAnsi="Traditional Arabic" w:cs="Traditional Arabic"/>
          <w:kern w:val="2"/>
          <w:sz w:val="24"/>
          <w:szCs w:val="24"/>
          <w14:ligatures w14:val="standardContextual"/>
        </w:rPr>
        <w:t>IHI, 2025</w:t>
      </w:r>
      <w:r w:rsidRPr="00362D29">
        <w:rPr>
          <w:rFonts w:ascii="Traditional Arabic" w:eastAsia="Aptos" w:hAnsi="Traditional Arabic" w:cs="Traditional Arabic"/>
          <w:kern w:val="2"/>
          <w:sz w:val="24"/>
          <w:szCs w:val="24"/>
          <w:rtl/>
          <w14:ligatures w14:val="standardContextual"/>
        </w:rPr>
        <w:t>).</w:t>
      </w:r>
    </w:p>
    <w:p w14:paraId="3002C04C" w14:textId="7C81DAA8"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خامساً: أثر تجربة المريض الإيجابية </w:t>
      </w:r>
      <w:r w:rsidR="009246B2" w:rsidRPr="00362D29">
        <w:rPr>
          <w:rFonts w:ascii="Traditional Arabic" w:eastAsia="Aptos" w:hAnsi="Traditional Arabic" w:cs="Traditional Arabic"/>
          <w:b/>
          <w:bCs/>
          <w:kern w:val="2"/>
          <w:sz w:val="24"/>
          <w:szCs w:val="24"/>
          <w:rtl/>
          <w14:ligatures w14:val="standardContextual"/>
        </w:rPr>
        <w:t xml:space="preserve">على </w:t>
      </w:r>
      <w:r w:rsidR="00087A62" w:rsidRPr="00362D29">
        <w:rPr>
          <w:rFonts w:ascii="Traditional Arabic" w:eastAsia="Aptos" w:hAnsi="Traditional Arabic" w:cs="Traditional Arabic"/>
          <w:b/>
          <w:bCs/>
          <w:kern w:val="2"/>
          <w:sz w:val="24"/>
          <w:szCs w:val="24"/>
          <w:rtl/>
          <w14:ligatures w14:val="standardContextual"/>
        </w:rPr>
        <w:t xml:space="preserve">الخدمات الصحية </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b/>
          <w:bCs/>
          <w:kern w:val="2"/>
          <w:sz w:val="24"/>
          <w:szCs w:val="24"/>
          <w14:ligatures w14:val="standardContextual"/>
        </w:rPr>
        <w:t>Impact of Positive Patient Experience</w:t>
      </w:r>
      <w:r w:rsidRPr="00362D29">
        <w:rPr>
          <w:rFonts w:ascii="Traditional Arabic" w:eastAsia="Aptos" w:hAnsi="Traditional Arabic" w:cs="Traditional Arabic"/>
          <w:b/>
          <w:bCs/>
          <w:kern w:val="2"/>
          <w:sz w:val="24"/>
          <w:szCs w:val="24"/>
          <w:rtl/>
          <w14:ligatures w14:val="standardContextual"/>
        </w:rPr>
        <w:t>)</w:t>
      </w:r>
    </w:p>
    <w:p w14:paraId="7497F0DC" w14:textId="6EADBA25"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تؤكد الأدلة العلمية أن المنظمات التي تنجح في تقديم تجربة إيجابية مستدامة تحقق عوائد </w:t>
      </w:r>
      <w:proofErr w:type="gramStart"/>
      <w:r w:rsidRPr="00362D29">
        <w:rPr>
          <w:rFonts w:ascii="Traditional Arabic" w:eastAsia="Aptos" w:hAnsi="Traditional Arabic" w:cs="Traditional Arabic"/>
          <w:kern w:val="2"/>
          <w:sz w:val="24"/>
          <w:szCs w:val="24"/>
          <w:rtl/>
          <w14:ligatures w14:val="standardContextual"/>
        </w:rPr>
        <w:t>استراتيجية</w:t>
      </w:r>
      <w:r w:rsidR="00732B1F" w:rsidRPr="00362D29">
        <w:rPr>
          <w:rFonts w:ascii="Traditional Arabic" w:eastAsia="Aptos" w:hAnsi="Traditional Arabic" w:cs="Traditional Arabic"/>
          <w:kern w:val="2"/>
          <w:sz w:val="24"/>
          <w:szCs w:val="24"/>
          <w:rtl/>
          <w14:ligatures w14:val="standardContextual"/>
        </w:rPr>
        <w:t>(</w:t>
      </w:r>
      <w:proofErr w:type="gramEnd"/>
      <w:r w:rsidR="00732B1F" w:rsidRPr="00362D29">
        <w:rPr>
          <w:rFonts w:ascii="Traditional Arabic" w:eastAsia="Aptos" w:hAnsi="Traditional Arabic" w:cs="Traditional Arabic"/>
          <w:kern w:val="2"/>
          <w:sz w:val="24"/>
          <w:szCs w:val="24"/>
          <w14:ligatures w14:val="standardContextual"/>
        </w:rPr>
        <w:t>Health Academy, 2022</w:t>
      </w:r>
      <w:r w:rsidR="00D87D54" w:rsidRPr="00362D29">
        <w:rPr>
          <w:rFonts w:ascii="Traditional Arabic" w:eastAsia="Aptos" w:hAnsi="Traditional Arabic" w:cs="Traditional Arabic"/>
          <w:kern w:val="2"/>
          <w:sz w:val="24"/>
          <w:szCs w:val="24"/>
          <w:rtl/>
          <w14:ligatures w14:val="standardContextual"/>
        </w:rPr>
        <w:t>) تشمل</w:t>
      </w:r>
      <w:r w:rsidR="007E56A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w:t>
      </w:r>
    </w:p>
    <w:p w14:paraId="04000C2E"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•انخفاض معدلات إعادة التنويم:</w:t>
      </w:r>
      <w:r w:rsidRPr="00362D29">
        <w:rPr>
          <w:rFonts w:ascii="Traditional Arabic" w:eastAsia="Aptos" w:hAnsi="Traditional Arabic" w:cs="Traditional Arabic"/>
          <w:kern w:val="2"/>
          <w:sz w:val="24"/>
          <w:szCs w:val="24"/>
          <w:rtl/>
          <w14:ligatures w14:val="standardContextual"/>
        </w:rPr>
        <w:t xml:space="preserve"> بفضل وضوح تعليمات الخروج والدعم الذاتي للمريض (</w:t>
      </w:r>
      <w:r w:rsidRPr="00362D29">
        <w:rPr>
          <w:rFonts w:ascii="Traditional Arabic" w:eastAsia="Aptos" w:hAnsi="Traditional Arabic" w:cs="Traditional Arabic"/>
          <w:kern w:val="2"/>
          <w:sz w:val="24"/>
          <w:szCs w:val="24"/>
          <w14:ligatures w14:val="standardContextual"/>
        </w:rPr>
        <w:t>PMC, 2025</w:t>
      </w:r>
      <w:r w:rsidRPr="00362D29">
        <w:rPr>
          <w:rFonts w:ascii="Traditional Arabic" w:eastAsia="Aptos" w:hAnsi="Traditional Arabic" w:cs="Traditional Arabic"/>
          <w:kern w:val="2"/>
          <w:sz w:val="24"/>
          <w:szCs w:val="24"/>
          <w:rtl/>
          <w14:ligatures w14:val="standardContextual"/>
        </w:rPr>
        <w:t>).</w:t>
      </w:r>
    </w:p>
    <w:p w14:paraId="10DFF5B0"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•تعزيز بيئة العمل:</w:t>
      </w:r>
      <w:r w:rsidRPr="00362D29">
        <w:rPr>
          <w:rFonts w:ascii="Traditional Arabic" w:eastAsia="Aptos" w:hAnsi="Traditional Arabic" w:cs="Traditional Arabic"/>
          <w:kern w:val="2"/>
          <w:sz w:val="24"/>
          <w:szCs w:val="24"/>
          <w:rtl/>
          <w14:ligatures w14:val="standardContextual"/>
        </w:rPr>
        <w:t xml:space="preserve"> ترتبط تجربة المريض الإيجابية بارتفاع رضا الموظفين وتقليل معدلات الاحتراق الوظيفي (الهيئة السعودية للتخصصات الصحية، 2025).</w:t>
      </w:r>
    </w:p>
    <w:p w14:paraId="7AE1248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•التميز التنافسي والمالي:</w:t>
      </w:r>
      <w:r w:rsidRPr="00362D29">
        <w:rPr>
          <w:rFonts w:ascii="Traditional Arabic" w:eastAsia="Aptos" w:hAnsi="Traditional Arabic" w:cs="Traditional Arabic"/>
          <w:kern w:val="2"/>
          <w:sz w:val="24"/>
          <w:szCs w:val="24"/>
          <w:rtl/>
          <w14:ligatures w14:val="standardContextual"/>
        </w:rPr>
        <w:t xml:space="preserve"> تصبح المنشأة وجهة مفضلة للمرضى، مما يعزز الاستدامة المالية والسمعة المؤسسية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446A7CBF" w14:textId="77777777" w:rsidR="00D6527D" w:rsidRPr="00362D29" w:rsidRDefault="00D6527D" w:rsidP="00362D29">
      <w:pPr>
        <w:bidi/>
        <w:spacing w:after="200" w:line="360" w:lineRule="auto"/>
        <w:jc w:val="both"/>
        <w:rPr>
          <w:rFonts w:ascii="Traditional Arabic" w:hAnsi="Traditional Arabic" w:cs="Traditional Arabic"/>
          <w:b/>
          <w:bCs/>
          <w:color w:val="00B0F0"/>
          <w:sz w:val="24"/>
          <w:szCs w:val="24"/>
          <w:u w:val="single"/>
          <w:rtl/>
        </w:rPr>
      </w:pPr>
    </w:p>
    <w:p w14:paraId="08E3C31C" w14:textId="77777777" w:rsidR="006D3DE7" w:rsidRPr="00A52C05" w:rsidRDefault="006D3DE7" w:rsidP="00C42472">
      <w:pPr>
        <w:pStyle w:val="ab"/>
        <w:numPr>
          <w:ilvl w:val="0"/>
          <w:numId w:val="43"/>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A52C05">
        <w:rPr>
          <w:rFonts w:ascii="Traditional Arabic" w:hAnsi="Traditional Arabic" w:cs="Traditional Arabic"/>
          <w:b/>
          <w:bCs/>
          <w:color w:val="000000" w:themeColor="text1"/>
          <w:sz w:val="32"/>
          <w:szCs w:val="32"/>
          <w:rtl/>
        </w:rPr>
        <w:t>برنامج قياس تجربة المريض بوزارة الصحة السعودية (</w:t>
      </w:r>
      <w:r w:rsidRPr="00A52C05">
        <w:rPr>
          <w:rFonts w:ascii="Traditional Arabic" w:hAnsi="Traditional Arabic" w:cs="Traditional Arabic"/>
          <w:b/>
          <w:bCs/>
          <w:color w:val="000000" w:themeColor="text1"/>
          <w:sz w:val="32"/>
          <w:szCs w:val="32"/>
        </w:rPr>
        <w:t>PXMP</w:t>
      </w:r>
      <w:r w:rsidRPr="00A52C05">
        <w:rPr>
          <w:rFonts w:ascii="Traditional Arabic" w:hAnsi="Traditional Arabic" w:cs="Traditional Arabic"/>
          <w:b/>
          <w:bCs/>
          <w:color w:val="000000" w:themeColor="text1"/>
          <w:sz w:val="32"/>
          <w:szCs w:val="32"/>
          <w:rtl/>
        </w:rPr>
        <w:t>)</w:t>
      </w:r>
    </w:p>
    <w:p w14:paraId="24C0BC20" w14:textId="5A9D73C1"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يُمثل برنامج قياس تجربة المريض (</w:t>
      </w:r>
      <w:r w:rsidRPr="00362D29">
        <w:rPr>
          <w:rFonts w:ascii="Traditional Arabic" w:hAnsi="Traditional Arabic" w:cs="Traditional Arabic"/>
          <w:sz w:val="24"/>
          <w:szCs w:val="24"/>
        </w:rPr>
        <w:t>Patient Experience Measurement Program - PXMP</w:t>
      </w:r>
      <w:r w:rsidRPr="00362D29">
        <w:rPr>
          <w:rFonts w:ascii="Traditional Arabic" w:hAnsi="Traditional Arabic" w:cs="Traditional Arabic"/>
          <w:sz w:val="24"/>
          <w:szCs w:val="24"/>
          <w:rtl/>
        </w:rPr>
        <w:t>) حجر الزاوية في استراتيجية التحول الصحي التي تنتهجها وزارة الصحة السعودية، حيث يُعد أحد المبادرات الوطنية الرائدة التي تهدف إلى تمكين صوت المستفيد وتحويله إلى قوة دافعة لتحسين جودة الرعاية الصحية</w:t>
      </w:r>
      <w:r w:rsidR="00320E15" w:rsidRPr="00362D29">
        <w:rPr>
          <w:rFonts w:ascii="Traditional Arabic" w:hAnsi="Traditional Arabic" w:cs="Traditional Arabic"/>
          <w:sz w:val="24"/>
          <w:szCs w:val="24"/>
          <w:rtl/>
        </w:rPr>
        <w:t xml:space="preserve"> (وزارة الصحة، 2025).</w:t>
      </w:r>
    </w:p>
    <w:p w14:paraId="10FDDEE3"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1. السياق الاستراتيجي: رؤية 2030 والتحول الصحي</w:t>
      </w:r>
    </w:p>
    <w:p w14:paraId="71877485" w14:textId="7C551D7A" w:rsidR="009C7218" w:rsidRDefault="006D3DE7" w:rsidP="008B5568">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يأتي البرنامج كمتطلب أساسي ضمن برنامج تحول القطاع الصحي، أحد برامج رؤية المملكة 2030، والذي يهدف إلى إعادة هيكلة القطاع الصحي ليكون نظاماً صحياً شاملاً وفعالاً ومتكاملاً. وفي ظل توجه شركة الصحة القابضة (</w:t>
      </w:r>
      <w:r w:rsidRPr="00362D29">
        <w:rPr>
          <w:rFonts w:ascii="Traditional Arabic" w:hAnsi="Traditional Arabic" w:cs="Traditional Arabic"/>
          <w:sz w:val="24"/>
          <w:szCs w:val="24"/>
        </w:rPr>
        <w:t>Health Holding</w:t>
      </w:r>
      <w:r w:rsidRPr="00362D29">
        <w:rPr>
          <w:rFonts w:ascii="Traditional Arabic" w:hAnsi="Traditional Arabic" w:cs="Traditional Arabic"/>
          <w:sz w:val="24"/>
          <w:szCs w:val="24"/>
          <w:rtl/>
        </w:rPr>
        <w:t>) نحو تفعيل التجمعات الصحية (مثل تجمع القصيم الصحي) كمشغلين مستقلين، أصبح قياس تجربة المريض أداة حيوية لضمان الشفافية، والمساءلة، والتنافسية الإيجابية بين التجمعات لتقديم أفضل رعاية متمحورة حول الإنسان (وزارة الصحة، 2025).</w:t>
      </w:r>
    </w:p>
    <w:p w14:paraId="2EC77D54" w14:textId="77777777" w:rsidR="008B5568" w:rsidRPr="00362D29" w:rsidRDefault="008B5568" w:rsidP="008B5568">
      <w:pPr>
        <w:bidi/>
        <w:spacing w:before="100" w:beforeAutospacing="1" w:after="100" w:afterAutospacing="1" w:line="360" w:lineRule="auto"/>
        <w:jc w:val="both"/>
        <w:rPr>
          <w:rFonts w:ascii="Traditional Arabic" w:hAnsi="Traditional Arabic" w:cs="Traditional Arabic"/>
          <w:sz w:val="24"/>
          <w:szCs w:val="24"/>
          <w:rtl/>
        </w:rPr>
      </w:pPr>
    </w:p>
    <w:p w14:paraId="4F0E696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lastRenderedPageBreak/>
        <w:t>2. التعريف والأهداف</w:t>
      </w:r>
    </w:p>
    <w:p w14:paraId="76EF38B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 xml:space="preserve">يُعرف برنامج قياس تجربة المريض بأنه نظام وطني موحد لقياس مستويات رضا المستفيدين (المرضى وذويهم) عن الخدمات الصحية المقدمة في كافة منشآت وزارة </w:t>
      </w:r>
      <w:proofErr w:type="gramStart"/>
      <w:r w:rsidRPr="00362D29">
        <w:rPr>
          <w:rFonts w:ascii="Traditional Arabic" w:hAnsi="Traditional Arabic" w:cs="Traditional Arabic"/>
          <w:sz w:val="24"/>
          <w:szCs w:val="24"/>
          <w:rtl/>
        </w:rPr>
        <w:t>الصحة .</w:t>
      </w:r>
      <w:proofErr w:type="gramEnd"/>
    </w:p>
    <w:p w14:paraId="525F8E3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تتمثل الأهداف الرئيسية للبرنامج في:</w:t>
      </w:r>
    </w:p>
    <w:p w14:paraId="36DF7D4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•تمكين المستفيدين:</w:t>
      </w:r>
      <w:r w:rsidRPr="00362D29">
        <w:rPr>
          <w:rFonts w:ascii="Traditional Arabic" w:hAnsi="Traditional Arabic" w:cs="Traditional Arabic"/>
          <w:sz w:val="24"/>
          <w:szCs w:val="24"/>
          <w:rtl/>
        </w:rPr>
        <w:t xml:space="preserve"> إتاحة الفرصة للمرضى للمشاركة في تحسين جودة الخدمات من خلال تقييم تجاربهم الفعلية.</w:t>
      </w:r>
    </w:p>
    <w:p w14:paraId="36D576C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•دعم اتخاذ القرار:</w:t>
      </w:r>
      <w:r w:rsidRPr="00362D29">
        <w:rPr>
          <w:rFonts w:ascii="Traditional Arabic" w:hAnsi="Traditional Arabic" w:cs="Traditional Arabic"/>
          <w:sz w:val="24"/>
          <w:szCs w:val="24"/>
          <w:rtl/>
        </w:rPr>
        <w:t xml:space="preserve"> تزويد القيادات الصحية ببيانات دقيقة وموثوقة لاتخاذ قرارات مبنية على احتياجات المريض.</w:t>
      </w:r>
    </w:p>
    <w:p w14:paraId="363A079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•المقارنة المعيارية (</w:t>
      </w:r>
      <w:r w:rsidRPr="00362D29">
        <w:rPr>
          <w:rFonts w:ascii="Traditional Arabic" w:hAnsi="Traditional Arabic" w:cs="Traditional Arabic"/>
          <w:b/>
          <w:bCs/>
          <w:sz w:val="24"/>
          <w:szCs w:val="24"/>
        </w:rPr>
        <w:t>Benchmarking</w:t>
      </w:r>
      <w:r w:rsidRPr="00362D29">
        <w:rPr>
          <w:rFonts w:ascii="Traditional Arabic" w:hAnsi="Traditional Arabic" w:cs="Traditional Arabic"/>
          <w:b/>
          <w:bCs/>
          <w:sz w:val="24"/>
          <w:szCs w:val="24"/>
          <w:rtl/>
        </w:rPr>
        <w:t>):</w:t>
      </w:r>
      <w:r w:rsidRPr="00362D29">
        <w:rPr>
          <w:rFonts w:ascii="Traditional Arabic" w:hAnsi="Traditional Arabic" w:cs="Traditional Arabic"/>
          <w:sz w:val="24"/>
          <w:szCs w:val="24"/>
          <w:rtl/>
        </w:rPr>
        <w:t xml:space="preserve"> وضع معايير وطنية ومقارنة أداء المنشآت الصحية محلياً وإقليمياً وعالمياً.</w:t>
      </w:r>
    </w:p>
    <w:p w14:paraId="7481E7CE" w14:textId="689474C9" w:rsidR="009C7218"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•تحديد أولويات التحسين:</w:t>
      </w:r>
      <w:r w:rsidRPr="00362D29">
        <w:rPr>
          <w:rFonts w:ascii="Traditional Arabic" w:hAnsi="Traditional Arabic" w:cs="Traditional Arabic"/>
          <w:sz w:val="24"/>
          <w:szCs w:val="24"/>
          <w:rtl/>
        </w:rPr>
        <w:t xml:space="preserve"> فهم العوامل الأكثر تأثيراً على تجربة المريض وتوجيه الموارد نحو معالجتها </w:t>
      </w:r>
      <w:r w:rsidR="009C7218" w:rsidRPr="00362D29">
        <w:rPr>
          <w:rFonts w:ascii="Traditional Arabic" w:hAnsi="Traditional Arabic" w:cs="Traditional Arabic"/>
          <w:sz w:val="24"/>
          <w:szCs w:val="24"/>
          <w:rtl/>
        </w:rPr>
        <w:t>(وزارة الصحة، 2025).</w:t>
      </w:r>
      <w:r w:rsidRPr="00362D29">
        <w:rPr>
          <w:rFonts w:ascii="Traditional Arabic" w:hAnsi="Traditional Arabic" w:cs="Traditional Arabic"/>
          <w:sz w:val="24"/>
          <w:szCs w:val="24"/>
          <w:rtl/>
        </w:rPr>
        <w:t>.</w:t>
      </w:r>
    </w:p>
    <w:p w14:paraId="77FF8E08"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3. آلية التطبيق والاستبيانات</w:t>
      </w:r>
    </w:p>
    <w:p w14:paraId="21F8BD1F"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يعتمد البرنامج على منهجية علمية دقيقة لجمع البيانات، حيث يتم إرسال استبيانات إلكترونية عبر الرسائل النصية (</w:t>
      </w:r>
      <w:r w:rsidRPr="00362D29">
        <w:rPr>
          <w:rFonts w:ascii="Traditional Arabic" w:hAnsi="Traditional Arabic" w:cs="Traditional Arabic"/>
          <w:sz w:val="24"/>
          <w:szCs w:val="24"/>
        </w:rPr>
        <w:t>SMS</w:t>
      </w:r>
      <w:r w:rsidRPr="00362D29">
        <w:rPr>
          <w:rFonts w:ascii="Traditional Arabic" w:hAnsi="Traditional Arabic" w:cs="Traditional Arabic"/>
          <w:sz w:val="24"/>
          <w:szCs w:val="24"/>
          <w:rtl/>
        </w:rPr>
        <w:t>) للمرضى بعد حصولهم على الخدمة مباشرة وتلقي الاستجابة في أربعة عشر يوم من تلقي الخدمة.</w:t>
      </w:r>
    </w:p>
    <w:p w14:paraId="5E7C1D9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أ- أنواع الاستبيانات:</w:t>
      </w:r>
    </w:p>
    <w:p w14:paraId="5A88D139"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تستخدم الوزارة استبيانات مقننة عالمياً ومعربة لتناسب السياق المحلي، ومن أهمها:</w:t>
      </w:r>
    </w:p>
    <w:p w14:paraId="4DCF5298"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•استبيان التنويم (</w:t>
      </w:r>
      <w:r w:rsidRPr="00362D29">
        <w:rPr>
          <w:rFonts w:ascii="Traditional Arabic" w:hAnsi="Traditional Arabic" w:cs="Traditional Arabic"/>
          <w:sz w:val="24"/>
          <w:szCs w:val="24"/>
        </w:rPr>
        <w:t>HCAHPS</w:t>
      </w:r>
      <w:r w:rsidRPr="00362D29">
        <w:rPr>
          <w:rFonts w:ascii="Traditional Arabic" w:hAnsi="Traditional Arabic" w:cs="Traditional Arabic"/>
          <w:sz w:val="24"/>
          <w:szCs w:val="24"/>
          <w:rtl/>
        </w:rPr>
        <w:t>): لتقييم تجربة المرضى المنومين في المستشفيات.</w:t>
      </w:r>
    </w:p>
    <w:p w14:paraId="25A077B9"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•استبيان العيادات الخارجية (</w:t>
      </w:r>
      <w:r w:rsidRPr="00362D29">
        <w:rPr>
          <w:rFonts w:ascii="Traditional Arabic" w:hAnsi="Traditional Arabic" w:cs="Traditional Arabic"/>
          <w:sz w:val="24"/>
          <w:szCs w:val="24"/>
        </w:rPr>
        <w:t>CG-CAHPS</w:t>
      </w:r>
      <w:r w:rsidRPr="00362D29">
        <w:rPr>
          <w:rFonts w:ascii="Traditional Arabic" w:hAnsi="Traditional Arabic" w:cs="Traditional Arabic"/>
          <w:sz w:val="24"/>
          <w:szCs w:val="24"/>
          <w:rtl/>
        </w:rPr>
        <w:t>): لتقييم تجربة المرضى في مراكز الرعاية الأولية والعيادات التخصصية.</w:t>
      </w:r>
    </w:p>
    <w:p w14:paraId="181DBA45"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•استبيانات تخصصية: تشمل مراكز الطوارئ، بنوك الدم، مراكز الإقلاع عن التدخين، ومركز اتصال الصحة (937).</w:t>
      </w:r>
    </w:p>
    <w:p w14:paraId="75FFEA5D" w14:textId="77777777" w:rsidR="009C7218" w:rsidRDefault="009C7218" w:rsidP="00362D29">
      <w:pPr>
        <w:bidi/>
        <w:spacing w:before="100" w:beforeAutospacing="1" w:after="100" w:afterAutospacing="1" w:line="360" w:lineRule="auto"/>
        <w:jc w:val="both"/>
        <w:rPr>
          <w:rFonts w:ascii="Traditional Arabic" w:hAnsi="Traditional Arabic" w:cs="Traditional Arabic"/>
          <w:sz w:val="24"/>
          <w:szCs w:val="24"/>
          <w:rtl/>
        </w:rPr>
      </w:pPr>
    </w:p>
    <w:p w14:paraId="7EBCEB68" w14:textId="77777777" w:rsidR="008B5568" w:rsidRPr="00362D29" w:rsidRDefault="008B5568" w:rsidP="008B5568">
      <w:pPr>
        <w:bidi/>
        <w:spacing w:before="100" w:beforeAutospacing="1" w:after="100" w:afterAutospacing="1" w:line="360" w:lineRule="auto"/>
        <w:jc w:val="both"/>
        <w:rPr>
          <w:rFonts w:ascii="Traditional Arabic" w:hAnsi="Traditional Arabic" w:cs="Traditional Arabic"/>
          <w:sz w:val="24"/>
          <w:szCs w:val="24"/>
          <w:rtl/>
        </w:rPr>
      </w:pPr>
    </w:p>
    <w:p w14:paraId="477F962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lastRenderedPageBreak/>
        <w:t>ب- رحلة المريض في البرنامج:</w:t>
      </w:r>
    </w:p>
    <w:p w14:paraId="04B0FD2A"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تبدأ الرحلة بمجرد إغلاق ملف الزيارة في النظام الصحي للمنشأة، حيث تُرسل البيانات آلياً إلى المنصة، ومن ثم يتلقى المريض رابط الاستبيان لتقييم جوانب متعددة مثل: (التواصل مع الأطباء والتمريض، البيئة المادية، تنسيق الرعاية، والتعامل الإنساني).</w:t>
      </w:r>
    </w:p>
    <w:p w14:paraId="14ECEC4F"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4. المنصة الإلكترونية والشراكة مع بريس جاني (</w:t>
      </w:r>
      <w:r w:rsidRPr="00362D29">
        <w:rPr>
          <w:rFonts w:ascii="Traditional Arabic" w:hAnsi="Traditional Arabic" w:cs="Traditional Arabic"/>
          <w:b/>
          <w:bCs/>
          <w:sz w:val="24"/>
          <w:szCs w:val="24"/>
        </w:rPr>
        <w:t>Press Ganey</w:t>
      </w:r>
      <w:r w:rsidRPr="00362D29">
        <w:rPr>
          <w:rFonts w:ascii="Traditional Arabic" w:hAnsi="Traditional Arabic" w:cs="Traditional Arabic"/>
          <w:b/>
          <w:bCs/>
          <w:sz w:val="24"/>
          <w:szCs w:val="24"/>
          <w:rtl/>
        </w:rPr>
        <w:t>)</w:t>
      </w:r>
    </w:p>
    <w:p w14:paraId="6032411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لضمان الحيادية والالتزام بأعلى المعايير العالمية، تعمل وزارة الصحة مع طرف ثالث مستقل متمثل في شركة روابط للحلول الصحية (</w:t>
      </w:r>
      <w:r w:rsidRPr="00362D29">
        <w:rPr>
          <w:rFonts w:ascii="Traditional Arabic" w:hAnsi="Traditional Arabic" w:cs="Traditional Arabic"/>
          <w:sz w:val="24"/>
          <w:szCs w:val="24"/>
        </w:rPr>
        <w:t>Health. Links</w:t>
      </w:r>
      <w:r w:rsidRPr="00362D29">
        <w:rPr>
          <w:rFonts w:ascii="Traditional Arabic" w:hAnsi="Traditional Arabic" w:cs="Traditional Arabic"/>
          <w:sz w:val="24"/>
          <w:szCs w:val="24"/>
          <w:rtl/>
        </w:rPr>
        <w:t>) ، الشريك الإقليمي لشركة بريس جاني (</w:t>
      </w:r>
      <w:r w:rsidRPr="00362D29">
        <w:rPr>
          <w:rFonts w:ascii="Traditional Arabic" w:hAnsi="Traditional Arabic" w:cs="Traditional Arabic"/>
          <w:sz w:val="24"/>
          <w:szCs w:val="24"/>
        </w:rPr>
        <w:t>Press Ganey</w:t>
      </w:r>
      <w:r w:rsidRPr="00362D29">
        <w:rPr>
          <w:rFonts w:ascii="Traditional Arabic" w:hAnsi="Traditional Arabic" w:cs="Traditional Arabic"/>
          <w:sz w:val="24"/>
          <w:szCs w:val="24"/>
          <w:rtl/>
        </w:rPr>
        <w:t>) العالمية.</w:t>
      </w:r>
    </w:p>
    <w:p w14:paraId="02F786D1"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مميزات المنصة الإلكترونية:</w:t>
      </w:r>
    </w:p>
    <w:p w14:paraId="6CFBBEA3"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•الحيادية التامة: تُدار الاستبيانات وتُحلل النتائج من قبل طرف مستقل لضمان عدم وجود تحيز.</w:t>
      </w:r>
    </w:p>
    <w:p w14:paraId="10CD74B2"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•الوصول الفوري للبيانات: تتيح المنصة للقيادات في التجمعات الصحية الدخول المباشر لمتابعة النتائج والتعليقات الحية للمرضى.</w:t>
      </w:r>
    </w:p>
    <w:p w14:paraId="3502966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•قاعدة بيانات ضخمة: تعتمد المنصة على مقارنات معيارية مع أكثر من 35,000 منشأة صحية عالمياً (وزارة الصحة، 2025).</w:t>
      </w:r>
    </w:p>
    <w:p w14:paraId="3F518B32"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5. المنهجية، التحليل، والتقارير</w:t>
      </w:r>
    </w:p>
    <w:p w14:paraId="3655CE7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يعتمد البرنامج نظاماً دقيقاً في تحليل البيانات وتحويلها إلى مؤشرات أداء قابلة للقياس:</w:t>
      </w:r>
    </w:p>
    <w:p w14:paraId="14DE61C8" w14:textId="748C8F8E"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 xml:space="preserve">أ- </w:t>
      </w:r>
      <w:r w:rsidR="00871377">
        <w:rPr>
          <w:rFonts w:ascii="Traditional Arabic" w:hAnsi="Traditional Arabic" w:cs="Traditional Arabic" w:hint="cs"/>
          <w:sz w:val="24"/>
          <w:szCs w:val="24"/>
          <w:rtl/>
        </w:rPr>
        <w:t>التقييم</w:t>
      </w:r>
      <w:r w:rsidRPr="00362D29">
        <w:rPr>
          <w:rFonts w:ascii="Traditional Arabic" w:hAnsi="Traditional Arabic" w:cs="Traditional Arabic"/>
          <w:sz w:val="24"/>
          <w:szCs w:val="24"/>
          <w:rtl/>
        </w:rPr>
        <w:t xml:space="preserve"> (</w:t>
      </w:r>
      <w:r w:rsidRPr="00362D29">
        <w:rPr>
          <w:rFonts w:ascii="Traditional Arabic" w:hAnsi="Traditional Arabic" w:cs="Traditional Arabic"/>
          <w:sz w:val="24"/>
          <w:szCs w:val="24"/>
        </w:rPr>
        <w:t>Scoring Methodology</w:t>
      </w:r>
      <w:r w:rsidRPr="00362D29">
        <w:rPr>
          <w:rFonts w:ascii="Traditional Arabic" w:hAnsi="Traditional Arabic" w:cs="Traditional Arabic"/>
          <w:sz w:val="24"/>
          <w:szCs w:val="24"/>
          <w:rtl/>
        </w:rPr>
        <w:t>):</w:t>
      </w:r>
    </w:p>
    <w:p w14:paraId="3259F220"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يتم احتساب النتائج بناءً على نظام "</w:t>
      </w:r>
      <w:r w:rsidRPr="00362D29">
        <w:rPr>
          <w:rFonts w:ascii="Traditional Arabic" w:hAnsi="Traditional Arabic" w:cs="Traditional Arabic"/>
          <w:sz w:val="24"/>
          <w:szCs w:val="24"/>
        </w:rPr>
        <w:t>Top Box Score</w:t>
      </w:r>
      <w:r w:rsidRPr="00362D29">
        <w:rPr>
          <w:rFonts w:ascii="Traditional Arabic" w:hAnsi="Traditional Arabic" w:cs="Traditional Arabic"/>
          <w:sz w:val="24"/>
          <w:szCs w:val="24"/>
          <w:rtl/>
        </w:rPr>
        <w:t>"، وهو النسبة المئوية للمرضى الذين اختاروا أعلى تقييم ممكن (مثلاً: "دائماً" أو "ممتاز"). هذا النظام يرفع سقف التوقعات ويحفز المنشآت على السعي نحو التميز وليس فقط الرضا العادي.</w:t>
      </w:r>
    </w:p>
    <w:p w14:paraId="3FAA7F81"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ب- التقارير (</w:t>
      </w:r>
      <w:r w:rsidRPr="00362D29">
        <w:rPr>
          <w:rFonts w:ascii="Traditional Arabic" w:hAnsi="Traditional Arabic" w:cs="Traditional Arabic"/>
          <w:sz w:val="24"/>
          <w:szCs w:val="24"/>
        </w:rPr>
        <w:t>Reporting</w:t>
      </w:r>
      <w:r w:rsidRPr="00362D29">
        <w:rPr>
          <w:rFonts w:ascii="Traditional Arabic" w:hAnsi="Traditional Arabic" w:cs="Traditional Arabic"/>
          <w:sz w:val="24"/>
          <w:szCs w:val="24"/>
          <w:rtl/>
        </w:rPr>
        <w:t>):</w:t>
      </w:r>
    </w:p>
    <w:p w14:paraId="0AEA557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تصدر المنصة تقارير دورية (ربع سنوية ونصف سنوية) تشمل:</w:t>
      </w:r>
    </w:p>
    <w:p w14:paraId="5ADCF198"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•النتائج الإجمالية: مستوى الرضا العام عن المنشأة أو التجمع الصحي.</w:t>
      </w:r>
    </w:p>
    <w:p w14:paraId="692D45B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lastRenderedPageBreak/>
        <w:t>•تحليل الأبعاد: تقييم تفصيلي لكل بعد من أبعاد التجربة (مثل التواصل، النظافة، الهدوء).</w:t>
      </w:r>
    </w:p>
    <w:p w14:paraId="08D91E42"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•تحليل التعليقات النوعية: استخدام تقنيات تحليل النصوص لفهم آراء المرضى المكتوبة وتحديد المشكلات المتكررة.</w:t>
      </w:r>
    </w:p>
    <w:p w14:paraId="0C6A7F1B"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6. علاقة البرنامج بتحسين جودة الخدمات الصحية</w:t>
      </w:r>
    </w:p>
    <w:p w14:paraId="6C9AD9F7"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لا يُعد البرنامج مجرد أداة للقياس، بل هو محرك أساسي للتحسين المستمر. تلتزم المنشآت الصحية بناءً على نتائج التقارير بـ:</w:t>
      </w:r>
    </w:p>
    <w:p w14:paraId="0BA8CA8D"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•صياغة مشاريع تحسينية: ربط نتائج الاستبيانات بمبادرات عملية (مثل برنامج "تأكد" أو تحسين إجراءات الخروج).</w:t>
      </w:r>
    </w:p>
    <w:p w14:paraId="656F336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•المساءلة والتحفيز: تُستخدم نتائج تجربة المريض كمؤشر أداء رئيسي (</w:t>
      </w:r>
      <w:r w:rsidRPr="00362D29">
        <w:rPr>
          <w:rFonts w:ascii="Traditional Arabic" w:hAnsi="Traditional Arabic" w:cs="Traditional Arabic"/>
          <w:sz w:val="24"/>
          <w:szCs w:val="24"/>
        </w:rPr>
        <w:t>KPI</w:t>
      </w:r>
      <w:r w:rsidRPr="00362D29">
        <w:rPr>
          <w:rFonts w:ascii="Traditional Arabic" w:hAnsi="Traditional Arabic" w:cs="Traditional Arabic"/>
          <w:sz w:val="24"/>
          <w:szCs w:val="24"/>
          <w:rtl/>
        </w:rPr>
        <w:t>) لتقييم أداء القيادات في التجمعات الصحية.</w:t>
      </w:r>
    </w:p>
    <w:p w14:paraId="7613C863"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•التعلم المؤسسي: مشاركة أفضل الممارسات بين المنشآت التي تحقق نتائج مرتفعة لتعميم الفائدة (</w:t>
      </w:r>
      <w:r w:rsidRPr="00362D29">
        <w:rPr>
          <w:rFonts w:ascii="Traditional Arabic" w:hAnsi="Traditional Arabic" w:cs="Traditional Arabic"/>
          <w:sz w:val="24"/>
          <w:szCs w:val="24"/>
        </w:rPr>
        <w:t>Alhuseini et al., 2025</w:t>
      </w:r>
      <w:r w:rsidRPr="00362D29">
        <w:rPr>
          <w:rFonts w:ascii="Traditional Arabic" w:hAnsi="Traditional Arabic" w:cs="Traditional Arabic"/>
          <w:sz w:val="24"/>
          <w:szCs w:val="24"/>
          <w:rtl/>
        </w:rPr>
        <w:t>).</w:t>
      </w:r>
    </w:p>
    <w:p w14:paraId="66DC1AE8" w14:textId="5F2A3B9C" w:rsidR="009C7218" w:rsidRPr="00362D29" w:rsidRDefault="009C7218" w:rsidP="00C42472">
      <w:pPr>
        <w:pStyle w:val="ab"/>
        <w:numPr>
          <w:ilvl w:val="0"/>
          <w:numId w:val="43"/>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الدور الاستراتيجي لمنظومة بريس جاني (</w:t>
      </w:r>
      <w:r w:rsidRPr="00362D29">
        <w:rPr>
          <w:rFonts w:ascii="Traditional Arabic" w:eastAsia="Aptos" w:hAnsi="Traditional Arabic" w:cs="Traditional Arabic"/>
          <w:b/>
          <w:bCs/>
          <w:kern w:val="2"/>
          <w:sz w:val="24"/>
          <w:szCs w:val="24"/>
          <w14:ligatures w14:val="standardContextual"/>
        </w:rPr>
        <w:t>Press Ganey</w:t>
      </w:r>
      <w:r w:rsidRPr="00362D29">
        <w:rPr>
          <w:rFonts w:ascii="Traditional Arabic" w:eastAsia="Aptos" w:hAnsi="Traditional Arabic" w:cs="Traditional Arabic"/>
          <w:b/>
          <w:bCs/>
          <w:kern w:val="2"/>
          <w:sz w:val="24"/>
          <w:szCs w:val="24"/>
          <w:rtl/>
          <w14:ligatures w14:val="standardContextual"/>
        </w:rPr>
        <w:t xml:space="preserve">) في برنامج قياس تجربة المريض </w:t>
      </w:r>
      <w:r w:rsidR="00F270CE" w:rsidRPr="00362D29">
        <w:rPr>
          <w:rFonts w:ascii="Traditional Arabic" w:eastAsia="Aptos" w:hAnsi="Traditional Arabic" w:cs="Traditional Arabic"/>
          <w:b/>
          <w:bCs/>
          <w:kern w:val="2"/>
          <w:sz w:val="24"/>
          <w:szCs w:val="24"/>
          <w:rtl/>
          <w14:ligatures w14:val="standardContextual"/>
        </w:rPr>
        <w:t>ب</w:t>
      </w:r>
      <w:r w:rsidRPr="00362D29">
        <w:rPr>
          <w:rFonts w:ascii="Traditional Arabic" w:eastAsia="Aptos" w:hAnsi="Traditional Arabic" w:cs="Traditional Arabic"/>
          <w:b/>
          <w:bCs/>
          <w:kern w:val="2"/>
          <w:sz w:val="24"/>
          <w:szCs w:val="24"/>
          <w:rtl/>
          <w14:ligatures w14:val="standardContextual"/>
        </w:rPr>
        <w:t>المملكة العربية السعودية:</w:t>
      </w:r>
      <w:r w:rsidRPr="00362D29">
        <w:rPr>
          <w:rFonts w:ascii="Traditional Arabic" w:eastAsia="Aptos" w:hAnsi="Traditional Arabic" w:cs="Traditional Arabic"/>
          <w:kern w:val="2"/>
          <w:sz w:val="24"/>
          <w:szCs w:val="24"/>
          <w:rtl/>
          <w14:ligatures w14:val="standardContextual"/>
        </w:rPr>
        <w:t xml:space="preserve"> يكتسب بريس جاني أهمية خاصة في السياق السعودي، حيث يُعد الشريك الاستراتيجي لوزارة الصحة السعودية في تنفيذ برنامج قياس تجربة المريض (صوت المستفيد). ومن خلال الشراكة مع (</w:t>
      </w:r>
      <w:r w:rsidRPr="00362D29">
        <w:rPr>
          <w:rFonts w:ascii="Traditional Arabic" w:eastAsia="Aptos" w:hAnsi="Traditional Arabic" w:cs="Traditional Arabic"/>
          <w:kern w:val="2"/>
          <w:sz w:val="24"/>
          <w:szCs w:val="24"/>
          <w14:ligatures w14:val="standardContextual"/>
        </w:rPr>
        <w:t>HealthLinks</w:t>
      </w:r>
      <w:r w:rsidRPr="00362D29">
        <w:rPr>
          <w:rFonts w:ascii="Traditional Arabic" w:eastAsia="Aptos" w:hAnsi="Traditional Arabic" w:cs="Traditional Arabic"/>
          <w:kern w:val="2"/>
          <w:sz w:val="24"/>
          <w:szCs w:val="24"/>
          <w:rtl/>
          <w14:ligatures w14:val="standardContextual"/>
        </w:rPr>
        <w:t>)، يقوم بريس جاني بإدارة أكثر من 2.5 مليون استبيان سنوياً في المملكة، مما يوفر أكبر قاعدة بيانات معيارية للأداء الصحي في المنطقة (وزارة الصحة السعودية، 2025). وقد تُوجت هذه الجهود بحصول وزارة الصحة السعودية على جائزة "التأثير العالمي والتحول في الرعاية الصحية" من بريس جاني في عام 2026، تقديراً لنجاحها في مواءمة هذا النموذج العالمي مع السياق الثقافي والمحلي للمملكة (</w:t>
      </w:r>
      <w:r w:rsidRPr="00362D29">
        <w:rPr>
          <w:rFonts w:ascii="Traditional Arabic" w:eastAsia="Aptos" w:hAnsi="Traditional Arabic" w:cs="Traditional Arabic"/>
          <w:kern w:val="2"/>
          <w:sz w:val="24"/>
          <w:szCs w:val="24"/>
          <w14:ligatures w14:val="standardContextual"/>
        </w:rPr>
        <w:t>Saudi Press Agency, 2026</w:t>
      </w:r>
      <w:r w:rsidRPr="00362D29">
        <w:rPr>
          <w:rFonts w:ascii="Traditional Arabic" w:eastAsia="Aptos" w:hAnsi="Traditional Arabic" w:cs="Traditional Arabic"/>
          <w:kern w:val="2"/>
          <w:sz w:val="24"/>
          <w:szCs w:val="24"/>
          <w:rtl/>
          <w14:ligatures w14:val="standardContextual"/>
        </w:rPr>
        <w:t xml:space="preserve">؛ وزارة الصحة </w:t>
      </w:r>
      <w:r w:rsidRPr="009231E8">
        <w:rPr>
          <w:rFonts w:ascii="Traditional Arabic" w:eastAsia="Aptos" w:hAnsi="Traditional Arabic" w:cs="Traditional Arabic"/>
          <w:color w:val="FF0000"/>
          <w:kern w:val="2"/>
          <w:sz w:val="24"/>
          <w:szCs w:val="24"/>
          <w:rtl/>
          <w14:ligatures w14:val="standardContextual"/>
        </w:rPr>
        <w:t>السعودية، 2026)</w:t>
      </w:r>
      <w:commentRangeStart w:id="10"/>
      <w:r w:rsidRPr="009231E8">
        <w:rPr>
          <w:rFonts w:ascii="Traditional Arabic" w:eastAsia="Aptos" w:hAnsi="Traditional Arabic" w:cs="Traditional Arabic"/>
          <w:color w:val="FF0000"/>
          <w:kern w:val="2"/>
          <w:sz w:val="24"/>
          <w:szCs w:val="24"/>
          <w:rtl/>
          <w14:ligatures w14:val="standardContextual"/>
        </w:rPr>
        <w:t>.</w:t>
      </w:r>
      <w:commentRangeEnd w:id="10"/>
      <w:r w:rsidR="009231E8" w:rsidRPr="009231E8">
        <w:rPr>
          <w:rStyle w:val="ac"/>
          <w:color w:val="FF0000"/>
        </w:rPr>
        <w:commentReference w:id="10"/>
      </w:r>
    </w:p>
    <w:p w14:paraId="6FFB733A"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p>
    <w:p w14:paraId="1C805C40" w14:textId="77777777" w:rsidR="006D3DE7" w:rsidRPr="00362D29" w:rsidRDefault="006D3DE7" w:rsidP="00362D29">
      <w:pPr>
        <w:spacing w:before="100" w:beforeAutospacing="1" w:after="100" w:afterAutospacing="1" w:line="360" w:lineRule="auto"/>
        <w:jc w:val="both"/>
        <w:rPr>
          <w:rFonts w:ascii="Traditional Arabic" w:hAnsi="Traditional Arabic" w:cs="Traditional Arabic"/>
          <w:sz w:val="24"/>
          <w:szCs w:val="24"/>
        </w:rPr>
      </w:pPr>
    </w:p>
    <w:p w14:paraId="79104194" w14:textId="77777777" w:rsidR="00D6527D" w:rsidRPr="00362D29" w:rsidRDefault="00D6527D" w:rsidP="00362D29">
      <w:pPr>
        <w:bidi/>
        <w:spacing w:after="200" w:line="360" w:lineRule="auto"/>
        <w:jc w:val="both"/>
        <w:rPr>
          <w:rFonts w:ascii="Traditional Arabic" w:hAnsi="Traditional Arabic" w:cs="Traditional Arabic"/>
          <w:b/>
          <w:bCs/>
          <w:color w:val="00B0F0"/>
          <w:sz w:val="24"/>
          <w:szCs w:val="24"/>
          <w:u w:val="single"/>
          <w:rtl/>
        </w:rPr>
      </w:pPr>
    </w:p>
    <w:p w14:paraId="396DA030" w14:textId="77777777" w:rsidR="00D6527D" w:rsidRPr="00362D29" w:rsidRDefault="00D6527D" w:rsidP="00362D29">
      <w:pPr>
        <w:bidi/>
        <w:spacing w:after="200" w:line="360" w:lineRule="auto"/>
        <w:jc w:val="both"/>
        <w:rPr>
          <w:rFonts w:ascii="Traditional Arabic" w:hAnsi="Traditional Arabic" w:cs="Traditional Arabic"/>
          <w:b/>
          <w:bCs/>
          <w:color w:val="00B0F0"/>
          <w:sz w:val="24"/>
          <w:szCs w:val="24"/>
          <w:u w:val="single"/>
          <w:rtl/>
        </w:rPr>
      </w:pPr>
    </w:p>
    <w:p w14:paraId="418B1497" w14:textId="77777777" w:rsidR="00C66B3C" w:rsidRPr="00362D29" w:rsidRDefault="00C66B3C" w:rsidP="00362D29">
      <w:pPr>
        <w:bidi/>
        <w:spacing w:after="200" w:line="360" w:lineRule="auto"/>
        <w:jc w:val="both"/>
        <w:rPr>
          <w:rFonts w:ascii="Traditional Arabic" w:hAnsi="Traditional Arabic" w:cs="Traditional Arabic"/>
          <w:b/>
          <w:bCs/>
          <w:color w:val="00B0F0"/>
          <w:sz w:val="32"/>
          <w:szCs w:val="32"/>
          <w:u w:val="single"/>
          <w:rtl/>
        </w:rPr>
      </w:pPr>
    </w:p>
    <w:p w14:paraId="7E4504B1" w14:textId="0FA1B315" w:rsidR="00947153" w:rsidRPr="00316673" w:rsidRDefault="00947153" w:rsidP="00362D29">
      <w:pPr>
        <w:bidi/>
        <w:spacing w:after="200" w:line="360" w:lineRule="auto"/>
        <w:rPr>
          <w:rFonts w:ascii="Traditional Arabic" w:hAnsi="Traditional Arabic" w:cs="Traditional Arabic"/>
          <w:b/>
          <w:bCs/>
          <w:color w:val="FF0000"/>
          <w:sz w:val="32"/>
          <w:szCs w:val="32"/>
          <w:u w:val="single"/>
          <w:rtl/>
        </w:rPr>
      </w:pPr>
      <w:commentRangeStart w:id="11"/>
      <w:r w:rsidRPr="00316673">
        <w:rPr>
          <w:rFonts w:ascii="Traditional Arabic" w:hAnsi="Traditional Arabic" w:cs="Traditional Arabic"/>
          <w:b/>
          <w:bCs/>
          <w:color w:val="FF0000"/>
          <w:sz w:val="32"/>
          <w:szCs w:val="32"/>
          <w:u w:val="single"/>
          <w:rtl/>
        </w:rPr>
        <w:lastRenderedPageBreak/>
        <w:t xml:space="preserve">الدراسات </w:t>
      </w:r>
      <w:r w:rsidR="00C2263C" w:rsidRPr="00316673">
        <w:rPr>
          <w:rFonts w:ascii="Traditional Arabic" w:hAnsi="Traditional Arabic" w:cs="Traditional Arabic"/>
          <w:b/>
          <w:bCs/>
          <w:color w:val="FF0000"/>
          <w:sz w:val="32"/>
          <w:szCs w:val="32"/>
          <w:u w:val="single"/>
          <w:rtl/>
        </w:rPr>
        <w:t>السابقة</w:t>
      </w:r>
      <w:r w:rsidRPr="00316673">
        <w:rPr>
          <w:rFonts w:ascii="Traditional Arabic" w:hAnsi="Traditional Arabic" w:cs="Traditional Arabic"/>
          <w:b/>
          <w:bCs/>
          <w:color w:val="FF0000"/>
          <w:sz w:val="32"/>
          <w:szCs w:val="32"/>
          <w:u w:val="single"/>
          <w:rtl/>
        </w:rPr>
        <w:t>:</w:t>
      </w:r>
      <w:commentRangeEnd w:id="11"/>
      <w:r w:rsidR="00316673">
        <w:rPr>
          <w:rStyle w:val="ac"/>
          <w:rtl/>
        </w:rPr>
        <w:commentReference w:id="11"/>
      </w:r>
    </w:p>
    <w:p w14:paraId="38D206CB" w14:textId="7F77EEC3" w:rsidR="00947153" w:rsidRPr="00362D29" w:rsidRDefault="00947153" w:rsidP="00362D29">
      <w:pPr>
        <w:tabs>
          <w:tab w:val="left" w:pos="1074"/>
        </w:tabs>
        <w:bidi/>
        <w:spacing w:line="360" w:lineRule="auto"/>
        <w:rPr>
          <w:rFonts w:ascii="Traditional Arabic" w:hAnsi="Traditional Arabic" w:cs="Traditional Arabic"/>
          <w:b/>
          <w:bCs/>
          <w:color w:val="000000" w:themeColor="text1"/>
          <w:sz w:val="28"/>
          <w:szCs w:val="28"/>
          <w:u w:val="single"/>
          <w:rtl/>
        </w:rPr>
      </w:pPr>
      <w:proofErr w:type="gramStart"/>
      <w:r w:rsidRPr="00362D29">
        <w:rPr>
          <w:rFonts w:ascii="Traditional Arabic" w:hAnsi="Traditional Arabic" w:cs="Traditional Arabic"/>
          <w:b/>
          <w:bCs/>
          <w:color w:val="000000" w:themeColor="text1"/>
          <w:sz w:val="28"/>
          <w:szCs w:val="28"/>
          <w:u w:val="single"/>
          <w:rtl/>
        </w:rPr>
        <w:t>أولا :</w:t>
      </w:r>
      <w:proofErr w:type="gramEnd"/>
      <w:r w:rsidRPr="00362D29">
        <w:rPr>
          <w:rFonts w:ascii="Traditional Arabic" w:hAnsi="Traditional Arabic" w:cs="Traditional Arabic"/>
          <w:b/>
          <w:bCs/>
          <w:color w:val="000000" w:themeColor="text1"/>
          <w:sz w:val="28"/>
          <w:szCs w:val="28"/>
          <w:u w:val="single"/>
          <w:rtl/>
        </w:rPr>
        <w:t xml:space="preserve"> الدراسات المتعلقة بمحور التميز المؤسسي</w:t>
      </w:r>
      <w:r w:rsidR="00575AE2">
        <w:rPr>
          <w:rFonts w:ascii="Traditional Arabic" w:hAnsi="Traditional Arabic" w:cs="Traditional Arabic" w:hint="cs"/>
          <w:b/>
          <w:bCs/>
          <w:color w:val="000000" w:themeColor="text1"/>
          <w:sz w:val="28"/>
          <w:szCs w:val="28"/>
          <w:u w:val="single"/>
          <w:rtl/>
        </w:rPr>
        <w:t xml:space="preserve"> (</w:t>
      </w:r>
      <w:r w:rsidR="00303769">
        <w:rPr>
          <w:rFonts w:ascii="Traditional Arabic" w:hAnsi="Traditional Arabic" w:cs="Traditional Arabic" w:hint="cs"/>
          <w:b/>
          <w:bCs/>
          <w:color w:val="000000" w:themeColor="text1"/>
          <w:sz w:val="28"/>
          <w:szCs w:val="28"/>
          <w:u w:val="single"/>
          <w:rtl/>
        </w:rPr>
        <w:t>المتغير المستقل)</w:t>
      </w:r>
    </w:p>
    <w:p w14:paraId="77A5B527" w14:textId="77777777" w:rsidR="00A746DA"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commentRangeStart w:id="12"/>
      <w:r w:rsidRPr="0001134A">
        <w:rPr>
          <w:rFonts w:ascii="Traditional Arabic" w:hAnsi="Traditional Arabic" w:cs="Traditional Arabic"/>
          <w:b/>
          <w:bCs/>
          <w:color w:val="FF0000"/>
          <w:sz w:val="24"/>
          <w:szCs w:val="24"/>
          <w:rtl/>
        </w:rPr>
        <w:t xml:space="preserve">دراسة </w:t>
      </w:r>
      <w:r w:rsidR="008060A7" w:rsidRPr="0001134A">
        <w:rPr>
          <w:rFonts w:ascii="Traditional Arabic" w:hAnsi="Traditional Arabic" w:cs="Traditional Arabic"/>
          <w:b/>
          <w:bCs/>
          <w:color w:val="FF0000"/>
          <w:sz w:val="24"/>
          <w:szCs w:val="24"/>
          <w:rtl/>
        </w:rPr>
        <w:t>(</w:t>
      </w:r>
      <w:r w:rsidRPr="0001134A">
        <w:rPr>
          <w:rFonts w:ascii="Traditional Arabic" w:hAnsi="Traditional Arabic" w:cs="Traditional Arabic"/>
          <w:b/>
          <w:bCs/>
          <w:color w:val="FF0000"/>
          <w:sz w:val="24"/>
          <w:szCs w:val="24"/>
          <w:rtl/>
        </w:rPr>
        <w:t>الرويلي</w:t>
      </w:r>
      <w:r w:rsidR="002A37E6" w:rsidRPr="0001134A">
        <w:rPr>
          <w:rFonts w:ascii="Traditional Arabic" w:hAnsi="Traditional Arabic" w:cs="Traditional Arabic"/>
          <w:b/>
          <w:bCs/>
          <w:color w:val="FF0000"/>
          <w:sz w:val="24"/>
          <w:szCs w:val="24"/>
          <w:rtl/>
        </w:rPr>
        <w:t xml:space="preserve">، </w:t>
      </w:r>
      <w:r w:rsidRPr="0001134A">
        <w:rPr>
          <w:rFonts w:ascii="Traditional Arabic" w:hAnsi="Traditional Arabic" w:cs="Traditional Arabic"/>
          <w:b/>
          <w:bCs/>
          <w:color w:val="FF0000"/>
          <w:sz w:val="24"/>
          <w:szCs w:val="24"/>
          <w:rtl/>
        </w:rPr>
        <w:t xml:space="preserve">2025) </w:t>
      </w:r>
      <w:commentRangeEnd w:id="12"/>
      <w:r w:rsidR="0001134A" w:rsidRPr="0001134A">
        <w:rPr>
          <w:rStyle w:val="ac"/>
          <w:color w:val="FF0000"/>
          <w:rtl/>
        </w:rPr>
        <w:commentReference w:id="12"/>
      </w:r>
      <w:r w:rsidRPr="00362D29">
        <w:rPr>
          <w:rFonts w:ascii="Traditional Arabic" w:hAnsi="Traditional Arabic" w:cs="Traditional Arabic"/>
          <w:b/>
          <w:bCs/>
          <w:color w:val="000000" w:themeColor="text1"/>
          <w:sz w:val="24"/>
          <w:szCs w:val="24"/>
          <w:rtl/>
        </w:rPr>
        <w:t>بعنوان "تحليل عوامل التميز المؤسسي في إدارة المستشفيات وتأثيرها في تحسين جودة الرعاية الصحية بمستشفى القريات العام"</w:t>
      </w:r>
    </w:p>
    <w:p w14:paraId="6C5B6366" w14:textId="7E15BC2F" w:rsidR="00947153" w:rsidRPr="00362D29" w:rsidRDefault="00281C20"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عوامل التميز المؤسسي في إدارة المستشفيات وتحديد أبعادها المؤثرة، كما هدفت أيضا الى قياس أثر هذه العوامل في تحسين جودة الرعاية الصحية بالتطبيق على مستشفى القريات العام. اعتمدت الدراسة المنهج الوصفي التحليلي المقارن، من خلال مراجعة وتحليل النماذج العالمية المعتمدة في الجودة، والمقارنة بينها من حيث المنهجيات والآليات وأدوات قياس الأداء. تمثّل مجتمع الدراسة في مستشفى القريات العام بوصفه مجال التطبيق، دون تحديد حجم عينة ميدانية عددية، لكون الدراسة ذات طبيعة تحليلية مرجعية قائمة على مراجعة النماذج والمعايير المعتمدة. توصلت الدراسة إلى نتيجتين رئيسيتين الاولى أن عنصر الموارد البشرية المؤهلة بالكفاءة يمثل عاملاً حاسماً في تجويد عناصر النظام الصحي كافة، والنتيجة الثانية وجود اتفاق بين النماذج العالمية للتميز على أن التطوير والتحسين المستمر يعدان شرطاً أساسياً لتحقيق الأداء المؤسسي المتميز.</w:t>
      </w:r>
    </w:p>
    <w:p w14:paraId="3A80CBDD" w14:textId="77777777" w:rsidR="00CB3D9A" w:rsidRPr="00362D29" w:rsidRDefault="002F5085"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(سالمان وآخرون، 2025) بعنوان </w:t>
      </w:r>
      <w:r w:rsidR="009C4F50" w:rsidRPr="00362D29">
        <w:rPr>
          <w:rFonts w:ascii="Traditional Arabic" w:hAnsi="Traditional Arabic" w:cs="Traditional Arabic"/>
          <w:b/>
          <w:bCs/>
          <w:color w:val="000000" w:themeColor="text1"/>
          <w:sz w:val="24"/>
          <w:szCs w:val="24"/>
          <w:rtl/>
        </w:rPr>
        <w:t>"دور تمكين العاملين في تعزيز التميز المؤسسي: دراسة ميدانية على مستشفيات تجمع صحي الرياض الثالث".</w:t>
      </w:r>
      <w:r w:rsidR="009C4F50" w:rsidRPr="00362D29">
        <w:rPr>
          <w:rFonts w:ascii="Traditional Arabic" w:hAnsi="Traditional Arabic" w:cs="Traditional Arabic"/>
          <w:color w:val="000000" w:themeColor="text1"/>
          <w:sz w:val="24"/>
          <w:szCs w:val="24"/>
          <w:rtl/>
        </w:rPr>
        <w:t xml:space="preserve"> </w:t>
      </w:r>
    </w:p>
    <w:p w14:paraId="5A5C43A2" w14:textId="541EBE8B" w:rsidR="002F5085" w:rsidRDefault="009C4F50"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التعرف على مستوى تمكين العاملين بأبعاده (تفويض الصلاحيات، المشاركة في اتخاذ القرار، التحفيز، التدريب، وتدفق المعلومات) في مستشفيات تجمع صحي الرياض الثالث، كما سعت إلى قياس أثر تمكين العاملين في تعزيز التميز المؤسسي بأبعاده المختلفة (التميز في القيادة – التميز في الخدمة – التميز في المعرفة) داخل القطاع الصحي الحكومي السعودي. اعتمدت الدراسة على المنهج الوصفي التحليلي، واستخدمت الاستبانة كأداة رئيسة لجمع البيانات وتحليلها. وتمثل مجتمع الدراسة في جميع العاملين بمستشفيات تجمع صحي الرياض الثالث، والبالغ عددهم (3500) موظفًا، بينما بلغت العينة (346) موظفًا من العاملين بالمستشفيات محل الدراسة. أظهرت النتائج وجود علاقة ارتباط ذات دلالة إحصائية بين تمكين العاملين والتميز المؤسسي عند مستوى معنوية (0.05</w:t>
      </w:r>
      <w:proofErr w:type="gramStart"/>
      <w:r w:rsidRPr="00362D29">
        <w:rPr>
          <w:rFonts w:ascii="Traditional Arabic" w:hAnsi="Traditional Arabic" w:cs="Traditional Arabic"/>
          <w:color w:val="000000" w:themeColor="text1"/>
          <w:sz w:val="24"/>
          <w:szCs w:val="24"/>
          <w:rtl/>
        </w:rPr>
        <w:t>)،كما</w:t>
      </w:r>
      <w:proofErr w:type="gramEnd"/>
      <w:r w:rsidRPr="00362D29">
        <w:rPr>
          <w:rFonts w:ascii="Traditional Arabic" w:hAnsi="Traditional Arabic" w:cs="Traditional Arabic"/>
          <w:color w:val="000000" w:themeColor="text1"/>
          <w:sz w:val="24"/>
          <w:szCs w:val="24"/>
          <w:rtl/>
        </w:rPr>
        <w:t xml:space="preserve"> توصلت الى وجود علاقة ذات دلالة إحصائية وذات معنوية يمكن قياسها بين تمكين العاملين والتميز المؤسسي بأبعاده (التميز في القيادة، والتميز في الخدمة، والتميز في المعرفة)</w:t>
      </w:r>
    </w:p>
    <w:p w14:paraId="6DFA9EEA" w14:textId="77777777" w:rsidR="00303769" w:rsidRDefault="00303769" w:rsidP="00303769">
      <w:pPr>
        <w:bidi/>
        <w:spacing w:line="360" w:lineRule="auto"/>
        <w:jc w:val="both"/>
        <w:rPr>
          <w:rFonts w:ascii="Traditional Arabic" w:hAnsi="Traditional Arabic" w:cs="Traditional Arabic"/>
          <w:color w:val="000000" w:themeColor="text1"/>
          <w:sz w:val="24"/>
          <w:szCs w:val="24"/>
          <w:rtl/>
        </w:rPr>
      </w:pPr>
    </w:p>
    <w:p w14:paraId="3265979A" w14:textId="77777777" w:rsidR="00303769" w:rsidRPr="00303769" w:rsidRDefault="00303769" w:rsidP="00303769">
      <w:pPr>
        <w:bidi/>
        <w:spacing w:line="360" w:lineRule="auto"/>
        <w:jc w:val="both"/>
        <w:rPr>
          <w:rFonts w:ascii="Traditional Arabic" w:hAnsi="Traditional Arabic" w:cs="Traditional Arabic"/>
          <w:color w:val="000000" w:themeColor="text1"/>
          <w:sz w:val="24"/>
          <w:szCs w:val="24"/>
        </w:rPr>
      </w:pPr>
    </w:p>
    <w:p w14:paraId="6DB4B5B9" w14:textId="77777777" w:rsidR="00FB4CEF" w:rsidRPr="00362D29" w:rsidRDefault="00460893"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 xml:space="preserve">دراسة (محمود، </w:t>
      </w:r>
      <w:proofErr w:type="gramStart"/>
      <w:r w:rsidRPr="00362D29">
        <w:rPr>
          <w:rFonts w:ascii="Traditional Arabic" w:hAnsi="Traditional Arabic" w:cs="Traditional Arabic"/>
          <w:b/>
          <w:bCs/>
          <w:color w:val="000000" w:themeColor="text1"/>
          <w:sz w:val="24"/>
          <w:szCs w:val="24"/>
          <w:rtl/>
        </w:rPr>
        <w:t>2025)العنوان</w:t>
      </w:r>
      <w:proofErr w:type="gramEnd"/>
      <w:r w:rsidRPr="00362D29">
        <w:rPr>
          <w:rFonts w:ascii="Traditional Arabic" w:hAnsi="Traditional Arabic" w:cs="Traditional Arabic"/>
          <w:b/>
          <w:bCs/>
          <w:color w:val="000000" w:themeColor="text1"/>
          <w:sz w:val="24"/>
          <w:szCs w:val="24"/>
          <w:rtl/>
        </w:rPr>
        <w:t>" نحو مستشفيات صحية ذكية في عصر التحول الرقمي والذكاء الاصطناعي: مدخل استراتيجي باستخدام نماذج التغيير والتميز المؤسسي</w:t>
      </w:r>
      <w:r w:rsidRPr="00362D29">
        <w:rPr>
          <w:rFonts w:ascii="Traditional Arabic" w:hAnsi="Traditional Arabic" w:cs="Traditional Arabic"/>
          <w:b/>
          <w:bCs/>
          <w:color w:val="000000" w:themeColor="text1"/>
          <w:sz w:val="24"/>
          <w:szCs w:val="24"/>
        </w:rPr>
        <w:t>"</w:t>
      </w:r>
    </w:p>
    <w:p w14:paraId="0E6ED8F8" w14:textId="1D66E855" w:rsidR="00460893" w:rsidRPr="00362D29" w:rsidRDefault="00460893"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تقديم نموذج استراتيجي لبناء مستشفيات صحية ذكية في ظل التحول الرقمي والذكاء الاصطناعي، وتحليل أثر تطبيقات التحول الرقمي في تحسين جودة وكفاءة الخدمات الصحية في القطاع الصحي الحكومي بالمملكة العربية السعودية تماشيًا مع رؤية 2030. كما سعت إلى تحديد مدى فاعلية توظيف نماذج التغيير والتميز المؤسسي كمدخل داعم للتحول نحو المستشفيات </w:t>
      </w:r>
      <w:r w:rsidR="00A3370A" w:rsidRPr="00362D29">
        <w:rPr>
          <w:rFonts w:ascii="Traditional Arabic" w:hAnsi="Traditional Arabic" w:cs="Traditional Arabic"/>
          <w:color w:val="000000" w:themeColor="text1"/>
          <w:sz w:val="24"/>
          <w:szCs w:val="24"/>
          <w:rtl/>
        </w:rPr>
        <w:t>الذكية. اعتمدت</w:t>
      </w:r>
      <w:r w:rsidRPr="00362D29">
        <w:rPr>
          <w:rFonts w:ascii="Traditional Arabic" w:hAnsi="Traditional Arabic" w:cs="Traditional Arabic"/>
          <w:color w:val="000000" w:themeColor="text1"/>
          <w:sz w:val="24"/>
          <w:szCs w:val="24"/>
          <w:rtl/>
        </w:rPr>
        <w:t xml:space="preserve"> الدراسة على المنهج الوصفي التحليلي ذي الطابع المفاهيمي التحليلي، من خلال تحليل الأدبيات والنماذج العالمية ذات الصلة بالتحول الرقمي والتميز المؤسسي. وتمثل مجتمع الدراسة في المستشفيات والمراكز الصحية الحكومية بالمملكة العربية السعودية خلال الفترة (2020–2025)، ولم تعتمد الدراسة على عينة ميدانية محددة، وإنما ارتكزت على التحليل الاستراتيجي للتطبيقات الرقمية المستخدمة مثل السجلات الصحية الإلكترونية، الطب الاتصالي، الاستشارات عن بُعد، وأنظمة المواعيد الذكية وتحليلات البيانات </w:t>
      </w:r>
      <w:r w:rsidR="00A3370A" w:rsidRPr="00362D29">
        <w:rPr>
          <w:rFonts w:ascii="Traditional Arabic" w:hAnsi="Traditional Arabic" w:cs="Traditional Arabic"/>
          <w:color w:val="000000" w:themeColor="text1"/>
          <w:sz w:val="24"/>
          <w:szCs w:val="24"/>
          <w:rtl/>
        </w:rPr>
        <w:t>الضخمة. توصلت</w:t>
      </w:r>
      <w:r w:rsidRPr="00362D29">
        <w:rPr>
          <w:rFonts w:ascii="Traditional Arabic" w:hAnsi="Traditional Arabic" w:cs="Traditional Arabic"/>
          <w:color w:val="000000" w:themeColor="text1"/>
          <w:sz w:val="24"/>
          <w:szCs w:val="24"/>
          <w:rtl/>
        </w:rPr>
        <w:t xml:space="preserve"> الدراسة إلى أن تطبيق التحول الرقمي الشامل يسهم في رفع كفاءة الأداء الإداري والطبي وتحسين جودة الخدمات الصحية وتجربة المرضى، وأن الأقسام التي اعتمدت الحلول الرقمية بشكل كامل حققت نتائج أفضل مقارنة بالتطبيق الجزئي. كما أظهرت النتائج أن نجاح بناء المستشفيات الذكية يتطلب استثمارًا في البنية التحتية الرقمية، وتطوير قدرات العاملين، ومعالجة تحديات مقاومة التغيير والتكلفة وأمن المعلومات.</w:t>
      </w:r>
    </w:p>
    <w:p w14:paraId="6E340F5D" w14:textId="38ECAE2E" w:rsidR="00FA7BE4" w:rsidRPr="00362D29" w:rsidRDefault="00FA7BE4"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Alsaleem, 2025</w:t>
      </w:r>
      <w:r w:rsidRPr="00362D29">
        <w:rPr>
          <w:rFonts w:ascii="Traditional Arabic" w:hAnsi="Traditional Arabic" w:cs="Traditional Arabic"/>
          <w:b/>
          <w:bCs/>
          <w:color w:val="000000" w:themeColor="text1"/>
          <w:sz w:val="24"/>
          <w:szCs w:val="24"/>
          <w:rtl/>
        </w:rPr>
        <w:t>) بعنوان:</w:t>
      </w:r>
      <w:r w:rsidR="00481FAE"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Pr>
        <w:t>The relationship between accreditation standards and organizational excellence and their role in the excellence of administrative leadership</w:t>
      </w:r>
      <w:r w:rsidR="00481FAE" w:rsidRPr="00362D29">
        <w:rPr>
          <w:rFonts w:ascii="Traditional Arabic" w:hAnsi="Traditional Arabic" w:cs="Traditional Arabic"/>
          <w:b/>
          <w:bCs/>
          <w:color w:val="000000" w:themeColor="text1"/>
          <w:sz w:val="24"/>
          <w:szCs w:val="24"/>
        </w:rPr>
        <w:t>"</w:t>
      </w:r>
    </w:p>
    <w:p w14:paraId="614C795C" w14:textId="5EF788E8" w:rsidR="00E5704C" w:rsidRPr="00362D29" w:rsidRDefault="00FA7BE4"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w:t>
      </w:r>
      <w:r w:rsidR="00627F5F" w:rsidRPr="00362D29">
        <w:rPr>
          <w:rFonts w:ascii="Traditional Arabic" w:hAnsi="Traditional Arabic" w:cs="Traditional Arabic"/>
          <w:color w:val="000000" w:themeColor="text1"/>
          <w:sz w:val="24"/>
          <w:szCs w:val="24"/>
          <w:rtl/>
        </w:rPr>
        <w:t xml:space="preserve">الدراسة </w:t>
      </w:r>
      <w:r w:rsidRPr="00362D29">
        <w:rPr>
          <w:rFonts w:ascii="Traditional Arabic" w:hAnsi="Traditional Arabic" w:cs="Traditional Arabic"/>
          <w:color w:val="000000" w:themeColor="text1"/>
          <w:sz w:val="24"/>
          <w:szCs w:val="24"/>
          <w:rtl/>
        </w:rPr>
        <w:t>إلى تحليل العلاقة بين معايير الاعتماد الوطني (</w:t>
      </w:r>
      <w:r w:rsidRPr="00362D29">
        <w:rPr>
          <w:rFonts w:ascii="Traditional Arabic" w:hAnsi="Traditional Arabic" w:cs="Traditional Arabic"/>
          <w:color w:val="000000" w:themeColor="text1"/>
          <w:sz w:val="24"/>
          <w:szCs w:val="24"/>
        </w:rPr>
        <w:t>CBAHI</w:t>
      </w:r>
      <w:r w:rsidRPr="00362D29">
        <w:rPr>
          <w:rFonts w:ascii="Traditional Arabic" w:hAnsi="Traditional Arabic" w:cs="Traditional Arabic"/>
          <w:color w:val="000000" w:themeColor="text1"/>
          <w:sz w:val="24"/>
          <w:szCs w:val="24"/>
          <w:rtl/>
        </w:rPr>
        <w:t>) ونموذج جائزة الملك عبد العزيز للجودة (</w:t>
      </w:r>
      <w:r w:rsidRPr="00362D29">
        <w:rPr>
          <w:rFonts w:ascii="Traditional Arabic" w:hAnsi="Traditional Arabic" w:cs="Traditional Arabic"/>
          <w:color w:val="000000" w:themeColor="text1"/>
          <w:sz w:val="24"/>
          <w:szCs w:val="24"/>
        </w:rPr>
        <w:t>KAQA</w:t>
      </w:r>
      <w:r w:rsidRPr="00362D29">
        <w:rPr>
          <w:rFonts w:ascii="Traditional Arabic" w:hAnsi="Traditional Arabic" w:cs="Traditional Arabic"/>
          <w:color w:val="000000" w:themeColor="text1"/>
          <w:sz w:val="24"/>
          <w:szCs w:val="24"/>
          <w:rtl/>
        </w:rPr>
        <w:t xml:space="preserve">)، وقياس مدى إسهام هذا التكامل في تعزيز التميز المؤسسي وتميز القيادات الإدارية في المستشفيات الحكومية السعودية، كما سعت إلى تحديد درجة التوافق بين متطلبات معايير القيادة في برنامج الاعتماد الوطني وأبعاد نموذج التميز المؤسسي. اعتمدت الدراسة على </w:t>
      </w:r>
      <w:commentRangeStart w:id="13"/>
      <w:r w:rsidRPr="004C1231">
        <w:rPr>
          <w:rFonts w:ascii="Traditional Arabic" w:hAnsi="Traditional Arabic" w:cs="Traditional Arabic"/>
          <w:color w:val="FF0000"/>
          <w:sz w:val="24"/>
          <w:szCs w:val="24"/>
          <w:rtl/>
        </w:rPr>
        <w:t xml:space="preserve">المنهج الوصفي التحليلي، </w:t>
      </w:r>
      <w:commentRangeEnd w:id="13"/>
      <w:r w:rsidR="004C1231">
        <w:rPr>
          <w:rStyle w:val="ac"/>
          <w:rtl/>
        </w:rPr>
        <w:commentReference w:id="13"/>
      </w:r>
      <w:r w:rsidRPr="00362D29">
        <w:rPr>
          <w:rFonts w:ascii="Traditional Arabic" w:hAnsi="Traditional Arabic" w:cs="Traditional Arabic"/>
          <w:color w:val="000000" w:themeColor="text1"/>
          <w:sz w:val="24"/>
          <w:szCs w:val="24"/>
          <w:rtl/>
        </w:rPr>
        <w:t xml:space="preserve">واستخدمت الاستبانة وتحليل معايير برنامج الاعتماد الوطني كأدوات لجمع البيانات. تمثل مجتمع الدراسة في القيادات والعاملين بالمستشفيات الحكومية السعودية، بينما شملت العينة مجموعة من القيادات الإدارية والعاملين في القطاع الصحي الحكومي (وفق ما ورد في الدراسة).أظهرت النتائج وجود علاقة إيجابية بين معايير الاعتماد والتميز المؤسسي، حيث أوضحت نسب التوافق بين معايير نموذج جائزة الملك عبدالعزيز للجودة ومعيار القيادة في برنامج </w:t>
      </w:r>
      <w:r w:rsidRPr="00362D29">
        <w:rPr>
          <w:rFonts w:ascii="Traditional Arabic" w:hAnsi="Traditional Arabic" w:cs="Traditional Arabic"/>
          <w:color w:val="000000" w:themeColor="text1"/>
          <w:sz w:val="24"/>
          <w:szCs w:val="24"/>
        </w:rPr>
        <w:t>CBAHI</w:t>
      </w:r>
      <w:r w:rsidRPr="00362D29">
        <w:rPr>
          <w:rFonts w:ascii="Traditional Arabic" w:hAnsi="Traditional Arabic" w:cs="Traditional Arabic"/>
          <w:color w:val="000000" w:themeColor="text1"/>
          <w:sz w:val="24"/>
          <w:szCs w:val="24"/>
          <w:rtl/>
        </w:rPr>
        <w:t xml:space="preserve">، إذ بلغت نسبة التوافق 32% لبعد القيادة، و23% لإدارة العمليات والمنتجات والخدمات، و20% للموارد البشرية، و12% للخطة الاستراتيجية، و11% للشراكات والموارد، و15% لنتائج العملاء والموارد البشرية ونتائج الأداء الرئيسية، مما يدل على وجود </w:t>
      </w:r>
      <w:r w:rsidRPr="00362D29">
        <w:rPr>
          <w:rFonts w:ascii="Traditional Arabic" w:hAnsi="Traditional Arabic" w:cs="Traditional Arabic"/>
          <w:color w:val="000000" w:themeColor="text1"/>
          <w:sz w:val="24"/>
          <w:szCs w:val="24"/>
          <w:rtl/>
        </w:rPr>
        <w:lastRenderedPageBreak/>
        <w:t>دعم وتكامل بين برامج الاعتماد والتميز المؤسسي. كما أكدت النتائج أن تطبيق برنامج الاعتماد الوطني يسهم في تمكين القيادات الإدارية من تطبيق نموذج التميز المؤسسي بما يعزز التميز في أداء الخدمات الصحية بالمستشفيات الحكومية السعودية</w:t>
      </w:r>
    </w:p>
    <w:p w14:paraId="641BDDAB" w14:textId="77777777" w:rsidR="00974935" w:rsidRPr="00362D29" w:rsidRDefault="00974935"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(البلوي وإسماعيل، 2025) بعنوان "دور التزام الإدارة العليا في تحقيق التميز المؤسسي المستدام: دراسة ميدانية على المستشفيات الحكومية بمنطقة تبوك "</w:t>
      </w:r>
    </w:p>
    <w:p w14:paraId="79033DF7" w14:textId="7CA168CE" w:rsidR="00974935" w:rsidRPr="00362D29" w:rsidRDefault="00974935"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دور التزام الإدارة العليا في تحقيق التميز المؤسسي المستدام في المستشفيات الحكومية بمنطقة تبوك، كما </w:t>
      </w:r>
      <w:r w:rsidR="009F44E1" w:rsidRPr="00362D29">
        <w:rPr>
          <w:rFonts w:ascii="Traditional Arabic" w:hAnsi="Traditional Arabic" w:cs="Traditional Arabic"/>
          <w:color w:val="000000" w:themeColor="text1"/>
          <w:sz w:val="24"/>
          <w:szCs w:val="24"/>
          <w:rtl/>
        </w:rPr>
        <w:t>تهدف ايضا</w:t>
      </w:r>
      <w:r w:rsidRPr="00362D29">
        <w:rPr>
          <w:rFonts w:ascii="Traditional Arabic" w:hAnsi="Traditional Arabic" w:cs="Traditional Arabic"/>
          <w:color w:val="000000" w:themeColor="text1"/>
          <w:sz w:val="24"/>
          <w:szCs w:val="24"/>
          <w:rtl/>
        </w:rPr>
        <w:t xml:space="preserve"> إلى قياس أثر هذا الالتزام على الأبعاد الأربعة للتميز المؤسسي المتمثلة في تميز الاستراتيجية، تميز الخدمات، تميز العاملين، وتميز القيادة. اعتمدت الدراسة المنهج الوصفي التحليلي، واستخدمت الاستبانة كأداة رئيسة لجمع البيانات، وتم تحليلها باستخدام برنامج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عبر تطبيق التحليل الوصفي، واختبارات الفروق، ومعامل ألفا كرونباخ لقياس الثبات، واختبارات الارتباط لقياس الاتساق الداخلي. تكوّن مجتمع الدراسة من جميع العاملين في المستشفيات الحكومية بمدينة تبوك والبالغ عددهم (4247) موظفًا. ووفقًا للمعادلة الإحصائية لتحديد حجم العينة، بلغ الحد الأدنى المطلوب (359) مفردة، بينما بلغ عدد الاستجابات الكلي (417) استجابة، استُبعد منها (19) استجابة غير مكتملة، ليصبح حجم العينة النهائية الصالحة للتحليل (398) مفردة. أظهرت النتائج أن التزام الإدارة العليا يؤثر تأثيرًا إيجابيًا دالًا إحصائيًا على تحقيق التميز المؤسسي المستدام، حيث فسّر الالتزام نسبة (64.8%) من التغير في الأداء المؤسسي. كما بيّنت النتائج أن بعد تميز الاستراتيجية جاء في المرتبة الأولى بمتوسط حسابي (4.26) ووزن نسبي (85.2%)، يليه تميز الخدمات وتميز العاملين بمتوسط (4.15)، ثم تميز القيادة بمتوسط (4.10)، مما يعكس ارتفاع مستوى التميز المؤسسي في المستشفيات محل الدراسة.</w:t>
      </w:r>
    </w:p>
    <w:p w14:paraId="5E131077" w14:textId="1DC2F23F" w:rsidR="00481FAE" w:rsidRPr="00362D29" w:rsidRDefault="00481FAE"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(الرويلي وظفرة، 2025) بعنوان</w:t>
      </w:r>
      <w:r w:rsidR="00704A9A"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العلاقة بين القيادة التحويلية وتحقيق التميز المؤسسي في المؤسسات غير الهادفة للربح في المملكة العربية السعودية</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44D13BF6" w14:textId="74CD9669" w:rsidR="00481FAE" w:rsidRDefault="00481FAE"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طبيعة العلاقة بين أبعاد القيادة التحويلية ومستوى تحقيق التميز المؤسسي، كما سعت إلى قياس حجم التأثير المباشر للقيادة التحويلية بأبعادها المختلفة على أبعاد التميز المؤسسي داخل المؤسسات غير الهادفة للربح. اعتمدت الدراسة المنهج الوصفي التحليلي، واستخدمت الاستبانة أداةً لجمع البيانات، مع توظيف برنامجي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AMOS</w:t>
      </w:r>
      <w:r w:rsidRPr="00362D29">
        <w:rPr>
          <w:rFonts w:ascii="Traditional Arabic" w:hAnsi="Traditional Arabic" w:cs="Traditional Arabic"/>
          <w:color w:val="000000" w:themeColor="text1"/>
          <w:sz w:val="24"/>
          <w:szCs w:val="24"/>
          <w:rtl/>
        </w:rPr>
        <w:t xml:space="preserve"> لتحليل البيانات واختبار الفرضيات. تكوّن مجتمع الدراسة من العاملين في المؤسسات غير الهادفة للربح بالمملكة العربية السعودية، والبالغ عددهم التقديري (72,151) فردًا وفق البيانات الرسمية. وتم توزيع (810) استبانة باستخدام العينة العشوائية الملائمة، واستُرد منها (430) استبانة صالحة للتحليل الإحصائي. أظهرت النتائج أن مستوى ممارسة القيادة التحويلية والتميز المؤسسي جاء مرتفعًا، كما بينت وجود علاقة تأثير مباشرة وقوية بين القيادة التحويلية والتميز المؤسسي بمعامل تأثير بلغ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 xml:space="preserve"> = 0.814</w:t>
      </w:r>
      <w:r w:rsidRPr="00362D29">
        <w:rPr>
          <w:rFonts w:ascii="Traditional Arabic" w:hAnsi="Traditional Arabic" w:cs="Traditional Arabic"/>
          <w:color w:val="000000" w:themeColor="text1"/>
          <w:sz w:val="24"/>
          <w:szCs w:val="24"/>
          <w:rtl/>
        </w:rPr>
        <w:t>)، مما يؤكد الدور الحاسم للقيادة التحويلية في تعزيز أبعاد التميز المؤسسي.</w:t>
      </w:r>
    </w:p>
    <w:p w14:paraId="042F4087" w14:textId="77777777" w:rsidR="00303769" w:rsidRPr="00362D29" w:rsidRDefault="00303769" w:rsidP="00303769">
      <w:pPr>
        <w:pStyle w:val="ab"/>
        <w:bidi/>
        <w:spacing w:line="360" w:lineRule="auto"/>
        <w:jc w:val="both"/>
        <w:rPr>
          <w:rFonts w:ascii="Traditional Arabic" w:hAnsi="Traditional Arabic" w:cs="Traditional Arabic"/>
          <w:color w:val="000000" w:themeColor="text1"/>
          <w:sz w:val="24"/>
          <w:szCs w:val="24"/>
        </w:rPr>
      </w:pPr>
    </w:p>
    <w:p w14:paraId="395F78E4" w14:textId="6F26F6A6" w:rsidR="00D149BB" w:rsidRPr="00362D29" w:rsidRDefault="00D149BB"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 (أحمد، 2025) بعنوان "الضبط الإداري وتحقيق التميز المؤسسي بمؤسسات الرعاية الصحية"</w:t>
      </w:r>
      <w:r w:rsidRPr="00362D29">
        <w:rPr>
          <w:rFonts w:ascii="Traditional Arabic" w:hAnsi="Traditional Arabic" w:cs="Traditional Arabic"/>
          <w:color w:val="000000" w:themeColor="text1"/>
          <w:sz w:val="24"/>
          <w:szCs w:val="24"/>
          <w:rtl/>
        </w:rPr>
        <w:t xml:space="preserve"> </w:t>
      </w:r>
    </w:p>
    <w:p w14:paraId="6C219A68" w14:textId="1EF508CE" w:rsidR="00D149BB" w:rsidRPr="00362D29" w:rsidRDefault="00D149BB"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طبيعة العلاقة بين الضبط الإداري وتحقيق التميز المؤسسي في مؤسسات الرعاية الصحية، كما سعت إلى تحليل أثر أبعاد الضبط الإداري المتمثلة في التوجه الاستراتيجي، ونشر ثقافة الجودة، والتقييم الذاتي، ومشروعات التحسين على أبعاد التميز المؤسسي داخل مديرية الشؤون الصحية بمحافظة أسيوط. اعتمدت الدراسة المنهج الوصفي التحليلي، واستخدمت منهج المسح الاجتماعي الشامل، مع توظيف الاستبانة كأداة رئيسة لجمع البيانات، وتحليلها باستخدام المتوسطات الحسابية، والانحرافات المعيارية، ومعامل ألفا كرونباخ، ومعاملات الارتباط. تكوّن مجتمع الدراسة من جميع موظفي مديرية الشؤون الصحية بمحافظة أسيوط والبالغ عددهم (78) موظفًا، وتم تطبيق المسح الشامل على المجتمع بالكامل. أظهرت النتائج وجود علاقة ارتباط موجبة قوية ودالة إحصائيًا بين الضبط الإداري وجميع أبعاد التميز المؤسسي، حيث تراوحت معاملات الارتباط بين (0.659 – 0.688). كما بيّنت النتائج أن أقوى علاقة كانت بين الضبط الإداري ومشروعات التحسين، تليها العلاقة مع التوجه الاستراتيجي ثم التقييم الذاتي، مما يؤكد أن تعزيز الانضباط الإداري يسهم مباشرة في دعم ممارسات التميز المؤسسي داخل مؤسسات الرعاية الصحية.</w:t>
      </w:r>
    </w:p>
    <w:p w14:paraId="3BE78A7C" w14:textId="5AD42CC8" w:rsidR="000B64C1"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E9779D"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السيابي</w:t>
      </w:r>
      <w:r w:rsidR="00E9779D"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2024) بعنوان </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 xml:space="preserve">التميز المؤسسي الأوروبي </w:t>
      </w:r>
      <w:r w:rsidRPr="00362D29">
        <w:rPr>
          <w:rFonts w:ascii="Traditional Arabic" w:hAnsi="Traditional Arabic" w:cs="Traditional Arabic"/>
          <w:b/>
          <w:bCs/>
          <w:color w:val="000000" w:themeColor="text1"/>
          <w:sz w:val="24"/>
          <w:szCs w:val="24"/>
        </w:rPr>
        <w:t>EFQM</w:t>
      </w:r>
      <w:r w:rsidRPr="00362D29">
        <w:rPr>
          <w:rFonts w:ascii="Traditional Arabic" w:hAnsi="Traditional Arabic" w:cs="Traditional Arabic"/>
          <w:b/>
          <w:bCs/>
          <w:color w:val="000000" w:themeColor="text1"/>
          <w:sz w:val="24"/>
          <w:szCs w:val="24"/>
          <w:rtl/>
        </w:rPr>
        <w:t xml:space="preserve"> وعلاقته ببطاقة الأداء المتوازن في تطوير الأداء المؤسسي</w:t>
      </w:r>
      <w:r w:rsidR="009C7A72" w:rsidRPr="00362D29">
        <w:rPr>
          <w:rFonts w:ascii="Traditional Arabic" w:hAnsi="Traditional Arabic" w:cs="Traditional Arabic"/>
          <w:b/>
          <w:bCs/>
          <w:color w:val="000000" w:themeColor="text1"/>
          <w:sz w:val="24"/>
          <w:szCs w:val="24"/>
          <w:rtl/>
        </w:rPr>
        <w:t>"</w:t>
      </w:r>
    </w:p>
    <w:p w14:paraId="60D5E1E2" w14:textId="600DBF90" w:rsidR="000B64C1" w:rsidRPr="00362D29" w:rsidRDefault="000B64C1"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w:t>
      </w:r>
      <w:r w:rsidR="00627F5F" w:rsidRPr="00362D29">
        <w:rPr>
          <w:rFonts w:ascii="Traditional Arabic" w:hAnsi="Traditional Arabic" w:cs="Traditional Arabic"/>
          <w:color w:val="000000" w:themeColor="text1"/>
          <w:sz w:val="24"/>
          <w:szCs w:val="24"/>
          <w:rtl/>
        </w:rPr>
        <w:t xml:space="preserve">الدراسة </w:t>
      </w:r>
      <w:r w:rsidRPr="00362D29">
        <w:rPr>
          <w:rFonts w:ascii="Traditional Arabic" w:hAnsi="Traditional Arabic" w:cs="Traditional Arabic"/>
          <w:color w:val="000000" w:themeColor="text1"/>
          <w:sz w:val="24"/>
          <w:szCs w:val="24"/>
          <w:rtl/>
        </w:rPr>
        <w:t>إلى تحليل العلاقة بين نموذج التميز الأوروبي وبطاقة الأداء المتوازن، وبيان مدى إسهام التكامل بينهما في تحسين الأداء المؤسسي وتحقيق الأهداف الاستراتيجية، إضافة إلى توضيح دور القيادة والتعلم المستمر في تعزيز فعالية هذا التكامل. اعتمدت الدراسة المنهج الوصفي التحليلي المقارن باعتبارها دراسة مراجعات مقارنة بين إطارين استراتيجيين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BSC</w:t>
      </w:r>
      <w:r w:rsidRPr="00362D29">
        <w:rPr>
          <w:rFonts w:ascii="Traditional Arabic" w:hAnsi="Traditional Arabic" w:cs="Traditional Arabic"/>
          <w:color w:val="000000" w:themeColor="text1"/>
          <w:sz w:val="24"/>
          <w:szCs w:val="24"/>
          <w:rtl/>
        </w:rPr>
        <w:t xml:space="preserve">)، وركزت على تحليل الأدبيات والنماذج التطبيقية ذات الصلة دون تطبيق ميداني مباشر على مجتمع محدد أو عينة كمية. وأظهرت النتائج وجود تفاعل إيجابي وتكامل واضح بين النموذجين في دعم تحقيق الأهداف الاستراتيجية، حيث يوفر نموذج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إطارًا شاملًا للتميز المؤسسي بينما تُمكّن بطاقة الأداء المتوازن من ترجمة الاستراتيجية إلى مؤشرات أداء قابلة للقياس. كما بينت الدراسة أن القيادة والتعلم والتحسين المستمر يمثلان عناصر محورية لنجاح التكامل بين النموذجين، وأوصت بتبني إطار تكاملي يجمع بينهما لتحقيق رؤية مؤسسية متوازنة ومستدامة للأداء.</w:t>
      </w:r>
    </w:p>
    <w:p w14:paraId="53D3F18C" w14:textId="35783D56" w:rsidR="00D974FD"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D974FD"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Al-Samawi and Al-Sayaghi</w:t>
      </w:r>
      <w:r w:rsidR="00D974FD"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2024) </w:t>
      </w:r>
      <w:r w:rsidRPr="00362D29">
        <w:rPr>
          <w:rFonts w:ascii="Traditional Arabic" w:hAnsi="Traditional Arabic" w:cs="Traditional Arabic"/>
          <w:b/>
          <w:bCs/>
          <w:color w:val="000000" w:themeColor="text1"/>
          <w:sz w:val="24"/>
          <w:szCs w:val="24"/>
          <w:rtl/>
        </w:rPr>
        <w:t>بعنوان</w:t>
      </w:r>
      <w:r w:rsidR="00F55242"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The impact of organizational excellence on the quality of health services in Yemeni private hospitals</w:t>
      </w:r>
      <w:r w:rsidR="00F55242"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37559677" w14:textId="53AC1CD9" w:rsidR="00627F5F" w:rsidRPr="00362D29" w:rsidRDefault="00627F5F"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قياس أثر التميز المؤسسي بأبعاده (القيادة، الثقافة التنظيمية، الهيكل التنظيمي، التركيز على العميل) على جودة الخدمات الصحية بأبعادها (الاستجابة، الاعتمادية، الجوانب الملموسة، الأمان، التعاطف) في المستشفيات الخاصة اليمنية، </w:t>
      </w:r>
      <w:r w:rsidRPr="00362D29">
        <w:rPr>
          <w:rFonts w:ascii="Traditional Arabic" w:hAnsi="Traditional Arabic" w:cs="Traditional Arabic"/>
          <w:color w:val="000000" w:themeColor="text1"/>
          <w:sz w:val="24"/>
          <w:szCs w:val="24"/>
          <w:rtl/>
        </w:rPr>
        <w:lastRenderedPageBreak/>
        <w:t>كما سعت إلى تحديد مستوى كلٍ من التميز المؤسسي وجودة الخدمات الصحية في تلك المستشفيات</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 اعتمدت الدراسة المنهج الكمي الوصفي التحليلي، واستخدمت الاستبانة أداةً لجمع البيانات، مع توظيف نمذجة المعادلات الهيكلية</w:t>
      </w:r>
      <w:r w:rsidRPr="00362D29">
        <w:rPr>
          <w:rFonts w:ascii="Traditional Arabic" w:hAnsi="Traditional Arabic" w:cs="Traditional Arabic"/>
          <w:color w:val="000000" w:themeColor="text1"/>
          <w:sz w:val="24"/>
          <w:szCs w:val="24"/>
        </w:rPr>
        <w:t xml:space="preserve"> (SEM) </w:t>
      </w:r>
      <w:r w:rsidRPr="00362D29">
        <w:rPr>
          <w:rFonts w:ascii="Traditional Arabic" w:hAnsi="Traditional Arabic" w:cs="Traditional Arabic"/>
          <w:color w:val="000000" w:themeColor="text1"/>
          <w:sz w:val="24"/>
          <w:szCs w:val="24"/>
          <w:rtl/>
        </w:rPr>
        <w:t>باستخدام برنامج</w:t>
      </w:r>
      <w:r w:rsidRPr="00362D29">
        <w:rPr>
          <w:rFonts w:ascii="Traditional Arabic" w:hAnsi="Traditional Arabic" w:cs="Traditional Arabic"/>
          <w:color w:val="000000" w:themeColor="text1"/>
          <w:sz w:val="24"/>
          <w:szCs w:val="24"/>
        </w:rPr>
        <w:t xml:space="preserve"> Amos v26 </w:t>
      </w:r>
      <w:r w:rsidRPr="00362D29">
        <w:rPr>
          <w:rFonts w:ascii="Traditional Arabic" w:hAnsi="Traditional Arabic" w:cs="Traditional Arabic"/>
          <w:color w:val="000000" w:themeColor="text1"/>
          <w:sz w:val="24"/>
          <w:szCs w:val="24"/>
          <w:rtl/>
        </w:rPr>
        <w:t xml:space="preserve">لاختبار الفرضيات وتحليل علاقات </w:t>
      </w:r>
      <w:proofErr w:type="gramStart"/>
      <w:r w:rsidRPr="00362D29">
        <w:rPr>
          <w:rFonts w:ascii="Traditional Arabic" w:hAnsi="Traditional Arabic" w:cs="Traditional Arabic"/>
          <w:color w:val="000000" w:themeColor="text1"/>
          <w:sz w:val="24"/>
          <w:szCs w:val="24"/>
          <w:rtl/>
        </w:rPr>
        <w:t>التأثير</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تكوّن</w:t>
      </w:r>
      <w:proofErr w:type="gramEnd"/>
      <w:r w:rsidRPr="00362D29">
        <w:rPr>
          <w:rFonts w:ascii="Traditional Arabic" w:hAnsi="Traditional Arabic" w:cs="Traditional Arabic"/>
          <w:color w:val="000000" w:themeColor="text1"/>
          <w:sz w:val="24"/>
          <w:szCs w:val="24"/>
          <w:rtl/>
        </w:rPr>
        <w:t xml:space="preserve"> مجتمع الدراسة من (3539) موظفًا يعملون في (7) مستشفيات خاصة في صنعاء، تم اختيار عينة عشوائية طبقية بحجم (330) مفردة. أظهرت النتائج وجود أثر إيجابي دال إحصائيًا للتميز المؤسسي على جودة الخدمات الصحية، كما بيّنت النتائج أن مستوى التميز المؤسسي جاء </w:t>
      </w:r>
      <w:proofErr w:type="gramStart"/>
      <w:r w:rsidRPr="00362D29">
        <w:rPr>
          <w:rFonts w:ascii="Traditional Arabic" w:hAnsi="Traditional Arabic" w:cs="Traditional Arabic"/>
          <w:color w:val="000000" w:themeColor="text1"/>
          <w:sz w:val="24"/>
          <w:szCs w:val="24"/>
          <w:rtl/>
        </w:rPr>
        <w:t>مرتفعًا ،</w:t>
      </w:r>
      <w:proofErr w:type="gramEnd"/>
      <w:r w:rsidRPr="00362D29">
        <w:rPr>
          <w:rFonts w:ascii="Traditional Arabic" w:hAnsi="Traditional Arabic" w:cs="Traditional Arabic"/>
          <w:color w:val="000000" w:themeColor="text1"/>
          <w:sz w:val="24"/>
          <w:szCs w:val="24"/>
          <w:rtl/>
        </w:rPr>
        <w:t xml:space="preserve"> أظهرت النتائج وجود علاقة طردية ذات دلالة إحصائية بين مستوى تطبيق ممارسات التميز المؤسسي (مثل القيادة، إدارة العمليات، والابتكار) وبين تحسّن جودة الخدمات المقدمة، خاصة في أبعاد مثل رضا المرضى، وسرعة الاستجابة، وكفاءة تقديم الخدمة.</w:t>
      </w:r>
    </w:p>
    <w:p w14:paraId="524653DE" w14:textId="6E26C0FF" w:rsidR="00260AE4" w:rsidRPr="00362D29" w:rsidRDefault="00260AE4"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دراسة (الغامدي، 2024) بعنوان "العلاقة بين الإدارة الاستراتيجية الإبداعية والتميز المؤسسي في المستشفيات بالمملكة العربية السعودية</w:t>
      </w:r>
      <w:r w:rsidRPr="00362D29">
        <w:rPr>
          <w:rFonts w:ascii="Traditional Arabic" w:hAnsi="Traditional Arabic" w:cs="Traditional Arabic"/>
          <w:b/>
          <w:bCs/>
          <w:color w:val="000000" w:themeColor="text1"/>
          <w:sz w:val="24"/>
          <w:szCs w:val="24"/>
        </w:rPr>
        <w:t>".</w:t>
      </w:r>
    </w:p>
    <w:p w14:paraId="06C241EB" w14:textId="6F0C3B85" w:rsidR="008249B1" w:rsidRPr="00362D29" w:rsidRDefault="00260AE4"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قياس طبيعة العلاقة بين أبعاد الإدارة الاستراتيجية الإبداعية (التحليل الاستراتيجي، صياغة الاستراتيجية، تنفيذ الاستراتيجية، تقييم الاستراتيجية) وأبعاد التميز المؤسسي في المستشفيات العامة والخاصة بمحافظة جدة، كما سعت إلى تحديد مدى إسهام الممارسات الاستراتيجية الإبداعية في تعزيز مستويات التميز القيادي والعملياتي والاستراتيجي والموارد البشرية داخل المؤسسات الصحية. اعتمدت الدراسة على المنهج الوصفي التحليلي، واستخدمت الاستبانة كأداة رئيسة لجمع البيانات وتحليلها </w:t>
      </w:r>
      <w:proofErr w:type="gramStart"/>
      <w:r w:rsidRPr="00362D29">
        <w:rPr>
          <w:rFonts w:ascii="Traditional Arabic" w:hAnsi="Traditional Arabic" w:cs="Traditional Arabic"/>
          <w:color w:val="000000" w:themeColor="text1"/>
          <w:sz w:val="24"/>
          <w:szCs w:val="24"/>
          <w:rtl/>
        </w:rPr>
        <w:t>إحصائياً ،</w:t>
      </w:r>
      <w:proofErr w:type="gramEnd"/>
      <w:r w:rsidRPr="00362D29">
        <w:rPr>
          <w:rFonts w:ascii="Traditional Arabic" w:hAnsi="Traditional Arabic" w:cs="Traditional Arabic"/>
          <w:color w:val="000000" w:themeColor="text1"/>
          <w:sz w:val="24"/>
          <w:szCs w:val="24"/>
          <w:rtl/>
        </w:rPr>
        <w:t xml:space="preserve"> وتمثل مجتمع الدراسة في جميع العاملين (الإداريين والصحيين) في المستشفيات العامة والخاصة بمحافظة جدة، والبالغ عددهم (75,225) موظفاً، في حين بلغت العينة (356) مفردة تم اختيارهم بطريقة ملائمة لطبيعة الدراسة. توصلت الدراسة إلى وجود علاقة ارتباط طردية ذات دلالة إحصائية عند مستوى معنوية (0.05) بين أبعاد الإدارة الاستراتيجية الإبداعية والتميز المؤسسي بأبعاده المختلفة، كما أظهرت النتائج قوة العلاقة بين بعض الأبعاد، حيث تراوحت معاملات ارتباط بيرسون بين (0.73 – 0.87)، مما يدل على أن تعزيز الممارسات الاستراتيجية الإبداعية يسهم بصورة مباشرة في دعم التميز المؤسسي في المستشفيات السعودية.</w:t>
      </w:r>
    </w:p>
    <w:p w14:paraId="263BEF5C" w14:textId="77777777" w:rsidR="0012486F" w:rsidRPr="00362D29" w:rsidRDefault="00E35658"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(سليمان وشاهين، 2024) بعنوان </w:t>
      </w:r>
      <w:r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نماذج التميز المؤسسي بالتطبيق على النموذج الأوروبي</w:t>
      </w:r>
    </w:p>
    <w:p w14:paraId="025C27E8" w14:textId="16F73F16" w:rsidR="00001C83" w:rsidRPr="00362D29" w:rsidRDefault="00E35658" w:rsidP="00C42472">
      <w:pPr>
        <w:pStyle w:val="ab"/>
        <w:numPr>
          <w:ilvl w:val="0"/>
          <w:numId w:val="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color w:val="000000" w:themeColor="text1"/>
          <w:sz w:val="24"/>
          <w:szCs w:val="24"/>
          <w:rtl/>
        </w:rPr>
        <w:t>هدفت إلى تحليل الإطار المفاهيمي لنماذج التميز المؤسسي مع التركيز على النموذج الأوروبي</w:t>
      </w:r>
      <w:r w:rsidRPr="00362D29">
        <w:rPr>
          <w:rFonts w:ascii="Traditional Arabic" w:hAnsi="Traditional Arabic" w:cs="Traditional Arabic"/>
          <w:color w:val="000000" w:themeColor="text1"/>
          <w:sz w:val="24"/>
          <w:szCs w:val="24"/>
        </w:rPr>
        <w:t xml:space="preserve"> (EFQM)</w:t>
      </w:r>
      <w:r w:rsidRPr="00362D29">
        <w:rPr>
          <w:rFonts w:ascii="Traditional Arabic" w:hAnsi="Traditional Arabic" w:cs="Traditional Arabic"/>
          <w:color w:val="000000" w:themeColor="text1"/>
          <w:sz w:val="24"/>
          <w:szCs w:val="24"/>
          <w:rtl/>
        </w:rPr>
        <w:t>، و</w:t>
      </w:r>
      <w:r w:rsidR="00A40565" w:rsidRPr="00362D29">
        <w:rPr>
          <w:rFonts w:ascii="Traditional Arabic" w:hAnsi="Traditional Arabic" w:cs="Traditional Arabic"/>
          <w:color w:val="000000" w:themeColor="text1"/>
          <w:sz w:val="24"/>
          <w:szCs w:val="24"/>
          <w:rtl/>
        </w:rPr>
        <w:t xml:space="preserve">هدفت أيضا الى </w:t>
      </w:r>
      <w:r w:rsidRPr="00362D29">
        <w:rPr>
          <w:rFonts w:ascii="Traditional Arabic" w:hAnsi="Traditional Arabic" w:cs="Traditional Arabic"/>
          <w:color w:val="000000" w:themeColor="text1"/>
          <w:sz w:val="24"/>
          <w:szCs w:val="24"/>
          <w:rtl/>
        </w:rPr>
        <w:t>بيان مدى ملاءمته للتطبيق في المؤسسات، إضافة إلى استكشاف آليات الاستفادة منه في تحسين الأداء المؤسسي وتحقيق الاستدامة. اعتمدت الدراسة المنهج الوصفي التحليلي من خلال تحليل الأدبيات والنماذج التطبيقية ذات الصلة. وتوصلت النتائج إلى أن نموذج</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 xml:space="preserve">يُعد من النماذج الشاملة لقياس الأداء المؤسسي، </w:t>
      </w:r>
      <w:r w:rsidR="00021455" w:rsidRPr="00362D29">
        <w:rPr>
          <w:rFonts w:ascii="Traditional Arabic" w:hAnsi="Traditional Arabic" w:cs="Traditional Arabic"/>
          <w:color w:val="000000" w:themeColor="text1"/>
          <w:sz w:val="24"/>
          <w:szCs w:val="24"/>
          <w:rtl/>
        </w:rPr>
        <w:t xml:space="preserve">كما بينت النتائج ان </w:t>
      </w:r>
      <w:r w:rsidRPr="00362D29">
        <w:rPr>
          <w:rFonts w:ascii="Traditional Arabic" w:hAnsi="Traditional Arabic" w:cs="Traditional Arabic"/>
          <w:color w:val="000000" w:themeColor="text1"/>
          <w:sz w:val="24"/>
          <w:szCs w:val="24"/>
          <w:rtl/>
        </w:rPr>
        <w:t>تطبيقه يسهم في تحسين العمليات وتعزيز ثقافة التحسين المستمر، مع ضرورة مواءمته للبيئة التنظيمية لضمان فاعليته</w:t>
      </w:r>
      <w:r w:rsidRPr="00362D29">
        <w:rPr>
          <w:rFonts w:ascii="Traditional Arabic" w:hAnsi="Traditional Arabic" w:cs="Traditional Arabic"/>
          <w:color w:val="000000" w:themeColor="text1"/>
          <w:sz w:val="24"/>
          <w:szCs w:val="24"/>
        </w:rPr>
        <w:t>.</w:t>
      </w:r>
    </w:p>
    <w:p w14:paraId="7C16EFB7" w14:textId="77777777" w:rsidR="0012486F" w:rsidRPr="00362D29" w:rsidRDefault="00001C83"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proofErr w:type="gramStart"/>
      <w:r w:rsidRPr="00362D29">
        <w:rPr>
          <w:rFonts w:ascii="Traditional Arabic" w:hAnsi="Traditional Arabic" w:cs="Traditional Arabic"/>
          <w:b/>
          <w:bCs/>
          <w:sz w:val="24"/>
          <w:szCs w:val="24"/>
          <w:rtl/>
        </w:rPr>
        <w:lastRenderedPageBreak/>
        <w:t xml:space="preserve">دراسة </w:t>
      </w:r>
      <w:r w:rsidRPr="00362D29">
        <w:rPr>
          <w:rFonts w:ascii="Traditional Arabic" w:hAnsi="Traditional Arabic" w:cs="Traditional Arabic"/>
          <w:b/>
          <w:bCs/>
          <w:sz w:val="24"/>
          <w:szCs w:val="24"/>
        </w:rPr>
        <w:t xml:space="preserve"> (</w:t>
      </w:r>
      <w:proofErr w:type="gramEnd"/>
      <w:r w:rsidRPr="00362D29">
        <w:rPr>
          <w:rFonts w:ascii="Traditional Arabic" w:hAnsi="Traditional Arabic" w:cs="Traditional Arabic"/>
          <w:b/>
          <w:bCs/>
          <w:sz w:val="24"/>
          <w:szCs w:val="24"/>
        </w:rPr>
        <w:t>Detwal et al., 2023)</w:t>
      </w:r>
      <w:r w:rsidRPr="00362D29">
        <w:rPr>
          <w:rFonts w:ascii="Traditional Arabic" w:hAnsi="Traditional Arabic" w:cs="Traditional Arabic"/>
          <w:b/>
          <w:bCs/>
          <w:sz w:val="24"/>
          <w:szCs w:val="24"/>
          <w:rtl/>
        </w:rPr>
        <w:t>بعنوان</w:t>
      </w:r>
      <w:r w:rsidRPr="00362D29">
        <w:rPr>
          <w:rFonts w:ascii="Traditional Arabic" w:hAnsi="Traditional Arabic" w:cs="Traditional Arabic"/>
          <w:b/>
          <w:bCs/>
          <w:sz w:val="24"/>
          <w:szCs w:val="24"/>
        </w:rPr>
        <w:t>:</w:t>
      </w:r>
      <w:r w:rsidRPr="00362D29">
        <w:rPr>
          <w:rFonts w:ascii="Traditional Arabic" w:hAnsi="Traditional Arabic" w:cs="Traditional Arabic"/>
          <w:sz w:val="24"/>
          <w:szCs w:val="24"/>
        </w:rPr>
        <w:t xml:space="preserve"> Revolutionizing Healthcare Organizations with" Operational Excellence and Healthcare 4.0: A Systematic Review of the State-of-the-Art Literature"</w:t>
      </w:r>
    </w:p>
    <w:p w14:paraId="134A652A" w14:textId="20D73B9E" w:rsidR="00001C83" w:rsidRPr="00362D29" w:rsidRDefault="00001C83" w:rsidP="00C42472">
      <w:pPr>
        <w:pStyle w:val="ab"/>
        <w:numPr>
          <w:ilvl w:val="0"/>
          <w:numId w:val="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sz w:val="24"/>
          <w:szCs w:val="24"/>
          <w:rtl/>
        </w:rPr>
        <w:t>هدفت الدراسة إلى تحليل الحالة الراهنة للبحوث المتعلقة بالتكامل بين التميز التشغيلي</w:t>
      </w:r>
      <w:r w:rsidRPr="00362D29">
        <w:rPr>
          <w:rFonts w:ascii="Traditional Arabic" w:hAnsi="Traditional Arabic" w:cs="Traditional Arabic"/>
          <w:sz w:val="24"/>
          <w:szCs w:val="24"/>
        </w:rPr>
        <w:t xml:space="preserve"> (Operational Excellence) </w:t>
      </w:r>
      <w:r w:rsidRPr="00362D29">
        <w:rPr>
          <w:rFonts w:ascii="Traditional Arabic" w:hAnsi="Traditional Arabic" w:cs="Traditional Arabic"/>
          <w:sz w:val="24"/>
          <w:szCs w:val="24"/>
          <w:rtl/>
        </w:rPr>
        <w:t>وتقنيات الرعاية الصحية 4.0</w:t>
      </w:r>
      <w:r w:rsidRPr="00362D29">
        <w:rPr>
          <w:rFonts w:ascii="Traditional Arabic" w:hAnsi="Traditional Arabic" w:cs="Traditional Arabic"/>
          <w:sz w:val="24"/>
          <w:szCs w:val="24"/>
        </w:rPr>
        <w:t xml:space="preserve"> (Healthcare 4.0) </w:t>
      </w:r>
      <w:r w:rsidRPr="00362D29">
        <w:rPr>
          <w:rFonts w:ascii="Traditional Arabic" w:hAnsi="Traditional Arabic" w:cs="Traditional Arabic"/>
          <w:sz w:val="24"/>
          <w:szCs w:val="24"/>
          <w:rtl/>
        </w:rPr>
        <w:t xml:space="preserve">داخل المنظمات الصحية، كما استهدفت ايضا تحديد الاتجاهات البحثية والفجوات المعرفية واقتراح إطار نظري يفسّر أثر هذا التكامل على أداء المنظمات الصحية. اعتمدت الدراسة </w:t>
      </w:r>
      <w:r w:rsidRPr="00362D29">
        <w:rPr>
          <w:rFonts w:ascii="Traditional Arabic" w:hAnsi="Traditional Arabic" w:cs="Traditional Arabic"/>
          <w:b/>
          <w:bCs/>
          <w:sz w:val="24"/>
          <w:szCs w:val="24"/>
          <w:rtl/>
        </w:rPr>
        <w:t>منهج المراجعة المنهجية للأدبيات</w:t>
      </w:r>
      <w:r w:rsidRPr="00362D29">
        <w:rPr>
          <w:rFonts w:ascii="Traditional Arabic" w:hAnsi="Traditional Arabic" w:cs="Traditional Arabic"/>
          <w:b/>
          <w:bCs/>
          <w:sz w:val="24"/>
          <w:szCs w:val="24"/>
        </w:rPr>
        <w:t xml:space="preserve"> (Systematic Literature </w:t>
      </w:r>
      <w:proofErr w:type="gramStart"/>
      <w:r w:rsidRPr="00362D29">
        <w:rPr>
          <w:rFonts w:ascii="Traditional Arabic" w:hAnsi="Traditional Arabic" w:cs="Traditional Arabic"/>
          <w:b/>
          <w:bCs/>
          <w:sz w:val="24"/>
          <w:szCs w:val="24"/>
        </w:rPr>
        <w:t>Review)</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 xml:space="preserve"> مدعومة</w:t>
      </w:r>
      <w:proofErr w:type="gramEnd"/>
      <w:r w:rsidRPr="00362D29">
        <w:rPr>
          <w:rFonts w:ascii="Traditional Arabic" w:hAnsi="Traditional Arabic" w:cs="Traditional Arabic"/>
          <w:sz w:val="24"/>
          <w:szCs w:val="24"/>
          <w:rtl/>
        </w:rPr>
        <w:t xml:space="preserve"> بتحليل ببليومتري وصفي وتحليل محتوى عنقودي</w:t>
      </w:r>
      <w:r w:rsidRPr="00362D29">
        <w:rPr>
          <w:rFonts w:ascii="Traditional Arabic" w:hAnsi="Traditional Arabic" w:cs="Traditional Arabic"/>
          <w:sz w:val="24"/>
          <w:szCs w:val="24"/>
        </w:rPr>
        <w:t xml:space="preserve"> (Cluster-based Content Analysis). </w:t>
      </w:r>
      <w:r w:rsidRPr="00362D29">
        <w:rPr>
          <w:rFonts w:ascii="Traditional Arabic" w:hAnsi="Traditional Arabic" w:cs="Traditional Arabic"/>
          <w:sz w:val="24"/>
          <w:szCs w:val="24"/>
          <w:rtl/>
        </w:rPr>
        <w:t xml:space="preserve"> تمثل </w:t>
      </w:r>
      <w:r w:rsidRPr="00362D29">
        <w:rPr>
          <w:rFonts w:ascii="Traditional Arabic" w:hAnsi="Traditional Arabic" w:cs="Traditional Arabic"/>
          <w:b/>
          <w:bCs/>
          <w:sz w:val="24"/>
          <w:szCs w:val="24"/>
          <w:rtl/>
        </w:rPr>
        <w:t>مجتمع الدراسة</w:t>
      </w:r>
      <w:r w:rsidRPr="00362D29">
        <w:rPr>
          <w:rFonts w:ascii="Traditional Arabic" w:hAnsi="Traditional Arabic" w:cs="Traditional Arabic"/>
          <w:sz w:val="24"/>
          <w:szCs w:val="24"/>
          <w:rtl/>
        </w:rPr>
        <w:t xml:space="preserve"> في جميع الدراسات المنشورة في قاعدة بيانات</w:t>
      </w:r>
      <w:r w:rsidRPr="00362D29">
        <w:rPr>
          <w:rFonts w:ascii="Traditional Arabic" w:hAnsi="Traditional Arabic" w:cs="Traditional Arabic"/>
          <w:sz w:val="24"/>
          <w:szCs w:val="24"/>
        </w:rPr>
        <w:t xml:space="preserve"> Scopus </w:t>
      </w:r>
      <w:r w:rsidRPr="00362D29">
        <w:rPr>
          <w:rFonts w:ascii="Traditional Arabic" w:hAnsi="Traditional Arabic" w:cs="Traditional Arabic"/>
          <w:sz w:val="24"/>
          <w:szCs w:val="24"/>
          <w:rtl/>
        </w:rPr>
        <w:t xml:space="preserve">خلال الفترة (2011–2022)، حيث أسفر البحث الأولي عن (621) وثيقة. وبعد تطبيق معايير الاستبعاد المتعلقة بنوع الوثيقة والفترة الزمنية ومراجعة الملخصات، تم الوصول إلى </w:t>
      </w:r>
      <w:r w:rsidRPr="00362D29">
        <w:rPr>
          <w:rFonts w:ascii="Traditional Arabic" w:hAnsi="Traditional Arabic" w:cs="Traditional Arabic"/>
          <w:b/>
          <w:bCs/>
          <w:sz w:val="24"/>
          <w:szCs w:val="24"/>
          <w:rtl/>
        </w:rPr>
        <w:t>عينة نهائية بلغت (102) دراسة</w:t>
      </w:r>
      <w:r w:rsidRPr="00362D29">
        <w:rPr>
          <w:rFonts w:ascii="Traditional Arabic" w:hAnsi="Traditional Arabic" w:cs="Traditional Arabic"/>
          <w:sz w:val="24"/>
          <w:szCs w:val="24"/>
          <w:rtl/>
        </w:rPr>
        <w:t xml:space="preserve"> خضعت للتحليل المنهجي. وأظهرت النتائج نقطتين أساسيتين</w:t>
      </w:r>
      <w:r w:rsidRPr="00362D29">
        <w:rPr>
          <w:rFonts w:ascii="Traditional Arabic" w:hAnsi="Traditional Arabic" w:cs="Traditional Arabic"/>
          <w:sz w:val="24"/>
          <w:szCs w:val="24"/>
        </w:rPr>
        <w:t xml:space="preserve">: </w:t>
      </w:r>
      <w:r w:rsidRPr="00362D29">
        <w:rPr>
          <w:rFonts w:ascii="Traditional Arabic" w:hAnsi="Traditional Arabic" w:cs="Traditional Arabic"/>
          <w:b/>
          <w:bCs/>
          <w:sz w:val="24"/>
          <w:szCs w:val="24"/>
          <w:rtl/>
        </w:rPr>
        <w:t>أولًا</w:t>
      </w:r>
      <w:r w:rsidRPr="00362D29">
        <w:rPr>
          <w:rFonts w:ascii="Traditional Arabic" w:hAnsi="Traditional Arabic" w:cs="Traditional Arabic"/>
          <w:sz w:val="24"/>
          <w:szCs w:val="24"/>
          <w:rtl/>
        </w:rPr>
        <w:t xml:space="preserve"> وجود نمو ملحوظ في الاهتمام البحثي بدمج أدوات التميز التشغيلي</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مثل</w:t>
      </w:r>
      <w:r w:rsidRPr="00362D29">
        <w:rPr>
          <w:rFonts w:ascii="Traditional Arabic" w:hAnsi="Traditional Arabic" w:cs="Traditional Arabic"/>
          <w:sz w:val="24"/>
          <w:szCs w:val="24"/>
        </w:rPr>
        <w:t xml:space="preserve"> Lean Six Sigma) </w:t>
      </w:r>
      <w:r w:rsidRPr="00362D29">
        <w:rPr>
          <w:rFonts w:ascii="Traditional Arabic" w:hAnsi="Traditional Arabic" w:cs="Traditional Arabic"/>
          <w:sz w:val="24"/>
          <w:szCs w:val="24"/>
          <w:rtl/>
        </w:rPr>
        <w:t>مع تقنيات</w:t>
      </w:r>
      <w:r w:rsidRPr="00362D29">
        <w:rPr>
          <w:rFonts w:ascii="Traditional Arabic" w:hAnsi="Traditional Arabic" w:cs="Traditional Arabic"/>
          <w:sz w:val="24"/>
          <w:szCs w:val="24"/>
        </w:rPr>
        <w:t xml:space="preserve"> Healthcare 4.0 </w:t>
      </w:r>
      <w:r w:rsidRPr="00362D29">
        <w:rPr>
          <w:rFonts w:ascii="Traditional Arabic" w:hAnsi="Traditional Arabic" w:cs="Traditional Arabic"/>
          <w:sz w:val="24"/>
          <w:szCs w:val="24"/>
          <w:rtl/>
        </w:rPr>
        <w:t>(كالذكاء الاصطناعي وتحليلات البيانات الضخمة) لتحسين كفاءة الأداء وتقليل الأخطاء وتحسين نتائج المرضى</w:t>
      </w:r>
      <w:r w:rsidRPr="00362D29">
        <w:rPr>
          <w:rFonts w:ascii="Traditional Arabic" w:hAnsi="Traditional Arabic" w:cs="Traditional Arabic"/>
          <w:sz w:val="24"/>
          <w:szCs w:val="24"/>
        </w:rPr>
        <w:t xml:space="preserve">. </w:t>
      </w:r>
      <w:r w:rsidRPr="00362D29">
        <w:rPr>
          <w:rFonts w:ascii="Traditional Arabic" w:hAnsi="Traditional Arabic" w:cs="Traditional Arabic"/>
          <w:b/>
          <w:bCs/>
          <w:sz w:val="24"/>
          <w:szCs w:val="24"/>
          <w:rtl/>
        </w:rPr>
        <w:t>ثانيًا</w:t>
      </w:r>
      <w:r w:rsidRPr="00362D29">
        <w:rPr>
          <w:rFonts w:ascii="Traditional Arabic" w:hAnsi="Traditional Arabic" w:cs="Traditional Arabic"/>
          <w:sz w:val="24"/>
          <w:szCs w:val="24"/>
          <w:rtl/>
        </w:rPr>
        <w:t xml:space="preserve"> توصلت الدراسة إلى تطوير إطار مفاهيمي قائم على أربعة محاور رئيسية</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تحديات القطاع الصحي، أدوات التميز التشغيلي، تقنيات</w:t>
      </w:r>
      <w:r w:rsidRPr="00362D29">
        <w:rPr>
          <w:rFonts w:ascii="Traditional Arabic" w:hAnsi="Traditional Arabic" w:cs="Traditional Arabic"/>
          <w:sz w:val="24"/>
          <w:szCs w:val="24"/>
        </w:rPr>
        <w:t xml:space="preserve"> Healthcare 4.0</w:t>
      </w:r>
      <w:r w:rsidRPr="00362D29">
        <w:rPr>
          <w:rFonts w:ascii="Traditional Arabic" w:hAnsi="Traditional Arabic" w:cs="Traditional Arabic"/>
          <w:sz w:val="24"/>
          <w:szCs w:val="24"/>
          <w:rtl/>
        </w:rPr>
        <w:t>، ومخرجات التنفيذ</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مع تحديد فجوات بحثية مستقبلية، خاصة فيما يتعلق بتطبيق النماذج التنبؤية المعتمدة على الذكاء الاصطناعي وتحسين تجربة المريض من خلال التصميم المرتكز على الإنسان</w:t>
      </w:r>
      <w:r w:rsidRPr="00362D29">
        <w:rPr>
          <w:rFonts w:ascii="Traditional Arabic" w:hAnsi="Traditional Arabic" w:cs="Traditional Arabic"/>
          <w:sz w:val="24"/>
          <w:szCs w:val="24"/>
        </w:rPr>
        <w:t>.</w:t>
      </w:r>
    </w:p>
    <w:p w14:paraId="65284731" w14:textId="0BE2B51A" w:rsidR="0008541F" w:rsidRPr="00362D29" w:rsidRDefault="0008541F"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Salih &amp; Dolah, 2023</w:t>
      </w:r>
      <w:r w:rsidRPr="00362D29">
        <w:rPr>
          <w:rFonts w:ascii="Traditional Arabic" w:hAnsi="Traditional Arabic" w:cs="Traditional Arabic"/>
          <w:b/>
          <w:bCs/>
          <w:color w:val="000000" w:themeColor="text1"/>
          <w:sz w:val="24"/>
          <w:szCs w:val="24"/>
          <w:rtl/>
        </w:rPr>
        <w:t>) بعنوان</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Pr>
        <w:t>Implementing business excellence models in Saudi nonprofit organizations and the impact of human resources availability</w:t>
      </w:r>
      <w:r w:rsidRPr="00362D29">
        <w:rPr>
          <w:rFonts w:ascii="Traditional Arabic" w:hAnsi="Traditional Arabic" w:cs="Traditional Arabic"/>
          <w:b/>
          <w:bCs/>
          <w:color w:val="000000" w:themeColor="text1"/>
          <w:sz w:val="24"/>
          <w:szCs w:val="24"/>
          <w:rtl/>
        </w:rPr>
        <w:t>"</w:t>
      </w:r>
    </w:p>
    <w:p w14:paraId="6520FF06" w14:textId="392CA7C9" w:rsidR="0008541F" w:rsidRPr="00362D29" w:rsidRDefault="0008541F" w:rsidP="00C42472">
      <w:pPr>
        <w:pStyle w:val="ab"/>
        <w:numPr>
          <w:ilvl w:val="0"/>
          <w:numId w:val="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وترتيب عوامل النجاح الحرجة والمعوقات الرئيسة لتطبيق نماذج التميز المؤسسي (</w:t>
      </w:r>
      <w:r w:rsidRPr="00362D29">
        <w:rPr>
          <w:rFonts w:ascii="Traditional Arabic" w:hAnsi="Traditional Arabic" w:cs="Traditional Arabic"/>
          <w:color w:val="000000" w:themeColor="text1"/>
          <w:sz w:val="24"/>
          <w:szCs w:val="24"/>
        </w:rPr>
        <w:t>Business Excellence Models - BEMs</w:t>
      </w:r>
      <w:r w:rsidRPr="00362D29">
        <w:rPr>
          <w:rFonts w:ascii="Traditional Arabic" w:hAnsi="Traditional Arabic" w:cs="Traditional Arabic"/>
          <w:color w:val="000000" w:themeColor="text1"/>
          <w:sz w:val="24"/>
          <w:szCs w:val="24"/>
          <w:rtl/>
        </w:rPr>
        <w:t xml:space="preserve">) في المنظمات غير الربحية بالمملكة العربية السعودية، كما سعت إلى تحليل أثر توافر الموارد البشرية – مقاسة بعدد الموظفين بدوام كامل – على نجاح أو فشل تطبيق تلك </w:t>
      </w:r>
      <w:r w:rsidR="00021455" w:rsidRPr="00362D29">
        <w:rPr>
          <w:rFonts w:ascii="Traditional Arabic" w:hAnsi="Traditional Arabic" w:cs="Traditional Arabic"/>
          <w:color w:val="000000" w:themeColor="text1"/>
          <w:sz w:val="24"/>
          <w:szCs w:val="24"/>
          <w:rtl/>
        </w:rPr>
        <w:t>النماذج. اعتمدت</w:t>
      </w:r>
      <w:r w:rsidRPr="00362D29">
        <w:rPr>
          <w:rFonts w:ascii="Traditional Arabic" w:hAnsi="Traditional Arabic" w:cs="Traditional Arabic"/>
          <w:color w:val="000000" w:themeColor="text1"/>
          <w:sz w:val="24"/>
          <w:szCs w:val="24"/>
          <w:rtl/>
        </w:rPr>
        <w:t xml:space="preserve"> الدراسة المنهج الوصفي التحليلي باستخدام أداة الاستبانة، حيث تم تطوير استبانة استنادًا إلى الأدبيات السابقة، وتضمنت (36) عامل نجاح و(15) معوقًا للتطبيق. تم تحليل البيانات باستخدام التحليل العاملي واختبار كروسكال–والِس (</w:t>
      </w:r>
      <w:r w:rsidRPr="00362D29">
        <w:rPr>
          <w:rFonts w:ascii="Traditional Arabic" w:hAnsi="Traditional Arabic" w:cs="Traditional Arabic"/>
          <w:color w:val="000000" w:themeColor="text1"/>
          <w:sz w:val="24"/>
          <w:szCs w:val="24"/>
        </w:rPr>
        <w:t>Kruskal–Wallis</w:t>
      </w:r>
      <w:r w:rsidRPr="00362D29">
        <w:rPr>
          <w:rFonts w:ascii="Traditional Arabic" w:hAnsi="Traditional Arabic" w:cs="Traditional Arabic"/>
          <w:color w:val="000000" w:themeColor="text1"/>
          <w:sz w:val="24"/>
          <w:szCs w:val="24"/>
          <w:rtl/>
        </w:rPr>
        <w:t xml:space="preserve">) لقياس الفروق بين </w:t>
      </w:r>
      <w:r w:rsidR="00021455" w:rsidRPr="00362D29">
        <w:rPr>
          <w:rFonts w:ascii="Traditional Arabic" w:hAnsi="Traditional Arabic" w:cs="Traditional Arabic"/>
          <w:color w:val="000000" w:themeColor="text1"/>
          <w:sz w:val="24"/>
          <w:szCs w:val="24"/>
          <w:rtl/>
        </w:rPr>
        <w:t>المجموعات. تكوّن</w:t>
      </w:r>
      <w:r w:rsidRPr="00362D29">
        <w:rPr>
          <w:rFonts w:ascii="Traditional Arabic" w:hAnsi="Traditional Arabic" w:cs="Traditional Arabic"/>
          <w:color w:val="000000" w:themeColor="text1"/>
          <w:sz w:val="24"/>
          <w:szCs w:val="24"/>
          <w:rtl/>
        </w:rPr>
        <w:t xml:space="preserve"> مجتمع الدراسة من (696) منظمة غير ربحية أمكن الوصول إليها إلكترونيًا من أصل أكثر من (1,600) </w:t>
      </w:r>
      <w:r w:rsidRPr="00362D29">
        <w:rPr>
          <w:rFonts w:ascii="Traditional Arabic" w:hAnsi="Traditional Arabic" w:cs="Traditional Arabic"/>
          <w:color w:val="000000" w:themeColor="text1"/>
          <w:sz w:val="24"/>
          <w:szCs w:val="24"/>
          <w:rtl/>
        </w:rPr>
        <w:lastRenderedPageBreak/>
        <w:t xml:space="preserve">منظمة في المملكة، وبلغت العينة النهائية بعد تنقية الاستجابات (138) منظمة، بنسبة استجابة بلغت (19.8%). وأظهرت النتائج أن (93) منظمة (67%) تُصنّف كمنظمات صغيرة جدًا (1–9 موظفين بدوام كامل)، بينما أفادت (47) منظمة فقط (34.1%) بأنها طبّقت مبادرات تميز خلال الاثني عشر شهرًا السابقة للدراسة. أظهرت النتائج أن أكثر عوامل النجاح تأثيرًا تمثلت في: قدرات تحليل البيانات وإعداد التقارير، وفعالية الاتصال التنظيمي، ووضوح استراتيجية ومنهجية التنفيذ، واستخدام المقارنة المرجعية، وتبنّي إطار حوكمة واضح. في المقابل، تمثلت أبرز المعوقات في غياب ثقافة التحسين المستمر، وضعف الاستراتيجية التنظيمية، ونقص الموظفين المؤهلين، وضعف التوجه نحو العميل، وعدم، وضوح </w:t>
      </w:r>
      <w:proofErr w:type="gramStart"/>
      <w:r w:rsidRPr="00362D29">
        <w:rPr>
          <w:rFonts w:ascii="Traditional Arabic" w:hAnsi="Traditional Arabic" w:cs="Traditional Arabic"/>
          <w:color w:val="000000" w:themeColor="text1"/>
          <w:sz w:val="24"/>
          <w:szCs w:val="24"/>
          <w:rtl/>
        </w:rPr>
        <w:t>الأدوار ،والمسؤوليات</w:t>
      </w:r>
      <w:proofErr w:type="gramEnd"/>
      <w:r w:rsidRPr="00362D29">
        <w:rPr>
          <w:rFonts w:ascii="Traditional Arabic" w:hAnsi="Traditional Arabic" w:cs="Traditional Arabic"/>
          <w:color w:val="000000" w:themeColor="text1"/>
          <w:sz w:val="24"/>
          <w:szCs w:val="24"/>
          <w:rtl/>
        </w:rPr>
        <w:t xml:space="preserve">. كما كشفت الدراسة أن عدد الموظفين بدوام كامل لا يُعد عاملًا حاسمًا في نجاح تطبيق النموذج، باستثناء تأثير محدود فيما يتعلق بضعف الموارد المالية في المنظمات الصغيرة جدًا. </w:t>
      </w:r>
    </w:p>
    <w:p w14:paraId="34EDBB36" w14:textId="51B7EC43" w:rsidR="00422FE6" w:rsidRPr="00362D29" w:rsidRDefault="00422FE6"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proofErr w:type="gramStart"/>
      <w:r w:rsidRPr="00362D29">
        <w:rPr>
          <w:rFonts w:ascii="Traditional Arabic" w:hAnsi="Traditional Arabic" w:cs="Traditional Arabic"/>
          <w:b/>
          <w:bCs/>
          <w:color w:val="000000" w:themeColor="text1"/>
          <w:sz w:val="24"/>
          <w:szCs w:val="24"/>
          <w:rtl/>
        </w:rPr>
        <w:t>دراسة</w:t>
      </w:r>
      <w:r w:rsidR="000A3F3B" w:rsidRPr="00362D29">
        <w:rPr>
          <w:rFonts w:ascii="Traditional Arabic" w:hAnsi="Traditional Arabic" w:cs="Traditional Arabic"/>
          <w:b/>
          <w:bCs/>
          <w:color w:val="000000" w:themeColor="text1"/>
          <w:sz w:val="24"/>
          <w:szCs w:val="24"/>
        </w:rPr>
        <w:t>(</w:t>
      </w:r>
      <w:proofErr w:type="gramEnd"/>
      <w:r w:rsidR="000A3F3B" w:rsidRPr="00362D29">
        <w:rPr>
          <w:rFonts w:ascii="Traditional Arabic" w:hAnsi="Traditional Arabic" w:cs="Traditional Arabic"/>
          <w:b/>
          <w:bCs/>
          <w:color w:val="000000" w:themeColor="text1"/>
          <w:sz w:val="24"/>
          <w:szCs w:val="24"/>
        </w:rPr>
        <w:t>Adish, Alikhan Gorgani &amp; KiaKojouri, 2023</w:t>
      </w:r>
      <w:r w:rsidR="00FB549B" w:rsidRPr="00362D29">
        <w:rPr>
          <w:rFonts w:ascii="Traditional Arabic" w:hAnsi="Traditional Arabic" w:cs="Traditional Arabic"/>
          <w:b/>
          <w:bCs/>
          <w:color w:val="000000" w:themeColor="text1"/>
          <w:sz w:val="24"/>
          <w:szCs w:val="24"/>
        </w:rPr>
        <w:t xml:space="preserve">) </w:t>
      </w:r>
      <w:r w:rsidR="00FB549B" w:rsidRPr="00362D29">
        <w:rPr>
          <w:rFonts w:ascii="Traditional Arabic" w:hAnsi="Traditional Arabic" w:cs="Traditional Arabic"/>
          <w:b/>
          <w:bCs/>
          <w:color w:val="000000" w:themeColor="text1"/>
          <w:sz w:val="24"/>
          <w:szCs w:val="24"/>
          <w:rtl/>
        </w:rPr>
        <w:t>بعنوان</w:t>
      </w:r>
      <w:r w:rsidR="000A3F3B" w:rsidRPr="00362D29">
        <w:rPr>
          <w:rFonts w:ascii="Traditional Arabic" w:hAnsi="Traditional Arabic" w:cs="Traditional Arabic"/>
          <w:b/>
          <w:bCs/>
          <w:color w:val="000000" w:themeColor="text1"/>
          <w:sz w:val="24"/>
          <w:szCs w:val="24"/>
          <w:rtl/>
        </w:rPr>
        <w:t xml:space="preserve"> </w:t>
      </w:r>
      <w:r w:rsidR="000A3F3B" w:rsidRPr="00362D29">
        <w:rPr>
          <w:rFonts w:ascii="Traditional Arabic" w:hAnsi="Traditional Arabic" w:cs="Traditional Arabic"/>
          <w:b/>
          <w:bCs/>
          <w:i/>
          <w:iCs/>
          <w:color w:val="000000" w:themeColor="text1"/>
          <w:sz w:val="24"/>
          <w:szCs w:val="24"/>
        </w:rPr>
        <w:t>"</w:t>
      </w:r>
      <w:r w:rsidR="000A3F3B" w:rsidRPr="00362D29">
        <w:rPr>
          <w:rFonts w:ascii="Traditional Arabic" w:hAnsi="Traditional Arabic" w:cs="Traditional Arabic"/>
          <w:b/>
          <w:bCs/>
          <w:color w:val="000000" w:themeColor="text1"/>
          <w:sz w:val="24"/>
          <w:szCs w:val="24"/>
        </w:rPr>
        <w:t xml:space="preserve">Organizational Excellence Status of Iranian Hospitals with Emphasis on EFQM Model: A Meta-Analysis Study" </w:t>
      </w:r>
    </w:p>
    <w:p w14:paraId="67712EFD" w14:textId="60A7A330" w:rsidR="000A3F3B" w:rsidRPr="00362D29" w:rsidRDefault="000A3F3B"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هذه الدراسة إلى استعراض وتحليل حالة التميز المؤسسي في المستشفيات الإيرانية من خلال تطبيق نموذج </w:t>
      </w:r>
      <w:r w:rsidRPr="00362D29">
        <w:rPr>
          <w:rFonts w:ascii="Traditional Arabic" w:hAnsi="Traditional Arabic" w:cs="Traditional Arabic"/>
          <w:color w:val="000000" w:themeColor="text1"/>
          <w:sz w:val="24"/>
          <w:szCs w:val="24"/>
        </w:rPr>
        <w:t xml:space="preserve">EFQM </w:t>
      </w:r>
      <w:r w:rsidRPr="00362D29">
        <w:rPr>
          <w:rFonts w:ascii="Traditional Arabic" w:hAnsi="Traditional Arabic" w:cs="Traditional Arabic"/>
          <w:color w:val="000000" w:themeColor="text1"/>
          <w:sz w:val="24"/>
          <w:szCs w:val="24"/>
          <w:rtl/>
        </w:rPr>
        <w:t>كنموذج لتميز المنظمات، وتحديد مستويات التميز في أبعاد الممكنات والنتائج داخل بيئة الرعاية الصحية. وقد استخدمت الدراسة منهج التحليل الميتا التحليلي</w:t>
      </w:r>
      <w:r w:rsidRPr="00362D29">
        <w:rPr>
          <w:rFonts w:ascii="Traditional Arabic" w:hAnsi="Traditional Arabic" w:cs="Traditional Arabic"/>
          <w:color w:val="000000" w:themeColor="text1"/>
          <w:sz w:val="24"/>
          <w:szCs w:val="24"/>
        </w:rPr>
        <w:t xml:space="preserve"> (Meta-Analysis) </w:t>
      </w:r>
      <w:r w:rsidRPr="00362D29">
        <w:rPr>
          <w:rFonts w:ascii="Traditional Arabic" w:hAnsi="Traditional Arabic" w:cs="Traditional Arabic"/>
          <w:color w:val="000000" w:themeColor="text1"/>
          <w:sz w:val="24"/>
          <w:szCs w:val="24"/>
          <w:rtl/>
        </w:rPr>
        <w:t xml:space="preserve">لتحليل نتائج الدراسات المنشورة المتعلقة بتطبيق نموذج التميز في مؤسسات الرعاية الصحية، حيث تم جمع وتحليل المقالات المنشورة خلال السنوات الماضية في قواعد بيانات متعددة، مع تقييم النتائج الإحصائية لقياسات التميز المؤسسي. وقد مثل مجتمع الدراسة الأدبيات المنشورة حول التميز المؤسسي في المستشفيات الإيرانية، وتكوّنت العينة النهائية من </w:t>
      </w:r>
      <w:r w:rsidR="00515862" w:rsidRPr="00362D29">
        <w:rPr>
          <w:rFonts w:ascii="Traditional Arabic" w:hAnsi="Traditional Arabic" w:cs="Traditional Arabic"/>
          <w:color w:val="000000" w:themeColor="text1"/>
          <w:sz w:val="24"/>
          <w:szCs w:val="24"/>
          <w:rtl/>
        </w:rPr>
        <w:t>14</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دراسة شملت تقييمات كمية ونوعية لأبعاد التميز المؤسسي، وتم تحليلها باستخدام برامج إحصائية متخصصة ضمن منهجية</w:t>
      </w:r>
      <w:r w:rsidRPr="00362D29">
        <w:rPr>
          <w:rFonts w:ascii="Traditional Arabic" w:hAnsi="Traditional Arabic" w:cs="Traditional Arabic"/>
          <w:color w:val="000000" w:themeColor="text1"/>
          <w:sz w:val="24"/>
          <w:szCs w:val="24"/>
        </w:rPr>
        <w:t xml:space="preserve"> Metafor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Meta </w:t>
      </w:r>
      <w:r w:rsidRPr="00362D29">
        <w:rPr>
          <w:rFonts w:ascii="Traditional Arabic" w:hAnsi="Traditional Arabic" w:cs="Traditional Arabic"/>
          <w:color w:val="000000" w:themeColor="text1"/>
          <w:sz w:val="24"/>
          <w:szCs w:val="24"/>
          <w:rtl/>
        </w:rPr>
        <w:t xml:space="preserve">لتحليل التأثيرات. وأظهرت النتائج أن الإنجاز الكلي للتميز المؤسسي بلغ تقديرًا مركزيًا 533 ضمن فترة الثقة 95% (464–602)، في حين تراوح مؤشر الممكنات بين 276 ومؤشر النتائج بين 246، كما لوحظت </w:t>
      </w:r>
      <w:r w:rsidRPr="00362D29">
        <w:rPr>
          <w:rFonts w:ascii="Traditional Arabic" w:hAnsi="Traditional Arabic" w:cs="Traditional Arabic"/>
          <w:color w:val="000000" w:themeColor="text1"/>
          <w:sz w:val="24"/>
          <w:szCs w:val="24"/>
        </w:rPr>
        <w:t xml:space="preserve">heterogeneity (I²) </w:t>
      </w:r>
      <w:r w:rsidRPr="00362D29">
        <w:rPr>
          <w:rFonts w:ascii="Traditional Arabic" w:hAnsi="Traditional Arabic" w:cs="Traditional Arabic"/>
          <w:color w:val="000000" w:themeColor="text1"/>
          <w:sz w:val="24"/>
          <w:szCs w:val="24"/>
          <w:rtl/>
        </w:rPr>
        <w:t>نسبتها 62.6</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للدلالات الكلية، مما يشير إلى تباين ملحوظ بين نتائج الدراسات. كما دل التّحليل على وجود تفاوت كبير في أبعاد التميز المؤسسي، الأمر الذي يشير إلى الحاجة لمراجعة متطلبات الحوكمة السريرية وأنظمة الاعتماد لتعزيز جودة الخدمات الصحية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وتوفر هذه الدراسة أدلة مهمة حول مستويات التميز المؤسسي في المستشفيات، إلا أنها اقتصرت بشكل رئيسي على تقييم</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 xml:space="preserve">في السياق الإيراني، دون </w:t>
      </w:r>
      <w:r w:rsidR="00914F3A" w:rsidRPr="00362D29">
        <w:rPr>
          <w:rFonts w:ascii="Traditional Arabic" w:hAnsi="Traditional Arabic" w:cs="Traditional Arabic"/>
          <w:color w:val="000000" w:themeColor="text1"/>
          <w:sz w:val="24"/>
          <w:szCs w:val="24"/>
          <w:rtl/>
        </w:rPr>
        <w:t>التركيز على</w:t>
      </w:r>
      <w:r w:rsidRPr="00362D29">
        <w:rPr>
          <w:rFonts w:ascii="Traditional Arabic" w:hAnsi="Traditional Arabic" w:cs="Traditional Arabic"/>
          <w:color w:val="000000" w:themeColor="text1"/>
          <w:sz w:val="24"/>
          <w:szCs w:val="24"/>
          <w:rtl/>
        </w:rPr>
        <w:t xml:space="preserve"> </w:t>
      </w:r>
      <w:proofErr w:type="gramStart"/>
      <w:r w:rsidRPr="00362D29">
        <w:rPr>
          <w:rFonts w:ascii="Traditional Arabic" w:hAnsi="Traditional Arabic" w:cs="Traditional Arabic"/>
          <w:color w:val="000000" w:themeColor="text1"/>
          <w:sz w:val="24"/>
          <w:szCs w:val="24"/>
          <w:rtl/>
        </w:rPr>
        <w:t xml:space="preserve">المستفيد </w:t>
      </w:r>
      <w:r w:rsidR="00914F3A" w:rsidRPr="00362D29">
        <w:rPr>
          <w:rFonts w:ascii="Traditional Arabic" w:hAnsi="Traditional Arabic" w:cs="Traditional Arabic"/>
          <w:color w:val="000000" w:themeColor="text1"/>
          <w:sz w:val="24"/>
          <w:szCs w:val="24"/>
          <w:rtl/>
        </w:rPr>
        <w:t>.</w:t>
      </w:r>
      <w:proofErr w:type="gramEnd"/>
    </w:p>
    <w:p w14:paraId="56356C4F" w14:textId="2D6D830F" w:rsidR="00D64C1C" w:rsidRPr="00362D29" w:rsidRDefault="00D64C1C"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(Zhao et al., 2023) </w:t>
      </w:r>
      <w:r w:rsidRPr="00362D29">
        <w:rPr>
          <w:rFonts w:ascii="Traditional Arabic" w:hAnsi="Traditional Arabic" w:cs="Traditional Arabic"/>
          <w:b/>
          <w:bCs/>
          <w:color w:val="000000" w:themeColor="text1"/>
          <w:sz w:val="24"/>
          <w:szCs w:val="24"/>
          <w:rtl/>
        </w:rPr>
        <w:t xml:space="preserve">بعنوان </w:t>
      </w:r>
      <w:r w:rsidRPr="00362D29">
        <w:rPr>
          <w:rFonts w:ascii="Traditional Arabic" w:hAnsi="Traditional Arabic" w:cs="Traditional Arabic"/>
          <w:b/>
          <w:bCs/>
          <w:color w:val="000000" w:themeColor="text1"/>
          <w:sz w:val="24"/>
          <w:szCs w:val="24"/>
        </w:rPr>
        <w:t xml:space="preserve">"What Makes a Hospital Excellent? A Qualitative Study on the Organization and Management of Five Leading Public Hospitals in China" </w:t>
      </w:r>
    </w:p>
    <w:p w14:paraId="12FC7132" w14:textId="79D982C2" w:rsidR="00D64C1C" w:rsidRPr="00362D29" w:rsidRDefault="00D64C1C"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lastRenderedPageBreak/>
        <w:t xml:space="preserve">هدفت الدراسة إلى تلخيص الخبرات التنظيمية والإدارية للمستشفيات العامة الرائدة في الصين، </w:t>
      </w:r>
      <w:r w:rsidR="00491822" w:rsidRPr="00362D29">
        <w:rPr>
          <w:rFonts w:ascii="Traditional Arabic" w:hAnsi="Traditional Arabic" w:cs="Traditional Arabic"/>
          <w:color w:val="000000" w:themeColor="text1"/>
          <w:sz w:val="24"/>
          <w:szCs w:val="24"/>
          <w:rtl/>
        </w:rPr>
        <w:t>كما هدفت أيضا الى</w:t>
      </w:r>
      <w:r w:rsidRPr="00362D29">
        <w:rPr>
          <w:rFonts w:ascii="Traditional Arabic" w:hAnsi="Traditional Arabic" w:cs="Traditional Arabic"/>
          <w:color w:val="000000" w:themeColor="text1"/>
          <w:sz w:val="24"/>
          <w:szCs w:val="24"/>
          <w:rtl/>
        </w:rPr>
        <w:t xml:space="preserve"> بناء نموذج نظري يفسر خصائص التميز المؤسسي من منظور القيادات الإدارية. اعتمدت الدراسة المنهج النوعي باستخدام المقابلات شبه المنظمة، مستندة إلى التحليل الموضوعي</w:t>
      </w:r>
      <w:r w:rsidRPr="00362D29">
        <w:rPr>
          <w:rFonts w:ascii="Traditional Arabic" w:hAnsi="Traditional Arabic" w:cs="Traditional Arabic"/>
          <w:color w:val="000000" w:themeColor="text1"/>
          <w:sz w:val="24"/>
          <w:szCs w:val="24"/>
        </w:rPr>
        <w:t xml:space="preserve"> (Thematic Analysis) </w:t>
      </w:r>
      <w:r w:rsidRPr="00362D29">
        <w:rPr>
          <w:rFonts w:ascii="Traditional Arabic" w:hAnsi="Traditional Arabic" w:cs="Traditional Arabic"/>
          <w:color w:val="000000" w:themeColor="text1"/>
          <w:sz w:val="24"/>
          <w:szCs w:val="24"/>
          <w:rtl/>
        </w:rPr>
        <w:t>ونظرية التأصيل</w:t>
      </w:r>
      <w:r w:rsidRPr="00362D29">
        <w:rPr>
          <w:rFonts w:ascii="Traditional Arabic" w:hAnsi="Traditional Arabic" w:cs="Traditional Arabic"/>
          <w:color w:val="000000" w:themeColor="text1"/>
          <w:sz w:val="24"/>
          <w:szCs w:val="24"/>
        </w:rPr>
        <w:t xml:space="preserve"> (Grounded Theory). </w:t>
      </w:r>
      <w:r w:rsidRPr="00362D29">
        <w:rPr>
          <w:rFonts w:ascii="Traditional Arabic" w:hAnsi="Traditional Arabic" w:cs="Traditional Arabic"/>
          <w:color w:val="000000" w:themeColor="text1"/>
          <w:sz w:val="24"/>
          <w:szCs w:val="24"/>
          <w:rtl/>
        </w:rPr>
        <w:t>تمثل مجتمع الدراسة في المستشفيات العامة المصنفة ضمن أعلى الفئات</w:t>
      </w:r>
      <w:r w:rsidRPr="00362D29">
        <w:rPr>
          <w:rFonts w:ascii="Traditional Arabic" w:hAnsi="Traditional Arabic" w:cs="Traditional Arabic"/>
          <w:color w:val="000000" w:themeColor="text1"/>
          <w:sz w:val="24"/>
          <w:szCs w:val="24"/>
        </w:rPr>
        <w:t xml:space="preserve"> A++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A+ </w:t>
      </w:r>
      <w:r w:rsidRPr="00362D29">
        <w:rPr>
          <w:rFonts w:ascii="Traditional Arabic" w:hAnsi="Traditional Arabic" w:cs="Traditional Arabic"/>
          <w:color w:val="000000" w:themeColor="text1"/>
          <w:sz w:val="24"/>
          <w:szCs w:val="24"/>
          <w:rtl/>
        </w:rPr>
        <w:t xml:space="preserve">تحت إشراف اللجنة الوطنية والإقليمية للصحة في الصين، بينما شملت العينة خمس مستشفيات رائدة، وبلغ عدد المشاركين (47) من القيادات العليا والمديرين </w:t>
      </w:r>
      <w:r w:rsidR="00784EA7"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8 قيادات و39 مديرًا وظيفيًا). أظهرت النتائج تطوير نموذج تنظيمي للتميز أُطلق عليه نموذج </w:t>
      </w:r>
      <w:r w:rsidRPr="00362D29">
        <w:rPr>
          <w:rFonts w:ascii="Traditional Arabic" w:hAnsi="Traditional Arabic" w:cs="Traditional Arabic"/>
          <w:b/>
          <w:bCs/>
          <w:color w:val="000000" w:themeColor="text1"/>
          <w:sz w:val="24"/>
          <w:szCs w:val="24"/>
        </w:rPr>
        <w:t>SCOPE</w:t>
      </w:r>
      <w:r w:rsidRPr="00362D29">
        <w:rPr>
          <w:rFonts w:ascii="Traditional Arabic" w:hAnsi="Traditional Arabic" w:cs="Traditional Arabic"/>
          <w:color w:val="000000" w:themeColor="text1"/>
          <w:sz w:val="24"/>
          <w:szCs w:val="24"/>
        </w:rPr>
        <w:t xml:space="preserve"> (System–Culture–Operation–Performance–Employee)</w:t>
      </w:r>
      <w:r w:rsidRPr="00362D29">
        <w:rPr>
          <w:rFonts w:ascii="Traditional Arabic" w:hAnsi="Traditional Arabic" w:cs="Traditional Arabic"/>
          <w:color w:val="000000" w:themeColor="text1"/>
          <w:sz w:val="24"/>
          <w:szCs w:val="24"/>
          <w:rtl/>
        </w:rPr>
        <w:t xml:space="preserve">، </w:t>
      </w:r>
      <w:r w:rsidR="00F155F7" w:rsidRPr="00362D29">
        <w:rPr>
          <w:rFonts w:ascii="Traditional Arabic" w:hAnsi="Traditional Arabic" w:cs="Traditional Arabic"/>
          <w:color w:val="000000" w:themeColor="text1"/>
          <w:sz w:val="24"/>
          <w:szCs w:val="24"/>
          <w:rtl/>
        </w:rPr>
        <w:t xml:space="preserve">كما </w:t>
      </w:r>
      <w:r w:rsidRPr="00362D29">
        <w:rPr>
          <w:rFonts w:ascii="Traditional Arabic" w:hAnsi="Traditional Arabic" w:cs="Traditional Arabic"/>
          <w:color w:val="000000" w:themeColor="text1"/>
          <w:sz w:val="24"/>
          <w:szCs w:val="24"/>
          <w:rtl/>
        </w:rPr>
        <w:t>أكدت أن التميز المؤسسي يتحقق من خلال تكامل أربعة أبعاد رئيسية هي: النظام التنظيمي، الثقافة التنظيمية، إدارة العمليات والأداء، وإدارة وتنمية العاملين. كما بيّنت النتائج أن وجود نظام قيادة جماعية فعّال، وثقافة تنظيمية تتمحور حول المريض، وإدارة أداء قائمة على البيانات، يسهم في تحسين النتائج الصحية للمرضى وتعزيز كفاءة الأداء المؤسسي واستدامته</w:t>
      </w:r>
      <w:r w:rsidRPr="00362D29">
        <w:rPr>
          <w:rFonts w:ascii="Traditional Arabic" w:hAnsi="Traditional Arabic" w:cs="Traditional Arabic"/>
          <w:color w:val="000000" w:themeColor="text1"/>
          <w:sz w:val="24"/>
          <w:szCs w:val="24"/>
        </w:rPr>
        <w:t>.</w:t>
      </w:r>
    </w:p>
    <w:p w14:paraId="4880464B" w14:textId="77777777" w:rsidR="001240E0" w:rsidRPr="00362D29" w:rsidRDefault="001240E0"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commentRangeStart w:id="14"/>
      <w:r w:rsidRPr="00B56B6B">
        <w:rPr>
          <w:rFonts w:ascii="Traditional Arabic" w:hAnsi="Traditional Arabic" w:cs="Traditional Arabic"/>
          <w:b/>
          <w:bCs/>
          <w:color w:val="FF0000"/>
          <w:sz w:val="24"/>
          <w:szCs w:val="24"/>
          <w:rtl/>
        </w:rPr>
        <w:t>دراسة (</w:t>
      </w:r>
      <w:r w:rsidRPr="00B56B6B">
        <w:rPr>
          <w:rFonts w:ascii="Traditional Arabic" w:hAnsi="Traditional Arabic" w:cs="Traditional Arabic"/>
          <w:b/>
          <w:bCs/>
          <w:color w:val="FF0000"/>
          <w:sz w:val="24"/>
          <w:szCs w:val="24"/>
        </w:rPr>
        <w:t>Ahmed &amp; Sur, 2023</w:t>
      </w:r>
      <w:r w:rsidRPr="00B56B6B">
        <w:rPr>
          <w:rFonts w:ascii="Traditional Arabic" w:hAnsi="Traditional Arabic" w:cs="Traditional Arabic"/>
          <w:b/>
          <w:bCs/>
          <w:color w:val="FF0000"/>
          <w:sz w:val="24"/>
          <w:szCs w:val="24"/>
          <w:rtl/>
        </w:rPr>
        <w:t>) بعنوان</w:t>
      </w:r>
      <w:commentRangeEnd w:id="14"/>
      <w:r w:rsidR="00B56B6B">
        <w:rPr>
          <w:rStyle w:val="ac"/>
          <w:rtl/>
        </w:rPr>
        <w:commentReference w:id="14"/>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Pr>
        <w:t>Revolutionizing healthcare organizations with organizational excellence and healthcare transformation</w:t>
      </w:r>
      <w:r w:rsidRPr="00362D29">
        <w:rPr>
          <w:rFonts w:ascii="Traditional Arabic" w:hAnsi="Traditional Arabic" w:cs="Traditional Arabic"/>
          <w:b/>
          <w:bCs/>
          <w:color w:val="000000" w:themeColor="text1"/>
          <w:sz w:val="24"/>
          <w:szCs w:val="24"/>
          <w:rtl/>
        </w:rPr>
        <w:t xml:space="preserve">” </w:t>
      </w:r>
    </w:p>
    <w:p w14:paraId="2490CD8A" w14:textId="2DE1BF9A" w:rsidR="001240E0" w:rsidRPr="00362D29" w:rsidRDefault="001240E0"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الدور التحويلي لممارسات التميز المؤسسي في تطوير المنظمات الصحية الحديثة، كما سعت إلى استكشاف كيفية تكامل نماذج التميز مع مفاهيم إدارة الجودة الشاملة والتحول الصحي لتعزيز الأداء المؤسسي والاستدامة. اعتمدت الدراسة منهجية مراجعة أدبيات منهجية (</w:t>
      </w:r>
      <w:r w:rsidRPr="00362D29">
        <w:rPr>
          <w:rFonts w:ascii="Traditional Arabic" w:hAnsi="Traditional Arabic" w:cs="Traditional Arabic"/>
          <w:color w:val="000000" w:themeColor="text1"/>
          <w:sz w:val="24"/>
          <w:szCs w:val="24"/>
        </w:rPr>
        <w:t>Systematic Literature Review</w:t>
      </w:r>
      <w:r w:rsidRPr="00362D29">
        <w:rPr>
          <w:rFonts w:ascii="Traditional Arabic" w:hAnsi="Traditional Arabic" w:cs="Traditional Arabic"/>
          <w:color w:val="000000" w:themeColor="text1"/>
          <w:sz w:val="24"/>
          <w:szCs w:val="24"/>
          <w:rtl/>
        </w:rPr>
        <w:t>)، من خلال تحليل ونقد الدراسات المنشورة في قواعد بيانات علمية محكمة خلال الفترة الحديثة، حيث تم فحص عدد من الدراسات ذات الصلة بمجال التميز المؤسسي والتحول في القطاع الصحي. أظهرت نتائج المراجعة أن تطبيق أطر التميز المؤسسي يسهم بشكل مباشر في تحسين الحوكمة المؤسسية، ورفع كفاءة العمليات، وتعزيز ثقافة التحسين المستمر داخل المنظمات الصحية. كما بينت النتائج أن التكامل بين نماذج التميز والتحول الرقمي الصحي يمثل عاملًا حاسمًا في تحقيق الاستدامة التنظيمية والارتقاء بجودة الخدمات الصحية على المدى الطويل.</w:t>
      </w:r>
    </w:p>
    <w:p w14:paraId="0716AAFF" w14:textId="45906CAE" w:rsidR="004449A3" w:rsidRPr="00FD7C2B" w:rsidRDefault="004449A3" w:rsidP="00C42472">
      <w:pPr>
        <w:pStyle w:val="ab"/>
        <w:numPr>
          <w:ilvl w:val="0"/>
          <w:numId w:val="3"/>
        </w:numPr>
        <w:bidi/>
        <w:spacing w:after="200" w:line="360" w:lineRule="auto"/>
        <w:jc w:val="both"/>
        <w:rPr>
          <w:rFonts w:ascii="Traditional Arabic" w:hAnsi="Traditional Arabic" w:cs="Traditional Arabic"/>
          <w:color w:val="000000" w:themeColor="text1"/>
          <w:sz w:val="24"/>
          <w:szCs w:val="24"/>
        </w:rPr>
      </w:pPr>
      <w:proofErr w:type="gramStart"/>
      <w:r w:rsidRPr="00FD7C2B">
        <w:rPr>
          <w:rFonts w:ascii="Traditional Arabic" w:hAnsi="Traditional Arabic" w:cs="Traditional Arabic"/>
          <w:b/>
          <w:bCs/>
          <w:color w:val="000000" w:themeColor="text1"/>
          <w:sz w:val="24"/>
          <w:szCs w:val="24"/>
          <w:rtl/>
        </w:rPr>
        <w:t>دراسة</w:t>
      </w:r>
      <w:r w:rsidRPr="00FD7C2B">
        <w:rPr>
          <w:rFonts w:ascii="Traditional Arabic" w:hAnsi="Traditional Arabic" w:cs="Traditional Arabic"/>
          <w:b/>
          <w:bCs/>
          <w:color w:val="000000" w:themeColor="text1"/>
          <w:sz w:val="24"/>
          <w:szCs w:val="24"/>
        </w:rPr>
        <w:t>(</w:t>
      </w:r>
      <w:proofErr w:type="gramEnd"/>
      <w:r w:rsidRPr="00FD7C2B">
        <w:rPr>
          <w:rFonts w:ascii="Traditional Arabic" w:hAnsi="Traditional Arabic" w:cs="Traditional Arabic"/>
          <w:b/>
          <w:bCs/>
          <w:color w:val="000000" w:themeColor="text1"/>
          <w:sz w:val="24"/>
          <w:szCs w:val="24"/>
        </w:rPr>
        <w:t xml:space="preserve">Kamal, 2023) </w:t>
      </w:r>
      <w:r w:rsidRPr="00FD7C2B">
        <w:rPr>
          <w:rFonts w:ascii="Traditional Arabic" w:hAnsi="Traditional Arabic" w:cs="Traditional Arabic"/>
          <w:b/>
          <w:bCs/>
          <w:color w:val="000000" w:themeColor="text1"/>
          <w:sz w:val="24"/>
          <w:szCs w:val="24"/>
          <w:rtl/>
        </w:rPr>
        <w:t xml:space="preserve">بعنوان </w:t>
      </w:r>
      <w:r w:rsidRPr="00FD7C2B">
        <w:rPr>
          <w:rFonts w:ascii="Traditional Arabic" w:hAnsi="Traditional Arabic" w:cs="Traditional Arabic"/>
          <w:b/>
          <w:bCs/>
          <w:color w:val="000000" w:themeColor="text1"/>
          <w:sz w:val="24"/>
          <w:szCs w:val="24"/>
        </w:rPr>
        <w:t xml:space="preserve">"Implementation of Business Excellence Models in Healthcare for Quality Assessment: A Systematic Review" </w:t>
      </w:r>
    </w:p>
    <w:p w14:paraId="25ED5B87" w14:textId="3B13E085" w:rsidR="004449A3" w:rsidRPr="00362D29" w:rsidRDefault="004449A3"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أثر استخدام نماذج التميز المؤسسي المعتمدة على</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Baldrige </w:t>
      </w:r>
      <w:r w:rsidRPr="00362D29">
        <w:rPr>
          <w:rFonts w:ascii="Traditional Arabic" w:hAnsi="Traditional Arabic" w:cs="Traditional Arabic"/>
          <w:color w:val="000000" w:themeColor="text1"/>
          <w:sz w:val="24"/>
          <w:szCs w:val="24"/>
          <w:rtl/>
        </w:rPr>
        <w:t>في تقييم جودة الأداء بالمؤسسات الصحية، وكذلك تحديد مدى انعكاس عملية التقييم باستخدام هذه النماذج على تحسين مؤشرات الأداء الرئيسية في القطاع الصحي. واعتمدت الدراسة المنهج المنهجي</w:t>
      </w:r>
      <w:r w:rsidRPr="00362D29">
        <w:rPr>
          <w:rFonts w:ascii="Traditional Arabic" w:hAnsi="Traditional Arabic" w:cs="Traditional Arabic"/>
          <w:color w:val="000000" w:themeColor="text1"/>
          <w:sz w:val="24"/>
          <w:szCs w:val="24"/>
        </w:rPr>
        <w:t xml:space="preserve"> (Systematic Review) </w:t>
      </w:r>
      <w:r w:rsidRPr="00362D29">
        <w:rPr>
          <w:rFonts w:ascii="Traditional Arabic" w:hAnsi="Traditional Arabic" w:cs="Traditional Arabic"/>
          <w:color w:val="000000" w:themeColor="text1"/>
          <w:sz w:val="24"/>
          <w:szCs w:val="24"/>
          <w:rtl/>
        </w:rPr>
        <w:t>وفق إرشادات</w:t>
      </w:r>
      <w:r w:rsidRPr="00362D29">
        <w:rPr>
          <w:rFonts w:ascii="Traditional Arabic" w:hAnsi="Traditional Arabic" w:cs="Traditional Arabic"/>
          <w:color w:val="000000" w:themeColor="text1"/>
          <w:sz w:val="24"/>
          <w:szCs w:val="24"/>
        </w:rPr>
        <w:t xml:space="preserve"> PRISMA</w:t>
      </w:r>
      <w:r w:rsidRPr="00362D29">
        <w:rPr>
          <w:rFonts w:ascii="Traditional Arabic" w:hAnsi="Traditional Arabic" w:cs="Traditional Arabic"/>
          <w:color w:val="000000" w:themeColor="text1"/>
          <w:sz w:val="24"/>
          <w:szCs w:val="24"/>
          <w:rtl/>
        </w:rPr>
        <w:t>، مع استخدام أداة</w:t>
      </w:r>
      <w:r w:rsidRPr="00362D29">
        <w:rPr>
          <w:rFonts w:ascii="Traditional Arabic" w:hAnsi="Traditional Arabic" w:cs="Traditional Arabic"/>
          <w:color w:val="000000" w:themeColor="text1"/>
          <w:sz w:val="24"/>
          <w:szCs w:val="24"/>
        </w:rPr>
        <w:t xml:space="preserve"> CASP </w:t>
      </w:r>
      <w:r w:rsidRPr="00362D29">
        <w:rPr>
          <w:rFonts w:ascii="Traditional Arabic" w:hAnsi="Traditional Arabic" w:cs="Traditional Arabic"/>
          <w:color w:val="000000" w:themeColor="text1"/>
          <w:sz w:val="24"/>
          <w:szCs w:val="24"/>
          <w:rtl/>
        </w:rPr>
        <w:t>لتقييم جودة الدراسات، وتحليل موضوعي</w:t>
      </w:r>
      <w:r w:rsidRPr="00362D29">
        <w:rPr>
          <w:rFonts w:ascii="Traditional Arabic" w:hAnsi="Traditional Arabic" w:cs="Traditional Arabic"/>
          <w:color w:val="000000" w:themeColor="text1"/>
          <w:sz w:val="24"/>
          <w:szCs w:val="24"/>
        </w:rPr>
        <w:t xml:space="preserve"> (Thematic Analysis) </w:t>
      </w:r>
      <w:r w:rsidRPr="00362D29">
        <w:rPr>
          <w:rFonts w:ascii="Traditional Arabic" w:hAnsi="Traditional Arabic" w:cs="Traditional Arabic"/>
          <w:color w:val="000000" w:themeColor="text1"/>
          <w:sz w:val="24"/>
          <w:szCs w:val="24"/>
          <w:rtl/>
        </w:rPr>
        <w:t>وفق منهج</w:t>
      </w:r>
      <w:r w:rsidRPr="00362D29">
        <w:rPr>
          <w:rFonts w:ascii="Traditional Arabic" w:hAnsi="Traditional Arabic" w:cs="Traditional Arabic"/>
          <w:color w:val="000000" w:themeColor="text1"/>
          <w:sz w:val="24"/>
          <w:szCs w:val="24"/>
        </w:rPr>
        <w:t xml:space="preserve"> Thomas &amp; </w:t>
      </w:r>
      <w:r w:rsidRPr="00362D29">
        <w:rPr>
          <w:rFonts w:ascii="Traditional Arabic" w:hAnsi="Traditional Arabic" w:cs="Traditional Arabic"/>
          <w:color w:val="000000" w:themeColor="text1"/>
          <w:sz w:val="24"/>
          <w:szCs w:val="24"/>
        </w:rPr>
        <w:lastRenderedPageBreak/>
        <w:t>Harden</w:t>
      </w:r>
      <w:r w:rsidRPr="00362D29">
        <w:rPr>
          <w:rFonts w:ascii="Traditional Arabic" w:hAnsi="Traditional Arabic" w:cs="Traditional Arabic"/>
          <w:color w:val="000000" w:themeColor="text1"/>
          <w:sz w:val="24"/>
          <w:szCs w:val="24"/>
          <w:rtl/>
        </w:rPr>
        <w:t>، وتطبيق منهجية</w:t>
      </w:r>
      <w:r w:rsidRPr="00362D29">
        <w:rPr>
          <w:rFonts w:ascii="Traditional Arabic" w:hAnsi="Traditional Arabic" w:cs="Traditional Arabic"/>
          <w:color w:val="000000" w:themeColor="text1"/>
          <w:sz w:val="24"/>
          <w:szCs w:val="24"/>
        </w:rPr>
        <w:t xml:space="preserve"> GRADE-CERQual </w:t>
      </w:r>
      <w:r w:rsidRPr="00362D29">
        <w:rPr>
          <w:rFonts w:ascii="Traditional Arabic" w:hAnsi="Traditional Arabic" w:cs="Traditional Arabic"/>
          <w:color w:val="000000" w:themeColor="text1"/>
          <w:sz w:val="24"/>
          <w:szCs w:val="24"/>
          <w:rtl/>
        </w:rPr>
        <w:t>لتحديد مستوى الثقة في النتائج. وتمثل مجتمع الدراسة في الأدبيات المنشورة حول تطبيق نماذج التميز المؤسسي في مؤسسات الرعاية الصحية، حيث تكونت العينة النهائية من (9) دراسات تم اختيارها بعد فحص (173) دراسة أولية واستبعاد غير المطابق لمعايير الاشتمال. وأظهرت النتائج أن تقييم الجودة باستخدام نماذج التميز أبرز تحسنًا ملحوظًا في نتائج العملاء، خاصة في مؤشرات رضا المرضى وتقليل الشكاوى، في حين كانت نتائج المجتمع الأقل تحسنًا مقارنة ببقية الأبعاد، كما أن (6) من أصل (9) دراسات بنسبة (66.6%) لم تُظهر تحسنًا مستدامًا عند إجراء تقييم لمرة واحدة فقط، مما يشير إلى أن الاستمرارية في تطبيق التقييم الدوري تمثل العامل الحاسم في تحقيق التحسن الفعلي في الأداء. وخلصت الدراسة إلى أن نماذج التميز المؤسسي تسهم في كشف فجوات الأداء وتحديد مجالات التحسين، إلا أن تحقيق التحسن المستدام يتطلب تطبيقًا دوريًا مستمرًا وربط نتائج التقييم بمؤشرات أداء قابلة للقياس عبر الزمن</w:t>
      </w:r>
      <w:r w:rsidRPr="00362D29">
        <w:rPr>
          <w:rFonts w:ascii="Traditional Arabic" w:hAnsi="Traditional Arabic" w:cs="Traditional Arabic"/>
          <w:color w:val="000000" w:themeColor="text1"/>
          <w:sz w:val="24"/>
          <w:szCs w:val="24"/>
        </w:rPr>
        <w:t>.</w:t>
      </w:r>
    </w:p>
    <w:p w14:paraId="16EC1C01" w14:textId="33DFA5EE" w:rsidR="00525736" w:rsidRPr="00362D29" w:rsidRDefault="00947153"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525736"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زهران</w:t>
      </w:r>
      <w:r w:rsidR="00525736"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2022) بعنوان </w:t>
      </w:r>
      <w:r w:rsidR="00525736"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متطلبات تطبيق معايير النموذج الأوروبي للتميز المؤسسي</w:t>
      </w:r>
      <w:r w:rsidRPr="00362D29">
        <w:rPr>
          <w:rFonts w:ascii="Traditional Arabic" w:hAnsi="Traditional Arabic" w:cs="Traditional Arabic"/>
          <w:b/>
          <w:bCs/>
          <w:color w:val="000000" w:themeColor="text1"/>
          <w:sz w:val="24"/>
          <w:szCs w:val="24"/>
        </w:rPr>
        <w:t xml:space="preserve"> (EFQM) </w:t>
      </w:r>
      <w:r w:rsidRPr="00362D29">
        <w:rPr>
          <w:rFonts w:ascii="Traditional Arabic" w:hAnsi="Traditional Arabic" w:cs="Traditional Arabic"/>
          <w:b/>
          <w:bCs/>
          <w:color w:val="000000" w:themeColor="text1"/>
          <w:sz w:val="24"/>
          <w:szCs w:val="24"/>
          <w:rtl/>
        </w:rPr>
        <w:t>في الجامعات المصرية على ضوء مستحدثات العصر الرقمي</w:t>
      </w:r>
      <w:r w:rsidR="00525736"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2CB78427" w14:textId="77777777" w:rsidR="00525736" w:rsidRPr="00362D29" w:rsidRDefault="00525736"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التعرف على واقع تطبيق معايير النموذج الأوروبي للتميز المؤسسي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في الجامعات المصرية في ضوء التحول الرقمي، كما سعت إلى تحديد المتطلبات والمعوقات التي تحد من إمكانية تطبيق هذه المعايير من وجهة نظر القيادات الأكاديمية والإدارية. اعتمدت الدراسة المنهج الوصفي التحليلي، واستخدمت الاستبانة كأداة رئيسية لجمع البيانات. تمثل مجتمع الدراسة في جميع القيادات الأكاديمية والإدارية بجامعات الفيوم، والمنيا، والإسكندرية، والبالغ عددهم (1784) قائدًا. أما عينة الدراسة فقد بلغت (360) شملت القيادات الأكاديمية (عمداء، وكلاء، رؤساء أقسام) والقيادات الإدارية (مديري عموم ومديري إدارات)، وتم اختيارهم بطريقة عشوائية ممثلة للمجتمع. أظهرت النتائج ضعف مستوى تطبيق عدد من أبعاد التميز المؤسسي، خاصة في مجالات دعم التغيير التنظيمي والموارد البشرية، كما كشفت عن وجود معوقات تنظيمية وثقافية أبرزها المركزية الإدارية وضعف ثقافة التميز، مما يستلزم تهيئة بيئة تنظيمية داعمة لتطبيق معايير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في الجامعات المصرية</w:t>
      </w:r>
      <w:r w:rsidRPr="00362D29">
        <w:rPr>
          <w:rFonts w:ascii="Traditional Arabic" w:hAnsi="Traditional Arabic" w:cs="Traditional Arabic"/>
          <w:b/>
          <w:bCs/>
          <w:color w:val="000000" w:themeColor="text1"/>
          <w:sz w:val="24"/>
          <w:szCs w:val="24"/>
          <w:rtl/>
        </w:rPr>
        <w:t>.</w:t>
      </w:r>
    </w:p>
    <w:p w14:paraId="1371F0A5" w14:textId="65D03273" w:rsidR="00615BFE" w:rsidRPr="003F2B2E" w:rsidRDefault="00615BFE"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F2B2E">
        <w:rPr>
          <w:rFonts w:ascii="Traditional Arabic" w:hAnsi="Traditional Arabic" w:cs="Traditional Arabic"/>
          <w:b/>
          <w:bCs/>
          <w:color w:val="000000" w:themeColor="text1"/>
          <w:sz w:val="24"/>
          <w:szCs w:val="24"/>
          <w:rtl/>
        </w:rPr>
        <w:t>دراسة (</w:t>
      </w:r>
      <w:r w:rsidRPr="003F2B2E">
        <w:rPr>
          <w:rFonts w:ascii="Traditional Arabic" w:hAnsi="Traditional Arabic" w:cs="Traditional Arabic"/>
          <w:b/>
          <w:bCs/>
          <w:color w:val="000000" w:themeColor="text1"/>
          <w:sz w:val="24"/>
          <w:szCs w:val="24"/>
        </w:rPr>
        <w:t>Barnawi, 2022</w:t>
      </w:r>
      <w:r w:rsidRPr="003F2B2E">
        <w:rPr>
          <w:rFonts w:ascii="Traditional Arabic" w:hAnsi="Traditional Arabic" w:cs="Traditional Arabic"/>
          <w:b/>
          <w:bCs/>
          <w:color w:val="000000" w:themeColor="text1"/>
          <w:sz w:val="24"/>
          <w:szCs w:val="24"/>
          <w:rtl/>
        </w:rPr>
        <w:t xml:space="preserve">) بعنوان </w:t>
      </w:r>
      <w:r w:rsidR="00704A9A" w:rsidRPr="003F2B2E">
        <w:rPr>
          <w:rFonts w:ascii="Traditional Arabic" w:hAnsi="Traditional Arabic" w:cs="Traditional Arabic"/>
          <w:b/>
          <w:bCs/>
          <w:color w:val="000000" w:themeColor="text1"/>
          <w:sz w:val="24"/>
          <w:szCs w:val="24"/>
          <w:rtl/>
        </w:rPr>
        <w:t>"</w:t>
      </w:r>
      <w:r w:rsidRPr="003F2B2E">
        <w:rPr>
          <w:rFonts w:ascii="Traditional Arabic" w:hAnsi="Traditional Arabic" w:cs="Traditional Arabic"/>
          <w:b/>
          <w:bCs/>
          <w:color w:val="000000" w:themeColor="text1"/>
          <w:sz w:val="24"/>
          <w:szCs w:val="24"/>
        </w:rPr>
        <w:t>Organizational Excellence Models Failure and Success Factors of Organizational Excellence and Challenges Mitigation</w:t>
      </w:r>
      <w:r w:rsidRPr="003F2B2E">
        <w:rPr>
          <w:rFonts w:ascii="Traditional Arabic" w:hAnsi="Traditional Arabic" w:cs="Traditional Arabic"/>
          <w:b/>
          <w:bCs/>
          <w:color w:val="000000" w:themeColor="text1"/>
          <w:sz w:val="24"/>
          <w:szCs w:val="24"/>
          <w:rtl/>
        </w:rPr>
        <w:t>”</w:t>
      </w:r>
    </w:p>
    <w:p w14:paraId="2581478E" w14:textId="2EE23759" w:rsidR="00615BFE" w:rsidRPr="00362D29" w:rsidRDefault="00615BFE"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توضيح مفهوم التميز المؤسسي وتطوره التاريخي وأبرز نماذجه العالمية، مع تسليط الضوء على النموذج الوطني السعودي للتميز المؤسسي (جائزة الملك عبد العزيز للجودة)، كما سعت إلى تحليل عوامل النجاح والإخفاق والتحديات التي تواجه تطبيق نماذج التميز، خاصة في السياق السعودي والقطاع غير الربحي. اعتمدت الدراسة على </w:t>
      </w:r>
      <w:commentRangeStart w:id="15"/>
      <w:r w:rsidRPr="00262D93">
        <w:rPr>
          <w:rFonts w:ascii="Traditional Arabic" w:hAnsi="Traditional Arabic" w:cs="Traditional Arabic"/>
          <w:color w:val="FF0000"/>
          <w:sz w:val="24"/>
          <w:szCs w:val="24"/>
          <w:rtl/>
        </w:rPr>
        <w:t xml:space="preserve">المنهج الوصفي التحليلي </w:t>
      </w:r>
      <w:commentRangeEnd w:id="15"/>
      <w:r w:rsidR="00262D93">
        <w:rPr>
          <w:rStyle w:val="ac"/>
          <w:rtl/>
        </w:rPr>
        <w:commentReference w:id="15"/>
      </w:r>
      <w:r w:rsidRPr="00362D29">
        <w:rPr>
          <w:rFonts w:ascii="Traditional Arabic" w:hAnsi="Traditional Arabic" w:cs="Traditional Arabic"/>
          <w:color w:val="000000" w:themeColor="text1"/>
          <w:sz w:val="24"/>
          <w:szCs w:val="24"/>
          <w:rtl/>
        </w:rPr>
        <w:t>من خلال مراجعة منهجية للأدبيات (</w:t>
      </w:r>
      <w:r w:rsidRPr="00362D29">
        <w:rPr>
          <w:rFonts w:ascii="Traditional Arabic" w:hAnsi="Traditional Arabic" w:cs="Traditional Arabic"/>
          <w:color w:val="000000" w:themeColor="text1"/>
          <w:sz w:val="24"/>
          <w:szCs w:val="24"/>
        </w:rPr>
        <w:t>Systematic Review</w:t>
      </w:r>
      <w:r w:rsidRPr="00362D29">
        <w:rPr>
          <w:rFonts w:ascii="Traditional Arabic" w:hAnsi="Traditional Arabic" w:cs="Traditional Arabic"/>
          <w:color w:val="000000" w:themeColor="text1"/>
          <w:sz w:val="24"/>
          <w:szCs w:val="24"/>
          <w:rtl/>
        </w:rPr>
        <w:t xml:space="preserve">) شملت الدراسات المنشورة حتى أغسطس 2022، باستخدام قواعد بيانات علمية متعددة مثل </w:t>
      </w:r>
      <w:r w:rsidRPr="00362D29">
        <w:rPr>
          <w:rFonts w:ascii="Traditional Arabic" w:hAnsi="Traditional Arabic" w:cs="Traditional Arabic"/>
          <w:color w:val="000000" w:themeColor="text1"/>
          <w:sz w:val="24"/>
          <w:szCs w:val="24"/>
        </w:rPr>
        <w:t>Google Scholar</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Scopus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Web of Science</w:t>
      </w:r>
      <w:r w:rsidRPr="00362D29">
        <w:rPr>
          <w:rFonts w:ascii="Traditional Arabic" w:hAnsi="Traditional Arabic" w:cs="Traditional Arabic"/>
          <w:color w:val="000000" w:themeColor="text1"/>
          <w:sz w:val="24"/>
          <w:szCs w:val="24"/>
          <w:rtl/>
        </w:rPr>
        <w:t xml:space="preserve">. وأظهرت نتائج الدراسة أن نجاح تطبيق نماذج التميز المؤسسي يرتبط بشكل أساسي بالتزام القيادة العليا، ووضوح الرؤية الاستراتيجية، وتوافر ثقافة التحسين المستمر، </w:t>
      </w:r>
      <w:r w:rsidRPr="00362D29">
        <w:rPr>
          <w:rFonts w:ascii="Traditional Arabic" w:hAnsi="Traditional Arabic" w:cs="Traditional Arabic"/>
          <w:color w:val="000000" w:themeColor="text1"/>
          <w:sz w:val="24"/>
          <w:szCs w:val="24"/>
          <w:rtl/>
        </w:rPr>
        <w:lastRenderedPageBreak/>
        <w:t>وتمكين العاملين، بينما يعود فشل التطبيق غالبًا إلى ضعف التخطيط، وقصور إدارة التغيير، ونقص الموارد والتدريب. كما أكدت الدراسة أن النموذج الوطني السعودي للتميز المؤسسي يمثل إطارًا متكاملًا يدعم التنافسية المؤسسية ويتماشى مع مستهدفات رؤية المملكة 2030، إلا أن تطبيقه يتطلب جاهزية تنظيمية وثقافة مؤسسية داعمة لضمان الاستدامة وتحقيق النتائج.</w:t>
      </w:r>
    </w:p>
    <w:p w14:paraId="2C94CFFC" w14:textId="2D01BD60" w:rsidR="005C12FA"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sz w:val="24"/>
          <w:szCs w:val="24"/>
          <w:rtl/>
        </w:rPr>
        <w:t xml:space="preserve">دراسة </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منصور</w:t>
      </w:r>
      <w:r w:rsidR="005C12FA"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2021) بعنوان </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أثر التميز التنظيمي في جودة الخدمات الصحية بالمستشفيات السودانية: مستشفى علياء التخصصي أنموذجًا</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1081B8B8" w14:textId="4307AC52" w:rsidR="00ED5DAB" w:rsidRPr="00362D29" w:rsidRDefault="005C12FA" w:rsidP="00C42472">
      <w:pPr>
        <w:pStyle w:val="ab"/>
        <w:numPr>
          <w:ilvl w:val="0"/>
          <w:numId w:val="4"/>
        </w:numPr>
        <w:bidi/>
        <w:spacing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هدفت إلى تقييم أثر ممارسات التميز التنظيمي المتمثلة في (القيادة، التخطيط، إدارة الموارد، والتركيز على العميل) على جودة الخدمات الصحية، كما سعت إلى تحديد مستوى توافر أبعاد التميز التنظيمي في المستشفى محل الدراسة. اعتمدت الدراسة المنهج الوصفي المسحي، واستخدمت استبانة مكوّنة من (</w:t>
      </w:r>
      <w:r w:rsidR="00ED5DAB" w:rsidRPr="00362D29">
        <w:rPr>
          <w:rFonts w:ascii="Traditional Arabic" w:hAnsi="Traditional Arabic" w:cs="Traditional Arabic"/>
          <w:color w:val="000000" w:themeColor="text1"/>
          <w:rtl/>
        </w:rPr>
        <w:t>25</w:t>
      </w:r>
      <w:r w:rsidRPr="00362D29">
        <w:rPr>
          <w:rFonts w:ascii="Traditional Arabic" w:hAnsi="Traditional Arabic" w:cs="Traditional Arabic"/>
          <w:color w:val="000000" w:themeColor="text1"/>
          <w:rtl/>
        </w:rPr>
        <w:t>) عبارة كأداة لجمع البيانات. تمثل مجتمع الدراسة في جميع الأطباء والإداريين والموظفين بمستشفى علياء التخصصي بالخرطوم والبالغ عددهم (</w:t>
      </w:r>
      <w:r w:rsidR="00ED5DAB" w:rsidRPr="00362D29">
        <w:rPr>
          <w:rFonts w:ascii="Traditional Arabic" w:hAnsi="Traditional Arabic" w:cs="Traditional Arabic"/>
          <w:color w:val="000000" w:themeColor="text1"/>
          <w:rtl/>
        </w:rPr>
        <w:t>1700</w:t>
      </w:r>
      <w:r w:rsidRPr="00362D29">
        <w:rPr>
          <w:rFonts w:ascii="Traditional Arabic" w:hAnsi="Traditional Arabic" w:cs="Traditional Arabic"/>
          <w:color w:val="000000" w:themeColor="text1"/>
          <w:rtl/>
        </w:rPr>
        <w:t xml:space="preserve">) موظفًا، </w:t>
      </w:r>
      <w:r w:rsidR="00ED5DAB" w:rsidRPr="00362D29">
        <w:rPr>
          <w:rFonts w:ascii="Traditional Arabic" w:hAnsi="Traditional Arabic" w:cs="Traditional Arabic"/>
          <w:color w:val="000000" w:themeColor="text1"/>
          <w:rtl/>
        </w:rPr>
        <w:t>وبلغت عينة الدراسة (167) تم اختيارهم كعينة عشوائية من الأطباء والاداريين والموظفين</w:t>
      </w:r>
      <w:r w:rsidRPr="00362D29">
        <w:rPr>
          <w:rFonts w:ascii="Traditional Arabic" w:hAnsi="Traditional Arabic" w:cs="Traditional Arabic"/>
          <w:color w:val="000000" w:themeColor="text1"/>
        </w:rPr>
        <w:t>.</w:t>
      </w:r>
      <w:r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sz w:val="24"/>
          <w:szCs w:val="24"/>
          <w:rtl/>
        </w:rPr>
        <w:t>وأظهرت النتائج أن متوسط أبعاد التميز التنظيمي ككل بلغ (3.73 من 5) بتقدير ضعيف، كما تبين وجود علاقة إيجابية ذات دلالة إحصائية عند مستوى</w:t>
      </w:r>
      <w:r w:rsidRPr="00362D29">
        <w:rPr>
          <w:rFonts w:ascii="Traditional Arabic" w:hAnsi="Traditional Arabic" w:cs="Traditional Arabic"/>
          <w:color w:val="000000" w:themeColor="text1"/>
          <w:sz w:val="24"/>
          <w:szCs w:val="24"/>
        </w:rPr>
        <w:t xml:space="preserve"> (</w:t>
      </w:r>
      <w:r w:rsidRPr="00362D29">
        <w:rPr>
          <w:rFonts w:ascii="Cambria" w:hAnsi="Cambria" w:cs="Cambria"/>
          <w:color w:val="000000" w:themeColor="text1"/>
          <w:sz w:val="24"/>
          <w:szCs w:val="24"/>
        </w:rPr>
        <w:t>α</w:t>
      </w:r>
      <w:r w:rsidRPr="00362D29">
        <w:rPr>
          <w:rFonts w:ascii="Traditional Arabic" w:hAnsi="Traditional Arabic" w:cs="Traditional Arabic"/>
          <w:color w:val="000000" w:themeColor="text1"/>
          <w:sz w:val="24"/>
          <w:szCs w:val="24"/>
        </w:rPr>
        <w:t xml:space="preserve"> </w:t>
      </w:r>
      <w:r w:rsidRPr="00362D29">
        <w:rPr>
          <w:rFonts w:ascii="Cambria Math" w:hAnsi="Cambria Math" w:cs="Cambria Math"/>
          <w:color w:val="000000" w:themeColor="text1"/>
          <w:sz w:val="24"/>
          <w:szCs w:val="24"/>
        </w:rPr>
        <w:t>≤</w:t>
      </w:r>
      <w:r w:rsidRPr="00362D29">
        <w:rPr>
          <w:rFonts w:ascii="Traditional Arabic" w:hAnsi="Traditional Arabic" w:cs="Traditional Arabic"/>
          <w:color w:val="000000" w:themeColor="text1"/>
          <w:sz w:val="24"/>
          <w:szCs w:val="24"/>
        </w:rPr>
        <w:t xml:space="preserve"> 0.05) </w:t>
      </w:r>
      <w:r w:rsidRPr="00362D29">
        <w:rPr>
          <w:rFonts w:ascii="Traditional Arabic" w:hAnsi="Traditional Arabic" w:cs="Traditional Arabic"/>
          <w:color w:val="000000" w:themeColor="text1"/>
          <w:sz w:val="24"/>
          <w:szCs w:val="24"/>
          <w:rtl/>
        </w:rPr>
        <w:t>بين ممارسات التميز التنظيمي وجودة الخدمات الصحية، وأن بعد التخطيط حصل على أعلى متوسط (3.52)، يليه التركيز على العميل بمتوسط (3.82)، مما يعكس تأثير أبعاد التميز التنظيمي في تحسين جودة الخدمة الصحية</w:t>
      </w:r>
      <w:r w:rsidRPr="00362D29">
        <w:rPr>
          <w:rFonts w:ascii="Traditional Arabic" w:hAnsi="Traditional Arabic" w:cs="Traditional Arabic"/>
          <w:color w:val="000000" w:themeColor="text1"/>
          <w:sz w:val="24"/>
          <w:szCs w:val="24"/>
        </w:rPr>
        <w:t>.</w:t>
      </w:r>
      <w:r w:rsidR="00ED5DAB" w:rsidRPr="00362D29">
        <w:rPr>
          <w:rFonts w:ascii="Traditional Arabic" w:hAnsi="Traditional Arabic" w:cs="Traditional Arabic"/>
          <w:color w:val="000000" w:themeColor="text1"/>
          <w:rtl/>
        </w:rPr>
        <w:t xml:space="preserve"> كما تبين أن مستوى جودة الخدمات الصحية ككل كان ضعيفًا بمتوسط (3.22). وأكدت النتائج وجود علاقة ارتباط موجبة قوية بين أبعاد التميز التنظيمي وجودة الخدمة الصحية بلغت</w:t>
      </w:r>
      <w:r w:rsidR="00ED5DAB" w:rsidRPr="00362D29">
        <w:rPr>
          <w:rFonts w:ascii="Traditional Arabic" w:hAnsi="Traditional Arabic" w:cs="Traditional Arabic"/>
          <w:color w:val="000000" w:themeColor="text1"/>
        </w:rPr>
        <w:t xml:space="preserve"> (r = 0.795)</w:t>
      </w:r>
      <w:r w:rsidR="00ED5DAB" w:rsidRPr="00362D29">
        <w:rPr>
          <w:rFonts w:ascii="Traditional Arabic" w:hAnsi="Traditional Arabic" w:cs="Traditional Arabic"/>
          <w:color w:val="000000" w:themeColor="text1"/>
          <w:rtl/>
        </w:rPr>
        <w:t>، مما يشير إلى تأثير جوهري لممارسات التميز في تحسين جودة الخدمات الصحية</w:t>
      </w:r>
      <w:r w:rsidR="00ED5DAB" w:rsidRPr="00362D29">
        <w:rPr>
          <w:rFonts w:ascii="Traditional Arabic" w:hAnsi="Traditional Arabic" w:cs="Traditional Arabic"/>
          <w:color w:val="000000" w:themeColor="text1"/>
        </w:rPr>
        <w:t>.</w:t>
      </w:r>
    </w:p>
    <w:p w14:paraId="6C612984" w14:textId="77777777" w:rsidR="003B3512" w:rsidRPr="00362D29" w:rsidRDefault="00A00D6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(عبد البصير، 2021) بعنوان "العلاقة بين معايير نموذج التميز المؤسسي والأداء بالمؤسسات الحكومية وأثر ذلك على معدلات التنمية المستدامة (دراسة تطبيقية)"</w:t>
      </w:r>
      <w:r w:rsidRPr="00362D29">
        <w:rPr>
          <w:rFonts w:ascii="Traditional Arabic" w:hAnsi="Traditional Arabic" w:cs="Traditional Arabic"/>
          <w:color w:val="000000" w:themeColor="text1"/>
          <w:sz w:val="24"/>
          <w:szCs w:val="24"/>
          <w:rtl/>
        </w:rPr>
        <w:t xml:space="preserve"> </w:t>
      </w:r>
    </w:p>
    <w:p w14:paraId="4DFB7E2F" w14:textId="475EACD2" w:rsidR="005C12FA" w:rsidRPr="00362D29" w:rsidRDefault="00A00D63"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w:t>
      </w:r>
      <w:r w:rsidR="00914F3A" w:rsidRPr="00362D29">
        <w:rPr>
          <w:rFonts w:ascii="Traditional Arabic" w:hAnsi="Traditional Arabic" w:cs="Traditional Arabic"/>
          <w:color w:val="000000" w:themeColor="text1"/>
          <w:sz w:val="24"/>
          <w:szCs w:val="24"/>
          <w:rtl/>
        </w:rPr>
        <w:t>الدراسة</w:t>
      </w:r>
      <w:r w:rsidR="003B3512" w:rsidRPr="00362D29">
        <w:rPr>
          <w:rFonts w:ascii="Traditional Arabic" w:hAnsi="Traditional Arabic" w:cs="Traditional Arabic"/>
          <w:color w:val="000000" w:themeColor="text1"/>
          <w:sz w:val="24"/>
          <w:szCs w:val="24"/>
          <w:rtl/>
        </w:rPr>
        <w:t xml:space="preserve"> إلى توضيح دور تطبيق معايير نموذج التميز المؤسسي ومستوى الأداء بالمؤسسات الحكومية، وكذلك بيان </w:t>
      </w:r>
      <w:proofErr w:type="gramStart"/>
      <w:r w:rsidR="003B3512" w:rsidRPr="00362D29">
        <w:rPr>
          <w:rFonts w:ascii="Traditional Arabic" w:hAnsi="Traditional Arabic" w:cs="Traditional Arabic"/>
          <w:color w:val="000000" w:themeColor="text1"/>
          <w:sz w:val="24"/>
          <w:szCs w:val="24"/>
          <w:rtl/>
        </w:rPr>
        <w:t>اثر</w:t>
      </w:r>
      <w:proofErr w:type="gramEnd"/>
      <w:r w:rsidR="003B3512" w:rsidRPr="00362D29">
        <w:rPr>
          <w:rFonts w:ascii="Traditional Arabic" w:hAnsi="Traditional Arabic" w:cs="Traditional Arabic"/>
          <w:color w:val="000000" w:themeColor="text1"/>
          <w:sz w:val="24"/>
          <w:szCs w:val="24"/>
          <w:rtl/>
        </w:rPr>
        <w:t xml:space="preserve"> هذا الأداء على معدلات التنمية المستدامة</w:t>
      </w:r>
      <w:r w:rsidRPr="00362D29">
        <w:rPr>
          <w:rFonts w:ascii="Traditional Arabic" w:hAnsi="Traditional Arabic" w:cs="Traditional Arabic"/>
          <w:color w:val="000000" w:themeColor="text1"/>
          <w:sz w:val="24"/>
          <w:szCs w:val="24"/>
          <w:rtl/>
        </w:rPr>
        <w:t xml:space="preserve">. اعتمدت الدراسة على المنهج الوصفي التحليلي، واستخدمت الاستبانة أداةً رئيسة لجمع البيانات. تمثل مجتمع الدراسة </w:t>
      </w:r>
      <w:r w:rsidR="00157E0B" w:rsidRPr="00362D29">
        <w:rPr>
          <w:rFonts w:ascii="Traditional Arabic" w:hAnsi="Traditional Arabic" w:cs="Traditional Arabic"/>
          <w:color w:val="000000" w:themeColor="text1"/>
          <w:sz w:val="24"/>
          <w:szCs w:val="24"/>
          <w:rtl/>
        </w:rPr>
        <w:t xml:space="preserve">جميع العاملين بوزارة الأوقاف المصرية (محل الدراسة) </w:t>
      </w:r>
      <w:r w:rsidR="0079641E" w:rsidRPr="00362D29">
        <w:rPr>
          <w:rFonts w:ascii="Traditional Arabic" w:hAnsi="Traditional Arabic" w:cs="Traditional Arabic"/>
          <w:color w:val="000000" w:themeColor="text1"/>
          <w:sz w:val="24"/>
          <w:szCs w:val="24"/>
          <w:rtl/>
        </w:rPr>
        <w:t xml:space="preserve">ويبلغ عددهم (850) </w:t>
      </w:r>
      <w:proofErr w:type="gramStart"/>
      <w:r w:rsidR="0079641E" w:rsidRPr="00362D29">
        <w:rPr>
          <w:rFonts w:ascii="Traditional Arabic" w:hAnsi="Traditional Arabic" w:cs="Traditional Arabic"/>
          <w:color w:val="000000" w:themeColor="text1"/>
          <w:sz w:val="24"/>
          <w:szCs w:val="24"/>
          <w:rtl/>
        </w:rPr>
        <w:t xml:space="preserve">عامل </w:t>
      </w:r>
      <w:r w:rsidRPr="00362D29">
        <w:rPr>
          <w:rFonts w:ascii="Traditional Arabic" w:hAnsi="Traditional Arabic" w:cs="Traditional Arabic"/>
          <w:color w:val="000000" w:themeColor="text1"/>
          <w:sz w:val="24"/>
          <w:szCs w:val="24"/>
          <w:rtl/>
        </w:rPr>
        <w:t>،</w:t>
      </w:r>
      <w:proofErr w:type="gramEnd"/>
      <w:r w:rsidRPr="00362D29">
        <w:rPr>
          <w:rFonts w:ascii="Traditional Arabic" w:hAnsi="Traditional Arabic" w:cs="Traditional Arabic"/>
          <w:color w:val="000000" w:themeColor="text1"/>
          <w:sz w:val="24"/>
          <w:szCs w:val="24"/>
          <w:rtl/>
        </w:rPr>
        <w:t xml:space="preserve"> </w:t>
      </w:r>
      <w:r w:rsidR="00A211BE" w:rsidRPr="00362D29">
        <w:rPr>
          <w:rFonts w:ascii="Traditional Arabic" w:hAnsi="Traditional Arabic" w:cs="Traditional Arabic"/>
          <w:color w:val="000000" w:themeColor="text1"/>
          <w:sz w:val="24"/>
          <w:szCs w:val="24"/>
          <w:rtl/>
        </w:rPr>
        <w:t>وتم اختيار عينة عشوائية</w:t>
      </w:r>
      <w:r w:rsidRPr="00362D29">
        <w:rPr>
          <w:rFonts w:ascii="Traditional Arabic" w:hAnsi="Traditional Arabic" w:cs="Traditional Arabic"/>
          <w:color w:val="000000" w:themeColor="text1"/>
          <w:sz w:val="24"/>
          <w:szCs w:val="24"/>
          <w:rtl/>
        </w:rPr>
        <w:t xml:space="preserve"> </w:t>
      </w:r>
      <w:r w:rsidR="00286E6E" w:rsidRPr="00362D29">
        <w:rPr>
          <w:rFonts w:ascii="Traditional Arabic" w:hAnsi="Traditional Arabic" w:cs="Traditional Arabic"/>
          <w:color w:val="000000" w:themeColor="text1"/>
          <w:sz w:val="24"/>
          <w:szCs w:val="24"/>
          <w:rtl/>
        </w:rPr>
        <w:t>بعدد (</w:t>
      </w:r>
      <w:r w:rsidR="002D752D" w:rsidRPr="00362D29">
        <w:rPr>
          <w:rFonts w:ascii="Traditional Arabic" w:hAnsi="Traditional Arabic" w:cs="Traditional Arabic"/>
          <w:color w:val="000000" w:themeColor="text1"/>
          <w:sz w:val="24"/>
          <w:szCs w:val="24"/>
          <w:rtl/>
        </w:rPr>
        <w:t xml:space="preserve">285) </w:t>
      </w:r>
      <w:r w:rsidRPr="00362D29">
        <w:rPr>
          <w:rFonts w:ascii="Traditional Arabic" w:hAnsi="Traditional Arabic" w:cs="Traditional Arabic"/>
          <w:color w:val="000000" w:themeColor="text1"/>
          <w:sz w:val="24"/>
          <w:szCs w:val="24"/>
          <w:rtl/>
        </w:rPr>
        <w:t xml:space="preserve">من العاملين بهذه المؤسسات ممن يشغلون وظائف إدارية وإشرافية، حيث طُبقت عليهم أداة الدراسة بعد التحقق من صدقها وثباتها باستخدام معامل ألفا كرونباخ، والذي بلغ (0.976) لمقياس التميز المؤسسي، مما يدل على ارتفاع درجة الاتساق الداخلي للأداة. وأظهرت النتائج وجود علاقة ذات دلالة إحصائية بين تطبيق معايير نموذج التميز المؤسسي ومستوى الأداء المؤسسي، كما تبين وجود تأثير إيجابي للأداء المؤسسي على معدلات التنمية المستدامة. </w:t>
      </w:r>
    </w:p>
    <w:p w14:paraId="556E41E0" w14:textId="2F019A6B" w:rsidR="00C2039E"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w:t>
      </w:r>
      <w:r w:rsidRPr="00362D29">
        <w:rPr>
          <w:rFonts w:ascii="Traditional Arabic" w:hAnsi="Traditional Arabic" w:cs="Traditional Arabic"/>
          <w:b/>
          <w:bCs/>
          <w:color w:val="000000" w:themeColor="text1"/>
          <w:sz w:val="24"/>
          <w:szCs w:val="24"/>
        </w:rPr>
        <w:t xml:space="preserve"> </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Mohamed et al.</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2018) </w:t>
      </w:r>
      <w:r w:rsidRPr="00362D29">
        <w:rPr>
          <w:rFonts w:ascii="Traditional Arabic" w:hAnsi="Traditional Arabic" w:cs="Traditional Arabic"/>
          <w:b/>
          <w:bCs/>
          <w:color w:val="000000" w:themeColor="text1"/>
          <w:sz w:val="24"/>
          <w:szCs w:val="24"/>
          <w:rtl/>
        </w:rPr>
        <w:t>بعنوان</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Effect of organizational excellence and employee performance on organizational productivity within healthcare sector in the UAE</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sz w:val="24"/>
          <w:szCs w:val="24"/>
          <w:rtl/>
        </w:rPr>
        <w:t xml:space="preserve"> </w:t>
      </w:r>
    </w:p>
    <w:p w14:paraId="0EACBBEF" w14:textId="77777777" w:rsidR="00CA3CC3" w:rsidRPr="00362D29" w:rsidRDefault="00CA3CC3"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قياس أثر التميز المؤسسي بأبعاده (مبادئ التميز وممارسات التميز) على الإنتاجية التنظيمية. كما هدفت أيضا الى تحليل تأثير أداء العاملين على الإنتاجية التنظيمية في قطاع الرعاية الصحية بدولة الإمارات العربية المتحدة. استخدمت الدراسة المنهج الكمي التحليلي، واعتمدت نموذج المعادلات الهيكلية بطريقة المربعات الصغرى الجزئية (</w:t>
      </w:r>
      <w:r w:rsidRPr="00362D29">
        <w:rPr>
          <w:rFonts w:ascii="Traditional Arabic" w:hAnsi="Traditional Arabic" w:cs="Traditional Arabic"/>
          <w:color w:val="000000" w:themeColor="text1"/>
          <w:sz w:val="24"/>
          <w:szCs w:val="24"/>
        </w:rPr>
        <w:t>PLS-SEM</w:t>
      </w:r>
      <w:r w:rsidRPr="00362D29">
        <w:rPr>
          <w:rFonts w:ascii="Traditional Arabic" w:hAnsi="Traditional Arabic" w:cs="Traditional Arabic"/>
          <w:color w:val="000000" w:themeColor="text1"/>
          <w:sz w:val="24"/>
          <w:szCs w:val="24"/>
          <w:rtl/>
        </w:rPr>
        <w:t xml:space="preserve">) عبر برنامج </w:t>
      </w:r>
      <w:r w:rsidRPr="00362D29">
        <w:rPr>
          <w:rFonts w:ascii="Traditional Arabic" w:hAnsi="Traditional Arabic" w:cs="Traditional Arabic"/>
          <w:color w:val="000000" w:themeColor="text1"/>
          <w:sz w:val="24"/>
          <w:szCs w:val="24"/>
        </w:rPr>
        <w:t>SmartPLS 3.0</w:t>
      </w:r>
      <w:r w:rsidRPr="00362D29">
        <w:rPr>
          <w:rFonts w:ascii="Traditional Arabic" w:hAnsi="Traditional Arabic" w:cs="Traditional Arabic"/>
          <w:color w:val="000000" w:themeColor="text1"/>
          <w:sz w:val="24"/>
          <w:szCs w:val="24"/>
          <w:rtl/>
        </w:rPr>
        <w:t xml:space="preserve"> لاختبار الفرضيات. تكون مجتمع الدراسة من العاملين في هيئة الصحة بأبوظبي (</w:t>
      </w:r>
      <w:r w:rsidRPr="00362D29">
        <w:rPr>
          <w:rFonts w:ascii="Traditional Arabic" w:hAnsi="Traditional Arabic" w:cs="Traditional Arabic"/>
          <w:color w:val="000000" w:themeColor="text1"/>
          <w:sz w:val="24"/>
          <w:szCs w:val="24"/>
        </w:rPr>
        <w:t>HAAD</w:t>
      </w:r>
      <w:r w:rsidRPr="00362D29">
        <w:rPr>
          <w:rFonts w:ascii="Traditional Arabic" w:hAnsi="Traditional Arabic" w:cs="Traditional Arabic"/>
          <w:color w:val="000000" w:themeColor="text1"/>
          <w:sz w:val="24"/>
          <w:szCs w:val="24"/>
          <w:rtl/>
        </w:rPr>
        <w:t xml:space="preserve">)، وتم توزيع 400 استبانة، استُرجع منها 290، وبلغت العينة النهائية 256 مفردة أظهرت النتائج وجود تأثير إيجابي دال إحصائياً لكل من مبادئ وممارسات التميز على الإنتاجية التنظيمية. كما وضحت النتائج أن أداء العاملين يُعد المتغير الأكثر تأثيراً على الإنتاجية </w:t>
      </w:r>
      <w:proofErr w:type="gramStart"/>
      <w:r w:rsidRPr="00362D29">
        <w:rPr>
          <w:rFonts w:ascii="Traditional Arabic" w:hAnsi="Traditional Arabic" w:cs="Traditional Arabic"/>
          <w:color w:val="000000" w:themeColor="text1"/>
          <w:sz w:val="24"/>
          <w:szCs w:val="24"/>
          <w:rtl/>
        </w:rPr>
        <w:t>التنظيمية ،</w:t>
      </w:r>
      <w:proofErr w:type="gramEnd"/>
      <w:r w:rsidRPr="00362D29">
        <w:rPr>
          <w:rFonts w:ascii="Traditional Arabic" w:hAnsi="Traditional Arabic" w:cs="Traditional Arabic"/>
          <w:color w:val="000000" w:themeColor="text1"/>
          <w:sz w:val="24"/>
          <w:szCs w:val="24"/>
          <w:rtl/>
        </w:rPr>
        <w:t xml:space="preserve"> وفسّر النموذج ما نسبته 64%–65% من التباين في الإنتاجية التنظيمية، مما يدل على قوة القدرة التفسيرية للنموذج.</w:t>
      </w:r>
    </w:p>
    <w:p w14:paraId="7B178D8C" w14:textId="5E55BC28" w:rsidR="00CA3CC3" w:rsidRPr="00362D29" w:rsidRDefault="00D261D5"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(Alanazi, 2017)</w:t>
      </w:r>
      <w:r w:rsidR="00BC0CF7"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"A Comparative Empirical Investigation of Business Excellence Models in the Kingdom of Saudi Arabia"</w:t>
      </w:r>
      <w:r w:rsidRPr="00362D29">
        <w:rPr>
          <w:rFonts w:ascii="Traditional Arabic" w:hAnsi="Traditional Arabic" w:cs="Traditional Arabic"/>
          <w:b/>
          <w:bCs/>
          <w:color w:val="000000" w:themeColor="text1"/>
          <w:sz w:val="24"/>
          <w:szCs w:val="24"/>
          <w:rtl/>
        </w:rPr>
        <w:t>، وهي رسالة دكتوراه أُنجزت عام 2017 وأُتيحت إلكترونيًا في مستودع جامعة</w:t>
      </w:r>
      <w:r w:rsidRPr="00362D29">
        <w:rPr>
          <w:rFonts w:ascii="Traditional Arabic" w:hAnsi="Traditional Arabic" w:cs="Traditional Arabic"/>
          <w:b/>
          <w:bCs/>
          <w:color w:val="000000" w:themeColor="text1"/>
          <w:sz w:val="24"/>
          <w:szCs w:val="24"/>
        </w:rPr>
        <w:t xml:space="preserve"> Hull </w:t>
      </w:r>
      <w:r w:rsidRPr="00362D29">
        <w:rPr>
          <w:rFonts w:ascii="Traditional Arabic" w:hAnsi="Traditional Arabic" w:cs="Traditional Arabic"/>
          <w:b/>
          <w:bCs/>
          <w:color w:val="000000" w:themeColor="text1"/>
          <w:sz w:val="24"/>
          <w:szCs w:val="24"/>
          <w:rtl/>
        </w:rPr>
        <w:t>عام 2023</w:t>
      </w:r>
      <w:r w:rsidRPr="00362D29">
        <w:rPr>
          <w:rFonts w:ascii="Traditional Arabic" w:hAnsi="Traditional Arabic" w:cs="Traditional Arabic"/>
          <w:b/>
          <w:bCs/>
          <w:color w:val="000000" w:themeColor="text1"/>
          <w:sz w:val="24"/>
          <w:szCs w:val="24"/>
        </w:rPr>
        <w:t xml:space="preserve">. </w:t>
      </w:r>
    </w:p>
    <w:p w14:paraId="736803F4" w14:textId="7FA2F872" w:rsidR="0012486F" w:rsidRPr="00362D29" w:rsidRDefault="00D261D5" w:rsidP="00C42472">
      <w:pPr>
        <w:pStyle w:val="ab"/>
        <w:numPr>
          <w:ilvl w:val="0"/>
          <w:numId w:val="4"/>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هدفت الدراسة إلى إجراء مقارنة تجريبية بين نماذج التميز المؤسسي الثلاثة: النموذج الأمريكي (</w:t>
      </w:r>
      <w:r w:rsidRPr="00362D29">
        <w:rPr>
          <w:rFonts w:ascii="Traditional Arabic" w:hAnsi="Traditional Arabic" w:cs="Traditional Arabic"/>
          <w:color w:val="000000" w:themeColor="text1"/>
          <w:sz w:val="24"/>
          <w:szCs w:val="24"/>
        </w:rPr>
        <w:t>Malcolm Baldrige</w:t>
      </w:r>
      <w:r w:rsidRPr="00362D29">
        <w:rPr>
          <w:rFonts w:ascii="Traditional Arabic" w:hAnsi="Traditional Arabic" w:cs="Traditional Arabic"/>
          <w:color w:val="000000" w:themeColor="text1"/>
          <w:sz w:val="24"/>
          <w:szCs w:val="24"/>
          <w:rtl/>
        </w:rPr>
        <w:t>)، والنموذج الأوروبي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والنموذج الوطني السعودي (</w:t>
      </w:r>
      <w:r w:rsidRPr="00362D29">
        <w:rPr>
          <w:rFonts w:ascii="Traditional Arabic" w:hAnsi="Traditional Arabic" w:cs="Traditional Arabic"/>
          <w:color w:val="000000" w:themeColor="text1"/>
          <w:sz w:val="24"/>
          <w:szCs w:val="24"/>
        </w:rPr>
        <w:t>KAQA BEM</w:t>
      </w:r>
      <w:r w:rsidRPr="00362D29">
        <w:rPr>
          <w:rFonts w:ascii="Traditional Arabic" w:hAnsi="Traditional Arabic" w:cs="Traditional Arabic"/>
          <w:color w:val="000000" w:themeColor="text1"/>
          <w:sz w:val="24"/>
          <w:szCs w:val="24"/>
          <w:rtl/>
        </w:rPr>
        <w:t xml:space="preserve">)، بهدف تحديد مدى ملاءمة كل نموذج للسياق التنظيمي في المملكة العربية السعودية، وتحليل العلاقات الهيكلية بين معايير كل نموذج ومدى تأثيرها على نتائج الأداء </w:t>
      </w:r>
      <w:r w:rsidR="000037A2" w:rsidRPr="00362D29">
        <w:rPr>
          <w:rFonts w:ascii="Traditional Arabic" w:hAnsi="Traditional Arabic" w:cs="Traditional Arabic"/>
          <w:color w:val="000000" w:themeColor="text1"/>
          <w:sz w:val="24"/>
          <w:szCs w:val="24"/>
          <w:rtl/>
        </w:rPr>
        <w:t>المؤسسي. اعتمدت</w:t>
      </w:r>
      <w:r w:rsidRPr="00362D29">
        <w:rPr>
          <w:rFonts w:ascii="Traditional Arabic" w:hAnsi="Traditional Arabic" w:cs="Traditional Arabic"/>
          <w:color w:val="000000" w:themeColor="text1"/>
          <w:sz w:val="24"/>
          <w:szCs w:val="24"/>
          <w:rtl/>
        </w:rPr>
        <w:t xml:space="preserve"> الدراسة على المنهج الكمي التحليلي، واستخدمت نمذجة 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xml:space="preserve">) لاختبار العلاقات بين المعايير المختلفة للنماذج الثلاثة. وتمثل مجتمع الدراسة في المنظمات السعودية التي تطبق نماذج التميز المؤسسي، وبلغت العينة (233) منظمة من قطاعات مختلفة داخل المملكة العربية </w:t>
      </w:r>
      <w:r w:rsidR="000037A2" w:rsidRPr="00362D29">
        <w:rPr>
          <w:rFonts w:ascii="Traditional Arabic" w:hAnsi="Traditional Arabic" w:cs="Traditional Arabic"/>
          <w:color w:val="000000" w:themeColor="text1"/>
          <w:sz w:val="24"/>
          <w:szCs w:val="24"/>
          <w:rtl/>
        </w:rPr>
        <w:t>السعودية. وأظهرت</w:t>
      </w:r>
      <w:r w:rsidRPr="00362D29">
        <w:rPr>
          <w:rFonts w:ascii="Traditional Arabic" w:hAnsi="Traditional Arabic" w:cs="Traditional Arabic"/>
          <w:color w:val="000000" w:themeColor="text1"/>
          <w:sz w:val="24"/>
          <w:szCs w:val="24"/>
          <w:rtl/>
        </w:rPr>
        <w:t xml:space="preserve"> النتائج أن النموذج الوطني السعودي للتميز المؤسسي (</w:t>
      </w:r>
      <w:r w:rsidRPr="00362D29">
        <w:rPr>
          <w:rFonts w:ascii="Traditional Arabic" w:hAnsi="Traditional Arabic" w:cs="Traditional Arabic"/>
          <w:color w:val="000000" w:themeColor="text1"/>
          <w:sz w:val="24"/>
          <w:szCs w:val="24"/>
        </w:rPr>
        <w:t>KAQA BEM</w:t>
      </w:r>
      <w:r w:rsidRPr="00362D29">
        <w:rPr>
          <w:rFonts w:ascii="Traditional Arabic" w:hAnsi="Traditional Arabic" w:cs="Traditional Arabic"/>
          <w:color w:val="000000" w:themeColor="text1"/>
          <w:sz w:val="24"/>
          <w:szCs w:val="24"/>
          <w:rtl/>
        </w:rPr>
        <w:t>) يُعد أكثر ملاءمة للبيئة السعودية مقارنة بالنموذجين الأوروبي والأمريكي، نظرًا لتكييفه مع الخصوصية الثقافية والتنظيمية الوطنية. كما كشفت النتائج عن وجود علاقات ارتباط قوية بين معايير القيادة والتخطيط الاستراتيجي وإدارة العمليات داخل النموذج السعودي، مما يعزز من فعاليته في دعم الأداء المؤسسي المستدام.</w:t>
      </w:r>
    </w:p>
    <w:p w14:paraId="4DAADAC1" w14:textId="77777777" w:rsidR="003F2B2E" w:rsidRDefault="003F2B2E" w:rsidP="00362D29">
      <w:pPr>
        <w:tabs>
          <w:tab w:val="left" w:pos="1074"/>
        </w:tabs>
        <w:bidi/>
        <w:spacing w:before="240" w:after="0" w:line="360" w:lineRule="auto"/>
        <w:rPr>
          <w:rFonts w:ascii="Traditional Arabic" w:hAnsi="Traditional Arabic" w:cs="Traditional Arabic"/>
          <w:b/>
          <w:bCs/>
          <w:color w:val="000000" w:themeColor="text1"/>
          <w:sz w:val="24"/>
          <w:szCs w:val="24"/>
          <w:u w:val="single"/>
          <w:rtl/>
        </w:rPr>
      </w:pPr>
    </w:p>
    <w:p w14:paraId="7006A512" w14:textId="77777777" w:rsidR="003F2B2E" w:rsidRDefault="003F2B2E" w:rsidP="003F2B2E">
      <w:pPr>
        <w:tabs>
          <w:tab w:val="left" w:pos="1074"/>
        </w:tabs>
        <w:bidi/>
        <w:spacing w:before="240" w:after="0" w:line="360" w:lineRule="auto"/>
        <w:rPr>
          <w:rFonts w:ascii="Traditional Arabic" w:hAnsi="Traditional Arabic" w:cs="Traditional Arabic"/>
          <w:b/>
          <w:bCs/>
          <w:color w:val="000000" w:themeColor="text1"/>
          <w:sz w:val="24"/>
          <w:szCs w:val="24"/>
          <w:u w:val="single"/>
          <w:rtl/>
        </w:rPr>
      </w:pPr>
    </w:p>
    <w:p w14:paraId="5431961E" w14:textId="3C713231" w:rsidR="00947153" w:rsidRPr="003F2B2E" w:rsidRDefault="00947153" w:rsidP="003F2B2E">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roofErr w:type="gramStart"/>
      <w:r w:rsidRPr="003F2B2E">
        <w:rPr>
          <w:rFonts w:ascii="Traditional Arabic" w:hAnsi="Traditional Arabic" w:cs="Traditional Arabic"/>
          <w:b/>
          <w:bCs/>
          <w:color w:val="000000" w:themeColor="text1"/>
          <w:sz w:val="32"/>
          <w:szCs w:val="32"/>
          <w:u w:val="single"/>
          <w:rtl/>
        </w:rPr>
        <w:lastRenderedPageBreak/>
        <w:t>ثانياً :</w:t>
      </w:r>
      <w:proofErr w:type="gramEnd"/>
      <w:r w:rsidRPr="003F2B2E">
        <w:rPr>
          <w:rFonts w:ascii="Traditional Arabic" w:hAnsi="Traditional Arabic" w:cs="Traditional Arabic"/>
          <w:b/>
          <w:bCs/>
          <w:color w:val="000000" w:themeColor="text1"/>
          <w:sz w:val="32"/>
          <w:szCs w:val="32"/>
          <w:u w:val="single"/>
          <w:rtl/>
        </w:rPr>
        <w:t xml:space="preserve"> الدراسات المتعلقة بمحور تجربة المريض</w:t>
      </w:r>
      <w:r w:rsidR="003F2B2E">
        <w:rPr>
          <w:rFonts w:ascii="Traditional Arabic" w:hAnsi="Traditional Arabic" w:cs="Traditional Arabic" w:hint="cs"/>
          <w:b/>
          <w:bCs/>
          <w:color w:val="000000" w:themeColor="text1"/>
          <w:sz w:val="32"/>
          <w:szCs w:val="32"/>
          <w:u w:val="single"/>
          <w:rtl/>
        </w:rPr>
        <w:t xml:space="preserve"> (المتغير التابع)</w:t>
      </w:r>
    </w:p>
    <w:p w14:paraId="4D15F78C" w14:textId="77777777" w:rsidR="001C0E2F" w:rsidRPr="00362D29" w:rsidRDefault="002C5E94" w:rsidP="00C42472">
      <w:pPr>
        <w:pStyle w:val="ab"/>
        <w:numPr>
          <w:ilvl w:val="0"/>
          <w:numId w:val="5"/>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rtl/>
        </w:rPr>
        <w:t>دراسة (</w:t>
      </w:r>
      <w:r w:rsidRPr="00362D29">
        <w:rPr>
          <w:rFonts w:ascii="Traditional Arabic" w:hAnsi="Traditional Arabic" w:cs="Traditional Arabic"/>
          <w:b/>
          <w:bCs/>
          <w:color w:val="000000" w:themeColor="text1"/>
        </w:rPr>
        <w:t>El Dalatony et al., 2026</w:t>
      </w:r>
      <w:r w:rsidRPr="00362D29">
        <w:rPr>
          <w:rFonts w:ascii="Traditional Arabic" w:hAnsi="Traditional Arabic" w:cs="Traditional Arabic"/>
          <w:b/>
          <w:bCs/>
          <w:color w:val="000000" w:themeColor="text1"/>
          <w:rtl/>
        </w:rPr>
        <w:t>) بعنوان"</w:t>
      </w:r>
      <w:r w:rsidRPr="00362D29">
        <w:rPr>
          <w:rFonts w:ascii="Traditional Arabic" w:hAnsi="Traditional Arabic" w:cs="Traditional Arabic"/>
          <w:b/>
          <w:bCs/>
          <w:color w:val="000000" w:themeColor="text1"/>
        </w:rPr>
        <w:t>Assessment of Patient Satisfaction Levels and Determinants in Outpatient Clinics of Ministry of Health Tertiary Hospitals in Saudi Arabia: A Survey Analysis</w:t>
      </w:r>
      <w:r w:rsidRPr="00362D29">
        <w:rPr>
          <w:rFonts w:ascii="Traditional Arabic" w:hAnsi="Traditional Arabic" w:cs="Traditional Arabic"/>
          <w:b/>
          <w:bCs/>
          <w:color w:val="000000" w:themeColor="text1"/>
          <w:rtl/>
        </w:rPr>
        <w:t>"</w:t>
      </w:r>
      <w:r w:rsidRPr="00362D29">
        <w:rPr>
          <w:rFonts w:ascii="Traditional Arabic" w:hAnsi="Traditional Arabic" w:cs="Traditional Arabic"/>
          <w:color w:val="000000" w:themeColor="text1"/>
          <w:rtl/>
        </w:rPr>
        <w:t xml:space="preserve"> </w:t>
      </w:r>
    </w:p>
    <w:p w14:paraId="0EED8602" w14:textId="26D82526" w:rsidR="002C5E94" w:rsidRPr="00362D29" w:rsidRDefault="002C5E94" w:rsidP="00C42472">
      <w:pPr>
        <w:pStyle w:val="ab"/>
        <w:numPr>
          <w:ilvl w:val="0"/>
          <w:numId w:val="4"/>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 xml:space="preserve">هدفت الدراسة إلى تقييم مستويات رضا المرضى عن تجربتهم في تلقي خدمات العيادات الخارجية في مستشفيات وزارة الصحة التخصصية بالمملكة العربية السعودية، كما سعت إلى تحليل محددات الرضا المرتبطة بالعوامل الديموغرافية والإقليمية في ضوء مستهدفات رؤية السعودية 2030 لتحسين جودة الرعاية الصحية. اعتمدت الدراسة المنهج الوصفي التحليلي بتصميم مقطعي وطني، من خلال تحليل ثانوي لبيانات استبيان </w:t>
      </w:r>
      <w:r w:rsidRPr="00362D29">
        <w:rPr>
          <w:rFonts w:ascii="Traditional Arabic" w:hAnsi="Traditional Arabic" w:cs="Traditional Arabic"/>
          <w:color w:val="000000" w:themeColor="text1"/>
        </w:rPr>
        <w:t>Press Ganey</w:t>
      </w:r>
      <w:r w:rsidRPr="00362D29">
        <w:rPr>
          <w:rFonts w:ascii="Traditional Arabic" w:hAnsi="Traditional Arabic" w:cs="Traditional Arabic"/>
          <w:color w:val="000000" w:themeColor="text1"/>
          <w:rtl/>
        </w:rPr>
        <w:t xml:space="preserve"> المعياري المُدار ذاتيًا إلكترونيًا من قبل برنامج قياس تجربة المريض بوزارة الصحة، والذي يوُزِّع عبر الهواتف المحمولة على المرضى بعد زيارتهم للعيادات الخارجية لتقييم تجربة المريض خلال الفترة من يناير إلى ديسمبر 2023 في خمس مناطق جغرافية (الوسطى، الشرقية، الشمالية، الغربية، الجنوبية). شمل الاستبيان 32 سؤالًا موزعة على 10 مجالات، واستخدم مقياس ليكرت خماسي حُوِّل إلى مقياس مئوي (0–100). استُخدم برنامج </w:t>
      </w:r>
      <w:r w:rsidRPr="00362D29">
        <w:rPr>
          <w:rFonts w:ascii="Traditional Arabic" w:hAnsi="Traditional Arabic" w:cs="Traditional Arabic"/>
          <w:color w:val="000000" w:themeColor="text1"/>
        </w:rPr>
        <w:t>SPSS</w:t>
      </w:r>
      <w:r w:rsidRPr="00362D29">
        <w:rPr>
          <w:rFonts w:ascii="Traditional Arabic" w:hAnsi="Traditional Arabic" w:cs="Traditional Arabic"/>
          <w:color w:val="000000" w:themeColor="text1"/>
          <w:rtl/>
        </w:rPr>
        <w:t xml:space="preserve"> للتحليل الإحصائي، مع مجموعة مناسبة من الاختبارات الاحصائية. تكوّن مجتمع الدراسة من جميع المرضى الذين استجابوا للاستبيان الإلكتروني بعد زيارتهم للعيادات الخارجية بمستشفيات وزارة الصحة التخصصية، وبلغ عدد الاستجابات الكلي 124,874 استبيانًا، استُبعد منها غير المكتمل (&lt;50%)، ليبلغ حجم العينة النهائية 110,312 مشاركًا. أظهرت النتائج أن متوسط الرضا العام عن تجربة المرضى بخدمات العيادات الخارجية بلغ 78.4%، مع تسجيل أعلى درجات الرضا في التجربة بخدمات المختبر (85.2%) والصيدلية (84.5%) والأشعة (83.7%)، بينما سجلت مجالات أوقات الانتظار وسهولة الحركة داخل النظام أدنى الدرجات (71.3%). كما بينت النتائج وجود فروق ذات دلالة إحصائية حسب العمر والجنس والمنطقة، حيث سجل كبار السن (</w:t>
      </w:r>
      <w:r w:rsidRPr="00362D29">
        <w:rPr>
          <w:rFonts w:ascii="Cambria Math" w:hAnsi="Cambria Math" w:cs="Cambria Math" w:hint="cs"/>
          <w:color w:val="000000" w:themeColor="text1"/>
          <w:rtl/>
        </w:rPr>
        <w:t>≥</w:t>
      </w:r>
      <w:r w:rsidRPr="00362D29">
        <w:rPr>
          <w:rFonts w:ascii="Traditional Arabic" w:hAnsi="Traditional Arabic" w:cs="Traditional Arabic"/>
          <w:color w:val="000000" w:themeColor="text1"/>
          <w:rtl/>
        </w:rPr>
        <w:t>65 سنة) أعلى مستوى رضا عن تجربتهم (81.1%)، بينما أظهر الشباب (19–29 سنة) أدنى مستويات الرضا، وسجلت المنطقة الجنوبية أعلى رضا عام (82.6%) مقارنة بالمنطقة الغربية التي سجلت الأدنى (74.4%).</w:t>
      </w:r>
    </w:p>
    <w:p w14:paraId="512D3FC3" w14:textId="77777777" w:rsidR="001C0E2F" w:rsidRPr="00362D29" w:rsidRDefault="007B5184" w:rsidP="00C42472">
      <w:pPr>
        <w:pStyle w:val="ab"/>
        <w:numPr>
          <w:ilvl w:val="0"/>
          <w:numId w:val="5"/>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sz w:val="24"/>
          <w:szCs w:val="24"/>
          <w:rtl/>
        </w:rPr>
        <w:t xml:space="preserve">دراسة (السنان، 2026) بعنوان </w:t>
      </w:r>
      <w:r w:rsidR="00D3554B" w:rsidRPr="00362D29">
        <w:rPr>
          <w:rFonts w:ascii="Traditional Arabic" w:hAnsi="Traditional Arabic" w:cs="Traditional Arabic"/>
          <w:b/>
          <w:bCs/>
          <w:color w:val="000000" w:themeColor="text1"/>
          <w:sz w:val="24"/>
          <w:szCs w:val="24"/>
          <w:rtl/>
        </w:rPr>
        <w:t>"</w:t>
      </w:r>
      <w:r w:rsidR="00910F1D" w:rsidRPr="00362D29">
        <w:rPr>
          <w:rFonts w:ascii="Traditional Arabic" w:hAnsi="Traditional Arabic" w:cs="Traditional Arabic"/>
          <w:b/>
          <w:bCs/>
          <w:color w:val="000000" w:themeColor="text1"/>
          <w:sz w:val="24"/>
          <w:szCs w:val="24"/>
          <w:rtl/>
        </w:rPr>
        <w:t xml:space="preserve">فعالية تقييم وادارة تجربة المريض وقياس تأثيرها على جودة أداء تمريض </w:t>
      </w:r>
      <w:r w:rsidR="0095463E" w:rsidRPr="00362D29">
        <w:rPr>
          <w:rFonts w:ascii="Traditional Arabic" w:hAnsi="Traditional Arabic" w:cs="Traditional Arabic"/>
          <w:b/>
          <w:bCs/>
          <w:color w:val="000000" w:themeColor="text1"/>
          <w:sz w:val="24"/>
          <w:szCs w:val="24"/>
          <w:rtl/>
        </w:rPr>
        <w:t>الرعاية المنزلية</w:t>
      </w:r>
      <w:r w:rsidR="00910F1D" w:rsidRPr="00362D29">
        <w:rPr>
          <w:rFonts w:ascii="Traditional Arabic" w:hAnsi="Traditional Arabic" w:cs="Traditional Arabic"/>
          <w:b/>
          <w:bCs/>
          <w:color w:val="000000" w:themeColor="text1"/>
          <w:sz w:val="24"/>
          <w:szCs w:val="24"/>
          <w:rtl/>
        </w:rPr>
        <w:t xml:space="preserve"> بالسعودية </w:t>
      </w:r>
      <w:r w:rsidRPr="00362D29">
        <w:rPr>
          <w:rFonts w:ascii="Traditional Arabic" w:hAnsi="Traditional Arabic" w:cs="Traditional Arabic"/>
          <w:b/>
          <w:bCs/>
          <w:color w:val="000000" w:themeColor="text1"/>
          <w:sz w:val="24"/>
          <w:szCs w:val="24"/>
          <w:rtl/>
        </w:rPr>
        <w:t>"</w:t>
      </w:r>
    </w:p>
    <w:p w14:paraId="2717EB8D" w14:textId="5361274B" w:rsidR="00C0331A" w:rsidRPr="00362D29" w:rsidRDefault="00D3554B" w:rsidP="00C42472">
      <w:pPr>
        <w:pStyle w:val="ab"/>
        <w:numPr>
          <w:ilvl w:val="0"/>
          <w:numId w:val="4"/>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هدفت الدراسة إلى تحليل العلاقة بين فعالية قياس تجربة المريض بأبعادها المختلفة</w:t>
      </w:r>
      <w:r w:rsidR="006F557F" w:rsidRPr="00362D29">
        <w:rPr>
          <w:rFonts w:ascii="Traditional Arabic" w:hAnsi="Traditional Arabic" w:cs="Traditional Arabic"/>
          <w:color w:val="000000" w:themeColor="text1"/>
          <w:rtl/>
        </w:rPr>
        <w:t xml:space="preserve"> (وضوح الأهداف، الموثوقية، الشمولية، التأثير على تحسين الجودة، استخدام النتائج في اتخاذ القرارات</w:t>
      </w:r>
      <w:r w:rsidR="005C229F" w:rsidRPr="00362D29">
        <w:rPr>
          <w:rFonts w:ascii="Traditional Arabic" w:hAnsi="Traditional Arabic" w:cs="Traditional Arabic"/>
          <w:color w:val="000000" w:themeColor="text1"/>
          <w:rtl/>
        </w:rPr>
        <w:t>)</w:t>
      </w:r>
      <w:r w:rsidR="006F557F"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rtl/>
        </w:rPr>
        <w:t>وجودة أداء تمريض الرعاية الصحية المنزلية في المملكة العربية السعودية، كما سعت إلى توضيح كيفية توظيف نتائج قياس تجربة المريض في تطوير الأداء المهني وتحسين برامج التدريب التمريضي. اعتمدت الدراسة على الفلسفة الوضعية باستخدام النهج الاستنباطي والمنهج الكمي من خلال استراتيجية المسح الميداني، وتم جمع البيانات عبر استبانة محكمة خضعت لاختبارات الصدق والثبات باستخدام معامل كرونباخ ألفا. تكوّن مجتمع الدراسة من جميع الممرضين والممرضات العاملين في الرعاية الصحية المنزلية والبالغ عددهم (1,058) فردًا، وتم اختيار عينة عشوائية بسيطة بلغ حجمها (283) مفردة</w:t>
      </w:r>
      <w:r w:rsidRPr="00362D29">
        <w:rPr>
          <w:rFonts w:ascii="Traditional Arabic" w:hAnsi="Traditional Arabic" w:cs="Traditional Arabic"/>
          <w:color w:val="000000" w:themeColor="text1"/>
        </w:rPr>
        <w:t>.</w:t>
      </w:r>
      <w:r w:rsidR="005C229F"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sz w:val="24"/>
          <w:szCs w:val="24"/>
          <w:rtl/>
        </w:rPr>
        <w:t xml:space="preserve">أظهرت النتائج وجود علاقة إيجابية ذات </w:t>
      </w:r>
      <w:r w:rsidRPr="00362D29">
        <w:rPr>
          <w:rFonts w:ascii="Traditional Arabic" w:hAnsi="Traditional Arabic" w:cs="Traditional Arabic"/>
          <w:color w:val="000000" w:themeColor="text1"/>
          <w:sz w:val="24"/>
          <w:szCs w:val="24"/>
          <w:rtl/>
        </w:rPr>
        <w:lastRenderedPageBreak/>
        <w:t xml:space="preserve">دلالة إحصائية عند مستوى (0.05) بين فعالية قياس تجربة المريض وجودة أداء التمريض، كما تبين أن بُعد شمولية التقييم يُعد متغيرًا تنبؤيًا مؤثرًا بشكل مباشر في جودة </w:t>
      </w:r>
      <w:proofErr w:type="gramStart"/>
      <w:r w:rsidRPr="00362D29">
        <w:rPr>
          <w:rFonts w:ascii="Traditional Arabic" w:hAnsi="Traditional Arabic" w:cs="Traditional Arabic"/>
          <w:color w:val="000000" w:themeColor="text1"/>
          <w:sz w:val="24"/>
          <w:szCs w:val="24"/>
          <w:rtl/>
        </w:rPr>
        <w:t>الأداء ،</w:t>
      </w:r>
      <w:proofErr w:type="gramEnd"/>
      <w:r w:rsidRPr="00362D29">
        <w:rPr>
          <w:rFonts w:ascii="Traditional Arabic" w:hAnsi="Traditional Arabic" w:cs="Traditional Arabic"/>
          <w:color w:val="000000" w:themeColor="text1"/>
          <w:sz w:val="24"/>
          <w:szCs w:val="24"/>
          <w:rtl/>
        </w:rPr>
        <w:t xml:space="preserve"> مما يؤكد أهمية تطوير آليات قياس تجربة المريض لتعزيز كفاءة الأداء التمريضي</w:t>
      </w:r>
      <w:r w:rsidRPr="00362D29">
        <w:rPr>
          <w:rFonts w:ascii="Traditional Arabic" w:hAnsi="Traditional Arabic" w:cs="Traditional Arabic"/>
          <w:color w:val="000000" w:themeColor="text1"/>
          <w:sz w:val="24"/>
          <w:szCs w:val="24"/>
        </w:rPr>
        <w:t>.</w:t>
      </w:r>
    </w:p>
    <w:p w14:paraId="7C9192FC" w14:textId="77777777" w:rsidR="001C0E2F" w:rsidRPr="00362D29" w:rsidRDefault="00A55302"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(عشوري، 2025) بعنوان "تأثير تجربة المريض على الرضا عن الخدمات الصحية - دراسة ميدانية عينة من مرضى قسم الجراحة في المؤسسة الاستشفائية الحكيم عقبي"</w:t>
      </w:r>
      <w:r w:rsidRPr="00362D29">
        <w:rPr>
          <w:rFonts w:ascii="Traditional Arabic" w:hAnsi="Traditional Arabic" w:cs="Traditional Arabic"/>
          <w:color w:val="000000" w:themeColor="text1"/>
          <w:sz w:val="24"/>
          <w:szCs w:val="24"/>
          <w:rtl/>
        </w:rPr>
        <w:t xml:space="preserve"> </w:t>
      </w:r>
    </w:p>
    <w:p w14:paraId="0D6B53E5" w14:textId="6EEC5BFB" w:rsidR="005C229F" w:rsidRPr="00362D29" w:rsidRDefault="00A55302"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تحليل أثر أبعاد تجربة المريض (البعد السريري، العاطفي، الإجرائي، المادي) في تفسير مستوى رضا المرضى عن الخدمات الصحية، كما هدفت أيضا إلى اختبار وجود فروق ذات دلالة إحصائية في مستوى الرضا تعزى للمتغيرات الديموغرافية. اعتمدت الدراسة المنهج الوصفي التحليلي، واستخدمت الاستبانة أداةً لجمع البيانات مع تحليلها إحصائيًا باستخدام برنامج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xml:space="preserve">. تكوّن مجتمع الدراسة من مرضى قسم الجراحة بالمؤسسة الاستشفائية الحكيم عقبي خلال </w:t>
      </w:r>
      <w:proofErr w:type="gramStart"/>
      <w:r w:rsidRPr="00362D29">
        <w:rPr>
          <w:rFonts w:ascii="Traditional Arabic" w:hAnsi="Traditional Arabic" w:cs="Traditional Arabic"/>
          <w:color w:val="000000" w:themeColor="text1"/>
          <w:sz w:val="24"/>
          <w:szCs w:val="24"/>
          <w:rtl/>
        </w:rPr>
        <w:t>الفترة ،</w:t>
      </w:r>
      <w:proofErr w:type="gramEnd"/>
      <w:r w:rsidRPr="00362D29">
        <w:rPr>
          <w:rFonts w:ascii="Traditional Arabic" w:hAnsi="Traditional Arabic" w:cs="Traditional Arabic"/>
          <w:color w:val="000000" w:themeColor="text1"/>
          <w:sz w:val="24"/>
          <w:szCs w:val="24"/>
          <w:rtl/>
        </w:rPr>
        <w:t xml:space="preserve"> وتم اعتماد عينة قصدية تضمنت (200) استمارة موزعة، تم استرجاع (186) استمارة بنسبة (93%)، وهو ما تم اعتماده كحجم نهائي للعينة. وأظهرت النتائج وجود أثر ذي دلالة إحصائية لأبعاد تجربة المريض في مستوى الرضا عن الخدمات الصحية،</w:t>
      </w:r>
      <w:r w:rsidR="007B60B4"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مع تباين قوة التأثير بين الأبعاد، كما بيّنت وجود فروق ذات دلالة إحصائية في مستوى الرضا تعزى لبعض الخصائص الديموغرافية.</w:t>
      </w:r>
    </w:p>
    <w:p w14:paraId="6D57F89C" w14:textId="62E96F95" w:rsidR="001C0E2F" w:rsidRPr="00362D29" w:rsidRDefault="00E75AFC"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Alhuseini et al., 2025</w:t>
      </w:r>
      <w:r w:rsidRPr="00362D29">
        <w:rPr>
          <w:rFonts w:ascii="Traditional Arabic" w:hAnsi="Traditional Arabic" w:cs="Traditional Arabic"/>
          <w:b/>
          <w:bCs/>
          <w:color w:val="000000" w:themeColor="text1"/>
          <w:sz w:val="24"/>
          <w:szCs w:val="24"/>
          <w:rtl/>
        </w:rPr>
        <w:t>)</w:t>
      </w:r>
      <w:r w:rsidR="001C0E2F"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Navigating the patient experience in primary healthcare clinics in the eastern province of Saudi Arabia: a secondary analysis study</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6D2A3CE4" w14:textId="3C18CEF0" w:rsidR="00E75AFC" w:rsidRPr="00362D29" w:rsidRDefault="00E75AFC"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اتجاهات تجربة المريض في مراكز الرعاية الصحية الأولية التابعة للتجمع الصحي الشرقي في المملكة العربية السعودية خلال عامي 2022–2023، وتحديد العوامل الديموغرافية والتنظيمية المؤثرة في مستويات الرضا. كما هدفت إلى مقارنة مستويات تجربة المريض عبر الشبكات الصحية المختلفة واختبار الفروق الإحصائية، </w:t>
      </w:r>
      <w:r w:rsidR="001C0E2F" w:rsidRPr="00362D29">
        <w:rPr>
          <w:rFonts w:ascii="Traditional Arabic" w:hAnsi="Traditional Arabic" w:cs="Traditional Arabic"/>
          <w:color w:val="000000" w:themeColor="text1"/>
          <w:sz w:val="24"/>
          <w:szCs w:val="24"/>
          <w:rtl/>
        </w:rPr>
        <w:t xml:space="preserve">وفق </w:t>
      </w:r>
      <w:proofErr w:type="gramStart"/>
      <w:r w:rsidR="001C0E2F" w:rsidRPr="00362D29">
        <w:rPr>
          <w:rFonts w:ascii="Traditional Arabic" w:hAnsi="Traditional Arabic" w:cs="Traditional Arabic"/>
          <w:color w:val="000000" w:themeColor="text1"/>
          <w:sz w:val="24"/>
          <w:szCs w:val="24"/>
          <w:rtl/>
        </w:rPr>
        <w:t>العمر ،</w:t>
      </w:r>
      <w:r w:rsidR="00B114CF" w:rsidRPr="00362D29">
        <w:rPr>
          <w:rFonts w:ascii="Traditional Arabic" w:hAnsi="Traditional Arabic" w:cs="Traditional Arabic"/>
          <w:color w:val="000000" w:themeColor="text1"/>
          <w:sz w:val="24"/>
          <w:szCs w:val="24"/>
          <w:rtl/>
        </w:rPr>
        <w:t>والجنس</w:t>
      </w:r>
      <w:proofErr w:type="gramEnd"/>
      <w:r w:rsidR="00B114CF"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tl/>
        </w:rPr>
        <w:t xml:space="preserve"> والسنة. اعتمدت الدراسة المنهج الوصفي التحليلي القائم على التحليل الثانوي لبيانات برنامج قياس تجربة المريض بوزارة الصحة باستخدام أداة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مع تطبيق اختبارات إحصائية شملت (</w:t>
      </w:r>
      <w:r w:rsidRPr="00362D29">
        <w:rPr>
          <w:rFonts w:ascii="Traditional Arabic" w:hAnsi="Traditional Arabic" w:cs="Traditional Arabic"/>
          <w:color w:val="000000" w:themeColor="text1"/>
          <w:sz w:val="24"/>
          <w:szCs w:val="24"/>
        </w:rPr>
        <w:t>t-test</w:t>
      </w:r>
      <w:r w:rsidRPr="00362D29">
        <w:rPr>
          <w:rFonts w:ascii="Traditional Arabic" w:hAnsi="Traditional Arabic" w:cs="Traditional Arabic"/>
          <w:color w:val="000000" w:themeColor="text1"/>
          <w:sz w:val="24"/>
          <w:szCs w:val="24"/>
          <w:rtl/>
        </w:rPr>
        <w:t>) و(</w:t>
      </w:r>
      <w:r w:rsidRPr="00362D29">
        <w:rPr>
          <w:rFonts w:ascii="Traditional Arabic" w:hAnsi="Traditional Arabic" w:cs="Traditional Arabic"/>
          <w:color w:val="000000" w:themeColor="text1"/>
          <w:sz w:val="24"/>
          <w:szCs w:val="24"/>
        </w:rPr>
        <w:t>one-way ANOVA</w:t>
      </w:r>
      <w:r w:rsidRPr="00362D29">
        <w:rPr>
          <w:rFonts w:ascii="Traditional Arabic" w:hAnsi="Traditional Arabic" w:cs="Traditional Arabic"/>
          <w:color w:val="000000" w:themeColor="text1"/>
          <w:sz w:val="24"/>
          <w:szCs w:val="24"/>
          <w:rtl/>
        </w:rPr>
        <w:t xml:space="preserve">) لتحليل الفروق بين </w:t>
      </w:r>
      <w:r w:rsidR="001C0E2F" w:rsidRPr="00362D29">
        <w:rPr>
          <w:rFonts w:ascii="Traditional Arabic" w:hAnsi="Traditional Arabic" w:cs="Traditional Arabic"/>
          <w:color w:val="000000" w:themeColor="text1"/>
          <w:sz w:val="24"/>
          <w:szCs w:val="24"/>
          <w:rtl/>
        </w:rPr>
        <w:t>المجموعات. تكون</w:t>
      </w:r>
      <w:r w:rsidRPr="00362D29">
        <w:rPr>
          <w:rFonts w:ascii="Traditional Arabic" w:hAnsi="Traditional Arabic" w:cs="Traditional Arabic"/>
          <w:color w:val="000000" w:themeColor="text1"/>
          <w:sz w:val="24"/>
          <w:szCs w:val="24"/>
          <w:rtl/>
        </w:rPr>
        <w:t xml:space="preserve"> مجتمع الدراسة من جميع المرضى الذين زاروا 60 مركز رعاية صحية أولية حضرية ضمن التجمع الصحي الشرقي خلال الفترة من 1 يناير 2022 حتى 31 ديسمبر 2023، حيث تم إرسال الاستبيان إلى 106,168 مراجعًا، واستُخدم في التحليل 81,211 استبانة مكتملة بنسبة استجابة بلغت 76.5%. أظهرت النتائج أن متوسط تجربة المريض الكلي بلغ 85.4%، مع أعلى رضا في مجال التسجيل (88.6%) وأدنى رضا في مجال “الانتقال خلال الزيارة” (79%). كما تبين من النتائج وجود فروق ذات دلالة إحصائية حسب العمر، حيث سجل المرضى بعمر </w:t>
      </w:r>
      <w:r w:rsidRPr="00362D29">
        <w:rPr>
          <w:rFonts w:ascii="Cambria Math" w:hAnsi="Cambria Math" w:cs="Cambria Math" w:hint="cs"/>
          <w:color w:val="000000" w:themeColor="text1"/>
          <w:sz w:val="24"/>
          <w:szCs w:val="24"/>
          <w:rtl/>
        </w:rPr>
        <w:t>≥</w:t>
      </w:r>
      <w:r w:rsidRPr="00362D29">
        <w:rPr>
          <w:rFonts w:ascii="Traditional Arabic" w:hAnsi="Traditional Arabic" w:cs="Traditional Arabic"/>
          <w:color w:val="000000" w:themeColor="text1"/>
          <w:sz w:val="24"/>
          <w:szCs w:val="24"/>
          <w:rtl/>
        </w:rPr>
        <w:t>65 سنة أعلى متوسط رضا (4.48)، مقارنة بالفئة 18–34 سنة (4.07)، وكذلك تحسن مستوى الرضا من 84% في عام 2022 إلى 86.4% في عام 2023 (</w:t>
      </w:r>
      <w:r w:rsidRPr="00362D29">
        <w:rPr>
          <w:rFonts w:ascii="Traditional Arabic" w:hAnsi="Traditional Arabic" w:cs="Traditional Arabic"/>
          <w:color w:val="000000" w:themeColor="text1"/>
          <w:sz w:val="24"/>
          <w:szCs w:val="24"/>
        </w:rPr>
        <w:t>p &lt; 0.05</w:t>
      </w:r>
      <w:r w:rsidRPr="00362D29">
        <w:rPr>
          <w:rFonts w:ascii="Traditional Arabic" w:hAnsi="Traditional Arabic" w:cs="Traditional Arabic"/>
          <w:color w:val="000000" w:themeColor="text1"/>
          <w:sz w:val="24"/>
          <w:szCs w:val="24"/>
          <w:rtl/>
        </w:rPr>
        <w:t>).</w:t>
      </w:r>
    </w:p>
    <w:p w14:paraId="516253DD" w14:textId="77777777" w:rsidR="007F72EB" w:rsidRPr="00937192" w:rsidRDefault="007F72EB" w:rsidP="00C42472">
      <w:pPr>
        <w:pStyle w:val="ab"/>
        <w:numPr>
          <w:ilvl w:val="0"/>
          <w:numId w:val="5"/>
        </w:numPr>
        <w:bidi/>
        <w:spacing w:before="240" w:after="200" w:line="360" w:lineRule="auto"/>
        <w:jc w:val="both"/>
        <w:rPr>
          <w:rFonts w:ascii="Traditional Arabic" w:hAnsi="Traditional Arabic" w:cs="Traditional Arabic"/>
          <w:b/>
          <w:bCs/>
          <w:color w:val="000000" w:themeColor="text1"/>
          <w:sz w:val="24"/>
          <w:szCs w:val="24"/>
        </w:rPr>
      </w:pPr>
      <w:proofErr w:type="gramStart"/>
      <w:r w:rsidRPr="00937192">
        <w:rPr>
          <w:rFonts w:ascii="Traditional Arabic" w:hAnsi="Traditional Arabic" w:cs="Traditional Arabic"/>
          <w:b/>
          <w:bCs/>
          <w:color w:val="000000" w:themeColor="text1"/>
          <w:sz w:val="24"/>
          <w:szCs w:val="24"/>
          <w:rtl/>
        </w:rPr>
        <w:lastRenderedPageBreak/>
        <w:t>دراسة</w:t>
      </w:r>
      <w:r w:rsidRPr="00937192">
        <w:rPr>
          <w:rFonts w:ascii="Traditional Arabic" w:hAnsi="Traditional Arabic" w:cs="Traditional Arabic"/>
          <w:b/>
          <w:bCs/>
          <w:color w:val="000000" w:themeColor="text1"/>
          <w:sz w:val="24"/>
          <w:szCs w:val="24"/>
        </w:rPr>
        <w:t xml:space="preserve">  (</w:t>
      </w:r>
      <w:proofErr w:type="gramEnd"/>
      <w:r w:rsidRPr="00937192">
        <w:rPr>
          <w:rFonts w:ascii="Traditional Arabic" w:hAnsi="Traditional Arabic" w:cs="Traditional Arabic"/>
          <w:b/>
          <w:bCs/>
          <w:color w:val="000000" w:themeColor="text1"/>
          <w:sz w:val="24"/>
          <w:szCs w:val="24"/>
        </w:rPr>
        <w:t>Adams et al., 2025)</w:t>
      </w:r>
      <w:r w:rsidRPr="00937192">
        <w:rPr>
          <w:rFonts w:ascii="Traditional Arabic" w:hAnsi="Traditional Arabic" w:cs="Traditional Arabic"/>
          <w:b/>
          <w:bCs/>
          <w:color w:val="000000" w:themeColor="text1"/>
          <w:sz w:val="24"/>
          <w:szCs w:val="24"/>
          <w:rtl/>
        </w:rPr>
        <w:t>بعنوان</w:t>
      </w:r>
      <w:r w:rsidRPr="00937192">
        <w:rPr>
          <w:rFonts w:ascii="Traditional Arabic" w:hAnsi="Traditional Arabic" w:cs="Traditional Arabic"/>
          <w:b/>
          <w:bCs/>
          <w:color w:val="000000" w:themeColor="text1"/>
          <w:sz w:val="24"/>
          <w:szCs w:val="24"/>
        </w:rPr>
        <w:t>: The three pillars of patient experience" identifying key drivers of patient experience to improve quality in healthcare"</w:t>
      </w:r>
    </w:p>
    <w:p w14:paraId="29999C49" w14:textId="1E7D8BA1" w:rsidR="00896E75" w:rsidRPr="00362D29" w:rsidRDefault="007F72EB"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تحقيق هدفين رئيسيين: الأول تحديد العوامل الرئيسية المحركة لتجربة المريض داخل المستشفيات، والثاني تقييم مدى فاعلية التعليقات النصية الحرة للمرضى في توجيه جهود تحسين الجودة. اعتمدت الدراسة على منهجية تحليل ثانوي لبيانات مسحية مقطعية (</w:t>
      </w:r>
      <w:r w:rsidRPr="00362D29">
        <w:rPr>
          <w:rFonts w:ascii="Traditional Arabic" w:hAnsi="Traditional Arabic" w:cs="Traditional Arabic"/>
          <w:color w:val="000000" w:themeColor="text1"/>
          <w:sz w:val="24"/>
          <w:szCs w:val="24"/>
        </w:rPr>
        <w:t>Cross-sectional survey data</w:t>
      </w:r>
      <w:r w:rsidRPr="00362D29">
        <w:rPr>
          <w:rFonts w:ascii="Traditional Arabic" w:hAnsi="Traditional Arabic" w:cs="Traditional Arabic"/>
          <w:color w:val="000000" w:themeColor="text1"/>
          <w:sz w:val="24"/>
          <w:szCs w:val="24"/>
          <w:rtl/>
        </w:rPr>
        <w:t xml:space="preserve">) باستخدام أداة </w:t>
      </w:r>
      <w:r w:rsidRPr="00362D29">
        <w:rPr>
          <w:rFonts w:ascii="Traditional Arabic" w:hAnsi="Traditional Arabic" w:cs="Traditional Arabic"/>
          <w:color w:val="000000" w:themeColor="text1"/>
          <w:sz w:val="24"/>
          <w:szCs w:val="24"/>
        </w:rPr>
        <w:t>Net Promoter Score (NPS)</w:t>
      </w:r>
      <w:r w:rsidRPr="00362D29">
        <w:rPr>
          <w:rFonts w:ascii="Traditional Arabic" w:hAnsi="Traditional Arabic" w:cs="Traditional Arabic"/>
          <w:color w:val="000000" w:themeColor="text1"/>
          <w:sz w:val="24"/>
          <w:szCs w:val="24"/>
          <w:rtl/>
        </w:rPr>
        <w:t>، مع تطبيق التحليل الموضوعي الانعكاسي (</w:t>
      </w:r>
      <w:r w:rsidRPr="00362D29">
        <w:rPr>
          <w:rFonts w:ascii="Traditional Arabic" w:hAnsi="Traditional Arabic" w:cs="Traditional Arabic"/>
          <w:color w:val="000000" w:themeColor="text1"/>
          <w:sz w:val="24"/>
          <w:szCs w:val="24"/>
        </w:rPr>
        <w:t>Reflexive Thematic Analysis</w:t>
      </w:r>
      <w:r w:rsidRPr="00362D29">
        <w:rPr>
          <w:rFonts w:ascii="Traditional Arabic" w:hAnsi="Traditional Arabic" w:cs="Traditional Arabic"/>
          <w:color w:val="000000" w:themeColor="text1"/>
          <w:sz w:val="24"/>
          <w:szCs w:val="24"/>
          <w:rtl/>
        </w:rPr>
        <w:t xml:space="preserve">) لاستخلاص الأنماط الدلالية من تعليقات المرضى. تمثل مجتمع الدراسة في جميع المرضى الذين تم إدخالهم إلى مستشفى عام تخصصي في سيدني – أستراليا، حيث بلغ عدد الاستجابات الكلي (1506) استجابة خلال فترة ستة أشهر. أما العينة التحليلية فقد بلغت (450) تعليقًا تم اختيارها عشوائيًا بواقع (150) تعليقًا من كل فئة من فئات </w:t>
      </w:r>
      <w:r w:rsidRPr="00362D29">
        <w:rPr>
          <w:rFonts w:ascii="Traditional Arabic" w:hAnsi="Traditional Arabic" w:cs="Traditional Arabic"/>
          <w:color w:val="000000" w:themeColor="text1"/>
          <w:sz w:val="24"/>
          <w:szCs w:val="24"/>
        </w:rPr>
        <w:t>NPS</w:t>
      </w:r>
      <w:r w:rsidRPr="00362D29">
        <w:rPr>
          <w:rFonts w:ascii="Traditional Arabic" w:hAnsi="Traditional Arabic" w:cs="Traditional Arabic"/>
          <w:color w:val="000000" w:themeColor="text1"/>
          <w:sz w:val="24"/>
          <w:szCs w:val="24"/>
          <w:rtl/>
        </w:rPr>
        <w:t xml:space="preserve"> الثلاث (إيجابي، محايد، سلبي). وأظهرت النتائج تحديد ثلاث محركات رئيسية لتجربة المريض تمثلت في: (1) تقديم علاج آمن وفي الوقت المناسب وفعّال، (2) بناء علاقات إنسانية مع طاقم يتسم بالرعاية والانتباه، (3) توفير بيئة مريحة ومعززة للشفاء. كما كشفت النتائج أن التعليقات السلبية كانت أكثر تحديدًا وتفصيلًا مقارنة بالتعليقات الإيجابية، مما يجعلها أكثر فائدة في توجيه أنشطة تحسين الجودة.</w:t>
      </w:r>
    </w:p>
    <w:p w14:paraId="771B8709" w14:textId="4FA9366C" w:rsidR="001C0E2F" w:rsidRPr="00362D29" w:rsidRDefault="0026004E"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Alsubahi et al., 2025</w:t>
      </w:r>
      <w:r w:rsidRPr="00362D29">
        <w:rPr>
          <w:rFonts w:ascii="Traditional Arabic" w:hAnsi="Traditional Arabic" w:cs="Traditional Arabic"/>
          <w:b/>
          <w:bCs/>
          <w:color w:val="000000" w:themeColor="text1"/>
          <w:sz w:val="24"/>
          <w:szCs w:val="24"/>
          <w:rtl/>
        </w:rPr>
        <w:t>)</w:t>
      </w:r>
      <w:r w:rsidR="00FA7CB7"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"The Association Between Patient-Reported Experience Measures and Patient-Reported Outcome Measures Among Patients With Diabetes in the Kingdom of Saudi Arabia</w:t>
      </w:r>
      <w:r w:rsidR="00FA7CB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color w:val="000000" w:themeColor="text1"/>
          <w:sz w:val="24"/>
          <w:szCs w:val="24"/>
          <w:rtl/>
        </w:rPr>
        <w:t xml:space="preserve"> </w:t>
      </w:r>
    </w:p>
    <w:p w14:paraId="1B473121" w14:textId="24694F7F" w:rsidR="0026004E" w:rsidRPr="00362D29" w:rsidRDefault="0026004E"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تقييم العلاقة بين مقاييس تجربة المريض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ومقاييس النتائج المبلغ عنها من قبل المرضى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xml:space="preserve">) لدى مرضى السكري في المملكة العربية السعودية، كما سعت إلى تحليل هذه العلاقة على المستوى الكلي والبعدي لمجالات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xml:space="preserve"> في سياق الرعاية القائمة على القيمة. اعتمدت الدراسة المنهج الكمي المقطعي (</w:t>
      </w:r>
      <w:r w:rsidRPr="00362D29">
        <w:rPr>
          <w:rFonts w:ascii="Traditional Arabic" w:hAnsi="Traditional Arabic" w:cs="Traditional Arabic"/>
          <w:color w:val="000000" w:themeColor="text1"/>
          <w:sz w:val="24"/>
          <w:szCs w:val="24"/>
        </w:rPr>
        <w:t xml:space="preserve">Cross-sectional quantitative </w:t>
      </w:r>
      <w:proofErr w:type="gramStart"/>
      <w:r w:rsidRPr="00362D29">
        <w:rPr>
          <w:rFonts w:ascii="Traditional Arabic" w:hAnsi="Traditional Arabic" w:cs="Traditional Arabic"/>
          <w:color w:val="000000" w:themeColor="text1"/>
          <w:sz w:val="24"/>
          <w:szCs w:val="24"/>
        </w:rPr>
        <w:t>design</w:t>
      </w:r>
      <w:r w:rsidRPr="00362D29">
        <w:rPr>
          <w:rFonts w:ascii="Traditional Arabic" w:hAnsi="Traditional Arabic" w:cs="Traditional Arabic"/>
          <w:color w:val="000000" w:themeColor="text1"/>
          <w:sz w:val="24"/>
          <w:szCs w:val="24"/>
          <w:rtl/>
        </w:rPr>
        <w:t>)  باستخدام</w:t>
      </w:r>
      <w:proofErr w:type="gramEnd"/>
      <w:r w:rsidRPr="00362D29">
        <w:rPr>
          <w:rFonts w:ascii="Traditional Arabic" w:hAnsi="Traditional Arabic" w:cs="Traditional Arabic"/>
          <w:color w:val="000000" w:themeColor="text1"/>
          <w:sz w:val="24"/>
          <w:szCs w:val="24"/>
          <w:rtl/>
        </w:rPr>
        <w:t xml:space="preserve"> استبيانات مقننة أُجريت من خلال مقابلات وجهاً لوجه، مع تحليل البيانات باستخدام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xml:space="preserve"> . تم تطبيق الدراسة على 594 مريض سكري من مراجعي 47 مركز رعاية صحية أولية تابعة لوزارة الصحة بمحافظة جدة خلال الفترة من يوليو إلى أغسطس 2023، باستخدام أسلوب العينة العشوائية، مع تحديد حجم العينة استناداً إلى معادلة </w:t>
      </w:r>
      <w:r w:rsidRPr="00362D29">
        <w:rPr>
          <w:rFonts w:ascii="Traditional Arabic" w:hAnsi="Traditional Arabic" w:cs="Traditional Arabic"/>
          <w:color w:val="000000" w:themeColor="text1"/>
          <w:sz w:val="24"/>
          <w:szCs w:val="24"/>
        </w:rPr>
        <w:t>Slovin</w:t>
      </w:r>
      <w:r w:rsidRPr="00362D29">
        <w:rPr>
          <w:rFonts w:ascii="Traditional Arabic" w:hAnsi="Traditional Arabic" w:cs="Traditional Arabic"/>
          <w:color w:val="000000" w:themeColor="text1"/>
          <w:sz w:val="24"/>
          <w:szCs w:val="24"/>
          <w:rtl/>
        </w:rPr>
        <w:t xml:space="preserve"> بحد أدنى المحسوب 384 </w:t>
      </w:r>
      <w:proofErr w:type="gramStart"/>
      <w:r w:rsidRPr="00362D29">
        <w:rPr>
          <w:rFonts w:ascii="Traditional Arabic" w:hAnsi="Traditional Arabic" w:cs="Traditional Arabic"/>
          <w:color w:val="000000" w:themeColor="text1"/>
          <w:sz w:val="24"/>
          <w:szCs w:val="24"/>
          <w:rtl/>
        </w:rPr>
        <w:t>مريضاً .</w:t>
      </w:r>
      <w:proofErr w:type="gramEnd"/>
      <w:r w:rsidRPr="00362D29">
        <w:rPr>
          <w:rFonts w:ascii="Traditional Arabic" w:hAnsi="Traditional Arabic" w:cs="Traditional Arabic"/>
          <w:color w:val="000000" w:themeColor="text1"/>
          <w:sz w:val="24"/>
          <w:szCs w:val="24"/>
          <w:rtl/>
        </w:rPr>
        <w:t xml:space="preserve"> أظهرت النتائج وجود ارتباط موجب دال إحصائياً بين مؤشرات قياس تجربة المريض المبلغ عنها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و مؤشرات قياس النتائج المُبلغ عنها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على المستوى الكلي (</w:t>
      </w:r>
      <w:r w:rsidRPr="00362D29">
        <w:rPr>
          <w:rFonts w:ascii="Traditional Arabic" w:hAnsi="Traditional Arabic" w:cs="Traditional Arabic"/>
          <w:color w:val="000000" w:themeColor="text1"/>
          <w:sz w:val="24"/>
          <w:szCs w:val="24"/>
        </w:rPr>
        <w:t>r = 0.198, p &lt; .01</w:t>
      </w:r>
      <w:r w:rsidRPr="00362D29">
        <w:rPr>
          <w:rFonts w:ascii="Traditional Arabic" w:hAnsi="Traditional Arabic" w:cs="Traditional Arabic"/>
          <w:color w:val="000000" w:themeColor="text1"/>
          <w:sz w:val="24"/>
          <w:szCs w:val="24"/>
          <w:rtl/>
        </w:rPr>
        <w:t xml:space="preserve">)، كما تبين وجود ارتباطات موجبة ذات دلالة احصائية بين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وكل من بعد “الدعم من </w:t>
      </w:r>
      <w:r w:rsidRPr="00362D29">
        <w:rPr>
          <w:rFonts w:ascii="Traditional Arabic" w:hAnsi="Traditional Arabic" w:cs="Traditional Arabic"/>
          <w:color w:val="000000" w:themeColor="text1"/>
          <w:sz w:val="24"/>
          <w:szCs w:val="24"/>
          <w:rtl/>
        </w:rPr>
        <w:lastRenderedPageBreak/>
        <w:t>الآخرين” (</w:t>
      </w:r>
      <w:r w:rsidRPr="00362D29">
        <w:rPr>
          <w:rFonts w:ascii="Traditional Arabic" w:hAnsi="Traditional Arabic" w:cs="Traditional Arabic"/>
          <w:color w:val="000000" w:themeColor="text1"/>
          <w:sz w:val="24"/>
          <w:szCs w:val="24"/>
        </w:rPr>
        <w:t>r = 0.451, p &lt; .01</w:t>
      </w:r>
      <w:r w:rsidRPr="00362D29">
        <w:rPr>
          <w:rFonts w:ascii="Traditional Arabic" w:hAnsi="Traditional Arabic" w:cs="Traditional Arabic"/>
          <w:color w:val="000000" w:themeColor="text1"/>
          <w:sz w:val="24"/>
          <w:szCs w:val="24"/>
          <w:rtl/>
        </w:rPr>
        <w:t>) و“القدرة على إدارة السكري” (</w:t>
      </w:r>
      <w:r w:rsidRPr="00362D29">
        <w:rPr>
          <w:rFonts w:ascii="Traditional Arabic" w:hAnsi="Traditional Arabic" w:cs="Traditional Arabic"/>
          <w:color w:val="000000" w:themeColor="text1"/>
          <w:sz w:val="24"/>
          <w:szCs w:val="24"/>
        </w:rPr>
        <w:t>r = 0.315, p &lt; .01</w:t>
      </w:r>
      <w:r w:rsidRPr="00362D29">
        <w:rPr>
          <w:rFonts w:ascii="Traditional Arabic" w:hAnsi="Traditional Arabic" w:cs="Traditional Arabic"/>
          <w:color w:val="000000" w:themeColor="text1"/>
          <w:sz w:val="24"/>
          <w:szCs w:val="24"/>
          <w:rtl/>
        </w:rPr>
        <w:t>) و“كيف تشعر” (</w:t>
      </w:r>
      <w:r w:rsidRPr="00362D29">
        <w:rPr>
          <w:rFonts w:ascii="Traditional Arabic" w:hAnsi="Traditional Arabic" w:cs="Traditional Arabic"/>
          <w:color w:val="000000" w:themeColor="text1"/>
          <w:sz w:val="24"/>
          <w:szCs w:val="24"/>
        </w:rPr>
        <w:t>r = 0.219, p &lt; .01</w:t>
      </w:r>
      <w:r w:rsidRPr="00362D29">
        <w:rPr>
          <w:rFonts w:ascii="Traditional Arabic" w:hAnsi="Traditional Arabic" w:cs="Traditional Arabic"/>
          <w:color w:val="000000" w:themeColor="text1"/>
          <w:sz w:val="24"/>
          <w:szCs w:val="24"/>
          <w:rtl/>
        </w:rPr>
        <w:t>)، في حين لم تظهر علاقة دالة مع بعدي “القلق من السكري” و“معوقات العيش كما هو مرغوب”، مما يؤكد أهمية دمج مقاييس التجربة والنتائج في تحسين رعاية مرضى السكري ضمن إطار الرعاية الصحية.</w:t>
      </w:r>
    </w:p>
    <w:p w14:paraId="487B3F74" w14:textId="0B0E4045" w:rsidR="001C0E2F" w:rsidRPr="00362D29" w:rsidRDefault="003669EF"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commentRangeStart w:id="16"/>
      <w:r w:rsidRPr="00AD4D1E">
        <w:rPr>
          <w:rFonts w:ascii="Traditional Arabic" w:hAnsi="Traditional Arabic" w:cs="Traditional Arabic"/>
          <w:b/>
          <w:bCs/>
          <w:color w:val="FF0000"/>
          <w:sz w:val="24"/>
          <w:szCs w:val="24"/>
          <w:rtl/>
        </w:rPr>
        <w:t>(</w:t>
      </w:r>
      <w:r w:rsidRPr="00AD4D1E">
        <w:rPr>
          <w:rFonts w:ascii="Traditional Arabic" w:hAnsi="Traditional Arabic" w:cs="Traditional Arabic"/>
          <w:b/>
          <w:bCs/>
          <w:color w:val="FF0000"/>
          <w:sz w:val="24"/>
          <w:szCs w:val="24"/>
        </w:rPr>
        <w:t>Monshi</w:t>
      </w:r>
      <w:r w:rsidR="001C0E2F" w:rsidRPr="00AD4D1E">
        <w:rPr>
          <w:rFonts w:ascii="Traditional Arabic" w:hAnsi="Traditional Arabic" w:cs="Traditional Arabic"/>
          <w:b/>
          <w:bCs/>
          <w:color w:val="FF0000"/>
          <w:sz w:val="24"/>
          <w:szCs w:val="24"/>
        </w:rPr>
        <w:t xml:space="preserve"> </w:t>
      </w:r>
      <w:r w:rsidRPr="00AD4D1E">
        <w:rPr>
          <w:rFonts w:ascii="Traditional Arabic" w:hAnsi="Traditional Arabic" w:cs="Traditional Arabic"/>
          <w:b/>
          <w:bCs/>
          <w:color w:val="FF0000"/>
          <w:sz w:val="24"/>
          <w:szCs w:val="24"/>
        </w:rPr>
        <w:t>et al., 2025</w:t>
      </w:r>
      <w:r w:rsidRPr="00AD4D1E">
        <w:rPr>
          <w:rFonts w:ascii="Traditional Arabic" w:hAnsi="Traditional Arabic" w:cs="Traditional Arabic"/>
          <w:b/>
          <w:bCs/>
          <w:color w:val="FF0000"/>
          <w:sz w:val="24"/>
          <w:szCs w:val="24"/>
          <w:rtl/>
        </w:rPr>
        <w:t xml:space="preserve">) </w:t>
      </w:r>
      <w:commentRangeEnd w:id="16"/>
      <w:r w:rsidR="00AD4D1E">
        <w:rPr>
          <w:rStyle w:val="ac"/>
          <w:rtl/>
        </w:rPr>
        <w:commentReference w:id="16"/>
      </w:r>
      <w:r w:rsidRPr="00362D29">
        <w:rPr>
          <w:rFonts w:ascii="Traditional Arabic" w:hAnsi="Traditional Arabic" w:cs="Traditional Arabic"/>
          <w:b/>
          <w:bCs/>
          <w:color w:val="000000" w:themeColor="text1"/>
          <w:sz w:val="24"/>
          <w:szCs w:val="24"/>
          <w:rtl/>
        </w:rPr>
        <w:t>بعنوان “"</w:t>
      </w:r>
      <w:r w:rsidRPr="00362D29">
        <w:rPr>
          <w:rFonts w:ascii="Traditional Arabic" w:hAnsi="Traditional Arabic" w:cs="Traditional Arabic"/>
          <w:b/>
          <w:bCs/>
          <w:color w:val="000000" w:themeColor="text1"/>
          <w:sz w:val="24"/>
          <w:szCs w:val="24"/>
        </w:rPr>
        <w:t>Patient Experience with Health Technology in Saudi Arabia: A Systematic Review</w:t>
      </w:r>
      <w:r w:rsidRPr="00362D29">
        <w:rPr>
          <w:rFonts w:ascii="Traditional Arabic" w:hAnsi="Traditional Arabic" w:cs="Traditional Arabic"/>
          <w:color w:val="000000" w:themeColor="text1"/>
          <w:sz w:val="24"/>
          <w:szCs w:val="24"/>
          <w:rtl/>
        </w:rPr>
        <w:t xml:space="preserve">" </w:t>
      </w:r>
    </w:p>
    <w:p w14:paraId="6A9064E7" w14:textId="2B03B674" w:rsidR="003669EF" w:rsidRPr="00362D29" w:rsidRDefault="003669EF"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استقصاء أثر التقنيات الصحية (الصحة الرقمية، الطب الاتصالي، السجلات الصحية الإلكترونية) على تجربة المريض في المملكة العربية السعودية، وتحليل مستوى الرضا كمؤشر أساسي لتقييم تجربة المريض عبر مختلف البيئات الصحية. اعتمدت الدراسة المراجعة المنهجية </w:t>
      </w:r>
      <w:r w:rsidRPr="00362D29">
        <w:rPr>
          <w:rFonts w:ascii="Traditional Arabic" w:hAnsi="Traditional Arabic" w:cs="Traditional Arabic"/>
          <w:color w:val="000000" w:themeColor="text1"/>
          <w:sz w:val="24"/>
          <w:szCs w:val="24"/>
        </w:rPr>
        <w:t>Systematic Review</w:t>
      </w:r>
      <w:r w:rsidRPr="00362D29">
        <w:rPr>
          <w:rFonts w:ascii="Traditional Arabic" w:hAnsi="Traditional Arabic" w:cs="Traditional Arabic"/>
          <w:color w:val="000000" w:themeColor="text1"/>
          <w:sz w:val="24"/>
          <w:szCs w:val="24"/>
          <w:rtl/>
        </w:rPr>
        <w:t xml:space="preserve"> وفق إرشادات </w:t>
      </w:r>
      <w:r w:rsidRPr="00362D29">
        <w:rPr>
          <w:rFonts w:ascii="Traditional Arabic" w:hAnsi="Traditional Arabic" w:cs="Traditional Arabic"/>
          <w:color w:val="000000" w:themeColor="text1"/>
          <w:sz w:val="24"/>
          <w:szCs w:val="24"/>
        </w:rPr>
        <w:t>PRISMA 2020</w:t>
      </w:r>
      <w:r w:rsidRPr="00362D29">
        <w:rPr>
          <w:rFonts w:ascii="Traditional Arabic" w:hAnsi="Traditional Arabic" w:cs="Traditional Arabic"/>
          <w:color w:val="000000" w:themeColor="text1"/>
          <w:sz w:val="24"/>
          <w:szCs w:val="24"/>
          <w:rtl/>
        </w:rPr>
        <w:t xml:space="preserve">، بالبحث في قاعدة </w:t>
      </w:r>
      <w:r w:rsidRPr="00362D29">
        <w:rPr>
          <w:rFonts w:ascii="Traditional Arabic" w:hAnsi="Traditional Arabic" w:cs="Traditional Arabic"/>
          <w:color w:val="000000" w:themeColor="text1"/>
          <w:sz w:val="24"/>
          <w:szCs w:val="24"/>
        </w:rPr>
        <w:t>PubMed</w:t>
      </w:r>
      <w:r w:rsidRPr="00362D29">
        <w:rPr>
          <w:rFonts w:ascii="Traditional Arabic" w:hAnsi="Traditional Arabic" w:cs="Traditional Arabic"/>
          <w:color w:val="000000" w:themeColor="text1"/>
          <w:sz w:val="24"/>
          <w:szCs w:val="24"/>
          <w:rtl/>
        </w:rPr>
        <w:t xml:space="preserve"> خلال الفترة من يناير 2000 إلى ديسمبر 2022، مع تقييم جودة الدراسات باستخدام أداة </w:t>
      </w:r>
      <w:r w:rsidRPr="00362D29">
        <w:rPr>
          <w:rFonts w:ascii="Traditional Arabic" w:hAnsi="Traditional Arabic" w:cs="Traditional Arabic"/>
          <w:color w:val="000000" w:themeColor="text1"/>
          <w:sz w:val="24"/>
          <w:szCs w:val="24"/>
        </w:rPr>
        <w:t>Joanna Briggs Institute (JBI)</w:t>
      </w:r>
      <w:r w:rsidRPr="00362D29">
        <w:rPr>
          <w:rFonts w:ascii="Traditional Arabic" w:hAnsi="Traditional Arabic" w:cs="Traditional Arabic"/>
          <w:color w:val="000000" w:themeColor="text1"/>
          <w:sz w:val="24"/>
          <w:szCs w:val="24"/>
          <w:rtl/>
        </w:rPr>
        <w:t>. بلغ إجمالي الدراسات المشمولة 30 دراسة من أصل 13,068 سجلًا أوليًا، منها 25 دراسة مقطعية، بينما توزعت البقية بين دراسات مختلطة وتصميم أترابي وتجربة عشوائية محكمة. لم تعتمد الدراسة عينة ميدانية مباشرة، بل شملت مجتمع الدراسات المنشورة التي استوفت معايير الاشتمال. أظهرت النتائج أن 93.3% من الدراسات أفادت بارتفاع مستوى رضا المرضى عن استخدام التقنيات الصحية، كما بينت أن الرضا كان أعلى بين الفئات العمرية من 18–50 عامًا والإناث، مع هيمنة استخدام مؤشرات لأبعاد محددة لرضا المريض عن تجربته بالخدمة الصحية كمقياس أساسي بدلاً من تبني إطار شامل للقياس، مما يؤكد الحاجة لتوسيع أدوات القياس مستقبلاً.</w:t>
      </w:r>
    </w:p>
    <w:p w14:paraId="483F385B" w14:textId="77777777" w:rsidR="001C0E2F" w:rsidRPr="00362D29" w:rsidRDefault="00394AE1"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proofErr w:type="gramStart"/>
      <w:r w:rsidRPr="00362D29">
        <w:rPr>
          <w:rFonts w:ascii="Traditional Arabic" w:hAnsi="Traditional Arabic" w:cs="Traditional Arabic"/>
          <w:b/>
          <w:bCs/>
          <w:color w:val="000000" w:themeColor="text1"/>
          <w:sz w:val="24"/>
          <w:szCs w:val="24"/>
          <w:rtl/>
        </w:rPr>
        <w:t>دراسة  (</w:t>
      </w:r>
      <w:commentRangeStart w:id="17"/>
      <w:proofErr w:type="gramEnd"/>
      <w:r w:rsidRPr="00B45B4E">
        <w:rPr>
          <w:rFonts w:ascii="Traditional Arabic" w:hAnsi="Traditional Arabic" w:cs="Traditional Arabic"/>
          <w:b/>
          <w:bCs/>
          <w:color w:val="FF0000"/>
          <w:sz w:val="24"/>
          <w:szCs w:val="24"/>
        </w:rPr>
        <w:t>Jamieson Gilmore et al., 2025</w:t>
      </w:r>
      <w:r w:rsidRPr="00B45B4E">
        <w:rPr>
          <w:rFonts w:ascii="Traditional Arabic" w:hAnsi="Traditional Arabic" w:cs="Traditional Arabic"/>
          <w:b/>
          <w:bCs/>
          <w:color w:val="FF0000"/>
          <w:sz w:val="24"/>
          <w:szCs w:val="24"/>
          <w:rtl/>
        </w:rPr>
        <w:t xml:space="preserve">) </w:t>
      </w:r>
      <w:commentRangeEnd w:id="17"/>
      <w:r w:rsidR="00B45B4E">
        <w:rPr>
          <w:rStyle w:val="ac"/>
          <w:rtl/>
        </w:rPr>
        <w:commentReference w:id="17"/>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The uses of Patient Reported Experience Measures in health systems: A systematic narrative review"</w:t>
      </w:r>
      <w:r w:rsidRPr="00362D29">
        <w:rPr>
          <w:rFonts w:ascii="Traditional Arabic" w:hAnsi="Traditional Arabic" w:cs="Traditional Arabic"/>
          <w:color w:val="000000" w:themeColor="text1"/>
          <w:sz w:val="24"/>
          <w:szCs w:val="24"/>
          <w:rtl/>
        </w:rPr>
        <w:t xml:space="preserve"> </w:t>
      </w:r>
    </w:p>
    <w:p w14:paraId="11DB687A" w14:textId="77BDD271" w:rsidR="00394AE1" w:rsidRPr="00362D29" w:rsidRDefault="00394AE1"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حصر وتوصيف جميع أوجه استخدام بيانات مقاييس تجربة المرضى داخل الأنظمة الصحية، واستكشاف مدى وجود تأثير لاستخدام بيانات هذه المقاييس على المستوى الوطني في تحفيز الاستخدام أو إحداث تغيير على مستويات أخرى (مثل مستوى مقدمي الخدمة). اعتمدت الدراسة المنهج الوصفي التحليلي من خلال مراجعة سردية قائمة على بحث منهجي للأدبيات وفق منهجية </w:t>
      </w:r>
      <w:r w:rsidRPr="00362D29">
        <w:rPr>
          <w:rFonts w:ascii="Traditional Arabic" w:hAnsi="Traditional Arabic" w:cs="Traditional Arabic"/>
          <w:color w:val="000000" w:themeColor="text1"/>
          <w:sz w:val="24"/>
          <w:szCs w:val="24"/>
        </w:rPr>
        <w:t>Joanna Briggs Institute</w:t>
      </w:r>
      <w:r w:rsidRPr="00362D29">
        <w:rPr>
          <w:rFonts w:ascii="Traditional Arabic" w:hAnsi="Traditional Arabic" w:cs="Traditional Arabic"/>
          <w:color w:val="000000" w:themeColor="text1"/>
          <w:sz w:val="24"/>
          <w:szCs w:val="24"/>
          <w:rtl/>
        </w:rPr>
        <w:t xml:space="preserve"> للمراجعات الاستكشافية، مع تطبيق خطوات بحث منهجي في ثلاث قواعد بيانات (</w:t>
      </w:r>
      <w:r w:rsidRPr="00362D29">
        <w:rPr>
          <w:rFonts w:ascii="Traditional Arabic" w:hAnsi="Traditional Arabic" w:cs="Traditional Arabic"/>
          <w:color w:val="000000" w:themeColor="text1"/>
          <w:sz w:val="24"/>
          <w:szCs w:val="24"/>
        </w:rPr>
        <w:t>Scopus, Web of Science, PubMed</w:t>
      </w:r>
      <w:r w:rsidRPr="00362D29">
        <w:rPr>
          <w:rFonts w:ascii="Traditional Arabic" w:hAnsi="Traditional Arabic" w:cs="Traditional Arabic"/>
          <w:color w:val="000000" w:themeColor="text1"/>
          <w:sz w:val="24"/>
          <w:szCs w:val="24"/>
          <w:rtl/>
        </w:rPr>
        <w:t xml:space="preserve">)، بالإضافة إلى أسلوب </w:t>
      </w:r>
      <w:proofErr w:type="gramStart"/>
      <w:r w:rsidRPr="00362D29">
        <w:rPr>
          <w:rFonts w:ascii="Traditional Arabic" w:hAnsi="Traditional Arabic" w:cs="Traditional Arabic"/>
          <w:color w:val="000000" w:themeColor="text1"/>
          <w:sz w:val="24"/>
          <w:szCs w:val="24"/>
          <w:rtl/>
        </w:rPr>
        <w:t>التتبع ،</w:t>
      </w:r>
      <w:proofErr w:type="gramEnd"/>
      <w:r w:rsidRPr="00362D29">
        <w:rPr>
          <w:rFonts w:ascii="Traditional Arabic" w:hAnsi="Traditional Arabic" w:cs="Traditional Arabic"/>
          <w:color w:val="000000" w:themeColor="text1"/>
          <w:sz w:val="24"/>
          <w:szCs w:val="24"/>
          <w:rtl/>
        </w:rPr>
        <w:t xml:space="preserve"> ثم تصنيف الدراسات وفق إطار استخدام معلومات الأداء الصحي بمستوياته الثلاثة مع تطبيق أسلوب </w:t>
      </w:r>
      <w:r w:rsidRPr="00362D29">
        <w:rPr>
          <w:rFonts w:ascii="Traditional Arabic" w:hAnsi="Traditional Arabic" w:cs="Traditional Arabic"/>
          <w:color w:val="000000" w:themeColor="text1"/>
          <w:sz w:val="24"/>
          <w:szCs w:val="24"/>
        </w:rPr>
        <w:t>Weight of Evidence</w:t>
      </w:r>
      <w:r w:rsidRPr="00362D29">
        <w:rPr>
          <w:rFonts w:ascii="Traditional Arabic" w:hAnsi="Traditional Arabic" w:cs="Traditional Arabic"/>
          <w:color w:val="000000" w:themeColor="text1"/>
          <w:sz w:val="24"/>
          <w:szCs w:val="24"/>
          <w:rtl/>
        </w:rPr>
        <w:t xml:space="preserve"> (وزن الأدلة) لاختيار الدراسات النهائية. تكوّن مجتمع الدراسة من الأدبيات العلمية المنشورة باللغة الإنجليزية دون تحديد إطار زمني، حيث تم تحديد 1,711 مدخلاً فريداً بعد حذف التكرارات، وخضع 142 مقالاً للمراجعة الكاملة للنص، وانتهى الأمر بإدراج 28 دراسة في التحليل النهائي. أظهرت النتائج أن بيانات مقاييس تجربة المريض المُبلغ عنها</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تُستخدم على المستويات الثلاثة </w:t>
      </w:r>
      <w:r w:rsidRPr="00362D29">
        <w:rPr>
          <w:rFonts w:ascii="Traditional Arabic" w:hAnsi="Traditional Arabic" w:cs="Traditional Arabic"/>
          <w:color w:val="000000" w:themeColor="text1"/>
          <w:sz w:val="24"/>
          <w:szCs w:val="24"/>
          <w:rtl/>
        </w:rPr>
        <w:lastRenderedPageBreak/>
        <w:t>للنظام الصحي، لتحسين جودة الرعاية المباشرة. كما كشفت الدراسة عن محدودية الأدلة التي تثبت أن الاستخدام على المستوى المتوسط أو الكلي يؤدي إلى تحسينات قابلة للقياس على المستوى الجزئي أو إلى تحسن مستدام في تجربة المرضى والنتائج السريرية.</w:t>
      </w:r>
    </w:p>
    <w:p w14:paraId="4DEAD6AD" w14:textId="77777777" w:rsidR="001C0E2F" w:rsidRPr="00362D29" w:rsidRDefault="00CB7153"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Zehra et al., 2025</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Service quality in healthcare: understanding the relationship between patient experience and healthcare outcomes</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2F8218AA" w14:textId="2AFD2E6D" w:rsidR="00CB7153" w:rsidRPr="00362D29" w:rsidRDefault="00CB7153"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فحص الدور المحوري لأبعاد جودة الخدمة بالمستشفى في تشكيل تجربة المريض وتحليل أثر تجربة المريض في كلٍ من الرضا والثقة ونية إعادة الزيارة، كما هدفت إلى اختبار نموذج مفاهيمي يربط بين جودة البيئة وجودة العمليات وجودة التفاعل وجودة المعلومات وتجربة المريض ومخرجات الرعاية الصحية. اعتمدت الدراسة المنهج الكمي بتصميم وصفي تحليلي، واستخدمت أسلوب النمذجة بالمعادلات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لاختبار الفرضيات، مع إجراء تحليل عامل تأكيدي (</w:t>
      </w:r>
      <w:r w:rsidRPr="00362D29">
        <w:rPr>
          <w:rFonts w:ascii="Traditional Arabic" w:hAnsi="Traditional Arabic" w:cs="Traditional Arabic"/>
          <w:color w:val="000000" w:themeColor="text1"/>
          <w:sz w:val="24"/>
          <w:szCs w:val="24"/>
        </w:rPr>
        <w:t>CFA</w:t>
      </w:r>
      <w:r w:rsidRPr="00362D29">
        <w:rPr>
          <w:rFonts w:ascii="Traditional Arabic" w:hAnsi="Traditional Arabic" w:cs="Traditional Arabic"/>
          <w:color w:val="000000" w:themeColor="text1"/>
          <w:sz w:val="24"/>
          <w:szCs w:val="24"/>
          <w:rtl/>
        </w:rPr>
        <w:t>) للتحقق من الصدق والثبات. تكوّن مجتمع الدراسة من مرضى العيادات الخارجية (</w:t>
      </w:r>
      <w:r w:rsidRPr="00362D29">
        <w:rPr>
          <w:rFonts w:ascii="Traditional Arabic" w:hAnsi="Traditional Arabic" w:cs="Traditional Arabic"/>
          <w:color w:val="000000" w:themeColor="text1"/>
          <w:sz w:val="24"/>
          <w:szCs w:val="24"/>
        </w:rPr>
        <w:t>OPDs</w:t>
      </w:r>
      <w:r w:rsidRPr="00362D29">
        <w:rPr>
          <w:rFonts w:ascii="Traditional Arabic" w:hAnsi="Traditional Arabic" w:cs="Traditional Arabic"/>
          <w:color w:val="000000" w:themeColor="text1"/>
          <w:sz w:val="24"/>
          <w:szCs w:val="24"/>
          <w:rtl/>
        </w:rPr>
        <w:t xml:space="preserve">) بمستشفى خاص متعدد التخصصات في منطقة دلهي </w:t>
      </w:r>
      <w:r w:rsidRPr="00362D29">
        <w:rPr>
          <w:rFonts w:ascii="Traditional Arabic" w:hAnsi="Traditional Arabic" w:cs="Traditional Arabic"/>
          <w:color w:val="000000" w:themeColor="text1"/>
          <w:sz w:val="24"/>
          <w:szCs w:val="24"/>
        </w:rPr>
        <w:t>NCR</w:t>
      </w:r>
      <w:r w:rsidRPr="00362D29">
        <w:rPr>
          <w:rFonts w:ascii="Traditional Arabic" w:hAnsi="Traditional Arabic" w:cs="Traditional Arabic"/>
          <w:color w:val="000000" w:themeColor="text1"/>
          <w:sz w:val="24"/>
          <w:szCs w:val="24"/>
          <w:rtl/>
        </w:rPr>
        <w:t xml:space="preserve"> بالهند ممن تبلغ أعمارهم 18 عامًا فأكثر، وبلغت العينة 351 استبانة صالحة جُمعت باستخدام أسلوب العينة القصدية غير الاحتمالية. أظهرت النتائج وجود علاقة إيجابية دالة إحصائيًا بين جميع أبعاد جودة الخدمة وتجربة المريض، كما تبين أن تجربة المريض تؤثر تأثيرًا إيجابيًا مباشرًا في كلٍ من رضا المرضى وثقتهم، واللذين يؤثران بدورهما في نية إعادة الزيارة.</w:t>
      </w:r>
    </w:p>
    <w:p w14:paraId="5F0DD6A2" w14:textId="77777777" w:rsidR="001C0E2F" w:rsidRPr="00362D29" w:rsidRDefault="00F43AEE" w:rsidP="00C42472">
      <w:pPr>
        <w:pStyle w:val="ab"/>
        <w:numPr>
          <w:ilvl w:val="0"/>
          <w:numId w:val="5"/>
        </w:numPr>
        <w:bidi/>
        <w:spacing w:before="240"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(البلوي والزريلعي، 2024) بعنوان "تأثير التعاطف مع المرضى في تحسين تجربة المريض بالقطاع الصحي في المملكة العربية السعودية" </w:t>
      </w:r>
    </w:p>
    <w:p w14:paraId="2E238D30" w14:textId="51EF293C" w:rsidR="00F43AEE" w:rsidRPr="00362D29" w:rsidRDefault="00F43AEE"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استكشاف مستوى إدراك الممارسين الصحيين لمفهوم التعاطف ودوره في الممارسة الطبية، وقياس أثر التعاطف على تحسين تجربة المريض من خلال مؤشرات الرضا والثقة والالتزام بالعلاج. اعتمدت الدراسة المنهج الوصفي التحليلي،</w:t>
      </w:r>
      <w:r w:rsidR="00806C9D" w:rsidRPr="00362D29">
        <w:rPr>
          <w:rFonts w:ascii="Traditional Arabic" w:hAnsi="Traditional Arabic" w:cs="Traditional Arabic"/>
          <w:rtl/>
        </w:rPr>
        <w:t xml:space="preserve"> </w:t>
      </w:r>
      <w:r w:rsidR="00806C9D" w:rsidRPr="00362D29">
        <w:rPr>
          <w:rFonts w:ascii="Traditional Arabic" w:hAnsi="Traditional Arabic" w:cs="Traditional Arabic"/>
          <w:color w:val="000000" w:themeColor="text1"/>
          <w:sz w:val="24"/>
          <w:szCs w:val="24"/>
          <w:rtl/>
        </w:rPr>
        <w:t>تم استخدام مقياس "</w:t>
      </w:r>
      <w:r w:rsidR="00806C9D" w:rsidRPr="00362D29">
        <w:rPr>
          <w:rFonts w:ascii="Traditional Arabic" w:hAnsi="Traditional Arabic" w:cs="Traditional Arabic"/>
          <w:color w:val="000000" w:themeColor="text1"/>
          <w:sz w:val="24"/>
          <w:szCs w:val="24"/>
        </w:rPr>
        <w:t>IRI</w:t>
      </w:r>
      <w:r w:rsidR="00806C9D" w:rsidRPr="00362D29">
        <w:rPr>
          <w:rFonts w:ascii="Traditional Arabic" w:hAnsi="Traditional Arabic" w:cs="Traditional Arabic"/>
          <w:color w:val="000000" w:themeColor="text1"/>
          <w:sz w:val="24"/>
          <w:szCs w:val="24"/>
          <w:rtl/>
        </w:rPr>
        <w:t>" متعدد الأبعاد الذي يقيس الجوانب المعرفية والعاطفية للتعاطف، وتم تعديله ليتناسب مع بيئة الدراسة.</w:t>
      </w:r>
      <w:r w:rsidRPr="00362D29">
        <w:rPr>
          <w:rFonts w:ascii="Traditional Arabic" w:hAnsi="Traditional Arabic" w:cs="Traditional Arabic"/>
          <w:color w:val="000000" w:themeColor="text1"/>
          <w:sz w:val="24"/>
          <w:szCs w:val="24"/>
          <w:rtl/>
        </w:rPr>
        <w:t xml:space="preserve"> وتمثّل مجتمع الدراسة في جميع المرضى في مدينة تبوك بالمملكة العربية السعودية (طبقا لما في ذكر في الدراسة)، حيث تم توزيع (117) استبانة على عينة من المرضى تتراوح أعمارهم بين (25–50) سنة مع تمثيل متوازن للجنسين وخلفيات اجتماعية متنوعة. وأظهرت النتائج وجود علاقة إيجابية وذات دلالة إحصائية بين مستوى تعاطف مقدمي الرعاية وتحسن تجربة المريض، خاصة في أبعاد مثل الشعور بالأمان، والاحترام، والرضا العام عن الخدمة ووجود أثر إيجابي مباشر للتعاطف في تحسين تجربة المريض، كما بينت أن ارتفاع مستوى التعاطف لدى مقدمي الرعاية ارتبط بزيادة رضا المرضى وتعزيز التزامهم بالخطة العلاجية، مما يؤكد أهمية دمج مهارات التعاطف ضمن برامج تدريب الكوادر الصحية.</w:t>
      </w:r>
    </w:p>
    <w:p w14:paraId="369BD145" w14:textId="77777777" w:rsidR="001C0E2F" w:rsidRPr="00362D29" w:rsidRDefault="002A5EE9"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commentRangeStart w:id="18"/>
      <w:r w:rsidRPr="00CC0B54">
        <w:rPr>
          <w:rFonts w:ascii="Traditional Arabic" w:hAnsi="Traditional Arabic" w:cs="Traditional Arabic"/>
          <w:b/>
          <w:bCs/>
          <w:color w:val="FF0000"/>
          <w:sz w:val="24"/>
          <w:szCs w:val="24"/>
        </w:rPr>
        <w:t>(Daleske, 2024)</w:t>
      </w:r>
      <w:commentRangeEnd w:id="18"/>
      <w:r w:rsidR="00CC0B54" w:rsidRPr="00CC0B54">
        <w:rPr>
          <w:rStyle w:val="ac"/>
          <w:color w:val="FF0000"/>
          <w:rtl/>
        </w:rPr>
        <w:commentReference w:id="18"/>
      </w: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“The Five-Dimension Patient Experience Model and Its Applications in Healthcare Using the Example of Spinal Cord Injury and COPD”</w:t>
      </w:r>
      <w:r w:rsidR="00851B5B" w:rsidRPr="00362D29">
        <w:rPr>
          <w:rFonts w:ascii="Traditional Arabic" w:hAnsi="Traditional Arabic" w:cs="Traditional Arabic"/>
          <w:b/>
          <w:bCs/>
          <w:color w:val="000000" w:themeColor="text1"/>
          <w:sz w:val="24"/>
          <w:szCs w:val="24"/>
          <w:rtl/>
        </w:rPr>
        <w:t xml:space="preserve"> </w:t>
      </w:r>
    </w:p>
    <w:p w14:paraId="09919BCE" w14:textId="553D9577" w:rsidR="006B24FB" w:rsidRPr="00362D29" w:rsidRDefault="002A5EE9"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lastRenderedPageBreak/>
        <w:t>هدفت الدراسة إلى تطوير نموذج مفاهيمي شامل لتجربة المريض قائم على خمسة أبعاد (البدني، العاطفي، الاجتماعي، الثقافي، والرعاية الصحية)، كما سعت إلى اختبار قابلية تطبيق النموذج في سياق الأمراض المزمنة من خلال تحليل تجربة مرضى الانسداد الرئوي المزمن (</w:t>
      </w:r>
      <w:r w:rsidRPr="00362D29">
        <w:rPr>
          <w:rFonts w:ascii="Traditional Arabic" w:hAnsi="Traditional Arabic" w:cs="Traditional Arabic"/>
          <w:color w:val="000000" w:themeColor="text1"/>
          <w:sz w:val="24"/>
          <w:szCs w:val="24"/>
        </w:rPr>
        <w:t>COPD</w:t>
      </w:r>
      <w:r w:rsidRPr="00362D29">
        <w:rPr>
          <w:rFonts w:ascii="Traditional Arabic" w:hAnsi="Traditional Arabic" w:cs="Traditional Arabic"/>
          <w:color w:val="000000" w:themeColor="text1"/>
          <w:sz w:val="24"/>
          <w:szCs w:val="24"/>
          <w:rtl/>
        </w:rPr>
        <w:t>) وإصابة الحبل الشوكي (</w:t>
      </w:r>
      <w:r w:rsidRPr="00362D29">
        <w:rPr>
          <w:rFonts w:ascii="Traditional Arabic" w:hAnsi="Traditional Arabic" w:cs="Traditional Arabic"/>
          <w:color w:val="000000" w:themeColor="text1"/>
          <w:sz w:val="24"/>
          <w:szCs w:val="24"/>
        </w:rPr>
        <w:t>SCI</w:t>
      </w:r>
      <w:r w:rsidRPr="00362D29">
        <w:rPr>
          <w:rFonts w:ascii="Traditional Arabic" w:hAnsi="Traditional Arabic" w:cs="Traditional Arabic"/>
          <w:color w:val="000000" w:themeColor="text1"/>
          <w:sz w:val="24"/>
          <w:szCs w:val="24"/>
          <w:rtl/>
        </w:rPr>
        <w:t>) داخل المستشفى وخارجه. اعتمدت الدراسة منهجية تحليل نوعي تطبيقي ضمن إطار مشروع أوروبي ممول (</w:t>
      </w:r>
      <w:r w:rsidRPr="00362D29">
        <w:rPr>
          <w:rFonts w:ascii="Traditional Arabic" w:hAnsi="Traditional Arabic" w:cs="Traditional Arabic"/>
          <w:color w:val="000000" w:themeColor="text1"/>
          <w:sz w:val="24"/>
          <w:szCs w:val="24"/>
        </w:rPr>
        <w:t>ROSIA</w:t>
      </w:r>
      <w:r w:rsidRPr="00362D29">
        <w:rPr>
          <w:rFonts w:ascii="Traditional Arabic" w:hAnsi="Traditional Arabic" w:cs="Traditional Arabic"/>
          <w:color w:val="000000" w:themeColor="text1"/>
          <w:sz w:val="24"/>
          <w:szCs w:val="24"/>
          <w:rtl/>
        </w:rPr>
        <w:t xml:space="preserve">) لإعادة تصميم خدمات التأهيل الرقمي، حيث تم استخدام المقابلات شبه المنظمة وورش العمل التفاعلية مع المرضى والمهنيين الصحيين. تكون مجتمع الدراسة من مرضى سبع حالات مزمنة ضمن مشروع </w:t>
      </w:r>
      <w:r w:rsidRPr="00362D29">
        <w:rPr>
          <w:rFonts w:ascii="Traditional Arabic" w:hAnsi="Traditional Arabic" w:cs="Traditional Arabic"/>
          <w:color w:val="000000" w:themeColor="text1"/>
          <w:sz w:val="24"/>
          <w:szCs w:val="24"/>
        </w:rPr>
        <w:t>ROSIA</w:t>
      </w:r>
      <w:r w:rsidRPr="00362D29">
        <w:rPr>
          <w:rFonts w:ascii="Traditional Arabic" w:hAnsi="Traditional Arabic" w:cs="Traditional Arabic"/>
          <w:color w:val="000000" w:themeColor="text1"/>
          <w:sz w:val="24"/>
          <w:szCs w:val="24"/>
          <w:rtl/>
        </w:rPr>
        <w:t xml:space="preserve"> الأوروبي، وتم اختيار حالتي </w:t>
      </w:r>
      <w:r w:rsidRPr="00362D29">
        <w:rPr>
          <w:rFonts w:ascii="Traditional Arabic" w:hAnsi="Traditional Arabic" w:cs="Traditional Arabic"/>
          <w:color w:val="000000" w:themeColor="text1"/>
          <w:sz w:val="24"/>
          <w:szCs w:val="24"/>
        </w:rPr>
        <w:t>COPD</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SCI</w:t>
      </w:r>
      <w:r w:rsidRPr="00362D29">
        <w:rPr>
          <w:rFonts w:ascii="Traditional Arabic" w:hAnsi="Traditional Arabic" w:cs="Traditional Arabic"/>
          <w:color w:val="000000" w:themeColor="text1"/>
          <w:sz w:val="24"/>
          <w:szCs w:val="24"/>
          <w:rtl/>
        </w:rPr>
        <w:t xml:space="preserve"> للتحليل، وشملت العينة مشاركين من المرضى، وأفراد من أسرهم، ومقدمي رعاية صحية شاركوا في المقابلات وورش العمل النوعية، كما نتج عن تطبيق النموذج تحديد 19 احتياجًا رئيسيًا للمرضى و27 متطلبًا تصميميًا للتقنيات الرقمية. أظهرت النتائج أن تجربة المريض تتشكل من تفاعل ديناميكي بين الأبعاد الخمسة، وأن الاقتصار على البعد العلاجي/المؤسسي لا يعكس التجربة الكلية، خاصة في الأمراض المزمنة التي يحدث معظم مسارها خارج المستشفى. كما بينت النتائج أن إدماج الأبعاد العاطفية والاجتماعية والثقافية في تصميم خدمات التأهيل الرقمي أدى إلى تحسين الالتزام العلاجي، وتقليل عبء التنقل، وزيادة رضا المرضى في المناطق الريفية</w:t>
      </w:r>
    </w:p>
    <w:p w14:paraId="0E8C5817" w14:textId="04D41B86" w:rsidR="001C0E2F" w:rsidRPr="00362D29" w:rsidRDefault="00B02C8D"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 xml:space="preserve">Chen et al., </w:t>
      </w:r>
      <w:proofErr w:type="gramStart"/>
      <w:r w:rsidRPr="00362D29">
        <w:rPr>
          <w:rFonts w:ascii="Traditional Arabic" w:hAnsi="Traditional Arabic" w:cs="Traditional Arabic"/>
          <w:b/>
          <w:bCs/>
          <w:color w:val="000000" w:themeColor="text1"/>
          <w:sz w:val="24"/>
          <w:szCs w:val="24"/>
        </w:rPr>
        <w:t>2024</w:t>
      </w:r>
      <w:r w:rsidRPr="00362D29">
        <w:rPr>
          <w:rFonts w:ascii="Traditional Arabic" w:hAnsi="Traditional Arabic" w:cs="Traditional Arabic"/>
          <w:b/>
          <w:bCs/>
          <w:color w:val="000000" w:themeColor="text1"/>
          <w:sz w:val="24"/>
          <w:szCs w:val="24"/>
          <w:rtl/>
        </w:rPr>
        <w:t>)بعنوان</w:t>
      </w:r>
      <w:proofErr w:type="gramEnd"/>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Pr>
        <w:t xml:space="preserve">Which aspects of patient experience are the ‘moment of truth’ in the healthcare context: a </w:t>
      </w:r>
      <w:r w:rsidR="001C0E2F" w:rsidRPr="00362D29">
        <w:rPr>
          <w:rFonts w:ascii="Traditional Arabic" w:hAnsi="Traditional Arabic" w:cs="Traditional Arabic"/>
          <w:b/>
          <w:bCs/>
          <w:color w:val="000000" w:themeColor="text1"/>
          <w:sz w:val="24"/>
          <w:szCs w:val="24"/>
        </w:rPr>
        <w:t>multicenter</w:t>
      </w:r>
      <w:r w:rsidRPr="00362D29">
        <w:rPr>
          <w:rFonts w:ascii="Traditional Arabic" w:hAnsi="Traditional Arabic" w:cs="Traditional Arabic"/>
          <w:b/>
          <w:bCs/>
          <w:color w:val="000000" w:themeColor="text1"/>
          <w:sz w:val="24"/>
          <w:szCs w:val="24"/>
        </w:rPr>
        <w:t xml:space="preserve"> cross-sectional study in China</w:t>
      </w:r>
      <w:r w:rsidRPr="00362D29">
        <w:rPr>
          <w:rFonts w:ascii="Traditional Arabic" w:hAnsi="Traditional Arabic" w:cs="Traditional Arabic"/>
          <w:color w:val="000000" w:themeColor="text1"/>
          <w:sz w:val="24"/>
          <w:szCs w:val="24"/>
          <w:rtl/>
        </w:rPr>
        <w:t xml:space="preserve">" </w:t>
      </w:r>
    </w:p>
    <w:p w14:paraId="2DAEDE62" w14:textId="544F7F33" w:rsidR="001C0E2F" w:rsidRDefault="00B02C8D"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فحص اختلاف قوة الارتباط بين أبعاد تجربة المريض المحددة ومستوى الرضا الكلي عن الرعاية، وتحديد الأبعاد الأكثر تأثيرًا في تفسير رضا المرضى باستخدام نموذج إحصائي انتقائي قادر على معالجة تعدد الترابط بين </w:t>
      </w:r>
      <w:r w:rsidR="001C0E2F" w:rsidRPr="00362D29">
        <w:rPr>
          <w:rFonts w:ascii="Traditional Arabic" w:hAnsi="Traditional Arabic" w:cs="Traditional Arabic"/>
          <w:color w:val="000000" w:themeColor="text1"/>
          <w:sz w:val="24"/>
          <w:szCs w:val="24"/>
          <w:rtl/>
        </w:rPr>
        <w:t>المتغيرات. اعتمدت</w:t>
      </w:r>
      <w:r w:rsidRPr="00362D29">
        <w:rPr>
          <w:rFonts w:ascii="Traditional Arabic" w:hAnsi="Traditional Arabic" w:cs="Traditional Arabic"/>
          <w:color w:val="000000" w:themeColor="text1"/>
          <w:sz w:val="24"/>
          <w:szCs w:val="24"/>
          <w:rtl/>
        </w:rPr>
        <w:t xml:space="preserve"> الدراسة المنهج الوصفي </w:t>
      </w:r>
      <w:proofErr w:type="gramStart"/>
      <w:r w:rsidRPr="00362D29">
        <w:rPr>
          <w:rFonts w:ascii="Traditional Arabic" w:hAnsi="Traditional Arabic" w:cs="Traditional Arabic"/>
          <w:color w:val="000000" w:themeColor="text1"/>
          <w:sz w:val="24"/>
          <w:szCs w:val="24"/>
          <w:rtl/>
        </w:rPr>
        <w:t>التحليلي ،</w:t>
      </w:r>
      <w:proofErr w:type="gramEnd"/>
      <w:r w:rsidRPr="00362D29">
        <w:rPr>
          <w:rFonts w:ascii="Traditional Arabic" w:hAnsi="Traditional Arabic" w:cs="Traditional Arabic"/>
          <w:color w:val="000000" w:themeColor="text1"/>
          <w:sz w:val="24"/>
          <w:szCs w:val="24"/>
          <w:rtl/>
        </w:rPr>
        <w:t xml:space="preserve"> واستخدمت تحليل الانحدار بطريقة </w:t>
      </w:r>
      <w:r w:rsidRPr="00362D29">
        <w:rPr>
          <w:rFonts w:ascii="Traditional Arabic" w:hAnsi="Traditional Arabic" w:cs="Traditional Arabic"/>
          <w:color w:val="000000" w:themeColor="text1"/>
          <w:sz w:val="24"/>
          <w:szCs w:val="24"/>
        </w:rPr>
        <w:t>LASSO Group</w:t>
      </w:r>
      <w:r w:rsidRPr="00362D29">
        <w:rPr>
          <w:rFonts w:ascii="Traditional Arabic" w:hAnsi="Traditional Arabic" w:cs="Traditional Arabic"/>
          <w:color w:val="000000" w:themeColor="text1"/>
          <w:sz w:val="24"/>
          <w:szCs w:val="24"/>
          <w:rtl/>
        </w:rPr>
        <w:t xml:space="preserve"> مع التحقق المتقاطع خماسي الطيات. تم قياس تجربة المريض باستخدام مقياس </w:t>
      </w:r>
      <w:r w:rsidRPr="00362D29">
        <w:rPr>
          <w:rFonts w:ascii="Traditional Arabic" w:hAnsi="Traditional Arabic" w:cs="Traditional Arabic"/>
          <w:color w:val="000000" w:themeColor="text1"/>
          <w:sz w:val="24"/>
          <w:szCs w:val="24"/>
        </w:rPr>
        <w:t>Inpatient Experience with Nursing Care Scale</w:t>
      </w:r>
      <w:r w:rsidRPr="00362D29">
        <w:rPr>
          <w:rFonts w:ascii="Traditional Arabic" w:hAnsi="Traditional Arabic" w:cs="Traditional Arabic"/>
          <w:color w:val="000000" w:themeColor="text1"/>
          <w:sz w:val="24"/>
          <w:szCs w:val="24"/>
          <w:rtl/>
        </w:rPr>
        <w:t xml:space="preserve"> المكون من 30 بندًا موزعة على 7 أبعاد، وقياس الرضا الكلي بمقياس عددي من 10 درجات. تكوّن مجتمع الدراسة من 1532 مريضًا من المرضى المنومين في ثلاثة مستشفيات بمدينة شنغهاي تمثل الأنواع الرئيسة للنظام الصحي </w:t>
      </w:r>
      <w:proofErr w:type="gramStart"/>
      <w:r w:rsidRPr="00362D29">
        <w:rPr>
          <w:rFonts w:ascii="Traditional Arabic" w:hAnsi="Traditional Arabic" w:cs="Traditional Arabic"/>
          <w:color w:val="000000" w:themeColor="text1"/>
          <w:sz w:val="24"/>
          <w:szCs w:val="24"/>
          <w:rtl/>
        </w:rPr>
        <w:t>الصيني ،</w:t>
      </w:r>
      <w:proofErr w:type="gramEnd"/>
      <w:r w:rsidRPr="00362D29">
        <w:rPr>
          <w:rFonts w:ascii="Traditional Arabic" w:hAnsi="Traditional Arabic" w:cs="Traditional Arabic"/>
          <w:color w:val="000000" w:themeColor="text1"/>
          <w:sz w:val="24"/>
          <w:szCs w:val="24"/>
          <w:rtl/>
        </w:rPr>
        <w:t xml:space="preserve"> واستُبعد 63 لعدم الاستجابة، واعتمدت العينة النهائية على 1469 مريضًا استوفوا معايير الإدراج. أظهرت النتائج أن أربعة أبعاد من تجربة المريض كانت الأكثر تأثيرًا في تفسير الرضا الكلي، وهي مرتبة تنازلياً الدعم العاطفي، وإدارة الدخول </w:t>
      </w:r>
      <w:proofErr w:type="gramStart"/>
      <w:r w:rsidRPr="00362D29">
        <w:rPr>
          <w:rFonts w:ascii="Traditional Arabic" w:hAnsi="Traditional Arabic" w:cs="Traditional Arabic"/>
          <w:color w:val="000000" w:themeColor="text1"/>
          <w:sz w:val="24"/>
          <w:szCs w:val="24"/>
          <w:rtl/>
        </w:rPr>
        <w:t>والخروج ،</w:t>
      </w:r>
      <w:proofErr w:type="gramEnd"/>
      <w:r w:rsidRPr="00362D29">
        <w:rPr>
          <w:rFonts w:ascii="Traditional Arabic" w:hAnsi="Traditional Arabic" w:cs="Traditional Arabic"/>
          <w:color w:val="000000" w:themeColor="text1"/>
          <w:sz w:val="24"/>
          <w:szCs w:val="24"/>
          <w:rtl/>
        </w:rPr>
        <w:t xml:space="preserve"> ومتابعة الحالة المرضية والتعامل مع تطورها ، والمعلومات والتثقيف الصحي. كما بينت النتائج أن التركيز على هذه الأبعاد ذات الأولوية يفسر نسبة أعلى من التباين في الرضا مقارنة ببقية الأبعاد، مما يؤكد أن تجربة المريض لا تؤثر بصورة متساوية في الرضا الكلي.</w:t>
      </w:r>
    </w:p>
    <w:p w14:paraId="45060573" w14:textId="77777777" w:rsidR="00937192" w:rsidRPr="00362D29" w:rsidRDefault="00937192" w:rsidP="00937192">
      <w:pPr>
        <w:pStyle w:val="ab"/>
        <w:bidi/>
        <w:spacing w:before="240" w:after="200" w:line="360" w:lineRule="auto"/>
        <w:jc w:val="both"/>
        <w:rPr>
          <w:rFonts w:ascii="Traditional Arabic" w:hAnsi="Traditional Arabic" w:cs="Traditional Arabic"/>
          <w:color w:val="000000" w:themeColor="text1"/>
          <w:sz w:val="24"/>
          <w:szCs w:val="24"/>
        </w:rPr>
      </w:pPr>
    </w:p>
    <w:p w14:paraId="31158ED3" w14:textId="3298DEFA" w:rsidR="001C0E2F" w:rsidRPr="00362D29" w:rsidRDefault="003A536A"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proofErr w:type="gramStart"/>
      <w:r w:rsidRPr="00362D29">
        <w:rPr>
          <w:rFonts w:ascii="Traditional Arabic" w:hAnsi="Traditional Arabic" w:cs="Traditional Arabic"/>
          <w:b/>
          <w:bCs/>
          <w:color w:val="000000" w:themeColor="text1"/>
          <w:sz w:val="24"/>
          <w:szCs w:val="24"/>
          <w:rtl/>
        </w:rPr>
        <w:lastRenderedPageBreak/>
        <w:t>دراسة</w:t>
      </w:r>
      <w:commentRangeStart w:id="19"/>
      <w:r w:rsidRPr="00F548B6">
        <w:rPr>
          <w:rFonts w:ascii="Traditional Arabic" w:hAnsi="Traditional Arabic" w:cs="Traditional Arabic"/>
          <w:b/>
          <w:bCs/>
          <w:color w:val="FF0000"/>
          <w:sz w:val="24"/>
          <w:szCs w:val="24"/>
        </w:rPr>
        <w:t>(</w:t>
      </w:r>
      <w:proofErr w:type="gramEnd"/>
      <w:r w:rsidRPr="00F548B6">
        <w:rPr>
          <w:rFonts w:ascii="Traditional Arabic" w:hAnsi="Traditional Arabic" w:cs="Traditional Arabic"/>
          <w:b/>
          <w:bCs/>
          <w:color w:val="FF0000"/>
          <w:sz w:val="24"/>
          <w:szCs w:val="24"/>
        </w:rPr>
        <w:t>Guan et al., 2024</w:t>
      </w:r>
      <w:r w:rsidR="00851B5B" w:rsidRPr="00F548B6">
        <w:rPr>
          <w:rFonts w:ascii="Traditional Arabic" w:hAnsi="Traditional Arabic" w:cs="Traditional Arabic"/>
          <w:b/>
          <w:bCs/>
          <w:color w:val="FF0000"/>
          <w:sz w:val="24"/>
          <w:szCs w:val="24"/>
        </w:rPr>
        <w:t>)</w:t>
      </w:r>
      <w:commentRangeEnd w:id="19"/>
      <w:r w:rsidR="00F548B6">
        <w:rPr>
          <w:rStyle w:val="ac"/>
          <w:rtl/>
        </w:rPr>
        <w:commentReference w:id="19"/>
      </w:r>
      <w:r w:rsidR="00851B5B" w:rsidRPr="00362D29">
        <w:rPr>
          <w:rFonts w:ascii="Traditional Arabic" w:hAnsi="Traditional Arabic" w:cs="Traditional Arabic"/>
          <w:b/>
          <w:bCs/>
          <w:color w:val="000000" w:themeColor="text1"/>
          <w:sz w:val="24"/>
          <w:szCs w:val="24"/>
        </w:rPr>
        <w:t xml:space="preserve"> </w:t>
      </w:r>
      <w:r w:rsidR="00851B5B"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tl/>
        </w:rPr>
        <w:t xml:space="preserve"> </w:t>
      </w:r>
      <w:r w:rsidR="001C0E2F"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Factors influencing patient experience in hospital wards: a systematic review</w:t>
      </w:r>
      <w:r w:rsidR="001C0E2F"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25B9ED25" w14:textId="6A6F4E94" w:rsidR="003A536A" w:rsidRPr="00362D29" w:rsidRDefault="003A536A"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العوامل المؤثرة في تجربة المريض داخل أجنحة التنويم بالمستشفيات بصورة شمولية متعددة المستويات، كما سعت إلى تصنيف هذه العوامل ضمن إطار النموذج البيئي (مكليروي) لفهم التأثيرات الفردية والتنظيمية والمجتمعية والسياسية على تجربة المرضى</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 اعتمدت الدراسة المنهجية الوصفية التحليلية بأسلوب المراجعة المنهجية وفق إرشادات</w:t>
      </w:r>
      <w:r w:rsidR="00851B5B"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PRISMA 2020</w:t>
      </w:r>
      <w:r w:rsidRPr="00362D29">
        <w:rPr>
          <w:rFonts w:ascii="Traditional Arabic" w:hAnsi="Traditional Arabic" w:cs="Traditional Arabic"/>
          <w:color w:val="000000" w:themeColor="text1"/>
          <w:sz w:val="24"/>
          <w:szCs w:val="24"/>
          <w:rtl/>
        </w:rPr>
        <w:t>، وتم تسجيل البروتوكول في</w:t>
      </w:r>
      <w:r w:rsidRPr="00362D29">
        <w:rPr>
          <w:rFonts w:ascii="Traditional Arabic" w:hAnsi="Traditional Arabic" w:cs="Traditional Arabic"/>
          <w:color w:val="000000" w:themeColor="text1"/>
          <w:sz w:val="24"/>
          <w:szCs w:val="24"/>
        </w:rPr>
        <w:t xml:space="preserve"> PROSPERO </w:t>
      </w:r>
      <w:r w:rsidRPr="00362D29">
        <w:rPr>
          <w:rFonts w:ascii="Traditional Arabic" w:hAnsi="Traditional Arabic" w:cs="Traditional Arabic"/>
          <w:color w:val="000000" w:themeColor="text1"/>
          <w:sz w:val="24"/>
          <w:szCs w:val="24"/>
          <w:rtl/>
        </w:rPr>
        <w:t>برقم</w:t>
      </w:r>
      <w:r w:rsidRPr="00362D29">
        <w:rPr>
          <w:rFonts w:ascii="Traditional Arabic" w:hAnsi="Traditional Arabic" w:cs="Traditional Arabic"/>
          <w:color w:val="000000" w:themeColor="text1"/>
          <w:sz w:val="24"/>
          <w:szCs w:val="24"/>
        </w:rPr>
        <w:t xml:space="preserve"> CRD42023401066. </w:t>
      </w:r>
      <w:r w:rsidR="00851B5B"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شملت عملية البحث ست قواعد بيانات هي</w:t>
      </w:r>
      <w:r w:rsidRPr="00362D29">
        <w:rPr>
          <w:rFonts w:ascii="Traditional Arabic" w:hAnsi="Traditional Arabic" w:cs="Traditional Arabic"/>
          <w:color w:val="000000" w:themeColor="text1"/>
          <w:sz w:val="24"/>
          <w:szCs w:val="24"/>
        </w:rPr>
        <w:t xml:space="preserve"> PubMed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CINAHL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Embase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PsycInfo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ProQuest </w:t>
      </w:r>
      <w:r w:rsidRPr="00362D29">
        <w:rPr>
          <w:rFonts w:ascii="Traditional Arabic" w:hAnsi="Traditional Arabic" w:cs="Traditional Arabic"/>
          <w:color w:val="000000" w:themeColor="text1"/>
          <w:sz w:val="24"/>
          <w:szCs w:val="24"/>
          <w:rtl/>
        </w:rPr>
        <w:t>و</w:t>
      </w:r>
      <w:r w:rsidR="001C0E2F" w:rsidRPr="00362D29">
        <w:rPr>
          <w:rFonts w:ascii="Traditional Arabic" w:hAnsi="Traditional Arabic" w:cs="Traditional Arabic"/>
          <w:color w:val="000000" w:themeColor="text1"/>
          <w:sz w:val="24"/>
          <w:szCs w:val="24"/>
        </w:rPr>
        <w:t xml:space="preserve">Cochrane </w:t>
      </w:r>
      <w:r w:rsidR="001C0E2F" w:rsidRPr="00362D29">
        <w:rPr>
          <w:rFonts w:ascii="Traditional Arabic" w:hAnsi="Traditional Arabic" w:cs="Traditional Arabic"/>
          <w:color w:val="000000" w:themeColor="text1"/>
          <w:sz w:val="24"/>
          <w:szCs w:val="24"/>
          <w:rtl/>
        </w:rPr>
        <w:t>حتى</w:t>
      </w:r>
      <w:r w:rsidRPr="00362D29">
        <w:rPr>
          <w:rFonts w:ascii="Traditional Arabic" w:hAnsi="Traditional Arabic" w:cs="Traditional Arabic"/>
          <w:color w:val="000000" w:themeColor="text1"/>
          <w:sz w:val="24"/>
          <w:szCs w:val="24"/>
          <w:rtl/>
        </w:rPr>
        <w:t xml:space="preserve"> 23 أغسطس 2022. استخدمت أداة</w:t>
      </w:r>
      <w:r w:rsidRPr="00362D29">
        <w:rPr>
          <w:rFonts w:ascii="Traditional Arabic" w:hAnsi="Traditional Arabic" w:cs="Traditional Arabic"/>
          <w:color w:val="000000" w:themeColor="text1"/>
          <w:sz w:val="24"/>
          <w:szCs w:val="24"/>
        </w:rPr>
        <w:t xml:space="preserve"> Joanna Briggs Institute </w:t>
      </w:r>
      <w:r w:rsidRPr="00362D29">
        <w:rPr>
          <w:rFonts w:ascii="Traditional Arabic" w:hAnsi="Traditional Arabic" w:cs="Traditional Arabic"/>
          <w:color w:val="000000" w:themeColor="text1"/>
          <w:sz w:val="24"/>
          <w:szCs w:val="24"/>
          <w:rtl/>
        </w:rPr>
        <w:t>لتقييم الجودة المنهجية، وتم دمج النتائج وتحليلها وفق خمسة مستويات للنموذج البيئي مع إضافة نطاق سادس متعلق بعوامل المسح</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تكوّن مجتمع الدراسة من جميع الدراسات المنشورة باللغة الإنجليزية التي تناولت العوامل المرتبطة بتجربة المرضى المنومين البالغين، وبلغت العينة النهائية 138 دراسة (133 مقطعية، 3 طولية، 2 أترابية)،</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أظهرت النتائج تحديد 164 عاملًا مؤثرًا في تجربة المريض موزعة على ستة مجالات رئيسية (المستوى الفردي</w:t>
      </w:r>
      <w:r w:rsidR="0053362E" w:rsidRPr="00362D29">
        <w:rPr>
          <w:rFonts w:ascii="Traditional Arabic" w:hAnsi="Traditional Arabic" w:cs="Traditional Arabic"/>
          <w:color w:val="000000" w:themeColor="text1"/>
          <w:sz w:val="24"/>
          <w:szCs w:val="24"/>
          <w:rtl/>
        </w:rPr>
        <w:t xml:space="preserve"> </w:t>
      </w:r>
      <w:r w:rsidR="007A2089"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المستوى التفاعلي بين المريض ومقدمي الرعاية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المستوى المؤسسي</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المستوى المجتمعي</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مستوى السياسات العامة، وعوامل متعلقة بآلية وأدوات المسح</w:t>
      </w:r>
      <w:r w:rsidRPr="00362D29">
        <w:rPr>
          <w:rFonts w:ascii="Traditional Arabic" w:hAnsi="Traditional Arabic" w:cs="Traditional Arabic"/>
          <w:color w:val="000000" w:themeColor="text1"/>
          <w:sz w:val="24"/>
          <w:szCs w:val="24"/>
        </w:rPr>
        <w:t xml:space="preserve"> </w:t>
      </w:r>
      <w:r w:rsidR="009252C1"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tl/>
        </w:rPr>
        <w:t>، كما بينت أن العوامل الفردية مثل العمر والجنس والمستوى التعليمي والحالة الصحية، إضافة إلى خصائص المستشفى التعليمي، كانت الأكثر تكرارًا إلا أن تأثيرها كان متباينًا وغير حاسم</w:t>
      </w:r>
      <w:r w:rsidRPr="00362D29">
        <w:rPr>
          <w:rFonts w:ascii="Traditional Arabic" w:hAnsi="Traditional Arabic" w:cs="Traditional Arabic"/>
          <w:color w:val="000000" w:themeColor="text1"/>
          <w:sz w:val="24"/>
          <w:szCs w:val="24"/>
        </w:rPr>
        <w:t>.</w:t>
      </w:r>
    </w:p>
    <w:p w14:paraId="42925D4A" w14:textId="77777777" w:rsidR="001C0E2F" w:rsidRPr="00362D29" w:rsidRDefault="00FC0740"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Avlijas et al., 2023</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A concept analysis of the patient experience</w:t>
      </w:r>
      <w:r w:rsidRPr="00362D29">
        <w:rPr>
          <w:rFonts w:ascii="Traditional Arabic" w:hAnsi="Traditional Arabic" w:cs="Traditional Arabic"/>
          <w:b/>
          <w:bCs/>
          <w:color w:val="000000" w:themeColor="text1"/>
          <w:sz w:val="24"/>
          <w:szCs w:val="24"/>
          <w:rtl/>
        </w:rPr>
        <w:t xml:space="preserve">" </w:t>
      </w:r>
    </w:p>
    <w:p w14:paraId="05B4EFE2" w14:textId="76DE2084" w:rsidR="001C0E2F" w:rsidRPr="00362D29" w:rsidRDefault="00FC0740"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توضيح مفهوم تجربة المريض من خلال حصر التعريفات القائمة وطرق القياس والسمات الجوهرية المرتبطة به، والتمييز بينه وبين المفاهيم المتقاربة مثل رضا المريض. كما سعت إلى اقتراح تعريف نظري وإجرائي متكامل يسهم في تطوير أدوات قياس أكثر صدقًا وثباتًا مستقبلًا. اتبعت الدراسة منهج تحليل المفهوم وفق نموذج </w:t>
      </w:r>
      <w:r w:rsidRPr="00362D29">
        <w:rPr>
          <w:rFonts w:ascii="Traditional Arabic" w:hAnsi="Traditional Arabic" w:cs="Traditional Arabic"/>
          <w:color w:val="000000" w:themeColor="text1"/>
          <w:sz w:val="24"/>
          <w:szCs w:val="24"/>
        </w:rPr>
        <w:t>Walker and Avant</w:t>
      </w:r>
      <w:r w:rsidRPr="00362D29">
        <w:rPr>
          <w:rFonts w:ascii="Traditional Arabic" w:hAnsi="Traditional Arabic" w:cs="Traditional Arabic"/>
          <w:color w:val="000000" w:themeColor="text1"/>
          <w:sz w:val="24"/>
          <w:szCs w:val="24"/>
          <w:rtl/>
        </w:rPr>
        <w:t xml:space="preserve"> المكوَّن من ثماني خطوات، مع مراجعة منهجية موسعة للأدبيات شملت سبع قواعد بيانات ومحرك بحث واحد حتى سبتمبر 2021، إضافة إلى الأدبيات الرمادية. تم تحديد 19,447 مرجعًا، وبعد إزالة التكرار والفحص المرحلي للعناوين والملخصات والنصوص الكاملة، أُدرجت 436 دراسة وموقعًا تنظيميًا في التحليل النهائي. تمثّل المجتمع البحثي في الأدبيات المنشورة عالميًا حول تجربة المريض، بينما بلغت العينة النهائية 436 مصدرًا من 34 دولة، غالبيتها في بيئة المستشفيات (326 دراسة بنسبة 74.77%</w:t>
      </w:r>
      <w:proofErr w:type="gramStart"/>
      <w:r w:rsidRPr="00362D29">
        <w:rPr>
          <w:rFonts w:ascii="Traditional Arabic" w:hAnsi="Traditional Arabic" w:cs="Traditional Arabic"/>
          <w:color w:val="000000" w:themeColor="text1"/>
          <w:sz w:val="24"/>
          <w:szCs w:val="24"/>
          <w:rtl/>
        </w:rPr>
        <w:t>) .أسفرت</w:t>
      </w:r>
      <w:proofErr w:type="gramEnd"/>
      <w:r w:rsidRPr="00362D29">
        <w:rPr>
          <w:rFonts w:ascii="Traditional Arabic" w:hAnsi="Traditional Arabic" w:cs="Traditional Arabic"/>
          <w:color w:val="000000" w:themeColor="text1"/>
          <w:sz w:val="24"/>
          <w:szCs w:val="24"/>
          <w:rtl/>
        </w:rPr>
        <w:t xml:space="preserve"> النتائج عن تحديد عشرين سمة مميزة لمفهوم تجربة المريض، أبرزها التواصل، احترام المرضى، الرعاية المتمحورة حول المريض، البيئة الاستشفائية ، الكفاءة السريرية، السلامة، واستمرارية الرعاية. كما انتهت الدراسة إلى اقتراح تعريف شامل مفاده أن تجربة المريض هي مزيج من العمليات الداخلية والخارجية بالمستشفى، والسمات المتمحورة حول المريض، والتفاعلات بين المريض والعاملين وبين العاملين أنفسهم خلال جميع مراحل الرعاية.</w:t>
      </w:r>
    </w:p>
    <w:p w14:paraId="44DB5CE3" w14:textId="2054F8EB" w:rsidR="001C0E2F" w:rsidRPr="00362D29" w:rsidRDefault="00CA1533"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proofErr w:type="gramStart"/>
      <w:r w:rsidRPr="00362D29">
        <w:rPr>
          <w:rFonts w:ascii="Traditional Arabic" w:hAnsi="Traditional Arabic" w:cs="Traditional Arabic"/>
          <w:b/>
          <w:bCs/>
          <w:color w:val="000000" w:themeColor="text1"/>
          <w:sz w:val="24"/>
          <w:szCs w:val="24"/>
          <w:rtl/>
        </w:rPr>
        <w:lastRenderedPageBreak/>
        <w:t xml:space="preserve">دراسة </w:t>
      </w:r>
      <w:r w:rsidRPr="00362D29">
        <w:rPr>
          <w:rFonts w:ascii="Traditional Arabic" w:hAnsi="Traditional Arabic" w:cs="Traditional Arabic"/>
          <w:b/>
          <w:bCs/>
          <w:color w:val="000000" w:themeColor="text1"/>
          <w:sz w:val="24"/>
          <w:szCs w:val="24"/>
        </w:rPr>
        <w:t xml:space="preserve"> (</w:t>
      </w:r>
      <w:proofErr w:type="gramEnd"/>
      <w:r w:rsidRPr="00362D29">
        <w:rPr>
          <w:rFonts w:ascii="Traditional Arabic" w:hAnsi="Traditional Arabic" w:cs="Traditional Arabic"/>
          <w:b/>
          <w:bCs/>
          <w:color w:val="000000" w:themeColor="text1"/>
          <w:sz w:val="24"/>
          <w:szCs w:val="24"/>
        </w:rPr>
        <w:t>Alharbi, 2023)</w:t>
      </w:r>
      <w:r w:rsidR="00947153" w:rsidRPr="00362D29">
        <w:rPr>
          <w:rFonts w:ascii="Traditional Arabic" w:hAnsi="Traditional Arabic" w:cs="Traditional Arabic"/>
          <w:b/>
          <w:bCs/>
          <w:color w:val="000000" w:themeColor="text1"/>
          <w:sz w:val="24"/>
          <w:szCs w:val="24"/>
        </w:rPr>
        <w:t xml:space="preserve"> </w:t>
      </w:r>
      <w:r w:rsidR="00947153" w:rsidRPr="00362D29">
        <w:rPr>
          <w:rFonts w:ascii="Traditional Arabic" w:hAnsi="Traditional Arabic" w:cs="Traditional Arabic"/>
          <w:b/>
          <w:bCs/>
          <w:color w:val="000000" w:themeColor="text1"/>
          <w:sz w:val="24"/>
          <w:szCs w:val="24"/>
          <w:rtl/>
        </w:rPr>
        <w:t>بعنوان</w:t>
      </w:r>
      <w:r w:rsidR="00947153" w:rsidRPr="00362D29">
        <w:rPr>
          <w:rFonts w:ascii="Traditional Arabic" w:hAnsi="Traditional Arabic" w:cs="Traditional Arabic"/>
          <w:b/>
          <w:bCs/>
          <w:color w:val="000000" w:themeColor="text1"/>
          <w:sz w:val="24"/>
          <w:szCs w:val="24"/>
        </w:rPr>
        <w:t xml:space="preserve"> </w:t>
      </w:r>
      <w:r w:rsidR="001C0E2F" w:rsidRPr="00362D29">
        <w:rPr>
          <w:rFonts w:ascii="Traditional Arabic" w:hAnsi="Traditional Arabic" w:cs="Traditional Arabic"/>
          <w:b/>
          <w:bCs/>
          <w:color w:val="000000" w:themeColor="text1"/>
          <w:sz w:val="24"/>
          <w:szCs w:val="24"/>
        </w:rPr>
        <w:t>"</w:t>
      </w:r>
      <w:r w:rsidR="00947153" w:rsidRPr="00362D29">
        <w:rPr>
          <w:rFonts w:ascii="Traditional Arabic" w:hAnsi="Traditional Arabic" w:cs="Traditional Arabic"/>
          <w:b/>
          <w:bCs/>
          <w:color w:val="000000" w:themeColor="text1"/>
          <w:sz w:val="24"/>
          <w:szCs w:val="24"/>
        </w:rPr>
        <w:t>Patients’ experience of service quality in government and private hospitals in the Qassim Region, Kingdom of Saudi Arabia</w:t>
      </w:r>
      <w:r w:rsidR="001C0E2F" w:rsidRPr="00362D29">
        <w:rPr>
          <w:rFonts w:ascii="Traditional Arabic" w:hAnsi="Traditional Arabic" w:cs="Traditional Arabic"/>
          <w:b/>
          <w:bCs/>
          <w:color w:val="000000" w:themeColor="text1"/>
          <w:sz w:val="24"/>
          <w:szCs w:val="24"/>
        </w:rPr>
        <w:t>"</w:t>
      </w:r>
      <w:r w:rsidR="00947153" w:rsidRPr="00362D29">
        <w:rPr>
          <w:rFonts w:ascii="Traditional Arabic" w:hAnsi="Traditional Arabic" w:cs="Traditional Arabic"/>
          <w:b/>
          <w:bCs/>
          <w:color w:val="000000" w:themeColor="text1"/>
          <w:sz w:val="24"/>
          <w:szCs w:val="24"/>
          <w:rtl/>
        </w:rPr>
        <w:t xml:space="preserve">، </w:t>
      </w:r>
    </w:p>
    <w:p w14:paraId="2F1BE421" w14:textId="56F9B681" w:rsidR="00F5495F" w:rsidRPr="00362D29" w:rsidRDefault="00947153"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w:t>
      </w:r>
      <w:r w:rsidR="00F5495F" w:rsidRPr="00362D29">
        <w:rPr>
          <w:rFonts w:ascii="Traditional Arabic" w:hAnsi="Traditional Arabic" w:cs="Traditional Arabic"/>
          <w:color w:val="000000" w:themeColor="text1"/>
          <w:sz w:val="24"/>
          <w:szCs w:val="24"/>
          <w:rtl/>
        </w:rPr>
        <w:t xml:space="preserve">مقارنة تجربة المرضى في المستشفيات الحكومية والخاصة وكذلك تقييم مستوى تجربة المرضى تجاه جودة الخدمة الصحية في المستشفيات الحكومية والخاصة بمنطقة القصيم، والمقارنة بين القطاعين باستخدام مقياس </w:t>
      </w:r>
      <w:r w:rsidR="00F5495F" w:rsidRPr="00362D29">
        <w:rPr>
          <w:rFonts w:ascii="Traditional Arabic" w:hAnsi="Traditional Arabic" w:cs="Traditional Arabic"/>
          <w:color w:val="000000" w:themeColor="text1"/>
          <w:sz w:val="24"/>
          <w:szCs w:val="24"/>
        </w:rPr>
        <w:t>SERVQUAL</w:t>
      </w:r>
      <w:r w:rsidR="00F5495F" w:rsidRPr="00362D29">
        <w:rPr>
          <w:rFonts w:ascii="Traditional Arabic" w:hAnsi="Traditional Arabic" w:cs="Traditional Arabic"/>
          <w:color w:val="000000" w:themeColor="text1"/>
          <w:sz w:val="24"/>
          <w:szCs w:val="24"/>
          <w:rtl/>
        </w:rPr>
        <w:t xml:space="preserve"> لتحديد الفروق في مستوى الرضا العام. اعتمدت الدراسة المنهج الوصفي التحليلي بتصميم مقطعي (</w:t>
      </w:r>
      <w:r w:rsidR="00F5495F" w:rsidRPr="00362D29">
        <w:rPr>
          <w:rFonts w:ascii="Traditional Arabic" w:hAnsi="Traditional Arabic" w:cs="Traditional Arabic"/>
          <w:color w:val="000000" w:themeColor="text1"/>
          <w:sz w:val="24"/>
          <w:szCs w:val="24"/>
        </w:rPr>
        <w:t>Cross-sectional</w:t>
      </w:r>
      <w:r w:rsidR="00F5495F" w:rsidRPr="00362D29">
        <w:rPr>
          <w:rFonts w:ascii="Traditional Arabic" w:hAnsi="Traditional Arabic" w:cs="Traditional Arabic"/>
          <w:color w:val="000000" w:themeColor="text1"/>
          <w:sz w:val="24"/>
          <w:szCs w:val="24"/>
          <w:rtl/>
        </w:rPr>
        <w:t xml:space="preserve">)، واستخدمت استبانة </w:t>
      </w:r>
      <w:r w:rsidR="00F5495F" w:rsidRPr="00362D29">
        <w:rPr>
          <w:rFonts w:ascii="Traditional Arabic" w:hAnsi="Traditional Arabic" w:cs="Traditional Arabic"/>
          <w:color w:val="000000" w:themeColor="text1"/>
          <w:sz w:val="24"/>
          <w:szCs w:val="24"/>
        </w:rPr>
        <w:t>SERVQUAL</w:t>
      </w:r>
      <w:r w:rsidR="00F5495F" w:rsidRPr="00362D29">
        <w:rPr>
          <w:rFonts w:ascii="Traditional Arabic" w:hAnsi="Traditional Arabic" w:cs="Traditional Arabic"/>
          <w:color w:val="000000" w:themeColor="text1"/>
          <w:sz w:val="24"/>
          <w:szCs w:val="24"/>
          <w:rtl/>
        </w:rPr>
        <w:t xml:space="preserve"> مترجمة إلى العربية، واشتمل مجتمع الدراسة على جميع المرضى المنومين في (21) مستشفى حكومي و(4) مستشفيات خاصة بمنطقة القصيم خلال الفترة من 1 أبريل 2022 إلى 31 مارس 2023، حيث بلغ عدد الاستجابات الصالحة للتحليل (381) استبانة من أصل (450)، منهم (217) في مستشفيات حكومية و(164) في مستشفيات خاصة. وأظهرت النتائج وجود فروق ذات دلالة إحصائية بين القطاعين في جميع أبعاد الجودة الخمسة (الملموسية، الاعتمادية، الاستجابة، الأمان، التعاطف) عند مستوى (0.01) باستثناء بُعد الاستجابة عند مستوى (0.05)، كما سجلت المستشفيات الخاصة متوسطات أعلى في جميع الأبعاد وفي الرضا العام (3.87 مقابل 3.61)، مما يشير إلى تفوق إدراكي لجودة الخدمة في القطاع الخاص مقارنة </w:t>
      </w:r>
      <w:proofErr w:type="gramStart"/>
      <w:r w:rsidR="00F5495F" w:rsidRPr="00362D29">
        <w:rPr>
          <w:rFonts w:ascii="Traditional Arabic" w:hAnsi="Traditional Arabic" w:cs="Traditional Arabic"/>
          <w:color w:val="000000" w:themeColor="text1"/>
          <w:sz w:val="24"/>
          <w:szCs w:val="24"/>
          <w:rtl/>
        </w:rPr>
        <w:t>بالحكومي .</w:t>
      </w:r>
      <w:proofErr w:type="gramEnd"/>
      <w:r w:rsidR="00F5495F" w:rsidRPr="00362D29">
        <w:rPr>
          <w:rFonts w:ascii="Traditional Arabic" w:hAnsi="Traditional Arabic" w:cs="Traditional Arabic"/>
          <w:color w:val="000000" w:themeColor="text1"/>
          <w:sz w:val="24"/>
          <w:szCs w:val="24"/>
          <w:rtl/>
        </w:rPr>
        <w:t xml:space="preserve"> بشكل عام أظهرت النتائج تفوق القطاع الخاص في جوانب مثل السرعة والتفاعل، بينما سجّل القطاع الحكومي أداءً أعلى في الجوانب السريرية. كما أكدت الدراسة على دور العوامل التنظيمية في تشكيل تجربة المريض.</w:t>
      </w:r>
    </w:p>
    <w:p w14:paraId="16604221" w14:textId="77777777" w:rsidR="000B63F3" w:rsidRPr="00362D29" w:rsidRDefault="00297411"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(الغامدي وطيبة، 2023) "أثر القيادة الإدارية على أداء إدارة تجربة المريض: دراسة ميدانية على الموظفين الإداريين بمديرية الشؤون الصحية بمحافظة جدة</w:t>
      </w:r>
      <w:r w:rsidRPr="00362D29">
        <w:rPr>
          <w:rFonts w:ascii="Traditional Arabic" w:hAnsi="Traditional Arabic" w:cs="Traditional Arabic"/>
          <w:color w:val="000000" w:themeColor="text1"/>
          <w:sz w:val="24"/>
          <w:szCs w:val="24"/>
          <w:rtl/>
        </w:rPr>
        <w:t xml:space="preserve">" </w:t>
      </w:r>
    </w:p>
    <w:p w14:paraId="39D57732" w14:textId="1E2BEE43" w:rsidR="00297411" w:rsidRPr="00362D29" w:rsidRDefault="00297411"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توضيح أثر أسلوب القيادة الإدارية في تحسين أداء إدارة تجربة المريض، وهدفت أيضا الكشف عن طبيعة العلاقة بين أبعاد القيادة الإدارية (البيئة المستقلة، وضوح المهام، وتوفير الإمكانيات المادية والمعينات) ومستوى أداء إدارة تجربة المريض. اعتمدت الدراسة المنهج الوصفي التحليلي، واستخدمت الاستبانة أداةً لجمع البيانات وفق مقياس ليكرت الخماسي، مع التحقق من الصدق والثبات باستخدام معامل ارتباط بيرسون وألفا كرونباخ. تمثل مجتمع الدراسة في جميع الموظفين الإداريين بمديرية الشؤون الصحية بمحافظة جدة والبالغ عددهم (110) موظفًا، وتم اعتماد أسلوب الحصر الشامل نظرًا لصغر حجم المجتمع، حيث وزعت الاستبانات إلكترونيًا عبر</w:t>
      </w:r>
      <w:r w:rsidRPr="00362D29">
        <w:rPr>
          <w:rFonts w:ascii="Traditional Arabic" w:hAnsi="Traditional Arabic" w:cs="Traditional Arabic"/>
          <w:color w:val="000000" w:themeColor="text1"/>
          <w:sz w:val="24"/>
          <w:szCs w:val="24"/>
        </w:rPr>
        <w:t xml:space="preserve"> Google Drive </w:t>
      </w:r>
      <w:r w:rsidRPr="00362D29">
        <w:rPr>
          <w:rFonts w:ascii="Traditional Arabic" w:hAnsi="Traditional Arabic" w:cs="Traditional Arabic"/>
          <w:color w:val="000000" w:themeColor="text1"/>
          <w:sz w:val="24"/>
          <w:szCs w:val="24"/>
          <w:rtl/>
        </w:rPr>
        <w:t>واستعيدت كاملة للتحليل. أظهرت النتائج وجود علاقة ارتباط موجبة ذات دلالة إحصائية بين توفير البيئة المستقلة وأداء إدارة تجربة المريض بمعامل ارتباط بلغ (0.687) عند مستوى دلالة (0.000)، كما تبين وجود علاقة موجبة ذات دلالة إحصائية بين توفير الإمكانيات المادية والمعينات وأداء إدارة تجربة المريض بمعامل ارتباط بلغ (0.779) عند مستوى دلالة (0.000)، مما يؤكد التأثير الإيجابي للقيادة الإدارية في تعزيز أداء إدارة تجربة المريض</w:t>
      </w:r>
    </w:p>
    <w:p w14:paraId="3ECCBB6D" w14:textId="77777777" w:rsidR="000B63F3" w:rsidRPr="00362D29" w:rsidRDefault="00124160"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proofErr w:type="gramStart"/>
      <w:r w:rsidRPr="00362D29">
        <w:rPr>
          <w:rFonts w:ascii="Traditional Arabic" w:hAnsi="Traditional Arabic" w:cs="Traditional Arabic"/>
          <w:b/>
          <w:bCs/>
          <w:color w:val="000000" w:themeColor="text1"/>
          <w:sz w:val="24"/>
          <w:szCs w:val="24"/>
          <w:rtl/>
        </w:rPr>
        <w:lastRenderedPageBreak/>
        <w:t>دراسة  (</w:t>
      </w:r>
      <w:proofErr w:type="gramEnd"/>
      <w:r w:rsidRPr="00362D29">
        <w:rPr>
          <w:rFonts w:ascii="Traditional Arabic" w:hAnsi="Traditional Arabic" w:cs="Traditional Arabic"/>
          <w:b/>
          <w:bCs/>
          <w:color w:val="000000" w:themeColor="text1"/>
          <w:sz w:val="24"/>
          <w:szCs w:val="24"/>
        </w:rPr>
        <w:t>Friedel et al., 2023</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Measuring Patient Experience and Patient Satisfaction—How Are We Doing It and Why Does It Matter? A Comparison of European and U.S. American Approaches</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06DA60CD" w14:textId="3916E7F0" w:rsidR="00124160" w:rsidRPr="00362D29" w:rsidRDefault="00124160"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تحليل آليات قياس تجربة المريض ورضا المريض في الأنظمة الصحية المتقدمة بأوروبا والولايات المتحدة، ومقارنة منهجيات جمع البيانات ونشرها والاستفادة منها لتحديد فرص تحسين قابلية المقارنة وتعظيم أثر نتائجها على تحسين الجودة. كما سعت إلى استكشاف الفروق المفاهيمية والمنهجية بين مفهوم تجربة المريض ومفهوم الرضا، وتأثير ذلك على استخدام النتائج في السياسات الصحية. اعتمدت الدراسة منهجية مراجعة سردية </w:t>
      </w:r>
      <w:r w:rsidRPr="00362D29">
        <w:rPr>
          <w:rFonts w:ascii="Traditional Arabic" w:hAnsi="Traditional Arabic" w:cs="Traditional Arabic"/>
          <w:color w:val="000000" w:themeColor="text1"/>
          <w:sz w:val="24"/>
          <w:szCs w:val="24"/>
        </w:rPr>
        <w:t>Narrative Review</w:t>
      </w:r>
      <w:r w:rsidRPr="00362D29">
        <w:rPr>
          <w:rFonts w:ascii="Traditional Arabic" w:hAnsi="Traditional Arabic" w:cs="Traditional Arabic"/>
          <w:color w:val="000000" w:themeColor="text1"/>
          <w:sz w:val="24"/>
          <w:szCs w:val="24"/>
          <w:rtl/>
        </w:rPr>
        <w:t xml:space="preserve"> شملت الأدبيات المنشورة بين عامي 2000–2021 باللغتين الإنجليزية والألمانية، مع تحليل أدوات القياس الرئيسة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NHSIP</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PPE-15</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PEQ</w:t>
      </w:r>
      <w:r w:rsidRPr="00362D29">
        <w:rPr>
          <w:rFonts w:ascii="Traditional Arabic" w:hAnsi="Traditional Arabic" w:cs="Traditional Arabic"/>
          <w:color w:val="000000" w:themeColor="text1"/>
          <w:sz w:val="24"/>
          <w:szCs w:val="24"/>
          <w:rtl/>
        </w:rPr>
        <w:t>، إضافة إلى مراجعة بيانات المنصات الرقمية ووسائل التواصل الاجتماعي. لم تعتمد الدراسة مجتمعًا ميدانيًا أو عينة رقمية، بل شملت الدراسات والتقارير الوطنية ذات الصلة بأنظمة الرعاية الصحية في الولايات المتحدة، المملكة المتحدة، ألمانيا، والنرويج، والسويد، وفنلندا. أظهرت النتائج أن جميع الدول محل الدراسة تطبق أنظمة منتظمة لقياس تجربة ورضا المرضى ونشر نتائجها، إلا أن اختلاف أدوات القياس وتباين بنيتها المفاهيمية يحدّ من إمكانية المقارنة الدولية الدقيقة. كما بينت النتائج أن غياب التوحيد المنهجي والتحديث الدوري للأدوات يقلل من الاستفادة العملية للبيانات في تطوير السياسات الصحية، رغم الاعتراف المتزايد بأهمية دمج مؤشرات تجربة المريض في تحسين جودة الرعاية.</w:t>
      </w:r>
    </w:p>
    <w:p w14:paraId="25DFE4CF" w14:textId="77777777" w:rsidR="000B63F3" w:rsidRPr="00362D29" w:rsidRDefault="00947153"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commentRangeStart w:id="20"/>
      <w:r w:rsidRPr="000C79EB">
        <w:rPr>
          <w:rFonts w:ascii="Traditional Arabic" w:hAnsi="Traditional Arabic" w:cs="Traditional Arabic"/>
          <w:b/>
          <w:bCs/>
          <w:color w:val="FF0000"/>
          <w:sz w:val="24"/>
          <w:szCs w:val="24"/>
          <w:rtl/>
        </w:rPr>
        <w:t>دراسة</w:t>
      </w:r>
      <w:r w:rsidRPr="000C79EB">
        <w:rPr>
          <w:rFonts w:ascii="Traditional Arabic" w:hAnsi="Traditional Arabic" w:cs="Traditional Arabic"/>
          <w:b/>
          <w:bCs/>
          <w:color w:val="FF0000"/>
          <w:sz w:val="24"/>
          <w:szCs w:val="24"/>
        </w:rPr>
        <w:t xml:space="preserve"> </w:t>
      </w:r>
      <w:r w:rsidR="001066D8" w:rsidRPr="000C79EB">
        <w:rPr>
          <w:rFonts w:ascii="Traditional Arabic" w:hAnsi="Traditional Arabic" w:cs="Traditional Arabic"/>
          <w:b/>
          <w:bCs/>
          <w:color w:val="FF0000"/>
          <w:sz w:val="24"/>
          <w:szCs w:val="24"/>
        </w:rPr>
        <w:t>(</w:t>
      </w:r>
      <w:r w:rsidRPr="000C79EB">
        <w:rPr>
          <w:rFonts w:ascii="Traditional Arabic" w:hAnsi="Traditional Arabic" w:cs="Traditional Arabic"/>
          <w:b/>
          <w:bCs/>
          <w:color w:val="FF0000"/>
          <w:sz w:val="24"/>
          <w:szCs w:val="24"/>
        </w:rPr>
        <w:t xml:space="preserve">Benson </w:t>
      </w:r>
      <w:r w:rsidR="004A15CC" w:rsidRPr="000C79EB">
        <w:rPr>
          <w:rFonts w:ascii="Traditional Arabic" w:hAnsi="Traditional Arabic" w:cs="Traditional Arabic"/>
          <w:b/>
          <w:bCs/>
          <w:color w:val="FF0000"/>
          <w:sz w:val="24"/>
          <w:szCs w:val="24"/>
        </w:rPr>
        <w:t>&amp;</w:t>
      </w:r>
      <w:r w:rsidRPr="000C79EB">
        <w:rPr>
          <w:rFonts w:ascii="Traditional Arabic" w:hAnsi="Traditional Arabic" w:cs="Traditional Arabic"/>
          <w:b/>
          <w:bCs/>
          <w:color w:val="FF0000"/>
          <w:sz w:val="24"/>
          <w:szCs w:val="24"/>
        </w:rPr>
        <w:t xml:space="preserve"> Benson</w:t>
      </w:r>
      <w:r w:rsidR="00650D58" w:rsidRPr="000C79EB">
        <w:rPr>
          <w:rFonts w:ascii="Traditional Arabic" w:hAnsi="Traditional Arabic" w:cs="Traditional Arabic"/>
          <w:b/>
          <w:bCs/>
          <w:color w:val="FF0000"/>
          <w:sz w:val="24"/>
          <w:szCs w:val="24"/>
        </w:rPr>
        <w:t>,</w:t>
      </w:r>
      <w:r w:rsidRPr="000C79EB">
        <w:rPr>
          <w:rFonts w:ascii="Traditional Arabic" w:hAnsi="Traditional Arabic" w:cs="Traditional Arabic"/>
          <w:b/>
          <w:bCs/>
          <w:color w:val="FF0000"/>
          <w:sz w:val="24"/>
          <w:szCs w:val="24"/>
        </w:rPr>
        <w:t xml:space="preserve"> 2023) </w:t>
      </w:r>
      <w:commentRangeEnd w:id="20"/>
      <w:r w:rsidR="000C79EB">
        <w:rPr>
          <w:rStyle w:val="ac"/>
          <w:rtl/>
        </w:rPr>
        <w:commentReference w:id="20"/>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Routine Measurement of Patient Experience</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60F84F64" w14:textId="786A6CE1" w:rsidR="00476A01" w:rsidRPr="00362D29" w:rsidRDefault="00217596"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توضيح الإطار المفاهيمي المتكامل لتجربة المريض من خلال أبعادها العلائقية (علاقة المريض ومقدم الخدمة) والوظيفية (قياس الرضا) والتكاملية (خلال جميع نقاط الخدمة)، كما هدفت إلى تطوير وطرح مقاييس قصيرة وعامة لقياس تجربة المريض بشكل روتيني ومقارنتها بالأدوات الوطنية الشائعة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GPPS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FFT</w:t>
      </w:r>
      <w:r w:rsidRPr="00362D29">
        <w:rPr>
          <w:rFonts w:ascii="Traditional Arabic" w:hAnsi="Traditional Arabic" w:cs="Traditional Arabic"/>
          <w:color w:val="000000" w:themeColor="text1"/>
          <w:sz w:val="24"/>
          <w:szCs w:val="24"/>
          <w:rtl/>
        </w:rPr>
        <w:t>. اعتمدت الدراسة منهجية تطوير أدوات قياس قائمة على مراجعة الأدبيات، ومجموعات نقاش غير رسمية مع ممارسين ومرضى، وتكرارات تطوير متعددة حتى الوصول إلى الصيغة النهائية، مع تحليل قابلية القراءة (</w:t>
      </w:r>
      <w:r w:rsidRPr="00362D29">
        <w:rPr>
          <w:rFonts w:ascii="Traditional Arabic" w:hAnsi="Traditional Arabic" w:cs="Traditional Arabic"/>
          <w:color w:val="000000" w:themeColor="text1"/>
          <w:sz w:val="24"/>
          <w:szCs w:val="24"/>
        </w:rPr>
        <w:t>Flesch-Kincaid</w:t>
      </w:r>
      <w:r w:rsidRPr="00362D29">
        <w:rPr>
          <w:rFonts w:ascii="Traditional Arabic" w:hAnsi="Traditional Arabic" w:cs="Traditional Arabic"/>
          <w:color w:val="000000" w:themeColor="text1"/>
          <w:sz w:val="24"/>
          <w:szCs w:val="24"/>
          <w:rtl/>
        </w:rPr>
        <w:t>) وعدد الكلمات والمقارنة المنهجية بين الأدوات. لم تعتمد الدراسة على مجتمع ميداني أو عينة عددية، لكونها دراسة منهجية تطوير وقياس (</w:t>
      </w:r>
      <w:r w:rsidRPr="00362D29">
        <w:rPr>
          <w:rFonts w:ascii="Traditional Arabic" w:hAnsi="Traditional Arabic" w:cs="Traditional Arabic"/>
          <w:color w:val="000000" w:themeColor="text1"/>
          <w:sz w:val="24"/>
          <w:szCs w:val="24"/>
        </w:rPr>
        <w:t>Research &amp; Reporting Methodology</w:t>
      </w:r>
      <w:r w:rsidRPr="00362D29">
        <w:rPr>
          <w:rFonts w:ascii="Traditional Arabic" w:hAnsi="Traditional Arabic" w:cs="Traditional Arabic"/>
          <w:color w:val="000000" w:themeColor="text1"/>
          <w:sz w:val="24"/>
          <w:szCs w:val="24"/>
          <w:rtl/>
        </w:rPr>
        <w:t>). توصلت الدراسة إلى أن المقاييس الثلاثة المقترحة (</w:t>
      </w:r>
      <w:r w:rsidRPr="00362D29">
        <w:rPr>
          <w:rFonts w:ascii="Traditional Arabic" w:hAnsi="Traditional Arabic" w:cs="Traditional Arabic"/>
          <w:color w:val="000000" w:themeColor="text1"/>
          <w:sz w:val="24"/>
          <w:szCs w:val="24"/>
        </w:rPr>
        <w:t>Patient Experience</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Result Satisfaction</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Service Integration</w:t>
      </w:r>
      <w:r w:rsidRPr="00362D29">
        <w:rPr>
          <w:rFonts w:ascii="Traditional Arabic" w:hAnsi="Traditional Arabic" w:cs="Traditional Arabic"/>
          <w:color w:val="000000" w:themeColor="text1"/>
          <w:sz w:val="24"/>
          <w:szCs w:val="24"/>
          <w:rtl/>
        </w:rPr>
        <w:t>) تغطي اثني عشر بُعدًا فرعيًا بواقع أربعة عناصر لكل مقياس، وتمتاز بقصر فقراتها وسرعة قراءتها مقارنة بالأدوات الوطنية؛ كما أكدت أن دمج الأبعاد الثلاثة يتيح قياسًا أكثر شمولًا لتجربة المريض مقارنة بالأدوات التي تركز على بعد واحد فقط</w:t>
      </w:r>
      <w:r w:rsidR="004A15CC" w:rsidRPr="00362D29">
        <w:rPr>
          <w:rFonts w:ascii="Traditional Arabic" w:hAnsi="Traditional Arabic" w:cs="Traditional Arabic"/>
          <w:color w:val="000000" w:themeColor="text1"/>
          <w:sz w:val="24"/>
          <w:szCs w:val="24"/>
          <w:rtl/>
        </w:rPr>
        <w:t>.</w:t>
      </w:r>
    </w:p>
    <w:p w14:paraId="230647C0" w14:textId="77777777" w:rsidR="000B63F3" w:rsidRPr="00362D29" w:rsidRDefault="00DD2C08"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proofErr w:type="gramStart"/>
      <w:r w:rsidRPr="00362D29">
        <w:rPr>
          <w:rFonts w:ascii="Traditional Arabic" w:hAnsi="Traditional Arabic" w:cs="Traditional Arabic"/>
          <w:b/>
          <w:bCs/>
          <w:color w:val="000000" w:themeColor="text1"/>
          <w:sz w:val="24"/>
          <w:szCs w:val="24"/>
          <w:rtl/>
        </w:rPr>
        <w:lastRenderedPageBreak/>
        <w:t>دراسة</w:t>
      </w:r>
      <w:r w:rsidR="00457F93"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Pr>
        <w:t xml:space="preserve"> (</w:t>
      </w:r>
      <w:proofErr w:type="gramEnd"/>
      <w:r w:rsidRPr="00362D29">
        <w:rPr>
          <w:rFonts w:ascii="Traditional Arabic" w:hAnsi="Traditional Arabic" w:cs="Traditional Arabic"/>
          <w:b/>
          <w:bCs/>
          <w:color w:val="000000" w:themeColor="text1"/>
          <w:sz w:val="24"/>
          <w:szCs w:val="24"/>
        </w:rPr>
        <w:t>Pashankar et al., 2022)</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“Sustained Improvement in Patient Experience by Optimizing Patient Flow in Ambulatory Settings”</w:t>
      </w:r>
      <w:r w:rsidRPr="00362D29">
        <w:rPr>
          <w:rFonts w:ascii="Traditional Arabic" w:hAnsi="Traditional Arabic" w:cs="Traditional Arabic"/>
          <w:b/>
          <w:bCs/>
          <w:color w:val="000000" w:themeColor="text1"/>
          <w:sz w:val="24"/>
          <w:szCs w:val="24"/>
          <w:rtl/>
        </w:rPr>
        <w:t xml:space="preserve"> </w:t>
      </w:r>
    </w:p>
    <w:p w14:paraId="15F698DB" w14:textId="667EA17E" w:rsidR="00DD2C08" w:rsidRPr="00362D29" w:rsidRDefault="00DD2C08"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تقييم أثر تحسين تدفق المرضى داخل العيادات متعددة التخصصات على نتائج تجربة المريض المقاسة بأداة</w:t>
      </w:r>
      <w:r w:rsidRPr="00362D29">
        <w:rPr>
          <w:rFonts w:ascii="Traditional Arabic" w:hAnsi="Traditional Arabic" w:cs="Traditional Arabic"/>
          <w:color w:val="000000" w:themeColor="text1"/>
          <w:sz w:val="24"/>
          <w:szCs w:val="24"/>
        </w:rPr>
        <w:t xml:space="preserve"> Press Ganey</w:t>
      </w:r>
      <w:r w:rsidRPr="00362D29">
        <w:rPr>
          <w:rFonts w:ascii="Traditional Arabic" w:hAnsi="Traditional Arabic" w:cs="Traditional Arabic"/>
          <w:color w:val="000000" w:themeColor="text1"/>
          <w:sz w:val="24"/>
          <w:szCs w:val="24"/>
          <w:rtl/>
        </w:rPr>
        <w:t>، كما هدفت إلى اختبار مدى استدامة التحسن في درجات تجربة المريض على المدى الطويل بعد تطبيق تدخلات تنظيمية وتقنية لتحسين العمليات التشغيلية. اعتمدت الدراسة منهجية تحسين جودة ذات تصميم قبل–بعد</w:t>
      </w:r>
      <w:r w:rsidRPr="00362D29">
        <w:rPr>
          <w:rFonts w:ascii="Traditional Arabic" w:hAnsi="Traditional Arabic" w:cs="Traditional Arabic"/>
          <w:color w:val="000000" w:themeColor="text1"/>
          <w:sz w:val="24"/>
          <w:szCs w:val="24"/>
        </w:rPr>
        <w:t xml:space="preserve"> (Pre–Post Quality Improvement Study) </w:t>
      </w:r>
      <w:r w:rsidRPr="00362D29">
        <w:rPr>
          <w:rFonts w:ascii="Traditional Arabic" w:hAnsi="Traditional Arabic" w:cs="Traditional Arabic"/>
          <w:color w:val="000000" w:themeColor="text1"/>
          <w:sz w:val="24"/>
          <w:szCs w:val="24"/>
          <w:rtl/>
        </w:rPr>
        <w:t>مع متابعة طولية امتدت 65 شهرًا، تضمنت مرحلة خط أساس مدتها 4 أشهر، ومرحلة تدخل 11 شهرًا، تلتها متابعة شهرية لمدة 50 شهرًا، مع تحليل إحصائي باستخدام اختبار</w:t>
      </w:r>
      <w:r w:rsidRPr="00362D29">
        <w:rPr>
          <w:rFonts w:ascii="Traditional Arabic" w:hAnsi="Traditional Arabic" w:cs="Traditional Arabic"/>
          <w:color w:val="000000" w:themeColor="text1"/>
          <w:sz w:val="24"/>
          <w:szCs w:val="24"/>
        </w:rPr>
        <w:t xml:space="preserve"> (t-test</w:t>
      </w:r>
      <w:proofErr w:type="gramStart"/>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w:t>
      </w:r>
      <w:proofErr w:type="gramEnd"/>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تمثل مجتمع الدراسة في جميع المرضى المراجعين لعيادة زراعة أعضاء متعددة التخصصات تابعة لمركز أكاديمي بالولايات المتحدة خلال فترة الدراسة، وبلغ عدد المرضى مجتمع الدراسة 8,633 مريضًا حضروا 99,164 زيارة، وتم الحصول على 2,902 استبانة مكتملة بمعدل استجابة بلغ 12.6%، بمتوسط 45 استبانة شهريًا، وكان متوسط عدد المراجعين اليومي نحو 80 مريضًا في بداية المشروع وارتفع إلى 90 مريضًا يوميًا بنهايته</w:t>
      </w:r>
      <w:r w:rsidR="00457F93"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أظهرت النتائج تحسنًا إحصائيًا ذا دلالة في درجة مجال " التنقل اثناء الزيارة "من متوسط خط أساس بلغ 82.1 (</w:t>
      </w:r>
      <w:r w:rsidRPr="00362D29">
        <w:rPr>
          <w:rFonts w:ascii="Traditional Arabic" w:hAnsi="Traditional Arabic" w:cs="Traditional Arabic"/>
          <w:color w:val="000000" w:themeColor="text1"/>
          <w:sz w:val="24"/>
          <w:szCs w:val="24"/>
        </w:rPr>
        <w:t>n=163</w:t>
      </w:r>
      <w:r w:rsidRPr="00362D29">
        <w:rPr>
          <w:rFonts w:ascii="Traditional Arabic" w:hAnsi="Traditional Arabic" w:cs="Traditional Arabic"/>
          <w:color w:val="000000" w:themeColor="text1"/>
          <w:sz w:val="24"/>
          <w:szCs w:val="24"/>
          <w:rtl/>
        </w:rPr>
        <w:t>) إلى 84.6 وبعد سنة (</w:t>
      </w:r>
      <w:r w:rsidRPr="00362D29">
        <w:rPr>
          <w:rFonts w:ascii="Traditional Arabic" w:hAnsi="Traditional Arabic" w:cs="Traditional Arabic"/>
          <w:color w:val="000000" w:themeColor="text1"/>
          <w:sz w:val="24"/>
          <w:szCs w:val="24"/>
        </w:rPr>
        <w:t>n=525</w:t>
      </w:r>
      <w:r w:rsidRPr="00362D29">
        <w:rPr>
          <w:rFonts w:ascii="Traditional Arabic" w:hAnsi="Traditional Arabic" w:cs="Traditional Arabic"/>
          <w:color w:val="000000" w:themeColor="text1"/>
          <w:sz w:val="24"/>
          <w:szCs w:val="24"/>
          <w:rtl/>
        </w:rPr>
        <w:t>) ، و86.1 وبعد سنتين (</w:t>
      </w:r>
      <w:r w:rsidRPr="00362D29">
        <w:rPr>
          <w:rFonts w:ascii="Traditional Arabic" w:hAnsi="Traditional Arabic" w:cs="Traditional Arabic"/>
          <w:color w:val="000000" w:themeColor="text1"/>
          <w:sz w:val="24"/>
          <w:szCs w:val="24"/>
        </w:rPr>
        <w:t>n=603</w:t>
      </w:r>
      <w:r w:rsidRPr="00362D29">
        <w:rPr>
          <w:rFonts w:ascii="Traditional Arabic" w:hAnsi="Traditional Arabic" w:cs="Traditional Arabic"/>
          <w:color w:val="000000" w:themeColor="text1"/>
          <w:sz w:val="24"/>
          <w:szCs w:val="24"/>
          <w:rtl/>
        </w:rPr>
        <w:t>)، و88.7 بعد ثلاث سنوات (</w:t>
      </w:r>
      <w:r w:rsidRPr="00362D29">
        <w:rPr>
          <w:rFonts w:ascii="Traditional Arabic" w:hAnsi="Traditional Arabic" w:cs="Traditional Arabic"/>
          <w:color w:val="000000" w:themeColor="text1"/>
          <w:sz w:val="24"/>
          <w:szCs w:val="24"/>
        </w:rPr>
        <w:t>n=566</w:t>
      </w:r>
      <w:r w:rsidRPr="00362D29">
        <w:rPr>
          <w:rFonts w:ascii="Traditional Arabic" w:hAnsi="Traditional Arabic" w:cs="Traditional Arabic"/>
          <w:color w:val="000000" w:themeColor="text1"/>
          <w:sz w:val="24"/>
          <w:szCs w:val="24"/>
          <w:rtl/>
        </w:rPr>
        <w:t>)، و88.9 بعد أربع سنوات (</w:t>
      </w:r>
      <w:r w:rsidRPr="00362D29">
        <w:rPr>
          <w:rFonts w:ascii="Traditional Arabic" w:hAnsi="Traditional Arabic" w:cs="Traditional Arabic"/>
          <w:color w:val="000000" w:themeColor="text1"/>
          <w:sz w:val="24"/>
          <w:szCs w:val="24"/>
        </w:rPr>
        <w:t>n=445</w:t>
      </w:r>
      <w:r w:rsidRPr="00362D29">
        <w:rPr>
          <w:rFonts w:ascii="Traditional Arabic" w:hAnsi="Traditional Arabic" w:cs="Traditional Arabic"/>
          <w:color w:val="000000" w:themeColor="text1"/>
          <w:sz w:val="24"/>
          <w:szCs w:val="24"/>
          <w:rtl/>
        </w:rPr>
        <w:t>) بقيمة (</w:t>
      </w:r>
      <w:r w:rsidRPr="00362D29">
        <w:rPr>
          <w:rFonts w:ascii="Traditional Arabic" w:hAnsi="Traditional Arabic" w:cs="Traditional Arabic"/>
          <w:color w:val="000000" w:themeColor="text1"/>
          <w:sz w:val="24"/>
          <w:szCs w:val="24"/>
        </w:rPr>
        <w:t>P &lt; .001</w:t>
      </w:r>
      <w:r w:rsidRPr="00362D29">
        <w:rPr>
          <w:rFonts w:ascii="Traditional Arabic" w:hAnsi="Traditional Arabic" w:cs="Traditional Arabic"/>
          <w:color w:val="000000" w:themeColor="text1"/>
          <w:sz w:val="24"/>
          <w:szCs w:val="24"/>
          <w:rtl/>
        </w:rPr>
        <w:t>)، كما بينت النتائج تحسنًا ملحوظًا في بعدي “وقت الانتظار” و“الإبلاغ عن التأخير”، حيث بدأ التحسن في وقت الانتظار من السنة الأولى، بينما ظهر تحسن الإبلاغ عن التأخير ابتداءً من السنة الثانية واستمر حتى نهاية فترة المتابعة، مما يدل على استدامة أثر التدخلات التشغيلية في تحسين تجربة المريض على مدى أربع سنوات.</w:t>
      </w:r>
    </w:p>
    <w:p w14:paraId="18930D93" w14:textId="77777777" w:rsidR="000B63F3" w:rsidRPr="00362D29" w:rsidRDefault="00A871C5"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Song et al., 2020</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How to implement patient experience surveys and use their findings for service improvement: a qualitative expert consultation study in Australian general practice</w:t>
      </w:r>
      <w:r w:rsidRPr="00362D29">
        <w:rPr>
          <w:rFonts w:ascii="Traditional Arabic" w:hAnsi="Traditional Arabic" w:cs="Traditional Arabic"/>
          <w:color w:val="000000" w:themeColor="text1"/>
          <w:sz w:val="24"/>
          <w:szCs w:val="24"/>
          <w:rtl/>
        </w:rPr>
        <w:t xml:space="preserve">" </w:t>
      </w:r>
    </w:p>
    <w:p w14:paraId="27890CA4" w14:textId="1130CF72" w:rsidR="000B63F3" w:rsidRPr="00362D29" w:rsidRDefault="00A871C5"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العوائق متعددة المستويات (المريض، مقدم الخدمة، الممارسة، والنظام الصحي) التي تؤثر في تطبيق استبيانات تجربة المريض في الرعاية الأولية الأسترالية، كما هدفت ايضا إلى استكشاف آليات الاستخدام المنهجي لبيانات مقاييس تجربة المريض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في تحسين الخدمات على مستوى الممارسة والنظام الصحي. اتبعت الدراسة منهجًا نوعيًا قائمًا على استشارة خبراء، مع تحليل محتوى نوعي لبيانات مقطعية مفتوحة الأسئلة. تم جمع البيانات خلال الفترة من يونيو 2018 إلى يناير 2019 عبر استبيان إلكتروني مفتوح، واستُخدمت عينة قصدية والكرة الثلجية لاستقطاب الخبراء، ثم خضعت البيانات لتحليل ترميزي موضوعي وفق منهج </w:t>
      </w:r>
      <w:r w:rsidRPr="00362D29">
        <w:rPr>
          <w:rFonts w:ascii="Traditional Arabic" w:hAnsi="Traditional Arabic" w:cs="Traditional Arabic"/>
          <w:color w:val="000000" w:themeColor="text1"/>
          <w:sz w:val="24"/>
          <w:szCs w:val="24"/>
        </w:rPr>
        <w:t>Graneheim</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Lundman</w:t>
      </w:r>
      <w:r w:rsidRPr="00362D29">
        <w:rPr>
          <w:rFonts w:ascii="Traditional Arabic" w:hAnsi="Traditional Arabic" w:cs="Traditional Arabic"/>
          <w:color w:val="000000" w:themeColor="text1"/>
          <w:sz w:val="24"/>
          <w:szCs w:val="24"/>
          <w:rtl/>
        </w:rPr>
        <w:t xml:space="preserve">. تمثل مجتمع الدراسة في خبراء دوليين وأستراليين في مجالات قياس تجربة المريض وتحسين الجودة في الرعاية الأولية وبلغ عددهم 37 خبيرًا من ست دول (أستراليا، نيوزيلندا، الولايات </w:t>
      </w:r>
      <w:r w:rsidRPr="00362D29">
        <w:rPr>
          <w:rFonts w:ascii="Traditional Arabic" w:hAnsi="Traditional Arabic" w:cs="Traditional Arabic"/>
          <w:color w:val="000000" w:themeColor="text1"/>
          <w:sz w:val="24"/>
          <w:szCs w:val="24"/>
          <w:rtl/>
        </w:rPr>
        <w:lastRenderedPageBreak/>
        <w:t>المتحدة، كندا، المملكة المتحدة، وسويسرا). وبلغ حجم العينة 20 خبير من اجمالي الخبراء بنسبة استجابة 54%.. توصلت الدراسة إلى أن استبيانات تجربة المريض تُعد أداة فعّالة لتحسين الجودة على مستوى الممارسة عند توظيفها ضمن تعلم تأملي جماعي منظم، إلا أن ضعف الموارد والبنية التحتية التقنية والتمويل المستدام يمثل عائقًا جوهريًا أمام تطبيقها المنتظم. كما أظهرت النتائج وجود تباين واضح في آراء الخبراء حول جدوى استخدام بيانات تجربة المريض على المستوى النظامي لأغراض التقارير الخارجية أو المقارنات المؤسسية، مع التأكيد على ضرورة الاستفادة من بيانات تجربة المريض على المستوى النظامي وتفسيرها في ضوء السياق المؤسسي والديموغرافي والسريري لكل منشأة، تجنبًا للاستدلالات غير الدقيقة أو المقارنات غير العادلة وضرورة تحليلها بالتكامل مع مؤشرات جودة أخرى قبل تجميعها أو نشرها.</w:t>
      </w:r>
    </w:p>
    <w:p w14:paraId="4E319E24" w14:textId="0B8279D8" w:rsidR="004A15CC" w:rsidRPr="00362D29" w:rsidRDefault="00947153"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F55C35"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Ozcelik et al.</w:t>
      </w:r>
      <w:r w:rsidR="00F55C35"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2021)</w:t>
      </w:r>
      <w:r w:rsidRPr="00362D29">
        <w:rPr>
          <w:rFonts w:ascii="Traditional Arabic" w:hAnsi="Traditional Arabic" w:cs="Traditional Arabic"/>
          <w:b/>
          <w:bCs/>
          <w:color w:val="000000" w:themeColor="text1"/>
          <w:sz w:val="24"/>
          <w:szCs w:val="24"/>
          <w:rtl/>
        </w:rPr>
        <w:t xml:space="preserve"> بعنوان </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A holistic framework for patient experience: 5P model</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03AB970B" w14:textId="5F39F9D1" w:rsidR="00076AC1" w:rsidRPr="00362D29" w:rsidRDefault="00E167DB"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تطوير إطار شمولي متكامل لتجربة المريض داخل المستشفيات بحيث يتجاوز الطروحات الجزئية المرتبطة بتخصصات أو فروع محددة، كما هدفت ايضاً إلى دمج وجهات نظر المرضى وخبراء الرعاية الصحية والأكاديميين في نموذج تفسيري موحد يحدد الأبعاد الحاكمة لتجربة المريض عبر مختلف نقاط التماس داخل المستشفى. اعتمدت الدراسة منهجية نوعية قائمة على المنهج الظاهري (</w:t>
      </w:r>
      <w:r w:rsidRPr="00362D29">
        <w:rPr>
          <w:rFonts w:ascii="Traditional Arabic" w:hAnsi="Traditional Arabic" w:cs="Traditional Arabic"/>
          <w:color w:val="000000" w:themeColor="text1"/>
          <w:sz w:val="24"/>
          <w:szCs w:val="24"/>
        </w:rPr>
        <w:t>Phenomenological Approach</w:t>
      </w:r>
      <w:r w:rsidRPr="00362D29">
        <w:rPr>
          <w:rFonts w:ascii="Traditional Arabic" w:hAnsi="Traditional Arabic" w:cs="Traditional Arabic"/>
          <w:color w:val="000000" w:themeColor="text1"/>
          <w:sz w:val="24"/>
          <w:szCs w:val="24"/>
          <w:rtl/>
        </w:rPr>
        <w:t xml:space="preserve">)، وتم جمع البيانات من خلال مقابلات شبه منظمة على مرحلتين شملت مقابلات مع 15 خبيرًا في قطاع الرعاية الصحية (أكاديميون، باحثون، أطباء، ومديرو مستشفيات)، إضافة إلى 16 مريضًا بواقع 10 أمهات حديثات الولادة و6 مرضى أورام، وتم تحليل البيانات باستخدام برنامج </w:t>
      </w:r>
      <w:r w:rsidRPr="00362D29">
        <w:rPr>
          <w:rFonts w:ascii="Traditional Arabic" w:hAnsi="Traditional Arabic" w:cs="Traditional Arabic"/>
          <w:color w:val="000000" w:themeColor="text1"/>
          <w:sz w:val="24"/>
          <w:szCs w:val="24"/>
        </w:rPr>
        <w:t>QDA Miner</w:t>
      </w:r>
      <w:r w:rsidRPr="00362D29">
        <w:rPr>
          <w:rFonts w:ascii="Traditional Arabic" w:hAnsi="Traditional Arabic" w:cs="Traditional Arabic"/>
          <w:color w:val="000000" w:themeColor="text1"/>
          <w:sz w:val="24"/>
          <w:szCs w:val="24"/>
          <w:rtl/>
        </w:rPr>
        <w:t xml:space="preserve"> عبر ترميز متعدد المراحل وصولًا إلى بناء النموذج النظري. تمثل مجتمع الدراسة في خبراء القطاع الصحي والمرضى داخل مستشفيات خاصة في تركيا، وبلغت العينة الكلية 31 مشاركًا (15 خبيرًا و16 مريضًا). توصلت الدراسة إلى بناء نموذج 5</w:t>
      </w:r>
      <w:r w:rsidRPr="00362D29">
        <w:rPr>
          <w:rFonts w:ascii="Traditional Arabic" w:hAnsi="Traditional Arabic" w:cs="Traditional Arabic"/>
          <w:color w:val="000000" w:themeColor="text1"/>
          <w:sz w:val="24"/>
          <w:szCs w:val="24"/>
        </w:rPr>
        <w:t>P</w:t>
      </w:r>
      <w:r w:rsidRPr="00362D29">
        <w:rPr>
          <w:rFonts w:ascii="Traditional Arabic" w:hAnsi="Traditional Arabic" w:cs="Traditional Arabic"/>
          <w:color w:val="000000" w:themeColor="text1"/>
          <w:sz w:val="24"/>
          <w:szCs w:val="24"/>
          <w:rtl/>
        </w:rPr>
        <w:t xml:space="preserve"> الذي يحدد خمسة أبعاد رئيسية لتجربة المريض هي: </w:t>
      </w:r>
      <w:r w:rsidRPr="00362D29">
        <w:rPr>
          <w:rFonts w:ascii="Traditional Arabic" w:hAnsi="Traditional Arabic" w:cs="Traditional Arabic"/>
          <w:color w:val="000000" w:themeColor="text1"/>
          <w:sz w:val="24"/>
          <w:szCs w:val="24"/>
        </w:rPr>
        <w:t>Provider</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Patient</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Physician</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Personnel</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Periphery</w:t>
      </w:r>
      <w:r w:rsidRPr="00362D29">
        <w:rPr>
          <w:rFonts w:ascii="Traditional Arabic" w:hAnsi="Traditional Arabic" w:cs="Traditional Arabic"/>
          <w:color w:val="000000" w:themeColor="text1"/>
          <w:sz w:val="24"/>
          <w:szCs w:val="24"/>
          <w:rtl/>
        </w:rPr>
        <w:t xml:space="preserve">، (المستشفى، الطبيب، العاملون، المريض، وبيئة تقديم </w:t>
      </w:r>
      <w:proofErr w:type="gramStart"/>
      <w:r w:rsidRPr="00362D29">
        <w:rPr>
          <w:rFonts w:ascii="Traditional Arabic" w:hAnsi="Traditional Arabic" w:cs="Traditional Arabic"/>
          <w:color w:val="000000" w:themeColor="text1"/>
          <w:sz w:val="24"/>
          <w:szCs w:val="24"/>
          <w:rtl/>
        </w:rPr>
        <w:t>الخدمة )</w:t>
      </w:r>
      <w:proofErr w:type="gramEnd"/>
      <w:r w:rsidRPr="00362D29">
        <w:rPr>
          <w:rFonts w:ascii="Traditional Arabic" w:hAnsi="Traditional Arabic" w:cs="Traditional Arabic"/>
          <w:color w:val="000000" w:themeColor="text1"/>
          <w:sz w:val="24"/>
          <w:szCs w:val="24"/>
          <w:rtl/>
        </w:rPr>
        <w:t xml:space="preserve"> وبذلك قدمت الدراسة إطارًا شاملًا يُمكن الاستفادة منه في تحسين تجربة المريض كما أثبتت النتائج أن تجربة المريض نتاج تفاعل تكاملي بين هذه الأبعاد وليس انعكاسًا لبعد منفرد. كما بينت النتائج أن مهارات التواصل والتعاطف لدى الطبيب والعاملين، إضافة إلى الصورة الذهنية للمستشفى وتنظيم الخدمات وسرعة الإجراءات، تعد من أقوى المحددات المؤثرة في تشكيل الذاكرة الكلية لتجربة المريض.</w:t>
      </w:r>
    </w:p>
    <w:p w14:paraId="72005342" w14:textId="77777777" w:rsidR="000B63F3" w:rsidRPr="00362D29" w:rsidRDefault="00947153"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691591" w:rsidRPr="00362D29">
        <w:rPr>
          <w:rFonts w:ascii="Traditional Arabic" w:hAnsi="Traditional Arabic" w:cs="Traditional Arabic"/>
          <w:b/>
          <w:bCs/>
          <w:color w:val="000000" w:themeColor="text1"/>
          <w:sz w:val="24"/>
          <w:szCs w:val="24"/>
        </w:rPr>
        <w:t>(Oben, 2020)</w:t>
      </w: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 xml:space="preserve">بعنوان </w:t>
      </w:r>
      <w:r w:rsidR="00595EE6"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Understanding the Patient Experience: A Conceptual Framework</w:t>
      </w:r>
      <w:r w:rsidR="00595EE6"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6A3F7A87" w14:textId="285C5CCE" w:rsidR="001C0E2F" w:rsidRPr="00362D29" w:rsidRDefault="00595EE6"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هدفت الدراسة إلى تطوير نموذج مفاهيمي متكامل يوضح مكونات تجربة المريض في مؤسسات الرعاية الصحية بوصفها بُعدًا مستقلًا من أبعاد جودة الرعاية الصحية، وإعادة بناء المفهوم انطلاقًا من التجربة الإنسانية الشاملة للمريض عبر مراحل المرض </w:t>
      </w:r>
      <w:r w:rsidRPr="00362D29">
        <w:rPr>
          <w:rFonts w:ascii="Traditional Arabic" w:hAnsi="Traditional Arabic" w:cs="Traditional Arabic"/>
          <w:color w:val="000000" w:themeColor="text1"/>
          <w:sz w:val="24"/>
          <w:szCs w:val="24"/>
          <w:rtl/>
        </w:rPr>
        <w:lastRenderedPageBreak/>
        <w:t xml:space="preserve">والتفاعل مع النظام الصحي. كما سعت إلى التمييز بين تجربة المريض ورضا المريض من خلال تحليل أبعاد التجربة عبر </w:t>
      </w:r>
      <w:r w:rsidRPr="00362D29">
        <w:rPr>
          <w:rFonts w:ascii="Traditional Arabic" w:hAnsi="Traditional Arabic" w:cs="Traditional Arabic"/>
          <w:color w:val="000000" w:themeColor="text1"/>
          <w:sz w:val="24"/>
          <w:szCs w:val="24"/>
        </w:rPr>
        <w:t>continuum of care</w:t>
      </w:r>
      <w:r w:rsidRPr="00362D29">
        <w:rPr>
          <w:rFonts w:ascii="Traditional Arabic" w:hAnsi="Traditional Arabic" w:cs="Traditional Arabic"/>
          <w:color w:val="000000" w:themeColor="text1"/>
          <w:sz w:val="24"/>
          <w:szCs w:val="24"/>
          <w:rtl/>
        </w:rPr>
        <w:t xml:space="preserve"> وربطها بمحددات الجودة. اعتمدت الدراسة منهجية تحليل مفاهيمي وإطار نظري (</w:t>
      </w:r>
      <w:r w:rsidRPr="00362D29">
        <w:rPr>
          <w:rFonts w:ascii="Traditional Arabic" w:hAnsi="Traditional Arabic" w:cs="Traditional Arabic"/>
          <w:color w:val="000000" w:themeColor="text1"/>
          <w:sz w:val="24"/>
          <w:szCs w:val="24"/>
        </w:rPr>
        <w:t>Conceptual Framework Analysis</w:t>
      </w:r>
      <w:r w:rsidRPr="00362D29">
        <w:rPr>
          <w:rFonts w:ascii="Traditional Arabic" w:hAnsi="Traditional Arabic" w:cs="Traditional Arabic"/>
          <w:color w:val="000000" w:themeColor="text1"/>
          <w:sz w:val="24"/>
          <w:szCs w:val="24"/>
          <w:rtl/>
        </w:rPr>
        <w:t xml:space="preserve">) قائم على مراجعة أدبيات علمية وتحليل نقدي للنماذج القائمة دون تطبيق ميداني. مجتمع الدراسة تمثل في الأدبيات العلمية المنشورة في مجال تجربة المريض وجودة الرعاية الصحية، ولم تعتمد الدراسة عينة عددية نظرًا لطبيعتها النظرية التحليلية. توصلت الدراسة إلى أن تجربة المريض تُفهم بوصفها تجربة إنسانية متعددة الأبعاد تشمل البعد الجسدي والنفسي والاجتماعي والروحي، وليست مجرد تقييم للخدمة المقدمة كما توصلت الى ان تجربة المريض تتأثر بمجموعة من الأبعاد المتشابكة تشمل التفاعل مع مقدمي الخدمة، والبيئة، والعوامل النفسية والثقافية، مؤكدًا أن تجربة المريض تتجاوز مفاهيم الرضا التقليدية. كما خلصت إلى أن أدوات القياس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تقيس جزءًا من تجربة الرعاية الصحية لكنها لا تعكس كامل التجربة الإنسانية المرتبطة بمرحلة المرض قبل وأثناء وبعد التفاعل مع النظام الصحي، مما يستدعي تطوير أطر تفسيرية أعمق لقياس تجربة المريض بصورة شمولية.</w:t>
      </w:r>
    </w:p>
    <w:p w14:paraId="4A25C25B" w14:textId="2D066AE4" w:rsidR="00947153" w:rsidRPr="00937192" w:rsidRDefault="00947153" w:rsidP="00362D29">
      <w:pPr>
        <w:tabs>
          <w:tab w:val="left" w:pos="1074"/>
        </w:tabs>
        <w:bidi/>
        <w:spacing w:after="0" w:line="360" w:lineRule="auto"/>
        <w:rPr>
          <w:rFonts w:ascii="Traditional Arabic" w:hAnsi="Traditional Arabic" w:cs="Traditional Arabic"/>
          <w:b/>
          <w:bCs/>
          <w:color w:val="000000" w:themeColor="text1"/>
          <w:sz w:val="32"/>
          <w:szCs w:val="32"/>
          <w:u w:val="single"/>
          <w:rtl/>
        </w:rPr>
      </w:pPr>
      <w:r w:rsidRPr="00937192">
        <w:rPr>
          <w:rFonts w:ascii="Traditional Arabic" w:hAnsi="Traditional Arabic" w:cs="Traditional Arabic"/>
          <w:b/>
          <w:bCs/>
          <w:color w:val="000000" w:themeColor="text1"/>
          <w:sz w:val="32"/>
          <w:szCs w:val="32"/>
          <w:u w:val="single"/>
          <w:rtl/>
        </w:rPr>
        <w:t>ثالثًا: دراسات تجمع بين التميز المؤسسي وتجربة المريض</w:t>
      </w:r>
    </w:p>
    <w:p w14:paraId="7A64CD28" w14:textId="3BFBEF12" w:rsidR="001C4D49" w:rsidRPr="00362D29" w:rsidRDefault="001C4D49"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Sumarta et al., 2025</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Enhancing Hospital Service Quality Through Strategic and Operational Excellence Focused on Patient Satisfaction: The Case of Indonesia</w:t>
      </w:r>
      <w:r w:rsidRPr="00362D29">
        <w:rPr>
          <w:rFonts w:ascii="Traditional Arabic" w:hAnsi="Traditional Arabic" w:cs="Traditional Arabic"/>
          <w:b/>
          <w:bCs/>
          <w:color w:val="000000" w:themeColor="text1"/>
          <w:sz w:val="24"/>
          <w:szCs w:val="24"/>
          <w:rtl/>
        </w:rPr>
        <w:t xml:space="preserve">" </w:t>
      </w:r>
    </w:p>
    <w:p w14:paraId="50B007FF" w14:textId="77777777" w:rsidR="00937192" w:rsidRDefault="001C4D49" w:rsidP="00C42472">
      <w:pPr>
        <w:pStyle w:val="ab"/>
        <w:numPr>
          <w:ilvl w:val="0"/>
          <w:numId w:val="4"/>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العلاقة بين التميز التشغيلي والاستراتيجي وثقافة الجودة وجودة الخدمة وأثرها في رضا المرضى بالمستشفيات الإندونيسية، كما هدفت أيضاً إلى اختبار التأثيرات المباشرة وغير المباشرة لهذه المتغيرات على تصورات المرضى ومستويات جودة الخدمة باستخدام نموذج معادلات هيكلية يوضح المسارات السببية بينها. اعتمدت الدراسة المنهج الكمي باستخدام أسلوب المسح، وتم تحليل البيانات عبر نموذج 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xml:space="preserve">). تكوّن مجتمع الدراسة من (1,035) موظفًا في أربعة </w:t>
      </w:r>
      <w:proofErr w:type="gramStart"/>
      <w:r w:rsidRPr="00362D29">
        <w:rPr>
          <w:rFonts w:ascii="Traditional Arabic" w:hAnsi="Traditional Arabic" w:cs="Traditional Arabic"/>
          <w:color w:val="000000" w:themeColor="text1"/>
          <w:sz w:val="24"/>
          <w:szCs w:val="24"/>
          <w:rtl/>
        </w:rPr>
        <w:t>مستشفيات ،</w:t>
      </w:r>
      <w:proofErr w:type="gramEnd"/>
      <w:r w:rsidRPr="00362D29">
        <w:rPr>
          <w:rFonts w:ascii="Traditional Arabic" w:hAnsi="Traditional Arabic" w:cs="Traditional Arabic"/>
          <w:color w:val="000000" w:themeColor="text1"/>
          <w:sz w:val="24"/>
          <w:szCs w:val="24"/>
          <w:rtl/>
        </w:rPr>
        <w:t xml:space="preserve"> وتم تحديد حجم العينة باستخدام معادلة </w:t>
      </w:r>
      <w:r w:rsidRPr="00362D29">
        <w:rPr>
          <w:rFonts w:ascii="Traditional Arabic" w:hAnsi="Traditional Arabic" w:cs="Traditional Arabic"/>
          <w:color w:val="000000" w:themeColor="text1"/>
          <w:sz w:val="24"/>
          <w:szCs w:val="24"/>
        </w:rPr>
        <w:t>Slovin</w:t>
      </w:r>
      <w:r w:rsidRPr="00362D29">
        <w:rPr>
          <w:rFonts w:ascii="Traditional Arabic" w:hAnsi="Traditional Arabic" w:cs="Traditional Arabic"/>
          <w:color w:val="000000" w:themeColor="text1"/>
          <w:sz w:val="24"/>
          <w:szCs w:val="24"/>
          <w:rtl/>
        </w:rPr>
        <w:t xml:space="preserve"> بنسبة خطأ 5% ليبلغ (289) مفردة، ثم رُفع العدد إلى (300) مفردة تم اختيارهم بأسلوب العينة العشوائية ، وشملوا كوادر طبية وغير طبية. أظهرت النتائج وجود تأثير مباشر موجب للتميز الاستراتيجي والتشغيلي على جودة الخدمة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=0.4464</w:t>
      </w:r>
      <w:r w:rsidRPr="00362D29">
        <w:rPr>
          <w:rFonts w:ascii="Traditional Arabic" w:hAnsi="Traditional Arabic" w:cs="Traditional Arabic"/>
          <w:color w:val="000000" w:themeColor="text1"/>
          <w:sz w:val="24"/>
          <w:szCs w:val="24"/>
          <w:rtl/>
        </w:rPr>
        <w:t>) وللكفاءة التشغيلية على جودة الخدمة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=0.4778</w:t>
      </w:r>
      <w:r w:rsidRPr="00362D29">
        <w:rPr>
          <w:rFonts w:ascii="Traditional Arabic" w:hAnsi="Traditional Arabic" w:cs="Traditional Arabic"/>
          <w:color w:val="000000" w:themeColor="text1"/>
          <w:sz w:val="24"/>
          <w:szCs w:val="24"/>
          <w:rtl/>
        </w:rPr>
        <w:t>)، كما تبين أن جودة الخدمة كان لها تأثير مباشر قوي على رضا المرضى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=0.4983</w:t>
      </w:r>
      <w:r w:rsidRPr="00362D29">
        <w:rPr>
          <w:rFonts w:ascii="Traditional Arabic" w:hAnsi="Traditional Arabic" w:cs="Traditional Arabic"/>
          <w:color w:val="000000" w:themeColor="text1"/>
          <w:sz w:val="24"/>
          <w:szCs w:val="24"/>
          <w:rtl/>
        </w:rPr>
        <w:t>) مقارنة بثقافة الجودة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=0.4717</w:t>
      </w:r>
      <w:r w:rsidRPr="00362D29">
        <w:rPr>
          <w:rFonts w:ascii="Traditional Arabic" w:hAnsi="Traditional Arabic" w:cs="Traditional Arabic"/>
          <w:color w:val="000000" w:themeColor="text1"/>
          <w:sz w:val="24"/>
          <w:szCs w:val="24"/>
          <w:rtl/>
        </w:rPr>
        <w:t>)، مع تأثير كلي لجودة الخدمة على رضا المرضى بلغ (42.05%)، مما يؤكد أن التميز التشغيلي وجودة الخدمة يمثلان المحدد الحاسم لتعزيز رضا المرضى</w:t>
      </w:r>
      <w:r w:rsidRPr="00362D29">
        <w:rPr>
          <w:rFonts w:ascii="Traditional Arabic" w:hAnsi="Traditional Arabic" w:cs="Traditional Arabic"/>
          <w:b/>
          <w:bCs/>
          <w:color w:val="000000" w:themeColor="text1"/>
          <w:sz w:val="24"/>
          <w:szCs w:val="24"/>
          <w:rtl/>
        </w:rPr>
        <w:t>.</w:t>
      </w:r>
    </w:p>
    <w:p w14:paraId="70206025" w14:textId="5D377E30" w:rsidR="00C65C05" w:rsidRPr="00937192" w:rsidRDefault="00C65C05"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lastRenderedPageBreak/>
        <w:t>دراسة (</w:t>
      </w:r>
      <w:r w:rsidRPr="00937192">
        <w:rPr>
          <w:rFonts w:ascii="Traditional Arabic" w:hAnsi="Traditional Arabic" w:cs="Traditional Arabic"/>
          <w:b/>
          <w:bCs/>
          <w:color w:val="000000" w:themeColor="text1"/>
          <w:sz w:val="24"/>
          <w:szCs w:val="24"/>
        </w:rPr>
        <w:t>Alkahtani et al., 2023</w:t>
      </w:r>
      <w:r w:rsidRPr="00937192">
        <w:rPr>
          <w:rFonts w:ascii="Traditional Arabic" w:hAnsi="Traditional Arabic" w:cs="Traditional Arabic"/>
          <w:b/>
          <w:bCs/>
          <w:color w:val="000000" w:themeColor="text1"/>
          <w:sz w:val="24"/>
          <w:szCs w:val="24"/>
          <w:rtl/>
        </w:rPr>
        <w:t xml:space="preserve">) بعنوان </w:t>
      </w:r>
      <w:r w:rsidRPr="00937192">
        <w:rPr>
          <w:rFonts w:ascii="Traditional Arabic" w:hAnsi="Traditional Arabic" w:cs="Traditional Arabic"/>
          <w:b/>
          <w:bCs/>
          <w:color w:val="000000" w:themeColor="text1"/>
          <w:sz w:val="24"/>
          <w:szCs w:val="24"/>
        </w:rPr>
        <w:t>"Assessing the Impact of a Service Excellence Program on Improving Patient Experience at Primary Health Care Centers"</w:t>
      </w:r>
      <w:r w:rsidRPr="00937192">
        <w:rPr>
          <w:rFonts w:ascii="Traditional Arabic" w:hAnsi="Traditional Arabic" w:cs="Traditional Arabic"/>
          <w:b/>
          <w:bCs/>
          <w:color w:val="000000" w:themeColor="text1"/>
          <w:sz w:val="24"/>
          <w:szCs w:val="24"/>
          <w:rtl/>
        </w:rPr>
        <w:t xml:space="preserve"> </w:t>
      </w:r>
    </w:p>
    <w:p w14:paraId="7E8D57C6" w14:textId="12A22EF5" w:rsidR="00C65C05" w:rsidRPr="00362D29" w:rsidRDefault="00C65C05"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تقييم أثر برنامج تدريبي في التميز الخدمي (</w:t>
      </w:r>
      <w:r w:rsidRPr="00362D29">
        <w:rPr>
          <w:rFonts w:ascii="Traditional Arabic" w:hAnsi="Traditional Arabic" w:cs="Traditional Arabic"/>
          <w:color w:val="000000" w:themeColor="text1"/>
          <w:sz w:val="24"/>
          <w:szCs w:val="24"/>
        </w:rPr>
        <w:t>Service Excellence Program</w:t>
      </w:r>
      <w:r w:rsidRPr="00362D29">
        <w:rPr>
          <w:rFonts w:ascii="Traditional Arabic" w:hAnsi="Traditional Arabic" w:cs="Traditional Arabic"/>
          <w:color w:val="000000" w:themeColor="text1"/>
          <w:sz w:val="24"/>
          <w:szCs w:val="24"/>
          <w:rtl/>
        </w:rPr>
        <w:t>) على معرفة وإدراك واتجاهات العاملين في الصفوف الأمامية تجاه تجربة المريض، كما هدفت أيضاً إلى قياس انعكاس هذا التدخل على مؤشرات تجربة المريض الفعلية في مراكز الرعاية الصحية الأولية</w:t>
      </w:r>
      <w:r w:rsidR="007B552B" w:rsidRPr="00362D29">
        <w:rPr>
          <w:rFonts w:ascii="Traditional Arabic" w:hAnsi="Traditional Arabic" w:cs="Traditional Arabic"/>
          <w:color w:val="000000" w:themeColor="text1"/>
          <w:sz w:val="24"/>
          <w:szCs w:val="24"/>
          <w:rtl/>
        </w:rPr>
        <w:t xml:space="preserve"> التابعة لمدينة الأمير سلطان الطبية العسكرية بالرياض</w:t>
      </w:r>
      <w:r w:rsidRPr="00362D29">
        <w:rPr>
          <w:rFonts w:ascii="Traditional Arabic" w:hAnsi="Traditional Arabic" w:cs="Traditional Arabic"/>
          <w:color w:val="000000" w:themeColor="text1"/>
          <w:sz w:val="24"/>
          <w:szCs w:val="24"/>
          <w:rtl/>
        </w:rPr>
        <w:t>. اعتمدت الدراسة منهجية شبه تجريبية بتصميم قبلي–بعدي (</w:t>
      </w:r>
      <w:r w:rsidRPr="00362D29">
        <w:rPr>
          <w:rFonts w:ascii="Traditional Arabic" w:hAnsi="Traditional Arabic" w:cs="Traditional Arabic"/>
          <w:color w:val="000000" w:themeColor="text1"/>
          <w:sz w:val="24"/>
          <w:szCs w:val="24"/>
        </w:rPr>
        <w:t>Pre-Post Intervention Design</w:t>
      </w:r>
      <w:r w:rsidRPr="00362D29">
        <w:rPr>
          <w:rFonts w:ascii="Traditional Arabic" w:hAnsi="Traditional Arabic" w:cs="Traditional Arabic"/>
          <w:color w:val="000000" w:themeColor="text1"/>
          <w:sz w:val="24"/>
          <w:szCs w:val="24"/>
          <w:rtl/>
        </w:rPr>
        <w:t xml:space="preserve">)، ونُفذت في مركزين للرعاية الصحية الأولية تابعين لمدينة الأمير سلطان الطبية العسكرية بالرياض. بلغ مجتمع الدراسة 317 من العاملين الذين خضعوا للتدريب، وتم تحليل بيانات 256 من مقدمي الرعاية المباشرين (بعد استبعاد 61 لعدم مباشرتهم رعاية المرضى). استُخدم استبيان لقياس المعرفة والإدراك (13 سؤالًا) والاتجاهات (8 أسئلة) لتقييم التدخل </w:t>
      </w:r>
      <w:proofErr w:type="gramStart"/>
      <w:r w:rsidRPr="00362D29">
        <w:rPr>
          <w:rFonts w:ascii="Traditional Arabic" w:hAnsi="Traditional Arabic" w:cs="Traditional Arabic"/>
          <w:color w:val="000000" w:themeColor="text1"/>
          <w:sz w:val="24"/>
          <w:szCs w:val="24"/>
          <w:rtl/>
        </w:rPr>
        <w:t>التدريبي ،</w:t>
      </w:r>
      <w:proofErr w:type="gramEnd"/>
      <w:r w:rsidRPr="00362D29">
        <w:rPr>
          <w:rFonts w:ascii="Traditional Arabic" w:hAnsi="Traditional Arabic" w:cs="Traditional Arabic"/>
          <w:color w:val="000000" w:themeColor="text1"/>
          <w:sz w:val="24"/>
          <w:szCs w:val="24"/>
          <w:rtl/>
        </w:rPr>
        <w:t xml:space="preserve"> إضافة إلى تحليل بيانات نظام قياس تجربة المريض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بوزارة الصحة، حيث يستخدم هذا النظام نسخة معدلة من استبيان تقييم المرضى لمقدمي الرعاية الصحية وأنظمة المستشفيات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لتقييم تجارب المرضى في مجال الرعاية الصحية وجمع ملاحظاتهم وتحليلها عبر منصة الكترونية، ومن خلاله تم مقارنة ثلاثة أرباع زمنية (</w:t>
      </w:r>
      <w:r w:rsidRPr="00362D29">
        <w:rPr>
          <w:rFonts w:ascii="Traditional Arabic" w:hAnsi="Traditional Arabic" w:cs="Traditional Arabic"/>
          <w:color w:val="000000" w:themeColor="text1"/>
          <w:sz w:val="24"/>
          <w:szCs w:val="24"/>
        </w:rPr>
        <w:t>Q2 2022</w:t>
      </w:r>
      <w:r w:rsidRPr="00362D29">
        <w:rPr>
          <w:rFonts w:ascii="Traditional Arabic" w:hAnsi="Traditional Arabic" w:cs="Traditional Arabic"/>
          <w:color w:val="000000" w:themeColor="text1"/>
          <w:sz w:val="24"/>
          <w:szCs w:val="24"/>
          <w:rtl/>
        </w:rPr>
        <w:t xml:space="preserve"> خط أساس، </w:t>
      </w:r>
      <w:r w:rsidRPr="00362D29">
        <w:rPr>
          <w:rFonts w:ascii="Traditional Arabic" w:hAnsi="Traditional Arabic" w:cs="Traditional Arabic"/>
          <w:color w:val="000000" w:themeColor="text1"/>
          <w:sz w:val="24"/>
          <w:szCs w:val="24"/>
        </w:rPr>
        <w:t>Q1 2023</w:t>
      </w:r>
      <w:r w:rsidRPr="00362D29">
        <w:rPr>
          <w:rFonts w:ascii="Traditional Arabic" w:hAnsi="Traditional Arabic" w:cs="Traditional Arabic"/>
          <w:color w:val="000000" w:themeColor="text1"/>
          <w:sz w:val="24"/>
          <w:szCs w:val="24"/>
          <w:rtl/>
        </w:rPr>
        <w:t xml:space="preserve"> وقت التدخل، </w:t>
      </w:r>
      <w:r w:rsidRPr="00362D29">
        <w:rPr>
          <w:rFonts w:ascii="Traditional Arabic" w:hAnsi="Traditional Arabic" w:cs="Traditional Arabic"/>
          <w:color w:val="000000" w:themeColor="text1"/>
          <w:sz w:val="24"/>
          <w:szCs w:val="24"/>
        </w:rPr>
        <w:t>Q2 2023</w:t>
      </w:r>
      <w:r w:rsidRPr="00362D29">
        <w:rPr>
          <w:rFonts w:ascii="Traditional Arabic" w:hAnsi="Traditional Arabic" w:cs="Traditional Arabic"/>
          <w:color w:val="000000" w:themeColor="text1"/>
          <w:sz w:val="24"/>
          <w:szCs w:val="24"/>
          <w:rtl/>
        </w:rPr>
        <w:t xml:space="preserve"> بعد التدخل). أظهرت نتائج تحليل التدخل التدريبي في التميز الخدمي تحسنًا ذا دلالة إحصائية في درجات المعرفة والإدراك حيث ارتفع الوسيط من 77.2% إلى 96.5% (</w:t>
      </w:r>
      <w:r w:rsidRPr="00362D29">
        <w:rPr>
          <w:rFonts w:ascii="Traditional Arabic" w:hAnsi="Traditional Arabic" w:cs="Traditional Arabic"/>
          <w:color w:val="000000" w:themeColor="text1"/>
          <w:sz w:val="24"/>
          <w:szCs w:val="24"/>
        </w:rPr>
        <w:t>Z=12.599, p&lt;0.001</w:t>
      </w:r>
      <w:r w:rsidRPr="00362D29">
        <w:rPr>
          <w:rFonts w:ascii="Traditional Arabic" w:hAnsi="Traditional Arabic" w:cs="Traditional Arabic"/>
          <w:color w:val="000000" w:themeColor="text1"/>
          <w:sz w:val="24"/>
          <w:szCs w:val="24"/>
          <w:rtl/>
        </w:rPr>
        <w:t>)، وتحسنًا في درجات الاتجاهات من 73.8% إلى 92.5% (</w:t>
      </w:r>
      <w:r w:rsidRPr="00362D29">
        <w:rPr>
          <w:rFonts w:ascii="Traditional Arabic" w:hAnsi="Traditional Arabic" w:cs="Traditional Arabic"/>
          <w:color w:val="000000" w:themeColor="text1"/>
          <w:sz w:val="24"/>
          <w:szCs w:val="24"/>
        </w:rPr>
        <w:t>Z=11.495, p&lt;0.001</w:t>
      </w:r>
      <w:r w:rsidRPr="00362D29">
        <w:rPr>
          <w:rFonts w:ascii="Traditional Arabic" w:hAnsi="Traditional Arabic" w:cs="Traditional Arabic"/>
          <w:color w:val="000000" w:themeColor="text1"/>
          <w:sz w:val="24"/>
          <w:szCs w:val="24"/>
          <w:rtl/>
        </w:rPr>
        <w:t xml:space="preserve">) لمقدمي </w:t>
      </w:r>
      <w:proofErr w:type="gramStart"/>
      <w:r w:rsidRPr="00362D29">
        <w:rPr>
          <w:rFonts w:ascii="Traditional Arabic" w:hAnsi="Traditional Arabic" w:cs="Traditional Arabic"/>
          <w:color w:val="000000" w:themeColor="text1"/>
          <w:sz w:val="24"/>
          <w:szCs w:val="24"/>
          <w:rtl/>
        </w:rPr>
        <w:t>الخدمات .</w:t>
      </w:r>
      <w:proofErr w:type="gramEnd"/>
      <w:r w:rsidRPr="00362D29">
        <w:rPr>
          <w:rFonts w:ascii="Traditional Arabic" w:hAnsi="Traditional Arabic" w:cs="Traditional Arabic"/>
          <w:color w:val="000000" w:themeColor="text1"/>
          <w:sz w:val="24"/>
          <w:szCs w:val="24"/>
          <w:rtl/>
        </w:rPr>
        <w:t xml:space="preserve"> كما ارتفع مؤشر الأداء الكلي لتجربة المريض من 62% إلى 72.42%، مع زيادة التعليقات الإيجابية من 12.6% إلى 18.1% وانخفاض التعليقات السلبية من 74.4% إلى 55.2%.</w:t>
      </w:r>
    </w:p>
    <w:p w14:paraId="49B94DFB" w14:textId="520231E3" w:rsidR="0082604E" w:rsidRPr="00937192" w:rsidRDefault="0082604E"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t>دراسة (</w:t>
      </w:r>
      <w:r w:rsidRPr="00937192">
        <w:rPr>
          <w:rFonts w:ascii="Traditional Arabic" w:hAnsi="Traditional Arabic" w:cs="Traditional Arabic"/>
          <w:b/>
          <w:bCs/>
          <w:color w:val="000000" w:themeColor="text1"/>
          <w:sz w:val="24"/>
          <w:szCs w:val="24"/>
        </w:rPr>
        <w:t>Omaghomi et al., 2024</w:t>
      </w:r>
      <w:r w:rsidRPr="00937192">
        <w:rPr>
          <w:rFonts w:ascii="Traditional Arabic" w:hAnsi="Traditional Arabic" w:cs="Traditional Arabic"/>
          <w:b/>
          <w:bCs/>
          <w:color w:val="000000" w:themeColor="text1"/>
          <w:sz w:val="24"/>
          <w:szCs w:val="24"/>
          <w:rtl/>
        </w:rPr>
        <w:t>) بعنوان "</w:t>
      </w:r>
      <w:r w:rsidRPr="00937192">
        <w:rPr>
          <w:rFonts w:ascii="Traditional Arabic" w:hAnsi="Traditional Arabic" w:cs="Traditional Arabic"/>
          <w:b/>
          <w:bCs/>
          <w:color w:val="000000" w:themeColor="text1"/>
          <w:sz w:val="24"/>
          <w:szCs w:val="24"/>
        </w:rPr>
        <w:t>PATIENT EXPERIENCE AND SATISFACTION IN HEALTHCARE: A FOCUS ON MANAGERIAL APPROACHES - A REVIEW</w:t>
      </w:r>
      <w:r w:rsidRPr="00937192">
        <w:rPr>
          <w:rFonts w:ascii="Traditional Arabic" w:hAnsi="Traditional Arabic" w:cs="Traditional Arabic"/>
          <w:b/>
          <w:bCs/>
          <w:color w:val="000000" w:themeColor="text1"/>
          <w:sz w:val="24"/>
          <w:szCs w:val="24"/>
          <w:rtl/>
        </w:rPr>
        <w:t xml:space="preserve">" </w:t>
      </w:r>
    </w:p>
    <w:p w14:paraId="0F24B4D6" w14:textId="4272D099" w:rsidR="0082604E" w:rsidRPr="00362D29" w:rsidRDefault="0082604E"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العلاقة بين تجربة المريض ورضاه من جهة، والمقاربات الإدارية المتبعة في مؤسسات الرعاية الصحية من جهة أخرى، كما هدفت أيضا إلى استعراض دور القيادة، واستراتيجيات الاتصال، ومبادرات تحسين الجودة، والتكامل التكنولوجي في تعزيز الرعاية المتمركزة حول المريض. اعتمدت الدراسة منهج المراجعة السردية للأدبيات (</w:t>
      </w:r>
      <w:r w:rsidRPr="00362D29">
        <w:rPr>
          <w:rFonts w:ascii="Traditional Arabic" w:hAnsi="Traditional Arabic" w:cs="Traditional Arabic"/>
          <w:color w:val="000000" w:themeColor="text1"/>
          <w:sz w:val="24"/>
          <w:szCs w:val="24"/>
        </w:rPr>
        <w:t>Narrative Literature Review</w:t>
      </w:r>
      <w:r w:rsidRPr="00362D29">
        <w:rPr>
          <w:rFonts w:ascii="Traditional Arabic" w:hAnsi="Traditional Arabic" w:cs="Traditional Arabic"/>
          <w:color w:val="000000" w:themeColor="text1"/>
          <w:sz w:val="24"/>
          <w:szCs w:val="24"/>
          <w:rtl/>
        </w:rPr>
        <w:t xml:space="preserve">) من خلال تحليل الدراسات والنماذج النظرية المنشورة في مجال تجربة المريض والقيادة </w:t>
      </w:r>
      <w:proofErr w:type="gramStart"/>
      <w:r w:rsidRPr="00362D29">
        <w:rPr>
          <w:rFonts w:ascii="Traditional Arabic" w:hAnsi="Traditional Arabic" w:cs="Traditional Arabic"/>
          <w:color w:val="000000" w:themeColor="text1"/>
          <w:sz w:val="24"/>
          <w:szCs w:val="24"/>
          <w:rtl/>
        </w:rPr>
        <w:t>الصحية ،</w:t>
      </w:r>
      <w:proofErr w:type="gramEnd"/>
      <w:r w:rsidRPr="00362D29">
        <w:rPr>
          <w:rFonts w:ascii="Traditional Arabic" w:hAnsi="Traditional Arabic" w:cs="Traditional Arabic"/>
          <w:color w:val="000000" w:themeColor="text1"/>
          <w:sz w:val="24"/>
          <w:szCs w:val="24"/>
          <w:rtl/>
        </w:rPr>
        <w:t xml:space="preserve"> وبالتالي لم يتضمن البحث مجتمعًا أو عينة إحصائية لكونه دراسة مراجعة تحليلية. أظهرت النتائج أن تبني ثقافة تنظيمية متمركزة حول المريض مدعومة بقيادة فعالة واتصال واضح يرتبط بتحسن ملحوظ في رضا المرضى وولائهم، كما أكدت أن دمج التكنولوجيا الصحية مثل </w:t>
      </w:r>
      <w:r w:rsidRPr="00362D29">
        <w:rPr>
          <w:rFonts w:ascii="Traditional Arabic" w:hAnsi="Traditional Arabic" w:cs="Traditional Arabic"/>
          <w:color w:val="000000" w:themeColor="text1"/>
          <w:sz w:val="24"/>
          <w:szCs w:val="24"/>
          <w:rtl/>
        </w:rPr>
        <w:lastRenderedPageBreak/>
        <w:t xml:space="preserve">السجلات الإلكترونية والتطبيب عن بُعد والذكاء الاصطناعي يعزز المشاركة </w:t>
      </w:r>
      <w:proofErr w:type="spellStart"/>
      <w:r w:rsidRPr="00362D29">
        <w:rPr>
          <w:rFonts w:ascii="Traditional Arabic" w:hAnsi="Traditional Arabic" w:cs="Traditional Arabic"/>
          <w:color w:val="000000" w:themeColor="text1"/>
          <w:sz w:val="24"/>
          <w:szCs w:val="24"/>
          <w:rtl/>
        </w:rPr>
        <w:t>المريضية</w:t>
      </w:r>
      <w:proofErr w:type="spellEnd"/>
      <w:r w:rsidRPr="00362D29">
        <w:rPr>
          <w:rFonts w:ascii="Traditional Arabic" w:hAnsi="Traditional Arabic" w:cs="Traditional Arabic"/>
          <w:color w:val="000000" w:themeColor="text1"/>
          <w:sz w:val="24"/>
          <w:szCs w:val="24"/>
          <w:rtl/>
        </w:rPr>
        <w:t xml:space="preserve"> ويحسن جودة التجربة الصحية عند توظيفها ضمن إطار إداري استراتيجي متكامل.</w:t>
      </w:r>
    </w:p>
    <w:p w14:paraId="072480C8" w14:textId="184FC756" w:rsidR="00B84A04" w:rsidRPr="00937192" w:rsidRDefault="00947153"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proofErr w:type="gramStart"/>
      <w:r w:rsidRPr="00937192">
        <w:rPr>
          <w:rFonts w:ascii="Traditional Arabic" w:hAnsi="Traditional Arabic" w:cs="Traditional Arabic"/>
          <w:b/>
          <w:bCs/>
          <w:color w:val="000000" w:themeColor="text1"/>
          <w:sz w:val="24"/>
          <w:szCs w:val="24"/>
          <w:rtl/>
        </w:rPr>
        <w:t>دراسة</w:t>
      </w:r>
      <w:r w:rsidR="00FE6029" w:rsidRPr="00937192">
        <w:rPr>
          <w:rFonts w:ascii="Traditional Arabic" w:hAnsi="Traditional Arabic" w:cs="Traditional Arabic"/>
          <w:b/>
          <w:bCs/>
          <w:color w:val="000000" w:themeColor="text1"/>
          <w:sz w:val="24"/>
          <w:szCs w:val="24"/>
        </w:rPr>
        <w:t>(</w:t>
      </w:r>
      <w:proofErr w:type="gramEnd"/>
      <w:r w:rsidR="00FE6029" w:rsidRPr="00937192">
        <w:rPr>
          <w:rFonts w:ascii="Traditional Arabic" w:hAnsi="Traditional Arabic" w:cs="Traditional Arabic"/>
          <w:b/>
          <w:bCs/>
          <w:color w:val="000000" w:themeColor="text1"/>
          <w:sz w:val="24"/>
          <w:szCs w:val="24"/>
        </w:rPr>
        <w:t>Almohaisen et al., 2023</w:t>
      </w:r>
      <w:r w:rsidR="00B84A04" w:rsidRPr="00937192">
        <w:rPr>
          <w:rFonts w:ascii="Traditional Arabic" w:hAnsi="Traditional Arabic" w:cs="Traditional Arabic"/>
          <w:b/>
          <w:bCs/>
          <w:color w:val="000000" w:themeColor="text1"/>
          <w:sz w:val="24"/>
          <w:szCs w:val="24"/>
        </w:rPr>
        <w:t xml:space="preserve">) </w:t>
      </w:r>
      <w:r w:rsidR="00B84A04" w:rsidRPr="00937192">
        <w:rPr>
          <w:rFonts w:ascii="Traditional Arabic" w:hAnsi="Traditional Arabic" w:cs="Traditional Arabic"/>
          <w:b/>
          <w:bCs/>
          <w:color w:val="000000" w:themeColor="text1"/>
          <w:sz w:val="24"/>
          <w:szCs w:val="24"/>
          <w:rtl/>
        </w:rPr>
        <w:t>بعنوان</w:t>
      </w:r>
      <w:r w:rsidR="008637AF" w:rsidRPr="00937192">
        <w:rPr>
          <w:rFonts w:ascii="Traditional Arabic" w:hAnsi="Traditional Arabic" w:cs="Traditional Arabic"/>
          <w:b/>
          <w:bCs/>
          <w:color w:val="000000" w:themeColor="text1"/>
          <w:sz w:val="24"/>
          <w:szCs w:val="24"/>
        </w:rPr>
        <w:t>"</w:t>
      </w:r>
      <w:r w:rsidRPr="00937192">
        <w:rPr>
          <w:rFonts w:ascii="Traditional Arabic" w:hAnsi="Traditional Arabic" w:cs="Traditional Arabic"/>
          <w:b/>
          <w:bCs/>
          <w:color w:val="000000" w:themeColor="text1"/>
          <w:sz w:val="24"/>
          <w:szCs w:val="24"/>
        </w:rPr>
        <w:t>Improving patient experience by implementing an organizational culture model</w:t>
      </w:r>
      <w:r w:rsidR="008637AF" w:rsidRPr="00937192">
        <w:rPr>
          <w:rFonts w:ascii="Traditional Arabic" w:hAnsi="Traditional Arabic" w:cs="Traditional Arabic"/>
          <w:b/>
          <w:bCs/>
          <w:color w:val="000000" w:themeColor="text1"/>
          <w:sz w:val="24"/>
          <w:szCs w:val="24"/>
        </w:rPr>
        <w:t>"</w:t>
      </w:r>
      <w:r w:rsidRPr="00937192">
        <w:rPr>
          <w:rFonts w:ascii="Traditional Arabic" w:hAnsi="Traditional Arabic" w:cs="Traditional Arabic"/>
          <w:b/>
          <w:bCs/>
          <w:color w:val="000000" w:themeColor="text1"/>
          <w:sz w:val="24"/>
          <w:szCs w:val="24"/>
          <w:rtl/>
        </w:rPr>
        <w:t xml:space="preserve">، </w:t>
      </w:r>
    </w:p>
    <w:p w14:paraId="6588DC5F" w14:textId="3CC0851C" w:rsidR="008637AF" w:rsidRPr="00362D29" w:rsidRDefault="008637AF"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تحسين تجربة المرضى في (مستشفى الملك عبد العزيز التخصصي للقوات المسلحة بالظهران بالمملكة العربية السعودية) من خلال تطبيق نموذج ثقافي مؤسسي قائم على الأدلة لتعزيز ثقافة الرعاية الصحية من خلال تنفيذ تدخلات نوعية مثل إنشاء مجلس استشاري للمرضى والعائلات، وتدريب على التعاطف، وتكريم تجربة المريض، ومقابلات بين القيادة والمرضى، وتعيين أبطال لتجربة المريض، بالإضافة إلى تحسين الجودة.، وتحديد أولويات التحسين وقد تم قياس هذه التدخلات باستخدام استبيان تقييم مستهلكي المستشفيات لمقدمي الرعاية الصحية والأنظمة (</w:t>
      </w:r>
      <w:r w:rsidR="004C560F"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في أقسام المرضى الداخليين والخارجيين والطوارئ . اعتمدت الدراسة منهج البحث المقطعي ضمن إطار مشروع تحسين جودة، خلال الفترة من يوليو 2019 حتى سبتمبر 2021، باستخدام استبانة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المكونة من 29 بندًا بعد تعريبها والتحقق من صدقها وثباتها. تمثّل المجتمع في جميع المرضى المستفيدين من خدمات التنويم والعيادات الخارجية والطوارئ خلال فترات القياس، حيث بلغ عدد المشاركين في خط الأساس لعام 2019 (1893) في العيادات الخارجية، و(1366) في الطوارئ، و(827) في التنويم، وفي القياس اللاحق (1348) في العيادات الخارجية، و(1063) في الطوارئ، و(767) في التنويم. أظهرت النتائج تحسنًا ملحوظًا في متوسط درجات تجربة المريض تجاوز الهدف المحدد بـ(4%) في جميع الأقسام، حيث ارتفعت درجات التنويم من 83.96% إلى 89.65%، والعيادات الخارجية من 66.53% إلى 74.18%، والطوارئ من 59.75% إلى 65.64%، كما ثبتت الدلالة الإحصائية للتحسن في العيادات الخارجية والطوارئ، مما يعكس فعالية نموذج ثقافة تجربة المريض في إحداث تحسينات مستدامة في الأداء.</w:t>
      </w:r>
    </w:p>
    <w:p w14:paraId="6EB712FF" w14:textId="41D6BE0C" w:rsidR="009C5D95" w:rsidRPr="00CB4510" w:rsidRDefault="009C5D95"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CB4510">
        <w:rPr>
          <w:rFonts w:ascii="Traditional Arabic" w:hAnsi="Traditional Arabic" w:cs="Traditional Arabic"/>
          <w:b/>
          <w:bCs/>
          <w:color w:val="000000" w:themeColor="text1"/>
          <w:sz w:val="24"/>
          <w:szCs w:val="24"/>
          <w:rtl/>
        </w:rPr>
        <w:t>دراسة (</w:t>
      </w:r>
      <w:r w:rsidRPr="00CB4510">
        <w:rPr>
          <w:rFonts w:ascii="Traditional Arabic" w:hAnsi="Traditional Arabic" w:cs="Traditional Arabic"/>
          <w:b/>
          <w:bCs/>
          <w:color w:val="000000" w:themeColor="text1"/>
          <w:sz w:val="24"/>
          <w:szCs w:val="24"/>
        </w:rPr>
        <w:t>Cavanaugh et al., 2021</w:t>
      </w:r>
      <w:r w:rsidRPr="00CB4510">
        <w:rPr>
          <w:rFonts w:ascii="Traditional Arabic" w:hAnsi="Traditional Arabic" w:cs="Traditional Arabic"/>
          <w:b/>
          <w:bCs/>
          <w:color w:val="000000" w:themeColor="text1"/>
          <w:sz w:val="24"/>
          <w:szCs w:val="24"/>
          <w:rtl/>
        </w:rPr>
        <w:t>) بعنوان"</w:t>
      </w:r>
      <w:r w:rsidRPr="00CB4510">
        <w:rPr>
          <w:rFonts w:ascii="Traditional Arabic" w:hAnsi="Traditional Arabic" w:cs="Traditional Arabic"/>
          <w:b/>
          <w:bCs/>
          <w:color w:val="000000" w:themeColor="text1"/>
          <w:sz w:val="24"/>
          <w:szCs w:val="24"/>
        </w:rPr>
        <w:t>The effect of service excellence training Examining providers' patient experience scores</w:t>
      </w:r>
      <w:r w:rsidRPr="00CB4510">
        <w:rPr>
          <w:rFonts w:ascii="Traditional Arabic" w:hAnsi="Traditional Arabic" w:cs="Traditional Arabic"/>
          <w:b/>
          <w:bCs/>
          <w:color w:val="000000" w:themeColor="text1"/>
          <w:sz w:val="24"/>
          <w:szCs w:val="24"/>
          <w:rtl/>
        </w:rPr>
        <w:t xml:space="preserve">" </w:t>
      </w:r>
    </w:p>
    <w:p w14:paraId="60B4AD60" w14:textId="13218957" w:rsidR="009C5D95" w:rsidRPr="00362D29" w:rsidRDefault="009C5D95"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فحص أثر برنامج تدريبي في التميز الخدمي (</w:t>
      </w:r>
      <w:r w:rsidRPr="00362D29">
        <w:rPr>
          <w:rFonts w:ascii="Traditional Arabic" w:hAnsi="Traditional Arabic" w:cs="Traditional Arabic"/>
          <w:color w:val="000000" w:themeColor="text1"/>
          <w:sz w:val="24"/>
          <w:szCs w:val="24"/>
        </w:rPr>
        <w:t xml:space="preserve">Service </w:t>
      </w:r>
      <w:proofErr w:type="gramStart"/>
      <w:r w:rsidRPr="00362D29">
        <w:rPr>
          <w:rFonts w:ascii="Traditional Arabic" w:hAnsi="Traditional Arabic" w:cs="Traditional Arabic"/>
          <w:color w:val="000000" w:themeColor="text1"/>
          <w:sz w:val="24"/>
          <w:szCs w:val="24"/>
        </w:rPr>
        <w:t>Excellence</w:t>
      </w:r>
      <w:r w:rsidRPr="00362D29">
        <w:rPr>
          <w:rFonts w:ascii="Traditional Arabic" w:hAnsi="Traditional Arabic" w:cs="Traditional Arabic"/>
          <w:color w:val="000000" w:themeColor="text1"/>
          <w:sz w:val="24"/>
          <w:szCs w:val="24"/>
          <w:rtl/>
        </w:rPr>
        <w:t>)  في</w:t>
      </w:r>
      <w:proofErr w:type="gramEnd"/>
      <w:r w:rsidRPr="00362D29">
        <w:rPr>
          <w:rFonts w:ascii="Traditional Arabic" w:hAnsi="Traditional Arabic" w:cs="Traditional Arabic"/>
          <w:color w:val="000000" w:themeColor="text1"/>
          <w:sz w:val="24"/>
          <w:szCs w:val="24"/>
          <w:rtl/>
        </w:rPr>
        <w:t xml:space="preserve"> تحسين درجات تجربة المريض لمقدمي الرعاية الصحية المُقاسة بأداة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xml:space="preserve"> ، وكذلك تحليل ما إذا كان مستوى اندماج الموظفين  (</w:t>
      </w:r>
      <w:r w:rsidRPr="00362D29">
        <w:rPr>
          <w:rFonts w:ascii="Traditional Arabic" w:hAnsi="Traditional Arabic" w:cs="Traditional Arabic"/>
          <w:color w:val="000000" w:themeColor="text1"/>
          <w:sz w:val="24"/>
          <w:szCs w:val="24"/>
        </w:rPr>
        <w:t>Employee Engagement</w:t>
      </w:r>
      <w:r w:rsidRPr="00362D29">
        <w:rPr>
          <w:rFonts w:ascii="Traditional Arabic" w:hAnsi="Traditional Arabic" w:cs="Traditional Arabic"/>
          <w:color w:val="000000" w:themeColor="text1"/>
          <w:sz w:val="24"/>
          <w:szCs w:val="24"/>
          <w:rtl/>
        </w:rPr>
        <w:t>)  يعدل من تأثير التدريب على نتائج تجربة المريض. اعتمدت الدراسة المنهج شبه التجريبي باستخدام تحليل التباين للقياسات المتكررة (</w:t>
      </w:r>
      <w:r w:rsidRPr="00362D29">
        <w:rPr>
          <w:rFonts w:ascii="Traditional Arabic" w:hAnsi="Traditional Arabic" w:cs="Traditional Arabic"/>
          <w:color w:val="000000" w:themeColor="text1"/>
          <w:sz w:val="24"/>
          <w:szCs w:val="24"/>
        </w:rPr>
        <w:t>Repeated Measures ANOVA</w:t>
      </w:r>
      <w:r w:rsidRPr="00362D29">
        <w:rPr>
          <w:rFonts w:ascii="Traditional Arabic" w:hAnsi="Traditional Arabic" w:cs="Traditional Arabic"/>
          <w:color w:val="000000" w:themeColor="text1"/>
          <w:sz w:val="24"/>
          <w:szCs w:val="24"/>
          <w:rtl/>
        </w:rPr>
        <w:t>) وتحليل التباين الثنائي (</w:t>
      </w:r>
      <w:r w:rsidRPr="00362D29">
        <w:rPr>
          <w:rFonts w:ascii="Traditional Arabic" w:hAnsi="Traditional Arabic" w:cs="Traditional Arabic"/>
          <w:color w:val="000000" w:themeColor="text1"/>
          <w:sz w:val="24"/>
          <w:szCs w:val="24"/>
        </w:rPr>
        <w:t>Two-way ANOVA</w:t>
      </w:r>
      <w:r w:rsidRPr="00362D29">
        <w:rPr>
          <w:rFonts w:ascii="Traditional Arabic" w:hAnsi="Traditional Arabic" w:cs="Traditional Arabic"/>
          <w:color w:val="000000" w:themeColor="text1"/>
          <w:sz w:val="24"/>
          <w:szCs w:val="24"/>
          <w:rtl/>
        </w:rPr>
        <w:t xml:space="preserve">).  تكوّن مجتمع الدراسة من 360 مقدم رعاية صحية في مؤسسة أكاديمية متخصصة في علاج السرطان بالولايات المتحدة، منهم 109 أكملوا برنامج التدريب خلال الفترة مارس 2017 – فبراير 2019، و251 لم يكملوه. تم تحليل درجات تجربة المريض قبل التدريب (ديسمبر 2016 – فبراير 2017) بعدد 15,002 استجابة مريض، وبعد التدريب (مارس – مايو </w:t>
      </w:r>
      <w:r w:rsidRPr="00362D29">
        <w:rPr>
          <w:rFonts w:ascii="Traditional Arabic" w:hAnsi="Traditional Arabic" w:cs="Traditional Arabic"/>
          <w:color w:val="000000" w:themeColor="text1"/>
          <w:sz w:val="24"/>
          <w:szCs w:val="24"/>
          <w:rtl/>
        </w:rPr>
        <w:lastRenderedPageBreak/>
        <w:t>2019) بعدد 13,717 استجابة، بمتوسط يقارب 33–34 استجابة لكل مقدم رعاية. أظهرت النتائج وجود تحسن دال إحصائيًا في درجات تجربة المريض لدى مقدمي الرعاية الذين أكملوا التدريب مقارنة بغيرهم (</w:t>
      </w:r>
      <w:r w:rsidRPr="00362D29">
        <w:rPr>
          <w:rFonts w:ascii="Traditional Arabic" w:hAnsi="Traditional Arabic" w:cs="Traditional Arabic"/>
          <w:color w:val="000000" w:themeColor="text1"/>
          <w:sz w:val="24"/>
          <w:szCs w:val="24"/>
        </w:rPr>
        <w:t>F=4.57, p=0.033</w:t>
      </w:r>
      <w:r w:rsidRPr="00362D29">
        <w:rPr>
          <w:rFonts w:ascii="Traditional Arabic" w:hAnsi="Traditional Arabic" w:cs="Traditional Arabic"/>
          <w:color w:val="000000" w:themeColor="text1"/>
          <w:sz w:val="24"/>
          <w:szCs w:val="24"/>
          <w:rtl/>
        </w:rPr>
        <w:t>)، كما تبين أن أثر التدريب كان أقوى لدى مقدمي الرعاية ذوي مستويات الاندماج الوظيفي المنخفض مقارنة بذوي الاندماج المرتفع (</w:t>
      </w:r>
      <w:r w:rsidRPr="00362D29">
        <w:rPr>
          <w:rFonts w:ascii="Traditional Arabic" w:hAnsi="Traditional Arabic" w:cs="Traditional Arabic"/>
          <w:color w:val="000000" w:themeColor="text1"/>
          <w:sz w:val="24"/>
          <w:szCs w:val="24"/>
        </w:rPr>
        <w:t>F=4.01, p=0.046</w:t>
      </w:r>
      <w:r w:rsidRPr="00362D29">
        <w:rPr>
          <w:rFonts w:ascii="Traditional Arabic" w:hAnsi="Traditional Arabic" w:cs="Traditional Arabic"/>
          <w:color w:val="000000" w:themeColor="text1"/>
          <w:sz w:val="24"/>
          <w:szCs w:val="24"/>
          <w:rtl/>
        </w:rPr>
        <w:t>)، مما يشير إلى أن التدريب الاتصالي يمثل أداة فعالة لتعزيز تجربة المريض خاصة لدى الفئات الأقل اندماجًا.</w:t>
      </w:r>
    </w:p>
    <w:p w14:paraId="51B8DBE6" w14:textId="5C425997" w:rsidR="00693CF2" w:rsidRPr="00362D29" w:rsidRDefault="00947153"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013679" w:rsidRPr="00362D29">
        <w:rPr>
          <w:rFonts w:ascii="Traditional Arabic" w:hAnsi="Traditional Arabic" w:cs="Traditional Arabic"/>
          <w:b/>
          <w:bCs/>
          <w:color w:val="000000" w:themeColor="text1"/>
          <w:sz w:val="24"/>
          <w:szCs w:val="24"/>
        </w:rPr>
        <w:t>(Sharma &amp; Chhillar, 2019)</w:t>
      </w: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Patient satisfaction: A way to achieve business excellence in health care industry</w:t>
      </w:r>
      <w:r w:rsidRPr="00362D29">
        <w:rPr>
          <w:rFonts w:ascii="Traditional Arabic" w:hAnsi="Traditional Arabic" w:cs="Traditional Arabic"/>
          <w:b/>
          <w:bCs/>
          <w:color w:val="000000" w:themeColor="text1"/>
          <w:sz w:val="24"/>
          <w:szCs w:val="24"/>
          <w:rtl/>
        </w:rPr>
        <w:t xml:space="preserve">، </w:t>
      </w:r>
    </w:p>
    <w:p w14:paraId="5EDE2911" w14:textId="0BDA5343" w:rsidR="00693CF2" w:rsidRPr="00362D29" w:rsidRDefault="00693CF2"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دور رضا المرضى كمدخل لتحقيق التميز المؤسسي في قطاع الرعاية الصحية، وتحديد العوامل الثقافية والاجتماعية والتنظيمية المؤثرة في مستوى رضا المرضى داخل المستشفيات. اعتمدت الدراسة المنهج الوصفي التحليلي القائم على المراجعة النظرية وتحليل الأدبيات دون تطبيق ميداني كمي أو تحديد عينة رقمية، حيث ركزت على تحليل المفاهيم والعوامل المؤثرة في رضا المرضى من خلال استعراض دراسات سابقة وأطر نظرية ذات صلة. لم تحدد الدراسة مجتمعًا أو عينة رقمية نظرًا لطبيعتها النظرية. أظهرت النتائج أن رضا المرضى يرتكز على ثلاثة أبعاد رئيسة هي الراحة (</w:t>
      </w:r>
      <w:r w:rsidRPr="00362D29">
        <w:rPr>
          <w:rFonts w:ascii="Traditional Arabic" w:hAnsi="Traditional Arabic" w:cs="Traditional Arabic"/>
          <w:color w:val="000000" w:themeColor="text1"/>
          <w:sz w:val="24"/>
          <w:szCs w:val="24"/>
        </w:rPr>
        <w:t>Comfort</w:t>
      </w:r>
      <w:r w:rsidRPr="00362D29">
        <w:rPr>
          <w:rFonts w:ascii="Traditional Arabic" w:hAnsi="Traditional Arabic" w:cs="Traditional Arabic"/>
          <w:color w:val="000000" w:themeColor="text1"/>
          <w:sz w:val="24"/>
          <w:szCs w:val="24"/>
          <w:rtl/>
        </w:rPr>
        <w:t>) والرعاية (</w:t>
      </w:r>
      <w:r w:rsidRPr="00362D29">
        <w:rPr>
          <w:rFonts w:ascii="Traditional Arabic" w:hAnsi="Traditional Arabic" w:cs="Traditional Arabic"/>
          <w:color w:val="000000" w:themeColor="text1"/>
          <w:sz w:val="24"/>
          <w:szCs w:val="24"/>
        </w:rPr>
        <w:t>Care</w:t>
      </w:r>
      <w:r w:rsidRPr="00362D29">
        <w:rPr>
          <w:rFonts w:ascii="Traditional Arabic" w:hAnsi="Traditional Arabic" w:cs="Traditional Arabic"/>
          <w:color w:val="000000" w:themeColor="text1"/>
          <w:sz w:val="24"/>
          <w:szCs w:val="24"/>
          <w:rtl/>
        </w:rPr>
        <w:t>) والشفاء (</w:t>
      </w:r>
      <w:r w:rsidRPr="00362D29">
        <w:rPr>
          <w:rFonts w:ascii="Traditional Arabic" w:hAnsi="Traditional Arabic" w:cs="Traditional Arabic"/>
          <w:color w:val="000000" w:themeColor="text1"/>
          <w:sz w:val="24"/>
          <w:szCs w:val="24"/>
        </w:rPr>
        <w:t>Cure</w:t>
      </w:r>
      <w:r w:rsidRPr="00362D29">
        <w:rPr>
          <w:rFonts w:ascii="Traditional Arabic" w:hAnsi="Traditional Arabic" w:cs="Traditional Arabic"/>
          <w:color w:val="000000" w:themeColor="text1"/>
          <w:sz w:val="24"/>
          <w:szCs w:val="24"/>
          <w:rtl/>
        </w:rPr>
        <w:t>) باعتبارها معايير أساسية لتقييم جودة الخدمة الصحية، كما بينت أن العوامل الاجتماعية والثقافية ومستوى التعليم والدخل وسلوك الطاقم الطبي والإداري تمثل محددات جوهرية في تشكيل إدراك المرضى لجودة الخدمة، مما يؤكد ارتباط رضا المرضى بتحقيق التميز المؤسسي وتحسين القدرة التنافسية للمستشفيات.</w:t>
      </w:r>
    </w:p>
    <w:p w14:paraId="3286E167" w14:textId="67A6A916" w:rsidR="00840486" w:rsidRPr="00362D29" w:rsidRDefault="00947153" w:rsidP="00C42472">
      <w:pPr>
        <w:pStyle w:val="ab"/>
        <w:numPr>
          <w:ilvl w:val="0"/>
          <w:numId w:val="6"/>
        </w:numPr>
        <w:bidi/>
        <w:spacing w:after="200" w:line="360" w:lineRule="auto"/>
        <w:jc w:val="both"/>
        <w:rPr>
          <w:rFonts w:ascii="Traditional Arabic" w:hAnsi="Traditional Arabic" w:cs="Traditional Arabic"/>
          <w:b/>
          <w:bCs/>
          <w:color w:val="000000" w:themeColor="text1"/>
          <w:sz w:val="28"/>
          <w:szCs w:val="28"/>
          <w:u w:val="single"/>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840486" w:rsidRPr="00362D29">
        <w:rPr>
          <w:rFonts w:ascii="Traditional Arabic" w:hAnsi="Traditional Arabic" w:cs="Traditional Arabic"/>
          <w:b/>
          <w:bCs/>
          <w:color w:val="000000" w:themeColor="text1"/>
          <w:sz w:val="24"/>
          <w:szCs w:val="24"/>
        </w:rPr>
        <w:t xml:space="preserve">(Guastello &amp; Jay, 2019) </w:t>
      </w:r>
      <w:r w:rsidR="00840486"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w:t>
      </w:r>
      <w:r w:rsidR="00B37C4A"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Improving the patient experience through a comprehensive performance framework to evaluate excellence in person-centered care</w:t>
      </w:r>
      <w:r w:rsidR="00B37C4A"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0F6D31A5" w14:textId="5B0D063E" w:rsidR="00996097" w:rsidRPr="00362D29" w:rsidRDefault="00FD564A" w:rsidP="00C42472">
      <w:pPr>
        <w:pStyle w:val="ab"/>
        <w:numPr>
          <w:ilvl w:val="0"/>
          <w:numId w:val="4"/>
        </w:numPr>
        <w:bidi/>
        <w:spacing w:after="200" w:line="360" w:lineRule="auto"/>
        <w:jc w:val="both"/>
        <w:rPr>
          <w:rFonts w:ascii="Traditional Arabic" w:hAnsi="Traditional Arabic" w:cs="Traditional Arabic"/>
          <w:b/>
          <w:bCs/>
          <w:color w:val="000000" w:themeColor="text1"/>
          <w:sz w:val="28"/>
          <w:szCs w:val="28"/>
          <w:u w:val="single"/>
          <w:rtl/>
        </w:rPr>
      </w:pPr>
      <w:r w:rsidRPr="00362D29">
        <w:rPr>
          <w:rFonts w:ascii="Traditional Arabic" w:hAnsi="Traditional Arabic" w:cs="Traditional Arabic"/>
          <w:color w:val="000000" w:themeColor="text1"/>
          <w:sz w:val="24"/>
          <w:szCs w:val="24"/>
          <w:rtl/>
        </w:rPr>
        <w:t>هدفت الدراسة إلى تطوير إطار أداء شامل قابل للتطبيق لتقييم وتحسين تجربة المريض ضمن نموذج الرعاية المرتكزة على الشخص. وربطه بولائه ومشاركة العاملين، كما هدفت ايضا إلى معالجة فجوة غياب أداة معيارية شاملة تقيس الثقافة المؤسسية الداعمة لتجربة المريض. اعتمدت الدراسة منهج تحسين الجودة قائم على تطوير وإعادة تصميم برنامج اعتماد للرعاية المرتكزة على الشخص (</w:t>
      </w:r>
      <w:r w:rsidRPr="00362D29">
        <w:rPr>
          <w:rFonts w:ascii="Traditional Arabic" w:hAnsi="Traditional Arabic" w:cs="Traditional Arabic"/>
          <w:color w:val="000000" w:themeColor="text1"/>
          <w:sz w:val="24"/>
          <w:szCs w:val="24"/>
        </w:rPr>
        <w:t>Person-Centered Care Certification Programme</w:t>
      </w:r>
      <w:r w:rsidRPr="00362D29">
        <w:rPr>
          <w:rFonts w:ascii="Traditional Arabic" w:hAnsi="Traditional Arabic" w:cs="Traditional Arabic"/>
          <w:color w:val="000000" w:themeColor="text1"/>
          <w:sz w:val="24"/>
          <w:szCs w:val="24"/>
          <w:rtl/>
        </w:rPr>
        <w:t xml:space="preserve">) بالاستناد إلى الأدلة العلمية وإطار الأكاديمية الوطنية للطب، مع تطبيق منهج تقييم متعدد الأساليب يشمل مراجعة الوثائق، وعناصر القياس المعيارية، واستخدام أدوات قياس متعددة لضمان التميز في الرعاية من خلال إطارًا دوليًا لتحسين تجربة المريض بالاعتماد على مؤشرات مثل التواصل، الرعاية العاطفية، ورضا </w:t>
      </w:r>
      <w:proofErr w:type="gramStart"/>
      <w:r w:rsidRPr="00362D29">
        <w:rPr>
          <w:rFonts w:ascii="Traditional Arabic" w:hAnsi="Traditional Arabic" w:cs="Traditional Arabic"/>
          <w:color w:val="000000" w:themeColor="text1"/>
          <w:sz w:val="24"/>
          <w:szCs w:val="24"/>
          <w:rtl/>
        </w:rPr>
        <w:t>المرضى ،</w:t>
      </w:r>
      <w:proofErr w:type="gramEnd"/>
      <w:r w:rsidRPr="00362D29">
        <w:rPr>
          <w:rFonts w:ascii="Traditional Arabic" w:hAnsi="Traditional Arabic" w:cs="Traditional Arabic"/>
          <w:color w:val="000000" w:themeColor="text1"/>
          <w:sz w:val="24"/>
          <w:szCs w:val="24"/>
          <w:rtl/>
        </w:rPr>
        <w:t xml:space="preserve"> وزيارات ميدانية تتضمن مقابلات ومجموعات تركيز. تم تطبيق الإطار على منظمات صحية متنوعة عبر </w:t>
      </w:r>
      <w:r w:rsidRPr="00362D29">
        <w:rPr>
          <w:rFonts w:ascii="Traditional Arabic" w:hAnsi="Traditional Arabic" w:cs="Traditional Arabic"/>
          <w:color w:val="000000" w:themeColor="text1"/>
          <w:sz w:val="24"/>
          <w:szCs w:val="24"/>
          <w:rtl/>
        </w:rPr>
        <w:lastRenderedPageBreak/>
        <w:t xml:space="preserve">بلدان متعددة، حيث شمل نطاق التطبيق 139 منظمة في 12 دولة من مستويات رعاية مختلفة (مستشفيات، مراكز خارجية، رعاية طويلة الأمد وغيرها) باستخدام أداة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أظهرت النتائج ارتباط الحصول على الاعتماد ضمن النموذج الدولي للرعاية المرتكزة على الانسان بتحسن واضح في مؤشرات تجربة </w:t>
      </w:r>
      <w:proofErr w:type="gramStart"/>
      <w:r w:rsidRPr="00362D29">
        <w:rPr>
          <w:rFonts w:ascii="Traditional Arabic" w:hAnsi="Traditional Arabic" w:cs="Traditional Arabic"/>
          <w:color w:val="000000" w:themeColor="text1"/>
          <w:sz w:val="24"/>
          <w:szCs w:val="24"/>
          <w:rtl/>
        </w:rPr>
        <w:t>المريض ،</w:t>
      </w:r>
      <w:proofErr w:type="gramEnd"/>
      <w:r w:rsidRPr="00362D29">
        <w:rPr>
          <w:rFonts w:ascii="Traditional Arabic" w:hAnsi="Traditional Arabic" w:cs="Traditional Arabic"/>
          <w:color w:val="000000" w:themeColor="text1"/>
          <w:sz w:val="24"/>
          <w:szCs w:val="24"/>
          <w:rtl/>
        </w:rPr>
        <w:t xml:space="preserve"> إضافة إلى تحسن مستويات مشاركة العاملين وولاء المرضى، مع إثبات فاعلية الإطار في تحويل مفهوم الرعاية المرتكزة على الشخص إلى هدف قابل للقياس والتقييم والتحقيق.</w:t>
      </w:r>
    </w:p>
    <w:p w14:paraId="4F250889" w14:textId="76970D93" w:rsidR="00996097" w:rsidRPr="00362D29" w:rsidRDefault="00563820" w:rsidP="00362D29">
      <w:pPr>
        <w:bidi/>
        <w:spacing w:after="200" w:line="360" w:lineRule="auto"/>
        <w:jc w:val="both"/>
        <w:rPr>
          <w:rFonts w:ascii="Traditional Arabic" w:hAnsi="Traditional Arabic" w:cs="Traditional Arabic"/>
          <w:b/>
          <w:bCs/>
          <w:color w:val="000000" w:themeColor="text1"/>
          <w:sz w:val="32"/>
          <w:szCs w:val="32"/>
          <w:rtl/>
        </w:rPr>
      </w:pPr>
      <w:r w:rsidRPr="00362D29">
        <w:rPr>
          <w:rFonts w:ascii="Traditional Arabic" w:hAnsi="Traditional Arabic" w:cs="Traditional Arabic"/>
          <w:b/>
          <w:bCs/>
          <w:color w:val="000000" w:themeColor="text1"/>
          <w:sz w:val="32"/>
          <w:szCs w:val="32"/>
          <w:rtl/>
        </w:rPr>
        <w:t>التعقيب على الدراسات السابقة</w:t>
      </w:r>
    </w:p>
    <w:p w14:paraId="22F1193F" w14:textId="77777777" w:rsidR="00DA428D" w:rsidRPr="00362D29" w:rsidRDefault="00DA428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بناءً على مراجعة الأدبيات السابقة التي تم استعراضها، وفي ضوء خصائص الدراسة الحالية "أثر التميز المؤسسي على جودة تجربة المريض: دراسة وصفية تحليلية بتجمع القصيم الصحي بالمملكة العربية السعودية"، يمكن صياغة التعليق الأكاديمي والمقارنة المنهجية والموضوعية على النحو الآتي:</w:t>
      </w:r>
    </w:p>
    <w:p w14:paraId="166259E2"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أولاً: أوجه التشابه والاختلاف</w:t>
      </w:r>
    </w:p>
    <w:p w14:paraId="561EFE54"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من حيث الأهداف:</w:t>
      </w:r>
    </w:p>
    <w:p w14:paraId="7E0FC470" w14:textId="77777777" w:rsidR="00DA428D" w:rsidRPr="00362D29" w:rsidRDefault="00DA428D" w:rsidP="00C42472">
      <w:pPr>
        <w:numPr>
          <w:ilvl w:val="0"/>
          <w:numId w:val="4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سعيها لقياس أثر التميز المؤسسي على مخرجات الرعاية الصحية مع دراسات كل من: (الرويلي، 2025)، (سلمان وآخرون، 2025)، (</w:t>
      </w:r>
      <w:r w:rsidRPr="00362D29">
        <w:rPr>
          <w:rFonts w:ascii="Traditional Arabic" w:eastAsia="Aptos" w:hAnsi="Traditional Arabic" w:cs="Traditional Arabic"/>
          <w:kern w:val="2"/>
          <w:sz w:val="24"/>
          <w:szCs w:val="24"/>
          <w14:ligatures w14:val="standardContextual"/>
        </w:rPr>
        <w:t>Al-Samawi</w:t>
      </w:r>
      <w:r w:rsidRPr="00362D29">
        <w:rPr>
          <w:rFonts w:ascii="Traditional Arabic" w:eastAsia="Aptos" w:hAnsi="Traditional Arabic" w:cs="Traditional Arabic"/>
          <w:kern w:val="2"/>
          <w:sz w:val="24"/>
          <w:szCs w:val="24"/>
          <w:rtl/>
          <w14:ligatures w14:val="standardContextual"/>
        </w:rPr>
        <w:t xml:space="preserve"> &amp; </w:t>
      </w:r>
      <w:r w:rsidRPr="00362D29">
        <w:rPr>
          <w:rFonts w:ascii="Traditional Arabic" w:eastAsia="Aptos" w:hAnsi="Traditional Arabic" w:cs="Traditional Arabic"/>
          <w:kern w:val="2"/>
          <w:sz w:val="24"/>
          <w:szCs w:val="24"/>
          <w14:ligatures w14:val="standardContextual"/>
        </w:rPr>
        <w:t>Al-Sayaghi, 2024</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Sumarta et al., 2025</w:t>
      </w:r>
      <w:r w:rsidRPr="00362D29">
        <w:rPr>
          <w:rFonts w:ascii="Traditional Arabic" w:eastAsia="Aptos" w:hAnsi="Traditional Arabic" w:cs="Traditional Arabic"/>
          <w:kern w:val="2"/>
          <w:sz w:val="24"/>
          <w:szCs w:val="24"/>
          <w:rtl/>
          <w14:ligatures w14:val="standardContextual"/>
        </w:rPr>
        <w:t>)، حيث ركزت هذه الدراسات على الربط السببي بين نماذج التميز وجودة الخدمة أو رضا المستفيدين. كما تتشابه مع دراسة (</w:t>
      </w:r>
      <w:r w:rsidRPr="00362D29">
        <w:rPr>
          <w:rFonts w:ascii="Traditional Arabic" w:eastAsia="Aptos" w:hAnsi="Traditional Arabic" w:cs="Traditional Arabic"/>
          <w:kern w:val="2"/>
          <w:sz w:val="24"/>
          <w:szCs w:val="24"/>
          <w14:ligatures w14:val="standardContextual"/>
        </w:rPr>
        <w:t>Alkahtani et al., 2023</w:t>
      </w:r>
      <w:r w:rsidRPr="00362D29">
        <w:rPr>
          <w:rFonts w:ascii="Traditional Arabic" w:eastAsia="Aptos" w:hAnsi="Traditional Arabic" w:cs="Traditional Arabic"/>
          <w:kern w:val="2"/>
          <w:sz w:val="24"/>
          <w:szCs w:val="24"/>
          <w:rtl/>
          <w14:ligatures w14:val="standardContextual"/>
        </w:rPr>
        <w:t>) في التركيز على تحسين تجربة المريض كهدف نهائي لبرامج التميز.</w:t>
      </w:r>
    </w:p>
    <w:p w14:paraId="3DEFFA6B" w14:textId="77777777" w:rsidR="00DA428D" w:rsidRPr="00362D29" w:rsidRDefault="00DA428D" w:rsidP="00C42472">
      <w:pPr>
        <w:numPr>
          <w:ilvl w:val="0"/>
          <w:numId w:val="4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تختلف الدراسة الحالية عن دراسات مثل: (محمود، 2025) و (</w:t>
      </w:r>
      <w:proofErr w:type="spellStart"/>
      <w:r w:rsidRPr="00362D29">
        <w:rPr>
          <w:rFonts w:ascii="Traditional Arabic" w:eastAsia="Aptos" w:hAnsi="Traditional Arabic" w:cs="Traditional Arabic"/>
          <w:kern w:val="2"/>
          <w:sz w:val="24"/>
          <w:szCs w:val="24"/>
          <w:rtl/>
          <w14:ligatures w14:val="standardContextual"/>
        </w:rPr>
        <w:t>نارهز</w:t>
      </w:r>
      <w:proofErr w:type="spellEnd"/>
      <w:r w:rsidRPr="00362D29">
        <w:rPr>
          <w:rFonts w:ascii="Traditional Arabic" w:eastAsia="Aptos" w:hAnsi="Traditional Arabic" w:cs="Traditional Arabic"/>
          <w:kern w:val="2"/>
          <w:sz w:val="24"/>
          <w:szCs w:val="24"/>
          <w:rtl/>
          <w14:ligatures w14:val="standardContextual"/>
        </w:rPr>
        <w:t>، 2022) التي ركزت على متطلبات التحول الرقمي كمدخل للتميز، وعن دراسة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 التي ركزت على عوامل النجاح والفشل العامة لنماذج التميز دون ربطها مباشرة بتجربة المريض.</w:t>
      </w:r>
    </w:p>
    <w:p w14:paraId="3A66ACEB"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من حيث المنهجية:</w:t>
      </w:r>
    </w:p>
    <w:p w14:paraId="1004893E" w14:textId="77777777" w:rsidR="00DA428D" w:rsidRPr="00362D29" w:rsidRDefault="00DA428D" w:rsidP="00C42472">
      <w:pPr>
        <w:numPr>
          <w:ilvl w:val="0"/>
          <w:numId w:val="45"/>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اعتمادها على المنهج الوصفي التحليلي واستخدام الاستبانة كأداة لجمع البيانات مع غالبية الدراسات السابقة مثل: (البلوي وإسماعيل، 2025)، (الغامدي، 2024)، و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 كما تتشابه في استخدام نماذج متقدمة للتحليل الإحصائي مع دراسة (</w:t>
      </w:r>
      <w:r w:rsidRPr="00362D29">
        <w:rPr>
          <w:rFonts w:ascii="Traditional Arabic" w:eastAsia="Aptos" w:hAnsi="Traditional Arabic" w:cs="Traditional Arabic"/>
          <w:kern w:val="2"/>
          <w:sz w:val="24"/>
          <w:szCs w:val="24"/>
          <w14:ligatures w14:val="standardContextual"/>
        </w:rPr>
        <w:t>Mohamed et al., 2018</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Alanazi, 2017</w:t>
      </w:r>
      <w:r w:rsidRPr="00362D29">
        <w:rPr>
          <w:rFonts w:ascii="Traditional Arabic" w:eastAsia="Aptos" w:hAnsi="Traditional Arabic" w:cs="Traditional Arabic"/>
          <w:kern w:val="2"/>
          <w:sz w:val="24"/>
          <w:szCs w:val="24"/>
          <w:rtl/>
          <w14:ligatures w14:val="standardContextual"/>
        </w:rPr>
        <w:t>).</w:t>
      </w:r>
    </w:p>
    <w:p w14:paraId="2E9D3DCB" w14:textId="4FAD11A8" w:rsidR="00DA428D" w:rsidRPr="00CB4510" w:rsidRDefault="00DA428D" w:rsidP="00C42472">
      <w:pPr>
        <w:numPr>
          <w:ilvl w:val="0"/>
          <w:numId w:val="45"/>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تختلف عن الدراسات التي اعتمدت على المنهج النوعي مثل دراسة (</w:t>
      </w:r>
      <w:r w:rsidRPr="00362D29">
        <w:rPr>
          <w:rFonts w:ascii="Traditional Arabic" w:eastAsia="Aptos" w:hAnsi="Traditional Arabic" w:cs="Traditional Arabic"/>
          <w:kern w:val="2"/>
          <w:sz w:val="24"/>
          <w:szCs w:val="24"/>
          <w14:ligatures w14:val="standardContextual"/>
        </w:rPr>
        <w:t>Zhao et al., 2023</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Daleske, 2024</w:t>
      </w:r>
      <w:r w:rsidRPr="00362D29">
        <w:rPr>
          <w:rFonts w:ascii="Traditional Arabic" w:eastAsia="Aptos" w:hAnsi="Traditional Arabic" w:cs="Traditional Arabic"/>
          <w:kern w:val="2"/>
          <w:sz w:val="24"/>
          <w:szCs w:val="24"/>
          <w:rtl/>
          <w14:ligatures w14:val="standardContextual"/>
        </w:rPr>
        <w:t>)، أو الدراسات التي اعتمدت على المراجعات المنهجية (</w:t>
      </w:r>
      <w:r w:rsidRPr="00362D29">
        <w:rPr>
          <w:rFonts w:ascii="Traditional Arabic" w:eastAsia="Aptos" w:hAnsi="Traditional Arabic" w:cs="Traditional Arabic"/>
          <w:kern w:val="2"/>
          <w:sz w:val="24"/>
          <w:szCs w:val="24"/>
          <w14:ligatures w14:val="standardContextual"/>
        </w:rPr>
        <w:t>Systematic Reviews</w:t>
      </w:r>
      <w:r w:rsidRPr="00362D29">
        <w:rPr>
          <w:rFonts w:ascii="Traditional Arabic" w:eastAsia="Aptos" w:hAnsi="Traditional Arabic" w:cs="Traditional Arabic"/>
          <w:kern w:val="2"/>
          <w:sz w:val="24"/>
          <w:szCs w:val="24"/>
          <w:rtl/>
          <w14:ligatures w14:val="standardContextual"/>
        </w:rPr>
        <w:t>) مثل دراسة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Guan et al., 2024</w:t>
      </w:r>
      <w:r w:rsidRPr="00362D29">
        <w:rPr>
          <w:rFonts w:ascii="Traditional Arabic" w:eastAsia="Aptos" w:hAnsi="Traditional Arabic" w:cs="Traditional Arabic"/>
          <w:kern w:val="2"/>
          <w:sz w:val="24"/>
          <w:szCs w:val="24"/>
          <w:rtl/>
          <w14:ligatures w14:val="standardContextual"/>
        </w:rPr>
        <w:t>)، أو الدراسات شبه التجريبية مثل دراسة (</w:t>
      </w:r>
      <w:r w:rsidRPr="00362D29">
        <w:rPr>
          <w:rFonts w:ascii="Traditional Arabic" w:eastAsia="Aptos" w:hAnsi="Traditional Arabic" w:cs="Traditional Arabic"/>
          <w:kern w:val="2"/>
          <w:sz w:val="24"/>
          <w:szCs w:val="24"/>
          <w14:ligatures w14:val="standardContextual"/>
        </w:rPr>
        <w:t>Cavanaugh et al., 2021</w:t>
      </w:r>
      <w:r w:rsidRPr="00362D29">
        <w:rPr>
          <w:rFonts w:ascii="Traditional Arabic" w:eastAsia="Aptos" w:hAnsi="Traditional Arabic" w:cs="Traditional Arabic"/>
          <w:kern w:val="2"/>
          <w:sz w:val="24"/>
          <w:szCs w:val="24"/>
          <w:rtl/>
          <w14:ligatures w14:val="standardContextual"/>
        </w:rPr>
        <w:t>).</w:t>
      </w:r>
    </w:p>
    <w:p w14:paraId="7B4FBB39"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 من حيث مجتمع وعينة الدراسة:</w:t>
      </w:r>
    </w:p>
    <w:p w14:paraId="3CCE7E1B" w14:textId="77777777" w:rsidR="00DA428D" w:rsidRPr="00362D29" w:rsidRDefault="00DA428D" w:rsidP="00C42472">
      <w:pPr>
        <w:numPr>
          <w:ilvl w:val="0"/>
          <w:numId w:val="4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اختيارها للمستشفيات السعودية كمجتمع للدراسة مع دراسات: (البلوي وإسماعيل، 2025)، (الغامدي، 2024)، و (</w:t>
      </w:r>
      <w:r w:rsidRPr="00362D29">
        <w:rPr>
          <w:rFonts w:ascii="Traditional Arabic" w:eastAsia="Aptos" w:hAnsi="Traditional Arabic" w:cs="Traditional Arabic"/>
          <w:kern w:val="2"/>
          <w:sz w:val="24"/>
          <w:szCs w:val="24"/>
          <w14:ligatures w14:val="standardContextual"/>
        </w:rPr>
        <w:t>Alharbi, 2023</w:t>
      </w:r>
      <w:r w:rsidRPr="00362D29">
        <w:rPr>
          <w:rFonts w:ascii="Traditional Arabic" w:eastAsia="Aptos" w:hAnsi="Traditional Arabic" w:cs="Traditional Arabic"/>
          <w:kern w:val="2"/>
          <w:sz w:val="24"/>
          <w:szCs w:val="24"/>
          <w:rtl/>
          <w14:ligatures w14:val="standardContextual"/>
        </w:rPr>
        <w:t>). كما تتشابه في استهداف القيادات والإداريين مع دراسة (</w:t>
      </w:r>
      <w:r w:rsidRPr="00362D29">
        <w:rPr>
          <w:rFonts w:ascii="Traditional Arabic" w:eastAsia="Aptos" w:hAnsi="Traditional Arabic" w:cs="Traditional Arabic"/>
          <w:kern w:val="2"/>
          <w:sz w:val="24"/>
          <w:szCs w:val="24"/>
          <w14:ligatures w14:val="standardContextual"/>
        </w:rPr>
        <w:t>Alsaleem, 2025</w:t>
      </w:r>
      <w:r w:rsidRPr="00362D29">
        <w:rPr>
          <w:rFonts w:ascii="Traditional Arabic" w:eastAsia="Aptos" w:hAnsi="Traditional Arabic" w:cs="Traditional Arabic"/>
          <w:kern w:val="2"/>
          <w:sz w:val="24"/>
          <w:szCs w:val="24"/>
          <w:rtl/>
          <w14:ligatures w14:val="standardContextual"/>
        </w:rPr>
        <w:t>) و (الغامدي وطيبة، 2023).</w:t>
      </w:r>
    </w:p>
    <w:p w14:paraId="58C8AA26" w14:textId="77777777" w:rsidR="00DA428D" w:rsidRPr="00362D29" w:rsidRDefault="00DA428D" w:rsidP="00C42472">
      <w:pPr>
        <w:numPr>
          <w:ilvl w:val="0"/>
          <w:numId w:val="46"/>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تختلف عن الدراسات التي استهدفت المرضى مباشرة لجمع البيانات حول تجربتهم مثل: (</w:t>
      </w:r>
      <w:r w:rsidRPr="00362D29">
        <w:rPr>
          <w:rFonts w:ascii="Traditional Arabic" w:eastAsia="Aptos" w:hAnsi="Traditional Arabic" w:cs="Traditional Arabic"/>
          <w:kern w:val="2"/>
          <w:sz w:val="24"/>
          <w:szCs w:val="24"/>
          <w14:ligatures w14:val="standardContextual"/>
        </w:rPr>
        <w:t>El Dalatony et al., 2026</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 xml:space="preserve">)، حيث تميزت الدراسة الحالية بجمع آراء "صناع التميز" (القيادات) حول أثره على تجربة المريض. </w:t>
      </w:r>
    </w:p>
    <w:p w14:paraId="25345391" w14:textId="77777777" w:rsidR="00DA428D" w:rsidRPr="00362D29" w:rsidRDefault="00DA428D" w:rsidP="00C42472">
      <w:pPr>
        <w:numPr>
          <w:ilvl w:val="0"/>
          <w:numId w:val="46"/>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كما تختلف في النطاق الجغرافي عن الدراسات الدولية (إيران، الصين، الهند، أمريكا) حيث تستهدف مستشفيات محددة بتجمع القصيم الصحي. </w:t>
      </w:r>
    </w:p>
    <w:p w14:paraId="580E01C9"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تتشابه الدراسة الحالية في:</w:t>
      </w:r>
    </w:p>
    <w:p w14:paraId="2C6767D8"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اعتماد التميز المؤسسي كإطار تحليلي شامل (الاستناد الى نماذج التميز العالمية مثل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xml:space="preserve"> والوطنية مثل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xml:space="preserve"> كأطر مرجعية لتطوير الأداء المؤسسي).</w:t>
      </w:r>
    </w:p>
    <w:p w14:paraId="16078B8F"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التركيز على أبعاد التميز المؤسسي (القيادة، الموارد البشرية، العمليات، التحسين المستمر، التركيز على المستفيد)</w:t>
      </w:r>
    </w:p>
    <w:p w14:paraId="3A81A85E"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استخدام المنهج الوصفي التحليلي لاختبار العلاقات بين المتغيرات</w:t>
      </w:r>
    </w:p>
    <w:p w14:paraId="1B24F990"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اعتبار تجربة المريض مؤشرًا نوعيًا لجودة الرعاية.</w:t>
      </w:r>
    </w:p>
    <w:p w14:paraId="7486D3DD"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اعتماد أبعاد واضحة لقياس تجربة المريض (الوصول، التواصل، الاحترام، التنسيق، البيئة)</w:t>
      </w:r>
    </w:p>
    <w:p w14:paraId="737ABB38"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استخدام مقاييس عالمية معتمدة لتقييم تجربة المريض </w:t>
      </w:r>
      <w:r w:rsidRPr="00362D29">
        <w:rPr>
          <w:rFonts w:ascii="Traditional Arabic" w:eastAsia="Aptos" w:hAnsi="Traditional Arabic" w:cs="Traditional Arabic"/>
          <w:kern w:val="2"/>
          <w:sz w:val="24"/>
          <w:szCs w:val="24"/>
          <w14:ligatures w14:val="standardContextual"/>
        </w:rPr>
        <w:t>Press Ganey)</w:t>
      </w:r>
      <w:r w:rsidRPr="00362D29">
        <w:rPr>
          <w:rFonts w:ascii="Traditional Arabic" w:eastAsia="Aptos" w:hAnsi="Traditional Arabic" w:cs="Traditional Arabic"/>
          <w:kern w:val="2"/>
          <w:sz w:val="24"/>
          <w:szCs w:val="24"/>
          <w:rtl/>
          <w14:ligatures w14:val="standardContextual"/>
        </w:rPr>
        <w:t>).</w:t>
      </w:r>
    </w:p>
    <w:p w14:paraId="466D4FF3"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تختلف الدراسة الحالية في:</w:t>
      </w:r>
    </w:p>
    <w:p w14:paraId="6AA0F9D0" w14:textId="77777777" w:rsidR="00DA428D"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التركيز حصرياً على النموذج الوطني للتميز المؤسسي (جائزة الملك عبد العزيز للجودة، 2022)، بينما ركزت أغلبية الدراسات السابقة على النموذج الأوروبي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w:t>
      </w:r>
    </w:p>
    <w:p w14:paraId="3C9C86EA" w14:textId="77777777" w:rsidR="00DA428D"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تربط التميز المؤسسي مباشرة بجودة تجربة المريض، وليس فقط بالأداء العام أو جودة الخدمة الصحية بصورة تقليدية.</w:t>
      </w:r>
    </w:p>
    <w:p w14:paraId="5BF09D7E" w14:textId="77777777" w:rsidR="00DA428D"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التطبيق على "تجمع صحي" (تجمع القصيم الصحي) ككيان إداري حديث ضمن نموذج التحول الصحي الجديد في المملكة، وهو ما يختلف عن الدراسات التي طبقت على مستشفيات منفردة أو مديريات شؤون صحية تقليدية.</w:t>
      </w:r>
    </w:p>
    <w:p w14:paraId="14F99015" w14:textId="7AEE4508" w:rsidR="0023280E"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الربط بين ثمانية مبادئ للتميز المؤسسي وثمانية أبعاد لتجربة المريض في نموذج تحليلي واحد متكامل.</w:t>
      </w:r>
    </w:p>
    <w:p w14:paraId="0A6ECB21" w14:textId="7144265F" w:rsidR="00CE145B" w:rsidRPr="00CB4510" w:rsidRDefault="007A74F1"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CB4510">
        <w:rPr>
          <w:rFonts w:ascii="Traditional Arabic" w:eastAsia="Aptos" w:hAnsi="Traditional Arabic" w:cs="Traditional Arabic"/>
          <w:b/>
          <w:bCs/>
          <w:kern w:val="2"/>
          <w:sz w:val="28"/>
          <w:szCs w:val="28"/>
          <w:rtl/>
          <w14:ligatures w14:val="standardContextual"/>
        </w:rPr>
        <w:t>ثانياً</w:t>
      </w:r>
      <w:r w:rsidR="00CE145B" w:rsidRPr="00CB4510">
        <w:rPr>
          <w:rFonts w:ascii="Traditional Arabic" w:eastAsia="Aptos" w:hAnsi="Traditional Arabic" w:cs="Traditional Arabic"/>
          <w:b/>
          <w:bCs/>
          <w:kern w:val="2"/>
          <w:sz w:val="28"/>
          <w:szCs w:val="28"/>
          <w:rtl/>
          <w14:ligatures w14:val="standardContextual"/>
        </w:rPr>
        <w:t>: أوجه الاستفادة من الدراسات السابقة</w:t>
      </w:r>
    </w:p>
    <w:p w14:paraId="57735FF8"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الدراسات السابقة ركيزة أساسية في بناء أي بحث علمي رصين، حيث توفر قاعدة معرفية متينة، وتوجه الباحث نحو صياغة مشكلته البحثية، وتحديد أهدافه، واختيار منهجيته المناسبة. وفي سياق الدراسة الحالية التي تتناول "أثر التميز المؤسسي على جودة تجربة المريض في تجمع القصيم الصحي"، يمكن تلخيص أوجه الاستفادة من الدراسات السابقة التي تم استعراضها في النقاط الآتية:</w:t>
      </w:r>
    </w:p>
    <w:p w14:paraId="003582AB"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الاستفادة على المستوى النظري والمفاهيمي:</w:t>
      </w:r>
    </w:p>
    <w:p w14:paraId="1FE277DF" w14:textId="77777777" w:rsidR="00CE145B" w:rsidRPr="00362D29" w:rsidRDefault="00CE145B" w:rsidP="00C42472">
      <w:pPr>
        <w:numPr>
          <w:ilvl w:val="0"/>
          <w:numId w:val="4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الفهم العميق وتحديد المفاهيم:</w:t>
      </w:r>
      <w:r w:rsidRPr="00362D29">
        <w:rPr>
          <w:rFonts w:ascii="Traditional Arabic" w:eastAsia="Aptos" w:hAnsi="Traditional Arabic" w:cs="Traditional Arabic"/>
          <w:kern w:val="2"/>
          <w:sz w:val="24"/>
          <w:szCs w:val="24"/>
          <w:rtl/>
          <w14:ligatures w14:val="standardContextual"/>
        </w:rPr>
        <w:t xml:space="preserve"> ساهمت الدراسات السابقة في تحديد وتعريف المفاهيم الأساسية للدراسة، مثل التميز المؤسسي بأبعاده المختلفة (القيادة، الموارد البشرية، المستفيدون، العمليات، الشراكات، التحسين المستمر، الإبداع والابتكار، التنمية المستدامة</w:t>
      </w:r>
      <w:proofErr w:type="gramStart"/>
      <w:r w:rsidRPr="00362D29">
        <w:rPr>
          <w:rFonts w:ascii="Traditional Arabic" w:eastAsia="Aptos" w:hAnsi="Traditional Arabic" w:cs="Traditional Arabic"/>
          <w:kern w:val="2"/>
          <w:sz w:val="24"/>
          <w:szCs w:val="24"/>
          <w:rtl/>
          <w14:ligatures w14:val="standardContextual"/>
        </w:rPr>
        <w:t>) ،</w:t>
      </w:r>
      <w:proofErr w:type="gramEnd"/>
      <w:r w:rsidRPr="00362D29">
        <w:rPr>
          <w:rFonts w:ascii="Traditional Arabic" w:eastAsia="Aptos" w:hAnsi="Traditional Arabic" w:cs="Traditional Arabic"/>
          <w:kern w:val="2"/>
          <w:sz w:val="24"/>
          <w:szCs w:val="24"/>
          <w:rtl/>
          <w14:ligatures w14:val="standardContextual"/>
        </w:rPr>
        <w:t xml:space="preserve"> وجودة تجربة المريض بأبعادها المتعددة (الوصول، تنسيق الخدمة، التواصل، الاحترام، المعلومات، البيئة المادية، الدعم العاطفي، المشاركة) . هذا التحديد الدقيق للمفاهيم أسهم في بناء إطار نظري متكامل للدراسة الحالية.</w:t>
      </w:r>
    </w:p>
    <w:p w14:paraId="4E1D5DC2" w14:textId="77777777" w:rsidR="00CE145B" w:rsidRPr="00362D29" w:rsidRDefault="00CE145B" w:rsidP="00C42472">
      <w:pPr>
        <w:numPr>
          <w:ilvl w:val="0"/>
          <w:numId w:val="49"/>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بناء الإطار النظري:</w:t>
      </w:r>
      <w:r w:rsidRPr="00362D29">
        <w:rPr>
          <w:rFonts w:ascii="Traditional Arabic" w:eastAsia="Aptos" w:hAnsi="Traditional Arabic" w:cs="Traditional Arabic"/>
          <w:kern w:val="2"/>
          <w:sz w:val="24"/>
          <w:szCs w:val="24"/>
          <w:rtl/>
          <w14:ligatures w14:val="standardContextual"/>
        </w:rPr>
        <w:t xml:space="preserve"> قدمت الدراسات السابقة نماذج نظرية مختلفة حول العلاقة بين التميز المؤسسي وجودة الخدمات ورضا </w:t>
      </w:r>
      <w:proofErr w:type="gramStart"/>
      <w:r w:rsidRPr="00362D29">
        <w:rPr>
          <w:rFonts w:ascii="Traditional Arabic" w:eastAsia="Aptos" w:hAnsi="Traditional Arabic" w:cs="Traditional Arabic"/>
          <w:kern w:val="2"/>
          <w:sz w:val="24"/>
          <w:szCs w:val="24"/>
          <w:rtl/>
          <w14:ligatures w14:val="standardContextual"/>
        </w:rPr>
        <w:t>المستفيدين .</w:t>
      </w:r>
      <w:proofErr w:type="gramEnd"/>
      <w:r w:rsidRPr="00362D29">
        <w:rPr>
          <w:rFonts w:ascii="Traditional Arabic" w:eastAsia="Aptos" w:hAnsi="Traditional Arabic" w:cs="Traditional Arabic"/>
          <w:kern w:val="2"/>
          <w:sz w:val="24"/>
          <w:szCs w:val="24"/>
          <w:rtl/>
          <w14:ligatures w14:val="standardContextual"/>
        </w:rPr>
        <w:t xml:space="preserve"> وقد استندت الدراسة الحالية إلى هذه النماذج لتطوير إطارها النظري الذي يفترض وجود علاقة تأثير بين مبادئ التميز المؤسسي وجودة تجربة المريض.</w:t>
      </w:r>
    </w:p>
    <w:p w14:paraId="0AE93116" w14:textId="5712B081" w:rsidR="00CE145B" w:rsidRPr="00362D29" w:rsidRDefault="00CE145B" w:rsidP="00C42472">
      <w:pPr>
        <w:numPr>
          <w:ilvl w:val="0"/>
          <w:numId w:val="4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تحديد أبعاد المتغيرات: مكنت مراجعة الأدبيات من تحديد الأبعاد والمؤشرات الفرعية لكل من المتغير المستقل (التميز المؤسسي) والمتغير التابع (جودة تجربة المريض)، مما ساعد في بناء محاور أداة الدراسة وتغطية كافة الجوانب ذات </w:t>
      </w:r>
      <w:proofErr w:type="gramStart"/>
      <w:r w:rsidRPr="00362D29">
        <w:rPr>
          <w:rFonts w:ascii="Traditional Arabic" w:eastAsia="Aptos" w:hAnsi="Traditional Arabic" w:cs="Traditional Arabic"/>
          <w:kern w:val="2"/>
          <w:sz w:val="24"/>
          <w:szCs w:val="24"/>
          <w:rtl/>
          <w14:ligatures w14:val="standardContextual"/>
        </w:rPr>
        <w:t>الصلة .</w:t>
      </w:r>
      <w:proofErr w:type="gramEnd"/>
    </w:p>
    <w:p w14:paraId="1B0993F5"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الاستفادة على المستوى المنهجي والإجرائي:</w:t>
      </w:r>
    </w:p>
    <w:p w14:paraId="597DE99B"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اختيار المنهج البحثي</w:t>
      </w:r>
      <w:r w:rsidRPr="00362D29">
        <w:rPr>
          <w:rFonts w:ascii="Traditional Arabic" w:eastAsia="Aptos" w:hAnsi="Traditional Arabic" w:cs="Traditional Arabic"/>
          <w:kern w:val="2"/>
          <w:sz w:val="24"/>
          <w:szCs w:val="24"/>
          <w:rtl/>
          <w14:ligatures w14:val="standardContextual"/>
        </w:rPr>
        <w:t xml:space="preserve">: أظهرت الدراسات السابقة أن المنهج الوصفي التحليلي هو الأكثر شيوعاً وملاءمة لدراسة العلاقات بين المتغيرات في سياقات </w:t>
      </w:r>
      <w:proofErr w:type="gramStart"/>
      <w:r w:rsidRPr="00362D29">
        <w:rPr>
          <w:rFonts w:ascii="Traditional Arabic" w:eastAsia="Aptos" w:hAnsi="Traditional Arabic" w:cs="Traditional Arabic"/>
          <w:kern w:val="2"/>
          <w:sz w:val="24"/>
          <w:szCs w:val="24"/>
          <w:rtl/>
          <w14:ligatures w14:val="standardContextual"/>
        </w:rPr>
        <w:t>مشابهة .</w:t>
      </w:r>
      <w:proofErr w:type="gramEnd"/>
      <w:r w:rsidRPr="00362D29">
        <w:rPr>
          <w:rFonts w:ascii="Traditional Arabic" w:eastAsia="Aptos" w:hAnsi="Traditional Arabic" w:cs="Traditional Arabic"/>
          <w:kern w:val="2"/>
          <w:sz w:val="24"/>
          <w:szCs w:val="24"/>
          <w:rtl/>
          <w14:ligatures w14:val="standardContextual"/>
        </w:rPr>
        <w:t xml:space="preserve"> وقد عزز ذلك قرار الدراسة الحالية باعتماد هذا المنهج لتحقيق أهدافها.</w:t>
      </w:r>
    </w:p>
    <w:p w14:paraId="4E77C3B6"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تصميم أداة الدراسة:</w:t>
      </w:r>
      <w:r w:rsidRPr="00362D29">
        <w:rPr>
          <w:rFonts w:ascii="Traditional Arabic" w:eastAsia="Aptos" w:hAnsi="Traditional Arabic" w:cs="Traditional Arabic"/>
          <w:kern w:val="2"/>
          <w:sz w:val="24"/>
          <w:szCs w:val="24"/>
          <w:rtl/>
          <w14:ligatures w14:val="standardContextual"/>
        </w:rPr>
        <w:t xml:space="preserve"> استنبطت الدراسة الحالية من أدوات جمع البيانات المستخدمة في الدراسات السابقة، خاصة تلك التي اعتمدت على استبيانات مقننة لقياس التميز المؤسسي (مثل نماذج جائزة الملك عبد العزيز للجودة) وتجربة المريض (مثل برنامج </w:t>
      </w:r>
      <w:r w:rsidRPr="00362D29">
        <w:rPr>
          <w:rFonts w:ascii="Traditional Arabic" w:eastAsia="Aptos" w:hAnsi="Traditional Arabic" w:cs="Traditional Arabic"/>
          <w:kern w:val="2"/>
          <w:sz w:val="24"/>
          <w:szCs w:val="24"/>
          <w14:ligatures w14:val="standardContextual"/>
        </w:rPr>
        <w:t>Press Ganey</w:t>
      </w:r>
      <w:r w:rsidRPr="00362D29">
        <w:rPr>
          <w:rFonts w:ascii="Traditional Arabic" w:eastAsia="Aptos" w:hAnsi="Traditional Arabic" w:cs="Traditional Arabic"/>
          <w:kern w:val="2"/>
          <w:sz w:val="24"/>
          <w:szCs w:val="24"/>
          <w:rtl/>
          <w14:ligatures w14:val="standardContextual"/>
        </w:rPr>
        <w:t>) في تصميم استبانة شاملة وموثوقة.</w:t>
      </w:r>
    </w:p>
    <w:p w14:paraId="639C063D"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تحديد مجتمع وعينة الدراسة:</w:t>
      </w:r>
      <w:r w:rsidRPr="00362D29">
        <w:rPr>
          <w:rFonts w:ascii="Traditional Arabic" w:eastAsia="Aptos" w:hAnsi="Traditional Arabic" w:cs="Traditional Arabic"/>
          <w:kern w:val="2"/>
          <w:sz w:val="24"/>
          <w:szCs w:val="24"/>
          <w:rtl/>
          <w14:ligatures w14:val="standardContextual"/>
        </w:rPr>
        <w:t xml:space="preserve"> قدمت الدراسات السابقة إرشادات حول كيفية تحديد مجتمعات وعينات الدراسة في القطاع الصحي، وكيفية استخدام المعادلات الإحصائية لتحديد حجم العينة </w:t>
      </w:r>
      <w:proofErr w:type="gramStart"/>
      <w:r w:rsidRPr="00362D29">
        <w:rPr>
          <w:rFonts w:ascii="Traditional Arabic" w:eastAsia="Aptos" w:hAnsi="Traditional Arabic" w:cs="Traditional Arabic"/>
          <w:kern w:val="2"/>
          <w:sz w:val="24"/>
          <w:szCs w:val="24"/>
          <w:rtl/>
          <w14:ligatures w14:val="standardContextual"/>
        </w:rPr>
        <w:t>المناسب .</w:t>
      </w:r>
      <w:proofErr w:type="gramEnd"/>
      <w:r w:rsidRPr="00362D29">
        <w:rPr>
          <w:rFonts w:ascii="Traditional Arabic" w:eastAsia="Aptos" w:hAnsi="Traditional Arabic" w:cs="Traditional Arabic"/>
          <w:kern w:val="2"/>
          <w:sz w:val="24"/>
          <w:szCs w:val="24"/>
          <w:rtl/>
          <w14:ligatures w14:val="standardContextual"/>
        </w:rPr>
        <w:t xml:space="preserve"> وقد استرشدت الدراسة الحالية بمعادلة كوهران لتحديد حجم العينة القصدية من القيادات الإدارية والفنية.</w:t>
      </w:r>
    </w:p>
    <w:p w14:paraId="73A84C4A"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اختيار الأساليب الإحصائية:</w:t>
      </w:r>
      <w:r w:rsidRPr="00362D29">
        <w:rPr>
          <w:rFonts w:ascii="Traditional Arabic" w:eastAsia="Aptos" w:hAnsi="Traditional Arabic" w:cs="Traditional Arabic"/>
          <w:kern w:val="2"/>
          <w:sz w:val="24"/>
          <w:szCs w:val="24"/>
          <w:rtl/>
          <w14:ligatures w14:val="standardContextual"/>
        </w:rPr>
        <w:t xml:space="preserve"> تعرفت الدراسة الحالية على الأساليب الإحصائية المتقدمة المستخدمة في تحليل العلاقات السببية والتأثيرية بين المتغيرات، مثل تحليل الانحدار والاحصائيات الوصفية وبرامج </w:t>
      </w:r>
      <w:proofErr w:type="gramStart"/>
      <w:r w:rsidRPr="00362D29">
        <w:rPr>
          <w:rFonts w:ascii="Traditional Arabic" w:eastAsia="Aptos" w:hAnsi="Traditional Arabic" w:cs="Traditional Arabic"/>
          <w:kern w:val="2"/>
          <w:sz w:val="24"/>
          <w:szCs w:val="24"/>
          <w:rtl/>
          <w14:ligatures w14:val="standardContextual"/>
        </w:rPr>
        <w:t>التحليل ،</w:t>
      </w:r>
      <w:proofErr w:type="gramEnd"/>
      <w:r w:rsidRPr="00362D29">
        <w:rPr>
          <w:rFonts w:ascii="Traditional Arabic" w:eastAsia="Aptos" w:hAnsi="Traditional Arabic" w:cs="Traditional Arabic"/>
          <w:kern w:val="2"/>
          <w:sz w:val="24"/>
          <w:szCs w:val="24"/>
          <w:rtl/>
          <w14:ligatures w14:val="standardContextual"/>
        </w:rPr>
        <w:t xml:space="preserve"> مما يُسهم في اختيار الأساليب المناسبة لتحليل بياناته.</w:t>
      </w:r>
    </w:p>
    <w:p w14:paraId="1A83B5EF"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 الاستفادة على المستوى التطبيقي والتوصيات:</w:t>
      </w:r>
    </w:p>
    <w:p w14:paraId="49E75FD3" w14:textId="77777777" w:rsidR="00CE145B" w:rsidRPr="00362D29" w:rsidRDefault="00CE145B" w:rsidP="00C42472">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تحديد التوصيات العملية: من خلال استعراض نتائج الدراسات السابقة وتوصياتها، تمكنت الدراسة الحالية من تحديد مجالات تقديم التوصيات العملية للقيادات الصحية في تجمع القصيم الصحي، بهدف تعزيز تطبيق مبادئ التميز وتحسين تجربة </w:t>
      </w:r>
      <w:proofErr w:type="gramStart"/>
      <w:r w:rsidRPr="00362D29">
        <w:rPr>
          <w:rFonts w:ascii="Traditional Arabic" w:eastAsia="Aptos" w:hAnsi="Traditional Arabic" w:cs="Traditional Arabic"/>
          <w:kern w:val="2"/>
          <w:sz w:val="24"/>
          <w:szCs w:val="24"/>
          <w:rtl/>
          <w14:ligatures w14:val="standardContextual"/>
        </w:rPr>
        <w:t>المريض .</w:t>
      </w:r>
      <w:proofErr w:type="gramEnd"/>
    </w:p>
    <w:p w14:paraId="4C53FEDD" w14:textId="77777777" w:rsidR="00CE145B" w:rsidRPr="00362D29" w:rsidRDefault="00CE145B" w:rsidP="00C42472">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المساهمة في تطوير المعايير: أظهرت بعض الدراسات الحاجة إلى تطوير معايير التميز المؤسسي لتتناسب مع خصوصية القطاع الصحي واحتياجات </w:t>
      </w:r>
      <w:proofErr w:type="gramStart"/>
      <w:r w:rsidRPr="00362D29">
        <w:rPr>
          <w:rFonts w:ascii="Traditional Arabic" w:eastAsia="Aptos" w:hAnsi="Traditional Arabic" w:cs="Traditional Arabic"/>
          <w:kern w:val="2"/>
          <w:sz w:val="24"/>
          <w:szCs w:val="24"/>
          <w:rtl/>
          <w14:ligatures w14:val="standardContextual"/>
        </w:rPr>
        <w:t>المستفيدين .</w:t>
      </w:r>
      <w:proofErr w:type="gramEnd"/>
      <w:r w:rsidRPr="00362D29">
        <w:rPr>
          <w:rFonts w:ascii="Traditional Arabic" w:eastAsia="Aptos" w:hAnsi="Traditional Arabic" w:cs="Traditional Arabic"/>
          <w:kern w:val="2"/>
          <w:sz w:val="24"/>
          <w:szCs w:val="24"/>
          <w:rtl/>
          <w14:ligatures w14:val="standardContextual"/>
        </w:rPr>
        <w:t xml:space="preserve"> وقد دعم هذا الهدف الخامس للدراسة الحالية في تقديم توصيات لقادة جائزة الملك عبد العزيز للتميز المؤسسي.</w:t>
      </w:r>
    </w:p>
    <w:p w14:paraId="358FAE30" w14:textId="76BBE00C" w:rsidR="00CE145B" w:rsidRPr="00362D29" w:rsidRDefault="00CE145B" w:rsidP="00C42472">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فهم التحديات والمعوقات: كشفت الدراسات السابقة عن تحديات ومعوقات مختلفة تواجه تطبيق نماذج التميز المؤسسي وتحسين تجربة </w:t>
      </w:r>
      <w:proofErr w:type="gramStart"/>
      <w:r w:rsidRPr="00362D29">
        <w:rPr>
          <w:rFonts w:ascii="Traditional Arabic" w:eastAsia="Aptos" w:hAnsi="Traditional Arabic" w:cs="Traditional Arabic"/>
          <w:kern w:val="2"/>
          <w:sz w:val="24"/>
          <w:szCs w:val="24"/>
          <w:rtl/>
          <w14:ligatures w14:val="standardContextual"/>
        </w:rPr>
        <w:t>المريض ؛</w:t>
      </w:r>
      <w:proofErr w:type="gramEnd"/>
      <w:r w:rsidRPr="00362D29">
        <w:rPr>
          <w:rFonts w:ascii="Traditional Arabic" w:eastAsia="Aptos" w:hAnsi="Traditional Arabic" w:cs="Traditional Arabic"/>
          <w:kern w:val="2"/>
          <w:sz w:val="24"/>
          <w:szCs w:val="24"/>
          <w:rtl/>
          <w14:ligatures w14:val="standardContextual"/>
        </w:rPr>
        <w:t xml:space="preserve"> هذا الفهم المسبق يمكن الدراسة الحالية من تقديم حلول، وتوصيات أكثر ،واقعية، وفعالية.</w:t>
      </w:r>
    </w:p>
    <w:p w14:paraId="641A2E2B"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 تأكيد الفجوة البحثية:</w:t>
      </w:r>
    </w:p>
    <w:p w14:paraId="5B6A1371"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أن الدراسات السابقة قد أسهمت بشكل مباشر في تأكيد وجود الفجوة البحثية التي تسعى الدراسة الحالية لسدها. فبالرغم من وجود دراسات تناولت التميز المؤسسي أو تجربة المريض بشكل منفصل، أو ربطت بينهما في سياقات مختلفة، إلا أن هناك ندرة في الدراسات التي ربطت بشكل مباشر بين النموذج الوطني للتميز المؤسسي (جائزة الملك عبد العزيز </w:t>
      </w:r>
      <w:proofErr w:type="gramStart"/>
      <w:r w:rsidRPr="00362D29">
        <w:rPr>
          <w:rFonts w:ascii="Traditional Arabic" w:eastAsia="Aptos" w:hAnsi="Traditional Arabic" w:cs="Traditional Arabic"/>
          <w:kern w:val="2"/>
          <w:sz w:val="24"/>
          <w:szCs w:val="24"/>
          <w:rtl/>
          <w14:ligatures w14:val="standardContextual"/>
        </w:rPr>
        <w:t>للجودة ،</w:t>
      </w:r>
      <w:proofErr w:type="gramEnd"/>
      <w:r w:rsidRPr="00362D29">
        <w:rPr>
          <w:rFonts w:ascii="Traditional Arabic" w:eastAsia="Aptos" w:hAnsi="Traditional Arabic" w:cs="Traditional Arabic"/>
          <w:kern w:val="2"/>
          <w:sz w:val="24"/>
          <w:szCs w:val="24"/>
          <w:rtl/>
          <w14:ligatures w14:val="standardContextual"/>
        </w:rPr>
        <w:t xml:space="preserve"> 2022) وأبعاد جودة تجربة المريض الثمانية، وتطبيق ذلك في سياق التجمعات الصحية بالمملكة العربية السعودية، وتحديداً تجمع القصيم الصحي. هذا التأكيد للفجوة البحثية يعزز من أصالة الدراسة الحالية وأهميتها العلمية والتطبيقية.</w:t>
      </w:r>
    </w:p>
    <w:p w14:paraId="3B7988CD" w14:textId="77777777" w:rsidR="00CB4510" w:rsidRDefault="00CB4510"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55332352" w14:textId="77777777" w:rsidR="00CB4510" w:rsidRDefault="00CB4510" w:rsidP="00CB4510">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723F5B1B" w14:textId="77777777" w:rsidR="00CB4510" w:rsidRDefault="00CB4510" w:rsidP="00CB4510">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0F78BE81" w14:textId="25DEDFE0" w:rsidR="00CE145B" w:rsidRPr="00362D29" w:rsidRDefault="007A74F1" w:rsidP="00CB4510">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ثالثاً</w:t>
      </w:r>
      <w:r w:rsidR="00CE145B" w:rsidRPr="00362D29">
        <w:rPr>
          <w:rFonts w:ascii="Traditional Arabic" w:eastAsia="Aptos" w:hAnsi="Traditional Arabic" w:cs="Traditional Arabic"/>
          <w:b/>
          <w:bCs/>
          <w:kern w:val="2"/>
          <w:sz w:val="28"/>
          <w:szCs w:val="28"/>
          <w:rtl/>
          <w14:ligatures w14:val="standardContextual"/>
        </w:rPr>
        <w:t xml:space="preserve">: الفجوة البحثية </w:t>
      </w:r>
    </w:p>
    <w:p w14:paraId="26311649"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خلال المراجعة الشاملة للدراسات السابقة، تبين وجود فجوة بحثية موضوعية ومنهجية تتمثل في الآتي:</w:t>
      </w:r>
    </w:p>
    <w:p w14:paraId="4430A392"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ندرة الربط المباشر بين النموذج الوطني (</w:t>
      </w:r>
      <w:r w:rsidRPr="00362D29">
        <w:rPr>
          <w:rFonts w:ascii="Traditional Arabic" w:eastAsia="Aptos" w:hAnsi="Traditional Arabic" w:cs="Traditional Arabic"/>
          <w:b/>
          <w:bCs/>
          <w:kern w:val="2"/>
          <w:sz w:val="24"/>
          <w:szCs w:val="24"/>
          <w14:ligatures w14:val="standardContextual"/>
        </w:rPr>
        <w:t>KAQA</w:t>
      </w:r>
      <w:r w:rsidRPr="00362D29">
        <w:rPr>
          <w:rFonts w:ascii="Traditional Arabic" w:eastAsia="Aptos" w:hAnsi="Traditional Arabic" w:cs="Traditional Arabic"/>
          <w:b/>
          <w:bCs/>
          <w:kern w:val="2"/>
          <w:sz w:val="24"/>
          <w:szCs w:val="24"/>
          <w:rtl/>
          <w14:ligatures w14:val="standardContextual"/>
        </w:rPr>
        <w:t xml:space="preserve">) وتجربة المريض: </w:t>
      </w:r>
    </w:p>
    <w:p w14:paraId="18FFE298" w14:textId="77777777" w:rsidR="00CE145B" w:rsidRPr="00362D29" w:rsidRDefault="00CE145B" w:rsidP="00C42472">
      <w:pPr>
        <w:numPr>
          <w:ilvl w:val="0"/>
          <w:numId w:val="52"/>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على الرغم من غزارة الأدبيات التي تناولت موضوعي التميز المؤسسي وجودة الرعاية الصحية، إلا أن التحليل المقارن للدراسات السابقة يكشف عن قصور منهجي ومعرفي واضح يتمثل في تناول التميز المؤسسي غالبًا بمعزل عن تجربة المريض كمتغير نوعي مستقل، أو الاكتفاء بقياس رضا المرضى دون التمييز المفاهيمي والعلمي بين الرضا وتجربة المريض بوصفها مفهومًا أوسع متعدد الأبعاد. </w:t>
      </w:r>
    </w:p>
    <w:p w14:paraId="2BA4B0CB" w14:textId="77777777" w:rsidR="00CE145B" w:rsidRPr="00362D29" w:rsidRDefault="00CE145B" w:rsidP="00C42472">
      <w:pPr>
        <w:numPr>
          <w:ilvl w:val="0"/>
          <w:numId w:val="52"/>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كما يتضح محدودية الدراسات المحلية في السياق السعودي التي تناولت النموذج الوطني للتميز المؤسسي لجائزة الملك عبد العزيز للجودة بالبحث </w:t>
      </w:r>
      <w:proofErr w:type="gramStart"/>
      <w:r w:rsidRPr="00362D29">
        <w:rPr>
          <w:rFonts w:ascii="Traditional Arabic" w:eastAsia="Aptos" w:hAnsi="Traditional Arabic" w:cs="Traditional Arabic"/>
          <w:kern w:val="2"/>
          <w:sz w:val="24"/>
          <w:szCs w:val="24"/>
          <w:rtl/>
          <w14:ligatures w14:val="standardContextual"/>
        </w:rPr>
        <w:t>والدراسة ،</w:t>
      </w:r>
      <w:proofErr w:type="gramEnd"/>
      <w:r w:rsidRPr="00362D29">
        <w:rPr>
          <w:rFonts w:ascii="Traditional Arabic" w:eastAsia="Aptos" w:hAnsi="Traditional Arabic" w:cs="Traditional Arabic"/>
          <w:kern w:val="2"/>
          <w:sz w:val="24"/>
          <w:szCs w:val="24"/>
          <w:rtl/>
          <w14:ligatures w14:val="standardContextual"/>
        </w:rPr>
        <w:t xml:space="preserve"> وبشكل أكثر تحديدًا ندرة الدراسات التي اختبرت أثر تطبيقه الفعلي على جودة تجربة المريض.</w:t>
      </w:r>
    </w:p>
    <w:p w14:paraId="681F31D6"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الفجوة في سياق التجمعات الصحية</w:t>
      </w:r>
      <w:r w:rsidRPr="00362D29">
        <w:rPr>
          <w:rFonts w:ascii="Traditional Arabic" w:eastAsia="Aptos" w:hAnsi="Traditional Arabic" w:cs="Traditional Arabic"/>
          <w:kern w:val="2"/>
          <w:sz w:val="24"/>
          <w:szCs w:val="24"/>
          <w:rtl/>
          <w14:ligatures w14:val="standardContextual"/>
        </w:rPr>
        <w:t>:</w:t>
      </w:r>
    </w:p>
    <w:p w14:paraId="0FC7D3A2" w14:textId="77777777" w:rsidR="00CE145B" w:rsidRPr="00362D29" w:rsidRDefault="00CE145B" w:rsidP="00362D29">
      <w:pPr>
        <w:bidi/>
        <w:spacing w:before="0" w:after="160" w:line="360" w:lineRule="auto"/>
        <w:ind w:left="1080"/>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على الرغم من أن التجمعات الصحية هي الركيزة الأساسية للتحول الصحي في المملكة، إلا أن الأدبيات التي تناولت أثر التميز المؤسسي داخل هذه التجمعات لا تزال في بداياتها، خاصة فيما يتعلق بتجمع القصيم الصحي كنموذج رائد.</w:t>
      </w:r>
    </w:p>
    <w:p w14:paraId="000EAF1E"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الفجوة في شمولية القياس:</w:t>
      </w:r>
      <w:r w:rsidRPr="00362D29">
        <w:rPr>
          <w:rFonts w:ascii="Traditional Arabic" w:eastAsia="Aptos" w:hAnsi="Traditional Arabic" w:cs="Traditional Arabic"/>
          <w:kern w:val="2"/>
          <w:sz w:val="24"/>
          <w:szCs w:val="24"/>
          <w:rtl/>
          <w14:ligatures w14:val="standardContextual"/>
        </w:rPr>
        <w:t xml:space="preserve"> </w:t>
      </w:r>
    </w:p>
    <w:p w14:paraId="4E60CD64" w14:textId="77777777" w:rsidR="00CE145B" w:rsidRPr="00362D29" w:rsidRDefault="00CE145B" w:rsidP="00362D29">
      <w:pPr>
        <w:bidi/>
        <w:spacing w:before="0" w:after="160" w:line="360" w:lineRule="auto"/>
        <w:ind w:left="720"/>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أغلب الدراسات السابقة لم تتناول التكامل التحليلي بين أبعاد النموذج الوطني السعودي وأبعاد برنامج قياس تجربة المريض التابع لوزارة الصحة في إطار تطبيقي واحد يقيس العلاقة بينهما بصورة مباشرة.</w:t>
      </w:r>
    </w:p>
    <w:p w14:paraId="72B457B5"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ومن ثم، تتجلى الفجوة البحثية في غياب دراسات تطبيقية منهجية تقيس بصورة مباشرة أثر مبادئ النموذج الوطني للتميز المؤسسي على جودة تجربة المريض داخل التجمعات الصحية السعودية في ظل التحول الصحي ورؤية المملكة 2030. </w:t>
      </w:r>
    </w:p>
    <w:p w14:paraId="612D54E3" w14:textId="02770FBC"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وعليه تنبع أهمية الدراسة الحالية من سعيها إلى سد هذه الفجوة عبر نموذج علمي منهجي لاختبار العلاقة بين المتغيرين من خلال شمول ثمانية مبادئ للتميز وثمانية أبعاد لتجربة المريض ، في بيئة تطبيقية محددة هي تجمع القصيم الصحي في بيئة التحول الصحي السعودي، مما يقدم فهماً أعمق وأكثر شمولية للعلاقة بين المتغيرات ويحقق إسهامًا علميًا يتمثل في الربط بين إطار وطني للتميز المؤسسي ومؤشر نوعي لجودة الرعاية، وإسهامًا تطبيقيًا يدعم متخذي القرار في تطوير الأداء المؤسسي وتعزيز تجربة المستفيد وفق توجهات التحول الصحي الوطني.</w:t>
      </w:r>
    </w:p>
    <w:p w14:paraId="23D4740E" w14:textId="77777777" w:rsidR="007A74F1" w:rsidRPr="00362D29" w:rsidRDefault="007A74F1" w:rsidP="00362D29">
      <w:pPr>
        <w:bidi/>
        <w:spacing w:after="200" w:line="360" w:lineRule="auto"/>
        <w:jc w:val="both"/>
        <w:rPr>
          <w:rFonts w:ascii="Traditional Arabic" w:hAnsi="Traditional Arabic" w:cs="Traditional Arabic"/>
          <w:b/>
          <w:bCs/>
          <w:color w:val="000000" w:themeColor="text1"/>
          <w:sz w:val="28"/>
          <w:szCs w:val="28"/>
          <w:u w:val="single"/>
          <w:rtl/>
        </w:rPr>
      </w:pPr>
    </w:p>
    <w:p w14:paraId="00EA939A" w14:textId="590805D4" w:rsidR="00947153" w:rsidRPr="00362D29" w:rsidRDefault="00947153" w:rsidP="00362D29">
      <w:pPr>
        <w:bidi/>
        <w:spacing w:after="200" w:line="360" w:lineRule="auto"/>
        <w:jc w:val="both"/>
        <w:rPr>
          <w:rFonts w:ascii="Traditional Arabic" w:hAnsi="Traditional Arabic" w:cs="Traditional Arabic"/>
          <w:b/>
          <w:bCs/>
          <w:color w:val="000000" w:themeColor="text1"/>
          <w:sz w:val="28"/>
          <w:szCs w:val="28"/>
          <w:u w:val="single"/>
          <w:rtl/>
        </w:rPr>
      </w:pPr>
      <w:r w:rsidRPr="00362D29">
        <w:rPr>
          <w:rFonts w:ascii="Traditional Arabic" w:hAnsi="Traditional Arabic" w:cs="Traditional Arabic"/>
          <w:b/>
          <w:bCs/>
          <w:color w:val="000000" w:themeColor="text1"/>
          <w:sz w:val="28"/>
          <w:szCs w:val="28"/>
          <w:u w:val="single"/>
          <w:rtl/>
        </w:rPr>
        <w:lastRenderedPageBreak/>
        <w:t xml:space="preserve">ما يميز الدراسة </w:t>
      </w:r>
      <w:proofErr w:type="gramStart"/>
      <w:r w:rsidRPr="00362D29">
        <w:rPr>
          <w:rFonts w:ascii="Traditional Arabic" w:hAnsi="Traditional Arabic" w:cs="Traditional Arabic"/>
          <w:b/>
          <w:bCs/>
          <w:color w:val="000000" w:themeColor="text1"/>
          <w:sz w:val="28"/>
          <w:szCs w:val="28"/>
          <w:u w:val="single"/>
          <w:rtl/>
        </w:rPr>
        <w:t>الحالية :</w:t>
      </w:r>
      <w:proofErr w:type="gramEnd"/>
    </w:p>
    <w:p w14:paraId="53186501" w14:textId="2CA48065" w:rsidR="00820991" w:rsidRPr="00362D29" w:rsidRDefault="00482D12" w:rsidP="00362D29">
      <w:pPr>
        <w:bidi/>
        <w:spacing w:after="200"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 xml:space="preserve">بناءً على محتوى </w:t>
      </w:r>
      <w:r w:rsidR="00960ED5" w:rsidRPr="00362D29">
        <w:rPr>
          <w:rFonts w:ascii="Traditional Arabic" w:hAnsi="Traditional Arabic" w:cs="Traditional Arabic"/>
          <w:b/>
          <w:bCs/>
          <w:color w:val="000000" w:themeColor="text1"/>
          <w:sz w:val="28"/>
          <w:szCs w:val="28"/>
          <w:rtl/>
        </w:rPr>
        <w:t>الإطار</w:t>
      </w:r>
      <w:r w:rsidRPr="00362D29">
        <w:rPr>
          <w:rFonts w:ascii="Traditional Arabic" w:hAnsi="Traditional Arabic" w:cs="Traditional Arabic"/>
          <w:b/>
          <w:bCs/>
          <w:color w:val="000000" w:themeColor="text1"/>
          <w:sz w:val="28"/>
          <w:szCs w:val="28"/>
          <w:rtl/>
        </w:rPr>
        <w:t xml:space="preserve"> النظري </w:t>
      </w:r>
      <w:r w:rsidR="004F1BEF" w:rsidRPr="00362D29">
        <w:rPr>
          <w:rFonts w:ascii="Traditional Arabic" w:hAnsi="Traditional Arabic" w:cs="Traditional Arabic"/>
          <w:b/>
          <w:bCs/>
          <w:color w:val="000000" w:themeColor="text1"/>
          <w:sz w:val="28"/>
          <w:szCs w:val="28"/>
          <w:rtl/>
        </w:rPr>
        <w:t xml:space="preserve">والادبيات </w:t>
      </w:r>
      <w:proofErr w:type="gramStart"/>
      <w:r w:rsidR="004F1BEF" w:rsidRPr="00362D29">
        <w:rPr>
          <w:rFonts w:ascii="Traditional Arabic" w:hAnsi="Traditional Arabic" w:cs="Traditional Arabic"/>
          <w:b/>
          <w:bCs/>
          <w:color w:val="000000" w:themeColor="text1"/>
          <w:sz w:val="28"/>
          <w:szCs w:val="28"/>
          <w:rtl/>
        </w:rPr>
        <w:t>المرجعية ؛</w:t>
      </w:r>
      <w:proofErr w:type="gramEnd"/>
      <w:r w:rsidR="004F1BEF" w:rsidRPr="00362D29">
        <w:rPr>
          <w:rFonts w:ascii="Traditional Arabic" w:hAnsi="Traditional Arabic" w:cs="Traditional Arabic"/>
          <w:b/>
          <w:bCs/>
          <w:color w:val="000000" w:themeColor="text1"/>
          <w:sz w:val="28"/>
          <w:szCs w:val="28"/>
          <w:rtl/>
        </w:rPr>
        <w:t xml:space="preserve"> </w:t>
      </w:r>
      <w:r w:rsidR="00820991" w:rsidRPr="00362D29">
        <w:rPr>
          <w:rFonts w:ascii="Traditional Arabic" w:hAnsi="Traditional Arabic" w:cs="Traditional Arabic"/>
          <w:b/>
          <w:bCs/>
          <w:color w:val="000000" w:themeColor="text1"/>
          <w:sz w:val="28"/>
          <w:szCs w:val="28"/>
          <w:rtl/>
        </w:rPr>
        <w:t xml:space="preserve">تنفرد الدراسة الحالية عن الأدبيات السابقة بعدة نقاط </w:t>
      </w:r>
      <w:r w:rsidR="00B32F91" w:rsidRPr="00362D29">
        <w:rPr>
          <w:rFonts w:ascii="Traditional Arabic" w:hAnsi="Traditional Arabic" w:cs="Traditional Arabic"/>
          <w:b/>
          <w:bCs/>
          <w:color w:val="000000" w:themeColor="text1"/>
          <w:sz w:val="28"/>
          <w:szCs w:val="28"/>
          <w:rtl/>
        </w:rPr>
        <w:t>:</w:t>
      </w:r>
    </w:p>
    <w:p w14:paraId="422D1B3D"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اعتماد نموذج وطني</w:t>
      </w:r>
      <w:r w:rsidRPr="00362D29">
        <w:rPr>
          <w:rFonts w:ascii="Traditional Arabic" w:hAnsi="Traditional Arabic" w:cs="Traditional Arabic"/>
          <w:b/>
          <w:bCs/>
          <w:color w:val="000000" w:themeColor="text1"/>
          <w:sz w:val="24"/>
          <w:szCs w:val="24"/>
        </w:rPr>
        <w:t>:</w:t>
      </w:r>
    </w:p>
    <w:p w14:paraId="577AD804" w14:textId="1DF2B9A8"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تستند الدراسة إلى "النموذج الوطني للتميز المؤسسي" المعتمد من جائزة الملك عبد العزيز للجودة، </w:t>
      </w:r>
      <w:r w:rsidR="004978D7" w:rsidRPr="00362D29">
        <w:rPr>
          <w:rFonts w:ascii="Traditional Arabic" w:hAnsi="Traditional Arabic" w:cs="Traditional Arabic"/>
          <w:color w:val="000000" w:themeColor="text1"/>
          <w:sz w:val="24"/>
          <w:szCs w:val="24"/>
          <w:rtl/>
        </w:rPr>
        <w:t>وهو النموذج الذي أثبتت دراسة (</w:t>
      </w:r>
      <w:r w:rsidR="004978D7" w:rsidRPr="00362D29">
        <w:rPr>
          <w:rFonts w:ascii="Traditional Arabic" w:hAnsi="Traditional Arabic" w:cs="Traditional Arabic"/>
          <w:color w:val="000000" w:themeColor="text1"/>
          <w:sz w:val="24"/>
          <w:szCs w:val="24"/>
        </w:rPr>
        <w:t>Alanazi, 2017</w:t>
      </w:r>
      <w:r w:rsidR="004978D7" w:rsidRPr="00362D29">
        <w:rPr>
          <w:rFonts w:ascii="Traditional Arabic" w:hAnsi="Traditional Arabic" w:cs="Traditional Arabic"/>
          <w:color w:val="000000" w:themeColor="text1"/>
          <w:sz w:val="24"/>
          <w:szCs w:val="24"/>
          <w:rtl/>
        </w:rPr>
        <w:t xml:space="preserve">) أنه الأكثر ملاءمة للبيئة السعودية، ومع ذلك تندر الدراسات الخاصة </w:t>
      </w:r>
      <w:proofErr w:type="gramStart"/>
      <w:r w:rsidR="004A2BEE" w:rsidRPr="00362D29">
        <w:rPr>
          <w:rFonts w:ascii="Traditional Arabic" w:hAnsi="Traditional Arabic" w:cs="Traditional Arabic"/>
          <w:color w:val="000000" w:themeColor="text1"/>
          <w:sz w:val="24"/>
          <w:szCs w:val="24"/>
          <w:rtl/>
        </w:rPr>
        <w:t>به .</w:t>
      </w:r>
      <w:proofErr w:type="gramEnd"/>
      <w:r w:rsidR="004A2BEE"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عكس العديد من الدراسات التي اعتمدت على نماذج دولية مثل</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أو</w:t>
      </w:r>
      <w:r w:rsidRPr="00362D29">
        <w:rPr>
          <w:rFonts w:ascii="Traditional Arabic" w:hAnsi="Traditional Arabic" w:cs="Traditional Arabic"/>
          <w:color w:val="000000" w:themeColor="text1"/>
          <w:sz w:val="24"/>
          <w:szCs w:val="24"/>
        </w:rPr>
        <w:t xml:space="preserve"> Baldrige </w:t>
      </w:r>
      <w:r w:rsidRPr="00362D29">
        <w:rPr>
          <w:rFonts w:ascii="Traditional Arabic" w:hAnsi="Traditional Arabic" w:cs="Traditional Arabic"/>
          <w:color w:val="000000" w:themeColor="text1"/>
          <w:sz w:val="24"/>
          <w:szCs w:val="24"/>
          <w:rtl/>
        </w:rPr>
        <w:t>دون تكييف محلي</w:t>
      </w:r>
      <w:r w:rsidRPr="00362D29">
        <w:rPr>
          <w:rFonts w:ascii="Traditional Arabic" w:hAnsi="Traditional Arabic" w:cs="Traditional Arabic"/>
          <w:color w:val="000000" w:themeColor="text1"/>
          <w:sz w:val="24"/>
          <w:szCs w:val="24"/>
        </w:rPr>
        <w:t>.</w:t>
      </w:r>
    </w:p>
    <w:p w14:paraId="1EBDE321"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الربط المباشر بين التميز المؤسسي وتجربة المريض</w:t>
      </w:r>
      <w:r w:rsidRPr="00362D29">
        <w:rPr>
          <w:rFonts w:ascii="Traditional Arabic" w:hAnsi="Traditional Arabic" w:cs="Traditional Arabic"/>
          <w:b/>
          <w:bCs/>
          <w:color w:val="000000" w:themeColor="text1"/>
          <w:sz w:val="24"/>
          <w:szCs w:val="24"/>
        </w:rPr>
        <w:t>:</w:t>
      </w:r>
    </w:p>
    <w:p w14:paraId="75BF1C03" w14:textId="77777777"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تُعد من الدراسات القليلة التي تقيس الأثر الفعلي لتطبيق مبادئ </w:t>
      </w:r>
      <w:bookmarkStart w:id="21" w:name="_Hlk204241218"/>
      <w:r w:rsidRPr="00362D29">
        <w:rPr>
          <w:rFonts w:ascii="Traditional Arabic" w:hAnsi="Traditional Arabic" w:cs="Traditional Arabic"/>
          <w:color w:val="000000" w:themeColor="text1"/>
          <w:sz w:val="24"/>
          <w:szCs w:val="24"/>
          <w:rtl/>
        </w:rPr>
        <w:t xml:space="preserve">النموذج الوطني للتميز المؤسسي لجائزة الملك عبد العزيز للجودة </w:t>
      </w:r>
      <w:bookmarkEnd w:id="21"/>
      <w:r w:rsidRPr="00362D29">
        <w:rPr>
          <w:rFonts w:ascii="Traditional Arabic" w:hAnsi="Traditional Arabic" w:cs="Traditional Arabic"/>
          <w:color w:val="000000" w:themeColor="text1"/>
          <w:sz w:val="24"/>
          <w:szCs w:val="24"/>
          <w:rtl/>
        </w:rPr>
        <w:t>على جودة تجربة المريض، وليس دراسة كل محور بشكل منفصل</w:t>
      </w:r>
      <w:r w:rsidRPr="00362D29">
        <w:rPr>
          <w:rFonts w:ascii="Traditional Arabic" w:hAnsi="Traditional Arabic" w:cs="Traditional Arabic"/>
          <w:color w:val="000000" w:themeColor="text1"/>
          <w:sz w:val="24"/>
          <w:szCs w:val="24"/>
        </w:rPr>
        <w:t>.</w:t>
      </w:r>
    </w:p>
    <w:p w14:paraId="3FA293AE"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color w:val="000000" w:themeColor="text1"/>
          <w:sz w:val="24"/>
          <w:szCs w:val="24"/>
          <w:rtl/>
        </w:rPr>
      </w:pPr>
      <w:r w:rsidRPr="00362D29">
        <w:rPr>
          <w:rFonts w:ascii="Times New Roman" w:hAnsi="Times New Roman" w:cs="Times New Roman"/>
          <w:color w:val="000000" w:themeColor="text1"/>
          <w:sz w:val="24"/>
          <w:szCs w:val="24"/>
        </w:rPr>
        <w:t> </w:t>
      </w:r>
      <w:r w:rsidRPr="00362D29">
        <w:rPr>
          <w:rFonts w:ascii="Traditional Arabic" w:hAnsi="Traditional Arabic" w:cs="Traditional Arabic"/>
          <w:b/>
          <w:bCs/>
          <w:color w:val="000000" w:themeColor="text1"/>
          <w:sz w:val="24"/>
          <w:szCs w:val="24"/>
          <w:rtl/>
        </w:rPr>
        <w:t>منهجية كمية تحليلية دقيقة</w:t>
      </w:r>
      <w:r w:rsidRPr="00362D29">
        <w:rPr>
          <w:rFonts w:ascii="Traditional Arabic" w:hAnsi="Traditional Arabic" w:cs="Traditional Arabic"/>
          <w:b/>
          <w:bCs/>
          <w:color w:val="000000" w:themeColor="text1"/>
          <w:sz w:val="24"/>
          <w:szCs w:val="24"/>
        </w:rPr>
        <w:t>:</w:t>
      </w:r>
    </w:p>
    <w:p w14:paraId="5B0845F6" w14:textId="77777777"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اعتمدت على المنهج الوصفي التحليلي باستخدام أدوات إحصائية لقياس العلاقة بين متغيرات النموذج الوطني للتميز المؤسسي لجائزة الملك عبد العزيز للجودة (بأبعاده الثمانية) وتجربة المريض، مما يوفر نتائج قابلة للتعميم</w:t>
      </w:r>
      <w:r w:rsidRPr="00362D29">
        <w:rPr>
          <w:rFonts w:ascii="Traditional Arabic" w:hAnsi="Traditional Arabic" w:cs="Traditional Arabic"/>
          <w:color w:val="000000" w:themeColor="text1"/>
          <w:sz w:val="24"/>
          <w:szCs w:val="24"/>
        </w:rPr>
        <w:t>.</w:t>
      </w:r>
    </w:p>
    <w:p w14:paraId="6770E0B5"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استخدام أداة قياس رسمية معتمدة</w:t>
      </w:r>
      <w:r w:rsidRPr="00362D29">
        <w:rPr>
          <w:rFonts w:ascii="Traditional Arabic" w:hAnsi="Traditional Arabic" w:cs="Traditional Arabic"/>
          <w:b/>
          <w:bCs/>
          <w:color w:val="000000" w:themeColor="text1"/>
          <w:sz w:val="24"/>
          <w:szCs w:val="24"/>
        </w:rPr>
        <w:t>:</w:t>
      </w:r>
    </w:p>
    <w:p w14:paraId="706960A2" w14:textId="0CEF9DB5"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تم استخدام </w:t>
      </w:r>
      <w:r w:rsidR="00E71690" w:rsidRPr="00362D29">
        <w:rPr>
          <w:rFonts w:ascii="Traditional Arabic" w:hAnsi="Traditional Arabic" w:cs="Traditional Arabic"/>
          <w:color w:val="000000" w:themeColor="text1"/>
          <w:sz w:val="24"/>
          <w:szCs w:val="24"/>
          <w:rtl/>
        </w:rPr>
        <w:t xml:space="preserve">المقاييس </w:t>
      </w:r>
      <w:r w:rsidRPr="00362D29">
        <w:rPr>
          <w:rFonts w:ascii="Traditional Arabic" w:hAnsi="Traditional Arabic" w:cs="Traditional Arabic"/>
          <w:color w:val="000000" w:themeColor="text1"/>
          <w:sz w:val="24"/>
          <w:szCs w:val="24"/>
          <w:rtl/>
        </w:rPr>
        <w:t>المعتمد</w:t>
      </w:r>
      <w:r w:rsidR="00E71690" w:rsidRPr="00362D29">
        <w:rPr>
          <w:rFonts w:ascii="Traditional Arabic" w:hAnsi="Traditional Arabic" w:cs="Traditional Arabic"/>
          <w:color w:val="000000" w:themeColor="text1"/>
          <w:sz w:val="24"/>
          <w:szCs w:val="24"/>
          <w:rtl/>
        </w:rPr>
        <w:t>ة</w:t>
      </w:r>
      <w:r w:rsidRPr="00362D29">
        <w:rPr>
          <w:rFonts w:ascii="Traditional Arabic" w:hAnsi="Traditional Arabic" w:cs="Traditional Arabic"/>
          <w:color w:val="000000" w:themeColor="text1"/>
          <w:sz w:val="24"/>
          <w:szCs w:val="24"/>
          <w:rtl/>
        </w:rPr>
        <w:t xml:space="preserve"> من وزارة الصحة السعودية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عبر المنصة الالكترونية (برزجيني)</w:t>
      </w:r>
      <w:r w:rsidR="0048103C"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Pr>
        <w:t xml:space="preserve">(Press Ganey) </w:t>
      </w:r>
      <w:r w:rsidRPr="00362D29">
        <w:rPr>
          <w:rFonts w:ascii="Traditional Arabic" w:hAnsi="Traditional Arabic" w:cs="Traditional Arabic"/>
          <w:color w:val="000000" w:themeColor="text1"/>
          <w:sz w:val="24"/>
          <w:szCs w:val="24"/>
          <w:rtl/>
        </w:rPr>
        <w:t>لبرنامج قياس تجربة المريض، مما يمنح الدراسة موثوقية عالية مقارنة بدراسات استخدمت أدوات غير موحدة أو نماذج نظرية فقط</w:t>
      </w:r>
      <w:r w:rsidRPr="00362D29">
        <w:rPr>
          <w:rFonts w:ascii="Traditional Arabic" w:hAnsi="Traditional Arabic" w:cs="Traditional Arabic"/>
          <w:color w:val="000000" w:themeColor="text1"/>
          <w:sz w:val="24"/>
          <w:szCs w:val="24"/>
        </w:rPr>
        <w:t>.</w:t>
      </w:r>
    </w:p>
    <w:p w14:paraId="15AD21BD" w14:textId="76524ED0" w:rsidR="00947153" w:rsidRPr="00362D29" w:rsidRDefault="00CE145B"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الحداثة الزمانية والمكانية</w:t>
      </w:r>
      <w:r w:rsidR="00947153" w:rsidRPr="00362D29">
        <w:rPr>
          <w:rFonts w:ascii="Traditional Arabic" w:hAnsi="Traditional Arabic" w:cs="Traditional Arabic"/>
          <w:b/>
          <w:bCs/>
          <w:color w:val="000000" w:themeColor="text1"/>
          <w:sz w:val="24"/>
          <w:szCs w:val="24"/>
        </w:rPr>
        <w:t>:</w:t>
      </w:r>
    </w:p>
    <w:p w14:paraId="2DF3FEF1" w14:textId="51A9C4DD"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تُطبَّق الدراسة ضمن أحد التجمعات الصحية في المملكة (تجمع القصيم الصحي)، </w:t>
      </w:r>
      <w:r w:rsidR="00C67FED" w:rsidRPr="00362D29">
        <w:rPr>
          <w:rFonts w:ascii="Traditional Arabic" w:hAnsi="Traditional Arabic" w:cs="Traditional Arabic"/>
          <w:color w:val="000000" w:themeColor="text1"/>
          <w:sz w:val="24"/>
          <w:szCs w:val="24"/>
          <w:rtl/>
        </w:rPr>
        <w:t>مما يوفر رؤية واقعية لأثر التحول المؤسسي على تجربة المريض في البيئة الإدارية المستحدثة</w:t>
      </w:r>
      <w:r w:rsidR="00975EB6" w:rsidRPr="00362D29">
        <w:rPr>
          <w:rFonts w:ascii="Traditional Arabic" w:hAnsi="Traditional Arabic" w:cs="Traditional Arabic"/>
          <w:color w:val="000000" w:themeColor="text1"/>
          <w:sz w:val="24"/>
          <w:szCs w:val="24"/>
          <w:rtl/>
        </w:rPr>
        <w:t xml:space="preserve"> وم</w:t>
      </w:r>
      <w:r w:rsidRPr="00362D29">
        <w:rPr>
          <w:rFonts w:ascii="Traditional Arabic" w:hAnsi="Traditional Arabic" w:cs="Traditional Arabic"/>
          <w:color w:val="000000" w:themeColor="text1"/>
          <w:sz w:val="24"/>
          <w:szCs w:val="24"/>
          <w:rtl/>
        </w:rPr>
        <w:t>ما يضعها في قلب بيئة التحول الصحي الوطني، بخلاف دراسات ركزت على مستشفيات خاصة أو خارج المملكة</w:t>
      </w:r>
      <w:r w:rsidRPr="00362D29">
        <w:rPr>
          <w:rFonts w:ascii="Traditional Arabic" w:hAnsi="Traditional Arabic" w:cs="Traditional Arabic"/>
          <w:color w:val="000000" w:themeColor="text1"/>
          <w:sz w:val="24"/>
          <w:szCs w:val="24"/>
        </w:rPr>
        <w:t>.</w:t>
      </w:r>
    </w:p>
    <w:p w14:paraId="17F63951" w14:textId="77777777" w:rsidR="00960ED5"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Pr>
      </w:pPr>
      <w:r w:rsidRPr="00362D29">
        <w:rPr>
          <w:rFonts w:ascii="Times New Roman" w:hAnsi="Times New Roman" w:cs="Times New Roman"/>
          <w:b/>
          <w:bCs/>
          <w:color w:val="000000" w:themeColor="text1"/>
          <w:sz w:val="24"/>
          <w:szCs w:val="24"/>
        </w:rPr>
        <w:t> </w:t>
      </w:r>
      <w:r w:rsidRPr="00362D29">
        <w:rPr>
          <w:rFonts w:ascii="Traditional Arabic" w:hAnsi="Traditional Arabic" w:cs="Traditional Arabic"/>
          <w:b/>
          <w:bCs/>
          <w:color w:val="000000" w:themeColor="text1"/>
          <w:sz w:val="24"/>
          <w:szCs w:val="24"/>
          <w:rtl/>
        </w:rPr>
        <w:t>شمولية الأبعاد المدروسة</w:t>
      </w:r>
      <w:r w:rsidRPr="00362D29">
        <w:rPr>
          <w:rFonts w:ascii="Traditional Arabic" w:hAnsi="Traditional Arabic" w:cs="Traditional Arabic"/>
          <w:b/>
          <w:bCs/>
          <w:color w:val="000000" w:themeColor="text1"/>
          <w:sz w:val="24"/>
          <w:szCs w:val="24"/>
        </w:rPr>
        <w:t>:</w:t>
      </w:r>
    </w:p>
    <w:p w14:paraId="1C8D9811" w14:textId="081B3CC0" w:rsidR="00840215" w:rsidRDefault="00947153" w:rsidP="00362D29">
      <w:pPr>
        <w:pStyle w:val="ab"/>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color w:val="000000" w:themeColor="text1"/>
          <w:sz w:val="24"/>
          <w:szCs w:val="24"/>
          <w:rtl/>
        </w:rPr>
        <w:t>دمجت الدراسة بين مبادئ النموذج الوطني للتميز المؤسسي لجائزة الملك عبد العزيز للجودة (القيادة، العمليات، الابتكار، إلخ) وأبعاد تجربة المريض (الوصول، التواصل، الاحترام، إلخ) في إطار متكامل يعكس العلاقة بين الأداء المؤسسي والمخرجات الخدمية</w:t>
      </w:r>
      <w:r w:rsidRPr="00362D29">
        <w:rPr>
          <w:rFonts w:ascii="Traditional Arabic" w:hAnsi="Traditional Arabic" w:cs="Traditional Arabic"/>
          <w:color w:val="000000" w:themeColor="text1"/>
          <w:sz w:val="24"/>
          <w:szCs w:val="24"/>
        </w:rPr>
        <w:t>.</w:t>
      </w:r>
    </w:p>
    <w:p w14:paraId="69255D1F" w14:textId="77777777" w:rsidR="00CB4510" w:rsidRDefault="00CB4510" w:rsidP="00CB4510">
      <w:pPr>
        <w:pStyle w:val="ab"/>
        <w:bidi/>
        <w:spacing w:after="200" w:line="360" w:lineRule="auto"/>
        <w:jc w:val="both"/>
        <w:rPr>
          <w:rFonts w:ascii="Traditional Arabic" w:hAnsi="Traditional Arabic" w:cs="Traditional Arabic"/>
          <w:b/>
          <w:bCs/>
          <w:color w:val="000000" w:themeColor="text1"/>
          <w:sz w:val="24"/>
          <w:szCs w:val="24"/>
          <w:rtl/>
        </w:rPr>
      </w:pPr>
    </w:p>
    <w:p w14:paraId="1369BAE9" w14:textId="77777777" w:rsidR="00CB4510" w:rsidRPr="00362D29" w:rsidRDefault="00CB4510" w:rsidP="00CB4510">
      <w:pPr>
        <w:pStyle w:val="ab"/>
        <w:bidi/>
        <w:spacing w:after="200" w:line="360" w:lineRule="auto"/>
        <w:jc w:val="both"/>
        <w:rPr>
          <w:rFonts w:ascii="Traditional Arabic" w:hAnsi="Traditional Arabic" w:cs="Traditional Arabic"/>
          <w:b/>
          <w:bCs/>
          <w:color w:val="000000" w:themeColor="text1"/>
          <w:sz w:val="24"/>
          <w:szCs w:val="24"/>
        </w:rPr>
      </w:pPr>
    </w:p>
    <w:p w14:paraId="11DDE15C" w14:textId="77777777" w:rsidR="00960ED5" w:rsidRPr="00362D29" w:rsidRDefault="000E3A0D"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 xml:space="preserve">القدرة التنبؤية: </w:t>
      </w:r>
    </w:p>
    <w:p w14:paraId="15EEC71B" w14:textId="41A27E8E" w:rsidR="00840215" w:rsidRPr="00362D29" w:rsidRDefault="000E3A0D" w:rsidP="00362D29">
      <w:pPr>
        <w:pStyle w:val="ab"/>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لا تكتفي الدراسة بوصف الواقع، بل تسعى لتحديد "الأبعاد الأكثر تأثيراً"، مما يوفر خارطة طريق لصناع القرار لترتيب أولويات الاستثمار في مبادئ التميز.</w:t>
      </w:r>
    </w:p>
    <w:p w14:paraId="5F8C17ED" w14:textId="6A2B3074"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دعم لصناع القرار</w:t>
      </w:r>
      <w:r w:rsidRPr="00362D29">
        <w:rPr>
          <w:rFonts w:ascii="Traditional Arabic" w:hAnsi="Traditional Arabic" w:cs="Traditional Arabic"/>
          <w:b/>
          <w:bCs/>
          <w:color w:val="000000" w:themeColor="text1"/>
          <w:sz w:val="24"/>
          <w:szCs w:val="24"/>
        </w:rPr>
        <w:t>:</w:t>
      </w:r>
    </w:p>
    <w:p w14:paraId="27884D7A" w14:textId="77777777" w:rsidR="00820991"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توفر الدراسة أدلة علمية تطبيقية يمكن أن تدعم متخذي القرار في تطوير السياسات الصحية وتعزيز تجربة المريض من خلال أدوات التميز المؤسسي.</w:t>
      </w:r>
    </w:p>
    <w:p w14:paraId="059584D7" w14:textId="77777777" w:rsidR="00B05007" w:rsidRPr="00362D29" w:rsidRDefault="00B05007" w:rsidP="00362D29">
      <w:pPr>
        <w:pStyle w:val="ab"/>
        <w:bidi/>
        <w:spacing w:after="200" w:line="360" w:lineRule="auto"/>
        <w:jc w:val="both"/>
        <w:rPr>
          <w:rFonts w:ascii="Traditional Arabic" w:hAnsi="Traditional Arabic" w:cs="Traditional Arabic"/>
          <w:color w:val="000000" w:themeColor="text1"/>
          <w:sz w:val="24"/>
          <w:szCs w:val="24"/>
          <w:rtl/>
        </w:rPr>
      </w:pPr>
    </w:p>
    <w:p w14:paraId="687C6E49" w14:textId="77777777" w:rsidR="00B05007" w:rsidRPr="00362D29" w:rsidRDefault="00B05007" w:rsidP="00362D29">
      <w:pPr>
        <w:pStyle w:val="ab"/>
        <w:bidi/>
        <w:spacing w:after="200" w:line="360" w:lineRule="auto"/>
        <w:jc w:val="both"/>
        <w:rPr>
          <w:rFonts w:ascii="Traditional Arabic" w:hAnsi="Traditional Arabic" w:cs="Traditional Arabic"/>
          <w:color w:val="000000" w:themeColor="text1"/>
          <w:sz w:val="24"/>
          <w:szCs w:val="24"/>
          <w:rtl/>
        </w:rPr>
      </w:pPr>
    </w:p>
    <w:p w14:paraId="194A40EE" w14:textId="77777777" w:rsidR="00B05007" w:rsidRPr="00362D29" w:rsidRDefault="00B05007" w:rsidP="00362D29">
      <w:pPr>
        <w:bidi/>
        <w:spacing w:after="200" w:line="360" w:lineRule="auto"/>
        <w:jc w:val="both"/>
        <w:rPr>
          <w:rFonts w:ascii="Traditional Arabic" w:hAnsi="Traditional Arabic" w:cs="Traditional Arabic"/>
          <w:color w:val="000000" w:themeColor="text1"/>
          <w:sz w:val="24"/>
          <w:szCs w:val="24"/>
          <w:rtl/>
        </w:rPr>
      </w:pPr>
    </w:p>
    <w:sectPr w:rsidR="00B05007" w:rsidRPr="00362D29">
      <w:headerReference w:type="even" r:id="rId15"/>
      <w:headerReference w:type="default" r:id="rId16"/>
      <w:footerReference w:type="default" r:id="rId17"/>
      <w:headerReference w:type="first" r:id="rId18"/>
      <w:footerReference w:type="first" r:id="rId1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3-02T14:43:00Z" w:initials="TH">
    <w:p w14:paraId="4108ED8B" w14:textId="77777777" w:rsidR="001436A3" w:rsidRDefault="001436A3">
      <w:pPr>
        <w:pStyle w:val="ad"/>
        <w:rPr>
          <w:rtl/>
        </w:rPr>
      </w:pPr>
      <w:r>
        <w:rPr>
          <w:rStyle w:val="ac"/>
        </w:rPr>
        <w:annotationRef/>
      </w:r>
      <w:r>
        <w:rPr>
          <w:rFonts w:hint="cs"/>
          <w:rtl/>
        </w:rPr>
        <w:t xml:space="preserve">ارجو مراعاة ذكر اسم المؤلف في التوثيق ولا ضرورة لقول دراسة </w:t>
      </w:r>
      <w:proofErr w:type="gramStart"/>
      <w:r>
        <w:rPr>
          <w:rFonts w:hint="cs"/>
          <w:rtl/>
        </w:rPr>
        <w:t>فلان ،</w:t>
      </w:r>
      <w:proofErr w:type="gramEnd"/>
      <w:r>
        <w:rPr>
          <w:rFonts w:hint="cs"/>
          <w:rtl/>
        </w:rPr>
        <w:t xml:space="preserve"> بمعنى استثني كل</w:t>
      </w:r>
    </w:p>
    <w:p w14:paraId="639656D9" w14:textId="1EC32FAE" w:rsidR="001436A3" w:rsidRDefault="001436A3">
      <w:pPr>
        <w:pStyle w:val="ad"/>
      </w:pPr>
      <w:proofErr w:type="spellStart"/>
      <w:r>
        <w:rPr>
          <w:rFonts w:hint="cs"/>
          <w:rtl/>
        </w:rPr>
        <w:t>مة</w:t>
      </w:r>
      <w:proofErr w:type="spellEnd"/>
      <w:r>
        <w:rPr>
          <w:rFonts w:hint="cs"/>
          <w:rtl/>
        </w:rPr>
        <w:t xml:space="preserve"> دراسة</w:t>
      </w:r>
    </w:p>
  </w:comment>
  <w:comment w:id="1" w:author="Tareq Hashim" w:date="2026-03-02T14:45:00Z" w:initials="TH">
    <w:p w14:paraId="24FFC81A" w14:textId="7078175E" w:rsidR="00A229E8" w:rsidRDefault="00A229E8">
      <w:pPr>
        <w:pStyle w:val="ad"/>
      </w:pPr>
      <w:r>
        <w:rPr>
          <w:rStyle w:val="ac"/>
        </w:rPr>
        <w:annotationRef/>
      </w:r>
      <w:r>
        <w:rPr>
          <w:rFonts w:hint="cs"/>
          <w:rtl/>
        </w:rPr>
        <w:t>ارجو من الباحث إضافة تعريف مقترح من قبله</w:t>
      </w:r>
    </w:p>
  </w:comment>
  <w:comment w:id="2" w:author="Tareq Hashim" w:date="2026-03-02T14:50:00Z" w:initials="TH">
    <w:p w14:paraId="3DD9A589" w14:textId="1A349AFE" w:rsidR="004E77A5" w:rsidRDefault="004E77A5">
      <w:pPr>
        <w:pStyle w:val="ad"/>
      </w:pPr>
      <w:r>
        <w:rPr>
          <w:rStyle w:val="ac"/>
        </w:rPr>
        <w:annotationRef/>
      </w:r>
      <w:r>
        <w:rPr>
          <w:rFonts w:hint="cs"/>
          <w:rtl/>
        </w:rPr>
        <w:t xml:space="preserve">هل هذا راي الباحث ام من مرجع؟ </w:t>
      </w:r>
    </w:p>
  </w:comment>
  <w:comment w:id="3" w:author="Tareq Hashim" w:date="2026-03-02T14:51:00Z" w:initials="TH">
    <w:p w14:paraId="6059306D" w14:textId="39F0134D" w:rsidR="00B87F63" w:rsidRDefault="00B87F63">
      <w:pPr>
        <w:pStyle w:val="ad"/>
      </w:pPr>
      <w:r>
        <w:rPr>
          <w:rStyle w:val="ac"/>
        </w:rPr>
        <w:annotationRef/>
      </w:r>
      <w:r>
        <w:rPr>
          <w:rFonts w:hint="cs"/>
          <w:rtl/>
        </w:rPr>
        <w:t>اريد تديل هذا الجزء الى موضوع التميز المؤسسي في القطاع الصحي</w:t>
      </w:r>
    </w:p>
  </w:comment>
  <w:comment w:id="4" w:author="Tareq Hashim" w:date="2026-03-02T14:53:00Z" w:initials="TH">
    <w:p w14:paraId="5457BC1D" w14:textId="2F23D7DE" w:rsidR="00733665" w:rsidRDefault="00733665">
      <w:pPr>
        <w:pStyle w:val="ad"/>
      </w:pPr>
      <w:r>
        <w:rPr>
          <w:rStyle w:val="ac"/>
        </w:rPr>
        <w:annotationRef/>
      </w:r>
      <w:r>
        <w:rPr>
          <w:rFonts w:hint="cs"/>
          <w:rtl/>
        </w:rPr>
        <w:t>يجب على الباحث في نهاية استعراض النماذج تحديد أي النماذج تم استخدامه في الدراسة</w:t>
      </w:r>
    </w:p>
  </w:comment>
  <w:comment w:id="5" w:author="Tareq Hashim" w:date="2026-03-02T14:52:00Z" w:initials="TH">
    <w:p w14:paraId="1E4804BC" w14:textId="7E6FD909" w:rsidR="00733665" w:rsidRDefault="00733665">
      <w:pPr>
        <w:pStyle w:val="ad"/>
      </w:pPr>
      <w:r>
        <w:rPr>
          <w:rStyle w:val="ac"/>
        </w:rPr>
        <w:annotationRef/>
      </w:r>
      <w:proofErr w:type="spellStart"/>
      <w:r>
        <w:rPr>
          <w:rFonts w:hint="cs"/>
          <w:rtl/>
        </w:rPr>
        <w:t>ارجوتوثيق</w:t>
      </w:r>
      <w:proofErr w:type="spellEnd"/>
      <w:r>
        <w:rPr>
          <w:rFonts w:hint="cs"/>
          <w:rtl/>
        </w:rPr>
        <w:t xml:space="preserve"> مصدر الجدول</w:t>
      </w:r>
    </w:p>
  </w:comment>
  <w:comment w:id="6" w:author="Tareq Hashim" w:date="2026-03-02T14:56:00Z" w:initials="TH">
    <w:p w14:paraId="72CAF2CB" w14:textId="304F35B2" w:rsidR="007237F5" w:rsidRPr="007237F5" w:rsidRDefault="007237F5">
      <w:pPr>
        <w:pStyle w:val="ad"/>
        <w:rPr>
          <w:color w:val="FF0000"/>
        </w:rPr>
      </w:pPr>
      <w:r>
        <w:rPr>
          <w:rStyle w:val="ac"/>
        </w:rPr>
        <w:annotationRef/>
      </w:r>
      <w:r>
        <w:rPr>
          <w:rFonts w:hint="cs"/>
          <w:rtl/>
        </w:rPr>
        <w:t>يجب على الباحث إضافة رايه الشصي في كل موضوع يتم طرحه</w:t>
      </w:r>
    </w:p>
  </w:comment>
  <w:comment w:id="7" w:author="Tareq Hashim" w:date="2026-03-02T14:55:00Z" w:initials="TH">
    <w:p w14:paraId="4A9DC53B" w14:textId="77678E05" w:rsidR="00A231C7" w:rsidRDefault="00A231C7">
      <w:pPr>
        <w:pStyle w:val="ad"/>
      </w:pPr>
      <w:r>
        <w:rPr>
          <w:rStyle w:val="ac"/>
        </w:rPr>
        <w:annotationRef/>
      </w:r>
      <w:r>
        <w:rPr>
          <w:rFonts w:hint="cs"/>
          <w:rtl/>
        </w:rPr>
        <w:t>يجب توثيق مصدر الجدول</w:t>
      </w:r>
    </w:p>
  </w:comment>
  <w:comment w:id="8" w:author="Tareq Hashim" w:date="2026-03-02T14:55:00Z" w:initials="TH">
    <w:p w14:paraId="2DC8FAB0" w14:textId="0B260DFE" w:rsidR="00AB445F" w:rsidRDefault="00AB445F">
      <w:pPr>
        <w:pStyle w:val="ad"/>
      </w:pPr>
      <w:r>
        <w:rPr>
          <w:rStyle w:val="ac"/>
        </w:rPr>
        <w:annotationRef/>
      </w:r>
      <w:r>
        <w:rPr>
          <w:rFonts w:hint="cs"/>
          <w:rtl/>
        </w:rPr>
        <w:t>يجب توثيق مصدر الجدول</w:t>
      </w:r>
    </w:p>
  </w:comment>
  <w:comment w:id="9" w:author="Tareq Hashim" w:date="2026-03-02T14:57:00Z" w:initials="TH">
    <w:p w14:paraId="4CA6D436" w14:textId="6682A2B5" w:rsidR="00CB607B" w:rsidRDefault="00CB607B">
      <w:pPr>
        <w:pStyle w:val="ad"/>
      </w:pPr>
      <w:r>
        <w:rPr>
          <w:rStyle w:val="ac"/>
        </w:rPr>
        <w:annotationRef/>
      </w:r>
      <w:r>
        <w:rPr>
          <w:rFonts w:hint="cs"/>
          <w:rtl/>
        </w:rPr>
        <w:t>أي مقياس تم استخدامه في الدراسة؟</w:t>
      </w:r>
    </w:p>
  </w:comment>
  <w:comment w:id="10" w:author="Tareq Hashim" w:date="2026-03-02T21:04:00Z" w:initials="TH">
    <w:p w14:paraId="1DAB7FE6" w14:textId="419B4C83" w:rsidR="009231E8" w:rsidRDefault="009231E8">
      <w:pPr>
        <w:pStyle w:val="ad"/>
        <w:rPr>
          <w:rtl/>
          <w:lang w:bidi="ar-JO"/>
        </w:rPr>
      </w:pPr>
      <w:r>
        <w:rPr>
          <w:rStyle w:val="ac"/>
        </w:rPr>
        <w:annotationRef/>
      </w:r>
      <w:r>
        <w:rPr>
          <w:rFonts w:hint="cs"/>
          <w:rtl/>
          <w:lang w:bidi="ar-JO"/>
        </w:rPr>
        <w:t xml:space="preserve">إضافة جزء عن العلاقة بين التميز المؤسسي </w:t>
      </w:r>
      <w:proofErr w:type="gramStart"/>
      <w:r>
        <w:rPr>
          <w:rFonts w:hint="cs"/>
          <w:rtl/>
          <w:lang w:bidi="ar-JO"/>
        </w:rPr>
        <w:t>و تجربة</w:t>
      </w:r>
      <w:proofErr w:type="gramEnd"/>
      <w:r>
        <w:rPr>
          <w:rFonts w:hint="cs"/>
          <w:rtl/>
          <w:lang w:bidi="ar-JO"/>
        </w:rPr>
        <w:t xml:space="preserve"> المريض معززا بالدراسات السابقة</w:t>
      </w:r>
    </w:p>
  </w:comment>
  <w:comment w:id="11" w:author="Tareq Hashim" w:date="2026-03-02T21:19:00Z" w:initials="TH">
    <w:p w14:paraId="40A98D82" w14:textId="07396460" w:rsidR="00316673" w:rsidRDefault="00316673">
      <w:pPr>
        <w:pStyle w:val="ad"/>
      </w:pPr>
      <w:r>
        <w:rPr>
          <w:rStyle w:val="ac"/>
        </w:rPr>
        <w:annotationRef/>
      </w:r>
      <w:r>
        <w:rPr>
          <w:rFonts w:hint="cs"/>
          <w:rtl/>
        </w:rPr>
        <w:t xml:space="preserve">ارجو فصل الدراسات في البيئة العربية عن الدراسات في البيئة الأجنبية بالنسبة لكل متغير </w:t>
      </w:r>
    </w:p>
  </w:comment>
  <w:comment w:id="12" w:author="Tareq Hashim" w:date="2026-03-02T14:58:00Z" w:initials="TH">
    <w:p w14:paraId="23E3FF88" w14:textId="6CB825FB" w:rsidR="0001134A" w:rsidRDefault="0001134A">
      <w:pPr>
        <w:pStyle w:val="ad"/>
      </w:pPr>
      <w:r>
        <w:rPr>
          <w:rStyle w:val="ac"/>
        </w:rPr>
        <w:annotationRef/>
      </w:r>
      <w:r>
        <w:rPr>
          <w:rFonts w:hint="cs"/>
          <w:rtl/>
        </w:rPr>
        <w:t xml:space="preserve">ارجو من الباحث تدقيق منهجية الدراسة </w:t>
      </w:r>
    </w:p>
  </w:comment>
  <w:comment w:id="13" w:author="Tareq Hashim" w:date="2026-03-02T14:59:00Z" w:initials="TH">
    <w:p w14:paraId="130A9B3C" w14:textId="11BFB81E" w:rsidR="004C1231" w:rsidRDefault="004C1231">
      <w:pPr>
        <w:pStyle w:val="ad"/>
      </w:pPr>
      <w:r>
        <w:rPr>
          <w:rStyle w:val="ac"/>
        </w:rPr>
        <w:annotationRef/>
      </w:r>
      <w:r>
        <w:rPr>
          <w:rFonts w:hint="cs"/>
          <w:rtl/>
        </w:rPr>
        <w:t>يجب تحديد حجم المجتمع وحجم العينة</w:t>
      </w:r>
    </w:p>
  </w:comment>
  <w:comment w:id="14" w:author="Tareq Hashim" w:date="2026-03-02T21:07:00Z" w:initials="TH">
    <w:p w14:paraId="309D25B5" w14:textId="2A36CD3D" w:rsidR="00B56B6B" w:rsidRDefault="00B56B6B">
      <w:pPr>
        <w:pStyle w:val="ad"/>
      </w:pPr>
      <w:r>
        <w:rPr>
          <w:rStyle w:val="ac"/>
        </w:rPr>
        <w:annotationRef/>
      </w:r>
      <w:r>
        <w:rPr>
          <w:rFonts w:hint="cs"/>
          <w:rtl/>
        </w:rPr>
        <w:t>ارجو تحديد المنهج المستخدم في الدراسة</w:t>
      </w:r>
    </w:p>
  </w:comment>
  <w:comment w:id="15" w:author="Tareq Hashim" w:date="2026-03-02T21:06:00Z" w:initials="TH">
    <w:p w14:paraId="0FD6DB2D" w14:textId="0756FABB" w:rsidR="00262D93" w:rsidRDefault="00262D93">
      <w:pPr>
        <w:pStyle w:val="ad"/>
      </w:pPr>
      <w:r>
        <w:rPr>
          <w:rStyle w:val="ac"/>
        </w:rPr>
        <w:annotationRef/>
      </w:r>
      <w:r>
        <w:rPr>
          <w:rFonts w:hint="cs"/>
          <w:rtl/>
        </w:rPr>
        <w:t>ارجو التأكد من نوع المنهجية المستخدمة</w:t>
      </w:r>
    </w:p>
  </w:comment>
  <w:comment w:id="16" w:author="Tareq Hashim" w:date="2026-03-02T21:14:00Z" w:initials="TH">
    <w:p w14:paraId="0EDA0C87" w14:textId="1B74E6EE" w:rsidR="00AD4D1E" w:rsidRDefault="00AD4D1E">
      <w:pPr>
        <w:pStyle w:val="ad"/>
      </w:pPr>
      <w:r>
        <w:rPr>
          <w:rStyle w:val="ac"/>
        </w:rPr>
        <w:annotationRef/>
      </w:r>
      <w:r w:rsidRPr="00AD4D1E">
        <w:rPr>
          <w:rFonts w:cs="Arial"/>
          <w:rtl/>
        </w:rPr>
        <w:t>ارجو تحديد المنهج المستخدم في الدراسة</w:t>
      </w:r>
    </w:p>
  </w:comment>
  <w:comment w:id="17" w:author="Tareq Hashim" w:date="2026-03-02T21:15:00Z" w:initials="TH">
    <w:p w14:paraId="181338C7" w14:textId="23E25A3B" w:rsidR="00B45B4E" w:rsidRDefault="00B45B4E">
      <w:pPr>
        <w:pStyle w:val="ad"/>
      </w:pPr>
      <w:r>
        <w:rPr>
          <w:rStyle w:val="ac"/>
        </w:rPr>
        <w:annotationRef/>
      </w:r>
      <w:r w:rsidRPr="00B45B4E">
        <w:rPr>
          <w:rFonts w:cs="Arial"/>
          <w:rtl/>
        </w:rPr>
        <w:t>ارجو تحديد المنهج المستخدم في الدراسة</w:t>
      </w:r>
    </w:p>
  </w:comment>
  <w:comment w:id="18" w:author="Tareq Hashim" w:date="2026-03-02T21:16:00Z" w:initials="TH">
    <w:p w14:paraId="5245E426" w14:textId="0FF68FB0" w:rsidR="00CC0B54" w:rsidRPr="00CC0B54" w:rsidRDefault="00CC0B54">
      <w:pPr>
        <w:pStyle w:val="ad"/>
        <w:rPr>
          <w:color w:val="FF0000"/>
        </w:rPr>
      </w:pPr>
      <w:r>
        <w:rPr>
          <w:rStyle w:val="ac"/>
        </w:rPr>
        <w:annotationRef/>
      </w:r>
      <w:r w:rsidRPr="00CC0B54">
        <w:rPr>
          <w:rFonts w:cs="Arial"/>
          <w:rtl/>
        </w:rPr>
        <w:t>ارجو تحديد المنهج المستخدم في الدراسة</w:t>
      </w:r>
    </w:p>
  </w:comment>
  <w:comment w:id="19" w:author="Tareq Hashim" w:date="2026-03-02T21:16:00Z" w:initials="TH">
    <w:p w14:paraId="26D52C09" w14:textId="58348CD7" w:rsidR="00F548B6" w:rsidRDefault="00F548B6">
      <w:pPr>
        <w:pStyle w:val="ad"/>
      </w:pPr>
      <w:r>
        <w:rPr>
          <w:rStyle w:val="ac"/>
        </w:rPr>
        <w:annotationRef/>
      </w:r>
      <w:r>
        <w:rPr>
          <w:rFonts w:hint="cs"/>
          <w:rtl/>
        </w:rPr>
        <w:t>التأكد من المنهجية المستخدمة</w:t>
      </w:r>
    </w:p>
  </w:comment>
  <w:comment w:id="20" w:author="Tareq Hashim" w:date="2026-03-02T21:18:00Z" w:initials="TH">
    <w:p w14:paraId="02C9B975" w14:textId="42AC5AAA" w:rsidR="000C79EB" w:rsidRDefault="000C79EB">
      <w:pPr>
        <w:pStyle w:val="ad"/>
      </w:pPr>
      <w:r>
        <w:rPr>
          <w:rStyle w:val="ac"/>
        </w:rPr>
        <w:annotationRef/>
      </w:r>
      <w:r w:rsidRPr="000C79EB">
        <w:rPr>
          <w:rFonts w:cs="Arial"/>
          <w:rtl/>
        </w:rPr>
        <w:t>ارجو تحديد المنهج المستخدم في الدراسة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9656D9" w15:done="0"/>
  <w15:commentEx w15:paraId="24FFC81A" w15:done="0"/>
  <w15:commentEx w15:paraId="3DD9A589" w15:done="0"/>
  <w15:commentEx w15:paraId="6059306D" w15:done="0"/>
  <w15:commentEx w15:paraId="5457BC1D" w15:done="0"/>
  <w15:commentEx w15:paraId="1E4804BC" w15:done="0"/>
  <w15:commentEx w15:paraId="72CAF2CB" w15:done="0"/>
  <w15:commentEx w15:paraId="4A9DC53B" w15:done="0"/>
  <w15:commentEx w15:paraId="2DC8FAB0" w15:done="0"/>
  <w15:commentEx w15:paraId="4CA6D436" w15:done="0"/>
  <w15:commentEx w15:paraId="1DAB7FE6" w15:done="0"/>
  <w15:commentEx w15:paraId="40A98D82" w15:done="0"/>
  <w15:commentEx w15:paraId="23E3FF88" w15:done="0"/>
  <w15:commentEx w15:paraId="130A9B3C" w15:done="0"/>
  <w15:commentEx w15:paraId="309D25B5" w15:done="0"/>
  <w15:commentEx w15:paraId="0FD6DB2D" w15:done="0"/>
  <w15:commentEx w15:paraId="0EDA0C87" w15:done="0"/>
  <w15:commentEx w15:paraId="181338C7" w15:done="0"/>
  <w15:commentEx w15:paraId="5245E426" w15:done="0"/>
  <w15:commentEx w15:paraId="26D52C09" w15:done="0"/>
  <w15:commentEx w15:paraId="02C9B9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8AA1720" w16cex:dateUtc="2026-03-02T11:43:00Z"/>
  <w16cex:commentExtensible w16cex:durableId="3DB8EFFD" w16cex:dateUtc="2026-03-02T11:45:00Z"/>
  <w16cex:commentExtensible w16cex:durableId="42521C0D" w16cex:dateUtc="2026-03-02T11:50:00Z"/>
  <w16cex:commentExtensible w16cex:durableId="3D867C74" w16cex:dateUtc="2026-03-02T11:51:00Z"/>
  <w16cex:commentExtensible w16cex:durableId="6CEE0063" w16cex:dateUtc="2026-03-02T11:53:00Z"/>
  <w16cex:commentExtensible w16cex:durableId="68B0FB21" w16cex:dateUtc="2026-03-02T11:52:00Z"/>
  <w16cex:commentExtensible w16cex:durableId="3CD2EE62" w16cex:dateUtc="2026-03-02T11:56:00Z"/>
  <w16cex:commentExtensible w16cex:durableId="37A7A67C" w16cex:dateUtc="2026-03-02T11:55:00Z"/>
  <w16cex:commentExtensible w16cex:durableId="51F0BA27" w16cex:dateUtc="2026-03-02T11:55:00Z"/>
  <w16cex:commentExtensible w16cex:durableId="435B01D3" w16cex:dateUtc="2026-03-02T11:57:00Z"/>
  <w16cex:commentExtensible w16cex:durableId="2D7D6BBF" w16cex:dateUtc="2026-03-02T18:04:00Z"/>
  <w16cex:commentExtensible w16cex:durableId="763B8FC3" w16cex:dateUtc="2026-03-02T18:19:00Z"/>
  <w16cex:commentExtensible w16cex:durableId="73BC81FD" w16cex:dateUtc="2026-03-02T11:58:00Z"/>
  <w16cex:commentExtensible w16cex:durableId="3A9F4AFB" w16cex:dateUtc="2026-03-02T11:59:00Z"/>
  <w16cex:commentExtensible w16cex:durableId="3E57DF45" w16cex:dateUtc="2026-03-02T18:07:00Z"/>
  <w16cex:commentExtensible w16cex:durableId="58554B6A" w16cex:dateUtc="2026-03-02T18:06:00Z"/>
  <w16cex:commentExtensible w16cex:durableId="396E1AEE" w16cex:dateUtc="2026-03-02T18:14:00Z"/>
  <w16cex:commentExtensible w16cex:durableId="281B26E7" w16cex:dateUtc="2026-03-02T18:15:00Z"/>
  <w16cex:commentExtensible w16cex:durableId="6BF09E6B" w16cex:dateUtc="2026-03-02T18:16:00Z"/>
  <w16cex:commentExtensible w16cex:durableId="6C1A3845" w16cex:dateUtc="2026-03-02T18:16:00Z"/>
  <w16cex:commentExtensible w16cex:durableId="5480638A" w16cex:dateUtc="2026-03-02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9656D9" w16cid:durableId="18AA1720"/>
  <w16cid:commentId w16cid:paraId="24FFC81A" w16cid:durableId="3DB8EFFD"/>
  <w16cid:commentId w16cid:paraId="3DD9A589" w16cid:durableId="42521C0D"/>
  <w16cid:commentId w16cid:paraId="6059306D" w16cid:durableId="3D867C74"/>
  <w16cid:commentId w16cid:paraId="5457BC1D" w16cid:durableId="6CEE0063"/>
  <w16cid:commentId w16cid:paraId="1E4804BC" w16cid:durableId="68B0FB21"/>
  <w16cid:commentId w16cid:paraId="72CAF2CB" w16cid:durableId="3CD2EE62"/>
  <w16cid:commentId w16cid:paraId="4A9DC53B" w16cid:durableId="37A7A67C"/>
  <w16cid:commentId w16cid:paraId="2DC8FAB0" w16cid:durableId="51F0BA27"/>
  <w16cid:commentId w16cid:paraId="4CA6D436" w16cid:durableId="435B01D3"/>
  <w16cid:commentId w16cid:paraId="1DAB7FE6" w16cid:durableId="2D7D6BBF"/>
  <w16cid:commentId w16cid:paraId="40A98D82" w16cid:durableId="763B8FC3"/>
  <w16cid:commentId w16cid:paraId="23E3FF88" w16cid:durableId="73BC81FD"/>
  <w16cid:commentId w16cid:paraId="130A9B3C" w16cid:durableId="3A9F4AFB"/>
  <w16cid:commentId w16cid:paraId="309D25B5" w16cid:durableId="3E57DF45"/>
  <w16cid:commentId w16cid:paraId="0FD6DB2D" w16cid:durableId="58554B6A"/>
  <w16cid:commentId w16cid:paraId="0EDA0C87" w16cid:durableId="396E1AEE"/>
  <w16cid:commentId w16cid:paraId="181338C7" w16cid:durableId="281B26E7"/>
  <w16cid:commentId w16cid:paraId="5245E426" w16cid:durableId="6BF09E6B"/>
  <w16cid:commentId w16cid:paraId="26D52C09" w16cid:durableId="6C1A3845"/>
  <w16cid:commentId w16cid:paraId="02C9B975" w16cid:durableId="548063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2D09D" w14:textId="77777777" w:rsidR="00711C64" w:rsidRDefault="00711C64">
      <w:r>
        <w:separator/>
      </w:r>
    </w:p>
  </w:endnote>
  <w:endnote w:type="continuationSeparator" w:id="0">
    <w:p w14:paraId="1C6254DC" w14:textId="77777777" w:rsidR="00711C64" w:rsidRDefault="0071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AutoText"/>
      </w:docPartObj>
    </w:sdtPr>
    <w:sdtEndPr/>
    <w:sdtContent>
      <w:p w14:paraId="649854A3" w14:textId="284C955A" w:rsidR="004F600B" w:rsidRDefault="00195FBA">
        <w:pPr>
          <w:pStyle w:val="a5"/>
          <w:jc w:val="center"/>
        </w:pPr>
        <w:r>
          <w:fldChar w:fldCharType="begin"/>
        </w:r>
        <w:r>
          <w:instrText xml:space="preserve"> PAGE   \* MERGEFORMAT </w:instrText>
        </w:r>
        <w:r>
          <w:fldChar w:fldCharType="separate"/>
        </w:r>
        <w:r w:rsidR="009A6288">
          <w:rPr>
            <w:noProof/>
          </w:rPr>
          <w:t>6</w:t>
        </w:r>
        <w:r>
          <w:fldChar w:fldCharType="end"/>
        </w:r>
      </w:p>
    </w:sdtContent>
  </w:sdt>
  <w:p w14:paraId="42F3EAE6" w14:textId="77777777" w:rsidR="004F600B" w:rsidRDefault="004F60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42F4" w14:textId="77777777" w:rsidR="004F600B" w:rsidRDefault="00195FBA">
    <w:pPr>
      <w:pStyle w:val="a5"/>
      <w:bidi/>
      <w:rPr>
        <w:sz w:val="24"/>
        <w:szCs w:val="24"/>
      </w:rPr>
    </w:pP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68367" w14:textId="77777777" w:rsidR="00711C64" w:rsidRDefault="00711C64">
      <w:pPr>
        <w:spacing w:after="0"/>
      </w:pPr>
      <w:r>
        <w:separator/>
      </w:r>
    </w:p>
  </w:footnote>
  <w:footnote w:type="continuationSeparator" w:id="0">
    <w:p w14:paraId="20772A75" w14:textId="77777777" w:rsidR="00711C64" w:rsidRDefault="00711C6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E5C9" w14:textId="77777777" w:rsidR="004F600B" w:rsidRDefault="00711C64">
    <w:pPr>
      <w:pStyle w:val="a6"/>
    </w:pPr>
    <w:r>
      <w:pict w14:anchorId="55A9A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3120;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1BE1C" w14:textId="77777777" w:rsidR="004F600B" w:rsidRDefault="00711C64">
    <w:pPr>
      <w:pStyle w:val="a6"/>
    </w:pPr>
    <w:r>
      <w:pict w14:anchorId="1F2F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2096;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AutoText"/>
      </w:docPartObj>
    </w:sdtPr>
    <w:sdtEndPr/>
    <w:sdtContent>
      <w:p w14:paraId="3C801C66" w14:textId="77777777" w:rsidR="004F600B" w:rsidRDefault="00711C64">
        <w:pPr>
          <w:pStyle w:val="a6"/>
        </w:pPr>
        <w:r>
          <w:pict w14:anchorId="7F93E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4144;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680A"/>
    <w:multiLevelType w:val="hybridMultilevel"/>
    <w:tmpl w:val="506E0B3C"/>
    <w:lvl w:ilvl="0" w:tplc="EE12D4F0">
      <w:start w:val="1"/>
      <w:numFmt w:val="decimal"/>
      <w:lvlText w:val="%1-"/>
      <w:lvlJc w:val="left"/>
      <w:pPr>
        <w:ind w:left="720" w:hanging="360"/>
      </w:pPr>
      <w:rPr>
        <w:rFonts w:ascii="Traditional Arabic" w:eastAsiaTheme="minorHAnsi" w:hAnsi="Traditional Arabic" w:cs="Traditional Arabic"/>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14632"/>
    <w:multiLevelType w:val="hybridMultilevel"/>
    <w:tmpl w:val="700E6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963CB"/>
    <w:multiLevelType w:val="hybridMultilevel"/>
    <w:tmpl w:val="C6867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DD3468"/>
    <w:multiLevelType w:val="multilevel"/>
    <w:tmpl w:val="04DD3468"/>
    <w:lvl w:ilvl="0">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6B9077D"/>
    <w:multiLevelType w:val="hybridMultilevel"/>
    <w:tmpl w:val="DF44F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D23D9"/>
    <w:multiLevelType w:val="hybridMultilevel"/>
    <w:tmpl w:val="98FC8D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BA4365"/>
    <w:multiLevelType w:val="hybridMultilevel"/>
    <w:tmpl w:val="13367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03281D"/>
    <w:multiLevelType w:val="hybridMultilevel"/>
    <w:tmpl w:val="456EF0D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350919"/>
    <w:multiLevelType w:val="hybridMultilevel"/>
    <w:tmpl w:val="4D180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B6132"/>
    <w:multiLevelType w:val="hybridMultilevel"/>
    <w:tmpl w:val="96B2B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61EED"/>
    <w:multiLevelType w:val="hybridMultilevel"/>
    <w:tmpl w:val="F9527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547D84"/>
    <w:multiLevelType w:val="hybridMultilevel"/>
    <w:tmpl w:val="1BAE3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325516"/>
    <w:multiLevelType w:val="hybridMultilevel"/>
    <w:tmpl w:val="DC680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106A08"/>
    <w:multiLevelType w:val="hybridMultilevel"/>
    <w:tmpl w:val="05969400"/>
    <w:lvl w:ilvl="0" w:tplc="40403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7294B"/>
    <w:multiLevelType w:val="hybridMultilevel"/>
    <w:tmpl w:val="D01A1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7B6337"/>
    <w:multiLevelType w:val="hybridMultilevel"/>
    <w:tmpl w:val="05F60EA6"/>
    <w:lvl w:ilvl="0" w:tplc="6CE89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9D0418"/>
    <w:multiLevelType w:val="hybridMultilevel"/>
    <w:tmpl w:val="8FBCC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C40268"/>
    <w:multiLevelType w:val="hybridMultilevel"/>
    <w:tmpl w:val="0B24D5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D906B0"/>
    <w:multiLevelType w:val="hybridMultilevel"/>
    <w:tmpl w:val="6DAC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465213"/>
    <w:multiLevelType w:val="hybridMultilevel"/>
    <w:tmpl w:val="1ADA9A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1B77DB"/>
    <w:multiLevelType w:val="hybridMultilevel"/>
    <w:tmpl w:val="9ED03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D41FAE"/>
    <w:multiLevelType w:val="hybridMultilevel"/>
    <w:tmpl w:val="FCCCA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F414BE"/>
    <w:multiLevelType w:val="hybridMultilevel"/>
    <w:tmpl w:val="0432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947461"/>
    <w:multiLevelType w:val="hybridMultilevel"/>
    <w:tmpl w:val="E62A8C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976784"/>
    <w:multiLevelType w:val="hybridMultilevel"/>
    <w:tmpl w:val="24262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F6353B"/>
    <w:multiLevelType w:val="multilevel"/>
    <w:tmpl w:val="BE94A6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BD662F"/>
    <w:multiLevelType w:val="hybridMultilevel"/>
    <w:tmpl w:val="C0FC1F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9737C5"/>
    <w:multiLevelType w:val="hybridMultilevel"/>
    <w:tmpl w:val="86BEBA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D14BE5"/>
    <w:multiLevelType w:val="hybridMultilevel"/>
    <w:tmpl w:val="97622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E7A0B06"/>
    <w:multiLevelType w:val="hybridMultilevel"/>
    <w:tmpl w:val="0764D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324757"/>
    <w:multiLevelType w:val="hybridMultilevel"/>
    <w:tmpl w:val="96D84C38"/>
    <w:lvl w:ilvl="0" w:tplc="9D58AC2C">
      <w:start w:val="1"/>
      <w:numFmt w:val="decimal"/>
      <w:lvlText w:val="%1-"/>
      <w:lvlJc w:val="left"/>
      <w:pPr>
        <w:ind w:left="720" w:hanging="360"/>
      </w:pPr>
      <w:rPr>
        <w:rFonts w:hint="default"/>
      </w:rPr>
    </w:lvl>
    <w:lvl w:ilvl="1" w:tplc="8AE4D6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FF25A0"/>
    <w:multiLevelType w:val="hybridMultilevel"/>
    <w:tmpl w:val="4C2CB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A53BF4"/>
    <w:multiLevelType w:val="hybridMultilevel"/>
    <w:tmpl w:val="90C4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D47CF3"/>
    <w:multiLevelType w:val="hybridMultilevel"/>
    <w:tmpl w:val="4816FF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BD85425"/>
    <w:multiLevelType w:val="hybridMultilevel"/>
    <w:tmpl w:val="B48E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8A5728"/>
    <w:multiLevelType w:val="hybridMultilevel"/>
    <w:tmpl w:val="DFAA04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2E70E2"/>
    <w:multiLevelType w:val="hybridMultilevel"/>
    <w:tmpl w:val="B1EAF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2A0E8B"/>
    <w:multiLevelType w:val="hybridMultilevel"/>
    <w:tmpl w:val="4002F0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A6067F"/>
    <w:multiLevelType w:val="hybridMultilevel"/>
    <w:tmpl w:val="B9A0D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BB450B1"/>
    <w:multiLevelType w:val="hybridMultilevel"/>
    <w:tmpl w:val="991C76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213848"/>
    <w:multiLevelType w:val="hybridMultilevel"/>
    <w:tmpl w:val="BD922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DF05C4"/>
    <w:multiLevelType w:val="hybridMultilevel"/>
    <w:tmpl w:val="B10C9F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440FB6"/>
    <w:multiLevelType w:val="hybridMultilevel"/>
    <w:tmpl w:val="72C0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81039E"/>
    <w:multiLevelType w:val="hybridMultilevel"/>
    <w:tmpl w:val="E53E38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7FA31D5"/>
    <w:multiLevelType w:val="multilevel"/>
    <w:tmpl w:val="4FF03CD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DA5973"/>
    <w:multiLevelType w:val="hybridMultilevel"/>
    <w:tmpl w:val="5EBE1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B04E74"/>
    <w:multiLevelType w:val="hybridMultilevel"/>
    <w:tmpl w:val="F9389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E7F57DB"/>
    <w:multiLevelType w:val="hybridMultilevel"/>
    <w:tmpl w:val="6CAA1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E9327D"/>
    <w:multiLevelType w:val="hybridMultilevel"/>
    <w:tmpl w:val="DBFC04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B61F6C"/>
    <w:multiLevelType w:val="hybridMultilevel"/>
    <w:tmpl w:val="77CC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B885216"/>
    <w:multiLevelType w:val="hybridMultilevel"/>
    <w:tmpl w:val="D6783C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D207CBA"/>
    <w:multiLevelType w:val="hybridMultilevel"/>
    <w:tmpl w:val="F1C8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6A76CD"/>
    <w:multiLevelType w:val="hybridMultilevel"/>
    <w:tmpl w:val="E7C4D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0"/>
  </w:num>
  <w:num w:numId="4">
    <w:abstractNumId w:val="33"/>
  </w:num>
  <w:num w:numId="5">
    <w:abstractNumId w:val="0"/>
  </w:num>
  <w:num w:numId="6">
    <w:abstractNumId w:val="13"/>
  </w:num>
  <w:num w:numId="7">
    <w:abstractNumId w:val="30"/>
  </w:num>
  <w:num w:numId="8">
    <w:abstractNumId w:val="25"/>
  </w:num>
  <w:num w:numId="9">
    <w:abstractNumId w:val="11"/>
  </w:num>
  <w:num w:numId="10">
    <w:abstractNumId w:val="4"/>
  </w:num>
  <w:num w:numId="11">
    <w:abstractNumId w:val="44"/>
  </w:num>
  <w:num w:numId="12">
    <w:abstractNumId w:val="49"/>
  </w:num>
  <w:num w:numId="13">
    <w:abstractNumId w:val="21"/>
  </w:num>
  <w:num w:numId="14">
    <w:abstractNumId w:val="35"/>
  </w:num>
  <w:num w:numId="15">
    <w:abstractNumId w:val="27"/>
  </w:num>
  <w:num w:numId="16">
    <w:abstractNumId w:val="32"/>
  </w:num>
  <w:num w:numId="17">
    <w:abstractNumId w:val="47"/>
  </w:num>
  <w:num w:numId="18">
    <w:abstractNumId w:val="23"/>
  </w:num>
  <w:num w:numId="19">
    <w:abstractNumId w:val="1"/>
  </w:num>
  <w:num w:numId="20">
    <w:abstractNumId w:val="34"/>
  </w:num>
  <w:num w:numId="21">
    <w:abstractNumId w:val="19"/>
  </w:num>
  <w:num w:numId="22">
    <w:abstractNumId w:val="14"/>
  </w:num>
  <w:num w:numId="23">
    <w:abstractNumId w:val="36"/>
  </w:num>
  <w:num w:numId="24">
    <w:abstractNumId w:val="2"/>
  </w:num>
  <w:num w:numId="25">
    <w:abstractNumId w:val="26"/>
  </w:num>
  <w:num w:numId="26">
    <w:abstractNumId w:val="24"/>
  </w:num>
  <w:num w:numId="27">
    <w:abstractNumId w:val="51"/>
  </w:num>
  <w:num w:numId="28">
    <w:abstractNumId w:val="15"/>
  </w:num>
  <w:num w:numId="29">
    <w:abstractNumId w:val="31"/>
  </w:num>
  <w:num w:numId="30">
    <w:abstractNumId w:val="46"/>
  </w:num>
  <w:num w:numId="31">
    <w:abstractNumId w:val="6"/>
  </w:num>
  <w:num w:numId="32">
    <w:abstractNumId w:val="50"/>
  </w:num>
  <w:num w:numId="33">
    <w:abstractNumId w:val="37"/>
  </w:num>
  <w:num w:numId="34">
    <w:abstractNumId w:val="41"/>
  </w:num>
  <w:num w:numId="35">
    <w:abstractNumId w:val="20"/>
  </w:num>
  <w:num w:numId="36">
    <w:abstractNumId w:val="39"/>
  </w:num>
  <w:num w:numId="37">
    <w:abstractNumId w:val="38"/>
  </w:num>
  <w:num w:numId="38">
    <w:abstractNumId w:val="16"/>
  </w:num>
  <w:num w:numId="39">
    <w:abstractNumId w:val="28"/>
  </w:num>
  <w:num w:numId="40">
    <w:abstractNumId w:val="5"/>
  </w:num>
  <w:num w:numId="41">
    <w:abstractNumId w:val="42"/>
  </w:num>
  <w:num w:numId="42">
    <w:abstractNumId w:val="17"/>
  </w:num>
  <w:num w:numId="43">
    <w:abstractNumId w:val="45"/>
  </w:num>
  <w:num w:numId="44">
    <w:abstractNumId w:val="52"/>
  </w:num>
  <w:num w:numId="45">
    <w:abstractNumId w:val="18"/>
  </w:num>
  <w:num w:numId="46">
    <w:abstractNumId w:val="12"/>
  </w:num>
  <w:num w:numId="47">
    <w:abstractNumId w:val="8"/>
  </w:num>
  <w:num w:numId="48">
    <w:abstractNumId w:val="29"/>
  </w:num>
  <w:num w:numId="49">
    <w:abstractNumId w:val="22"/>
  </w:num>
  <w:num w:numId="50">
    <w:abstractNumId w:val="40"/>
  </w:num>
  <w:num w:numId="51">
    <w:abstractNumId w:val="9"/>
  </w:num>
  <w:num w:numId="52">
    <w:abstractNumId w:val="43"/>
  </w:num>
  <w:num w:numId="53">
    <w:abstractNumId w:val="48"/>
  </w:num>
  <w:numIdMacAtCleanup w:val="5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3C8"/>
    <w:rsid w:val="000013F6"/>
    <w:rsid w:val="00001522"/>
    <w:rsid w:val="00001C83"/>
    <w:rsid w:val="00002454"/>
    <w:rsid w:val="000037A2"/>
    <w:rsid w:val="000042EF"/>
    <w:rsid w:val="00004383"/>
    <w:rsid w:val="0000445A"/>
    <w:rsid w:val="0000461F"/>
    <w:rsid w:val="0000497C"/>
    <w:rsid w:val="00004B02"/>
    <w:rsid w:val="00005FAF"/>
    <w:rsid w:val="00006F00"/>
    <w:rsid w:val="00007834"/>
    <w:rsid w:val="00007A87"/>
    <w:rsid w:val="0001134A"/>
    <w:rsid w:val="000123FD"/>
    <w:rsid w:val="0001269E"/>
    <w:rsid w:val="000131B5"/>
    <w:rsid w:val="00013679"/>
    <w:rsid w:val="0001456A"/>
    <w:rsid w:val="00015F0D"/>
    <w:rsid w:val="000160F9"/>
    <w:rsid w:val="00016144"/>
    <w:rsid w:val="000173F7"/>
    <w:rsid w:val="00017F9E"/>
    <w:rsid w:val="00020A00"/>
    <w:rsid w:val="00021455"/>
    <w:rsid w:val="00021B93"/>
    <w:rsid w:val="000222B1"/>
    <w:rsid w:val="0002375D"/>
    <w:rsid w:val="00023D3F"/>
    <w:rsid w:val="00024AC8"/>
    <w:rsid w:val="000253DD"/>
    <w:rsid w:val="00026252"/>
    <w:rsid w:val="00026491"/>
    <w:rsid w:val="00026FB8"/>
    <w:rsid w:val="00027449"/>
    <w:rsid w:val="00027A34"/>
    <w:rsid w:val="00027AC2"/>
    <w:rsid w:val="0003075D"/>
    <w:rsid w:val="000318A7"/>
    <w:rsid w:val="00031FF3"/>
    <w:rsid w:val="0003209C"/>
    <w:rsid w:val="000322E7"/>
    <w:rsid w:val="000337EF"/>
    <w:rsid w:val="0003405B"/>
    <w:rsid w:val="00034A35"/>
    <w:rsid w:val="00034BB5"/>
    <w:rsid w:val="0003682E"/>
    <w:rsid w:val="00036BD2"/>
    <w:rsid w:val="000375C3"/>
    <w:rsid w:val="00037DEC"/>
    <w:rsid w:val="00040A34"/>
    <w:rsid w:val="000414DF"/>
    <w:rsid w:val="00041CF7"/>
    <w:rsid w:val="00042408"/>
    <w:rsid w:val="00043A87"/>
    <w:rsid w:val="00043E8B"/>
    <w:rsid w:val="00044093"/>
    <w:rsid w:val="00044CFD"/>
    <w:rsid w:val="00045207"/>
    <w:rsid w:val="00045391"/>
    <w:rsid w:val="00046540"/>
    <w:rsid w:val="00046E43"/>
    <w:rsid w:val="0004727B"/>
    <w:rsid w:val="00047916"/>
    <w:rsid w:val="000504AC"/>
    <w:rsid w:val="000506DF"/>
    <w:rsid w:val="000510CC"/>
    <w:rsid w:val="000517EE"/>
    <w:rsid w:val="00051E95"/>
    <w:rsid w:val="00052050"/>
    <w:rsid w:val="00052491"/>
    <w:rsid w:val="000526C9"/>
    <w:rsid w:val="00052C5D"/>
    <w:rsid w:val="00053002"/>
    <w:rsid w:val="000535EB"/>
    <w:rsid w:val="000537CC"/>
    <w:rsid w:val="000542D9"/>
    <w:rsid w:val="0005466E"/>
    <w:rsid w:val="00055A9A"/>
    <w:rsid w:val="00055E99"/>
    <w:rsid w:val="00055EB0"/>
    <w:rsid w:val="0005751E"/>
    <w:rsid w:val="00060A07"/>
    <w:rsid w:val="00060B1D"/>
    <w:rsid w:val="00061A09"/>
    <w:rsid w:val="000623ED"/>
    <w:rsid w:val="0006257C"/>
    <w:rsid w:val="00063DB0"/>
    <w:rsid w:val="00064CF1"/>
    <w:rsid w:val="000657D6"/>
    <w:rsid w:val="000663FC"/>
    <w:rsid w:val="00066DEE"/>
    <w:rsid w:val="0007032A"/>
    <w:rsid w:val="00070BB4"/>
    <w:rsid w:val="00071DCC"/>
    <w:rsid w:val="00071F58"/>
    <w:rsid w:val="000725EB"/>
    <w:rsid w:val="00073274"/>
    <w:rsid w:val="000742AE"/>
    <w:rsid w:val="00074957"/>
    <w:rsid w:val="0007634B"/>
    <w:rsid w:val="00076AC1"/>
    <w:rsid w:val="00076FD0"/>
    <w:rsid w:val="00077059"/>
    <w:rsid w:val="00077CBE"/>
    <w:rsid w:val="00077E07"/>
    <w:rsid w:val="00080392"/>
    <w:rsid w:val="00080A58"/>
    <w:rsid w:val="00080B38"/>
    <w:rsid w:val="0008162D"/>
    <w:rsid w:val="000819EC"/>
    <w:rsid w:val="000831BC"/>
    <w:rsid w:val="00083BFB"/>
    <w:rsid w:val="00084205"/>
    <w:rsid w:val="0008431E"/>
    <w:rsid w:val="00084481"/>
    <w:rsid w:val="000849F7"/>
    <w:rsid w:val="0008541F"/>
    <w:rsid w:val="00085DC2"/>
    <w:rsid w:val="00086549"/>
    <w:rsid w:val="000870C7"/>
    <w:rsid w:val="00087A62"/>
    <w:rsid w:val="00087D96"/>
    <w:rsid w:val="00087E4F"/>
    <w:rsid w:val="00090A9C"/>
    <w:rsid w:val="00090DD9"/>
    <w:rsid w:val="00090EBE"/>
    <w:rsid w:val="000910EE"/>
    <w:rsid w:val="00091E58"/>
    <w:rsid w:val="00092C24"/>
    <w:rsid w:val="00093140"/>
    <w:rsid w:val="0009318E"/>
    <w:rsid w:val="000940A0"/>
    <w:rsid w:val="00094390"/>
    <w:rsid w:val="0009469E"/>
    <w:rsid w:val="00094A39"/>
    <w:rsid w:val="00094A91"/>
    <w:rsid w:val="00095235"/>
    <w:rsid w:val="00095287"/>
    <w:rsid w:val="0009551D"/>
    <w:rsid w:val="00095C6A"/>
    <w:rsid w:val="00096052"/>
    <w:rsid w:val="000960E2"/>
    <w:rsid w:val="00096228"/>
    <w:rsid w:val="00096BE9"/>
    <w:rsid w:val="0009726F"/>
    <w:rsid w:val="000A0001"/>
    <w:rsid w:val="000A0546"/>
    <w:rsid w:val="000A066F"/>
    <w:rsid w:val="000A100D"/>
    <w:rsid w:val="000A19E7"/>
    <w:rsid w:val="000A1D3E"/>
    <w:rsid w:val="000A1E46"/>
    <w:rsid w:val="000A2C8A"/>
    <w:rsid w:val="000A310D"/>
    <w:rsid w:val="000A3F3B"/>
    <w:rsid w:val="000A49ED"/>
    <w:rsid w:val="000A4DC1"/>
    <w:rsid w:val="000A5D8C"/>
    <w:rsid w:val="000A63D1"/>
    <w:rsid w:val="000A6BD9"/>
    <w:rsid w:val="000A6F44"/>
    <w:rsid w:val="000A749C"/>
    <w:rsid w:val="000B0B32"/>
    <w:rsid w:val="000B1F5A"/>
    <w:rsid w:val="000B202E"/>
    <w:rsid w:val="000B2B79"/>
    <w:rsid w:val="000B335B"/>
    <w:rsid w:val="000B3F7A"/>
    <w:rsid w:val="000B4D76"/>
    <w:rsid w:val="000B63F3"/>
    <w:rsid w:val="000B64C1"/>
    <w:rsid w:val="000B6AFD"/>
    <w:rsid w:val="000B706D"/>
    <w:rsid w:val="000B773D"/>
    <w:rsid w:val="000B7911"/>
    <w:rsid w:val="000C0274"/>
    <w:rsid w:val="000C0C55"/>
    <w:rsid w:val="000C2231"/>
    <w:rsid w:val="000C24EC"/>
    <w:rsid w:val="000C2E40"/>
    <w:rsid w:val="000C2F76"/>
    <w:rsid w:val="000C3FE2"/>
    <w:rsid w:val="000C4513"/>
    <w:rsid w:val="000C4995"/>
    <w:rsid w:val="000C62E3"/>
    <w:rsid w:val="000C7128"/>
    <w:rsid w:val="000C793A"/>
    <w:rsid w:val="000C79EB"/>
    <w:rsid w:val="000D062C"/>
    <w:rsid w:val="000D0869"/>
    <w:rsid w:val="000D0E25"/>
    <w:rsid w:val="000D3EAE"/>
    <w:rsid w:val="000D4382"/>
    <w:rsid w:val="000D50A4"/>
    <w:rsid w:val="000D5131"/>
    <w:rsid w:val="000D606C"/>
    <w:rsid w:val="000D62EC"/>
    <w:rsid w:val="000E0AFC"/>
    <w:rsid w:val="000E0D2B"/>
    <w:rsid w:val="000E0FBE"/>
    <w:rsid w:val="000E1FE7"/>
    <w:rsid w:val="000E23AB"/>
    <w:rsid w:val="000E2ED2"/>
    <w:rsid w:val="000E355F"/>
    <w:rsid w:val="000E3A0D"/>
    <w:rsid w:val="000E3C46"/>
    <w:rsid w:val="000E41A3"/>
    <w:rsid w:val="000E5E45"/>
    <w:rsid w:val="000E682F"/>
    <w:rsid w:val="000E6887"/>
    <w:rsid w:val="000E6A36"/>
    <w:rsid w:val="000E760E"/>
    <w:rsid w:val="000E7996"/>
    <w:rsid w:val="000F058B"/>
    <w:rsid w:val="000F0A0D"/>
    <w:rsid w:val="000F10CE"/>
    <w:rsid w:val="000F13E8"/>
    <w:rsid w:val="000F389E"/>
    <w:rsid w:val="000F405A"/>
    <w:rsid w:val="000F4230"/>
    <w:rsid w:val="000F45E8"/>
    <w:rsid w:val="000F49B7"/>
    <w:rsid w:val="000F4A49"/>
    <w:rsid w:val="000F58CD"/>
    <w:rsid w:val="000F715C"/>
    <w:rsid w:val="000F750F"/>
    <w:rsid w:val="000F7F04"/>
    <w:rsid w:val="00100D5A"/>
    <w:rsid w:val="00101D80"/>
    <w:rsid w:val="00102ED7"/>
    <w:rsid w:val="001032E8"/>
    <w:rsid w:val="001033C4"/>
    <w:rsid w:val="001052BA"/>
    <w:rsid w:val="001056E1"/>
    <w:rsid w:val="00105F34"/>
    <w:rsid w:val="001060A8"/>
    <w:rsid w:val="001066D8"/>
    <w:rsid w:val="00106BB6"/>
    <w:rsid w:val="00110665"/>
    <w:rsid w:val="00110B73"/>
    <w:rsid w:val="0011126E"/>
    <w:rsid w:val="00111779"/>
    <w:rsid w:val="0011186B"/>
    <w:rsid w:val="001120AB"/>
    <w:rsid w:val="00114233"/>
    <w:rsid w:val="001144F1"/>
    <w:rsid w:val="00114520"/>
    <w:rsid w:val="00114961"/>
    <w:rsid w:val="00114D69"/>
    <w:rsid w:val="00115740"/>
    <w:rsid w:val="00115BC3"/>
    <w:rsid w:val="0011647F"/>
    <w:rsid w:val="001169BC"/>
    <w:rsid w:val="00116AE4"/>
    <w:rsid w:val="0011750A"/>
    <w:rsid w:val="00117CA1"/>
    <w:rsid w:val="00120A31"/>
    <w:rsid w:val="0012289E"/>
    <w:rsid w:val="00122ACC"/>
    <w:rsid w:val="00122C7C"/>
    <w:rsid w:val="001240E0"/>
    <w:rsid w:val="00124160"/>
    <w:rsid w:val="0012428D"/>
    <w:rsid w:val="0012486F"/>
    <w:rsid w:val="00126384"/>
    <w:rsid w:val="00127929"/>
    <w:rsid w:val="00127D9A"/>
    <w:rsid w:val="00127FFD"/>
    <w:rsid w:val="001302F4"/>
    <w:rsid w:val="00131120"/>
    <w:rsid w:val="00131646"/>
    <w:rsid w:val="00131BB8"/>
    <w:rsid w:val="00132353"/>
    <w:rsid w:val="00132522"/>
    <w:rsid w:val="001325AA"/>
    <w:rsid w:val="001330FB"/>
    <w:rsid w:val="00133437"/>
    <w:rsid w:val="00133760"/>
    <w:rsid w:val="001353B0"/>
    <w:rsid w:val="00135745"/>
    <w:rsid w:val="001369AB"/>
    <w:rsid w:val="001378E0"/>
    <w:rsid w:val="0014144D"/>
    <w:rsid w:val="001416DA"/>
    <w:rsid w:val="001436A3"/>
    <w:rsid w:val="001437DC"/>
    <w:rsid w:val="00143913"/>
    <w:rsid w:val="00143959"/>
    <w:rsid w:val="00143E75"/>
    <w:rsid w:val="00145155"/>
    <w:rsid w:val="00145312"/>
    <w:rsid w:val="00145F02"/>
    <w:rsid w:val="00146194"/>
    <w:rsid w:val="001463DF"/>
    <w:rsid w:val="00146F84"/>
    <w:rsid w:val="001471CD"/>
    <w:rsid w:val="00147793"/>
    <w:rsid w:val="001477E1"/>
    <w:rsid w:val="00150F37"/>
    <w:rsid w:val="00151FFD"/>
    <w:rsid w:val="00152104"/>
    <w:rsid w:val="00152BCE"/>
    <w:rsid w:val="0015367F"/>
    <w:rsid w:val="001549E8"/>
    <w:rsid w:val="00154B34"/>
    <w:rsid w:val="001556DA"/>
    <w:rsid w:val="001575B0"/>
    <w:rsid w:val="00157E0B"/>
    <w:rsid w:val="001603EF"/>
    <w:rsid w:val="00160615"/>
    <w:rsid w:val="001618B9"/>
    <w:rsid w:val="001618EF"/>
    <w:rsid w:val="00161E84"/>
    <w:rsid w:val="001624C4"/>
    <w:rsid w:val="001649F7"/>
    <w:rsid w:val="001653D6"/>
    <w:rsid w:val="001654CD"/>
    <w:rsid w:val="001668AB"/>
    <w:rsid w:val="00167477"/>
    <w:rsid w:val="00170ACA"/>
    <w:rsid w:val="001712B5"/>
    <w:rsid w:val="001712E7"/>
    <w:rsid w:val="001718C6"/>
    <w:rsid w:val="001735AF"/>
    <w:rsid w:val="00173D9C"/>
    <w:rsid w:val="00174244"/>
    <w:rsid w:val="00174322"/>
    <w:rsid w:val="0017497A"/>
    <w:rsid w:val="00175403"/>
    <w:rsid w:val="001758E5"/>
    <w:rsid w:val="001762F4"/>
    <w:rsid w:val="00176E0D"/>
    <w:rsid w:val="00177C9C"/>
    <w:rsid w:val="00180799"/>
    <w:rsid w:val="00180A9B"/>
    <w:rsid w:val="0018107F"/>
    <w:rsid w:val="00181C26"/>
    <w:rsid w:val="00183614"/>
    <w:rsid w:val="00183832"/>
    <w:rsid w:val="00183E05"/>
    <w:rsid w:val="001842EF"/>
    <w:rsid w:val="00185D1D"/>
    <w:rsid w:val="00185F71"/>
    <w:rsid w:val="00186988"/>
    <w:rsid w:val="00186AD4"/>
    <w:rsid w:val="0018706B"/>
    <w:rsid w:val="00187A8A"/>
    <w:rsid w:val="00187C94"/>
    <w:rsid w:val="0019018C"/>
    <w:rsid w:val="00191D9D"/>
    <w:rsid w:val="00191FCB"/>
    <w:rsid w:val="00193130"/>
    <w:rsid w:val="00194292"/>
    <w:rsid w:val="00195226"/>
    <w:rsid w:val="00195FBA"/>
    <w:rsid w:val="001961F0"/>
    <w:rsid w:val="001977B3"/>
    <w:rsid w:val="001A1A79"/>
    <w:rsid w:val="001A2DB0"/>
    <w:rsid w:val="001A406D"/>
    <w:rsid w:val="001A4562"/>
    <w:rsid w:val="001A500A"/>
    <w:rsid w:val="001A500E"/>
    <w:rsid w:val="001A50EC"/>
    <w:rsid w:val="001A5804"/>
    <w:rsid w:val="001A5C52"/>
    <w:rsid w:val="001A67E5"/>
    <w:rsid w:val="001A680C"/>
    <w:rsid w:val="001A765C"/>
    <w:rsid w:val="001A791C"/>
    <w:rsid w:val="001A7EAD"/>
    <w:rsid w:val="001B0386"/>
    <w:rsid w:val="001B0E7B"/>
    <w:rsid w:val="001B1282"/>
    <w:rsid w:val="001B1C17"/>
    <w:rsid w:val="001B21D4"/>
    <w:rsid w:val="001B2666"/>
    <w:rsid w:val="001B492A"/>
    <w:rsid w:val="001B5634"/>
    <w:rsid w:val="001B59D5"/>
    <w:rsid w:val="001B6F3E"/>
    <w:rsid w:val="001B78C9"/>
    <w:rsid w:val="001C01BE"/>
    <w:rsid w:val="001C0E2F"/>
    <w:rsid w:val="001C20FD"/>
    <w:rsid w:val="001C2334"/>
    <w:rsid w:val="001C259F"/>
    <w:rsid w:val="001C25B1"/>
    <w:rsid w:val="001C30D4"/>
    <w:rsid w:val="001C322A"/>
    <w:rsid w:val="001C3B34"/>
    <w:rsid w:val="001C3DA0"/>
    <w:rsid w:val="001C426A"/>
    <w:rsid w:val="001C4AEF"/>
    <w:rsid w:val="001C4D49"/>
    <w:rsid w:val="001C4E79"/>
    <w:rsid w:val="001C7562"/>
    <w:rsid w:val="001C7C8A"/>
    <w:rsid w:val="001C7DB2"/>
    <w:rsid w:val="001D0709"/>
    <w:rsid w:val="001D0C98"/>
    <w:rsid w:val="001D1DE5"/>
    <w:rsid w:val="001D2318"/>
    <w:rsid w:val="001D343A"/>
    <w:rsid w:val="001D35B5"/>
    <w:rsid w:val="001D3A5B"/>
    <w:rsid w:val="001D3E3A"/>
    <w:rsid w:val="001D47AD"/>
    <w:rsid w:val="001D4F10"/>
    <w:rsid w:val="001D53E7"/>
    <w:rsid w:val="001D5547"/>
    <w:rsid w:val="001E065C"/>
    <w:rsid w:val="001E1EB2"/>
    <w:rsid w:val="001E252D"/>
    <w:rsid w:val="001E2C4C"/>
    <w:rsid w:val="001E2F67"/>
    <w:rsid w:val="001E32DF"/>
    <w:rsid w:val="001E3406"/>
    <w:rsid w:val="001E3553"/>
    <w:rsid w:val="001E36F5"/>
    <w:rsid w:val="001E3DC9"/>
    <w:rsid w:val="001E4974"/>
    <w:rsid w:val="001E5685"/>
    <w:rsid w:val="001E6193"/>
    <w:rsid w:val="001E6907"/>
    <w:rsid w:val="001E7A4C"/>
    <w:rsid w:val="001F1000"/>
    <w:rsid w:val="001F14E7"/>
    <w:rsid w:val="001F1986"/>
    <w:rsid w:val="001F1B02"/>
    <w:rsid w:val="001F2424"/>
    <w:rsid w:val="001F2F87"/>
    <w:rsid w:val="001F34D8"/>
    <w:rsid w:val="001F3779"/>
    <w:rsid w:val="001F3A11"/>
    <w:rsid w:val="001F3FC3"/>
    <w:rsid w:val="001F44D1"/>
    <w:rsid w:val="001F5AC5"/>
    <w:rsid w:val="001F651C"/>
    <w:rsid w:val="001F7050"/>
    <w:rsid w:val="001F73E2"/>
    <w:rsid w:val="001F7AB1"/>
    <w:rsid w:val="00200F07"/>
    <w:rsid w:val="00201B0B"/>
    <w:rsid w:val="0020239B"/>
    <w:rsid w:val="002030E8"/>
    <w:rsid w:val="00203C85"/>
    <w:rsid w:val="002043C9"/>
    <w:rsid w:val="00204D61"/>
    <w:rsid w:val="0020509A"/>
    <w:rsid w:val="002065D1"/>
    <w:rsid w:val="00207336"/>
    <w:rsid w:val="002109F1"/>
    <w:rsid w:val="00210C8A"/>
    <w:rsid w:val="00211D0B"/>
    <w:rsid w:val="00212D73"/>
    <w:rsid w:val="00213067"/>
    <w:rsid w:val="00213AA2"/>
    <w:rsid w:val="00213AA7"/>
    <w:rsid w:val="00214A4D"/>
    <w:rsid w:val="00214A96"/>
    <w:rsid w:val="00214AFF"/>
    <w:rsid w:val="00215761"/>
    <w:rsid w:val="00216ACC"/>
    <w:rsid w:val="00216C7C"/>
    <w:rsid w:val="00217596"/>
    <w:rsid w:val="00217A0D"/>
    <w:rsid w:val="0022051E"/>
    <w:rsid w:val="002209C3"/>
    <w:rsid w:val="00220D21"/>
    <w:rsid w:val="00220FFD"/>
    <w:rsid w:val="0022172D"/>
    <w:rsid w:val="00222468"/>
    <w:rsid w:val="00223136"/>
    <w:rsid w:val="0022314D"/>
    <w:rsid w:val="002237FA"/>
    <w:rsid w:val="002239BF"/>
    <w:rsid w:val="00223C87"/>
    <w:rsid w:val="00224CC5"/>
    <w:rsid w:val="002266BF"/>
    <w:rsid w:val="002267E3"/>
    <w:rsid w:val="002278FF"/>
    <w:rsid w:val="00231531"/>
    <w:rsid w:val="002315E0"/>
    <w:rsid w:val="00231763"/>
    <w:rsid w:val="00231AB1"/>
    <w:rsid w:val="0023280E"/>
    <w:rsid w:val="00232A16"/>
    <w:rsid w:val="00233641"/>
    <w:rsid w:val="00233B57"/>
    <w:rsid w:val="00233BD4"/>
    <w:rsid w:val="0023413A"/>
    <w:rsid w:val="0023554A"/>
    <w:rsid w:val="00235C2B"/>
    <w:rsid w:val="00235D37"/>
    <w:rsid w:val="00240031"/>
    <w:rsid w:val="002401EC"/>
    <w:rsid w:val="0024045F"/>
    <w:rsid w:val="0024159E"/>
    <w:rsid w:val="002428B7"/>
    <w:rsid w:val="002444A5"/>
    <w:rsid w:val="00244DFA"/>
    <w:rsid w:val="0024525F"/>
    <w:rsid w:val="00245285"/>
    <w:rsid w:val="00246D0F"/>
    <w:rsid w:val="0024739F"/>
    <w:rsid w:val="0024758C"/>
    <w:rsid w:val="002478B6"/>
    <w:rsid w:val="00250363"/>
    <w:rsid w:val="00250591"/>
    <w:rsid w:val="00250CC6"/>
    <w:rsid w:val="00251019"/>
    <w:rsid w:val="00251580"/>
    <w:rsid w:val="0025291F"/>
    <w:rsid w:val="00254366"/>
    <w:rsid w:val="00254E4B"/>
    <w:rsid w:val="002559D6"/>
    <w:rsid w:val="00255A57"/>
    <w:rsid w:val="00255DAD"/>
    <w:rsid w:val="002565C3"/>
    <w:rsid w:val="00256E16"/>
    <w:rsid w:val="00257212"/>
    <w:rsid w:val="002573D0"/>
    <w:rsid w:val="00257F01"/>
    <w:rsid w:val="0026004E"/>
    <w:rsid w:val="00260448"/>
    <w:rsid w:val="00260AE4"/>
    <w:rsid w:val="002616CF"/>
    <w:rsid w:val="00261BDD"/>
    <w:rsid w:val="002625ED"/>
    <w:rsid w:val="00262D93"/>
    <w:rsid w:val="00263733"/>
    <w:rsid w:val="00264060"/>
    <w:rsid w:val="002640A2"/>
    <w:rsid w:val="00264509"/>
    <w:rsid w:val="00264677"/>
    <w:rsid w:val="002651E1"/>
    <w:rsid w:val="002656BE"/>
    <w:rsid w:val="002659D6"/>
    <w:rsid w:val="00265C31"/>
    <w:rsid w:val="002667EF"/>
    <w:rsid w:val="00266EEB"/>
    <w:rsid w:val="0026714A"/>
    <w:rsid w:val="00267481"/>
    <w:rsid w:val="00267E54"/>
    <w:rsid w:val="002704B1"/>
    <w:rsid w:val="00270DDC"/>
    <w:rsid w:val="00272672"/>
    <w:rsid w:val="00272841"/>
    <w:rsid w:val="00272874"/>
    <w:rsid w:val="00274C5B"/>
    <w:rsid w:val="00274D2D"/>
    <w:rsid w:val="00275233"/>
    <w:rsid w:val="00275350"/>
    <w:rsid w:val="0027612F"/>
    <w:rsid w:val="00276313"/>
    <w:rsid w:val="002764CE"/>
    <w:rsid w:val="002767AB"/>
    <w:rsid w:val="00280927"/>
    <w:rsid w:val="002814AD"/>
    <w:rsid w:val="00281832"/>
    <w:rsid w:val="00281C20"/>
    <w:rsid w:val="00282AEE"/>
    <w:rsid w:val="002843A9"/>
    <w:rsid w:val="0028493C"/>
    <w:rsid w:val="00284E51"/>
    <w:rsid w:val="002855F4"/>
    <w:rsid w:val="00286396"/>
    <w:rsid w:val="00286DF8"/>
    <w:rsid w:val="00286E6E"/>
    <w:rsid w:val="00287734"/>
    <w:rsid w:val="00287CE4"/>
    <w:rsid w:val="00290D8D"/>
    <w:rsid w:val="00291719"/>
    <w:rsid w:val="002924F0"/>
    <w:rsid w:val="0029320F"/>
    <w:rsid w:val="00293906"/>
    <w:rsid w:val="00293DE4"/>
    <w:rsid w:val="0029508D"/>
    <w:rsid w:val="00297411"/>
    <w:rsid w:val="002A113E"/>
    <w:rsid w:val="002A1D30"/>
    <w:rsid w:val="002A1E9E"/>
    <w:rsid w:val="002A37E6"/>
    <w:rsid w:val="002A3997"/>
    <w:rsid w:val="002A5623"/>
    <w:rsid w:val="002A5EA4"/>
    <w:rsid w:val="002A5EE9"/>
    <w:rsid w:val="002A7314"/>
    <w:rsid w:val="002A7B67"/>
    <w:rsid w:val="002A7EE4"/>
    <w:rsid w:val="002B02B3"/>
    <w:rsid w:val="002B0A2C"/>
    <w:rsid w:val="002B0A5B"/>
    <w:rsid w:val="002B13FA"/>
    <w:rsid w:val="002B15B5"/>
    <w:rsid w:val="002B24E5"/>
    <w:rsid w:val="002B28E0"/>
    <w:rsid w:val="002B3707"/>
    <w:rsid w:val="002B6766"/>
    <w:rsid w:val="002B77EE"/>
    <w:rsid w:val="002C00B0"/>
    <w:rsid w:val="002C05DA"/>
    <w:rsid w:val="002C0756"/>
    <w:rsid w:val="002C0A9E"/>
    <w:rsid w:val="002C12AA"/>
    <w:rsid w:val="002C2285"/>
    <w:rsid w:val="002C2C0E"/>
    <w:rsid w:val="002C2CF6"/>
    <w:rsid w:val="002C3D5C"/>
    <w:rsid w:val="002C47EC"/>
    <w:rsid w:val="002C554D"/>
    <w:rsid w:val="002C5E94"/>
    <w:rsid w:val="002C7482"/>
    <w:rsid w:val="002C7B6D"/>
    <w:rsid w:val="002C7D8C"/>
    <w:rsid w:val="002D019D"/>
    <w:rsid w:val="002D1425"/>
    <w:rsid w:val="002D1778"/>
    <w:rsid w:val="002D1994"/>
    <w:rsid w:val="002D19CF"/>
    <w:rsid w:val="002D2B4E"/>
    <w:rsid w:val="002D3349"/>
    <w:rsid w:val="002D381C"/>
    <w:rsid w:val="002D5C9A"/>
    <w:rsid w:val="002D638C"/>
    <w:rsid w:val="002D68BB"/>
    <w:rsid w:val="002D6BB9"/>
    <w:rsid w:val="002D706F"/>
    <w:rsid w:val="002D752D"/>
    <w:rsid w:val="002D7645"/>
    <w:rsid w:val="002E00B6"/>
    <w:rsid w:val="002E03CF"/>
    <w:rsid w:val="002E394E"/>
    <w:rsid w:val="002E5F95"/>
    <w:rsid w:val="002E696C"/>
    <w:rsid w:val="002F0EEA"/>
    <w:rsid w:val="002F1C40"/>
    <w:rsid w:val="002F20A7"/>
    <w:rsid w:val="002F20B5"/>
    <w:rsid w:val="002F20C0"/>
    <w:rsid w:val="002F243E"/>
    <w:rsid w:val="002F2592"/>
    <w:rsid w:val="002F2EA1"/>
    <w:rsid w:val="002F30CD"/>
    <w:rsid w:val="002F3CEF"/>
    <w:rsid w:val="002F419A"/>
    <w:rsid w:val="002F421F"/>
    <w:rsid w:val="002F45B0"/>
    <w:rsid w:val="002F483E"/>
    <w:rsid w:val="002F4ABA"/>
    <w:rsid w:val="002F5085"/>
    <w:rsid w:val="002F5B88"/>
    <w:rsid w:val="002F5CB6"/>
    <w:rsid w:val="002F6422"/>
    <w:rsid w:val="002F6D80"/>
    <w:rsid w:val="002F7CDA"/>
    <w:rsid w:val="002F7D4D"/>
    <w:rsid w:val="00300384"/>
    <w:rsid w:val="00300939"/>
    <w:rsid w:val="003026C9"/>
    <w:rsid w:val="00302AEA"/>
    <w:rsid w:val="00302D34"/>
    <w:rsid w:val="0030362E"/>
    <w:rsid w:val="003036D2"/>
    <w:rsid w:val="00303769"/>
    <w:rsid w:val="00303D79"/>
    <w:rsid w:val="00304A8B"/>
    <w:rsid w:val="00304B9D"/>
    <w:rsid w:val="00304D1C"/>
    <w:rsid w:val="00305704"/>
    <w:rsid w:val="00307EE7"/>
    <w:rsid w:val="0031057A"/>
    <w:rsid w:val="00310DFB"/>
    <w:rsid w:val="00312C2B"/>
    <w:rsid w:val="00312EAD"/>
    <w:rsid w:val="00312FC6"/>
    <w:rsid w:val="00314395"/>
    <w:rsid w:val="00314F22"/>
    <w:rsid w:val="0031565F"/>
    <w:rsid w:val="0031623B"/>
    <w:rsid w:val="00316673"/>
    <w:rsid w:val="00316776"/>
    <w:rsid w:val="00317C32"/>
    <w:rsid w:val="00320207"/>
    <w:rsid w:val="00320E15"/>
    <w:rsid w:val="003223F2"/>
    <w:rsid w:val="00322A0D"/>
    <w:rsid w:val="00322CDE"/>
    <w:rsid w:val="003235C8"/>
    <w:rsid w:val="00323811"/>
    <w:rsid w:val="00324406"/>
    <w:rsid w:val="0032466C"/>
    <w:rsid w:val="0032502A"/>
    <w:rsid w:val="003251D2"/>
    <w:rsid w:val="003253AF"/>
    <w:rsid w:val="00325CAD"/>
    <w:rsid w:val="0032623D"/>
    <w:rsid w:val="003263C0"/>
    <w:rsid w:val="00326920"/>
    <w:rsid w:val="003270C7"/>
    <w:rsid w:val="00327873"/>
    <w:rsid w:val="00330828"/>
    <w:rsid w:val="00332F06"/>
    <w:rsid w:val="003332C5"/>
    <w:rsid w:val="00333477"/>
    <w:rsid w:val="00333EE0"/>
    <w:rsid w:val="00333FF1"/>
    <w:rsid w:val="00334002"/>
    <w:rsid w:val="00334A16"/>
    <w:rsid w:val="00336439"/>
    <w:rsid w:val="003365D5"/>
    <w:rsid w:val="00336E1D"/>
    <w:rsid w:val="00336FB9"/>
    <w:rsid w:val="0033719E"/>
    <w:rsid w:val="00337BF3"/>
    <w:rsid w:val="00337CA5"/>
    <w:rsid w:val="0034001A"/>
    <w:rsid w:val="003406BE"/>
    <w:rsid w:val="00343773"/>
    <w:rsid w:val="00343959"/>
    <w:rsid w:val="00343BE3"/>
    <w:rsid w:val="00343CDB"/>
    <w:rsid w:val="0034460A"/>
    <w:rsid w:val="003452DB"/>
    <w:rsid w:val="00347E25"/>
    <w:rsid w:val="003501BF"/>
    <w:rsid w:val="0035189C"/>
    <w:rsid w:val="003518A2"/>
    <w:rsid w:val="00352410"/>
    <w:rsid w:val="00352A9A"/>
    <w:rsid w:val="00352CFB"/>
    <w:rsid w:val="00354256"/>
    <w:rsid w:val="00354B0A"/>
    <w:rsid w:val="00354CCC"/>
    <w:rsid w:val="00356156"/>
    <w:rsid w:val="00356DDF"/>
    <w:rsid w:val="00357F30"/>
    <w:rsid w:val="0036001A"/>
    <w:rsid w:val="0036068E"/>
    <w:rsid w:val="00360A3F"/>
    <w:rsid w:val="00360D51"/>
    <w:rsid w:val="00360FDA"/>
    <w:rsid w:val="00361E27"/>
    <w:rsid w:val="00362666"/>
    <w:rsid w:val="00362D29"/>
    <w:rsid w:val="00363A4F"/>
    <w:rsid w:val="00364501"/>
    <w:rsid w:val="00364C07"/>
    <w:rsid w:val="00364E92"/>
    <w:rsid w:val="0036584D"/>
    <w:rsid w:val="003667D6"/>
    <w:rsid w:val="003669EF"/>
    <w:rsid w:val="00367AB9"/>
    <w:rsid w:val="00367C26"/>
    <w:rsid w:val="00370317"/>
    <w:rsid w:val="00371D55"/>
    <w:rsid w:val="00371DDB"/>
    <w:rsid w:val="0037229D"/>
    <w:rsid w:val="003734C0"/>
    <w:rsid w:val="00373E25"/>
    <w:rsid w:val="00374759"/>
    <w:rsid w:val="00374B87"/>
    <w:rsid w:val="00375BEF"/>
    <w:rsid w:val="003762D2"/>
    <w:rsid w:val="00377024"/>
    <w:rsid w:val="0037782D"/>
    <w:rsid w:val="00377CB0"/>
    <w:rsid w:val="00381E67"/>
    <w:rsid w:val="0038217F"/>
    <w:rsid w:val="003846BB"/>
    <w:rsid w:val="0038527C"/>
    <w:rsid w:val="003855AC"/>
    <w:rsid w:val="00385E6F"/>
    <w:rsid w:val="00386A8C"/>
    <w:rsid w:val="00390562"/>
    <w:rsid w:val="003907F5"/>
    <w:rsid w:val="00390988"/>
    <w:rsid w:val="00391BED"/>
    <w:rsid w:val="00392ABF"/>
    <w:rsid w:val="00392CC8"/>
    <w:rsid w:val="00393547"/>
    <w:rsid w:val="00393817"/>
    <w:rsid w:val="00394AE1"/>
    <w:rsid w:val="003951B4"/>
    <w:rsid w:val="00395E1F"/>
    <w:rsid w:val="00397058"/>
    <w:rsid w:val="003A05CE"/>
    <w:rsid w:val="003A071C"/>
    <w:rsid w:val="003A0AE1"/>
    <w:rsid w:val="003A1190"/>
    <w:rsid w:val="003A216B"/>
    <w:rsid w:val="003A2689"/>
    <w:rsid w:val="003A316C"/>
    <w:rsid w:val="003A3235"/>
    <w:rsid w:val="003A37C3"/>
    <w:rsid w:val="003A414C"/>
    <w:rsid w:val="003A4334"/>
    <w:rsid w:val="003A4626"/>
    <w:rsid w:val="003A536A"/>
    <w:rsid w:val="003A546B"/>
    <w:rsid w:val="003A6476"/>
    <w:rsid w:val="003A6BC3"/>
    <w:rsid w:val="003A79D3"/>
    <w:rsid w:val="003B027D"/>
    <w:rsid w:val="003B0F00"/>
    <w:rsid w:val="003B1418"/>
    <w:rsid w:val="003B2578"/>
    <w:rsid w:val="003B296E"/>
    <w:rsid w:val="003B3512"/>
    <w:rsid w:val="003B3E96"/>
    <w:rsid w:val="003B5038"/>
    <w:rsid w:val="003B5484"/>
    <w:rsid w:val="003B5C14"/>
    <w:rsid w:val="003B6969"/>
    <w:rsid w:val="003B7019"/>
    <w:rsid w:val="003B7826"/>
    <w:rsid w:val="003B78DD"/>
    <w:rsid w:val="003C024F"/>
    <w:rsid w:val="003C0454"/>
    <w:rsid w:val="003C05E1"/>
    <w:rsid w:val="003C0AEC"/>
    <w:rsid w:val="003C15FE"/>
    <w:rsid w:val="003C18F9"/>
    <w:rsid w:val="003C34F6"/>
    <w:rsid w:val="003C35AD"/>
    <w:rsid w:val="003C360A"/>
    <w:rsid w:val="003C39B5"/>
    <w:rsid w:val="003C5685"/>
    <w:rsid w:val="003C5745"/>
    <w:rsid w:val="003C5B87"/>
    <w:rsid w:val="003C73CF"/>
    <w:rsid w:val="003C7AE9"/>
    <w:rsid w:val="003D1505"/>
    <w:rsid w:val="003D15EA"/>
    <w:rsid w:val="003D1B1C"/>
    <w:rsid w:val="003D2061"/>
    <w:rsid w:val="003D2086"/>
    <w:rsid w:val="003D2B8F"/>
    <w:rsid w:val="003D3563"/>
    <w:rsid w:val="003D57DA"/>
    <w:rsid w:val="003D5F89"/>
    <w:rsid w:val="003D66E8"/>
    <w:rsid w:val="003D72C9"/>
    <w:rsid w:val="003D7C5A"/>
    <w:rsid w:val="003D7E7F"/>
    <w:rsid w:val="003E0024"/>
    <w:rsid w:val="003E1B6F"/>
    <w:rsid w:val="003E1E60"/>
    <w:rsid w:val="003E23AE"/>
    <w:rsid w:val="003E2A88"/>
    <w:rsid w:val="003E3FB8"/>
    <w:rsid w:val="003E434E"/>
    <w:rsid w:val="003E4C7F"/>
    <w:rsid w:val="003E53DB"/>
    <w:rsid w:val="003E56CE"/>
    <w:rsid w:val="003E5CEC"/>
    <w:rsid w:val="003F0C41"/>
    <w:rsid w:val="003F2383"/>
    <w:rsid w:val="003F2A1F"/>
    <w:rsid w:val="003F2B2E"/>
    <w:rsid w:val="003F37EB"/>
    <w:rsid w:val="003F3B2A"/>
    <w:rsid w:val="003F56A1"/>
    <w:rsid w:val="003F58FC"/>
    <w:rsid w:val="003F5A1D"/>
    <w:rsid w:val="003F5AA0"/>
    <w:rsid w:val="003F6189"/>
    <w:rsid w:val="003F61B3"/>
    <w:rsid w:val="003F6655"/>
    <w:rsid w:val="003F69BC"/>
    <w:rsid w:val="00400D2B"/>
    <w:rsid w:val="0040147A"/>
    <w:rsid w:val="00401800"/>
    <w:rsid w:val="004018B9"/>
    <w:rsid w:val="00401EEA"/>
    <w:rsid w:val="00403451"/>
    <w:rsid w:val="0040510D"/>
    <w:rsid w:val="00406A21"/>
    <w:rsid w:val="00410D99"/>
    <w:rsid w:val="00411899"/>
    <w:rsid w:val="00411F72"/>
    <w:rsid w:val="0041218B"/>
    <w:rsid w:val="00413343"/>
    <w:rsid w:val="00413354"/>
    <w:rsid w:val="00413C82"/>
    <w:rsid w:val="00413CF5"/>
    <w:rsid w:val="00414214"/>
    <w:rsid w:val="0041687F"/>
    <w:rsid w:val="00416EDF"/>
    <w:rsid w:val="00416F7D"/>
    <w:rsid w:val="004171BF"/>
    <w:rsid w:val="004174D1"/>
    <w:rsid w:val="004176F2"/>
    <w:rsid w:val="00417B54"/>
    <w:rsid w:val="004229E8"/>
    <w:rsid w:val="00422E36"/>
    <w:rsid w:val="00422FE6"/>
    <w:rsid w:val="00423647"/>
    <w:rsid w:val="004242B2"/>
    <w:rsid w:val="004254E1"/>
    <w:rsid w:val="004259D8"/>
    <w:rsid w:val="004264F3"/>
    <w:rsid w:val="00426C9F"/>
    <w:rsid w:val="004270FF"/>
    <w:rsid w:val="00427A8C"/>
    <w:rsid w:val="00427B53"/>
    <w:rsid w:val="00430A34"/>
    <w:rsid w:val="00430B3C"/>
    <w:rsid w:val="004314D5"/>
    <w:rsid w:val="00433AEA"/>
    <w:rsid w:val="00433DD6"/>
    <w:rsid w:val="004342AE"/>
    <w:rsid w:val="004343B7"/>
    <w:rsid w:val="0043449E"/>
    <w:rsid w:val="0043495A"/>
    <w:rsid w:val="00435344"/>
    <w:rsid w:val="00435ABF"/>
    <w:rsid w:val="00436B59"/>
    <w:rsid w:val="00437082"/>
    <w:rsid w:val="00437CFA"/>
    <w:rsid w:val="004404E8"/>
    <w:rsid w:val="004405D2"/>
    <w:rsid w:val="00440F7F"/>
    <w:rsid w:val="004413CD"/>
    <w:rsid w:val="0044150C"/>
    <w:rsid w:val="004421AC"/>
    <w:rsid w:val="0044258D"/>
    <w:rsid w:val="00442ACE"/>
    <w:rsid w:val="004431C1"/>
    <w:rsid w:val="00443A60"/>
    <w:rsid w:val="004449A3"/>
    <w:rsid w:val="00444B1D"/>
    <w:rsid w:val="00444B3C"/>
    <w:rsid w:val="00445F1E"/>
    <w:rsid w:val="0044631E"/>
    <w:rsid w:val="004464E5"/>
    <w:rsid w:val="004464F9"/>
    <w:rsid w:val="004466EF"/>
    <w:rsid w:val="0044779B"/>
    <w:rsid w:val="00447954"/>
    <w:rsid w:val="00447EC7"/>
    <w:rsid w:val="00450482"/>
    <w:rsid w:val="004524A0"/>
    <w:rsid w:val="00454581"/>
    <w:rsid w:val="00455858"/>
    <w:rsid w:val="00455D6F"/>
    <w:rsid w:val="004569CD"/>
    <w:rsid w:val="00457206"/>
    <w:rsid w:val="00457616"/>
    <w:rsid w:val="00457999"/>
    <w:rsid w:val="00457F93"/>
    <w:rsid w:val="0046083A"/>
    <w:rsid w:val="00460893"/>
    <w:rsid w:val="00460B11"/>
    <w:rsid w:val="00460FC9"/>
    <w:rsid w:val="00461834"/>
    <w:rsid w:val="00462119"/>
    <w:rsid w:val="0046326C"/>
    <w:rsid w:val="00463ABB"/>
    <w:rsid w:val="00464818"/>
    <w:rsid w:val="00464C4E"/>
    <w:rsid w:val="00464D70"/>
    <w:rsid w:val="0046553D"/>
    <w:rsid w:val="00465B46"/>
    <w:rsid w:val="00466097"/>
    <w:rsid w:val="00466142"/>
    <w:rsid w:val="0046653F"/>
    <w:rsid w:val="0046661E"/>
    <w:rsid w:val="00467F28"/>
    <w:rsid w:val="00470045"/>
    <w:rsid w:val="004704DF"/>
    <w:rsid w:val="00470F0D"/>
    <w:rsid w:val="004726BF"/>
    <w:rsid w:val="0047290B"/>
    <w:rsid w:val="00472D5E"/>
    <w:rsid w:val="00473869"/>
    <w:rsid w:val="00473F99"/>
    <w:rsid w:val="00474271"/>
    <w:rsid w:val="00474325"/>
    <w:rsid w:val="00475468"/>
    <w:rsid w:val="00475804"/>
    <w:rsid w:val="00476657"/>
    <w:rsid w:val="00476A01"/>
    <w:rsid w:val="00476B1D"/>
    <w:rsid w:val="00477603"/>
    <w:rsid w:val="00480304"/>
    <w:rsid w:val="0048056C"/>
    <w:rsid w:val="0048103C"/>
    <w:rsid w:val="00481FAE"/>
    <w:rsid w:val="00482D12"/>
    <w:rsid w:val="00482DB4"/>
    <w:rsid w:val="00483128"/>
    <w:rsid w:val="00485BD0"/>
    <w:rsid w:val="004862DA"/>
    <w:rsid w:val="00486B51"/>
    <w:rsid w:val="00487152"/>
    <w:rsid w:val="004873DC"/>
    <w:rsid w:val="00487484"/>
    <w:rsid w:val="0048771F"/>
    <w:rsid w:val="0049141E"/>
    <w:rsid w:val="00491822"/>
    <w:rsid w:val="00491A4A"/>
    <w:rsid w:val="00492815"/>
    <w:rsid w:val="00492E40"/>
    <w:rsid w:val="00493181"/>
    <w:rsid w:val="0049365D"/>
    <w:rsid w:val="00494AF1"/>
    <w:rsid w:val="00495538"/>
    <w:rsid w:val="00495A2D"/>
    <w:rsid w:val="00496275"/>
    <w:rsid w:val="004963AC"/>
    <w:rsid w:val="0049651B"/>
    <w:rsid w:val="004968F8"/>
    <w:rsid w:val="00497187"/>
    <w:rsid w:val="004973BE"/>
    <w:rsid w:val="004978BC"/>
    <w:rsid w:val="004978D7"/>
    <w:rsid w:val="004A0321"/>
    <w:rsid w:val="004A09AA"/>
    <w:rsid w:val="004A0DAF"/>
    <w:rsid w:val="004A10BC"/>
    <w:rsid w:val="004A15CC"/>
    <w:rsid w:val="004A1740"/>
    <w:rsid w:val="004A292C"/>
    <w:rsid w:val="004A2A07"/>
    <w:rsid w:val="004A2ADF"/>
    <w:rsid w:val="004A2BEE"/>
    <w:rsid w:val="004A3FAA"/>
    <w:rsid w:val="004A426F"/>
    <w:rsid w:val="004A47AF"/>
    <w:rsid w:val="004A6C13"/>
    <w:rsid w:val="004A6E01"/>
    <w:rsid w:val="004B018B"/>
    <w:rsid w:val="004B0AB7"/>
    <w:rsid w:val="004B2747"/>
    <w:rsid w:val="004B284F"/>
    <w:rsid w:val="004B2E39"/>
    <w:rsid w:val="004B302A"/>
    <w:rsid w:val="004B31D4"/>
    <w:rsid w:val="004B3E87"/>
    <w:rsid w:val="004B42AE"/>
    <w:rsid w:val="004B484B"/>
    <w:rsid w:val="004B5E78"/>
    <w:rsid w:val="004B6EB3"/>
    <w:rsid w:val="004B78C6"/>
    <w:rsid w:val="004B792E"/>
    <w:rsid w:val="004B7CEE"/>
    <w:rsid w:val="004C1231"/>
    <w:rsid w:val="004C15CE"/>
    <w:rsid w:val="004C1C2B"/>
    <w:rsid w:val="004C1CC5"/>
    <w:rsid w:val="004C26EE"/>
    <w:rsid w:val="004C33DE"/>
    <w:rsid w:val="004C44C0"/>
    <w:rsid w:val="004C456A"/>
    <w:rsid w:val="004C47FD"/>
    <w:rsid w:val="004C560F"/>
    <w:rsid w:val="004C580A"/>
    <w:rsid w:val="004C5B88"/>
    <w:rsid w:val="004C5C28"/>
    <w:rsid w:val="004C6160"/>
    <w:rsid w:val="004C6B4D"/>
    <w:rsid w:val="004C6F88"/>
    <w:rsid w:val="004C75E3"/>
    <w:rsid w:val="004C7B52"/>
    <w:rsid w:val="004C7B70"/>
    <w:rsid w:val="004D055A"/>
    <w:rsid w:val="004D075E"/>
    <w:rsid w:val="004D0B9B"/>
    <w:rsid w:val="004D0FB8"/>
    <w:rsid w:val="004D114B"/>
    <w:rsid w:val="004D1225"/>
    <w:rsid w:val="004D1952"/>
    <w:rsid w:val="004D247E"/>
    <w:rsid w:val="004D28AC"/>
    <w:rsid w:val="004D2A39"/>
    <w:rsid w:val="004D320E"/>
    <w:rsid w:val="004D35C8"/>
    <w:rsid w:val="004D367D"/>
    <w:rsid w:val="004D4196"/>
    <w:rsid w:val="004D476F"/>
    <w:rsid w:val="004D4AE1"/>
    <w:rsid w:val="004D5B09"/>
    <w:rsid w:val="004D67E8"/>
    <w:rsid w:val="004D6AC9"/>
    <w:rsid w:val="004D6D14"/>
    <w:rsid w:val="004D6DB2"/>
    <w:rsid w:val="004D6DC5"/>
    <w:rsid w:val="004D7567"/>
    <w:rsid w:val="004D75FB"/>
    <w:rsid w:val="004D7783"/>
    <w:rsid w:val="004D7F28"/>
    <w:rsid w:val="004E01F6"/>
    <w:rsid w:val="004E0271"/>
    <w:rsid w:val="004E0C36"/>
    <w:rsid w:val="004E147A"/>
    <w:rsid w:val="004E240B"/>
    <w:rsid w:val="004E2BF2"/>
    <w:rsid w:val="004E412F"/>
    <w:rsid w:val="004E5E71"/>
    <w:rsid w:val="004E645C"/>
    <w:rsid w:val="004E6AA4"/>
    <w:rsid w:val="004E6DD6"/>
    <w:rsid w:val="004E7463"/>
    <w:rsid w:val="004E77A5"/>
    <w:rsid w:val="004E79B8"/>
    <w:rsid w:val="004E7F06"/>
    <w:rsid w:val="004F08EF"/>
    <w:rsid w:val="004F0E49"/>
    <w:rsid w:val="004F1607"/>
    <w:rsid w:val="004F1964"/>
    <w:rsid w:val="004F1BEF"/>
    <w:rsid w:val="004F1CF1"/>
    <w:rsid w:val="004F3E90"/>
    <w:rsid w:val="004F41BE"/>
    <w:rsid w:val="004F600B"/>
    <w:rsid w:val="004F742C"/>
    <w:rsid w:val="004F758C"/>
    <w:rsid w:val="0050023D"/>
    <w:rsid w:val="00500774"/>
    <w:rsid w:val="00501D98"/>
    <w:rsid w:val="005021B0"/>
    <w:rsid w:val="00502985"/>
    <w:rsid w:val="00502F2C"/>
    <w:rsid w:val="0050451B"/>
    <w:rsid w:val="00505AE2"/>
    <w:rsid w:val="00506CAE"/>
    <w:rsid w:val="00506CCD"/>
    <w:rsid w:val="0050758E"/>
    <w:rsid w:val="00510AAC"/>
    <w:rsid w:val="00511B5B"/>
    <w:rsid w:val="00511FE9"/>
    <w:rsid w:val="005125A2"/>
    <w:rsid w:val="00512EF9"/>
    <w:rsid w:val="005144E3"/>
    <w:rsid w:val="00515088"/>
    <w:rsid w:val="00515437"/>
    <w:rsid w:val="00515862"/>
    <w:rsid w:val="005164CB"/>
    <w:rsid w:val="0051726F"/>
    <w:rsid w:val="0051767A"/>
    <w:rsid w:val="00520024"/>
    <w:rsid w:val="0052019E"/>
    <w:rsid w:val="0052020A"/>
    <w:rsid w:val="005221A3"/>
    <w:rsid w:val="005228F3"/>
    <w:rsid w:val="00523913"/>
    <w:rsid w:val="005239B2"/>
    <w:rsid w:val="00523A0F"/>
    <w:rsid w:val="005241A6"/>
    <w:rsid w:val="00524AE6"/>
    <w:rsid w:val="00525736"/>
    <w:rsid w:val="00525B8D"/>
    <w:rsid w:val="00526E76"/>
    <w:rsid w:val="005278E9"/>
    <w:rsid w:val="00530C0D"/>
    <w:rsid w:val="00530DC0"/>
    <w:rsid w:val="00530DC5"/>
    <w:rsid w:val="005327FC"/>
    <w:rsid w:val="005332A3"/>
    <w:rsid w:val="0053336F"/>
    <w:rsid w:val="0053362E"/>
    <w:rsid w:val="00533AA9"/>
    <w:rsid w:val="00534B54"/>
    <w:rsid w:val="00535ED5"/>
    <w:rsid w:val="0053603D"/>
    <w:rsid w:val="0053681E"/>
    <w:rsid w:val="00537201"/>
    <w:rsid w:val="00537755"/>
    <w:rsid w:val="00537BE5"/>
    <w:rsid w:val="00537F8B"/>
    <w:rsid w:val="0054334F"/>
    <w:rsid w:val="005433BE"/>
    <w:rsid w:val="00545742"/>
    <w:rsid w:val="00546601"/>
    <w:rsid w:val="00546BB3"/>
    <w:rsid w:val="0054768E"/>
    <w:rsid w:val="00547729"/>
    <w:rsid w:val="00547E32"/>
    <w:rsid w:val="00547F8F"/>
    <w:rsid w:val="0055023B"/>
    <w:rsid w:val="00550660"/>
    <w:rsid w:val="005509A7"/>
    <w:rsid w:val="005529D8"/>
    <w:rsid w:val="00552E4B"/>
    <w:rsid w:val="005532E5"/>
    <w:rsid w:val="00554A16"/>
    <w:rsid w:val="00554A84"/>
    <w:rsid w:val="00554CC8"/>
    <w:rsid w:val="005559A9"/>
    <w:rsid w:val="00555C50"/>
    <w:rsid w:val="00556032"/>
    <w:rsid w:val="00556790"/>
    <w:rsid w:val="00556C2C"/>
    <w:rsid w:val="0055793B"/>
    <w:rsid w:val="00560CC1"/>
    <w:rsid w:val="00560D6C"/>
    <w:rsid w:val="00561584"/>
    <w:rsid w:val="00561837"/>
    <w:rsid w:val="00562D62"/>
    <w:rsid w:val="00563820"/>
    <w:rsid w:val="00563C82"/>
    <w:rsid w:val="0056426B"/>
    <w:rsid w:val="00564603"/>
    <w:rsid w:val="005647DE"/>
    <w:rsid w:val="00564A3B"/>
    <w:rsid w:val="005657DD"/>
    <w:rsid w:val="00565801"/>
    <w:rsid w:val="00565AEC"/>
    <w:rsid w:val="00566426"/>
    <w:rsid w:val="005665A8"/>
    <w:rsid w:val="0056778A"/>
    <w:rsid w:val="00567910"/>
    <w:rsid w:val="00570D85"/>
    <w:rsid w:val="005714A4"/>
    <w:rsid w:val="005718D2"/>
    <w:rsid w:val="00572693"/>
    <w:rsid w:val="00572CCE"/>
    <w:rsid w:val="00574F7F"/>
    <w:rsid w:val="005758E8"/>
    <w:rsid w:val="00575AE2"/>
    <w:rsid w:val="00575BB0"/>
    <w:rsid w:val="00575DED"/>
    <w:rsid w:val="00575EB6"/>
    <w:rsid w:val="00575FDF"/>
    <w:rsid w:val="005762FF"/>
    <w:rsid w:val="0057633B"/>
    <w:rsid w:val="005774CF"/>
    <w:rsid w:val="00580985"/>
    <w:rsid w:val="00581E5F"/>
    <w:rsid w:val="00582CFC"/>
    <w:rsid w:val="0058308C"/>
    <w:rsid w:val="005837C1"/>
    <w:rsid w:val="00584014"/>
    <w:rsid w:val="0058439D"/>
    <w:rsid w:val="0058482E"/>
    <w:rsid w:val="005877BA"/>
    <w:rsid w:val="005907BC"/>
    <w:rsid w:val="00590958"/>
    <w:rsid w:val="0059120B"/>
    <w:rsid w:val="00591D67"/>
    <w:rsid w:val="0059220D"/>
    <w:rsid w:val="00592844"/>
    <w:rsid w:val="0059370F"/>
    <w:rsid w:val="00593A0D"/>
    <w:rsid w:val="00595574"/>
    <w:rsid w:val="00595AD1"/>
    <w:rsid w:val="00595D98"/>
    <w:rsid w:val="00595EE6"/>
    <w:rsid w:val="0059601C"/>
    <w:rsid w:val="00597208"/>
    <w:rsid w:val="005A042B"/>
    <w:rsid w:val="005A0DBF"/>
    <w:rsid w:val="005A0F16"/>
    <w:rsid w:val="005A276F"/>
    <w:rsid w:val="005A2C76"/>
    <w:rsid w:val="005A3266"/>
    <w:rsid w:val="005A353F"/>
    <w:rsid w:val="005A35A9"/>
    <w:rsid w:val="005A393B"/>
    <w:rsid w:val="005A3959"/>
    <w:rsid w:val="005A3BA7"/>
    <w:rsid w:val="005A3CDE"/>
    <w:rsid w:val="005A3E4E"/>
    <w:rsid w:val="005A4B83"/>
    <w:rsid w:val="005A4F66"/>
    <w:rsid w:val="005A5A53"/>
    <w:rsid w:val="005A61E4"/>
    <w:rsid w:val="005A65B8"/>
    <w:rsid w:val="005A76D0"/>
    <w:rsid w:val="005A7BD3"/>
    <w:rsid w:val="005A7EB2"/>
    <w:rsid w:val="005B0799"/>
    <w:rsid w:val="005B07C5"/>
    <w:rsid w:val="005B0D9D"/>
    <w:rsid w:val="005B1595"/>
    <w:rsid w:val="005B1E0E"/>
    <w:rsid w:val="005B25B6"/>
    <w:rsid w:val="005B273D"/>
    <w:rsid w:val="005B2B00"/>
    <w:rsid w:val="005B2C2C"/>
    <w:rsid w:val="005B2E32"/>
    <w:rsid w:val="005B3492"/>
    <w:rsid w:val="005B5C1E"/>
    <w:rsid w:val="005B62C4"/>
    <w:rsid w:val="005B65AE"/>
    <w:rsid w:val="005B70CE"/>
    <w:rsid w:val="005B73FD"/>
    <w:rsid w:val="005B7485"/>
    <w:rsid w:val="005C035A"/>
    <w:rsid w:val="005C11C6"/>
    <w:rsid w:val="005C12FA"/>
    <w:rsid w:val="005C223F"/>
    <w:rsid w:val="005C229F"/>
    <w:rsid w:val="005C3A14"/>
    <w:rsid w:val="005C3DA2"/>
    <w:rsid w:val="005C421A"/>
    <w:rsid w:val="005C4298"/>
    <w:rsid w:val="005C452B"/>
    <w:rsid w:val="005C460A"/>
    <w:rsid w:val="005C4F80"/>
    <w:rsid w:val="005C563D"/>
    <w:rsid w:val="005C5F57"/>
    <w:rsid w:val="005C5FF9"/>
    <w:rsid w:val="005C66A9"/>
    <w:rsid w:val="005C77C2"/>
    <w:rsid w:val="005D08CC"/>
    <w:rsid w:val="005D1567"/>
    <w:rsid w:val="005D1768"/>
    <w:rsid w:val="005D214E"/>
    <w:rsid w:val="005D2492"/>
    <w:rsid w:val="005D379E"/>
    <w:rsid w:val="005D3DBF"/>
    <w:rsid w:val="005D44DB"/>
    <w:rsid w:val="005D49C8"/>
    <w:rsid w:val="005D6954"/>
    <w:rsid w:val="005E137C"/>
    <w:rsid w:val="005E1548"/>
    <w:rsid w:val="005E1B7D"/>
    <w:rsid w:val="005E21E8"/>
    <w:rsid w:val="005E24FB"/>
    <w:rsid w:val="005E26E0"/>
    <w:rsid w:val="005E4BCB"/>
    <w:rsid w:val="005E4C22"/>
    <w:rsid w:val="005E5A7A"/>
    <w:rsid w:val="005E616D"/>
    <w:rsid w:val="005E6942"/>
    <w:rsid w:val="005E7796"/>
    <w:rsid w:val="005E7C56"/>
    <w:rsid w:val="005E7E75"/>
    <w:rsid w:val="005F0572"/>
    <w:rsid w:val="005F1F5F"/>
    <w:rsid w:val="005F2659"/>
    <w:rsid w:val="005F2661"/>
    <w:rsid w:val="005F2E45"/>
    <w:rsid w:val="005F37BB"/>
    <w:rsid w:val="005F470F"/>
    <w:rsid w:val="005F4744"/>
    <w:rsid w:val="005F5AF5"/>
    <w:rsid w:val="005F6740"/>
    <w:rsid w:val="005F6772"/>
    <w:rsid w:val="005F734C"/>
    <w:rsid w:val="005F74DD"/>
    <w:rsid w:val="00601F1E"/>
    <w:rsid w:val="006023F7"/>
    <w:rsid w:val="00603FCA"/>
    <w:rsid w:val="006042B4"/>
    <w:rsid w:val="00605D3E"/>
    <w:rsid w:val="00606A48"/>
    <w:rsid w:val="00606B87"/>
    <w:rsid w:val="00606F46"/>
    <w:rsid w:val="006074E1"/>
    <w:rsid w:val="0060783E"/>
    <w:rsid w:val="00607C70"/>
    <w:rsid w:val="0061026F"/>
    <w:rsid w:val="006102AC"/>
    <w:rsid w:val="00610CD0"/>
    <w:rsid w:val="0061311D"/>
    <w:rsid w:val="00613356"/>
    <w:rsid w:val="00613603"/>
    <w:rsid w:val="00613C58"/>
    <w:rsid w:val="0061466C"/>
    <w:rsid w:val="006150B0"/>
    <w:rsid w:val="00615852"/>
    <w:rsid w:val="00615BFE"/>
    <w:rsid w:val="00615C81"/>
    <w:rsid w:val="00616BA4"/>
    <w:rsid w:val="0061716E"/>
    <w:rsid w:val="006176A3"/>
    <w:rsid w:val="00617AFC"/>
    <w:rsid w:val="006202BD"/>
    <w:rsid w:val="00620B3F"/>
    <w:rsid w:val="0062170A"/>
    <w:rsid w:val="00621FCD"/>
    <w:rsid w:val="00622739"/>
    <w:rsid w:val="006228A3"/>
    <w:rsid w:val="00622B92"/>
    <w:rsid w:val="006239B8"/>
    <w:rsid w:val="00623A93"/>
    <w:rsid w:val="0062589E"/>
    <w:rsid w:val="00625A3C"/>
    <w:rsid w:val="006264F1"/>
    <w:rsid w:val="00626C96"/>
    <w:rsid w:val="00627038"/>
    <w:rsid w:val="0062778D"/>
    <w:rsid w:val="00627C9F"/>
    <w:rsid w:val="00627DFF"/>
    <w:rsid w:val="00627F5F"/>
    <w:rsid w:val="00631A83"/>
    <w:rsid w:val="00633753"/>
    <w:rsid w:val="00633F98"/>
    <w:rsid w:val="00634932"/>
    <w:rsid w:val="00635589"/>
    <w:rsid w:val="00636485"/>
    <w:rsid w:val="00637241"/>
    <w:rsid w:val="00637574"/>
    <w:rsid w:val="0064035B"/>
    <w:rsid w:val="00640D80"/>
    <w:rsid w:val="006425C0"/>
    <w:rsid w:val="00643703"/>
    <w:rsid w:val="00643C37"/>
    <w:rsid w:val="006447D8"/>
    <w:rsid w:val="00644F28"/>
    <w:rsid w:val="0064512E"/>
    <w:rsid w:val="00645191"/>
    <w:rsid w:val="006459E2"/>
    <w:rsid w:val="00645A72"/>
    <w:rsid w:val="00646638"/>
    <w:rsid w:val="006478F2"/>
    <w:rsid w:val="00647EA0"/>
    <w:rsid w:val="006500A8"/>
    <w:rsid w:val="00650D58"/>
    <w:rsid w:val="00650F70"/>
    <w:rsid w:val="0065159B"/>
    <w:rsid w:val="00651629"/>
    <w:rsid w:val="0065187E"/>
    <w:rsid w:val="006537A8"/>
    <w:rsid w:val="00653CD3"/>
    <w:rsid w:val="00653D49"/>
    <w:rsid w:val="006541AC"/>
    <w:rsid w:val="00654206"/>
    <w:rsid w:val="00654373"/>
    <w:rsid w:val="00654A70"/>
    <w:rsid w:val="006553C1"/>
    <w:rsid w:val="00655684"/>
    <w:rsid w:val="00655A25"/>
    <w:rsid w:val="006566CE"/>
    <w:rsid w:val="006574B6"/>
    <w:rsid w:val="00660A97"/>
    <w:rsid w:val="00661A1D"/>
    <w:rsid w:val="00662003"/>
    <w:rsid w:val="0066210C"/>
    <w:rsid w:val="006623B6"/>
    <w:rsid w:val="006624A2"/>
    <w:rsid w:val="006631E3"/>
    <w:rsid w:val="006637A8"/>
    <w:rsid w:val="00664F7D"/>
    <w:rsid w:val="0066546E"/>
    <w:rsid w:val="0066559F"/>
    <w:rsid w:val="006673D2"/>
    <w:rsid w:val="00667892"/>
    <w:rsid w:val="00667BBF"/>
    <w:rsid w:val="00670113"/>
    <w:rsid w:val="00670647"/>
    <w:rsid w:val="0067192C"/>
    <w:rsid w:val="006731F3"/>
    <w:rsid w:val="006734E2"/>
    <w:rsid w:val="006745CF"/>
    <w:rsid w:val="006747D5"/>
    <w:rsid w:val="00676B85"/>
    <w:rsid w:val="00676B86"/>
    <w:rsid w:val="00676CDC"/>
    <w:rsid w:val="00680129"/>
    <w:rsid w:val="006817B3"/>
    <w:rsid w:val="00683903"/>
    <w:rsid w:val="00683DC8"/>
    <w:rsid w:val="0068434B"/>
    <w:rsid w:val="006849BD"/>
    <w:rsid w:val="00684AA0"/>
    <w:rsid w:val="0068523C"/>
    <w:rsid w:val="006852F7"/>
    <w:rsid w:val="00686FEA"/>
    <w:rsid w:val="00687081"/>
    <w:rsid w:val="006870DA"/>
    <w:rsid w:val="00687F77"/>
    <w:rsid w:val="0069101E"/>
    <w:rsid w:val="00691591"/>
    <w:rsid w:val="00692541"/>
    <w:rsid w:val="0069270C"/>
    <w:rsid w:val="00693482"/>
    <w:rsid w:val="006935A0"/>
    <w:rsid w:val="00693CF2"/>
    <w:rsid w:val="0069460E"/>
    <w:rsid w:val="00694912"/>
    <w:rsid w:val="0069506E"/>
    <w:rsid w:val="0069546A"/>
    <w:rsid w:val="00695869"/>
    <w:rsid w:val="00696365"/>
    <w:rsid w:val="00696CF4"/>
    <w:rsid w:val="00697274"/>
    <w:rsid w:val="006975CC"/>
    <w:rsid w:val="0069766F"/>
    <w:rsid w:val="006A0233"/>
    <w:rsid w:val="006A0899"/>
    <w:rsid w:val="006A1D78"/>
    <w:rsid w:val="006A1EB5"/>
    <w:rsid w:val="006A205B"/>
    <w:rsid w:val="006A24E1"/>
    <w:rsid w:val="006A2A83"/>
    <w:rsid w:val="006A543F"/>
    <w:rsid w:val="006A659F"/>
    <w:rsid w:val="006A6A52"/>
    <w:rsid w:val="006A6B15"/>
    <w:rsid w:val="006A7526"/>
    <w:rsid w:val="006A784C"/>
    <w:rsid w:val="006A78F1"/>
    <w:rsid w:val="006A7DC3"/>
    <w:rsid w:val="006B01C5"/>
    <w:rsid w:val="006B0381"/>
    <w:rsid w:val="006B0B85"/>
    <w:rsid w:val="006B1075"/>
    <w:rsid w:val="006B24FB"/>
    <w:rsid w:val="006B2851"/>
    <w:rsid w:val="006B2B43"/>
    <w:rsid w:val="006B366F"/>
    <w:rsid w:val="006B3CD4"/>
    <w:rsid w:val="006B51C2"/>
    <w:rsid w:val="006B5633"/>
    <w:rsid w:val="006B7312"/>
    <w:rsid w:val="006B777C"/>
    <w:rsid w:val="006C0199"/>
    <w:rsid w:val="006C0750"/>
    <w:rsid w:val="006C10F3"/>
    <w:rsid w:val="006C1220"/>
    <w:rsid w:val="006C133B"/>
    <w:rsid w:val="006C1A6B"/>
    <w:rsid w:val="006C1C8E"/>
    <w:rsid w:val="006C2E76"/>
    <w:rsid w:val="006C41C6"/>
    <w:rsid w:val="006C54C9"/>
    <w:rsid w:val="006C5630"/>
    <w:rsid w:val="006C59D0"/>
    <w:rsid w:val="006D19DA"/>
    <w:rsid w:val="006D227A"/>
    <w:rsid w:val="006D2B5E"/>
    <w:rsid w:val="006D374C"/>
    <w:rsid w:val="006D3BF3"/>
    <w:rsid w:val="006D3DE7"/>
    <w:rsid w:val="006D4F1B"/>
    <w:rsid w:val="006D53EC"/>
    <w:rsid w:val="006D697D"/>
    <w:rsid w:val="006D6AA2"/>
    <w:rsid w:val="006D6CDC"/>
    <w:rsid w:val="006D70E7"/>
    <w:rsid w:val="006E2EAE"/>
    <w:rsid w:val="006E383B"/>
    <w:rsid w:val="006E4664"/>
    <w:rsid w:val="006E5FBB"/>
    <w:rsid w:val="006E6BA6"/>
    <w:rsid w:val="006E6C35"/>
    <w:rsid w:val="006E708D"/>
    <w:rsid w:val="006E7737"/>
    <w:rsid w:val="006F0E86"/>
    <w:rsid w:val="006F1837"/>
    <w:rsid w:val="006F1AD8"/>
    <w:rsid w:val="006F1CA4"/>
    <w:rsid w:val="006F21F0"/>
    <w:rsid w:val="006F22B0"/>
    <w:rsid w:val="006F2A3F"/>
    <w:rsid w:val="006F351B"/>
    <w:rsid w:val="006F392B"/>
    <w:rsid w:val="006F3CD1"/>
    <w:rsid w:val="006F4330"/>
    <w:rsid w:val="006F557F"/>
    <w:rsid w:val="006F571E"/>
    <w:rsid w:val="006F5BC1"/>
    <w:rsid w:val="006F6302"/>
    <w:rsid w:val="006F6706"/>
    <w:rsid w:val="006F68D6"/>
    <w:rsid w:val="006F692C"/>
    <w:rsid w:val="006F7C55"/>
    <w:rsid w:val="007003E8"/>
    <w:rsid w:val="00701601"/>
    <w:rsid w:val="007026C3"/>
    <w:rsid w:val="0070272D"/>
    <w:rsid w:val="00702DEA"/>
    <w:rsid w:val="00703A9A"/>
    <w:rsid w:val="00704A9A"/>
    <w:rsid w:val="00704C25"/>
    <w:rsid w:val="00705724"/>
    <w:rsid w:val="00705789"/>
    <w:rsid w:val="00705A10"/>
    <w:rsid w:val="00705D9B"/>
    <w:rsid w:val="00705F1D"/>
    <w:rsid w:val="0070620D"/>
    <w:rsid w:val="0070663A"/>
    <w:rsid w:val="0070667A"/>
    <w:rsid w:val="007066CA"/>
    <w:rsid w:val="00706AC7"/>
    <w:rsid w:val="0070758D"/>
    <w:rsid w:val="00707C35"/>
    <w:rsid w:val="00707D70"/>
    <w:rsid w:val="00711248"/>
    <w:rsid w:val="00711C31"/>
    <w:rsid w:val="00711C64"/>
    <w:rsid w:val="00713BC9"/>
    <w:rsid w:val="00714036"/>
    <w:rsid w:val="007145B0"/>
    <w:rsid w:val="007149D9"/>
    <w:rsid w:val="00714D55"/>
    <w:rsid w:val="0071557F"/>
    <w:rsid w:val="007163E6"/>
    <w:rsid w:val="00716679"/>
    <w:rsid w:val="00716DCB"/>
    <w:rsid w:val="0072046F"/>
    <w:rsid w:val="00720B33"/>
    <w:rsid w:val="00720BD0"/>
    <w:rsid w:val="00721617"/>
    <w:rsid w:val="00722204"/>
    <w:rsid w:val="00722795"/>
    <w:rsid w:val="007237F5"/>
    <w:rsid w:val="007239AC"/>
    <w:rsid w:val="00723DC4"/>
    <w:rsid w:val="00723E95"/>
    <w:rsid w:val="007251E3"/>
    <w:rsid w:val="00725B66"/>
    <w:rsid w:val="007267E0"/>
    <w:rsid w:val="00726D2F"/>
    <w:rsid w:val="007275D3"/>
    <w:rsid w:val="007315EF"/>
    <w:rsid w:val="00731E06"/>
    <w:rsid w:val="00732492"/>
    <w:rsid w:val="00732864"/>
    <w:rsid w:val="007328CA"/>
    <w:rsid w:val="007328CD"/>
    <w:rsid w:val="007328F1"/>
    <w:rsid w:val="00732B1F"/>
    <w:rsid w:val="00733665"/>
    <w:rsid w:val="00733893"/>
    <w:rsid w:val="00733953"/>
    <w:rsid w:val="00733F37"/>
    <w:rsid w:val="00735F74"/>
    <w:rsid w:val="00736364"/>
    <w:rsid w:val="0073642B"/>
    <w:rsid w:val="0073655D"/>
    <w:rsid w:val="00736956"/>
    <w:rsid w:val="00736BBC"/>
    <w:rsid w:val="00737217"/>
    <w:rsid w:val="0073763D"/>
    <w:rsid w:val="00740020"/>
    <w:rsid w:val="0074017D"/>
    <w:rsid w:val="00740AB1"/>
    <w:rsid w:val="007420FB"/>
    <w:rsid w:val="00743CCA"/>
    <w:rsid w:val="0074464E"/>
    <w:rsid w:val="00746ABF"/>
    <w:rsid w:val="00750514"/>
    <w:rsid w:val="007507AF"/>
    <w:rsid w:val="00750D35"/>
    <w:rsid w:val="00750F2F"/>
    <w:rsid w:val="0075199C"/>
    <w:rsid w:val="0075219B"/>
    <w:rsid w:val="00752272"/>
    <w:rsid w:val="007526B5"/>
    <w:rsid w:val="0075272B"/>
    <w:rsid w:val="007529A7"/>
    <w:rsid w:val="007537FA"/>
    <w:rsid w:val="00754496"/>
    <w:rsid w:val="007546A8"/>
    <w:rsid w:val="007546D9"/>
    <w:rsid w:val="00754C92"/>
    <w:rsid w:val="0075518B"/>
    <w:rsid w:val="00755385"/>
    <w:rsid w:val="00755689"/>
    <w:rsid w:val="007558C4"/>
    <w:rsid w:val="00755C87"/>
    <w:rsid w:val="00756D19"/>
    <w:rsid w:val="00760129"/>
    <w:rsid w:val="007613E8"/>
    <w:rsid w:val="007615B6"/>
    <w:rsid w:val="0076315E"/>
    <w:rsid w:val="007632E6"/>
    <w:rsid w:val="007639DC"/>
    <w:rsid w:val="0076684E"/>
    <w:rsid w:val="00766A58"/>
    <w:rsid w:val="00767301"/>
    <w:rsid w:val="007679DA"/>
    <w:rsid w:val="00770E7B"/>
    <w:rsid w:val="0077133E"/>
    <w:rsid w:val="00771E8A"/>
    <w:rsid w:val="00772716"/>
    <w:rsid w:val="007740AA"/>
    <w:rsid w:val="00774DF5"/>
    <w:rsid w:val="00775606"/>
    <w:rsid w:val="007764F4"/>
    <w:rsid w:val="0077654F"/>
    <w:rsid w:val="00776669"/>
    <w:rsid w:val="0077686F"/>
    <w:rsid w:val="00776AB8"/>
    <w:rsid w:val="00776E6A"/>
    <w:rsid w:val="007801D2"/>
    <w:rsid w:val="0078112B"/>
    <w:rsid w:val="0078130A"/>
    <w:rsid w:val="00781550"/>
    <w:rsid w:val="00781A2E"/>
    <w:rsid w:val="00781B0B"/>
    <w:rsid w:val="007822A3"/>
    <w:rsid w:val="0078449A"/>
    <w:rsid w:val="00784A93"/>
    <w:rsid w:val="00784EA7"/>
    <w:rsid w:val="00786F07"/>
    <w:rsid w:val="00790119"/>
    <w:rsid w:val="00790FB6"/>
    <w:rsid w:val="00791393"/>
    <w:rsid w:val="007919D0"/>
    <w:rsid w:val="007920CA"/>
    <w:rsid w:val="00792EBE"/>
    <w:rsid w:val="00793616"/>
    <w:rsid w:val="0079367C"/>
    <w:rsid w:val="00795D7D"/>
    <w:rsid w:val="00796246"/>
    <w:rsid w:val="0079641E"/>
    <w:rsid w:val="0079672F"/>
    <w:rsid w:val="007969DC"/>
    <w:rsid w:val="00797484"/>
    <w:rsid w:val="00797AF9"/>
    <w:rsid w:val="007A0130"/>
    <w:rsid w:val="007A0DCF"/>
    <w:rsid w:val="007A0FD0"/>
    <w:rsid w:val="007A2089"/>
    <w:rsid w:val="007A2AE7"/>
    <w:rsid w:val="007A31DC"/>
    <w:rsid w:val="007A33F8"/>
    <w:rsid w:val="007A367B"/>
    <w:rsid w:val="007A4CF0"/>
    <w:rsid w:val="007A4DA2"/>
    <w:rsid w:val="007A4F6D"/>
    <w:rsid w:val="007A50EF"/>
    <w:rsid w:val="007A5F15"/>
    <w:rsid w:val="007A679B"/>
    <w:rsid w:val="007A6BCD"/>
    <w:rsid w:val="007A74F1"/>
    <w:rsid w:val="007B0D2B"/>
    <w:rsid w:val="007B1465"/>
    <w:rsid w:val="007B1D77"/>
    <w:rsid w:val="007B1E50"/>
    <w:rsid w:val="007B231F"/>
    <w:rsid w:val="007B29E4"/>
    <w:rsid w:val="007B33A7"/>
    <w:rsid w:val="007B3A5C"/>
    <w:rsid w:val="007B3B57"/>
    <w:rsid w:val="007B4407"/>
    <w:rsid w:val="007B4D7B"/>
    <w:rsid w:val="007B5184"/>
    <w:rsid w:val="007B552B"/>
    <w:rsid w:val="007B5970"/>
    <w:rsid w:val="007B5D6E"/>
    <w:rsid w:val="007B5E38"/>
    <w:rsid w:val="007B60B4"/>
    <w:rsid w:val="007B64BD"/>
    <w:rsid w:val="007B67FD"/>
    <w:rsid w:val="007B6C74"/>
    <w:rsid w:val="007B6ECE"/>
    <w:rsid w:val="007B6FA5"/>
    <w:rsid w:val="007B71B6"/>
    <w:rsid w:val="007B7457"/>
    <w:rsid w:val="007C088F"/>
    <w:rsid w:val="007C0F5A"/>
    <w:rsid w:val="007C1BDF"/>
    <w:rsid w:val="007C1D49"/>
    <w:rsid w:val="007C1F01"/>
    <w:rsid w:val="007C3CCB"/>
    <w:rsid w:val="007C3D86"/>
    <w:rsid w:val="007C3E26"/>
    <w:rsid w:val="007C428F"/>
    <w:rsid w:val="007C4593"/>
    <w:rsid w:val="007C6628"/>
    <w:rsid w:val="007C7DAC"/>
    <w:rsid w:val="007D0E47"/>
    <w:rsid w:val="007D15FA"/>
    <w:rsid w:val="007D1DD4"/>
    <w:rsid w:val="007D20E2"/>
    <w:rsid w:val="007D39B9"/>
    <w:rsid w:val="007D3A6C"/>
    <w:rsid w:val="007D3CA9"/>
    <w:rsid w:val="007D45C1"/>
    <w:rsid w:val="007D49BE"/>
    <w:rsid w:val="007D49DA"/>
    <w:rsid w:val="007D6210"/>
    <w:rsid w:val="007D652F"/>
    <w:rsid w:val="007D665B"/>
    <w:rsid w:val="007D7D94"/>
    <w:rsid w:val="007E0D85"/>
    <w:rsid w:val="007E1409"/>
    <w:rsid w:val="007E30A9"/>
    <w:rsid w:val="007E34F7"/>
    <w:rsid w:val="007E3985"/>
    <w:rsid w:val="007E462B"/>
    <w:rsid w:val="007E4A95"/>
    <w:rsid w:val="007E4DE8"/>
    <w:rsid w:val="007E56A8"/>
    <w:rsid w:val="007E57A3"/>
    <w:rsid w:val="007E6751"/>
    <w:rsid w:val="007E7133"/>
    <w:rsid w:val="007F09EA"/>
    <w:rsid w:val="007F0B79"/>
    <w:rsid w:val="007F1A4A"/>
    <w:rsid w:val="007F1B38"/>
    <w:rsid w:val="007F227A"/>
    <w:rsid w:val="007F3713"/>
    <w:rsid w:val="007F3BDC"/>
    <w:rsid w:val="007F4183"/>
    <w:rsid w:val="007F447B"/>
    <w:rsid w:val="007F50C9"/>
    <w:rsid w:val="007F5124"/>
    <w:rsid w:val="007F5B3D"/>
    <w:rsid w:val="007F5D70"/>
    <w:rsid w:val="007F61AE"/>
    <w:rsid w:val="007F6BC2"/>
    <w:rsid w:val="007F72EB"/>
    <w:rsid w:val="007F7C9F"/>
    <w:rsid w:val="008004BF"/>
    <w:rsid w:val="008009E9"/>
    <w:rsid w:val="00800A68"/>
    <w:rsid w:val="00800BB3"/>
    <w:rsid w:val="00801513"/>
    <w:rsid w:val="0080153F"/>
    <w:rsid w:val="008022F1"/>
    <w:rsid w:val="00802A0D"/>
    <w:rsid w:val="00802EBD"/>
    <w:rsid w:val="00802EEF"/>
    <w:rsid w:val="00804AB5"/>
    <w:rsid w:val="008053D1"/>
    <w:rsid w:val="008060A7"/>
    <w:rsid w:val="00806C9D"/>
    <w:rsid w:val="00806CBB"/>
    <w:rsid w:val="00807540"/>
    <w:rsid w:val="00807552"/>
    <w:rsid w:val="00810703"/>
    <w:rsid w:val="00810AE7"/>
    <w:rsid w:val="00810D46"/>
    <w:rsid w:val="00811683"/>
    <w:rsid w:val="008146AB"/>
    <w:rsid w:val="00815C98"/>
    <w:rsid w:val="0081687E"/>
    <w:rsid w:val="00816A9A"/>
    <w:rsid w:val="00817003"/>
    <w:rsid w:val="00817254"/>
    <w:rsid w:val="008173B3"/>
    <w:rsid w:val="00817E2A"/>
    <w:rsid w:val="0082031F"/>
    <w:rsid w:val="00820991"/>
    <w:rsid w:val="00820E10"/>
    <w:rsid w:val="008213CF"/>
    <w:rsid w:val="00821D7E"/>
    <w:rsid w:val="00822276"/>
    <w:rsid w:val="0082237E"/>
    <w:rsid w:val="0082247C"/>
    <w:rsid w:val="008228CD"/>
    <w:rsid w:val="00822A08"/>
    <w:rsid w:val="008233AA"/>
    <w:rsid w:val="00823839"/>
    <w:rsid w:val="008238BF"/>
    <w:rsid w:val="008239DD"/>
    <w:rsid w:val="0082429A"/>
    <w:rsid w:val="008249B1"/>
    <w:rsid w:val="008251F8"/>
    <w:rsid w:val="00825FF0"/>
    <w:rsid w:val="0082604E"/>
    <w:rsid w:val="008266A1"/>
    <w:rsid w:val="0082742B"/>
    <w:rsid w:val="008276DD"/>
    <w:rsid w:val="00827FA2"/>
    <w:rsid w:val="00830769"/>
    <w:rsid w:val="00831A92"/>
    <w:rsid w:val="00831B04"/>
    <w:rsid w:val="00832996"/>
    <w:rsid w:val="00833943"/>
    <w:rsid w:val="00833969"/>
    <w:rsid w:val="008346F5"/>
    <w:rsid w:val="008373C5"/>
    <w:rsid w:val="00837A3E"/>
    <w:rsid w:val="0084010E"/>
    <w:rsid w:val="00840215"/>
    <w:rsid w:val="00840269"/>
    <w:rsid w:val="00840486"/>
    <w:rsid w:val="00840A4F"/>
    <w:rsid w:val="008412C4"/>
    <w:rsid w:val="00841562"/>
    <w:rsid w:val="00841C0D"/>
    <w:rsid w:val="00842D89"/>
    <w:rsid w:val="00843137"/>
    <w:rsid w:val="00843201"/>
    <w:rsid w:val="00843B61"/>
    <w:rsid w:val="0084442B"/>
    <w:rsid w:val="00845019"/>
    <w:rsid w:val="00845476"/>
    <w:rsid w:val="008454BD"/>
    <w:rsid w:val="00845CCA"/>
    <w:rsid w:val="00845D1F"/>
    <w:rsid w:val="00846106"/>
    <w:rsid w:val="00846BAC"/>
    <w:rsid w:val="00847A9D"/>
    <w:rsid w:val="0085058B"/>
    <w:rsid w:val="0085063A"/>
    <w:rsid w:val="00850D63"/>
    <w:rsid w:val="00851B5B"/>
    <w:rsid w:val="00852AAD"/>
    <w:rsid w:val="00852CDC"/>
    <w:rsid w:val="00852ECA"/>
    <w:rsid w:val="0085336B"/>
    <w:rsid w:val="00854E14"/>
    <w:rsid w:val="00856D8A"/>
    <w:rsid w:val="0085770B"/>
    <w:rsid w:val="00857A4A"/>
    <w:rsid w:val="0086025C"/>
    <w:rsid w:val="00860435"/>
    <w:rsid w:val="008607A5"/>
    <w:rsid w:val="008612FA"/>
    <w:rsid w:val="008613ED"/>
    <w:rsid w:val="00861C35"/>
    <w:rsid w:val="00862526"/>
    <w:rsid w:val="008628F6"/>
    <w:rsid w:val="00862A47"/>
    <w:rsid w:val="0086333D"/>
    <w:rsid w:val="008637AF"/>
    <w:rsid w:val="00863F07"/>
    <w:rsid w:val="0086408F"/>
    <w:rsid w:val="00864B2B"/>
    <w:rsid w:val="008650AE"/>
    <w:rsid w:val="00865133"/>
    <w:rsid w:val="00865ACD"/>
    <w:rsid w:val="00865AFE"/>
    <w:rsid w:val="008661CC"/>
    <w:rsid w:val="00866D2F"/>
    <w:rsid w:val="00867047"/>
    <w:rsid w:val="00867276"/>
    <w:rsid w:val="00870E8D"/>
    <w:rsid w:val="00871377"/>
    <w:rsid w:val="00871631"/>
    <w:rsid w:val="008737C1"/>
    <w:rsid w:val="0087552B"/>
    <w:rsid w:val="00875567"/>
    <w:rsid w:val="00877592"/>
    <w:rsid w:val="008776F8"/>
    <w:rsid w:val="008806D9"/>
    <w:rsid w:val="00880F6B"/>
    <w:rsid w:val="00882289"/>
    <w:rsid w:val="00882A27"/>
    <w:rsid w:val="00882B85"/>
    <w:rsid w:val="0088301D"/>
    <w:rsid w:val="00883E09"/>
    <w:rsid w:val="00886510"/>
    <w:rsid w:val="00886698"/>
    <w:rsid w:val="00886A8A"/>
    <w:rsid w:val="0088770E"/>
    <w:rsid w:val="00887F87"/>
    <w:rsid w:val="00890A54"/>
    <w:rsid w:val="00891DC5"/>
    <w:rsid w:val="00891DF5"/>
    <w:rsid w:val="008932E6"/>
    <w:rsid w:val="0089380C"/>
    <w:rsid w:val="0089390C"/>
    <w:rsid w:val="00893F2D"/>
    <w:rsid w:val="008948B8"/>
    <w:rsid w:val="00894F92"/>
    <w:rsid w:val="00895455"/>
    <w:rsid w:val="008956FC"/>
    <w:rsid w:val="00896E75"/>
    <w:rsid w:val="008976AF"/>
    <w:rsid w:val="008A02EB"/>
    <w:rsid w:val="008A09DC"/>
    <w:rsid w:val="008A1CB2"/>
    <w:rsid w:val="008A1DCE"/>
    <w:rsid w:val="008A1E8B"/>
    <w:rsid w:val="008A2025"/>
    <w:rsid w:val="008A3E8F"/>
    <w:rsid w:val="008A3EA5"/>
    <w:rsid w:val="008A3FF5"/>
    <w:rsid w:val="008A4A91"/>
    <w:rsid w:val="008A5388"/>
    <w:rsid w:val="008A5496"/>
    <w:rsid w:val="008A578B"/>
    <w:rsid w:val="008A5B80"/>
    <w:rsid w:val="008A647C"/>
    <w:rsid w:val="008A69EA"/>
    <w:rsid w:val="008A6F36"/>
    <w:rsid w:val="008A7D25"/>
    <w:rsid w:val="008B0F36"/>
    <w:rsid w:val="008B21A6"/>
    <w:rsid w:val="008B2FAA"/>
    <w:rsid w:val="008B5568"/>
    <w:rsid w:val="008B5953"/>
    <w:rsid w:val="008B6AEB"/>
    <w:rsid w:val="008B7773"/>
    <w:rsid w:val="008C011D"/>
    <w:rsid w:val="008C024D"/>
    <w:rsid w:val="008C06A3"/>
    <w:rsid w:val="008C09C7"/>
    <w:rsid w:val="008C140C"/>
    <w:rsid w:val="008C1C09"/>
    <w:rsid w:val="008C264B"/>
    <w:rsid w:val="008C2737"/>
    <w:rsid w:val="008C2AA8"/>
    <w:rsid w:val="008C3AD7"/>
    <w:rsid w:val="008C3EBF"/>
    <w:rsid w:val="008C4363"/>
    <w:rsid w:val="008C486A"/>
    <w:rsid w:val="008C61BA"/>
    <w:rsid w:val="008C6273"/>
    <w:rsid w:val="008C7113"/>
    <w:rsid w:val="008D0F90"/>
    <w:rsid w:val="008D12D6"/>
    <w:rsid w:val="008D1B67"/>
    <w:rsid w:val="008D230B"/>
    <w:rsid w:val="008D25C5"/>
    <w:rsid w:val="008D271C"/>
    <w:rsid w:val="008D28AB"/>
    <w:rsid w:val="008D2D72"/>
    <w:rsid w:val="008D3F65"/>
    <w:rsid w:val="008D3FC5"/>
    <w:rsid w:val="008D4603"/>
    <w:rsid w:val="008D5F2C"/>
    <w:rsid w:val="008D61CD"/>
    <w:rsid w:val="008D75F7"/>
    <w:rsid w:val="008D7AA6"/>
    <w:rsid w:val="008E0584"/>
    <w:rsid w:val="008E11AF"/>
    <w:rsid w:val="008E18C4"/>
    <w:rsid w:val="008E1DF8"/>
    <w:rsid w:val="008E2727"/>
    <w:rsid w:val="008E3771"/>
    <w:rsid w:val="008E4549"/>
    <w:rsid w:val="008E4C15"/>
    <w:rsid w:val="008E57F1"/>
    <w:rsid w:val="008E5E28"/>
    <w:rsid w:val="008E69D0"/>
    <w:rsid w:val="008E70BE"/>
    <w:rsid w:val="008E7947"/>
    <w:rsid w:val="008E7D87"/>
    <w:rsid w:val="008E7DDA"/>
    <w:rsid w:val="008E7EE6"/>
    <w:rsid w:val="008F0032"/>
    <w:rsid w:val="008F2533"/>
    <w:rsid w:val="008F3B19"/>
    <w:rsid w:val="008F4BDB"/>
    <w:rsid w:val="008F4E1B"/>
    <w:rsid w:val="008F5358"/>
    <w:rsid w:val="008F64F8"/>
    <w:rsid w:val="008F705B"/>
    <w:rsid w:val="008F7DF3"/>
    <w:rsid w:val="00900199"/>
    <w:rsid w:val="00900384"/>
    <w:rsid w:val="00900456"/>
    <w:rsid w:val="00900E16"/>
    <w:rsid w:val="0090102E"/>
    <w:rsid w:val="009042CF"/>
    <w:rsid w:val="009047ED"/>
    <w:rsid w:val="00905DA8"/>
    <w:rsid w:val="0090622C"/>
    <w:rsid w:val="009062E6"/>
    <w:rsid w:val="009064C6"/>
    <w:rsid w:val="009076AD"/>
    <w:rsid w:val="009079BC"/>
    <w:rsid w:val="009103F8"/>
    <w:rsid w:val="00910B62"/>
    <w:rsid w:val="00910F1D"/>
    <w:rsid w:val="00910F52"/>
    <w:rsid w:val="00912133"/>
    <w:rsid w:val="00913589"/>
    <w:rsid w:val="0091377A"/>
    <w:rsid w:val="009139AE"/>
    <w:rsid w:val="00914F3A"/>
    <w:rsid w:val="00915510"/>
    <w:rsid w:val="00915879"/>
    <w:rsid w:val="009159BE"/>
    <w:rsid w:val="00916122"/>
    <w:rsid w:val="00917C97"/>
    <w:rsid w:val="00920BD0"/>
    <w:rsid w:val="00920E10"/>
    <w:rsid w:val="00921266"/>
    <w:rsid w:val="00922314"/>
    <w:rsid w:val="00922C2B"/>
    <w:rsid w:val="00922FAD"/>
    <w:rsid w:val="009231E8"/>
    <w:rsid w:val="0092339D"/>
    <w:rsid w:val="00923493"/>
    <w:rsid w:val="00923498"/>
    <w:rsid w:val="00923847"/>
    <w:rsid w:val="00923CE4"/>
    <w:rsid w:val="009246B2"/>
    <w:rsid w:val="009252C1"/>
    <w:rsid w:val="00926B5F"/>
    <w:rsid w:val="009302B1"/>
    <w:rsid w:val="00930721"/>
    <w:rsid w:val="0093195D"/>
    <w:rsid w:val="00931992"/>
    <w:rsid w:val="00932E3A"/>
    <w:rsid w:val="00933746"/>
    <w:rsid w:val="009343C2"/>
    <w:rsid w:val="0093514A"/>
    <w:rsid w:val="0093570C"/>
    <w:rsid w:val="00937192"/>
    <w:rsid w:val="00937204"/>
    <w:rsid w:val="0093756B"/>
    <w:rsid w:val="009377F9"/>
    <w:rsid w:val="009400C2"/>
    <w:rsid w:val="00940DF2"/>
    <w:rsid w:val="00941029"/>
    <w:rsid w:val="009425F8"/>
    <w:rsid w:val="00942798"/>
    <w:rsid w:val="00942CD5"/>
    <w:rsid w:val="0094385D"/>
    <w:rsid w:val="0094422B"/>
    <w:rsid w:val="00944C06"/>
    <w:rsid w:val="009462FA"/>
    <w:rsid w:val="00947153"/>
    <w:rsid w:val="009475BA"/>
    <w:rsid w:val="009477D1"/>
    <w:rsid w:val="009505DD"/>
    <w:rsid w:val="00950BE4"/>
    <w:rsid w:val="00950FFF"/>
    <w:rsid w:val="0095235E"/>
    <w:rsid w:val="00952A2F"/>
    <w:rsid w:val="00954619"/>
    <w:rsid w:val="0095463E"/>
    <w:rsid w:val="00954E3E"/>
    <w:rsid w:val="0095536D"/>
    <w:rsid w:val="00955905"/>
    <w:rsid w:val="009561AA"/>
    <w:rsid w:val="00956E8C"/>
    <w:rsid w:val="00956F7C"/>
    <w:rsid w:val="009578F1"/>
    <w:rsid w:val="00957AA6"/>
    <w:rsid w:val="00960C53"/>
    <w:rsid w:val="00960ED5"/>
    <w:rsid w:val="00961237"/>
    <w:rsid w:val="00961453"/>
    <w:rsid w:val="00961618"/>
    <w:rsid w:val="009625A8"/>
    <w:rsid w:val="00962612"/>
    <w:rsid w:val="00962742"/>
    <w:rsid w:val="00962E14"/>
    <w:rsid w:val="00965459"/>
    <w:rsid w:val="009656ED"/>
    <w:rsid w:val="00965A21"/>
    <w:rsid w:val="00965D4D"/>
    <w:rsid w:val="00966608"/>
    <w:rsid w:val="009670A7"/>
    <w:rsid w:val="00967450"/>
    <w:rsid w:val="0096761A"/>
    <w:rsid w:val="009705B3"/>
    <w:rsid w:val="009707B6"/>
    <w:rsid w:val="0097087A"/>
    <w:rsid w:val="00971016"/>
    <w:rsid w:val="009721B9"/>
    <w:rsid w:val="009723ED"/>
    <w:rsid w:val="00972439"/>
    <w:rsid w:val="0097374F"/>
    <w:rsid w:val="00974166"/>
    <w:rsid w:val="0097483A"/>
    <w:rsid w:val="00974935"/>
    <w:rsid w:val="00974B69"/>
    <w:rsid w:val="00974CCC"/>
    <w:rsid w:val="00975CF0"/>
    <w:rsid w:val="00975E9F"/>
    <w:rsid w:val="00975EB6"/>
    <w:rsid w:val="009761D1"/>
    <w:rsid w:val="009778E5"/>
    <w:rsid w:val="00977E09"/>
    <w:rsid w:val="009813A6"/>
    <w:rsid w:val="00981D16"/>
    <w:rsid w:val="00982335"/>
    <w:rsid w:val="0098456E"/>
    <w:rsid w:val="0098472C"/>
    <w:rsid w:val="00986AE6"/>
    <w:rsid w:val="009870E1"/>
    <w:rsid w:val="009915EB"/>
    <w:rsid w:val="00991F8D"/>
    <w:rsid w:val="00992485"/>
    <w:rsid w:val="00992734"/>
    <w:rsid w:val="009928ED"/>
    <w:rsid w:val="009951EF"/>
    <w:rsid w:val="0099596C"/>
    <w:rsid w:val="00995E3F"/>
    <w:rsid w:val="00995F3D"/>
    <w:rsid w:val="00996097"/>
    <w:rsid w:val="00996B7B"/>
    <w:rsid w:val="00997C5A"/>
    <w:rsid w:val="009A0C0D"/>
    <w:rsid w:val="009A1756"/>
    <w:rsid w:val="009A1888"/>
    <w:rsid w:val="009A430A"/>
    <w:rsid w:val="009A4A6A"/>
    <w:rsid w:val="009A4E72"/>
    <w:rsid w:val="009A57DF"/>
    <w:rsid w:val="009A58EF"/>
    <w:rsid w:val="009A5C42"/>
    <w:rsid w:val="009A604C"/>
    <w:rsid w:val="009A6288"/>
    <w:rsid w:val="009A68EC"/>
    <w:rsid w:val="009A6D64"/>
    <w:rsid w:val="009A7640"/>
    <w:rsid w:val="009B0ED5"/>
    <w:rsid w:val="009B105D"/>
    <w:rsid w:val="009B108B"/>
    <w:rsid w:val="009B15A0"/>
    <w:rsid w:val="009B19D1"/>
    <w:rsid w:val="009B2AF3"/>
    <w:rsid w:val="009B2F96"/>
    <w:rsid w:val="009B31A4"/>
    <w:rsid w:val="009B41DE"/>
    <w:rsid w:val="009B4A61"/>
    <w:rsid w:val="009B54B7"/>
    <w:rsid w:val="009B5AEF"/>
    <w:rsid w:val="009B63C2"/>
    <w:rsid w:val="009B7452"/>
    <w:rsid w:val="009B7B1F"/>
    <w:rsid w:val="009C0993"/>
    <w:rsid w:val="009C0C78"/>
    <w:rsid w:val="009C10F2"/>
    <w:rsid w:val="009C11EA"/>
    <w:rsid w:val="009C163C"/>
    <w:rsid w:val="009C1D48"/>
    <w:rsid w:val="009C2244"/>
    <w:rsid w:val="009C3C7B"/>
    <w:rsid w:val="009C4F50"/>
    <w:rsid w:val="009C50AE"/>
    <w:rsid w:val="009C5402"/>
    <w:rsid w:val="009C5D95"/>
    <w:rsid w:val="009C6917"/>
    <w:rsid w:val="009C6F77"/>
    <w:rsid w:val="009C7175"/>
    <w:rsid w:val="009C7218"/>
    <w:rsid w:val="009C7525"/>
    <w:rsid w:val="009C7A72"/>
    <w:rsid w:val="009D1991"/>
    <w:rsid w:val="009D1CFF"/>
    <w:rsid w:val="009D1D31"/>
    <w:rsid w:val="009D1D7A"/>
    <w:rsid w:val="009D2099"/>
    <w:rsid w:val="009D2E41"/>
    <w:rsid w:val="009D3E6D"/>
    <w:rsid w:val="009D44FF"/>
    <w:rsid w:val="009D4857"/>
    <w:rsid w:val="009D77CC"/>
    <w:rsid w:val="009E17C3"/>
    <w:rsid w:val="009E1A31"/>
    <w:rsid w:val="009E1E79"/>
    <w:rsid w:val="009E2A69"/>
    <w:rsid w:val="009E3694"/>
    <w:rsid w:val="009E396D"/>
    <w:rsid w:val="009E39BB"/>
    <w:rsid w:val="009E3E55"/>
    <w:rsid w:val="009E4604"/>
    <w:rsid w:val="009E4A29"/>
    <w:rsid w:val="009E4F10"/>
    <w:rsid w:val="009E7272"/>
    <w:rsid w:val="009E73D3"/>
    <w:rsid w:val="009F0AF4"/>
    <w:rsid w:val="009F0CF6"/>
    <w:rsid w:val="009F1183"/>
    <w:rsid w:val="009F141D"/>
    <w:rsid w:val="009F1514"/>
    <w:rsid w:val="009F18D8"/>
    <w:rsid w:val="009F19BB"/>
    <w:rsid w:val="009F1B33"/>
    <w:rsid w:val="009F2EEF"/>
    <w:rsid w:val="009F2F7B"/>
    <w:rsid w:val="009F36C7"/>
    <w:rsid w:val="009F3A3F"/>
    <w:rsid w:val="009F44B4"/>
    <w:rsid w:val="009F44E1"/>
    <w:rsid w:val="009F4ABE"/>
    <w:rsid w:val="009F4C02"/>
    <w:rsid w:val="009F4DC8"/>
    <w:rsid w:val="009F589F"/>
    <w:rsid w:val="009F7119"/>
    <w:rsid w:val="009F7B20"/>
    <w:rsid w:val="00A00401"/>
    <w:rsid w:val="00A00A55"/>
    <w:rsid w:val="00A00C7C"/>
    <w:rsid w:val="00A00D63"/>
    <w:rsid w:val="00A0100F"/>
    <w:rsid w:val="00A01535"/>
    <w:rsid w:val="00A01F59"/>
    <w:rsid w:val="00A02573"/>
    <w:rsid w:val="00A03479"/>
    <w:rsid w:val="00A043DE"/>
    <w:rsid w:val="00A048A8"/>
    <w:rsid w:val="00A04903"/>
    <w:rsid w:val="00A056AA"/>
    <w:rsid w:val="00A05BAE"/>
    <w:rsid w:val="00A06879"/>
    <w:rsid w:val="00A06F04"/>
    <w:rsid w:val="00A07479"/>
    <w:rsid w:val="00A0768A"/>
    <w:rsid w:val="00A0768B"/>
    <w:rsid w:val="00A0769E"/>
    <w:rsid w:val="00A11618"/>
    <w:rsid w:val="00A11921"/>
    <w:rsid w:val="00A119DE"/>
    <w:rsid w:val="00A11FE2"/>
    <w:rsid w:val="00A13F6F"/>
    <w:rsid w:val="00A14CF4"/>
    <w:rsid w:val="00A15060"/>
    <w:rsid w:val="00A152F2"/>
    <w:rsid w:val="00A1570C"/>
    <w:rsid w:val="00A15C4A"/>
    <w:rsid w:val="00A15C4F"/>
    <w:rsid w:val="00A1659C"/>
    <w:rsid w:val="00A16E60"/>
    <w:rsid w:val="00A211BE"/>
    <w:rsid w:val="00A221B4"/>
    <w:rsid w:val="00A229E8"/>
    <w:rsid w:val="00A22CED"/>
    <w:rsid w:val="00A231C7"/>
    <w:rsid w:val="00A23560"/>
    <w:rsid w:val="00A2438D"/>
    <w:rsid w:val="00A24EA8"/>
    <w:rsid w:val="00A25121"/>
    <w:rsid w:val="00A26C27"/>
    <w:rsid w:val="00A27045"/>
    <w:rsid w:val="00A2724A"/>
    <w:rsid w:val="00A27394"/>
    <w:rsid w:val="00A27BB4"/>
    <w:rsid w:val="00A27CB5"/>
    <w:rsid w:val="00A30C5A"/>
    <w:rsid w:val="00A32754"/>
    <w:rsid w:val="00A3331C"/>
    <w:rsid w:val="00A3370A"/>
    <w:rsid w:val="00A337FF"/>
    <w:rsid w:val="00A33FB6"/>
    <w:rsid w:val="00A34444"/>
    <w:rsid w:val="00A34A80"/>
    <w:rsid w:val="00A34C54"/>
    <w:rsid w:val="00A3578A"/>
    <w:rsid w:val="00A365E5"/>
    <w:rsid w:val="00A369A4"/>
    <w:rsid w:val="00A36F98"/>
    <w:rsid w:val="00A37149"/>
    <w:rsid w:val="00A37539"/>
    <w:rsid w:val="00A37777"/>
    <w:rsid w:val="00A4045F"/>
    <w:rsid w:val="00A40565"/>
    <w:rsid w:val="00A40747"/>
    <w:rsid w:val="00A40974"/>
    <w:rsid w:val="00A40B4C"/>
    <w:rsid w:val="00A40E19"/>
    <w:rsid w:val="00A43513"/>
    <w:rsid w:val="00A45B0A"/>
    <w:rsid w:val="00A46A68"/>
    <w:rsid w:val="00A46C22"/>
    <w:rsid w:val="00A47388"/>
    <w:rsid w:val="00A477F7"/>
    <w:rsid w:val="00A50CF9"/>
    <w:rsid w:val="00A51842"/>
    <w:rsid w:val="00A51AA1"/>
    <w:rsid w:val="00A52C05"/>
    <w:rsid w:val="00A53831"/>
    <w:rsid w:val="00A53DBF"/>
    <w:rsid w:val="00A53F3F"/>
    <w:rsid w:val="00A55302"/>
    <w:rsid w:val="00A5578F"/>
    <w:rsid w:val="00A55D19"/>
    <w:rsid w:val="00A566E6"/>
    <w:rsid w:val="00A56895"/>
    <w:rsid w:val="00A574D1"/>
    <w:rsid w:val="00A60347"/>
    <w:rsid w:val="00A6094C"/>
    <w:rsid w:val="00A60DC6"/>
    <w:rsid w:val="00A60E63"/>
    <w:rsid w:val="00A61838"/>
    <w:rsid w:val="00A622AD"/>
    <w:rsid w:val="00A62487"/>
    <w:rsid w:val="00A6292D"/>
    <w:rsid w:val="00A6293D"/>
    <w:rsid w:val="00A63AF0"/>
    <w:rsid w:val="00A64702"/>
    <w:rsid w:val="00A64C94"/>
    <w:rsid w:val="00A65B62"/>
    <w:rsid w:val="00A65EA3"/>
    <w:rsid w:val="00A66600"/>
    <w:rsid w:val="00A67E70"/>
    <w:rsid w:val="00A70534"/>
    <w:rsid w:val="00A72761"/>
    <w:rsid w:val="00A72952"/>
    <w:rsid w:val="00A72962"/>
    <w:rsid w:val="00A72D54"/>
    <w:rsid w:val="00A73A46"/>
    <w:rsid w:val="00A746DA"/>
    <w:rsid w:val="00A748DB"/>
    <w:rsid w:val="00A7495B"/>
    <w:rsid w:val="00A749D3"/>
    <w:rsid w:val="00A74A2B"/>
    <w:rsid w:val="00A7525C"/>
    <w:rsid w:val="00A7637F"/>
    <w:rsid w:val="00A76F70"/>
    <w:rsid w:val="00A7741B"/>
    <w:rsid w:val="00A7743E"/>
    <w:rsid w:val="00A7758C"/>
    <w:rsid w:val="00A77B25"/>
    <w:rsid w:val="00A80DAB"/>
    <w:rsid w:val="00A81152"/>
    <w:rsid w:val="00A81A49"/>
    <w:rsid w:val="00A81AE4"/>
    <w:rsid w:val="00A81EF7"/>
    <w:rsid w:val="00A8235E"/>
    <w:rsid w:val="00A8250E"/>
    <w:rsid w:val="00A82B5B"/>
    <w:rsid w:val="00A83153"/>
    <w:rsid w:val="00A84DED"/>
    <w:rsid w:val="00A871C5"/>
    <w:rsid w:val="00A8749C"/>
    <w:rsid w:val="00A8785A"/>
    <w:rsid w:val="00A90432"/>
    <w:rsid w:val="00A92103"/>
    <w:rsid w:val="00A92470"/>
    <w:rsid w:val="00A92484"/>
    <w:rsid w:val="00A92588"/>
    <w:rsid w:val="00A92FE6"/>
    <w:rsid w:val="00A93303"/>
    <w:rsid w:val="00A94009"/>
    <w:rsid w:val="00A9401C"/>
    <w:rsid w:val="00A94EF8"/>
    <w:rsid w:val="00A9551E"/>
    <w:rsid w:val="00A96B34"/>
    <w:rsid w:val="00A97AE2"/>
    <w:rsid w:val="00AA190B"/>
    <w:rsid w:val="00AA32B7"/>
    <w:rsid w:val="00AA694B"/>
    <w:rsid w:val="00AA7B5A"/>
    <w:rsid w:val="00AA7B60"/>
    <w:rsid w:val="00AB0D4B"/>
    <w:rsid w:val="00AB0DB7"/>
    <w:rsid w:val="00AB0E27"/>
    <w:rsid w:val="00AB13A0"/>
    <w:rsid w:val="00AB175B"/>
    <w:rsid w:val="00AB273A"/>
    <w:rsid w:val="00AB3177"/>
    <w:rsid w:val="00AB323F"/>
    <w:rsid w:val="00AB353B"/>
    <w:rsid w:val="00AB3B11"/>
    <w:rsid w:val="00AB445F"/>
    <w:rsid w:val="00AB6448"/>
    <w:rsid w:val="00AB6D67"/>
    <w:rsid w:val="00AB7D90"/>
    <w:rsid w:val="00AC04B4"/>
    <w:rsid w:val="00AC0ECB"/>
    <w:rsid w:val="00AC19EB"/>
    <w:rsid w:val="00AC24D4"/>
    <w:rsid w:val="00AC2AC3"/>
    <w:rsid w:val="00AC2E1D"/>
    <w:rsid w:val="00AC3111"/>
    <w:rsid w:val="00AC4224"/>
    <w:rsid w:val="00AC46F5"/>
    <w:rsid w:val="00AC4F32"/>
    <w:rsid w:val="00AC5CB0"/>
    <w:rsid w:val="00AC5F18"/>
    <w:rsid w:val="00AC6B9B"/>
    <w:rsid w:val="00AC6EE1"/>
    <w:rsid w:val="00AC7748"/>
    <w:rsid w:val="00AC783D"/>
    <w:rsid w:val="00AD0248"/>
    <w:rsid w:val="00AD041E"/>
    <w:rsid w:val="00AD084F"/>
    <w:rsid w:val="00AD0FD4"/>
    <w:rsid w:val="00AD1231"/>
    <w:rsid w:val="00AD145F"/>
    <w:rsid w:val="00AD191A"/>
    <w:rsid w:val="00AD2CD8"/>
    <w:rsid w:val="00AD3EA9"/>
    <w:rsid w:val="00AD4986"/>
    <w:rsid w:val="00AD4D1E"/>
    <w:rsid w:val="00AD5171"/>
    <w:rsid w:val="00AD5C9D"/>
    <w:rsid w:val="00AD5DDB"/>
    <w:rsid w:val="00AD783C"/>
    <w:rsid w:val="00AE0088"/>
    <w:rsid w:val="00AE0B40"/>
    <w:rsid w:val="00AE0C9B"/>
    <w:rsid w:val="00AE2BE5"/>
    <w:rsid w:val="00AE2F8C"/>
    <w:rsid w:val="00AE42E1"/>
    <w:rsid w:val="00AE4504"/>
    <w:rsid w:val="00AE6B9C"/>
    <w:rsid w:val="00AE6C0B"/>
    <w:rsid w:val="00AE6ED1"/>
    <w:rsid w:val="00AE7B3A"/>
    <w:rsid w:val="00AF0194"/>
    <w:rsid w:val="00AF046B"/>
    <w:rsid w:val="00AF0598"/>
    <w:rsid w:val="00AF05C5"/>
    <w:rsid w:val="00AF0A05"/>
    <w:rsid w:val="00AF0A2A"/>
    <w:rsid w:val="00AF0E99"/>
    <w:rsid w:val="00AF1032"/>
    <w:rsid w:val="00AF1BA8"/>
    <w:rsid w:val="00AF1DEB"/>
    <w:rsid w:val="00AF2018"/>
    <w:rsid w:val="00AF30DB"/>
    <w:rsid w:val="00AF41B8"/>
    <w:rsid w:val="00AF4371"/>
    <w:rsid w:val="00AF4539"/>
    <w:rsid w:val="00AF4F62"/>
    <w:rsid w:val="00AF5AD6"/>
    <w:rsid w:val="00AF5C77"/>
    <w:rsid w:val="00AF62C2"/>
    <w:rsid w:val="00AF6437"/>
    <w:rsid w:val="00AF6F08"/>
    <w:rsid w:val="00AF701E"/>
    <w:rsid w:val="00AF76DD"/>
    <w:rsid w:val="00AF7E61"/>
    <w:rsid w:val="00AF7F86"/>
    <w:rsid w:val="00B00394"/>
    <w:rsid w:val="00B00475"/>
    <w:rsid w:val="00B00C69"/>
    <w:rsid w:val="00B00D76"/>
    <w:rsid w:val="00B02C8D"/>
    <w:rsid w:val="00B02CB6"/>
    <w:rsid w:val="00B036D9"/>
    <w:rsid w:val="00B03D10"/>
    <w:rsid w:val="00B03EC0"/>
    <w:rsid w:val="00B04DA2"/>
    <w:rsid w:val="00B05007"/>
    <w:rsid w:val="00B05452"/>
    <w:rsid w:val="00B05C1F"/>
    <w:rsid w:val="00B05FDA"/>
    <w:rsid w:val="00B06882"/>
    <w:rsid w:val="00B07016"/>
    <w:rsid w:val="00B07FF3"/>
    <w:rsid w:val="00B102FB"/>
    <w:rsid w:val="00B114CF"/>
    <w:rsid w:val="00B11977"/>
    <w:rsid w:val="00B12FEE"/>
    <w:rsid w:val="00B140C8"/>
    <w:rsid w:val="00B146C0"/>
    <w:rsid w:val="00B146CF"/>
    <w:rsid w:val="00B161E7"/>
    <w:rsid w:val="00B16878"/>
    <w:rsid w:val="00B16EC8"/>
    <w:rsid w:val="00B1735E"/>
    <w:rsid w:val="00B17DC9"/>
    <w:rsid w:val="00B20AFB"/>
    <w:rsid w:val="00B24DDF"/>
    <w:rsid w:val="00B25126"/>
    <w:rsid w:val="00B25FB2"/>
    <w:rsid w:val="00B26644"/>
    <w:rsid w:val="00B2678B"/>
    <w:rsid w:val="00B26D87"/>
    <w:rsid w:val="00B26DC0"/>
    <w:rsid w:val="00B27218"/>
    <w:rsid w:val="00B30385"/>
    <w:rsid w:val="00B3047C"/>
    <w:rsid w:val="00B30862"/>
    <w:rsid w:val="00B30F8A"/>
    <w:rsid w:val="00B32E4E"/>
    <w:rsid w:val="00B32F91"/>
    <w:rsid w:val="00B3447E"/>
    <w:rsid w:val="00B34C9E"/>
    <w:rsid w:val="00B3528D"/>
    <w:rsid w:val="00B354B4"/>
    <w:rsid w:val="00B360DA"/>
    <w:rsid w:val="00B36A5A"/>
    <w:rsid w:val="00B37147"/>
    <w:rsid w:val="00B37C4A"/>
    <w:rsid w:val="00B407BE"/>
    <w:rsid w:val="00B41B84"/>
    <w:rsid w:val="00B43986"/>
    <w:rsid w:val="00B43A17"/>
    <w:rsid w:val="00B43F32"/>
    <w:rsid w:val="00B44032"/>
    <w:rsid w:val="00B44232"/>
    <w:rsid w:val="00B4456F"/>
    <w:rsid w:val="00B448F5"/>
    <w:rsid w:val="00B4495A"/>
    <w:rsid w:val="00B449D9"/>
    <w:rsid w:val="00B44BA7"/>
    <w:rsid w:val="00B44BD4"/>
    <w:rsid w:val="00B455C5"/>
    <w:rsid w:val="00B45B4E"/>
    <w:rsid w:val="00B466BF"/>
    <w:rsid w:val="00B46994"/>
    <w:rsid w:val="00B505F3"/>
    <w:rsid w:val="00B50DE3"/>
    <w:rsid w:val="00B50DED"/>
    <w:rsid w:val="00B5203C"/>
    <w:rsid w:val="00B5248B"/>
    <w:rsid w:val="00B52646"/>
    <w:rsid w:val="00B53DA9"/>
    <w:rsid w:val="00B540B4"/>
    <w:rsid w:val="00B54635"/>
    <w:rsid w:val="00B56B6B"/>
    <w:rsid w:val="00B57399"/>
    <w:rsid w:val="00B6125B"/>
    <w:rsid w:val="00B61F61"/>
    <w:rsid w:val="00B62A9A"/>
    <w:rsid w:val="00B62EFF"/>
    <w:rsid w:val="00B62FF4"/>
    <w:rsid w:val="00B63BBC"/>
    <w:rsid w:val="00B641BD"/>
    <w:rsid w:val="00B64232"/>
    <w:rsid w:val="00B642D5"/>
    <w:rsid w:val="00B64AA0"/>
    <w:rsid w:val="00B65039"/>
    <w:rsid w:val="00B65BE1"/>
    <w:rsid w:val="00B66430"/>
    <w:rsid w:val="00B66638"/>
    <w:rsid w:val="00B669C6"/>
    <w:rsid w:val="00B70043"/>
    <w:rsid w:val="00B701E9"/>
    <w:rsid w:val="00B70FBD"/>
    <w:rsid w:val="00B72A67"/>
    <w:rsid w:val="00B72BF1"/>
    <w:rsid w:val="00B72BF9"/>
    <w:rsid w:val="00B72D4F"/>
    <w:rsid w:val="00B7496E"/>
    <w:rsid w:val="00B754F0"/>
    <w:rsid w:val="00B7657F"/>
    <w:rsid w:val="00B802A8"/>
    <w:rsid w:val="00B80C9B"/>
    <w:rsid w:val="00B810EA"/>
    <w:rsid w:val="00B8152A"/>
    <w:rsid w:val="00B819C1"/>
    <w:rsid w:val="00B81B25"/>
    <w:rsid w:val="00B82F2B"/>
    <w:rsid w:val="00B837EA"/>
    <w:rsid w:val="00B83BFA"/>
    <w:rsid w:val="00B83E30"/>
    <w:rsid w:val="00B84084"/>
    <w:rsid w:val="00B84286"/>
    <w:rsid w:val="00B84896"/>
    <w:rsid w:val="00B84A04"/>
    <w:rsid w:val="00B86319"/>
    <w:rsid w:val="00B87218"/>
    <w:rsid w:val="00B8787C"/>
    <w:rsid w:val="00B87EFB"/>
    <w:rsid w:val="00B87F63"/>
    <w:rsid w:val="00B905AB"/>
    <w:rsid w:val="00B90A10"/>
    <w:rsid w:val="00B90CF8"/>
    <w:rsid w:val="00B9186A"/>
    <w:rsid w:val="00B9194C"/>
    <w:rsid w:val="00B91986"/>
    <w:rsid w:val="00B930EF"/>
    <w:rsid w:val="00B93782"/>
    <w:rsid w:val="00B93CAD"/>
    <w:rsid w:val="00B93F5A"/>
    <w:rsid w:val="00B94ADD"/>
    <w:rsid w:val="00B96DB2"/>
    <w:rsid w:val="00B96E4F"/>
    <w:rsid w:val="00BA127E"/>
    <w:rsid w:val="00BA1DD7"/>
    <w:rsid w:val="00BA2100"/>
    <w:rsid w:val="00BA2E0F"/>
    <w:rsid w:val="00BA3872"/>
    <w:rsid w:val="00BA3A04"/>
    <w:rsid w:val="00BA3A3D"/>
    <w:rsid w:val="00BA3A7F"/>
    <w:rsid w:val="00BA432C"/>
    <w:rsid w:val="00BA46F8"/>
    <w:rsid w:val="00BA48F3"/>
    <w:rsid w:val="00BA4B05"/>
    <w:rsid w:val="00BA5576"/>
    <w:rsid w:val="00BA57AF"/>
    <w:rsid w:val="00BA5A3A"/>
    <w:rsid w:val="00BA6424"/>
    <w:rsid w:val="00BA688E"/>
    <w:rsid w:val="00BA6A92"/>
    <w:rsid w:val="00BA7E3F"/>
    <w:rsid w:val="00BA7ECC"/>
    <w:rsid w:val="00BB0416"/>
    <w:rsid w:val="00BB11B5"/>
    <w:rsid w:val="00BB1338"/>
    <w:rsid w:val="00BB151B"/>
    <w:rsid w:val="00BB15FF"/>
    <w:rsid w:val="00BB181B"/>
    <w:rsid w:val="00BB19A3"/>
    <w:rsid w:val="00BB2202"/>
    <w:rsid w:val="00BB2868"/>
    <w:rsid w:val="00BB2F97"/>
    <w:rsid w:val="00BB3408"/>
    <w:rsid w:val="00BB4052"/>
    <w:rsid w:val="00BB46BB"/>
    <w:rsid w:val="00BB4A53"/>
    <w:rsid w:val="00BB5280"/>
    <w:rsid w:val="00BB5DCC"/>
    <w:rsid w:val="00BC07E4"/>
    <w:rsid w:val="00BC0840"/>
    <w:rsid w:val="00BC0CF7"/>
    <w:rsid w:val="00BC1FA0"/>
    <w:rsid w:val="00BC2013"/>
    <w:rsid w:val="00BC2882"/>
    <w:rsid w:val="00BC3AAF"/>
    <w:rsid w:val="00BC3CBA"/>
    <w:rsid w:val="00BC4B40"/>
    <w:rsid w:val="00BC7341"/>
    <w:rsid w:val="00BC78DA"/>
    <w:rsid w:val="00BD07A2"/>
    <w:rsid w:val="00BD17E4"/>
    <w:rsid w:val="00BD1CF1"/>
    <w:rsid w:val="00BD20EC"/>
    <w:rsid w:val="00BD283D"/>
    <w:rsid w:val="00BD2D06"/>
    <w:rsid w:val="00BD3F24"/>
    <w:rsid w:val="00BD4333"/>
    <w:rsid w:val="00BD4935"/>
    <w:rsid w:val="00BD5652"/>
    <w:rsid w:val="00BD5D88"/>
    <w:rsid w:val="00BD5E4E"/>
    <w:rsid w:val="00BE0530"/>
    <w:rsid w:val="00BE07E2"/>
    <w:rsid w:val="00BE0FFD"/>
    <w:rsid w:val="00BE2447"/>
    <w:rsid w:val="00BE2905"/>
    <w:rsid w:val="00BE2AD6"/>
    <w:rsid w:val="00BE31A5"/>
    <w:rsid w:val="00BE3868"/>
    <w:rsid w:val="00BE41EA"/>
    <w:rsid w:val="00BE450B"/>
    <w:rsid w:val="00BE481A"/>
    <w:rsid w:val="00BE4A79"/>
    <w:rsid w:val="00BE609B"/>
    <w:rsid w:val="00BF00BC"/>
    <w:rsid w:val="00BF10E4"/>
    <w:rsid w:val="00BF18A3"/>
    <w:rsid w:val="00BF20DB"/>
    <w:rsid w:val="00BF2A76"/>
    <w:rsid w:val="00BF2CF4"/>
    <w:rsid w:val="00BF2EDE"/>
    <w:rsid w:val="00BF310C"/>
    <w:rsid w:val="00BF3DB6"/>
    <w:rsid w:val="00BF41F6"/>
    <w:rsid w:val="00BF4225"/>
    <w:rsid w:val="00BF5474"/>
    <w:rsid w:val="00BF59B6"/>
    <w:rsid w:val="00BF76B7"/>
    <w:rsid w:val="00C00CF6"/>
    <w:rsid w:val="00C01399"/>
    <w:rsid w:val="00C01451"/>
    <w:rsid w:val="00C0331A"/>
    <w:rsid w:val="00C03DF2"/>
    <w:rsid w:val="00C040C7"/>
    <w:rsid w:val="00C040FD"/>
    <w:rsid w:val="00C0423A"/>
    <w:rsid w:val="00C04821"/>
    <w:rsid w:val="00C05AD8"/>
    <w:rsid w:val="00C05F03"/>
    <w:rsid w:val="00C0680F"/>
    <w:rsid w:val="00C06B17"/>
    <w:rsid w:val="00C06BE8"/>
    <w:rsid w:val="00C06C00"/>
    <w:rsid w:val="00C07956"/>
    <w:rsid w:val="00C11026"/>
    <w:rsid w:val="00C111E3"/>
    <w:rsid w:val="00C1168C"/>
    <w:rsid w:val="00C11ABE"/>
    <w:rsid w:val="00C12D07"/>
    <w:rsid w:val="00C1324B"/>
    <w:rsid w:val="00C138B8"/>
    <w:rsid w:val="00C139AC"/>
    <w:rsid w:val="00C1411E"/>
    <w:rsid w:val="00C144E4"/>
    <w:rsid w:val="00C15573"/>
    <w:rsid w:val="00C1591B"/>
    <w:rsid w:val="00C160F6"/>
    <w:rsid w:val="00C16FC9"/>
    <w:rsid w:val="00C17286"/>
    <w:rsid w:val="00C17C9E"/>
    <w:rsid w:val="00C202BD"/>
    <w:rsid w:val="00C2039E"/>
    <w:rsid w:val="00C20DBE"/>
    <w:rsid w:val="00C2122A"/>
    <w:rsid w:val="00C21F73"/>
    <w:rsid w:val="00C2263C"/>
    <w:rsid w:val="00C22B31"/>
    <w:rsid w:val="00C2376A"/>
    <w:rsid w:val="00C23E09"/>
    <w:rsid w:val="00C2445D"/>
    <w:rsid w:val="00C2489D"/>
    <w:rsid w:val="00C24974"/>
    <w:rsid w:val="00C24E2D"/>
    <w:rsid w:val="00C27A8A"/>
    <w:rsid w:val="00C27D10"/>
    <w:rsid w:val="00C27E80"/>
    <w:rsid w:val="00C301FB"/>
    <w:rsid w:val="00C30202"/>
    <w:rsid w:val="00C30217"/>
    <w:rsid w:val="00C309BA"/>
    <w:rsid w:val="00C30C8C"/>
    <w:rsid w:val="00C316ED"/>
    <w:rsid w:val="00C31A92"/>
    <w:rsid w:val="00C32840"/>
    <w:rsid w:val="00C3329C"/>
    <w:rsid w:val="00C33939"/>
    <w:rsid w:val="00C345B3"/>
    <w:rsid w:val="00C34D41"/>
    <w:rsid w:val="00C34DA3"/>
    <w:rsid w:val="00C35340"/>
    <w:rsid w:val="00C35683"/>
    <w:rsid w:val="00C35872"/>
    <w:rsid w:val="00C35EB8"/>
    <w:rsid w:val="00C3627A"/>
    <w:rsid w:val="00C37E56"/>
    <w:rsid w:val="00C40C41"/>
    <w:rsid w:val="00C4179B"/>
    <w:rsid w:val="00C41E06"/>
    <w:rsid w:val="00C42472"/>
    <w:rsid w:val="00C42AC5"/>
    <w:rsid w:val="00C42C8E"/>
    <w:rsid w:val="00C4352D"/>
    <w:rsid w:val="00C43927"/>
    <w:rsid w:val="00C4436C"/>
    <w:rsid w:val="00C44DB0"/>
    <w:rsid w:val="00C44E75"/>
    <w:rsid w:val="00C45804"/>
    <w:rsid w:val="00C472D8"/>
    <w:rsid w:val="00C476E1"/>
    <w:rsid w:val="00C51DF3"/>
    <w:rsid w:val="00C5275E"/>
    <w:rsid w:val="00C5633B"/>
    <w:rsid w:val="00C56B6D"/>
    <w:rsid w:val="00C571A9"/>
    <w:rsid w:val="00C5732F"/>
    <w:rsid w:val="00C57537"/>
    <w:rsid w:val="00C57773"/>
    <w:rsid w:val="00C61182"/>
    <w:rsid w:val="00C613F1"/>
    <w:rsid w:val="00C6189B"/>
    <w:rsid w:val="00C61DEF"/>
    <w:rsid w:val="00C62DC1"/>
    <w:rsid w:val="00C630E6"/>
    <w:rsid w:val="00C636FE"/>
    <w:rsid w:val="00C65C05"/>
    <w:rsid w:val="00C66B3C"/>
    <w:rsid w:val="00C67435"/>
    <w:rsid w:val="00C67763"/>
    <w:rsid w:val="00C67FED"/>
    <w:rsid w:val="00C67FFA"/>
    <w:rsid w:val="00C70BF5"/>
    <w:rsid w:val="00C72430"/>
    <w:rsid w:val="00C74019"/>
    <w:rsid w:val="00C7474E"/>
    <w:rsid w:val="00C7477A"/>
    <w:rsid w:val="00C74AAF"/>
    <w:rsid w:val="00C75151"/>
    <w:rsid w:val="00C755ED"/>
    <w:rsid w:val="00C7573C"/>
    <w:rsid w:val="00C75760"/>
    <w:rsid w:val="00C75BC5"/>
    <w:rsid w:val="00C76243"/>
    <w:rsid w:val="00C7656C"/>
    <w:rsid w:val="00C76706"/>
    <w:rsid w:val="00C77384"/>
    <w:rsid w:val="00C775B1"/>
    <w:rsid w:val="00C804CA"/>
    <w:rsid w:val="00C80644"/>
    <w:rsid w:val="00C815F7"/>
    <w:rsid w:val="00C8168F"/>
    <w:rsid w:val="00C81D9B"/>
    <w:rsid w:val="00C81DC8"/>
    <w:rsid w:val="00C81E6A"/>
    <w:rsid w:val="00C82C0F"/>
    <w:rsid w:val="00C839E6"/>
    <w:rsid w:val="00C83DF3"/>
    <w:rsid w:val="00C8468E"/>
    <w:rsid w:val="00C84912"/>
    <w:rsid w:val="00C849DF"/>
    <w:rsid w:val="00C84D98"/>
    <w:rsid w:val="00C85DF0"/>
    <w:rsid w:val="00C87335"/>
    <w:rsid w:val="00C87AB5"/>
    <w:rsid w:val="00C91CCF"/>
    <w:rsid w:val="00C9213B"/>
    <w:rsid w:val="00C92223"/>
    <w:rsid w:val="00C92C19"/>
    <w:rsid w:val="00C9398F"/>
    <w:rsid w:val="00C93ED6"/>
    <w:rsid w:val="00C9429C"/>
    <w:rsid w:val="00C9448C"/>
    <w:rsid w:val="00C95215"/>
    <w:rsid w:val="00C9553C"/>
    <w:rsid w:val="00C95C40"/>
    <w:rsid w:val="00C961D1"/>
    <w:rsid w:val="00C96BF3"/>
    <w:rsid w:val="00CA0CA8"/>
    <w:rsid w:val="00CA0DFD"/>
    <w:rsid w:val="00CA149D"/>
    <w:rsid w:val="00CA1533"/>
    <w:rsid w:val="00CA1B14"/>
    <w:rsid w:val="00CA31ED"/>
    <w:rsid w:val="00CA3CC3"/>
    <w:rsid w:val="00CA49EB"/>
    <w:rsid w:val="00CA4FFC"/>
    <w:rsid w:val="00CA5274"/>
    <w:rsid w:val="00CA7621"/>
    <w:rsid w:val="00CB09E0"/>
    <w:rsid w:val="00CB0A76"/>
    <w:rsid w:val="00CB0E67"/>
    <w:rsid w:val="00CB18FF"/>
    <w:rsid w:val="00CB1ABE"/>
    <w:rsid w:val="00CB2189"/>
    <w:rsid w:val="00CB3229"/>
    <w:rsid w:val="00CB3D9A"/>
    <w:rsid w:val="00CB3EF4"/>
    <w:rsid w:val="00CB40A7"/>
    <w:rsid w:val="00CB4279"/>
    <w:rsid w:val="00CB4510"/>
    <w:rsid w:val="00CB45DE"/>
    <w:rsid w:val="00CB484F"/>
    <w:rsid w:val="00CB512A"/>
    <w:rsid w:val="00CB5493"/>
    <w:rsid w:val="00CB607B"/>
    <w:rsid w:val="00CB7153"/>
    <w:rsid w:val="00CC0901"/>
    <w:rsid w:val="00CC0B54"/>
    <w:rsid w:val="00CC106B"/>
    <w:rsid w:val="00CC12B6"/>
    <w:rsid w:val="00CC2120"/>
    <w:rsid w:val="00CC2186"/>
    <w:rsid w:val="00CC316F"/>
    <w:rsid w:val="00CC33E8"/>
    <w:rsid w:val="00CC35FF"/>
    <w:rsid w:val="00CC365B"/>
    <w:rsid w:val="00CC3C32"/>
    <w:rsid w:val="00CC3EF6"/>
    <w:rsid w:val="00CC4555"/>
    <w:rsid w:val="00CC51FA"/>
    <w:rsid w:val="00CC53D1"/>
    <w:rsid w:val="00CC72A8"/>
    <w:rsid w:val="00CD08C3"/>
    <w:rsid w:val="00CD0E4E"/>
    <w:rsid w:val="00CD1FBC"/>
    <w:rsid w:val="00CD22DE"/>
    <w:rsid w:val="00CD345B"/>
    <w:rsid w:val="00CD491B"/>
    <w:rsid w:val="00CD5C53"/>
    <w:rsid w:val="00CD5D0A"/>
    <w:rsid w:val="00CD67C0"/>
    <w:rsid w:val="00CD7082"/>
    <w:rsid w:val="00CD7B55"/>
    <w:rsid w:val="00CE004B"/>
    <w:rsid w:val="00CE0A7F"/>
    <w:rsid w:val="00CE0E43"/>
    <w:rsid w:val="00CE13A5"/>
    <w:rsid w:val="00CE13F3"/>
    <w:rsid w:val="00CE145B"/>
    <w:rsid w:val="00CE1960"/>
    <w:rsid w:val="00CE1BA5"/>
    <w:rsid w:val="00CE1D2B"/>
    <w:rsid w:val="00CE1E6D"/>
    <w:rsid w:val="00CE2AC7"/>
    <w:rsid w:val="00CE2DAA"/>
    <w:rsid w:val="00CE2E99"/>
    <w:rsid w:val="00CE328A"/>
    <w:rsid w:val="00CE38AD"/>
    <w:rsid w:val="00CE38B6"/>
    <w:rsid w:val="00CE39F0"/>
    <w:rsid w:val="00CE3BA3"/>
    <w:rsid w:val="00CE45FE"/>
    <w:rsid w:val="00CE5206"/>
    <w:rsid w:val="00CE57E4"/>
    <w:rsid w:val="00CE7AEB"/>
    <w:rsid w:val="00CF0EAD"/>
    <w:rsid w:val="00CF16F5"/>
    <w:rsid w:val="00CF1801"/>
    <w:rsid w:val="00CF38E8"/>
    <w:rsid w:val="00CF3BFC"/>
    <w:rsid w:val="00CF464F"/>
    <w:rsid w:val="00CF5470"/>
    <w:rsid w:val="00CF5DC2"/>
    <w:rsid w:val="00CF64D1"/>
    <w:rsid w:val="00CF7019"/>
    <w:rsid w:val="00CF70A2"/>
    <w:rsid w:val="00CF71A4"/>
    <w:rsid w:val="00CF733C"/>
    <w:rsid w:val="00CF771B"/>
    <w:rsid w:val="00D0035F"/>
    <w:rsid w:val="00D0081A"/>
    <w:rsid w:val="00D00FA9"/>
    <w:rsid w:val="00D012B5"/>
    <w:rsid w:val="00D01D7E"/>
    <w:rsid w:val="00D0251B"/>
    <w:rsid w:val="00D02A42"/>
    <w:rsid w:val="00D02A7D"/>
    <w:rsid w:val="00D02B6A"/>
    <w:rsid w:val="00D03C95"/>
    <w:rsid w:val="00D046CC"/>
    <w:rsid w:val="00D05283"/>
    <w:rsid w:val="00D05426"/>
    <w:rsid w:val="00D05AB4"/>
    <w:rsid w:val="00D05EDF"/>
    <w:rsid w:val="00D065D1"/>
    <w:rsid w:val="00D1032C"/>
    <w:rsid w:val="00D104DE"/>
    <w:rsid w:val="00D10986"/>
    <w:rsid w:val="00D10D7C"/>
    <w:rsid w:val="00D11884"/>
    <w:rsid w:val="00D119F0"/>
    <w:rsid w:val="00D120D2"/>
    <w:rsid w:val="00D1286C"/>
    <w:rsid w:val="00D13172"/>
    <w:rsid w:val="00D140E6"/>
    <w:rsid w:val="00D149BB"/>
    <w:rsid w:val="00D15B84"/>
    <w:rsid w:val="00D167C5"/>
    <w:rsid w:val="00D1722D"/>
    <w:rsid w:val="00D176A3"/>
    <w:rsid w:val="00D20219"/>
    <w:rsid w:val="00D2048D"/>
    <w:rsid w:val="00D2097A"/>
    <w:rsid w:val="00D20E96"/>
    <w:rsid w:val="00D21216"/>
    <w:rsid w:val="00D21A23"/>
    <w:rsid w:val="00D21FB4"/>
    <w:rsid w:val="00D22657"/>
    <w:rsid w:val="00D22AA8"/>
    <w:rsid w:val="00D235C5"/>
    <w:rsid w:val="00D23CA7"/>
    <w:rsid w:val="00D24926"/>
    <w:rsid w:val="00D25968"/>
    <w:rsid w:val="00D261D5"/>
    <w:rsid w:val="00D269EC"/>
    <w:rsid w:val="00D273C5"/>
    <w:rsid w:val="00D31D7E"/>
    <w:rsid w:val="00D3276F"/>
    <w:rsid w:val="00D3419C"/>
    <w:rsid w:val="00D3427D"/>
    <w:rsid w:val="00D354E9"/>
    <w:rsid w:val="00D3554B"/>
    <w:rsid w:val="00D35F3F"/>
    <w:rsid w:val="00D36945"/>
    <w:rsid w:val="00D37CED"/>
    <w:rsid w:val="00D41400"/>
    <w:rsid w:val="00D41C03"/>
    <w:rsid w:val="00D41CC9"/>
    <w:rsid w:val="00D41E19"/>
    <w:rsid w:val="00D41F34"/>
    <w:rsid w:val="00D424B0"/>
    <w:rsid w:val="00D42CA4"/>
    <w:rsid w:val="00D42EF4"/>
    <w:rsid w:val="00D43E6E"/>
    <w:rsid w:val="00D44CB4"/>
    <w:rsid w:val="00D45007"/>
    <w:rsid w:val="00D4568F"/>
    <w:rsid w:val="00D45704"/>
    <w:rsid w:val="00D46393"/>
    <w:rsid w:val="00D473CF"/>
    <w:rsid w:val="00D47F4C"/>
    <w:rsid w:val="00D53D85"/>
    <w:rsid w:val="00D54F32"/>
    <w:rsid w:val="00D55418"/>
    <w:rsid w:val="00D55D9E"/>
    <w:rsid w:val="00D56AE2"/>
    <w:rsid w:val="00D57264"/>
    <w:rsid w:val="00D57DCB"/>
    <w:rsid w:val="00D601E9"/>
    <w:rsid w:val="00D6278F"/>
    <w:rsid w:val="00D63DBF"/>
    <w:rsid w:val="00D64C1C"/>
    <w:rsid w:val="00D64CE0"/>
    <w:rsid w:val="00D64F79"/>
    <w:rsid w:val="00D6527D"/>
    <w:rsid w:val="00D65391"/>
    <w:rsid w:val="00D65B36"/>
    <w:rsid w:val="00D66193"/>
    <w:rsid w:val="00D664FC"/>
    <w:rsid w:val="00D66C1D"/>
    <w:rsid w:val="00D66EBE"/>
    <w:rsid w:val="00D66F8C"/>
    <w:rsid w:val="00D678BA"/>
    <w:rsid w:val="00D70797"/>
    <w:rsid w:val="00D716CD"/>
    <w:rsid w:val="00D728D7"/>
    <w:rsid w:val="00D72F88"/>
    <w:rsid w:val="00D73F64"/>
    <w:rsid w:val="00D745A0"/>
    <w:rsid w:val="00D74B7D"/>
    <w:rsid w:val="00D76417"/>
    <w:rsid w:val="00D7773F"/>
    <w:rsid w:val="00D8040A"/>
    <w:rsid w:val="00D81BBA"/>
    <w:rsid w:val="00D820A8"/>
    <w:rsid w:val="00D84236"/>
    <w:rsid w:val="00D846F8"/>
    <w:rsid w:val="00D85791"/>
    <w:rsid w:val="00D87134"/>
    <w:rsid w:val="00D87D54"/>
    <w:rsid w:val="00D87EFF"/>
    <w:rsid w:val="00D903C6"/>
    <w:rsid w:val="00D9144F"/>
    <w:rsid w:val="00D91E4B"/>
    <w:rsid w:val="00D93129"/>
    <w:rsid w:val="00D94263"/>
    <w:rsid w:val="00D94333"/>
    <w:rsid w:val="00D94FD8"/>
    <w:rsid w:val="00D96028"/>
    <w:rsid w:val="00D9607B"/>
    <w:rsid w:val="00D96F1E"/>
    <w:rsid w:val="00D974FD"/>
    <w:rsid w:val="00D9751C"/>
    <w:rsid w:val="00D9795E"/>
    <w:rsid w:val="00D97C32"/>
    <w:rsid w:val="00D97E0F"/>
    <w:rsid w:val="00DA03BA"/>
    <w:rsid w:val="00DA075B"/>
    <w:rsid w:val="00DA0EDB"/>
    <w:rsid w:val="00DA1393"/>
    <w:rsid w:val="00DA1990"/>
    <w:rsid w:val="00DA1AC8"/>
    <w:rsid w:val="00DA20CF"/>
    <w:rsid w:val="00DA26DB"/>
    <w:rsid w:val="00DA347F"/>
    <w:rsid w:val="00DA3D72"/>
    <w:rsid w:val="00DA428D"/>
    <w:rsid w:val="00DA43C5"/>
    <w:rsid w:val="00DA5D0D"/>
    <w:rsid w:val="00DA5FAE"/>
    <w:rsid w:val="00DA6668"/>
    <w:rsid w:val="00DA673A"/>
    <w:rsid w:val="00DA721C"/>
    <w:rsid w:val="00DA722B"/>
    <w:rsid w:val="00DB0B13"/>
    <w:rsid w:val="00DB11AC"/>
    <w:rsid w:val="00DB13D6"/>
    <w:rsid w:val="00DB1F43"/>
    <w:rsid w:val="00DB4475"/>
    <w:rsid w:val="00DB4748"/>
    <w:rsid w:val="00DB5907"/>
    <w:rsid w:val="00DB5FB7"/>
    <w:rsid w:val="00DB6256"/>
    <w:rsid w:val="00DB67ED"/>
    <w:rsid w:val="00DB7E13"/>
    <w:rsid w:val="00DC034B"/>
    <w:rsid w:val="00DC169C"/>
    <w:rsid w:val="00DC2CA2"/>
    <w:rsid w:val="00DC3288"/>
    <w:rsid w:val="00DC3B15"/>
    <w:rsid w:val="00DC6FCC"/>
    <w:rsid w:val="00DC7449"/>
    <w:rsid w:val="00DC7903"/>
    <w:rsid w:val="00DC7B86"/>
    <w:rsid w:val="00DD0AB5"/>
    <w:rsid w:val="00DD2694"/>
    <w:rsid w:val="00DD2C08"/>
    <w:rsid w:val="00DD3207"/>
    <w:rsid w:val="00DD3B28"/>
    <w:rsid w:val="00DD3C5C"/>
    <w:rsid w:val="00DD4665"/>
    <w:rsid w:val="00DD4785"/>
    <w:rsid w:val="00DD4B41"/>
    <w:rsid w:val="00DD4E9D"/>
    <w:rsid w:val="00DD52E3"/>
    <w:rsid w:val="00DD63EC"/>
    <w:rsid w:val="00DD6452"/>
    <w:rsid w:val="00DD655F"/>
    <w:rsid w:val="00DD7F99"/>
    <w:rsid w:val="00DE0B8C"/>
    <w:rsid w:val="00DE173B"/>
    <w:rsid w:val="00DE262E"/>
    <w:rsid w:val="00DE34C0"/>
    <w:rsid w:val="00DE351B"/>
    <w:rsid w:val="00DE40C8"/>
    <w:rsid w:val="00DE47E5"/>
    <w:rsid w:val="00DE4849"/>
    <w:rsid w:val="00DE4B77"/>
    <w:rsid w:val="00DE5B8C"/>
    <w:rsid w:val="00DE6433"/>
    <w:rsid w:val="00DE6F69"/>
    <w:rsid w:val="00DE75D3"/>
    <w:rsid w:val="00DF0E16"/>
    <w:rsid w:val="00DF0E5F"/>
    <w:rsid w:val="00DF14AD"/>
    <w:rsid w:val="00DF1F64"/>
    <w:rsid w:val="00DF2D2A"/>
    <w:rsid w:val="00DF30DF"/>
    <w:rsid w:val="00DF33F2"/>
    <w:rsid w:val="00DF46BF"/>
    <w:rsid w:val="00DF473A"/>
    <w:rsid w:val="00DF5EC7"/>
    <w:rsid w:val="00DF6DD4"/>
    <w:rsid w:val="00DF71ED"/>
    <w:rsid w:val="00E009F7"/>
    <w:rsid w:val="00E01563"/>
    <w:rsid w:val="00E01903"/>
    <w:rsid w:val="00E01DD1"/>
    <w:rsid w:val="00E01E10"/>
    <w:rsid w:val="00E0209D"/>
    <w:rsid w:val="00E02A60"/>
    <w:rsid w:val="00E0314F"/>
    <w:rsid w:val="00E031FB"/>
    <w:rsid w:val="00E045CB"/>
    <w:rsid w:val="00E04762"/>
    <w:rsid w:val="00E05257"/>
    <w:rsid w:val="00E05793"/>
    <w:rsid w:val="00E05E1F"/>
    <w:rsid w:val="00E06221"/>
    <w:rsid w:val="00E06A18"/>
    <w:rsid w:val="00E06A61"/>
    <w:rsid w:val="00E06F01"/>
    <w:rsid w:val="00E07A74"/>
    <w:rsid w:val="00E07E31"/>
    <w:rsid w:val="00E1038C"/>
    <w:rsid w:val="00E105ED"/>
    <w:rsid w:val="00E10878"/>
    <w:rsid w:val="00E10AD0"/>
    <w:rsid w:val="00E11923"/>
    <w:rsid w:val="00E11EF3"/>
    <w:rsid w:val="00E11F71"/>
    <w:rsid w:val="00E1259C"/>
    <w:rsid w:val="00E15996"/>
    <w:rsid w:val="00E167DB"/>
    <w:rsid w:val="00E16B8F"/>
    <w:rsid w:val="00E16C8D"/>
    <w:rsid w:val="00E2041E"/>
    <w:rsid w:val="00E20BFE"/>
    <w:rsid w:val="00E20D06"/>
    <w:rsid w:val="00E20D0B"/>
    <w:rsid w:val="00E210E8"/>
    <w:rsid w:val="00E22775"/>
    <w:rsid w:val="00E22867"/>
    <w:rsid w:val="00E22870"/>
    <w:rsid w:val="00E23395"/>
    <w:rsid w:val="00E246EC"/>
    <w:rsid w:val="00E24B0E"/>
    <w:rsid w:val="00E25581"/>
    <w:rsid w:val="00E26434"/>
    <w:rsid w:val="00E26D16"/>
    <w:rsid w:val="00E2727A"/>
    <w:rsid w:val="00E2740F"/>
    <w:rsid w:val="00E27427"/>
    <w:rsid w:val="00E2767D"/>
    <w:rsid w:val="00E27B45"/>
    <w:rsid w:val="00E304C9"/>
    <w:rsid w:val="00E31F28"/>
    <w:rsid w:val="00E32353"/>
    <w:rsid w:val="00E3299D"/>
    <w:rsid w:val="00E34F6D"/>
    <w:rsid w:val="00E355F8"/>
    <w:rsid w:val="00E35658"/>
    <w:rsid w:val="00E3576C"/>
    <w:rsid w:val="00E36535"/>
    <w:rsid w:val="00E40F3E"/>
    <w:rsid w:val="00E41525"/>
    <w:rsid w:val="00E415CF"/>
    <w:rsid w:val="00E44A14"/>
    <w:rsid w:val="00E45161"/>
    <w:rsid w:val="00E456BB"/>
    <w:rsid w:val="00E456E2"/>
    <w:rsid w:val="00E45F5A"/>
    <w:rsid w:val="00E45FCC"/>
    <w:rsid w:val="00E45FD8"/>
    <w:rsid w:val="00E4602F"/>
    <w:rsid w:val="00E464A1"/>
    <w:rsid w:val="00E47057"/>
    <w:rsid w:val="00E479DD"/>
    <w:rsid w:val="00E501DC"/>
    <w:rsid w:val="00E51A1E"/>
    <w:rsid w:val="00E52481"/>
    <w:rsid w:val="00E52E8F"/>
    <w:rsid w:val="00E532AC"/>
    <w:rsid w:val="00E536C7"/>
    <w:rsid w:val="00E549C3"/>
    <w:rsid w:val="00E55660"/>
    <w:rsid w:val="00E563A2"/>
    <w:rsid w:val="00E56570"/>
    <w:rsid w:val="00E56C6F"/>
    <w:rsid w:val="00E5704C"/>
    <w:rsid w:val="00E5728F"/>
    <w:rsid w:val="00E57DD2"/>
    <w:rsid w:val="00E57E7F"/>
    <w:rsid w:val="00E57FB5"/>
    <w:rsid w:val="00E604C6"/>
    <w:rsid w:val="00E60B16"/>
    <w:rsid w:val="00E6213C"/>
    <w:rsid w:val="00E638A6"/>
    <w:rsid w:val="00E64381"/>
    <w:rsid w:val="00E65DDB"/>
    <w:rsid w:val="00E65E2D"/>
    <w:rsid w:val="00E65E70"/>
    <w:rsid w:val="00E66428"/>
    <w:rsid w:val="00E66467"/>
    <w:rsid w:val="00E667FB"/>
    <w:rsid w:val="00E66A06"/>
    <w:rsid w:val="00E679B4"/>
    <w:rsid w:val="00E67B95"/>
    <w:rsid w:val="00E709C1"/>
    <w:rsid w:val="00E70A28"/>
    <w:rsid w:val="00E70C27"/>
    <w:rsid w:val="00E70E4C"/>
    <w:rsid w:val="00E71690"/>
    <w:rsid w:val="00E73883"/>
    <w:rsid w:val="00E74A72"/>
    <w:rsid w:val="00E75AFC"/>
    <w:rsid w:val="00E75C08"/>
    <w:rsid w:val="00E77804"/>
    <w:rsid w:val="00E800FF"/>
    <w:rsid w:val="00E80C13"/>
    <w:rsid w:val="00E810D3"/>
    <w:rsid w:val="00E81806"/>
    <w:rsid w:val="00E825EF"/>
    <w:rsid w:val="00E825F7"/>
    <w:rsid w:val="00E835D5"/>
    <w:rsid w:val="00E86411"/>
    <w:rsid w:val="00E87043"/>
    <w:rsid w:val="00E87A8A"/>
    <w:rsid w:val="00E87EFA"/>
    <w:rsid w:val="00E901FE"/>
    <w:rsid w:val="00E90918"/>
    <w:rsid w:val="00E91A19"/>
    <w:rsid w:val="00E91AAC"/>
    <w:rsid w:val="00E92216"/>
    <w:rsid w:val="00E92723"/>
    <w:rsid w:val="00E927DB"/>
    <w:rsid w:val="00E93533"/>
    <w:rsid w:val="00E935E3"/>
    <w:rsid w:val="00E9446D"/>
    <w:rsid w:val="00E9779D"/>
    <w:rsid w:val="00E9796D"/>
    <w:rsid w:val="00E97DA6"/>
    <w:rsid w:val="00EA0044"/>
    <w:rsid w:val="00EA0187"/>
    <w:rsid w:val="00EA19D6"/>
    <w:rsid w:val="00EA1E0B"/>
    <w:rsid w:val="00EA2C08"/>
    <w:rsid w:val="00EA2E6C"/>
    <w:rsid w:val="00EA2FDA"/>
    <w:rsid w:val="00EA349B"/>
    <w:rsid w:val="00EA3A26"/>
    <w:rsid w:val="00EA4142"/>
    <w:rsid w:val="00EA4376"/>
    <w:rsid w:val="00EA4393"/>
    <w:rsid w:val="00EA5488"/>
    <w:rsid w:val="00EA5E2B"/>
    <w:rsid w:val="00EA62BD"/>
    <w:rsid w:val="00EA69AC"/>
    <w:rsid w:val="00EA6D3F"/>
    <w:rsid w:val="00EB2640"/>
    <w:rsid w:val="00EB2840"/>
    <w:rsid w:val="00EB42B3"/>
    <w:rsid w:val="00EB51DD"/>
    <w:rsid w:val="00EB5667"/>
    <w:rsid w:val="00EB5A80"/>
    <w:rsid w:val="00EB610D"/>
    <w:rsid w:val="00EB684E"/>
    <w:rsid w:val="00EB78BE"/>
    <w:rsid w:val="00EC07D8"/>
    <w:rsid w:val="00EC095F"/>
    <w:rsid w:val="00EC0B49"/>
    <w:rsid w:val="00EC0E20"/>
    <w:rsid w:val="00EC1182"/>
    <w:rsid w:val="00EC1373"/>
    <w:rsid w:val="00EC1F08"/>
    <w:rsid w:val="00EC202E"/>
    <w:rsid w:val="00EC206F"/>
    <w:rsid w:val="00EC25CF"/>
    <w:rsid w:val="00EC29AE"/>
    <w:rsid w:val="00EC2B31"/>
    <w:rsid w:val="00EC4694"/>
    <w:rsid w:val="00EC4849"/>
    <w:rsid w:val="00EC5C9C"/>
    <w:rsid w:val="00EC68CD"/>
    <w:rsid w:val="00EC69D6"/>
    <w:rsid w:val="00ED0A91"/>
    <w:rsid w:val="00ED0BB6"/>
    <w:rsid w:val="00ED24F0"/>
    <w:rsid w:val="00ED2B74"/>
    <w:rsid w:val="00ED3665"/>
    <w:rsid w:val="00ED4B9D"/>
    <w:rsid w:val="00ED5529"/>
    <w:rsid w:val="00ED5DAB"/>
    <w:rsid w:val="00ED60F3"/>
    <w:rsid w:val="00ED6166"/>
    <w:rsid w:val="00ED74A4"/>
    <w:rsid w:val="00ED7DD0"/>
    <w:rsid w:val="00ED7E03"/>
    <w:rsid w:val="00EE02FA"/>
    <w:rsid w:val="00EE0B17"/>
    <w:rsid w:val="00EE0F77"/>
    <w:rsid w:val="00EE1111"/>
    <w:rsid w:val="00EE1818"/>
    <w:rsid w:val="00EE1C58"/>
    <w:rsid w:val="00EE2923"/>
    <w:rsid w:val="00EE6C11"/>
    <w:rsid w:val="00EE6F7B"/>
    <w:rsid w:val="00EE7612"/>
    <w:rsid w:val="00EE7D55"/>
    <w:rsid w:val="00EF040F"/>
    <w:rsid w:val="00EF1064"/>
    <w:rsid w:val="00EF1425"/>
    <w:rsid w:val="00EF1678"/>
    <w:rsid w:val="00EF1B85"/>
    <w:rsid w:val="00EF4D69"/>
    <w:rsid w:val="00EF50CE"/>
    <w:rsid w:val="00EF56EF"/>
    <w:rsid w:val="00EF5890"/>
    <w:rsid w:val="00EF58E8"/>
    <w:rsid w:val="00EF6AE9"/>
    <w:rsid w:val="00EF75ED"/>
    <w:rsid w:val="00F017DA"/>
    <w:rsid w:val="00F01BF2"/>
    <w:rsid w:val="00F02CD0"/>
    <w:rsid w:val="00F03742"/>
    <w:rsid w:val="00F03797"/>
    <w:rsid w:val="00F039A5"/>
    <w:rsid w:val="00F0440D"/>
    <w:rsid w:val="00F05002"/>
    <w:rsid w:val="00F05049"/>
    <w:rsid w:val="00F05060"/>
    <w:rsid w:val="00F05DBE"/>
    <w:rsid w:val="00F06046"/>
    <w:rsid w:val="00F0674C"/>
    <w:rsid w:val="00F1040F"/>
    <w:rsid w:val="00F110AE"/>
    <w:rsid w:val="00F11640"/>
    <w:rsid w:val="00F1353E"/>
    <w:rsid w:val="00F13699"/>
    <w:rsid w:val="00F13949"/>
    <w:rsid w:val="00F14A9F"/>
    <w:rsid w:val="00F14D49"/>
    <w:rsid w:val="00F1554E"/>
    <w:rsid w:val="00F155F7"/>
    <w:rsid w:val="00F15CDD"/>
    <w:rsid w:val="00F16B8E"/>
    <w:rsid w:val="00F16D5E"/>
    <w:rsid w:val="00F17A30"/>
    <w:rsid w:val="00F17BA2"/>
    <w:rsid w:val="00F20D35"/>
    <w:rsid w:val="00F2119B"/>
    <w:rsid w:val="00F215E4"/>
    <w:rsid w:val="00F22051"/>
    <w:rsid w:val="00F24258"/>
    <w:rsid w:val="00F2436C"/>
    <w:rsid w:val="00F24652"/>
    <w:rsid w:val="00F249B9"/>
    <w:rsid w:val="00F2551E"/>
    <w:rsid w:val="00F26C55"/>
    <w:rsid w:val="00F26E79"/>
    <w:rsid w:val="00F270CE"/>
    <w:rsid w:val="00F270D6"/>
    <w:rsid w:val="00F271C2"/>
    <w:rsid w:val="00F315DD"/>
    <w:rsid w:val="00F32581"/>
    <w:rsid w:val="00F34388"/>
    <w:rsid w:val="00F345D1"/>
    <w:rsid w:val="00F34F6C"/>
    <w:rsid w:val="00F3550C"/>
    <w:rsid w:val="00F36673"/>
    <w:rsid w:val="00F37564"/>
    <w:rsid w:val="00F4009A"/>
    <w:rsid w:val="00F40222"/>
    <w:rsid w:val="00F40798"/>
    <w:rsid w:val="00F41313"/>
    <w:rsid w:val="00F41422"/>
    <w:rsid w:val="00F41580"/>
    <w:rsid w:val="00F41635"/>
    <w:rsid w:val="00F43AEE"/>
    <w:rsid w:val="00F43BA7"/>
    <w:rsid w:val="00F43EE2"/>
    <w:rsid w:val="00F44D29"/>
    <w:rsid w:val="00F452E2"/>
    <w:rsid w:val="00F4536C"/>
    <w:rsid w:val="00F47163"/>
    <w:rsid w:val="00F47391"/>
    <w:rsid w:val="00F4781A"/>
    <w:rsid w:val="00F47DFD"/>
    <w:rsid w:val="00F5176D"/>
    <w:rsid w:val="00F51AE2"/>
    <w:rsid w:val="00F536A4"/>
    <w:rsid w:val="00F547E5"/>
    <w:rsid w:val="00F548B6"/>
    <w:rsid w:val="00F5495F"/>
    <w:rsid w:val="00F54C89"/>
    <w:rsid w:val="00F54E33"/>
    <w:rsid w:val="00F55242"/>
    <w:rsid w:val="00F55531"/>
    <w:rsid w:val="00F55984"/>
    <w:rsid w:val="00F55B82"/>
    <w:rsid w:val="00F55C35"/>
    <w:rsid w:val="00F5702F"/>
    <w:rsid w:val="00F5781A"/>
    <w:rsid w:val="00F57BBA"/>
    <w:rsid w:val="00F60637"/>
    <w:rsid w:val="00F60C07"/>
    <w:rsid w:val="00F616D1"/>
    <w:rsid w:val="00F61A65"/>
    <w:rsid w:val="00F61E47"/>
    <w:rsid w:val="00F62153"/>
    <w:rsid w:val="00F628F0"/>
    <w:rsid w:val="00F634BB"/>
    <w:rsid w:val="00F64121"/>
    <w:rsid w:val="00F64F47"/>
    <w:rsid w:val="00F66365"/>
    <w:rsid w:val="00F66781"/>
    <w:rsid w:val="00F6776B"/>
    <w:rsid w:val="00F7012D"/>
    <w:rsid w:val="00F70A87"/>
    <w:rsid w:val="00F70F6E"/>
    <w:rsid w:val="00F71C23"/>
    <w:rsid w:val="00F71C4B"/>
    <w:rsid w:val="00F71D2C"/>
    <w:rsid w:val="00F73EE4"/>
    <w:rsid w:val="00F74068"/>
    <w:rsid w:val="00F74E28"/>
    <w:rsid w:val="00F7532B"/>
    <w:rsid w:val="00F75B46"/>
    <w:rsid w:val="00F77194"/>
    <w:rsid w:val="00F77CC4"/>
    <w:rsid w:val="00F77F04"/>
    <w:rsid w:val="00F813ED"/>
    <w:rsid w:val="00F81568"/>
    <w:rsid w:val="00F822EB"/>
    <w:rsid w:val="00F82EE8"/>
    <w:rsid w:val="00F83250"/>
    <w:rsid w:val="00F84017"/>
    <w:rsid w:val="00F841E5"/>
    <w:rsid w:val="00F84397"/>
    <w:rsid w:val="00F849F0"/>
    <w:rsid w:val="00F84C30"/>
    <w:rsid w:val="00F8548F"/>
    <w:rsid w:val="00F85592"/>
    <w:rsid w:val="00F8744F"/>
    <w:rsid w:val="00F876B2"/>
    <w:rsid w:val="00F879B0"/>
    <w:rsid w:val="00F904E1"/>
    <w:rsid w:val="00F905CE"/>
    <w:rsid w:val="00F909EF"/>
    <w:rsid w:val="00F9171C"/>
    <w:rsid w:val="00F91F12"/>
    <w:rsid w:val="00F91F36"/>
    <w:rsid w:val="00F92126"/>
    <w:rsid w:val="00F9267A"/>
    <w:rsid w:val="00F92EA4"/>
    <w:rsid w:val="00F93839"/>
    <w:rsid w:val="00F95F0C"/>
    <w:rsid w:val="00F9704F"/>
    <w:rsid w:val="00F97C94"/>
    <w:rsid w:val="00F97D54"/>
    <w:rsid w:val="00FA1CAA"/>
    <w:rsid w:val="00FA216E"/>
    <w:rsid w:val="00FA28F4"/>
    <w:rsid w:val="00FA3095"/>
    <w:rsid w:val="00FA3CBD"/>
    <w:rsid w:val="00FA4160"/>
    <w:rsid w:val="00FA4185"/>
    <w:rsid w:val="00FA434A"/>
    <w:rsid w:val="00FA4E9E"/>
    <w:rsid w:val="00FA5147"/>
    <w:rsid w:val="00FA6062"/>
    <w:rsid w:val="00FA6840"/>
    <w:rsid w:val="00FA7BE4"/>
    <w:rsid w:val="00FA7CB7"/>
    <w:rsid w:val="00FA7E97"/>
    <w:rsid w:val="00FB0300"/>
    <w:rsid w:val="00FB07C2"/>
    <w:rsid w:val="00FB1E27"/>
    <w:rsid w:val="00FB29D6"/>
    <w:rsid w:val="00FB352F"/>
    <w:rsid w:val="00FB3E58"/>
    <w:rsid w:val="00FB40CE"/>
    <w:rsid w:val="00FB4CEF"/>
    <w:rsid w:val="00FB4DE8"/>
    <w:rsid w:val="00FB4EC1"/>
    <w:rsid w:val="00FB50CE"/>
    <w:rsid w:val="00FB519A"/>
    <w:rsid w:val="00FB53EA"/>
    <w:rsid w:val="00FB549B"/>
    <w:rsid w:val="00FB56B4"/>
    <w:rsid w:val="00FB5870"/>
    <w:rsid w:val="00FB5943"/>
    <w:rsid w:val="00FB599B"/>
    <w:rsid w:val="00FB59A0"/>
    <w:rsid w:val="00FB67F2"/>
    <w:rsid w:val="00FB6980"/>
    <w:rsid w:val="00FB6F0D"/>
    <w:rsid w:val="00FB73BF"/>
    <w:rsid w:val="00FB78F3"/>
    <w:rsid w:val="00FB7AF2"/>
    <w:rsid w:val="00FB7B59"/>
    <w:rsid w:val="00FB7DFF"/>
    <w:rsid w:val="00FC0740"/>
    <w:rsid w:val="00FC1CDB"/>
    <w:rsid w:val="00FC2BDB"/>
    <w:rsid w:val="00FC3224"/>
    <w:rsid w:val="00FC37BF"/>
    <w:rsid w:val="00FC3BCE"/>
    <w:rsid w:val="00FC3D90"/>
    <w:rsid w:val="00FC4507"/>
    <w:rsid w:val="00FC4679"/>
    <w:rsid w:val="00FC469D"/>
    <w:rsid w:val="00FC6798"/>
    <w:rsid w:val="00FC6B8E"/>
    <w:rsid w:val="00FC7B6E"/>
    <w:rsid w:val="00FC7B72"/>
    <w:rsid w:val="00FD131E"/>
    <w:rsid w:val="00FD1985"/>
    <w:rsid w:val="00FD21EE"/>
    <w:rsid w:val="00FD26D0"/>
    <w:rsid w:val="00FD3C93"/>
    <w:rsid w:val="00FD3CD3"/>
    <w:rsid w:val="00FD45F4"/>
    <w:rsid w:val="00FD4DF2"/>
    <w:rsid w:val="00FD554F"/>
    <w:rsid w:val="00FD564A"/>
    <w:rsid w:val="00FD65D4"/>
    <w:rsid w:val="00FD65E4"/>
    <w:rsid w:val="00FD6EFA"/>
    <w:rsid w:val="00FD720B"/>
    <w:rsid w:val="00FD75C8"/>
    <w:rsid w:val="00FD7C2B"/>
    <w:rsid w:val="00FE0117"/>
    <w:rsid w:val="00FE0E10"/>
    <w:rsid w:val="00FE1E64"/>
    <w:rsid w:val="00FE21D3"/>
    <w:rsid w:val="00FE2CC1"/>
    <w:rsid w:val="00FE3065"/>
    <w:rsid w:val="00FE33C0"/>
    <w:rsid w:val="00FE37F4"/>
    <w:rsid w:val="00FE4262"/>
    <w:rsid w:val="00FE5328"/>
    <w:rsid w:val="00FE5BD4"/>
    <w:rsid w:val="00FE6029"/>
    <w:rsid w:val="00FE62AF"/>
    <w:rsid w:val="00FE6577"/>
    <w:rsid w:val="00FE7A90"/>
    <w:rsid w:val="00FE7E76"/>
    <w:rsid w:val="00FF141E"/>
    <w:rsid w:val="00FF2496"/>
    <w:rsid w:val="00FF2B14"/>
    <w:rsid w:val="00FF2BCA"/>
    <w:rsid w:val="00FF2D1F"/>
    <w:rsid w:val="00FF30CA"/>
    <w:rsid w:val="00FF3ED7"/>
    <w:rsid w:val="00FF5010"/>
    <w:rsid w:val="00FF5B18"/>
    <w:rsid w:val="00FF5C4D"/>
    <w:rsid w:val="00FF67F2"/>
    <w:rsid w:val="00FF6D98"/>
    <w:rsid w:val="00FF7568"/>
    <w:rsid w:val="00FF7930"/>
    <w:rsid w:val="00FF7DE2"/>
    <w:rsid w:val="30B931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99459F0"/>
  <w15:docId w15:val="{3A9D182A-B027-8245-BA9F-DDFC9740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5019"/>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rsid w:val="001060A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1060A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pPr>
    <w:rPr>
      <w:rFonts w:ascii="Tahoma" w:hAnsi="Tahoma" w:cs="Tahoma"/>
      <w:sz w:val="16"/>
      <w:szCs w:val="16"/>
    </w:rPr>
  </w:style>
  <w:style w:type="character" w:styleId="a4">
    <w:name w:val="Emphasis"/>
    <w:basedOn w:val="a0"/>
    <w:uiPriority w:val="20"/>
    <w:qFormat/>
    <w:rPr>
      <w:i/>
      <w:iCs/>
    </w:rPr>
  </w:style>
  <w:style w:type="paragraph" w:styleId="a5">
    <w:name w:val="footer"/>
    <w:basedOn w:val="a"/>
    <w:link w:val="Char0"/>
    <w:uiPriority w:val="99"/>
    <w:unhideWhenUsed/>
    <w:qFormat/>
    <w:pPr>
      <w:tabs>
        <w:tab w:val="center" w:pos="4153"/>
        <w:tab w:val="right" w:pos="8306"/>
      </w:tabs>
      <w:spacing w:after="0"/>
    </w:pPr>
  </w:style>
  <w:style w:type="paragraph" w:styleId="a6">
    <w:name w:val="header"/>
    <w:basedOn w:val="a"/>
    <w:link w:val="Char1"/>
    <w:uiPriority w:val="99"/>
    <w:unhideWhenUsed/>
    <w:qFormat/>
    <w:pPr>
      <w:tabs>
        <w:tab w:val="center" w:pos="4153"/>
        <w:tab w:val="right" w:pos="8306"/>
      </w:tabs>
      <w:spacing w:after="0"/>
    </w:pPr>
  </w:style>
  <w:style w:type="character" w:styleId="Hyperlink">
    <w:name w:val="Hyperlink"/>
    <w:basedOn w:val="a0"/>
    <w:uiPriority w:val="99"/>
    <w:unhideWhenUsed/>
    <w:qFormat/>
    <w:rPr>
      <w:color w:val="0000FF" w:themeColor="hyperlink"/>
      <w:u w:val="single"/>
    </w:rPr>
  </w:style>
  <w:style w:type="paragraph" w:styleId="a7">
    <w:name w:val="Normal (Web)"/>
    <w:basedOn w:val="a"/>
    <w:uiPriority w:val="99"/>
    <w:unhideWhenUsed/>
    <w:qFormat/>
    <w:pPr>
      <w:spacing w:before="100" w:beforeAutospacing="1" w:after="100" w:afterAutospacing="1"/>
    </w:pPr>
    <w:rPr>
      <w:rFonts w:ascii="Times New Roman" w:eastAsia="Times New Roman" w:hAnsi="Times New Roman" w:cs="Times New Roman"/>
      <w:sz w:val="24"/>
      <w:szCs w:val="24"/>
    </w:rPr>
  </w:style>
  <w:style w:type="character" w:styleId="a8">
    <w:name w:val="Strong"/>
    <w:basedOn w:val="a0"/>
    <w:uiPriority w:val="22"/>
    <w:qFormat/>
    <w:rPr>
      <w:b/>
      <w:bCs/>
    </w:rPr>
  </w:style>
  <w:style w:type="paragraph" w:styleId="a9">
    <w:name w:val="Subtitle"/>
    <w:basedOn w:val="a"/>
    <w:link w:val="Char2"/>
    <w:qFormat/>
    <w:pPr>
      <w:bidi/>
      <w:spacing w:after="0"/>
      <w:jc w:val="center"/>
    </w:pPr>
    <w:rPr>
      <w:rFonts w:ascii="Times New Roman" w:eastAsia="Times New Roman" w:hAnsi="Times New Roman" w:cs="Times New Roman"/>
      <w:i/>
      <w:iCs/>
      <w:sz w:val="28"/>
      <w:szCs w:val="28"/>
      <w:lang w:eastAsia="ar-SA"/>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b">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9"/>
    <w:qFormat/>
    <w:rPr>
      <w:rFonts w:ascii="Times New Roman" w:eastAsia="Times New Roman" w:hAnsi="Times New Roman" w:cs="Times New Roman"/>
      <w:i/>
      <w:iCs/>
      <w:sz w:val="28"/>
      <w:szCs w:val="28"/>
      <w:lang w:eastAsia="ar-SA"/>
    </w:r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3Char">
    <w:name w:val="عنوان 3 Char"/>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styleId="ac">
    <w:name w:val="annotation reference"/>
    <w:basedOn w:val="a0"/>
    <w:uiPriority w:val="99"/>
    <w:semiHidden/>
    <w:unhideWhenUsed/>
    <w:rsid w:val="00FF67F2"/>
    <w:rPr>
      <w:sz w:val="16"/>
      <w:szCs w:val="16"/>
    </w:rPr>
  </w:style>
  <w:style w:type="paragraph" w:styleId="ad">
    <w:name w:val="annotation text"/>
    <w:basedOn w:val="a"/>
    <w:link w:val="Char3"/>
    <w:uiPriority w:val="99"/>
    <w:semiHidden/>
    <w:unhideWhenUsed/>
    <w:rsid w:val="00FF67F2"/>
    <w:rPr>
      <w:sz w:val="20"/>
      <w:szCs w:val="20"/>
    </w:rPr>
  </w:style>
  <w:style w:type="character" w:customStyle="1" w:styleId="Char3">
    <w:name w:val="نص تعليق Char"/>
    <w:basedOn w:val="a0"/>
    <w:link w:val="ad"/>
    <w:uiPriority w:val="99"/>
    <w:semiHidden/>
    <w:rsid w:val="00FF67F2"/>
    <w:rPr>
      <w:lang w:val="en-US"/>
    </w:rPr>
  </w:style>
  <w:style w:type="paragraph" w:styleId="ae">
    <w:name w:val="annotation subject"/>
    <w:basedOn w:val="ad"/>
    <w:next w:val="ad"/>
    <w:link w:val="Char4"/>
    <w:uiPriority w:val="99"/>
    <w:semiHidden/>
    <w:unhideWhenUsed/>
    <w:rsid w:val="00FF67F2"/>
    <w:rPr>
      <w:b/>
      <w:bCs/>
    </w:rPr>
  </w:style>
  <w:style w:type="character" w:customStyle="1" w:styleId="Char4">
    <w:name w:val="موضوع تعليق Char"/>
    <w:basedOn w:val="Char3"/>
    <w:link w:val="ae"/>
    <w:uiPriority w:val="99"/>
    <w:semiHidden/>
    <w:rsid w:val="00FF67F2"/>
    <w:rPr>
      <w:b/>
      <w:bCs/>
      <w:lang w:val="en-US"/>
    </w:rPr>
  </w:style>
  <w:style w:type="character" w:styleId="af">
    <w:name w:val="Unresolved Mention"/>
    <w:basedOn w:val="a0"/>
    <w:uiPriority w:val="99"/>
    <w:semiHidden/>
    <w:unhideWhenUsed/>
    <w:rsid w:val="00D64F79"/>
    <w:rPr>
      <w:color w:val="605E5C"/>
      <w:shd w:val="clear" w:color="auto" w:fill="E1DFDD"/>
    </w:rPr>
  </w:style>
  <w:style w:type="character" w:customStyle="1" w:styleId="helvetica">
    <w:name w:val="helvetica"/>
    <w:basedOn w:val="a0"/>
    <w:rsid w:val="0052020A"/>
  </w:style>
  <w:style w:type="character" w:customStyle="1" w:styleId="flex-1">
    <w:name w:val="flex-1"/>
    <w:basedOn w:val="a0"/>
    <w:rsid w:val="0052020A"/>
  </w:style>
  <w:style w:type="character" w:customStyle="1" w:styleId="font-600">
    <w:name w:val="font-[600]"/>
    <w:basedOn w:val="a0"/>
    <w:rsid w:val="0052020A"/>
  </w:style>
  <w:style w:type="character" w:customStyle="1" w:styleId="font-sans">
    <w:name w:val="font-sans"/>
    <w:basedOn w:val="a0"/>
    <w:rsid w:val="0052020A"/>
  </w:style>
  <w:style w:type="table" w:customStyle="1" w:styleId="10">
    <w:name w:val="شبكة جدول1"/>
    <w:basedOn w:val="a1"/>
    <w:next w:val="aa"/>
    <w:uiPriority w:val="39"/>
    <w:rsid w:val="009A7640"/>
    <w:pPr>
      <w:spacing w:before="0" w:after="0"/>
    </w:pPr>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1060A8"/>
    <w:rPr>
      <w:rFonts w:asciiTheme="majorHAnsi" w:eastAsiaTheme="majorEastAsia" w:hAnsiTheme="majorHAnsi" w:cstheme="majorBidi"/>
      <w:i/>
      <w:iCs/>
      <w:color w:val="365F91" w:themeColor="accent1" w:themeShade="BF"/>
      <w:sz w:val="22"/>
      <w:szCs w:val="22"/>
    </w:rPr>
  </w:style>
  <w:style w:type="character" w:customStyle="1" w:styleId="5Char">
    <w:name w:val="عنوان 5 Char"/>
    <w:basedOn w:val="a0"/>
    <w:link w:val="5"/>
    <w:uiPriority w:val="9"/>
    <w:semiHidden/>
    <w:rsid w:val="001060A8"/>
    <w:rPr>
      <w:rFonts w:asciiTheme="majorHAnsi" w:eastAsiaTheme="majorEastAsia" w:hAnsiTheme="majorHAnsi" w:cstheme="majorBidi"/>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header" Target="header3.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FBED07-58A4-48EB-BF11-361C75CDD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93</Pages>
  <Words>27329</Words>
  <Characters>155780</Characters>
  <Application>Microsoft Office Word</Application>
  <DocSecurity>0</DocSecurity>
  <Lines>1298</Lines>
  <Paragraphs>365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LENOVO</cp:lastModifiedBy>
  <cp:revision>2</cp:revision>
  <cp:lastPrinted>2025-10-29T09:48:00Z</cp:lastPrinted>
  <dcterms:created xsi:type="dcterms:W3CDTF">2026-03-02T18:30:00Z</dcterms:created>
  <dcterms:modified xsi:type="dcterms:W3CDTF">2026-03-02T18:30:00Z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5F18BEAC96054E0FBD15FDBB7662CC3C_13</vt:lpwstr>
  </property>
</Properties>
</file>