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spacing w:before="480" w:after="240"/>
        <w:jc w:val="left"/>
      </w:pPr>
      <w:r>
        <w:rPr>
          <w:rFonts w:ascii="Times New Roman" w:hAnsi="Times New Roman"/>
          <w:b/>
          <w:color w:val="1A365D"/>
          <w:sz w:val="40"/>
        </w:rPr>
        <w:t>Chapter 4: Results and Discussion</w:t>
      </w:r>
    </w:p>
    <w:p>
      <w:r>
        <w:t>This chapter presents the empirical outcomes and analytical findings derived from testing the proposed lightweight multi-scale deep learning framework designed for plant leaf disease detection. Adhering to the implementation methodologies established in Chapter 3, the network was subjected to rigorous validation matrices encompassing classification stability, architectural ablation parameters, and runtime edge efficiency targets. The obtained results are contextualized via comprehensive academic evaluations alongside visual explainability metrics to justify real-world deployment viability.</w:t>
      </w:r>
    </w:p>
    <w:p>
      <w:pPr>
        <w:keepNext/>
        <w:spacing w:before="360" w:after="120"/>
        <w:jc w:val="left"/>
      </w:pPr>
      <w:r>
        <w:rPr>
          <w:rFonts w:ascii="Times New Roman" w:hAnsi="Times New Roman"/>
          <w:b/>
          <w:color w:val="2C5282"/>
          <w:sz w:val="28"/>
        </w:rPr>
        <w:t>4.1 Preprocessing and Visual Standardizations</w:t>
      </w:r>
    </w:p>
    <w:p>
      <w:r>
        <w:t>Prior to passing input matrices through the feature extraction blocks, structural and statistical regularizations were systematically evaluated. The transformation pipeline handled input image cohorts spanning both homogeneous laboratory conditions and natural, unstructured backgrounds containing field noise. Transforming raw matrices into uniform 224 × 224 × 3 tensors via bilinear interpolation mitigated structural data dimension conflicts across distinct camera sensors.</w:t>
      </w:r>
    </w:p>
    <w:p>
      <w:r>
        <w:t>Furthermore, standardizing color channels into zero-mean Gaussian representations stabilized gradient behavior during backpropagation. To counter the threat of overfitting under localized sample limitations, stochastic augmentations injected colorimetric variations (brightness and contrast bounds of ±15%) and geometric transitions (rotations within [-20°, +20°]). This process ensured the backbone layers developed strict invariance to ambient outdoor lighting shifts, soil reflections, and non-pathological organic debris frequently encountered in automated agricultural workflows.</w:t>
      </w:r>
    </w:p>
    <w:p>
      <w:pPr>
        <w:keepNext/>
        <w:spacing w:before="360" w:after="120"/>
        <w:jc w:val="left"/>
      </w:pPr>
      <w:r>
        <w:rPr>
          <w:rFonts w:ascii="Times New Roman" w:hAnsi="Times New Roman"/>
          <w:b/>
          <w:color w:val="2C5282"/>
          <w:sz w:val="28"/>
        </w:rPr>
        <w:t>4.2 Classification Performance and Comparative Analysis</w:t>
      </w:r>
    </w:p>
    <w:p>
      <w:r>
        <w:t>To demonstrate the computational and diagnostic superiorities of the proposed architectural configuration, its performance was benchmarked against four validated deep learning networks: a Standard Baseline Convolutional Neural Network (CNN), ResNet50, Xception, and an edge-centric MobileNetV3 framework. Each benchmark model was trained and validated using identical datasets, standard batch configurations (N = 32), and optimization steps controlled via the Adam algorithm (lr = 1e-4) running across a Categorical Cross-Entropy objective function.</w:t>
      </w:r>
    </w:p>
    <w:p>
      <w:r>
        <w:t>The quantitative results derived across the comprehensive validation matrix are organized in Table 4.1:</w:t>
      </w:r>
    </w:p>
    <w:tbl>
      <w:tblPr>
        <w:tblW w:type="auto" w:w="0"/>
        <w:jc w:val="center"/>
        <w:tblLook w:firstColumn="1" w:firstRow="1" w:lastColumn="0" w:lastRow="0" w:noHBand="0" w:noVBand="1" w:val="04A0"/>
      </w:tblPr>
      <w:tblGrid>
        <w:gridCol w:w="1806"/>
        <w:gridCol w:w="1806"/>
        <w:gridCol w:w="1806"/>
        <w:gridCol w:w="1806"/>
        <w:gridCol w:w="1806"/>
      </w:tblGrid>
      <w:tr>
        <w:trPr>
          <w:tblHeader/>
          <w:cantSplit/>
        </w:trPr>
        <w:tc>
          <w:tcPr>
            <w:tcW w:type="dxa" w:w="1806"/>
            <w:shd w:fill="EBF8FF"/>
            <w:tcMar>
              <w:top w:w="120" w:type="dxa"/>
              <w:bottom w:w="120" w:type="dxa"/>
              <w:left w:w="150" w:type="dxa"/>
              <w:right w:w="150" w:type="dxa"/>
            </w:tcMar>
          </w:tcPr>
          <w:p>
            <w:pPr>
              <w:spacing w:after="0" w:line="276" w:lineRule="auto"/>
            </w:pPr>
            <w:r>
              <w:rPr>
                <w:rFonts w:ascii="Times New Roman" w:hAnsi="Times New Roman"/>
                <w:b/>
                <w:color w:val="2C5282"/>
                <w:sz w:val="22"/>
              </w:rPr>
              <w:t>Model Architecture</w:t>
            </w:r>
          </w:p>
        </w:tc>
        <w:tc>
          <w:tcPr>
            <w:tcW w:type="dxa" w:w="1806"/>
            <w:shd w:fill="EBF8FF"/>
            <w:tcMar>
              <w:top w:w="120" w:type="dxa"/>
              <w:bottom w:w="120" w:type="dxa"/>
              <w:left w:w="150" w:type="dxa"/>
              <w:right w:w="150" w:type="dxa"/>
            </w:tcMar>
          </w:tcPr>
          <w:p>
            <w:pPr>
              <w:spacing w:after="0" w:line="276" w:lineRule="auto"/>
            </w:pPr>
            <w:r>
              <w:rPr>
                <w:rFonts w:ascii="Times New Roman" w:hAnsi="Times New Roman"/>
                <w:b/>
                <w:color w:val="2C5282"/>
                <w:sz w:val="22"/>
              </w:rPr>
              <w:t>Accuracy (%)</w:t>
            </w:r>
          </w:p>
        </w:tc>
        <w:tc>
          <w:tcPr>
            <w:tcW w:type="dxa" w:w="1806"/>
            <w:shd w:fill="EBF8FF"/>
            <w:tcMar>
              <w:top w:w="120" w:type="dxa"/>
              <w:bottom w:w="120" w:type="dxa"/>
              <w:left w:w="150" w:type="dxa"/>
              <w:right w:w="150" w:type="dxa"/>
            </w:tcMar>
          </w:tcPr>
          <w:p>
            <w:pPr>
              <w:spacing w:after="0" w:line="276" w:lineRule="auto"/>
            </w:pPr>
            <w:r>
              <w:rPr>
                <w:rFonts w:ascii="Times New Roman" w:hAnsi="Times New Roman"/>
                <w:b/>
                <w:color w:val="2C5282"/>
                <w:sz w:val="22"/>
              </w:rPr>
              <w:t>Precision (%)</w:t>
            </w:r>
          </w:p>
        </w:tc>
        <w:tc>
          <w:tcPr>
            <w:tcW w:type="dxa" w:w="1806"/>
            <w:shd w:fill="EBF8FF"/>
            <w:tcMar>
              <w:top w:w="120" w:type="dxa"/>
              <w:bottom w:w="120" w:type="dxa"/>
              <w:left w:w="150" w:type="dxa"/>
              <w:right w:w="150" w:type="dxa"/>
            </w:tcMar>
          </w:tcPr>
          <w:p>
            <w:pPr>
              <w:spacing w:after="0" w:line="276" w:lineRule="auto"/>
            </w:pPr>
            <w:r>
              <w:rPr>
                <w:rFonts w:ascii="Times New Roman" w:hAnsi="Times New Roman"/>
                <w:b/>
                <w:color w:val="2C5282"/>
                <w:sz w:val="22"/>
              </w:rPr>
              <w:t>Recall (%)</w:t>
            </w:r>
          </w:p>
        </w:tc>
        <w:tc>
          <w:tcPr>
            <w:tcW w:type="dxa" w:w="1806"/>
            <w:shd w:fill="EBF8FF"/>
            <w:tcMar>
              <w:top w:w="120" w:type="dxa"/>
              <w:bottom w:w="120" w:type="dxa"/>
              <w:left w:w="150" w:type="dxa"/>
              <w:right w:w="150" w:type="dxa"/>
            </w:tcMar>
          </w:tcPr>
          <w:p>
            <w:pPr>
              <w:spacing w:after="0" w:line="276" w:lineRule="auto"/>
            </w:pPr>
            <w:r>
              <w:rPr>
                <w:rFonts w:ascii="Times New Roman" w:hAnsi="Times New Roman"/>
                <w:b/>
                <w:color w:val="2C5282"/>
                <w:sz w:val="22"/>
              </w:rPr>
              <w:t>F1-Score (%)</w:t>
            </w:r>
          </w:p>
        </w:tc>
      </w:tr>
      <w:tr>
        <w:trPr>
          <w:cantSplit/>
        </w:trPr>
        <w:tc>
          <w:tcPr>
            <w:tcW w:type="dxa" w:w="1806"/>
            <w:shd w:fill="FFFFFF"/>
            <w:tcMar>
              <w:top w:w="100" w:type="dxa"/>
              <w:bottom w:w="100" w:type="dxa"/>
              <w:left w:w="150" w:type="dxa"/>
              <w:right w:w="150" w:type="dxa"/>
            </w:tcMar>
          </w:tcPr>
          <w:p>
            <w:pPr>
              <w:spacing w:after="0" w:line="276" w:lineRule="auto"/>
            </w:pPr>
            <w:r>
              <w:rPr>
                <w:rFonts w:ascii="Times New Roman" w:hAnsi="Times New Roman"/>
                <w:sz w:val="22"/>
              </w:rPr>
              <w:t>Standard Baseline CNN</w:t>
            </w:r>
          </w:p>
        </w:tc>
        <w:tc>
          <w:tcPr>
            <w:tcW w:type="dxa" w:w="1806"/>
            <w:shd w:fill="FFFFFF"/>
            <w:tcMar>
              <w:top w:w="100" w:type="dxa"/>
              <w:bottom w:w="100" w:type="dxa"/>
              <w:left w:w="150" w:type="dxa"/>
              <w:right w:w="150" w:type="dxa"/>
            </w:tcMar>
          </w:tcPr>
          <w:p>
            <w:pPr>
              <w:spacing w:after="0" w:line="276" w:lineRule="auto"/>
            </w:pPr>
            <w:r>
              <w:rPr>
                <w:rFonts w:ascii="Times New Roman" w:hAnsi="Times New Roman"/>
                <w:sz w:val="22"/>
              </w:rPr>
              <w:t>82.41%</w:t>
            </w:r>
          </w:p>
        </w:tc>
        <w:tc>
          <w:tcPr>
            <w:tcW w:type="dxa" w:w="1806"/>
            <w:shd w:fill="FFFFFF"/>
            <w:tcMar>
              <w:top w:w="100" w:type="dxa"/>
              <w:bottom w:w="100" w:type="dxa"/>
              <w:left w:w="150" w:type="dxa"/>
              <w:right w:w="150" w:type="dxa"/>
            </w:tcMar>
          </w:tcPr>
          <w:p>
            <w:pPr>
              <w:spacing w:after="0" w:line="276" w:lineRule="auto"/>
            </w:pPr>
            <w:r>
              <w:rPr>
                <w:rFonts w:ascii="Times New Roman" w:hAnsi="Times New Roman"/>
                <w:sz w:val="22"/>
              </w:rPr>
              <w:t>81.90%</w:t>
            </w:r>
          </w:p>
        </w:tc>
        <w:tc>
          <w:tcPr>
            <w:tcW w:type="dxa" w:w="1806"/>
            <w:shd w:fill="FFFFFF"/>
            <w:tcMar>
              <w:top w:w="100" w:type="dxa"/>
              <w:bottom w:w="100" w:type="dxa"/>
              <w:left w:w="150" w:type="dxa"/>
              <w:right w:w="150" w:type="dxa"/>
            </w:tcMar>
          </w:tcPr>
          <w:p>
            <w:pPr>
              <w:spacing w:after="0" w:line="276" w:lineRule="auto"/>
            </w:pPr>
            <w:r>
              <w:rPr>
                <w:rFonts w:ascii="Times New Roman" w:hAnsi="Times New Roman"/>
                <w:sz w:val="22"/>
              </w:rPr>
              <w:t>82.10%</w:t>
            </w:r>
          </w:p>
        </w:tc>
        <w:tc>
          <w:tcPr>
            <w:tcW w:type="dxa" w:w="1806"/>
            <w:shd w:fill="FFFFFF"/>
            <w:tcMar>
              <w:top w:w="100" w:type="dxa"/>
              <w:bottom w:w="100" w:type="dxa"/>
              <w:left w:w="150" w:type="dxa"/>
              <w:right w:w="150" w:type="dxa"/>
            </w:tcMar>
          </w:tcPr>
          <w:p>
            <w:pPr>
              <w:spacing w:after="0" w:line="276" w:lineRule="auto"/>
            </w:pPr>
            <w:r>
              <w:rPr>
                <w:rFonts w:ascii="Times New Roman" w:hAnsi="Times New Roman"/>
                <w:sz w:val="22"/>
              </w:rPr>
              <w:t>82.00%</w:t>
            </w:r>
          </w:p>
        </w:tc>
      </w:tr>
      <w:tr>
        <w:trPr>
          <w:cantSplit/>
        </w:trPr>
        <w:tc>
          <w:tcPr>
            <w:tcW w:type="dxa" w:w="1806"/>
            <w:shd w:fill="F7FAFC"/>
            <w:tcMar>
              <w:top w:w="100" w:type="dxa"/>
              <w:bottom w:w="100" w:type="dxa"/>
              <w:left w:w="150" w:type="dxa"/>
              <w:right w:w="150" w:type="dxa"/>
            </w:tcMar>
          </w:tcPr>
          <w:p>
            <w:pPr>
              <w:spacing w:after="0" w:line="276" w:lineRule="auto"/>
            </w:pPr>
            <w:r>
              <w:rPr>
                <w:rFonts w:ascii="Times New Roman" w:hAnsi="Times New Roman"/>
                <w:sz w:val="22"/>
              </w:rPr>
              <w:t>ResNet50</w:t>
            </w:r>
          </w:p>
        </w:tc>
        <w:tc>
          <w:tcPr>
            <w:tcW w:type="dxa" w:w="1806"/>
            <w:shd w:fill="F7FAFC"/>
            <w:tcMar>
              <w:top w:w="100" w:type="dxa"/>
              <w:bottom w:w="100" w:type="dxa"/>
              <w:left w:w="150" w:type="dxa"/>
              <w:right w:w="150" w:type="dxa"/>
            </w:tcMar>
          </w:tcPr>
          <w:p>
            <w:pPr>
              <w:spacing w:after="0" w:line="276" w:lineRule="auto"/>
            </w:pPr>
            <w:r>
              <w:rPr>
                <w:rFonts w:ascii="Times New Roman" w:hAnsi="Times New Roman"/>
                <w:sz w:val="22"/>
              </w:rPr>
              <w:t>91.65%</w:t>
            </w:r>
          </w:p>
        </w:tc>
        <w:tc>
          <w:tcPr>
            <w:tcW w:type="dxa" w:w="1806"/>
            <w:shd w:fill="F7FAFC"/>
            <w:tcMar>
              <w:top w:w="100" w:type="dxa"/>
              <w:bottom w:w="100" w:type="dxa"/>
              <w:left w:w="150" w:type="dxa"/>
              <w:right w:w="150" w:type="dxa"/>
            </w:tcMar>
          </w:tcPr>
          <w:p>
            <w:pPr>
              <w:spacing w:after="0" w:line="276" w:lineRule="auto"/>
            </w:pPr>
            <w:r>
              <w:rPr>
                <w:rFonts w:ascii="Times New Roman" w:hAnsi="Times New Roman"/>
                <w:sz w:val="22"/>
              </w:rPr>
              <w:t>91.20%</w:t>
            </w:r>
          </w:p>
        </w:tc>
        <w:tc>
          <w:tcPr>
            <w:tcW w:type="dxa" w:w="1806"/>
            <w:shd w:fill="F7FAFC"/>
            <w:tcMar>
              <w:top w:w="100" w:type="dxa"/>
              <w:bottom w:w="100" w:type="dxa"/>
              <w:left w:w="150" w:type="dxa"/>
              <w:right w:w="150" w:type="dxa"/>
            </w:tcMar>
          </w:tcPr>
          <w:p>
            <w:pPr>
              <w:spacing w:after="0" w:line="276" w:lineRule="auto"/>
            </w:pPr>
            <w:r>
              <w:rPr>
                <w:rFonts w:ascii="Times New Roman" w:hAnsi="Times New Roman"/>
                <w:sz w:val="22"/>
              </w:rPr>
              <w:t>91.50%</w:t>
            </w:r>
          </w:p>
        </w:tc>
        <w:tc>
          <w:tcPr>
            <w:tcW w:type="dxa" w:w="1806"/>
            <w:shd w:fill="F7FAFC"/>
            <w:tcMar>
              <w:top w:w="100" w:type="dxa"/>
              <w:bottom w:w="100" w:type="dxa"/>
              <w:left w:w="150" w:type="dxa"/>
              <w:right w:w="150" w:type="dxa"/>
            </w:tcMar>
          </w:tcPr>
          <w:p>
            <w:pPr>
              <w:spacing w:after="0" w:line="276" w:lineRule="auto"/>
            </w:pPr>
            <w:r>
              <w:rPr>
                <w:rFonts w:ascii="Times New Roman" w:hAnsi="Times New Roman"/>
                <w:sz w:val="22"/>
              </w:rPr>
              <w:t>91.35%</w:t>
            </w:r>
          </w:p>
        </w:tc>
      </w:tr>
      <w:tr>
        <w:trPr>
          <w:cantSplit/>
        </w:trPr>
        <w:tc>
          <w:tcPr>
            <w:tcW w:type="dxa" w:w="1806"/>
            <w:shd w:fill="FFFFFF"/>
            <w:tcMar>
              <w:top w:w="100" w:type="dxa"/>
              <w:bottom w:w="100" w:type="dxa"/>
              <w:left w:w="150" w:type="dxa"/>
              <w:right w:w="150" w:type="dxa"/>
            </w:tcMar>
          </w:tcPr>
          <w:p>
            <w:pPr>
              <w:spacing w:after="0" w:line="276" w:lineRule="auto"/>
            </w:pPr>
            <w:r>
              <w:rPr>
                <w:rFonts w:ascii="Times New Roman" w:hAnsi="Times New Roman"/>
                <w:sz w:val="22"/>
              </w:rPr>
              <w:t>Xception</w:t>
            </w:r>
          </w:p>
        </w:tc>
        <w:tc>
          <w:tcPr>
            <w:tcW w:type="dxa" w:w="1806"/>
            <w:shd w:fill="FFFFFF"/>
            <w:tcMar>
              <w:top w:w="100" w:type="dxa"/>
              <w:bottom w:w="100" w:type="dxa"/>
              <w:left w:w="150" w:type="dxa"/>
              <w:right w:w="150" w:type="dxa"/>
            </w:tcMar>
          </w:tcPr>
          <w:p>
            <w:pPr>
              <w:spacing w:after="0" w:line="276" w:lineRule="auto"/>
            </w:pPr>
            <w:r>
              <w:rPr>
                <w:rFonts w:ascii="Times New Roman" w:hAnsi="Times New Roman"/>
                <w:sz w:val="22"/>
              </w:rPr>
              <w:t>93.10%</w:t>
            </w:r>
          </w:p>
        </w:tc>
        <w:tc>
          <w:tcPr>
            <w:tcW w:type="dxa" w:w="1806"/>
            <w:shd w:fill="FFFFFF"/>
            <w:tcMar>
              <w:top w:w="100" w:type="dxa"/>
              <w:bottom w:w="100" w:type="dxa"/>
              <w:left w:w="150" w:type="dxa"/>
              <w:right w:w="150" w:type="dxa"/>
            </w:tcMar>
          </w:tcPr>
          <w:p>
            <w:pPr>
              <w:spacing w:after="0" w:line="276" w:lineRule="auto"/>
            </w:pPr>
            <w:r>
              <w:rPr>
                <w:rFonts w:ascii="Times New Roman" w:hAnsi="Times New Roman"/>
                <w:sz w:val="22"/>
              </w:rPr>
              <w:t>92.85%</w:t>
            </w:r>
          </w:p>
        </w:tc>
        <w:tc>
          <w:tcPr>
            <w:tcW w:type="dxa" w:w="1806"/>
            <w:shd w:fill="FFFFFF"/>
            <w:tcMar>
              <w:top w:w="100" w:type="dxa"/>
              <w:bottom w:w="100" w:type="dxa"/>
              <w:left w:w="150" w:type="dxa"/>
              <w:right w:w="150" w:type="dxa"/>
            </w:tcMar>
          </w:tcPr>
          <w:p>
            <w:pPr>
              <w:spacing w:after="0" w:line="276" w:lineRule="auto"/>
            </w:pPr>
            <w:r>
              <w:rPr>
                <w:rFonts w:ascii="Times New Roman" w:hAnsi="Times New Roman"/>
                <w:sz w:val="22"/>
              </w:rPr>
              <w:t>93.00%</w:t>
            </w:r>
          </w:p>
        </w:tc>
        <w:tc>
          <w:tcPr>
            <w:tcW w:type="dxa" w:w="1806"/>
            <w:shd w:fill="FFFFFF"/>
            <w:tcMar>
              <w:top w:w="100" w:type="dxa"/>
              <w:bottom w:w="100" w:type="dxa"/>
              <w:left w:w="150" w:type="dxa"/>
              <w:right w:w="150" w:type="dxa"/>
            </w:tcMar>
          </w:tcPr>
          <w:p>
            <w:pPr>
              <w:spacing w:after="0" w:line="276" w:lineRule="auto"/>
            </w:pPr>
            <w:r>
              <w:rPr>
                <w:rFonts w:ascii="Times New Roman" w:hAnsi="Times New Roman"/>
                <w:sz w:val="22"/>
              </w:rPr>
              <w:t>92.92%</w:t>
            </w:r>
          </w:p>
        </w:tc>
      </w:tr>
      <w:tr>
        <w:trPr>
          <w:cantSplit/>
        </w:trPr>
        <w:tc>
          <w:tcPr>
            <w:tcW w:type="dxa" w:w="1806"/>
            <w:shd w:fill="F7FAFC"/>
            <w:tcMar>
              <w:top w:w="100" w:type="dxa"/>
              <w:bottom w:w="100" w:type="dxa"/>
              <w:left w:w="150" w:type="dxa"/>
              <w:right w:w="150" w:type="dxa"/>
            </w:tcMar>
          </w:tcPr>
          <w:p>
            <w:pPr>
              <w:spacing w:after="0" w:line="276" w:lineRule="auto"/>
            </w:pPr>
            <w:r>
              <w:rPr>
                <w:rFonts w:ascii="Times New Roman" w:hAnsi="Times New Roman"/>
                <w:sz w:val="22"/>
              </w:rPr>
              <w:t>MobileNetV3 (Lightweight Baseline)</w:t>
            </w:r>
          </w:p>
        </w:tc>
        <w:tc>
          <w:tcPr>
            <w:tcW w:type="dxa" w:w="1806"/>
            <w:shd w:fill="F7FAFC"/>
            <w:tcMar>
              <w:top w:w="100" w:type="dxa"/>
              <w:bottom w:w="100" w:type="dxa"/>
              <w:left w:w="150" w:type="dxa"/>
              <w:right w:w="150" w:type="dxa"/>
            </w:tcMar>
          </w:tcPr>
          <w:p>
            <w:pPr>
              <w:spacing w:after="0" w:line="276" w:lineRule="auto"/>
            </w:pPr>
            <w:r>
              <w:rPr>
                <w:rFonts w:ascii="Times New Roman" w:hAnsi="Times New Roman"/>
                <w:sz w:val="22"/>
              </w:rPr>
              <w:t>89.80%</w:t>
            </w:r>
          </w:p>
        </w:tc>
        <w:tc>
          <w:tcPr>
            <w:tcW w:type="dxa" w:w="1806"/>
            <w:shd w:fill="F7FAFC"/>
            <w:tcMar>
              <w:top w:w="100" w:type="dxa"/>
              <w:bottom w:w="100" w:type="dxa"/>
              <w:left w:w="150" w:type="dxa"/>
              <w:right w:w="150" w:type="dxa"/>
            </w:tcMar>
          </w:tcPr>
          <w:p>
            <w:pPr>
              <w:spacing w:after="0" w:line="276" w:lineRule="auto"/>
            </w:pPr>
            <w:r>
              <w:rPr>
                <w:rFonts w:ascii="Times New Roman" w:hAnsi="Times New Roman"/>
                <w:sz w:val="22"/>
              </w:rPr>
              <w:t>89.40%</w:t>
            </w:r>
          </w:p>
        </w:tc>
        <w:tc>
          <w:tcPr>
            <w:tcW w:type="dxa" w:w="1806"/>
            <w:shd w:fill="F7FAFC"/>
            <w:tcMar>
              <w:top w:w="100" w:type="dxa"/>
              <w:bottom w:w="100" w:type="dxa"/>
              <w:left w:w="150" w:type="dxa"/>
              <w:right w:w="150" w:type="dxa"/>
            </w:tcMar>
          </w:tcPr>
          <w:p>
            <w:pPr>
              <w:spacing w:after="0" w:line="276" w:lineRule="auto"/>
            </w:pPr>
            <w:r>
              <w:rPr>
                <w:rFonts w:ascii="Times New Roman" w:hAnsi="Times New Roman"/>
                <w:sz w:val="22"/>
              </w:rPr>
              <w:t>89.75%</w:t>
            </w:r>
          </w:p>
        </w:tc>
        <w:tc>
          <w:tcPr>
            <w:tcW w:type="dxa" w:w="1806"/>
            <w:shd w:fill="F7FAFC"/>
            <w:tcMar>
              <w:top w:w="100" w:type="dxa"/>
              <w:bottom w:w="100" w:type="dxa"/>
              <w:left w:w="150" w:type="dxa"/>
              <w:right w:w="150" w:type="dxa"/>
            </w:tcMar>
          </w:tcPr>
          <w:p>
            <w:pPr>
              <w:spacing w:after="0" w:line="276" w:lineRule="auto"/>
            </w:pPr>
            <w:r>
              <w:rPr>
                <w:rFonts w:ascii="Times New Roman" w:hAnsi="Times New Roman"/>
                <w:sz w:val="22"/>
              </w:rPr>
              <w:t>89.57%</w:t>
            </w:r>
          </w:p>
        </w:tc>
      </w:tr>
      <w:tr>
        <w:trPr>
          <w:cantSplit/>
        </w:trPr>
        <w:tc>
          <w:tcPr>
            <w:tcW w:type="dxa" w:w="1806"/>
            <w:shd w:fill="FFFFFF"/>
            <w:tcMar>
              <w:top w:w="100" w:type="dxa"/>
              <w:bottom w:w="100" w:type="dxa"/>
              <w:left w:w="150" w:type="dxa"/>
              <w:right w:w="150" w:type="dxa"/>
            </w:tcMar>
          </w:tcPr>
          <w:p>
            <w:pPr>
              <w:spacing w:after="0" w:line="276" w:lineRule="auto"/>
            </w:pPr>
            <w:r>
              <w:rPr>
                <w:rFonts w:ascii="Times New Roman" w:hAnsi="Times New Roman"/>
                <w:b/>
                <w:sz w:val="22"/>
              </w:rPr>
              <w:t>Proposed Multi-Scale Model (CNN+FPN)</w:t>
            </w:r>
          </w:p>
        </w:tc>
        <w:tc>
          <w:tcPr>
            <w:tcW w:type="dxa" w:w="1806"/>
            <w:shd w:fill="FFFFFF"/>
            <w:tcMar>
              <w:top w:w="100" w:type="dxa"/>
              <w:bottom w:w="100" w:type="dxa"/>
              <w:left w:w="150" w:type="dxa"/>
              <w:right w:w="150" w:type="dxa"/>
            </w:tcMar>
          </w:tcPr>
          <w:p>
            <w:pPr>
              <w:spacing w:after="0" w:line="276" w:lineRule="auto"/>
            </w:pPr>
            <w:r>
              <w:rPr>
                <w:rFonts w:ascii="Times New Roman" w:hAnsi="Times New Roman"/>
                <w:b/>
                <w:sz w:val="22"/>
              </w:rPr>
              <w:t>96.84%</w:t>
            </w:r>
          </w:p>
        </w:tc>
        <w:tc>
          <w:tcPr>
            <w:tcW w:type="dxa" w:w="1806"/>
            <w:shd w:fill="FFFFFF"/>
            <w:tcMar>
              <w:top w:w="100" w:type="dxa"/>
              <w:bottom w:w="100" w:type="dxa"/>
              <w:left w:w="150" w:type="dxa"/>
              <w:right w:w="150" w:type="dxa"/>
            </w:tcMar>
          </w:tcPr>
          <w:p>
            <w:pPr>
              <w:spacing w:after="0" w:line="276" w:lineRule="auto"/>
            </w:pPr>
            <w:r>
              <w:rPr>
                <w:rFonts w:ascii="Times New Roman" w:hAnsi="Times New Roman"/>
                <w:b/>
                <w:sz w:val="22"/>
              </w:rPr>
              <w:t>96.70%</w:t>
            </w:r>
          </w:p>
        </w:tc>
        <w:tc>
          <w:tcPr>
            <w:tcW w:type="dxa" w:w="1806"/>
            <w:shd w:fill="FFFFFF"/>
            <w:tcMar>
              <w:top w:w="100" w:type="dxa"/>
              <w:bottom w:w="100" w:type="dxa"/>
              <w:left w:w="150" w:type="dxa"/>
              <w:right w:w="150" w:type="dxa"/>
            </w:tcMar>
          </w:tcPr>
          <w:p>
            <w:pPr>
              <w:spacing w:after="0" w:line="276" w:lineRule="auto"/>
            </w:pPr>
            <w:r>
              <w:rPr>
                <w:rFonts w:ascii="Times New Roman" w:hAnsi="Times New Roman"/>
                <w:b/>
                <w:sz w:val="22"/>
              </w:rPr>
              <w:t>96.80%</w:t>
            </w:r>
          </w:p>
        </w:tc>
        <w:tc>
          <w:tcPr>
            <w:tcW w:type="dxa" w:w="1806"/>
            <w:shd w:fill="FFFFFF"/>
            <w:tcMar>
              <w:top w:w="100" w:type="dxa"/>
              <w:bottom w:w="100" w:type="dxa"/>
              <w:left w:w="150" w:type="dxa"/>
              <w:right w:w="150" w:type="dxa"/>
            </w:tcMar>
          </w:tcPr>
          <w:p>
            <w:pPr>
              <w:spacing w:after="0" w:line="276" w:lineRule="auto"/>
            </w:pPr>
            <w:r>
              <w:rPr>
                <w:rFonts w:ascii="Times New Roman" w:hAnsi="Times New Roman"/>
                <w:b/>
                <w:sz w:val="22"/>
              </w:rPr>
              <w:t>96.75%</w:t>
            </w:r>
          </w:p>
        </w:tc>
      </w:tr>
    </w:tbl>
    <w:p>
      <w:pPr>
        <w:spacing w:before="80" w:after="360"/>
        <w:jc w:val="both"/>
      </w:pPr>
      <w:r>
        <w:rPr>
          <w:rFonts w:ascii="Times New Roman" w:hAnsi="Times New Roman"/>
          <w:i/>
          <w:color w:val="4A5568"/>
          <w:sz w:val="22"/>
        </w:rPr>
        <w:t>Table 4.1: Empirical classification performance comparison across various deep learning network topologies over hybrid validation benchmarks.</w:t>
      </w:r>
    </w:p>
    <w:p>
      <w:r>
        <w:t>The quantitative results highlight that heavy convolutional networks like ResNet50 and Xception yield high performance metrics but are highly vulnerable to background noise when tested against raw field samples. Conversely, the proposed model attained a peak accuracy of 96.84% and an F1-Score of 96.75%, proving that multi-scale features provide superior resistance to test distribution shifts.</w:t>
      </w:r>
    </w:p>
    <w:p>
      <w:pPr>
        <w:keepNext/>
        <w:spacing w:before="280" w:after="80"/>
        <w:jc w:val="left"/>
      </w:pPr>
      <w:r>
        <w:rPr>
          <w:rFonts w:ascii="Times New Roman" w:hAnsi="Times New Roman"/>
          <w:b/>
          <w:color w:val="2B6CB0"/>
          <w:sz w:val="24"/>
        </w:rPr>
        <w:t>4.2.1 Benchmarking Against Prior State-of-the-Art Literature</w:t>
      </w:r>
    </w:p>
    <w:p>
      <w:r>
        <w:t>To confirm the validity of the structural contribution, the final classification metrics were compared against established models from published agricultural literature. Table 4.2 outlines the performance comparisons:</w:t>
      </w:r>
    </w:p>
    <w:tbl>
      <w:tblPr>
        <w:tblW w:type="auto" w:w="0"/>
        <w:jc w:val="center"/>
        <w:tblLook w:firstColumn="1" w:firstRow="1" w:lastColumn="0" w:lastRow="0" w:noHBand="0" w:noVBand="1" w:val="04A0"/>
      </w:tblPr>
      <w:tblGrid>
        <w:gridCol w:w="2257"/>
        <w:gridCol w:w="2257"/>
        <w:gridCol w:w="2257"/>
        <w:gridCol w:w="2257"/>
      </w:tblGrid>
      <w:tr>
        <w:trPr>
          <w:tblHeader/>
          <w:cantSplit/>
        </w:trPr>
        <w:tc>
          <w:tcPr>
            <w:tcW w:type="dxa" w:w="2257"/>
            <w:shd w:fill="EBF8FF"/>
            <w:tcMar>
              <w:top w:w="120" w:type="dxa"/>
              <w:bottom w:w="120" w:type="dxa"/>
              <w:left w:w="150" w:type="dxa"/>
              <w:right w:w="150" w:type="dxa"/>
            </w:tcMar>
          </w:tcPr>
          <w:p>
            <w:pPr>
              <w:spacing w:after="0" w:line="276" w:lineRule="auto"/>
            </w:pPr>
            <w:r>
              <w:rPr>
                <w:rFonts w:ascii="Times New Roman" w:hAnsi="Times New Roman"/>
                <w:b/>
                <w:color w:val="2C5282"/>
                <w:sz w:val="22"/>
              </w:rPr>
              <w:t>Author &amp; Reference</w:t>
            </w:r>
          </w:p>
        </w:tc>
        <w:tc>
          <w:tcPr>
            <w:tcW w:type="dxa" w:w="2257"/>
            <w:shd w:fill="EBF8FF"/>
            <w:tcMar>
              <w:top w:w="120" w:type="dxa"/>
              <w:bottom w:w="120" w:type="dxa"/>
              <w:left w:w="150" w:type="dxa"/>
              <w:right w:w="150" w:type="dxa"/>
            </w:tcMar>
          </w:tcPr>
          <w:p>
            <w:pPr>
              <w:spacing w:after="0" w:line="276" w:lineRule="auto"/>
            </w:pPr>
            <w:r>
              <w:rPr>
                <w:rFonts w:ascii="Times New Roman" w:hAnsi="Times New Roman"/>
                <w:b/>
                <w:color w:val="2C5282"/>
                <w:sz w:val="22"/>
              </w:rPr>
              <w:t>Methodology Core Architecture</w:t>
            </w:r>
          </w:p>
        </w:tc>
        <w:tc>
          <w:tcPr>
            <w:tcW w:type="dxa" w:w="2257"/>
            <w:shd w:fill="EBF8FF"/>
            <w:tcMar>
              <w:top w:w="120" w:type="dxa"/>
              <w:bottom w:w="120" w:type="dxa"/>
              <w:left w:w="150" w:type="dxa"/>
              <w:right w:w="150" w:type="dxa"/>
            </w:tcMar>
          </w:tcPr>
          <w:p>
            <w:pPr>
              <w:spacing w:after="0" w:line="276" w:lineRule="auto"/>
            </w:pPr>
            <w:r>
              <w:rPr>
                <w:rFonts w:ascii="Times New Roman" w:hAnsi="Times New Roman"/>
                <w:b/>
                <w:color w:val="2C5282"/>
                <w:sz w:val="22"/>
              </w:rPr>
              <w:t>Target Domain Condition</w:t>
            </w:r>
          </w:p>
        </w:tc>
        <w:tc>
          <w:tcPr>
            <w:tcW w:type="dxa" w:w="2257"/>
            <w:shd w:fill="EBF8FF"/>
            <w:tcMar>
              <w:top w:w="120" w:type="dxa"/>
              <w:bottom w:w="120" w:type="dxa"/>
              <w:left w:w="150" w:type="dxa"/>
              <w:right w:w="150" w:type="dxa"/>
            </w:tcMar>
          </w:tcPr>
          <w:p>
            <w:pPr>
              <w:spacing w:after="0" w:line="276" w:lineRule="auto"/>
            </w:pPr>
            <w:r>
              <w:rPr>
                <w:rFonts w:ascii="Times New Roman" w:hAnsi="Times New Roman"/>
                <w:b/>
                <w:color w:val="2C5282"/>
                <w:sz w:val="22"/>
              </w:rPr>
              <w:t>Reported Accuracy</w:t>
            </w:r>
          </w:p>
        </w:tc>
      </w:tr>
      <w:tr>
        <w:trPr>
          <w:cantSplit/>
        </w:trPr>
        <w:tc>
          <w:tcPr>
            <w:tcW w:type="dxa" w:w="2257"/>
            <w:shd w:fill="FFFFFF"/>
            <w:tcMar>
              <w:top w:w="100" w:type="dxa"/>
              <w:bottom w:w="100" w:type="dxa"/>
              <w:left w:w="150" w:type="dxa"/>
              <w:right w:w="150" w:type="dxa"/>
            </w:tcMar>
          </w:tcPr>
          <w:p>
            <w:pPr>
              <w:spacing w:after="0" w:line="276" w:lineRule="auto"/>
            </w:pPr>
            <w:r>
              <w:rPr>
                <w:rFonts w:ascii="Times New Roman" w:hAnsi="Times New Roman"/>
                <w:sz w:val="22"/>
              </w:rPr>
              <w:t>Khan et al. (2023)</w:t>
            </w:r>
          </w:p>
        </w:tc>
        <w:tc>
          <w:tcPr>
            <w:tcW w:type="dxa" w:w="2257"/>
            <w:shd w:fill="FFFFFF"/>
            <w:tcMar>
              <w:top w:w="100" w:type="dxa"/>
              <w:bottom w:w="100" w:type="dxa"/>
              <w:left w:w="150" w:type="dxa"/>
              <w:right w:w="150" w:type="dxa"/>
            </w:tcMar>
          </w:tcPr>
          <w:p>
            <w:pPr>
              <w:spacing w:after="0" w:line="276" w:lineRule="auto"/>
            </w:pPr>
            <w:r>
              <w:rPr>
                <w:rFonts w:ascii="Times New Roman" w:hAnsi="Times New Roman"/>
                <w:sz w:val="22"/>
              </w:rPr>
              <w:t>Standard VGG16 Transfer Learning</w:t>
            </w:r>
          </w:p>
        </w:tc>
        <w:tc>
          <w:tcPr>
            <w:tcW w:type="dxa" w:w="2257"/>
            <w:shd w:fill="FFFFFF"/>
            <w:tcMar>
              <w:top w:w="100" w:type="dxa"/>
              <w:bottom w:w="100" w:type="dxa"/>
              <w:left w:w="150" w:type="dxa"/>
              <w:right w:w="150" w:type="dxa"/>
            </w:tcMar>
          </w:tcPr>
          <w:p>
            <w:pPr>
              <w:spacing w:after="0" w:line="276" w:lineRule="auto"/>
            </w:pPr>
            <w:r>
              <w:rPr>
                <w:rFonts w:ascii="Times New Roman" w:hAnsi="Times New Roman"/>
                <w:sz w:val="22"/>
              </w:rPr>
              <w:t>Controlled Leaves Only</w:t>
            </w:r>
          </w:p>
        </w:tc>
        <w:tc>
          <w:tcPr>
            <w:tcW w:type="dxa" w:w="2257"/>
            <w:shd w:fill="FFFFFF"/>
            <w:tcMar>
              <w:top w:w="100" w:type="dxa"/>
              <w:bottom w:w="100" w:type="dxa"/>
              <w:left w:w="150" w:type="dxa"/>
              <w:right w:w="150" w:type="dxa"/>
            </w:tcMar>
          </w:tcPr>
          <w:p>
            <w:pPr>
              <w:spacing w:after="0" w:line="276" w:lineRule="auto"/>
            </w:pPr>
            <w:r>
              <w:rPr>
                <w:rFonts w:ascii="Times New Roman" w:hAnsi="Times New Roman"/>
                <w:sz w:val="22"/>
              </w:rPr>
              <w:t>92.40%</w:t>
            </w:r>
          </w:p>
        </w:tc>
      </w:tr>
      <w:tr>
        <w:trPr>
          <w:cantSplit/>
        </w:trPr>
        <w:tc>
          <w:tcPr>
            <w:tcW w:type="dxa" w:w="2257"/>
            <w:shd w:fill="F7FAFC"/>
            <w:tcMar>
              <w:top w:w="100" w:type="dxa"/>
              <w:bottom w:w="100" w:type="dxa"/>
              <w:left w:w="150" w:type="dxa"/>
              <w:right w:w="150" w:type="dxa"/>
            </w:tcMar>
          </w:tcPr>
          <w:p>
            <w:pPr>
              <w:spacing w:after="0" w:line="276" w:lineRule="auto"/>
            </w:pPr>
            <w:r>
              <w:rPr>
                <w:rFonts w:ascii="Times New Roman" w:hAnsi="Times New Roman"/>
                <w:sz w:val="22"/>
              </w:rPr>
              <w:t>Li &amp; Wang (2024)</w:t>
            </w:r>
          </w:p>
        </w:tc>
        <w:tc>
          <w:tcPr>
            <w:tcW w:type="dxa" w:w="2257"/>
            <w:shd w:fill="F7FAFC"/>
            <w:tcMar>
              <w:top w:w="100" w:type="dxa"/>
              <w:bottom w:w="100" w:type="dxa"/>
              <w:left w:w="150" w:type="dxa"/>
              <w:right w:w="150" w:type="dxa"/>
            </w:tcMar>
          </w:tcPr>
          <w:p>
            <w:pPr>
              <w:spacing w:after="0" w:line="276" w:lineRule="auto"/>
            </w:pPr>
            <w:r>
              <w:rPr>
                <w:rFonts w:ascii="Times New Roman" w:hAnsi="Times New Roman"/>
                <w:sz w:val="22"/>
              </w:rPr>
              <w:t>Heavy Vision Transformers (ViT)</w:t>
            </w:r>
          </w:p>
        </w:tc>
        <w:tc>
          <w:tcPr>
            <w:tcW w:type="dxa" w:w="2257"/>
            <w:shd w:fill="F7FAFC"/>
            <w:tcMar>
              <w:top w:w="100" w:type="dxa"/>
              <w:bottom w:w="100" w:type="dxa"/>
              <w:left w:w="150" w:type="dxa"/>
              <w:right w:w="150" w:type="dxa"/>
            </w:tcMar>
          </w:tcPr>
          <w:p>
            <w:pPr>
              <w:spacing w:after="0" w:line="276" w:lineRule="auto"/>
            </w:pPr>
            <w:r>
              <w:rPr>
                <w:rFonts w:ascii="Times New Roman" w:hAnsi="Times New Roman"/>
                <w:sz w:val="22"/>
              </w:rPr>
              <w:t>Mixed Field Crops</w:t>
            </w:r>
          </w:p>
        </w:tc>
        <w:tc>
          <w:tcPr>
            <w:tcW w:type="dxa" w:w="2257"/>
            <w:shd w:fill="F7FAFC"/>
            <w:tcMar>
              <w:top w:w="100" w:type="dxa"/>
              <w:bottom w:w="100" w:type="dxa"/>
              <w:left w:w="150" w:type="dxa"/>
              <w:right w:w="150" w:type="dxa"/>
            </w:tcMar>
          </w:tcPr>
          <w:p>
            <w:pPr>
              <w:spacing w:after="0" w:line="276" w:lineRule="auto"/>
            </w:pPr>
            <w:r>
              <w:rPr>
                <w:rFonts w:ascii="Times New Roman" w:hAnsi="Times New Roman"/>
                <w:sz w:val="22"/>
              </w:rPr>
              <w:t>94.15%</w:t>
            </w:r>
          </w:p>
        </w:tc>
      </w:tr>
      <w:tr>
        <w:trPr>
          <w:cantSplit/>
        </w:trPr>
        <w:tc>
          <w:tcPr>
            <w:tcW w:type="dxa" w:w="2257"/>
            <w:shd w:fill="FFFFFF"/>
            <w:tcMar>
              <w:top w:w="100" w:type="dxa"/>
              <w:bottom w:w="100" w:type="dxa"/>
              <w:left w:w="150" w:type="dxa"/>
              <w:right w:w="150" w:type="dxa"/>
            </w:tcMar>
          </w:tcPr>
          <w:p>
            <w:pPr>
              <w:spacing w:after="0" w:line="276" w:lineRule="auto"/>
            </w:pPr>
            <w:r>
              <w:rPr>
                <w:rFonts w:ascii="Times New Roman" w:hAnsi="Times New Roman"/>
                <w:sz w:val="22"/>
              </w:rPr>
              <w:t>Mishra et al. (2024)</w:t>
            </w:r>
          </w:p>
        </w:tc>
        <w:tc>
          <w:tcPr>
            <w:tcW w:type="dxa" w:w="2257"/>
            <w:shd w:fill="FFFFFF"/>
            <w:tcMar>
              <w:top w:w="100" w:type="dxa"/>
              <w:bottom w:w="100" w:type="dxa"/>
              <w:left w:w="150" w:type="dxa"/>
              <w:right w:w="150" w:type="dxa"/>
            </w:tcMar>
          </w:tcPr>
          <w:p>
            <w:pPr>
              <w:spacing w:after="0" w:line="276" w:lineRule="auto"/>
            </w:pPr>
            <w:r>
              <w:rPr>
                <w:rFonts w:ascii="Times New Roman" w:hAnsi="Times New Roman"/>
                <w:sz w:val="22"/>
              </w:rPr>
              <w:t>DenseNet121 Topology + Masking</w:t>
            </w:r>
          </w:p>
        </w:tc>
        <w:tc>
          <w:tcPr>
            <w:tcW w:type="dxa" w:w="2257"/>
            <w:shd w:fill="FFFFFF"/>
            <w:tcMar>
              <w:top w:w="100" w:type="dxa"/>
              <w:bottom w:w="100" w:type="dxa"/>
              <w:left w:w="150" w:type="dxa"/>
              <w:right w:w="150" w:type="dxa"/>
            </w:tcMar>
          </w:tcPr>
          <w:p>
            <w:pPr>
              <w:spacing w:after="0" w:line="276" w:lineRule="auto"/>
            </w:pPr>
            <w:r>
              <w:rPr>
                <w:rFonts w:ascii="Times New Roman" w:hAnsi="Times New Roman"/>
                <w:sz w:val="22"/>
              </w:rPr>
              <w:t>Laboratory Benchmark Rows</w:t>
            </w:r>
          </w:p>
        </w:tc>
        <w:tc>
          <w:tcPr>
            <w:tcW w:type="dxa" w:w="2257"/>
            <w:shd w:fill="FFFFFF"/>
            <w:tcMar>
              <w:top w:w="100" w:type="dxa"/>
              <w:bottom w:w="100" w:type="dxa"/>
              <w:left w:w="150" w:type="dxa"/>
              <w:right w:w="150" w:type="dxa"/>
            </w:tcMar>
          </w:tcPr>
          <w:p>
            <w:pPr>
              <w:spacing w:after="0" w:line="276" w:lineRule="auto"/>
            </w:pPr>
            <w:r>
              <w:rPr>
                <w:rFonts w:ascii="Times New Roman" w:hAnsi="Times New Roman"/>
                <w:sz w:val="22"/>
              </w:rPr>
              <w:t>91.80%</w:t>
            </w:r>
          </w:p>
        </w:tc>
      </w:tr>
      <w:tr>
        <w:trPr>
          <w:cantSplit/>
        </w:trPr>
        <w:tc>
          <w:tcPr>
            <w:tcW w:type="dxa" w:w="2257"/>
            <w:shd w:fill="F7FAFC"/>
            <w:tcMar>
              <w:top w:w="100" w:type="dxa"/>
              <w:bottom w:w="100" w:type="dxa"/>
              <w:left w:w="150" w:type="dxa"/>
              <w:right w:w="150" w:type="dxa"/>
            </w:tcMar>
          </w:tcPr>
          <w:p>
            <w:pPr>
              <w:spacing w:after="0" w:line="276" w:lineRule="auto"/>
            </w:pPr>
            <w:r>
              <w:rPr>
                <w:rFonts w:ascii="Times New Roman" w:hAnsi="Times New Roman"/>
                <w:b/>
                <w:sz w:val="22"/>
              </w:rPr>
              <w:t>Proposed Framework</w:t>
            </w:r>
          </w:p>
        </w:tc>
        <w:tc>
          <w:tcPr>
            <w:tcW w:type="dxa" w:w="2257"/>
            <w:shd w:fill="F7FAFC"/>
            <w:tcMar>
              <w:top w:w="100" w:type="dxa"/>
              <w:bottom w:w="100" w:type="dxa"/>
              <w:left w:w="150" w:type="dxa"/>
              <w:right w:w="150" w:type="dxa"/>
            </w:tcMar>
          </w:tcPr>
          <w:p>
            <w:pPr>
              <w:spacing w:after="0" w:line="276" w:lineRule="auto"/>
            </w:pPr>
            <w:r>
              <w:rPr>
                <w:rFonts w:ascii="Times New Roman" w:hAnsi="Times New Roman"/>
                <w:b/>
                <w:sz w:val="22"/>
              </w:rPr>
              <w:t>Lightweight CNN + Multi-Scale FPN</w:t>
            </w:r>
          </w:p>
        </w:tc>
        <w:tc>
          <w:tcPr>
            <w:tcW w:type="dxa" w:w="2257"/>
            <w:shd w:fill="F7FAFC"/>
            <w:tcMar>
              <w:top w:w="100" w:type="dxa"/>
              <w:bottom w:w="100" w:type="dxa"/>
              <w:left w:w="150" w:type="dxa"/>
              <w:right w:w="150" w:type="dxa"/>
            </w:tcMar>
          </w:tcPr>
          <w:p>
            <w:pPr>
              <w:spacing w:after="0" w:line="276" w:lineRule="auto"/>
            </w:pPr>
            <w:r>
              <w:rPr>
                <w:rFonts w:ascii="Times New Roman" w:hAnsi="Times New Roman"/>
                <w:b/>
                <w:sz w:val="22"/>
              </w:rPr>
              <w:t>Hybrid (Field + Lab Data)</w:t>
            </w:r>
          </w:p>
        </w:tc>
        <w:tc>
          <w:tcPr>
            <w:tcW w:type="dxa" w:w="2257"/>
            <w:shd w:fill="F7FAFC"/>
            <w:tcMar>
              <w:top w:w="100" w:type="dxa"/>
              <w:bottom w:w="100" w:type="dxa"/>
              <w:left w:w="150" w:type="dxa"/>
              <w:right w:w="150" w:type="dxa"/>
            </w:tcMar>
          </w:tcPr>
          <w:p>
            <w:pPr>
              <w:spacing w:after="0" w:line="276" w:lineRule="auto"/>
            </w:pPr>
            <w:r>
              <w:rPr>
                <w:rFonts w:ascii="Times New Roman" w:hAnsi="Times New Roman"/>
                <w:b/>
                <w:sz w:val="22"/>
              </w:rPr>
              <w:t>96.84%</w:t>
            </w:r>
          </w:p>
        </w:tc>
      </w:tr>
    </w:tbl>
    <w:p>
      <w:pPr>
        <w:spacing w:before="80" w:after="360"/>
        <w:jc w:val="both"/>
      </w:pPr>
      <w:r>
        <w:rPr>
          <w:rFonts w:ascii="Times New Roman" w:hAnsi="Times New Roman"/>
          <w:i/>
          <w:color w:val="4A5568"/>
          <w:sz w:val="22"/>
        </w:rPr>
        <w:t>Table 4.2: Performance synthesis benchmarking the proposed framework against contemporary peer-reviewed models.</w:t>
      </w:r>
    </w:p>
    <w:p>
      <w:r>
        <w:t>The analytical comparison confirms that current state-of-the-art networks often require heavy compute constraints (e.g., Vision Transformers) to capture complex field traits, or face performance declines when applied to messy field data. The proposed system resolves this trade-off by sustaining an accuracy profile of 96.84% without expanding structural parameter density.</w:t>
      </w:r>
    </w:p>
    <w:p>
      <w:pPr>
        <w:keepNext/>
        <w:spacing w:before="280" w:after="80"/>
        <w:jc w:val="left"/>
      </w:pPr>
      <w:r>
        <w:rPr>
          <w:rFonts w:ascii="Times New Roman" w:hAnsi="Times New Roman"/>
          <w:b/>
          <w:color w:val="2B6CB0"/>
          <w:sz w:val="24"/>
        </w:rPr>
        <w:t>4.2.2 Per-Class Sensitivity and Error Analysis</w:t>
      </w:r>
    </w:p>
    <w:p>
      <w:r>
        <w:t>Evaluating per-class recall profiles shows that the proposed model provides balanced diagnostic capability across target disease classifications (Healthy, Rust, Leaf Spot, Powdery Mildew, and Blight). The network maintained recall scores above 95% for all classes. The slight error rate observed (under 2.1%) occurred entirely between early-stage Leaf Spots and Powdery Mildew symptoms. This pattern is visually expected due to the geometric similarities of tiny lesion clusters during initial infection phases. The lateral connection mechanics of the FPN architecture mitigated this conflict, preventing the localized feature loss that commonly compromises shallow network variants.</w:t>
      </w:r>
    </w:p>
    <w:p>
      <w:pPr>
        <w:spacing w:before="240"/>
        <w:jc w:val="center"/>
      </w:pPr>
      <w:r>
        <w:drawing>
          <wp:inline xmlns:a="http://schemas.openxmlformats.org/drawingml/2006/main" xmlns:pic="http://schemas.openxmlformats.org/drawingml/2006/picture">
            <wp:extent cx="5029200" cy="2057400"/>
            <wp:docPr id="1" name="Picture 1"/>
            <wp:cNvGraphicFramePr>
              <a:graphicFrameLocks noChangeAspect="1"/>
            </wp:cNvGraphicFramePr>
            <a:graphic>
              <a:graphicData uri="http://schemas.openxmlformats.org/drawingml/2006/picture">
                <pic:pic>
                  <pic:nvPicPr>
                    <pic:cNvPr id="0" name="learning_curves.png"/>
                    <pic:cNvPicPr/>
                  </pic:nvPicPr>
                  <pic:blipFill>
                    <a:blip r:embed="rId9"/>
                    <a:stretch>
                      <a:fillRect/>
                    </a:stretch>
                  </pic:blipFill>
                  <pic:spPr>
                    <a:xfrm>
                      <a:off x="0" y="0"/>
                      <a:ext cx="5029200" cy="2057400"/>
                    </a:xfrm>
                    <a:prstGeom prst="rect"/>
                  </pic:spPr>
                </pic:pic>
              </a:graphicData>
            </a:graphic>
          </wp:inline>
        </w:drawing>
      </w:r>
    </w:p>
    <w:p>
      <w:pPr>
        <w:spacing w:before="80" w:after="360"/>
        <w:jc w:val="both"/>
      </w:pPr>
      <w:r>
        <w:rPr>
          <w:rFonts w:ascii="Times New Roman" w:hAnsi="Times New Roman"/>
          <w:i/>
          <w:color w:val="4A5568"/>
          <w:sz w:val="22"/>
        </w:rPr>
        <w:t>Figure 4.1: Spatial accuracy curves (left) and categorical cross-entropy loss values (right) recorded over 10 training epochs, validating network stability without overfitting trends.</w:t>
      </w:r>
    </w:p>
    <w:p>
      <w:pPr>
        <w:keepNext/>
        <w:spacing w:before="360" w:after="120"/>
        <w:jc w:val="left"/>
      </w:pPr>
      <w:r>
        <w:rPr>
          <w:rFonts w:ascii="Times New Roman" w:hAnsi="Times New Roman"/>
          <w:b/>
          <w:color w:val="2C5282"/>
          <w:sz w:val="28"/>
        </w:rPr>
        <w:t>4.3 Ablation Study: Validating Feature Pyramid Network Contribution</w:t>
      </w:r>
    </w:p>
    <w:p>
      <w:r>
        <w:t>A systematic ablation experiment was conducted to evaluate the isolated impact of the Multi-Scale Feature Pyramid Network (FPN) layer. The framework was monitored under two distinct setups: (a) the base CNN backbone running independently, and (b) the combined CNN+FPN architecture. The assessment focused on the model's capacity to categorize symptoms at variable physical scales, as outlined in Table 4.3:</w:t>
      </w:r>
    </w:p>
    <w:tbl>
      <w:tblPr>
        <w:tblW w:type="auto" w:w="0"/>
        <w:jc w:val="center"/>
        <w:tblLook w:firstColumn="1" w:firstRow="1" w:lastColumn="0" w:lastRow="0" w:noHBand="0" w:noVBand="1" w:val="04A0"/>
      </w:tblPr>
      <w:tblGrid>
        <w:gridCol w:w="2257"/>
        <w:gridCol w:w="2257"/>
        <w:gridCol w:w="2257"/>
        <w:gridCol w:w="2257"/>
      </w:tblGrid>
      <w:tr>
        <w:trPr>
          <w:tblHeader/>
          <w:cantSplit/>
        </w:trPr>
        <w:tc>
          <w:tcPr>
            <w:tcW w:type="dxa" w:w="2257"/>
            <w:shd w:fill="EBF8FF"/>
            <w:tcMar>
              <w:top w:w="120" w:type="dxa"/>
              <w:bottom w:w="120" w:type="dxa"/>
              <w:left w:w="150" w:type="dxa"/>
              <w:right w:w="150" w:type="dxa"/>
            </w:tcMar>
          </w:tcPr>
          <w:p>
            <w:pPr>
              <w:spacing w:after="0" w:line="276" w:lineRule="auto"/>
            </w:pPr>
            <w:r>
              <w:rPr>
                <w:rFonts w:ascii="Times New Roman" w:hAnsi="Times New Roman"/>
                <w:b/>
                <w:color w:val="2C5282"/>
                <w:sz w:val="22"/>
              </w:rPr>
              <w:t>Architectural Configuration Mode</w:t>
            </w:r>
          </w:p>
        </w:tc>
        <w:tc>
          <w:tcPr>
            <w:tcW w:type="dxa" w:w="2257"/>
            <w:shd w:fill="EBF8FF"/>
            <w:tcMar>
              <w:top w:w="120" w:type="dxa"/>
              <w:bottom w:w="120" w:type="dxa"/>
              <w:left w:w="150" w:type="dxa"/>
              <w:right w:w="150" w:type="dxa"/>
            </w:tcMar>
          </w:tcPr>
          <w:p>
            <w:pPr>
              <w:spacing w:after="0" w:line="276" w:lineRule="auto"/>
            </w:pPr>
            <w:r>
              <w:rPr>
                <w:rFonts w:ascii="Times New Roman" w:hAnsi="Times New Roman"/>
                <w:b/>
                <w:color w:val="2C5282"/>
                <w:sz w:val="22"/>
              </w:rPr>
              <w:t>Micro-Lesions (&lt;5% Leaf Area)</w:t>
            </w:r>
          </w:p>
        </w:tc>
        <w:tc>
          <w:tcPr>
            <w:tcW w:type="dxa" w:w="2257"/>
            <w:shd w:fill="EBF8FF"/>
            <w:tcMar>
              <w:top w:w="120" w:type="dxa"/>
              <w:bottom w:w="120" w:type="dxa"/>
              <w:left w:w="150" w:type="dxa"/>
              <w:right w:w="150" w:type="dxa"/>
            </w:tcMar>
          </w:tcPr>
          <w:p>
            <w:pPr>
              <w:spacing w:after="0" w:line="276" w:lineRule="auto"/>
            </w:pPr>
            <w:r>
              <w:rPr>
                <w:rFonts w:ascii="Times New Roman" w:hAnsi="Times New Roman"/>
                <w:b/>
                <w:color w:val="2C5282"/>
                <w:sz w:val="22"/>
              </w:rPr>
              <w:t>Macro-Lesions (&gt;20% Leaf Area)</w:t>
            </w:r>
          </w:p>
        </w:tc>
        <w:tc>
          <w:tcPr>
            <w:tcW w:type="dxa" w:w="2257"/>
            <w:shd w:fill="EBF8FF"/>
            <w:tcMar>
              <w:top w:w="120" w:type="dxa"/>
              <w:bottom w:w="120" w:type="dxa"/>
              <w:left w:w="150" w:type="dxa"/>
              <w:right w:w="150" w:type="dxa"/>
            </w:tcMar>
          </w:tcPr>
          <w:p>
            <w:pPr>
              <w:spacing w:after="0" w:line="276" w:lineRule="auto"/>
            </w:pPr>
            <w:r>
              <w:rPr>
                <w:rFonts w:ascii="Times New Roman" w:hAnsi="Times New Roman"/>
                <w:b/>
                <w:color w:val="2C5282"/>
                <w:sz w:val="22"/>
              </w:rPr>
              <w:t>Overall F1-Score</w:t>
            </w:r>
          </w:p>
        </w:tc>
      </w:tr>
      <w:tr>
        <w:trPr>
          <w:cantSplit/>
        </w:trPr>
        <w:tc>
          <w:tcPr>
            <w:tcW w:type="dxa" w:w="2257"/>
            <w:shd w:fill="FFFFFF"/>
            <w:tcMar>
              <w:top w:w="100" w:type="dxa"/>
              <w:bottom w:w="100" w:type="dxa"/>
              <w:left w:w="150" w:type="dxa"/>
              <w:right w:w="150" w:type="dxa"/>
            </w:tcMar>
          </w:tcPr>
          <w:p>
            <w:pPr>
              <w:spacing w:after="0" w:line="276" w:lineRule="auto"/>
            </w:pPr>
            <w:r>
              <w:rPr>
                <w:rFonts w:ascii="Times New Roman" w:hAnsi="Times New Roman"/>
                <w:sz w:val="22"/>
              </w:rPr>
              <w:t>(a) Base CNN Backbone Only</w:t>
            </w:r>
          </w:p>
        </w:tc>
        <w:tc>
          <w:tcPr>
            <w:tcW w:type="dxa" w:w="2257"/>
            <w:shd w:fill="FFFFFF"/>
            <w:tcMar>
              <w:top w:w="100" w:type="dxa"/>
              <w:bottom w:w="100" w:type="dxa"/>
              <w:left w:w="150" w:type="dxa"/>
              <w:right w:w="150" w:type="dxa"/>
            </w:tcMar>
          </w:tcPr>
          <w:p>
            <w:pPr>
              <w:spacing w:after="0" w:line="276" w:lineRule="auto"/>
            </w:pPr>
            <w:r>
              <w:rPr>
                <w:rFonts w:ascii="Times New Roman" w:hAnsi="Times New Roman"/>
                <w:sz w:val="22"/>
              </w:rPr>
              <w:t>74.20%</w:t>
            </w:r>
          </w:p>
        </w:tc>
        <w:tc>
          <w:tcPr>
            <w:tcW w:type="dxa" w:w="2257"/>
            <w:shd w:fill="FFFFFF"/>
            <w:tcMar>
              <w:top w:w="100" w:type="dxa"/>
              <w:bottom w:w="100" w:type="dxa"/>
              <w:left w:w="150" w:type="dxa"/>
              <w:right w:w="150" w:type="dxa"/>
            </w:tcMar>
          </w:tcPr>
          <w:p>
            <w:pPr>
              <w:spacing w:after="0" w:line="276" w:lineRule="auto"/>
            </w:pPr>
            <w:r>
              <w:rPr>
                <w:rFonts w:ascii="Times New Roman" w:hAnsi="Times New Roman"/>
                <w:sz w:val="22"/>
              </w:rPr>
              <w:t>93.15%</w:t>
            </w:r>
          </w:p>
        </w:tc>
        <w:tc>
          <w:tcPr>
            <w:tcW w:type="dxa" w:w="2257"/>
            <w:shd w:fill="FFFFFF"/>
            <w:tcMar>
              <w:top w:w="100" w:type="dxa"/>
              <w:bottom w:w="100" w:type="dxa"/>
              <w:left w:w="150" w:type="dxa"/>
              <w:right w:w="150" w:type="dxa"/>
            </w:tcMar>
          </w:tcPr>
          <w:p>
            <w:pPr>
              <w:spacing w:after="0" w:line="276" w:lineRule="auto"/>
            </w:pPr>
            <w:r>
              <w:rPr>
                <w:rFonts w:ascii="Times New Roman" w:hAnsi="Times New Roman"/>
                <w:sz w:val="22"/>
              </w:rPr>
              <w:t>88.50%</w:t>
            </w:r>
          </w:p>
        </w:tc>
      </w:tr>
      <w:tr>
        <w:trPr>
          <w:cantSplit/>
        </w:trPr>
        <w:tc>
          <w:tcPr>
            <w:tcW w:type="dxa" w:w="2257"/>
            <w:shd w:fill="F7FAFC"/>
            <w:tcMar>
              <w:top w:w="100" w:type="dxa"/>
              <w:bottom w:w="100" w:type="dxa"/>
              <w:left w:w="150" w:type="dxa"/>
              <w:right w:w="150" w:type="dxa"/>
            </w:tcMar>
          </w:tcPr>
          <w:p>
            <w:pPr>
              <w:spacing w:after="0" w:line="276" w:lineRule="auto"/>
            </w:pPr>
            <w:r>
              <w:rPr>
                <w:rFonts w:ascii="Times New Roman" w:hAnsi="Times New Roman"/>
                <w:b/>
                <w:sz w:val="22"/>
              </w:rPr>
              <w:t>(b) Integrated CNN + FPN (Proposed)</w:t>
            </w:r>
          </w:p>
        </w:tc>
        <w:tc>
          <w:tcPr>
            <w:tcW w:type="dxa" w:w="2257"/>
            <w:shd w:fill="F7FAFC"/>
            <w:tcMar>
              <w:top w:w="100" w:type="dxa"/>
              <w:bottom w:w="100" w:type="dxa"/>
              <w:left w:w="150" w:type="dxa"/>
              <w:right w:w="150" w:type="dxa"/>
            </w:tcMar>
          </w:tcPr>
          <w:p>
            <w:pPr>
              <w:spacing w:after="0" w:line="276" w:lineRule="auto"/>
            </w:pPr>
            <w:r>
              <w:rPr>
                <w:rFonts w:ascii="Times New Roman" w:hAnsi="Times New Roman"/>
                <w:b/>
                <w:sz w:val="22"/>
              </w:rPr>
              <w:t>94.85%</w:t>
            </w:r>
          </w:p>
        </w:tc>
        <w:tc>
          <w:tcPr>
            <w:tcW w:type="dxa" w:w="2257"/>
            <w:shd w:fill="F7FAFC"/>
            <w:tcMar>
              <w:top w:w="100" w:type="dxa"/>
              <w:bottom w:w="100" w:type="dxa"/>
              <w:left w:w="150" w:type="dxa"/>
              <w:right w:w="150" w:type="dxa"/>
            </w:tcMar>
          </w:tcPr>
          <w:p>
            <w:pPr>
              <w:spacing w:after="0" w:line="276" w:lineRule="auto"/>
            </w:pPr>
            <w:r>
              <w:rPr>
                <w:rFonts w:ascii="Times New Roman" w:hAnsi="Times New Roman"/>
                <w:b/>
                <w:sz w:val="22"/>
              </w:rPr>
              <w:t>97.10%</w:t>
            </w:r>
          </w:p>
        </w:tc>
        <w:tc>
          <w:tcPr>
            <w:tcW w:type="dxa" w:w="2257"/>
            <w:shd w:fill="F7FAFC"/>
            <w:tcMar>
              <w:top w:w="100" w:type="dxa"/>
              <w:bottom w:w="100" w:type="dxa"/>
              <w:left w:w="150" w:type="dxa"/>
              <w:right w:w="150" w:type="dxa"/>
            </w:tcMar>
          </w:tcPr>
          <w:p>
            <w:pPr>
              <w:spacing w:after="0" w:line="276" w:lineRule="auto"/>
            </w:pPr>
            <w:r>
              <w:rPr>
                <w:rFonts w:ascii="Times New Roman" w:hAnsi="Times New Roman"/>
                <w:b/>
                <w:sz w:val="22"/>
              </w:rPr>
              <w:t>96.75%</w:t>
            </w:r>
          </w:p>
        </w:tc>
      </w:tr>
    </w:tbl>
    <w:p>
      <w:pPr>
        <w:spacing w:before="80" w:after="360"/>
        <w:jc w:val="both"/>
      </w:pPr>
      <w:r>
        <w:rPr>
          <w:rFonts w:ascii="Times New Roman" w:hAnsi="Times New Roman"/>
          <w:i/>
          <w:color w:val="4A5568"/>
          <w:sz w:val="22"/>
        </w:rPr>
        <w:t>Table 4.3: Ablation study mapping lesion size classification accuracy against network structural configurations.</w:t>
      </w:r>
    </w:p>
    <w:p>
      <w:r>
        <w:t>The empirical ablation analysis demonstrates that traditional single-scale models struggle to detect early-stage micro-lesions, yielding a low accuracy of 74.20% due to downsampling constraints. Incorporating top-down contextual pathways and horizontal lateral additions increased micro-lesion accuracy to 94.85%, proving the value of multi-scale processing for early plant disease tracking.</w:t>
      </w:r>
    </w:p>
    <w:p>
      <w:pPr>
        <w:keepNext/>
        <w:spacing w:before="360" w:after="120"/>
        <w:jc w:val="left"/>
      </w:pPr>
      <w:r>
        <w:rPr>
          <w:rFonts w:ascii="Times New Roman" w:hAnsi="Times New Roman"/>
          <w:b/>
          <w:color w:val="2C5282"/>
          <w:sz w:val="28"/>
        </w:rPr>
        <w:t>4.4 Computational Efficiency and Edge-Deployment Assessment</w:t>
      </w:r>
    </w:p>
    <w:p>
      <w:r>
        <w:t>To verify the real-time execution readiness of the system on low-power, mobile consumer devices, the model's structural parameters, computational demands, and physical storage boundaries were evaluated. Table 4.4 organizes the resource use metrics across the evaluated systems:</w:t>
      </w:r>
    </w:p>
    <w:tbl>
      <w:tblPr>
        <w:tblW w:type="auto" w:w="0"/>
        <w:jc w:val="center"/>
        <w:tblLook w:firstColumn="1" w:firstRow="1" w:lastColumn="0" w:lastRow="0" w:noHBand="0" w:noVBand="1" w:val="04A0"/>
      </w:tblPr>
      <w:tblGrid>
        <w:gridCol w:w="2257"/>
        <w:gridCol w:w="2257"/>
        <w:gridCol w:w="2257"/>
        <w:gridCol w:w="2257"/>
      </w:tblGrid>
      <w:tr>
        <w:trPr>
          <w:tblHeader/>
          <w:cantSplit/>
        </w:trPr>
        <w:tc>
          <w:tcPr>
            <w:tcW w:type="dxa" w:w="2257"/>
            <w:shd w:fill="EBF8FF"/>
            <w:tcMar>
              <w:top w:w="120" w:type="dxa"/>
              <w:bottom w:w="120" w:type="dxa"/>
              <w:left w:w="150" w:type="dxa"/>
              <w:right w:w="150" w:type="dxa"/>
            </w:tcMar>
          </w:tcPr>
          <w:p>
            <w:pPr>
              <w:spacing w:after="0" w:line="276" w:lineRule="auto"/>
            </w:pPr>
            <w:r>
              <w:rPr>
                <w:rFonts w:ascii="Times New Roman" w:hAnsi="Times New Roman"/>
                <w:b/>
                <w:color w:val="2C5282"/>
                <w:sz w:val="22"/>
              </w:rPr>
              <w:t>Model Architecture</w:t>
            </w:r>
          </w:p>
        </w:tc>
        <w:tc>
          <w:tcPr>
            <w:tcW w:type="dxa" w:w="2257"/>
            <w:shd w:fill="EBF8FF"/>
            <w:tcMar>
              <w:top w:w="120" w:type="dxa"/>
              <w:bottom w:w="120" w:type="dxa"/>
              <w:left w:w="150" w:type="dxa"/>
              <w:right w:w="150" w:type="dxa"/>
            </w:tcMar>
          </w:tcPr>
          <w:p>
            <w:pPr>
              <w:spacing w:after="0" w:line="276" w:lineRule="auto"/>
            </w:pPr>
            <w:r>
              <w:rPr>
                <w:rFonts w:ascii="Times New Roman" w:hAnsi="Times New Roman"/>
                <w:b/>
                <w:color w:val="2C5282"/>
                <w:sz w:val="22"/>
              </w:rPr>
              <w:t>Parameter Volume (Millions)</w:t>
            </w:r>
          </w:p>
        </w:tc>
        <w:tc>
          <w:tcPr>
            <w:tcW w:type="dxa" w:w="2257"/>
            <w:shd w:fill="EBF8FF"/>
            <w:tcMar>
              <w:top w:w="120" w:type="dxa"/>
              <w:bottom w:w="120" w:type="dxa"/>
              <w:left w:w="150" w:type="dxa"/>
              <w:right w:w="150" w:type="dxa"/>
            </w:tcMar>
          </w:tcPr>
          <w:p>
            <w:pPr>
              <w:spacing w:after="0" w:line="276" w:lineRule="auto"/>
            </w:pPr>
            <w:r>
              <w:rPr>
                <w:rFonts w:ascii="Times New Roman" w:hAnsi="Times New Roman"/>
                <w:b/>
                <w:color w:val="2C5282"/>
                <w:sz w:val="22"/>
              </w:rPr>
              <w:t>Floating-Point Operations (FLOPs)</w:t>
            </w:r>
          </w:p>
        </w:tc>
        <w:tc>
          <w:tcPr>
            <w:tcW w:type="dxa" w:w="2257"/>
            <w:shd w:fill="EBF8FF"/>
            <w:tcMar>
              <w:top w:w="120" w:type="dxa"/>
              <w:bottom w:w="120" w:type="dxa"/>
              <w:left w:w="150" w:type="dxa"/>
              <w:right w:w="150" w:type="dxa"/>
            </w:tcMar>
          </w:tcPr>
          <w:p>
            <w:pPr>
              <w:spacing w:after="0" w:line="276" w:lineRule="auto"/>
            </w:pPr>
            <w:r>
              <w:rPr>
                <w:rFonts w:ascii="Times New Roman" w:hAnsi="Times New Roman"/>
                <w:b/>
                <w:color w:val="2C5282"/>
                <w:sz w:val="22"/>
              </w:rPr>
              <w:t>Model Storage Size (MB)</w:t>
            </w:r>
          </w:p>
        </w:tc>
      </w:tr>
      <w:tr>
        <w:trPr>
          <w:cantSplit/>
        </w:trPr>
        <w:tc>
          <w:tcPr>
            <w:tcW w:type="dxa" w:w="2257"/>
            <w:shd w:fill="FFFFFF"/>
            <w:tcMar>
              <w:top w:w="100" w:type="dxa"/>
              <w:bottom w:w="100" w:type="dxa"/>
              <w:left w:w="150" w:type="dxa"/>
              <w:right w:w="150" w:type="dxa"/>
            </w:tcMar>
          </w:tcPr>
          <w:p>
            <w:pPr>
              <w:spacing w:after="0" w:line="276" w:lineRule="auto"/>
            </w:pPr>
            <w:r>
              <w:rPr>
                <w:rFonts w:ascii="Times New Roman" w:hAnsi="Times New Roman"/>
                <w:sz w:val="22"/>
              </w:rPr>
              <w:t>ResNet50</w:t>
            </w:r>
          </w:p>
        </w:tc>
        <w:tc>
          <w:tcPr>
            <w:tcW w:type="dxa" w:w="2257"/>
            <w:shd w:fill="FFFFFF"/>
            <w:tcMar>
              <w:top w:w="100" w:type="dxa"/>
              <w:bottom w:w="100" w:type="dxa"/>
              <w:left w:w="150" w:type="dxa"/>
              <w:right w:w="150" w:type="dxa"/>
            </w:tcMar>
          </w:tcPr>
          <w:p>
            <w:pPr>
              <w:spacing w:after="0" w:line="276" w:lineRule="auto"/>
            </w:pPr>
            <w:r>
              <w:rPr>
                <w:rFonts w:ascii="Times New Roman" w:hAnsi="Times New Roman"/>
                <w:sz w:val="22"/>
              </w:rPr>
              <w:t>25.6 M</w:t>
            </w:r>
          </w:p>
        </w:tc>
        <w:tc>
          <w:tcPr>
            <w:tcW w:type="dxa" w:w="2257"/>
            <w:shd w:fill="FFFFFF"/>
            <w:tcMar>
              <w:top w:w="100" w:type="dxa"/>
              <w:bottom w:w="100" w:type="dxa"/>
              <w:left w:w="150" w:type="dxa"/>
              <w:right w:w="150" w:type="dxa"/>
            </w:tcMar>
          </w:tcPr>
          <w:p>
            <w:pPr>
              <w:spacing w:after="0" w:line="276" w:lineRule="auto"/>
            </w:pPr>
            <w:r>
              <w:rPr>
                <w:rFonts w:ascii="Times New Roman" w:hAnsi="Times New Roman"/>
                <w:sz w:val="22"/>
              </w:rPr>
              <w:t>3.8 B</w:t>
            </w:r>
          </w:p>
        </w:tc>
        <w:tc>
          <w:tcPr>
            <w:tcW w:type="dxa" w:w="2257"/>
            <w:shd w:fill="FFFFFF"/>
            <w:tcMar>
              <w:top w:w="100" w:type="dxa"/>
              <w:bottom w:w="100" w:type="dxa"/>
              <w:left w:w="150" w:type="dxa"/>
              <w:right w:w="150" w:type="dxa"/>
            </w:tcMar>
          </w:tcPr>
          <w:p>
            <w:pPr>
              <w:spacing w:after="0" w:line="276" w:lineRule="auto"/>
            </w:pPr>
            <w:r>
              <w:rPr>
                <w:rFonts w:ascii="Times New Roman" w:hAnsi="Times New Roman"/>
                <w:sz w:val="22"/>
              </w:rPr>
              <w:t>98.2 MB</w:t>
            </w:r>
          </w:p>
        </w:tc>
      </w:tr>
      <w:tr>
        <w:trPr>
          <w:cantSplit/>
        </w:trPr>
        <w:tc>
          <w:tcPr>
            <w:tcW w:type="dxa" w:w="2257"/>
            <w:shd w:fill="F7FAFC"/>
            <w:tcMar>
              <w:top w:w="100" w:type="dxa"/>
              <w:bottom w:w="100" w:type="dxa"/>
              <w:left w:w="150" w:type="dxa"/>
              <w:right w:w="150" w:type="dxa"/>
            </w:tcMar>
          </w:tcPr>
          <w:p>
            <w:pPr>
              <w:spacing w:after="0" w:line="276" w:lineRule="auto"/>
            </w:pPr>
            <w:r>
              <w:rPr>
                <w:rFonts w:ascii="Times New Roman" w:hAnsi="Times New Roman"/>
                <w:sz w:val="22"/>
              </w:rPr>
              <w:t>Xception</w:t>
            </w:r>
          </w:p>
        </w:tc>
        <w:tc>
          <w:tcPr>
            <w:tcW w:type="dxa" w:w="2257"/>
            <w:shd w:fill="F7FAFC"/>
            <w:tcMar>
              <w:top w:w="100" w:type="dxa"/>
              <w:bottom w:w="100" w:type="dxa"/>
              <w:left w:w="150" w:type="dxa"/>
              <w:right w:w="150" w:type="dxa"/>
            </w:tcMar>
          </w:tcPr>
          <w:p>
            <w:pPr>
              <w:spacing w:after="0" w:line="276" w:lineRule="auto"/>
            </w:pPr>
            <w:r>
              <w:rPr>
                <w:rFonts w:ascii="Times New Roman" w:hAnsi="Times New Roman"/>
                <w:sz w:val="22"/>
              </w:rPr>
              <w:t>22.8 M</w:t>
            </w:r>
          </w:p>
        </w:tc>
        <w:tc>
          <w:tcPr>
            <w:tcW w:type="dxa" w:w="2257"/>
            <w:shd w:fill="F7FAFC"/>
            <w:tcMar>
              <w:top w:w="100" w:type="dxa"/>
              <w:bottom w:w="100" w:type="dxa"/>
              <w:left w:w="150" w:type="dxa"/>
              <w:right w:w="150" w:type="dxa"/>
            </w:tcMar>
          </w:tcPr>
          <w:p>
            <w:pPr>
              <w:spacing w:after="0" w:line="276" w:lineRule="auto"/>
            </w:pPr>
            <w:r>
              <w:rPr>
                <w:rFonts w:ascii="Times New Roman" w:hAnsi="Times New Roman"/>
                <w:sz w:val="22"/>
              </w:rPr>
              <w:t>4.7 B</w:t>
            </w:r>
          </w:p>
        </w:tc>
        <w:tc>
          <w:tcPr>
            <w:tcW w:type="dxa" w:w="2257"/>
            <w:shd w:fill="F7FAFC"/>
            <w:tcMar>
              <w:top w:w="100" w:type="dxa"/>
              <w:bottom w:w="100" w:type="dxa"/>
              <w:left w:w="150" w:type="dxa"/>
              <w:right w:w="150" w:type="dxa"/>
            </w:tcMar>
          </w:tcPr>
          <w:p>
            <w:pPr>
              <w:spacing w:after="0" w:line="276" w:lineRule="auto"/>
            </w:pPr>
            <w:r>
              <w:rPr>
                <w:rFonts w:ascii="Times New Roman" w:hAnsi="Times New Roman"/>
                <w:sz w:val="22"/>
              </w:rPr>
              <w:t>88.0 MB</w:t>
            </w:r>
          </w:p>
        </w:tc>
      </w:tr>
      <w:tr>
        <w:trPr>
          <w:cantSplit/>
        </w:trPr>
        <w:tc>
          <w:tcPr>
            <w:tcW w:type="dxa" w:w="2257"/>
            <w:shd w:fill="FFFFFF"/>
            <w:tcMar>
              <w:top w:w="100" w:type="dxa"/>
              <w:bottom w:w="100" w:type="dxa"/>
              <w:left w:w="150" w:type="dxa"/>
              <w:right w:w="150" w:type="dxa"/>
            </w:tcMar>
          </w:tcPr>
          <w:p>
            <w:pPr>
              <w:spacing w:after="0" w:line="276" w:lineRule="auto"/>
            </w:pPr>
            <w:r>
              <w:rPr>
                <w:rFonts w:ascii="Times New Roman" w:hAnsi="Times New Roman"/>
                <w:b/>
                <w:sz w:val="22"/>
              </w:rPr>
              <w:t>Proposed Model (Compressed 128-Ch)</w:t>
            </w:r>
          </w:p>
        </w:tc>
        <w:tc>
          <w:tcPr>
            <w:tcW w:type="dxa" w:w="2257"/>
            <w:shd w:fill="FFFFFF"/>
            <w:tcMar>
              <w:top w:w="100" w:type="dxa"/>
              <w:bottom w:w="100" w:type="dxa"/>
              <w:left w:w="150" w:type="dxa"/>
              <w:right w:w="150" w:type="dxa"/>
            </w:tcMar>
          </w:tcPr>
          <w:p>
            <w:pPr>
              <w:spacing w:after="0" w:line="276" w:lineRule="auto"/>
            </w:pPr>
            <w:r>
              <w:rPr>
                <w:rFonts w:ascii="Times New Roman" w:hAnsi="Times New Roman"/>
                <w:b/>
                <w:sz w:val="22"/>
              </w:rPr>
              <w:t>4.2 M</w:t>
            </w:r>
          </w:p>
        </w:tc>
        <w:tc>
          <w:tcPr>
            <w:tcW w:type="dxa" w:w="2257"/>
            <w:shd w:fill="FFFFFF"/>
            <w:tcMar>
              <w:top w:w="100" w:type="dxa"/>
              <w:bottom w:w="100" w:type="dxa"/>
              <w:left w:w="150" w:type="dxa"/>
              <w:right w:w="150" w:type="dxa"/>
            </w:tcMar>
          </w:tcPr>
          <w:p>
            <w:pPr>
              <w:spacing w:after="0" w:line="276" w:lineRule="auto"/>
            </w:pPr>
            <w:r>
              <w:rPr>
                <w:rFonts w:ascii="Times New Roman" w:hAnsi="Times New Roman"/>
                <w:b/>
                <w:sz w:val="22"/>
              </w:rPr>
              <w:t>0.6 B</w:t>
            </w:r>
          </w:p>
        </w:tc>
        <w:tc>
          <w:tcPr>
            <w:tcW w:type="dxa" w:w="2257"/>
            <w:shd w:fill="FFFFFF"/>
            <w:tcMar>
              <w:top w:w="100" w:type="dxa"/>
              <w:bottom w:w="100" w:type="dxa"/>
              <w:left w:w="150" w:type="dxa"/>
              <w:right w:w="150" w:type="dxa"/>
            </w:tcMar>
          </w:tcPr>
          <w:p>
            <w:pPr>
              <w:spacing w:after="0" w:line="276" w:lineRule="auto"/>
            </w:pPr>
            <w:r>
              <w:rPr>
                <w:rFonts w:ascii="Times New Roman" w:hAnsi="Times New Roman"/>
                <w:b/>
                <w:sz w:val="22"/>
              </w:rPr>
              <w:t>16.5 MB</w:t>
            </w:r>
          </w:p>
        </w:tc>
      </w:tr>
    </w:tbl>
    <w:p>
      <w:pPr>
        <w:spacing w:before="80" w:after="360"/>
        <w:jc w:val="both"/>
      </w:pPr>
      <w:r>
        <w:rPr>
          <w:rFonts w:ascii="Times New Roman" w:hAnsi="Times New Roman"/>
          <w:i/>
          <w:color w:val="4A5568"/>
          <w:sz w:val="22"/>
        </w:rPr>
        <w:t>Table 4.4: Computational complexity benchmarks verifying resource footprint constraints for mobile platforms.</w:t>
      </w:r>
    </w:p>
    <w:p>
      <w:r>
        <w:t>By enforcing a uniform channel restriction of 128 vectors across all lateral pyramid nodes, the network's overall scale was limited to 4.2 million parameters with a compact file footprint of 16.5 MB. This streamlined size enables on-device storage, eliminating the need for constant remote server requests.</w:t>
      </w:r>
    </w:p>
    <w:p>
      <w:pPr>
        <w:keepNext/>
        <w:spacing w:before="280" w:after="80"/>
        <w:jc w:val="left"/>
      </w:pPr>
      <w:r>
        <w:rPr>
          <w:rFonts w:ascii="Times New Roman" w:hAnsi="Times New Roman"/>
          <w:b/>
          <w:color w:val="2B6CB0"/>
          <w:sz w:val="24"/>
        </w:rPr>
        <w:t>4.4.1 CPU/GPU Runtime Latency Analysis</w:t>
      </w:r>
    </w:p>
    <w:p>
      <w:r>
        <w:t>On-device processing speed was validated by calculating the average inference latency per frame on standard mobile processors. The proposed architecture logged a processing latency of 42 milliseconds (ms), which satisfies real-time execution standards. In contrast, heavy models like ResNet50 and Xception recorded latencies of 124 ms and 158 ms, which induce thermal throttling and accelerated battery drain on mobile hardware. These benchmarks verify that strategic channel compression delivers a high-speed system suitable for hand-held field operations.</w:t>
      </w:r>
    </w:p>
    <w:p>
      <w:pPr>
        <w:keepNext/>
        <w:spacing w:before="360" w:after="120"/>
        <w:jc w:val="left"/>
      </w:pPr>
      <w:r>
        <w:rPr>
          <w:rFonts w:ascii="Times New Roman" w:hAnsi="Times New Roman"/>
          <w:b/>
          <w:color w:val="2C5282"/>
          <w:sz w:val="28"/>
        </w:rPr>
        <w:t>4.5 Visual Explainability and Interpretability Analysis via Grad-CAM</w:t>
      </w:r>
    </w:p>
    <w:p>
      <w:r>
        <w:t>To audit the model's interior diagnostic logic and resolve the common "black box" critique of deep learning models, Gradient-weighted Class Activation Mapping (Grad-CAM) was integrated into the post-training pipeline. Grad-CAM tracks the target gradients relative to the final convolutional layers to isolate the visual features driving classification judgments.</w:t>
      </w:r>
    </w:p>
    <w:p>
      <w:pPr>
        <w:spacing w:before="240"/>
        <w:jc w:val="center"/>
      </w:pPr>
      <w:r>
        <w:drawing>
          <wp:inline xmlns:a="http://schemas.openxmlformats.org/drawingml/2006/main" xmlns:pic="http://schemas.openxmlformats.org/drawingml/2006/picture">
            <wp:extent cx="4572000" cy="2286000"/>
            <wp:docPr id="2" name="Picture 2"/>
            <wp:cNvGraphicFramePr>
              <a:graphicFrameLocks noChangeAspect="1"/>
            </wp:cNvGraphicFramePr>
            <a:graphic>
              <a:graphicData uri="http://schemas.openxmlformats.org/drawingml/2006/picture">
                <pic:pic>
                  <pic:nvPicPr>
                    <pic:cNvPr id="0" name="gradcam_plant_disease.png"/>
                    <pic:cNvPicPr/>
                  </pic:nvPicPr>
                  <pic:blipFill>
                    <a:blip r:embed="rId10"/>
                    <a:stretch>
                      <a:fillRect/>
                    </a:stretch>
                  </pic:blipFill>
                  <pic:spPr>
                    <a:xfrm>
                      <a:off x="0" y="0"/>
                      <a:ext cx="4572000" cy="2286000"/>
                    </a:xfrm>
                    <a:prstGeom prst="rect"/>
                  </pic:spPr>
                </pic:pic>
              </a:graphicData>
            </a:graphic>
          </wp:inline>
        </w:drawing>
      </w:r>
    </w:p>
    <w:p>
      <w:pPr>
        <w:spacing w:before="80" w:after="360"/>
        <w:jc w:val="both"/>
      </w:pPr>
      <w:r>
        <w:rPr>
          <w:rFonts w:ascii="Times New Roman" w:hAnsi="Times New Roman"/>
          <w:i/>
          <w:color w:val="4A5568"/>
          <w:sz w:val="22"/>
        </w:rPr>
        <w:t>Figure 4.2: Visual Grad-CAM localization output proving that the internal feature extraction pipeline correctly targets pathological lesions while dismissing background soil elements.</w:t>
      </w:r>
    </w:p>
    <w:p>
      <w:r>
        <w:t>The activation maps show that the network isolates relevant pathological features, centering its focus on localized rust pustules, fungal boundaries, and necrotic edges. The system remains unaffected by surrounding non-pathological elements, successfully ignoring weed structures, soil layers, and shadowing variations. This confirms that classifications stem from biological markers rather than background correlations.</w:t>
      </w:r>
    </w:p>
    <w:p>
      <w:pPr>
        <w:keepNext/>
        <w:spacing w:before="360" w:after="120"/>
        <w:jc w:val="left"/>
      </w:pPr>
      <w:r>
        <w:rPr>
          <w:rFonts w:ascii="Times New Roman" w:hAnsi="Times New Roman"/>
          <w:b/>
          <w:color w:val="2C5282"/>
          <w:sz w:val="28"/>
        </w:rPr>
        <w:t>4.6 Discussion</w:t>
      </w:r>
    </w:p>
    <w:p>
      <w:r>
        <w:t>The empirical findings indicate that combining a lightweight backbone with compressed feature pyramid layers effectively balances the performance trade-offs noted in recent literature. Traditional systems typically emphasize macro-level features, leaving early-stage micro-lesions unaddressed unless they resort to massive, compute-heavy architectures. The high classification stability (96.84%) alongside low parameter requirements (4.2M) confirms that multi-scale feature alignment allows the model to capture fine structural markers without relying on excessive deep layer repetition. Consequently, this architecture directly resolves the practical field challenges identified in Chapter 2, providing a viable tool for active crop disease monitoring and real-time agricultural intervention.</w:t>
      </w:r>
    </w:p>
    <w:sectPr w:rsidR="00FC693F" w:rsidRPr="0006063C" w:rsidSect="00034616">
      <w:pgSz w:w="11909" w:h="16834"/>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after="240"/>
      <w:jc w:val="both"/>
    </w:pPr>
    <w:rPr>
      <w:rFonts w:ascii="Times New Roman" w:hAnsi="Times New Roman"/>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