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spacing w:after="120"/>
        <w:jc w:val="center"/>
      </w:pPr>
      <w:r>
        <w:rPr>
          <w:rFonts w:ascii="Traditional Arabic" w:cs="Traditional Arabic" w:eastAsia="Traditional Arabic" w:hAnsi="Traditional Arabic"/>
          <w:b/>
          <w:bCs/>
          <w:color w:val="12365B"/>
          <w:sz w:val="32"/>
          <w:szCs w:val="32"/>
          <w:rtl/>
        </w:rPr>
        <w:t xml:space="preserve">الرد على ملاحظات لجنة المناقشة على الفصل الثالث - الجولة الثالثة</w:t>
      </w:r>
    </w:p>
    <w:p>
      <w:pPr>
        <w:bidi/>
        <w:spacing w:after="60"/>
        <w:jc w:val="center"/>
      </w:pPr>
      <w:r>
        <w:rPr>
          <w:rFonts w:ascii="Traditional Arabic" w:cs="Traditional Arabic" w:eastAsia="Traditional Arabic" w:hAnsi="Traditional Arabic"/>
          <w:color w:val="0E8C8C"/>
          <w:sz w:val="26"/>
          <w:szCs w:val="26"/>
          <w:rtl/>
        </w:rPr>
        <w:t xml:space="preserve">نموذج حوكمة ذكي لضمان سلامة أصول البنية التحتية المائية</w:t>
      </w:r>
    </w:p>
    <w:p>
      <w:pPr>
        <w:pBdr>
          <w:bottom w:val="single" w:color="C9A227" w:sz="12" w:space="4"/>
        </w:pBdr>
        <w:bidi/>
        <w:spacing w:after="200"/>
        <w:jc w:val="center"/>
      </w:pPr>
      <w:r>
        <w:rPr>
          <w:rFonts w:ascii="Traditional Arabic" w:cs="Traditional Arabic" w:eastAsia="Traditional Arabic" w:hAnsi="Traditional Arabic"/>
          <w:sz w:val="2"/>
          <w:szCs w:val="2"/>
        </w:rPr>
        <w:t xml:space="preserve"/>
      </w:r>
    </w:p>
    <w:p>
      <w:pPr>
        <w:bidi/>
        <w:spacing w:after="60"/>
        <w:jc w:val="right"/>
      </w:pPr>
      <w:r>
        <w:rPr>
          <w:rFonts w:ascii="Traditional Arabic" w:cs="Traditional Arabic" w:eastAsia="Traditional Arabic" w:hAnsi="Traditional Arabic"/>
          <w:sz w:val="24"/>
          <w:szCs w:val="24"/>
          <w:rtl/>
        </w:rPr>
        <w:t xml:space="preserve">يقدَّم هذا الجدول ردًا تفصيليًا على الجولة الثالثة من ملاحظات اللجنة الموقّرة على الفصل الثالث، وعددها 7 ملاحظات منهجية عميقة تتعلق بمسائل جوهرية سبق تناولها في الجولتين الأولى والثانية وتطلبت حسمًا نهائيًا لا مجرد تحسين تدريجي.</w:t>
      </w:r>
    </w:p>
    <w:p>
      <w:pPr>
        <w:spacing w:after="120"/>
      </w:pPr>
    </w:p>
    <w:tbl>
      <w:tblPr>
        <w:tblW w:type="dxa" w:w="10100"/>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700"/>
        <w:gridCol w:w="4700"/>
        <w:gridCol w:w="4700"/>
      </w:tblGrid>
      <w:tr>
        <w:trPr>
          <w:tblHeader/>
        </w:trPr>
        <w:tc>
          <w:tcPr>
            <w:tcW w:type="dxa" w:w="700"/>
            <w:shd w:fill="12365B" w:color="auto" w:val="clear"/>
            <w:vAlign w:val="center"/>
          </w:tcPr>
          <w:p>
            <w:pPr>
              <w:bidi/>
              <w:jc w:val="center"/>
            </w:pPr>
            <w:r>
              <w:rPr>
                <w:rFonts w:ascii="Traditional Arabic" w:cs="Traditional Arabic" w:eastAsia="Traditional Arabic" w:hAnsi="Traditional Arabic"/>
                <w:b/>
                <w:bCs/>
                <w:color w:val="FFFFFF"/>
                <w:sz w:val="24"/>
                <w:szCs w:val="24"/>
                <w:rtl/>
              </w:rPr>
              <w:t xml:space="preserve">#</w:t>
            </w:r>
          </w:p>
        </w:tc>
        <w:tc>
          <w:tcPr>
            <w:tcW w:type="dxa" w:w="4700"/>
            <w:shd w:fill="12365B" w:color="auto" w:val="clear"/>
            <w:vAlign w:val="center"/>
          </w:tcPr>
          <w:p>
            <w:pPr>
              <w:bidi/>
              <w:jc w:val="center"/>
            </w:pPr>
            <w:r>
              <w:rPr>
                <w:rFonts w:ascii="Traditional Arabic" w:cs="Traditional Arabic" w:eastAsia="Traditional Arabic" w:hAnsi="Traditional Arabic"/>
                <w:b/>
                <w:bCs/>
                <w:color w:val="FFFFFF"/>
                <w:sz w:val="24"/>
                <w:szCs w:val="24"/>
                <w:rtl/>
              </w:rPr>
              <w:t xml:space="preserve">ملاحظة اللجنة (الجولة الثالثة)</w:t>
            </w:r>
          </w:p>
        </w:tc>
        <w:tc>
          <w:tcPr>
            <w:tcW w:type="dxa" w:w="4700"/>
            <w:shd w:fill="12365B" w:color="auto" w:val="clear"/>
            <w:vAlign w:val="center"/>
          </w:tcPr>
          <w:p>
            <w:pPr>
              <w:bidi/>
              <w:jc w:val="center"/>
            </w:pPr>
            <w:r>
              <w:rPr>
                <w:rFonts w:ascii="Traditional Arabic" w:cs="Traditional Arabic" w:eastAsia="Traditional Arabic" w:hAnsi="Traditional Arabic"/>
                <w:b/>
                <w:bCs/>
                <w:color w:val="FFFFFF"/>
                <w:sz w:val="24"/>
                <w:szCs w:val="24"/>
                <w:rtl/>
              </w:rPr>
              <w:t xml:space="preserve">الإجراء المتخذ في الفصل الثالث</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1</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مشكلة وحدة التحليل ما زالت قائمة رغم تحسن النص؛ لا يمكن الجمع بين القول إن «المؤسسة هي وحدة التحليل» والقول إن «الاستجابة الفردية هي وحدة التحليل الإحصائي» مع افتراض استقلال جميع الاستجابات. فحص الحساسية باستبعاد الجهة الأكبر لا يحل Clustering إحصائيًا. يجب اختيار أحد مسارين بصورة حاسمة: إما اعتماد Key Informant / Individual Perception رسميًا، أو معالجة تعدد المستجيبين داخل المؤسسة عبر التجميع أو النمذجة متعددة المستويات.</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حُسمت المسألة نهائيًا باعتماد المسار الأول (كما اقترحت اللجنة): أُعيدت صياغة فقرة وحدة التحليل بالكامل لتنص صراحة على أن وحدة التحليل هي الفرد المستجيب بوصفه Key Informant يعكس إدراكًا فرديًا لممارسات مؤسسية (Individual Perception of Institutional Practices)، وأُزيل نهائيًا الادعاء المتناقض بأن «المؤسسة هي وحدة التحليل». وأُزيل أيضًا فحص الحساسية الذي كان يُقدَّم كحل جزئي لمشكلة Clustering، لأن المشكلة انتفت أصلًا بتبني وحدة التحليل الفردية بصورة معلنة ومتسقة مع نموذج PLS-SEM أحادي المستوى.</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2</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الشق النوعي ما زال غير مكتمل مقارنة بقوة الشق الكمي، ولم يحدد الفصل: عدد المقابلات، طريقة اختيار المشاركين النوعيين، معيار التشبع، مدة المقابلة، دليل المقابلة، أسلوب التسجيل والتفريغ، مراحل الترميز، التحقق من الموثوقية النوعية، ولا آلية الدمج التفصيلية. وبما أن الدراسة أصبحت رسميًا Convergent Parallel Mixed Methods، فهذا الجزء يجب أن يُبنى بصورة كاملة.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بُني الشق النوعي بالكامل عبر خمس فقرات جديدة مفصّلة: (1) أسلوب اختيار المشاركين النوعيين (عينة قصدية بتباين أقصى عبر القطاعات الست والجهات المختلفة)؛ (2) دليل مقابلة شبه منظم من ثلاثة أقسام (استهلالي، أساسي بأسئلة موزعة على محاور النموذج، ختامي) يخضع للتحكيم؛ (3) ثلاث مراحل ترميز متتابعة وفق Braun &amp; Clarke (2006): ترميز مفتوح، ترميز محوري، تصنيف موضوعي انتقائي، مع مراجعة المشرف لعيّنة لا تقل عن 20% من الترميز؛ (4) معايير الموثوقية النوعية الثلاثة وفق Lincoln &amp; Guba (1985): المصداقية، إمكانية التتبع (Audit Trail)، وقابلية التثبت (Reflexivity)؛ (5) آلية دمج تفصيلية عبر تقنية العرض المشترك (Joint Display) وفق Fetters, Curry &amp; Creswell (2013) بجدول مقارنة جنبًا إلى جنب في الفصل الرابع.</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3</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G*Power ما زال مؤقتًا وليس نهائيًا؛ فعدد المتنبئات (3) وُصف بأنه «تحفظي» مع الإشارة إلى إعادة التحقق «عند حسم الفروض النهائية». يجب حسم الفروض والنموذج البنائي أولًا، وإذا وُجدت مسارات مباشرة من التحول الرقمي والاستدامة إلى الأداء إلى جانب الحوكمة الذكية وسلامة الأصول، فقد يصبح عدد المتنبئات 4 لا 3.</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حُسم النموذج البنائي نهائيًا كنموذج وساطة جزئية (Partial Mediation) يتضمن أربعة مسارات مباشرة إلى الأداء المؤسسي (من التحول الرقمي، الاستدامة المؤسسية، الحوكمة الذكية، وسلامة الأصول)، وأُعيد حساب G*Power على هذا الأساس النهائي بعدد متنبئات = 4، مع تحديث الحد الأدنى المطلوب إلى (≥85)، وإزالة كل لغة "تحفظي" أو "سيعاد التحقق لاحقًا".</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4</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توجد مشكلة رياضية بين تقدير المجتمع (150-250) والعينة المستهدفة (235)؛ فإذا كان المجتمع المؤهل قريبًا من 150 فلا يمكن الحصول على 235 استجابة مستقلة، وحتى مع 250 فإن الحصول على 235 يعني استجابة شبه كاملة. يجب تحديد المجتمع المتاح (Accessible Population) بصورة أكثر واقعية، ثم تحديد عدد الاستبانات التي ستوزع للحصول على 200 استجابة صالحة.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فُصل التقدير إلى مستويين: المجتمع النظري الدقيق (150-250 فردًا، للخبراء الأعلى تخصصًا) والمجتمع المتاح الأوسع فعليًا (450-600 فردًا، يشمل المستوى الإداري والتخصصي المساند عبر جميع الجهات). ستُوزَّع الاستبانة على المجتمع المتاح، لتحقيق (235) استجابة صالحة بمعدل استجابة واقعي متوقع (39%-52%) بدل استهداف شبه كامل لمجتمع محدود العدد.</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5</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لا ينبغي وصف الاستبانة بـ82 فقرة بأنها «النسخة النهائية» بينما سيُستخدم Pilot Study لاحقًا لحذف أو دمج فقرات؛ الأدق وصفها بأنها نسخة أولية/ما قبل نهائية يُحدَّد العدد النهائي بعدها.</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استُبدل وصف "النسخة النهائية" بـ"النسخة الأولية (ما قبل النهائية)"، مع توضيح صريح أن العدد النهائي الفعلي سيُحدَّد بعد استكمال إجراءات التحكيم (CVR) والدراسة الاستطلاعية وما قد ينتج عنهما من حذف أو دمج.</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6</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يوجد عدم اتساق متبقٍ في الأزمنة المتعلقة بالتحكيم؛ ورد في موضع «ستُعرض الاستبانة على 12 محكمًا» بصيغة المستقبل، بينما ورد لاحقًا «بلغ عدد المحكمين 12» و«تألفت هيئة التحكيم من 12 محكمًا» بصيغة الماضي وكأن التحكيم قد تم فعليًا.</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صُححت جميع الأفعال المتبقية بصيغة الماضي (بلغ، تألفت) إلى صيغة الحاضر/المستقبل (يبلغ، تتألف/سيتوزَّعون)، بما يوحّد الزمن بالكامل عبر قسمي وصف هيئة التحكيم ومعادلة CVR.</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7</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النموذج Reflective-Reflective يحتاج تثبيتًا نظريًا قبل التحليل؛ فالعبارة التي تقول إن التصنيف سيُعاد فحصه تجريبيًا لاحقًا ليست الأفضل. تحديد ما إذا كانت البنية انعكاسية أو تكوينية يجب أن يعتمد على طبيعة العلاقة النظرية بين البنية وأبعادها، لا على أن نتائج الاتساق الداخلي ظهرت جيدة أو ضعيفة.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حُذفت عبارة "سيُعاد الفحص تجريبيًا في الفصل الرابع" نهائيًا، واستُبدلت بتأسيس نظري صريح مسبق (A Priori) وفق محكات Jarvis, MacKenzie &amp; Podsakoff (2003) الأربعة (اتجاه العلاقة السببية، قابلية تبادل المؤشرات، توقع التعاون بين الأبعاد، اتساق الشبكة النوموثيقية)، مطبَّقة نظريًا على كل متغير قبل اعتماد التصنيف، مع تنويه صريح بأن الاستدلال من النتائج الإحصائية اللاحقة على صحة القرار النظري يُعدّ خطأً منهجيًا معكوس الاتجاه.</w:t>
            </w:r>
          </w:p>
        </w:tc>
      </w:tr>
    </w:tbl>
    <w:sectPr>
      <w:pgSz w:w="16838" w:h="11906" w:orient="portrait"/>
      <w:pgMar w:top="900" w:right="700" w:bottom="900" w:left="7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2026-08-17T02:49:20.643Z</dcterms:created>
  <dcterms:modified xsi:type="dcterms:W3CDTF">2026-08-17T02:49:20.654Z</dcterms:modified>
</cp:coreProperties>
</file>

<file path=docProps/custom.xml><?xml version="1.0" encoding="utf-8"?>
<Properties xmlns="http://schemas.openxmlformats.org/officeDocument/2006/custom-properties" xmlns:vt="http://schemas.openxmlformats.org/officeDocument/2006/docPropsVTypes"/>
</file>