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4E03EEBC" w:rsidR="00395E1F" w:rsidRPr="00395E1F" w:rsidRDefault="00395E1F" w:rsidP="00395E1F">
      <w:pPr>
        <w:bidi/>
        <w:jc w:val="center"/>
        <w:rPr>
          <w:rFonts w:ascii="Arial" w:hAnsi="Arial" w:cs="Akhbar MT"/>
          <w:b/>
          <w:bCs/>
          <w:sz w:val="44"/>
          <w:szCs w:val="44"/>
          <w:rtl/>
        </w:rPr>
      </w:pPr>
    </w:p>
    <w:p w14:paraId="1A9CD56B" w14:textId="3E98B9D0" w:rsidR="007A31DC" w:rsidRPr="00BE609B" w:rsidRDefault="007A31DC" w:rsidP="00BE609B">
      <w:pPr>
        <w:bidi/>
        <w:jc w:val="center"/>
        <w:rPr>
          <w:rFonts w:ascii="Arial" w:hAnsi="Arial" w:cs="Monotype Koufi"/>
          <w:b/>
          <w:bCs/>
          <w:sz w:val="44"/>
          <w:szCs w:val="44"/>
          <w:rtl/>
        </w:rPr>
      </w:pPr>
      <w:r w:rsidRPr="00395E1F">
        <w:rPr>
          <w:rFonts w:ascii="Arial" w:hAnsi="Arial" w:cs="Monotype Koufi" w:hint="cs"/>
          <w:b/>
          <w:bCs/>
          <w:sz w:val="44"/>
          <w:szCs w:val="44"/>
          <w:rtl/>
        </w:rPr>
        <w:t xml:space="preserve">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sidRPr="001475E2">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7860161D"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sidRPr="00B16B50">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B55F49" w14:paraId="42F9CBE0" w14:textId="4104E405" w:rsidTr="00B55F49">
        <w:tc>
          <w:tcPr>
            <w:tcW w:w="1763" w:type="dxa"/>
          </w:tcPr>
          <w:p w14:paraId="4059763A" w14:textId="6A53FEA7" w:rsidR="00B55F49" w:rsidRPr="004B484B" w:rsidRDefault="00B55F49" w:rsidP="00B55F49">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B55F49" w:rsidRPr="004B484B" w:rsidRDefault="00B55F49" w:rsidP="00B55F49">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A4B4F50" w:rsidR="00B55F49" w:rsidRDefault="00B55F49" w:rsidP="00B55F49">
            <w:pPr>
              <w:pStyle w:val="a8"/>
              <w:tabs>
                <w:tab w:val="left" w:pos="462"/>
                <w:tab w:val="center" w:pos="2916"/>
              </w:tabs>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Pr="004566ED">
              <w:rPr>
                <w:rFonts w:ascii="Sakkal Majalla" w:hAnsi="Sakkal Majalla" w:cs="Sakkal Majalla" w:hint="cs"/>
                <w:b/>
                <w:bCs/>
                <w:color w:val="365F91" w:themeColor="accent1" w:themeShade="BF"/>
                <w:sz w:val="36"/>
                <w:szCs w:val="36"/>
                <w:rtl/>
              </w:rPr>
              <w:t xml:space="preserve">هبه </w:t>
            </w:r>
            <w:r w:rsidRPr="004566ED">
              <w:rPr>
                <w:rFonts w:ascii="Sakkal Majalla" w:hAnsi="Sakkal Majalla" w:cs="Sakkal Majalla" w:hint="cs"/>
                <w:b/>
                <w:bCs/>
                <w:color w:val="365F91" w:themeColor="accent1" w:themeShade="BF"/>
                <w:sz w:val="36"/>
                <w:szCs w:val="36"/>
                <w:rtl/>
              </w:rPr>
              <w:t>عبد الل</w:t>
            </w:r>
            <w:r w:rsidRPr="004566ED">
              <w:rPr>
                <w:rFonts w:ascii="Sakkal Majalla" w:hAnsi="Sakkal Majalla" w:cs="Sakkal Majalla" w:hint="eastAsia"/>
                <w:b/>
                <w:bCs/>
                <w:color w:val="365F91" w:themeColor="accent1" w:themeShade="BF"/>
                <w:sz w:val="36"/>
                <w:szCs w:val="36"/>
                <w:rtl/>
              </w:rPr>
              <w:t>ه</w:t>
            </w:r>
            <w:r w:rsidRPr="004566ED">
              <w:rPr>
                <w:rFonts w:ascii="Sakkal Majalla" w:hAnsi="Sakkal Majalla" w:cs="Sakkal Majalla" w:hint="cs"/>
                <w:b/>
                <w:bCs/>
                <w:color w:val="365F91" w:themeColor="accent1" w:themeShade="BF"/>
                <w:sz w:val="36"/>
                <w:szCs w:val="36"/>
                <w:rtl/>
              </w:rPr>
              <w:t xml:space="preserve"> المنيع</w:t>
            </w:r>
          </w:p>
        </w:tc>
      </w:tr>
      <w:tr w:rsidR="00B55F49" w14:paraId="6FA7B4A8" w14:textId="02E32D0F" w:rsidTr="00B55F49">
        <w:tc>
          <w:tcPr>
            <w:tcW w:w="1763" w:type="dxa"/>
          </w:tcPr>
          <w:p w14:paraId="040F1E28" w14:textId="335D4647" w:rsidR="00B55F49" w:rsidRPr="004B484B" w:rsidRDefault="00B55F49" w:rsidP="00B55F49">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B55F49" w:rsidRPr="004B484B" w:rsidRDefault="00B55F49" w:rsidP="00B55F49">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531C6378" w:rsidR="00B55F49" w:rsidRDefault="00B55F49" w:rsidP="00B55F49">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B55F49" w14:paraId="627B39DB" w14:textId="0373C5D2" w:rsidTr="00B55F49">
        <w:tc>
          <w:tcPr>
            <w:tcW w:w="1763" w:type="dxa"/>
          </w:tcPr>
          <w:p w14:paraId="0FCA9608" w14:textId="2B6BE0D9" w:rsidR="00B55F49" w:rsidRPr="004B484B" w:rsidRDefault="00B55F49" w:rsidP="00B55F49">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B55F49" w:rsidRPr="004B484B" w:rsidRDefault="00B55F49" w:rsidP="00B55F49">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0320C22C" w:rsidR="00B55F49" w:rsidRDefault="00B55F49" w:rsidP="00B55F49">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B55F49" w14:paraId="51860AEF" w14:textId="0FB5AA02" w:rsidTr="00B55F49">
        <w:tc>
          <w:tcPr>
            <w:tcW w:w="1763" w:type="dxa"/>
          </w:tcPr>
          <w:p w14:paraId="2C6768A4" w14:textId="49EB9922" w:rsidR="00B55F49" w:rsidRPr="004B484B" w:rsidRDefault="00B55F49" w:rsidP="00B55F49">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B55F49" w:rsidRPr="004B484B" w:rsidRDefault="00B55F49" w:rsidP="00B55F49">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B55F49" w:rsidRDefault="00B55F49" w:rsidP="00B55F49">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1D5481CA" w:rsidR="00AD783C" w:rsidRDefault="00883E09" w:rsidP="00B16B50">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EA16F8">
        <w:rPr>
          <w:rFonts w:ascii="Calibri" w:hAnsi="Calibri" w:cs="Calibri" w:hint="cs"/>
          <w:b/>
          <w:bCs/>
          <w:color w:val="FF0000"/>
          <w:sz w:val="28"/>
          <w:szCs w:val="28"/>
          <w:rtl/>
        </w:rPr>
        <w:t>14</w:t>
      </w:r>
      <w:r w:rsidR="00B55F49">
        <w:rPr>
          <w:rFonts w:ascii="Calibri" w:hAnsi="Calibri" w:cs="Calibri" w:hint="cs"/>
          <w:b/>
          <w:bCs/>
          <w:color w:val="FF0000"/>
          <w:sz w:val="28"/>
          <w:szCs w:val="28"/>
          <w:rtl/>
        </w:rPr>
        <w:t>٤٧</w:t>
      </w:r>
      <w:r w:rsidRPr="00444B1D">
        <w:rPr>
          <w:rFonts w:ascii="Calibri" w:hAnsi="Calibri" w:cs="Calibri" w:hint="cs"/>
          <w:b/>
          <w:bCs/>
          <w:color w:val="FF0000"/>
          <w:sz w:val="28"/>
          <w:szCs w:val="28"/>
          <w:rtl/>
        </w:rPr>
        <w:t xml:space="preserve">ه </w:t>
      </w:r>
      <w:r w:rsidR="00B55F49" w:rsidRPr="00444B1D">
        <w:rPr>
          <w:rFonts w:ascii="Calibri" w:hAnsi="Calibri" w:cs="Calibri" w:hint="cs"/>
          <w:b/>
          <w:bCs/>
          <w:color w:val="FF0000"/>
          <w:sz w:val="28"/>
          <w:szCs w:val="28"/>
          <w:rtl/>
        </w:rPr>
        <w:t>- 202</w:t>
      </w:r>
      <w:r w:rsidR="00B55F49">
        <w:rPr>
          <w:rFonts w:ascii="Calibri" w:hAnsi="Calibri" w:cs="Calibri" w:hint="cs"/>
          <w:b/>
          <w:bCs/>
          <w:color w:val="FF0000"/>
          <w:sz w:val="28"/>
          <w:szCs w:val="28"/>
          <w:rtl/>
        </w:rPr>
        <w:t xml:space="preserve">٦ </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6BF9DC1E"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وتكشف الدراسات الحديثة أن أنظمة الذكاء الاصطناعي التوليدي</w:t>
      </w:r>
      <w:r w:rsidR="002010FC">
        <w:rPr>
          <w:rFonts w:ascii="Simplified Arabic" w:hAnsi="Simplified Arabic" w:cs="Simplified Arabic" w:hint="cs"/>
          <w:rtl/>
        </w:rPr>
        <w:t xml:space="preserve"> </w:t>
      </w:r>
      <w:r w:rsidRPr="003B56AF">
        <w:rPr>
          <w:rFonts w:ascii="Simplified Arabic" w:hAnsi="Simplified Arabic" w:cs="Simplified Arabic"/>
          <w:rtl/>
        </w:rPr>
        <w:t xml:space="preserve">—مثل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w:t>
      </w:r>
      <w:r w:rsidR="002010FC">
        <w:rPr>
          <w:rFonts w:ascii="Simplified Arabic" w:hAnsi="Simplified Arabic" w:cs="Simplified Arabic" w:hint="cs"/>
          <w:rtl/>
        </w:rPr>
        <w:t xml:space="preserve"> </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 xml:space="preserve">بذلك، </w:t>
      </w:r>
      <w:r w:rsidR="00EE2921" w:rsidRPr="00A22393">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pPr>
        <w:numPr>
          <w:ilvl w:val="0"/>
          <w:numId w:val="2"/>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pPr>
        <w:numPr>
          <w:ilvl w:val="0"/>
          <w:numId w:val="2"/>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pPr>
        <w:numPr>
          <w:ilvl w:val="0"/>
          <w:numId w:val="2"/>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pPr>
        <w:numPr>
          <w:ilvl w:val="0"/>
          <w:numId w:val="2"/>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pPr>
        <w:numPr>
          <w:ilvl w:val="0"/>
          <w:numId w:val="5"/>
        </w:numPr>
        <w:bidi/>
        <w:spacing w:before="240" w:after="0"/>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pPr>
        <w:numPr>
          <w:ilvl w:val="0"/>
          <w:numId w:val="5"/>
        </w:numPr>
        <w:bidi/>
        <w:spacing w:before="240" w:after="0"/>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pPr>
        <w:numPr>
          <w:ilvl w:val="0"/>
          <w:numId w:val="5"/>
        </w:numPr>
        <w:bidi/>
        <w:spacing w:before="240" w:after="0"/>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pPr>
        <w:numPr>
          <w:ilvl w:val="0"/>
          <w:numId w:val="5"/>
        </w:numPr>
        <w:bidi/>
        <w:spacing w:before="240" w:after="0"/>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pPr>
        <w:numPr>
          <w:ilvl w:val="0"/>
          <w:numId w:val="5"/>
        </w:numPr>
        <w:tabs>
          <w:tab w:val="num" w:pos="720"/>
        </w:tabs>
        <w:bidi/>
        <w:spacing w:before="240" w:after="0"/>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3C5D7BFD" w14:textId="35E5005D" w:rsidR="000D3CD0" w:rsidRDefault="00F15ECE">
      <w:pPr>
        <w:numPr>
          <w:ilvl w:val="0"/>
          <w:numId w:val="5"/>
        </w:numPr>
        <w:bidi/>
        <w:spacing w:before="240" w:after="0"/>
        <w:jc w:val="both"/>
        <w:rPr>
          <w:rFonts w:ascii="Simplified Arabic" w:hAnsi="Simplified Arabic" w:cs="Simplified Arabic"/>
        </w:rPr>
      </w:pPr>
      <w:r w:rsidRPr="00F15ECE">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t>الأهمية التطبيقية</w:t>
      </w:r>
    </w:p>
    <w:p w14:paraId="6972F30D" w14:textId="0E50BE2D"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pPr>
        <w:numPr>
          <w:ilvl w:val="0"/>
          <w:numId w:val="4"/>
        </w:numPr>
        <w:bidi/>
        <w:spacing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Default="00F15ECE">
      <w:pPr>
        <w:numPr>
          <w:ilvl w:val="0"/>
          <w:numId w:val="4"/>
        </w:numPr>
        <w:bidi/>
        <w:spacing w:line="276" w:lineRule="auto"/>
        <w:rPr>
          <w:rFonts w:ascii="Simplified Arabic" w:hAnsi="Simplified Arabic" w:cs="Simplified Arabic"/>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pPr>
        <w:numPr>
          <w:ilvl w:val="0"/>
          <w:numId w:val="3"/>
        </w:numPr>
        <w:bidi/>
        <w:spacing w:before="240"/>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pPr>
        <w:numPr>
          <w:ilvl w:val="0"/>
          <w:numId w:val="3"/>
        </w:numPr>
        <w:bidi/>
        <w:spacing w:before="240"/>
        <w:rPr>
          <w:rFonts w:ascii="Simplified Arabic" w:hAnsi="Simplified Arabic" w:cs="Simplified Arabic"/>
        </w:rPr>
      </w:pPr>
      <w:r w:rsidRPr="001717DE">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pPr>
        <w:numPr>
          <w:ilvl w:val="0"/>
          <w:numId w:val="3"/>
        </w:numPr>
        <w:bidi/>
        <w:spacing w:before="240"/>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pPr>
        <w:numPr>
          <w:ilvl w:val="0"/>
          <w:numId w:val="3"/>
        </w:numPr>
        <w:bidi/>
        <w:spacing w:before="240"/>
        <w:rPr>
          <w:rFonts w:ascii="Simplified Arabic" w:hAnsi="Simplified Arabic" w:cs="Simplified Arabic"/>
        </w:rPr>
      </w:pPr>
      <w:r w:rsidRPr="001717DE">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sidRPr="004104AA">
        <w:rPr>
          <w:rFonts w:ascii="Simplified Arabic" w:hAnsi="Simplified Arabic" w:cs="Simplified Arabic" w:hint="cs"/>
          <w:b/>
          <w:bCs/>
          <w:rtl/>
        </w:rPr>
        <w:lastRenderedPageBreak/>
        <w:t>نموذج الدراسة المقترح</w:t>
      </w:r>
      <w:r>
        <w:rPr>
          <w:rFonts w:ascii="Simplified Arabic" w:hAnsi="Simplified Arabic" w:cs="Simplified Arabic" w:hint="cs"/>
          <w:b/>
          <w:bCs/>
          <w:rtl/>
        </w:rPr>
        <w:t>:</w:t>
      </w:r>
    </w:p>
    <w:p w14:paraId="5A3992AC" w14:textId="1555B010" w:rsidR="004104AA" w:rsidRPr="004104AA" w:rsidRDefault="004104AA" w:rsidP="004104AA">
      <w:pPr>
        <w:bidi/>
        <w:rPr>
          <w:rFonts w:ascii="Simplified Arabic" w:hAnsi="Simplified Arabic" w:cs="Simplified Arabic"/>
          <w:b/>
          <w:bCs/>
          <w:rtl/>
        </w:rPr>
      </w:pPr>
      <w:r w:rsidRPr="004104AA">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sidRPr="004104AA">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منهجية </w:t>
      </w:r>
      <w:r w:rsidRPr="004F1607">
        <w:rPr>
          <w:rFonts w:ascii="Sakkal Majalla" w:hAnsi="Sakkal Majalla" w:cs="Sakkal Majalla" w:hint="cs"/>
          <w:b/>
          <w:bCs/>
          <w:color w:val="00B0F0"/>
          <w:sz w:val="36"/>
          <w:szCs w:val="36"/>
          <w:u w:val="single"/>
          <w:rtl/>
        </w:rPr>
        <w:t>الدراسة</w:t>
      </w:r>
      <w:r w:rsidRPr="004F1607">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sidRPr="00D9067F">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sidRPr="00D9067F">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sidRPr="00D9067F">
        <w:rPr>
          <w:rFonts w:ascii="Simplified Arabic" w:hAnsi="Simplified Arabic" w:cs="Simplified Arabic"/>
        </w:rPr>
        <w:t xml:space="preserve"> (Five-point Likert Scale)</w:t>
      </w:r>
      <w:r>
        <w:rPr>
          <w:rFonts w:ascii="Simplified Arabic" w:hAnsi="Simplified Arabic" w:cs="Simplified Arabic" w:hint="cs"/>
          <w:rtl/>
        </w:rPr>
        <w:t xml:space="preserve"> </w:t>
      </w:r>
      <w:r w:rsidRPr="00D9067F">
        <w:rPr>
          <w:rFonts w:ascii="Simplified Arabic" w:hAnsi="Simplified Arabic" w:cs="Simplified Arabic"/>
          <w:rtl/>
        </w:rPr>
        <w:t>(من "موافق بشدة" إلى "غير موافق بشدة")، لضمان دقة قياس استجابات المبحوثين حول متغيرات الدراسة</w:t>
      </w:r>
      <w:r w:rsidRPr="00D9067F">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sidRPr="00D9067F">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sidRPr="00D9067F">
        <w:rPr>
          <w:rFonts w:ascii="Simplified Arabic" w:hAnsi="Simplified Arabic" w:cs="Simplified Arabic"/>
          <w:rtl/>
        </w:rPr>
        <w:t>ي</w:t>
      </w:r>
      <w:r w:rsidR="009F0B28" w:rsidRPr="009F0B28">
        <w:rPr>
          <w:rFonts w:ascii="Simplified Arabic" w:hAnsi="Simplified Arabic" w:cs="Simplified Arabic"/>
          <w:rtl/>
        </w:rPr>
        <w:t>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sidR="009F0B28" w:rsidRPr="009F0B28">
        <w:rPr>
          <w:rFonts w:ascii="Simplified Arabic" w:hAnsi="Simplified Arabic" w:cs="Simplified Arabic"/>
        </w:rPr>
        <w:t>Non-probability Sampling</w:t>
      </w:r>
      <w:r w:rsidR="009F0B28" w:rsidRPr="009F0B28">
        <w:rPr>
          <w:rFonts w:ascii="Simplified Arabic" w:hAnsi="Simplified Arabic" w:cs="Simplified Arabic"/>
          <w:rtl/>
        </w:rPr>
        <w:t>)، وتحديداً أسلوب العينة الميسرة (</w:t>
      </w:r>
      <w:r w:rsidR="009F0B28" w:rsidRPr="009F0B28">
        <w:rPr>
          <w:rFonts w:ascii="Simplified Arabic" w:hAnsi="Simplified Arabic" w:cs="Simplified Arabic"/>
        </w:rPr>
        <w:t>Convenience Sampling</w:t>
      </w:r>
      <w:r w:rsidR="009F0B28" w:rsidRPr="009F0B28">
        <w:rPr>
          <w:rFonts w:ascii="Simplified Arabic" w:hAnsi="Simplified Arabic" w:cs="Simplified Arabic"/>
          <w:rtl/>
        </w:rPr>
        <w:t>) وكرة الثلج (</w:t>
      </w:r>
      <w:r w:rsidR="009F0B28" w:rsidRPr="009F0B28">
        <w:rPr>
          <w:rFonts w:ascii="Simplified Arabic" w:hAnsi="Simplified Arabic" w:cs="Simplified Arabic"/>
        </w:rPr>
        <w:t>Snowball Sampling</w:t>
      </w:r>
      <w:r w:rsidR="009F0B28" w:rsidRPr="009F0B28">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sidR="009F0B28" w:rsidRPr="009F0B28">
        <w:rPr>
          <w:rFonts w:ascii="Simplified Arabic" w:hAnsi="Simplified Arabic" w:cs="Simplified Arabic"/>
        </w:rPr>
        <w:t>G*Power</w:t>
      </w:r>
      <w:r w:rsidR="009F0B28" w:rsidRPr="009F0B28">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sidR="009F0B28">
        <w:rPr>
          <w:rFonts w:ascii="Simplified Arabic" w:hAnsi="Simplified Arabic" w:cs="Simplified Arabic" w:hint="cs"/>
          <w:rtl/>
        </w:rPr>
        <w:t>يساعد بالحصول على</w:t>
      </w:r>
      <w:r w:rsidR="009F0B28" w:rsidRPr="009F0B28">
        <w:rPr>
          <w:rFonts w:ascii="Simplified Arabic" w:hAnsi="Simplified Arabic" w:cs="Simplified Arabic"/>
          <w:rtl/>
        </w:rPr>
        <w:t xml:space="preserve"> تمثيل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إحصائي مقبول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sidRPr="00D9067F">
        <w:rPr>
          <w:rFonts w:ascii="Simplified Arabic" w:hAnsi="Simplified Arabic" w:cs="Simplified Arabic" w:hint="cs"/>
          <w:b/>
          <w:bCs/>
          <w:rtl/>
        </w:rPr>
        <w:t xml:space="preserve">3. </w:t>
      </w:r>
      <w:r w:rsidRPr="00D9067F">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sidRPr="00D9067F">
        <w:rPr>
          <w:rFonts w:ascii="Simplified Arabic" w:hAnsi="Simplified Arabic" w:cs="Simplified Arabic"/>
        </w:rPr>
        <w:t xml:space="preserve"> (PLS-SEM) </w:t>
      </w:r>
      <w:r w:rsidRPr="00D9067F">
        <w:rPr>
          <w:rFonts w:ascii="Simplified Arabic" w:hAnsi="Simplified Arabic" w:cs="Simplified Arabic"/>
          <w:rtl/>
        </w:rPr>
        <w:t>باستخدام برنامج</w:t>
      </w:r>
      <w:r w:rsidRPr="00D9067F">
        <w:rPr>
          <w:rFonts w:ascii="Simplified Arabic" w:hAnsi="Simplified Arabic" w:cs="Simplified Arabic"/>
        </w:rPr>
        <w:t xml:space="preserve"> (SmartPLS 4)</w:t>
      </w:r>
      <w:r w:rsidRPr="00D9067F">
        <w:rPr>
          <w:rFonts w:ascii="Simplified Arabic" w:hAnsi="Simplified Arabic" w:cs="Simplified Arabic"/>
          <w:rtl/>
        </w:rPr>
        <w:t>، وذلك للمبررات التالية</w:t>
      </w:r>
      <w:r w:rsidRPr="00D9067F">
        <w:rPr>
          <w:rFonts w:ascii="Simplified Arabic" w:hAnsi="Simplified Arabic" w:cs="Simplified Arabic"/>
        </w:rPr>
        <w:t>:</w:t>
      </w:r>
    </w:p>
    <w:p w14:paraId="0AD676E9" w14:textId="41BF5FC2" w:rsidR="00D9067F" w:rsidRPr="00D9067F" w:rsidRDefault="00D9067F">
      <w:pPr>
        <w:numPr>
          <w:ilvl w:val="0"/>
          <w:numId w:val="7"/>
        </w:numPr>
        <w:bidi/>
        <w:rPr>
          <w:rFonts w:ascii="Simplified Arabic" w:hAnsi="Simplified Arabic" w:cs="Simplified Arabic"/>
          <w:rtl/>
        </w:rPr>
      </w:pPr>
      <w:r w:rsidRPr="00D9067F">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sidRPr="00D9067F">
        <w:rPr>
          <w:rFonts w:ascii="Simplified Arabic" w:hAnsi="Simplified Arabic" w:cs="Simplified Arabic"/>
        </w:rPr>
        <w:t>.</w:t>
      </w:r>
    </w:p>
    <w:p w14:paraId="6F58172A" w14:textId="65C9730F" w:rsidR="00D9067F" w:rsidRPr="00D9067F" w:rsidRDefault="00D9067F">
      <w:pPr>
        <w:numPr>
          <w:ilvl w:val="0"/>
          <w:numId w:val="7"/>
        </w:numPr>
        <w:bidi/>
        <w:rPr>
          <w:rFonts w:ascii="Simplified Arabic" w:hAnsi="Simplified Arabic" w:cs="Simplified Arabic"/>
          <w:rtl/>
        </w:rPr>
      </w:pPr>
      <w:r w:rsidRPr="00D9067F">
        <w:rPr>
          <w:rFonts w:ascii="Simplified Arabic" w:hAnsi="Simplified Arabic" w:cs="Simplified Arabic"/>
          <w:rtl/>
        </w:rPr>
        <w:t>التحقق من الصدق البنائي</w:t>
      </w:r>
      <w:r w:rsidRPr="00D9067F">
        <w:rPr>
          <w:rFonts w:ascii="Simplified Arabic" w:hAnsi="Simplified Arabic" w:cs="Simplified Arabic"/>
        </w:rPr>
        <w:t xml:space="preserve"> (Construct Validity) </w:t>
      </w:r>
      <w:r w:rsidRPr="00D9067F">
        <w:rPr>
          <w:rFonts w:ascii="Simplified Arabic" w:hAnsi="Simplified Arabic" w:cs="Simplified Arabic"/>
          <w:rtl/>
        </w:rPr>
        <w:t>عبر التحليل العاملي التوكيدي</w:t>
      </w:r>
      <w:r w:rsidRPr="00D9067F">
        <w:rPr>
          <w:rFonts w:ascii="Simplified Arabic" w:hAnsi="Simplified Arabic" w:cs="Simplified Arabic"/>
        </w:rPr>
        <w:t xml:space="preserve"> (CFA).</w:t>
      </w:r>
    </w:p>
    <w:p w14:paraId="46A00CF3" w14:textId="65F1A651" w:rsidR="00D9067F" w:rsidRDefault="00D9067F">
      <w:pPr>
        <w:numPr>
          <w:ilvl w:val="0"/>
          <w:numId w:val="7"/>
        </w:numPr>
        <w:bidi/>
        <w:rPr>
          <w:rFonts w:ascii="Simplified Arabic" w:hAnsi="Simplified Arabic" w:cs="Simplified Arabic"/>
        </w:rPr>
      </w:pPr>
      <w:r w:rsidRPr="00D9067F">
        <w:rPr>
          <w:rFonts w:ascii="Simplified Arabic" w:hAnsi="Simplified Arabic" w:cs="Simplified Arabic"/>
          <w:rtl/>
        </w:rPr>
        <w:t>قياس جودة النموذج الخارجي من خلال اختبارات الثبات المركب (</w:t>
      </w:r>
      <w:r w:rsidRPr="00D9067F">
        <w:rPr>
          <w:rFonts w:ascii="Simplified Arabic" w:hAnsi="Simplified Arabic" w:cs="Simplified Arabic"/>
        </w:rPr>
        <w:t xml:space="preserve">Composite Reliability </w:t>
      </w:r>
      <w:r w:rsidR="00A20BAB">
        <w:rPr>
          <w:rFonts w:ascii="Simplified Arabic" w:hAnsi="Simplified Arabic" w:cs="Simplified Arabic"/>
        </w:rPr>
        <w:t>–</w:t>
      </w:r>
      <w:r w:rsidRPr="00D9067F">
        <w:rPr>
          <w:rFonts w:ascii="Simplified Arabic" w:hAnsi="Simplified Arabic" w:cs="Simplified Arabic"/>
        </w:rPr>
        <w:t xml:space="preserve"> CR</w:t>
      </w:r>
      <w:r w:rsidRPr="00D9067F">
        <w:rPr>
          <w:rFonts w:ascii="Simplified Arabic" w:hAnsi="Simplified Arabic" w:cs="Simplified Arabic"/>
          <w:rtl/>
        </w:rPr>
        <w:t>)، ومتوسط التباين المستخرج (</w:t>
      </w:r>
      <w:r w:rsidRPr="00D9067F">
        <w:rPr>
          <w:rFonts w:ascii="Simplified Arabic" w:hAnsi="Simplified Arabic" w:cs="Simplified Arabic"/>
        </w:rPr>
        <w:t xml:space="preserve">Average Variance Extracted </w:t>
      </w:r>
      <w:r w:rsidR="00A20BAB">
        <w:rPr>
          <w:rFonts w:ascii="Simplified Arabic" w:hAnsi="Simplified Arabic" w:cs="Simplified Arabic"/>
        </w:rPr>
        <w:t>–</w:t>
      </w:r>
      <w:r w:rsidRPr="00D9067F">
        <w:rPr>
          <w:rFonts w:ascii="Simplified Arabic" w:hAnsi="Simplified Arabic" w:cs="Simplified Arabic"/>
        </w:rPr>
        <w:t xml:space="preserve"> AVE</w:t>
      </w:r>
      <w:r w:rsidRPr="00D9067F">
        <w:rPr>
          <w:rFonts w:ascii="Simplified Arabic" w:hAnsi="Simplified Arabic" w:cs="Simplified Arabic"/>
          <w:rtl/>
        </w:rPr>
        <w:t>) لصدق التقارب، واختبار (</w:t>
      </w:r>
      <w:r w:rsidRPr="00D9067F">
        <w:rPr>
          <w:rFonts w:ascii="Simplified Arabic" w:hAnsi="Simplified Arabic" w:cs="Simplified Arabic"/>
        </w:rPr>
        <w:t>HTMT</w:t>
      </w:r>
      <w:r w:rsidRPr="00D9067F">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pPr>
        <w:numPr>
          <w:ilvl w:val="0"/>
          <w:numId w:val="6"/>
        </w:numPr>
        <w:bidi/>
        <w:spacing w:after="0"/>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1"/>
    <w:p w14:paraId="6D7EAC5E" w14:textId="67FA8BC5" w:rsidR="000343D5"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pPr>
        <w:numPr>
          <w:ilvl w:val="0"/>
          <w:numId w:val="6"/>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pPr>
        <w:numPr>
          <w:ilvl w:val="0"/>
          <w:numId w:val="6"/>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pPr>
        <w:numPr>
          <w:ilvl w:val="0"/>
          <w:numId w:val="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pPr>
        <w:numPr>
          <w:ilvl w:val="0"/>
          <w:numId w:val="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pPr>
        <w:numPr>
          <w:ilvl w:val="0"/>
          <w:numId w:val="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pPr>
        <w:numPr>
          <w:ilvl w:val="0"/>
          <w:numId w:val="1"/>
        </w:numPr>
        <w:bidi/>
        <w:rPr>
          <w:rFonts w:ascii="Simplified Arabic" w:hAnsi="Simplified Arabic" w:cs="Simplified Arabic"/>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sidRPr="00A20BAB">
        <w:rPr>
          <w:rFonts w:ascii="Sakkal Majalla" w:hAnsi="Sakkal Majalla" w:cs="Sakkal Majalla" w:hint="cs"/>
          <w:b/>
          <w:bCs/>
          <w:color w:val="00B0F0"/>
          <w:sz w:val="32"/>
          <w:szCs w:val="32"/>
          <w:u w:val="single"/>
          <w:rtl/>
        </w:rPr>
        <w:t>الإطار النظري</w:t>
      </w:r>
    </w:p>
    <w:p w14:paraId="54106F1C" w14:textId="77777777" w:rsidR="00A20BAB" w:rsidRPr="00A20BAB" w:rsidRDefault="00A20BAB" w:rsidP="00A20BAB">
      <w:pPr>
        <w:bidi/>
        <w:spacing w:after="200" w:line="240" w:lineRule="auto"/>
        <w:rPr>
          <w:rFonts w:ascii="Sakkal Majalla" w:hAnsi="Sakkal Majalla" w:cs="Sakkal Majalla"/>
          <w:b/>
          <w:bCs/>
          <w:color w:val="1F497D" w:themeColor="text2"/>
          <w:sz w:val="32"/>
          <w:szCs w:val="32"/>
          <w:u w:val="single"/>
          <w:rtl/>
        </w:rPr>
      </w:pPr>
      <w:r w:rsidRPr="00A20BAB">
        <w:rPr>
          <w:rFonts w:ascii="Sakkal Majalla" w:hAnsi="Sakkal Majalla" w:cs="Sakkal Majalla" w:hint="cs"/>
          <w:b/>
          <w:bCs/>
          <w:color w:val="1F497D" w:themeColor="text2"/>
          <w:sz w:val="32"/>
          <w:szCs w:val="32"/>
          <w:u w:val="single"/>
          <w:rtl/>
        </w:rPr>
        <w:t>الم</w:t>
      </w:r>
      <w:r w:rsidRPr="00A20BAB">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158378D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الأول: مفهوم الذكاء الاصطناعي التوليدي وتقنياته</w:t>
      </w:r>
    </w:p>
    <w:p w14:paraId="6FC07B24" w14:textId="028671A2"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t xml:space="preserve">أولاً: </w:t>
      </w:r>
      <w:r w:rsidRPr="00A20BAB">
        <w:rPr>
          <w:rFonts w:ascii="Simplified Arabic" w:hAnsi="Simplified Arabic" w:cs="Simplified Arabic"/>
          <w:b/>
          <w:bCs/>
          <w:rtl/>
        </w:rPr>
        <w:t>تعريف الذكاء الاصطناعي التوليدي وكيف يختلف عن الأنواع الأخرى من الذكاء الاصطناعي</w:t>
      </w:r>
    </w:p>
    <w:p w14:paraId="4641118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يشير الذكاء الاصطناعي التوليدي (</w:t>
      </w:r>
      <w:r w:rsidRPr="00A20BAB">
        <w:rPr>
          <w:rFonts w:ascii="Simplified Arabic" w:hAnsi="Simplified Arabic" w:cs="Simplified Arabic"/>
        </w:rPr>
        <w:t>Generative AI</w:t>
      </w:r>
      <w:r w:rsidRPr="00A20BAB">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sidRPr="00A20BAB">
        <w:rPr>
          <w:rFonts w:ascii="Simplified Arabic" w:hAnsi="Simplified Arabic" w:cs="Simplified Arabic"/>
        </w:rPr>
        <w:t>Kılınç &amp; Keçecio</w:t>
      </w:r>
      <w:r w:rsidRPr="00A20BAB">
        <w:rPr>
          <w:rFonts w:ascii="Cambria" w:hAnsi="Cambria" w:cs="Cambria"/>
        </w:rPr>
        <w:t>ğ</w:t>
      </w:r>
      <w:r w:rsidRPr="00A20BAB">
        <w:rPr>
          <w:rFonts w:ascii="Simplified Arabic" w:hAnsi="Simplified Arabic" w:cs="Simplified Arabic"/>
        </w:rPr>
        <w:t>lu, 2024</w:t>
      </w:r>
      <w:r w:rsidRPr="00A20BAB">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sidRPr="00A20BAB">
        <w:rPr>
          <w:rFonts w:ascii="Simplified Arabic" w:hAnsi="Simplified Arabic" w:cs="Simplified Arabic"/>
        </w:rPr>
        <w:t>Islam et al., 2024</w:t>
      </w:r>
      <w:r w:rsidRPr="00A20BAB">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hint="cs"/>
          <w:rtl/>
        </w:rPr>
        <w:t xml:space="preserve"> </w:t>
      </w:r>
      <w:r w:rsidRPr="00A20BAB">
        <w:rPr>
          <w:rFonts w:ascii="Simplified Arabic" w:hAnsi="Simplified Arabic" w:cs="Simplified Arabic"/>
          <w:rtl/>
        </w:rPr>
        <w:t>ويمكن توضيح هذا الفرق في ثلاثة أبعاد مترابطة:</w:t>
      </w:r>
    </w:p>
    <w:p w14:paraId="2477133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الاختلاف في طبيعة الوظيفة</w:t>
      </w:r>
    </w:p>
    <w:p w14:paraId="07281D4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sidRPr="00A20BAB">
        <w:rPr>
          <w:rFonts w:ascii="Simplified Arabic" w:hAnsi="Simplified Arabic" w:cs="Simplified Arabic"/>
        </w:rPr>
        <w:t>Kshetri et al., 2023</w:t>
      </w:r>
      <w:r w:rsidRPr="00A20BAB">
        <w:rPr>
          <w:rFonts w:ascii="Simplified Arabic" w:hAnsi="Simplified Arabic" w:cs="Simplified Arabic"/>
          <w:rtl/>
        </w:rPr>
        <w:t>).</w:t>
      </w:r>
    </w:p>
    <w:p w14:paraId="28F855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الاختلاف في موقع الاستخدام داخل العملية التسويقية</w:t>
      </w:r>
    </w:p>
    <w:p w14:paraId="59EA9EDC" w14:textId="7AC1FF28"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sidRPr="00A20BAB">
        <w:rPr>
          <w:rFonts w:ascii="Simplified Arabic" w:hAnsi="Simplified Arabic" w:cs="Simplified Arabic"/>
          <w:rtl/>
        </w:rPr>
        <w:t>(</w:t>
      </w:r>
      <w:r w:rsidRPr="00A20BAB">
        <w:rPr>
          <w:rFonts w:ascii="Simplified Arabic" w:hAnsi="Simplified Arabic" w:cs="Simplified Arabic"/>
        </w:rPr>
        <w:t>Heitmann, 2024</w:t>
      </w:r>
      <w:r w:rsidRPr="00A20BAB">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pPr>
        <w:numPr>
          <w:ilvl w:val="0"/>
          <w:numId w:val="8"/>
        </w:numPr>
        <w:bidi/>
        <w:jc w:val="both"/>
        <w:rPr>
          <w:rFonts w:ascii="Simplified Arabic" w:hAnsi="Simplified Arabic" w:cs="Simplified Arabic"/>
          <w:rtl/>
        </w:rPr>
      </w:pPr>
      <w:r w:rsidRPr="00A20BAB">
        <w:rPr>
          <w:rFonts w:ascii="Simplified Arabic" w:hAnsi="Simplified Arabic" w:cs="Simplified Arabic"/>
          <w:rtl/>
        </w:rPr>
        <w:t>مسار تشغيلي مباشر: تقليل الوقت والجهد اللازمين لإنتاج المحتوى الأولي.</w:t>
      </w:r>
    </w:p>
    <w:p w14:paraId="3EFD39D7" w14:textId="77777777" w:rsidR="00A20BAB" w:rsidRPr="00A20BAB" w:rsidRDefault="00A20BAB">
      <w:pPr>
        <w:numPr>
          <w:ilvl w:val="0"/>
          <w:numId w:val="8"/>
        </w:numPr>
        <w:bidi/>
        <w:jc w:val="both"/>
        <w:rPr>
          <w:rFonts w:ascii="Simplified Arabic" w:hAnsi="Simplified Arabic" w:cs="Simplified Arabic"/>
          <w:rtl/>
        </w:rPr>
      </w:pPr>
      <w:r w:rsidRPr="00A20BAB">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13A0B018" w14:textId="1AA7637B" w:rsidR="00A20BAB" w:rsidRPr="00A20BAB" w:rsidRDefault="00A20BAB" w:rsidP="007F6645">
      <w:pPr>
        <w:bidi/>
        <w:jc w:val="both"/>
        <w:rPr>
          <w:rFonts w:ascii="Simplified Arabic" w:hAnsi="Simplified Arabic" w:cs="Simplified Arabic"/>
          <w:b/>
          <w:bCs/>
          <w:rtl/>
        </w:rPr>
      </w:pPr>
      <w:r w:rsidRPr="007F6645">
        <w:rPr>
          <w:rFonts w:ascii="Simplified Arabic" w:hAnsi="Simplified Arabic" w:cs="Simplified Arabic" w:hint="cs"/>
          <w:b/>
          <w:bCs/>
          <w:rtl/>
        </w:rPr>
        <w:t xml:space="preserve">ثانياً: </w:t>
      </w:r>
      <w:r w:rsidRPr="00A20BAB">
        <w:rPr>
          <w:rFonts w:ascii="Simplified Arabic" w:hAnsi="Simplified Arabic" w:cs="Simplified Arabic"/>
          <w:b/>
          <w:bCs/>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sidRPr="00A20BAB">
        <w:rPr>
          <w:rFonts w:ascii="Simplified Arabic" w:hAnsi="Simplified Arabic" w:cs="Simplified Arabic"/>
          <w:rtl/>
        </w:rPr>
        <w:t xml:space="preserve"> النماذج التوليدية النصية (مثل </w:t>
      </w:r>
      <w:r w:rsidRPr="00A20BAB">
        <w:rPr>
          <w:rFonts w:ascii="Simplified Arabic" w:hAnsi="Simplified Arabic" w:cs="Simplified Arabic"/>
        </w:rPr>
        <w:t>ChatGPT</w:t>
      </w:r>
      <w:r w:rsidRPr="00A20BAB">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sidRPr="00A20BAB">
        <w:rPr>
          <w:rFonts w:ascii="Simplified Arabic" w:hAnsi="Simplified Arabic" w:cs="Simplified Arabic"/>
        </w:rPr>
        <w:t>ChatGPT</w:t>
      </w:r>
      <w:r w:rsidRPr="00A20BAB">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sidRPr="00A20BAB">
        <w:rPr>
          <w:rFonts w:ascii="Simplified Arabic" w:hAnsi="Simplified Arabic" w:cs="Simplified Arabic"/>
        </w:rPr>
        <w:t>Prompts</w:t>
      </w:r>
      <w:r w:rsidRPr="00A20BAB">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sidRPr="00A20BAB">
        <w:rPr>
          <w:rFonts w:ascii="Simplified Arabic" w:hAnsi="Simplified Arabic" w:cs="Simplified Arabic"/>
        </w:rPr>
        <w:t>Islam et al., 2024</w:t>
      </w:r>
      <w:r w:rsidRPr="00A20BAB">
        <w:rPr>
          <w:rFonts w:ascii="Simplified Arabic" w:hAnsi="Simplified Arabic" w:cs="Simplified Arabic"/>
          <w:rtl/>
        </w:rPr>
        <w:t>).</w:t>
      </w:r>
    </w:p>
    <w:p w14:paraId="3748A07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sidRPr="00A20BAB">
        <w:rPr>
          <w:rFonts w:ascii="Simplified Arabic" w:hAnsi="Simplified Arabic" w:cs="Simplified Arabic"/>
        </w:rPr>
        <w:t>Heitmann, 2024</w:t>
      </w:r>
      <w:r w:rsidRPr="00A20BAB">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sidRPr="00A20BAB">
        <w:rPr>
          <w:rFonts w:ascii="Simplified Arabic" w:hAnsi="Simplified Arabic" w:cs="Simplified Arabic"/>
        </w:rPr>
        <w:t>Kshetri et al., 2023</w:t>
      </w:r>
      <w:r w:rsidRPr="00A20BAB">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sidRPr="00A20BAB">
        <w:rPr>
          <w:rFonts w:ascii="Simplified Arabic" w:hAnsi="Simplified Arabic" w:cs="Simplified Arabic"/>
          <w:rtl/>
        </w:rPr>
        <w:t xml:space="preserve"> النماذج التوليدية البصرية (مثل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w:t>
      </w:r>
    </w:p>
    <w:p w14:paraId="03F4249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تُستخدم الأدوات البصرية التوليدية—مثل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sidRPr="00A20BAB">
        <w:rPr>
          <w:rFonts w:ascii="Simplified Arabic" w:hAnsi="Simplified Arabic" w:cs="Simplified Arabic"/>
        </w:rPr>
        <w:t>Dimitrieska, 2024</w:t>
      </w:r>
      <w:r w:rsidRPr="00A20BAB">
        <w:rPr>
          <w:rFonts w:ascii="Simplified Arabic" w:hAnsi="Simplified Arabic" w:cs="Simplified Arabic"/>
          <w:rtl/>
        </w:rPr>
        <w:t>).</w:t>
      </w:r>
    </w:p>
    <w:p w14:paraId="482C26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sidRPr="00A20BAB">
        <w:rPr>
          <w:rFonts w:ascii="Simplified Arabic" w:hAnsi="Simplified Arabic" w:cs="Simplified Arabic"/>
        </w:rPr>
        <w:t>Gujar &amp; Panyam, 2024</w:t>
      </w:r>
      <w:r w:rsidRPr="00A20BAB">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sidRPr="00A20BAB">
        <w:rPr>
          <w:rFonts w:ascii="Simplified Arabic" w:hAnsi="Simplified Arabic" w:cs="Simplified Arabic"/>
        </w:rPr>
        <w:t>Heitmann, 2024</w:t>
      </w:r>
      <w:r w:rsidRPr="00A20BAB">
        <w:rPr>
          <w:rFonts w:ascii="Simplified Arabic" w:hAnsi="Simplified Arabic" w:cs="Simplified Arabic"/>
          <w:rtl/>
        </w:rPr>
        <w:t>).</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sidRPr="00A20BAB">
        <w:rPr>
          <w:rFonts w:ascii="Simplified Arabic" w:hAnsi="Simplified Arabic" w:cs="Simplified Arabic"/>
          <w:rtl/>
        </w:rPr>
        <w:t xml:space="preserve"> أدوات التوليد متعددة الوسائط ودعم المحتوى التسويقي المركب</w:t>
      </w:r>
    </w:p>
    <w:p w14:paraId="4DBEB42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r w:rsidRPr="00A20BAB">
        <w:rPr>
          <w:rFonts w:ascii="Simplified Arabic" w:hAnsi="Simplified Arabic" w:cs="Simplified Arabic"/>
        </w:rPr>
        <w:t>Kujore et al., 2025</w:t>
      </w:r>
      <w:r w:rsidRPr="00A20BAB">
        <w:rPr>
          <w:rFonts w:ascii="Simplified Arabic" w:hAnsi="Simplified Arabic" w:cs="Simplified Arabic"/>
          <w:rtl/>
        </w:rPr>
        <w:t>).</w:t>
      </w:r>
    </w:p>
    <w:p w14:paraId="2812DC0B" w14:textId="30FFE5D2"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4.</w:t>
      </w:r>
      <w:r w:rsidR="00A20BAB" w:rsidRPr="00A20BAB">
        <w:rPr>
          <w:rFonts w:ascii="Simplified Arabic" w:hAnsi="Simplified Arabic" w:cs="Simplified Arabic"/>
          <w:rtl/>
        </w:rPr>
        <w:t xml:space="preserve"> كيف تعمل هذه الأدوات عمليًا داخل السياق التسويقي؟</w:t>
      </w:r>
    </w:p>
    <w:p w14:paraId="7690669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1CBC8B78" w14:textId="77777777" w:rsidR="00A20BAB" w:rsidRPr="00A20BAB" w:rsidRDefault="00A20BAB">
      <w:pPr>
        <w:numPr>
          <w:ilvl w:val="0"/>
          <w:numId w:val="12"/>
        </w:numPr>
        <w:bidi/>
        <w:jc w:val="both"/>
        <w:rPr>
          <w:rFonts w:ascii="Simplified Arabic" w:hAnsi="Simplified Arabic" w:cs="Simplified Arabic"/>
          <w:rtl/>
        </w:rPr>
      </w:pPr>
      <w:r w:rsidRPr="00A20BAB">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77777777" w:rsidR="00A20BAB" w:rsidRPr="00A20BAB" w:rsidRDefault="00A20BAB">
      <w:pPr>
        <w:numPr>
          <w:ilvl w:val="0"/>
          <w:numId w:val="12"/>
        </w:numPr>
        <w:bidi/>
        <w:jc w:val="both"/>
        <w:rPr>
          <w:rFonts w:ascii="Simplified Arabic" w:hAnsi="Simplified Arabic" w:cs="Simplified Arabic"/>
          <w:rtl/>
        </w:rPr>
      </w:pPr>
      <w:r w:rsidRPr="00A20BAB">
        <w:rPr>
          <w:rFonts w:ascii="Simplified Arabic" w:hAnsi="Simplified Arabic" w:cs="Simplified Arabic"/>
          <w:rtl/>
        </w:rPr>
        <w:t>توليد مخرجات أولية: تنتج الأداة نصًا أو صورة أو بدائل متعددة تمثل نقطة انطلاق إبداعية.</w:t>
      </w:r>
    </w:p>
    <w:p w14:paraId="7DC29895" w14:textId="77777777" w:rsidR="00A20BAB" w:rsidRPr="00A20BAB" w:rsidRDefault="00A20BAB">
      <w:pPr>
        <w:numPr>
          <w:ilvl w:val="0"/>
          <w:numId w:val="12"/>
        </w:numPr>
        <w:bidi/>
        <w:jc w:val="both"/>
        <w:rPr>
          <w:rFonts w:ascii="Simplified Arabic" w:hAnsi="Simplified Arabic" w:cs="Simplified Arabic"/>
          <w:rtl/>
        </w:rPr>
      </w:pPr>
      <w:r w:rsidRPr="00A20BAB">
        <w:rPr>
          <w:rFonts w:ascii="Simplified Arabic" w:hAnsi="Simplified Arabic" w:cs="Simplified Arabic"/>
          <w:rtl/>
        </w:rPr>
        <w:t>المراجعة والتوجيه التكراري: تُعدَّل الأوامر أو القيود لتحسين الملاءمة والجودة والاتساق.</w:t>
      </w:r>
    </w:p>
    <w:p w14:paraId="2D648E95" w14:textId="77777777" w:rsidR="00A20BAB" w:rsidRPr="00A20BAB" w:rsidRDefault="00A20BAB">
      <w:pPr>
        <w:numPr>
          <w:ilvl w:val="0"/>
          <w:numId w:val="12"/>
        </w:numPr>
        <w:bidi/>
        <w:jc w:val="both"/>
        <w:rPr>
          <w:rFonts w:ascii="Simplified Arabic" w:hAnsi="Simplified Arabic" w:cs="Simplified Arabic"/>
          <w:rtl/>
        </w:rPr>
      </w:pPr>
      <w:r w:rsidRPr="00A20BAB">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sidRPr="00A20BAB">
        <w:rPr>
          <w:rFonts w:ascii="Simplified Arabic" w:hAnsi="Simplified Arabic" w:cs="Simplified Arabic"/>
        </w:rPr>
        <w:t>IAB Tech Lab, 2024</w:t>
      </w:r>
      <w:r w:rsidRPr="00A20BAB">
        <w:rPr>
          <w:rFonts w:ascii="Simplified Arabic" w:hAnsi="Simplified Arabic" w:cs="Simplified Arabic"/>
          <w:rtl/>
        </w:rPr>
        <w:t>).</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5.</w:t>
      </w:r>
      <w:r w:rsidR="00A20BAB" w:rsidRPr="00A20BAB">
        <w:rPr>
          <w:rFonts w:ascii="Simplified Arabic" w:hAnsi="Simplified Arabic" w:cs="Simplified Arabic"/>
          <w:rtl/>
        </w:rPr>
        <w:t xml:space="preserve"> هندسة التلقين بوصفها عاملًا حاكمًا لجودة مخرجات الأدوات</w:t>
      </w:r>
    </w:p>
    <w:p w14:paraId="7E0FC533"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sidRPr="00A20BAB">
        <w:rPr>
          <w:rFonts w:ascii="Simplified Arabic" w:hAnsi="Simplified Arabic" w:cs="Simplified Arabic"/>
        </w:rPr>
        <w:t>Prompt Engineering</w:t>
      </w:r>
      <w:r w:rsidRPr="00A20BAB">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5E9C05E0" w14:textId="77777777" w:rsidR="007F6645" w:rsidRPr="00A20BAB" w:rsidRDefault="007F6645" w:rsidP="007F6645">
      <w:pPr>
        <w:bidi/>
        <w:jc w:val="both"/>
        <w:rPr>
          <w:rFonts w:ascii="Simplified Arabic" w:hAnsi="Simplified Arabic" w:cs="Simplified Arabic"/>
          <w:rtl/>
        </w:rPr>
      </w:pPr>
    </w:p>
    <w:p w14:paraId="3E0D313C"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الثاني: مراحل تصميم الحملات التسويقية الرقمية</w:t>
      </w:r>
    </w:p>
    <w:p w14:paraId="1B26A071" w14:textId="6A83C5A2"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t xml:space="preserve">أولاً: </w:t>
      </w:r>
      <w:r w:rsidRPr="00A20BAB">
        <w:rPr>
          <w:rFonts w:ascii="Simplified Arabic" w:hAnsi="Simplified Arabic" w:cs="Simplified Arabic"/>
          <w:b/>
          <w:bCs/>
          <w:rtl/>
        </w:rPr>
        <w:t>مراحل التخطيط للحملة</w:t>
      </w:r>
      <w:r w:rsidR="007F6645">
        <w:rPr>
          <w:rFonts w:ascii="Simplified Arabic" w:hAnsi="Simplified Arabic" w:cs="Simplified Arabic" w:hint="cs"/>
          <w:b/>
          <w:bCs/>
          <w:rtl/>
        </w:rPr>
        <w:t xml:space="preserve"> التسويقية</w:t>
      </w:r>
    </w:p>
    <w:p w14:paraId="33E5DA2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sidRPr="00A20BAB">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sidRPr="00A20BAB">
        <w:rPr>
          <w:rFonts w:ascii="Simplified Arabic" w:hAnsi="Simplified Arabic" w:cs="Simplified Arabic"/>
        </w:rPr>
        <w:t>Sharabati et al., 2024</w:t>
      </w:r>
      <w:r w:rsidRPr="00A20BAB">
        <w:rPr>
          <w:rFonts w:ascii="Simplified Arabic" w:hAnsi="Simplified Arabic" w:cs="Simplified Arabic"/>
          <w:rtl/>
        </w:rPr>
        <w:t xml:space="preserve">؛ </w:t>
      </w:r>
      <w:r w:rsidRPr="00A20BAB">
        <w:rPr>
          <w:rFonts w:ascii="Simplified Arabic" w:hAnsi="Simplified Arabic" w:cs="Simplified Arabic"/>
        </w:rPr>
        <w:t>Social Media Today, 2025</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sidRPr="00A20BAB">
        <w:rPr>
          <w:rFonts w:ascii="Simplified Arabic" w:hAnsi="Simplified Arabic" w:cs="Simplified Arabic"/>
        </w:rPr>
        <w:t>Sharabati et al., 2024</w:t>
      </w:r>
      <w:r w:rsidRPr="00A20BAB">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sidRPr="00A20BAB">
        <w:rPr>
          <w:rFonts w:ascii="Simplified Arabic" w:hAnsi="Simplified Arabic" w:cs="Simplified Arabic"/>
        </w:rPr>
        <w:t>Mendoza et al., 2025</w:t>
      </w:r>
      <w:r w:rsidRPr="00A20BAB">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sidRPr="00A20BAB">
        <w:rPr>
          <w:rFonts w:ascii="Simplified Arabic" w:hAnsi="Simplified Arabic" w:cs="Simplified Arabic"/>
        </w:rPr>
        <w:t>Sharabati et al., 2024</w:t>
      </w:r>
      <w:r w:rsidRPr="00A20BAB">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مرحلة إنشاء المحتوى وتصميم الرسائل الإبداعية</w:t>
      </w:r>
    </w:p>
    <w:p w14:paraId="61E9C5A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w:t>
      </w:r>
      <w:r w:rsidRPr="00A20BAB">
        <w:rPr>
          <w:rFonts w:ascii="Simplified Arabic" w:hAnsi="Simplified Arabic" w:cs="Simplified Arabic" w:hint="cs"/>
          <w:rtl/>
        </w:rPr>
        <w:t xml:space="preserve"> هذه المرحلة</w:t>
      </w:r>
      <w:r w:rsidRPr="00A20BAB">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5) مرحلة التنفيذ والمتابعة والتقويم</w:t>
      </w:r>
    </w:p>
    <w:p w14:paraId="7E4F3670"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sidRPr="00A20BAB">
        <w:rPr>
          <w:rFonts w:ascii="Simplified Arabic" w:hAnsi="Simplified Arabic" w:cs="Simplified Arabic"/>
        </w:rPr>
        <w:t>Islam et al., 2024</w:t>
      </w:r>
      <w:r w:rsidRPr="00A20BAB">
        <w:rPr>
          <w:rFonts w:ascii="Simplified Arabic" w:hAnsi="Simplified Arabic" w:cs="Simplified Arabic"/>
          <w:rtl/>
        </w:rPr>
        <w:t>).</w:t>
      </w:r>
      <w:r w:rsidRPr="00A20BAB">
        <w:rPr>
          <w:rFonts w:ascii="Simplified Arabic" w:hAnsi="Simplified Arabic" w:cs="Simplified Arabic" w:hint="cs"/>
          <w:rtl/>
        </w:rPr>
        <w:t xml:space="preserve"> </w:t>
      </w:r>
      <w:r w:rsidRPr="00A20BAB">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sidRPr="00A20BAB">
        <w:rPr>
          <w:rFonts w:ascii="Simplified Arabic" w:hAnsi="Simplified Arabic" w:cs="Simplified Arabic" w:hint="cs"/>
          <w:rtl/>
        </w:rPr>
        <w:t xml:space="preserve"> </w:t>
      </w:r>
    </w:p>
    <w:p w14:paraId="600E1C2D" w14:textId="77777777" w:rsidR="007F6645" w:rsidRDefault="007F6645" w:rsidP="007F6645">
      <w:pPr>
        <w:bidi/>
        <w:jc w:val="both"/>
        <w:rPr>
          <w:rFonts w:ascii="Simplified Arabic" w:hAnsi="Simplified Arabic" w:cs="Simplified Arabic"/>
          <w:rtl/>
        </w:rPr>
      </w:pPr>
    </w:p>
    <w:p w14:paraId="177049D9" w14:textId="77777777" w:rsidR="007F6645" w:rsidRPr="00A20BAB" w:rsidRDefault="007F6645" w:rsidP="007F6645">
      <w:pPr>
        <w:bidi/>
        <w:jc w:val="both"/>
        <w:rPr>
          <w:rFonts w:ascii="Simplified Arabic" w:hAnsi="Simplified Arabic" w:cs="Simplified Arabic"/>
          <w:rtl/>
        </w:rPr>
      </w:pPr>
    </w:p>
    <w:p w14:paraId="3FE8513C"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lastRenderedPageBreak/>
        <w:t xml:space="preserve">ثانياً: توضيح </w:t>
      </w:r>
      <w:r w:rsidRPr="00A20BAB">
        <w:rPr>
          <w:rFonts w:ascii="Simplified Arabic" w:hAnsi="Simplified Arabic" w:cs="Simplified Arabic"/>
          <w:b/>
          <w:bCs/>
          <w:rtl/>
        </w:rPr>
        <w:t>كيف يمكن للذكاء الاصطناعي أن يدعم كل مرحلة</w:t>
      </w:r>
    </w:p>
    <w:p w14:paraId="4E81500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sidRPr="00A20BAB">
        <w:rPr>
          <w:rFonts w:ascii="Simplified Arabic" w:hAnsi="Simplified Arabic" w:cs="Simplified Arabic"/>
        </w:rPr>
        <w:t>Nguyen et al., 2025</w:t>
      </w:r>
      <w:r w:rsidRPr="00A20BAB">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sidRPr="00A20BAB">
        <w:rPr>
          <w:rFonts w:ascii="Simplified Arabic" w:hAnsi="Simplified Arabic" w:cs="Simplified Arabic"/>
        </w:rPr>
        <w:t>Doshi et al., 2025</w:t>
      </w:r>
      <w:r w:rsidRPr="00A20BAB">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دعم مرحلة تحليل الجمهور المستهدف</w:t>
      </w:r>
    </w:p>
    <w:p w14:paraId="57DACCD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sidRPr="00A20BAB">
        <w:rPr>
          <w:rFonts w:ascii="Simplified Arabic" w:hAnsi="Simplified Arabic" w:cs="Simplified Arabic"/>
        </w:rPr>
        <w:t>Personas</w:t>
      </w:r>
      <w:r w:rsidRPr="00A20BAB">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sidRPr="00A20BAB">
        <w:rPr>
          <w:rFonts w:ascii="Simplified Arabic" w:hAnsi="Simplified Arabic" w:cs="Simplified Arabic"/>
        </w:rPr>
        <w:t>Mendoza et al., 2025</w:t>
      </w:r>
      <w:r w:rsidRPr="00A20BAB">
        <w:rPr>
          <w:rFonts w:ascii="Simplified Arabic" w:hAnsi="Simplified Arabic" w:cs="Simplified Arabic"/>
          <w:rtl/>
        </w:rPr>
        <w:t xml:space="preserve">؛ </w:t>
      </w:r>
      <w:r w:rsidRPr="00A20BAB">
        <w:rPr>
          <w:rFonts w:ascii="Simplified Arabic" w:hAnsi="Simplified Arabic" w:cs="Simplified Arabic"/>
        </w:rPr>
        <w:t>Wang et al., 2025</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sidRPr="00A20BAB">
        <w:rPr>
          <w:rFonts w:ascii="Simplified Arabic" w:hAnsi="Simplified Arabic" w:cs="Simplified Arabic"/>
        </w:rPr>
        <w:t>Islam et al., 2024</w:t>
      </w:r>
      <w:r w:rsidRPr="00A20BAB">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دعم مرحلة إنشاء المحتوى وتصميم الرسائل</w:t>
      </w:r>
    </w:p>
    <w:p w14:paraId="7016C82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يمثل هذا المجال الاستخدام الأكثر مركزية للذكاء الاصطناعي التوليدي، ويتجلى في:</w:t>
      </w:r>
    </w:p>
    <w:p w14:paraId="3509524A" w14:textId="77777777" w:rsidR="00A20BAB" w:rsidRPr="00A20BAB" w:rsidRDefault="00A20BAB">
      <w:pPr>
        <w:numPr>
          <w:ilvl w:val="0"/>
          <w:numId w:val="11"/>
        </w:numPr>
        <w:bidi/>
        <w:jc w:val="both"/>
        <w:rPr>
          <w:rFonts w:ascii="Simplified Arabic" w:hAnsi="Simplified Arabic" w:cs="Simplified Arabic"/>
          <w:rtl/>
        </w:rPr>
      </w:pPr>
      <w:r w:rsidRPr="00A20BAB">
        <w:rPr>
          <w:rFonts w:ascii="Simplified Arabic" w:hAnsi="Simplified Arabic" w:cs="Simplified Arabic"/>
          <w:rtl/>
        </w:rPr>
        <w:t>إنتاج النصوص التسويقية عبر توليد نسخ إعلانية وعناوين ورسائل متعددة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Kshetri et al., 2023</w:t>
      </w:r>
      <w:r w:rsidRPr="00A20BAB">
        <w:rPr>
          <w:rFonts w:ascii="Simplified Arabic" w:hAnsi="Simplified Arabic" w:cs="Simplified Arabic"/>
          <w:rtl/>
        </w:rPr>
        <w:t>).</w:t>
      </w:r>
    </w:p>
    <w:p w14:paraId="41A6BDB8" w14:textId="77777777" w:rsidR="00A20BAB" w:rsidRPr="00A20BAB" w:rsidRDefault="00A20BAB">
      <w:pPr>
        <w:numPr>
          <w:ilvl w:val="0"/>
          <w:numId w:val="11"/>
        </w:numPr>
        <w:bidi/>
        <w:jc w:val="both"/>
        <w:rPr>
          <w:rFonts w:ascii="Simplified Arabic" w:hAnsi="Simplified Arabic" w:cs="Simplified Arabic"/>
          <w:rtl/>
        </w:rPr>
      </w:pPr>
      <w:r w:rsidRPr="00A20BAB">
        <w:rPr>
          <w:rFonts w:ascii="Simplified Arabic" w:hAnsi="Simplified Arabic" w:cs="Simplified Arabic"/>
          <w:rtl/>
        </w:rPr>
        <w:t>إنتاج العناصر البصرية عبر بناء تصورات أولية وبدائل تصميمية قابلة للمقارنة (</w:t>
      </w:r>
      <w:r w:rsidRPr="00A20BAB">
        <w:rPr>
          <w:rFonts w:ascii="Simplified Arabic" w:hAnsi="Simplified Arabic" w:cs="Simplified Arabic"/>
        </w:rPr>
        <w:t>Dimitrieska,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34C917B5" w14:textId="77777777" w:rsidR="00A20BAB" w:rsidRPr="00A20BAB" w:rsidRDefault="00A20BAB">
      <w:pPr>
        <w:numPr>
          <w:ilvl w:val="0"/>
          <w:numId w:val="11"/>
        </w:numPr>
        <w:bidi/>
        <w:jc w:val="both"/>
        <w:rPr>
          <w:rFonts w:ascii="Simplified Arabic" w:hAnsi="Simplified Arabic" w:cs="Simplified Arabic"/>
          <w:rtl/>
        </w:rPr>
      </w:pPr>
      <w:r w:rsidRPr="00A20BAB">
        <w:rPr>
          <w:rFonts w:ascii="Simplified Arabic" w:hAnsi="Simplified Arabic" w:cs="Simplified Arabic"/>
          <w:rtl/>
        </w:rPr>
        <w:t>دعم التكامل الإبداعي عبر المنصات من خلال تكييف الرسالة نفسها بما يناسب خصائص كل قناة (</w:t>
      </w:r>
      <w:r w:rsidRPr="00A20BAB">
        <w:rPr>
          <w:rFonts w:ascii="Simplified Arabic" w:hAnsi="Simplified Arabic" w:cs="Simplified Arabic"/>
        </w:rPr>
        <w:t>Kujore et al., 2025</w:t>
      </w:r>
      <w:r w:rsidRPr="00A20BAB">
        <w:rPr>
          <w:rFonts w:ascii="Simplified Arabic" w:hAnsi="Simplified Arabic" w:cs="Simplified Arabic"/>
          <w:rtl/>
        </w:rPr>
        <w:t>).</w:t>
      </w:r>
    </w:p>
    <w:p w14:paraId="52D34EC5" w14:textId="7E17E68A" w:rsidR="007F6645" w:rsidRDefault="00A20BAB" w:rsidP="00E04FE4">
      <w:pPr>
        <w:bidi/>
        <w:jc w:val="both"/>
        <w:rPr>
          <w:rFonts w:ascii="Simplified Arabic" w:hAnsi="Simplified Arabic" w:cs="Simplified Arabic"/>
          <w:rtl/>
        </w:rPr>
      </w:pPr>
      <w:r w:rsidRPr="00A20BAB">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B7CE7EF" w14:textId="77777777" w:rsidR="00E04FE4" w:rsidRDefault="00E04FE4" w:rsidP="00E04FE4">
      <w:pPr>
        <w:bidi/>
        <w:jc w:val="both"/>
        <w:rPr>
          <w:rFonts w:ascii="Simplified Arabic" w:hAnsi="Simplified Arabic" w:cs="Simplified Arabic"/>
          <w:rtl/>
        </w:rPr>
      </w:pPr>
    </w:p>
    <w:p w14:paraId="55CF98EB" w14:textId="77777777" w:rsidR="00E04FE4" w:rsidRDefault="00E04FE4" w:rsidP="00E04FE4">
      <w:pPr>
        <w:bidi/>
        <w:jc w:val="both"/>
        <w:rPr>
          <w:rFonts w:ascii="Simplified Arabic" w:hAnsi="Simplified Arabic" w:cs="Simplified Arabic"/>
          <w:rtl/>
        </w:rPr>
      </w:pPr>
    </w:p>
    <w:p w14:paraId="28F1322C" w14:textId="77777777" w:rsidR="00E04FE4" w:rsidRPr="00A20BAB" w:rsidRDefault="00E04FE4" w:rsidP="00E04FE4">
      <w:pPr>
        <w:bidi/>
        <w:jc w:val="both"/>
        <w:rPr>
          <w:rFonts w:ascii="Simplified Arabic" w:hAnsi="Simplified Arabic" w:cs="Simplified Arabic"/>
          <w:rtl/>
        </w:rPr>
      </w:pPr>
    </w:p>
    <w:p w14:paraId="76B6F15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5. دعم مرحلة التنفيذ والمتابعة والتحسين أثناء الحملة</w:t>
      </w:r>
    </w:p>
    <w:p w14:paraId="6354D57E"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sidRPr="00A20BAB">
        <w:rPr>
          <w:rFonts w:ascii="Simplified Arabic" w:hAnsi="Simplified Arabic" w:cs="Simplified Arabic"/>
        </w:rPr>
        <w:t>IAB Tech Lab, 2024</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الثالث: دور الذكاء الاصطناعي التوليدي في تصميم الحملات</w:t>
      </w:r>
    </w:p>
    <w:p w14:paraId="362F7A5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أولًا: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توليد النصوص التسويقية</w:t>
      </w:r>
    </w:p>
    <w:p w14:paraId="089382E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sidRPr="00A20BAB">
        <w:rPr>
          <w:rFonts w:ascii="Simplified Arabic" w:hAnsi="Simplified Arabic" w:cs="Simplified Arabic"/>
        </w:rPr>
        <w:t>Islam et al., 2024</w:t>
      </w:r>
      <w:r w:rsidRPr="00A20BAB">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sidRPr="00A20BAB">
        <w:rPr>
          <w:rFonts w:ascii="Simplified Arabic" w:hAnsi="Simplified Arabic" w:cs="Simplified Arabic"/>
        </w:rPr>
        <w:t>Kshetri et al., 2023</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sidRPr="00A20BAB">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توليد الصور والتصاميم الإعلانية</w:t>
      </w:r>
    </w:p>
    <w:p w14:paraId="79196FE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sidRPr="00A20BAB">
        <w:rPr>
          <w:rFonts w:ascii="Simplified Arabic" w:hAnsi="Simplified Arabic" w:cs="Simplified Arabic"/>
        </w:rPr>
        <w:t>Dimitrieska, 2024</w:t>
      </w:r>
      <w:r w:rsidRPr="00A20BAB">
        <w:rPr>
          <w:rFonts w:ascii="Simplified Arabic" w:hAnsi="Simplified Arabic" w:cs="Simplified Arabic"/>
          <w:rtl/>
        </w:rPr>
        <w:t>). كما تساعد الأدوات البصرية التوليدية على تسريع إنتاج النماذج الأولية (</w:t>
      </w:r>
      <w:r w:rsidRPr="00A20BAB">
        <w:rPr>
          <w:rFonts w:ascii="Simplified Arabic" w:hAnsi="Simplified Arabic" w:cs="Simplified Arabic"/>
        </w:rPr>
        <w:t>Mockups</w:t>
      </w:r>
      <w:r w:rsidRPr="00A20BAB">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sidRPr="00A20BAB">
        <w:rPr>
          <w:rFonts w:ascii="Simplified Arabic" w:hAnsi="Simplified Arabic" w:cs="Simplified Arabic"/>
        </w:rPr>
        <w:t>Gujar &amp; Panyam, 2024</w:t>
      </w:r>
      <w:r w:rsidRPr="00A20BAB">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ومن منظور ا</w:t>
      </w:r>
      <w:r w:rsidRPr="00A20BAB">
        <w:rPr>
          <w:rFonts w:ascii="Simplified Arabic" w:hAnsi="Simplified Arabic" w:cs="Simplified Arabic" w:hint="cs"/>
          <w:rtl/>
        </w:rPr>
        <w:t>لباحث</w:t>
      </w:r>
      <w:r w:rsidRPr="00A20BAB">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sidRPr="00A20BAB">
        <w:rPr>
          <w:rFonts w:ascii="Simplified Arabic" w:hAnsi="Simplified Arabic" w:cs="Simplified Arabic"/>
        </w:rPr>
        <w:t>Heitmann, 2024</w:t>
      </w:r>
      <w:r w:rsidRPr="00A20BAB">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إنتاج الفيديوهات التسويقية والمحتوى متعدد الوسائط</w:t>
      </w:r>
    </w:p>
    <w:p w14:paraId="6F2B6B5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sidRPr="00A20BAB">
        <w:rPr>
          <w:rFonts w:ascii="Simplified Arabic" w:hAnsi="Simplified Arabic" w:cs="Simplified Arabic"/>
        </w:rPr>
        <w:t>Kujore et al., 2025</w:t>
      </w:r>
      <w:r w:rsidRPr="00A20BAB">
        <w:rPr>
          <w:rFonts w:ascii="Simplified Arabic" w:hAnsi="Simplified Arabic" w:cs="Simplified Arabic"/>
          <w:rtl/>
        </w:rPr>
        <w:t xml:space="preserve">). </w:t>
      </w:r>
      <w:r w:rsidRPr="00A20BAB">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6FC2DEB8"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ثانيًا: التخصيص الدقيق للمحتوى واستهداف الجمهور المناسب</w:t>
      </w:r>
    </w:p>
    <w:p w14:paraId="21E73680"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sidRPr="00A20BAB">
        <w:rPr>
          <w:rFonts w:ascii="Simplified Arabic" w:hAnsi="Simplified Arabic" w:cs="Simplified Arabic"/>
        </w:rPr>
        <w:t>Mendoza et al., 2025</w:t>
      </w:r>
      <w:r w:rsidRPr="00A20BAB">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ويتجلى هذا الدور في ثلاث وظائف مترابطة:</w:t>
      </w:r>
    </w:p>
    <w:p w14:paraId="501B02E2" w14:textId="77777777" w:rsidR="00A20BAB" w:rsidRPr="00A20BAB" w:rsidRDefault="00A20BAB">
      <w:pPr>
        <w:numPr>
          <w:ilvl w:val="0"/>
          <w:numId w:val="9"/>
        </w:numPr>
        <w:bidi/>
        <w:jc w:val="both"/>
        <w:rPr>
          <w:rFonts w:ascii="Simplified Arabic" w:hAnsi="Simplified Arabic" w:cs="Simplified Arabic"/>
          <w:rtl/>
        </w:rPr>
      </w:pPr>
      <w:r w:rsidRPr="00A20BAB">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sidRPr="00A20BAB">
        <w:rPr>
          <w:rFonts w:ascii="Simplified Arabic" w:hAnsi="Simplified Arabic" w:cs="Simplified Arabic"/>
        </w:rPr>
        <w:t>Wang et al., 2025</w:t>
      </w:r>
      <w:r w:rsidRPr="00A20BAB">
        <w:rPr>
          <w:rFonts w:ascii="Simplified Arabic" w:hAnsi="Simplified Arabic" w:cs="Simplified Arabic"/>
          <w:rtl/>
        </w:rPr>
        <w:t>).</w:t>
      </w:r>
    </w:p>
    <w:p w14:paraId="374A7BD5" w14:textId="77777777" w:rsidR="00A20BAB" w:rsidRPr="00A20BAB" w:rsidRDefault="00A20BAB">
      <w:pPr>
        <w:numPr>
          <w:ilvl w:val="0"/>
          <w:numId w:val="9"/>
        </w:numPr>
        <w:bidi/>
        <w:jc w:val="both"/>
        <w:rPr>
          <w:rFonts w:ascii="Simplified Arabic" w:hAnsi="Simplified Arabic" w:cs="Simplified Arabic"/>
          <w:rtl/>
        </w:rPr>
      </w:pPr>
      <w:r w:rsidRPr="00A20BAB">
        <w:rPr>
          <w:rFonts w:ascii="Simplified Arabic" w:hAnsi="Simplified Arabic" w:cs="Simplified Arabic"/>
          <w:rtl/>
        </w:rPr>
        <w:t>تكييف المحتوى بحسب المنصة الرقمية مع تعديل الطول والصياغة والإيقاع وفق خصائص كل قناة (</w:t>
      </w:r>
      <w:r w:rsidRPr="00A20BAB">
        <w:rPr>
          <w:rFonts w:ascii="Simplified Arabic" w:hAnsi="Simplified Arabic" w:cs="Simplified Arabic"/>
        </w:rPr>
        <w:t>Islam et al., 2024</w:t>
      </w:r>
      <w:r w:rsidRPr="00A20BAB">
        <w:rPr>
          <w:rFonts w:ascii="Simplified Arabic" w:hAnsi="Simplified Arabic" w:cs="Simplified Arabic"/>
          <w:rtl/>
        </w:rPr>
        <w:t>).</w:t>
      </w:r>
    </w:p>
    <w:p w14:paraId="3F7D6B27" w14:textId="77777777" w:rsidR="00A20BAB" w:rsidRPr="00A20BAB" w:rsidRDefault="00A20BAB">
      <w:pPr>
        <w:numPr>
          <w:ilvl w:val="0"/>
          <w:numId w:val="9"/>
        </w:numPr>
        <w:bidi/>
        <w:jc w:val="both"/>
        <w:rPr>
          <w:rFonts w:ascii="Simplified Arabic" w:hAnsi="Simplified Arabic" w:cs="Simplified Arabic"/>
          <w:rtl/>
        </w:rPr>
      </w:pPr>
      <w:r w:rsidRPr="00A20BAB">
        <w:rPr>
          <w:rFonts w:ascii="Simplified Arabic" w:hAnsi="Simplified Arabic" w:cs="Simplified Arabic"/>
          <w:rtl/>
        </w:rPr>
        <w:t>تسريع إنتاج بدائل اختبارية للتخصيص بما يدعم التجريب والتحسين المستمر أثناء الحملة (</w:t>
      </w:r>
      <w:r w:rsidRPr="00A20BAB">
        <w:rPr>
          <w:rFonts w:ascii="Simplified Arabic" w:hAnsi="Simplified Arabic" w:cs="Simplified Arabic"/>
        </w:rPr>
        <w:t>Kshetri et al., 2023</w:t>
      </w:r>
      <w:r w:rsidRPr="00A20BAB">
        <w:rPr>
          <w:rFonts w:ascii="Simplified Arabic" w:hAnsi="Simplified Arabic" w:cs="Simplified Arabic"/>
          <w:rtl/>
        </w:rPr>
        <w:t>).</w:t>
      </w:r>
    </w:p>
    <w:p w14:paraId="498489A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sidRPr="00A20BAB">
        <w:rPr>
          <w:rFonts w:ascii="Simplified Arabic" w:hAnsi="Simplified Arabic" w:cs="Simplified Arabic"/>
        </w:rPr>
        <w:t>SDAIA, 2024</w:t>
      </w:r>
      <w:r w:rsidRPr="00A20BAB">
        <w:rPr>
          <w:rFonts w:ascii="Simplified Arabic" w:hAnsi="Simplified Arabic" w:cs="Simplified Arabic"/>
          <w:rtl/>
        </w:rPr>
        <w:t>).</w:t>
      </w:r>
    </w:p>
    <w:p w14:paraId="7CA21812"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ثالثًا: تحليل البيانات الضخمة وتحسين القرارات أثناء الحملة</w:t>
      </w:r>
    </w:p>
    <w:p w14:paraId="7182582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sidRPr="00A20BAB">
        <w:rPr>
          <w:rFonts w:ascii="Simplified Arabic" w:hAnsi="Simplified Arabic" w:cs="Simplified Arabic"/>
        </w:rPr>
        <w:t>Islam et al., 2024</w:t>
      </w:r>
      <w:r w:rsidRPr="00A20BAB">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ويظهر هذا الدور في ثلاثة مستويات رئيسة:</w:t>
      </w:r>
    </w:p>
    <w:p w14:paraId="4396ED1D" w14:textId="77777777" w:rsidR="00A20BAB" w:rsidRPr="00A20BAB" w:rsidRDefault="00A20BAB">
      <w:pPr>
        <w:numPr>
          <w:ilvl w:val="0"/>
          <w:numId w:val="10"/>
        </w:numPr>
        <w:bidi/>
        <w:jc w:val="both"/>
        <w:rPr>
          <w:rFonts w:ascii="Simplified Arabic" w:hAnsi="Simplified Arabic" w:cs="Simplified Arabic"/>
          <w:rtl/>
        </w:rPr>
      </w:pPr>
      <w:r w:rsidRPr="00A20BAB">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sidRPr="00A20BAB">
        <w:rPr>
          <w:rFonts w:ascii="Simplified Arabic" w:hAnsi="Simplified Arabic" w:cs="Simplified Arabic"/>
        </w:rPr>
        <w:t>Doshi et al., 2025</w:t>
      </w:r>
      <w:r w:rsidRPr="00A20BAB">
        <w:rPr>
          <w:rFonts w:ascii="Simplified Arabic" w:hAnsi="Simplified Arabic" w:cs="Simplified Arabic"/>
          <w:rtl/>
        </w:rPr>
        <w:t>).</w:t>
      </w:r>
    </w:p>
    <w:p w14:paraId="101358CA" w14:textId="77777777" w:rsidR="00A20BAB" w:rsidRPr="00A20BAB" w:rsidRDefault="00A20BAB">
      <w:pPr>
        <w:numPr>
          <w:ilvl w:val="0"/>
          <w:numId w:val="10"/>
        </w:numPr>
        <w:bidi/>
        <w:jc w:val="both"/>
        <w:rPr>
          <w:rFonts w:ascii="Simplified Arabic" w:hAnsi="Simplified Arabic" w:cs="Simplified Arabic"/>
          <w:rtl/>
        </w:rPr>
      </w:pPr>
      <w:r w:rsidRPr="00A20BAB">
        <w:rPr>
          <w:rFonts w:ascii="Simplified Arabic" w:hAnsi="Simplified Arabic" w:cs="Simplified Arabic"/>
          <w:rtl/>
        </w:rPr>
        <w:t>اقتراح بدائل تحسين أثناء التنفيذ عند ضعف أداء رسالة أو عنصر بصري، بما يعزز مرونة الاستجابة (</w:t>
      </w:r>
      <w:r w:rsidRPr="00A20BAB">
        <w:rPr>
          <w:rFonts w:ascii="Simplified Arabic" w:hAnsi="Simplified Arabic" w:cs="Simplified Arabic"/>
        </w:rPr>
        <w:t>Heitmann, 2024</w:t>
      </w:r>
      <w:r w:rsidRPr="00A20BAB">
        <w:rPr>
          <w:rFonts w:ascii="Simplified Arabic" w:hAnsi="Simplified Arabic" w:cs="Simplified Arabic"/>
          <w:rtl/>
        </w:rPr>
        <w:t>).</w:t>
      </w:r>
    </w:p>
    <w:p w14:paraId="5141FC66" w14:textId="77777777" w:rsidR="00A20BAB" w:rsidRDefault="00A20BAB">
      <w:pPr>
        <w:numPr>
          <w:ilvl w:val="0"/>
          <w:numId w:val="10"/>
        </w:numPr>
        <w:bidi/>
        <w:jc w:val="both"/>
        <w:rPr>
          <w:rFonts w:ascii="Simplified Arabic" w:hAnsi="Simplified Arabic" w:cs="Simplified Arabic"/>
        </w:rPr>
      </w:pPr>
      <w:r w:rsidRPr="00A20BAB">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sidRPr="00A20BAB">
        <w:rPr>
          <w:rFonts w:ascii="Simplified Arabic" w:hAnsi="Simplified Arabic" w:cs="Simplified Arabic"/>
        </w:rPr>
        <w:t>Doshi et al., 2025</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54C37392" w14:textId="77777777" w:rsidR="00E04FE4" w:rsidRDefault="00E04FE4" w:rsidP="00E04FE4">
      <w:pPr>
        <w:bidi/>
        <w:jc w:val="both"/>
        <w:rPr>
          <w:rFonts w:ascii="Simplified Arabic" w:hAnsi="Simplified Arabic" w:cs="Simplified Arabic"/>
          <w:rtl/>
        </w:rPr>
      </w:pPr>
    </w:p>
    <w:p w14:paraId="46FD8CCE" w14:textId="77777777" w:rsidR="00E04FE4" w:rsidRPr="00A20BAB" w:rsidRDefault="00E04FE4" w:rsidP="00E04FE4">
      <w:pPr>
        <w:bidi/>
        <w:jc w:val="both"/>
        <w:rPr>
          <w:rFonts w:ascii="Simplified Arabic" w:hAnsi="Simplified Arabic" w:cs="Simplified Arabic"/>
          <w:rtl/>
        </w:rPr>
      </w:pPr>
    </w:p>
    <w:p w14:paraId="6B7CA5A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lastRenderedPageBreak/>
        <w:t>المطلب الرابع: التحديات والأخلاقيات</w:t>
      </w:r>
    </w:p>
    <w:p w14:paraId="27ECC8C6"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أولًا: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جودة البيانات ومدى ملاءمتها</w:t>
      </w:r>
    </w:p>
    <w:p w14:paraId="2556E50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sidRPr="00A20BAB">
        <w:rPr>
          <w:rFonts w:ascii="Simplified Arabic" w:hAnsi="Simplified Arabic" w:cs="Simplified Arabic"/>
        </w:rPr>
        <w:t>Mendoza et al., 2025</w:t>
      </w:r>
      <w:r w:rsidRPr="00A20BAB">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تفاوت جودة المخرجات والحاجة إلى المراجعة البشرية</w:t>
      </w:r>
    </w:p>
    <w:p w14:paraId="2F0A35B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35BBB0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صعوبات التكامل مع سير العمل والأنظمة القائمة</w:t>
      </w:r>
    </w:p>
    <w:p w14:paraId="6EE3210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sidRPr="00A20BAB">
        <w:rPr>
          <w:rFonts w:ascii="Simplified Arabic" w:hAnsi="Simplified Arabic" w:cs="Simplified Arabic"/>
        </w:rPr>
        <w:t>Nguyen et al., 2025</w:t>
      </w:r>
      <w:r w:rsidRPr="00A20BAB">
        <w:rPr>
          <w:rFonts w:ascii="Simplified Arabic" w:hAnsi="Simplified Arabic" w:cs="Simplified Arabic"/>
          <w:rtl/>
        </w:rPr>
        <w:t>).</w:t>
      </w:r>
    </w:p>
    <w:p w14:paraId="1A7667AE"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ثانيًا: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الخصوصية وأمن البيانات</w:t>
      </w:r>
    </w:p>
    <w:p w14:paraId="430D855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sidRPr="00A20BAB">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78C0FDB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الملكية الفكرية وحقوق المحتوى</w:t>
      </w:r>
    </w:p>
    <w:p w14:paraId="1ED3697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sidRPr="00A20BAB">
        <w:rPr>
          <w:rFonts w:ascii="Simplified Arabic" w:hAnsi="Simplified Arabic" w:cs="Simplified Arabic"/>
        </w:rPr>
        <w:t>Dwivedi et al., 2023</w:t>
      </w:r>
      <w:r w:rsidRPr="00A20BAB">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التحيز والعدالة في المخرجات التسويقية</w:t>
      </w:r>
    </w:p>
    <w:p w14:paraId="4D459DC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sidRPr="00A20BAB">
        <w:rPr>
          <w:rFonts w:ascii="Simplified Arabic" w:hAnsi="Simplified Arabic" w:cs="Simplified Arabic"/>
        </w:rPr>
        <w:t>IAB Tech Lab, 2024</w:t>
      </w:r>
      <w:r w:rsidRPr="00A20BAB">
        <w:rPr>
          <w:rFonts w:ascii="Simplified Arabic" w:hAnsi="Simplified Arabic" w:cs="Simplified Arabic"/>
          <w:rtl/>
        </w:rPr>
        <w:t>). وتزداد أهمية ذلك في السياق السعودي بما يتطلبه من مواءمة للقيم والسياق المحلي (</w:t>
      </w:r>
      <w:r w:rsidRPr="00A20BAB">
        <w:rPr>
          <w:rFonts w:ascii="Simplified Arabic" w:hAnsi="Simplified Arabic" w:cs="Simplified Arabic"/>
        </w:rPr>
        <w:t>SDAIA, 2024</w:t>
      </w:r>
      <w:r w:rsidRPr="00A20BAB">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الشفافية والمساءلة عن المحتوى المنشور</w:t>
      </w:r>
    </w:p>
    <w:p w14:paraId="2E9E70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sidRPr="00A20BAB">
        <w:rPr>
          <w:rFonts w:ascii="Simplified Arabic" w:hAnsi="Simplified Arabic" w:cs="Simplified Arabic"/>
        </w:rPr>
        <w:t>Dwivedi et al., 2023</w:t>
      </w:r>
      <w:r w:rsidRPr="00A20BAB">
        <w:rPr>
          <w:rFonts w:ascii="Simplified Arabic" w:hAnsi="Simplified Arabic" w:cs="Simplified Arabic"/>
          <w:rtl/>
        </w:rPr>
        <w:t>).</w:t>
      </w:r>
    </w:p>
    <w:p w14:paraId="0F5BD6A1"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ثالثًا: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sidRPr="00A20BAB">
        <w:rPr>
          <w:rFonts w:ascii="Simplified Arabic" w:hAnsi="Simplified Arabic" w:cs="Simplified Arabic"/>
        </w:rPr>
        <w:t>Kshetri et al., 2023</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77FA2000"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sidRPr="00A20BAB">
        <w:rPr>
          <w:rFonts w:ascii="Simplified Arabic" w:hAnsi="Simplified Arabic" w:cs="Simplified Arabic"/>
        </w:rPr>
        <w:t>SDAIA, 2024</w:t>
      </w:r>
      <w:r w:rsidRPr="00A20BAB">
        <w:rPr>
          <w:rFonts w:ascii="Simplified Arabic" w:hAnsi="Simplified Arabic" w:cs="Simplified Arabic"/>
          <w:rtl/>
        </w:rPr>
        <w:t>).</w:t>
      </w:r>
    </w:p>
    <w:p w14:paraId="764C2DC7" w14:textId="77777777" w:rsidR="00E04FE4" w:rsidRDefault="00E04FE4" w:rsidP="00E04FE4">
      <w:pPr>
        <w:bidi/>
        <w:jc w:val="both"/>
        <w:rPr>
          <w:rFonts w:ascii="Simplified Arabic" w:hAnsi="Simplified Arabic" w:cs="Simplified Arabic"/>
          <w:rtl/>
        </w:rPr>
      </w:pPr>
    </w:p>
    <w:p w14:paraId="1938A051" w14:textId="77777777"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sidRPr="00E04FE4">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2C6B04FE"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الأول: دوافع التبني</w:t>
      </w:r>
    </w:p>
    <w:p w14:paraId="20AB40C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أولًا: دافع تحسين الكفاءة التشغيلية وتسريع الإنجاز</w:t>
      </w:r>
    </w:p>
    <w:p w14:paraId="64E0F2D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sidRPr="00E04FE4">
        <w:rPr>
          <w:rFonts w:ascii="Simplified Arabic" w:hAnsi="Simplified Arabic" w:cs="Simplified Arabic"/>
        </w:rPr>
        <w:t>Heitmann, 2024</w:t>
      </w:r>
      <w:r w:rsidRPr="00E04FE4">
        <w:rPr>
          <w:rFonts w:ascii="Simplified Arabic" w:hAnsi="Simplified Arabic" w:cs="Simplified Arabic"/>
          <w:rtl/>
        </w:rPr>
        <w:t>).</w:t>
      </w:r>
    </w:p>
    <w:p w14:paraId="24D0EA7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sidRPr="00E04FE4">
        <w:rPr>
          <w:rFonts w:ascii="Simplified Arabic" w:hAnsi="Simplified Arabic" w:cs="Simplified Arabic"/>
        </w:rPr>
        <w:t>Kshetri et al., 2023</w:t>
      </w:r>
      <w:r w:rsidRPr="00E04FE4">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DBF12B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263F027A"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دافع خفض التكاليف وإعادة توزيع الموارد</w:t>
      </w:r>
    </w:p>
    <w:p w14:paraId="5A4EDB1C"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sidRPr="00E04FE4">
        <w:rPr>
          <w:rFonts w:ascii="Simplified Arabic" w:hAnsi="Simplified Arabic" w:cs="Simplified Arabic"/>
        </w:rPr>
        <w:t>Nuremberg Institute for Market Decisions, 2024</w:t>
      </w:r>
      <w:r w:rsidRPr="00E04FE4">
        <w:rPr>
          <w:rFonts w:ascii="Simplified Arabic" w:hAnsi="Simplified Arabic" w:cs="Simplified Arabic"/>
          <w:rtl/>
        </w:rPr>
        <w:t>).</w:t>
      </w:r>
    </w:p>
    <w:p w14:paraId="1E38A461"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sidRPr="00E04FE4">
        <w:rPr>
          <w:rFonts w:ascii="Simplified Arabic" w:hAnsi="Simplified Arabic" w:cs="Simplified Arabic"/>
        </w:rPr>
        <w:t>Heitmann, 2024</w:t>
      </w:r>
      <w:r w:rsidRPr="00E04FE4">
        <w:rPr>
          <w:rFonts w:ascii="Simplified Arabic" w:hAnsi="Simplified Arabic" w:cs="Simplified Arabic"/>
          <w:rtl/>
        </w:rPr>
        <w:t>).</w:t>
      </w:r>
    </w:p>
    <w:p w14:paraId="7E06E39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دافع زيادة القدرة على التخصيص وتحسين ملاءمة الرسائل</w:t>
      </w:r>
    </w:p>
    <w:p w14:paraId="69562D8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sidRPr="00E04FE4">
        <w:rPr>
          <w:rFonts w:ascii="Simplified Arabic" w:hAnsi="Simplified Arabic" w:cs="Simplified Arabic"/>
        </w:rPr>
        <w:t>Mendoza et al., 2025</w:t>
      </w:r>
      <w:r w:rsidRPr="00E04FE4">
        <w:rPr>
          <w:rFonts w:ascii="Simplified Arabic" w:hAnsi="Simplified Arabic" w:cs="Simplified Arabic"/>
          <w:rtl/>
        </w:rPr>
        <w:t>).</w:t>
      </w:r>
    </w:p>
    <w:p w14:paraId="2A1EC42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sidRPr="00E04FE4">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sidRPr="00E04FE4">
        <w:rPr>
          <w:rFonts w:ascii="Simplified Arabic" w:hAnsi="Simplified Arabic" w:cs="Simplified Arabic"/>
        </w:rPr>
        <w:t>Islam et al., 2024</w:t>
      </w:r>
      <w:r w:rsidRPr="00E04FE4">
        <w:rPr>
          <w:rFonts w:ascii="Simplified Arabic" w:hAnsi="Simplified Arabic" w:cs="Simplified Arabic"/>
          <w:rtl/>
        </w:rPr>
        <w:t>).</w:t>
      </w:r>
    </w:p>
    <w:p w14:paraId="7957FA0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r w:rsidRPr="00E04FE4">
        <w:rPr>
          <w:rFonts w:ascii="Simplified Arabic" w:hAnsi="Simplified Arabic" w:cs="Simplified Arabic"/>
        </w:rPr>
        <w:t>Beyari</w:t>
      </w:r>
      <w:r w:rsidRPr="00E04FE4">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F1F29DE"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رابعًا: دافع مواكبة المنافسة والتحول السوقي</w:t>
      </w:r>
    </w:p>
    <w:p w14:paraId="29960F5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r w:rsidRPr="00E04FE4">
        <w:rPr>
          <w:rFonts w:ascii="Simplified Arabic" w:hAnsi="Simplified Arabic" w:cs="Simplified Arabic"/>
        </w:rPr>
        <w:t>Kshetri et al., 2023</w:t>
      </w:r>
      <w:r w:rsidRPr="00E04FE4">
        <w:rPr>
          <w:rFonts w:ascii="Simplified Arabic" w:hAnsi="Simplified Arabic" w:cs="Simplified Arabic"/>
          <w:rtl/>
        </w:rPr>
        <w:t>).</w:t>
      </w:r>
    </w:p>
    <w:p w14:paraId="7CD6CFA5"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sidRPr="00E04FE4">
        <w:rPr>
          <w:rFonts w:ascii="Simplified Arabic" w:hAnsi="Simplified Arabic" w:cs="Simplified Arabic"/>
        </w:rPr>
        <w:t>McKinsey &amp; Company, 2024</w:t>
      </w:r>
      <w:r w:rsidRPr="00E04FE4">
        <w:rPr>
          <w:rFonts w:ascii="Simplified Arabic" w:hAnsi="Simplified Arabic" w:cs="Simplified Arabic"/>
          <w:rtl/>
        </w:rPr>
        <w:t xml:space="preserve">؛ </w:t>
      </w:r>
      <w:r w:rsidRPr="00E04FE4">
        <w:rPr>
          <w:rFonts w:ascii="Simplified Arabic" w:hAnsi="Simplified Arabic" w:cs="Simplified Arabic"/>
        </w:rPr>
        <w:t>Strategy&amp; (PwC Middle East), 2024</w:t>
      </w:r>
      <w:r w:rsidRPr="00E04FE4">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w:t>
      </w:r>
    </w:p>
    <w:p w14:paraId="57E8EDBE" w14:textId="77777777" w:rsidR="00E04FE4" w:rsidRPr="00E04FE4" w:rsidRDefault="00E04FE4" w:rsidP="00E04FE4">
      <w:pPr>
        <w:bidi/>
        <w:jc w:val="both"/>
        <w:rPr>
          <w:rFonts w:ascii="Simplified Arabic" w:hAnsi="Simplified Arabic" w:cs="Simplified Arabic"/>
          <w:rtl/>
        </w:rPr>
      </w:pPr>
    </w:p>
    <w:p w14:paraId="1DF5752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الثاني: العوائق الفنية</w:t>
      </w:r>
    </w:p>
    <w:p w14:paraId="6C9C3EE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r w:rsidRPr="00E04FE4">
        <w:rPr>
          <w:rFonts w:ascii="Simplified Arabic" w:hAnsi="Simplified Arabic" w:cs="Simplified Arabic"/>
        </w:rPr>
        <w:t>Masnita et al., 2024</w:t>
      </w:r>
      <w:r w:rsidRPr="00E04FE4">
        <w:rPr>
          <w:rFonts w:ascii="Simplified Arabic" w:hAnsi="Simplified Arabic" w:cs="Simplified Arabic"/>
          <w:rtl/>
        </w:rPr>
        <w:t>).</w:t>
      </w:r>
    </w:p>
    <w:p w14:paraId="4126B0D6" w14:textId="77777777" w:rsid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7E426446" w14:textId="77777777" w:rsidR="00915B55" w:rsidRDefault="00915B55" w:rsidP="00915B55">
      <w:pPr>
        <w:bidi/>
        <w:jc w:val="both"/>
        <w:rPr>
          <w:rFonts w:ascii="Simplified Arabic" w:hAnsi="Simplified Arabic" w:cs="Simplified Arabic"/>
          <w:rtl/>
        </w:rPr>
      </w:pPr>
    </w:p>
    <w:p w14:paraId="2F984AE7" w14:textId="77777777" w:rsidR="00915B55" w:rsidRPr="00E04FE4" w:rsidRDefault="00915B55" w:rsidP="00915B55">
      <w:pPr>
        <w:bidi/>
        <w:jc w:val="both"/>
        <w:rPr>
          <w:rFonts w:ascii="Simplified Arabic" w:hAnsi="Simplified Arabic" w:cs="Simplified Arabic"/>
          <w:rtl/>
        </w:rPr>
      </w:pPr>
    </w:p>
    <w:p w14:paraId="045AD823"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lastRenderedPageBreak/>
        <w:t>أولًا: نقص المهارات والمعرفة التقنية</w:t>
      </w:r>
    </w:p>
    <w:p w14:paraId="2C227AC0"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r w:rsidRPr="00E04FE4">
        <w:rPr>
          <w:rFonts w:ascii="Simplified Arabic" w:hAnsi="Simplified Arabic" w:cs="Simplified Arabic"/>
        </w:rPr>
        <w:t>Kshetri et al., 2023</w:t>
      </w:r>
      <w:r w:rsidRPr="00E04FE4">
        <w:rPr>
          <w:rFonts w:ascii="Simplified Arabic" w:hAnsi="Simplified Arabic" w:cs="Simplified Arabic"/>
          <w:rtl/>
        </w:rPr>
        <w:t>).</w:t>
      </w:r>
    </w:p>
    <w:p w14:paraId="41CBEEE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4798842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sidRPr="00E04FE4">
        <w:rPr>
          <w:rFonts w:ascii="Simplified Arabic" w:hAnsi="Simplified Arabic" w:cs="Simplified Arabic"/>
        </w:rPr>
        <w:t>Al-Emran et al., 2025</w:t>
      </w:r>
      <w:r w:rsidRPr="00E04FE4">
        <w:rPr>
          <w:rFonts w:ascii="Simplified Arabic" w:hAnsi="Simplified Arabic" w:cs="Simplified Arabic"/>
          <w:rtl/>
        </w:rPr>
        <w:t>).</w:t>
      </w:r>
    </w:p>
    <w:p w14:paraId="30A0A440"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sidRPr="00E04FE4">
        <w:rPr>
          <w:rFonts w:ascii="Simplified Arabic" w:hAnsi="Simplified Arabic" w:cs="Simplified Arabic"/>
        </w:rPr>
        <w:t>Masnita et al., 2024</w:t>
      </w:r>
      <w:r w:rsidRPr="00E04FE4">
        <w:rPr>
          <w:rFonts w:ascii="Simplified Arabic" w:hAnsi="Simplified Arabic" w:cs="Simplified Arabic"/>
          <w:rtl/>
        </w:rPr>
        <w:t>).</w:t>
      </w:r>
    </w:p>
    <w:p w14:paraId="69D619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sidRPr="00E04FE4">
        <w:rPr>
          <w:rFonts w:ascii="Simplified Arabic" w:hAnsi="Simplified Arabic" w:cs="Simplified Arabic"/>
        </w:rPr>
        <w:t>Mendoza et al., 2025</w:t>
      </w:r>
      <w:r w:rsidRPr="00E04FE4">
        <w:rPr>
          <w:rFonts w:ascii="Simplified Arabic" w:hAnsi="Simplified Arabic" w:cs="Simplified Arabic"/>
          <w:rtl/>
        </w:rPr>
        <w:t>).</w:t>
      </w:r>
    </w:p>
    <w:p w14:paraId="55904A6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sidRPr="00E04FE4">
        <w:rPr>
          <w:rFonts w:ascii="Simplified Arabic" w:hAnsi="Simplified Arabic" w:cs="Simplified Arabic"/>
        </w:rPr>
        <w:t>Strategy&amp; (PwC Middle East), 2024</w:t>
      </w:r>
      <w:r w:rsidRPr="00E04FE4">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sidRPr="00E04FE4">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1B844690"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صعوبات التكامل مع الأنظمة والأدوات القائمة</w:t>
      </w:r>
    </w:p>
    <w:p w14:paraId="3C93CBA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الفنية المتكررة في البيئات المهنية أن الأدوات الجديدة</w:t>
      </w:r>
      <w:r w:rsidRPr="00E04FE4">
        <w:rPr>
          <w:rFonts w:ascii="Simplified Arabic" w:hAnsi="Simplified Arabic" w:cs="Simplified Arabic" w:hint="cs"/>
          <w:rtl/>
        </w:rPr>
        <w:t xml:space="preserve"> </w:t>
      </w:r>
      <w:r w:rsidRPr="00E04FE4">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sidRPr="00E04FE4">
        <w:rPr>
          <w:rFonts w:ascii="Simplified Arabic" w:hAnsi="Simplified Arabic" w:cs="Simplified Arabic"/>
        </w:rPr>
        <w:t>Nguyen et al., 2025</w:t>
      </w:r>
      <w:r w:rsidRPr="00E04FE4">
        <w:rPr>
          <w:rFonts w:ascii="Simplified Arabic" w:hAnsi="Simplified Arabic" w:cs="Simplified Arabic"/>
          <w:rtl/>
        </w:rPr>
        <w:t>).</w:t>
      </w:r>
    </w:p>
    <w:p w14:paraId="7B9F13C0" w14:textId="007E5C15"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sidRPr="00E04FE4">
        <w:rPr>
          <w:rFonts w:ascii="Simplified Arabic" w:hAnsi="Simplified Arabic" w:cs="Simplified Arabic"/>
        </w:rPr>
        <w:t>Heitmann, 2024</w:t>
      </w:r>
      <w:r w:rsidRPr="00E04FE4">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الثالث: العوائق التنظيمية والأخلاقية</w:t>
      </w:r>
    </w:p>
    <w:p w14:paraId="598BE9C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sidRPr="00E04FE4">
        <w:rPr>
          <w:rFonts w:ascii="Simplified Arabic" w:hAnsi="Simplified Arabic" w:cs="Simplified Arabic"/>
        </w:rPr>
        <w:t>Dwivedi et al., 2023</w:t>
      </w:r>
      <w:r w:rsidRPr="00E04FE4">
        <w:rPr>
          <w:rFonts w:ascii="Simplified Arabic" w:hAnsi="Simplified Arabic" w:cs="Simplified Arabic"/>
          <w:rtl/>
        </w:rPr>
        <w:t>).</w:t>
      </w:r>
    </w:p>
    <w:p w14:paraId="6793F5F1"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sidRPr="00E04FE4">
        <w:rPr>
          <w:rFonts w:ascii="Simplified Arabic" w:hAnsi="Simplified Arabic" w:cs="Simplified Arabic"/>
        </w:rPr>
        <w:t>Kshetri et al., 2023</w:t>
      </w:r>
      <w:r w:rsidRPr="00E04FE4">
        <w:rPr>
          <w:rFonts w:ascii="Simplified Arabic" w:hAnsi="Simplified Arabic" w:cs="Simplified Arabic"/>
          <w:rtl/>
        </w:rPr>
        <w:t>).</w:t>
      </w:r>
    </w:p>
    <w:p w14:paraId="324F146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أولًا: مقاومة التغيير داخل المؤسسات</w:t>
      </w:r>
    </w:p>
    <w:p w14:paraId="04B21A80"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sidRPr="00E04FE4">
        <w:rPr>
          <w:rFonts w:ascii="Simplified Arabic" w:hAnsi="Simplified Arabic" w:cs="Simplified Arabic"/>
        </w:rPr>
        <w:t>Masnita et al., 2024</w:t>
      </w:r>
      <w:r w:rsidRPr="00E04FE4">
        <w:rPr>
          <w:rFonts w:ascii="Simplified Arabic" w:hAnsi="Simplified Arabic" w:cs="Simplified Arabic"/>
          <w:rtl/>
        </w:rPr>
        <w:t>).</w:t>
      </w:r>
    </w:p>
    <w:p w14:paraId="3FAF616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sidRPr="00E04FE4">
        <w:rPr>
          <w:rFonts w:ascii="Simplified Arabic" w:hAnsi="Simplified Arabic" w:cs="Simplified Arabic" w:hint="cs"/>
          <w:rtl/>
        </w:rPr>
        <w:t xml:space="preserve"> </w:t>
      </w:r>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p>
    <w:p w14:paraId="4637F85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sidRPr="00E04FE4">
        <w:rPr>
          <w:rFonts w:ascii="Simplified Arabic" w:hAnsi="Simplified Arabic" w:cs="Simplified Arabic"/>
        </w:rPr>
        <w:t>Nguyen et al., 2025</w:t>
      </w:r>
      <w:r w:rsidRPr="00E04FE4">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6C3F1897"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المخاوف المتعلقة بالخصوصية وأمن البيانات</w:t>
      </w:r>
    </w:p>
    <w:p w14:paraId="4B9F43C7"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sidRPr="00E04FE4">
        <w:rPr>
          <w:rFonts w:ascii="Simplified Arabic" w:hAnsi="Simplified Arabic" w:cs="Simplified Arabic"/>
        </w:rPr>
        <w:t>SDAIA, 2024</w:t>
      </w:r>
      <w:r w:rsidRPr="00E04FE4">
        <w:rPr>
          <w:rFonts w:ascii="Simplified Arabic" w:hAnsi="Simplified Arabic" w:cs="Simplified Arabic"/>
          <w:rtl/>
        </w:rPr>
        <w:t>).</w:t>
      </w:r>
    </w:p>
    <w:p w14:paraId="37F80AED"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sidRPr="00E04FE4">
        <w:rPr>
          <w:rFonts w:ascii="Simplified Arabic" w:hAnsi="Simplified Arabic" w:cs="Simplified Arabic"/>
        </w:rPr>
        <w:t>SDAIA, 2024</w:t>
      </w:r>
      <w:r w:rsidRPr="00E04FE4">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غياب الأطر التنظيمية والسياسات الداخلية الواضحة</w:t>
      </w:r>
    </w:p>
    <w:p w14:paraId="2ED8213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sidRPr="00E04FE4">
        <w:rPr>
          <w:rFonts w:ascii="Simplified Arabic" w:hAnsi="Simplified Arabic" w:cs="Simplified Arabic"/>
        </w:rPr>
        <w:t>IAB Tech Lab, 2024</w:t>
      </w:r>
      <w:r w:rsidRPr="00E04FE4">
        <w:rPr>
          <w:rFonts w:ascii="Simplified Arabic" w:hAnsi="Simplified Arabic" w:cs="Simplified Arabic"/>
          <w:rtl/>
        </w:rPr>
        <w:t>).</w:t>
      </w:r>
    </w:p>
    <w:p w14:paraId="347E705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pPr>
        <w:numPr>
          <w:ilvl w:val="0"/>
          <w:numId w:val="13"/>
        </w:numPr>
        <w:bidi/>
        <w:jc w:val="both"/>
        <w:rPr>
          <w:rFonts w:ascii="Simplified Arabic" w:hAnsi="Simplified Arabic" w:cs="Simplified Arabic"/>
          <w:rtl/>
        </w:rPr>
      </w:pPr>
      <w:r w:rsidRPr="00E04FE4">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pPr>
        <w:numPr>
          <w:ilvl w:val="0"/>
          <w:numId w:val="13"/>
        </w:numPr>
        <w:bidi/>
        <w:jc w:val="both"/>
        <w:rPr>
          <w:rFonts w:ascii="Simplified Arabic" w:hAnsi="Simplified Arabic" w:cs="Simplified Arabic"/>
          <w:rtl/>
        </w:rPr>
      </w:pPr>
      <w:r w:rsidRPr="00E04FE4">
        <w:rPr>
          <w:rFonts w:ascii="Simplified Arabic" w:hAnsi="Simplified Arabic" w:cs="Simplified Arabic"/>
          <w:rtl/>
        </w:rPr>
        <w:t>غموض في مسؤولية مراجعة المخرجات واعتمادها.</w:t>
      </w:r>
    </w:p>
    <w:p w14:paraId="5EAF06C7" w14:textId="77777777" w:rsidR="00E04FE4" w:rsidRPr="00E04FE4" w:rsidRDefault="00E04FE4">
      <w:pPr>
        <w:numPr>
          <w:ilvl w:val="0"/>
          <w:numId w:val="13"/>
        </w:numPr>
        <w:bidi/>
        <w:jc w:val="both"/>
        <w:rPr>
          <w:rFonts w:ascii="Simplified Arabic" w:hAnsi="Simplified Arabic" w:cs="Simplified Arabic"/>
          <w:rtl/>
        </w:rPr>
      </w:pPr>
      <w:r w:rsidRPr="00E04FE4">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pPr>
        <w:numPr>
          <w:ilvl w:val="0"/>
          <w:numId w:val="13"/>
        </w:numPr>
        <w:bidi/>
        <w:jc w:val="both"/>
        <w:rPr>
          <w:rFonts w:ascii="Simplified Arabic" w:hAnsi="Simplified Arabic" w:cs="Simplified Arabic"/>
          <w:rtl/>
        </w:rPr>
      </w:pPr>
      <w:r w:rsidRPr="00E04FE4">
        <w:rPr>
          <w:rFonts w:ascii="Simplified Arabic" w:hAnsi="Simplified Arabic" w:cs="Simplified Arabic"/>
          <w:rtl/>
        </w:rPr>
        <w:t>صعوبة تقييم جودة الاستخدام أو تحسينه بصورة مؤسسية.</w:t>
      </w:r>
    </w:p>
    <w:p w14:paraId="5AC87B6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sidRPr="00E04FE4">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sidRPr="00E04FE4">
        <w:rPr>
          <w:rFonts w:ascii="Simplified Arabic" w:hAnsi="Simplified Arabic" w:cs="Simplified Arabic"/>
        </w:rPr>
        <w:t>Nguyen et al., 2025</w:t>
      </w:r>
      <w:r w:rsidRPr="00E04FE4">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sidRPr="00E04FE4">
        <w:rPr>
          <w:rFonts w:ascii="Simplified Arabic" w:hAnsi="Simplified Arabic" w:cs="Simplified Arabic"/>
        </w:rPr>
        <w:t>Dwivedi et al., 2023</w:t>
      </w:r>
      <w:r w:rsidRPr="00E04FE4">
        <w:rPr>
          <w:rFonts w:ascii="Simplified Arabic" w:hAnsi="Simplified Arabic" w:cs="Simplified Arabic"/>
          <w:rtl/>
        </w:rPr>
        <w:t>).</w:t>
      </w:r>
    </w:p>
    <w:p w14:paraId="63F5C11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 xml:space="preserve">كما </w:t>
      </w:r>
      <w:r w:rsidRPr="00E04FE4">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r w:rsidRPr="00E04FE4">
        <w:rPr>
          <w:rFonts w:ascii="Simplified Arabic" w:hAnsi="Simplified Arabic" w:cs="Simplified Arabic"/>
        </w:rPr>
        <w:t>Kshetri et al., 2023</w:t>
      </w:r>
      <w:r w:rsidRPr="00E04FE4">
        <w:rPr>
          <w:rFonts w:ascii="Simplified Arabic" w:hAnsi="Simplified Arabic" w:cs="Simplified Arabic"/>
          <w:rtl/>
        </w:rPr>
        <w:t>).</w:t>
      </w:r>
    </w:p>
    <w:p w14:paraId="589C5B4F" w14:textId="77777777" w:rsidR="00E04FE4" w:rsidRPr="00E04FE4" w:rsidRDefault="00E04FE4" w:rsidP="00E04FE4">
      <w:pPr>
        <w:bidi/>
        <w:jc w:val="both"/>
        <w:rPr>
          <w:rFonts w:ascii="Simplified Arabic" w:hAnsi="Simplified Arabic" w:cs="Simplified Arabic"/>
          <w:rtl/>
        </w:rPr>
      </w:pPr>
    </w:p>
    <w:p w14:paraId="0167CB3B"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الرابع: واقع تبني الذكاء الاصطناعي في السعودية</w:t>
      </w:r>
    </w:p>
    <w:p w14:paraId="05EC4EA2"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hint="cs"/>
          <w:b/>
          <w:bCs/>
          <w:rtl/>
        </w:rPr>
        <w:t xml:space="preserve">أولاً: </w:t>
      </w:r>
      <w:r w:rsidRPr="00E04FE4">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5591592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4416B46D"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ومن زاوية إقليمية أوسع، تعرض تقارير </w:t>
      </w:r>
      <w:r w:rsidRPr="00E04FE4">
        <w:rPr>
          <w:rFonts w:ascii="Simplified Arabic" w:hAnsi="Simplified Arabic" w:cs="Simplified Arabic"/>
        </w:rPr>
        <w:t>McKinsey &amp; Company</w:t>
      </w:r>
      <w:r w:rsidRPr="00E04FE4">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sidRPr="00E04FE4">
        <w:rPr>
          <w:rFonts w:ascii="Simplified Arabic" w:hAnsi="Simplified Arabic" w:cs="Simplified Arabic"/>
        </w:rPr>
        <w:t>McKinsey &amp; Company, 2024</w:t>
      </w:r>
      <w:r w:rsidRPr="00E04FE4">
        <w:rPr>
          <w:rFonts w:ascii="Simplified Arabic" w:hAnsi="Simplified Arabic" w:cs="Simplified Arabic"/>
          <w:rtl/>
        </w:rPr>
        <w:t>).</w:t>
      </w:r>
    </w:p>
    <w:p w14:paraId="3614801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الاتجاه نفسه، تشير تقارير </w:t>
      </w:r>
      <w:r w:rsidRPr="00E04FE4">
        <w:rPr>
          <w:rFonts w:ascii="Simplified Arabic" w:hAnsi="Simplified Arabic" w:cs="Simplified Arabic"/>
        </w:rPr>
        <w:t>Strategy&amp; (PwC Middle East)</w:t>
      </w:r>
      <w:r w:rsidRPr="00E04FE4">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sidRPr="00E04FE4">
        <w:rPr>
          <w:rFonts w:ascii="Simplified Arabic" w:hAnsi="Simplified Arabic" w:cs="Simplified Arabic"/>
        </w:rPr>
        <w:t>ecosystem</w:t>
      </w:r>
      <w:r w:rsidRPr="00E04FE4">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4B8362BA"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hint="cs"/>
          <w:b/>
          <w:bCs/>
          <w:rtl/>
        </w:rPr>
        <w:t>ثانياً</w:t>
      </w:r>
      <w:r w:rsidRPr="00E04FE4">
        <w:rPr>
          <w:rFonts w:ascii="Simplified Arabic" w:hAnsi="Simplified Arabic" w:cs="Simplified Arabic"/>
          <w:b/>
          <w:bCs/>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pPr>
        <w:numPr>
          <w:ilvl w:val="0"/>
          <w:numId w:val="14"/>
        </w:numPr>
        <w:bidi/>
        <w:jc w:val="both"/>
        <w:rPr>
          <w:rFonts w:ascii="Simplified Arabic" w:hAnsi="Simplified Arabic" w:cs="Simplified Arabic"/>
          <w:rtl/>
        </w:rPr>
      </w:pPr>
      <w:r w:rsidRPr="00E04FE4">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pPr>
        <w:numPr>
          <w:ilvl w:val="0"/>
          <w:numId w:val="14"/>
        </w:numPr>
        <w:bidi/>
        <w:jc w:val="both"/>
        <w:rPr>
          <w:rFonts w:ascii="Simplified Arabic" w:hAnsi="Simplified Arabic" w:cs="Simplified Arabic"/>
          <w:rtl/>
        </w:rPr>
      </w:pPr>
      <w:r w:rsidRPr="00E04FE4">
        <w:rPr>
          <w:rFonts w:ascii="Simplified Arabic" w:hAnsi="Simplified Arabic" w:cs="Simplified Arabic"/>
          <w:rtl/>
        </w:rPr>
        <w:lastRenderedPageBreak/>
        <w:t>توسع الإرشادات والسياسات الوطنية المنظمة للاستخدام المسؤول.</w:t>
      </w:r>
    </w:p>
    <w:p w14:paraId="39BF45D5" w14:textId="77777777" w:rsidR="00E04FE4" w:rsidRPr="00E04FE4" w:rsidRDefault="00E04FE4">
      <w:pPr>
        <w:numPr>
          <w:ilvl w:val="0"/>
          <w:numId w:val="14"/>
        </w:numPr>
        <w:bidi/>
        <w:jc w:val="both"/>
        <w:rPr>
          <w:rFonts w:ascii="Simplified Arabic" w:hAnsi="Simplified Arabic" w:cs="Simplified Arabic"/>
          <w:rtl/>
        </w:rPr>
      </w:pPr>
      <w:r w:rsidRPr="00E04FE4">
        <w:rPr>
          <w:rFonts w:ascii="Simplified Arabic" w:hAnsi="Simplified Arabic" w:cs="Simplified Arabic"/>
          <w:rtl/>
        </w:rPr>
        <w:t>تنامي النقاشات التطبيقية حول توظيف الذكاء الاصطناعي في التسويق والإعلام وصناعة المحتوى.</w:t>
      </w:r>
    </w:p>
    <w:p w14:paraId="79E6C65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sidRPr="00E04FE4">
        <w:rPr>
          <w:rFonts w:ascii="Simplified Arabic" w:hAnsi="Simplified Arabic" w:cs="Simplified Arabic"/>
        </w:rPr>
        <w:t>SDAIA, 2024</w:t>
      </w:r>
      <w:r w:rsidRPr="00E04FE4">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25538F6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w:t>
      </w:r>
      <w:r w:rsidRPr="00E04FE4">
        <w:rPr>
          <w:rFonts w:ascii="Simplified Arabic" w:hAnsi="Simplified Arabic" w:cs="Simplified Arabic" w:hint="cs"/>
          <w:b/>
          <w:bCs/>
          <w:rtl/>
        </w:rPr>
        <w:t>لثاً</w:t>
      </w:r>
      <w:r w:rsidRPr="00E04FE4">
        <w:rPr>
          <w:rFonts w:ascii="Simplified Arabic" w:hAnsi="Simplified Arabic" w:cs="Simplified Arabic"/>
          <w:b/>
          <w:bCs/>
          <w:rtl/>
        </w:rPr>
        <w:t>: واقع التبني في المجال التسويقي والإعلامي بوصفه مؤشرًا على بيئة الوكالات</w:t>
      </w:r>
    </w:p>
    <w:p w14:paraId="04067F7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p>
    <w:p w14:paraId="085433F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 xml:space="preserve">). كما أن دراسة </w:t>
      </w:r>
      <w:r w:rsidRPr="00E04FE4">
        <w:rPr>
          <w:rFonts w:ascii="Simplified Arabic" w:hAnsi="Simplified Arabic" w:cs="Simplified Arabic"/>
        </w:rPr>
        <w:t>Ben Khalifa et al</w:t>
      </w:r>
      <w:r w:rsidRPr="00E04FE4">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C9601B5" w14:textId="3A847841" w:rsidR="00E04FE4" w:rsidRPr="00E04FE4" w:rsidRDefault="00915B55" w:rsidP="00E04FE4">
      <w:pPr>
        <w:bidi/>
        <w:jc w:val="both"/>
        <w:rPr>
          <w:rFonts w:ascii="Simplified Arabic" w:hAnsi="Simplified Arabic" w:cs="Simplified Arabic"/>
          <w:b/>
          <w:bCs/>
          <w:rtl/>
        </w:rPr>
      </w:pPr>
      <w:r>
        <w:rPr>
          <w:rFonts w:ascii="Simplified Arabic" w:hAnsi="Simplified Arabic" w:cs="Simplified Arabic" w:hint="cs"/>
          <w:b/>
          <w:bCs/>
          <w:rtl/>
        </w:rPr>
        <w:t>رابعاً</w:t>
      </w:r>
      <w:r w:rsidR="00E04FE4" w:rsidRPr="00E04FE4">
        <w:rPr>
          <w:rFonts w:ascii="Simplified Arabic" w:hAnsi="Simplified Arabic" w:cs="Simplified Arabic"/>
          <w:b/>
          <w:bCs/>
          <w:rtl/>
        </w:rPr>
        <w:t>: فرص النمو في السوق المحلي وانعكاسها على الوكالات التسويقية</w:t>
      </w:r>
    </w:p>
    <w:p w14:paraId="11CC5A1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1) نمو الطلب على التسويق الرقمي والمحتوى المتخصص</w:t>
      </w:r>
    </w:p>
    <w:p w14:paraId="7D88331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6D1C661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2) تصاعد أهمية التخصيص وتجربة العميل</w:t>
      </w:r>
    </w:p>
    <w:p w14:paraId="7585B335"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sidRPr="00E04FE4">
        <w:rPr>
          <w:rFonts w:ascii="Simplified Arabic" w:hAnsi="Simplified Arabic" w:cs="Simplified Arabic"/>
        </w:rPr>
        <w:t>Mendoza et al., 2025</w:t>
      </w:r>
      <w:r w:rsidRPr="00E04FE4">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r w:rsidRPr="00E04FE4">
        <w:rPr>
          <w:rFonts w:ascii="Simplified Arabic" w:hAnsi="Simplified Arabic" w:cs="Simplified Arabic"/>
        </w:rPr>
        <w:t>Beyari, 2025</w:t>
      </w:r>
      <w:r w:rsidRPr="00E04FE4">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3) البيئة المؤسسية الداعمة للتحول الرقمي والذكاء الاصطناعي</w:t>
      </w:r>
    </w:p>
    <w:p w14:paraId="2DC449B5" w14:textId="07061CF3"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sidRPr="00E04FE4">
        <w:rPr>
          <w:rFonts w:ascii="Simplified Arabic" w:hAnsi="Simplified Arabic" w:cs="Simplified Arabic"/>
        </w:rPr>
        <w:t>SDAIA, 2024</w:t>
      </w:r>
      <w:r w:rsidRPr="00E04FE4">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77777777" w:rsidR="00915B55" w:rsidRPr="00915B55" w:rsidRDefault="00915B55" w:rsidP="00915B55">
      <w:pPr>
        <w:bidi/>
        <w:spacing w:after="200" w:line="240" w:lineRule="auto"/>
        <w:rPr>
          <w:rFonts w:ascii="Simplified Arabic" w:hAnsi="Simplified Arabic" w:cs="Simplified Arabic"/>
          <w:b/>
          <w:bCs/>
          <w:rtl/>
        </w:rPr>
      </w:pPr>
      <w:r w:rsidRPr="00915B55">
        <w:rPr>
          <w:rFonts w:ascii="Sakkal Majalla" w:hAnsi="Sakkal Majalla" w:cs="Sakkal Majalla" w:hint="cs"/>
          <w:b/>
          <w:bCs/>
          <w:color w:val="1F497D" w:themeColor="text2"/>
          <w:sz w:val="32"/>
          <w:szCs w:val="32"/>
          <w:u w:val="single"/>
          <w:rtl/>
        </w:rPr>
        <w:t>ال</w:t>
      </w:r>
      <w:r w:rsidRPr="00915B55">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026AE8A"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الأول: مفهوم الأداء التسويقي ومؤشراته</w:t>
      </w:r>
    </w:p>
    <w:p w14:paraId="4702BE7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sidRPr="00915B55">
        <w:rPr>
          <w:rFonts w:ascii="Simplified Arabic" w:hAnsi="Simplified Arabic" w:cs="Simplified Arabic"/>
        </w:rPr>
        <w:t>Sharabati et al., 2024</w:t>
      </w:r>
      <w:r w:rsidRPr="00915B55">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4F52EA39"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sidRPr="00915B55">
        <w:rPr>
          <w:rFonts w:ascii="Simplified Arabic" w:hAnsi="Simplified Arabic" w:cs="Simplified Arabic"/>
        </w:rPr>
        <w:t>Kshetri et al., 2023</w:t>
      </w:r>
      <w:r w:rsidRPr="00915B55">
        <w:rPr>
          <w:rFonts w:ascii="Simplified Arabic" w:hAnsi="Simplified Arabic" w:cs="Simplified Arabic"/>
          <w:rtl/>
        </w:rPr>
        <w:t>).</w:t>
      </w:r>
    </w:p>
    <w:p w14:paraId="3AF06F9D"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تعريف الأداء التسويقي وأبرز مؤشرات قياسه</w:t>
      </w:r>
      <w:r w:rsidRPr="00915B55">
        <w:rPr>
          <w:rFonts w:ascii="Simplified Arabic" w:hAnsi="Simplified Arabic" w:cs="Simplified Arabic" w:hint="cs"/>
          <w:b/>
          <w:bCs/>
          <w:rtl/>
        </w:rPr>
        <w:t xml:space="preserve"> </w:t>
      </w:r>
    </w:p>
    <w:p w14:paraId="34F6AA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sidRPr="00915B55">
        <w:rPr>
          <w:rFonts w:ascii="Simplified Arabic" w:hAnsi="Simplified Arabic" w:cs="Simplified Arabic"/>
        </w:rPr>
        <w:t>Masnita et al., 2024</w:t>
      </w:r>
      <w:r w:rsidRPr="00915B55">
        <w:rPr>
          <w:rFonts w:ascii="Simplified Arabic" w:hAnsi="Simplified Arabic" w:cs="Simplified Arabic"/>
          <w:rtl/>
        </w:rPr>
        <w:t>).</w:t>
      </w:r>
    </w:p>
    <w:p w14:paraId="7606799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sidRPr="00915B55">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sidRPr="00915B55">
        <w:rPr>
          <w:rFonts w:ascii="Simplified Arabic" w:hAnsi="Simplified Arabic" w:cs="Simplified Arabic" w:hint="cs"/>
          <w:rtl/>
        </w:rPr>
        <w:t>، و</w:t>
      </w:r>
      <w:r w:rsidRPr="00915B55">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حصة السوق</w:t>
      </w:r>
      <w:r w:rsidRPr="00915B55">
        <w:rPr>
          <w:rFonts w:ascii="Simplified Arabic" w:hAnsi="Simplified Arabic" w:cs="Simplified Arabic" w:hint="cs"/>
          <w:rtl/>
        </w:rPr>
        <w:t xml:space="preserve"> </w:t>
      </w:r>
    </w:p>
    <w:p w14:paraId="516026B8"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sidRPr="00915B55">
        <w:rPr>
          <w:rFonts w:ascii="Simplified Arabic" w:hAnsi="Simplified Arabic" w:cs="Simplified Arabic"/>
        </w:rPr>
        <w:t>Sharabati et al., 2024</w:t>
      </w:r>
      <w:r w:rsidRPr="00915B55">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معدل التحويل</w:t>
      </w:r>
      <w:r w:rsidRPr="00915B55">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sidRPr="00915B55">
        <w:rPr>
          <w:rFonts w:ascii="Simplified Arabic" w:hAnsi="Simplified Arabic" w:cs="Simplified Arabic"/>
        </w:rPr>
        <w:t>Islam et al., 2024</w:t>
      </w:r>
      <w:r w:rsidRPr="00915B55">
        <w:rPr>
          <w:rFonts w:ascii="Simplified Arabic" w:hAnsi="Simplified Arabic" w:cs="Simplified Arabic"/>
          <w:rtl/>
        </w:rPr>
        <w:t>).</w:t>
      </w:r>
    </w:p>
    <w:p w14:paraId="7D4940A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sidRPr="00915B55">
        <w:rPr>
          <w:rFonts w:ascii="Simplified Arabic" w:hAnsi="Simplified Arabic" w:cs="Simplified Arabic"/>
        </w:rPr>
        <w:t>Mendoza et al., 2025</w:t>
      </w:r>
      <w:r w:rsidRPr="00915B55">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العائد على الاستثمار التسويقي</w:t>
      </w:r>
    </w:p>
    <w:p w14:paraId="715246F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رضا العملاء</w:t>
      </w:r>
      <w:r w:rsidRPr="00915B55">
        <w:rPr>
          <w:rFonts w:ascii="Simplified Arabic" w:hAnsi="Simplified Arabic" w:cs="Simplified Arabic" w:hint="cs"/>
          <w:rtl/>
        </w:rPr>
        <w:t xml:space="preserve"> </w:t>
      </w:r>
    </w:p>
    <w:p w14:paraId="723319C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sidRPr="00915B55">
        <w:rPr>
          <w:rFonts w:ascii="Simplified Arabic" w:hAnsi="Simplified Arabic" w:cs="Simplified Arabic"/>
        </w:rPr>
        <w:t>Alotaibi &amp; Al Youbi, 2024</w:t>
      </w:r>
      <w:r w:rsidRPr="00915B55">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5) ولاء العملاء </w:t>
      </w:r>
      <w:r w:rsidRPr="00915B55">
        <w:rPr>
          <w:rFonts w:ascii="Simplified Arabic" w:hAnsi="Simplified Arabic" w:cs="Simplified Arabic" w:hint="cs"/>
          <w:rtl/>
        </w:rPr>
        <w:t xml:space="preserve"> </w:t>
      </w:r>
    </w:p>
    <w:p w14:paraId="5C266AA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sidRPr="00915B55">
        <w:rPr>
          <w:rFonts w:ascii="Simplified Arabic" w:hAnsi="Simplified Arabic" w:cs="Simplified Arabic"/>
        </w:rPr>
        <w:t>Beyari, 2025</w:t>
      </w:r>
      <w:r w:rsidRPr="00915B55">
        <w:rPr>
          <w:rFonts w:ascii="Simplified Arabic" w:hAnsi="Simplified Arabic" w:cs="Simplified Arabic"/>
          <w:rtl/>
        </w:rPr>
        <w:t>).</w:t>
      </w:r>
    </w:p>
    <w:p w14:paraId="48D62A63" w14:textId="77777777"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sidRPr="00915B55">
        <w:rPr>
          <w:rFonts w:ascii="Simplified Arabic" w:hAnsi="Simplified Arabic" w:cs="Simplified Arabic"/>
        </w:rPr>
        <w:t>Wang et al., 2025</w:t>
      </w:r>
      <w:r w:rsidRPr="00915B55">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الثاني: أبعاد الأداء التسويقي في البيئة الرقمية</w:t>
      </w:r>
    </w:p>
    <w:p w14:paraId="31DC0ED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62321044"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أولًا: البعد التشغيلي للأداء التسويقي الرقمي</w:t>
      </w:r>
    </w:p>
    <w:p w14:paraId="35A6E97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sidRPr="00915B55">
        <w:rPr>
          <w:rFonts w:ascii="Simplified Arabic" w:hAnsi="Simplified Arabic" w:cs="Simplified Arabic"/>
        </w:rPr>
        <w:t>Heitmann, 2024</w:t>
      </w:r>
      <w:r w:rsidRPr="00915B55">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الناحية التطبيقية، يُقاس هذا البعد في التسويق الرقمي بمؤشرات تشغيلية مثل:</w:t>
      </w:r>
    </w:p>
    <w:p w14:paraId="22A01341" w14:textId="77777777" w:rsidR="00915B55" w:rsidRPr="00915B55" w:rsidRDefault="00915B55">
      <w:pPr>
        <w:numPr>
          <w:ilvl w:val="0"/>
          <w:numId w:val="15"/>
        </w:numPr>
        <w:bidi/>
        <w:jc w:val="both"/>
        <w:rPr>
          <w:rFonts w:ascii="Simplified Arabic" w:hAnsi="Simplified Arabic" w:cs="Simplified Arabic"/>
          <w:rtl/>
        </w:rPr>
      </w:pPr>
      <w:r w:rsidRPr="00915B55">
        <w:rPr>
          <w:rFonts w:ascii="Simplified Arabic" w:hAnsi="Simplified Arabic" w:cs="Simplified Arabic"/>
          <w:rtl/>
        </w:rPr>
        <w:t>زمن إنتاج المحتوى أو تجهيز الحملة.</w:t>
      </w:r>
    </w:p>
    <w:p w14:paraId="720F70AA" w14:textId="77777777" w:rsidR="00915B55" w:rsidRPr="00915B55" w:rsidRDefault="00915B55">
      <w:pPr>
        <w:numPr>
          <w:ilvl w:val="0"/>
          <w:numId w:val="15"/>
        </w:numPr>
        <w:bidi/>
        <w:jc w:val="both"/>
        <w:rPr>
          <w:rFonts w:ascii="Simplified Arabic" w:hAnsi="Simplified Arabic" w:cs="Simplified Arabic"/>
          <w:rtl/>
        </w:rPr>
      </w:pPr>
      <w:r w:rsidRPr="00915B55">
        <w:rPr>
          <w:rFonts w:ascii="Simplified Arabic" w:hAnsi="Simplified Arabic" w:cs="Simplified Arabic"/>
          <w:rtl/>
        </w:rPr>
        <w:t>سرعة الاستجابة للتعديلات أثناء التنفيذ.</w:t>
      </w:r>
    </w:p>
    <w:p w14:paraId="5562119C" w14:textId="77777777" w:rsidR="00915B55" w:rsidRPr="00915B55" w:rsidRDefault="00915B55">
      <w:pPr>
        <w:numPr>
          <w:ilvl w:val="0"/>
          <w:numId w:val="15"/>
        </w:numPr>
        <w:bidi/>
        <w:jc w:val="both"/>
        <w:rPr>
          <w:rFonts w:ascii="Simplified Arabic" w:hAnsi="Simplified Arabic" w:cs="Simplified Arabic"/>
          <w:rtl/>
        </w:rPr>
      </w:pPr>
      <w:r w:rsidRPr="00915B55">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pPr>
        <w:numPr>
          <w:ilvl w:val="0"/>
          <w:numId w:val="15"/>
        </w:numPr>
        <w:bidi/>
        <w:jc w:val="both"/>
        <w:rPr>
          <w:rFonts w:ascii="Simplified Arabic" w:hAnsi="Simplified Arabic" w:cs="Simplified Arabic"/>
          <w:rtl/>
        </w:rPr>
      </w:pPr>
      <w:r w:rsidRPr="00915B55">
        <w:rPr>
          <w:rFonts w:ascii="Simplified Arabic" w:hAnsi="Simplified Arabic" w:cs="Simplified Arabic"/>
          <w:rtl/>
        </w:rPr>
        <w:t>معدل الالتزام بخطة النشر والتنفيذ عبر القنوات.</w:t>
      </w:r>
    </w:p>
    <w:p w14:paraId="760D6E4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4D3F49"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ثانيًا: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sidRPr="00915B55">
        <w:rPr>
          <w:rFonts w:ascii="Simplified Arabic" w:hAnsi="Simplified Arabic" w:cs="Simplified Arabic"/>
        </w:rPr>
        <w:t>Islam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ويشمل هذا البعد مؤشرات مثل:</w:t>
      </w:r>
    </w:p>
    <w:p w14:paraId="1EB313D7" w14:textId="77777777" w:rsidR="00915B55" w:rsidRPr="00915B55" w:rsidRDefault="00915B55">
      <w:pPr>
        <w:numPr>
          <w:ilvl w:val="0"/>
          <w:numId w:val="16"/>
        </w:numPr>
        <w:bidi/>
        <w:jc w:val="both"/>
        <w:rPr>
          <w:rFonts w:ascii="Simplified Arabic" w:hAnsi="Simplified Arabic" w:cs="Simplified Arabic"/>
          <w:rtl/>
        </w:rPr>
      </w:pPr>
      <w:r w:rsidRPr="00915B55">
        <w:rPr>
          <w:rFonts w:ascii="Simplified Arabic" w:hAnsi="Simplified Arabic" w:cs="Simplified Arabic"/>
          <w:rtl/>
        </w:rPr>
        <w:t>معدلات التفاعل مع المحتوى (مثل النقر، المشاركة، التعليق، الحفظ بحسب طبيعة المنصة).</w:t>
      </w:r>
    </w:p>
    <w:p w14:paraId="570CDEA5" w14:textId="77777777" w:rsidR="00915B55" w:rsidRPr="00915B55" w:rsidRDefault="00915B55">
      <w:pPr>
        <w:numPr>
          <w:ilvl w:val="0"/>
          <w:numId w:val="16"/>
        </w:numPr>
        <w:bidi/>
        <w:jc w:val="both"/>
        <w:rPr>
          <w:rFonts w:ascii="Simplified Arabic" w:hAnsi="Simplified Arabic" w:cs="Simplified Arabic"/>
          <w:rtl/>
        </w:rPr>
      </w:pPr>
      <w:r w:rsidRPr="00915B55">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pPr>
        <w:numPr>
          <w:ilvl w:val="0"/>
          <w:numId w:val="16"/>
        </w:numPr>
        <w:bidi/>
        <w:jc w:val="both"/>
        <w:rPr>
          <w:rFonts w:ascii="Simplified Arabic" w:hAnsi="Simplified Arabic" w:cs="Simplified Arabic"/>
          <w:rtl/>
        </w:rPr>
      </w:pPr>
      <w:r w:rsidRPr="00915B55">
        <w:rPr>
          <w:rFonts w:ascii="Simplified Arabic" w:hAnsi="Simplified Arabic" w:cs="Simplified Arabic"/>
          <w:rtl/>
        </w:rPr>
        <w:t>معدلات الاستجابة للعروض أو الرسائل المخصصة.</w:t>
      </w:r>
    </w:p>
    <w:p w14:paraId="06D17D43" w14:textId="77777777" w:rsidR="00915B55" w:rsidRPr="00915B55" w:rsidRDefault="00915B55">
      <w:pPr>
        <w:numPr>
          <w:ilvl w:val="0"/>
          <w:numId w:val="16"/>
        </w:numPr>
        <w:bidi/>
        <w:jc w:val="both"/>
        <w:rPr>
          <w:rFonts w:ascii="Simplified Arabic" w:hAnsi="Simplified Arabic" w:cs="Simplified Arabic"/>
          <w:rtl/>
        </w:rPr>
      </w:pPr>
      <w:r w:rsidRPr="00915B55">
        <w:rPr>
          <w:rFonts w:ascii="Simplified Arabic" w:hAnsi="Simplified Arabic" w:cs="Simplified Arabic"/>
          <w:rtl/>
        </w:rPr>
        <w:lastRenderedPageBreak/>
        <w:t>مؤشرات جودة التفاعل (مثل عمق التفاعل أو استمراريته، بحسب ما تتيحه المنصة).</w:t>
      </w:r>
    </w:p>
    <w:p w14:paraId="2DBF3128"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Wang et al., 2025</w:t>
      </w:r>
      <w:r w:rsidRPr="00915B55">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1ACD9FC1"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ثالثًا: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sidRPr="00915B55">
        <w:rPr>
          <w:rFonts w:ascii="Simplified Arabic" w:hAnsi="Simplified Arabic" w:cs="Simplified Arabic"/>
        </w:rPr>
        <w:t>Sharabati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pPr>
        <w:numPr>
          <w:ilvl w:val="0"/>
          <w:numId w:val="17"/>
        </w:numPr>
        <w:bidi/>
        <w:jc w:val="both"/>
        <w:rPr>
          <w:rFonts w:ascii="Simplified Arabic" w:hAnsi="Simplified Arabic" w:cs="Simplified Arabic"/>
          <w:rtl/>
        </w:rPr>
      </w:pPr>
      <w:r w:rsidRPr="00915B55">
        <w:rPr>
          <w:rFonts w:ascii="Simplified Arabic" w:hAnsi="Simplified Arabic" w:cs="Simplified Arabic"/>
          <w:rtl/>
        </w:rPr>
        <w:t>العائد على الاستثمار التسويقي (</w:t>
      </w:r>
      <w:r w:rsidRPr="00915B55">
        <w:rPr>
          <w:rFonts w:ascii="Simplified Arabic" w:hAnsi="Simplified Arabic" w:cs="Simplified Arabic"/>
        </w:rPr>
        <w:t>Marketing ROI</w:t>
      </w:r>
      <w:r w:rsidRPr="00915B55">
        <w:rPr>
          <w:rFonts w:ascii="Simplified Arabic" w:hAnsi="Simplified Arabic" w:cs="Simplified Arabic"/>
          <w:rtl/>
        </w:rPr>
        <w:t>): لقياس مردود الحملات مقارنة بالتكلفة.</w:t>
      </w:r>
    </w:p>
    <w:p w14:paraId="4F552F3F" w14:textId="77777777" w:rsidR="00915B55" w:rsidRPr="00915B55" w:rsidRDefault="00915B55">
      <w:pPr>
        <w:numPr>
          <w:ilvl w:val="0"/>
          <w:numId w:val="17"/>
        </w:numPr>
        <w:bidi/>
        <w:jc w:val="both"/>
        <w:rPr>
          <w:rFonts w:ascii="Simplified Arabic" w:hAnsi="Simplified Arabic" w:cs="Simplified Arabic"/>
          <w:rtl/>
        </w:rPr>
      </w:pPr>
      <w:r w:rsidRPr="00915B55">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pPr>
        <w:numPr>
          <w:ilvl w:val="0"/>
          <w:numId w:val="17"/>
        </w:numPr>
        <w:bidi/>
        <w:jc w:val="both"/>
        <w:rPr>
          <w:rFonts w:ascii="Simplified Arabic" w:hAnsi="Simplified Arabic" w:cs="Simplified Arabic"/>
          <w:rtl/>
        </w:rPr>
      </w:pPr>
      <w:r w:rsidRPr="00915B55">
        <w:rPr>
          <w:rFonts w:ascii="Simplified Arabic" w:hAnsi="Simplified Arabic" w:cs="Simplified Arabic"/>
          <w:rtl/>
        </w:rPr>
        <w:t>مساهمة الحملات في نمو المبيعات أو الطلبات خلال فترة زمنية محددة.</w:t>
      </w:r>
    </w:p>
    <w:p w14:paraId="02CC37FA" w14:textId="77777777" w:rsidR="00915B55" w:rsidRPr="00915B55" w:rsidRDefault="00915B55">
      <w:pPr>
        <w:numPr>
          <w:ilvl w:val="0"/>
          <w:numId w:val="17"/>
        </w:numPr>
        <w:bidi/>
        <w:jc w:val="both"/>
        <w:rPr>
          <w:rFonts w:ascii="Simplified Arabic" w:hAnsi="Simplified Arabic" w:cs="Simplified Arabic"/>
          <w:rtl/>
        </w:rPr>
      </w:pPr>
      <w:r w:rsidRPr="00915B55">
        <w:rPr>
          <w:rFonts w:ascii="Simplified Arabic" w:hAnsi="Simplified Arabic" w:cs="Simplified Arabic"/>
          <w:rtl/>
        </w:rPr>
        <w:t>تحسن كفاءة الإنفاق الإعلاني عبر مقارنة نتائج القنوات أو الرسائل المختلفة.</w:t>
      </w:r>
    </w:p>
    <w:p w14:paraId="6F8C12F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sidRPr="00915B55">
        <w:rPr>
          <w:rFonts w:ascii="Simplified Arabic" w:hAnsi="Simplified Arabic" w:cs="Simplified Arabic"/>
        </w:rPr>
        <w:t>Kshetri et al., 2023</w:t>
      </w:r>
      <w:r w:rsidRPr="00915B55">
        <w:rPr>
          <w:rFonts w:ascii="Simplified Arabic" w:hAnsi="Simplified Arabic" w:cs="Simplified Arabic"/>
          <w:rtl/>
        </w:rPr>
        <w:t xml:space="preserve">؛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6BBF65F7"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رابعًا: البعد العلاقاتي طويل الأجل</w:t>
      </w:r>
    </w:p>
    <w:p w14:paraId="28B7B15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sidRPr="00915B55">
        <w:rPr>
          <w:rFonts w:ascii="Simplified Arabic" w:hAnsi="Simplified Arabic" w:cs="Simplified Arabic"/>
        </w:rPr>
        <w:t>Beyari,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ويُقاس هذا البعد من خلال مؤشرات مثل:</w:t>
      </w:r>
    </w:p>
    <w:p w14:paraId="2A1B0CC8" w14:textId="77777777" w:rsidR="00915B55" w:rsidRPr="00915B55" w:rsidRDefault="00915B55">
      <w:pPr>
        <w:numPr>
          <w:ilvl w:val="0"/>
          <w:numId w:val="18"/>
        </w:numPr>
        <w:bidi/>
        <w:jc w:val="both"/>
        <w:rPr>
          <w:rFonts w:ascii="Simplified Arabic" w:hAnsi="Simplified Arabic" w:cs="Simplified Arabic"/>
          <w:rtl/>
        </w:rPr>
      </w:pPr>
      <w:r w:rsidRPr="00915B55">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pPr>
        <w:numPr>
          <w:ilvl w:val="0"/>
          <w:numId w:val="18"/>
        </w:numPr>
        <w:bidi/>
        <w:jc w:val="both"/>
        <w:rPr>
          <w:rFonts w:ascii="Simplified Arabic" w:hAnsi="Simplified Arabic" w:cs="Simplified Arabic"/>
          <w:rtl/>
        </w:rPr>
      </w:pPr>
      <w:r w:rsidRPr="00915B55">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pPr>
        <w:numPr>
          <w:ilvl w:val="0"/>
          <w:numId w:val="18"/>
        </w:numPr>
        <w:bidi/>
        <w:jc w:val="both"/>
        <w:rPr>
          <w:rFonts w:ascii="Simplified Arabic" w:hAnsi="Simplified Arabic" w:cs="Simplified Arabic"/>
          <w:rtl/>
        </w:rPr>
      </w:pPr>
      <w:r w:rsidRPr="00915B55">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pPr>
        <w:numPr>
          <w:ilvl w:val="0"/>
          <w:numId w:val="18"/>
        </w:numPr>
        <w:bidi/>
        <w:jc w:val="both"/>
        <w:rPr>
          <w:rFonts w:ascii="Simplified Arabic" w:hAnsi="Simplified Arabic" w:cs="Simplified Arabic"/>
          <w:rtl/>
        </w:rPr>
      </w:pPr>
      <w:r w:rsidRPr="00915B55">
        <w:rPr>
          <w:rFonts w:ascii="Simplified Arabic" w:hAnsi="Simplified Arabic" w:cs="Simplified Arabic"/>
          <w:rtl/>
        </w:rPr>
        <w:t>مؤشرات الاحتفاظ بالعملاء (بحسب طبيعة القطاع والبيانات المتاحة).</w:t>
      </w:r>
    </w:p>
    <w:p w14:paraId="1537260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sidRPr="00915B55">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sidRPr="00915B55">
        <w:rPr>
          <w:rFonts w:ascii="Simplified Arabic" w:hAnsi="Simplified Arabic" w:cs="Simplified Arabic"/>
        </w:rPr>
        <w:t>Wang et al., 2025</w:t>
      </w:r>
      <w:r w:rsidRPr="00915B55">
        <w:rPr>
          <w:rFonts w:ascii="Simplified Arabic" w:hAnsi="Simplified Arabic" w:cs="Simplified Arabic"/>
          <w:rtl/>
        </w:rPr>
        <w:t>).</w:t>
      </w:r>
    </w:p>
    <w:p w14:paraId="7FB988F7"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خصائص قياس الأداء التسويقي في البيئة الرقمية</w:t>
      </w:r>
    </w:p>
    <w:p w14:paraId="0BC86A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Beyari, 2025</w:t>
      </w:r>
      <w:r w:rsidRPr="00915B55">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كثافة البيانات وتعدد المؤشرات</w:t>
      </w:r>
    </w:p>
    <w:p w14:paraId="20A52E1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sidRPr="00915B55">
        <w:rPr>
          <w:rFonts w:ascii="Simplified Arabic" w:hAnsi="Simplified Arabic" w:cs="Simplified Arabic"/>
        </w:rPr>
        <w:t>Masnita et al., 2024</w:t>
      </w:r>
      <w:r w:rsidRPr="00915B55">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ترابط الأبعاد وعدم كفاية المؤشر الواحد</w:t>
      </w:r>
    </w:p>
    <w:p w14:paraId="2B4EE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sidRPr="00915B55">
        <w:rPr>
          <w:rFonts w:ascii="Simplified Arabic" w:hAnsi="Simplified Arabic" w:cs="Simplified Arabic" w:hint="cs"/>
          <w:rtl/>
        </w:rPr>
        <w:t xml:space="preserve"> </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حساسية القياس لجودة التخصيص والمحتوى</w:t>
      </w:r>
    </w:p>
    <w:p w14:paraId="24EFED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الثالث: العلاقة بين الذكاء الاصطناعي التوليدي والأداء التسويقي</w:t>
      </w:r>
    </w:p>
    <w:p w14:paraId="61583F44"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hint="cs"/>
          <w:b/>
          <w:bCs/>
          <w:rtl/>
        </w:rPr>
        <w:t xml:space="preserve">أولاً: توضيح مسارات </w:t>
      </w:r>
      <w:r w:rsidRPr="00915B55">
        <w:rPr>
          <w:rFonts w:ascii="Simplified Arabic" w:hAnsi="Simplified Arabic" w:cs="Simplified Arabic"/>
          <w:b/>
          <w:bCs/>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مسار التوليد الإبداعي للمحتوى،</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التخصيص والاستهداف،</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sidRPr="00915B55">
        <w:rPr>
          <w:rFonts w:ascii="Simplified Arabic" w:hAnsi="Simplified Arabic" w:cs="Simplified Arabic"/>
        </w:rPr>
        <w:t>Islam et al., 2024</w:t>
      </w:r>
      <w:r w:rsidRPr="00915B55">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Pr>
        <w:lastRenderedPageBreak/>
        <w:t>1</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sidRPr="00915B55">
        <w:rPr>
          <w:rFonts w:ascii="Simplified Arabic" w:hAnsi="Simplified Arabic" w:cs="Simplified Arabic"/>
        </w:rPr>
        <w:t>Heitmann, 2024</w:t>
      </w:r>
      <w:r w:rsidRPr="00915B55">
        <w:rPr>
          <w:rFonts w:ascii="Simplified Arabic" w:hAnsi="Simplified Arabic" w:cs="Simplified Arabic"/>
          <w:rtl/>
        </w:rPr>
        <w:t xml:space="preserve">؛ </w:t>
      </w:r>
      <w:r w:rsidRPr="00915B55">
        <w:rPr>
          <w:rFonts w:ascii="Simplified Arabic" w:hAnsi="Simplified Arabic" w:cs="Simplified Arabic"/>
        </w:rPr>
        <w:t>Gujar &amp; Panyam, 2024</w:t>
      </w:r>
      <w:r w:rsidRPr="00915B55">
        <w:rPr>
          <w:rFonts w:ascii="Simplified Arabic" w:hAnsi="Simplified Arabic" w:cs="Simplified Arabic"/>
          <w:rtl/>
        </w:rPr>
        <w:t>).</w:t>
      </w:r>
    </w:p>
    <w:p w14:paraId="7F10BB2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sidRPr="00915B55">
        <w:rPr>
          <w:rFonts w:ascii="Simplified Arabic" w:hAnsi="Simplified Arabic" w:cs="Simplified Arabic"/>
        </w:rPr>
        <w:t>Kshetri et al., 2023</w:t>
      </w:r>
      <w:r w:rsidRPr="00915B55">
        <w:rPr>
          <w:rFonts w:ascii="Simplified Arabic" w:hAnsi="Simplified Arabic" w:cs="Simplified Arabic"/>
          <w:rtl/>
        </w:rPr>
        <w:t>).</w:t>
      </w:r>
    </w:p>
    <w:p w14:paraId="3FE978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sidRPr="00915B55">
        <w:rPr>
          <w:rFonts w:ascii="Simplified Arabic" w:hAnsi="Simplified Arabic" w:cs="Simplified Arabic"/>
        </w:rPr>
        <w:t>IAB Tech Lab, 2024</w:t>
      </w:r>
      <w:r w:rsidRPr="00915B55">
        <w:rPr>
          <w:rFonts w:ascii="Simplified Arabic" w:hAnsi="Simplified Arabic" w:cs="Simplified Arabic"/>
          <w:rtl/>
        </w:rPr>
        <w:t xml:space="preserve">؛ </w:t>
      </w:r>
      <w:r w:rsidRPr="00915B55">
        <w:rPr>
          <w:rFonts w:ascii="Simplified Arabic" w:hAnsi="Simplified Arabic" w:cs="Simplified Arabic"/>
        </w:rPr>
        <w:t>Heitmann, 2024</w:t>
      </w:r>
      <w:r w:rsidRPr="00915B55">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2. </w:t>
      </w:r>
      <w:r w:rsidRPr="00915B55">
        <w:rPr>
          <w:rFonts w:ascii="Simplified Arabic" w:hAnsi="Simplified Arabic" w:cs="Simplified Arabic"/>
          <w:rtl/>
        </w:rPr>
        <w:t>مسار التخصيص الدقيق للرسائل وتحسين الاستهداف</w:t>
      </w:r>
    </w:p>
    <w:p w14:paraId="73452071"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rtl/>
        </w:rPr>
        <w:t>).</w:t>
      </w:r>
    </w:p>
    <w:p w14:paraId="3DFA88F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sidRPr="00915B55">
        <w:rPr>
          <w:rFonts w:ascii="Simplified Arabic" w:hAnsi="Simplified Arabic" w:cs="Simplified Arabic"/>
        </w:rPr>
        <w:t>Wang et al., 2025</w:t>
      </w:r>
      <w:r w:rsidRPr="00915B55">
        <w:rPr>
          <w:rFonts w:ascii="Simplified Arabic" w:hAnsi="Simplified Arabic" w:cs="Simplified Arabic"/>
          <w:rtl/>
        </w:rPr>
        <w:t>).</w:t>
      </w:r>
    </w:p>
    <w:p w14:paraId="4F650D39"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72B924F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sidRPr="00915B55">
        <w:rPr>
          <w:rFonts w:ascii="Simplified Arabic" w:hAnsi="Simplified Arabic" w:cs="Simplified Arabic"/>
        </w:rPr>
        <w:t>SDAIA, 2024</w:t>
      </w:r>
      <w:r w:rsidRPr="00915B55">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3. </w:t>
      </w:r>
      <w:r w:rsidRPr="00915B55">
        <w:rPr>
          <w:rFonts w:ascii="Simplified Arabic" w:hAnsi="Simplified Arabic" w:cs="Simplified Arabic"/>
          <w:rtl/>
        </w:rPr>
        <w:t>مسار التحليل والتحسين المستمر للقرارات أثناء الحملة</w:t>
      </w:r>
    </w:p>
    <w:p w14:paraId="00AC0F0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Doshi et al., 2025</w:t>
      </w:r>
      <w:r w:rsidRPr="00915B55">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5A52756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sidRPr="00915B55">
        <w:rPr>
          <w:rFonts w:ascii="Simplified Arabic" w:hAnsi="Simplified Arabic" w:cs="Simplified Arabic"/>
        </w:rPr>
        <w:t>Nguyen et al., 2025</w:t>
      </w:r>
      <w:r w:rsidRPr="00915B55">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86F5B05"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hint="cs"/>
          <w:b/>
          <w:bCs/>
          <w:rtl/>
        </w:rPr>
        <w:t xml:space="preserve">ثانياً: </w:t>
      </w:r>
      <w:r w:rsidRPr="00915B55">
        <w:rPr>
          <w:rFonts w:ascii="Simplified Arabic" w:hAnsi="Simplified Arabic" w:cs="Simplified Arabic"/>
          <w:b/>
          <w:bCs/>
          <w:rtl/>
        </w:rPr>
        <w:t>ذكر نماذج أو نظريات داعمة مع إبراز أثر الذكاء الاصطناعي على الكفاءة والإبداع</w:t>
      </w:r>
    </w:p>
    <w:p w14:paraId="53039DC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4CC9397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منطق “القيمة التسويقية المتولدة” من الذكاء الاصطناعي</w:t>
      </w:r>
    </w:p>
    <w:p w14:paraId="5EAE06A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sidRPr="00915B55">
        <w:rPr>
          <w:rFonts w:ascii="Simplified Arabic" w:hAnsi="Simplified Arabic" w:cs="Simplified Arabic"/>
        </w:rPr>
        <w:t>Nuremberg Institute for Market Decisions</w:t>
      </w:r>
      <w:r w:rsidRPr="00915B55">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5541597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47129B59" w14:textId="77777777" w:rsidR="00915B55" w:rsidRPr="00915B55" w:rsidRDefault="00915B55">
      <w:pPr>
        <w:numPr>
          <w:ilvl w:val="0"/>
          <w:numId w:val="19"/>
        </w:numPr>
        <w:bidi/>
        <w:jc w:val="both"/>
        <w:rPr>
          <w:rFonts w:ascii="Simplified Arabic" w:hAnsi="Simplified Arabic" w:cs="Simplified Arabic"/>
          <w:rtl/>
        </w:rPr>
      </w:pPr>
      <w:r w:rsidRPr="00915B55">
        <w:rPr>
          <w:rFonts w:ascii="Simplified Arabic" w:hAnsi="Simplified Arabic" w:cs="Simplified Arabic"/>
          <w:rtl/>
        </w:rPr>
        <w:t>عبر تحسين الكفاءة في إنتاج المحتوى وإدارته</w:t>
      </w:r>
      <w:r w:rsidRPr="00915B55">
        <w:rPr>
          <w:rFonts w:ascii="Simplified Arabic" w:hAnsi="Simplified Arabic" w:cs="Simplified Arabic" w:hint="cs"/>
          <w:rtl/>
        </w:rPr>
        <w:t>.</w:t>
      </w:r>
    </w:p>
    <w:p w14:paraId="2FDE931A" w14:textId="77777777" w:rsidR="00915B55" w:rsidRPr="00915B55" w:rsidRDefault="00915B55">
      <w:pPr>
        <w:numPr>
          <w:ilvl w:val="0"/>
          <w:numId w:val="19"/>
        </w:numPr>
        <w:bidi/>
        <w:jc w:val="both"/>
        <w:rPr>
          <w:rFonts w:ascii="Simplified Arabic" w:hAnsi="Simplified Arabic" w:cs="Simplified Arabic"/>
          <w:rtl/>
        </w:rPr>
      </w:pPr>
      <w:r w:rsidRPr="00915B55">
        <w:rPr>
          <w:rFonts w:ascii="Simplified Arabic" w:hAnsi="Simplified Arabic" w:cs="Simplified Arabic"/>
          <w:rtl/>
        </w:rPr>
        <w:t>وعبر تعزيز الإبداع العملي من خلال توسيع البدائل</w:t>
      </w:r>
      <w:r w:rsidRPr="00915B55">
        <w:rPr>
          <w:rFonts w:ascii="Simplified Arabic" w:hAnsi="Simplified Arabic" w:cs="Simplified Arabic" w:hint="cs"/>
          <w:rtl/>
        </w:rPr>
        <w:t>.</w:t>
      </w:r>
    </w:p>
    <w:p w14:paraId="08BE2A42" w14:textId="77777777" w:rsidR="00915B55" w:rsidRPr="00915B55" w:rsidRDefault="00915B55">
      <w:pPr>
        <w:numPr>
          <w:ilvl w:val="0"/>
          <w:numId w:val="19"/>
        </w:numPr>
        <w:bidi/>
        <w:jc w:val="both"/>
        <w:rPr>
          <w:rFonts w:ascii="Simplified Arabic" w:hAnsi="Simplified Arabic" w:cs="Simplified Arabic"/>
          <w:rtl/>
        </w:rPr>
      </w:pPr>
      <w:r w:rsidRPr="00915B55">
        <w:rPr>
          <w:rFonts w:ascii="Simplified Arabic" w:hAnsi="Simplified Arabic" w:cs="Simplified Arabic"/>
          <w:rtl/>
        </w:rPr>
        <w:t>وعبر رفع جودة التخصيص بما يخدم التفاعل والتحويل.</w:t>
      </w:r>
    </w:p>
    <w:p w14:paraId="0267E95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منطق التبني–الدمج–الأثر في فرق التسويق</w:t>
      </w:r>
    </w:p>
    <w:p w14:paraId="676F6D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sidRPr="00915B55">
        <w:rPr>
          <w:rFonts w:ascii="Simplified Arabic" w:hAnsi="Simplified Arabic" w:cs="Simplified Arabic"/>
        </w:rPr>
        <w:t>Nguyen et al., 2025</w:t>
      </w:r>
      <w:r w:rsidRPr="00915B55">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38C49DC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69E59CD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منطق الثقة/التجربة في تفسير الاستجابة للمخرجات الذكية</w:t>
      </w:r>
    </w:p>
    <w:p w14:paraId="28BF54E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رغم أن بعض الأدبيات مثل </w:t>
      </w:r>
      <w:r w:rsidRPr="00915B55">
        <w:rPr>
          <w:rFonts w:ascii="Simplified Arabic" w:hAnsi="Simplified Arabic" w:cs="Simplified Arabic"/>
        </w:rPr>
        <w:t>Ameen et al</w:t>
      </w:r>
      <w:r w:rsidRPr="00915B55">
        <w:rPr>
          <w:rFonts w:ascii="Simplified Arabic" w:hAnsi="Simplified Arabic" w:cs="Simplified Arabic" w:hint="cs"/>
          <w:rtl/>
        </w:rPr>
        <w:t xml:space="preserve"> </w:t>
      </w:r>
      <w:r w:rsidRPr="00915B55">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sidRPr="00915B55">
        <w:rPr>
          <w:rFonts w:ascii="Simplified Arabic" w:hAnsi="Simplified Arabic" w:cs="Simplified Arabic"/>
        </w:rPr>
        <w:t>Ameen et al., 2021</w:t>
      </w:r>
      <w:r w:rsidRPr="00915B55">
        <w:rPr>
          <w:rFonts w:ascii="Simplified Arabic" w:hAnsi="Simplified Arabic" w:cs="Simplified Arabic"/>
          <w:rtl/>
        </w:rPr>
        <w:t xml:space="preserve">؛ </w:t>
      </w:r>
      <w:r w:rsidRPr="00915B55">
        <w:rPr>
          <w:rFonts w:ascii="Simplified Arabic" w:hAnsi="Simplified Arabic" w:cs="Simplified Arabic"/>
        </w:rPr>
        <w:t>Wang et al.,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E064325" w14:textId="77777777" w:rsidR="00A20BAB" w:rsidRPr="00A20BAB" w:rsidRDefault="00A20BAB" w:rsidP="00A20BAB">
      <w:pPr>
        <w:bidi/>
        <w:rPr>
          <w:rFonts w:ascii="Simplified Arabic" w:hAnsi="Simplified Arabic" w:cs="Simplified Arabic"/>
          <w:rtl/>
        </w:rPr>
      </w:pP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w:t>
      </w:r>
      <w:r w:rsidR="000343D5">
        <w:rPr>
          <w:rFonts w:ascii="Sakkal Majalla" w:hAnsi="Sakkal Majalla" w:cs="Sakkal Majalla" w:hint="cs"/>
          <w:b/>
          <w:bCs/>
          <w:color w:val="00B0F0"/>
          <w:sz w:val="32"/>
          <w:szCs w:val="32"/>
          <w:u w:val="single"/>
          <w:rtl/>
        </w:rPr>
        <w:t>سابقة</w:t>
      </w:r>
      <w:r w:rsidRPr="004F1607">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8690A1C" w14:textId="4802617B" w:rsidR="00644BCE" w:rsidRDefault="00837EBE" w:rsidP="000D3CD0">
      <w:pPr>
        <w:bidi/>
        <w:spacing w:after="200" w:line="240" w:lineRule="auto"/>
        <w:jc w:val="both"/>
        <w:rPr>
          <w:rFonts w:ascii="Simplified Arabic" w:hAnsi="Simplified Arabic" w:cs="Simplified Arabic"/>
          <w:rtl/>
        </w:rPr>
      </w:pPr>
      <w:bookmarkStart w:id="2" w:name="_Hlk213567627"/>
      <w:r w:rsidRPr="00837EBE">
        <w:rPr>
          <w:rFonts w:ascii="Simplified Arabic" w:hAnsi="Simplified Arabic" w:cs="Simplified Arabic"/>
          <w:rtl/>
        </w:rPr>
        <w:t>أجرى</w:t>
      </w:r>
      <w:bookmarkEnd w:id="2"/>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sidRPr="00837EBE">
        <w:rPr>
          <w:rFonts w:ascii="Simplified Arabic" w:hAnsi="Simplified Arabic" w:cs="Simplified Arabic"/>
        </w:rPr>
        <w:t xml:space="preserve">". </w:t>
      </w:r>
      <w:r w:rsidRPr="00837EBE">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sidR="0005238F">
        <w:rPr>
          <w:rFonts w:ascii="Simplified Arabic" w:hAnsi="Simplified Arabic" w:cs="Simplified Arabic"/>
        </w:rPr>
        <w:t xml:space="preserve"> </w:t>
      </w:r>
      <w:r w:rsidRPr="00837EBE">
        <w:rPr>
          <w:rFonts w:ascii="Simplified Arabic" w:hAnsi="Simplified Arabic" w:cs="Simplified Arabic"/>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sidRPr="00837EBE">
        <w:rPr>
          <w:rFonts w:ascii="Simplified Arabic" w:hAnsi="Simplified Arabic" w:cs="Simplified Arabic"/>
        </w:rPr>
        <w:t xml:space="preserve">. </w:t>
      </w:r>
      <w:r w:rsidRPr="00837EBE">
        <w:rPr>
          <w:rFonts w:ascii="Simplified Arabic" w:hAnsi="Simplified Arabic" w:cs="Simplified Arabic"/>
          <w:rtl/>
        </w:rPr>
        <w:t xml:space="preserve">بلغ حجم العينة (الحد الأدنى) </w:t>
      </w:r>
      <w:r w:rsidR="000D3CD0">
        <w:rPr>
          <w:rFonts w:ascii="Simplified Arabic" w:hAnsi="Simplified Arabic" w:cs="Simplified Arabic"/>
        </w:rPr>
        <w:t xml:space="preserve"> </w:t>
      </w:r>
      <w:r w:rsidRPr="00837EBE">
        <w:rPr>
          <w:rFonts w:ascii="Simplified Arabic" w:hAnsi="Simplified Arabic" w:cs="Simplified Arabic"/>
        </w:rPr>
        <w:t xml:space="preserve">384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sidR="0005238F">
        <w:rPr>
          <w:rFonts w:ascii="Simplified Arabic" w:hAnsi="Simplified Arabic" w:cs="Simplified Arabic"/>
        </w:rPr>
        <w:t xml:space="preserve"> </w:t>
      </w:r>
      <w:r>
        <w:rPr>
          <w:rFonts w:ascii="Simplified Arabic" w:hAnsi="Simplified Arabic" w:cs="Simplified Arabic" w:hint="cs"/>
          <w:rtl/>
        </w:rPr>
        <w:t xml:space="preserve">. </w:t>
      </w:r>
      <w:r w:rsidRPr="00837EBE">
        <w:rPr>
          <w:rFonts w:ascii="Simplified Arabic" w:hAnsi="Simplified Arabic" w:cs="Simplified Arabic"/>
          <w:rtl/>
        </w:rPr>
        <w:t>وقد تضمنت أدوات التحليل الإحصائي المستخدمة معامل الثبات ألفا كرونباخ</w:t>
      </w:r>
      <w:r w:rsidRPr="00837EBE">
        <w:rPr>
          <w:rFonts w:ascii="Simplified Arabic" w:hAnsi="Simplified Arabic" w:cs="Simplified Arabic"/>
        </w:rPr>
        <w:t>(Cronbach's Alpha)</w:t>
      </w:r>
      <w:r w:rsidR="0005238F">
        <w:rPr>
          <w:rFonts w:ascii="Simplified Arabic" w:hAnsi="Simplified Arabic" w:cs="Simplified Arabic"/>
        </w:rPr>
        <w:t xml:space="preserve"> </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كما </w:t>
      </w:r>
      <w:r w:rsidRPr="00837EBE">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Pr="00837EBE">
        <w:rPr>
          <w:rFonts w:ascii="Simplified Arabic" w:hAnsi="Simplified Arabic" w:cs="Simplified Arabic"/>
        </w:rPr>
        <w:t xml:space="preserve">: </w:t>
      </w:r>
      <w:r w:rsidRPr="00837EBE">
        <w:rPr>
          <w:rFonts w:ascii="Simplified Arabic" w:hAnsi="Simplified Arabic" w:cs="Simplified Arabic"/>
          <w:rtl/>
        </w:rPr>
        <w:t>جذب الانتباه، خلق الاهتمام، إثارة الرغبة، والشراء الفعلي</w:t>
      </w:r>
      <w:r w:rsidRPr="00837EBE">
        <w:rPr>
          <w:rFonts w:ascii="Simplified Arabic" w:hAnsi="Simplified Arabic" w:cs="Simplified Arabic"/>
        </w:rPr>
        <w:t>.</w:t>
      </w:r>
      <w:r>
        <w:rPr>
          <w:rFonts w:ascii="Simplified Arabic" w:hAnsi="Simplified Arabic" w:cs="Simplified Arabic" w:hint="cs"/>
          <w:rtl/>
        </w:rPr>
        <w:t xml:space="preserve"> </w:t>
      </w:r>
      <w:r w:rsidRPr="00837EBE">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sidRPr="00837EBE">
        <w:rPr>
          <w:rFonts w:ascii="Simplified Arabic" w:hAnsi="Simplified Arabic" w:cs="Simplified Arabic"/>
        </w:rPr>
        <w:t xml:space="preserve">. </w:t>
      </w:r>
      <w:r w:rsidRPr="00837EBE">
        <w:rPr>
          <w:rFonts w:ascii="Simplified Arabic" w:hAnsi="Simplified Arabic" w:cs="Simplified Arabic"/>
          <w:rtl/>
        </w:rPr>
        <w:t>كما أوصت بالتدريب المستمر للمسوقين على تقنية تحسين محركات البحث</w:t>
      </w:r>
      <w:r w:rsidRPr="00837EBE">
        <w:rPr>
          <w:rFonts w:ascii="Simplified Arabic" w:hAnsi="Simplified Arabic" w:cs="Simplified Arabic"/>
        </w:rPr>
        <w:t xml:space="preserve"> (SEO) </w:t>
      </w:r>
      <w:r w:rsidRPr="00837EBE">
        <w:rPr>
          <w:rFonts w:ascii="Simplified Arabic" w:hAnsi="Simplified Arabic" w:cs="Simplified Arabic"/>
          <w:rtl/>
        </w:rPr>
        <w:t>وروبوتات الدردشة</w:t>
      </w:r>
      <w:r w:rsidRPr="00837EBE">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sidRPr="0005238F">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6FA8834" w:rsidR="00E019FE" w:rsidRPr="0005238F"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45799612" w14:textId="66CA1C04" w:rsidR="000D3CD0" w:rsidRDefault="00361EA9" w:rsidP="0085283F">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w:t>
      </w:r>
      <w:r w:rsidRPr="00361EA9">
        <w:rPr>
          <w:rFonts w:ascii="Simplified Arabic" w:hAnsi="Simplified Arabic" w:cs="Simplified Arabic"/>
        </w:rPr>
        <w:t>Virtual Try-On</w:t>
      </w:r>
      <w:r w:rsidRPr="00361EA9">
        <w:rPr>
          <w:rFonts w:ascii="Simplified Arabic" w:hAnsi="Simplified Arabic" w:cs="Simplified Arabic"/>
          <w:rtl/>
        </w:rPr>
        <w:t xml:space="preserve">) وتوليد الصور إلى فيديوهات </w:t>
      </w:r>
      <w:r w:rsidRPr="00361EA9">
        <w:rPr>
          <w:rFonts w:ascii="Simplified Arabic" w:hAnsi="Simplified Arabic" w:cs="Simplified Arabic"/>
        </w:rPr>
        <w:t>(Image-to-Video Generation)</w:t>
      </w:r>
      <w:r w:rsidRPr="00361EA9">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Pr="00361EA9">
        <w:rPr>
          <w:rFonts w:ascii="Simplified Arabic" w:hAnsi="Simplified Arabic" w:cs="Simplified Arabic"/>
        </w:rPr>
        <w:t>FashionFlow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sidRPr="00361EA9">
        <w:rPr>
          <w:rFonts w:ascii="Simplified Arabic" w:hAnsi="Simplified Arabic" w:cs="Simplified Arabic"/>
        </w:rPr>
        <w:t>ground truth</w:t>
      </w:r>
      <w:r w:rsidRPr="00361EA9">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xml:space="preserve">) </w:t>
      </w:r>
      <w:r w:rsidRPr="00361EA9">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w:t>
      </w:r>
      <w:r w:rsidRPr="0005238F">
        <w:rPr>
          <w:rFonts w:ascii="Simplified Arabic" w:hAnsi="Simplified Arabic" w:cs="Simplified Arabic"/>
        </w:rPr>
        <w:t>Islam</w:t>
      </w:r>
      <w:r w:rsidRPr="0005238F">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sidRPr="0005238F">
        <w:rPr>
          <w:rFonts w:ascii="Simplified Arabic" w:hAnsi="Simplified Arabic" w:cs="Simplified Arabic"/>
        </w:rPr>
        <w:t>MARK-GEN</w:t>
      </w:r>
      <w:r w:rsidRPr="0005238F">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Pr="004F2B23" w:rsidRDefault="000D3CD0" w:rsidP="000D3CD0">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sidR="00361EA9" w:rsidRPr="00361EA9">
        <w:rPr>
          <w:rFonts w:ascii="Simplified Arabic" w:hAnsi="Simplified Arabic" w:cs="Simplified Arabic"/>
        </w:rPr>
        <w:t>AI</w:t>
      </w:r>
      <w:r w:rsidR="00361EA9" w:rsidRPr="00361EA9">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Default="00CD177D" w:rsidP="00CD177D">
      <w:pPr>
        <w:bidi/>
        <w:spacing w:after="200" w:line="240" w:lineRule="auto"/>
        <w:jc w:val="both"/>
        <w:rPr>
          <w:rFonts w:ascii="Simplified Arabic" w:hAnsi="Simplified Arabic" w:cs="Simplified Arabic"/>
          <w:rtl/>
        </w:rPr>
      </w:pPr>
      <w:r w:rsidRPr="00CD177D">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sidRPr="00CD177D">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sidRPr="00CD177D">
        <w:rPr>
          <w:rFonts w:ascii="Simplified Arabic" w:hAnsi="Simplified Arabic" w:cs="Simplified Arabic"/>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44CF6AF4" w14:textId="7739D329" w:rsidR="000343D5" w:rsidRDefault="000D17E6" w:rsidP="000D3CD0">
      <w:pPr>
        <w:bidi/>
        <w:jc w:val="both"/>
        <w:rPr>
          <w:rFonts w:ascii="Simplified Arabic" w:hAnsi="Simplified Arabic" w:cs="Simplified Arabic"/>
          <w:rtl/>
        </w:rPr>
      </w:pPr>
      <w:r w:rsidRPr="000D17E6">
        <w:rPr>
          <w:rFonts w:ascii="Simplified Arabic" w:hAnsi="Simplified Arabic" w:cs="Simplified Arabic"/>
          <w:rtl/>
        </w:rPr>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sidRPr="000D17E6">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 xml:space="preserve">تتوافق دراسة </w:t>
      </w:r>
      <w:r w:rsidRPr="0005238F">
        <w:rPr>
          <w:rFonts w:ascii="Simplified Arabic" w:hAnsi="Simplified Arabic" w:cs="Simplified Arabic"/>
        </w:rPr>
        <w:t>Kshetri</w:t>
      </w:r>
      <w:r w:rsidRPr="0005238F">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Default="00675F33" w:rsidP="000D3CD0">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Pr>
          <w:rFonts w:ascii="Simplified Arabic" w:hAnsi="Simplified Arabic" w:cs="Simplified Arabic" w:hint="cs"/>
          <w:b/>
          <w:bCs/>
          <w:rtl/>
        </w:rPr>
        <w:t xml:space="preserve"> </w:t>
      </w:r>
    </w:p>
    <w:p w14:paraId="10CF38DC" w14:textId="77777777" w:rsidR="0016375F" w:rsidRDefault="003B5EAB" w:rsidP="0016375F">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4FA834F9" w14:textId="5E76DB7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sidRPr="003B5EAB">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sidRPr="003B5EAB">
        <w:rPr>
          <w:rFonts w:ascii="Simplified Arabic" w:hAnsi="Simplified Arabic" w:cs="Simplified Arabic"/>
        </w:rPr>
        <w:t>Mendoza et al</w:t>
      </w:r>
      <w:r w:rsidRPr="003B5EAB">
        <w:rPr>
          <w:rFonts w:ascii="Simplified Arabic" w:hAnsi="Simplified Arabic" w:cs="Simplified Arabic"/>
          <w:rtl/>
        </w:rPr>
        <w:t xml:space="preserve">.) دراستهم في عام 2025، تحت عنوان "الذكاء الاصطناعي في التسويق الرقمي: تحليل كمي لتأثيره </w:t>
      </w:r>
      <w:r w:rsidRPr="003B5EAB">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sidRPr="003B5EAB">
        <w:rPr>
          <w:rFonts w:ascii="Simplified Arabic" w:hAnsi="Simplified Arabic" w:cs="Simplified Arabic"/>
        </w:rPr>
        <w:t>AI</w:t>
      </w:r>
      <w:r w:rsidRPr="003B5EAB">
        <w:rPr>
          <w:rFonts w:ascii="Simplified Arabic" w:hAnsi="Simplified Arabic" w:cs="Simplified Arabic"/>
          <w:rtl/>
        </w:rPr>
        <w:t>) على تخصيص العملاء</w:t>
      </w:r>
      <w:r>
        <w:rPr>
          <w:rFonts w:ascii="Simplified Arabic" w:hAnsi="Simplified Arabic" w:cs="Simplified Arabic" w:hint="cs"/>
          <w:rtl/>
        </w:rPr>
        <w:t xml:space="preserve"> </w:t>
      </w:r>
      <w:r w:rsidRPr="003B5EAB">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379F030F" w14:textId="04B3C26F"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تتوافق دراسة </w:t>
      </w:r>
      <w:r w:rsidRPr="0016375F">
        <w:rPr>
          <w:rFonts w:ascii="Simplified Arabic" w:hAnsi="Simplified Arabic" w:cs="Simplified Arabic"/>
        </w:rPr>
        <w:t>Mendoza</w:t>
      </w:r>
      <w:r w:rsidRPr="0016375F">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sidRPr="0016375F">
        <w:rPr>
          <w:rFonts w:ascii="Simplified Arabic" w:hAnsi="Simplified Arabic" w:cs="Simplified Arabic"/>
        </w:rPr>
        <w:t>PRISMA</w:t>
      </w:r>
      <w:r w:rsidRPr="0016375F">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09AA0776" w:rsidR="00E019FE"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sidRPr="000D3CD0">
        <w:rPr>
          <w:rFonts w:ascii="Simplified Arabic" w:hAnsi="Simplified Arabic" w:cs="Simplified Arabic"/>
        </w:rPr>
        <w:t>AI</w:t>
      </w:r>
      <w:r w:rsidRPr="000D3CD0">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sidRPr="000D3CD0">
        <w:rPr>
          <w:rFonts w:ascii="Simplified Arabic" w:hAnsi="Simplified Arabic" w:cs="Simplified Arabic"/>
        </w:rPr>
        <w:t>Purchase Intention</w:t>
      </w:r>
      <w:r w:rsidRPr="000D3CD0">
        <w:rPr>
          <w:rFonts w:ascii="Simplified Arabic" w:hAnsi="Simplified Arabic" w:cs="Simplified Arabic"/>
          <w:rtl/>
        </w:rPr>
        <w:t xml:space="preserve">)، وتفضيل العلامة التجارية </w:t>
      </w:r>
      <w:r w:rsidRPr="000D3CD0">
        <w:rPr>
          <w:rFonts w:ascii="Simplified Arabic" w:hAnsi="Simplified Arabic" w:cs="Simplified Arabic"/>
        </w:rPr>
        <w:t>(Brand Preference)</w:t>
      </w:r>
      <w:r w:rsidRPr="000D3CD0">
        <w:rPr>
          <w:rFonts w:ascii="Simplified Arabic" w:hAnsi="Simplified Arabic" w:cs="Simplified Arabic"/>
          <w:rtl/>
        </w:rPr>
        <w:t>.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sidRPr="000D3CD0">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769AA873" w14:textId="5283104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تتفق دراسة </w:t>
      </w:r>
      <w:r w:rsidRPr="0016375F">
        <w:rPr>
          <w:rFonts w:ascii="Simplified Arabic" w:hAnsi="Simplified Arabic" w:cs="Simplified Arabic"/>
        </w:rPr>
        <w:t>Beyari</w:t>
      </w:r>
      <w:r w:rsidRPr="0016375F">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384 </w:t>
            </w:r>
            <w:r w:rsidRPr="00BE56D1">
              <w:rPr>
                <w:rFonts w:ascii="Simplified Arabic" w:eastAsia="Times New Roman" w:hAnsi="Simplified Arabic" w:cs="Simplified Arabic"/>
                <w:sz w:val="20"/>
                <w:szCs w:val="20"/>
                <w:rtl/>
              </w:rPr>
              <w:t>من عملاء المتاجر الإلكترونية في مصر (عينة كرة الثلج)</w:t>
            </w:r>
            <w:r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400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120 </w:t>
            </w:r>
            <w:r w:rsidRPr="00BE56D1">
              <w:rPr>
                <w:rFonts w:ascii="Simplified Arabic" w:eastAsia="Times New Roman" w:hAnsi="Simplified Arabic" w:cs="Simplified Arabic"/>
                <w:sz w:val="20"/>
                <w:szCs w:val="20"/>
                <w:rtl/>
              </w:rPr>
              <w:t>موظفاً في ثلاثة مصارف حكومية عراقية</w:t>
            </w:r>
            <w:r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sidRPr="00E04FE4">
        <w:rPr>
          <w:rFonts w:ascii="Simplified Arabic" w:hAnsi="Simplified Arabic" w:cs="Simplified Arabic"/>
          <w:rtl/>
        </w:rPr>
        <w:t xml:space="preserve">(الخطيب، 2024؛ </w:t>
      </w:r>
      <w:r w:rsidRPr="00E04FE4">
        <w:rPr>
          <w:rFonts w:ascii="Simplified Arabic" w:hAnsi="Simplified Arabic" w:cs="Simplified Arabic"/>
        </w:rPr>
        <w:t>Gujar &amp; Panyam, 2024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Pr="00E04FE4">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sidRPr="00E04FE4">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sidRPr="00E04FE4">
        <w:rPr>
          <w:rFonts w:ascii="Simplified Arabic" w:hAnsi="Simplified Arabic" w:cs="Simplified Arabic"/>
          <w:rtl/>
        </w:rPr>
        <w:t>(</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Mendoza et al.,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sidRPr="00E04FE4">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sidRPr="00E04FE4">
        <w:rPr>
          <w:rFonts w:ascii="Simplified Arabic" w:hAnsi="Simplified Arabic" w:cs="Simplified Arabic"/>
          <w:rtl/>
        </w:rPr>
        <w:t xml:space="preserve">(اللهيبي وآخرون، 2024؛ </w:t>
      </w:r>
      <w:r w:rsidRPr="00E04FE4">
        <w:rPr>
          <w:rFonts w:ascii="Simplified Arabic" w:hAnsi="Simplified Arabic" w:cs="Simplified Arabic"/>
        </w:rPr>
        <w:t>Beyari,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sidRPr="00E04FE4">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sidRPr="00E04FE4">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sidRPr="00E04FE4">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sidRPr="00E04FE4">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sidRPr="00E04FE4">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Default="00915B55" w:rsidP="00915B55">
      <w:pPr>
        <w:bidi/>
        <w:spacing w:after="200" w:line="276" w:lineRule="auto"/>
        <w:jc w:val="both"/>
        <w:rPr>
          <w:rFonts w:ascii="Simplified Arabic" w:hAnsi="Simplified Arabic" w:cs="Simplified Arabic"/>
          <w:rtl/>
        </w:rPr>
      </w:pPr>
    </w:p>
    <w:p w14:paraId="6F6661C9" w14:textId="78896B03" w:rsidR="00B65A24" w:rsidRPr="00B65A24" w:rsidRDefault="00B65A24" w:rsidP="00B65A24">
      <w:pPr>
        <w:bidi/>
        <w:spacing w:after="200" w:line="276" w:lineRule="auto"/>
        <w:rPr>
          <w:rFonts w:ascii="Sakkal Majalla" w:hAnsi="Sakkal Majalla" w:cs="Sakkal Majalla"/>
          <w:b/>
          <w:bCs/>
          <w:color w:val="00B0F0"/>
          <w:sz w:val="36"/>
          <w:szCs w:val="36"/>
          <w:u w:val="single"/>
          <w:rtl/>
        </w:rPr>
      </w:pPr>
      <w:r w:rsidRPr="00B65A24">
        <w:rPr>
          <w:rFonts w:ascii="Sakkal Majalla" w:hAnsi="Sakkal Majalla" w:cs="Sakkal Majalla" w:hint="cs"/>
          <w:b/>
          <w:bCs/>
          <w:color w:val="00B0F0"/>
          <w:sz w:val="36"/>
          <w:szCs w:val="36"/>
          <w:u w:val="single"/>
          <w:rtl/>
        </w:rPr>
        <w:lastRenderedPageBreak/>
        <w:t>الفصل الثالث: منهجية الدراسة</w:t>
      </w:r>
    </w:p>
    <w:p w14:paraId="2EF16704" w14:textId="0FF2C46E" w:rsidR="00B65A24" w:rsidRPr="00B65A24" w:rsidRDefault="00B65A24" w:rsidP="00B65A24">
      <w:pPr>
        <w:bidi/>
        <w:spacing w:after="200" w:line="240" w:lineRule="auto"/>
        <w:jc w:val="both"/>
        <w:rPr>
          <w:rFonts w:ascii="Sakkal Majalla" w:hAnsi="Sakkal Majalla" w:cs="Sakkal Majalla"/>
          <w:b/>
          <w:bCs/>
          <w:color w:val="1F497D" w:themeColor="text2"/>
          <w:sz w:val="32"/>
          <w:szCs w:val="32"/>
          <w:u w:val="single"/>
          <w:rtl/>
        </w:rPr>
      </w:pPr>
      <w:r w:rsidRPr="00B65A24">
        <w:rPr>
          <w:rFonts w:ascii="Sakkal Majalla" w:hAnsi="Sakkal Majalla" w:cs="Sakkal Majalla"/>
          <w:b/>
          <w:bCs/>
          <w:color w:val="1F497D" w:themeColor="text2"/>
          <w:sz w:val="32"/>
          <w:szCs w:val="32"/>
          <w:u w:val="single"/>
          <w:rtl/>
        </w:rPr>
        <w:t>تمهيد</w:t>
      </w:r>
    </w:p>
    <w:p w14:paraId="7E09DB84" w14:textId="7C4C53FA" w:rsidR="00B65A24" w:rsidRPr="00B65A24" w:rsidRDefault="00B65A24" w:rsidP="00B65A24">
      <w:pPr>
        <w:bidi/>
        <w:spacing w:after="200" w:line="276" w:lineRule="auto"/>
        <w:rPr>
          <w:rFonts w:ascii="Simplified Arabic" w:hAnsi="Simplified Arabic" w:cs="Simplified Arabic"/>
          <w:rtl/>
        </w:rPr>
      </w:pPr>
      <w:r w:rsidRPr="00B65A24">
        <w:rPr>
          <w:rFonts w:ascii="Simplified Arabic" w:hAnsi="Simplified Arabic" w:cs="Simplified Arabic"/>
          <w:rtl/>
        </w:rPr>
        <w:t>هذا الفصل لعرض الطريقة والإجراءات التي اتُّبعت في الجانب الميداني من الدراسة، بدءًا من تحديد المنهج المناسب لطبيعة المشكلة البحثية، ووصف مجتمع الدراسة وكيفية اختيار عينته، مرورًا ببناء أداة جمع البيانات والتحقق من صدقها وثباتها، وانتهاءً ببيان الأساليب الإحصائية التي استُخدمت في تحليل البيانات واختبار الفرضيات</w:t>
      </w:r>
      <w:r w:rsidRPr="00B65A24">
        <w:rPr>
          <w:rFonts w:ascii="Simplified Arabic" w:hAnsi="Simplified Arabic" w:cs="Simplified Arabic"/>
        </w:rPr>
        <w:t>.</w:t>
      </w:r>
    </w:p>
    <w:p w14:paraId="5B3759B4" w14:textId="77777777" w:rsidR="00B65A24" w:rsidRPr="00B65A24" w:rsidRDefault="00B65A24" w:rsidP="00B65A24">
      <w:pPr>
        <w:bidi/>
        <w:spacing w:after="200" w:line="276" w:lineRule="auto"/>
        <w:rPr>
          <w:rFonts w:ascii="Simplified Arabic" w:hAnsi="Simplified Arabic" w:cs="Simplified Arabic"/>
          <w:rtl/>
        </w:rPr>
      </w:pPr>
      <w:r w:rsidRPr="00B65A24">
        <w:rPr>
          <w:rFonts w:ascii="Simplified Arabic" w:hAnsi="Simplified Arabic" w:cs="Simplified Arabic"/>
          <w:rtl/>
        </w:rPr>
        <w:t>ولمّا كانت الدراسة تسعى إلى الكشف عن أثر توظيف تقنيات الذكاء الاصطناعي التوليدي في تصميم الحملات الرقمية على فعالية الأداء التسويقي، عبر الدور الوسيط لجودة عملية التصميم والدور المعدِّل للدوافع والعوائق، فقد اقتضى ذلك اختيار إجراءات منهجية قادرة على اختبار هذه العلاقات المباشرة وغير المباشرة في آنٍ واحد. وتمثل هذه الإجراءات الأساس الذي تُبنى عليه نتائج الفصل الرابع وتفسيرها</w:t>
      </w:r>
      <w:r w:rsidRPr="00B65A24">
        <w:rPr>
          <w:rFonts w:ascii="Simplified Arabic" w:hAnsi="Simplified Arabic" w:cs="Simplified Arabic"/>
        </w:rPr>
        <w:t>.</w:t>
      </w:r>
    </w:p>
    <w:p w14:paraId="757926E1" w14:textId="77777777" w:rsidR="00B65A24" w:rsidRDefault="00B65A24" w:rsidP="00B65A24">
      <w:pPr>
        <w:bidi/>
        <w:spacing w:after="200" w:line="276" w:lineRule="auto"/>
        <w:rPr>
          <w:rFonts w:ascii="Simplified Arabic" w:hAnsi="Simplified Arabic" w:cs="Simplified Arabic"/>
          <w:rtl/>
        </w:rPr>
      </w:pPr>
      <w:r w:rsidRPr="00B65A24">
        <w:rPr>
          <w:rFonts w:ascii="Simplified Arabic" w:hAnsi="Simplified Arabic" w:cs="Simplified Arabic"/>
          <w:rtl/>
        </w:rPr>
        <w:t>ويتناول الفصل في عناصره منهج الدراسة وتصميمها، ومتغيراتها، ومجتمعها ووحدة تحليلها، وعينتها وأسلوب اختيارها، ثم أداة الدراسة وإجراءات التحقق من صدقها وثباتها، فالأساليب الإحصائية المستخدمة في معالجة بياناتها، وصولًا إلى الجوانب الأخلاقية لإجراءاتها</w:t>
      </w:r>
      <w:r w:rsidRPr="00B65A24">
        <w:rPr>
          <w:rFonts w:ascii="Simplified Arabic" w:hAnsi="Simplified Arabic" w:cs="Simplified Arabic"/>
        </w:rPr>
        <w:t>.</w:t>
      </w:r>
    </w:p>
    <w:p w14:paraId="149311E0" w14:textId="77777777" w:rsidR="00DE2E72" w:rsidRPr="00B65A24" w:rsidRDefault="00DE2E72" w:rsidP="00DE2E72">
      <w:pPr>
        <w:bidi/>
        <w:spacing w:after="200" w:line="276" w:lineRule="auto"/>
        <w:rPr>
          <w:rFonts w:ascii="Simplified Arabic" w:hAnsi="Simplified Arabic" w:cs="Simplified Arabic"/>
          <w:rtl/>
        </w:rPr>
      </w:pPr>
    </w:p>
    <w:p w14:paraId="43D5736F" w14:textId="60691C8E" w:rsidR="00B65A24" w:rsidRPr="00B65A24" w:rsidRDefault="00B65A24" w:rsidP="00B65A24">
      <w:pPr>
        <w:bidi/>
        <w:spacing w:after="200" w:line="240" w:lineRule="auto"/>
        <w:jc w:val="both"/>
        <w:rPr>
          <w:rFonts w:ascii="Sakkal Majalla" w:hAnsi="Sakkal Majalla" w:cs="Sakkal Majalla"/>
          <w:b/>
          <w:bCs/>
          <w:color w:val="1F497D" w:themeColor="text2"/>
          <w:sz w:val="32"/>
          <w:szCs w:val="32"/>
          <w:u w:val="single"/>
          <w:rtl/>
        </w:rPr>
      </w:pPr>
      <w:r w:rsidRPr="00B65A24">
        <w:rPr>
          <w:rFonts w:ascii="Sakkal Majalla" w:hAnsi="Sakkal Majalla" w:cs="Sakkal Majalla"/>
          <w:b/>
          <w:bCs/>
          <w:color w:val="1F497D" w:themeColor="text2"/>
          <w:sz w:val="32"/>
          <w:szCs w:val="32"/>
          <w:u w:val="single"/>
          <w:rtl/>
        </w:rPr>
        <w:t>منهج الدراسة وتصميمها</w:t>
      </w:r>
    </w:p>
    <w:p w14:paraId="6EBA402A" w14:textId="77777777" w:rsidR="00B65A24" w:rsidRPr="00B65A24" w:rsidRDefault="00B65A24" w:rsidP="00B65A24">
      <w:pPr>
        <w:bidi/>
        <w:spacing w:after="200" w:line="276" w:lineRule="auto"/>
        <w:rPr>
          <w:rFonts w:ascii="Simplified Arabic" w:hAnsi="Simplified Arabic" w:cs="Simplified Arabic"/>
          <w:rtl/>
        </w:rPr>
      </w:pPr>
      <w:r w:rsidRPr="00B65A24">
        <w:rPr>
          <w:rFonts w:ascii="Simplified Arabic" w:hAnsi="Simplified Arabic" w:cs="Simplified Arabic"/>
          <w:rtl/>
        </w:rPr>
        <w:t>اعتمدت الدراسة المنهج الوصفي التحليلي لملاءمته طبيعة المشكلة وأهداف الدراسة. فهذا المنهج لا يكتفي بوصف واقع توظيف تقنيات الذكاء الاصطناعي التوليدي في وكالات التسويق السعودية، وإنما يتجاوزه إلى تحليل العلاقات بين متغيرات الدراسة وتفسير اتجاه التأثير بينها وقوته، وهو ما تتطلبه دراسة تستهدف بناء نموذج تفسيري لا مجرد توصيف للظاهرة</w:t>
      </w:r>
      <w:r w:rsidRPr="00B65A24">
        <w:rPr>
          <w:rFonts w:ascii="Simplified Arabic" w:hAnsi="Simplified Arabic" w:cs="Simplified Arabic"/>
        </w:rPr>
        <w:t>.</w:t>
      </w:r>
    </w:p>
    <w:p w14:paraId="7A3C7919" w14:textId="3B796D7F" w:rsidR="00B65A24" w:rsidRPr="00B65A24" w:rsidRDefault="00B65A24" w:rsidP="00B65A24">
      <w:pPr>
        <w:bidi/>
        <w:spacing w:after="200" w:line="276" w:lineRule="auto"/>
        <w:rPr>
          <w:rFonts w:ascii="Simplified Arabic" w:hAnsi="Simplified Arabic" w:cs="Simplified Arabic"/>
          <w:rtl/>
        </w:rPr>
      </w:pPr>
      <w:r w:rsidRPr="00B65A24">
        <w:rPr>
          <w:rFonts w:ascii="Simplified Arabic" w:hAnsi="Simplified Arabic" w:cs="Simplified Arabic"/>
          <w:rtl/>
        </w:rPr>
        <w:t>وتندرج الدراسة ضمن البحوث الكمية لاعتمادها على بيانات رقمية تُجمع بأداة مقننة وتُعالَج إحصائيًا، كما تُعد دراسة مقطعية</w:t>
      </w:r>
      <w:r w:rsidRPr="00B65A24">
        <w:rPr>
          <w:rFonts w:ascii="Simplified Arabic" w:hAnsi="Simplified Arabic" w:cs="Simplified Arabic"/>
        </w:rPr>
        <w:t xml:space="preserve"> (Cross-sectional) </w:t>
      </w:r>
      <w:r w:rsidRPr="00B65A24">
        <w:rPr>
          <w:rFonts w:ascii="Simplified Arabic" w:hAnsi="Simplified Arabic" w:cs="Simplified Arabic"/>
          <w:rtl/>
        </w:rPr>
        <w:t>جُمعت بياناتها في فترة زمنية واحدة تعكس واقع الممارسة المهنية وقت إجرائها، دون متابعة تطور المتغيرات عبر الزمن</w:t>
      </w:r>
      <w:r w:rsidRPr="00B65A24">
        <w:rPr>
          <w:rFonts w:ascii="Simplified Arabic" w:hAnsi="Simplified Arabic" w:cs="Simplified Arabic"/>
        </w:rPr>
        <w:t>.</w:t>
      </w:r>
    </w:p>
    <w:p w14:paraId="737A4DFD" w14:textId="7CFEBF5F" w:rsidR="00B65A24" w:rsidRDefault="00B65A24" w:rsidP="00B65A24">
      <w:pPr>
        <w:bidi/>
        <w:spacing w:after="200" w:line="276" w:lineRule="auto"/>
        <w:jc w:val="both"/>
        <w:rPr>
          <w:rFonts w:ascii="Simplified Arabic" w:hAnsi="Simplified Arabic" w:cs="Simplified Arabic"/>
          <w:rtl/>
        </w:rPr>
      </w:pPr>
      <w:r w:rsidRPr="00B65A24">
        <w:rPr>
          <w:rFonts w:ascii="Simplified Arabic" w:hAnsi="Simplified Arabic" w:cs="Simplified Arabic"/>
          <w:rtl/>
        </w:rPr>
        <w:t>ويقوم تصميم الدراسة على اختبار شبكة من العلاقات السببية باستخدام نمذجة المعادلات البنائية القائمة على المربعات الصغرى الجزئية (</w:t>
      </w:r>
      <w:r w:rsidRPr="00B65A24">
        <w:rPr>
          <w:rFonts w:ascii="Simplified Arabic" w:hAnsi="Simplified Arabic" w:cs="Simplified Arabic"/>
        </w:rPr>
        <w:t>PLS-SEM</w:t>
      </w:r>
      <w:r w:rsidRPr="00B65A24">
        <w:rPr>
          <w:rFonts w:ascii="Simplified Arabic" w:hAnsi="Simplified Arabic" w:cs="Simplified Arabic"/>
          <w:rtl/>
        </w:rPr>
        <w:t>)، إذ يتيح هذا الأسلوب فحص أثر المتغير المستقل في المتغير التابع، ودور المتغير الوسيط، وتأثير المتغيرين المعدِّلين، ضمن نموذج واحد. وقد فُصِّلت مبررات هذا الاختيار وخطواته في العنصر (3-9) من هذا الفصل.</w:t>
      </w:r>
    </w:p>
    <w:p w14:paraId="43D74155" w14:textId="77777777" w:rsidR="00DE2E72" w:rsidRDefault="00DE2E72" w:rsidP="00DE2E72">
      <w:pPr>
        <w:bidi/>
        <w:spacing w:after="200" w:line="276" w:lineRule="auto"/>
        <w:jc w:val="both"/>
        <w:rPr>
          <w:rFonts w:ascii="Simplified Arabic" w:hAnsi="Simplified Arabic" w:cs="Simplified Arabic"/>
          <w:rtl/>
        </w:rPr>
      </w:pPr>
    </w:p>
    <w:p w14:paraId="6D21723D" w14:textId="77777777" w:rsidR="00DE2E72" w:rsidRDefault="00DE2E72" w:rsidP="00DE2E72">
      <w:pPr>
        <w:bidi/>
        <w:spacing w:after="200" w:line="276" w:lineRule="auto"/>
        <w:jc w:val="both"/>
        <w:rPr>
          <w:rFonts w:ascii="Simplified Arabic" w:hAnsi="Simplified Arabic" w:cs="Simplified Arabic"/>
          <w:rtl/>
        </w:rPr>
      </w:pPr>
    </w:p>
    <w:p w14:paraId="5A7CC37C" w14:textId="6FFC0F0B" w:rsidR="00B65A24" w:rsidRPr="004F4747" w:rsidRDefault="00B65A24" w:rsidP="004F4747">
      <w:pPr>
        <w:bidi/>
        <w:spacing w:after="200" w:line="240" w:lineRule="auto"/>
        <w:jc w:val="both"/>
        <w:rPr>
          <w:rFonts w:ascii="Sakkal Majalla" w:hAnsi="Sakkal Majalla" w:cs="Sakkal Majalla"/>
          <w:b/>
          <w:bCs/>
          <w:color w:val="1F497D" w:themeColor="text2"/>
          <w:sz w:val="32"/>
          <w:szCs w:val="32"/>
          <w:u w:val="single"/>
          <w:rtl/>
        </w:rPr>
      </w:pPr>
      <w:r w:rsidRPr="004F4747">
        <w:rPr>
          <w:rFonts w:ascii="Sakkal Majalla" w:hAnsi="Sakkal Majalla" w:cs="Sakkal Majalla"/>
          <w:b/>
          <w:bCs/>
          <w:color w:val="1F497D" w:themeColor="text2"/>
          <w:sz w:val="32"/>
          <w:szCs w:val="32"/>
          <w:u w:val="single"/>
          <w:rtl/>
        </w:rPr>
        <w:lastRenderedPageBreak/>
        <w:t>متغيرات الدراسة</w:t>
      </w:r>
    </w:p>
    <w:p w14:paraId="7F6459D0" w14:textId="77777777" w:rsidR="00B65A24" w:rsidRPr="00B65A24" w:rsidRDefault="00B65A24" w:rsidP="00B65A24">
      <w:pPr>
        <w:bidi/>
        <w:spacing w:after="200" w:line="276" w:lineRule="auto"/>
        <w:jc w:val="both"/>
        <w:rPr>
          <w:rFonts w:ascii="Simplified Arabic" w:hAnsi="Simplified Arabic" w:cs="Simplified Arabic"/>
          <w:rtl/>
        </w:rPr>
      </w:pPr>
      <w:r w:rsidRPr="00B65A24">
        <w:rPr>
          <w:rFonts w:ascii="Simplified Arabic" w:hAnsi="Simplified Arabic" w:cs="Simplified Arabic"/>
          <w:rtl/>
        </w:rPr>
        <w:t>تقوم الدراسة على خمسة متغيرات يتحدد دور كل منها داخل النموذج التفسيري على النحو الآتي</w:t>
      </w:r>
      <w:r w:rsidRPr="00B65A24">
        <w:rPr>
          <w:rFonts w:ascii="Simplified Arabic" w:hAnsi="Simplified Arabic" w:cs="Simplified Arabic"/>
        </w:rPr>
        <w:t>:</w:t>
      </w:r>
    </w:p>
    <w:p w14:paraId="47D684BC" w14:textId="7DD75F98" w:rsidR="00B65A24" w:rsidRPr="00B65A24" w:rsidRDefault="00B65A24">
      <w:pPr>
        <w:numPr>
          <w:ilvl w:val="0"/>
          <w:numId w:val="20"/>
        </w:numPr>
        <w:bidi/>
        <w:spacing w:after="200" w:line="276" w:lineRule="auto"/>
        <w:jc w:val="both"/>
        <w:rPr>
          <w:rFonts w:ascii="Simplified Arabic" w:hAnsi="Simplified Arabic" w:cs="Simplified Arabic"/>
          <w:rtl/>
        </w:rPr>
      </w:pPr>
      <w:r w:rsidRPr="00B65A24">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sidRPr="00B65A24">
        <w:rPr>
          <w:rFonts w:ascii="Simplified Arabic" w:hAnsi="Simplified Arabic" w:cs="Simplified Arabic"/>
        </w:rPr>
        <w:t xml:space="preserve"> (GAIU)</w:t>
      </w:r>
      <w:r>
        <w:rPr>
          <w:rFonts w:ascii="Simplified Arabic" w:hAnsi="Simplified Arabic" w:cs="Simplified Arabic"/>
        </w:rPr>
        <w:t xml:space="preserve"> </w:t>
      </w:r>
      <w:r w:rsidRPr="00B65A24">
        <w:rPr>
          <w:rFonts w:ascii="Simplified Arabic" w:hAnsi="Simplified Arabic" w:cs="Simplified Arabic"/>
        </w:rPr>
        <w:t>.</w:t>
      </w:r>
    </w:p>
    <w:p w14:paraId="0BAF0A06" w14:textId="51ADF47F" w:rsidR="00B65A24" w:rsidRPr="00B65A24" w:rsidRDefault="00B65A24">
      <w:pPr>
        <w:numPr>
          <w:ilvl w:val="0"/>
          <w:numId w:val="20"/>
        </w:numPr>
        <w:bidi/>
        <w:spacing w:after="200" w:line="276" w:lineRule="auto"/>
        <w:jc w:val="both"/>
        <w:rPr>
          <w:rFonts w:ascii="Simplified Arabic" w:hAnsi="Simplified Arabic" w:cs="Simplified Arabic"/>
          <w:rtl/>
        </w:rPr>
      </w:pPr>
      <w:r w:rsidRPr="00B65A24">
        <w:rPr>
          <w:rFonts w:ascii="Simplified Arabic" w:hAnsi="Simplified Arabic" w:cs="Simplified Arabic"/>
          <w:rtl/>
        </w:rPr>
        <w:t>جودة عملية تصميم الحملات الرقمية، وهو المتغير الوسيط، ويُقاس بثماني فقرات يرمز إليها بالرمز</w:t>
      </w:r>
      <w:r w:rsidRPr="00B65A24">
        <w:rPr>
          <w:rFonts w:ascii="Simplified Arabic" w:hAnsi="Simplified Arabic" w:cs="Simplified Arabic"/>
        </w:rPr>
        <w:t xml:space="preserve"> (CDQ)</w:t>
      </w:r>
      <w:r w:rsidR="004F4747">
        <w:rPr>
          <w:rFonts w:ascii="Simplified Arabic" w:hAnsi="Simplified Arabic" w:cs="Simplified Arabic"/>
        </w:rPr>
        <w:t xml:space="preserve"> </w:t>
      </w:r>
      <w:r w:rsidRPr="00B65A24">
        <w:rPr>
          <w:rFonts w:ascii="Simplified Arabic" w:hAnsi="Simplified Arabic" w:cs="Simplified Arabic"/>
        </w:rPr>
        <w:t>.</w:t>
      </w:r>
    </w:p>
    <w:p w14:paraId="552046F8" w14:textId="0D996B16" w:rsidR="00B65A24" w:rsidRPr="00B65A24" w:rsidRDefault="00B65A24">
      <w:pPr>
        <w:numPr>
          <w:ilvl w:val="0"/>
          <w:numId w:val="20"/>
        </w:numPr>
        <w:bidi/>
        <w:spacing w:after="200" w:line="276" w:lineRule="auto"/>
        <w:jc w:val="both"/>
        <w:rPr>
          <w:rFonts w:ascii="Simplified Arabic" w:hAnsi="Simplified Arabic" w:cs="Simplified Arabic"/>
          <w:rtl/>
        </w:rPr>
      </w:pPr>
      <w:r w:rsidRPr="00B65A24">
        <w:rPr>
          <w:rFonts w:ascii="Simplified Arabic" w:hAnsi="Simplified Arabic" w:cs="Simplified Arabic"/>
          <w:rtl/>
        </w:rPr>
        <w:t>دوافع تبني التقنية، وهو متغير معدِّل معزِّز، ويُقاس بتسع فقرات يرمز إليها بالرمز</w:t>
      </w:r>
      <w:r w:rsidRPr="00B65A24">
        <w:rPr>
          <w:rFonts w:ascii="Simplified Arabic" w:hAnsi="Simplified Arabic" w:cs="Simplified Arabic"/>
        </w:rPr>
        <w:t xml:space="preserve"> (ADP)</w:t>
      </w:r>
      <w:r w:rsidR="004F4747">
        <w:rPr>
          <w:rFonts w:ascii="Simplified Arabic" w:hAnsi="Simplified Arabic" w:cs="Simplified Arabic"/>
        </w:rPr>
        <w:t xml:space="preserve"> </w:t>
      </w:r>
      <w:r w:rsidRPr="00B65A24">
        <w:rPr>
          <w:rFonts w:ascii="Simplified Arabic" w:hAnsi="Simplified Arabic" w:cs="Simplified Arabic"/>
        </w:rPr>
        <w:t>.</w:t>
      </w:r>
    </w:p>
    <w:p w14:paraId="524F7A2D" w14:textId="166DCE8B" w:rsidR="00B65A24" w:rsidRPr="00B65A24" w:rsidRDefault="00B65A24">
      <w:pPr>
        <w:numPr>
          <w:ilvl w:val="0"/>
          <w:numId w:val="20"/>
        </w:numPr>
        <w:bidi/>
        <w:spacing w:after="200" w:line="276" w:lineRule="auto"/>
        <w:jc w:val="both"/>
        <w:rPr>
          <w:rFonts w:ascii="Simplified Arabic" w:hAnsi="Simplified Arabic" w:cs="Simplified Arabic"/>
          <w:rtl/>
        </w:rPr>
      </w:pPr>
      <w:r w:rsidRPr="00B65A24">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sidRPr="00B65A24">
        <w:rPr>
          <w:rFonts w:ascii="Simplified Arabic" w:hAnsi="Simplified Arabic" w:cs="Simplified Arabic"/>
        </w:rPr>
        <w:t xml:space="preserve"> (BAR)</w:t>
      </w:r>
      <w:r w:rsidR="004F4747">
        <w:rPr>
          <w:rFonts w:ascii="Simplified Arabic" w:hAnsi="Simplified Arabic" w:cs="Simplified Arabic"/>
        </w:rPr>
        <w:t xml:space="preserve"> </w:t>
      </w:r>
      <w:r w:rsidRPr="00B65A24">
        <w:rPr>
          <w:rFonts w:ascii="Simplified Arabic" w:hAnsi="Simplified Arabic" w:cs="Simplified Arabic"/>
        </w:rPr>
        <w:t>.</w:t>
      </w:r>
    </w:p>
    <w:p w14:paraId="4E0EE145" w14:textId="19A1B35C" w:rsidR="00B65A24" w:rsidRPr="00B65A24" w:rsidRDefault="00B65A24">
      <w:pPr>
        <w:numPr>
          <w:ilvl w:val="0"/>
          <w:numId w:val="20"/>
        </w:numPr>
        <w:bidi/>
        <w:spacing w:after="200" w:line="276" w:lineRule="auto"/>
        <w:jc w:val="both"/>
        <w:rPr>
          <w:rFonts w:ascii="Simplified Arabic" w:hAnsi="Simplified Arabic" w:cs="Simplified Arabic"/>
          <w:rtl/>
        </w:rPr>
      </w:pPr>
      <w:r w:rsidRPr="00B65A24">
        <w:rPr>
          <w:rFonts w:ascii="Simplified Arabic" w:hAnsi="Simplified Arabic" w:cs="Simplified Arabic"/>
          <w:rtl/>
        </w:rPr>
        <w:t>فعالية الأداء التسويقي للحملات الرقمية، وهو المتغير التابع، ويُقاس بتسع فقرات يرمز إليها بالرمز</w:t>
      </w:r>
      <w:r w:rsidRPr="00B65A24">
        <w:rPr>
          <w:rFonts w:ascii="Simplified Arabic" w:hAnsi="Simplified Arabic" w:cs="Simplified Arabic"/>
        </w:rPr>
        <w:t xml:space="preserve"> (MP)</w:t>
      </w:r>
      <w:r w:rsidR="004F4747">
        <w:rPr>
          <w:rFonts w:ascii="Simplified Arabic" w:hAnsi="Simplified Arabic" w:cs="Simplified Arabic"/>
        </w:rPr>
        <w:t xml:space="preserve"> </w:t>
      </w:r>
      <w:r w:rsidRPr="00B65A24">
        <w:rPr>
          <w:rFonts w:ascii="Simplified Arabic" w:hAnsi="Simplified Arabic" w:cs="Simplified Arabic"/>
        </w:rPr>
        <w:t>.</w:t>
      </w:r>
    </w:p>
    <w:p w14:paraId="5947D9A9" w14:textId="63E2FF6C" w:rsidR="00B65A24" w:rsidRPr="004F4747" w:rsidRDefault="00B65A24" w:rsidP="004F4747">
      <w:pPr>
        <w:bidi/>
        <w:spacing w:after="200" w:line="276" w:lineRule="auto"/>
        <w:rPr>
          <w:rFonts w:ascii="Simplified Arabic" w:hAnsi="Simplified Arabic" w:cs="Simplified Arabic"/>
          <w:b/>
          <w:bCs/>
          <w:rtl/>
        </w:rPr>
      </w:pPr>
      <w:r w:rsidRPr="004F4747">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4F4747" w:rsidRPr="004F4747" w14:paraId="61FE216E" w14:textId="77777777" w:rsidTr="00DE2E72">
        <w:tc>
          <w:tcPr>
            <w:tcW w:w="1855" w:type="dxa"/>
          </w:tcPr>
          <w:p w14:paraId="25DB391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المتغير</w:t>
            </w:r>
          </w:p>
        </w:tc>
        <w:tc>
          <w:tcPr>
            <w:tcW w:w="2400" w:type="dxa"/>
          </w:tcPr>
          <w:p w14:paraId="662A94F3"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دوره في النموذج</w:t>
            </w:r>
          </w:p>
        </w:tc>
        <w:tc>
          <w:tcPr>
            <w:tcW w:w="1560" w:type="dxa"/>
          </w:tcPr>
          <w:p w14:paraId="0AA12DCF"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الرمز</w:t>
            </w:r>
          </w:p>
        </w:tc>
        <w:tc>
          <w:tcPr>
            <w:tcW w:w="2400" w:type="dxa"/>
          </w:tcPr>
          <w:p w14:paraId="64671784"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عدد الفقرات</w:t>
            </w:r>
          </w:p>
        </w:tc>
      </w:tr>
      <w:tr w:rsidR="004F4747" w:rsidRPr="004F4747" w14:paraId="2000BD6F" w14:textId="77777777" w:rsidTr="00DE2E72">
        <w:tc>
          <w:tcPr>
            <w:tcW w:w="1855" w:type="dxa"/>
          </w:tcPr>
          <w:p w14:paraId="6D556A2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توظيف تقنيات الذكاء الاصطناعي التوليدي</w:t>
            </w:r>
          </w:p>
        </w:tc>
        <w:tc>
          <w:tcPr>
            <w:tcW w:w="2400" w:type="dxa"/>
          </w:tcPr>
          <w:p w14:paraId="00D72BC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مستقل</w:t>
            </w:r>
          </w:p>
        </w:tc>
        <w:tc>
          <w:tcPr>
            <w:tcW w:w="1560" w:type="dxa"/>
          </w:tcPr>
          <w:p w14:paraId="59B7F6DE"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GAIU</w:t>
            </w:r>
          </w:p>
        </w:tc>
        <w:tc>
          <w:tcPr>
            <w:tcW w:w="2400" w:type="dxa"/>
          </w:tcPr>
          <w:p w14:paraId="0186809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10</w:t>
            </w:r>
          </w:p>
        </w:tc>
      </w:tr>
      <w:tr w:rsidR="004F4747" w:rsidRPr="004F4747" w14:paraId="19BDE7D1" w14:textId="77777777" w:rsidTr="00DE2E72">
        <w:trPr>
          <w:trHeight w:val="485"/>
        </w:trPr>
        <w:tc>
          <w:tcPr>
            <w:tcW w:w="1855" w:type="dxa"/>
          </w:tcPr>
          <w:p w14:paraId="57702038"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جودة عملية تصميم الحملات</w:t>
            </w:r>
          </w:p>
        </w:tc>
        <w:tc>
          <w:tcPr>
            <w:tcW w:w="2400" w:type="dxa"/>
          </w:tcPr>
          <w:p w14:paraId="0390E1F8"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وسيط</w:t>
            </w:r>
          </w:p>
        </w:tc>
        <w:tc>
          <w:tcPr>
            <w:tcW w:w="1560" w:type="dxa"/>
          </w:tcPr>
          <w:p w14:paraId="6839AC2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CDQ</w:t>
            </w:r>
          </w:p>
        </w:tc>
        <w:tc>
          <w:tcPr>
            <w:tcW w:w="2400" w:type="dxa"/>
          </w:tcPr>
          <w:p w14:paraId="078F2653"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8</w:t>
            </w:r>
          </w:p>
        </w:tc>
      </w:tr>
      <w:tr w:rsidR="004F4747" w:rsidRPr="004F4747" w14:paraId="3FC0A650" w14:textId="77777777" w:rsidTr="00DE2E72">
        <w:tc>
          <w:tcPr>
            <w:tcW w:w="1855" w:type="dxa"/>
          </w:tcPr>
          <w:p w14:paraId="2572F01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دوافع التبني</w:t>
            </w:r>
          </w:p>
        </w:tc>
        <w:tc>
          <w:tcPr>
            <w:tcW w:w="2400" w:type="dxa"/>
          </w:tcPr>
          <w:p w14:paraId="4571F19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معدِّل معزِّز</w:t>
            </w:r>
          </w:p>
        </w:tc>
        <w:tc>
          <w:tcPr>
            <w:tcW w:w="1560" w:type="dxa"/>
          </w:tcPr>
          <w:p w14:paraId="3F4EB12F"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ADP</w:t>
            </w:r>
          </w:p>
        </w:tc>
        <w:tc>
          <w:tcPr>
            <w:tcW w:w="2400" w:type="dxa"/>
          </w:tcPr>
          <w:p w14:paraId="48F024C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9</w:t>
            </w:r>
          </w:p>
        </w:tc>
      </w:tr>
      <w:tr w:rsidR="004F4747" w:rsidRPr="004F4747" w14:paraId="3738AD25" w14:textId="77777777" w:rsidTr="00DE2E72">
        <w:tc>
          <w:tcPr>
            <w:tcW w:w="1855" w:type="dxa"/>
          </w:tcPr>
          <w:p w14:paraId="5CB91CBC"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العوائق التقنية والبشرية والتنظيمية والأخلاقية</w:t>
            </w:r>
          </w:p>
        </w:tc>
        <w:tc>
          <w:tcPr>
            <w:tcW w:w="2400" w:type="dxa"/>
          </w:tcPr>
          <w:p w14:paraId="449031B0"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معدِّل مثبِّط</w:t>
            </w:r>
          </w:p>
        </w:tc>
        <w:tc>
          <w:tcPr>
            <w:tcW w:w="1560" w:type="dxa"/>
          </w:tcPr>
          <w:p w14:paraId="6ACEFB29"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BAR</w:t>
            </w:r>
          </w:p>
        </w:tc>
        <w:tc>
          <w:tcPr>
            <w:tcW w:w="2400" w:type="dxa"/>
          </w:tcPr>
          <w:p w14:paraId="21864603"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10</w:t>
            </w:r>
          </w:p>
        </w:tc>
      </w:tr>
      <w:tr w:rsidR="004F4747" w:rsidRPr="004F4747" w14:paraId="186BB48F" w14:textId="77777777" w:rsidTr="00DE2E72">
        <w:tc>
          <w:tcPr>
            <w:tcW w:w="1855" w:type="dxa"/>
          </w:tcPr>
          <w:p w14:paraId="145725EF"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فعالية الأداء التسويقي</w:t>
            </w:r>
          </w:p>
        </w:tc>
        <w:tc>
          <w:tcPr>
            <w:tcW w:w="2400" w:type="dxa"/>
          </w:tcPr>
          <w:p w14:paraId="6E56EBD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تابع</w:t>
            </w:r>
          </w:p>
        </w:tc>
        <w:tc>
          <w:tcPr>
            <w:tcW w:w="1560" w:type="dxa"/>
          </w:tcPr>
          <w:p w14:paraId="17A32CF1"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MP</w:t>
            </w:r>
          </w:p>
        </w:tc>
        <w:tc>
          <w:tcPr>
            <w:tcW w:w="2400" w:type="dxa"/>
          </w:tcPr>
          <w:p w14:paraId="69FFE11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9</w:t>
            </w:r>
          </w:p>
        </w:tc>
      </w:tr>
      <w:tr w:rsidR="004F4747" w:rsidRPr="004F4747" w14:paraId="4EBFE753" w14:textId="77777777" w:rsidTr="00DE2E72">
        <w:tc>
          <w:tcPr>
            <w:tcW w:w="1855" w:type="dxa"/>
          </w:tcPr>
          <w:p w14:paraId="76FA8D11"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الإجمالي</w:t>
            </w:r>
          </w:p>
        </w:tc>
        <w:tc>
          <w:tcPr>
            <w:tcW w:w="2400" w:type="dxa"/>
          </w:tcPr>
          <w:p w14:paraId="0502AB15"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w:t>
            </w:r>
          </w:p>
        </w:tc>
        <w:tc>
          <w:tcPr>
            <w:tcW w:w="1560" w:type="dxa"/>
          </w:tcPr>
          <w:p w14:paraId="5269F94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w:t>
            </w:r>
          </w:p>
        </w:tc>
        <w:tc>
          <w:tcPr>
            <w:tcW w:w="2400" w:type="dxa"/>
          </w:tcPr>
          <w:p w14:paraId="468DF369"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46</w:t>
            </w:r>
          </w:p>
        </w:tc>
      </w:tr>
    </w:tbl>
    <w:p w14:paraId="7226388F" w14:textId="77777777" w:rsidR="00B65A24" w:rsidRDefault="00B65A24" w:rsidP="004F4747">
      <w:pPr>
        <w:bidi/>
        <w:spacing w:after="200" w:line="276" w:lineRule="auto"/>
        <w:jc w:val="both"/>
        <w:rPr>
          <w:rFonts w:ascii="Simplified Arabic" w:hAnsi="Simplified Arabic" w:cs="Simplified Arabic"/>
          <w:rtl/>
        </w:rPr>
      </w:pPr>
    </w:p>
    <w:p w14:paraId="170514B8" w14:textId="58D04BB4" w:rsidR="004F4747" w:rsidRPr="004F4747" w:rsidRDefault="004F4747" w:rsidP="004F4747">
      <w:pPr>
        <w:bidi/>
        <w:spacing w:after="200" w:line="240" w:lineRule="auto"/>
        <w:jc w:val="both"/>
        <w:rPr>
          <w:rFonts w:ascii="Simplified Arabic" w:hAnsi="Simplified Arabic" w:cs="Simplified Arabic"/>
          <w:rtl/>
        </w:rPr>
      </w:pPr>
      <w:r w:rsidRPr="004F4747">
        <w:rPr>
          <w:rFonts w:ascii="Simplified Arabic" w:hAnsi="Simplified Arabic" w:cs="Simplified Arabic"/>
        </w:rPr>
        <w:t xml:space="preserve"> </w:t>
      </w:r>
      <w:r w:rsidRPr="004F4747">
        <w:rPr>
          <w:rFonts w:ascii="Sakkal Majalla" w:hAnsi="Sakkal Majalla" w:cs="Sakkal Majalla"/>
          <w:b/>
          <w:bCs/>
          <w:color w:val="1F497D" w:themeColor="text2"/>
          <w:sz w:val="32"/>
          <w:szCs w:val="32"/>
          <w:u w:val="single"/>
          <w:rtl/>
        </w:rPr>
        <w:t xml:space="preserve">مجتمع الدراسة </w:t>
      </w:r>
    </w:p>
    <w:p w14:paraId="38F88526"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 xml:space="preserve">يتكوّن مجتمع الدراسة من العاملين في وكالات التسويق الرقمي المرخصة في المناطق الرئيسة بالمملكة العربية السعودية (الرياض وجدة والدمام)، ممن ترتبط أعمالهم بتخطيط الحملات الرقمية أو تصميمها أو تنفيذها أو تحليل أدائها. وقد رُوعي </w:t>
      </w:r>
      <w:r w:rsidRPr="004F4747">
        <w:rPr>
          <w:rFonts w:ascii="Simplified Arabic" w:hAnsi="Simplified Arabic" w:cs="Simplified Arabic"/>
          <w:rtl/>
        </w:rPr>
        <w:lastRenderedPageBreak/>
        <w:t>في تحديد هذه الفئة أنها الأقدر على إدراك واقع توظيف الذكاء الاصطناعي التوليدي في مراحل تصميم الحملة والحكم على أثره في جودة العملية التصميمية وفي الأداء التسويقي، بحكم تعاملها المباشر مع هذه التقنيات في سياق العمل</w:t>
      </w:r>
      <w:r w:rsidRPr="004F4747">
        <w:rPr>
          <w:rFonts w:ascii="Simplified Arabic" w:hAnsi="Simplified Arabic" w:cs="Simplified Arabic"/>
        </w:rPr>
        <w:t>.</w:t>
      </w:r>
    </w:p>
    <w:p w14:paraId="3118E663"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وتتمثل وحدة التحليل في الدراسة في الفرد العامل في وكالة التسويق بوصفه مفردة الاستجابة؛ أي أن البيانات تُجمع على مستوى الموظف لا على مستوى الوكالة، باعتبار أن إدراك العاملين وممارساتهم اليومية هي ما يعكس فعليًا مستوى توظيف التقنية وأثرها في عملهم. وقد ترتب على هذا التحديد أثر مباشر في حجم العينة وأسلوب اختيارها، كما سيأتي بيانه</w:t>
      </w:r>
      <w:r w:rsidRPr="004F4747">
        <w:rPr>
          <w:rFonts w:ascii="Simplified Arabic" w:hAnsi="Simplified Arabic" w:cs="Simplified Arabic"/>
        </w:rPr>
        <w:t>.</w:t>
      </w:r>
    </w:p>
    <w:p w14:paraId="234B26CE" w14:textId="77777777" w:rsid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ومن المعوقات التي واجهت ضبط المجتمع الإحصائي عدمُ توفر إطار معاينة شامل ومحدّث يحصر أعداد العاملين في هذه الوكالات وتوزيعهم؛ فلا يوجد سجل معلن يتيح حصرًا دقيقًا لهم. وهذه الحال — المألوفة في البحوث التي تستهدف فئات مهنية متخصصة تتوزع على منشآت متعددة — هي التي وجّهت الدراسة نحو المعاينة غير الاحتمالية</w:t>
      </w:r>
      <w:r w:rsidRPr="004F4747">
        <w:rPr>
          <w:rFonts w:ascii="Simplified Arabic" w:hAnsi="Simplified Arabic" w:cs="Simplified Arabic"/>
        </w:rPr>
        <w:t>.</w:t>
      </w:r>
    </w:p>
    <w:p w14:paraId="2777B3BA" w14:textId="77777777" w:rsidR="00DE2E72" w:rsidRPr="004F4747" w:rsidRDefault="00DE2E72" w:rsidP="00DE2E72">
      <w:pPr>
        <w:bidi/>
        <w:spacing w:after="200" w:line="276" w:lineRule="auto"/>
        <w:rPr>
          <w:rFonts w:ascii="Simplified Arabic" w:hAnsi="Simplified Arabic" w:cs="Simplified Arabic"/>
          <w:rtl/>
        </w:rPr>
      </w:pPr>
    </w:p>
    <w:p w14:paraId="151C6137" w14:textId="33C00073" w:rsidR="004F4747" w:rsidRPr="004F4747" w:rsidRDefault="004F4747" w:rsidP="004F4747">
      <w:pPr>
        <w:bidi/>
        <w:spacing w:after="200" w:line="240" w:lineRule="auto"/>
        <w:jc w:val="both"/>
        <w:rPr>
          <w:rFonts w:ascii="Sakkal Majalla" w:hAnsi="Sakkal Majalla" w:cs="Sakkal Majalla"/>
          <w:b/>
          <w:bCs/>
          <w:color w:val="1F497D" w:themeColor="text2"/>
          <w:sz w:val="32"/>
          <w:szCs w:val="32"/>
          <w:u w:val="single"/>
          <w:rtl/>
        </w:rPr>
      </w:pPr>
      <w:r w:rsidRPr="004F4747">
        <w:rPr>
          <w:rFonts w:ascii="Sakkal Majalla" w:hAnsi="Sakkal Majalla" w:cs="Sakkal Majalla"/>
          <w:b/>
          <w:bCs/>
          <w:color w:val="1F497D" w:themeColor="text2"/>
          <w:sz w:val="32"/>
          <w:szCs w:val="32"/>
          <w:u w:val="single"/>
          <w:rtl/>
        </w:rPr>
        <w:t>عينة الدراسة</w:t>
      </w:r>
    </w:p>
    <w:p w14:paraId="7CCA2D2E" w14:textId="51D0CAA0"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في ضوء تعذر بناء إطار معاينة شامل، اختير أفراد العينة بأسلوب المعاينة غير الاحتمالية</w:t>
      </w:r>
      <w:r w:rsidRPr="004F4747">
        <w:rPr>
          <w:rFonts w:ascii="Simplified Arabic" w:hAnsi="Simplified Arabic" w:cs="Simplified Arabic"/>
        </w:rPr>
        <w:t xml:space="preserve"> (Non-probability Sampling)</w:t>
      </w:r>
      <w:r w:rsidRPr="004F4747">
        <w:rPr>
          <w:rFonts w:ascii="Simplified Arabic" w:hAnsi="Simplified Arabic" w:cs="Simplified Arabic"/>
          <w:rtl/>
        </w:rPr>
        <w:t>، عبر طريقتي العينة الميسرة</w:t>
      </w:r>
      <w:r w:rsidRPr="004F4747">
        <w:rPr>
          <w:rFonts w:ascii="Simplified Arabic" w:hAnsi="Simplified Arabic" w:cs="Simplified Arabic"/>
        </w:rPr>
        <w:t xml:space="preserve"> (Convenience) </w:t>
      </w:r>
      <w:r w:rsidRPr="004F4747">
        <w:rPr>
          <w:rFonts w:ascii="Simplified Arabic" w:hAnsi="Simplified Arabic" w:cs="Simplified Arabic"/>
          <w:rtl/>
        </w:rPr>
        <w:t>وكرة الثلج</w:t>
      </w:r>
      <w:r w:rsidRPr="004F4747">
        <w:rPr>
          <w:rFonts w:ascii="Simplified Arabic" w:hAnsi="Simplified Arabic" w:cs="Simplified Arabic"/>
        </w:rPr>
        <w:t xml:space="preserve"> (Snowball)</w:t>
      </w:r>
      <w:r w:rsidRPr="004F4747">
        <w:rPr>
          <w:rFonts w:ascii="Simplified Arabic" w:hAnsi="Simplified Arabic" w:cs="Simplified Arabic"/>
          <w:rtl/>
        </w:rPr>
        <w:t>، للوصول إلى المختصين في التخطيط والإبداع والتصميم والتحليل داخل الوكالات. وتفيد طريقة كرة الثلج هنا في الاستعانة بشبكة العلاقات المهنية بين العاملين للوصول إلى مزيد من المبحوثين المؤهلين، وهي مناسبة لفئة يصعب حصرها في إطار معاينة منضبط</w:t>
      </w:r>
      <w:r w:rsidRPr="004F4747">
        <w:rPr>
          <w:rFonts w:ascii="Simplified Arabic" w:hAnsi="Simplified Arabic" w:cs="Simplified Arabic"/>
        </w:rPr>
        <w:t>.</w:t>
      </w:r>
    </w:p>
    <w:p w14:paraId="7334325F" w14:textId="1E64CE18"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أما حجم العينة فقد حُدد حده الأدنى ببرنامج</w:t>
      </w:r>
      <w:r w:rsidRPr="004F4747">
        <w:rPr>
          <w:rFonts w:ascii="Simplified Arabic" w:hAnsi="Simplified Arabic" w:cs="Simplified Arabic"/>
        </w:rPr>
        <w:t xml:space="preserve"> (G*Power)</w:t>
      </w:r>
      <w:r w:rsidRPr="004F4747">
        <w:rPr>
          <w:rFonts w:ascii="Simplified Arabic" w:hAnsi="Simplified Arabic" w:cs="Simplified Arabic"/>
          <w:rtl/>
        </w:rPr>
        <w:t>، فبلغ المستهدف (384) مفردة فأكثر عند مستوى ثقة (95%) وهامش خطأ (5%). وقد ارتبط هذا العدد بوحدة التحليل المعتمدة؛ إذ يحسب على أساس الفرد المستجيب بوصفه مفردة العينة، وهو ما يفسّر الاستناد إلى معادلة تقدير الحجم لمجتمع كبير أو غير محدد بدقة بدلا</w:t>
      </w:r>
      <w:r>
        <w:rPr>
          <w:rFonts w:ascii="Simplified Arabic" w:hAnsi="Simplified Arabic" w:cs="Simplified Arabic" w:hint="cs"/>
          <w:rtl/>
        </w:rPr>
        <w:t>ً</w:t>
      </w:r>
      <w:r w:rsidRPr="004F4747">
        <w:rPr>
          <w:rFonts w:ascii="Simplified Arabic" w:hAnsi="Simplified Arabic" w:cs="Simplified Arabic"/>
          <w:rtl/>
        </w:rPr>
        <w:t xml:space="preserve"> من الحصر الكامل لمجتمع معلوم العدد. كما يتلاءم هذا الحجم مع متطلبات نمذجة المعادلات البنائية التي اعتمدتها الدراسة</w:t>
      </w:r>
      <w:r w:rsidRPr="004F4747">
        <w:rPr>
          <w:rFonts w:ascii="Simplified Arabic" w:hAnsi="Simplified Arabic" w:cs="Simplified Arabic"/>
        </w:rPr>
        <w:t>.</w:t>
      </w:r>
    </w:p>
    <w:p w14:paraId="16386ECF" w14:textId="1C431F5A" w:rsidR="004F4747" w:rsidRDefault="004F4747" w:rsidP="004F4747">
      <w:pPr>
        <w:bidi/>
        <w:spacing w:after="200" w:line="276" w:lineRule="auto"/>
        <w:jc w:val="both"/>
        <w:rPr>
          <w:rFonts w:ascii="Simplified Arabic" w:hAnsi="Simplified Arabic" w:cs="Simplified Arabic"/>
          <w:rtl/>
        </w:rPr>
      </w:pPr>
      <w:r w:rsidRPr="004F4747">
        <w:rPr>
          <w:rFonts w:ascii="Simplified Arabic" w:hAnsi="Simplified Arabic" w:cs="Simplified Arabic"/>
          <w:rtl/>
        </w:rPr>
        <w:t>وقبل تمكين المبحوث من إكمال الاستبانة، جرى التحقق من استيفائه شروط الأهلية من خلال أسئلة تمهيدية تضمن أن يكون من العاملين فعليًا في وكالة تسويق داخل المملكة، وأن يرتبط عمله بالحملات الرقمية، وأن تكون له معرفة عملية بأدوات الذكاء الاصطناعي التوليدي في هذا المجال، وأن يوافق طوعًا على المشاركة.</w:t>
      </w:r>
    </w:p>
    <w:p w14:paraId="2F6B58B6" w14:textId="0EBAAD9A" w:rsidR="00B65A24" w:rsidRPr="004F4747" w:rsidRDefault="004F4747" w:rsidP="004F4747">
      <w:pPr>
        <w:bidi/>
        <w:spacing w:after="200" w:line="276" w:lineRule="auto"/>
        <w:rPr>
          <w:rFonts w:ascii="Simplified Arabic" w:hAnsi="Simplified Arabic" w:cs="Simplified Arabic"/>
          <w:b/>
          <w:bCs/>
          <w:rtl/>
        </w:rPr>
      </w:pPr>
      <w:r w:rsidRPr="004F4747">
        <w:rPr>
          <w:rFonts w:ascii="Simplified Arabic" w:hAnsi="Simplified Arabic" w:cs="Simplified Arabic"/>
          <w:b/>
          <w:bCs/>
          <w:rtl/>
        </w:rPr>
        <w:t>جدول: شروط أهلية المشاركة في الدراسة</w:t>
      </w:r>
    </w:p>
    <w:tbl>
      <w:tblPr>
        <w:tblStyle w:val="ac"/>
        <w:bidiVisual/>
        <w:tblW w:w="8211" w:type="dxa"/>
        <w:tblInd w:w="1330" w:type="dxa"/>
        <w:tblLook w:val="04A0" w:firstRow="1" w:lastRow="0" w:firstColumn="1" w:lastColumn="0" w:noHBand="0" w:noVBand="1"/>
      </w:tblPr>
      <w:tblGrid>
        <w:gridCol w:w="707"/>
        <w:gridCol w:w="7504"/>
      </w:tblGrid>
      <w:tr w:rsidR="004F4747" w:rsidRPr="004F4747" w14:paraId="679DCA3D" w14:textId="77777777" w:rsidTr="00DE2E72">
        <w:tc>
          <w:tcPr>
            <w:tcW w:w="707" w:type="dxa"/>
          </w:tcPr>
          <w:p w14:paraId="59837913"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الرمز</w:t>
            </w:r>
          </w:p>
        </w:tc>
        <w:tc>
          <w:tcPr>
            <w:tcW w:w="7504" w:type="dxa"/>
          </w:tcPr>
          <w:p w14:paraId="23C8C0EB"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b/>
                <w:bCs/>
                <w:sz w:val="20"/>
                <w:szCs w:val="20"/>
                <w:rtl/>
              </w:rPr>
              <w:t>شرط الأهلية</w:t>
            </w:r>
          </w:p>
        </w:tc>
      </w:tr>
      <w:tr w:rsidR="004F4747" w:rsidRPr="004F4747" w14:paraId="6C7D5ECC" w14:textId="77777777" w:rsidTr="00DE2E72">
        <w:tc>
          <w:tcPr>
            <w:tcW w:w="707" w:type="dxa"/>
          </w:tcPr>
          <w:p w14:paraId="2B648251"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S1</w:t>
            </w:r>
          </w:p>
        </w:tc>
        <w:tc>
          <w:tcPr>
            <w:tcW w:w="7504" w:type="dxa"/>
          </w:tcPr>
          <w:p w14:paraId="49E83671"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العمل الحالي في وكالة تسويق أو إعلان أو اتصال تسويقي داخل المملكة العربية السعودية.</w:t>
            </w:r>
          </w:p>
        </w:tc>
      </w:tr>
      <w:tr w:rsidR="004F4747" w:rsidRPr="004F4747" w14:paraId="06C247E6" w14:textId="77777777" w:rsidTr="00DE2E72">
        <w:tc>
          <w:tcPr>
            <w:tcW w:w="707" w:type="dxa"/>
          </w:tcPr>
          <w:p w14:paraId="20AA9878"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S2</w:t>
            </w:r>
          </w:p>
        </w:tc>
        <w:tc>
          <w:tcPr>
            <w:tcW w:w="7504" w:type="dxa"/>
          </w:tcPr>
          <w:p w14:paraId="4BA7FDD9"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ارتباط طبيعة العمل بتخطيط الحملات الرقمية أو تصميمها أو تنفيذها أو تحليل أدائها.</w:t>
            </w:r>
          </w:p>
        </w:tc>
      </w:tr>
      <w:tr w:rsidR="004F4747" w:rsidRPr="004F4747" w14:paraId="6C9FF291" w14:textId="77777777" w:rsidTr="00DE2E72">
        <w:tc>
          <w:tcPr>
            <w:tcW w:w="707" w:type="dxa"/>
          </w:tcPr>
          <w:p w14:paraId="664D02C4"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lastRenderedPageBreak/>
              <w:t>S3</w:t>
            </w:r>
          </w:p>
        </w:tc>
        <w:tc>
          <w:tcPr>
            <w:tcW w:w="7504" w:type="dxa"/>
          </w:tcPr>
          <w:p w14:paraId="33700C98"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وجود معرفة عملية أو تعامل مباشر أو غير مباشر مع أدوات الذكاء الاصطناعي التوليدي في سياق الحملات التسويقية خلال آخر اثني عشر شهرًا.</w:t>
            </w:r>
          </w:p>
        </w:tc>
      </w:tr>
      <w:tr w:rsidR="004F4747" w:rsidRPr="004F4747" w14:paraId="6CA7C83F" w14:textId="77777777" w:rsidTr="00DE2E72">
        <w:tc>
          <w:tcPr>
            <w:tcW w:w="707" w:type="dxa"/>
          </w:tcPr>
          <w:p w14:paraId="4F298C3A"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Pr>
              <w:t>S4</w:t>
            </w:r>
          </w:p>
        </w:tc>
        <w:tc>
          <w:tcPr>
            <w:tcW w:w="7504" w:type="dxa"/>
          </w:tcPr>
          <w:p w14:paraId="07F5681D" w14:textId="77777777" w:rsidR="004F4747" w:rsidRPr="004F4747" w:rsidRDefault="004F4747" w:rsidP="004F4747">
            <w:pPr>
              <w:bidi/>
              <w:spacing w:after="200" w:line="276" w:lineRule="auto"/>
              <w:jc w:val="both"/>
              <w:rPr>
                <w:rFonts w:ascii="Simplified Arabic" w:hAnsi="Simplified Arabic" w:cs="Simplified Arabic"/>
                <w:sz w:val="20"/>
                <w:szCs w:val="20"/>
              </w:rPr>
            </w:pPr>
            <w:r w:rsidRPr="004F4747">
              <w:rPr>
                <w:rFonts w:ascii="Simplified Arabic" w:hAnsi="Simplified Arabic" w:cs="Simplified Arabic"/>
                <w:sz w:val="20"/>
                <w:szCs w:val="20"/>
                <w:rtl/>
              </w:rPr>
              <w:t>الموافقة الطوعية على المشاركة في الدراسة بعد الاطلاع على تعليماتها.</w:t>
            </w:r>
          </w:p>
        </w:tc>
      </w:tr>
    </w:tbl>
    <w:p w14:paraId="07BC839C" w14:textId="77777777" w:rsidR="004F4747" w:rsidRPr="004F4747" w:rsidRDefault="004F4747" w:rsidP="004F4747">
      <w:pPr>
        <w:bidi/>
        <w:spacing w:after="200" w:line="276" w:lineRule="auto"/>
        <w:rPr>
          <w:rFonts w:ascii="Simplified Arabic" w:hAnsi="Simplified Arabic" w:cs="Simplified Arabic"/>
          <w:rtl/>
        </w:rPr>
      </w:pPr>
    </w:p>
    <w:p w14:paraId="6611B33D" w14:textId="6F1A36D7" w:rsidR="004F4747" w:rsidRPr="00B133F8" w:rsidRDefault="004F4747" w:rsidP="00B133F8">
      <w:pPr>
        <w:bidi/>
        <w:spacing w:after="200" w:line="240" w:lineRule="auto"/>
        <w:jc w:val="both"/>
        <w:rPr>
          <w:rFonts w:ascii="Sakkal Majalla" w:hAnsi="Sakkal Majalla" w:cs="Sakkal Majalla"/>
          <w:b/>
          <w:bCs/>
          <w:color w:val="1F497D" w:themeColor="text2"/>
          <w:sz w:val="32"/>
          <w:szCs w:val="32"/>
          <w:u w:val="single"/>
          <w:rtl/>
        </w:rPr>
      </w:pPr>
      <w:r w:rsidRPr="00B133F8">
        <w:rPr>
          <w:rFonts w:ascii="Sakkal Majalla" w:hAnsi="Sakkal Majalla" w:cs="Sakkal Majalla"/>
          <w:b/>
          <w:bCs/>
          <w:color w:val="1F497D" w:themeColor="text2"/>
          <w:sz w:val="32"/>
          <w:szCs w:val="32"/>
          <w:u w:val="single"/>
          <w:rtl/>
        </w:rPr>
        <w:t>المتغيرات الوصفية لأفراد العينة</w:t>
      </w:r>
    </w:p>
    <w:p w14:paraId="50161482" w14:textId="5BB6B989"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 ولم تقتصر هذه المتغيرات على البيانات الديموغرافية العامة، بل امتدت إلى مؤشرات مرتبطة بطبيعة العمل ومستوى نضج استخدام التقنية داخل الوكالة، لصلتها المباشرة بموضوع الدراسة.</w:t>
      </w:r>
    </w:p>
    <w:p w14:paraId="7A1DA7E6" w14:textId="0BF8981C" w:rsidR="004F4747" w:rsidRPr="00B133F8" w:rsidRDefault="004F4747" w:rsidP="004F4747">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جدول: المتغيرات الوصفية لأفراد عينة الدراسة</w:t>
      </w:r>
    </w:p>
    <w:tbl>
      <w:tblPr>
        <w:tblStyle w:val="ac"/>
        <w:bidiVisual/>
        <w:tblW w:w="8211" w:type="dxa"/>
        <w:tblInd w:w="1330" w:type="dxa"/>
        <w:tblLook w:val="04A0" w:firstRow="1" w:lastRow="0" w:firstColumn="1" w:lastColumn="0" w:noHBand="0" w:noVBand="1"/>
      </w:tblPr>
      <w:tblGrid>
        <w:gridCol w:w="990"/>
        <w:gridCol w:w="2456"/>
        <w:gridCol w:w="4765"/>
      </w:tblGrid>
      <w:tr w:rsidR="00B133F8" w:rsidRPr="00B133F8" w14:paraId="0E0B667A" w14:textId="77777777" w:rsidTr="00DE2E72">
        <w:tc>
          <w:tcPr>
            <w:tcW w:w="990" w:type="dxa"/>
          </w:tcPr>
          <w:p w14:paraId="72D07DB5"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الرمز</w:t>
            </w:r>
          </w:p>
        </w:tc>
        <w:tc>
          <w:tcPr>
            <w:tcW w:w="2456" w:type="dxa"/>
          </w:tcPr>
          <w:p w14:paraId="437372C7"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المتغير</w:t>
            </w:r>
          </w:p>
        </w:tc>
        <w:tc>
          <w:tcPr>
            <w:tcW w:w="4765" w:type="dxa"/>
          </w:tcPr>
          <w:p w14:paraId="3F071708"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الفئات</w:t>
            </w:r>
          </w:p>
        </w:tc>
      </w:tr>
      <w:tr w:rsidR="00B133F8" w:rsidRPr="00B133F8" w14:paraId="7D138D5B" w14:textId="77777777" w:rsidTr="00DE2E72">
        <w:tc>
          <w:tcPr>
            <w:tcW w:w="990" w:type="dxa"/>
          </w:tcPr>
          <w:p w14:paraId="6666FE4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P1</w:t>
            </w:r>
          </w:p>
        </w:tc>
        <w:tc>
          <w:tcPr>
            <w:tcW w:w="2456" w:type="dxa"/>
          </w:tcPr>
          <w:p w14:paraId="1834FCB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الجنس</w:t>
            </w:r>
          </w:p>
        </w:tc>
        <w:tc>
          <w:tcPr>
            <w:tcW w:w="4765" w:type="dxa"/>
          </w:tcPr>
          <w:p w14:paraId="43CF26E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ذكر، أنثى.</w:t>
            </w:r>
          </w:p>
        </w:tc>
      </w:tr>
      <w:tr w:rsidR="00B133F8" w:rsidRPr="00B133F8" w14:paraId="654532BE" w14:textId="77777777" w:rsidTr="00DE2E72">
        <w:tc>
          <w:tcPr>
            <w:tcW w:w="990" w:type="dxa"/>
          </w:tcPr>
          <w:p w14:paraId="7222D36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P2</w:t>
            </w:r>
          </w:p>
        </w:tc>
        <w:tc>
          <w:tcPr>
            <w:tcW w:w="2456" w:type="dxa"/>
          </w:tcPr>
          <w:p w14:paraId="3D15975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الفئة العمرية</w:t>
            </w:r>
          </w:p>
        </w:tc>
        <w:tc>
          <w:tcPr>
            <w:tcW w:w="4765" w:type="dxa"/>
          </w:tcPr>
          <w:p w14:paraId="005C0555"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أقل من 25 سنة، 25–أقل من 35، 35–أقل من 45، 45 فأكثر.</w:t>
            </w:r>
          </w:p>
        </w:tc>
      </w:tr>
      <w:tr w:rsidR="00B133F8" w:rsidRPr="00B133F8" w14:paraId="3455A50C" w14:textId="77777777" w:rsidTr="00DE2E72">
        <w:tc>
          <w:tcPr>
            <w:tcW w:w="990" w:type="dxa"/>
          </w:tcPr>
          <w:p w14:paraId="2AB88AF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P3</w:t>
            </w:r>
          </w:p>
        </w:tc>
        <w:tc>
          <w:tcPr>
            <w:tcW w:w="2456" w:type="dxa"/>
          </w:tcPr>
          <w:p w14:paraId="04B7720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المؤهل العلمي</w:t>
            </w:r>
          </w:p>
        </w:tc>
        <w:tc>
          <w:tcPr>
            <w:tcW w:w="4765" w:type="dxa"/>
          </w:tcPr>
          <w:p w14:paraId="0C9E6A0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دبلوم فأقل، بكالوريوس، ماجستير، دكتوراه، أخرى.</w:t>
            </w:r>
          </w:p>
        </w:tc>
      </w:tr>
      <w:tr w:rsidR="00B133F8" w:rsidRPr="00B133F8" w14:paraId="0C2DB9BD" w14:textId="77777777" w:rsidTr="00DE2E72">
        <w:tc>
          <w:tcPr>
            <w:tcW w:w="990" w:type="dxa"/>
          </w:tcPr>
          <w:p w14:paraId="54A97A6D"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P4</w:t>
            </w:r>
          </w:p>
        </w:tc>
        <w:tc>
          <w:tcPr>
            <w:tcW w:w="2456" w:type="dxa"/>
          </w:tcPr>
          <w:p w14:paraId="04CA82DD"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الدور الوظيفي</w:t>
            </w:r>
          </w:p>
        </w:tc>
        <w:tc>
          <w:tcPr>
            <w:tcW w:w="4765" w:type="dxa"/>
          </w:tcPr>
          <w:p w14:paraId="680B14E6"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تخطيط واستراتيجية، إبداع وتصميم، كتابة محتوى، تحليل بيانات وأداء، إدارة حسابات، إدارة حملات، إدارة عليا/إشرافية، أخرى.</w:t>
            </w:r>
          </w:p>
        </w:tc>
      </w:tr>
      <w:tr w:rsidR="00B133F8" w:rsidRPr="00B133F8" w14:paraId="4E7EEF1E" w14:textId="77777777" w:rsidTr="00DE2E72">
        <w:tc>
          <w:tcPr>
            <w:tcW w:w="990" w:type="dxa"/>
          </w:tcPr>
          <w:p w14:paraId="513B36A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P5</w:t>
            </w:r>
          </w:p>
        </w:tc>
        <w:tc>
          <w:tcPr>
            <w:tcW w:w="2456" w:type="dxa"/>
          </w:tcPr>
          <w:p w14:paraId="67AC0725"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سنوات الخبرة</w:t>
            </w:r>
          </w:p>
        </w:tc>
        <w:tc>
          <w:tcPr>
            <w:tcW w:w="4765" w:type="dxa"/>
          </w:tcPr>
          <w:p w14:paraId="4D9B00EA"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أقل من 3 سنوات، 3–أقل من 7، 7–أقل من 10، 10 فأكثر.</w:t>
            </w:r>
          </w:p>
        </w:tc>
      </w:tr>
      <w:tr w:rsidR="00B133F8" w:rsidRPr="00B133F8" w14:paraId="5FE50CA1" w14:textId="77777777" w:rsidTr="00DE2E72">
        <w:tc>
          <w:tcPr>
            <w:tcW w:w="990" w:type="dxa"/>
          </w:tcPr>
          <w:p w14:paraId="76A8312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P6</w:t>
            </w:r>
          </w:p>
        </w:tc>
        <w:tc>
          <w:tcPr>
            <w:tcW w:w="2456" w:type="dxa"/>
          </w:tcPr>
          <w:p w14:paraId="2D71BA06"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حجم الوكالة</w:t>
            </w:r>
          </w:p>
        </w:tc>
        <w:tc>
          <w:tcPr>
            <w:tcW w:w="4765" w:type="dxa"/>
          </w:tcPr>
          <w:p w14:paraId="7EFA358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صغيرة (أقل من 30)، متوسطة (30–أقل من 100)، كبيرة (100 فأكثر).</w:t>
            </w:r>
          </w:p>
        </w:tc>
      </w:tr>
      <w:tr w:rsidR="00B133F8" w:rsidRPr="00B133F8" w14:paraId="528E9F55" w14:textId="77777777" w:rsidTr="00DE2E72">
        <w:tc>
          <w:tcPr>
            <w:tcW w:w="990" w:type="dxa"/>
          </w:tcPr>
          <w:p w14:paraId="7122757F"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P7</w:t>
            </w:r>
          </w:p>
        </w:tc>
        <w:tc>
          <w:tcPr>
            <w:tcW w:w="2456" w:type="dxa"/>
          </w:tcPr>
          <w:p w14:paraId="5202706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الموقع الرئيس للوكالة</w:t>
            </w:r>
          </w:p>
        </w:tc>
        <w:tc>
          <w:tcPr>
            <w:tcW w:w="4765" w:type="dxa"/>
          </w:tcPr>
          <w:p w14:paraId="429E6B7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الرياض، جدة، الدمام/الخبر، مكة/المدينة، مدينة أخرى داخل المملكة.</w:t>
            </w:r>
          </w:p>
        </w:tc>
      </w:tr>
      <w:tr w:rsidR="00B133F8" w:rsidRPr="00B133F8" w14:paraId="62AAB432" w14:textId="77777777" w:rsidTr="00DE2E72">
        <w:tc>
          <w:tcPr>
            <w:tcW w:w="990" w:type="dxa"/>
          </w:tcPr>
          <w:p w14:paraId="4483628F"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P8</w:t>
            </w:r>
          </w:p>
        </w:tc>
        <w:tc>
          <w:tcPr>
            <w:tcW w:w="2456" w:type="dxa"/>
          </w:tcPr>
          <w:p w14:paraId="7F68EA4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طبيعة العملاء</w:t>
            </w:r>
          </w:p>
        </w:tc>
        <w:tc>
          <w:tcPr>
            <w:tcW w:w="4765" w:type="dxa"/>
          </w:tcPr>
          <w:p w14:paraId="76EFA57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جهات حكومية/شبه حكومية، شركات كبرى، منشآت صغيرة ومتوسطة، علامات ناشئة، قطاعات متعددة، أخرى.</w:t>
            </w:r>
          </w:p>
        </w:tc>
      </w:tr>
      <w:tr w:rsidR="00B133F8" w:rsidRPr="00B133F8" w14:paraId="788D2DFF" w14:textId="77777777" w:rsidTr="00DE2E72">
        <w:tc>
          <w:tcPr>
            <w:tcW w:w="990" w:type="dxa"/>
          </w:tcPr>
          <w:p w14:paraId="49CFBB67"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P9</w:t>
            </w:r>
          </w:p>
        </w:tc>
        <w:tc>
          <w:tcPr>
            <w:tcW w:w="2456" w:type="dxa"/>
          </w:tcPr>
          <w:p w14:paraId="4155451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نضج استخدام التقنية</w:t>
            </w:r>
          </w:p>
        </w:tc>
        <w:tc>
          <w:tcPr>
            <w:tcW w:w="4765" w:type="dxa"/>
          </w:tcPr>
          <w:p w14:paraId="7F479788"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فردي محدود، تجريبي، منتظم في بعض المشاريع، مؤسسي مدمج، لا أعلم.</w:t>
            </w:r>
          </w:p>
        </w:tc>
      </w:tr>
      <w:tr w:rsidR="00B133F8" w:rsidRPr="00B133F8" w14:paraId="4247EAFE" w14:textId="77777777" w:rsidTr="00DE2E72">
        <w:tc>
          <w:tcPr>
            <w:tcW w:w="990" w:type="dxa"/>
          </w:tcPr>
          <w:p w14:paraId="5B2A779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P10</w:t>
            </w:r>
          </w:p>
        </w:tc>
        <w:tc>
          <w:tcPr>
            <w:tcW w:w="2456" w:type="dxa"/>
          </w:tcPr>
          <w:p w14:paraId="0739A6C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أنواع الأدوات المستخدمة</w:t>
            </w:r>
          </w:p>
        </w:tc>
        <w:tc>
          <w:tcPr>
            <w:tcW w:w="4765" w:type="dxa"/>
          </w:tcPr>
          <w:p w14:paraId="49BF12FA"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نماذج لغوية، توليد صور وتصاميم، توليد فيديو/صوت، تحليل وتلخيص، أتمتة وتسويق، أخرى.</w:t>
            </w:r>
          </w:p>
        </w:tc>
      </w:tr>
      <w:tr w:rsidR="00B133F8" w:rsidRPr="00B133F8" w14:paraId="4C8F381C" w14:textId="77777777" w:rsidTr="00DE2E72">
        <w:tc>
          <w:tcPr>
            <w:tcW w:w="990" w:type="dxa"/>
          </w:tcPr>
          <w:p w14:paraId="5C0EFADF"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P11</w:t>
            </w:r>
          </w:p>
        </w:tc>
        <w:tc>
          <w:tcPr>
            <w:tcW w:w="2456" w:type="dxa"/>
          </w:tcPr>
          <w:p w14:paraId="45BB2CB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عدد الحملات خلال 12 شهرًا</w:t>
            </w:r>
          </w:p>
        </w:tc>
        <w:tc>
          <w:tcPr>
            <w:tcW w:w="4765" w:type="dxa"/>
          </w:tcPr>
          <w:p w14:paraId="38AFD51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حملة أو أقل، 2–5، 6–10، أكثر من 10.</w:t>
            </w:r>
          </w:p>
        </w:tc>
      </w:tr>
      <w:tr w:rsidR="00B133F8" w:rsidRPr="00B133F8" w14:paraId="789690A2" w14:textId="77777777" w:rsidTr="00DE2E72">
        <w:tc>
          <w:tcPr>
            <w:tcW w:w="990" w:type="dxa"/>
          </w:tcPr>
          <w:p w14:paraId="2D68791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lastRenderedPageBreak/>
              <w:t>P12</w:t>
            </w:r>
          </w:p>
        </w:tc>
        <w:tc>
          <w:tcPr>
            <w:tcW w:w="2456" w:type="dxa"/>
          </w:tcPr>
          <w:p w14:paraId="1BF9546C"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وجود سياسة داخلية للاستخدام</w:t>
            </w:r>
          </w:p>
        </w:tc>
        <w:tc>
          <w:tcPr>
            <w:tcW w:w="4765" w:type="dxa"/>
          </w:tcPr>
          <w:p w14:paraId="4728858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نعم مكتوبة، نعم غير مكتملة، لا توجد، لا أعلم.</w:t>
            </w:r>
          </w:p>
        </w:tc>
      </w:tr>
      <w:tr w:rsidR="00B133F8" w:rsidRPr="00B133F8" w14:paraId="2B121E0C" w14:textId="77777777" w:rsidTr="00DE2E72">
        <w:tc>
          <w:tcPr>
            <w:tcW w:w="990" w:type="dxa"/>
          </w:tcPr>
          <w:p w14:paraId="433790D6"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P13</w:t>
            </w:r>
          </w:p>
        </w:tc>
        <w:tc>
          <w:tcPr>
            <w:tcW w:w="2456" w:type="dxa"/>
          </w:tcPr>
          <w:p w14:paraId="45BC307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طبيعة العلاقة بالأدوات</w:t>
            </w:r>
          </w:p>
        </w:tc>
        <w:tc>
          <w:tcPr>
            <w:tcW w:w="4765" w:type="dxa"/>
          </w:tcPr>
          <w:p w14:paraId="5F9D27F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استخدام مباشر، مراجعة المخرجات، المشاركة في قرار الاستخدام، معرفة محدودة، لا تعامل مباشر.</w:t>
            </w:r>
          </w:p>
        </w:tc>
      </w:tr>
    </w:tbl>
    <w:p w14:paraId="4B183F2C" w14:textId="77777777" w:rsidR="00B133F8" w:rsidRPr="00B133F8" w:rsidRDefault="00B133F8" w:rsidP="004F4747">
      <w:pPr>
        <w:bidi/>
        <w:spacing w:after="200" w:line="276" w:lineRule="auto"/>
        <w:rPr>
          <w:rFonts w:ascii="Simplified Arabic" w:hAnsi="Simplified Arabic" w:cs="Simplified Arabic"/>
          <w:rtl/>
        </w:rPr>
      </w:pPr>
    </w:p>
    <w:p w14:paraId="65080D1E" w14:textId="7C3C50B3" w:rsidR="004F4747" w:rsidRPr="004F4747" w:rsidRDefault="004F4747" w:rsidP="00B133F8">
      <w:pPr>
        <w:bidi/>
        <w:spacing w:after="200" w:line="240" w:lineRule="auto"/>
        <w:jc w:val="both"/>
        <w:rPr>
          <w:rFonts w:ascii="Simplified Arabic" w:hAnsi="Simplified Arabic" w:cs="Simplified Arabic"/>
          <w:rtl/>
        </w:rPr>
      </w:pPr>
      <w:r w:rsidRPr="004F4747">
        <w:rPr>
          <w:rFonts w:ascii="Simplified Arabic" w:hAnsi="Simplified Arabic" w:cs="Simplified Arabic"/>
        </w:rPr>
        <w:t xml:space="preserve"> </w:t>
      </w:r>
      <w:r w:rsidRPr="00B133F8">
        <w:rPr>
          <w:rFonts w:ascii="Sakkal Majalla" w:hAnsi="Sakkal Majalla" w:cs="Sakkal Majalla"/>
          <w:b/>
          <w:bCs/>
          <w:color w:val="1F497D" w:themeColor="text2"/>
          <w:sz w:val="32"/>
          <w:szCs w:val="32"/>
          <w:u w:val="single"/>
          <w:rtl/>
        </w:rPr>
        <w:t>أداة الدراسة وبناؤها</w:t>
      </w:r>
    </w:p>
    <w:p w14:paraId="00EC3183"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استُخدمت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وصيغت فقرات المحاور وفق مقياس ليكرت الخماسي، الذي يدرّج موافقة المبحوث على كل عبارة في خمسة مستويات على النحو الآتي</w:t>
      </w:r>
      <w:r w:rsidRPr="004F4747">
        <w:rPr>
          <w:rFonts w:ascii="Simplified Arabic" w:hAnsi="Simplified Arabic" w:cs="Simplified Arabic"/>
        </w:rPr>
        <w:t>:</w:t>
      </w:r>
    </w:p>
    <w:p w14:paraId="00341A81" w14:textId="0A2CDD64" w:rsidR="004F4747" w:rsidRPr="00B133F8" w:rsidRDefault="004F4747" w:rsidP="004F4747">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جدول</w:t>
      </w:r>
      <w:r w:rsidR="00DE2E72">
        <w:rPr>
          <w:rFonts w:ascii="Simplified Arabic" w:hAnsi="Simplified Arabic" w:cs="Simplified Arabic" w:hint="cs"/>
          <w:b/>
          <w:bCs/>
          <w:rtl/>
        </w:rPr>
        <w:t>:</w:t>
      </w:r>
      <w:r w:rsidRPr="00B133F8">
        <w:rPr>
          <w:rFonts w:ascii="Simplified Arabic" w:hAnsi="Simplified Arabic" w:cs="Simplified Arabic"/>
          <w:b/>
          <w:bCs/>
          <w:rtl/>
        </w:rPr>
        <w:t xml:space="preserve"> مستويات مقياس ليكرت الخماسي وتفسير المتوسطات</w:t>
      </w:r>
    </w:p>
    <w:tbl>
      <w:tblPr>
        <w:tblStyle w:val="ac"/>
        <w:bidiVisual/>
        <w:tblW w:w="8215" w:type="dxa"/>
        <w:tblInd w:w="1145" w:type="dxa"/>
        <w:tblLook w:val="04A0" w:firstRow="1" w:lastRow="0" w:firstColumn="1" w:lastColumn="0" w:noHBand="0" w:noVBand="1"/>
      </w:tblPr>
      <w:tblGrid>
        <w:gridCol w:w="849"/>
        <w:gridCol w:w="3543"/>
        <w:gridCol w:w="3823"/>
      </w:tblGrid>
      <w:tr w:rsidR="00B133F8" w:rsidRPr="00B133F8" w14:paraId="7122E72B" w14:textId="77777777" w:rsidTr="00DE2E72">
        <w:tc>
          <w:tcPr>
            <w:tcW w:w="849" w:type="dxa"/>
          </w:tcPr>
          <w:p w14:paraId="412999D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الدرجة</w:t>
            </w:r>
          </w:p>
        </w:tc>
        <w:tc>
          <w:tcPr>
            <w:tcW w:w="3543" w:type="dxa"/>
          </w:tcPr>
          <w:p w14:paraId="73FF391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مستوى الموافقة</w:t>
            </w:r>
          </w:p>
        </w:tc>
        <w:tc>
          <w:tcPr>
            <w:tcW w:w="3823" w:type="dxa"/>
          </w:tcPr>
          <w:p w14:paraId="213E612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فئة المتوسط</w:t>
            </w:r>
          </w:p>
        </w:tc>
      </w:tr>
      <w:tr w:rsidR="00B133F8" w:rsidRPr="00B133F8" w14:paraId="52E1673A" w14:textId="77777777" w:rsidTr="00DE2E72">
        <w:tc>
          <w:tcPr>
            <w:tcW w:w="849" w:type="dxa"/>
          </w:tcPr>
          <w:p w14:paraId="630B451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1</w:t>
            </w:r>
          </w:p>
        </w:tc>
        <w:tc>
          <w:tcPr>
            <w:tcW w:w="3543" w:type="dxa"/>
          </w:tcPr>
          <w:p w14:paraId="4265A578"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غير موافق بشدة</w:t>
            </w:r>
          </w:p>
        </w:tc>
        <w:tc>
          <w:tcPr>
            <w:tcW w:w="3823" w:type="dxa"/>
          </w:tcPr>
          <w:p w14:paraId="5089D5F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1.00 – 1.79</w:t>
            </w:r>
          </w:p>
        </w:tc>
      </w:tr>
      <w:tr w:rsidR="00B133F8" w:rsidRPr="00B133F8" w14:paraId="33C4478D" w14:textId="77777777" w:rsidTr="00DE2E72">
        <w:tc>
          <w:tcPr>
            <w:tcW w:w="849" w:type="dxa"/>
          </w:tcPr>
          <w:p w14:paraId="2C41EC65"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2</w:t>
            </w:r>
          </w:p>
        </w:tc>
        <w:tc>
          <w:tcPr>
            <w:tcW w:w="3543" w:type="dxa"/>
          </w:tcPr>
          <w:p w14:paraId="7816ADBD"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غير موافق</w:t>
            </w:r>
          </w:p>
        </w:tc>
        <w:tc>
          <w:tcPr>
            <w:tcW w:w="3823" w:type="dxa"/>
          </w:tcPr>
          <w:p w14:paraId="19141DB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1.80 – 2.59</w:t>
            </w:r>
          </w:p>
        </w:tc>
      </w:tr>
      <w:tr w:rsidR="00B133F8" w:rsidRPr="00B133F8" w14:paraId="6C372605" w14:textId="77777777" w:rsidTr="00DE2E72">
        <w:tc>
          <w:tcPr>
            <w:tcW w:w="849" w:type="dxa"/>
          </w:tcPr>
          <w:p w14:paraId="0BF9B8C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3</w:t>
            </w:r>
          </w:p>
        </w:tc>
        <w:tc>
          <w:tcPr>
            <w:tcW w:w="3543" w:type="dxa"/>
          </w:tcPr>
          <w:p w14:paraId="06335C6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محايد</w:t>
            </w:r>
          </w:p>
        </w:tc>
        <w:tc>
          <w:tcPr>
            <w:tcW w:w="3823" w:type="dxa"/>
          </w:tcPr>
          <w:p w14:paraId="7B6BA8C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2.60 – 3.39</w:t>
            </w:r>
          </w:p>
        </w:tc>
      </w:tr>
      <w:tr w:rsidR="00B133F8" w:rsidRPr="00B133F8" w14:paraId="0D48876D" w14:textId="77777777" w:rsidTr="00DE2E72">
        <w:tc>
          <w:tcPr>
            <w:tcW w:w="849" w:type="dxa"/>
          </w:tcPr>
          <w:p w14:paraId="1ABA8987"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4</w:t>
            </w:r>
          </w:p>
        </w:tc>
        <w:tc>
          <w:tcPr>
            <w:tcW w:w="3543" w:type="dxa"/>
          </w:tcPr>
          <w:p w14:paraId="013AAF5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موافق</w:t>
            </w:r>
          </w:p>
        </w:tc>
        <w:tc>
          <w:tcPr>
            <w:tcW w:w="3823" w:type="dxa"/>
          </w:tcPr>
          <w:p w14:paraId="4364CE3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3.40 – 4.19</w:t>
            </w:r>
          </w:p>
        </w:tc>
      </w:tr>
      <w:tr w:rsidR="00B133F8" w:rsidRPr="00B133F8" w14:paraId="489586AF" w14:textId="77777777" w:rsidTr="00DE2E72">
        <w:tc>
          <w:tcPr>
            <w:tcW w:w="849" w:type="dxa"/>
          </w:tcPr>
          <w:p w14:paraId="3280254F"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5</w:t>
            </w:r>
          </w:p>
        </w:tc>
        <w:tc>
          <w:tcPr>
            <w:tcW w:w="3543" w:type="dxa"/>
          </w:tcPr>
          <w:p w14:paraId="792410D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موافق بشدة</w:t>
            </w:r>
          </w:p>
        </w:tc>
        <w:tc>
          <w:tcPr>
            <w:tcW w:w="3823" w:type="dxa"/>
          </w:tcPr>
          <w:p w14:paraId="77A679A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4.20 – 5.00</w:t>
            </w:r>
          </w:p>
        </w:tc>
      </w:tr>
    </w:tbl>
    <w:p w14:paraId="2B2F9BC5" w14:textId="77777777" w:rsidR="00DE2E72" w:rsidRPr="00DE2E72" w:rsidRDefault="00DE2E72" w:rsidP="00B133F8">
      <w:pPr>
        <w:bidi/>
        <w:spacing w:after="200" w:line="276" w:lineRule="auto"/>
        <w:rPr>
          <w:rFonts w:ascii="Simplified Arabic" w:hAnsi="Simplified Arabic" w:cs="Simplified Arabic"/>
          <w:sz w:val="2"/>
          <w:szCs w:val="2"/>
          <w:rtl/>
        </w:rPr>
      </w:pPr>
    </w:p>
    <w:p w14:paraId="0D33178E" w14:textId="78713C9F" w:rsidR="004F4747" w:rsidRPr="00B133F8" w:rsidRDefault="004F4747" w:rsidP="00DE2E72">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مكوّنات الأداة</w:t>
      </w:r>
    </w:p>
    <w:p w14:paraId="7C1B6485"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جاءت الأداة في صورتها النهائية في ثلاثة أقسام</w:t>
      </w:r>
      <w:r w:rsidRPr="004F4747">
        <w:rPr>
          <w:rFonts w:ascii="Simplified Arabic" w:hAnsi="Simplified Arabic" w:cs="Simplified Arabic"/>
        </w:rPr>
        <w:t>:</w:t>
      </w:r>
    </w:p>
    <w:p w14:paraId="41EC3C86" w14:textId="24D3F938" w:rsidR="004F4747" w:rsidRPr="004F4747" w:rsidRDefault="004F4747">
      <w:pPr>
        <w:numPr>
          <w:ilvl w:val="0"/>
          <w:numId w:val="21"/>
        </w:numPr>
        <w:bidi/>
        <w:spacing w:after="200" w:line="276" w:lineRule="auto"/>
        <w:rPr>
          <w:rFonts w:ascii="Simplified Arabic" w:hAnsi="Simplified Arabic" w:cs="Simplified Arabic"/>
          <w:rtl/>
        </w:rPr>
      </w:pPr>
      <w:r w:rsidRPr="004F4747">
        <w:rPr>
          <w:rFonts w:ascii="Simplified Arabic" w:hAnsi="Simplified Arabic" w:cs="Simplified Arabic"/>
          <w:rtl/>
        </w:rPr>
        <w:t>أسئلة الأهلية والموافقة، وعددها أربعة</w:t>
      </w:r>
      <w:r w:rsidRPr="004F4747">
        <w:rPr>
          <w:rFonts w:ascii="Simplified Arabic" w:hAnsi="Simplified Arabic" w:cs="Simplified Arabic"/>
        </w:rPr>
        <w:t xml:space="preserve"> (S1–S4)</w:t>
      </w:r>
      <w:r w:rsidRPr="004F4747">
        <w:rPr>
          <w:rFonts w:ascii="Simplified Arabic" w:hAnsi="Simplified Arabic" w:cs="Simplified Arabic"/>
          <w:rtl/>
        </w:rPr>
        <w:t>، للتحقق من توافر شروط المشاركة قبل البدء</w:t>
      </w:r>
      <w:r w:rsidRPr="004F4747">
        <w:rPr>
          <w:rFonts w:ascii="Simplified Arabic" w:hAnsi="Simplified Arabic" w:cs="Simplified Arabic"/>
        </w:rPr>
        <w:t>.</w:t>
      </w:r>
    </w:p>
    <w:p w14:paraId="1EDAC469" w14:textId="0B0B029C" w:rsidR="004F4747" w:rsidRPr="004F4747" w:rsidRDefault="004F4747">
      <w:pPr>
        <w:numPr>
          <w:ilvl w:val="0"/>
          <w:numId w:val="21"/>
        </w:numPr>
        <w:bidi/>
        <w:spacing w:after="200" w:line="276" w:lineRule="auto"/>
        <w:rPr>
          <w:rFonts w:ascii="Simplified Arabic" w:hAnsi="Simplified Arabic" w:cs="Simplified Arabic"/>
          <w:rtl/>
        </w:rPr>
      </w:pPr>
      <w:r w:rsidRPr="004F4747">
        <w:rPr>
          <w:rFonts w:ascii="Simplified Arabic" w:hAnsi="Simplified Arabic" w:cs="Simplified Arabic"/>
          <w:rtl/>
        </w:rPr>
        <w:t>المحاور الموضوعية، وهي خمسة محاور تقابل متغيرات الدراسة، وتضم (46) فقرة</w:t>
      </w:r>
      <w:r w:rsidRPr="004F4747">
        <w:rPr>
          <w:rFonts w:ascii="Simplified Arabic" w:hAnsi="Simplified Arabic" w:cs="Simplified Arabic"/>
        </w:rPr>
        <w:t>.</w:t>
      </w:r>
    </w:p>
    <w:p w14:paraId="49ADC0EB" w14:textId="71C736BF" w:rsidR="004F4747" w:rsidRPr="004F4747" w:rsidRDefault="004F4747">
      <w:pPr>
        <w:numPr>
          <w:ilvl w:val="0"/>
          <w:numId w:val="21"/>
        </w:numPr>
        <w:bidi/>
        <w:spacing w:after="200" w:line="276" w:lineRule="auto"/>
        <w:rPr>
          <w:rFonts w:ascii="Simplified Arabic" w:hAnsi="Simplified Arabic" w:cs="Simplified Arabic"/>
          <w:rtl/>
        </w:rPr>
      </w:pPr>
      <w:r w:rsidRPr="004F4747">
        <w:rPr>
          <w:rFonts w:ascii="Simplified Arabic" w:hAnsi="Simplified Arabic" w:cs="Simplified Arabic"/>
          <w:rtl/>
        </w:rPr>
        <w:t>البيانات الشخصية والوظيفية، وعددها ثلاثة عشر متغيرًا</w:t>
      </w:r>
      <w:r w:rsidRPr="004F4747">
        <w:rPr>
          <w:rFonts w:ascii="Simplified Arabic" w:hAnsi="Simplified Arabic" w:cs="Simplified Arabic"/>
        </w:rPr>
        <w:t xml:space="preserve"> (P1–P13) </w:t>
      </w:r>
      <w:r w:rsidRPr="004F4747">
        <w:rPr>
          <w:rFonts w:ascii="Simplified Arabic" w:hAnsi="Simplified Arabic" w:cs="Simplified Arabic"/>
          <w:rtl/>
        </w:rPr>
        <w:t>لوصف خصائص المبحوثين وبيئة عملهم</w:t>
      </w:r>
      <w:r w:rsidRPr="004F4747">
        <w:rPr>
          <w:rFonts w:ascii="Simplified Arabic" w:hAnsi="Simplified Arabic" w:cs="Simplified Arabic"/>
        </w:rPr>
        <w:t>.</w:t>
      </w:r>
    </w:p>
    <w:p w14:paraId="29CEC9DE" w14:textId="086EA14D" w:rsidR="004F4747" w:rsidRPr="00B133F8" w:rsidRDefault="004F4747" w:rsidP="004F4747">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مصادر بناء فقرات الأداة</w:t>
      </w:r>
    </w:p>
    <w:p w14:paraId="7D2322F6"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 xml:space="preserve">اشتُقّت فقرات الأداة من الدراسات السابقة المعروضة في الإطار النظري، ثم عُدّلت صياغتها لتناسب عنوان الدراسة ومتغيراتها ومجتمعها من وكالات التسويق السعودية. وحرص الباحث في صياغتها على وضوح العبارة وتحديد دلالتها، </w:t>
      </w:r>
      <w:r w:rsidRPr="004F4747">
        <w:rPr>
          <w:rFonts w:ascii="Simplified Arabic" w:hAnsi="Simplified Arabic" w:cs="Simplified Arabic"/>
          <w:rtl/>
        </w:rPr>
        <w:lastRenderedPageBreak/>
        <w:t>وانتماء كل فقرة إلى البعد الذي وُضعت لقياسه، وتعبيرها عن التعريف الإجرائي لمتغيرها. ويلخّص الجدول (3-5) توزيع الفقرات على المحاور وأبرز مصادر اشتقاقها</w:t>
      </w:r>
      <w:r w:rsidRPr="004F4747">
        <w:rPr>
          <w:rFonts w:ascii="Simplified Arabic" w:hAnsi="Simplified Arabic" w:cs="Simplified Arabic"/>
        </w:rPr>
        <w:t>.</w:t>
      </w:r>
    </w:p>
    <w:p w14:paraId="480124FD" w14:textId="665C30A8" w:rsidR="004F4747" w:rsidRPr="00B133F8" w:rsidRDefault="004F4747" w:rsidP="004F4747">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جدول: توزيع فقرات الأداة على المحاور</w:t>
      </w:r>
    </w:p>
    <w:tbl>
      <w:tblPr>
        <w:tblStyle w:val="ac"/>
        <w:bidiVisual/>
        <w:tblW w:w="8215" w:type="dxa"/>
        <w:tblInd w:w="1145" w:type="dxa"/>
        <w:tblLook w:val="04A0" w:firstRow="1" w:lastRow="0" w:firstColumn="1" w:lastColumn="0" w:noHBand="0" w:noVBand="1"/>
      </w:tblPr>
      <w:tblGrid>
        <w:gridCol w:w="1555"/>
        <w:gridCol w:w="1300"/>
        <w:gridCol w:w="1160"/>
        <w:gridCol w:w="4200"/>
      </w:tblGrid>
      <w:tr w:rsidR="00B133F8" w:rsidRPr="00B133F8" w14:paraId="3EADC29B" w14:textId="77777777" w:rsidTr="00DE2E72">
        <w:tc>
          <w:tcPr>
            <w:tcW w:w="1555" w:type="dxa"/>
          </w:tcPr>
          <w:p w14:paraId="56A9B8DD"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المحور (المتغير)</w:t>
            </w:r>
          </w:p>
        </w:tc>
        <w:tc>
          <w:tcPr>
            <w:tcW w:w="1300" w:type="dxa"/>
          </w:tcPr>
          <w:p w14:paraId="4825D85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الرمز</w:t>
            </w:r>
          </w:p>
        </w:tc>
        <w:tc>
          <w:tcPr>
            <w:tcW w:w="1160" w:type="dxa"/>
          </w:tcPr>
          <w:p w14:paraId="6EEA5F1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الفقرات</w:t>
            </w:r>
          </w:p>
        </w:tc>
        <w:tc>
          <w:tcPr>
            <w:tcW w:w="4200" w:type="dxa"/>
          </w:tcPr>
          <w:p w14:paraId="304E15F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b/>
                <w:bCs/>
                <w:sz w:val="20"/>
                <w:szCs w:val="20"/>
                <w:rtl/>
              </w:rPr>
              <w:t>أبرز مصادر الاشتقاق</w:t>
            </w:r>
          </w:p>
        </w:tc>
      </w:tr>
      <w:tr w:rsidR="00B133F8" w:rsidRPr="00B133F8" w14:paraId="30DEA94B" w14:textId="77777777" w:rsidTr="00DE2E72">
        <w:tc>
          <w:tcPr>
            <w:tcW w:w="1555" w:type="dxa"/>
          </w:tcPr>
          <w:p w14:paraId="2B0F8349"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توظيف الذكاء الاصطناعي التوليدي</w:t>
            </w:r>
          </w:p>
        </w:tc>
        <w:tc>
          <w:tcPr>
            <w:tcW w:w="1300" w:type="dxa"/>
          </w:tcPr>
          <w:p w14:paraId="0D2C4C3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GAIU1–GAIU10</w:t>
            </w:r>
          </w:p>
        </w:tc>
        <w:tc>
          <w:tcPr>
            <w:tcW w:w="1160" w:type="dxa"/>
          </w:tcPr>
          <w:p w14:paraId="77753C9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10</w:t>
            </w:r>
          </w:p>
        </w:tc>
        <w:tc>
          <w:tcPr>
            <w:tcW w:w="4200" w:type="dxa"/>
          </w:tcPr>
          <w:p w14:paraId="67A144F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Islam et al. (2024); Gujar &amp; Panyam (2024); Kshetri et al. (2023); Mendoza et al. (2025)</w:t>
            </w:r>
          </w:p>
        </w:tc>
      </w:tr>
      <w:tr w:rsidR="00B133F8" w:rsidRPr="00B133F8" w14:paraId="1826BF35" w14:textId="77777777" w:rsidTr="00DE2E72">
        <w:tc>
          <w:tcPr>
            <w:tcW w:w="1555" w:type="dxa"/>
          </w:tcPr>
          <w:p w14:paraId="6911709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جودة عملية التصميم</w:t>
            </w:r>
          </w:p>
        </w:tc>
        <w:tc>
          <w:tcPr>
            <w:tcW w:w="1300" w:type="dxa"/>
          </w:tcPr>
          <w:p w14:paraId="5D1A5D7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CDQ1–CDQ8</w:t>
            </w:r>
          </w:p>
        </w:tc>
        <w:tc>
          <w:tcPr>
            <w:tcW w:w="1160" w:type="dxa"/>
          </w:tcPr>
          <w:p w14:paraId="577FEEE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8</w:t>
            </w:r>
          </w:p>
        </w:tc>
        <w:tc>
          <w:tcPr>
            <w:tcW w:w="4200" w:type="dxa"/>
          </w:tcPr>
          <w:p w14:paraId="61FBE901"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Heitmann (2024); McKinsey (2024); Gujar &amp; Panyam (2024); Mendoza et al. (2025)</w:t>
            </w:r>
          </w:p>
        </w:tc>
      </w:tr>
      <w:tr w:rsidR="00B133F8" w:rsidRPr="00B133F8" w14:paraId="3A69C6AE" w14:textId="77777777" w:rsidTr="00DE2E72">
        <w:tc>
          <w:tcPr>
            <w:tcW w:w="1555" w:type="dxa"/>
          </w:tcPr>
          <w:p w14:paraId="218200B0"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دوافع التبني</w:t>
            </w:r>
          </w:p>
        </w:tc>
        <w:tc>
          <w:tcPr>
            <w:tcW w:w="1300" w:type="dxa"/>
          </w:tcPr>
          <w:p w14:paraId="13612EC4"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ADP1–ADP9</w:t>
            </w:r>
          </w:p>
        </w:tc>
        <w:tc>
          <w:tcPr>
            <w:tcW w:w="1160" w:type="dxa"/>
          </w:tcPr>
          <w:p w14:paraId="124BCBFB"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9</w:t>
            </w:r>
          </w:p>
        </w:tc>
        <w:tc>
          <w:tcPr>
            <w:tcW w:w="4200" w:type="dxa"/>
          </w:tcPr>
          <w:p w14:paraId="00DD073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 xml:space="preserve">Kshetri et al. (2023); Masnita et al. (2024); Sharabati et al. (2024); </w:t>
            </w:r>
            <w:r w:rsidRPr="00B133F8">
              <w:rPr>
                <w:rFonts w:ascii="Simplified Arabic" w:hAnsi="Simplified Arabic" w:cs="Simplified Arabic"/>
                <w:sz w:val="20"/>
                <w:szCs w:val="20"/>
                <w:rtl/>
              </w:rPr>
              <w:t>العتيبي واليوبي (2024)</w:t>
            </w:r>
          </w:p>
        </w:tc>
      </w:tr>
      <w:tr w:rsidR="00B133F8" w:rsidRPr="00B133F8" w14:paraId="5165DD44" w14:textId="77777777" w:rsidTr="00DE2E72">
        <w:tc>
          <w:tcPr>
            <w:tcW w:w="1555" w:type="dxa"/>
          </w:tcPr>
          <w:p w14:paraId="06F7DFED"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العوائق التقنية والبشرية والتنظيمية</w:t>
            </w:r>
          </w:p>
        </w:tc>
        <w:tc>
          <w:tcPr>
            <w:tcW w:w="1300" w:type="dxa"/>
          </w:tcPr>
          <w:p w14:paraId="6E563673"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BAR1–BAR10</w:t>
            </w:r>
          </w:p>
        </w:tc>
        <w:tc>
          <w:tcPr>
            <w:tcW w:w="1160" w:type="dxa"/>
          </w:tcPr>
          <w:p w14:paraId="7C73D22F"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10</w:t>
            </w:r>
          </w:p>
        </w:tc>
        <w:tc>
          <w:tcPr>
            <w:tcW w:w="4200" w:type="dxa"/>
          </w:tcPr>
          <w:p w14:paraId="02535162"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 xml:space="preserve">SDAIA (2024); Dwivedi et al. (2023); Kshetri et al. (2023); </w:t>
            </w:r>
            <w:r w:rsidRPr="00B133F8">
              <w:rPr>
                <w:rFonts w:ascii="Simplified Arabic" w:hAnsi="Simplified Arabic" w:cs="Simplified Arabic"/>
                <w:sz w:val="20"/>
                <w:szCs w:val="20"/>
                <w:rtl/>
              </w:rPr>
              <w:t>محيسن وآخرون (2025)</w:t>
            </w:r>
          </w:p>
        </w:tc>
      </w:tr>
      <w:tr w:rsidR="00B133F8" w:rsidRPr="00B133F8" w14:paraId="39D6754E" w14:textId="77777777" w:rsidTr="00DE2E72">
        <w:tc>
          <w:tcPr>
            <w:tcW w:w="1555" w:type="dxa"/>
          </w:tcPr>
          <w:p w14:paraId="4BE64A2E"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tl/>
              </w:rPr>
              <w:t>فعالية الأداء التسويقي</w:t>
            </w:r>
          </w:p>
        </w:tc>
        <w:tc>
          <w:tcPr>
            <w:tcW w:w="1300" w:type="dxa"/>
          </w:tcPr>
          <w:p w14:paraId="5CB89456"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MP1–MP9</w:t>
            </w:r>
          </w:p>
        </w:tc>
        <w:tc>
          <w:tcPr>
            <w:tcW w:w="1160" w:type="dxa"/>
          </w:tcPr>
          <w:p w14:paraId="301F87FA"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9</w:t>
            </w:r>
          </w:p>
        </w:tc>
        <w:tc>
          <w:tcPr>
            <w:tcW w:w="4200" w:type="dxa"/>
          </w:tcPr>
          <w:p w14:paraId="44B04867" w14:textId="77777777" w:rsidR="00B133F8" w:rsidRPr="00B133F8" w:rsidRDefault="00B133F8" w:rsidP="00B133F8">
            <w:pPr>
              <w:bidi/>
              <w:spacing w:after="200" w:line="276" w:lineRule="auto"/>
              <w:rPr>
                <w:rFonts w:ascii="Simplified Arabic" w:hAnsi="Simplified Arabic" w:cs="Simplified Arabic"/>
                <w:sz w:val="20"/>
                <w:szCs w:val="20"/>
              </w:rPr>
            </w:pPr>
            <w:r w:rsidRPr="00B133F8">
              <w:rPr>
                <w:rFonts w:ascii="Simplified Arabic" w:hAnsi="Simplified Arabic" w:cs="Simplified Arabic"/>
                <w:sz w:val="20"/>
                <w:szCs w:val="20"/>
              </w:rPr>
              <w:t xml:space="preserve">Nuremberg Institute (2024); Mendoza et al. (2025); Beyari (2025); </w:t>
            </w:r>
            <w:r w:rsidRPr="00B133F8">
              <w:rPr>
                <w:rFonts w:ascii="Simplified Arabic" w:hAnsi="Simplified Arabic" w:cs="Simplified Arabic"/>
                <w:sz w:val="20"/>
                <w:szCs w:val="20"/>
                <w:rtl/>
              </w:rPr>
              <w:t>اللهيبي وآخرون (2024)</w:t>
            </w:r>
          </w:p>
        </w:tc>
      </w:tr>
    </w:tbl>
    <w:p w14:paraId="59A215E9" w14:textId="77777777" w:rsidR="00B133F8" w:rsidRDefault="00B133F8" w:rsidP="004F4747">
      <w:pPr>
        <w:bidi/>
        <w:spacing w:after="200" w:line="276" w:lineRule="auto"/>
        <w:rPr>
          <w:rFonts w:ascii="Simplified Arabic" w:hAnsi="Simplified Arabic" w:cs="Simplified Arabic"/>
          <w:rtl/>
        </w:rPr>
      </w:pPr>
    </w:p>
    <w:p w14:paraId="7F51931E" w14:textId="461B709E" w:rsidR="004F4747" w:rsidRPr="00B133F8" w:rsidRDefault="004F4747" w:rsidP="00B133F8">
      <w:pPr>
        <w:bidi/>
        <w:spacing w:after="200" w:line="240" w:lineRule="auto"/>
        <w:jc w:val="both"/>
        <w:rPr>
          <w:rFonts w:ascii="Sakkal Majalla" w:hAnsi="Sakkal Majalla" w:cs="Sakkal Majalla"/>
          <w:b/>
          <w:bCs/>
          <w:color w:val="1F497D" w:themeColor="text2"/>
          <w:sz w:val="32"/>
          <w:szCs w:val="32"/>
          <w:u w:val="single"/>
          <w:rtl/>
        </w:rPr>
      </w:pPr>
      <w:r w:rsidRPr="00B133F8">
        <w:rPr>
          <w:rFonts w:ascii="Sakkal Majalla" w:hAnsi="Sakkal Majalla" w:cs="Sakkal Majalla"/>
          <w:b/>
          <w:bCs/>
          <w:color w:val="1F497D" w:themeColor="text2"/>
          <w:sz w:val="32"/>
          <w:szCs w:val="32"/>
          <w:u w:val="single"/>
          <w:rtl/>
        </w:rPr>
        <w:t>صدق أداة الدراسة</w:t>
      </w:r>
    </w:p>
    <w:p w14:paraId="7785EF77"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يُراد بالصدق قدرة الأداة على قياس ما وُضعت لقياسه. وقد تحقق الباحث من صدق الأداة بطريقتين متكاملتين: الصدق الظاهري بعرضها على المحكَّمين، وصدق البناء عبر التحليل العاملي التوكيدي</w:t>
      </w:r>
      <w:r w:rsidRPr="004F4747">
        <w:rPr>
          <w:rFonts w:ascii="Simplified Arabic" w:hAnsi="Simplified Arabic" w:cs="Simplified Arabic"/>
        </w:rPr>
        <w:t>.</w:t>
      </w:r>
    </w:p>
    <w:p w14:paraId="684094F3" w14:textId="594C0A89" w:rsidR="004F4747" w:rsidRPr="00B133F8" w:rsidRDefault="004F4747" w:rsidP="004F4747">
      <w:pPr>
        <w:bidi/>
        <w:spacing w:after="200" w:line="276" w:lineRule="auto"/>
        <w:rPr>
          <w:rFonts w:ascii="Simplified Arabic" w:hAnsi="Simplified Arabic" w:cs="Simplified Arabic"/>
          <w:b/>
          <w:bCs/>
          <w:rtl/>
        </w:rPr>
      </w:pPr>
      <w:r w:rsidRPr="00B133F8">
        <w:rPr>
          <w:rFonts w:ascii="Simplified Arabic" w:hAnsi="Simplified Arabic" w:cs="Simplified Arabic"/>
          <w:b/>
          <w:bCs/>
          <w:rtl/>
        </w:rPr>
        <w:t>الصدق الظاهري (صدق المحكَّمين)</w:t>
      </w:r>
    </w:p>
    <w:p w14:paraId="109F1DB3"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عُرضت الأداة في صورتها الأولية على عدد من المحكَّمين من ذوي الاختصاص في التسويق ومناهج البحث، لإبداء الرأي في ملاءمة الفقرات لأبعاد المتغيرات، وسلامة صياغتها، ووضوح عباراتها، وانتماء كل فقرة إلى محورها، ومناسبة الأداة لمجتمع الدراسة. وفي ضوء ملاحظاتهم، عُدّلت صياغة بعض الفقرات وأُعيد ضبط بعضها الآخر، ثم أُخرجت الأداة في صورتها النهائية المعدّة للتطبيق</w:t>
      </w:r>
      <w:r w:rsidRPr="004F4747">
        <w:rPr>
          <w:rFonts w:ascii="Simplified Arabic" w:hAnsi="Simplified Arabic" w:cs="Simplified Arabic"/>
        </w:rPr>
        <w:t>.</w:t>
      </w:r>
    </w:p>
    <w:p w14:paraId="43431353" w14:textId="4FEB2D18"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tl/>
        </w:rPr>
        <w:t>صدق البناء</w:t>
      </w:r>
    </w:p>
    <w:p w14:paraId="7F4932F0" w14:textId="26CA8A8E"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يُتحقق من صدق البناء بالتحليل العاملي التوكيدي</w:t>
      </w:r>
      <w:r w:rsidR="00B133F8">
        <w:rPr>
          <w:rFonts w:ascii="Simplified Arabic" w:hAnsi="Simplified Arabic" w:cs="Simplified Arabic"/>
        </w:rPr>
        <w:t xml:space="preserve"> </w:t>
      </w:r>
      <w:r w:rsidRPr="004F4747">
        <w:rPr>
          <w:rFonts w:ascii="Simplified Arabic" w:hAnsi="Simplified Arabic" w:cs="Simplified Arabic"/>
          <w:rtl/>
        </w:rPr>
        <w:t>ضمن نموذج القياس، للتأكد من أن الفقرات تقيس فعلًا الأبعاد التي صممت لها. وينظر في هذا الإطار إلى نوعين من الصدق</w:t>
      </w:r>
      <w:r w:rsidRPr="004F4747">
        <w:rPr>
          <w:rFonts w:ascii="Simplified Arabic" w:hAnsi="Simplified Arabic" w:cs="Simplified Arabic"/>
        </w:rPr>
        <w:t>:</w:t>
      </w:r>
    </w:p>
    <w:p w14:paraId="36340E95" w14:textId="020CA0FB" w:rsidR="004F4747" w:rsidRPr="004F4747" w:rsidRDefault="004F4747">
      <w:pPr>
        <w:numPr>
          <w:ilvl w:val="0"/>
          <w:numId w:val="22"/>
        </w:numPr>
        <w:bidi/>
        <w:spacing w:after="200" w:line="276" w:lineRule="auto"/>
        <w:rPr>
          <w:rFonts w:ascii="Simplified Arabic" w:hAnsi="Simplified Arabic" w:cs="Simplified Arabic"/>
          <w:rtl/>
        </w:rPr>
      </w:pPr>
      <w:r w:rsidRPr="004F4747">
        <w:rPr>
          <w:rFonts w:ascii="Simplified Arabic" w:hAnsi="Simplified Arabic" w:cs="Simplified Arabic"/>
          <w:rtl/>
        </w:rPr>
        <w:lastRenderedPageBreak/>
        <w:t>الصدق التقاربي</w:t>
      </w:r>
      <w:r w:rsidR="00B133F8">
        <w:rPr>
          <w:rFonts w:ascii="Simplified Arabic" w:hAnsi="Simplified Arabic" w:cs="Simplified Arabic" w:hint="cs"/>
          <w:rtl/>
        </w:rPr>
        <w:t xml:space="preserve"> </w:t>
      </w:r>
      <w:r w:rsidRPr="004F4747">
        <w:rPr>
          <w:rFonts w:ascii="Simplified Arabic" w:hAnsi="Simplified Arabic" w:cs="Simplified Arabic"/>
        </w:rPr>
        <w:t>(Convergent Validity)</w:t>
      </w:r>
      <w:r w:rsidRPr="004F4747">
        <w:rPr>
          <w:rFonts w:ascii="Simplified Arabic" w:hAnsi="Simplified Arabic" w:cs="Simplified Arabic"/>
          <w:rtl/>
        </w:rPr>
        <w:t>، ويُحكم عليه بدلالة تشبّع الفقرات على عواملها وبقيمة متوسط التباين المستخرج</w:t>
      </w:r>
      <w:r w:rsidR="00B133F8">
        <w:rPr>
          <w:rFonts w:ascii="Simplified Arabic" w:hAnsi="Simplified Arabic" w:cs="Simplified Arabic" w:hint="cs"/>
          <w:rtl/>
        </w:rPr>
        <w:t xml:space="preserve"> </w:t>
      </w:r>
      <w:r w:rsidRPr="004F4747">
        <w:rPr>
          <w:rFonts w:ascii="Simplified Arabic" w:hAnsi="Simplified Arabic" w:cs="Simplified Arabic"/>
        </w:rPr>
        <w:t>(AVE)</w:t>
      </w:r>
      <w:r w:rsidRPr="004F4747">
        <w:rPr>
          <w:rFonts w:ascii="Simplified Arabic" w:hAnsi="Simplified Arabic" w:cs="Simplified Arabic"/>
          <w:rtl/>
        </w:rPr>
        <w:t>، بحيث لا تقل عن (0.50) للمتغير الواحد، أي أن المتغير يفسّر ما لا يقل عن نصف تباين فقراته</w:t>
      </w:r>
      <w:r w:rsidRPr="004F4747">
        <w:rPr>
          <w:rFonts w:ascii="Simplified Arabic" w:hAnsi="Simplified Arabic" w:cs="Simplified Arabic"/>
        </w:rPr>
        <w:t>.</w:t>
      </w:r>
    </w:p>
    <w:p w14:paraId="06204B77" w14:textId="22777EB2" w:rsidR="004F4747" w:rsidRPr="004F4747" w:rsidRDefault="004F4747">
      <w:pPr>
        <w:numPr>
          <w:ilvl w:val="0"/>
          <w:numId w:val="22"/>
        </w:numPr>
        <w:bidi/>
        <w:spacing w:after="200" w:line="276" w:lineRule="auto"/>
        <w:rPr>
          <w:rFonts w:ascii="Simplified Arabic" w:hAnsi="Simplified Arabic" w:cs="Simplified Arabic"/>
          <w:rtl/>
        </w:rPr>
      </w:pPr>
      <w:r w:rsidRPr="004F4747">
        <w:rPr>
          <w:rFonts w:ascii="Simplified Arabic" w:hAnsi="Simplified Arabic" w:cs="Simplified Arabic"/>
          <w:rtl/>
        </w:rPr>
        <w:t>الصدق التمايزي</w:t>
      </w:r>
      <w:r w:rsidR="00B133F8">
        <w:rPr>
          <w:rFonts w:ascii="Simplified Arabic" w:hAnsi="Simplified Arabic" w:cs="Simplified Arabic" w:hint="cs"/>
          <w:rtl/>
        </w:rPr>
        <w:t xml:space="preserve"> </w:t>
      </w:r>
      <w:r w:rsidRPr="004F4747">
        <w:rPr>
          <w:rFonts w:ascii="Simplified Arabic" w:hAnsi="Simplified Arabic" w:cs="Simplified Arabic"/>
        </w:rPr>
        <w:t>(Discriminant Validity)</w:t>
      </w:r>
      <w:r w:rsidRPr="004F4747">
        <w:rPr>
          <w:rFonts w:ascii="Simplified Arabic" w:hAnsi="Simplified Arabic" w:cs="Simplified Arabic"/>
          <w:rtl/>
        </w:rPr>
        <w:t>، ويُحكم عليه باختبار نسبة الارتباط أحادي السمة إلى متعدد السمات</w:t>
      </w:r>
      <w:r w:rsidR="00DE2E72">
        <w:rPr>
          <w:rFonts w:ascii="Simplified Arabic" w:hAnsi="Simplified Arabic" w:cs="Simplified Arabic" w:hint="cs"/>
          <w:rtl/>
        </w:rPr>
        <w:t xml:space="preserve"> </w:t>
      </w:r>
      <w:r w:rsidRPr="004F4747">
        <w:rPr>
          <w:rFonts w:ascii="Simplified Arabic" w:hAnsi="Simplified Arabic" w:cs="Simplified Arabic"/>
        </w:rPr>
        <w:t>(HTMT)</w:t>
      </w:r>
      <w:r w:rsidRPr="004F4747">
        <w:rPr>
          <w:rFonts w:ascii="Simplified Arabic" w:hAnsi="Simplified Arabic" w:cs="Simplified Arabic"/>
          <w:rtl/>
        </w:rPr>
        <w:t>، بحيث لا تتجاوز قيمته (0.85)، بما يؤكد تمايز كل متغير عن سائر متغيرات النموذج</w:t>
      </w:r>
      <w:r w:rsidRPr="004F4747">
        <w:rPr>
          <w:rFonts w:ascii="Simplified Arabic" w:hAnsi="Simplified Arabic" w:cs="Simplified Arabic"/>
        </w:rPr>
        <w:t>.</w:t>
      </w:r>
    </w:p>
    <w:p w14:paraId="17BB3968" w14:textId="77777777" w:rsidR="00DE2E72" w:rsidRDefault="00DE2E72" w:rsidP="00DE2E72">
      <w:pPr>
        <w:bidi/>
        <w:spacing w:after="200" w:line="240" w:lineRule="auto"/>
        <w:jc w:val="both"/>
        <w:rPr>
          <w:rFonts w:ascii="Sakkal Majalla" w:hAnsi="Sakkal Majalla" w:cs="Sakkal Majalla"/>
          <w:b/>
          <w:bCs/>
          <w:color w:val="1F497D" w:themeColor="text2"/>
          <w:sz w:val="32"/>
          <w:szCs w:val="32"/>
          <w:u w:val="single"/>
          <w:rtl/>
        </w:rPr>
      </w:pPr>
    </w:p>
    <w:p w14:paraId="1FFBC5D6" w14:textId="43B1D167"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sidRPr="00DE2E72">
        <w:rPr>
          <w:rFonts w:ascii="Sakkal Majalla" w:hAnsi="Sakkal Majalla" w:cs="Sakkal Majalla"/>
          <w:b/>
          <w:bCs/>
          <w:color w:val="1F497D" w:themeColor="text2"/>
          <w:sz w:val="32"/>
          <w:szCs w:val="32"/>
          <w:u w:val="single"/>
          <w:rtl/>
        </w:rPr>
        <w:t>ثبات أداة الدراسة</w:t>
      </w:r>
    </w:p>
    <w:p w14:paraId="18E15FA9" w14:textId="3114919C"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يشير الثبات إلى استقرار نتائج الأداة واتساقها لو أُعيد تطبيقها في ظروف متماثلة. واعتمد الباحث في قياسه مؤشرين متكاملين يناسبان أسلوب التحليل: معامل ألفا كرونباخ</w:t>
      </w:r>
      <w:r w:rsidRPr="004F4747">
        <w:rPr>
          <w:rFonts w:ascii="Simplified Arabic" w:hAnsi="Simplified Arabic" w:cs="Simplified Arabic"/>
        </w:rPr>
        <w:t xml:space="preserve"> (Cronbach's Alpha) </w:t>
      </w:r>
      <w:r w:rsidRPr="004F4747">
        <w:rPr>
          <w:rFonts w:ascii="Simplified Arabic" w:hAnsi="Simplified Arabic" w:cs="Simplified Arabic"/>
          <w:rtl/>
        </w:rPr>
        <w:t>والثبات المركب</w:t>
      </w:r>
      <w:r w:rsidRPr="004F4747">
        <w:rPr>
          <w:rFonts w:ascii="Simplified Arabic" w:hAnsi="Simplified Arabic" w:cs="Simplified Arabic"/>
        </w:rPr>
        <w:t xml:space="preserve"> (CR)</w:t>
      </w:r>
      <w:r w:rsidRPr="004F4747">
        <w:rPr>
          <w:rFonts w:ascii="Simplified Arabic" w:hAnsi="Simplified Arabic" w:cs="Simplified Arabic"/>
          <w:rtl/>
        </w:rPr>
        <w:t xml:space="preserve">، ويُعدّ المتغير مقبول الثبات إذا بلغ كلٌّ منهما (0.70) فأكثر، إذ تدل القيم الأعلى على اتساق داخلي أكبر بين فقرات المتغير. </w:t>
      </w:r>
    </w:p>
    <w:p w14:paraId="191FA3B9" w14:textId="7D22CA5C"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tl/>
        </w:rPr>
        <w:t>جدول: مؤشرات الصدق والثبات المعتمدة وقيمها المرجعية</w:t>
      </w:r>
    </w:p>
    <w:tbl>
      <w:tblPr>
        <w:tblStyle w:val="ac"/>
        <w:bidiVisual/>
        <w:tblW w:w="8215" w:type="dxa"/>
        <w:tblInd w:w="1145" w:type="dxa"/>
        <w:tblLook w:val="04A0" w:firstRow="1" w:lastRow="0" w:firstColumn="1" w:lastColumn="0" w:noHBand="0" w:noVBand="1"/>
      </w:tblPr>
      <w:tblGrid>
        <w:gridCol w:w="1983"/>
        <w:gridCol w:w="2932"/>
        <w:gridCol w:w="3300"/>
      </w:tblGrid>
      <w:tr w:rsidR="00DE2E72" w:rsidRPr="00DE2E72" w14:paraId="168C2FCE" w14:textId="77777777" w:rsidTr="0040129F">
        <w:tc>
          <w:tcPr>
            <w:tcW w:w="1983" w:type="dxa"/>
          </w:tcPr>
          <w:p w14:paraId="388D3695"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المؤشر</w:t>
            </w:r>
          </w:p>
        </w:tc>
        <w:tc>
          <w:tcPr>
            <w:tcW w:w="2932" w:type="dxa"/>
          </w:tcPr>
          <w:p w14:paraId="1C73D4BD"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الغرض</w:t>
            </w:r>
          </w:p>
        </w:tc>
        <w:tc>
          <w:tcPr>
            <w:tcW w:w="3300" w:type="dxa"/>
          </w:tcPr>
          <w:p w14:paraId="22B50BA3"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القيمة المرجعية</w:t>
            </w:r>
          </w:p>
        </w:tc>
      </w:tr>
      <w:tr w:rsidR="00DE2E72" w:rsidRPr="00DE2E72" w14:paraId="612F4589" w14:textId="77777777" w:rsidTr="0040129F">
        <w:tc>
          <w:tcPr>
            <w:tcW w:w="1983" w:type="dxa"/>
          </w:tcPr>
          <w:p w14:paraId="1B129F2C"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Cronbach's Alpha</w:t>
            </w:r>
          </w:p>
        </w:tc>
        <w:tc>
          <w:tcPr>
            <w:tcW w:w="2932" w:type="dxa"/>
          </w:tcPr>
          <w:p w14:paraId="34710A57"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الاتساق الداخلي (الثبات)</w:t>
            </w:r>
          </w:p>
        </w:tc>
        <w:tc>
          <w:tcPr>
            <w:tcW w:w="3300" w:type="dxa"/>
          </w:tcPr>
          <w:p w14:paraId="6FA67DA6" w14:textId="77777777" w:rsidR="00DE2E72" w:rsidRPr="00DE2E72" w:rsidRDefault="00DE2E72" w:rsidP="00DE2E72">
            <w:pPr>
              <w:bidi/>
              <w:spacing w:after="200" w:line="276" w:lineRule="auto"/>
              <w:rPr>
                <w:rFonts w:ascii="Simplified Arabic" w:hAnsi="Simplified Arabic" w:cs="Simplified Arabic"/>
              </w:rPr>
            </w:pPr>
            <w:r w:rsidRPr="00DE2E72">
              <w:rPr>
                <w:rFonts w:ascii="Cambria Math" w:hAnsi="Cambria Math" w:cs="Cambria Math"/>
              </w:rPr>
              <w:t>≥</w:t>
            </w:r>
            <w:r w:rsidRPr="00DE2E72">
              <w:rPr>
                <w:rFonts w:ascii="Simplified Arabic" w:hAnsi="Simplified Arabic" w:cs="Simplified Arabic"/>
              </w:rPr>
              <w:t xml:space="preserve"> 0.70</w:t>
            </w:r>
          </w:p>
        </w:tc>
      </w:tr>
      <w:tr w:rsidR="00DE2E72" w:rsidRPr="00DE2E72" w14:paraId="4714696C" w14:textId="77777777" w:rsidTr="0040129F">
        <w:tc>
          <w:tcPr>
            <w:tcW w:w="1983" w:type="dxa"/>
          </w:tcPr>
          <w:p w14:paraId="6D8B78E6"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Composite Reliability (CR)</w:t>
            </w:r>
          </w:p>
        </w:tc>
        <w:tc>
          <w:tcPr>
            <w:tcW w:w="2932" w:type="dxa"/>
          </w:tcPr>
          <w:p w14:paraId="1AAA117C"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الثبات المركب للمتغير</w:t>
            </w:r>
          </w:p>
        </w:tc>
        <w:tc>
          <w:tcPr>
            <w:tcW w:w="3300" w:type="dxa"/>
          </w:tcPr>
          <w:p w14:paraId="096D7454" w14:textId="77777777" w:rsidR="00DE2E72" w:rsidRPr="00DE2E72" w:rsidRDefault="00DE2E72" w:rsidP="00DE2E72">
            <w:pPr>
              <w:bidi/>
              <w:spacing w:after="200" w:line="276" w:lineRule="auto"/>
              <w:rPr>
                <w:rFonts w:ascii="Simplified Arabic" w:hAnsi="Simplified Arabic" w:cs="Simplified Arabic"/>
              </w:rPr>
            </w:pPr>
            <w:r w:rsidRPr="00DE2E72">
              <w:rPr>
                <w:rFonts w:ascii="Cambria Math" w:hAnsi="Cambria Math" w:cs="Cambria Math"/>
              </w:rPr>
              <w:t>≥</w:t>
            </w:r>
            <w:r w:rsidRPr="00DE2E72">
              <w:rPr>
                <w:rFonts w:ascii="Simplified Arabic" w:hAnsi="Simplified Arabic" w:cs="Simplified Arabic"/>
              </w:rPr>
              <w:t xml:space="preserve"> 0.70</w:t>
            </w:r>
          </w:p>
        </w:tc>
      </w:tr>
      <w:tr w:rsidR="00DE2E72" w:rsidRPr="00DE2E72" w14:paraId="5AAFFBA1" w14:textId="77777777" w:rsidTr="0040129F">
        <w:tc>
          <w:tcPr>
            <w:tcW w:w="1983" w:type="dxa"/>
          </w:tcPr>
          <w:p w14:paraId="751D22D5"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Average Variance Extracted (AVE)</w:t>
            </w:r>
          </w:p>
        </w:tc>
        <w:tc>
          <w:tcPr>
            <w:tcW w:w="2932" w:type="dxa"/>
          </w:tcPr>
          <w:p w14:paraId="79CE33F8"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الصدق التقاربي</w:t>
            </w:r>
          </w:p>
        </w:tc>
        <w:tc>
          <w:tcPr>
            <w:tcW w:w="3300" w:type="dxa"/>
          </w:tcPr>
          <w:p w14:paraId="76ACB530" w14:textId="77777777" w:rsidR="00DE2E72" w:rsidRPr="00DE2E72" w:rsidRDefault="00DE2E72" w:rsidP="00DE2E72">
            <w:pPr>
              <w:bidi/>
              <w:spacing w:after="200" w:line="276" w:lineRule="auto"/>
              <w:rPr>
                <w:rFonts w:ascii="Simplified Arabic" w:hAnsi="Simplified Arabic" w:cs="Simplified Arabic"/>
              </w:rPr>
            </w:pPr>
            <w:r w:rsidRPr="00DE2E72">
              <w:rPr>
                <w:rFonts w:ascii="Cambria Math" w:hAnsi="Cambria Math" w:cs="Cambria Math"/>
              </w:rPr>
              <w:t>≥</w:t>
            </w:r>
            <w:r w:rsidRPr="00DE2E72">
              <w:rPr>
                <w:rFonts w:ascii="Simplified Arabic" w:hAnsi="Simplified Arabic" w:cs="Simplified Arabic"/>
              </w:rPr>
              <w:t xml:space="preserve"> 0.50</w:t>
            </w:r>
          </w:p>
        </w:tc>
      </w:tr>
      <w:tr w:rsidR="00DE2E72" w:rsidRPr="00DE2E72" w14:paraId="19CAA713" w14:textId="77777777" w:rsidTr="0040129F">
        <w:tc>
          <w:tcPr>
            <w:tcW w:w="1983" w:type="dxa"/>
          </w:tcPr>
          <w:p w14:paraId="2C553FCF"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HTMT</w:t>
            </w:r>
          </w:p>
        </w:tc>
        <w:tc>
          <w:tcPr>
            <w:tcW w:w="2932" w:type="dxa"/>
          </w:tcPr>
          <w:p w14:paraId="5D7DA663"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الصدق التمايزي</w:t>
            </w:r>
          </w:p>
        </w:tc>
        <w:tc>
          <w:tcPr>
            <w:tcW w:w="3300" w:type="dxa"/>
          </w:tcPr>
          <w:p w14:paraId="38651B07"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&lt; 0.85</w:t>
            </w:r>
          </w:p>
        </w:tc>
      </w:tr>
      <w:tr w:rsidR="00DE2E72" w:rsidRPr="00DE2E72" w14:paraId="590C223A" w14:textId="77777777" w:rsidTr="0040129F">
        <w:tc>
          <w:tcPr>
            <w:tcW w:w="1983" w:type="dxa"/>
          </w:tcPr>
          <w:p w14:paraId="0E783AFA" w14:textId="63FAE0E2" w:rsidR="00DE2E72" w:rsidRPr="00DE2E72" w:rsidRDefault="00DE2E72" w:rsidP="00DE2E72">
            <w:pPr>
              <w:bidi/>
              <w:spacing w:after="200" w:line="276" w:lineRule="auto"/>
              <w:rPr>
                <w:rFonts w:ascii="Simplified Arabic" w:hAnsi="Simplified Arabic" w:cs="Simplified Arabic"/>
                <w:rtl/>
              </w:rPr>
            </w:pPr>
            <w:r w:rsidRPr="00DE2E72">
              <w:rPr>
                <w:rFonts w:ascii="Simplified Arabic" w:hAnsi="Simplified Arabic" w:cs="Simplified Arabic"/>
                <w:rtl/>
              </w:rPr>
              <w:t>تشبّع الفقرة (</w:t>
            </w:r>
            <w:r w:rsidRPr="00DE2E72">
              <w:rPr>
                <w:rFonts w:ascii="Simplified Arabic" w:hAnsi="Simplified Arabic" w:cs="Simplified Arabic"/>
              </w:rPr>
              <w:t>Outer Loading</w:t>
            </w:r>
            <w:r w:rsidRPr="0040129F">
              <w:rPr>
                <w:rFonts w:ascii="Simplified Arabic" w:hAnsi="Simplified Arabic" w:cs="Simplified Arabic"/>
                <w:rtl/>
              </w:rPr>
              <w:t>)</w:t>
            </w:r>
          </w:p>
        </w:tc>
        <w:tc>
          <w:tcPr>
            <w:tcW w:w="2932" w:type="dxa"/>
          </w:tcPr>
          <w:p w14:paraId="357B4FB4"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ارتباط الفقرة بمتغيرها</w:t>
            </w:r>
          </w:p>
        </w:tc>
        <w:tc>
          <w:tcPr>
            <w:tcW w:w="3300" w:type="dxa"/>
          </w:tcPr>
          <w:p w14:paraId="56AD7FC9" w14:textId="77777777" w:rsidR="00DE2E72" w:rsidRPr="00DE2E72" w:rsidRDefault="00DE2E72" w:rsidP="00DE2E72">
            <w:pPr>
              <w:bidi/>
              <w:spacing w:after="200" w:line="276" w:lineRule="auto"/>
              <w:rPr>
                <w:rFonts w:ascii="Simplified Arabic" w:hAnsi="Simplified Arabic" w:cs="Simplified Arabic"/>
              </w:rPr>
            </w:pPr>
            <w:r w:rsidRPr="00DE2E72">
              <w:rPr>
                <w:rFonts w:ascii="Cambria Math" w:hAnsi="Cambria Math" w:cs="Cambria Math"/>
              </w:rPr>
              <w:t>≥</w:t>
            </w:r>
            <w:r w:rsidRPr="00DE2E72">
              <w:rPr>
                <w:rFonts w:ascii="Simplified Arabic" w:hAnsi="Simplified Arabic" w:cs="Simplified Arabic"/>
              </w:rPr>
              <w:t xml:space="preserve"> 0.70</w:t>
            </w:r>
          </w:p>
        </w:tc>
      </w:tr>
    </w:tbl>
    <w:p w14:paraId="54AC6716" w14:textId="77777777" w:rsidR="00B133F8" w:rsidRDefault="00B133F8" w:rsidP="004F4747">
      <w:pPr>
        <w:bidi/>
        <w:spacing w:after="200" w:line="276" w:lineRule="auto"/>
        <w:rPr>
          <w:rFonts w:ascii="Simplified Arabic" w:hAnsi="Simplified Arabic" w:cs="Simplified Arabic"/>
          <w:rtl/>
        </w:rPr>
      </w:pPr>
    </w:p>
    <w:p w14:paraId="618942D1" w14:textId="7635EB04"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sidRPr="00DE2E72">
        <w:rPr>
          <w:rFonts w:ascii="Sakkal Majalla" w:hAnsi="Sakkal Majalla" w:cs="Sakkal Majalla"/>
          <w:b/>
          <w:bCs/>
          <w:color w:val="1F497D" w:themeColor="text2"/>
          <w:sz w:val="32"/>
          <w:szCs w:val="32"/>
          <w:u w:val="single"/>
          <w:rtl/>
        </w:rPr>
        <w:t>أساليب المعالجة الإحصائية</w:t>
      </w:r>
    </w:p>
    <w:p w14:paraId="69D525B1"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لتعدد متغيرات النموذج (المستقل والوسيط والمعدِّلين والتابع) واشتماله على علاقات مباشرة وغير مباشرة، اعتمد الباحث نمذجة المعادلات البنائية بالمربعات الصغرى الجزئية</w:t>
      </w:r>
      <w:r w:rsidRPr="004F4747">
        <w:rPr>
          <w:rFonts w:ascii="Simplified Arabic" w:hAnsi="Simplified Arabic" w:cs="Simplified Arabic"/>
        </w:rPr>
        <w:t xml:space="preserve"> (PLS-SEM) </w:t>
      </w:r>
      <w:r w:rsidRPr="004F4747">
        <w:rPr>
          <w:rFonts w:ascii="Simplified Arabic" w:hAnsi="Simplified Arabic" w:cs="Simplified Arabic"/>
          <w:rtl/>
        </w:rPr>
        <w:t>عبر برنامج</w:t>
      </w:r>
      <w:r w:rsidRPr="004F4747">
        <w:rPr>
          <w:rFonts w:ascii="Simplified Arabic" w:hAnsi="Simplified Arabic" w:cs="Simplified Arabic"/>
        </w:rPr>
        <w:t xml:space="preserve"> (SmartPLS 4). </w:t>
      </w:r>
      <w:r w:rsidRPr="004F4747">
        <w:rPr>
          <w:rFonts w:ascii="Simplified Arabic" w:hAnsi="Simplified Arabic" w:cs="Simplified Arabic"/>
          <w:rtl/>
        </w:rPr>
        <w:t xml:space="preserve">ويُناسب هذا الأسلوب النماذج التفسيرية المتعددة العلاقات، إذ يقدّر العلاقات مجتمعةً ويختبر أثري الوساطة والتعديل، ولا يشترط التوزيع </w:t>
      </w:r>
      <w:r w:rsidRPr="004F4747">
        <w:rPr>
          <w:rFonts w:ascii="Simplified Arabic" w:hAnsi="Simplified Arabic" w:cs="Simplified Arabic"/>
          <w:rtl/>
        </w:rPr>
        <w:lastRenderedPageBreak/>
        <w:t>الطبيعي للبيانات أو حجم عينة كبيرًا كما هي الحال في الأساليب القائمة على التغاير. وقد سبق أن اعتمد الأسلوب نفسه في دراسات وردت في الإطار النظري، مثل دراسة اللهيبي وآخرين (2024) ودراسة بياري</w:t>
      </w:r>
      <w:r w:rsidRPr="004F4747">
        <w:rPr>
          <w:rFonts w:ascii="Simplified Arabic" w:hAnsi="Simplified Arabic" w:cs="Simplified Arabic"/>
        </w:rPr>
        <w:t xml:space="preserve"> (2025).</w:t>
      </w:r>
    </w:p>
    <w:p w14:paraId="3113D902"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ويمر التحليل بمرحلتين متتابعتين هما تقييم نموذج القياس ثم تقييم النموذج الهيكلي، تسبقهما معالجة وصفية تمهيدية، على النحو الآتي</w:t>
      </w:r>
      <w:r w:rsidRPr="004F4747">
        <w:rPr>
          <w:rFonts w:ascii="Simplified Arabic" w:hAnsi="Simplified Arabic" w:cs="Simplified Arabic"/>
        </w:rPr>
        <w:t>:</w:t>
      </w:r>
    </w:p>
    <w:p w14:paraId="6178F62B" w14:textId="2A92220F"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tl/>
        </w:rPr>
        <w:t>الأساليب الوصفية</w:t>
      </w:r>
    </w:p>
    <w:p w14:paraId="7888C4A8"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r w:rsidRPr="004F4747">
        <w:rPr>
          <w:rFonts w:ascii="Simplified Arabic" w:hAnsi="Simplified Arabic" w:cs="Simplified Arabic"/>
        </w:rPr>
        <w:t>.</w:t>
      </w:r>
    </w:p>
    <w:p w14:paraId="31ED5698" w14:textId="433158C4"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Pr>
        <w:t xml:space="preserve"> </w:t>
      </w:r>
      <w:r w:rsidRPr="00DE2E72">
        <w:rPr>
          <w:rFonts w:ascii="Simplified Arabic" w:hAnsi="Simplified Arabic" w:cs="Simplified Arabic"/>
          <w:b/>
          <w:bCs/>
          <w:rtl/>
        </w:rPr>
        <w:t>تقييم نموذج القياس</w:t>
      </w:r>
    </w:p>
    <w:p w14:paraId="791FDEE8"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ويُقصد به التحقق من جودة قياس المتغيرات الكامنة عبر فقراتها، ويشمل فحص تشبّعات الفقرات</w:t>
      </w:r>
      <w:r w:rsidRPr="004F4747">
        <w:rPr>
          <w:rFonts w:ascii="Simplified Arabic" w:hAnsi="Simplified Arabic" w:cs="Simplified Arabic"/>
        </w:rPr>
        <w:t xml:space="preserve"> (Outer Loadings)</w:t>
      </w:r>
      <w:r w:rsidRPr="004F4747">
        <w:rPr>
          <w:rFonts w:ascii="Simplified Arabic" w:hAnsi="Simplified Arabic" w:cs="Simplified Arabic"/>
          <w:rtl/>
        </w:rPr>
        <w:t>، ومعاملي ألفا كرونباخ والثبات المركب للاتساق الداخلي، ومتوسط التباين المستخرج</w:t>
      </w:r>
      <w:r w:rsidRPr="004F4747">
        <w:rPr>
          <w:rFonts w:ascii="Simplified Arabic" w:hAnsi="Simplified Arabic" w:cs="Simplified Arabic"/>
        </w:rPr>
        <w:t xml:space="preserve"> (AVE) </w:t>
      </w:r>
      <w:r w:rsidRPr="004F4747">
        <w:rPr>
          <w:rFonts w:ascii="Simplified Arabic" w:hAnsi="Simplified Arabic" w:cs="Simplified Arabic"/>
          <w:rtl/>
        </w:rPr>
        <w:t>للصدق التقاربي، واختبار</w:t>
      </w:r>
      <w:r w:rsidRPr="004F4747">
        <w:rPr>
          <w:rFonts w:ascii="Simplified Arabic" w:hAnsi="Simplified Arabic" w:cs="Simplified Arabic"/>
        </w:rPr>
        <w:t xml:space="preserve"> (HTMT) </w:t>
      </w:r>
      <w:r w:rsidRPr="004F4747">
        <w:rPr>
          <w:rFonts w:ascii="Simplified Arabic" w:hAnsi="Simplified Arabic" w:cs="Simplified Arabic"/>
          <w:rtl/>
        </w:rPr>
        <w:t>للصدق التمايزي، وفق القيم المرجعية في الجدول</w:t>
      </w:r>
      <w:r w:rsidRPr="004F4747">
        <w:rPr>
          <w:rFonts w:ascii="Simplified Arabic" w:hAnsi="Simplified Arabic" w:cs="Simplified Arabic"/>
        </w:rPr>
        <w:t xml:space="preserve"> (3-6).</w:t>
      </w:r>
    </w:p>
    <w:p w14:paraId="56B75461" w14:textId="36AD6444"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tl/>
        </w:rPr>
        <w:t>تقييم النموذج الهيكلي واختبار الفرضيات</w:t>
      </w:r>
    </w:p>
    <w:p w14:paraId="522CEEDE"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ويُقصد به اختبار العلاقات بين المتغيرات، ويشمل تقدير معاملات المسار</w:t>
      </w:r>
      <w:r w:rsidRPr="004F4747">
        <w:rPr>
          <w:rFonts w:ascii="Simplified Arabic" w:hAnsi="Simplified Arabic" w:cs="Simplified Arabic"/>
        </w:rPr>
        <w:t xml:space="preserve"> (Path Coefficients) </w:t>
      </w:r>
      <w:r w:rsidRPr="004F4747">
        <w:rPr>
          <w:rFonts w:ascii="Simplified Arabic" w:hAnsi="Simplified Arabic" w:cs="Simplified Arabic"/>
          <w:rtl/>
        </w:rPr>
        <w:t>وفحص دلالتها عبر إعادة المعاينة</w:t>
      </w:r>
      <w:r w:rsidRPr="004F4747">
        <w:rPr>
          <w:rFonts w:ascii="Simplified Arabic" w:hAnsi="Simplified Arabic" w:cs="Simplified Arabic"/>
        </w:rPr>
        <w:t xml:space="preserve"> (Bootstrapping)</w:t>
      </w:r>
      <w:r w:rsidRPr="004F4747">
        <w:rPr>
          <w:rFonts w:ascii="Simplified Arabic" w:hAnsi="Simplified Arabic" w:cs="Simplified Arabic"/>
          <w:rtl/>
        </w:rPr>
        <w:t>، ومعامل التحديد</w:t>
      </w:r>
      <w:r w:rsidRPr="004F4747">
        <w:rPr>
          <w:rFonts w:ascii="Simplified Arabic" w:hAnsi="Simplified Arabic" w:cs="Simplified Arabic"/>
        </w:rPr>
        <w:t xml:space="preserve"> (R²) </w:t>
      </w:r>
      <w:r w:rsidRPr="004F4747">
        <w:rPr>
          <w:rFonts w:ascii="Simplified Arabic" w:hAnsi="Simplified Arabic" w:cs="Simplified Arabic"/>
          <w:rtl/>
        </w:rPr>
        <w:t>لبيان نسبة التباين المفسَّر في المتغيرين الوسيط والتابع</w:t>
      </w:r>
      <w:r w:rsidRPr="004F4747">
        <w:rPr>
          <w:rFonts w:ascii="Simplified Arabic" w:hAnsi="Simplified Arabic" w:cs="Simplified Arabic"/>
        </w:rPr>
        <w:t>.</w:t>
      </w:r>
    </w:p>
    <w:p w14:paraId="20D4AE7D" w14:textId="77777777" w:rsidR="004F4747" w:rsidRPr="004F4747"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ويُختبر في هذه المرحلة أثر الوساطة لجودة عملية التصميم في العلاقة بين توظيف الذكاء الاصطناعي التوليدي وفعالية الأداء التسويقي. أما الدور المعدِّل فيُختبر من خلال أثر التفاعل في علاقة التوظيف بجودة التصميم، ويُجرى لكل متغير معدِّل على حدة؛ إذ يُختبر تفاعل الدوافع مع التوظيف</w:t>
      </w:r>
      <w:r w:rsidRPr="004F4747">
        <w:rPr>
          <w:rFonts w:ascii="Simplified Arabic" w:hAnsi="Simplified Arabic" w:cs="Simplified Arabic"/>
        </w:rPr>
        <w:t xml:space="preserve"> (GAIU × ADP) </w:t>
      </w:r>
      <w:r w:rsidRPr="004F4747">
        <w:rPr>
          <w:rFonts w:ascii="Simplified Arabic" w:hAnsi="Simplified Arabic" w:cs="Simplified Arabic"/>
          <w:rtl/>
        </w:rPr>
        <w:t>في مسار واحد، ويُختبر تفاعل العوائق مع التوظيف</w:t>
      </w:r>
      <w:r w:rsidRPr="004F4747">
        <w:rPr>
          <w:rFonts w:ascii="Simplified Arabic" w:hAnsi="Simplified Arabic" w:cs="Simplified Arabic"/>
        </w:rPr>
        <w:t xml:space="preserve"> (GAIU × BAR) </w:t>
      </w:r>
      <w:r w:rsidRPr="004F4747">
        <w:rPr>
          <w:rFonts w:ascii="Simplified Arabic" w:hAnsi="Simplified Arabic" w:cs="Simplified Arabic"/>
          <w:rtl/>
        </w:rPr>
        <w:t>في مسار مستقل، تمييزًا للأثر المعزِّز عن الأثر المثبِّط. ويوضّح الجدول (3-7) ربط كل فرضية بأسلوب اختبارها</w:t>
      </w:r>
      <w:r w:rsidRPr="004F4747">
        <w:rPr>
          <w:rFonts w:ascii="Simplified Arabic" w:hAnsi="Simplified Arabic" w:cs="Simplified Arabic"/>
        </w:rPr>
        <w:t>.</w:t>
      </w:r>
    </w:p>
    <w:p w14:paraId="1A36C435" w14:textId="34EC637D" w:rsidR="004F4747" w:rsidRPr="00DE2E72" w:rsidRDefault="004F4747" w:rsidP="004F4747">
      <w:pPr>
        <w:bidi/>
        <w:spacing w:after="200" w:line="276" w:lineRule="auto"/>
        <w:rPr>
          <w:rFonts w:ascii="Simplified Arabic" w:hAnsi="Simplified Arabic" w:cs="Simplified Arabic"/>
          <w:b/>
          <w:bCs/>
          <w:rtl/>
        </w:rPr>
      </w:pPr>
      <w:r w:rsidRPr="00DE2E72">
        <w:rPr>
          <w:rFonts w:ascii="Simplified Arabic" w:hAnsi="Simplified Arabic" w:cs="Simplified Arabic"/>
          <w:b/>
          <w:bCs/>
          <w:rtl/>
        </w:rPr>
        <w:t>جدول: ربط فرضيات الدراسة بأساليب اختبارها الإحصائية</w:t>
      </w:r>
    </w:p>
    <w:tbl>
      <w:tblPr>
        <w:tblStyle w:val="ac"/>
        <w:bidiVisual/>
        <w:tblW w:w="8218" w:type="dxa"/>
        <w:tblInd w:w="1281" w:type="dxa"/>
        <w:tblLook w:val="04A0" w:firstRow="1" w:lastRow="0" w:firstColumn="1" w:lastColumn="0" w:noHBand="0" w:noVBand="1"/>
      </w:tblPr>
      <w:tblGrid>
        <w:gridCol w:w="773"/>
        <w:gridCol w:w="4418"/>
        <w:gridCol w:w="3027"/>
      </w:tblGrid>
      <w:tr w:rsidR="00DE2E72" w:rsidRPr="00DE2E72" w14:paraId="2B1EB43F" w14:textId="77777777" w:rsidTr="0040129F">
        <w:tc>
          <w:tcPr>
            <w:tcW w:w="709" w:type="dxa"/>
          </w:tcPr>
          <w:p w14:paraId="07B3C331"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الفرضية</w:t>
            </w:r>
          </w:p>
        </w:tc>
        <w:tc>
          <w:tcPr>
            <w:tcW w:w="4463" w:type="dxa"/>
          </w:tcPr>
          <w:p w14:paraId="1653E07B"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مضمونها</w:t>
            </w:r>
          </w:p>
        </w:tc>
        <w:tc>
          <w:tcPr>
            <w:tcW w:w="3046" w:type="dxa"/>
          </w:tcPr>
          <w:p w14:paraId="2AD79292"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b/>
                <w:bCs/>
                <w:rtl/>
              </w:rPr>
              <w:t>أسلوب الاختبار</w:t>
            </w:r>
          </w:p>
        </w:tc>
      </w:tr>
      <w:tr w:rsidR="00DE2E72" w:rsidRPr="00DE2E72" w14:paraId="1ACECD7A" w14:textId="77777777" w:rsidTr="0040129F">
        <w:tc>
          <w:tcPr>
            <w:tcW w:w="709" w:type="dxa"/>
          </w:tcPr>
          <w:p w14:paraId="53F59A1F"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H1</w:t>
            </w:r>
          </w:p>
        </w:tc>
        <w:tc>
          <w:tcPr>
            <w:tcW w:w="4463" w:type="dxa"/>
          </w:tcPr>
          <w:p w14:paraId="10266ACF"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علاقة توظيف الذكاء الاصطناعي التوليدي بجودة عملية التصميم.</w:t>
            </w:r>
          </w:p>
        </w:tc>
        <w:tc>
          <w:tcPr>
            <w:tcW w:w="3046" w:type="dxa"/>
          </w:tcPr>
          <w:p w14:paraId="2CDC4EFB"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معامل المسار ودلالته (Bootstrapping)</w:t>
            </w:r>
          </w:p>
        </w:tc>
      </w:tr>
      <w:tr w:rsidR="00DE2E72" w:rsidRPr="00DE2E72" w14:paraId="132C26D0" w14:textId="77777777" w:rsidTr="0040129F">
        <w:tc>
          <w:tcPr>
            <w:tcW w:w="709" w:type="dxa"/>
          </w:tcPr>
          <w:p w14:paraId="0AAD7014"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H2</w:t>
            </w:r>
          </w:p>
        </w:tc>
        <w:tc>
          <w:tcPr>
            <w:tcW w:w="4463" w:type="dxa"/>
          </w:tcPr>
          <w:p w14:paraId="3AB16FEE"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علاقة جودة عملية التصميم بفعالية الأداء التسويقي.</w:t>
            </w:r>
          </w:p>
        </w:tc>
        <w:tc>
          <w:tcPr>
            <w:tcW w:w="3046" w:type="dxa"/>
          </w:tcPr>
          <w:p w14:paraId="441FCDEF"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معامل المسار ودلالته (Bootstrapping)</w:t>
            </w:r>
          </w:p>
        </w:tc>
      </w:tr>
      <w:tr w:rsidR="00DE2E72" w:rsidRPr="00DE2E72" w14:paraId="5A5A2822" w14:textId="77777777" w:rsidTr="0040129F">
        <w:tc>
          <w:tcPr>
            <w:tcW w:w="709" w:type="dxa"/>
          </w:tcPr>
          <w:p w14:paraId="1FD9BD00"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lastRenderedPageBreak/>
              <w:t>H3</w:t>
            </w:r>
          </w:p>
        </w:tc>
        <w:tc>
          <w:tcPr>
            <w:tcW w:w="4463" w:type="dxa"/>
          </w:tcPr>
          <w:p w14:paraId="7F346EC1" w14:textId="69EDDA17" w:rsidR="00DE2E72" w:rsidRPr="00DE2E72" w:rsidRDefault="00DE2E72" w:rsidP="00DE2E72">
            <w:pPr>
              <w:bidi/>
              <w:spacing w:after="200" w:line="276" w:lineRule="auto"/>
              <w:rPr>
                <w:rFonts w:ascii="Simplified Arabic" w:hAnsi="Simplified Arabic" w:cs="Simplified Arabic"/>
                <w:rtl/>
              </w:rPr>
            </w:pPr>
            <w:r w:rsidRPr="00DE2E72">
              <w:rPr>
                <w:rFonts w:ascii="Simplified Arabic" w:hAnsi="Simplified Arabic" w:cs="Simplified Arabic"/>
                <w:rtl/>
              </w:rPr>
              <w:t>أثر التفاعل المعدِّل في علاقة التوظيف بجودة التصميم، ويُختبر في مسارين: تفاعل الدوافع (</w:t>
            </w:r>
            <w:r w:rsidRPr="00DE2E72">
              <w:rPr>
                <w:rFonts w:ascii="Simplified Arabic" w:hAnsi="Simplified Arabic" w:cs="Simplified Arabic"/>
              </w:rPr>
              <w:t>GAIU × ADP</w:t>
            </w:r>
            <w:r w:rsidRPr="00DE2E72">
              <w:rPr>
                <w:rFonts w:ascii="Simplified Arabic" w:hAnsi="Simplified Arabic" w:cs="Simplified Arabic"/>
                <w:rtl/>
              </w:rPr>
              <w:t xml:space="preserve">)، وتفاعل العوائق </w:t>
            </w:r>
            <w:r w:rsidR="0040129F">
              <w:rPr>
                <w:rFonts w:ascii="Simplified Arabic" w:hAnsi="Simplified Arabic" w:cs="Simplified Arabic"/>
              </w:rPr>
              <w:t>(</w:t>
            </w:r>
            <w:r w:rsidRPr="00DE2E72">
              <w:rPr>
                <w:rFonts w:ascii="Simplified Arabic" w:hAnsi="Simplified Arabic" w:cs="Simplified Arabic"/>
              </w:rPr>
              <w:t>GAIU × BAR)</w:t>
            </w:r>
          </w:p>
        </w:tc>
        <w:tc>
          <w:tcPr>
            <w:tcW w:w="3046" w:type="dxa"/>
          </w:tcPr>
          <w:p w14:paraId="1989E670"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تحليل أثر التعديل لكل تفاعل على حدة (Moderation)</w:t>
            </w:r>
          </w:p>
        </w:tc>
      </w:tr>
      <w:tr w:rsidR="00DE2E72" w:rsidRPr="00DE2E72" w14:paraId="437E0496" w14:textId="77777777" w:rsidTr="0040129F">
        <w:tc>
          <w:tcPr>
            <w:tcW w:w="709" w:type="dxa"/>
          </w:tcPr>
          <w:p w14:paraId="4FC28B33"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Pr>
              <w:t>H4</w:t>
            </w:r>
          </w:p>
        </w:tc>
        <w:tc>
          <w:tcPr>
            <w:tcW w:w="4463" w:type="dxa"/>
          </w:tcPr>
          <w:p w14:paraId="7562FE1D"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العلاقة غير المباشرة بين التوظيف وفعالية الأداء عبر وساطة جودة التصميم.</w:t>
            </w:r>
          </w:p>
        </w:tc>
        <w:tc>
          <w:tcPr>
            <w:tcW w:w="3046" w:type="dxa"/>
          </w:tcPr>
          <w:p w14:paraId="71BB8F86" w14:textId="77777777" w:rsidR="00DE2E72" w:rsidRPr="00DE2E72" w:rsidRDefault="00DE2E72" w:rsidP="00DE2E72">
            <w:pPr>
              <w:bidi/>
              <w:spacing w:after="200" w:line="276" w:lineRule="auto"/>
              <w:rPr>
                <w:rFonts w:ascii="Simplified Arabic" w:hAnsi="Simplified Arabic" w:cs="Simplified Arabic"/>
              </w:rPr>
            </w:pPr>
            <w:r w:rsidRPr="00DE2E72">
              <w:rPr>
                <w:rFonts w:ascii="Simplified Arabic" w:hAnsi="Simplified Arabic" w:cs="Simplified Arabic"/>
                <w:rtl/>
              </w:rPr>
              <w:t>تحليل أثر الوساطة (Mediation)</w:t>
            </w:r>
          </w:p>
        </w:tc>
      </w:tr>
    </w:tbl>
    <w:p w14:paraId="52E559C6" w14:textId="77777777" w:rsidR="00DE2E72" w:rsidRDefault="00DE2E72" w:rsidP="004F4747">
      <w:pPr>
        <w:bidi/>
        <w:spacing w:after="200" w:line="276" w:lineRule="auto"/>
        <w:rPr>
          <w:rFonts w:ascii="Simplified Arabic" w:hAnsi="Simplified Arabic" w:cs="Simplified Arabic"/>
          <w:rtl/>
        </w:rPr>
      </w:pPr>
    </w:p>
    <w:p w14:paraId="27AC84C7" w14:textId="1413B3CC"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sidRPr="00DE2E72">
        <w:rPr>
          <w:rFonts w:ascii="Sakkal Majalla" w:hAnsi="Sakkal Majalla" w:cs="Sakkal Majalla"/>
          <w:b/>
          <w:bCs/>
          <w:color w:val="1F497D" w:themeColor="text2"/>
          <w:sz w:val="32"/>
          <w:szCs w:val="32"/>
          <w:u w:val="single"/>
          <w:rtl/>
        </w:rPr>
        <w:t>الجوانب الأخلاقية لإجراءات الدراسة</w:t>
      </w:r>
    </w:p>
    <w:p w14:paraId="560F9A84" w14:textId="206E86E2" w:rsidR="00B65A24" w:rsidRDefault="004F4747" w:rsidP="004F4747">
      <w:pPr>
        <w:bidi/>
        <w:spacing w:after="200" w:line="276" w:lineRule="auto"/>
        <w:rPr>
          <w:rFonts w:ascii="Simplified Arabic" w:hAnsi="Simplified Arabic" w:cs="Simplified Arabic"/>
          <w:rtl/>
        </w:rPr>
      </w:pPr>
      <w:r w:rsidRPr="004F4747">
        <w:rPr>
          <w:rFonts w:ascii="Simplified Arabic" w:hAnsi="Simplified Arabic" w:cs="Simplified Arabic"/>
          <w:rtl/>
        </w:rPr>
        <w:t>التزم الباحث بأخلاقيات البحث العلمي في الجانب الميداني. فقد عُرّف المبحوثون بهدف الدراسة قبل المشاركة، وأُخذت موافقتهم الطوعية عليها، مع توضيح أن المشاركة اختيارية وأنه لا توجد إجابة صحيحة وأخرى خاطئة، وإنما المطلوب التعبير عن واقع الممارسة المهنية. وروعيت سرية البيانات، إذ تُعالَج إجماليًا لأغراض البحث وحده، دون كشف هوية المشاركين أو جهات عملهم.</w:t>
      </w:r>
    </w:p>
    <w:p w14:paraId="7D9A00BB" w14:textId="77777777" w:rsidR="00B65A24" w:rsidRDefault="00B65A24" w:rsidP="00B65A24">
      <w:pPr>
        <w:bidi/>
        <w:spacing w:after="200" w:line="276" w:lineRule="auto"/>
        <w:jc w:val="both"/>
        <w:rPr>
          <w:rFonts w:ascii="Simplified Arabic" w:hAnsi="Simplified Arabic" w:cs="Simplified Arabic"/>
          <w:rtl/>
        </w:rPr>
      </w:pPr>
    </w:p>
    <w:p w14:paraId="5C352796" w14:textId="77777777" w:rsidR="00B65A24" w:rsidRDefault="00B65A24" w:rsidP="00B65A24">
      <w:pPr>
        <w:bidi/>
        <w:spacing w:after="200" w:line="276" w:lineRule="auto"/>
        <w:jc w:val="both"/>
        <w:rPr>
          <w:rFonts w:ascii="Simplified Arabic" w:hAnsi="Simplified Arabic" w:cs="Simplified Arabic"/>
          <w:rtl/>
        </w:rPr>
      </w:pPr>
    </w:p>
    <w:p w14:paraId="57C6A03E" w14:textId="77777777" w:rsidR="00B65A24" w:rsidRDefault="00B65A24" w:rsidP="00B65A24">
      <w:pPr>
        <w:bidi/>
        <w:spacing w:after="200" w:line="276" w:lineRule="auto"/>
        <w:jc w:val="both"/>
        <w:rPr>
          <w:rFonts w:ascii="Simplified Arabic" w:hAnsi="Simplified Arabic" w:cs="Simplified Arabic"/>
          <w:rtl/>
        </w:rPr>
      </w:pPr>
    </w:p>
    <w:p w14:paraId="2E266C34" w14:textId="77777777" w:rsidR="00B65A24" w:rsidRDefault="00B65A24" w:rsidP="00B65A24">
      <w:pPr>
        <w:bidi/>
        <w:spacing w:after="200" w:line="276" w:lineRule="auto"/>
        <w:jc w:val="both"/>
        <w:rPr>
          <w:rFonts w:ascii="Simplified Arabic" w:hAnsi="Simplified Arabic" w:cs="Simplified Arabic"/>
          <w:rtl/>
        </w:rPr>
      </w:pPr>
    </w:p>
    <w:p w14:paraId="2E4F09F9" w14:textId="77777777" w:rsidR="00B65A24" w:rsidRDefault="00B65A24" w:rsidP="00B65A24">
      <w:pPr>
        <w:bidi/>
        <w:spacing w:after="200" w:line="276" w:lineRule="auto"/>
        <w:jc w:val="both"/>
        <w:rPr>
          <w:rFonts w:ascii="Simplified Arabic" w:hAnsi="Simplified Arabic" w:cs="Simplified Arabic"/>
          <w:rtl/>
        </w:rPr>
      </w:pPr>
    </w:p>
    <w:p w14:paraId="56E53A75" w14:textId="77777777" w:rsidR="00B65A24" w:rsidRDefault="00B65A24" w:rsidP="00B65A24">
      <w:pPr>
        <w:bidi/>
        <w:spacing w:after="200" w:line="276" w:lineRule="auto"/>
        <w:jc w:val="both"/>
        <w:rPr>
          <w:rFonts w:ascii="Simplified Arabic" w:hAnsi="Simplified Arabic" w:cs="Simplified Arabic"/>
          <w:rtl/>
        </w:rPr>
      </w:pPr>
    </w:p>
    <w:p w14:paraId="37533969" w14:textId="77777777" w:rsidR="00B65A24" w:rsidRDefault="00B65A24" w:rsidP="00B65A24">
      <w:pPr>
        <w:bidi/>
        <w:spacing w:after="200" w:line="276" w:lineRule="auto"/>
        <w:jc w:val="both"/>
        <w:rPr>
          <w:rFonts w:ascii="Simplified Arabic" w:hAnsi="Simplified Arabic" w:cs="Simplified Arabic"/>
          <w:rtl/>
        </w:rPr>
      </w:pPr>
    </w:p>
    <w:p w14:paraId="1C8F66AB" w14:textId="77777777" w:rsidR="00B65A24" w:rsidRDefault="00B65A24" w:rsidP="00B65A24">
      <w:pPr>
        <w:bidi/>
        <w:spacing w:after="200" w:line="276" w:lineRule="auto"/>
        <w:jc w:val="both"/>
        <w:rPr>
          <w:rFonts w:ascii="Simplified Arabic" w:hAnsi="Simplified Arabic" w:cs="Simplified Arabic"/>
          <w:rtl/>
        </w:rPr>
      </w:pPr>
    </w:p>
    <w:p w14:paraId="15461FD5" w14:textId="77777777" w:rsidR="0040129F" w:rsidRDefault="0040129F" w:rsidP="0040129F">
      <w:pPr>
        <w:bidi/>
        <w:spacing w:after="200" w:line="276" w:lineRule="auto"/>
        <w:jc w:val="both"/>
        <w:rPr>
          <w:rFonts w:ascii="Simplified Arabic" w:hAnsi="Simplified Arabic" w:cs="Simplified Arabic"/>
          <w:rtl/>
        </w:rPr>
      </w:pPr>
    </w:p>
    <w:p w14:paraId="37D051CE" w14:textId="77777777" w:rsidR="0040129F" w:rsidRDefault="0040129F" w:rsidP="0040129F">
      <w:pPr>
        <w:bidi/>
        <w:spacing w:after="200" w:line="276" w:lineRule="auto"/>
        <w:jc w:val="both"/>
        <w:rPr>
          <w:rFonts w:ascii="Simplified Arabic" w:hAnsi="Simplified Arabic" w:cs="Simplified Arabic"/>
          <w:rtl/>
        </w:rPr>
      </w:pPr>
    </w:p>
    <w:p w14:paraId="016535AD" w14:textId="77777777" w:rsidR="0040129F" w:rsidRDefault="0040129F" w:rsidP="0040129F">
      <w:pPr>
        <w:bidi/>
        <w:spacing w:after="200" w:line="276" w:lineRule="auto"/>
        <w:jc w:val="both"/>
        <w:rPr>
          <w:rFonts w:ascii="Simplified Arabic" w:hAnsi="Simplified Arabic" w:cs="Simplified Arabic"/>
          <w:rtl/>
        </w:rPr>
      </w:pPr>
    </w:p>
    <w:p w14:paraId="0D9EB42B" w14:textId="77777777" w:rsidR="0040129F" w:rsidRDefault="0040129F" w:rsidP="0040129F">
      <w:pPr>
        <w:bidi/>
        <w:spacing w:after="200" w:line="276" w:lineRule="auto"/>
        <w:jc w:val="both"/>
        <w:rPr>
          <w:rFonts w:ascii="Simplified Arabic" w:hAnsi="Simplified Arabic" w:cs="Simplified Arabic"/>
          <w:rtl/>
        </w:rPr>
      </w:pPr>
    </w:p>
    <w:p w14:paraId="711504E9" w14:textId="77777777" w:rsidR="0040129F" w:rsidRPr="00E04FE4" w:rsidRDefault="0040129F" w:rsidP="0040129F">
      <w:pPr>
        <w:bidi/>
        <w:spacing w:after="200" w:line="276" w:lineRule="auto"/>
        <w:jc w:val="both"/>
        <w:rPr>
          <w:rFonts w:ascii="Simplified Arabic" w:hAnsi="Simplified Arabic" w:cs="Simplified Arabic"/>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CD929D5" w14:textId="0CEB7879" w:rsidR="00BB1CA4" w:rsidRPr="00ED07DE" w:rsidRDefault="00BB1CA4" w:rsidP="00BB1CA4">
      <w:pPr>
        <w:bidi/>
        <w:spacing w:after="200" w:line="240" w:lineRule="auto"/>
        <w:rPr>
          <w:rFonts w:ascii="Sakkal Majalla" w:hAnsi="Sakkal Majalla" w:cs="Sakkal Majalla"/>
          <w:b/>
          <w:bCs/>
          <w:color w:val="1F497D" w:themeColor="text2"/>
          <w:sz w:val="32"/>
          <w:szCs w:val="32"/>
          <w:u w:val="single"/>
          <w:rtl/>
        </w:rPr>
      </w:pPr>
      <w:r w:rsidRPr="00BB1CA4">
        <w:rPr>
          <w:rFonts w:ascii="Sakkal Majalla" w:hAnsi="Sakkal Majalla" w:cs="Sakkal Majalla"/>
          <w:b/>
          <w:bCs/>
          <w:color w:val="1F497D" w:themeColor="text2"/>
          <w:sz w:val="32"/>
          <w:szCs w:val="32"/>
          <w:u w:val="single"/>
          <w:rtl/>
        </w:rPr>
        <w:t>الم</w:t>
      </w:r>
      <w:r w:rsidRPr="00ED07DE">
        <w:rPr>
          <w:rFonts w:ascii="Sakkal Majalla" w:hAnsi="Sakkal Majalla" w:cs="Sakkal Majalla" w:hint="cs"/>
          <w:b/>
          <w:bCs/>
          <w:color w:val="1F497D" w:themeColor="text2"/>
          <w:sz w:val="32"/>
          <w:szCs w:val="32"/>
          <w:u w:val="single"/>
          <w:rtl/>
        </w:rPr>
        <w:t>راجع العربية</w:t>
      </w:r>
    </w:p>
    <w:p w14:paraId="05AC7E75" w14:textId="7FD77CCF"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الأسدودي، ن. ن. </w:t>
      </w:r>
      <w:r w:rsidRPr="00CE3F21">
        <w:rPr>
          <w:rFonts w:asciiTheme="majorBidi" w:hAnsiTheme="majorBidi" w:cs="Times New Roman"/>
          <w:rtl/>
        </w:rPr>
        <w:t xml:space="preserve">(2023). تطبيق آليات الذكاء الاصطناعي في التسويق الرقمي وآثارها في تحقيق المزايا التنافسية: دراسة ميدانية على الخبراء. </w:t>
      </w:r>
      <w:r w:rsidRPr="00CE3F21">
        <w:rPr>
          <w:rFonts w:asciiTheme="majorBidi" w:hAnsiTheme="majorBidi" w:cs="Times New Roman"/>
          <w:i/>
          <w:iCs/>
          <w:rtl/>
        </w:rPr>
        <w:t>مجلة البحوث الإعلامية، جامعة الأزهر</w:t>
      </w:r>
      <w:r w:rsidRPr="00CE3F21">
        <w:rPr>
          <w:rFonts w:asciiTheme="majorBidi" w:hAnsiTheme="majorBidi" w:cs="Times New Roman"/>
          <w:rtl/>
        </w:rPr>
        <w:t>، 67(2)، 837–902</w:t>
      </w:r>
      <w:r w:rsidRPr="00CE3F21">
        <w:rPr>
          <w:rFonts w:asciiTheme="majorBidi" w:hAnsiTheme="majorBidi" w:cstheme="majorBidi"/>
        </w:rPr>
        <w:t xml:space="preserve">. </w:t>
      </w:r>
      <w:hyperlink r:id="rId11" w:history="1">
        <w:r w:rsidRPr="00CE3F21">
          <w:rPr>
            <w:rStyle w:val="Hyperlink"/>
            <w:rFonts w:asciiTheme="majorBidi" w:hAnsiTheme="majorBidi" w:cstheme="majorBidi"/>
            <w:color w:val="auto"/>
          </w:rPr>
          <w:t>https://doi.org/10.21608/jsb.2023.230616.1633</w:t>
        </w:r>
      </w:hyperlink>
      <w:r w:rsidRPr="00CE3F21">
        <w:rPr>
          <w:rFonts w:asciiTheme="majorBidi" w:hAnsiTheme="majorBidi" w:cstheme="majorBidi"/>
        </w:rPr>
        <w:t xml:space="preserve"> </w:t>
      </w:r>
    </w:p>
    <w:p w14:paraId="7E33556D" w14:textId="166CBE9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البخيت، م. (2025).</w:t>
      </w:r>
      <w:r w:rsidRPr="00CE3F21">
        <w:rPr>
          <w:rFonts w:asciiTheme="majorBidi" w:hAnsiTheme="majorBidi" w:cs="Times New Roman"/>
          <w:rtl/>
        </w:rPr>
        <w:t xml:space="preserve"> واقع استخدام تطبيقات الذكاء الاصطناعي لدى أعضاء هيئة التدريس بكلية الآداب والفنون بجامعة حائل: دراسة ميدانية. </w:t>
      </w:r>
      <w:r w:rsidRPr="00CE3F21">
        <w:rPr>
          <w:rFonts w:asciiTheme="majorBidi" w:hAnsiTheme="majorBidi" w:cs="Times New Roman"/>
          <w:i/>
          <w:iCs/>
          <w:rtl/>
        </w:rPr>
        <w:t>مجلة جامعة الملك عبد العزيز: الاتصال والدراسات الإعلامية،</w:t>
      </w:r>
      <w:r w:rsidRPr="00CE3F21">
        <w:rPr>
          <w:rFonts w:asciiTheme="majorBidi" w:hAnsiTheme="majorBidi" w:cs="Times New Roman"/>
          <w:rtl/>
        </w:rPr>
        <w:t xml:space="preserve"> 2(1)، 178–203</w:t>
      </w:r>
      <w:r w:rsidRPr="00CE3F21">
        <w:rPr>
          <w:rFonts w:asciiTheme="majorBidi" w:hAnsiTheme="majorBidi" w:cstheme="majorBidi"/>
        </w:rPr>
        <w:t xml:space="preserve">. </w:t>
      </w:r>
      <w:hyperlink r:id="rId12" w:history="1">
        <w:r w:rsidRPr="00CE3F21">
          <w:rPr>
            <w:rStyle w:val="Hyperlink"/>
            <w:rFonts w:asciiTheme="majorBidi" w:hAnsiTheme="majorBidi" w:cstheme="majorBidi"/>
            <w:color w:val="auto"/>
          </w:rPr>
          <w:t>https://doi.org/10.4197/Comm.2-1.5</w:t>
        </w:r>
      </w:hyperlink>
      <w:r w:rsidRPr="00CE3F21">
        <w:rPr>
          <w:rFonts w:asciiTheme="majorBidi" w:hAnsiTheme="majorBidi" w:cstheme="majorBidi"/>
        </w:rPr>
        <w:t xml:space="preserve"> </w:t>
      </w:r>
    </w:p>
    <w:p w14:paraId="313877BA" w14:textId="17CD480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الخطيب، أ. س. م. ع. </w:t>
      </w:r>
      <w:r w:rsidRPr="00CE3F21">
        <w:rPr>
          <w:rFonts w:asciiTheme="majorBidi" w:hAnsiTheme="majorBidi" w:cs="Times New Roman"/>
          <w:rtl/>
        </w:rPr>
        <w:t xml:space="preserve">(2024). تأثير تقنيات التسويق الرقمي المدعومة بالذكاء الاصطناعي في السلوك الشرائي: دراسة ميدانية على عملاء المتاجر الإلكترونية. </w:t>
      </w:r>
      <w:r w:rsidRPr="00CE3F21">
        <w:rPr>
          <w:rFonts w:asciiTheme="majorBidi" w:hAnsiTheme="majorBidi" w:cs="Times New Roman"/>
          <w:i/>
          <w:iCs/>
          <w:rtl/>
        </w:rPr>
        <w:t xml:space="preserve">مجلة جامعة الصالحية الجديدة للعلوم الإدارية والاقتصادية، </w:t>
      </w:r>
      <w:r w:rsidRPr="00CE3F21">
        <w:rPr>
          <w:rFonts w:asciiTheme="majorBidi" w:hAnsiTheme="majorBidi" w:cs="Times New Roman"/>
          <w:rtl/>
        </w:rPr>
        <w:t>1(2)، 159–219</w:t>
      </w:r>
      <w:r w:rsidRPr="00CE3F21">
        <w:rPr>
          <w:rFonts w:asciiTheme="majorBidi" w:hAnsiTheme="majorBidi" w:cstheme="majorBidi"/>
        </w:rPr>
        <w:t xml:space="preserve">. </w:t>
      </w:r>
      <w:hyperlink r:id="rId13" w:history="1">
        <w:r w:rsidRPr="00CE3F21">
          <w:rPr>
            <w:rStyle w:val="Hyperlink"/>
            <w:rFonts w:asciiTheme="majorBidi" w:hAnsiTheme="majorBidi" w:cstheme="majorBidi"/>
            <w:color w:val="auto"/>
          </w:rPr>
          <w:t>https://doi.org/10.21608/jsasc.2024.335098.1016</w:t>
        </w:r>
      </w:hyperlink>
      <w:r w:rsidRPr="00CE3F21">
        <w:rPr>
          <w:rFonts w:asciiTheme="majorBidi" w:hAnsiTheme="majorBidi" w:cstheme="majorBidi"/>
        </w:rPr>
        <w:t xml:space="preserve"> </w:t>
      </w:r>
    </w:p>
    <w:p w14:paraId="355AF569" w14:textId="2FF0B61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رمضان، ن. </w:t>
      </w:r>
      <w:r w:rsidRPr="00CE3F21">
        <w:rPr>
          <w:rFonts w:asciiTheme="majorBidi" w:hAnsiTheme="majorBidi" w:cs="Times New Roman"/>
          <w:rtl/>
        </w:rPr>
        <w:t>(2025، 27 مايو). من العام إلى الفردي… كيف يغيّر الذكاء الاصطناعي قواعد التسويق في السعودية؟ الشرق الأوسط</w:t>
      </w:r>
      <w:r w:rsidRPr="00CE3F21">
        <w:rPr>
          <w:rFonts w:asciiTheme="majorBidi" w:hAnsiTheme="majorBidi" w:cstheme="majorBidi" w:hint="cs"/>
          <w:rtl/>
        </w:rPr>
        <w:t>.</w:t>
      </w:r>
    </w:p>
    <w:p w14:paraId="3FD54B93" w14:textId="5466B1A1"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سماكة، ع. م.، &amp; اللهيبي، س. ع. ر. </w:t>
      </w:r>
      <w:r w:rsidRPr="00CE3F21">
        <w:rPr>
          <w:rFonts w:asciiTheme="majorBidi" w:hAnsiTheme="majorBidi" w:cs="Times New Roman"/>
          <w:rtl/>
        </w:rPr>
        <w:t xml:space="preserve">(2024). أثر تطبيق الذكاء الاصطناعي على الأداء التسويقي المصرفي: دراسة تطبيقية. </w:t>
      </w:r>
      <w:r w:rsidRPr="00CE3F21">
        <w:rPr>
          <w:rFonts w:asciiTheme="majorBidi" w:hAnsiTheme="majorBidi" w:cs="Times New Roman"/>
          <w:i/>
          <w:iCs/>
          <w:rtl/>
        </w:rPr>
        <w:t>مجلة الغري للعلوم الاقتصادية والإدارية،</w:t>
      </w:r>
      <w:r w:rsidRPr="00CE3F21">
        <w:rPr>
          <w:rFonts w:asciiTheme="majorBidi" w:hAnsiTheme="majorBidi" w:cs="Times New Roman"/>
          <w:rtl/>
        </w:rPr>
        <w:t xml:space="preserve"> 20(3)، 438–469</w:t>
      </w:r>
      <w:r w:rsidRPr="00CE3F21">
        <w:rPr>
          <w:rFonts w:asciiTheme="majorBidi" w:hAnsiTheme="majorBidi" w:cstheme="majorBidi"/>
        </w:rPr>
        <w:t xml:space="preserve">. </w:t>
      </w:r>
      <w:hyperlink r:id="rId14" w:history="1">
        <w:r w:rsidRPr="00CE3F21">
          <w:rPr>
            <w:rStyle w:val="Hyperlink"/>
            <w:rFonts w:asciiTheme="majorBidi" w:hAnsiTheme="majorBidi" w:cstheme="majorBidi"/>
            <w:color w:val="auto"/>
          </w:rPr>
          <w:t>https://doi.org/10.36325/ghjec.v20i3.16786</w:t>
        </w:r>
      </w:hyperlink>
      <w:r w:rsidRPr="00CE3F21">
        <w:rPr>
          <w:rFonts w:asciiTheme="majorBidi" w:hAnsiTheme="majorBidi" w:cstheme="majorBidi"/>
        </w:rPr>
        <w:t xml:space="preserve"> </w:t>
      </w:r>
    </w:p>
    <w:p w14:paraId="10DE7EFD" w14:textId="0C2DDED7"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آل مرعي، ع. </w:t>
      </w:r>
      <w:r w:rsidRPr="00CE3F21">
        <w:rPr>
          <w:rFonts w:asciiTheme="majorBidi" w:hAnsiTheme="majorBidi" w:cs="Times New Roman"/>
          <w:rtl/>
        </w:rPr>
        <w:t>(2024). إدراك الشباب السعودي لتقنيات الذكاء الاصطناعي وتأثيراتها على تحقيق جودة المحتوى المرئي عبر وسائل الإعلام: دراسة ميدانية. مجلة البحوث الإعلامية، جامعة الأزهر، 72(2)، 901–950</w:t>
      </w:r>
      <w:r w:rsidRPr="00CE3F21">
        <w:rPr>
          <w:rFonts w:asciiTheme="majorBidi" w:hAnsiTheme="majorBidi" w:cstheme="majorBidi"/>
        </w:rPr>
        <w:t xml:space="preserve">. </w:t>
      </w:r>
      <w:hyperlink r:id="rId15" w:history="1">
        <w:r w:rsidRPr="00CE3F21">
          <w:rPr>
            <w:rStyle w:val="Hyperlink"/>
            <w:rFonts w:asciiTheme="majorBidi" w:hAnsiTheme="majorBidi" w:cstheme="majorBidi"/>
            <w:color w:val="auto"/>
          </w:rPr>
          <w:t>https://doi.org/10.21608/jsb.2024.307517.1782</w:t>
        </w:r>
      </w:hyperlink>
      <w:r w:rsidRPr="00CE3F21">
        <w:rPr>
          <w:rFonts w:asciiTheme="majorBidi" w:hAnsiTheme="majorBidi" w:cstheme="majorBidi"/>
        </w:rPr>
        <w:t xml:space="preserve"> </w:t>
      </w:r>
    </w:p>
    <w:p w14:paraId="6A7EA46E" w14:textId="3A0F42C8"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عبد الرازق، م. م. </w:t>
      </w:r>
      <w:r w:rsidRPr="00CE3F21">
        <w:rPr>
          <w:rFonts w:asciiTheme="majorBidi" w:hAnsiTheme="majorBidi" w:cs="Times New Roman"/>
          <w:rtl/>
        </w:rPr>
        <w:t>(2022). تقنيات الذكاء الاصطناعي في الإعلام: الواقع والتطورات المستقبلية: دراسة تطبيقية على القائمين بالاتصال بالوسائل الإعلامية المصرية والعربية. المجلة المصرية لبحوث الإعلام، 81، 1–74</w:t>
      </w:r>
      <w:r w:rsidRPr="00CE3F21">
        <w:rPr>
          <w:rFonts w:asciiTheme="majorBidi" w:hAnsiTheme="majorBidi" w:cstheme="majorBidi"/>
        </w:rPr>
        <w:t xml:space="preserve">. </w:t>
      </w:r>
      <w:hyperlink r:id="rId16" w:history="1">
        <w:r w:rsidRPr="00CE3F21">
          <w:rPr>
            <w:rStyle w:val="Hyperlink"/>
            <w:rFonts w:asciiTheme="majorBidi" w:hAnsiTheme="majorBidi" w:cstheme="majorBidi"/>
            <w:color w:val="auto"/>
          </w:rPr>
          <w:t>https://doi.org/10.21608/ejsc.2022.272038</w:t>
        </w:r>
      </w:hyperlink>
      <w:r w:rsidRPr="00CE3F21">
        <w:rPr>
          <w:rFonts w:asciiTheme="majorBidi" w:hAnsiTheme="majorBidi" w:cstheme="majorBidi"/>
        </w:rPr>
        <w:t xml:space="preserve"> </w:t>
      </w:r>
    </w:p>
    <w:p w14:paraId="5A356609" w14:textId="15ECC574" w:rsidR="00CE3F21" w:rsidRPr="00CE3F21" w:rsidRDefault="00CE3F21"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العتيبي، ع. </w:t>
      </w:r>
      <w:r w:rsidRPr="00CE3F21">
        <w:rPr>
          <w:rFonts w:asciiTheme="majorBidi" w:hAnsiTheme="majorBidi" w:cs="Times New Roman"/>
          <w:rtl/>
        </w:rPr>
        <w:t>(2024). أهم إحصائيات عن التسويق الإلكتروني 2024. عبد الرحمن العتيبي</w:t>
      </w:r>
      <w:r w:rsidRPr="00CE3F21">
        <w:rPr>
          <w:rFonts w:asciiTheme="majorBidi" w:hAnsiTheme="majorBidi" w:cstheme="majorBidi"/>
        </w:rPr>
        <w:t xml:space="preserve">. </w:t>
      </w:r>
    </w:p>
    <w:p w14:paraId="699B7C28" w14:textId="2E0BC4A9"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غباشي، ن. أ. </w:t>
      </w:r>
      <w:r w:rsidRPr="00CE3F21">
        <w:rPr>
          <w:rFonts w:asciiTheme="majorBidi" w:hAnsiTheme="majorBidi" w:cs="Times New Roman"/>
          <w:rtl/>
        </w:rPr>
        <w:t>(2022). اتجاهات الجمهور نحو استخدام تطبيقات الذكاء الاصطناعي في تسويق الخدمات المصرفية في البنوك المصرية: دراسة ميدانية. المجلة المصرية لبحوث الرأي العام، 21(1)، 703–752</w:t>
      </w:r>
      <w:r w:rsidRPr="00CE3F21">
        <w:rPr>
          <w:rFonts w:asciiTheme="majorBidi" w:hAnsiTheme="majorBidi" w:cstheme="majorBidi"/>
        </w:rPr>
        <w:t>.</w:t>
      </w:r>
    </w:p>
    <w:p w14:paraId="3CA6CD00" w14:textId="25B1C61D"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الفرَّا، أ. </w:t>
      </w:r>
      <w:r w:rsidRPr="00CE3F21">
        <w:rPr>
          <w:rFonts w:asciiTheme="majorBidi" w:hAnsiTheme="majorBidi" w:cs="Times New Roman"/>
          <w:rtl/>
        </w:rPr>
        <w:t>(2025، 17 أبريل). أحدث توجهات التسويق الرقمي والتجارة الإلكترونية في 2025. أبو الكمبوز</w:t>
      </w:r>
      <w:r w:rsidRPr="00CE3F21">
        <w:rPr>
          <w:rFonts w:asciiTheme="majorBidi" w:hAnsiTheme="majorBidi" w:cstheme="majorBidi"/>
        </w:rPr>
        <w:t>.</w:t>
      </w:r>
    </w:p>
    <w:p w14:paraId="29396A47" w14:textId="16BA541E"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محيسن، ح. أ.، مجاهد، ح.، &amp; بصبوص، ر. </w:t>
      </w:r>
      <w:r w:rsidRPr="00CE3F21">
        <w:rPr>
          <w:rFonts w:asciiTheme="majorBidi" w:hAnsiTheme="majorBidi" w:cs="Times New Roman"/>
          <w:rtl/>
        </w:rPr>
        <w:t>(2025). أثر هندسة التلقين لأدوات الذكاء الاصطناعي التوليدي في جودة إنتاج المحتوى النصي التسويقي العربي. المجلة الدولية للبحوث في العلوم التربوية والنفسية، جامعة القدس، فلسطين، 4(2)، 675–680</w:t>
      </w:r>
      <w:r w:rsidRPr="00CE3F21">
        <w:rPr>
          <w:rFonts w:asciiTheme="majorBidi" w:hAnsiTheme="majorBidi" w:cstheme="majorBidi"/>
        </w:rPr>
        <w:t xml:space="preserve">. </w:t>
      </w:r>
      <w:hyperlink r:id="rId17" w:history="1">
        <w:r w:rsidRPr="00CE3F21">
          <w:rPr>
            <w:rStyle w:val="Hyperlink"/>
            <w:rFonts w:asciiTheme="majorBidi" w:hAnsiTheme="majorBidi" w:cstheme="majorBidi"/>
            <w:color w:val="auto"/>
          </w:rPr>
          <w:t>https://doi.org/10.59994/pau.2025.2.161</w:t>
        </w:r>
      </w:hyperlink>
    </w:p>
    <w:p w14:paraId="48579835" w14:textId="7CB7D2E8" w:rsidR="00947CBD"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ملتقى أسبار.</w:t>
      </w:r>
      <w:r w:rsidRPr="00CE3F21">
        <w:rPr>
          <w:rFonts w:asciiTheme="majorBidi" w:hAnsiTheme="majorBidi" w:cs="Times New Roman"/>
          <w:rtl/>
        </w:rPr>
        <w:t xml:space="preserve"> (2023، 30 أكتوبر). استشراف تطبيقات الذكاء الاصطناعي في خدمة الإعلام السعودي وقضايا المملكة (تقرير رقم 115). ملتقى أسبار. </w:t>
      </w:r>
    </w:p>
    <w:p w14:paraId="69D52027" w14:textId="7777777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الهيئة السعودية للبيانات والذكاء الاصطناعي (سدايا).</w:t>
      </w:r>
      <w:r w:rsidRPr="00CE3F21">
        <w:rPr>
          <w:rFonts w:asciiTheme="majorBidi" w:hAnsiTheme="majorBidi" w:cs="Times New Roman"/>
          <w:rtl/>
        </w:rPr>
        <w:t xml:space="preserve"> (2024). معادلة النمو الجديدة: فرصة الذكاء الاصطناعي التوليدي في المملكة العربية السعودية. سدايا</w:t>
      </w:r>
      <w:r w:rsidRPr="00CE3F21">
        <w:rPr>
          <w:rFonts w:asciiTheme="majorBidi" w:hAnsiTheme="majorBidi" w:cstheme="majorBidi" w:hint="cs"/>
          <w:rtl/>
        </w:rPr>
        <w:t>.</w:t>
      </w:r>
    </w:p>
    <w:p w14:paraId="4893D166" w14:textId="77777777" w:rsidR="00F14098" w:rsidRDefault="00F14098" w:rsidP="00F14098">
      <w:pPr>
        <w:bidi/>
        <w:spacing w:after="200" w:line="276" w:lineRule="auto"/>
        <w:rPr>
          <w:rFonts w:asciiTheme="majorBidi" w:hAnsiTheme="majorBidi" w:cstheme="majorBidi"/>
          <w:rtl/>
        </w:rPr>
      </w:pPr>
    </w:p>
    <w:p w14:paraId="38D20247" w14:textId="77777777" w:rsidR="00F14098" w:rsidRDefault="00F14098" w:rsidP="00F14098">
      <w:pPr>
        <w:bidi/>
        <w:spacing w:after="200" w:line="240" w:lineRule="auto"/>
        <w:rPr>
          <w:rFonts w:asciiTheme="majorBidi" w:hAnsiTheme="majorBidi" w:cstheme="majorBidi"/>
          <w:rtl/>
        </w:rPr>
      </w:pPr>
    </w:p>
    <w:p w14:paraId="136E637D" w14:textId="01F1DFCF" w:rsidR="00F14098" w:rsidRPr="00ED07DE" w:rsidRDefault="00F14098" w:rsidP="00F14098">
      <w:pPr>
        <w:bidi/>
        <w:spacing w:after="200" w:line="240" w:lineRule="auto"/>
        <w:rPr>
          <w:rFonts w:ascii="Sakkal Majalla" w:hAnsi="Sakkal Majalla" w:cs="Sakkal Majalla"/>
          <w:b/>
          <w:bCs/>
          <w:color w:val="1F497D" w:themeColor="text2"/>
          <w:sz w:val="32"/>
          <w:szCs w:val="32"/>
          <w:u w:val="single"/>
          <w:rtl/>
        </w:rPr>
      </w:pPr>
      <w:r w:rsidRPr="00ED07DE">
        <w:rPr>
          <w:rFonts w:ascii="Sakkal Majalla" w:hAnsi="Sakkal Majalla" w:cs="Sakkal Majalla" w:hint="cs"/>
          <w:b/>
          <w:bCs/>
          <w:color w:val="1F497D" w:themeColor="text2"/>
          <w:sz w:val="32"/>
          <w:szCs w:val="32"/>
          <w:u w:val="single"/>
          <w:rtl/>
        </w:rPr>
        <w:lastRenderedPageBreak/>
        <w:t xml:space="preserve">المراجع الأجنبية </w:t>
      </w:r>
    </w:p>
    <w:p w14:paraId="5F28D573"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w:t>
      </w:r>
      <w:r w:rsidRPr="00CE3F21">
        <w:rPr>
          <w:rFonts w:asciiTheme="majorBidi" w:hAnsiTheme="majorBidi" w:cstheme="majorBidi"/>
          <w:b/>
          <w:bCs/>
        </w:rPr>
        <w:noBreakHyphen/>
        <w:t>Emran, M., Al</w:t>
      </w:r>
      <w:r w:rsidRPr="00CE3F21">
        <w:rPr>
          <w:rFonts w:asciiTheme="majorBidi" w:hAnsiTheme="majorBidi" w:cstheme="majorBidi"/>
          <w:b/>
          <w:bCs/>
        </w:rPr>
        <w:noBreakHyphen/>
        <w:t>Qaysi, N., Al</w:t>
      </w:r>
      <w:r w:rsidRPr="00CE3F21">
        <w:rPr>
          <w:rFonts w:asciiTheme="majorBidi" w:hAnsiTheme="majorBidi" w:cstheme="majorBidi"/>
          <w:b/>
          <w:bCs/>
        </w:rPr>
        <w:noBreakHyphen/>
        <w:t>Sharafi, M. A., Khoshkam, M., Foroughi, B., &amp; Ghobakhloo, M.</w:t>
      </w:r>
      <w:r w:rsidRPr="00CE3F21">
        <w:rPr>
          <w:rFonts w:asciiTheme="majorBidi" w:hAnsiTheme="majorBidi" w:cstheme="majorBidi"/>
        </w:rPr>
        <w:t xml:space="preserve"> (2025). Role of perceived threats and knowledge management in shaping generative AI use in education and its impact on social sustainability. </w:t>
      </w:r>
      <w:r w:rsidRPr="00CE3F21">
        <w:rPr>
          <w:rFonts w:asciiTheme="majorBidi" w:hAnsiTheme="majorBidi" w:cstheme="majorBidi"/>
          <w:i/>
          <w:iCs/>
        </w:rPr>
        <w:t>International Journal of Management Education, 23</w:t>
      </w:r>
      <w:r w:rsidRPr="00CE3F21">
        <w:rPr>
          <w:rFonts w:asciiTheme="majorBidi" w:hAnsiTheme="majorBidi" w:cstheme="majorBidi"/>
        </w:rPr>
        <w:t xml:space="preserve">(1), Article 101105. </w:t>
      </w:r>
      <w:hyperlink r:id="rId18" w:tgtFrame="_new" w:history="1">
        <w:r w:rsidRPr="00CE3F21">
          <w:rPr>
            <w:rStyle w:val="Hyperlink"/>
            <w:rFonts w:asciiTheme="majorBidi" w:hAnsiTheme="majorBidi" w:cstheme="majorBidi"/>
            <w:color w:val="auto"/>
          </w:rPr>
          <w:t>https://doi.org/10.1016/j.ijme.2024.101105</w:t>
        </w:r>
      </w:hyperlink>
      <w:r w:rsidRPr="00CE3F21">
        <w:rPr>
          <w:rFonts w:asciiTheme="majorBidi" w:hAnsiTheme="majorBidi" w:cstheme="majorBidi"/>
        </w:rPr>
        <w:t xml:space="preserve"> </w:t>
      </w:r>
    </w:p>
    <w:p w14:paraId="3C9186E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Aljabari, M., Althuwaini, S., Bouguerra, A., Sharabati, A., Allahham, M., &amp; Allan, M.</w:t>
      </w:r>
      <w:r w:rsidRPr="00CE3F21">
        <w:rPr>
          <w:rFonts w:asciiTheme="majorBidi" w:hAnsiTheme="majorBidi" w:cstheme="majorBidi"/>
        </w:rPr>
        <w:t xml:space="preserve"> (2024). The impact of digital marketing strategies on innovation: The mediating role of AI: A critical study of SMEs in the KSA market. </w:t>
      </w:r>
      <w:r w:rsidRPr="00CE3F21">
        <w:rPr>
          <w:rFonts w:asciiTheme="majorBidi" w:hAnsiTheme="majorBidi" w:cstheme="majorBidi"/>
          <w:i/>
          <w:iCs/>
        </w:rPr>
        <w:t>International Journal of Data and Network Science, 8</w:t>
      </w:r>
      <w:r w:rsidRPr="00CE3F21">
        <w:rPr>
          <w:rFonts w:asciiTheme="majorBidi" w:hAnsiTheme="majorBidi" w:cstheme="majorBidi"/>
        </w:rPr>
        <w:t xml:space="preserve">, 2029–2036. </w:t>
      </w:r>
      <w:hyperlink r:id="rId19" w:tgtFrame="_new" w:history="1">
        <w:r w:rsidRPr="00CE3F21">
          <w:rPr>
            <w:rStyle w:val="Hyperlink"/>
            <w:rFonts w:asciiTheme="majorBidi" w:hAnsiTheme="majorBidi" w:cstheme="majorBidi"/>
            <w:color w:val="auto"/>
          </w:rPr>
          <w:t>https://doi.org/10.5267/j.ijdns.2024.7.006</w:t>
        </w:r>
      </w:hyperlink>
      <w:r w:rsidRPr="00CE3F21">
        <w:rPr>
          <w:rFonts w:asciiTheme="majorBidi" w:hAnsiTheme="majorBidi" w:cstheme="majorBidi"/>
        </w:rPr>
        <w:t xml:space="preserve"> </w:t>
      </w:r>
    </w:p>
    <w:p w14:paraId="35F02102" w14:textId="772EB31B"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Alotaibi, M. M., &amp; Al Youbi, L. A.</w:t>
      </w:r>
      <w:r w:rsidRPr="00CE3F21">
        <w:rPr>
          <w:rFonts w:asciiTheme="majorBidi" w:hAnsiTheme="majorBidi" w:cstheme="majorBidi"/>
        </w:rPr>
        <w:t xml:space="preserve"> (2024). The impact of artificial intelligence techniques on marketing innovation: An applied study on Mobily company in Saudi Arabia. </w:t>
      </w:r>
      <w:r w:rsidRPr="00CE3F21">
        <w:rPr>
          <w:rFonts w:asciiTheme="majorBidi" w:hAnsiTheme="majorBidi" w:cstheme="majorBidi"/>
          <w:i/>
          <w:iCs/>
        </w:rPr>
        <w:t>Journal of Humanities &amp; Social Sciences, 8</w:t>
      </w:r>
      <w:r w:rsidRPr="00CE3F21">
        <w:rPr>
          <w:rFonts w:asciiTheme="majorBidi" w:hAnsiTheme="majorBidi" w:cstheme="majorBidi"/>
        </w:rPr>
        <w:t>(11), 10–26.</w:t>
      </w:r>
    </w:p>
    <w:p w14:paraId="582F17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Ameen, N., Tarhini, A., Reppel, A., &amp; Anand, A.</w:t>
      </w:r>
      <w:r w:rsidRPr="00CE3F21">
        <w:rPr>
          <w:rFonts w:asciiTheme="majorBidi" w:hAnsiTheme="majorBidi" w:cstheme="majorBidi"/>
        </w:rPr>
        <w:t xml:space="preserve"> (2021). Role of cognitive absorption in building user trust and experience. </w:t>
      </w:r>
      <w:r w:rsidRPr="00CE3F21">
        <w:rPr>
          <w:rFonts w:asciiTheme="majorBidi" w:hAnsiTheme="majorBidi" w:cstheme="majorBidi"/>
          <w:i/>
          <w:iCs/>
        </w:rPr>
        <w:t>Computers in Human Behavior, 114</w:t>
      </w:r>
      <w:r w:rsidRPr="00CE3F21">
        <w:rPr>
          <w:rFonts w:asciiTheme="majorBidi" w:hAnsiTheme="majorBidi" w:cstheme="majorBidi"/>
        </w:rPr>
        <w:t xml:space="preserve">, Article 106548. </w:t>
      </w:r>
      <w:hyperlink r:id="rId20" w:tgtFrame="_new" w:history="1">
        <w:r w:rsidRPr="00CE3F21">
          <w:rPr>
            <w:rStyle w:val="Hyperlink"/>
            <w:rFonts w:asciiTheme="majorBidi" w:hAnsiTheme="majorBidi" w:cstheme="majorBidi"/>
            <w:color w:val="auto"/>
          </w:rPr>
          <w:t>https://doi.org/10.1016/j.chb.2020.106548</w:t>
        </w:r>
      </w:hyperlink>
      <w:r w:rsidRPr="00CE3F21">
        <w:rPr>
          <w:rFonts w:asciiTheme="majorBidi" w:hAnsiTheme="majorBidi" w:cstheme="majorBidi"/>
        </w:rPr>
        <w:t xml:space="preserve"> </w:t>
      </w:r>
    </w:p>
    <w:p w14:paraId="2199F8B0" w14:textId="32C5984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Ben Khalifa, W. A., Alshorman, B. A., Seddik, W. A. S., Zahou, A. M. E., Torky, M. S., Rizk, M. F., … &amp; Yousif, M. A. B. A.</w:t>
      </w:r>
      <w:r w:rsidRPr="00CE3F21">
        <w:rPr>
          <w:rFonts w:asciiTheme="majorBidi" w:hAnsiTheme="majorBidi" w:cstheme="majorBidi"/>
        </w:rPr>
        <w:t xml:space="preserve"> (2023). The reality of using artificial intelligence applications in developing e</w:t>
      </w:r>
      <w:r w:rsidRPr="00CE3F21">
        <w:rPr>
          <w:rFonts w:asciiTheme="majorBidi" w:hAnsiTheme="majorBidi" w:cstheme="majorBidi"/>
        </w:rPr>
        <w:noBreakHyphen/>
        <w:t xml:space="preserve">marketing in the Kingdom of Saudi Arabia. </w:t>
      </w:r>
      <w:r w:rsidRPr="00CE3F21">
        <w:rPr>
          <w:rFonts w:asciiTheme="majorBidi" w:hAnsiTheme="majorBidi" w:cstheme="majorBidi"/>
          <w:i/>
          <w:iCs/>
        </w:rPr>
        <w:t>Migration Letters, 20</w:t>
      </w:r>
      <w:r w:rsidRPr="00CE3F21">
        <w:rPr>
          <w:rFonts w:asciiTheme="majorBidi" w:hAnsiTheme="majorBidi" w:cstheme="majorBidi"/>
        </w:rPr>
        <w:t xml:space="preserve">(S3), 146–158. </w:t>
      </w:r>
      <w:hyperlink r:id="rId21" w:history="1">
        <w:r w:rsidRPr="00CE3F21">
          <w:rPr>
            <w:rStyle w:val="Hyperlink"/>
            <w:rFonts w:asciiTheme="majorBidi" w:hAnsiTheme="majorBidi" w:cstheme="majorBidi"/>
            <w:color w:val="auto"/>
          </w:rPr>
          <w:t>https://doi.org/10.59670/ml.v20iS3.3768</w:t>
        </w:r>
      </w:hyperlink>
      <w:r w:rsidRPr="00CE3F21">
        <w:rPr>
          <w:rFonts w:asciiTheme="majorBidi" w:hAnsiTheme="majorBidi" w:cstheme="majorBidi"/>
        </w:rPr>
        <w:t xml:space="preserve"> </w:t>
      </w:r>
    </w:p>
    <w:p w14:paraId="2AE646C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Beyari, H.</w:t>
      </w:r>
      <w:r w:rsidRPr="00CE3F21">
        <w:rPr>
          <w:rFonts w:asciiTheme="majorBidi" w:hAnsiTheme="majorBidi" w:cstheme="majorBidi"/>
        </w:rPr>
        <w:t xml:space="preserve"> (2025). Assessing artificial intelligence’s impact on e</w:t>
      </w:r>
      <w:r w:rsidRPr="00CE3F21">
        <w:rPr>
          <w:rFonts w:asciiTheme="majorBidi" w:hAnsiTheme="majorBidi" w:cstheme="majorBidi"/>
        </w:rPr>
        <w:noBreakHyphen/>
        <w:t xml:space="preserve">customer loyalty in the Saudi Arabian market. </w:t>
      </w:r>
      <w:r w:rsidRPr="00CE3F21">
        <w:rPr>
          <w:rFonts w:asciiTheme="majorBidi" w:hAnsiTheme="majorBidi" w:cstheme="majorBidi"/>
          <w:i/>
          <w:iCs/>
        </w:rPr>
        <w:t>Frontiers in Artificial Intelligence, 8</w:t>
      </w:r>
      <w:r w:rsidRPr="00CE3F21">
        <w:rPr>
          <w:rFonts w:asciiTheme="majorBidi" w:hAnsiTheme="majorBidi" w:cstheme="majorBidi"/>
        </w:rPr>
        <w:t xml:space="preserve">, Article 1541678. </w:t>
      </w:r>
      <w:hyperlink r:id="rId22" w:tgtFrame="_new" w:history="1">
        <w:r w:rsidRPr="00CE3F21">
          <w:rPr>
            <w:rStyle w:val="Hyperlink"/>
            <w:rFonts w:asciiTheme="majorBidi" w:hAnsiTheme="majorBidi" w:cstheme="majorBidi"/>
            <w:color w:val="auto"/>
          </w:rPr>
          <w:t>https://doi.org/10.3389/frai.2025.1541678</w:t>
        </w:r>
      </w:hyperlink>
      <w:r w:rsidRPr="00CE3F21">
        <w:rPr>
          <w:rFonts w:asciiTheme="majorBidi" w:hAnsiTheme="majorBidi" w:cstheme="majorBidi"/>
        </w:rPr>
        <w:t xml:space="preserve"> </w:t>
      </w:r>
    </w:p>
    <w:p w14:paraId="5F3583F9" w14:textId="1394C8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Dimitrieska, S.</w:t>
      </w:r>
      <w:r w:rsidRPr="00CE3F21">
        <w:rPr>
          <w:rFonts w:asciiTheme="majorBidi" w:hAnsiTheme="majorBidi" w:cstheme="majorBidi"/>
        </w:rPr>
        <w:t xml:space="preserve"> (2024). Generative artificial intelligence and advertising. </w:t>
      </w:r>
      <w:r w:rsidRPr="00CE3F21">
        <w:rPr>
          <w:rFonts w:asciiTheme="majorBidi" w:hAnsiTheme="majorBidi" w:cstheme="majorBidi"/>
          <w:i/>
          <w:iCs/>
        </w:rPr>
        <w:t>Trends in Economics, Finance and Management Journal, 6</w:t>
      </w:r>
      <w:r w:rsidRPr="00CE3F21">
        <w:rPr>
          <w:rFonts w:asciiTheme="majorBidi" w:hAnsiTheme="majorBidi" w:cstheme="majorBidi"/>
        </w:rPr>
        <w:t xml:space="preserve">(1), 23–33. </w:t>
      </w:r>
      <w:hyperlink r:id="rId23" w:history="1">
        <w:r w:rsidRPr="00CE3F21">
          <w:rPr>
            <w:rStyle w:val="Hyperlink"/>
            <w:rFonts w:asciiTheme="majorBidi" w:hAnsiTheme="majorBidi" w:cstheme="majorBidi"/>
            <w:color w:val="auto"/>
          </w:rPr>
          <w:t>https://doi.org/10.69648/EYZI2281</w:t>
        </w:r>
      </w:hyperlink>
      <w:r w:rsidRPr="00CE3F21">
        <w:rPr>
          <w:rFonts w:asciiTheme="majorBidi" w:hAnsiTheme="majorBidi" w:cstheme="majorBidi"/>
        </w:rPr>
        <w:t xml:space="preserve">   </w:t>
      </w:r>
    </w:p>
    <w:p w14:paraId="2314DF32"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Doshi, A. R., Bell, J. J., Mirzayev, E., &amp; Vanneste, B. S.</w:t>
      </w:r>
      <w:r w:rsidRPr="00CE3F21">
        <w:rPr>
          <w:rFonts w:asciiTheme="majorBidi" w:hAnsiTheme="majorBidi" w:cstheme="majorBidi"/>
        </w:rPr>
        <w:t xml:space="preserve"> (2025). Generative artificial intelligence and evaluating strategic decisions. </w:t>
      </w:r>
      <w:r w:rsidRPr="00CE3F21">
        <w:rPr>
          <w:rFonts w:asciiTheme="majorBidi" w:hAnsiTheme="majorBidi" w:cstheme="majorBidi"/>
          <w:i/>
          <w:iCs/>
        </w:rPr>
        <w:t>Strategic Management Journal, 46</w:t>
      </w:r>
      <w:r w:rsidRPr="00CE3F21">
        <w:rPr>
          <w:rFonts w:asciiTheme="majorBidi" w:hAnsiTheme="majorBidi" w:cstheme="majorBidi"/>
        </w:rPr>
        <w:t xml:space="preserve">(3), 583–610. </w:t>
      </w:r>
      <w:hyperlink r:id="rId24" w:tgtFrame="_new" w:history="1">
        <w:r w:rsidRPr="00CE3F21">
          <w:rPr>
            <w:rStyle w:val="Hyperlink"/>
            <w:rFonts w:asciiTheme="majorBidi" w:hAnsiTheme="majorBidi" w:cstheme="majorBidi"/>
            <w:color w:val="auto"/>
          </w:rPr>
          <w:t>https://doi.org/10.1002/smj.3677</w:t>
        </w:r>
      </w:hyperlink>
    </w:p>
    <w:p w14:paraId="72C33EAD"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Dwivedi, Y. K., Kshetri, N., Hughes, L., Slade, E. L., Jeyaraj, A., Kar, A. K., &amp; Baabdullah, A. M.</w:t>
      </w:r>
      <w:r w:rsidRPr="00CE3F21">
        <w:rPr>
          <w:rFonts w:asciiTheme="majorBidi" w:hAnsiTheme="majorBidi" w:cstheme="majorBidi"/>
        </w:rPr>
        <w:t xml:space="preserve"> (2023). Opinion paper: “So what if ChatGPT wrote it?” Multidisciplinary perspectives on opportunities, challenges and implications of generative conversational AI for research, practice and policy. </w:t>
      </w:r>
      <w:r w:rsidRPr="00CE3F21">
        <w:rPr>
          <w:rFonts w:asciiTheme="majorBidi" w:hAnsiTheme="majorBidi" w:cstheme="majorBidi"/>
          <w:i/>
          <w:iCs/>
        </w:rPr>
        <w:t>International Journal of Information Management, 71</w:t>
      </w:r>
      <w:r w:rsidRPr="00CE3F21">
        <w:rPr>
          <w:rFonts w:asciiTheme="majorBidi" w:hAnsiTheme="majorBidi" w:cstheme="majorBidi"/>
        </w:rPr>
        <w:t xml:space="preserve">, Article 102642. </w:t>
      </w:r>
      <w:hyperlink r:id="rId25" w:tgtFrame="_new" w:history="1">
        <w:r w:rsidRPr="00CE3F21">
          <w:rPr>
            <w:rStyle w:val="Hyperlink"/>
            <w:rFonts w:asciiTheme="majorBidi" w:hAnsiTheme="majorBidi" w:cstheme="majorBidi"/>
            <w:color w:val="auto"/>
          </w:rPr>
          <w:t>https://doi.org/10.1016/j.ijinfomgt.2023.102642</w:t>
        </w:r>
      </w:hyperlink>
    </w:p>
    <w:p w14:paraId="474877E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Kujore, V., Adebayo, A., Sambakiu, O., &amp; Segbenu, B. S.</w:t>
      </w:r>
      <w:r w:rsidRPr="00CE3F21">
        <w:rPr>
          <w:rFonts w:asciiTheme="majorBidi" w:hAnsiTheme="majorBidi" w:cstheme="majorBidi"/>
        </w:rPr>
        <w:t xml:space="preserve"> (2025). Transformative role of generative AI in marketing content creation and brand engagement strategies. </w:t>
      </w:r>
      <w:r w:rsidRPr="00CE3F21">
        <w:rPr>
          <w:rFonts w:asciiTheme="majorBidi" w:hAnsiTheme="majorBidi" w:cstheme="majorBidi"/>
          <w:i/>
          <w:iCs/>
        </w:rPr>
        <w:t>GSC Advanced Research and Reviews, 23</w:t>
      </w:r>
      <w:r w:rsidRPr="00CE3F21">
        <w:rPr>
          <w:rFonts w:asciiTheme="majorBidi" w:hAnsiTheme="majorBidi" w:cstheme="majorBidi"/>
        </w:rPr>
        <w:t xml:space="preserve">(3), 1–11. </w:t>
      </w:r>
      <w:hyperlink r:id="rId26" w:tgtFrame="_new" w:history="1">
        <w:r w:rsidRPr="00CE3F21">
          <w:rPr>
            <w:rStyle w:val="Hyperlink"/>
            <w:rFonts w:asciiTheme="majorBidi" w:hAnsiTheme="majorBidi" w:cstheme="majorBidi"/>
            <w:color w:val="auto"/>
          </w:rPr>
          <w:t>https://doi.org/10.30574/gscarr.2025.23.3.0145</w:t>
        </w:r>
      </w:hyperlink>
      <w:r w:rsidRPr="00CE3F21">
        <w:rPr>
          <w:rFonts w:asciiTheme="majorBidi" w:hAnsiTheme="majorBidi" w:cstheme="majorBidi"/>
        </w:rPr>
        <w:t xml:space="preserve"> </w:t>
      </w:r>
    </w:p>
    <w:p w14:paraId="422D62FD" w14:textId="4D24F7D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Gujar, P., &amp; Panyam, S.</w:t>
      </w:r>
      <w:r w:rsidRPr="00CE3F21">
        <w:rPr>
          <w:rFonts w:asciiTheme="majorBidi" w:hAnsiTheme="majorBidi" w:cstheme="majorBidi"/>
        </w:rPr>
        <w:t xml:space="preserve"> (2024). Generative AI in digital advertising campaigns. </w:t>
      </w:r>
      <w:r w:rsidRPr="00CE3F21">
        <w:rPr>
          <w:rFonts w:asciiTheme="majorBidi" w:hAnsiTheme="majorBidi" w:cstheme="majorBidi"/>
          <w:i/>
          <w:iCs/>
        </w:rPr>
        <w:t>International Journal of Computer Trends and Technology, 72</w:t>
      </w:r>
      <w:r w:rsidRPr="00CE3F21">
        <w:rPr>
          <w:rFonts w:asciiTheme="majorBidi" w:hAnsiTheme="majorBidi" w:cstheme="majorBidi"/>
        </w:rPr>
        <w:t xml:space="preserve">(5), 51–55. </w:t>
      </w:r>
      <w:hyperlink r:id="rId27" w:tgtFrame="_new" w:history="1">
        <w:r w:rsidRPr="00CE3F21">
          <w:rPr>
            <w:rStyle w:val="Hyperlink"/>
            <w:rFonts w:asciiTheme="majorBidi" w:hAnsiTheme="majorBidi" w:cstheme="majorBidi"/>
            <w:color w:val="auto"/>
          </w:rPr>
          <w:t>https://doi.org/10.14445/22312803/IJCTT-V72I5P106</w:t>
        </w:r>
      </w:hyperlink>
      <w:r w:rsidRPr="00CE3F21">
        <w:rPr>
          <w:rFonts w:asciiTheme="majorBidi" w:hAnsiTheme="majorBidi" w:cstheme="majorBidi"/>
        </w:rPr>
        <w:t xml:space="preserve">  </w:t>
      </w:r>
    </w:p>
    <w:p w14:paraId="623B5DF9"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Heitmann, M.</w:t>
      </w:r>
      <w:r w:rsidRPr="00CE3F21">
        <w:rPr>
          <w:rFonts w:asciiTheme="majorBidi" w:hAnsiTheme="majorBidi" w:cstheme="majorBidi"/>
        </w:rPr>
        <w:t xml:space="preserve"> (2024). Generative AI for marketing content creation: New rules for an old game. </w:t>
      </w:r>
      <w:r w:rsidRPr="00CE3F21">
        <w:rPr>
          <w:rFonts w:asciiTheme="majorBidi" w:hAnsiTheme="majorBidi" w:cstheme="majorBidi"/>
          <w:i/>
          <w:iCs/>
        </w:rPr>
        <w:t>NIM Marketing Intelligence Review, 16</w:t>
      </w:r>
      <w:r w:rsidRPr="00CE3F21">
        <w:rPr>
          <w:rFonts w:asciiTheme="majorBidi" w:hAnsiTheme="majorBidi" w:cstheme="majorBidi"/>
        </w:rPr>
        <w:t xml:space="preserve">(1), 10–17. </w:t>
      </w:r>
      <w:hyperlink r:id="rId28" w:tgtFrame="_new" w:history="1">
        <w:r w:rsidRPr="00CE3F21">
          <w:rPr>
            <w:rStyle w:val="Hyperlink"/>
            <w:rFonts w:asciiTheme="majorBidi" w:hAnsiTheme="majorBidi" w:cstheme="majorBidi"/>
            <w:color w:val="auto"/>
          </w:rPr>
          <w:t>https://doi.org/10.2478/nimmir-2024-0002</w:t>
        </w:r>
      </w:hyperlink>
      <w:r w:rsidRPr="00CE3F21">
        <w:rPr>
          <w:rFonts w:asciiTheme="majorBidi" w:hAnsiTheme="majorBidi" w:cstheme="majorBidi"/>
        </w:rPr>
        <w:t xml:space="preserve"> </w:t>
      </w:r>
    </w:p>
    <w:p w14:paraId="1A910009" w14:textId="12635EA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IAB Tech Lab.</w:t>
      </w:r>
      <w:r w:rsidRPr="00CE3F21">
        <w:rPr>
          <w:rFonts w:asciiTheme="majorBidi" w:hAnsiTheme="majorBidi" w:cstheme="majorBidi"/>
        </w:rPr>
        <w:t xml:space="preserve"> (2024). </w:t>
      </w:r>
      <w:r w:rsidRPr="00CE3F21">
        <w:rPr>
          <w:rFonts w:asciiTheme="majorBidi" w:hAnsiTheme="majorBidi" w:cstheme="majorBidi"/>
          <w:i/>
          <w:iCs/>
        </w:rPr>
        <w:t>AI in advertising primer</w:t>
      </w:r>
      <w:r w:rsidRPr="00CE3F21">
        <w:rPr>
          <w:rFonts w:asciiTheme="majorBidi" w:hAnsiTheme="majorBidi" w:cstheme="majorBidi"/>
        </w:rPr>
        <w:t xml:space="preserve">. </w:t>
      </w:r>
    </w:p>
    <w:p w14:paraId="47BB264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Islam, T., Miron, A., Nandy, M., Choudrie, J., Liu, X., &amp; Li, Y.</w:t>
      </w:r>
      <w:r w:rsidRPr="00CE3F21">
        <w:rPr>
          <w:rFonts w:asciiTheme="majorBidi" w:hAnsiTheme="majorBidi" w:cstheme="majorBidi"/>
        </w:rPr>
        <w:t xml:space="preserve"> (2024). Transforming digital marketing with generative AI. </w:t>
      </w:r>
      <w:r w:rsidRPr="00CE3F21">
        <w:rPr>
          <w:rFonts w:asciiTheme="majorBidi" w:hAnsiTheme="majorBidi" w:cstheme="majorBidi"/>
          <w:i/>
          <w:iCs/>
        </w:rPr>
        <w:t>Computers, 13</w:t>
      </w:r>
      <w:r w:rsidRPr="00CE3F21">
        <w:rPr>
          <w:rFonts w:asciiTheme="majorBidi" w:hAnsiTheme="majorBidi" w:cstheme="majorBidi"/>
        </w:rPr>
        <w:t xml:space="preserve">(7), 168. </w:t>
      </w:r>
      <w:hyperlink r:id="rId29" w:tgtFrame="_new" w:history="1">
        <w:r w:rsidRPr="00CE3F21">
          <w:rPr>
            <w:rStyle w:val="Hyperlink"/>
            <w:rFonts w:asciiTheme="majorBidi" w:hAnsiTheme="majorBidi" w:cstheme="majorBidi"/>
            <w:color w:val="auto"/>
          </w:rPr>
          <w:t>https://doi.org/10.3390/computers13070168</w:t>
        </w:r>
      </w:hyperlink>
    </w:p>
    <w:p w14:paraId="71B900F5"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Kılınç, H. K., &amp; Keçecioğlu, Ö. F.</w:t>
      </w:r>
      <w:r w:rsidRPr="00CE3F21">
        <w:rPr>
          <w:rFonts w:asciiTheme="majorBidi" w:hAnsiTheme="majorBidi" w:cstheme="majorBidi"/>
        </w:rPr>
        <w:t xml:space="preserve"> (2024). Generative artificial intelligence: A historical and future perspective. </w:t>
      </w:r>
      <w:r w:rsidRPr="00CE3F21">
        <w:rPr>
          <w:rFonts w:asciiTheme="majorBidi" w:hAnsiTheme="majorBidi" w:cstheme="majorBidi"/>
          <w:i/>
          <w:iCs/>
        </w:rPr>
        <w:t>Academic Platform Journal of Engineering and Smart Systems, 12</w:t>
      </w:r>
      <w:r w:rsidRPr="00CE3F21">
        <w:rPr>
          <w:rFonts w:asciiTheme="majorBidi" w:hAnsiTheme="majorBidi" w:cstheme="majorBidi"/>
        </w:rPr>
        <w:t xml:space="preserve">(2), 47–58. </w:t>
      </w:r>
      <w:hyperlink r:id="rId30" w:tgtFrame="_new" w:history="1">
        <w:r w:rsidRPr="00CE3F21">
          <w:rPr>
            <w:rStyle w:val="Hyperlink"/>
            <w:rFonts w:asciiTheme="majorBidi" w:hAnsiTheme="majorBidi" w:cstheme="majorBidi"/>
            <w:color w:val="auto"/>
          </w:rPr>
          <w:t>https://doi.org/10.21541/apjess.1398155</w:t>
        </w:r>
      </w:hyperlink>
    </w:p>
    <w:p w14:paraId="61669E8E"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Kshetri, N., Dwivedi, Y., Davenport, T., &amp; Panteli, N.</w:t>
      </w:r>
      <w:r w:rsidRPr="00CE3F21">
        <w:rPr>
          <w:rFonts w:asciiTheme="majorBidi" w:hAnsiTheme="majorBidi" w:cstheme="majorBidi"/>
        </w:rPr>
        <w:t xml:space="preserve"> (2023). Generative artificial intelligence in marketing: Applications, opportunities, challenges, and research agenda. </w:t>
      </w:r>
      <w:r w:rsidRPr="00CE3F21">
        <w:rPr>
          <w:rFonts w:asciiTheme="majorBidi" w:hAnsiTheme="majorBidi" w:cstheme="majorBidi"/>
          <w:i/>
          <w:iCs/>
        </w:rPr>
        <w:t>International Journal of Information Management, 75</w:t>
      </w:r>
      <w:r w:rsidRPr="00CE3F21">
        <w:rPr>
          <w:rFonts w:asciiTheme="majorBidi" w:hAnsiTheme="majorBidi" w:cstheme="majorBidi"/>
        </w:rPr>
        <w:t xml:space="preserve">, Article 102716. </w:t>
      </w:r>
      <w:hyperlink r:id="rId31" w:tgtFrame="_new" w:history="1">
        <w:r w:rsidRPr="00CE3F21">
          <w:rPr>
            <w:rStyle w:val="Hyperlink"/>
            <w:rFonts w:asciiTheme="majorBidi" w:hAnsiTheme="majorBidi" w:cstheme="majorBidi"/>
            <w:color w:val="auto"/>
          </w:rPr>
          <w:t>https://doi.org/10.1016/j.ijinfomgt.2023.102716</w:t>
        </w:r>
      </w:hyperlink>
    </w:p>
    <w:p w14:paraId="38DD88A0" w14:textId="0931FD7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Marketing AI Institute, &amp; Drift.</w:t>
      </w:r>
      <w:r w:rsidRPr="00CE3F21">
        <w:rPr>
          <w:rFonts w:asciiTheme="majorBidi" w:hAnsiTheme="majorBidi" w:cstheme="majorBidi"/>
        </w:rPr>
        <w:t xml:space="preserve"> (2024). </w:t>
      </w:r>
      <w:r w:rsidRPr="00CE3F21">
        <w:rPr>
          <w:rFonts w:asciiTheme="majorBidi" w:hAnsiTheme="majorBidi" w:cstheme="majorBidi"/>
          <w:i/>
          <w:iCs/>
        </w:rPr>
        <w:t>2024 State of Marketing AI report</w:t>
      </w:r>
      <w:r w:rsidRPr="00CE3F21">
        <w:rPr>
          <w:rFonts w:asciiTheme="majorBidi" w:hAnsiTheme="majorBidi" w:cstheme="majorBidi"/>
        </w:rPr>
        <w:t>. Marketing AI Institute.</w:t>
      </w:r>
    </w:p>
    <w:p w14:paraId="25CF30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Masnita, Y., Kasuma Ali, J., Zahra, A., Wilson, N., &amp; Murwonugroho, W.</w:t>
      </w:r>
      <w:r w:rsidRPr="00CE3F21">
        <w:rPr>
          <w:rFonts w:asciiTheme="majorBidi" w:hAnsiTheme="majorBidi" w:cstheme="majorBidi"/>
        </w:rPr>
        <w:t xml:space="preserve"> (2024). Artificial intelligence in marketing: Literature review and future research agenda. </w:t>
      </w:r>
      <w:r w:rsidRPr="00CE3F21">
        <w:rPr>
          <w:rFonts w:asciiTheme="majorBidi" w:hAnsiTheme="majorBidi" w:cstheme="majorBidi"/>
          <w:i/>
          <w:iCs/>
        </w:rPr>
        <w:t>Journal of System and Management Sciences, 14</w:t>
      </w:r>
      <w:r w:rsidRPr="00CE3F21">
        <w:rPr>
          <w:rFonts w:asciiTheme="majorBidi" w:hAnsiTheme="majorBidi" w:cstheme="majorBidi"/>
        </w:rPr>
        <w:t xml:space="preserve">(1), 120–140. </w:t>
      </w:r>
      <w:hyperlink r:id="rId32" w:tgtFrame="_new" w:history="1">
        <w:r w:rsidRPr="00CE3F21">
          <w:rPr>
            <w:rStyle w:val="Hyperlink"/>
            <w:rFonts w:asciiTheme="majorBidi" w:hAnsiTheme="majorBidi" w:cstheme="majorBidi"/>
            <w:color w:val="auto"/>
          </w:rPr>
          <w:t>https://doi.org/10.33168/JSMS.2024.0108</w:t>
        </w:r>
      </w:hyperlink>
    </w:p>
    <w:p w14:paraId="1878F8B6" w14:textId="5DD66453"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McKinsey &amp; Company.</w:t>
      </w:r>
      <w:r w:rsidRPr="00CE3F21">
        <w:rPr>
          <w:rFonts w:asciiTheme="majorBidi" w:hAnsiTheme="majorBidi" w:cstheme="majorBidi"/>
        </w:rPr>
        <w:t xml:space="preserve"> (2024). </w:t>
      </w:r>
      <w:r w:rsidRPr="00CE3F21">
        <w:rPr>
          <w:rFonts w:asciiTheme="majorBidi" w:hAnsiTheme="majorBidi" w:cstheme="majorBidi"/>
          <w:i/>
          <w:iCs/>
        </w:rPr>
        <w:t>The state of gen AI in the Middle East’s GCC countries: A 2024 report card</w:t>
      </w:r>
      <w:r w:rsidRPr="00CE3F21">
        <w:rPr>
          <w:rFonts w:asciiTheme="majorBidi" w:hAnsiTheme="majorBidi" w:cstheme="majorBidi"/>
        </w:rPr>
        <w:t>.</w:t>
      </w:r>
    </w:p>
    <w:p w14:paraId="73EA0BF8"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Mendoza, J. A. G., Torres, O. A. P., &amp; Franco, H. H. M.</w:t>
      </w:r>
      <w:r w:rsidRPr="00CE3F21">
        <w:rPr>
          <w:rFonts w:asciiTheme="majorBidi" w:hAnsiTheme="majorBidi" w:cstheme="majorBidi"/>
        </w:rPr>
        <w:t xml:space="preserve"> (2025). Artificial intelligence in digital marketing: Quantitative analysis of its impact on customer personalization. </w:t>
      </w:r>
      <w:r w:rsidRPr="00CE3F21">
        <w:rPr>
          <w:rFonts w:asciiTheme="majorBidi" w:hAnsiTheme="majorBidi" w:cstheme="majorBidi"/>
          <w:i/>
          <w:iCs/>
        </w:rPr>
        <w:t>Journal of Posthumanism, 5</w:t>
      </w:r>
      <w:r w:rsidRPr="00CE3F21">
        <w:rPr>
          <w:rFonts w:asciiTheme="majorBidi" w:hAnsiTheme="majorBidi" w:cstheme="majorBidi"/>
        </w:rPr>
        <w:t xml:space="preserve">(6), 4206–4218. </w:t>
      </w:r>
      <w:hyperlink r:id="rId33" w:tgtFrame="_new" w:history="1">
        <w:r w:rsidRPr="00CE3F21">
          <w:rPr>
            <w:rStyle w:val="Hyperlink"/>
            <w:rFonts w:asciiTheme="majorBidi" w:hAnsiTheme="majorBidi" w:cstheme="majorBidi"/>
            <w:color w:val="auto"/>
          </w:rPr>
          <w:t>https://doi.org/10.63332/joph.v5i6.2596</w:t>
        </w:r>
      </w:hyperlink>
    </w:p>
    <w:p w14:paraId="74DA2F96" w14:textId="04D39BA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Nguyen, M., Langan, R., &amp; Anderson, K.</w:t>
      </w:r>
      <w:r w:rsidRPr="00CE3F21">
        <w:rPr>
          <w:rFonts w:asciiTheme="majorBidi" w:hAnsiTheme="majorBidi" w:cstheme="majorBidi"/>
        </w:rPr>
        <w:t xml:space="preserve"> (2025). </w:t>
      </w:r>
      <w:r w:rsidRPr="00CE3F21">
        <w:rPr>
          <w:rFonts w:asciiTheme="majorBidi" w:hAnsiTheme="majorBidi" w:cstheme="majorBidi"/>
          <w:i/>
          <w:iCs/>
        </w:rPr>
        <w:t>Integrating generative AI into team</w:t>
      </w:r>
      <w:r w:rsidRPr="00CE3F21">
        <w:rPr>
          <w:rFonts w:asciiTheme="majorBidi" w:hAnsiTheme="majorBidi" w:cstheme="majorBidi"/>
          <w:i/>
          <w:iCs/>
        </w:rPr>
        <w:noBreakHyphen/>
        <w:t>based marketing workflows: The AI collaboration maturity model</w:t>
      </w:r>
      <w:r w:rsidRPr="00CE3F21">
        <w:rPr>
          <w:rFonts w:asciiTheme="majorBidi" w:hAnsiTheme="majorBidi" w:cstheme="majorBidi"/>
        </w:rPr>
        <w:t xml:space="preserve">. California State University, Los Angeles. </w:t>
      </w:r>
    </w:p>
    <w:p w14:paraId="71608F7D" w14:textId="5EA0423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Nuremberg Institute for Market Decisions.</w:t>
      </w:r>
      <w:r w:rsidRPr="00CE3F21">
        <w:rPr>
          <w:rFonts w:asciiTheme="majorBidi" w:hAnsiTheme="majorBidi" w:cstheme="majorBidi"/>
        </w:rPr>
        <w:t xml:space="preserve"> (2024). </w:t>
      </w:r>
      <w:r w:rsidRPr="00CE3F21">
        <w:rPr>
          <w:rFonts w:asciiTheme="majorBidi" w:hAnsiTheme="majorBidi" w:cstheme="majorBidi"/>
          <w:i/>
          <w:iCs/>
        </w:rPr>
        <w:t>Creating marketing value with generative AI</w:t>
      </w:r>
      <w:r w:rsidRPr="00CE3F21">
        <w:rPr>
          <w:rFonts w:asciiTheme="majorBidi" w:hAnsiTheme="majorBidi" w:cstheme="majorBidi"/>
        </w:rPr>
        <w:t xml:space="preserve">. </w:t>
      </w:r>
      <w:hyperlink r:id="rId34" w:tgtFrame="_new" w:history="1"/>
      <w:r w:rsidRPr="00CE3F21">
        <w:rPr>
          <w:rFonts w:asciiTheme="majorBidi" w:hAnsiTheme="majorBidi" w:cstheme="majorBidi"/>
        </w:rPr>
        <w:t xml:space="preserve"> </w:t>
      </w:r>
    </w:p>
    <w:p w14:paraId="206DB44F" w14:textId="5053EA7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SDAIA (Saudi Data &amp; AI Authority).</w:t>
      </w:r>
      <w:r w:rsidRPr="00CE3F21">
        <w:rPr>
          <w:rFonts w:asciiTheme="majorBidi" w:hAnsiTheme="majorBidi" w:cstheme="majorBidi"/>
        </w:rPr>
        <w:t xml:space="preserve"> (2024). </w:t>
      </w:r>
      <w:r w:rsidRPr="00CE3F21">
        <w:rPr>
          <w:rFonts w:asciiTheme="majorBidi" w:hAnsiTheme="majorBidi" w:cstheme="majorBidi"/>
          <w:i/>
          <w:iCs/>
        </w:rPr>
        <w:t>Generative artificial intelligence guidelines</w:t>
      </w:r>
      <w:r w:rsidRPr="00CE3F21">
        <w:rPr>
          <w:rFonts w:asciiTheme="majorBidi" w:hAnsiTheme="majorBidi" w:cstheme="majorBidi"/>
        </w:rPr>
        <w:t xml:space="preserve">. SADAIA. </w:t>
      </w:r>
    </w:p>
    <w:p w14:paraId="2BAB04F4" w14:textId="579B4CB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Sharabati, A.-A. A., Ali, A. A. A., Allahham, M. I., Hussein, A. A., Alheet, A. F., &amp; Mohammad, A. S.</w:t>
      </w:r>
      <w:r w:rsidRPr="00CE3F21">
        <w:rPr>
          <w:rFonts w:asciiTheme="majorBidi" w:hAnsiTheme="majorBidi" w:cstheme="majorBidi"/>
        </w:rPr>
        <w:t xml:space="preserve"> (2024). The impact of digital marketing on the performance of SMEs: An analytical study in light of modern digital transformations. </w:t>
      </w:r>
      <w:r w:rsidRPr="00CE3F21">
        <w:rPr>
          <w:rFonts w:asciiTheme="majorBidi" w:hAnsiTheme="majorBidi" w:cstheme="majorBidi"/>
          <w:i/>
          <w:iCs/>
        </w:rPr>
        <w:t>Sustainability, 16</w:t>
      </w:r>
      <w:r w:rsidRPr="00CE3F21">
        <w:rPr>
          <w:rFonts w:asciiTheme="majorBidi" w:hAnsiTheme="majorBidi" w:cstheme="majorBidi"/>
        </w:rPr>
        <w:t xml:space="preserve">(19), 8667. </w:t>
      </w:r>
      <w:hyperlink r:id="rId35" w:tgtFrame="_new" w:history="1">
        <w:r w:rsidRPr="00CE3F21">
          <w:rPr>
            <w:rStyle w:val="Hyperlink"/>
            <w:rFonts w:asciiTheme="majorBidi" w:hAnsiTheme="majorBidi" w:cstheme="majorBidi"/>
            <w:color w:val="auto"/>
          </w:rPr>
          <w:t>https://doi.org/10.3390/su16198667</w:t>
        </w:r>
      </w:hyperlink>
      <w:r w:rsidRPr="00CE3F21">
        <w:rPr>
          <w:rFonts w:asciiTheme="majorBidi" w:hAnsiTheme="majorBidi" w:cstheme="majorBidi"/>
        </w:rPr>
        <w:t xml:space="preserve">  </w:t>
      </w:r>
    </w:p>
    <w:p w14:paraId="5AE9DEB4" w14:textId="3E55C9C4"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Social Media Today.</w:t>
      </w:r>
      <w:r w:rsidRPr="00CE3F21">
        <w:rPr>
          <w:rFonts w:asciiTheme="majorBidi" w:hAnsiTheme="majorBidi" w:cstheme="majorBidi"/>
        </w:rPr>
        <w:t xml:space="preserve"> (2025). Digital marketing statistics of 2025: H1 by the numbers. </w:t>
      </w:r>
      <w:r w:rsidRPr="00CE3F21">
        <w:rPr>
          <w:rFonts w:asciiTheme="majorBidi" w:hAnsiTheme="majorBidi" w:cstheme="majorBidi"/>
          <w:i/>
          <w:iCs/>
        </w:rPr>
        <w:t>Social Media Today</w:t>
      </w:r>
      <w:r w:rsidRPr="00CE3F21">
        <w:rPr>
          <w:rFonts w:asciiTheme="majorBidi" w:hAnsiTheme="majorBidi" w:cstheme="majorBidi"/>
        </w:rPr>
        <w:t xml:space="preserve">. </w:t>
      </w:r>
    </w:p>
    <w:p w14:paraId="591185F7" w14:textId="7C2A4070"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Strategy&amp; (PwC Middle East).</w:t>
      </w:r>
      <w:r w:rsidRPr="00CE3F21">
        <w:rPr>
          <w:rFonts w:asciiTheme="majorBidi" w:hAnsiTheme="majorBidi" w:cstheme="majorBidi"/>
        </w:rPr>
        <w:t xml:space="preserve"> (2024). </w:t>
      </w:r>
      <w:r w:rsidRPr="00CE3F21">
        <w:rPr>
          <w:rFonts w:asciiTheme="majorBidi" w:hAnsiTheme="majorBidi" w:cstheme="majorBidi"/>
          <w:i/>
          <w:iCs/>
        </w:rPr>
        <w:t>Overcoming regional ecosystem challenges in AI</w:t>
      </w:r>
      <w:r w:rsidRPr="00CE3F21">
        <w:rPr>
          <w:rFonts w:asciiTheme="majorBidi" w:hAnsiTheme="majorBidi" w:cstheme="majorBidi"/>
        </w:rPr>
        <w:t xml:space="preserve">. </w:t>
      </w:r>
    </w:p>
    <w:p w14:paraId="104D482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Tawalbeh, A. K.</w:t>
      </w:r>
      <w:r w:rsidRPr="00CE3F21">
        <w:rPr>
          <w:rFonts w:asciiTheme="majorBidi" w:hAnsiTheme="majorBidi" w:cstheme="majorBidi"/>
        </w:rPr>
        <w:t xml:space="preserve"> (2025). Influence of AI on marketing strategies for university libraries. </w:t>
      </w:r>
      <w:r w:rsidRPr="00CE3F21">
        <w:rPr>
          <w:rFonts w:asciiTheme="majorBidi" w:hAnsiTheme="majorBidi" w:cstheme="majorBidi"/>
          <w:i/>
          <w:iCs/>
        </w:rPr>
        <w:t>International Journal of Advanced and Applied Sciences, 12</w:t>
      </w:r>
      <w:r w:rsidRPr="00CE3F21">
        <w:rPr>
          <w:rFonts w:asciiTheme="majorBidi" w:hAnsiTheme="majorBidi" w:cstheme="majorBidi"/>
        </w:rPr>
        <w:t xml:space="preserve">(8), 191–201. </w:t>
      </w:r>
      <w:hyperlink r:id="rId36" w:tgtFrame="_new" w:history="1">
        <w:r w:rsidRPr="00CE3F21">
          <w:rPr>
            <w:rStyle w:val="Hyperlink"/>
            <w:rFonts w:asciiTheme="majorBidi" w:hAnsiTheme="majorBidi" w:cstheme="majorBidi"/>
            <w:color w:val="auto"/>
          </w:rPr>
          <w:t>https://doi.org/10.21833/ijaas.2025.08.018</w:t>
        </w:r>
      </w:hyperlink>
      <w:r w:rsidRPr="00CE3F21">
        <w:rPr>
          <w:rFonts w:asciiTheme="majorBidi" w:hAnsiTheme="majorBidi" w:cstheme="majorBidi"/>
        </w:rPr>
        <w:t xml:space="preserve"> </w:t>
      </w:r>
    </w:p>
    <w:p w14:paraId="7FD49C9B"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Wang, Y., Sauka, K., &amp; Situmeang, F. B. I.</w:t>
      </w:r>
      <w:r w:rsidRPr="00CE3F21">
        <w:rPr>
          <w:rFonts w:asciiTheme="majorBidi" w:hAnsiTheme="majorBidi" w:cstheme="majorBidi"/>
        </w:rPr>
        <w:t xml:space="preserve"> (2025). Anthropomorphism and transparency interplay on consumer behaviour in generative AI</w:t>
      </w:r>
      <w:r w:rsidRPr="00CE3F21">
        <w:rPr>
          <w:rFonts w:asciiTheme="majorBidi" w:hAnsiTheme="majorBidi" w:cstheme="majorBidi"/>
        </w:rPr>
        <w:noBreakHyphen/>
        <w:t xml:space="preserve">driven marketing communication. </w:t>
      </w:r>
      <w:r w:rsidRPr="00CE3F21">
        <w:rPr>
          <w:rFonts w:asciiTheme="majorBidi" w:hAnsiTheme="majorBidi" w:cstheme="majorBidi"/>
          <w:i/>
          <w:iCs/>
        </w:rPr>
        <w:t>Journal of Consumer Marketing, 42</w:t>
      </w:r>
      <w:r w:rsidRPr="00CE3F21">
        <w:rPr>
          <w:rFonts w:asciiTheme="majorBidi" w:hAnsiTheme="majorBidi" w:cstheme="majorBidi"/>
        </w:rPr>
        <w:t xml:space="preserve">(4), 512–536. </w:t>
      </w:r>
      <w:hyperlink r:id="rId37" w:tgtFrame="_new" w:history="1">
        <w:r w:rsidRPr="00CE3F21">
          <w:rPr>
            <w:rStyle w:val="Hyperlink"/>
            <w:rFonts w:asciiTheme="majorBidi" w:hAnsiTheme="majorBidi" w:cstheme="majorBidi"/>
            <w:color w:val="auto"/>
          </w:rPr>
          <w:t>https://doi.org/10.1108/JCM-04-2024-6806</w:t>
        </w:r>
      </w:hyperlink>
      <w:r w:rsidRPr="00CE3F21">
        <w:rPr>
          <w:rFonts w:asciiTheme="majorBidi" w:hAnsiTheme="majorBidi" w:cstheme="majorBidi"/>
        </w:rPr>
        <w:t xml:space="preserve"> </w:t>
      </w:r>
    </w:p>
    <w:p w14:paraId="1A88F43A"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Zhong, Y., &amp; Rosli, M. S. B.</w:t>
      </w:r>
      <w:r w:rsidRPr="00CE3F21">
        <w:rPr>
          <w:rFonts w:asciiTheme="majorBidi" w:hAnsiTheme="majorBidi" w:cstheme="majorBidi"/>
        </w:rPr>
        <w:t xml:space="preserve"> (2025). Generative artificial intelligence in higher education: Opportunities, challenges, and future directions. </w:t>
      </w:r>
      <w:r w:rsidRPr="00CE3F21">
        <w:rPr>
          <w:rFonts w:asciiTheme="majorBidi" w:hAnsiTheme="majorBidi" w:cstheme="majorBidi"/>
          <w:i/>
          <w:iCs/>
        </w:rPr>
        <w:t>International Journal of Academic Research in Progressive Education and Development, 14</w:t>
      </w:r>
      <w:r w:rsidRPr="00CE3F21">
        <w:rPr>
          <w:rFonts w:asciiTheme="majorBidi" w:hAnsiTheme="majorBidi" w:cstheme="majorBidi"/>
        </w:rPr>
        <w:t xml:space="preserve">(3), 301–312. </w:t>
      </w:r>
      <w:hyperlink r:id="rId38" w:tgtFrame="_new" w:history="1">
        <w:r w:rsidRPr="00CE3F21">
          <w:rPr>
            <w:rStyle w:val="Hyperlink"/>
            <w:rFonts w:asciiTheme="majorBidi" w:hAnsiTheme="majorBidi" w:cstheme="majorBidi"/>
            <w:color w:val="auto"/>
          </w:rPr>
          <w:t>https://doi.org/10.6007/IJARPED/v14-i3/25813</w:t>
        </w:r>
      </w:hyperlink>
      <w:r w:rsidRPr="00CE3F21">
        <w:rPr>
          <w:rFonts w:asciiTheme="majorBidi" w:hAnsiTheme="majorBidi" w:cstheme="majorBidi"/>
        </w:rPr>
        <w:t xml:space="preserve"> </w:t>
      </w:r>
    </w:p>
    <w:p w14:paraId="2AFF7D01" w14:textId="77777777" w:rsidR="00CE3F21" w:rsidRDefault="00CE3F21" w:rsidP="00CE3F21">
      <w:pPr>
        <w:spacing w:after="200" w:line="240" w:lineRule="auto"/>
        <w:rPr>
          <w:rFonts w:asciiTheme="majorBidi" w:hAnsiTheme="majorBidi" w:cstheme="majorBidi"/>
        </w:rPr>
      </w:pPr>
    </w:p>
    <w:p w14:paraId="0184A382" w14:textId="77777777" w:rsidR="00CE3F21" w:rsidRDefault="00CE3F21" w:rsidP="00CE3F21">
      <w:pPr>
        <w:spacing w:after="200" w:line="240" w:lineRule="auto"/>
        <w:rPr>
          <w:rFonts w:asciiTheme="majorBidi" w:hAnsiTheme="majorBidi" w:cstheme="majorBidi"/>
        </w:rPr>
      </w:pPr>
    </w:p>
    <w:p w14:paraId="74DA3693" w14:textId="77777777" w:rsidR="00CE3F21" w:rsidRDefault="00CE3F21" w:rsidP="00CE3F21">
      <w:pPr>
        <w:spacing w:after="200" w:line="240" w:lineRule="auto"/>
        <w:rPr>
          <w:rFonts w:asciiTheme="majorBidi" w:hAnsiTheme="majorBidi" w:cstheme="majorBidi"/>
        </w:rPr>
      </w:pPr>
    </w:p>
    <w:p w14:paraId="49206AD6" w14:textId="77777777" w:rsidR="00CE3F21" w:rsidRDefault="00CE3F21" w:rsidP="00CE3F21">
      <w:pPr>
        <w:spacing w:after="200" w:line="240" w:lineRule="auto"/>
        <w:rPr>
          <w:rFonts w:asciiTheme="majorBidi" w:hAnsiTheme="majorBidi" w:cstheme="majorBidi"/>
        </w:rPr>
      </w:pPr>
    </w:p>
    <w:p w14:paraId="1530F19D" w14:textId="77777777" w:rsidR="00CE3F21" w:rsidRDefault="00CE3F21" w:rsidP="00CE3F21">
      <w:pPr>
        <w:spacing w:after="200" w:line="240" w:lineRule="auto"/>
        <w:rPr>
          <w:rFonts w:asciiTheme="majorBidi" w:hAnsiTheme="majorBidi" w:cstheme="majorBidi"/>
        </w:rPr>
      </w:pPr>
    </w:p>
    <w:p w14:paraId="6C6DBC31" w14:textId="77777777" w:rsidR="00CE3F21" w:rsidRPr="00CE3F21" w:rsidRDefault="00CE3F21" w:rsidP="00CE3F21">
      <w:pPr>
        <w:spacing w:after="200" w:line="240" w:lineRule="auto"/>
        <w:rPr>
          <w:rFonts w:asciiTheme="majorBidi" w:hAnsiTheme="majorBidi" w:cstheme="majorBidi"/>
        </w:rPr>
      </w:pPr>
    </w:p>
    <w:p w14:paraId="6F963C85" w14:textId="77777777" w:rsidR="00F14098" w:rsidRDefault="00F14098" w:rsidP="00F14098">
      <w:pPr>
        <w:bidi/>
        <w:spacing w:after="200" w:line="240" w:lineRule="auto"/>
        <w:rPr>
          <w:rFonts w:asciiTheme="majorBidi" w:hAnsiTheme="majorBidi" w:cstheme="majorBidi"/>
          <w:rtl/>
        </w:rPr>
      </w:pPr>
    </w:p>
    <w:p w14:paraId="50B67222" w14:textId="77777777" w:rsidR="00F14098" w:rsidRPr="00BB1CA4" w:rsidRDefault="00F14098" w:rsidP="00F14098">
      <w:pPr>
        <w:bidi/>
        <w:spacing w:after="200" w:line="240" w:lineRule="auto"/>
        <w:rPr>
          <w:rFonts w:asciiTheme="majorBidi" w:hAnsiTheme="majorBidi" w:cstheme="majorBidi"/>
          <w:rtl/>
        </w:rPr>
      </w:pPr>
    </w:p>
    <w:sectPr w:rsidR="00F14098" w:rsidRPr="00BB1CA4" w:rsidSect="00395E1F">
      <w:headerReference w:type="even" r:id="rId39"/>
      <w:headerReference w:type="default" r:id="rId40"/>
      <w:footerReference w:type="default" r:id="rId41"/>
      <w:headerReference w:type="first" r:id="rId42"/>
      <w:footerReference w:type="first" r:id="rId4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0A1F3B" w14:textId="77777777" w:rsidR="00F33146" w:rsidRDefault="00F33146" w:rsidP="00F628F0">
      <w:pPr>
        <w:spacing w:after="0" w:line="240" w:lineRule="auto"/>
      </w:pPr>
      <w:r>
        <w:separator/>
      </w:r>
    </w:p>
  </w:endnote>
  <w:endnote w:type="continuationSeparator" w:id="0">
    <w:p w14:paraId="1D8F0B03" w14:textId="77777777" w:rsidR="00F33146" w:rsidRDefault="00F331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455F746F" w:rsidR="00883E09" w:rsidRPr="00B55F49" w:rsidRDefault="00B55F49" w:rsidP="00883E09">
    <w:pPr>
      <w:pStyle w:val="a5"/>
      <w:bidi/>
      <w:rPr>
        <w:sz w:val="18"/>
        <w:szCs w:val="18"/>
      </w:rPr>
    </w:pPr>
    <w:r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r w:rsidRPr="00B55F49">
      <w:rPr>
        <w:rFonts w:ascii="Times New Roman"/>
        <w:b/>
        <w:noProof/>
        <w:sz w:val="18"/>
        <w:szCs w:val="18"/>
      </w:rPr>
      <w:t xml:space="preserve"> </w:t>
    </w:r>
    <w:r w:rsidR="00264677" w:rsidRPr="00B55F49">
      <w:rPr>
        <w:rFonts w:ascii="Times New Roman"/>
        <w:b/>
        <w:noProof/>
        <w:sz w:val="18"/>
        <w:szCs w:val="18"/>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1CC7B6" w14:textId="77777777" w:rsidR="00F33146" w:rsidRDefault="00F33146" w:rsidP="00F628F0">
      <w:pPr>
        <w:spacing w:after="0" w:line="240" w:lineRule="auto"/>
      </w:pPr>
      <w:r>
        <w:separator/>
      </w:r>
    </w:p>
  </w:footnote>
  <w:footnote w:type="continuationSeparator" w:id="0">
    <w:p w14:paraId="2B5004C7" w14:textId="77777777" w:rsidR="00F33146" w:rsidRDefault="00F3314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F33146">
    <w:pPr>
      <w:pStyle w:val="a4"/>
    </w:pPr>
    <w:r>
      <w:rPr>
        <w:noProof/>
      </w:rPr>
      <w:pict w14:anchorId="60396C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F33146">
    <w:pPr>
      <w:pStyle w:val="a4"/>
    </w:pPr>
    <w:r>
      <w:rPr>
        <w:noProof/>
      </w:rPr>
      <w:pict w14:anchorId="29E4D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F33146">
        <w:pPr>
          <w:pStyle w:val="a4"/>
        </w:pPr>
        <w:r>
          <w:rPr>
            <w:noProof/>
          </w:rPr>
          <w:pict w14:anchorId="5FB9F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A0318"/>
    <w:multiLevelType w:val="hybridMultilevel"/>
    <w:tmpl w:val="C41C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0D79CF"/>
    <w:multiLevelType w:val="hybridMultilevel"/>
    <w:tmpl w:val="94C4C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2"/>
  </w:num>
  <w:num w:numId="3" w16cid:durableId="1539509467">
    <w:abstractNumId w:val="17"/>
  </w:num>
  <w:num w:numId="4" w16cid:durableId="1909067862">
    <w:abstractNumId w:val="14"/>
  </w:num>
  <w:num w:numId="5" w16cid:durableId="1679650334">
    <w:abstractNumId w:val="13"/>
  </w:num>
  <w:num w:numId="6" w16cid:durableId="592784671">
    <w:abstractNumId w:val="20"/>
  </w:num>
  <w:num w:numId="7" w16cid:durableId="435633386">
    <w:abstractNumId w:val="3"/>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2"/>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1"/>
  </w:num>
  <w:num w:numId="19" w16cid:durableId="919213346">
    <w:abstractNumId w:val="16"/>
  </w:num>
  <w:num w:numId="20" w16cid:durableId="1335955242">
    <w:abstractNumId w:val="15"/>
  </w:num>
  <w:num w:numId="21" w16cid:durableId="343287354">
    <w:abstractNumId w:val="10"/>
  </w:num>
  <w:num w:numId="22" w16cid:durableId="603804760">
    <w:abstractNumId w:val="1"/>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2442"/>
    <w:rsid w:val="000252C0"/>
    <w:rsid w:val="00027A34"/>
    <w:rsid w:val="000322E7"/>
    <w:rsid w:val="000343D5"/>
    <w:rsid w:val="00044CFD"/>
    <w:rsid w:val="0005238F"/>
    <w:rsid w:val="000528E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B26"/>
    <w:rsid w:val="001F5CB8"/>
    <w:rsid w:val="002010FC"/>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A565A"/>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33F8"/>
    <w:rsid w:val="00B146C0"/>
    <w:rsid w:val="00B154C6"/>
    <w:rsid w:val="00B16B50"/>
    <w:rsid w:val="00B32E4E"/>
    <w:rsid w:val="00B40794"/>
    <w:rsid w:val="00B4283F"/>
    <w:rsid w:val="00B43F32"/>
    <w:rsid w:val="00B4456F"/>
    <w:rsid w:val="00B55F49"/>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33146"/>
    <w:rsid w:val="00F43BA7"/>
    <w:rsid w:val="00F4536C"/>
    <w:rsid w:val="00F45910"/>
    <w:rsid w:val="00F4682C"/>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asc.2024.335098.1016" TargetMode="External"/><Relationship Id="rId18" Type="http://schemas.openxmlformats.org/officeDocument/2006/relationships/hyperlink" Target="https://doi.org/10.1016/j.ijme.2024.101105" TargetMode="External"/><Relationship Id="rId26" Type="http://schemas.openxmlformats.org/officeDocument/2006/relationships/hyperlink" Target="https://doi.org/10.30574/gscarr.2025.23.3.0145" TargetMode="External"/><Relationship Id="rId39" Type="http://schemas.openxmlformats.org/officeDocument/2006/relationships/header" Target="header1.xml"/><Relationship Id="rId21" Type="http://schemas.openxmlformats.org/officeDocument/2006/relationships/hyperlink" Target="https://doi.org/10.59670/ml.v20iS3.3768" TargetMode="External"/><Relationship Id="rId34" Type="http://schemas.openxmlformats.org/officeDocument/2006/relationships/hyperlink" Target="https://www.nim.org"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3390/computers130701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jsb.2023.230616.1633" TargetMode="External"/><Relationship Id="rId24" Type="http://schemas.openxmlformats.org/officeDocument/2006/relationships/hyperlink" Target="https://doi.org/10.1002/smj.3677" TargetMode="External"/><Relationship Id="rId32" Type="http://schemas.openxmlformats.org/officeDocument/2006/relationships/hyperlink" Target="https://doi.org/10.33168/JSMS.2024.0108" TargetMode="External"/><Relationship Id="rId37" Type="http://schemas.openxmlformats.org/officeDocument/2006/relationships/hyperlink" Target="https://doi.org/10.1108/JCM-04-2024-6806"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608/jsb.2024.307517.1782" TargetMode="External"/><Relationship Id="rId23" Type="http://schemas.openxmlformats.org/officeDocument/2006/relationships/hyperlink" Target="https://doi.org/10.69648/EYZI2281" TargetMode="External"/><Relationship Id="rId28" Type="http://schemas.openxmlformats.org/officeDocument/2006/relationships/hyperlink" Target="https://doi.org/10.2478/nimmir-2024-0002" TargetMode="External"/><Relationship Id="rId36" Type="http://schemas.openxmlformats.org/officeDocument/2006/relationships/hyperlink" Target="https://doi.org/10.21833/ijaas.2025.08.018" TargetMode="External"/><Relationship Id="rId10" Type="http://schemas.microsoft.com/office/2007/relationships/hdphoto" Target="media/hdphoto1.wdp"/><Relationship Id="rId19" Type="http://schemas.openxmlformats.org/officeDocument/2006/relationships/hyperlink" Target="https://doi.org/10.5267/j.ijdns.2024.7.006" TargetMode="External"/><Relationship Id="rId31" Type="http://schemas.openxmlformats.org/officeDocument/2006/relationships/hyperlink" Target="https://doi.org/10.1016/j.ijinfomgt.2023.10271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25/ghjec.v20i3.16786" TargetMode="External"/><Relationship Id="rId22" Type="http://schemas.openxmlformats.org/officeDocument/2006/relationships/hyperlink" Target="https://doi.org/10.3389/frai.2025.1541678" TargetMode="External"/><Relationship Id="rId27" Type="http://schemas.openxmlformats.org/officeDocument/2006/relationships/hyperlink" Target="https://doi.org/10.14445/22312803/IJCTT-V72I5P106" TargetMode="External"/><Relationship Id="rId30" Type="http://schemas.openxmlformats.org/officeDocument/2006/relationships/hyperlink" Target="https://doi.org/10.21541/apjess.1398155" TargetMode="External"/><Relationship Id="rId35" Type="http://schemas.openxmlformats.org/officeDocument/2006/relationships/hyperlink" Target="https://doi.org/10.3390/su16198667"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4197/Comm.2-1.5" TargetMode="External"/><Relationship Id="rId17" Type="http://schemas.openxmlformats.org/officeDocument/2006/relationships/hyperlink" Target="https://doi.org/10.59994/pau.2025.2.161" TargetMode="External"/><Relationship Id="rId25" Type="http://schemas.openxmlformats.org/officeDocument/2006/relationships/hyperlink" Target="https://doi.org/10.1016/j.ijinfomgt.2023.102642" TargetMode="External"/><Relationship Id="rId33" Type="http://schemas.openxmlformats.org/officeDocument/2006/relationships/hyperlink" Target="https://doi.org/10.63332/joph.v5i6.2596" TargetMode="External"/><Relationship Id="rId38" Type="http://schemas.openxmlformats.org/officeDocument/2006/relationships/hyperlink" Target="https://doi.org/10.6007/IJARPED/v14-i3/25813" TargetMode="External"/><Relationship Id="rId20" Type="http://schemas.openxmlformats.org/officeDocument/2006/relationships/hyperlink" Target="https://doi.org/10.1016/j.chb.2020.106548"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54</Pages>
  <Words>18730</Words>
  <Characters>106763</Characters>
  <Application>Microsoft Office Word</Application>
  <DocSecurity>0</DocSecurity>
  <Lines>889</Lines>
  <Paragraphs>250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4</cp:revision>
  <cp:lastPrinted>2025-07-06T06:14:00Z</cp:lastPrinted>
  <dcterms:created xsi:type="dcterms:W3CDTF">2026-06-29T20:35:00Z</dcterms:created>
  <dcterms:modified xsi:type="dcterms:W3CDTF">2026-06-29T20:46:00Z</dcterms:modified>
</cp:coreProperties>
</file>