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5980930" w:rsidR="009125CE" w:rsidRPr="003F45EE" w:rsidRDefault="000F61DD" w:rsidP="000F61DD">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3F45EE">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136E877">
            <wp:simplePos x="0" y="0"/>
            <wp:positionH relativeFrom="margin">
              <wp:posOffset>80010</wp:posOffset>
            </wp:positionH>
            <wp:positionV relativeFrom="margin">
              <wp:posOffset>-133350</wp:posOffset>
            </wp:positionV>
            <wp:extent cx="1693545" cy="15716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3545" cy="1571625"/>
                    </a:xfrm>
                    <a:prstGeom prst="rect">
                      <a:avLst/>
                    </a:prstGeom>
                  </pic:spPr>
                </pic:pic>
              </a:graphicData>
            </a:graphic>
            <wp14:sizeRelH relativeFrom="margin">
              <wp14:pctWidth>0</wp14:pctWidth>
            </wp14:sizeRelH>
            <wp14:sizeRelV relativeFrom="margin">
              <wp14:pctHeight>0</wp14:pctHeight>
            </wp14:sizeRelV>
          </wp:anchor>
        </w:drawing>
      </w:r>
      <w:r w:rsidR="009125CE" w:rsidRPr="003F45EE">
        <w:rPr>
          <w:rFonts w:ascii="Simplified Arabic" w:hAnsi="Simplified Arabic" w:cs="Simplified Arabic"/>
          <w:b/>
          <w:bCs/>
          <w:color w:val="000000" w:themeColor="text1"/>
          <w:sz w:val="32"/>
          <w:szCs w:val="32"/>
          <w:rtl/>
          <w:lang w:bidi="ar-EG"/>
        </w:rPr>
        <w:t xml:space="preserve">جامعة </w:t>
      </w:r>
      <w:proofErr w:type="spellStart"/>
      <w:r w:rsidR="009125CE" w:rsidRPr="003F45EE">
        <w:rPr>
          <w:rFonts w:ascii="Simplified Arabic" w:hAnsi="Simplified Arabic" w:cs="Simplified Arabic"/>
          <w:b/>
          <w:bCs/>
          <w:color w:val="000000" w:themeColor="text1"/>
          <w:sz w:val="32"/>
          <w:szCs w:val="32"/>
          <w:rtl/>
          <w:lang w:bidi="ar-EG"/>
        </w:rPr>
        <w:t>ميدأوشن</w:t>
      </w:r>
      <w:proofErr w:type="spellEnd"/>
      <w:r w:rsidR="009125CE" w:rsidRPr="003F45EE">
        <w:rPr>
          <w:rFonts w:ascii="Simplified Arabic" w:hAnsi="Simplified Arabic" w:cs="Simplified Arabic"/>
          <w:b/>
          <w:bCs/>
          <w:color w:val="000000" w:themeColor="text1"/>
          <w:sz w:val="32"/>
          <w:szCs w:val="32"/>
          <w:rtl/>
          <w:lang w:bidi="ar-EG"/>
        </w:rPr>
        <w:t xml:space="preserve"> </w:t>
      </w:r>
    </w:p>
    <w:p w14:paraId="1E957002" w14:textId="1FFA6F99" w:rsidR="00F546CE" w:rsidRPr="003F45EE" w:rsidRDefault="009125CE" w:rsidP="000F61D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3F45EE">
        <w:rPr>
          <w:rFonts w:ascii="Simplified Arabic" w:hAnsi="Simplified Arabic" w:cs="Simplified Arabic"/>
          <w:b/>
          <w:bCs/>
          <w:color w:val="000000" w:themeColor="text1"/>
          <w:sz w:val="32"/>
          <w:szCs w:val="32"/>
          <w:rtl/>
          <w:lang w:bidi="ar-EG"/>
        </w:rPr>
        <w:t xml:space="preserve">كلية </w:t>
      </w:r>
      <w:r w:rsidR="008C42C1" w:rsidRPr="003F45EE">
        <w:rPr>
          <w:rFonts w:ascii="Simplified Arabic" w:hAnsi="Simplified Arabic" w:cs="Simplified Arabic"/>
          <w:b/>
          <w:bCs/>
          <w:color w:val="000000" w:themeColor="text1"/>
          <w:sz w:val="32"/>
          <w:szCs w:val="32"/>
          <w:rtl/>
          <w:lang w:bidi="ar-EG"/>
        </w:rPr>
        <w:t>الإدارة</w:t>
      </w:r>
      <w:r w:rsidRPr="003F45EE">
        <w:rPr>
          <w:rFonts w:ascii="Simplified Arabic" w:hAnsi="Simplified Arabic" w:cs="Simplified Arabic"/>
          <w:b/>
          <w:bCs/>
          <w:color w:val="000000" w:themeColor="text1"/>
          <w:sz w:val="32"/>
          <w:szCs w:val="32"/>
          <w:rtl/>
          <w:lang w:bidi="ar-EG"/>
        </w:rPr>
        <w:t xml:space="preserve"> </w:t>
      </w:r>
    </w:p>
    <w:p w14:paraId="0217C513" w14:textId="004DB05D" w:rsidR="009125CE" w:rsidRPr="003F45EE" w:rsidRDefault="009125CE" w:rsidP="000F61DD">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proofErr w:type="gramStart"/>
      <w:r w:rsidRPr="003F45EE">
        <w:rPr>
          <w:rFonts w:ascii="Simplified Arabic" w:hAnsi="Simplified Arabic" w:cs="Simplified Arabic"/>
          <w:b/>
          <w:bCs/>
          <w:color w:val="000000" w:themeColor="text1"/>
          <w:sz w:val="32"/>
          <w:szCs w:val="32"/>
          <w:rtl/>
          <w:lang w:bidi="ar-EG"/>
        </w:rPr>
        <w:t>تخصص</w:t>
      </w:r>
      <w:r w:rsidR="00B15A9E" w:rsidRPr="003F45EE">
        <w:rPr>
          <w:rFonts w:ascii="Simplified Arabic" w:hAnsi="Simplified Arabic" w:cs="Simplified Arabic"/>
          <w:b/>
          <w:bCs/>
          <w:color w:val="000000" w:themeColor="text1"/>
          <w:sz w:val="32"/>
          <w:szCs w:val="32"/>
          <w:rtl/>
          <w:lang w:bidi="ar-EG"/>
        </w:rPr>
        <w:t xml:space="preserve"> </w:t>
      </w:r>
      <w:r w:rsidR="006111E3" w:rsidRPr="003F45EE">
        <w:rPr>
          <w:rFonts w:ascii="Simplified Arabic" w:hAnsi="Simplified Arabic" w:cs="Simplified Arabic"/>
          <w:b/>
          <w:bCs/>
          <w:color w:val="000000" w:themeColor="text1"/>
          <w:sz w:val="32"/>
          <w:szCs w:val="32"/>
          <w:rtl/>
          <w:lang w:bidi="ar-EG"/>
        </w:rPr>
        <w:t xml:space="preserve"> إدارة</w:t>
      </w:r>
      <w:proofErr w:type="gramEnd"/>
      <w:r w:rsidR="006111E3" w:rsidRPr="003F45EE">
        <w:rPr>
          <w:rFonts w:ascii="Simplified Arabic" w:hAnsi="Simplified Arabic" w:cs="Simplified Arabic"/>
          <w:b/>
          <w:bCs/>
          <w:color w:val="000000" w:themeColor="text1"/>
          <w:sz w:val="32"/>
          <w:szCs w:val="32"/>
          <w:rtl/>
          <w:lang w:bidi="ar-EG"/>
        </w:rPr>
        <w:t xml:space="preserve"> أعمال</w:t>
      </w:r>
    </w:p>
    <w:p w14:paraId="0A25F43C" w14:textId="77777777" w:rsidR="008C7BB4" w:rsidRPr="003F45EE" w:rsidRDefault="008C7BB4" w:rsidP="000F61DD">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2DDA3D51" w14:textId="77777777" w:rsidR="00984196" w:rsidRPr="003F45EE" w:rsidRDefault="00984196" w:rsidP="000F61DD">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3F45EE">
        <w:rPr>
          <w:rFonts w:ascii="Simplified Arabic" w:hAnsi="Simplified Arabic" w:cs="Simplified Arabic"/>
          <w:b/>
          <w:bCs/>
          <w:color w:val="000000" w:themeColor="text1"/>
          <w:sz w:val="40"/>
          <w:szCs w:val="40"/>
          <w:rtl/>
        </w:rPr>
        <w:t>أثر الحوكمة المؤسسية على فعالية الامتثال وتقليل المخاطر القانونية: دراسة ميدانية على الشركات المتوسطة في المملكة العربية</w:t>
      </w:r>
    </w:p>
    <w:p w14:paraId="40672866" w14:textId="77777777" w:rsidR="007B08E2" w:rsidRPr="003F45EE" w:rsidRDefault="007B08E2" w:rsidP="000F61DD">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255A7479" w:rsidR="009125CE" w:rsidRPr="003F45EE" w:rsidRDefault="009125CE" w:rsidP="000F61D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45EE">
        <w:rPr>
          <w:rFonts w:ascii="Simplified Arabic" w:hAnsi="Simplified Arabic" w:cs="Simplified Arabic"/>
          <w:b/>
          <w:bCs/>
          <w:color w:val="000000" w:themeColor="text1"/>
          <w:sz w:val="36"/>
          <w:szCs w:val="36"/>
          <w:rtl/>
          <w:lang w:bidi="ar-EG"/>
        </w:rPr>
        <w:t>إعداد الطالب/</w:t>
      </w:r>
      <w:r w:rsidR="004456CD">
        <w:rPr>
          <w:rFonts w:ascii="Simplified Arabic" w:hAnsi="Simplified Arabic" w:cs="Simplified Arabic"/>
          <w:b/>
          <w:bCs/>
          <w:color w:val="000000" w:themeColor="text1"/>
          <w:sz w:val="36"/>
          <w:szCs w:val="36"/>
          <w:rtl/>
          <w:lang w:bidi="ar-EG"/>
        </w:rPr>
        <w:br/>
      </w:r>
      <w:r w:rsidR="004456CD">
        <w:rPr>
          <w:rFonts w:ascii="Simplified Arabic" w:hAnsi="Simplified Arabic" w:cs="Simplified Arabic" w:hint="cs"/>
          <w:b/>
          <w:bCs/>
          <w:color w:val="000000" w:themeColor="text1"/>
          <w:sz w:val="36"/>
          <w:szCs w:val="36"/>
          <w:rtl/>
          <w:lang w:bidi="ar-EG"/>
        </w:rPr>
        <w:t>ناصر بن هلال الحربي</w:t>
      </w:r>
      <w:r w:rsidR="004456CD">
        <w:rPr>
          <w:rFonts w:ascii="Simplified Arabic" w:hAnsi="Simplified Arabic" w:cs="Simplified Arabic"/>
          <w:b/>
          <w:bCs/>
          <w:color w:val="000000" w:themeColor="text1"/>
          <w:sz w:val="36"/>
          <w:szCs w:val="36"/>
          <w:rtl/>
          <w:lang w:bidi="ar-EG"/>
        </w:rPr>
        <w:br/>
      </w:r>
      <w:r w:rsidR="004456CD">
        <w:rPr>
          <w:rFonts w:ascii="Simplified Arabic" w:hAnsi="Simplified Arabic" w:cs="Simplified Arabic" w:hint="cs"/>
          <w:b/>
          <w:bCs/>
          <w:color w:val="000000" w:themeColor="text1"/>
          <w:sz w:val="36"/>
          <w:szCs w:val="36"/>
          <w:rtl/>
          <w:lang w:bidi="ar-EG"/>
        </w:rPr>
        <w:t>الرقم الجامعي/ 253001868</w:t>
      </w:r>
    </w:p>
    <w:p w14:paraId="0C2ECC59" w14:textId="77777777" w:rsidR="009F3763" w:rsidRPr="003F45EE" w:rsidRDefault="009F3763" w:rsidP="000F61D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A622D72" w14:textId="77777777" w:rsidR="009F3763" w:rsidRPr="003F45EE" w:rsidRDefault="009F3763" w:rsidP="000F61DD">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9F3763" w:rsidRPr="003F45EE" w14:paraId="35214555" w14:textId="77777777" w:rsidTr="009F3763">
        <w:tc>
          <w:tcPr>
            <w:tcW w:w="4530" w:type="dxa"/>
          </w:tcPr>
          <w:p w14:paraId="134D4040" w14:textId="77777777" w:rsidR="009F3763" w:rsidRPr="003F45EE" w:rsidRDefault="009F3763" w:rsidP="009F376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45EE">
              <w:rPr>
                <w:rFonts w:ascii="Simplified Arabic" w:hAnsi="Simplified Arabic" w:cs="Simplified Arabic" w:hint="cs"/>
                <w:b/>
                <w:bCs/>
                <w:color w:val="000000" w:themeColor="text1"/>
                <w:sz w:val="36"/>
                <w:szCs w:val="36"/>
                <w:rtl/>
                <w:lang w:bidi="ar-EG"/>
              </w:rPr>
              <w:t>المشرف الرئيسي/</w:t>
            </w:r>
          </w:p>
        </w:tc>
        <w:tc>
          <w:tcPr>
            <w:tcW w:w="4531" w:type="dxa"/>
          </w:tcPr>
          <w:p w14:paraId="15A6A554" w14:textId="77777777" w:rsidR="009F3763" w:rsidRPr="003F45EE" w:rsidRDefault="009F3763" w:rsidP="009F376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45EE">
              <w:rPr>
                <w:rFonts w:ascii="Simplified Arabic" w:hAnsi="Simplified Arabic" w:cs="Simplified Arabic" w:hint="cs"/>
                <w:b/>
                <w:bCs/>
                <w:color w:val="000000" w:themeColor="text1"/>
                <w:sz w:val="36"/>
                <w:szCs w:val="36"/>
                <w:rtl/>
                <w:lang w:bidi="ar-EG"/>
              </w:rPr>
              <w:t>المشرف الثاني/</w:t>
            </w:r>
          </w:p>
        </w:tc>
      </w:tr>
      <w:tr w:rsidR="009F3763" w:rsidRPr="003F45EE" w14:paraId="24670E8B" w14:textId="77777777" w:rsidTr="009F3763">
        <w:tc>
          <w:tcPr>
            <w:tcW w:w="4530" w:type="dxa"/>
          </w:tcPr>
          <w:p w14:paraId="586DA219" w14:textId="77777777" w:rsidR="009F3763" w:rsidRPr="003F45EE" w:rsidRDefault="009F3763" w:rsidP="009F376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45EE">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0F07938" w14:textId="77777777" w:rsidR="009F3763" w:rsidRPr="003F45EE" w:rsidRDefault="009F3763" w:rsidP="009F376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proofErr w:type="gramStart"/>
            <w:r w:rsidRPr="003F45EE">
              <w:rPr>
                <w:rFonts w:ascii="Simplified Arabic" w:eastAsia="Calibri" w:hAnsi="Simplified Arabic" w:cs="Simplified Arabic"/>
                <w:color w:val="000000" w:themeColor="text1"/>
                <w:kern w:val="0"/>
                <w:sz w:val="36"/>
                <w:szCs w:val="36"/>
                <w:rtl/>
                <w:lang w:bidi="ar-EG"/>
                <w14:ligatures w14:val="none"/>
              </w:rPr>
              <w:t>د.فايز</w:t>
            </w:r>
            <w:proofErr w:type="spellEnd"/>
            <w:proofErr w:type="gramEnd"/>
            <w:r w:rsidRPr="003F45EE">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0A5C2FD" w14:textId="77777777" w:rsidR="009F3763" w:rsidRPr="003F45EE" w:rsidRDefault="009F3763" w:rsidP="009F376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45EE">
        <w:rPr>
          <w:rFonts w:ascii="Simplified Arabic" w:hAnsi="Simplified Arabic" w:cs="Simplified Arabic"/>
          <w:b/>
          <w:bCs/>
          <w:color w:val="000000" w:themeColor="text1"/>
          <w:sz w:val="36"/>
          <w:szCs w:val="36"/>
          <w:rtl/>
          <w:lang w:bidi="ar-EG"/>
        </w:rPr>
        <w:t>العام الدراسي:</w:t>
      </w:r>
    </w:p>
    <w:p w14:paraId="123636BF" w14:textId="77777777" w:rsidR="009F3763" w:rsidRPr="003F45EE" w:rsidRDefault="009F3763" w:rsidP="009F376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3F45EE">
        <w:rPr>
          <w:rFonts w:ascii="Simplified Arabic" w:hAnsi="Simplified Arabic" w:cs="Simplified Arabic" w:hint="cs"/>
          <w:color w:val="000000" w:themeColor="text1"/>
          <w:sz w:val="36"/>
          <w:szCs w:val="36"/>
          <w:rtl/>
          <w:lang w:bidi="ar-EG"/>
        </w:rPr>
        <w:t xml:space="preserve">1448 </w:t>
      </w:r>
      <w:r w:rsidRPr="003F45EE">
        <w:rPr>
          <w:rFonts w:ascii="Simplified Arabic" w:hAnsi="Simplified Arabic" w:cs="Simplified Arabic"/>
          <w:color w:val="000000" w:themeColor="text1"/>
          <w:sz w:val="36"/>
          <w:szCs w:val="36"/>
          <w:rtl/>
          <w:lang w:bidi="ar-EG"/>
        </w:rPr>
        <w:t>–</w:t>
      </w:r>
      <w:r w:rsidRPr="003F45EE">
        <w:rPr>
          <w:rFonts w:ascii="Simplified Arabic" w:hAnsi="Simplified Arabic" w:cs="Simplified Arabic" w:hint="cs"/>
          <w:color w:val="000000" w:themeColor="text1"/>
          <w:sz w:val="36"/>
          <w:szCs w:val="36"/>
          <w:rtl/>
          <w:lang w:bidi="ar-EG"/>
        </w:rPr>
        <w:t xml:space="preserve"> 2026</w:t>
      </w:r>
    </w:p>
    <w:p w14:paraId="3E9621E5" w14:textId="77777777" w:rsidR="009F3763" w:rsidRPr="003F45EE" w:rsidRDefault="009F3763" w:rsidP="009F376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9F3763" w:rsidRPr="003F45EE" w:rsidSect="009F3763">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C804A91" w14:textId="169B6A83" w:rsidR="009F3763" w:rsidRPr="003F45EE" w:rsidRDefault="009F3763" w:rsidP="009F3763">
      <w:pPr>
        <w:pStyle w:val="a8"/>
        <w:bidi/>
        <w:spacing w:line="276" w:lineRule="auto"/>
        <w:jc w:val="center"/>
        <w:outlineLvl w:val="0"/>
        <w:rPr>
          <w:rFonts w:ascii="Simplified Arabic" w:hAnsi="Simplified Arabic" w:cs="Simplified Arabic"/>
          <w:b/>
          <w:bCs/>
          <w:color w:val="000000" w:themeColor="text1"/>
          <w:sz w:val="40"/>
          <w:szCs w:val="40"/>
          <w:rtl/>
        </w:rPr>
      </w:pPr>
      <w:bookmarkStart w:id="0" w:name="_Toc233971158"/>
      <w:bookmarkStart w:id="1" w:name="_Hlk172151144"/>
      <w:bookmarkStart w:id="2" w:name="_Toc169790489"/>
      <w:r w:rsidRPr="003F45EE">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019ED6C6" w14:textId="480D5EDA" w:rsidR="000F61DD" w:rsidRPr="003F45EE" w:rsidRDefault="009F3763" w:rsidP="009F3763">
      <w:pPr>
        <w:pStyle w:val="a8"/>
        <w:bidi/>
        <w:spacing w:line="276" w:lineRule="auto"/>
        <w:jc w:val="both"/>
        <w:outlineLvl w:val="1"/>
        <w:rPr>
          <w:rFonts w:ascii="Simplified Arabic" w:hAnsi="Simplified Arabic" w:cs="Simplified Arabic"/>
          <w:b/>
          <w:bCs/>
          <w:color w:val="000000" w:themeColor="text1"/>
          <w:sz w:val="36"/>
          <w:szCs w:val="36"/>
          <w:rtl/>
        </w:rPr>
      </w:pPr>
      <w:bookmarkStart w:id="3" w:name="_Toc233971159"/>
      <w:r w:rsidRPr="003F45EE">
        <w:rPr>
          <w:rFonts w:ascii="Simplified Arabic" w:hAnsi="Simplified Arabic" w:cs="Simplified Arabic" w:hint="cs"/>
          <w:b/>
          <w:bCs/>
          <w:color w:val="000000" w:themeColor="text1"/>
          <w:sz w:val="36"/>
          <w:szCs w:val="36"/>
          <w:rtl/>
        </w:rPr>
        <w:t>1.1 المقدمة</w:t>
      </w:r>
      <w:bookmarkEnd w:id="3"/>
    </w:p>
    <w:p w14:paraId="14A46FDB" w14:textId="4936D7B1"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 xml:space="preserve">شهدت بيئة الأعمال العالمية خلال العقود الأخيرة تحوّلات جذرية في أُطرها التنظيمية والتشريعية، فرضت على المؤسسات بمختلف أحجامها تبنّي منظومات إدارية أكثر انضباطاً وشفافية لضمان استدامتها وتعزيز ثقة أصحاب المصلحة فيها. وقد أفرزت هذه التحوّلات اهتماماً أكاديمياً ومهنياً متزايداً بمفهوم الحوكمة المؤسسية بوصفها الإطار المرجعي الذي يُنظّم العلاقة بين الأطراف الفاعلة داخل المنظمة ويضمن تحقيق التوازن بين مصالحها المتعددة، وقد تعاظم هذا الاهتمام بشكل خاص في الاقتصادات الناشئة التي تسعى إلى استقطاب الاستثمارات وتحسين مناخ الأعمال </w:t>
      </w:r>
      <w:r w:rsidRPr="003F45EE">
        <w:rPr>
          <w:rFonts w:ascii="Simplified Arabic" w:hAnsi="Simplified Arabic" w:cs="Simplified Arabic"/>
          <w:color w:val="000000" w:themeColor="text1"/>
          <w:sz w:val="28"/>
          <w:szCs w:val="28"/>
        </w:rPr>
        <w:t>(</w:t>
      </w:r>
      <w:proofErr w:type="spellStart"/>
      <w:r w:rsidRPr="003F45EE">
        <w:rPr>
          <w:rFonts w:ascii="Simplified Arabic" w:hAnsi="Simplified Arabic" w:cs="Simplified Arabic"/>
          <w:color w:val="000000" w:themeColor="text1"/>
          <w:sz w:val="28"/>
          <w:szCs w:val="28"/>
        </w:rPr>
        <w:t>Boshnak</w:t>
      </w:r>
      <w:proofErr w:type="spellEnd"/>
      <w:r w:rsidRPr="003F45EE">
        <w:rPr>
          <w:rFonts w:ascii="Simplified Arabic" w:hAnsi="Simplified Arabic" w:cs="Simplified Arabic"/>
          <w:color w:val="000000" w:themeColor="text1"/>
          <w:sz w:val="28"/>
          <w:szCs w:val="28"/>
        </w:rPr>
        <w:t>, 2021).</w:t>
      </w:r>
    </w:p>
    <w:p w14:paraId="0363E1C7" w14:textId="77777777"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وتُعدّ الحوكمة المؤسسية منظومة متكاملة من المبادئ والآليات التي تشمل الشفافية والإفصاح والمساءلة واستقلالية مجالس الإدارة والرقابة الداخلية، وتعمل مجتمعة على توجيه المؤسسات نحو الالتزام بالمعايير القانونية والأخلاقية وتحسين جودة القرارات الإدارية والمالية</w:t>
      </w:r>
      <w:r w:rsidRPr="003F45EE">
        <w:rPr>
          <w:rFonts w:ascii="Simplified Arabic" w:hAnsi="Simplified Arabic" w:cs="Simplified Arabic"/>
          <w:color w:val="000000" w:themeColor="text1"/>
          <w:sz w:val="28"/>
          <w:szCs w:val="28"/>
        </w:rPr>
        <w:t xml:space="preserve">. </w:t>
      </w:r>
      <w:r w:rsidRPr="003F45EE">
        <w:rPr>
          <w:rFonts w:ascii="Simplified Arabic" w:hAnsi="Simplified Arabic" w:cs="Simplified Arabic"/>
          <w:color w:val="000000" w:themeColor="text1"/>
          <w:sz w:val="28"/>
          <w:szCs w:val="28"/>
          <w:rtl/>
        </w:rPr>
        <w:t xml:space="preserve">وفي هذا السياق، أكّدت الأدبيات الأكاديمية أنّ تطبيق مبادئ الحوكمة يُسهم في رفع مستوى الإفصاح وتحسين جودة التقارير المالية وتعزيز كفاءة الرقابة الداخلية، مما ينعكس إيجاباً على أداء المؤسسات ومكانتها السوقية (البلوي، </w:t>
      </w:r>
      <w:r w:rsidRPr="003F45EE">
        <w:rPr>
          <w:rFonts w:ascii="Simplified Arabic" w:hAnsi="Simplified Arabic" w:cs="Simplified Arabic"/>
          <w:color w:val="000000" w:themeColor="text1"/>
          <w:sz w:val="28"/>
          <w:szCs w:val="28"/>
        </w:rPr>
        <w:t xml:space="preserve">2025). </w:t>
      </w:r>
      <w:r w:rsidRPr="003F45EE">
        <w:rPr>
          <w:rFonts w:ascii="Simplified Arabic" w:hAnsi="Simplified Arabic" w:cs="Simplified Arabic"/>
          <w:color w:val="000000" w:themeColor="text1"/>
          <w:sz w:val="28"/>
          <w:szCs w:val="28"/>
          <w:rtl/>
        </w:rPr>
        <w:t>كما أظهرت دراسات أخرى أنّ خصائص مجالس الإدارة ولجان المراجعة من حيث الحجم والاستقلالية والتأهيل تُؤثّر تأثيراً جوهرياً في فعالية الأداء المؤسسي</w:t>
      </w:r>
      <w:r w:rsidRPr="003F45EE">
        <w:rPr>
          <w:rFonts w:ascii="Simplified Arabic" w:hAnsi="Simplified Arabic" w:cs="Simplified Arabic"/>
          <w:color w:val="000000" w:themeColor="text1"/>
          <w:sz w:val="28"/>
          <w:szCs w:val="28"/>
        </w:rPr>
        <w:t xml:space="preserve"> (Bagais &amp; </w:t>
      </w:r>
      <w:proofErr w:type="spellStart"/>
      <w:r w:rsidRPr="003F45EE">
        <w:rPr>
          <w:rFonts w:ascii="Simplified Arabic" w:hAnsi="Simplified Arabic" w:cs="Simplified Arabic"/>
          <w:color w:val="000000" w:themeColor="text1"/>
          <w:sz w:val="28"/>
          <w:szCs w:val="28"/>
        </w:rPr>
        <w:t>Aljaaidi</w:t>
      </w:r>
      <w:proofErr w:type="spellEnd"/>
      <w:r w:rsidRPr="003F45EE">
        <w:rPr>
          <w:rFonts w:ascii="Simplified Arabic" w:hAnsi="Simplified Arabic" w:cs="Simplified Arabic"/>
          <w:color w:val="000000" w:themeColor="text1"/>
          <w:sz w:val="28"/>
          <w:szCs w:val="28"/>
        </w:rPr>
        <w:t>, 2020).</w:t>
      </w:r>
    </w:p>
    <w:p w14:paraId="29D95221" w14:textId="7F9CB608" w:rsidR="00984196" w:rsidRPr="003F45EE" w:rsidRDefault="00F17434" w:rsidP="009F3763">
      <w:pPr>
        <w:pStyle w:val="a8"/>
        <w:bidi/>
        <w:spacing w:line="276" w:lineRule="auto"/>
        <w:ind w:firstLine="424"/>
        <w:jc w:val="both"/>
        <w:rPr>
          <w:rFonts w:ascii="Simplified Arabic" w:hAnsi="Simplified Arabic" w:cs="Simplified Arabic"/>
          <w:color w:val="000000" w:themeColor="text1"/>
          <w:sz w:val="28"/>
          <w:szCs w:val="28"/>
        </w:rPr>
      </w:pPr>
      <w:proofErr w:type="gramStart"/>
      <w:r w:rsidRPr="003F45EE">
        <w:rPr>
          <w:rFonts w:ascii="Simplified Arabic" w:hAnsi="Simplified Arabic" w:cs="Simplified Arabic"/>
          <w:color w:val="000000" w:themeColor="text1"/>
          <w:sz w:val="28"/>
          <w:szCs w:val="28"/>
          <w:rtl/>
        </w:rPr>
        <w:t>و</w:t>
      </w:r>
      <w:r w:rsidR="00984196" w:rsidRPr="003F45EE">
        <w:rPr>
          <w:rFonts w:ascii="Simplified Arabic" w:hAnsi="Simplified Arabic" w:cs="Simplified Arabic"/>
          <w:color w:val="000000" w:themeColor="text1"/>
          <w:sz w:val="28"/>
          <w:szCs w:val="28"/>
          <w:rtl/>
        </w:rPr>
        <w:t xml:space="preserve"> يُمثّل</w:t>
      </w:r>
      <w:proofErr w:type="gramEnd"/>
      <w:r w:rsidR="00984196" w:rsidRPr="003F45EE">
        <w:rPr>
          <w:rFonts w:ascii="Simplified Arabic" w:hAnsi="Simplified Arabic" w:cs="Simplified Arabic"/>
          <w:color w:val="000000" w:themeColor="text1"/>
          <w:sz w:val="28"/>
          <w:szCs w:val="28"/>
          <w:rtl/>
        </w:rPr>
        <w:t xml:space="preserve"> الامتثال التنظيمي وتقليل المخاطر القانونية ركيزة أساسية لاستمرارية المؤسسات في بيئة تنظيمية متزايدة التعقيد، إذ يتجاوز مفهوم الامتثال الحديث مجرّد الالتزام الشكلي بالقوانين واللوائح ليشمل بناء ثقافة مؤسسية استباقية تُدمج إدارة المخاطر القانونية في صُلب العمليات التشغيلية والاستراتيجية للمنظمة. وقد أوضحت الدراسات أنّ المراجعة الداخلية الاستباقية تُسهم بشكل فعّال في الحدّ من المخاطر المالية والتشغيلية، مما يُعزّز من الاستقرار المؤسسي ويُقلّل من التعرّض للنزاعات القانونية (بخيت موسى، 2025). وفي السياق ذاته، أشارت أدبيات إدارة المخاطر القانونية إلى أنّ تبنّي أُطر امتثال متكاملة يُخفّض من احتمالية التقاضي والغرامات التنظيمية ويُحصّن المؤسسات من التبعات القانونية المكلفة</w:t>
      </w:r>
      <w:r w:rsidR="00984196" w:rsidRPr="003F45EE">
        <w:rPr>
          <w:rFonts w:ascii="Simplified Arabic" w:hAnsi="Simplified Arabic" w:cs="Simplified Arabic"/>
          <w:color w:val="000000" w:themeColor="text1"/>
          <w:sz w:val="28"/>
          <w:szCs w:val="28"/>
        </w:rPr>
        <w:t xml:space="preserve"> (Ramesh, 2022).</w:t>
      </w:r>
    </w:p>
    <w:p w14:paraId="113096BB" w14:textId="3A0051A2"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lastRenderedPageBreak/>
        <w:t>إذ تُشكّل الحوكمة المؤسسية بأبعادها المختلفة البنية التحتية التي تقوم عليها فعالية الامتثال وتقليل المخاطر القانونية، فالشفافية تُتيح الكشف المبكر عن الانحرافات، والمساءلة تُعزّز الانضباط التنظيمي، واستقلالية مجلس الإدارة تضمن نزاهة القرار الرقابي، والرقابة الداخلية تُوفّر خطوط الدفاع اللازمة لإدارة المخاطر. وقد أكّدت الدراسات الحديثة أنّ تكامل نموذج الحوكمة وإدارة المخاطر والامتثال</w:t>
      </w:r>
      <w:r w:rsidRPr="003F45EE">
        <w:rPr>
          <w:rFonts w:ascii="Simplified Arabic" w:hAnsi="Simplified Arabic" w:cs="Simplified Arabic"/>
          <w:color w:val="000000" w:themeColor="text1"/>
          <w:sz w:val="28"/>
          <w:szCs w:val="28"/>
        </w:rPr>
        <w:t xml:space="preserve"> (GRC) </w:t>
      </w:r>
      <w:r w:rsidRPr="003F45EE">
        <w:rPr>
          <w:rFonts w:ascii="Simplified Arabic" w:hAnsi="Simplified Arabic" w:cs="Simplified Arabic"/>
          <w:color w:val="000000" w:themeColor="text1"/>
          <w:sz w:val="28"/>
          <w:szCs w:val="28"/>
          <w:rtl/>
        </w:rPr>
        <w:t>يُحقّق نتائج أفضل بكثير من تطبيق كل عنصر على حدة</w:t>
      </w:r>
      <w:r w:rsidRPr="003F45EE">
        <w:rPr>
          <w:rFonts w:ascii="Simplified Arabic" w:hAnsi="Simplified Arabic" w:cs="Simplified Arabic"/>
          <w:color w:val="000000" w:themeColor="text1"/>
          <w:sz w:val="28"/>
          <w:szCs w:val="28"/>
        </w:rPr>
        <w:t xml:space="preserve"> (Hasan &amp; </w:t>
      </w:r>
      <w:proofErr w:type="spellStart"/>
      <w:r w:rsidRPr="003F45EE">
        <w:rPr>
          <w:rFonts w:ascii="Simplified Arabic" w:hAnsi="Simplified Arabic" w:cs="Simplified Arabic"/>
          <w:color w:val="000000" w:themeColor="text1"/>
          <w:sz w:val="28"/>
          <w:szCs w:val="28"/>
        </w:rPr>
        <w:t>Brüh</w:t>
      </w:r>
      <w:r w:rsidRPr="003F45EE">
        <w:rPr>
          <w:rFonts w:ascii="Cambria" w:hAnsi="Cambria" w:cs="Cambria"/>
          <w:color w:val="000000" w:themeColor="text1"/>
          <w:sz w:val="28"/>
          <w:szCs w:val="28"/>
        </w:rPr>
        <w:t>ö</w:t>
      </w:r>
      <w:r w:rsidRPr="003F45EE">
        <w:rPr>
          <w:rFonts w:ascii="Simplified Arabic" w:hAnsi="Simplified Arabic" w:cs="Simplified Arabic"/>
          <w:color w:val="000000" w:themeColor="text1"/>
          <w:sz w:val="28"/>
          <w:szCs w:val="28"/>
        </w:rPr>
        <w:t>fener</w:t>
      </w:r>
      <w:proofErr w:type="spellEnd"/>
      <w:r w:rsidRPr="003F45EE">
        <w:rPr>
          <w:rFonts w:ascii="Simplified Arabic" w:hAnsi="Simplified Arabic" w:cs="Simplified Arabic"/>
          <w:color w:val="000000" w:themeColor="text1"/>
          <w:sz w:val="28"/>
          <w:szCs w:val="28"/>
        </w:rPr>
        <w:t>, 2025).</w:t>
      </w:r>
    </w:p>
    <w:p w14:paraId="10133624" w14:textId="2FCC8CD6"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 xml:space="preserve">وفي ضوء ما تقدّم، وانطلاقاً من الأهمية المتنامية للشركات المتوسطة في الاقتصاد السعودي ودورها المحوري في تحقيق مستهدفات رؤية 2030، تأتي هذه الدراسة لتفحص أثر الحوكمة المؤسسية بأبعادها الأربعة على فعالية الامتثال وتقليل المخاطر القانونية في هذه الشركات، ساعيةً إلى تقديم إسهام علمي وعملي يُثري المعرفة الأكاديمية ويدعم صنّاع القرار في تعزيز منظومة الحوكمة </w:t>
      </w:r>
      <w:proofErr w:type="gramStart"/>
      <w:r w:rsidRPr="003F45EE">
        <w:rPr>
          <w:rFonts w:ascii="Simplified Arabic" w:hAnsi="Simplified Arabic" w:cs="Simplified Arabic"/>
          <w:color w:val="000000" w:themeColor="text1"/>
          <w:sz w:val="28"/>
          <w:szCs w:val="28"/>
          <w:rtl/>
        </w:rPr>
        <w:t xml:space="preserve">والامتثال </w:t>
      </w:r>
      <w:r w:rsidR="00F17434" w:rsidRPr="003F45EE">
        <w:rPr>
          <w:rFonts w:ascii="Simplified Arabic" w:hAnsi="Simplified Arabic" w:cs="Simplified Arabic"/>
          <w:color w:val="000000" w:themeColor="text1"/>
          <w:sz w:val="28"/>
          <w:szCs w:val="28"/>
          <w:rtl/>
        </w:rPr>
        <w:t>.</w:t>
      </w:r>
      <w:proofErr w:type="gramEnd"/>
    </w:p>
    <w:p w14:paraId="225C15CA" w14:textId="407A57D3" w:rsidR="009F3763" w:rsidRPr="003F45EE" w:rsidRDefault="009F3763" w:rsidP="009F3763">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971160"/>
      <w:bookmarkStart w:id="5" w:name="_Toc169790500"/>
      <w:bookmarkEnd w:id="1"/>
      <w:bookmarkEnd w:id="2"/>
      <w:r w:rsidRPr="003F45EE">
        <w:rPr>
          <w:rFonts w:ascii="Simplified Arabic" w:hAnsi="Simplified Arabic" w:cs="Simplified Arabic"/>
          <w:b/>
          <w:bCs/>
          <w:color w:val="000000" w:themeColor="text1"/>
          <w:sz w:val="36"/>
          <w:szCs w:val="36"/>
          <w:rtl/>
        </w:rPr>
        <w:t>2.1 مشكلة الدراسة</w:t>
      </w:r>
      <w:bookmarkEnd w:id="4"/>
    </w:p>
    <w:p w14:paraId="111B44F5" w14:textId="77777777"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تُعدّ الحوكمة المؤسسية من أبرز الركائز التي تقوم عليها البيئة التنظيمية السليمة في المؤسسات المعاصرة، إذ تُشكّل الإطار الذي يُنظّم العلاقة بين الأطراف المختلفة داخل المنظمة ويضمن تحقيق التوازن بين مصالحها المتباينة، ويُرسي قواعد الشفافية والمساءلة والرقابة الفعّالة التي تحول دون الانحرافات الإدارية والمالية والقانونية. وقد تنامى الاهتمام العالمي بالحوكمة المؤسسية بصورة لافتة في أعقاب الأزمات المالية الكبرى والانهيارات المؤسسية التي شهدها العالم، والتي كشفت عن هشاشة الأنظمة الرقابية وضعف آليات الامتثال في كثير من المنظمات، مما أفضى إلى خسائر مالية فادحة ونزاعات قانونية مكلفة أضرّت بثقة المستثمرين وأصحاب المصلحة على حدٍّ سواء</w:t>
      </w:r>
      <w:r w:rsidRPr="003F45EE">
        <w:rPr>
          <w:rFonts w:ascii="Simplified Arabic" w:hAnsi="Simplified Arabic" w:cs="Simplified Arabic"/>
          <w:color w:val="000000" w:themeColor="text1"/>
          <w:sz w:val="28"/>
          <w:szCs w:val="28"/>
        </w:rPr>
        <w:t>.</w:t>
      </w:r>
    </w:p>
    <w:p w14:paraId="5E311556" w14:textId="716DE094"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وفي سياق المملكة العربية السعودية، وفي ظل التحوّلات الجوهرية التي تشهدها بيئة الأعمال تنفيذاً لمستهدفات رؤية 2030 الرامية إلى تنويع مصادر الدخل وتعزيز مناخ الاستثمار ورفع مستوى الحوكمة والشفافية، تبرز الشركات المتوسطة بوصفها عنصراً محورياً في المنظومة الاقتصادية الوطنية، إذ تُسهم بنسبة تتجاوز 20% من الناتج المحلي الإجمالي غير النفطي وتستوعب شريحة واسعة من القوى العاملة. غير أنّ الملاحظات الميدانية والتقارير الرقابية الصادرة عن الجهات التنظيمية تُشير إلى أنّ كثيراً من هذه الشركات لا تزال تعاني من قصور واضح في تطبيق ممارسات الحوكمة المؤسسية الرشيدة، وهو ما ينعكس سلباً على مستوى الامتثال التنظيمي ويُعرّضها لمخاطر قانونية متعددة الأوجه</w:t>
      </w:r>
      <w:r w:rsidRPr="003F45EE">
        <w:rPr>
          <w:rFonts w:ascii="Simplified Arabic" w:hAnsi="Simplified Arabic" w:cs="Simplified Arabic"/>
          <w:color w:val="000000" w:themeColor="text1"/>
          <w:sz w:val="28"/>
          <w:szCs w:val="28"/>
        </w:rPr>
        <w:t>.</w:t>
      </w:r>
    </w:p>
    <w:p w14:paraId="1C0C7623" w14:textId="77777777"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lastRenderedPageBreak/>
        <w:t>وتتجلّى المشكلة البحثية في أنّ الشركات المتوسطة السعودية تواجه تحديات جوهرية تتمثّل في ضعف آليات الشفافية والإفصاح عن المعلومات المالية وغير المالية، وغياب أو محدودية أنظمة المساءلة والمحاسبة الفعّالة، وتداخل الصلاحيات بين مجالس الإدارة والإدارات التنفيذية مما يُقوّض استقلالية القرار الرقابي، فضلاً عن عدم نضج أنظمة الرقابة الداخلية وإدارة المخاطر بالقدر الذي يتناسب مع حجم التعقيدات التنظيمية والقانونية المتزايدة. وقد ترتّب على هذا القصور تزايد حالات المخالفات التنظيمية والغرامات المالية والنزاعات القانونية التي تتكبّدها هذه الشركات، مما يُهدّد استمراريتها ويُضعف قدرتها التنافسية ويُقلّل من جاذبيتها للمستثمرين والمموّلين</w:t>
      </w:r>
      <w:r w:rsidRPr="003F45EE">
        <w:rPr>
          <w:rFonts w:ascii="Simplified Arabic" w:hAnsi="Simplified Arabic" w:cs="Simplified Arabic"/>
          <w:color w:val="000000" w:themeColor="text1"/>
          <w:sz w:val="28"/>
          <w:szCs w:val="28"/>
        </w:rPr>
        <w:t>.</w:t>
      </w:r>
    </w:p>
    <w:p w14:paraId="251CD3CA" w14:textId="77777777"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وعلى الرغم من تزايد الأدبيات الأكاديمية التي تناولت الحوكمة المؤسسية وعلاقتها بالأداء المالي والإداري، إلا أنّ الدراسات التي ربطت بشكل مباشر بين أبعاد الحوكمة المؤسسية مجتمعة وبين فعالية الامتثال وتقليل المخاطر القانونية تبقى محدودة ونادرة، لا سيّما في سياق الشركات المتوسطة التي تختلف اختلافاً جوهرياً عن الشركات الكبرى المدرجة في أسواق المال من حيث الموارد والهياكل التنظيمية والبيئة الرقابية. كما أنّ معظم الدراسات السابقة تركّزت على أسواق غربية أو على الشركات الكبرى المدرجة في السوق المالي السعودي، مما يُخلّف فجوة بحثية واضحة في فهم ديناميكيات الحوكمة والامتثال والمخاطر القانونية في بيئة الشركات المتوسطة السعودية</w:t>
      </w:r>
      <w:r w:rsidRPr="003F45EE">
        <w:rPr>
          <w:rFonts w:ascii="Simplified Arabic" w:hAnsi="Simplified Arabic" w:cs="Simplified Arabic"/>
          <w:color w:val="000000" w:themeColor="text1"/>
          <w:sz w:val="28"/>
          <w:szCs w:val="28"/>
        </w:rPr>
        <w:t>.</w:t>
      </w:r>
    </w:p>
    <w:p w14:paraId="5DF5B343" w14:textId="77777777" w:rsidR="00984196" w:rsidRPr="003F45EE" w:rsidRDefault="0098419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وعليه، تتبلور مشكلة الدراسة في التساؤل الرئيسي التالي</w:t>
      </w:r>
      <w:r w:rsidRPr="003F45EE">
        <w:rPr>
          <w:rFonts w:ascii="Simplified Arabic" w:hAnsi="Simplified Arabic" w:cs="Simplified Arabic"/>
          <w:color w:val="000000" w:themeColor="text1"/>
          <w:sz w:val="28"/>
          <w:szCs w:val="28"/>
        </w:rPr>
        <w:t xml:space="preserve">: </w:t>
      </w:r>
      <w:r w:rsidRPr="003F45EE">
        <w:rPr>
          <w:rStyle w:val="a9"/>
          <w:rFonts w:ascii="Simplified Arabic" w:hAnsi="Simplified Arabic" w:cs="Simplified Arabic"/>
          <w:b w:val="0"/>
          <w:bCs w:val="0"/>
          <w:color w:val="000000" w:themeColor="text1"/>
          <w:sz w:val="28"/>
          <w:szCs w:val="28"/>
          <w:rtl/>
        </w:rPr>
        <w:t>ما أثر الحوكمة المؤسسية بأبعادها (الشفافية والإفصاح، المساءلة والمحاسبة، استقلالية مجلس الإدارة، الرقابة الداخلية وإدارة المخاطر) على فعالية الامتثال وتقليل المخاطر القانونية في الشركات المتوسطة بالمملكة العربية السعودية؟</w:t>
      </w:r>
    </w:p>
    <w:p w14:paraId="7684B7B5" w14:textId="5CC9709B" w:rsidR="009F3763" w:rsidRPr="003F45EE" w:rsidRDefault="009F3763" w:rsidP="009F376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971161"/>
      <w:r w:rsidRPr="003F45EE">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5D82FF42" w14:textId="77777777" w:rsidR="00984196" w:rsidRPr="003F45EE" w:rsidRDefault="00984196"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تهدف هذه الدراسة إلى الكشف عن أثر الحوكمة المؤسسية بأبعادها (الشفافية والإفصاح، المساءلة والمحاسبة، استقلالية مجلس الإدارة، الرقابة الداخلية وإدارة المخاطر)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3623FD64" w14:textId="77777777" w:rsidR="00984196" w:rsidRPr="003F45EE" w:rsidRDefault="00984196" w:rsidP="000F61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45EE">
        <w:rPr>
          <w:rFonts w:ascii="Simplified Arabic" w:eastAsia="Times New Roman" w:hAnsi="Simplified Arabic" w:cs="Simplified Arabic"/>
          <w:b/>
          <w:bCs/>
          <w:color w:val="000000" w:themeColor="text1"/>
          <w:kern w:val="0"/>
          <w:sz w:val="28"/>
          <w:szCs w:val="28"/>
          <w:rtl/>
          <w14:ligatures w14:val="none"/>
        </w:rPr>
        <w:t>يتفرّع من الهدف الرئيسي الأهداف الفرعية التالية</w:t>
      </w:r>
      <w:r w:rsidRPr="003F45EE">
        <w:rPr>
          <w:rFonts w:ascii="Simplified Arabic" w:eastAsia="Times New Roman" w:hAnsi="Simplified Arabic" w:cs="Simplified Arabic"/>
          <w:b/>
          <w:bCs/>
          <w:color w:val="000000" w:themeColor="text1"/>
          <w:kern w:val="0"/>
          <w:sz w:val="28"/>
          <w:szCs w:val="28"/>
          <w14:ligatures w14:val="none"/>
        </w:rPr>
        <w:t>:</w:t>
      </w:r>
    </w:p>
    <w:p w14:paraId="1DBCB8BA" w14:textId="77777777" w:rsidR="00984196" w:rsidRPr="003F45EE" w:rsidRDefault="00984196" w:rsidP="00B20E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التعرّف على مستوى تطبيق الحوكمة المؤسسية بأبعادها الأربعة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6C07716A" w14:textId="77777777" w:rsidR="00984196" w:rsidRPr="003F45EE" w:rsidRDefault="00984196" w:rsidP="00B20E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تحديد مستوى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7496D209" w14:textId="77777777" w:rsidR="00984196" w:rsidRPr="003F45EE" w:rsidRDefault="00984196" w:rsidP="00B20E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قياس أثر الشفافية والإفصاح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59049E13" w14:textId="77777777" w:rsidR="00984196" w:rsidRPr="003F45EE" w:rsidRDefault="00984196" w:rsidP="00B20E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قياس أثر المساءلة والمحاسبة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21313404" w14:textId="77777777" w:rsidR="00984196" w:rsidRPr="003F45EE" w:rsidRDefault="00984196" w:rsidP="00B20E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قياس أثر استقلالية مجلس الإدارة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77A5539E" w14:textId="77777777" w:rsidR="00984196" w:rsidRPr="003F45EE" w:rsidRDefault="00984196" w:rsidP="00B20E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قياس أثر الرقابة الداخلية وإدارة المخاطر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2DD30E00" w14:textId="77777777" w:rsidR="00984196" w:rsidRPr="003F45EE" w:rsidRDefault="00984196" w:rsidP="00B20E47">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تقديم تصوّر مقترح وتوصيات عملية لتعزيز ممارسات الحوكمة المؤسسية بما يدعم فعالية الامتثال ويُقلّل من المخاطر القانونية في الشركات المتوسطة بالمملكة العربية السعودية في ضوء متطلبات رؤية 2030</w:t>
      </w:r>
      <w:r w:rsidRPr="003F45EE">
        <w:rPr>
          <w:rFonts w:ascii="Simplified Arabic" w:eastAsia="Times New Roman" w:hAnsi="Simplified Arabic" w:cs="Simplified Arabic"/>
          <w:color w:val="000000" w:themeColor="text1"/>
          <w:kern w:val="0"/>
          <w:sz w:val="28"/>
          <w:szCs w:val="28"/>
          <w14:ligatures w14:val="none"/>
        </w:rPr>
        <w:t>.</w:t>
      </w:r>
    </w:p>
    <w:p w14:paraId="780DF696" w14:textId="77777777" w:rsidR="009F3763" w:rsidRPr="003F45EE" w:rsidRDefault="009F3763" w:rsidP="009F376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971162"/>
      <w:r w:rsidRPr="003F45EE">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49A95D49" w14:textId="4AB9DDB7" w:rsidR="009F3763" w:rsidRPr="003F45EE" w:rsidRDefault="009F3763" w:rsidP="009F376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45EE">
        <w:rPr>
          <w:rFonts w:ascii="Simplified Arabic" w:eastAsia="Times New Roman" w:hAnsi="Simplified Arabic" w:cs="Simplified Arabic"/>
          <w:b/>
          <w:bCs/>
          <w:color w:val="000000" w:themeColor="text1"/>
          <w:kern w:val="0"/>
          <w:sz w:val="32"/>
          <w:szCs w:val="32"/>
          <w:rtl/>
          <w14:ligatures w14:val="none"/>
        </w:rPr>
        <w:t>السؤال الرئيسي</w:t>
      </w:r>
    </w:p>
    <w:p w14:paraId="4356A53C" w14:textId="59D5DE97" w:rsidR="00984196" w:rsidRPr="003F45EE" w:rsidRDefault="00984196"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ما أثر الحوكمة المؤسسية بأبعادها </w:t>
      </w:r>
      <w:r w:rsidR="009F3763" w:rsidRPr="003F45EE">
        <w:rPr>
          <w:rFonts w:ascii="Simplified Arabic" w:eastAsia="Times New Roman" w:hAnsi="Simplified Arabic" w:cs="Simplified Arabic" w:hint="cs"/>
          <w:color w:val="000000" w:themeColor="text1"/>
          <w:kern w:val="0"/>
          <w:sz w:val="28"/>
          <w:szCs w:val="28"/>
          <w:rtl/>
          <w14:ligatures w14:val="none"/>
        </w:rPr>
        <w:t>(</w:t>
      </w:r>
      <w:r w:rsidRPr="003F45EE">
        <w:rPr>
          <w:rFonts w:ascii="Simplified Arabic" w:eastAsia="Times New Roman" w:hAnsi="Simplified Arabic" w:cs="Simplified Arabic"/>
          <w:color w:val="000000" w:themeColor="text1"/>
          <w:kern w:val="0"/>
          <w:sz w:val="28"/>
          <w:szCs w:val="28"/>
          <w:rtl/>
          <w14:ligatures w14:val="none"/>
        </w:rPr>
        <w:t>الشفافية والإفصاح، المساءلة والمحاسبة، استقلالية مجلس الإدارة، الرقابة الداخلية وإدارة المخاطر) على فعالية الامتثال وتقليل المخاطر القانونية في الشركات المتوسطة بالمملكة العربية السعودية؟</w:t>
      </w:r>
    </w:p>
    <w:p w14:paraId="6E0DB6A7" w14:textId="77777777" w:rsidR="00984196" w:rsidRPr="003F45EE" w:rsidRDefault="00984196" w:rsidP="009F376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3935782"/>
      <w:r w:rsidRPr="003F45EE">
        <w:rPr>
          <w:rFonts w:ascii="Simplified Arabic" w:eastAsia="Times New Roman" w:hAnsi="Simplified Arabic" w:cs="Simplified Arabic"/>
          <w:b/>
          <w:bCs/>
          <w:color w:val="000000" w:themeColor="text1"/>
          <w:kern w:val="0"/>
          <w:sz w:val="32"/>
          <w:szCs w:val="32"/>
          <w:rtl/>
          <w14:ligatures w14:val="none"/>
        </w:rPr>
        <w:t>الأسئلة الفرعية</w:t>
      </w:r>
      <w:bookmarkEnd w:id="8"/>
    </w:p>
    <w:p w14:paraId="1F2505ED" w14:textId="77777777" w:rsidR="00984196" w:rsidRPr="003F45EE" w:rsidRDefault="00984196" w:rsidP="00B20E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ما مستوى تطبيق الحوكمة المؤسسية بأبعادها الأربعة في الشركات المتوسطة بالمملكة العربية السعودية؟</w:t>
      </w:r>
    </w:p>
    <w:p w14:paraId="6A61263E" w14:textId="77777777" w:rsidR="00984196" w:rsidRPr="003F45EE" w:rsidRDefault="00984196" w:rsidP="00B20E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ما مستوى فعالية الامتثال وتقليل المخاطر القانونية في الشركات المتوسطة بالمملكة العربية السعودية؟</w:t>
      </w:r>
    </w:p>
    <w:p w14:paraId="2C050DDD" w14:textId="77777777" w:rsidR="00984196" w:rsidRPr="003F45EE" w:rsidRDefault="00984196" w:rsidP="00B20E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ما أثر الشفافية والإفصاح على فعالية الامتثال وتقليل المخاطر القانونية في الشركات المتوسطة بالمملكة العربية السعودية؟</w:t>
      </w:r>
    </w:p>
    <w:p w14:paraId="58F19BFE" w14:textId="77777777" w:rsidR="00984196" w:rsidRPr="003F45EE" w:rsidRDefault="00984196" w:rsidP="00B20E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ما أثر المساءلة والمحاسبة على فعالية الامتثال وتقليل المخاطر القانونية في الشركات المتوسطة بالمملكة العربية السعودية؟</w:t>
      </w:r>
    </w:p>
    <w:p w14:paraId="47FA4EC4" w14:textId="77777777" w:rsidR="00984196" w:rsidRPr="003F45EE" w:rsidRDefault="00984196" w:rsidP="00B20E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ما أثر استقلالية مجلس الإدارة على فعالية الامتثال وتقليل المخاطر القانونية في الشركات المتوسطة بالمملكة العربية السعودية؟</w:t>
      </w:r>
    </w:p>
    <w:p w14:paraId="68AC99D4" w14:textId="77777777" w:rsidR="00984196" w:rsidRPr="003F45EE" w:rsidRDefault="00984196" w:rsidP="00B20E47">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ما أثر الرقابة الداخلية وإدارة المخاطر على فعالية الامتثال وتقليل المخاطر القانونية في الشركات المتوسطة بالمملكة العربية السعودية؟</w:t>
      </w:r>
    </w:p>
    <w:p w14:paraId="1876100F" w14:textId="77777777" w:rsidR="009F3763" w:rsidRPr="003F45EE" w:rsidRDefault="009F3763" w:rsidP="009F376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971163"/>
      <w:r w:rsidRPr="003F45EE">
        <w:rPr>
          <w:rFonts w:ascii="Simplified Arabic" w:eastAsia="Times New Roman" w:hAnsi="Simplified Arabic" w:cs="Simplified Arabic"/>
          <w:b/>
          <w:bCs/>
          <w:color w:val="000000" w:themeColor="text1"/>
          <w:kern w:val="0"/>
          <w:sz w:val="36"/>
          <w:szCs w:val="36"/>
          <w:rtl/>
          <w14:ligatures w14:val="none"/>
        </w:rPr>
        <w:t>5.1 فروض الدراسة</w:t>
      </w:r>
      <w:bookmarkEnd w:id="9"/>
    </w:p>
    <w:p w14:paraId="21266E05" w14:textId="0452C208" w:rsidR="009F3763" w:rsidRPr="003F45EE" w:rsidRDefault="009F3763" w:rsidP="009F376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3F45EE">
        <w:rPr>
          <w:rFonts w:ascii="Simplified Arabic" w:eastAsia="Times New Roman" w:hAnsi="Simplified Arabic" w:cs="Simplified Arabic"/>
          <w:b/>
          <w:bCs/>
          <w:color w:val="000000" w:themeColor="text1"/>
          <w:kern w:val="0"/>
          <w:sz w:val="32"/>
          <w:szCs w:val="32"/>
          <w:rtl/>
          <w14:ligatures w14:val="none"/>
        </w:rPr>
        <w:t>الفرض الرئيسي</w:t>
      </w:r>
    </w:p>
    <w:p w14:paraId="694BE66E" w14:textId="77777777" w:rsidR="00984196" w:rsidRPr="003F45EE" w:rsidRDefault="00984196" w:rsidP="00B20E4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14:ligatures w14:val="none"/>
        </w:rPr>
        <w:t xml:space="preserve">H0: </w:t>
      </w:r>
      <w:r w:rsidRPr="003F45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Cambria" w:eastAsia="Times New Roman" w:hAnsi="Cambria" w:cs="Cambria"/>
          <w:color w:val="000000" w:themeColor="text1"/>
          <w:kern w:val="0"/>
          <w:sz w:val="28"/>
          <w:szCs w:val="28"/>
          <w14:ligatures w14:val="none"/>
        </w:rPr>
        <w:t>α</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Times New Roman" w:eastAsia="Times New Roman" w:hAnsi="Times New Roman" w:cs="Times New Roman"/>
          <w:color w:val="000000" w:themeColor="text1"/>
          <w:kern w:val="0"/>
          <w:sz w:val="28"/>
          <w:szCs w:val="28"/>
          <w14:ligatures w14:val="none"/>
        </w:rPr>
        <w:t>≤</w:t>
      </w:r>
      <w:r w:rsidRPr="003F45EE">
        <w:rPr>
          <w:rFonts w:ascii="Simplified Arabic" w:eastAsia="Times New Roman" w:hAnsi="Simplified Arabic" w:cs="Simplified Arabic"/>
          <w:color w:val="000000" w:themeColor="text1"/>
          <w:kern w:val="0"/>
          <w:sz w:val="28"/>
          <w:szCs w:val="28"/>
          <w14:ligatures w14:val="none"/>
        </w:rPr>
        <w:t xml:space="preserve"> 0.05) </w:t>
      </w:r>
      <w:r w:rsidRPr="003F45EE">
        <w:rPr>
          <w:rFonts w:ascii="Simplified Arabic" w:eastAsia="Times New Roman" w:hAnsi="Simplified Arabic" w:cs="Simplified Arabic"/>
          <w:color w:val="000000" w:themeColor="text1"/>
          <w:kern w:val="0"/>
          <w:sz w:val="28"/>
          <w:szCs w:val="28"/>
          <w:rtl/>
          <w14:ligatures w14:val="none"/>
        </w:rPr>
        <w:t>للحوكمة المؤسسية بأبعادها مجتمعة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1FD3FD21" w14:textId="77777777" w:rsidR="00984196" w:rsidRPr="003F45EE" w:rsidRDefault="00984196" w:rsidP="009F376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3935785"/>
      <w:r w:rsidRPr="003F45EE">
        <w:rPr>
          <w:rFonts w:ascii="Simplified Arabic" w:eastAsia="Times New Roman" w:hAnsi="Simplified Arabic" w:cs="Simplified Arabic"/>
          <w:b/>
          <w:bCs/>
          <w:color w:val="000000" w:themeColor="text1"/>
          <w:kern w:val="0"/>
          <w:sz w:val="32"/>
          <w:szCs w:val="32"/>
          <w:rtl/>
          <w14:ligatures w14:val="none"/>
        </w:rPr>
        <w:t>الفروض الفرعية</w:t>
      </w:r>
      <w:bookmarkEnd w:id="10"/>
    </w:p>
    <w:p w14:paraId="22A2956F" w14:textId="77777777" w:rsidR="00984196" w:rsidRPr="003F45EE" w:rsidRDefault="00984196" w:rsidP="00B20E4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14:ligatures w14:val="none"/>
        </w:rPr>
        <w:t xml:space="preserve">H01: </w:t>
      </w:r>
      <w:r w:rsidRPr="003F45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Cambria" w:eastAsia="Times New Roman" w:hAnsi="Cambria" w:cs="Cambria"/>
          <w:color w:val="000000" w:themeColor="text1"/>
          <w:kern w:val="0"/>
          <w:sz w:val="28"/>
          <w:szCs w:val="28"/>
          <w14:ligatures w14:val="none"/>
        </w:rPr>
        <w:t>α</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Times New Roman" w:eastAsia="Times New Roman" w:hAnsi="Times New Roman" w:cs="Times New Roman"/>
          <w:color w:val="000000" w:themeColor="text1"/>
          <w:kern w:val="0"/>
          <w:sz w:val="28"/>
          <w:szCs w:val="28"/>
          <w14:ligatures w14:val="none"/>
        </w:rPr>
        <w:t>≤</w:t>
      </w:r>
      <w:r w:rsidRPr="003F45EE">
        <w:rPr>
          <w:rFonts w:ascii="Simplified Arabic" w:eastAsia="Times New Roman" w:hAnsi="Simplified Arabic" w:cs="Simplified Arabic"/>
          <w:color w:val="000000" w:themeColor="text1"/>
          <w:kern w:val="0"/>
          <w:sz w:val="28"/>
          <w:szCs w:val="28"/>
          <w14:ligatures w14:val="none"/>
        </w:rPr>
        <w:t xml:space="preserve"> 0.05) </w:t>
      </w:r>
      <w:r w:rsidRPr="003F45EE">
        <w:rPr>
          <w:rFonts w:ascii="Simplified Arabic" w:eastAsia="Times New Roman" w:hAnsi="Simplified Arabic" w:cs="Simplified Arabic"/>
          <w:color w:val="000000" w:themeColor="text1"/>
          <w:kern w:val="0"/>
          <w:sz w:val="28"/>
          <w:szCs w:val="28"/>
          <w:rtl/>
          <w14:ligatures w14:val="none"/>
        </w:rPr>
        <w:t>للشفافية والإفصاح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524B90E0" w14:textId="77777777" w:rsidR="00984196" w:rsidRPr="003F45EE" w:rsidRDefault="00984196" w:rsidP="00B20E4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14:ligatures w14:val="none"/>
        </w:rPr>
        <w:t xml:space="preserve">H02: </w:t>
      </w:r>
      <w:r w:rsidRPr="003F45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Cambria" w:eastAsia="Times New Roman" w:hAnsi="Cambria" w:cs="Cambria"/>
          <w:color w:val="000000" w:themeColor="text1"/>
          <w:kern w:val="0"/>
          <w:sz w:val="28"/>
          <w:szCs w:val="28"/>
          <w14:ligatures w14:val="none"/>
        </w:rPr>
        <w:t>α</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Times New Roman" w:eastAsia="Times New Roman" w:hAnsi="Times New Roman" w:cs="Times New Roman"/>
          <w:color w:val="000000" w:themeColor="text1"/>
          <w:kern w:val="0"/>
          <w:sz w:val="28"/>
          <w:szCs w:val="28"/>
          <w14:ligatures w14:val="none"/>
        </w:rPr>
        <w:t>≤</w:t>
      </w:r>
      <w:r w:rsidRPr="003F45EE">
        <w:rPr>
          <w:rFonts w:ascii="Simplified Arabic" w:eastAsia="Times New Roman" w:hAnsi="Simplified Arabic" w:cs="Simplified Arabic"/>
          <w:color w:val="000000" w:themeColor="text1"/>
          <w:kern w:val="0"/>
          <w:sz w:val="28"/>
          <w:szCs w:val="28"/>
          <w14:ligatures w14:val="none"/>
        </w:rPr>
        <w:t xml:space="preserve"> 0.05) </w:t>
      </w:r>
      <w:r w:rsidRPr="003F45EE">
        <w:rPr>
          <w:rFonts w:ascii="Simplified Arabic" w:eastAsia="Times New Roman" w:hAnsi="Simplified Arabic" w:cs="Simplified Arabic"/>
          <w:color w:val="000000" w:themeColor="text1"/>
          <w:kern w:val="0"/>
          <w:sz w:val="28"/>
          <w:szCs w:val="28"/>
          <w:rtl/>
          <w14:ligatures w14:val="none"/>
        </w:rPr>
        <w:t>للمساءلة والمحاسبة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3801BB24" w14:textId="77777777" w:rsidR="00984196" w:rsidRPr="003F45EE" w:rsidRDefault="00984196" w:rsidP="00B20E4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14:ligatures w14:val="none"/>
        </w:rPr>
        <w:t xml:space="preserve">H03: </w:t>
      </w:r>
      <w:r w:rsidRPr="003F45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Cambria" w:eastAsia="Times New Roman" w:hAnsi="Cambria" w:cs="Cambria"/>
          <w:color w:val="000000" w:themeColor="text1"/>
          <w:kern w:val="0"/>
          <w:sz w:val="28"/>
          <w:szCs w:val="28"/>
          <w14:ligatures w14:val="none"/>
        </w:rPr>
        <w:t>α</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Times New Roman" w:eastAsia="Times New Roman" w:hAnsi="Times New Roman" w:cs="Times New Roman"/>
          <w:color w:val="000000" w:themeColor="text1"/>
          <w:kern w:val="0"/>
          <w:sz w:val="28"/>
          <w:szCs w:val="28"/>
          <w14:ligatures w14:val="none"/>
        </w:rPr>
        <w:t>≤</w:t>
      </w:r>
      <w:r w:rsidRPr="003F45EE">
        <w:rPr>
          <w:rFonts w:ascii="Simplified Arabic" w:eastAsia="Times New Roman" w:hAnsi="Simplified Arabic" w:cs="Simplified Arabic"/>
          <w:color w:val="000000" w:themeColor="text1"/>
          <w:kern w:val="0"/>
          <w:sz w:val="28"/>
          <w:szCs w:val="28"/>
          <w14:ligatures w14:val="none"/>
        </w:rPr>
        <w:t xml:space="preserve"> 0.05) </w:t>
      </w:r>
      <w:r w:rsidRPr="003F45EE">
        <w:rPr>
          <w:rFonts w:ascii="Simplified Arabic" w:eastAsia="Times New Roman" w:hAnsi="Simplified Arabic" w:cs="Simplified Arabic"/>
          <w:color w:val="000000" w:themeColor="text1"/>
          <w:kern w:val="0"/>
          <w:sz w:val="28"/>
          <w:szCs w:val="28"/>
          <w:rtl/>
          <w14:ligatures w14:val="none"/>
        </w:rPr>
        <w:t>لاستقلالية مجلس الإدارة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35751EC8" w14:textId="77777777" w:rsidR="00984196" w:rsidRPr="003F45EE" w:rsidRDefault="00984196" w:rsidP="00B20E47">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14:ligatures w14:val="none"/>
        </w:rPr>
        <w:t xml:space="preserve">H04: </w:t>
      </w:r>
      <w:r w:rsidRPr="003F45EE">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Cambria" w:eastAsia="Times New Roman" w:hAnsi="Cambria" w:cs="Cambria"/>
          <w:color w:val="000000" w:themeColor="text1"/>
          <w:kern w:val="0"/>
          <w:sz w:val="28"/>
          <w:szCs w:val="28"/>
          <w14:ligatures w14:val="none"/>
        </w:rPr>
        <w:t>α</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Times New Roman" w:eastAsia="Times New Roman" w:hAnsi="Times New Roman" w:cs="Times New Roman"/>
          <w:color w:val="000000" w:themeColor="text1"/>
          <w:kern w:val="0"/>
          <w:sz w:val="28"/>
          <w:szCs w:val="28"/>
          <w14:ligatures w14:val="none"/>
        </w:rPr>
        <w:t>≤</w:t>
      </w:r>
      <w:r w:rsidRPr="003F45EE">
        <w:rPr>
          <w:rFonts w:ascii="Simplified Arabic" w:eastAsia="Times New Roman" w:hAnsi="Simplified Arabic" w:cs="Simplified Arabic"/>
          <w:color w:val="000000" w:themeColor="text1"/>
          <w:kern w:val="0"/>
          <w:sz w:val="28"/>
          <w:szCs w:val="28"/>
          <w14:ligatures w14:val="none"/>
        </w:rPr>
        <w:t xml:space="preserve"> 0.05) </w:t>
      </w:r>
      <w:r w:rsidRPr="003F45EE">
        <w:rPr>
          <w:rFonts w:ascii="Simplified Arabic" w:eastAsia="Times New Roman" w:hAnsi="Simplified Arabic" w:cs="Simplified Arabic"/>
          <w:color w:val="000000" w:themeColor="text1"/>
          <w:kern w:val="0"/>
          <w:sz w:val="28"/>
          <w:szCs w:val="28"/>
          <w:rtl/>
          <w14:ligatures w14:val="none"/>
        </w:rPr>
        <w:t>للرقابة الداخلية وإدارة المخاطر على فعالية الامتثال وتقليل المخاطر القانونية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53164285" w14:textId="77777777" w:rsidR="009F3763" w:rsidRPr="003F45EE" w:rsidRDefault="009F3763" w:rsidP="009F376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971164"/>
      <w:r w:rsidRPr="003F45EE">
        <w:rPr>
          <w:rFonts w:ascii="Simplified Arabic" w:eastAsia="Times New Roman" w:hAnsi="Simplified Arabic" w:cs="Simplified Arabic"/>
          <w:b/>
          <w:bCs/>
          <w:color w:val="000000" w:themeColor="text1"/>
          <w:kern w:val="0"/>
          <w:sz w:val="36"/>
          <w:szCs w:val="36"/>
          <w:rtl/>
          <w14:ligatures w14:val="none"/>
        </w:rPr>
        <w:lastRenderedPageBreak/>
        <w:t>6.1 أهمية الدراسة</w:t>
      </w:r>
      <w:bookmarkEnd w:id="11"/>
    </w:p>
    <w:p w14:paraId="69F4B172" w14:textId="1802DC75" w:rsidR="009F3763" w:rsidRPr="003F45EE" w:rsidRDefault="009F3763" w:rsidP="009F376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3F45EE">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7AB14F11" w14:textId="77777777" w:rsidR="00984196" w:rsidRPr="003F45EE" w:rsidRDefault="00984196" w:rsidP="00B20E47">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تستمدّ هذه الدراسة أهميتها العلمية من عدة اعتبارات جوهرية. أولها أنّها تُسهم في إثراء الأدبيات الأكاديمية العربية في مجال الحوكمة المؤسسية بتقديم نموذج تحليلي يربط بين أبعاد الحوكمة وفعالية الامتثال وتقليل المخاطر القانونية، وهو ارتباط لم يحظَ باهتمام بحثي كافٍ في السياق العربي والسعودي تحديداً، لا سيّما في بيئة الشركات المتوسطة التي تختلف جوهرياً عن الشركات الكبرى المدرجة</w:t>
      </w:r>
      <w:r w:rsidRPr="003F45EE">
        <w:rPr>
          <w:rFonts w:ascii="Simplified Arabic" w:eastAsia="Times New Roman" w:hAnsi="Simplified Arabic" w:cs="Simplified Arabic"/>
          <w:color w:val="000000" w:themeColor="text1"/>
          <w:kern w:val="0"/>
          <w:sz w:val="28"/>
          <w:szCs w:val="28"/>
          <w14:ligatures w14:val="none"/>
        </w:rPr>
        <w:t>.</w:t>
      </w:r>
    </w:p>
    <w:p w14:paraId="7F3329A5" w14:textId="6C2C5D61" w:rsidR="00984196" w:rsidRPr="003F45EE" w:rsidRDefault="00984196" w:rsidP="00B20E47">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تُقدّم إطاراً نظرياً متكاملاً يجمع بين نظرية الوكالة</w:t>
      </w:r>
      <w:r w:rsidRPr="003F45EE">
        <w:rPr>
          <w:rFonts w:ascii="Simplified Arabic" w:eastAsia="Times New Roman" w:hAnsi="Simplified Arabic" w:cs="Simplified Arabic"/>
          <w:color w:val="000000" w:themeColor="text1"/>
          <w:kern w:val="0"/>
          <w:sz w:val="28"/>
          <w:szCs w:val="28"/>
          <w14:ligatures w14:val="none"/>
        </w:rPr>
        <w:t xml:space="preserve"> (Agency Theory) </w:t>
      </w:r>
      <w:r w:rsidRPr="003F45EE">
        <w:rPr>
          <w:rFonts w:ascii="Simplified Arabic" w:eastAsia="Times New Roman" w:hAnsi="Simplified Arabic" w:cs="Simplified Arabic"/>
          <w:color w:val="000000" w:themeColor="text1"/>
          <w:kern w:val="0"/>
          <w:sz w:val="28"/>
          <w:szCs w:val="28"/>
          <w:rtl/>
          <w14:ligatures w14:val="none"/>
        </w:rPr>
        <w:t>ونظرية أصحاب المصلحة</w:t>
      </w:r>
      <w:r w:rsidRPr="003F45EE">
        <w:rPr>
          <w:rFonts w:ascii="Simplified Arabic" w:eastAsia="Times New Roman" w:hAnsi="Simplified Arabic" w:cs="Simplified Arabic"/>
          <w:color w:val="000000" w:themeColor="text1"/>
          <w:kern w:val="0"/>
          <w:sz w:val="28"/>
          <w:szCs w:val="28"/>
          <w14:ligatures w14:val="none"/>
        </w:rPr>
        <w:t xml:space="preserve"> (Stakeholder Theory) </w:t>
      </w:r>
      <w:r w:rsidRPr="003F45EE">
        <w:rPr>
          <w:rFonts w:ascii="Simplified Arabic" w:eastAsia="Times New Roman" w:hAnsi="Simplified Arabic" w:cs="Simplified Arabic"/>
          <w:color w:val="000000" w:themeColor="text1"/>
          <w:kern w:val="0"/>
          <w:sz w:val="28"/>
          <w:szCs w:val="28"/>
          <w:rtl/>
          <w14:ligatures w14:val="none"/>
        </w:rPr>
        <w:t>ونظرية الاعتماد على الموارد</w:t>
      </w:r>
      <w:r w:rsidRPr="003F45EE">
        <w:rPr>
          <w:rFonts w:ascii="Simplified Arabic" w:eastAsia="Times New Roman" w:hAnsi="Simplified Arabic" w:cs="Simplified Arabic"/>
          <w:color w:val="000000" w:themeColor="text1"/>
          <w:kern w:val="0"/>
          <w:sz w:val="28"/>
          <w:szCs w:val="28"/>
          <w14:ligatures w14:val="none"/>
        </w:rPr>
        <w:t xml:space="preserve"> (Resource Dependence Theory) </w:t>
      </w:r>
      <w:r w:rsidRPr="003F45EE">
        <w:rPr>
          <w:rFonts w:ascii="Simplified Arabic" w:eastAsia="Times New Roman" w:hAnsi="Simplified Arabic" w:cs="Simplified Arabic"/>
          <w:color w:val="000000" w:themeColor="text1"/>
          <w:kern w:val="0"/>
          <w:sz w:val="28"/>
          <w:szCs w:val="28"/>
          <w:rtl/>
          <w14:ligatures w14:val="none"/>
        </w:rPr>
        <w:t>لتفسير العلاقة بين الحوكمة والامتثال والمخاطر القانونية، مما يُوسّع من الفهم النظري للتفاعل بين هذه المتغيرات في بيئة الأعمال السعودية الناشئة</w:t>
      </w:r>
      <w:r w:rsidRPr="003F45EE">
        <w:rPr>
          <w:rFonts w:ascii="Simplified Arabic" w:eastAsia="Times New Roman" w:hAnsi="Simplified Arabic" w:cs="Simplified Arabic"/>
          <w:color w:val="000000" w:themeColor="text1"/>
          <w:kern w:val="0"/>
          <w:sz w:val="28"/>
          <w:szCs w:val="28"/>
          <w14:ligatures w14:val="none"/>
        </w:rPr>
        <w:t>.</w:t>
      </w:r>
    </w:p>
    <w:p w14:paraId="68D1A37D" w14:textId="7D074C98" w:rsidR="00984196" w:rsidRPr="003F45EE" w:rsidRDefault="00984196" w:rsidP="00B20E47">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تُسهم في سدّ فجوة بحثية واضحة تتمثل في ندرة الدراسات الميدانية التي تتناول الشركات المتوسطة السعودية بالتحليل، إذ تركّزت معظم الأبحاث السابقة على الشركات المدرجة في سوق تداول، مما يُتيح لهذه الدراسة تقديم رؤى جديدة حول واقع الحوكمة في شريحة تُمثّل العمود الفقري للاقتصاد السعودي</w:t>
      </w:r>
      <w:r w:rsidRPr="003F45EE">
        <w:rPr>
          <w:rFonts w:ascii="Simplified Arabic" w:eastAsia="Times New Roman" w:hAnsi="Simplified Arabic" w:cs="Simplified Arabic"/>
          <w:color w:val="000000" w:themeColor="text1"/>
          <w:kern w:val="0"/>
          <w:sz w:val="28"/>
          <w:szCs w:val="28"/>
          <w14:ligatures w14:val="none"/>
        </w:rPr>
        <w:t>.</w:t>
      </w:r>
    </w:p>
    <w:p w14:paraId="567AAF74" w14:textId="1C1254E3" w:rsidR="00984196" w:rsidRPr="003F45EE" w:rsidRDefault="00984196" w:rsidP="00B20E47">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تُسهم في تطوير المعرفة الأكاديمية حول آليات التحوّل من مفهوم الامتثال التقليدي القائم على الاستجابة إلى مفهوم الامتثال الاستباقي المبني على الحوكمة الرشيدة، وهو ما يُعدّ توجّهاً بحثياً حديثاً في أدبيات إدارة الأعمال</w:t>
      </w:r>
      <w:r w:rsidRPr="003F45EE">
        <w:rPr>
          <w:rFonts w:ascii="Simplified Arabic" w:eastAsia="Times New Roman" w:hAnsi="Simplified Arabic" w:cs="Simplified Arabic"/>
          <w:color w:val="000000" w:themeColor="text1"/>
          <w:kern w:val="0"/>
          <w:sz w:val="28"/>
          <w:szCs w:val="28"/>
          <w14:ligatures w14:val="none"/>
        </w:rPr>
        <w:t>.</w:t>
      </w:r>
    </w:p>
    <w:p w14:paraId="563D7633" w14:textId="77777777" w:rsidR="00984196" w:rsidRPr="003F45EE" w:rsidRDefault="00984196" w:rsidP="009F376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3935788"/>
      <w:r w:rsidRPr="003F45EE">
        <w:rPr>
          <w:rFonts w:ascii="Simplified Arabic" w:eastAsia="Times New Roman" w:hAnsi="Simplified Arabic" w:cs="Simplified Arabic"/>
          <w:b/>
          <w:bCs/>
          <w:color w:val="000000" w:themeColor="text1"/>
          <w:kern w:val="0"/>
          <w:sz w:val="32"/>
          <w:szCs w:val="32"/>
          <w:rtl/>
          <w14:ligatures w14:val="none"/>
        </w:rPr>
        <w:t>الأهمية العملية (التطبيقية)</w:t>
      </w:r>
      <w:bookmarkEnd w:id="12"/>
    </w:p>
    <w:p w14:paraId="2BE5F9C1" w14:textId="77777777" w:rsidR="006068C6" w:rsidRPr="003F45EE" w:rsidRDefault="00984196" w:rsidP="000F61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3F45EE">
        <w:rPr>
          <w:rFonts w:ascii="Simplified Arabic" w:eastAsia="Times New Roman" w:hAnsi="Simplified Arabic" w:cs="Simplified Arabic"/>
          <w:b/>
          <w:bCs/>
          <w:color w:val="000000" w:themeColor="text1"/>
          <w:kern w:val="0"/>
          <w:sz w:val="28"/>
          <w:szCs w:val="28"/>
          <w:rtl/>
          <w14:ligatures w14:val="none"/>
        </w:rPr>
        <w:t>على الصعيد التطبيقي، تكتسب هذه الدراسة أهمية بالغة من عدة جوانب.</w:t>
      </w:r>
    </w:p>
    <w:p w14:paraId="0EEC6ECD" w14:textId="6DB3F6C6" w:rsidR="00984196" w:rsidRPr="003F45EE" w:rsidRDefault="00984196" w:rsidP="00B20E47">
      <w:pPr>
        <w:pStyle w:val="a6"/>
        <w:numPr>
          <w:ilvl w:val="0"/>
          <w:numId w:val="4"/>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تُقدّم لصنّاع القرار في الشركات المتوسطة السعودية خارطة طريق عملية لتطبيق ممارسات الحوكمة المؤسسية الفعّالة التي تُعزّز من الامتثال وتُقلّل من التعرّض للمخاطر القانونية، مما يُخفّض التكاليف المرتبطة بالنزاعات والغرامات والعقوبات التنظيمية</w:t>
      </w:r>
      <w:r w:rsidRPr="003F45EE">
        <w:rPr>
          <w:rFonts w:ascii="Simplified Arabic" w:eastAsia="Times New Roman" w:hAnsi="Simplified Arabic" w:cs="Simplified Arabic"/>
          <w:color w:val="000000" w:themeColor="text1"/>
          <w:kern w:val="0"/>
          <w:sz w:val="28"/>
          <w:szCs w:val="28"/>
          <w14:ligatures w14:val="none"/>
        </w:rPr>
        <w:t>.</w:t>
      </w:r>
    </w:p>
    <w:p w14:paraId="1F637402" w14:textId="3241087D" w:rsidR="00984196" w:rsidRPr="003F45EE" w:rsidRDefault="00984196" w:rsidP="00B20E47">
      <w:pPr>
        <w:pStyle w:val="a6"/>
        <w:numPr>
          <w:ilvl w:val="0"/>
          <w:numId w:val="4"/>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تُقدّم للجهات التنظيمية والرقابية في المملكة (هيئة السوق المالية، وزارة التجارة، الهيئة العامة للمنشآت الصغيرة والمتوسطة "منشآت") مؤشرات تجريبية حول واقع تطبيق الحوكمة في الشركات المتوسطة، مما يُساعدها في صياغة سياسات وتشريعات أكثر ملاءمة لهذه الفئة من الشركات</w:t>
      </w:r>
      <w:r w:rsidRPr="003F45EE">
        <w:rPr>
          <w:rFonts w:ascii="Simplified Arabic" w:eastAsia="Times New Roman" w:hAnsi="Simplified Arabic" w:cs="Simplified Arabic"/>
          <w:color w:val="000000" w:themeColor="text1"/>
          <w:kern w:val="0"/>
          <w:sz w:val="28"/>
          <w:szCs w:val="28"/>
          <w14:ligatures w14:val="none"/>
        </w:rPr>
        <w:t>.</w:t>
      </w:r>
    </w:p>
    <w:p w14:paraId="456639C8" w14:textId="03EF7383" w:rsidR="00984196" w:rsidRPr="003F45EE" w:rsidRDefault="00984196" w:rsidP="00B20E47">
      <w:pPr>
        <w:pStyle w:val="a6"/>
        <w:numPr>
          <w:ilvl w:val="0"/>
          <w:numId w:val="4"/>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تُسهم في دعم أهداف رؤية المملكة 2030 المتعلقة بتحسين بيئة الأعمال وتعزيز الحوكمة الرشيدة ورفع مستوى الشفافية والنزاهة، وذلك من خلال تقديم توصيات عملية قابلة للتنفيذ تتوافق مع التوجّهات الاستراتيجية للمملكة</w:t>
      </w:r>
      <w:r w:rsidRPr="003F45EE">
        <w:rPr>
          <w:rFonts w:ascii="Simplified Arabic" w:eastAsia="Times New Roman" w:hAnsi="Simplified Arabic" w:cs="Simplified Arabic"/>
          <w:color w:val="000000" w:themeColor="text1"/>
          <w:kern w:val="0"/>
          <w:sz w:val="28"/>
          <w:szCs w:val="28"/>
          <w14:ligatures w14:val="none"/>
        </w:rPr>
        <w:t>.</w:t>
      </w:r>
    </w:p>
    <w:p w14:paraId="7DC38B50" w14:textId="142F22BD" w:rsidR="00984196" w:rsidRPr="003F45EE" w:rsidRDefault="00984196" w:rsidP="00B20E47">
      <w:pPr>
        <w:pStyle w:val="a6"/>
        <w:numPr>
          <w:ilvl w:val="0"/>
          <w:numId w:val="4"/>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تُقدّم لمديري الامتثال والمستشارين القانونيين في الشركات المتوسطة أدلة تجريبية على أنّ الاستثمار في بنية حوكمة قوية يُعدّ استثماراً وقائياً يُقلّل من الخسائر المالية والقانونية الناتجة عن ضعف الامتثال، مما يُعزّز من ثقافة الامتثال الاستباقي</w:t>
      </w:r>
      <w:r w:rsidRPr="003F45EE">
        <w:rPr>
          <w:rFonts w:ascii="Simplified Arabic" w:eastAsia="Times New Roman" w:hAnsi="Simplified Arabic" w:cs="Simplified Arabic"/>
          <w:color w:val="000000" w:themeColor="text1"/>
          <w:kern w:val="0"/>
          <w:sz w:val="28"/>
          <w:szCs w:val="28"/>
          <w14:ligatures w14:val="none"/>
        </w:rPr>
        <w:t>.</w:t>
      </w:r>
    </w:p>
    <w:p w14:paraId="51C47E36" w14:textId="6F545E56" w:rsidR="00984196" w:rsidRPr="003F45EE" w:rsidRDefault="00984196" w:rsidP="00B20E47">
      <w:pPr>
        <w:pStyle w:val="a6"/>
        <w:numPr>
          <w:ilvl w:val="0"/>
          <w:numId w:val="4"/>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تُسهم في تطوير برامج تدريبية متخصصة لأعضاء مجالس الإدارة والإدارات التنفيذية في الشركات المتوسطة حول أفضل ممارسات الحوكمة وآليات الامتثال، مما يرفع من الكفاءة المؤسسية ويُحسّن من مناخ الاستثمار</w:t>
      </w:r>
      <w:r w:rsidRPr="003F45EE">
        <w:rPr>
          <w:rFonts w:ascii="Simplified Arabic" w:eastAsia="Times New Roman" w:hAnsi="Simplified Arabic" w:cs="Simplified Arabic"/>
          <w:color w:val="000000" w:themeColor="text1"/>
          <w:kern w:val="0"/>
          <w:sz w:val="28"/>
          <w:szCs w:val="28"/>
          <w14:ligatures w14:val="none"/>
        </w:rPr>
        <w:t>.</w:t>
      </w:r>
    </w:p>
    <w:p w14:paraId="3604B244" w14:textId="6CD875A6" w:rsidR="009F3763" w:rsidRPr="003F45EE" w:rsidRDefault="009F3763" w:rsidP="009F376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3" w:name="_Toc233971165"/>
      <w:r w:rsidRPr="003F45EE">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4036C04A" w14:textId="77777777" w:rsidR="009F3763" w:rsidRPr="003F45EE" w:rsidRDefault="00F17434"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14" w:name="_Toc169790501"/>
      <w:bookmarkEnd w:id="5"/>
      <w:r w:rsidRPr="003F45EE">
        <w:rPr>
          <w:rFonts w:ascii="Simplified Arabic" w:eastAsia="Times New Roman" w:hAnsi="Simplified Arabic" w:cs="Simplified Arabic"/>
          <w:color w:val="000000" w:themeColor="text1"/>
          <w:kern w:val="0"/>
          <w:sz w:val="28"/>
          <w:szCs w:val="28"/>
          <w14:ligatures w14:val="none"/>
        </w:rPr>
        <w:t xml:space="preserve"> </w:t>
      </w:r>
      <w:bookmarkStart w:id="15" w:name="_Toc223935790"/>
      <w:r w:rsidR="009F3763" w:rsidRPr="003F45EE">
        <w:rPr>
          <w:rFonts w:ascii="Simplified Arabic" w:eastAsia="Times New Roman" w:hAnsi="Simplified Arabic" w:cs="Simplified Arabic"/>
          <w:color w:val="000000" w:themeColor="text1"/>
          <w:kern w:val="0"/>
          <w:sz w:val="28"/>
          <w:szCs w:val="28"/>
          <w:rtl/>
          <w14:ligatures w14:val="none"/>
        </w:rPr>
        <w:t>دراسة بقيس والجعيدي (2020) بعنوان "خصائص الحوكمة المؤسسية وأداء الشركات في المملكة العربية السعودية". هدفت الدراسة إلى التعرف على أثر خصائص لجنة المراجعة المتمثلة في حجم اللجنة وتكرار اجتماعاتها وجودة المراجعة الخارجية على أداء الشركات في قطاع الطاقة السعودي. واستخدمت الدراسة المنهج الكمي القائم على تحليل البيانات الثانوية المستخرجة يدوياً من التقارير السنوية للشركات المدرجة، وحُلِّلت باستخدام الانحدار المجمّع بطريقة المربعات الصغرى</w:t>
      </w:r>
      <w:r w:rsidR="009F3763" w:rsidRPr="003F45EE">
        <w:rPr>
          <w:rFonts w:ascii="Simplified Arabic" w:eastAsia="Times New Roman" w:hAnsi="Simplified Arabic" w:cs="Simplified Arabic"/>
          <w:color w:val="000000" w:themeColor="text1"/>
          <w:kern w:val="0"/>
          <w:sz w:val="28"/>
          <w:szCs w:val="28"/>
          <w14:ligatures w14:val="none"/>
        </w:rPr>
        <w:t xml:space="preserve"> (Pooled OLS) </w:t>
      </w:r>
      <w:r w:rsidR="009F3763" w:rsidRPr="003F45EE">
        <w:rPr>
          <w:rFonts w:ascii="Simplified Arabic" w:eastAsia="Times New Roman" w:hAnsi="Simplified Arabic" w:cs="Simplified Arabic"/>
          <w:color w:val="000000" w:themeColor="text1"/>
          <w:kern w:val="0"/>
          <w:sz w:val="28"/>
          <w:szCs w:val="28"/>
          <w:rtl/>
          <w14:ligatures w14:val="none"/>
        </w:rPr>
        <w:t>مع متغيرات ضابطة تشمل حجم الشركة والرافعة المالية. وتكوّنت العينة من 4 شركات طاقة مدرجة في سوق تداول خلال الفترة 2005–2018 بإجمالي 54 مشاهدة سنوية بعد استبعاد القيم الشاذة والبيانات الناقصة. وأظهرت النتائج أن حجم لجنة المراجعة يرتبط إيجاباً بأداء الشركات في نموذجي العائد على الأصول والعائد على حقوق الملكية، وأن تكرار اجتماعات اللجنة يرتبط سلباً بنموذج العائد على حقوق الملكية، بينما ترتبط جودة المراجعة من شركات</w:t>
      </w:r>
      <w:r w:rsidR="009F3763" w:rsidRPr="003F45EE">
        <w:rPr>
          <w:rFonts w:ascii="Simplified Arabic" w:eastAsia="Times New Roman" w:hAnsi="Simplified Arabic" w:cs="Simplified Arabic"/>
          <w:color w:val="000000" w:themeColor="text1"/>
          <w:kern w:val="0"/>
          <w:sz w:val="28"/>
          <w:szCs w:val="28"/>
          <w14:ligatures w14:val="none"/>
        </w:rPr>
        <w:t xml:space="preserve"> Big 4 </w:t>
      </w:r>
      <w:r w:rsidR="009F3763" w:rsidRPr="003F45EE">
        <w:rPr>
          <w:rFonts w:ascii="Simplified Arabic" w:eastAsia="Times New Roman" w:hAnsi="Simplified Arabic" w:cs="Simplified Arabic"/>
          <w:color w:val="000000" w:themeColor="text1"/>
          <w:kern w:val="0"/>
          <w:sz w:val="28"/>
          <w:szCs w:val="28"/>
          <w:rtl/>
          <w14:ligatures w14:val="none"/>
        </w:rPr>
        <w:t>إيجاباً بكلا النموذجين، مع معامل تحديد معدّل بلغ 53.7% لنموذج</w:t>
      </w:r>
      <w:r w:rsidR="009F3763" w:rsidRPr="003F45EE">
        <w:rPr>
          <w:rFonts w:ascii="Simplified Arabic" w:eastAsia="Times New Roman" w:hAnsi="Simplified Arabic" w:cs="Simplified Arabic"/>
          <w:color w:val="000000" w:themeColor="text1"/>
          <w:kern w:val="0"/>
          <w:sz w:val="28"/>
          <w:szCs w:val="28"/>
          <w14:ligatures w14:val="none"/>
        </w:rPr>
        <w:t xml:space="preserve"> ROA </w:t>
      </w:r>
      <w:r w:rsidR="009F3763" w:rsidRPr="003F45EE">
        <w:rPr>
          <w:rFonts w:ascii="Simplified Arabic" w:eastAsia="Times New Roman" w:hAnsi="Simplified Arabic" w:cs="Simplified Arabic"/>
          <w:color w:val="000000" w:themeColor="text1"/>
          <w:kern w:val="0"/>
          <w:sz w:val="28"/>
          <w:szCs w:val="28"/>
          <w:rtl/>
          <w14:ligatures w14:val="none"/>
        </w:rPr>
        <w:t>و53.5% لنموذج</w:t>
      </w:r>
      <w:r w:rsidR="009F3763" w:rsidRPr="003F45EE">
        <w:rPr>
          <w:rFonts w:ascii="Simplified Arabic" w:eastAsia="Times New Roman" w:hAnsi="Simplified Arabic" w:cs="Simplified Arabic"/>
          <w:color w:val="000000" w:themeColor="text1"/>
          <w:kern w:val="0"/>
          <w:sz w:val="28"/>
          <w:szCs w:val="28"/>
          <w14:ligatures w14:val="none"/>
        </w:rPr>
        <w:t xml:space="preserve"> ROE. </w:t>
      </w:r>
      <w:r w:rsidR="009F3763" w:rsidRPr="003F45EE">
        <w:rPr>
          <w:rFonts w:ascii="Simplified Arabic" w:eastAsia="Times New Roman" w:hAnsi="Simplified Arabic" w:cs="Simplified Arabic"/>
          <w:color w:val="000000" w:themeColor="text1"/>
          <w:kern w:val="0"/>
          <w:sz w:val="28"/>
          <w:szCs w:val="28"/>
          <w:rtl/>
          <w14:ligatures w14:val="none"/>
        </w:rPr>
        <w:t>وأوصت الدراسة بدراسة خصائص أخرى للجان المراجعة كالمؤهلات والخبرة والاستقلالية، وتوسيع البحث ليشمل دول مجلس التعاون الخليجي الأخرى</w:t>
      </w:r>
      <w:r w:rsidR="009F3763" w:rsidRPr="003F45EE">
        <w:rPr>
          <w:rFonts w:ascii="Simplified Arabic" w:eastAsia="Times New Roman" w:hAnsi="Simplified Arabic" w:cs="Simplified Arabic"/>
          <w:color w:val="000000" w:themeColor="text1"/>
          <w:kern w:val="0"/>
          <w:sz w:val="28"/>
          <w:szCs w:val="28"/>
          <w14:ligatures w14:val="none"/>
        </w:rPr>
        <w:t>.</w:t>
      </w:r>
    </w:p>
    <w:p w14:paraId="4DFF4E8A" w14:textId="77777777"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دراسة الزبن (2020) بعنوان "العلاقة بين لجنة المراجعة والمراجعة الداخلية وأداء الشركات". هدفت الدراسة إلى التعرف على الدور الذي تلعبه لجان المراجعة في تحسين فاعلية المراجعة الداخلية كعامل مُسهِّل لتحقيق أداء أفضل للشركات، ودراسة ما إذا كانت خصائص لجنة المراجعة تتوسط العلاقة بين المراجعة الداخلية وأداء الشركات. واستخدمت الدراسة المنهج الكمي القائم على تحليل البيانات الثانوية والاستبانات، وحُلِّلت باستخدام تحليل الانحدار ونماذج الوساطة لاختبار التأثير غير المباشر لخصائص لجنة المراجعة. وتكوّنت العينة من شركات مدرجة في أسواق المملكة العربية السعودية والإمارات العربية المتحدة، وشملت بيانات متعددة السنوات لتقييم العلاقات بين المتغيرات. وأظهرت النتائج أن استقلالية لجنة المراجعة وخبرتها المالية تتوسطان بشكل فعّال العلاقة بين خصائص المراجعة الداخلية كالاستقلالية والحجم وبين أداء الشركات، وأن الشركات التي تمتلك لجان مراجعة أكثر استقلالية وخبرة تحقق أداءً أفضل. وأوصت الدراسة بتعزيز استقلالية لجان المراجعة وضمان توفر الخبرة المالية لأعضائها، وتنسيق العمل بين المراجعة الداخلية ولجان المراجعة لتحقيق حوكمة أكثر فاعلية</w:t>
      </w:r>
      <w:r w:rsidRPr="003F45EE">
        <w:rPr>
          <w:rFonts w:ascii="Simplified Arabic" w:eastAsia="Times New Roman" w:hAnsi="Simplified Arabic" w:cs="Simplified Arabic"/>
          <w:color w:val="000000" w:themeColor="text1"/>
          <w:kern w:val="0"/>
          <w:sz w:val="28"/>
          <w:szCs w:val="28"/>
          <w14:ligatures w14:val="none"/>
        </w:rPr>
        <w:t>.</w:t>
      </w:r>
    </w:p>
    <w:p w14:paraId="6342455B" w14:textId="77777777"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دراسة بقيس والجعيدي (2020) المشار إليها سابقاً في المحور الأول تناولت أيضاً دور جودة المراجعة في تعزيز الامتثال</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هدفت في هذا الجانب إلى التعرف على كيفية إسهام الاستعانة بشركات المراجعة الكبرى</w:t>
      </w:r>
      <w:r w:rsidRPr="003F45EE">
        <w:rPr>
          <w:rFonts w:ascii="Simplified Arabic" w:eastAsia="Times New Roman" w:hAnsi="Simplified Arabic" w:cs="Simplified Arabic"/>
          <w:color w:val="000000" w:themeColor="text1"/>
          <w:kern w:val="0"/>
          <w:sz w:val="28"/>
          <w:szCs w:val="28"/>
          <w14:ligatures w14:val="none"/>
        </w:rPr>
        <w:t xml:space="preserve"> (Big 4) </w:t>
      </w:r>
      <w:r w:rsidRPr="003F45EE">
        <w:rPr>
          <w:rFonts w:ascii="Simplified Arabic" w:eastAsia="Times New Roman" w:hAnsi="Simplified Arabic" w:cs="Simplified Arabic"/>
          <w:color w:val="000000" w:themeColor="text1"/>
          <w:kern w:val="0"/>
          <w:sz w:val="28"/>
          <w:szCs w:val="28"/>
          <w:rtl/>
          <w14:ligatures w14:val="none"/>
        </w:rPr>
        <w:t>في تعزيز الامتثال للمعايير المحاسبية والتنظيمية وتقليل المخاطر المالية والقانونية. وأظهرت النتائج أن جودة المراجعة ترتبط إيجاباً بأداء الشركات في كلا النموذجين بدلالة إحصائية عالية، وأن 56% من شركات العينة تستعين بشركات</w:t>
      </w:r>
      <w:r w:rsidRPr="003F45EE">
        <w:rPr>
          <w:rFonts w:ascii="Simplified Arabic" w:eastAsia="Times New Roman" w:hAnsi="Simplified Arabic" w:cs="Simplified Arabic"/>
          <w:color w:val="000000" w:themeColor="text1"/>
          <w:kern w:val="0"/>
          <w:sz w:val="28"/>
          <w:szCs w:val="28"/>
          <w14:ligatures w14:val="none"/>
        </w:rPr>
        <w:t xml:space="preserve"> Big 4 </w:t>
      </w:r>
      <w:r w:rsidRPr="003F45EE">
        <w:rPr>
          <w:rFonts w:ascii="Simplified Arabic" w:eastAsia="Times New Roman" w:hAnsi="Simplified Arabic" w:cs="Simplified Arabic"/>
          <w:color w:val="000000" w:themeColor="text1"/>
          <w:kern w:val="0"/>
          <w:sz w:val="28"/>
          <w:szCs w:val="28"/>
          <w:rtl/>
          <w14:ligatures w14:val="none"/>
        </w:rPr>
        <w:t>مما يعكس وعياً متزايداً بأهمية جودة المراجعة كآلية امتثال. وأوصت بضرورة تعزيز جودة المراجعة الخارجية وربطها ببرامج الامتثال الداخلية لتحقيق رقابة شاملة</w:t>
      </w:r>
      <w:r w:rsidRPr="003F45EE">
        <w:rPr>
          <w:rFonts w:ascii="Simplified Arabic" w:eastAsia="Times New Roman" w:hAnsi="Simplified Arabic" w:cs="Simplified Arabic"/>
          <w:color w:val="000000" w:themeColor="text1"/>
          <w:kern w:val="0"/>
          <w:sz w:val="28"/>
          <w:szCs w:val="28"/>
          <w14:ligatures w14:val="none"/>
        </w:rPr>
        <w:t>.</w:t>
      </w:r>
    </w:p>
    <w:p w14:paraId="0C5278F9" w14:textId="77777777"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14:ligatures w14:val="none"/>
        </w:rPr>
      </w:pPr>
      <w:r w:rsidRPr="003F45EE">
        <w:rPr>
          <w:rFonts w:ascii="Simplified Arabic" w:eastAsia="Times New Roman" w:hAnsi="Simplified Arabic" w:cs="Simplified Arabic"/>
          <w:color w:val="000000" w:themeColor="text1"/>
          <w:kern w:val="0"/>
          <w:sz w:val="28"/>
          <w:szCs w:val="28"/>
          <w:rtl/>
          <w14:ligatures w14:val="none"/>
        </w:rPr>
        <w:t>دراسة الزبن (2020) المشار إليها في المحور الأول تناولت أيضاً دور تنسيق المراجعة الداخلية مع لجان المراجعة في تعزيز الامتثال. هدفت في هذا الجانب إلى التعرف على كيفية إسهام العلاقة التكاملية بين لجنة المراجعة والمراجعة الداخلية في تعزيز فعالية الامتثال الداخلي وتقليل المخاطر التشغيلية والقانونية. وأظهرت النتائج أن استقلالية لجنة المراجعة وخبرتها المالية تُعزّزان فعالية المراجعة الداخلية كأداة رقابية تضمن الامتثال للمعايير والقوانين، مما يُقلّل من احتمالية وقوع مخالفات تنظيمية ونزاعات قانونية. وأوصت بتعزيز التنسيق بين المراجعة الداخلية ولجان المراجعة وضمان استقلاليتها لبناء منظومة امتثال أكثر فعالية</w:t>
      </w:r>
      <w:r w:rsidRPr="003F45EE">
        <w:rPr>
          <w:rFonts w:ascii="Simplified Arabic" w:eastAsia="Times New Roman" w:hAnsi="Simplified Arabic" w:cs="Simplified Arabic"/>
          <w:color w:val="000000" w:themeColor="text1"/>
          <w:kern w:val="0"/>
          <w:sz w:val="28"/>
          <w:szCs w:val="28"/>
          <w14:ligatures w14:val="none"/>
        </w:rPr>
        <w:t>.</w:t>
      </w:r>
    </w:p>
    <w:p w14:paraId="44E5AEDA" w14:textId="678D8FC5"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دراسة بوشناق (2021) بعنوان "آليات الحوكمة المؤسسية وأداء الشركات في المملكة العربية السعودية". هدفت الدراسة إلى التعرف على أثر آليات الحوكمة المؤسسية المتمثلة في حجم مجلس الإدارة واستقلاليته وتكرار اجتماعاته، وحجم لجنة المراجعة واجتماعاتها، وازدواجية المنصب، على أداء الشركات المدرجة بالسوق المالي السعودي. واستخدمت الدراسة المنهج الكمي القائم على تحليل البيانات الثانوية المستخرجة من التقارير السنوية للشركات، وحُلِّلت باستخدام الانحدار المجمّع بطريقة المربعات الصغرى</w:t>
      </w:r>
      <w:r w:rsidRPr="003F45EE">
        <w:rPr>
          <w:rFonts w:ascii="Simplified Arabic" w:eastAsia="Times New Roman" w:hAnsi="Simplified Arabic" w:cs="Simplified Arabic"/>
          <w:color w:val="000000" w:themeColor="text1"/>
          <w:kern w:val="0"/>
          <w:sz w:val="28"/>
          <w:szCs w:val="28"/>
          <w14:ligatures w14:val="none"/>
        </w:rPr>
        <w:t xml:space="preserve"> (Pooled OLS) </w:t>
      </w:r>
      <w:r w:rsidRPr="003F45EE">
        <w:rPr>
          <w:rFonts w:ascii="Simplified Arabic" w:eastAsia="Times New Roman" w:hAnsi="Simplified Arabic" w:cs="Simplified Arabic"/>
          <w:color w:val="000000" w:themeColor="text1"/>
          <w:kern w:val="0"/>
          <w:sz w:val="28"/>
          <w:szCs w:val="28"/>
          <w:rtl/>
          <w14:ligatures w14:val="none"/>
        </w:rPr>
        <w:t>مع قياس الأداء بمؤشرات العائد على الأصول والعائد على حقوق الملكية. وتكوّنت العينة من 210 مشاهدة سنوية لشركات مدرجة في سوق تداول خلال الفترة 2017–2019، وتمثل شركات من قطاعات متعددة. وتوصلت النتائج إلى أن حجم مجلس الإدارة واستقلاليته وازدواجية المنصب ترتبط سلباً بأداء الشركات، بينما أظهرت خصائص أخرى مثل حجم لجنة المراجعة تأثيراً متبايناً. وأوصت الدراسة بتقليص حجم مجالس الإدارة إلى الحد الأمثل، وفصل منصب رئيس مجلس الإدارة عن المدير التنفيذي، وتعزيز دور لجان المراجعة لتحسين الأداء المؤسسي</w:t>
      </w:r>
      <w:r w:rsidRPr="003F45EE">
        <w:rPr>
          <w:rFonts w:ascii="Simplified Arabic" w:eastAsia="Times New Roman" w:hAnsi="Simplified Arabic" w:cs="Simplified Arabic"/>
          <w:color w:val="000000" w:themeColor="text1"/>
          <w:kern w:val="0"/>
          <w:sz w:val="28"/>
          <w:szCs w:val="28"/>
          <w14:ligatures w14:val="none"/>
        </w:rPr>
        <w:t>.</w:t>
      </w:r>
    </w:p>
    <w:p w14:paraId="7DF28AD7" w14:textId="1A65979A"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دراسة بوشناق وآخرون (2023) المشار إليها سابقاً في المحور الأول تناولت أيضاً دور لجان المراجعة كأداة رقابية تعزز الامتثال وتقلل المخاطر. هدفت في هذا الجانب إلى التعرف على كيفية إسهام زيادة اجتماعات لجان المراجعة واستقلاليتها في تعزيز الامتثال التنظيمي وتقليل المخاطر القانونية والتشغيلية خلال الأزمات. وأظهرت النتائج أن زيادة اجتماعات لجان المراجعة بمقدار 0.45 وزيادة الأعضاء المستقلين بمقدار </w:t>
      </w:r>
      <w:r w:rsidRPr="003F45EE">
        <w:rPr>
          <w:rFonts w:ascii="Simplified Arabic" w:eastAsia="Times New Roman" w:hAnsi="Simplified Arabic" w:cs="Simplified Arabic"/>
          <w:color w:val="000000" w:themeColor="text1"/>
          <w:kern w:val="0"/>
          <w:sz w:val="28"/>
          <w:szCs w:val="28"/>
          <w14:ligatures w14:val="none"/>
        </w:rPr>
        <w:t xml:space="preserve">0.10 </w:t>
      </w:r>
      <w:r w:rsidRPr="003F45EE">
        <w:rPr>
          <w:rFonts w:ascii="Simplified Arabic" w:eastAsia="Times New Roman" w:hAnsi="Simplified Arabic" w:cs="Simplified Arabic"/>
          <w:color w:val="000000" w:themeColor="text1"/>
          <w:kern w:val="0"/>
          <w:sz w:val="28"/>
          <w:szCs w:val="28"/>
          <w:rtl/>
          <w14:ligatures w14:val="none"/>
        </w:rPr>
        <w:t>خلال الجائحة كانت ذات دلالة إحصائية، مما يشير إلى أن تفعيل آليات الرقابة والامتثال يُسهم في تخفيف المخاطر وتعزيز مرونة الشركات. وأوصت بتقوية نشاط لجان المراجعة واستقلاليتها كآلية أساسية لضمان الامتثال المستمر وتقليل التعرض للمخاطر القانونية</w:t>
      </w:r>
      <w:r w:rsidRPr="003F45EE">
        <w:rPr>
          <w:rFonts w:ascii="Simplified Arabic" w:eastAsia="Times New Roman" w:hAnsi="Simplified Arabic" w:cs="Simplified Arabic"/>
          <w:color w:val="000000" w:themeColor="text1"/>
          <w:kern w:val="0"/>
          <w:sz w:val="28"/>
          <w:szCs w:val="28"/>
          <w14:ligatures w14:val="none"/>
        </w:rPr>
        <w:t>.</w:t>
      </w:r>
    </w:p>
    <w:p w14:paraId="3A71B253" w14:textId="77777777"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دراسة بوشناق وآخرون (2023) بعنوان "آليات الحوكمة المؤسسية وأداء الشركات في المملكة العربية السعودية قبل وأثناء جائحة كوفيد-19". هدفت الدراسة إلى التعرف على أثر آليات الحوكمة المؤسسية بأبعادها المتمثلة في خصائص مجلس الإدارة وخصائص لجنة المراجعة على الأداء التشغيلي والمالي والسوقي للشركات السعودية المدرجة قبل وأثناء جائحة كوفيد-19. واستخدمت الدراسة منهج البيانات الطولية</w:t>
      </w:r>
      <w:r w:rsidRPr="003F45EE">
        <w:rPr>
          <w:rFonts w:ascii="Simplified Arabic" w:eastAsia="Times New Roman" w:hAnsi="Simplified Arabic" w:cs="Simplified Arabic"/>
          <w:color w:val="000000" w:themeColor="text1"/>
          <w:kern w:val="0"/>
          <w:sz w:val="28"/>
          <w:szCs w:val="28"/>
          <w14:ligatures w14:val="none"/>
        </w:rPr>
        <w:t xml:space="preserve"> (Panel Data) </w:t>
      </w:r>
      <w:r w:rsidRPr="003F45EE">
        <w:rPr>
          <w:rFonts w:ascii="Simplified Arabic" w:eastAsia="Times New Roman" w:hAnsi="Simplified Arabic" w:cs="Simplified Arabic"/>
          <w:color w:val="000000" w:themeColor="text1"/>
          <w:kern w:val="0"/>
          <w:sz w:val="28"/>
          <w:szCs w:val="28"/>
          <w:rtl/>
          <w14:ligatures w14:val="none"/>
        </w:rPr>
        <w:t xml:space="preserve">بتحليل ذي مرحلتين يشمل المقارنة الثنائية قبل وبعد الجائحة ثم الانحدار بالتأثيرات العشوائية، وقيس الأداء بمؤشرات العائد على الأصول والعائد على حقوق الملكية ومؤشر توبين. وتكوّنت العينة من 129 شركة مدرجة في سوق تداول من 18 قطاعاً خلال الفترة 2019–2020 بإجمالي 258 مشاهدة سنوية، وجُمعت البيانات من التقارير السنوية. وأظهرت النتائج أن الأداء العام للشركات لم يتغير </w:t>
      </w:r>
      <w:r w:rsidRPr="003F45EE">
        <w:rPr>
          <w:rFonts w:ascii="Simplified Arabic" w:eastAsia="Times New Roman" w:hAnsi="Simplified Arabic" w:cs="Simplified Arabic"/>
          <w:color w:val="000000" w:themeColor="text1"/>
          <w:kern w:val="0"/>
          <w:sz w:val="28"/>
          <w:szCs w:val="28"/>
          <w:rtl/>
          <w14:ligatures w14:val="none"/>
        </w:rPr>
        <w:lastRenderedPageBreak/>
        <w:t>جوهرياً أثناء الجائحة مما يعكس مرونة عالية، وأن اجتماعات لجنة المراجعة واستقلاليتها زادت بشكل دال إحصائياً، وأن حجم المجلس يرتبط سلباً بالأداء السوقي بينما ترتبط خبرة المجلس وتعليمه والتنوع الجندري إيجاباً بالأداء</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وأوصت الدراسة بالحد من حجم مجالس الإدارة وتعزيز تنوع الخبرات والتعليم والجنس فيها، وتقوية نشاط لجان المراجعة خاصة في أوقات الأزمات</w:t>
      </w:r>
      <w:r w:rsidRPr="003F45EE">
        <w:rPr>
          <w:rFonts w:ascii="Simplified Arabic" w:eastAsia="Times New Roman" w:hAnsi="Simplified Arabic" w:cs="Simplified Arabic"/>
          <w:color w:val="000000" w:themeColor="text1"/>
          <w:kern w:val="0"/>
          <w:sz w:val="28"/>
          <w:szCs w:val="28"/>
          <w14:ligatures w14:val="none"/>
        </w:rPr>
        <w:t>.</w:t>
      </w:r>
    </w:p>
    <w:p w14:paraId="004FFB81" w14:textId="08570C4F"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14:ligatures w14:val="none"/>
        </w:rPr>
      </w:pPr>
      <w:r w:rsidRPr="003F45EE">
        <w:rPr>
          <w:rFonts w:ascii="Simplified Arabic" w:eastAsia="Times New Roman" w:hAnsi="Simplified Arabic" w:cs="Simplified Arabic"/>
          <w:color w:val="000000" w:themeColor="text1"/>
          <w:kern w:val="0"/>
          <w:sz w:val="28"/>
          <w:szCs w:val="28"/>
          <w:rtl/>
          <w14:ligatures w14:val="none"/>
        </w:rPr>
        <w:t>دراسة الحربي وهاشم (2024) بعنوان "الحوكمة المؤسسية وإفصاح الاستدامة في المملكة العربية السعودية". هدفت الدراسة إلى التعرف على أثر خصائص مجلس الإدارة ولجنة المراجعة المتمثلة في الروابط السياسية وملكية المديرين وملكية لجنة المراجعة وتعليم لجنة المراجعة على إفصاح الاستدامة في الشركات السعودية المدرجة، في إطار نظرية الوكالة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واعتمدت الدراسة على الورقة المفاهيمية التحليلية القائمة على مراجعة الأدبيات واقتراح إطار مفاهيمي ونموذج انحدار طولي يشمل تأثيرات ثابتة وعشوائية واختبارات</w:t>
      </w:r>
      <w:r w:rsidRPr="003F45EE">
        <w:rPr>
          <w:rFonts w:ascii="Simplified Arabic" w:eastAsia="Times New Roman" w:hAnsi="Simplified Arabic" w:cs="Simplified Arabic"/>
          <w:color w:val="000000" w:themeColor="text1"/>
          <w:kern w:val="0"/>
          <w:sz w:val="28"/>
          <w:szCs w:val="28"/>
          <w14:ligatures w14:val="none"/>
        </w:rPr>
        <w:t xml:space="preserve"> Hausman </w:t>
      </w:r>
      <w:r w:rsidRPr="003F45EE">
        <w:rPr>
          <w:rFonts w:ascii="Simplified Arabic" w:eastAsia="Times New Roman" w:hAnsi="Simplified Arabic" w:cs="Simplified Arabic"/>
          <w:color w:val="000000" w:themeColor="text1"/>
          <w:kern w:val="0"/>
          <w:sz w:val="28"/>
          <w:szCs w:val="28"/>
          <w:rtl/>
          <w14:ligatures w14:val="none"/>
        </w:rPr>
        <w:t>و</w:t>
      </w:r>
      <w:r w:rsidRPr="003F45EE">
        <w:rPr>
          <w:rFonts w:ascii="Simplified Arabic" w:eastAsia="Times New Roman" w:hAnsi="Simplified Arabic" w:cs="Simplified Arabic"/>
          <w:color w:val="000000" w:themeColor="text1"/>
          <w:kern w:val="0"/>
          <w:sz w:val="28"/>
          <w:szCs w:val="28"/>
          <w14:ligatures w14:val="none"/>
        </w:rPr>
        <w:t xml:space="preserve">Breusch-Pagan. </w:t>
      </w:r>
      <w:r w:rsidRPr="003F45EE">
        <w:rPr>
          <w:rFonts w:ascii="Simplified Arabic" w:eastAsia="Times New Roman" w:hAnsi="Simplified Arabic" w:cs="Simplified Arabic"/>
          <w:color w:val="000000" w:themeColor="text1"/>
          <w:kern w:val="0"/>
          <w:sz w:val="28"/>
          <w:szCs w:val="28"/>
          <w:rtl/>
          <w14:ligatures w14:val="none"/>
        </w:rPr>
        <w:t>ويتكوّن مجتمع الدراسة من 223 شركة مدرجة في سوق تداول عام 2024، وبعد تطبيق معايير الاختيار التي تشمل الإدراج المستمر والنشاط الإنتاجي ونشر التقارير السنوية، بلغت العينة النهائية 125 شركة ببيانات طولية تمتد من 2018 إلى 2023. واقترحت الدراسة أن الروابط السياسية لأعضاء المجلس وملكيتهم وخصائص لجنة المراجعة تؤثر إيجاباً في إفصاح الاستدامة بما يتوافق مع أهداف رؤية 2030. وأوصت الدراسة بتعزيز خصائص مجالس الإدارة ولجان المراجعة لتحسين جودة إفصاح الاستدامة في الشركات السعودية المدرجة</w:t>
      </w:r>
      <w:r w:rsidRPr="003F45EE">
        <w:rPr>
          <w:rFonts w:ascii="Simplified Arabic" w:eastAsia="Times New Roman" w:hAnsi="Simplified Arabic" w:cs="Simplified Arabic"/>
          <w:color w:val="000000" w:themeColor="text1"/>
          <w:kern w:val="0"/>
          <w:sz w:val="28"/>
          <w:szCs w:val="28"/>
          <w14:ligatures w14:val="none"/>
        </w:rPr>
        <w:t>.</w:t>
      </w:r>
    </w:p>
    <w:p w14:paraId="0D06C6BF" w14:textId="1770291B"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دراسة </w:t>
      </w:r>
      <w:proofErr w:type="spellStart"/>
      <w:r w:rsidRPr="003F45EE">
        <w:rPr>
          <w:rFonts w:ascii="Simplified Arabic" w:eastAsia="Times New Roman" w:hAnsi="Simplified Arabic" w:cs="Simplified Arabic"/>
          <w:color w:val="000000" w:themeColor="text1"/>
          <w:kern w:val="0"/>
          <w:sz w:val="28"/>
          <w:szCs w:val="28"/>
          <w:rtl/>
          <w14:ligatures w14:val="none"/>
        </w:rPr>
        <w:t>العزعزي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(2021) بعنوان "الحوكمة المؤسسية وأثرها في جودة الرقابة الداخلية من وجهة نظر المدراء الماليين وأعضاء الرقابة الداخلية في وزارة الأوقاف اليمنية بصنعاء". هدفت الدراسة إلى التعرف على أثر الحوكمة المؤسسية بأبعادها المتمثلة في الشفافية والإفصاح، والمساءلة والمحاسبة، واستقلالية مجلس الإدارة، والعدالة، على جودة الرقابة الداخلية في الأوقاف اليمنية. واعتمدت الدراسة المنهج الوصفي الارتباطي، واستُخدمت الاستبانة كأداة رئيسية لجمع البيانات الأولية، وحُلِّلت البيانات باستخدام المتوسطات الحسابية والانحرافات المعيارية ومعاملات الارتباط واختبارات الانحدار. وتكوّنت العينة من 20 مديراً مالياً ورئيس قسم محاسبة وعضو رقابة داخلية يعملون في وزارة الأوقاف اليمنية بصنعاء، وتمثّل مسحاً شاملاً للعاملين في الوظائف ذات الصلة المباشرة بالحوكمة والرقابة. وأظهرت النتائج أن المتوسط العام لمكونات الحوكمة بلغ </w:t>
      </w:r>
      <w:r w:rsidRPr="003F45EE">
        <w:rPr>
          <w:rFonts w:ascii="Simplified Arabic" w:eastAsia="Times New Roman" w:hAnsi="Simplified Arabic" w:cs="Simplified Arabic"/>
          <w:color w:val="000000" w:themeColor="text1"/>
          <w:kern w:val="0"/>
          <w:sz w:val="28"/>
          <w:szCs w:val="28"/>
          <w14:ligatures w14:val="none"/>
        </w:rPr>
        <w:t xml:space="preserve">3.48 </w:t>
      </w:r>
      <w:r w:rsidRPr="003F45EE">
        <w:rPr>
          <w:rFonts w:ascii="Simplified Arabic" w:eastAsia="Times New Roman" w:hAnsi="Simplified Arabic" w:cs="Simplified Arabic"/>
          <w:color w:val="000000" w:themeColor="text1"/>
          <w:kern w:val="0"/>
          <w:sz w:val="28"/>
          <w:szCs w:val="28"/>
          <w:rtl/>
          <w14:ligatures w14:val="none"/>
        </w:rPr>
        <w:t xml:space="preserve">من 5، بينما بلغ متوسط جودة الرقابة الداخلية 3.71 من 5، مما يشير إلى مستوى متوسط من تطبيق الحوكمة ومستوى مرتفع نسبياً من جودة الرقابة الداخلية، كما تبيّن وجود أثر إيجابي ذي دلالة إحصائية للحوكمة في تحسين جودة الرقابة الداخلية. وأوصت الدراسة بتعزيز معايير الحوكمة في </w:t>
      </w:r>
      <w:r w:rsidRPr="003F45EE">
        <w:rPr>
          <w:rFonts w:ascii="Simplified Arabic" w:eastAsia="Times New Roman" w:hAnsi="Simplified Arabic" w:cs="Simplified Arabic"/>
          <w:color w:val="000000" w:themeColor="text1"/>
          <w:kern w:val="0"/>
          <w:sz w:val="28"/>
          <w:szCs w:val="28"/>
          <w:rtl/>
          <w14:ligatures w14:val="none"/>
        </w:rPr>
        <w:lastRenderedPageBreak/>
        <w:t>المؤسسات الحكومية اليمنية، وتدريب المراجعين الداخليين على أحدث أساليب الرقابة، وتفعيل آليات المساءلة والمحاسبة لرفع مستوى الأداء الرقابي</w:t>
      </w:r>
      <w:r w:rsidRPr="003F45EE">
        <w:rPr>
          <w:rFonts w:ascii="Simplified Arabic" w:eastAsia="Times New Roman" w:hAnsi="Simplified Arabic" w:cs="Simplified Arabic"/>
          <w:color w:val="000000" w:themeColor="text1"/>
          <w:kern w:val="0"/>
          <w:sz w:val="28"/>
          <w:szCs w:val="28"/>
          <w14:ligatures w14:val="none"/>
        </w:rPr>
        <w:t>.</w:t>
      </w:r>
    </w:p>
    <w:p w14:paraId="580352B2" w14:textId="77777777" w:rsidR="009F3763" w:rsidRPr="003F45EE" w:rsidRDefault="009F3763"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دراسة الدعجة وعديلة (2023) بعنوان "أثر تطبيق الحوكمة المؤسسية على الثقافة التنظيمية: دراسة ميدانية في وزارة الصحة الأردنية". هدفت الدراسة إلى التعرف على أثر تطبيق الحوكمة المؤسسية بأبعادها المتمثلة في الشفافية، والمساءلة، والعدالة، والمشاركة، وتطبيق القانون، على الثقافة التنظيمية في وزارة الصحة الأردنية. واستخدمت الدراسة المنهج الوصفي التحليلي، وجُمعت البيانات بواسطة استبانة مُقنّنة بمقياس </w:t>
      </w:r>
      <w:proofErr w:type="spellStart"/>
      <w:r w:rsidRPr="003F45EE">
        <w:rPr>
          <w:rFonts w:ascii="Simplified Arabic" w:eastAsia="Times New Roman" w:hAnsi="Simplified Arabic" w:cs="Simplified Arabic"/>
          <w:color w:val="000000" w:themeColor="text1"/>
          <w:kern w:val="0"/>
          <w:sz w:val="28"/>
          <w:szCs w:val="28"/>
          <w:rtl/>
          <w14:ligatures w14:val="none"/>
        </w:rPr>
        <w:t>ليكرت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الخماسي، وحُلِّلت البيانات باستخدام الإحصاءات الوصفية واختبار الانحدار المتعدد ومعامل التحديد واختبارات</w:t>
      </w:r>
      <w:r w:rsidRPr="003F45EE">
        <w:rPr>
          <w:rFonts w:ascii="Simplified Arabic" w:eastAsia="Times New Roman" w:hAnsi="Simplified Arabic" w:cs="Simplified Arabic"/>
          <w:color w:val="000000" w:themeColor="text1"/>
          <w:kern w:val="0"/>
          <w:sz w:val="28"/>
          <w:szCs w:val="28"/>
          <w14:ligatures w14:val="none"/>
        </w:rPr>
        <w:t xml:space="preserve"> VIF </w:t>
      </w:r>
      <w:r w:rsidRPr="003F45EE">
        <w:rPr>
          <w:rFonts w:ascii="Simplified Arabic" w:eastAsia="Times New Roman" w:hAnsi="Simplified Arabic" w:cs="Simplified Arabic"/>
          <w:color w:val="000000" w:themeColor="text1"/>
          <w:kern w:val="0"/>
          <w:sz w:val="28"/>
          <w:szCs w:val="28"/>
          <w:rtl/>
          <w14:ligatures w14:val="none"/>
        </w:rPr>
        <w:t>لعدم التعدد الخطي واختبارات التوزيع الطبيعي. وتكوّن مجتمع الدراسة من جميع القيادات الإدارية في الوزارة والمديريات التابعة لها والبالغ عددهم 755 قيادياً إدارياً، واختيرت عينة طبقية عشوائية قوامها 300 قيادي إداري بنسبة 40</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وأظهرت النتائج أن مستوى تطبيق الحوكمة في الوزارة جاء بدرجة متوسطة بمتوسط عام 3.63، بينما جاء مستوى الثقافة التنظيمية بدرجة مرتفعة بمتوسط 3.79، وتبيّن وجود أثر إيجابي ذي دلالة إحصائية للحوكمة على الثقافة التنظيمية حيث بلغ معامل التحديد 0.612 وقيمة</w:t>
      </w:r>
      <w:r w:rsidRPr="003F45EE">
        <w:rPr>
          <w:rFonts w:ascii="Simplified Arabic" w:eastAsia="Times New Roman" w:hAnsi="Simplified Arabic" w:cs="Simplified Arabic"/>
          <w:color w:val="000000" w:themeColor="text1"/>
          <w:kern w:val="0"/>
          <w:sz w:val="28"/>
          <w:szCs w:val="28"/>
          <w14:ligatures w14:val="none"/>
        </w:rPr>
        <w:t xml:space="preserve"> F </w:t>
      </w:r>
      <w:r w:rsidRPr="003F45EE">
        <w:rPr>
          <w:rFonts w:ascii="Simplified Arabic" w:eastAsia="Times New Roman" w:hAnsi="Simplified Arabic" w:cs="Simplified Arabic"/>
          <w:color w:val="000000" w:themeColor="text1"/>
          <w:kern w:val="0"/>
          <w:sz w:val="28"/>
          <w:szCs w:val="28"/>
          <w:rtl/>
          <w14:ligatures w14:val="none"/>
        </w:rPr>
        <w:t>بلغت 92.782 بمستوى دلالة 0.000</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وأوصت الدراسة بتبني مبادئ الشفافية الإدارية في جميع العمليات الإدارية بالوزارة، وتعزيز الثقافة التنظيمية من خلال زيادة مشاركة الموظفين والمساءلة والعدالة، وإجراء دراسات مستقبلية عن أثر الحوكمة على متغيرات تنظيمية أخرى لم تُدرَس في الدراسة الحالية</w:t>
      </w:r>
      <w:r w:rsidRPr="003F45EE">
        <w:rPr>
          <w:rFonts w:ascii="Simplified Arabic" w:eastAsia="Times New Roman" w:hAnsi="Simplified Arabic" w:cs="Simplified Arabic"/>
          <w:color w:val="000000" w:themeColor="text1"/>
          <w:kern w:val="0"/>
          <w:sz w:val="28"/>
          <w:szCs w:val="28"/>
          <w14:ligatures w14:val="none"/>
        </w:rPr>
        <w:t>.</w:t>
      </w:r>
    </w:p>
    <w:p w14:paraId="7A5BD5C4" w14:textId="72AE6690" w:rsidR="00F17434" w:rsidRPr="003F45EE" w:rsidRDefault="00F17434"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دراسة البلوي (2025) بعنوان "تقييم أثر مبادئ الحوكمة المؤسسية على الإفصاح وجودة التقارير المالية: شواهد من الشركات المدرجة في السوق المالي السعودي". هدفت الدراسة إلى التعرف على أثر تطبيق قواعد الحوكمة المؤسسية بأبعادها المتمثلة في الشفافية والإفصاح، والمساءلة، واستقلالية مجلس الإدارة، والرقابة الداخلية، على مستوى الإفصاح المحاسبي وجودة التقارير المالية في الشركات المدرجة بالسوق المالي السعودي (تداول). واستخدمت الباحثة المنهج الوصفي التحليلي، حيث جمعت البيانات الأولية من خلال استبانة إلكترونية وُزِّعت على أعضاء مجالس الإدارات والمديرين التنفيذيين في الشركات المدرجة خلال عام 2024، وحُلِّلت البيانات باستخدام برنامج</w:t>
      </w:r>
      <w:r w:rsidRPr="003F45EE">
        <w:rPr>
          <w:rFonts w:ascii="Simplified Arabic" w:eastAsia="Times New Roman" w:hAnsi="Simplified Arabic" w:cs="Simplified Arabic"/>
          <w:color w:val="000000" w:themeColor="text1"/>
          <w:kern w:val="0"/>
          <w:sz w:val="28"/>
          <w:szCs w:val="28"/>
          <w14:ligatures w14:val="none"/>
        </w:rPr>
        <w:t xml:space="preserve"> SPSS </w:t>
      </w:r>
      <w:r w:rsidRPr="003F45EE">
        <w:rPr>
          <w:rFonts w:ascii="Simplified Arabic" w:eastAsia="Times New Roman" w:hAnsi="Simplified Arabic" w:cs="Simplified Arabic"/>
          <w:color w:val="000000" w:themeColor="text1"/>
          <w:kern w:val="0"/>
          <w:sz w:val="28"/>
          <w:szCs w:val="28"/>
          <w:rtl/>
          <w14:ligatures w14:val="none"/>
        </w:rPr>
        <w:t>عبر اختبار</w:t>
      </w:r>
      <w:r w:rsidRPr="003F45EE">
        <w:rPr>
          <w:rFonts w:ascii="Simplified Arabic" w:eastAsia="Times New Roman" w:hAnsi="Simplified Arabic" w:cs="Simplified Arabic"/>
          <w:color w:val="000000" w:themeColor="text1"/>
          <w:kern w:val="0"/>
          <w:sz w:val="28"/>
          <w:szCs w:val="28"/>
          <w14:ligatures w14:val="none"/>
        </w:rPr>
        <w:t xml:space="preserve"> "t" </w:t>
      </w:r>
      <w:r w:rsidRPr="003F45EE">
        <w:rPr>
          <w:rFonts w:ascii="Simplified Arabic" w:eastAsia="Times New Roman" w:hAnsi="Simplified Arabic" w:cs="Simplified Arabic"/>
          <w:color w:val="000000" w:themeColor="text1"/>
          <w:kern w:val="0"/>
          <w:sz w:val="28"/>
          <w:szCs w:val="28"/>
          <w:rtl/>
          <w14:ligatures w14:val="none"/>
        </w:rPr>
        <w:t xml:space="preserve">للعينة الواحدة ومعاملات الارتباط. وتكوّنت العينة من 90 عضو مجلس إدارة ومديراً تنفيذياً، وكانت نسبة الاسترداد الصالحة للتحليل مرتفعة بعد استبعاد 8 استبانات غير مكتملة من أصل 98 مستردة. وكشفت النتائج أن تطبيق قواعد الحوكمة يعزز بشكل جوهري مستويات الإفصاح ويحسّن جودة التقارير المالية، إذ بلغ المتوسط العام لمحور الحوكمة 3.74 من 5 بأهمية نسبية 74.72%، كما تبيّن وجود علاقة ارتباط إيجابية قوية </w:t>
      </w:r>
      <w:r w:rsidRPr="003F45EE">
        <w:rPr>
          <w:rFonts w:ascii="Simplified Arabic" w:eastAsia="Times New Roman" w:hAnsi="Simplified Arabic" w:cs="Simplified Arabic"/>
          <w:color w:val="000000" w:themeColor="text1"/>
          <w:kern w:val="0"/>
          <w:sz w:val="28"/>
          <w:szCs w:val="28"/>
          <w:rtl/>
          <w14:ligatures w14:val="none"/>
        </w:rPr>
        <w:lastRenderedPageBreak/>
        <w:t>بين جميع أبعاد الحوكمة وجودة التقارير المالية حيث تراوح معامل الارتباط بين 0.785 و0.921، وأن تعزيز ثقافة الحوكمة يؤثر إيجاباً على استدامة الشركات ومكانتها في السوق المالي. وأوصت الدراسة بتعزيز مفاهيم الحوكمة والالتزام بمبادئ منظمة</w:t>
      </w:r>
      <w:r w:rsidRPr="003F45EE">
        <w:rPr>
          <w:rFonts w:ascii="Simplified Arabic" w:eastAsia="Times New Roman" w:hAnsi="Simplified Arabic" w:cs="Simplified Arabic"/>
          <w:color w:val="000000" w:themeColor="text1"/>
          <w:kern w:val="0"/>
          <w:sz w:val="28"/>
          <w:szCs w:val="28"/>
          <w14:ligatures w14:val="none"/>
        </w:rPr>
        <w:t xml:space="preserve"> OECD </w:t>
      </w:r>
      <w:r w:rsidRPr="003F45EE">
        <w:rPr>
          <w:rFonts w:ascii="Simplified Arabic" w:eastAsia="Times New Roman" w:hAnsi="Simplified Arabic" w:cs="Simplified Arabic"/>
          <w:color w:val="000000" w:themeColor="text1"/>
          <w:kern w:val="0"/>
          <w:sz w:val="28"/>
          <w:szCs w:val="28"/>
          <w:rtl/>
          <w14:ligatures w14:val="none"/>
        </w:rPr>
        <w:t>من خلال برامج تدريبية، وتشكيل لجان متخصصة لمتابعة تطبيق الحوكمة وضمان الامتثال، وتوسيع نشر ثقافة الحوكمة بين جميع أصحاب المصلحة</w:t>
      </w:r>
      <w:r w:rsidRPr="003F45EE">
        <w:rPr>
          <w:rFonts w:ascii="Simplified Arabic" w:eastAsia="Times New Roman" w:hAnsi="Simplified Arabic" w:cs="Simplified Arabic"/>
          <w:color w:val="000000" w:themeColor="text1"/>
          <w:kern w:val="0"/>
          <w:sz w:val="28"/>
          <w:szCs w:val="28"/>
          <w14:ligatures w14:val="none"/>
        </w:rPr>
        <w:t>.</w:t>
      </w:r>
      <w:bookmarkEnd w:id="15"/>
    </w:p>
    <w:p w14:paraId="0282B137" w14:textId="77777777" w:rsidR="00F17434" w:rsidRPr="003F45EE" w:rsidRDefault="00F17434"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دراسة العمار (2026) بعنوان "دور نموذج الحوكمة المتكامل وإدارة المخاطر والامتثال</w:t>
      </w:r>
      <w:r w:rsidRPr="003F45EE">
        <w:rPr>
          <w:rFonts w:ascii="Simplified Arabic" w:eastAsia="Times New Roman" w:hAnsi="Simplified Arabic" w:cs="Simplified Arabic"/>
          <w:color w:val="000000" w:themeColor="text1"/>
          <w:kern w:val="0"/>
          <w:sz w:val="28"/>
          <w:szCs w:val="28"/>
          <w14:ligatures w14:val="none"/>
        </w:rPr>
        <w:t xml:space="preserve"> (GRC) </w:t>
      </w:r>
      <w:r w:rsidRPr="003F45EE">
        <w:rPr>
          <w:rFonts w:ascii="Simplified Arabic" w:eastAsia="Times New Roman" w:hAnsi="Simplified Arabic" w:cs="Simplified Arabic"/>
          <w:color w:val="000000" w:themeColor="text1"/>
          <w:kern w:val="0"/>
          <w:sz w:val="28"/>
          <w:szCs w:val="28"/>
          <w:rtl/>
          <w14:ligatures w14:val="none"/>
        </w:rPr>
        <w:t>في تعزيز السمعة التنظيمية: دراسة تطبيقية على وزارة الموارد البشرية والتنمية الاجتماعية في المملكة العربية السعودية". هدفت الدراسة إلى التعرف على أثر أبعاد نموذج</w:t>
      </w:r>
      <w:r w:rsidRPr="003F45EE">
        <w:rPr>
          <w:rFonts w:ascii="Simplified Arabic" w:eastAsia="Times New Roman" w:hAnsi="Simplified Arabic" w:cs="Simplified Arabic"/>
          <w:color w:val="000000" w:themeColor="text1"/>
          <w:kern w:val="0"/>
          <w:sz w:val="28"/>
          <w:szCs w:val="28"/>
          <w14:ligatures w14:val="none"/>
        </w:rPr>
        <w:t xml:space="preserve"> GRC </w:t>
      </w:r>
      <w:r w:rsidRPr="003F45EE">
        <w:rPr>
          <w:rFonts w:ascii="Simplified Arabic" w:eastAsia="Times New Roman" w:hAnsi="Simplified Arabic" w:cs="Simplified Arabic"/>
          <w:color w:val="000000" w:themeColor="text1"/>
          <w:kern w:val="0"/>
          <w:sz w:val="28"/>
          <w:szCs w:val="28"/>
          <w:rtl/>
          <w14:ligatures w14:val="none"/>
        </w:rPr>
        <w:t>المتمثلة في الحوكمة وإدارة المخاطر والامتثال على السمعة التنظيمية في وزارة الموارد البشرية والتنمية الاجتماعية السعودية، واختبار ما إذا كانت المتغيرات الديموغرافية تُحدث فروقاً دالة في استجابات المبحوثين. واعتمدت الدراسة المنهج الوصفي التحليلي، واستخدمت استبانة مُحكّمة لجمع البيانات الأولية، وحُلِّلت البيانات باستخدام الإحصاءات الوصفية ومعاملات الارتباط والانحدار المتعدد واختبارات الفروق. ويبلغ مجتمع الدراسة نحو 18,980 موظفاً بالوزارة، وتم تحديد حجم العينة بـ 384 موظفاً وموظفة باستخدام المعادلة الإحصائية المناسبة بمستوى ثقة 95</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 xml:space="preserve">وأظهرت النتائج وجود علاقة إيجابية ذات دلالة إحصائية بين جميع أبعاد نموذج </w:t>
      </w:r>
      <w:r w:rsidRPr="003F45EE">
        <w:rPr>
          <w:rFonts w:ascii="Simplified Arabic" w:eastAsia="Times New Roman" w:hAnsi="Simplified Arabic" w:cs="Simplified Arabic"/>
          <w:color w:val="000000" w:themeColor="text1"/>
          <w:kern w:val="0"/>
          <w:sz w:val="28"/>
          <w:szCs w:val="28"/>
          <w14:ligatures w14:val="none"/>
        </w:rPr>
        <w:t xml:space="preserve">GRC </w:t>
      </w:r>
      <w:r w:rsidRPr="003F45EE">
        <w:rPr>
          <w:rFonts w:ascii="Simplified Arabic" w:eastAsia="Times New Roman" w:hAnsi="Simplified Arabic" w:cs="Simplified Arabic"/>
          <w:color w:val="000000" w:themeColor="text1"/>
          <w:kern w:val="0"/>
          <w:sz w:val="28"/>
          <w:szCs w:val="28"/>
          <w:rtl/>
          <w14:ligatures w14:val="none"/>
        </w:rPr>
        <w:t>والسمعة التنظيمية، وعدم وجود فروق ذات دلالة إحصائية في الاستجابات تُعزى إلى المتغيرات الديموغرافية. وأوصت الدراسة بتعزيز تطبيق نموذج</w:t>
      </w:r>
      <w:r w:rsidRPr="003F45EE">
        <w:rPr>
          <w:rFonts w:ascii="Simplified Arabic" w:eastAsia="Times New Roman" w:hAnsi="Simplified Arabic" w:cs="Simplified Arabic"/>
          <w:color w:val="000000" w:themeColor="text1"/>
          <w:kern w:val="0"/>
          <w:sz w:val="28"/>
          <w:szCs w:val="28"/>
          <w14:ligatures w14:val="none"/>
        </w:rPr>
        <w:t xml:space="preserve"> GRC </w:t>
      </w:r>
      <w:r w:rsidRPr="003F45EE">
        <w:rPr>
          <w:rFonts w:ascii="Simplified Arabic" w:eastAsia="Times New Roman" w:hAnsi="Simplified Arabic" w:cs="Simplified Arabic"/>
          <w:color w:val="000000" w:themeColor="text1"/>
          <w:kern w:val="0"/>
          <w:sz w:val="28"/>
          <w:szCs w:val="28"/>
          <w:rtl/>
          <w14:ligatures w14:val="none"/>
        </w:rPr>
        <w:t xml:space="preserve">المتكامل في المؤسسات الحكومية السعودية، والتركيز على بناء ثقافة الامتثال وإدارة المخاطر الاستباقية كأدوات لتحسين السمعة التنظيمية ودعم رؤية </w:t>
      </w:r>
      <w:r w:rsidRPr="003F45EE">
        <w:rPr>
          <w:rFonts w:ascii="Simplified Arabic" w:eastAsia="Times New Roman" w:hAnsi="Simplified Arabic" w:cs="Simplified Arabic"/>
          <w:color w:val="000000" w:themeColor="text1"/>
          <w:kern w:val="0"/>
          <w:sz w:val="28"/>
          <w:szCs w:val="28"/>
          <w14:ligatures w14:val="none"/>
        </w:rPr>
        <w:t>2030.</w:t>
      </w:r>
    </w:p>
    <w:p w14:paraId="391822EB" w14:textId="77777777" w:rsidR="00F17434" w:rsidRPr="003F45EE" w:rsidRDefault="00F17434"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دراسة </w:t>
      </w:r>
      <w:proofErr w:type="spellStart"/>
      <w:r w:rsidRPr="003F45EE">
        <w:rPr>
          <w:rFonts w:ascii="Simplified Arabic" w:eastAsia="Times New Roman" w:hAnsi="Simplified Arabic" w:cs="Simplified Arabic"/>
          <w:color w:val="000000" w:themeColor="text1"/>
          <w:kern w:val="0"/>
          <w:sz w:val="28"/>
          <w:szCs w:val="28"/>
          <w:rtl/>
          <w14:ligatures w14:val="none"/>
        </w:rPr>
        <w:t>البدايوي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الرحاحلة (2025) بعنوان "دور الذكاء الاصطناعي في تعزيز الامتثال لإدارة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الأمن السيبراني". هدفت الدراسة إلى التعرف على دور تقنيات الذكاء الاصطناعي مثل خوارزميات التعلم الآلي وتحليل البيانات في تعزيز إدارة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الأمن السيبراني والامتثال للأطر التنظيمية ذات الصلة في المؤسسات المعاصرة. واعتمدت الدراسة المنهج الوصفي التحليلي القائم على المراجعة المنهجية للأدبيات والدراسات السابقة المتعلقة بالذكاء الاصطناعي والأمن السيبراني والامتثال التنظيمي، مع تحليل نظري للأطر والنماذج المقترحة. ولا تعتمد الدراسة على عينة </w:t>
      </w:r>
      <w:proofErr w:type="gramStart"/>
      <w:r w:rsidRPr="003F45EE">
        <w:rPr>
          <w:rFonts w:ascii="Simplified Arabic" w:eastAsia="Times New Roman" w:hAnsi="Simplified Arabic" w:cs="Simplified Arabic"/>
          <w:color w:val="000000" w:themeColor="text1"/>
          <w:kern w:val="0"/>
          <w:sz w:val="28"/>
          <w:szCs w:val="28"/>
          <w:rtl/>
          <w14:ligatures w14:val="none"/>
        </w:rPr>
        <w:t>ميدانية</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بل على مراجعة شاملة للدراسات المنشورة في هذا المجال حتى عام 2025. وأشارت النتائج إلى أن دمج الذكاء الاصطناعي بشكل صحيح يُمكنه تعزيز كفاءة إدارة المخاطر والامتثال في المؤسسات من خلال زيادة الدقة والحيادية والاستباقية في التعامل مع التهديدات، مع التأكيد على أن الذكاء الاصطناعي يُكمّل الرقابة البشرية ولا يحلّ محلها. وأوصت </w:t>
      </w:r>
      <w:r w:rsidRPr="003F45EE">
        <w:rPr>
          <w:rFonts w:ascii="Simplified Arabic" w:eastAsia="Times New Roman" w:hAnsi="Simplified Arabic" w:cs="Simplified Arabic"/>
          <w:color w:val="000000" w:themeColor="text1"/>
          <w:kern w:val="0"/>
          <w:sz w:val="28"/>
          <w:szCs w:val="28"/>
          <w:rtl/>
          <w14:ligatures w14:val="none"/>
        </w:rPr>
        <w:lastRenderedPageBreak/>
        <w:t>الدراسة بضرورة دمج تقنيات الذكاء الاصطناعي في أنظمة الامتثال وإدارة المخاطر مع الحفاظ على الإشراف البشري، وتطوير أطر تنظيمية تواكب التطور التكنولوجي وتُعزز المرونة المؤسسية</w:t>
      </w:r>
      <w:r w:rsidRPr="003F45EE">
        <w:rPr>
          <w:rFonts w:ascii="Simplified Arabic" w:eastAsia="Times New Roman" w:hAnsi="Simplified Arabic" w:cs="Simplified Arabic"/>
          <w:color w:val="000000" w:themeColor="text1"/>
          <w:kern w:val="0"/>
          <w:sz w:val="28"/>
          <w:szCs w:val="28"/>
          <w14:ligatures w14:val="none"/>
        </w:rPr>
        <w:t>.</w:t>
      </w:r>
    </w:p>
    <w:p w14:paraId="221AF57E" w14:textId="77777777" w:rsidR="00F17434" w:rsidRPr="003F45EE" w:rsidRDefault="00F17434"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دراسة بخيت موسى (2025) بعنوان "أثر المراجعة الداخلية الاستباقية على تقليل المخاطر المالية: دراسة ميدانية على البنوك السودانية". هدفت الدراسة إلى التعرف على أثر تطبيق المراجعة الداخلية الاستباقية على تقليل المخاطر المالية المتمثلة في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الائتمان ومخاطر السيولة ومخاطر السوق في البنوك السودانية. واعتمدت الدراسة المنهج الوصفي التحليلي، وجُمعت البيانات بواسطة استبانة وُزِّعت على المراجعين الداخليين في البنوك </w:t>
      </w:r>
      <w:proofErr w:type="spellStart"/>
      <w:r w:rsidRPr="003F45EE">
        <w:rPr>
          <w:rFonts w:ascii="Simplified Arabic" w:eastAsia="Times New Roman" w:hAnsi="Simplified Arabic" w:cs="Simplified Arabic"/>
          <w:color w:val="000000" w:themeColor="text1"/>
          <w:kern w:val="0"/>
          <w:sz w:val="28"/>
          <w:szCs w:val="28"/>
          <w:rtl/>
          <w14:ligatures w14:val="none"/>
        </w:rPr>
        <w:t>المبحوثة</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وحُلِّلت باستخدام المتوسطات الحسابية ومعاملات الارتباط والانحدار ومعامل التحديد. وتكوّنت العينة من 69 مراجعاً داخلياً يعملون في ثلاثة بنوك سودانية هي بنك الخرطوم وبنك فيصل وبنك أم درمان الوطني. وأظهرت النتائج أن المتوسط العام لتقليل المخاطر المالية بلغ 4.15 من 5 ومتوسط استخدام المراجعة الاستباقية بلغ 4.06، وأن معامل الارتباط بين المراجعة الاستباقية وتقليل المخاطر بلغ 0.973 بمعامل تحديد 0.946 مما يعني أن 94.6% من التباين مُفسَّر، وتفصيلاً: تقليل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الائتمان 84.7</w:t>
      </w:r>
      <w:r w:rsidRPr="003F45EE">
        <w:rPr>
          <w:rFonts w:ascii="Simplified Arabic" w:eastAsia="Times New Roman" w:hAnsi="Simplified Arabic" w:cs="Simplified Arabic"/>
          <w:color w:val="000000" w:themeColor="text1"/>
          <w:kern w:val="0"/>
          <w:sz w:val="28"/>
          <w:szCs w:val="28"/>
          <w14:ligatures w14:val="none"/>
        </w:rPr>
        <w:t>%</w:t>
      </w:r>
      <w:r w:rsidRPr="003F45EE">
        <w:rPr>
          <w:rFonts w:ascii="Simplified Arabic" w:eastAsia="Times New Roman" w:hAnsi="Simplified Arabic" w:cs="Simplified Arabic"/>
          <w:color w:val="000000" w:themeColor="text1"/>
          <w:kern w:val="0"/>
          <w:sz w:val="28"/>
          <w:szCs w:val="28"/>
          <w:rtl/>
          <w14:ligatures w14:val="none"/>
        </w:rPr>
        <w:t xml:space="preserve">،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السيولة 96.4%،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السوق 93.8%. وأوصت الدراسة بتطوير استراتيجيات فعّالة لتخفيف المخاطر المالية، وتعزيز تطبيق المراجعة الداخلية الاستباقية كأداة رئيسية لإدارة المخاطر لتحقيق استقرار مالي أكبر</w:t>
      </w:r>
      <w:r w:rsidRPr="003F45EE">
        <w:rPr>
          <w:rFonts w:ascii="Simplified Arabic" w:eastAsia="Times New Roman" w:hAnsi="Simplified Arabic" w:cs="Simplified Arabic"/>
          <w:color w:val="000000" w:themeColor="text1"/>
          <w:kern w:val="0"/>
          <w:sz w:val="28"/>
          <w:szCs w:val="28"/>
          <w14:ligatures w14:val="none"/>
        </w:rPr>
        <w:t>.</w:t>
      </w:r>
    </w:p>
    <w:p w14:paraId="7FB110FC" w14:textId="77777777" w:rsidR="00F17434" w:rsidRPr="003F45EE" w:rsidRDefault="00F17434"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دراسة حسن </w:t>
      </w:r>
      <w:proofErr w:type="spellStart"/>
      <w:r w:rsidRPr="003F45EE">
        <w:rPr>
          <w:rFonts w:ascii="Simplified Arabic" w:eastAsia="Times New Roman" w:hAnsi="Simplified Arabic" w:cs="Simplified Arabic"/>
          <w:color w:val="000000" w:themeColor="text1"/>
          <w:kern w:val="0"/>
          <w:sz w:val="28"/>
          <w:szCs w:val="28"/>
          <w:rtl/>
          <w14:ligatures w14:val="none"/>
        </w:rPr>
        <w:t>وبريهوفنر</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(2025) بعنوان "تحليل </w:t>
      </w:r>
      <w:proofErr w:type="spellStart"/>
      <w:r w:rsidRPr="003F45EE">
        <w:rPr>
          <w:rFonts w:ascii="Simplified Arabic" w:eastAsia="Times New Roman" w:hAnsi="Simplified Arabic" w:cs="Simplified Arabic"/>
          <w:color w:val="000000" w:themeColor="text1"/>
          <w:kern w:val="0"/>
          <w:sz w:val="28"/>
          <w:szCs w:val="28"/>
          <w:rtl/>
          <w14:ligatures w14:val="none"/>
        </w:rPr>
        <w:t>بيبليومتري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للحوكمة وإدارة المخاطر والامتثال</w:t>
      </w:r>
      <w:r w:rsidRPr="003F45EE">
        <w:rPr>
          <w:rFonts w:ascii="Simplified Arabic" w:eastAsia="Times New Roman" w:hAnsi="Simplified Arabic" w:cs="Simplified Arabic"/>
          <w:color w:val="000000" w:themeColor="text1"/>
          <w:kern w:val="0"/>
          <w:sz w:val="28"/>
          <w:szCs w:val="28"/>
          <w14:ligatures w14:val="none"/>
        </w:rPr>
        <w:t xml:space="preserve"> (GRC): </w:t>
      </w:r>
      <w:r w:rsidRPr="003F45EE">
        <w:rPr>
          <w:rFonts w:ascii="Simplified Arabic" w:eastAsia="Times New Roman" w:hAnsi="Simplified Arabic" w:cs="Simplified Arabic"/>
          <w:color w:val="000000" w:themeColor="text1"/>
          <w:kern w:val="0"/>
          <w:sz w:val="28"/>
          <w:szCs w:val="28"/>
          <w:rtl/>
          <w14:ligatures w14:val="none"/>
        </w:rPr>
        <w:t xml:space="preserve">الاتجاهات والموضوعات والتوجهات المستقبلية". هدفت الدراسة إلى التعرف على الاتجاهات البحثية والموضوعات الرئيسية والتوجهات المستقبلية في مجال الحوكمة وإدارة المخاطر والامتثال من خلال تحليل </w:t>
      </w:r>
      <w:proofErr w:type="spellStart"/>
      <w:r w:rsidRPr="003F45EE">
        <w:rPr>
          <w:rFonts w:ascii="Simplified Arabic" w:eastAsia="Times New Roman" w:hAnsi="Simplified Arabic" w:cs="Simplified Arabic"/>
          <w:color w:val="000000" w:themeColor="text1"/>
          <w:kern w:val="0"/>
          <w:sz w:val="28"/>
          <w:szCs w:val="28"/>
          <w:rtl/>
          <w14:ligatures w14:val="none"/>
        </w:rPr>
        <w:t>بيبليومتري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منهجي للأدبيات الأكاديمية المنشورة خلال الفترة 2000–2025. واعتمدت الدراسة منهج التحليل </w:t>
      </w:r>
      <w:proofErr w:type="spellStart"/>
      <w:r w:rsidRPr="003F45EE">
        <w:rPr>
          <w:rFonts w:ascii="Simplified Arabic" w:eastAsia="Times New Roman" w:hAnsi="Simplified Arabic" w:cs="Simplified Arabic"/>
          <w:color w:val="000000" w:themeColor="text1"/>
          <w:kern w:val="0"/>
          <w:sz w:val="28"/>
          <w:szCs w:val="28"/>
          <w:rtl/>
          <w14:ligatures w14:val="none"/>
        </w:rPr>
        <w:t>البيبليومتري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w:t>
      </w:r>
      <w:r w:rsidRPr="003F45EE">
        <w:rPr>
          <w:rFonts w:ascii="Simplified Arabic" w:eastAsia="Times New Roman" w:hAnsi="Simplified Arabic" w:cs="Simplified Arabic"/>
          <w:color w:val="000000" w:themeColor="text1"/>
          <w:kern w:val="0"/>
          <w:sz w:val="28"/>
          <w:szCs w:val="28"/>
          <w14:ligatures w14:val="none"/>
        </w:rPr>
        <w:t xml:space="preserve">(Bibliometric Analysis) </w:t>
      </w:r>
      <w:r w:rsidRPr="003F45EE">
        <w:rPr>
          <w:rFonts w:ascii="Simplified Arabic" w:eastAsia="Times New Roman" w:hAnsi="Simplified Arabic" w:cs="Simplified Arabic"/>
          <w:color w:val="000000" w:themeColor="text1"/>
          <w:kern w:val="0"/>
          <w:sz w:val="28"/>
          <w:szCs w:val="28"/>
          <w:rtl/>
          <w14:ligatures w14:val="none"/>
        </w:rPr>
        <w:t xml:space="preserve">الذي يُقيّم الإنتاج الأكاديمي كمياً من خلال تحليل الاستشهادات والكلمات المفتاحية والشبكات البحثية والتجمعات الموضوعية في قواعد البيانات الأكاديمية المعتمدة. وشملت الدراسة مراجعة شاملة للبحوث المنشورة في قواعد البيانات الأكاديمية الرئيسية خلال ربع قرن من 2000 إلى 2025. وأبرزت النتائج تركيزاً أكاديمياً مستمراً على الحوكمة المؤسسية وإدارة المخاطر والامتثال والرقابة الداخلية والمسؤولية الاجتماعية، مع توجه متزايد نحو دمج الذكاء الاصطناعي والاستدامة في أطر </w:t>
      </w:r>
      <w:r w:rsidRPr="003F45EE">
        <w:rPr>
          <w:rFonts w:ascii="Simplified Arabic" w:eastAsia="Times New Roman" w:hAnsi="Simplified Arabic" w:cs="Simplified Arabic"/>
          <w:color w:val="000000" w:themeColor="text1"/>
          <w:kern w:val="0"/>
          <w:sz w:val="28"/>
          <w:szCs w:val="28"/>
          <w14:ligatures w14:val="none"/>
        </w:rPr>
        <w:t>GRC</w:t>
      </w:r>
      <w:r w:rsidRPr="003F45EE">
        <w:rPr>
          <w:rFonts w:ascii="Simplified Arabic" w:eastAsia="Times New Roman" w:hAnsi="Simplified Arabic" w:cs="Simplified Arabic"/>
          <w:color w:val="000000" w:themeColor="text1"/>
          <w:kern w:val="0"/>
          <w:sz w:val="28"/>
          <w:szCs w:val="28"/>
          <w:rtl/>
          <w14:ligatures w14:val="none"/>
        </w:rPr>
        <w:t>، وأن التكامل بين هذه العناصر الثلاثة يُحقق نتائج أفضل من تطبيق كل عنصر على حدة. وأوصت الدراسة بتوسيع البحث في تطبيقات الذكاء الاصطناعي ضمن أطر</w:t>
      </w:r>
      <w:r w:rsidRPr="003F45EE">
        <w:rPr>
          <w:rFonts w:ascii="Simplified Arabic" w:eastAsia="Times New Roman" w:hAnsi="Simplified Arabic" w:cs="Simplified Arabic"/>
          <w:color w:val="000000" w:themeColor="text1"/>
          <w:kern w:val="0"/>
          <w:sz w:val="28"/>
          <w:szCs w:val="28"/>
          <w14:ligatures w14:val="none"/>
        </w:rPr>
        <w:t xml:space="preserve"> GRC</w:t>
      </w:r>
      <w:r w:rsidRPr="003F45EE">
        <w:rPr>
          <w:rFonts w:ascii="Simplified Arabic" w:eastAsia="Times New Roman" w:hAnsi="Simplified Arabic" w:cs="Simplified Arabic"/>
          <w:color w:val="000000" w:themeColor="text1"/>
          <w:kern w:val="0"/>
          <w:sz w:val="28"/>
          <w:szCs w:val="28"/>
          <w:rtl/>
          <w14:ligatures w14:val="none"/>
        </w:rPr>
        <w:t xml:space="preserve">، ودراسة تأثير </w:t>
      </w:r>
      <w:r w:rsidRPr="003F45EE">
        <w:rPr>
          <w:rFonts w:ascii="Simplified Arabic" w:eastAsia="Times New Roman" w:hAnsi="Simplified Arabic" w:cs="Simplified Arabic"/>
          <w:color w:val="000000" w:themeColor="text1"/>
          <w:kern w:val="0"/>
          <w:sz w:val="28"/>
          <w:szCs w:val="28"/>
          <w:rtl/>
          <w14:ligatures w14:val="none"/>
        </w:rPr>
        <w:lastRenderedPageBreak/>
        <w:t>الاستدامة على نماذج الامتثال، وتطوير أطر نظرية تكاملية تربط بين الحوكمة والمخاطر والامتثال في سياقات مؤسسية متنوعة</w:t>
      </w:r>
      <w:r w:rsidRPr="003F45EE">
        <w:rPr>
          <w:rFonts w:ascii="Simplified Arabic" w:eastAsia="Times New Roman" w:hAnsi="Simplified Arabic" w:cs="Simplified Arabic"/>
          <w:color w:val="000000" w:themeColor="text1"/>
          <w:kern w:val="0"/>
          <w:sz w:val="28"/>
          <w:szCs w:val="28"/>
          <w14:ligatures w14:val="none"/>
        </w:rPr>
        <w:t>.</w:t>
      </w:r>
    </w:p>
    <w:p w14:paraId="2DD229DE" w14:textId="77777777" w:rsidR="00F17434" w:rsidRPr="003F45EE" w:rsidRDefault="00F17434" w:rsidP="009F3763">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دراسة العمار (2026) المشار إليها سابقاً في المحور الأول تناولت أيضاً بُعد الامتثال كأحد أبعاد نموذج</w:t>
      </w:r>
      <w:r w:rsidRPr="003F45EE">
        <w:rPr>
          <w:rFonts w:ascii="Simplified Arabic" w:eastAsia="Times New Roman" w:hAnsi="Simplified Arabic" w:cs="Simplified Arabic"/>
          <w:color w:val="000000" w:themeColor="text1"/>
          <w:kern w:val="0"/>
          <w:sz w:val="28"/>
          <w:szCs w:val="28"/>
          <w14:ligatures w14:val="none"/>
        </w:rPr>
        <w:t xml:space="preserve"> GRC </w:t>
      </w:r>
      <w:r w:rsidRPr="003F45EE">
        <w:rPr>
          <w:rFonts w:ascii="Simplified Arabic" w:eastAsia="Times New Roman" w:hAnsi="Simplified Arabic" w:cs="Simplified Arabic"/>
          <w:color w:val="000000" w:themeColor="text1"/>
          <w:kern w:val="0"/>
          <w:sz w:val="28"/>
          <w:szCs w:val="28"/>
          <w:rtl/>
          <w14:ligatures w14:val="none"/>
        </w:rPr>
        <w:t>وتأثيره على السمعة التنظيمية. هدفت في هذا الجانب إلى التعرف على أثر بُعد الامتثال التنظيمي تحديداً على تقليل المخاطر القانونية وتعزيز السمعة المؤسسية في وزارة الموارد البشرية والتنمية الاجتماعية السعودية. واستخدمت المنهج الوصفي التحليلي ذاته واستبانة مُحكّمة على عينة 384 موظفاً</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وأظهرت النتائج أن بُعد الامتثال يرتبط إيجاباً وبدلالة إحصائية بالسمعة التنظيمية، وأن المؤسسات التي تتبنى أنظمة امتثال فعّالة تُقلّل من تعرضها للمخاطر القانونية والتنظيمية وتُعزز ثقة أصحاب المصلحة. وأوصت بضرورة تبني ثقافة امتثال شاملة تتجاوز الامتثال الشكلي إلى الامتثال الاستراتيجي المرتبط بالأهداف المؤسسية، وتطوير أنظمة رصد ومتابعة مستمرة لضمان الامتثال وتقليل المخاطر</w:t>
      </w:r>
      <w:r w:rsidRPr="003F45EE">
        <w:rPr>
          <w:rFonts w:ascii="Simplified Arabic" w:eastAsia="Times New Roman" w:hAnsi="Simplified Arabic" w:cs="Simplified Arabic"/>
          <w:color w:val="000000" w:themeColor="text1"/>
          <w:kern w:val="0"/>
          <w:sz w:val="28"/>
          <w:szCs w:val="28"/>
          <w14:ligatures w14:val="none"/>
        </w:rPr>
        <w:t>.</w:t>
      </w:r>
    </w:p>
    <w:p w14:paraId="41EEB116" w14:textId="39C32D6D" w:rsidR="009F3763" w:rsidRPr="003F45EE" w:rsidRDefault="009F3763" w:rsidP="009F3763">
      <w:pPr>
        <w:pStyle w:val="a8"/>
        <w:bidi/>
        <w:spacing w:line="276" w:lineRule="auto"/>
        <w:jc w:val="both"/>
        <w:outlineLvl w:val="1"/>
        <w:rPr>
          <w:rFonts w:ascii="Simplified Arabic" w:hAnsi="Simplified Arabic" w:cs="Simplified Arabic"/>
          <w:b/>
          <w:bCs/>
          <w:color w:val="000000" w:themeColor="text1"/>
          <w:sz w:val="36"/>
          <w:szCs w:val="36"/>
          <w:rtl/>
        </w:rPr>
      </w:pPr>
      <w:bookmarkStart w:id="16" w:name="_Toc233971166"/>
      <w:r w:rsidRPr="003F45EE">
        <w:rPr>
          <w:rFonts w:ascii="Simplified Arabic" w:hAnsi="Simplified Arabic" w:cs="Simplified Arabic"/>
          <w:b/>
          <w:bCs/>
          <w:color w:val="000000" w:themeColor="text1"/>
          <w:sz w:val="36"/>
          <w:szCs w:val="36"/>
          <w:rtl/>
        </w:rPr>
        <w:t>8.1 الفجوة البحثية</w:t>
      </w:r>
      <w:bookmarkEnd w:id="16"/>
    </w:p>
    <w:p w14:paraId="706E23FE" w14:textId="77777777" w:rsidR="006068C6" w:rsidRPr="003F45EE" w:rsidRDefault="006068C6" w:rsidP="009F3763">
      <w:pPr>
        <w:pStyle w:val="a8"/>
        <w:bidi/>
        <w:spacing w:line="276" w:lineRule="auto"/>
        <w:ind w:firstLine="424"/>
        <w:jc w:val="both"/>
        <w:rPr>
          <w:rFonts w:ascii="Simplified Arabic" w:hAnsi="Simplified Arabic" w:cs="Simplified Arabic"/>
          <w:color w:val="000000" w:themeColor="text1"/>
          <w:sz w:val="28"/>
          <w:szCs w:val="28"/>
        </w:rPr>
      </w:pPr>
      <w:r w:rsidRPr="003F45EE">
        <w:rPr>
          <w:rFonts w:ascii="Simplified Arabic" w:hAnsi="Simplified Arabic" w:cs="Simplified Arabic"/>
          <w:color w:val="000000" w:themeColor="text1"/>
          <w:sz w:val="28"/>
          <w:szCs w:val="28"/>
          <w:rtl/>
        </w:rPr>
        <w:t xml:space="preserve">من خلال استعراض الدراسات السابقة في محوري الحوكمة المؤسسية وفعالية الامتثال وتقليل المخاطر القانونية، يتبيّن وجود فجوة بحثية واضحة تسعى الدراسة الحالية إلى سدّها. فمعظم الدراسات العربية والأجنبية التي تناولت الحوكمة المؤسسية ركّزت على أثرها في الأداء المالي مقاساً بمؤشرات كالعائد على الأصول والعائد على حقوق الملكية ومؤشر توبين، كما في دراسات بوشناق (2021؛ 2023) وبقيس والجعيدي (2020) ونصر الله والخوري (2022)، بينما تناولت دراسات أخرى أثر الحوكمة على جودة التقارير المالية كدراسة البلوي </w:t>
      </w:r>
      <w:r w:rsidRPr="003F45EE">
        <w:rPr>
          <w:rFonts w:ascii="Simplified Arabic" w:hAnsi="Simplified Arabic" w:cs="Simplified Arabic"/>
          <w:color w:val="000000" w:themeColor="text1"/>
          <w:sz w:val="28"/>
          <w:szCs w:val="28"/>
        </w:rPr>
        <w:t xml:space="preserve">(2025) </w:t>
      </w:r>
      <w:r w:rsidRPr="003F45EE">
        <w:rPr>
          <w:rFonts w:ascii="Simplified Arabic" w:hAnsi="Simplified Arabic" w:cs="Simplified Arabic"/>
          <w:color w:val="000000" w:themeColor="text1"/>
          <w:sz w:val="28"/>
          <w:szCs w:val="28"/>
          <w:rtl/>
        </w:rPr>
        <w:t xml:space="preserve">أو على الثقافة التنظيمية كدراسة الدعجة وعديلة (2023) أو على إفصاح الاستدامة كدراسة الحربي وهاشم (2024). أما الدراسات التي تناولت الامتثال وتقليل المخاطر القانونية فقد ركّزت على جوانب محددة كالمراجعة الداخلية الاستباقية في القطاع المصرفي كدراسة بخيت موسى (2025)، أو على الذكاء الاصطناعي في الأمن السيبراني كدراسة </w:t>
      </w:r>
      <w:proofErr w:type="spellStart"/>
      <w:r w:rsidRPr="003F45EE">
        <w:rPr>
          <w:rFonts w:ascii="Simplified Arabic" w:hAnsi="Simplified Arabic" w:cs="Simplified Arabic"/>
          <w:color w:val="000000" w:themeColor="text1"/>
          <w:sz w:val="28"/>
          <w:szCs w:val="28"/>
          <w:rtl/>
        </w:rPr>
        <w:t>البدايوي</w:t>
      </w:r>
      <w:proofErr w:type="spellEnd"/>
      <w:r w:rsidRPr="003F45EE">
        <w:rPr>
          <w:rFonts w:ascii="Simplified Arabic" w:hAnsi="Simplified Arabic" w:cs="Simplified Arabic"/>
          <w:color w:val="000000" w:themeColor="text1"/>
          <w:sz w:val="28"/>
          <w:szCs w:val="28"/>
          <w:rtl/>
        </w:rPr>
        <w:t xml:space="preserve"> الرحاحلة (2025)، أو على إدارة المخاطر والمسؤولية القانونية بشكل نظري عام كدراسات رامش (2022؛ </w:t>
      </w:r>
      <w:r w:rsidRPr="003F45EE">
        <w:rPr>
          <w:rFonts w:ascii="Simplified Arabic" w:hAnsi="Simplified Arabic" w:cs="Simplified Arabic"/>
          <w:color w:val="000000" w:themeColor="text1"/>
          <w:sz w:val="28"/>
          <w:szCs w:val="28"/>
        </w:rPr>
        <w:t xml:space="preserve">2023). </w:t>
      </w:r>
      <w:r w:rsidRPr="003F45EE">
        <w:rPr>
          <w:rFonts w:ascii="Simplified Arabic" w:hAnsi="Simplified Arabic" w:cs="Simplified Arabic"/>
          <w:color w:val="000000" w:themeColor="text1"/>
          <w:sz w:val="28"/>
          <w:szCs w:val="28"/>
          <w:rtl/>
        </w:rPr>
        <w:t>غير أنه لا توجد — في حدود علم الباحث — دراسة عربية أو أجنبية جمعت بين أبعاد الحوكمة المؤسسية الأربعة مجتمعة (الشفافية والإفصاح، المساءلة والمحاسبة، استقلالية مجلس الإدارة، الرقابة الداخلية وإدارة المخاطر</w:t>
      </w:r>
      <w:r w:rsidRPr="003F45EE">
        <w:rPr>
          <w:rFonts w:ascii="Simplified Arabic" w:hAnsi="Simplified Arabic" w:cs="Simplified Arabic"/>
          <w:color w:val="000000" w:themeColor="text1"/>
          <w:sz w:val="28"/>
          <w:szCs w:val="28"/>
        </w:rPr>
        <w:t xml:space="preserve">) </w:t>
      </w:r>
      <w:r w:rsidRPr="003F45EE">
        <w:rPr>
          <w:rFonts w:ascii="Simplified Arabic" w:hAnsi="Simplified Arabic" w:cs="Simplified Arabic"/>
          <w:color w:val="000000" w:themeColor="text1"/>
          <w:sz w:val="28"/>
          <w:szCs w:val="28"/>
          <w:rtl/>
        </w:rPr>
        <w:t xml:space="preserve">كمتغير مستقل، وبين فعالية الامتثال وتقليل المخاطر القانونية كمتغير تابع، في سياق الشركات المتوسطة بالمملكة العربية السعودية تحديداً. كما أن أغلب الدراسات السابقة طُبِّقت على شركات مدرجة </w:t>
      </w:r>
      <w:r w:rsidRPr="003F45EE">
        <w:rPr>
          <w:rFonts w:ascii="Simplified Arabic" w:hAnsi="Simplified Arabic" w:cs="Simplified Arabic"/>
          <w:color w:val="000000" w:themeColor="text1"/>
          <w:sz w:val="28"/>
          <w:szCs w:val="28"/>
          <w:rtl/>
        </w:rPr>
        <w:lastRenderedPageBreak/>
        <w:t>كبيرة أو على القطاع المصرفي أو الحكومي، ولم تُولِ اهتماماً كافياً للشركات المتوسطة التي تُشكّل عصب الاقتصاد السعودي وركيزة أساسية في تحقيق رؤية 2030. لذا تأتي هذه الدراسة لسدّ هذه الفجوة من خلال بناء نموذج تحليلي تكاملي يربط بين أبعاد الحوكمة والامتثال القانوني ويُختبر ميدانياً على عينة ممثلة من الشركات المتوسطة السعودية</w:t>
      </w:r>
      <w:r w:rsidRPr="003F45EE">
        <w:rPr>
          <w:rFonts w:ascii="Simplified Arabic" w:hAnsi="Simplified Arabic" w:cs="Simplified Arabic"/>
          <w:color w:val="000000" w:themeColor="text1"/>
          <w:sz w:val="28"/>
          <w:szCs w:val="28"/>
        </w:rPr>
        <w:t>.</w:t>
      </w:r>
    </w:p>
    <w:p w14:paraId="3FCA52A5" w14:textId="77777777" w:rsidR="009F3763" w:rsidRPr="003F45EE" w:rsidRDefault="009F3763" w:rsidP="009F3763">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971167"/>
      <w:bookmarkStart w:id="18" w:name="_Toc169790502"/>
      <w:bookmarkEnd w:id="14"/>
      <w:r w:rsidRPr="003F45EE">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1FA78A5D" w14:textId="7A9C9324" w:rsidR="009F3763" w:rsidRPr="003F45EE" w:rsidRDefault="009F3763" w:rsidP="00B20E47">
      <w:pPr>
        <w:pStyle w:val="a6"/>
        <w:numPr>
          <w:ilvl w:val="0"/>
          <w:numId w:val="6"/>
        </w:num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3F45EE">
        <w:rPr>
          <w:rFonts w:ascii="Simplified Arabic" w:eastAsia="Times New Roman" w:hAnsi="Simplified Arabic" w:cs="Simplified Arabic"/>
          <w:b/>
          <w:bCs/>
          <w:color w:val="000000" w:themeColor="text1"/>
          <w:kern w:val="0"/>
          <w:sz w:val="28"/>
          <w:szCs w:val="28"/>
          <w:rtl/>
          <w14:ligatures w14:val="none"/>
        </w:rPr>
        <w:t>الحوكمة المؤسسية (</w:t>
      </w:r>
      <w:r w:rsidRPr="003F45EE">
        <w:rPr>
          <w:rFonts w:ascii="Simplified Arabic" w:eastAsia="Times New Roman" w:hAnsi="Simplified Arabic" w:cs="Simplified Arabic"/>
          <w:b/>
          <w:bCs/>
          <w:color w:val="000000" w:themeColor="text1"/>
          <w:kern w:val="0"/>
          <w:sz w:val="28"/>
          <w:szCs w:val="28"/>
          <w14:ligatures w14:val="none"/>
        </w:rPr>
        <w:t>Corporate Governance</w:t>
      </w:r>
      <w:r w:rsidRPr="003F45EE">
        <w:rPr>
          <w:rFonts w:ascii="Simplified Arabic" w:eastAsia="Times New Roman" w:hAnsi="Simplified Arabic" w:cs="Simplified Arabic"/>
          <w:b/>
          <w:bCs/>
          <w:color w:val="000000" w:themeColor="text1"/>
          <w:kern w:val="0"/>
          <w:sz w:val="28"/>
          <w:szCs w:val="28"/>
          <w:rtl/>
          <w14:ligatures w14:val="none"/>
        </w:rPr>
        <w:t>)</w:t>
      </w:r>
    </w:p>
    <w:p w14:paraId="130CDC50"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تُعرَّف الحوكمة المؤسسية اصطلاحاً بأنّها منظومة متكاملة من القواعد والآليات والممارسات التي تُنظّم العلاقة بين مجلس الإدارة والإدارة التنفيذية والمساهمين وأصحاب المصلحة، بما يضمن تحقيق الشفافية والمساءلة والعدالة وحماية الحقوق وتعزيز الأداء المؤسسي (البلوي، 2025). وتُعرَّف إجرائياً في هذه الدراسة بأنّها الدرجة التي يحصل عليها </w:t>
      </w:r>
      <w:proofErr w:type="spellStart"/>
      <w:r w:rsidRPr="003F45EE">
        <w:rPr>
          <w:rFonts w:ascii="Simplified Arabic" w:eastAsia="Times New Roman" w:hAnsi="Simplified Arabic" w:cs="Simplified Arabic"/>
          <w:color w:val="000000" w:themeColor="text1"/>
          <w:kern w:val="0"/>
          <w:sz w:val="28"/>
          <w:szCs w:val="28"/>
          <w:rtl/>
          <w14:ligatures w14:val="none"/>
        </w:rPr>
        <w:t>المبحوثون</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على فقرات محور الحوكمة المؤسسية بأبعاده الأربعة </w:t>
      </w:r>
      <w:r w:rsidRPr="003F45EE">
        <w:rPr>
          <w:rFonts w:ascii="Simplified Arabic" w:eastAsia="Times New Roman" w:hAnsi="Simplified Arabic" w:cs="Simplified Arabic"/>
          <w:color w:val="000000" w:themeColor="text1"/>
          <w:kern w:val="0"/>
          <w:sz w:val="28"/>
          <w:szCs w:val="28"/>
          <w14:ligatures w14:val="none"/>
        </w:rPr>
        <w:t>(</w:t>
      </w:r>
      <w:r w:rsidRPr="003F45EE">
        <w:rPr>
          <w:rFonts w:ascii="Simplified Arabic" w:eastAsia="Times New Roman" w:hAnsi="Simplified Arabic" w:cs="Simplified Arabic"/>
          <w:color w:val="000000" w:themeColor="text1"/>
          <w:kern w:val="0"/>
          <w:sz w:val="28"/>
          <w:szCs w:val="28"/>
          <w:rtl/>
          <w14:ligatures w14:val="none"/>
        </w:rPr>
        <w:t>الشفافية والإفصاح، المساءلة والمحاسبة، استقلالية مجلس الإدارة، الرقابة الداخلية وإدارة المخاطر) في الاستبانة المُعدّة لهذه الدراسة</w:t>
      </w:r>
      <w:r w:rsidRPr="003F45EE">
        <w:rPr>
          <w:rFonts w:ascii="Simplified Arabic" w:eastAsia="Times New Roman" w:hAnsi="Simplified Arabic" w:cs="Simplified Arabic"/>
          <w:color w:val="000000" w:themeColor="text1"/>
          <w:kern w:val="0"/>
          <w:sz w:val="28"/>
          <w:szCs w:val="28"/>
          <w14:ligatures w14:val="none"/>
        </w:rPr>
        <w:t>.</w:t>
      </w:r>
    </w:p>
    <w:p w14:paraId="6F6C9B90" w14:textId="205CCD06" w:rsidR="00F17434" w:rsidRPr="003F45EE" w:rsidRDefault="00F17434"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9" w:name="_Toc223935794"/>
      <w:r w:rsidRPr="003F45EE">
        <w:rPr>
          <w:rFonts w:ascii="Simplified Arabic" w:eastAsia="Times New Roman" w:hAnsi="Simplified Arabic" w:cs="Simplified Arabic"/>
          <w:b/>
          <w:bCs/>
          <w:color w:val="000000" w:themeColor="text1"/>
          <w:kern w:val="0"/>
          <w:sz w:val="28"/>
          <w:szCs w:val="28"/>
          <w:rtl/>
          <w14:ligatures w14:val="none"/>
        </w:rPr>
        <w:t>الشفافية والإفصاح</w:t>
      </w:r>
      <w:r w:rsidRPr="003F45EE">
        <w:rPr>
          <w:rFonts w:ascii="Simplified Arabic" w:eastAsia="Times New Roman" w:hAnsi="Simplified Arabic" w:cs="Simplified Arabic"/>
          <w:b/>
          <w:bCs/>
          <w:color w:val="000000" w:themeColor="text1"/>
          <w:kern w:val="0"/>
          <w:sz w:val="28"/>
          <w:szCs w:val="28"/>
          <w14:ligatures w14:val="none"/>
        </w:rPr>
        <w:t xml:space="preserve"> (Transparency and Disclosure)</w:t>
      </w:r>
      <w:bookmarkEnd w:id="19"/>
    </w:p>
    <w:p w14:paraId="3498CD7D"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تُعرَّف الشفافية والإفصاح اصطلاحاً بأنّهما التزام المنظمة بالكشف عن المعلومات المالية وغير المالية الجوهرية بصورة دقيقة وشاملة وفي الوقت المناسب لجميع أصحاب المصلحة، بما يُمكّنهم من اتخاذ قرارات مستنيرة ويُعزّز من مصداقية المنظمة وثقة المتعاملين معها </w:t>
      </w:r>
      <w:r w:rsidRPr="003F45EE">
        <w:rPr>
          <w:rFonts w:ascii="Simplified Arabic" w:eastAsia="Times New Roman" w:hAnsi="Simplified Arabic" w:cs="Simplified Arabic"/>
          <w:color w:val="000000" w:themeColor="text1"/>
          <w:kern w:val="0"/>
          <w:sz w:val="28"/>
          <w:szCs w:val="28"/>
          <w14:ligatures w14:val="none"/>
        </w:rPr>
        <w:t xml:space="preserve">(Alharbi &amp; Hashim, 2024). </w:t>
      </w:r>
      <w:r w:rsidRPr="003F45EE">
        <w:rPr>
          <w:rFonts w:ascii="Simplified Arabic" w:eastAsia="Times New Roman" w:hAnsi="Simplified Arabic" w:cs="Simplified Arabic"/>
          <w:color w:val="000000" w:themeColor="text1"/>
          <w:kern w:val="0"/>
          <w:sz w:val="28"/>
          <w:szCs w:val="28"/>
          <w:rtl/>
          <w14:ligatures w14:val="none"/>
        </w:rPr>
        <w:t xml:space="preserve">وتُعرَّف إجرائياً بأنّها الدرجة التي يحصل عليها </w:t>
      </w:r>
      <w:proofErr w:type="spellStart"/>
      <w:r w:rsidRPr="003F45EE">
        <w:rPr>
          <w:rFonts w:ascii="Simplified Arabic" w:eastAsia="Times New Roman" w:hAnsi="Simplified Arabic" w:cs="Simplified Arabic"/>
          <w:color w:val="000000" w:themeColor="text1"/>
          <w:kern w:val="0"/>
          <w:sz w:val="28"/>
          <w:szCs w:val="28"/>
          <w:rtl/>
          <w14:ligatures w14:val="none"/>
        </w:rPr>
        <w:t>المبحوثون</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على فقرات بُعد الشفافية والإفصاح في الاستبانة المُعدّة لهذه الدراسة</w:t>
      </w:r>
      <w:r w:rsidRPr="003F45EE">
        <w:rPr>
          <w:rFonts w:ascii="Simplified Arabic" w:eastAsia="Times New Roman" w:hAnsi="Simplified Arabic" w:cs="Simplified Arabic"/>
          <w:color w:val="000000" w:themeColor="text1"/>
          <w:kern w:val="0"/>
          <w:sz w:val="28"/>
          <w:szCs w:val="28"/>
          <w14:ligatures w14:val="none"/>
        </w:rPr>
        <w:t>.</w:t>
      </w:r>
    </w:p>
    <w:p w14:paraId="650FF6B8" w14:textId="2BF1B9E9" w:rsidR="00F17434" w:rsidRPr="003F45EE" w:rsidRDefault="00F17434"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0" w:name="_Toc223935795"/>
      <w:r w:rsidRPr="003F45EE">
        <w:rPr>
          <w:rFonts w:ascii="Simplified Arabic" w:eastAsia="Times New Roman" w:hAnsi="Simplified Arabic" w:cs="Simplified Arabic"/>
          <w:b/>
          <w:bCs/>
          <w:color w:val="000000" w:themeColor="text1"/>
          <w:kern w:val="0"/>
          <w:sz w:val="28"/>
          <w:szCs w:val="28"/>
          <w:rtl/>
          <w14:ligatures w14:val="none"/>
        </w:rPr>
        <w:t>المساءلة والمحاسبة</w:t>
      </w:r>
      <w:r w:rsidRPr="003F45EE">
        <w:rPr>
          <w:rFonts w:ascii="Simplified Arabic" w:eastAsia="Times New Roman" w:hAnsi="Simplified Arabic" w:cs="Simplified Arabic"/>
          <w:b/>
          <w:bCs/>
          <w:color w:val="000000" w:themeColor="text1"/>
          <w:kern w:val="0"/>
          <w:sz w:val="28"/>
          <w:szCs w:val="28"/>
          <w14:ligatures w14:val="none"/>
        </w:rPr>
        <w:t xml:space="preserve"> (Accountability)</w:t>
      </w:r>
      <w:bookmarkEnd w:id="20"/>
    </w:p>
    <w:p w14:paraId="3078E788"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تُعرَّف المساءلة والمحاسبة اصطلاحاً بأنّهما مجموعة الآليات والإجراءات التي تُلزم الإدارة التنفيذية وأعضاء مجلس الإدارة بتقديم تفسيرات ومبرّرات لقراراتهم وتصرّفاتهم أمام المساهمين وأصحاب المصلحة، وتحمّل المسؤولية عن نتائج تلك القرارات وفقاً لمعايير محددة مسبقاً (الدعجة وعديلة، 2023). وتُعرَّف </w:t>
      </w:r>
      <w:r w:rsidRPr="003F45EE">
        <w:rPr>
          <w:rFonts w:ascii="Simplified Arabic" w:eastAsia="Times New Roman" w:hAnsi="Simplified Arabic" w:cs="Simplified Arabic"/>
          <w:color w:val="000000" w:themeColor="text1"/>
          <w:kern w:val="0"/>
          <w:sz w:val="28"/>
          <w:szCs w:val="28"/>
          <w:rtl/>
          <w14:ligatures w14:val="none"/>
        </w:rPr>
        <w:lastRenderedPageBreak/>
        <w:t xml:space="preserve">إجرائياً بأنّها الدرجة التي يحصل عليها </w:t>
      </w:r>
      <w:proofErr w:type="spellStart"/>
      <w:r w:rsidRPr="003F45EE">
        <w:rPr>
          <w:rFonts w:ascii="Simplified Arabic" w:eastAsia="Times New Roman" w:hAnsi="Simplified Arabic" w:cs="Simplified Arabic"/>
          <w:color w:val="000000" w:themeColor="text1"/>
          <w:kern w:val="0"/>
          <w:sz w:val="28"/>
          <w:szCs w:val="28"/>
          <w:rtl/>
          <w14:ligatures w14:val="none"/>
        </w:rPr>
        <w:t>المبحوثون</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على فقرات بُعد المساءلة والمحاسبة في الاستبانة المُعدّة لهذه الدراسة</w:t>
      </w:r>
      <w:r w:rsidRPr="003F45EE">
        <w:rPr>
          <w:rFonts w:ascii="Simplified Arabic" w:eastAsia="Times New Roman" w:hAnsi="Simplified Arabic" w:cs="Simplified Arabic"/>
          <w:color w:val="000000" w:themeColor="text1"/>
          <w:kern w:val="0"/>
          <w:sz w:val="28"/>
          <w:szCs w:val="28"/>
          <w14:ligatures w14:val="none"/>
        </w:rPr>
        <w:t>.</w:t>
      </w:r>
    </w:p>
    <w:p w14:paraId="29571B75" w14:textId="7375E16E" w:rsidR="00F17434" w:rsidRPr="003F45EE" w:rsidRDefault="00F17434"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1" w:name="_Toc223935796"/>
      <w:r w:rsidRPr="003F45EE">
        <w:rPr>
          <w:rFonts w:ascii="Simplified Arabic" w:eastAsia="Times New Roman" w:hAnsi="Simplified Arabic" w:cs="Simplified Arabic"/>
          <w:b/>
          <w:bCs/>
          <w:color w:val="000000" w:themeColor="text1"/>
          <w:kern w:val="0"/>
          <w:sz w:val="28"/>
          <w:szCs w:val="28"/>
          <w:rtl/>
          <w14:ligatures w14:val="none"/>
        </w:rPr>
        <w:t>استقلالية مجلس الإدارة</w:t>
      </w:r>
      <w:r w:rsidRPr="003F45EE">
        <w:rPr>
          <w:rFonts w:ascii="Simplified Arabic" w:eastAsia="Times New Roman" w:hAnsi="Simplified Arabic" w:cs="Simplified Arabic"/>
          <w:b/>
          <w:bCs/>
          <w:color w:val="000000" w:themeColor="text1"/>
          <w:kern w:val="0"/>
          <w:sz w:val="28"/>
          <w:szCs w:val="28"/>
          <w14:ligatures w14:val="none"/>
        </w:rPr>
        <w:t xml:space="preserve"> (Board Independence)</w:t>
      </w:r>
      <w:bookmarkEnd w:id="21"/>
    </w:p>
    <w:p w14:paraId="0DC5232F"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تُعرَّف استقلالية مجلس الإدارة اصطلاحاً بأنّها قدرة مجلس الإدارة على ممارسة دوره الرقابي والتوجيهي بحرية ونزاهة وموضوعية دون خضوع لتأثيرات الإدارة التنفيذية أو المساهمين المسيطرين، وذلك من خلال وجود نسبة كافية من الأعضاء المستقلين غير التنفيذيين الذين لا تربطهم علاقات مادية أو شخصية بالشركة</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Boshnak</w:t>
      </w:r>
      <w:proofErr w:type="spellEnd"/>
      <w:r w:rsidRPr="003F45EE">
        <w:rPr>
          <w:rFonts w:ascii="Simplified Arabic" w:eastAsia="Times New Roman" w:hAnsi="Simplified Arabic" w:cs="Simplified Arabic"/>
          <w:color w:val="000000" w:themeColor="text1"/>
          <w:kern w:val="0"/>
          <w:sz w:val="28"/>
          <w:szCs w:val="28"/>
          <w14:ligatures w14:val="none"/>
        </w:rPr>
        <w:t xml:space="preserve"> et al., 2023). </w:t>
      </w:r>
      <w:r w:rsidRPr="003F45EE">
        <w:rPr>
          <w:rFonts w:ascii="Simplified Arabic" w:eastAsia="Times New Roman" w:hAnsi="Simplified Arabic" w:cs="Simplified Arabic"/>
          <w:color w:val="000000" w:themeColor="text1"/>
          <w:kern w:val="0"/>
          <w:sz w:val="28"/>
          <w:szCs w:val="28"/>
          <w:rtl/>
          <w14:ligatures w14:val="none"/>
        </w:rPr>
        <w:t xml:space="preserve">وتُعرَّف إجرائياً بأنّها الدرجة التي يحصل عليها </w:t>
      </w:r>
      <w:proofErr w:type="spellStart"/>
      <w:r w:rsidRPr="003F45EE">
        <w:rPr>
          <w:rFonts w:ascii="Simplified Arabic" w:eastAsia="Times New Roman" w:hAnsi="Simplified Arabic" w:cs="Simplified Arabic"/>
          <w:color w:val="000000" w:themeColor="text1"/>
          <w:kern w:val="0"/>
          <w:sz w:val="28"/>
          <w:szCs w:val="28"/>
          <w:rtl/>
          <w14:ligatures w14:val="none"/>
        </w:rPr>
        <w:t>المبحوثون</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على فقرات بُعد استقلالية مجلس الإدارة في الاستبانة المُعدّة لهذه الدراسة</w:t>
      </w:r>
      <w:r w:rsidRPr="003F45EE">
        <w:rPr>
          <w:rFonts w:ascii="Simplified Arabic" w:eastAsia="Times New Roman" w:hAnsi="Simplified Arabic" w:cs="Simplified Arabic"/>
          <w:color w:val="000000" w:themeColor="text1"/>
          <w:kern w:val="0"/>
          <w:sz w:val="28"/>
          <w:szCs w:val="28"/>
          <w14:ligatures w14:val="none"/>
        </w:rPr>
        <w:t>.</w:t>
      </w:r>
    </w:p>
    <w:p w14:paraId="5EE38715" w14:textId="0C56253C" w:rsidR="00F17434" w:rsidRPr="003F45EE" w:rsidRDefault="00F17434"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22" w:name="_Toc223935797"/>
      <w:r w:rsidRPr="003F45EE">
        <w:rPr>
          <w:rFonts w:ascii="Simplified Arabic" w:eastAsia="Times New Roman" w:hAnsi="Simplified Arabic" w:cs="Simplified Arabic"/>
          <w:b/>
          <w:bCs/>
          <w:color w:val="000000" w:themeColor="text1"/>
          <w:kern w:val="0"/>
          <w:sz w:val="28"/>
          <w:szCs w:val="28"/>
          <w:rtl/>
          <w14:ligatures w14:val="none"/>
        </w:rPr>
        <w:t>الرقابة الداخلية وإدارة المخاطر</w:t>
      </w:r>
      <w:r w:rsidRPr="003F45EE">
        <w:rPr>
          <w:rFonts w:ascii="Simplified Arabic" w:eastAsia="Times New Roman" w:hAnsi="Simplified Arabic" w:cs="Simplified Arabic"/>
          <w:b/>
          <w:bCs/>
          <w:color w:val="000000" w:themeColor="text1"/>
          <w:kern w:val="0"/>
          <w:sz w:val="28"/>
          <w:szCs w:val="28"/>
          <w14:ligatures w14:val="none"/>
        </w:rPr>
        <w:t xml:space="preserve"> (Internal Control and Risk Management)</w:t>
      </w:r>
      <w:bookmarkEnd w:id="22"/>
    </w:p>
    <w:p w14:paraId="59C215A2"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تُعرَّف الرقابة الداخلية وإدارة المخاطر اصطلاحاً بأنّهما منظومة الإجراءات والسياسات والأنشطة التي تُصمّمها المنظمة وتُنفّذها لتوفير تأكيد معقول حول تحقيق أهدافها التشغيلية والمالية، والتزامها بالأنظمة واللوائح، وحماية أصولها من المخاطر المحتملة من خلال تحديدها وتقييمها والاستجابة لها بشكل منهجي (</w:t>
      </w:r>
      <w:proofErr w:type="spellStart"/>
      <w:r w:rsidRPr="003F45EE">
        <w:rPr>
          <w:rFonts w:ascii="Simplified Arabic" w:eastAsia="Times New Roman" w:hAnsi="Simplified Arabic" w:cs="Simplified Arabic"/>
          <w:color w:val="000000" w:themeColor="text1"/>
          <w:kern w:val="0"/>
          <w:sz w:val="28"/>
          <w:szCs w:val="28"/>
          <w:rtl/>
          <w14:ligatures w14:val="none"/>
        </w:rPr>
        <w:t>العزعزي</w:t>
      </w:r>
      <w:proofErr w:type="spellEnd"/>
      <w:r w:rsidRPr="003F45EE">
        <w:rPr>
          <w:rFonts w:ascii="Simplified Arabic" w:eastAsia="Times New Roman" w:hAnsi="Simplified Arabic" w:cs="Simplified Arabic"/>
          <w:color w:val="000000" w:themeColor="text1"/>
          <w:kern w:val="0"/>
          <w:sz w:val="28"/>
          <w:szCs w:val="28"/>
          <w:rtl/>
          <w14:ligatures w14:val="none"/>
        </w:rPr>
        <w:t>، 2021)</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 xml:space="preserve">وتُعرَّف إجرائياً بأنّها الدرجة التي يحصل عليها </w:t>
      </w:r>
      <w:proofErr w:type="spellStart"/>
      <w:r w:rsidRPr="003F45EE">
        <w:rPr>
          <w:rFonts w:ascii="Simplified Arabic" w:eastAsia="Times New Roman" w:hAnsi="Simplified Arabic" w:cs="Simplified Arabic"/>
          <w:color w:val="000000" w:themeColor="text1"/>
          <w:kern w:val="0"/>
          <w:sz w:val="28"/>
          <w:szCs w:val="28"/>
          <w:rtl/>
          <w14:ligatures w14:val="none"/>
        </w:rPr>
        <w:t>المبحوثون</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على فقرات بُعد الرقابة الداخلية وإدارة المخاطر في الاستبانة المُعدّة لهذه الدراسة</w:t>
      </w:r>
      <w:r w:rsidRPr="003F45EE">
        <w:rPr>
          <w:rFonts w:ascii="Simplified Arabic" w:eastAsia="Times New Roman" w:hAnsi="Simplified Arabic" w:cs="Simplified Arabic"/>
          <w:color w:val="000000" w:themeColor="text1"/>
          <w:kern w:val="0"/>
          <w:sz w:val="28"/>
          <w:szCs w:val="28"/>
          <w14:ligatures w14:val="none"/>
        </w:rPr>
        <w:t>.</w:t>
      </w:r>
    </w:p>
    <w:p w14:paraId="05C4BC00" w14:textId="5FDF3467" w:rsidR="00F17434" w:rsidRPr="003F45EE" w:rsidRDefault="00F17434"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bookmarkStart w:id="23" w:name="_Toc223935798"/>
      <w:r w:rsidRPr="003F45EE">
        <w:rPr>
          <w:rFonts w:ascii="Simplified Arabic" w:eastAsia="Times New Roman" w:hAnsi="Simplified Arabic" w:cs="Simplified Arabic"/>
          <w:b/>
          <w:bCs/>
          <w:color w:val="000000" w:themeColor="text1"/>
          <w:kern w:val="0"/>
          <w:sz w:val="28"/>
          <w:szCs w:val="28"/>
          <w:rtl/>
          <w14:ligatures w14:val="none"/>
        </w:rPr>
        <w:t>فعالية</w:t>
      </w:r>
      <w:r w:rsidRPr="003F45EE">
        <w:rPr>
          <w:rFonts w:ascii="Simplified Arabic" w:eastAsia="Times New Roman" w:hAnsi="Simplified Arabic" w:cs="Simplified Arabic"/>
          <w:color w:val="000000" w:themeColor="text1"/>
          <w:kern w:val="0"/>
          <w:sz w:val="28"/>
          <w:szCs w:val="28"/>
          <w:rtl/>
          <w14:ligatures w14:val="none"/>
        </w:rPr>
        <w:t xml:space="preserve"> الامتثال</w:t>
      </w:r>
      <w:r w:rsidRPr="003F45EE">
        <w:rPr>
          <w:rFonts w:ascii="Simplified Arabic" w:eastAsia="Times New Roman" w:hAnsi="Simplified Arabic" w:cs="Simplified Arabic"/>
          <w:color w:val="000000" w:themeColor="text1"/>
          <w:kern w:val="0"/>
          <w:sz w:val="28"/>
          <w:szCs w:val="28"/>
          <w14:ligatures w14:val="none"/>
        </w:rPr>
        <w:t xml:space="preserve"> (Compliance Effectiveness)</w:t>
      </w:r>
      <w:bookmarkEnd w:id="23"/>
    </w:p>
    <w:p w14:paraId="676CFECD"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تُعرَّف فعالية الامتثال اصطلاحاً بأنّها قدرة المنظمة على تحقيق الالتزام الفعلي والمستدام بالأنظمة والقوانين واللوائح التنظيمية والمعايير المهنية والأخلاقية المعمول بها، بما يتجاوز الامتثال الشكلي إلى بناء ثقافة مؤسسية استباقية تدمج الامتثال في صُلب العمليات والقرارات اليومية</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Akinadewo</w:t>
      </w:r>
      <w:proofErr w:type="spellEnd"/>
      <w:r w:rsidRPr="003F45EE">
        <w:rPr>
          <w:rFonts w:ascii="Simplified Arabic" w:eastAsia="Times New Roman" w:hAnsi="Simplified Arabic" w:cs="Simplified Arabic"/>
          <w:color w:val="000000" w:themeColor="text1"/>
          <w:kern w:val="0"/>
          <w:sz w:val="28"/>
          <w:szCs w:val="28"/>
          <w14:ligatures w14:val="none"/>
        </w:rPr>
        <w:t xml:space="preserve"> &amp; </w:t>
      </w:r>
      <w:proofErr w:type="spellStart"/>
      <w:r w:rsidRPr="003F45EE">
        <w:rPr>
          <w:rFonts w:ascii="Simplified Arabic" w:eastAsia="Times New Roman" w:hAnsi="Simplified Arabic" w:cs="Simplified Arabic"/>
          <w:color w:val="000000" w:themeColor="text1"/>
          <w:kern w:val="0"/>
          <w:sz w:val="28"/>
          <w:szCs w:val="28"/>
          <w14:ligatures w14:val="none"/>
        </w:rPr>
        <w:t>Akinkoye</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2023). </w:t>
      </w:r>
      <w:r w:rsidRPr="003F45EE">
        <w:rPr>
          <w:rFonts w:ascii="Simplified Arabic" w:eastAsia="Times New Roman" w:hAnsi="Simplified Arabic" w:cs="Simplified Arabic"/>
          <w:color w:val="000000" w:themeColor="text1"/>
          <w:kern w:val="0"/>
          <w:sz w:val="28"/>
          <w:szCs w:val="28"/>
          <w:rtl/>
          <w14:ligatures w14:val="none"/>
        </w:rPr>
        <w:t xml:space="preserve">وتُعرَّف إجرائياً بأنّها الدرجة التي يحصل عليها </w:t>
      </w:r>
      <w:proofErr w:type="spellStart"/>
      <w:r w:rsidRPr="003F45EE">
        <w:rPr>
          <w:rFonts w:ascii="Simplified Arabic" w:eastAsia="Times New Roman" w:hAnsi="Simplified Arabic" w:cs="Simplified Arabic"/>
          <w:color w:val="000000" w:themeColor="text1"/>
          <w:kern w:val="0"/>
          <w:sz w:val="28"/>
          <w:szCs w:val="28"/>
          <w:rtl/>
          <w14:ligatures w14:val="none"/>
        </w:rPr>
        <w:t>المبحوثون</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على فقرات محور فعالية الامتثال وتقليل المخاطر القانونية في الاستبانة المُعدّة لهذه الدراسة</w:t>
      </w:r>
      <w:r w:rsidRPr="003F45EE">
        <w:rPr>
          <w:rFonts w:ascii="Simplified Arabic" w:eastAsia="Times New Roman" w:hAnsi="Simplified Arabic" w:cs="Simplified Arabic"/>
          <w:color w:val="000000" w:themeColor="text1"/>
          <w:kern w:val="0"/>
          <w:sz w:val="28"/>
          <w:szCs w:val="28"/>
          <w14:ligatures w14:val="none"/>
        </w:rPr>
        <w:t>.</w:t>
      </w:r>
    </w:p>
    <w:p w14:paraId="5B77DE28" w14:textId="10EA49CF" w:rsidR="00F17434" w:rsidRPr="003F45EE" w:rsidRDefault="00F17434" w:rsidP="00B20E47">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4" w:name="_Toc223935799"/>
      <w:r w:rsidRPr="003F45EE">
        <w:rPr>
          <w:rFonts w:ascii="Simplified Arabic" w:eastAsia="Times New Roman" w:hAnsi="Simplified Arabic" w:cs="Simplified Arabic"/>
          <w:b/>
          <w:bCs/>
          <w:color w:val="000000" w:themeColor="text1"/>
          <w:kern w:val="0"/>
          <w:sz w:val="28"/>
          <w:szCs w:val="28"/>
          <w:rtl/>
          <w14:ligatures w14:val="none"/>
        </w:rPr>
        <w:t>المخاطر القانونية</w:t>
      </w:r>
      <w:r w:rsidRPr="003F45EE">
        <w:rPr>
          <w:rFonts w:ascii="Simplified Arabic" w:eastAsia="Times New Roman" w:hAnsi="Simplified Arabic" w:cs="Simplified Arabic"/>
          <w:b/>
          <w:bCs/>
          <w:color w:val="000000" w:themeColor="text1"/>
          <w:kern w:val="0"/>
          <w:sz w:val="28"/>
          <w:szCs w:val="28"/>
          <w14:ligatures w14:val="none"/>
        </w:rPr>
        <w:t xml:space="preserve"> (Legal Risks)</w:t>
      </w:r>
      <w:bookmarkEnd w:id="24"/>
    </w:p>
    <w:p w14:paraId="20927CA6"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تُعرَّف المخاطر القانونية اصطلاحاً بأنّها احتمالية تعرّض المنظمة لخسائر مالية أو أضرار تتعلق بسمعتها أو استمراريتها نتيجة عدم الالتزام بالمتطلبات القانونية والتنظيمية، أو نتيجة التعاقدات المعيبة، أو </w:t>
      </w:r>
      <w:r w:rsidRPr="003F45EE">
        <w:rPr>
          <w:rFonts w:ascii="Simplified Arabic" w:eastAsia="Times New Roman" w:hAnsi="Simplified Arabic" w:cs="Simplified Arabic"/>
          <w:color w:val="000000" w:themeColor="text1"/>
          <w:kern w:val="0"/>
          <w:sz w:val="28"/>
          <w:szCs w:val="28"/>
          <w:rtl/>
          <w14:ligatures w14:val="none"/>
        </w:rPr>
        <w:lastRenderedPageBreak/>
        <w:t>النزاعات القضائية، أو الغرامات والعقوبات الصادرة عن الجهات الرقابية</w:t>
      </w:r>
      <w:r w:rsidRPr="003F45EE">
        <w:rPr>
          <w:rFonts w:ascii="Simplified Arabic" w:eastAsia="Times New Roman" w:hAnsi="Simplified Arabic" w:cs="Simplified Arabic"/>
          <w:color w:val="000000" w:themeColor="text1"/>
          <w:kern w:val="0"/>
          <w:sz w:val="28"/>
          <w:szCs w:val="28"/>
          <w14:ligatures w14:val="none"/>
        </w:rPr>
        <w:t xml:space="preserve"> (Ramesh, 2022). </w:t>
      </w:r>
      <w:r w:rsidRPr="003F45EE">
        <w:rPr>
          <w:rFonts w:ascii="Simplified Arabic" w:eastAsia="Times New Roman" w:hAnsi="Simplified Arabic" w:cs="Simplified Arabic"/>
          <w:color w:val="000000" w:themeColor="text1"/>
          <w:kern w:val="0"/>
          <w:sz w:val="28"/>
          <w:szCs w:val="28"/>
          <w:rtl/>
          <w14:ligatures w14:val="none"/>
        </w:rPr>
        <w:t>وتُعرَّف إجرائياً ضمن المتغيّر التابع المركّب الذي يقيسه محور فعالية الامتثال وتقليل المخاطر القانونية في الاستبانة المُعدّة لهذه الدراسة</w:t>
      </w:r>
      <w:r w:rsidRPr="003F45EE">
        <w:rPr>
          <w:rFonts w:ascii="Simplified Arabic" w:eastAsia="Times New Roman" w:hAnsi="Simplified Arabic" w:cs="Simplified Arabic"/>
          <w:color w:val="000000" w:themeColor="text1"/>
          <w:kern w:val="0"/>
          <w:sz w:val="28"/>
          <w:szCs w:val="28"/>
          <w14:ligatures w14:val="none"/>
        </w:rPr>
        <w:t>.</w:t>
      </w:r>
    </w:p>
    <w:p w14:paraId="2EC4B729" w14:textId="071E3D61" w:rsidR="00F17434" w:rsidRPr="003F45EE" w:rsidRDefault="00F17434" w:rsidP="00B20E47">
      <w:pPr>
        <w:pStyle w:val="a6"/>
        <w:numPr>
          <w:ilvl w:val="0"/>
          <w:numId w:val="6"/>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25" w:name="_Toc223935800"/>
      <w:r w:rsidRPr="003F45EE">
        <w:rPr>
          <w:rFonts w:ascii="Simplified Arabic" w:eastAsia="Times New Roman" w:hAnsi="Simplified Arabic" w:cs="Simplified Arabic"/>
          <w:b/>
          <w:bCs/>
          <w:color w:val="000000" w:themeColor="text1"/>
          <w:kern w:val="0"/>
          <w:sz w:val="28"/>
          <w:szCs w:val="28"/>
          <w:rtl/>
          <w14:ligatures w14:val="none"/>
        </w:rPr>
        <w:t>الشركات المتوسطة</w:t>
      </w:r>
      <w:r w:rsidRPr="003F45EE">
        <w:rPr>
          <w:rFonts w:ascii="Simplified Arabic" w:eastAsia="Times New Roman" w:hAnsi="Simplified Arabic" w:cs="Simplified Arabic"/>
          <w:b/>
          <w:bCs/>
          <w:color w:val="000000" w:themeColor="text1"/>
          <w:kern w:val="0"/>
          <w:sz w:val="28"/>
          <w:szCs w:val="28"/>
          <w14:ligatures w14:val="none"/>
        </w:rPr>
        <w:t xml:space="preserve"> (Medium-Sized Enterprises)</w:t>
      </w:r>
      <w:bookmarkEnd w:id="25"/>
    </w:p>
    <w:p w14:paraId="4BB364FA" w14:textId="77777777" w:rsidR="00F17434" w:rsidRPr="003F45EE" w:rsidRDefault="00F17434"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تُعرَّف الشركات المتوسطة وفقاً لتصنيف الهيئة العامة للمنشآت الصغيرة والمتوسطة "منشآت" بأنّها المنشآت التي يتراوح عدد العاملين فيها بين 50 و249 موظفاً وتحقّق إيرادات سنوية تتراوح بين 40 و200 مليون ريال سعودي. وتُعرَّف إجرائياً في هذه الدراسة بأنّها الشركات المتوسطة المسجّلة رسمياً لدى وزارة التجارة والعاملة في مدن الرياض وجدة والدمام والتي تستوفي معايير التصنيف المذكورة</w:t>
      </w:r>
      <w:r w:rsidRPr="003F45EE">
        <w:rPr>
          <w:rFonts w:ascii="Simplified Arabic" w:eastAsia="Times New Roman" w:hAnsi="Simplified Arabic" w:cs="Simplified Arabic"/>
          <w:color w:val="000000" w:themeColor="text1"/>
          <w:kern w:val="0"/>
          <w:sz w:val="28"/>
          <w:szCs w:val="28"/>
          <w14:ligatures w14:val="none"/>
        </w:rPr>
        <w:t>.</w:t>
      </w:r>
    </w:p>
    <w:p w14:paraId="1E2B5315" w14:textId="626FA961" w:rsidR="009F3763" w:rsidRPr="003F45EE" w:rsidRDefault="009F3763" w:rsidP="009F376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971168"/>
      <w:bookmarkStart w:id="27" w:name="_Toc169790506"/>
      <w:bookmarkEnd w:id="18"/>
      <w:r w:rsidRPr="003F45EE">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6"/>
    </w:p>
    <w:p w14:paraId="02AD91BB" w14:textId="77777777" w:rsidR="00984196" w:rsidRPr="003F45EE" w:rsidRDefault="00984196"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بوصفه المنهج الأكثر ملاءمة لطبيعة الدراسة وأهدافها، إذ يُتيح وصف الظاهرة المدروسة كمّياً ونوعياً من خلال جمع البيانات والمعلومات من مجتمع الدراسة وتحليلها إحصائياً للوصول إلى نتائج قابلة للتعميم. وسيُوظَّف هذا المنهج في شقّيه: الشقّ النظري الذي سيشمل مراجعة الأدبيات والدراسات السابقة والأُطر النظرية المتعلقة بالحوكمة المؤسسية وفعالية الامتثال والمخاطر القانونية، بهدف بناء الإطار المفاهيمي للدراسة وتحديد أبعاد المتغيرات ومؤشرات قياسها، والشقّ الميداني الذي سيعتمد على الاستبانة أداةً رئيسية لجمع البيانات الأولية من المبحوثين في الشركات المتوسطة بالمملكة العربية السعودية</w:t>
      </w:r>
      <w:r w:rsidRPr="003F45EE">
        <w:rPr>
          <w:rFonts w:ascii="Simplified Arabic" w:eastAsia="Times New Roman" w:hAnsi="Simplified Arabic" w:cs="Simplified Arabic"/>
          <w:color w:val="000000" w:themeColor="text1"/>
          <w:kern w:val="0"/>
          <w:sz w:val="28"/>
          <w:szCs w:val="28"/>
          <w14:ligatures w14:val="none"/>
        </w:rPr>
        <w:t>.</w:t>
      </w:r>
    </w:p>
    <w:p w14:paraId="711F0269" w14:textId="6C150B24" w:rsidR="00984196" w:rsidRPr="003F45EE" w:rsidRDefault="00984196"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وسيُستخدم أسلوب المسح الميداني</w:t>
      </w:r>
      <w:r w:rsidRPr="003F45EE">
        <w:rPr>
          <w:rFonts w:ascii="Simplified Arabic" w:eastAsia="Times New Roman" w:hAnsi="Simplified Arabic" w:cs="Simplified Arabic"/>
          <w:color w:val="000000" w:themeColor="text1"/>
          <w:kern w:val="0"/>
          <w:sz w:val="28"/>
          <w:szCs w:val="28"/>
          <w14:ligatures w14:val="none"/>
        </w:rPr>
        <w:t xml:space="preserve"> (Survey Method) </w:t>
      </w:r>
      <w:r w:rsidRPr="003F45EE">
        <w:rPr>
          <w:rFonts w:ascii="Simplified Arabic" w:eastAsia="Times New Roman" w:hAnsi="Simplified Arabic" w:cs="Simplified Arabic"/>
          <w:color w:val="000000" w:themeColor="text1"/>
          <w:kern w:val="0"/>
          <w:sz w:val="28"/>
          <w:szCs w:val="28"/>
          <w:rtl/>
          <w14:ligatures w14:val="none"/>
        </w:rPr>
        <w:t>لجمع البيانات من عيّنة ممثّلة لمجتمع الدراسة، حيث ستُوزَّع الاستبانات إلكترونياً على المبحوثين المستهدفين، وستُحلَّل البيانات المجمّعة باستخدام البرنامج الإحصائي</w:t>
      </w:r>
      <w:r w:rsidRPr="003F45EE">
        <w:rPr>
          <w:rFonts w:ascii="Simplified Arabic" w:eastAsia="Times New Roman" w:hAnsi="Simplified Arabic" w:cs="Simplified Arabic"/>
          <w:color w:val="000000" w:themeColor="text1"/>
          <w:kern w:val="0"/>
          <w:sz w:val="28"/>
          <w:szCs w:val="28"/>
          <w14:ligatures w14:val="none"/>
        </w:rPr>
        <w:t xml:space="preserve"> SPSS </w:t>
      </w:r>
      <w:r w:rsidRPr="003F45EE">
        <w:rPr>
          <w:rFonts w:ascii="Simplified Arabic" w:eastAsia="Times New Roman" w:hAnsi="Simplified Arabic" w:cs="Simplified Arabic"/>
          <w:color w:val="000000" w:themeColor="text1"/>
          <w:kern w:val="0"/>
          <w:sz w:val="28"/>
          <w:szCs w:val="28"/>
          <w:rtl/>
          <w14:ligatures w14:val="none"/>
        </w:rPr>
        <w:t>وبرنامج</w:t>
      </w:r>
      <w:r w:rsidRPr="003F45EE">
        <w:rPr>
          <w:rFonts w:ascii="Simplified Arabic" w:eastAsia="Times New Roman" w:hAnsi="Simplified Arabic" w:cs="Simplified Arabic"/>
          <w:color w:val="000000" w:themeColor="text1"/>
          <w:kern w:val="0"/>
          <w:sz w:val="28"/>
          <w:szCs w:val="28"/>
          <w14:ligatures w14:val="none"/>
        </w:rPr>
        <w:t xml:space="preserve"> AMOS </w:t>
      </w:r>
      <w:r w:rsidRPr="003F45EE">
        <w:rPr>
          <w:rFonts w:ascii="Simplified Arabic" w:eastAsia="Times New Roman" w:hAnsi="Simplified Arabic" w:cs="Simplified Arabic"/>
          <w:color w:val="000000" w:themeColor="text1"/>
          <w:kern w:val="0"/>
          <w:sz w:val="28"/>
          <w:szCs w:val="28"/>
          <w:rtl/>
          <w14:ligatures w14:val="none"/>
        </w:rPr>
        <w:t>للنمذجة بالمعادلات الهيكلية، وذلك لاختبار فرضيات الدراسة والإجابة عن تساؤلاتها والتحقّق من صلاحية النموذج البحثي المقترح. كما سيُراعى في تصميم الدراسة الميدانية ضمان الصدق الداخلي والخارجي للأداة من خلال التحكيم والاختبار القبلي، فضلاً عن ضمان موثوقية النتائج عبر حساب معاملات الثبات المناسبة</w:t>
      </w:r>
      <w:r w:rsidRPr="003F45EE">
        <w:rPr>
          <w:rFonts w:ascii="Simplified Arabic" w:eastAsia="Times New Roman" w:hAnsi="Simplified Arabic" w:cs="Simplified Arabic"/>
          <w:color w:val="000000" w:themeColor="text1"/>
          <w:kern w:val="0"/>
          <w:sz w:val="28"/>
          <w:szCs w:val="28"/>
          <w14:ligatures w14:val="none"/>
        </w:rPr>
        <w:t>.</w:t>
      </w:r>
    </w:p>
    <w:p w14:paraId="4DAC78E5" w14:textId="753F2C6E" w:rsidR="00984196" w:rsidRPr="003F45EE" w:rsidRDefault="009F3763" w:rsidP="009F3763">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3935802"/>
      <w:bookmarkStart w:id="29" w:name="_Toc233971169"/>
      <w:r w:rsidRPr="003F45EE">
        <w:rPr>
          <w:rFonts w:ascii="Simplified Arabic" w:eastAsia="Times New Roman" w:hAnsi="Simplified Arabic" w:cs="Simplified Arabic" w:hint="cs"/>
          <w:b/>
          <w:bCs/>
          <w:color w:val="000000" w:themeColor="text1"/>
          <w:kern w:val="0"/>
          <w:sz w:val="36"/>
          <w:szCs w:val="36"/>
          <w:rtl/>
          <w14:ligatures w14:val="none"/>
        </w:rPr>
        <w:t xml:space="preserve">11.1 </w:t>
      </w:r>
      <w:r w:rsidR="00984196" w:rsidRPr="003F45EE">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8"/>
      <w:bookmarkEnd w:id="29"/>
    </w:p>
    <w:p w14:paraId="6CA6C1AE" w14:textId="77777777" w:rsidR="00984196" w:rsidRPr="003F45EE" w:rsidRDefault="00984196"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سيتكوّن مجتمع الدراسة من جميع العاملين في المناصب الإدارية والإشرافية والتخصصية في الشركات المتوسطة العاملة في المملكة العربية السعودية، وتحديداً في مدن الرياض وجدة والدمام بوصفها المراكز الاقتصادية الرئيسية التي تتركّز فيها النسبة الأكبر من الشركات المتوسطة. ووفقاً لبيانات الهيئة العامة للمنشآت الصغيرة والمتوسطة "منشآت</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 xml:space="preserve">ووزارة التجارة، يُقدَّر عدد الشركات المتوسطة المسجّلة في المملكة بنحو </w:t>
      </w:r>
      <w:r w:rsidRPr="003F45EE">
        <w:rPr>
          <w:rFonts w:ascii="Simplified Arabic" w:eastAsia="Times New Roman" w:hAnsi="Simplified Arabic" w:cs="Simplified Arabic"/>
          <w:color w:val="000000" w:themeColor="text1"/>
          <w:kern w:val="0"/>
          <w:sz w:val="28"/>
          <w:szCs w:val="28"/>
          <w14:ligatures w14:val="none"/>
        </w:rPr>
        <w:t xml:space="preserve">3,200 </w:t>
      </w:r>
      <w:r w:rsidRPr="003F45EE">
        <w:rPr>
          <w:rFonts w:ascii="Simplified Arabic" w:eastAsia="Times New Roman" w:hAnsi="Simplified Arabic" w:cs="Simplified Arabic"/>
          <w:color w:val="000000" w:themeColor="text1"/>
          <w:kern w:val="0"/>
          <w:sz w:val="28"/>
          <w:szCs w:val="28"/>
          <w:rtl/>
          <w14:ligatures w14:val="none"/>
        </w:rPr>
        <w:t>شركة وفق تصنيف المنشآت الذي يُحدّد الشركة المتوسطة بعدد عاملين يتراوح بين 50 و249 موظفاً وإيرادات سنوية تتراوح بين 40 و200 مليون ريال</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وسيُستهدف من مجتمع الدراسة الفئات الأكثر ارتباطاً بموضوع البحث، وهم</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أعضاء مجالس الإدارة، والمديرون التنفيذيون، ومديرو الامتثال والشؤون القانونية، ومديرو المراجعة الداخلية وإدارة المخاطر، والمديرون الماليون، ويُقدَّر عددهم الإجمالي في الشركات المستهدفة بنحو 4,800 فرد</w:t>
      </w:r>
      <w:r w:rsidRPr="003F45EE">
        <w:rPr>
          <w:rFonts w:ascii="Simplified Arabic" w:eastAsia="Times New Roman" w:hAnsi="Simplified Arabic" w:cs="Simplified Arabic"/>
          <w:color w:val="000000" w:themeColor="text1"/>
          <w:kern w:val="0"/>
          <w:sz w:val="28"/>
          <w:szCs w:val="28"/>
          <w14:ligatures w14:val="none"/>
        </w:rPr>
        <w:t>.</w:t>
      </w:r>
    </w:p>
    <w:p w14:paraId="54611DE8" w14:textId="77777777" w:rsidR="00984196" w:rsidRPr="003F45EE" w:rsidRDefault="00984196"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وبناءً على حجم مجتمع الدراسة، سيُحدَّد حجم العيّنة باستخدام معادلة ستيفن </w:t>
      </w:r>
      <w:proofErr w:type="spellStart"/>
      <w:r w:rsidRPr="003F45EE">
        <w:rPr>
          <w:rFonts w:ascii="Simplified Arabic" w:eastAsia="Times New Roman" w:hAnsi="Simplified Arabic" w:cs="Simplified Arabic"/>
          <w:color w:val="000000" w:themeColor="text1"/>
          <w:kern w:val="0"/>
          <w:sz w:val="28"/>
          <w:szCs w:val="28"/>
          <w:rtl/>
          <w14:ligatures w14:val="none"/>
        </w:rPr>
        <w:t>ثومبسون</w:t>
      </w:r>
      <w:proofErr w:type="spellEnd"/>
      <w:r w:rsidRPr="003F45EE">
        <w:rPr>
          <w:rFonts w:ascii="Simplified Arabic" w:eastAsia="Times New Roman" w:hAnsi="Simplified Arabic" w:cs="Simplified Arabic"/>
          <w:color w:val="000000" w:themeColor="text1"/>
          <w:kern w:val="0"/>
          <w:sz w:val="28"/>
          <w:szCs w:val="28"/>
          <w14:ligatures w14:val="none"/>
        </w:rPr>
        <w:t xml:space="preserve"> (Steven Thompson) </w:t>
      </w:r>
      <w:r w:rsidRPr="003F45EE">
        <w:rPr>
          <w:rFonts w:ascii="Simplified Arabic" w:eastAsia="Times New Roman" w:hAnsi="Simplified Arabic" w:cs="Simplified Arabic"/>
          <w:color w:val="000000" w:themeColor="text1"/>
          <w:kern w:val="0"/>
          <w:sz w:val="28"/>
          <w:szCs w:val="28"/>
          <w:rtl/>
          <w14:ligatures w14:val="none"/>
        </w:rPr>
        <w:t xml:space="preserve">عند مستوى ثقة </w:t>
      </w:r>
      <w:r w:rsidRPr="003F45EE">
        <w:rPr>
          <w:rFonts w:ascii="Simplified Arabic" w:eastAsia="Times New Roman" w:hAnsi="Simplified Arabic" w:cs="Simplified Arabic"/>
          <w:color w:val="000000" w:themeColor="text1"/>
          <w:kern w:val="0"/>
          <w:sz w:val="28"/>
          <w:szCs w:val="28"/>
          <w14:ligatures w14:val="none"/>
        </w:rPr>
        <w:t xml:space="preserve">95% </w:t>
      </w:r>
      <w:r w:rsidRPr="003F45EE">
        <w:rPr>
          <w:rFonts w:ascii="Simplified Arabic" w:eastAsia="Times New Roman" w:hAnsi="Simplified Arabic" w:cs="Simplified Arabic"/>
          <w:color w:val="000000" w:themeColor="text1"/>
          <w:kern w:val="0"/>
          <w:sz w:val="28"/>
          <w:szCs w:val="28"/>
          <w:rtl/>
          <w14:ligatures w14:val="none"/>
        </w:rPr>
        <w:t>وهامش خطأ 5%، حيث سيبلغ الحدّ الأدنى المطلوب للعيّنة نحو 356 مفردة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وسيتمّ توزيع 420 استبانة لضمان الحصول على عدد كافٍ من الاستجابات الصالحة للتحليل الإحصائي بعد استبعاد الاستبانات غير المكتملة أو غير الجادة، مع استهداف معدّل استرداد لا يقلّ عن 85%. وستُستخدم طريقة العيّنة الطبقية العشوائية</w:t>
      </w:r>
      <w:r w:rsidRPr="003F45EE">
        <w:rPr>
          <w:rFonts w:ascii="Simplified Arabic" w:eastAsia="Times New Roman" w:hAnsi="Simplified Arabic" w:cs="Simplified Arabic"/>
          <w:color w:val="000000" w:themeColor="text1"/>
          <w:kern w:val="0"/>
          <w:sz w:val="28"/>
          <w:szCs w:val="28"/>
          <w14:ligatures w14:val="none"/>
        </w:rPr>
        <w:t xml:space="preserve"> (Stratified Random Sampling) </w:t>
      </w:r>
      <w:r w:rsidRPr="003F45EE">
        <w:rPr>
          <w:rFonts w:ascii="Simplified Arabic" w:eastAsia="Times New Roman" w:hAnsi="Simplified Arabic" w:cs="Simplified Arabic"/>
          <w:color w:val="000000" w:themeColor="text1"/>
          <w:kern w:val="0"/>
          <w:sz w:val="28"/>
          <w:szCs w:val="28"/>
          <w:rtl/>
          <w14:ligatures w14:val="none"/>
        </w:rPr>
        <w:t>لضمان تمثيل متوازن للمدن الثلاث المستهدفة والقطاعات الاقتصادية المختلفة (الصناعي، التجاري، الخدمي) والمستويات الوظيفية، مما يُعزّز من قابلية تعميم النتائج على مجتمع الدراسة الأصلي</w:t>
      </w:r>
      <w:r w:rsidRPr="003F45EE">
        <w:rPr>
          <w:rFonts w:ascii="Simplified Arabic" w:eastAsia="Times New Roman" w:hAnsi="Simplified Arabic" w:cs="Simplified Arabic"/>
          <w:color w:val="000000" w:themeColor="text1"/>
          <w:kern w:val="0"/>
          <w:sz w:val="28"/>
          <w:szCs w:val="28"/>
          <w14:ligatures w14:val="none"/>
        </w:rPr>
        <w:t>.</w:t>
      </w:r>
    </w:p>
    <w:p w14:paraId="2207A71C" w14:textId="4F8A1DB5" w:rsidR="00984196" w:rsidRPr="003F45EE" w:rsidRDefault="009F3763" w:rsidP="00A2743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3935803"/>
      <w:bookmarkStart w:id="31" w:name="_Toc233971170"/>
      <w:r w:rsidRPr="003F45EE">
        <w:rPr>
          <w:rFonts w:ascii="Simplified Arabic" w:eastAsia="Times New Roman" w:hAnsi="Simplified Arabic" w:cs="Simplified Arabic" w:hint="cs"/>
          <w:b/>
          <w:bCs/>
          <w:color w:val="000000" w:themeColor="text1"/>
          <w:kern w:val="0"/>
          <w:sz w:val="36"/>
          <w:szCs w:val="36"/>
          <w:rtl/>
          <w14:ligatures w14:val="none"/>
        </w:rPr>
        <w:t xml:space="preserve">12.1 </w:t>
      </w:r>
      <w:r w:rsidR="00984196" w:rsidRPr="003F45EE">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0"/>
      <w:bookmarkEnd w:id="31"/>
    </w:p>
    <w:p w14:paraId="1AA29B97" w14:textId="77777777" w:rsidR="00984196" w:rsidRPr="003F45EE" w:rsidRDefault="00984196" w:rsidP="000F61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45EE">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البيانات لتحقيق التكامل بين الجانبين النظري والميداني</w:t>
      </w:r>
      <w:r w:rsidRPr="003F45EE">
        <w:rPr>
          <w:rFonts w:ascii="Simplified Arabic" w:eastAsia="Times New Roman" w:hAnsi="Simplified Arabic" w:cs="Simplified Arabic"/>
          <w:b/>
          <w:bCs/>
          <w:color w:val="000000" w:themeColor="text1"/>
          <w:kern w:val="0"/>
          <w:sz w:val="28"/>
          <w:szCs w:val="28"/>
          <w14:ligatures w14:val="none"/>
        </w:rPr>
        <w:t>:</w:t>
      </w:r>
    </w:p>
    <w:p w14:paraId="6B37AF18" w14:textId="77777777" w:rsidR="00984196" w:rsidRPr="003F45EE" w:rsidRDefault="00984196" w:rsidP="009F376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المصادر الثانوية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في الحوكمة المؤسسية والامتثال وإدارة المخاطر القانونية، والدوريات والمجلات العلمية المحكّمة العربية والأجنبية، والرسائل الجامعية (ماجستير ودكتوراه)، والتقارير والوثائق الرسمية الصادرة عن الجهات التنظيمية السعودية (هيئة السوق المالية، وزارة التجارة، الهيئة العامة للمنشآت الصغيرة والمتوسطة)، والأنظمة واللوائح ذات الصلة مثل نظام الشركات السعودي ولائحة حوكمة الشركات، فضلاً عن قواعد البيانات الإلكترونية مثل</w:t>
      </w:r>
      <w:r w:rsidRPr="003F45EE">
        <w:rPr>
          <w:rFonts w:ascii="Simplified Arabic" w:eastAsia="Times New Roman" w:hAnsi="Simplified Arabic" w:cs="Simplified Arabic"/>
          <w:color w:val="000000" w:themeColor="text1"/>
          <w:kern w:val="0"/>
          <w:sz w:val="28"/>
          <w:szCs w:val="28"/>
          <w14:ligatures w14:val="none"/>
        </w:rPr>
        <w:t xml:space="preserve"> Scopus </w:t>
      </w:r>
      <w:r w:rsidRPr="003F45EE">
        <w:rPr>
          <w:rFonts w:ascii="Simplified Arabic" w:eastAsia="Times New Roman" w:hAnsi="Simplified Arabic" w:cs="Simplified Arabic"/>
          <w:color w:val="000000" w:themeColor="text1"/>
          <w:kern w:val="0"/>
          <w:sz w:val="28"/>
          <w:szCs w:val="28"/>
          <w:rtl/>
          <w14:ligatures w14:val="none"/>
        </w:rPr>
        <w:t>و</w:t>
      </w:r>
      <w:r w:rsidRPr="003F45EE">
        <w:rPr>
          <w:rFonts w:ascii="Simplified Arabic" w:eastAsia="Times New Roman" w:hAnsi="Simplified Arabic" w:cs="Simplified Arabic"/>
          <w:color w:val="000000" w:themeColor="text1"/>
          <w:kern w:val="0"/>
          <w:sz w:val="28"/>
          <w:szCs w:val="28"/>
          <w14:ligatures w14:val="none"/>
        </w:rPr>
        <w:t xml:space="preserve">Web of Science </w:t>
      </w:r>
      <w:r w:rsidRPr="003F45EE">
        <w:rPr>
          <w:rFonts w:ascii="Simplified Arabic" w:eastAsia="Times New Roman" w:hAnsi="Simplified Arabic" w:cs="Simplified Arabic"/>
          <w:color w:val="000000" w:themeColor="text1"/>
          <w:kern w:val="0"/>
          <w:sz w:val="28"/>
          <w:szCs w:val="28"/>
          <w:rtl/>
          <w14:ligatures w14:val="none"/>
        </w:rPr>
        <w:t>و</w:t>
      </w:r>
      <w:r w:rsidRPr="003F45EE">
        <w:rPr>
          <w:rFonts w:ascii="Simplified Arabic" w:eastAsia="Times New Roman" w:hAnsi="Simplified Arabic" w:cs="Simplified Arabic"/>
          <w:color w:val="000000" w:themeColor="text1"/>
          <w:kern w:val="0"/>
          <w:sz w:val="28"/>
          <w:szCs w:val="28"/>
          <w14:ligatures w14:val="none"/>
        </w:rPr>
        <w:t xml:space="preserve">Google Scholar </w:t>
      </w:r>
      <w:r w:rsidRPr="003F45EE">
        <w:rPr>
          <w:rFonts w:ascii="Simplified Arabic" w:eastAsia="Times New Roman" w:hAnsi="Simplified Arabic" w:cs="Simplified Arabic"/>
          <w:color w:val="000000" w:themeColor="text1"/>
          <w:kern w:val="0"/>
          <w:sz w:val="28"/>
          <w:szCs w:val="28"/>
          <w:rtl/>
          <w14:ligatures w14:val="none"/>
        </w:rPr>
        <w:t>والمنظومة</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Mandumah</w:t>
      </w:r>
      <w:proofErr w:type="spellEnd"/>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وستُستخدم هذه المصادر في بناء الإطار النظري وتطوير أداة الدراسة</w:t>
      </w:r>
      <w:r w:rsidRPr="003F45EE">
        <w:rPr>
          <w:rFonts w:ascii="Simplified Arabic" w:eastAsia="Times New Roman" w:hAnsi="Simplified Arabic" w:cs="Simplified Arabic"/>
          <w:color w:val="000000" w:themeColor="text1"/>
          <w:kern w:val="0"/>
          <w:sz w:val="28"/>
          <w:szCs w:val="28"/>
          <w14:ligatures w14:val="none"/>
        </w:rPr>
        <w:t>.</w:t>
      </w:r>
    </w:p>
    <w:p w14:paraId="5245113F"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المصادر الأولية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وتتمثّل في البيانات التي سيتمّ جمعها ميدانياً من المبحوثين في الشركات المتوسطة السعودية باستخدام الاستبانة الإلكترونية المصمّمة لأغراض هذه الدراسة، والتي ستُوزَّع عبر منصّة إلكترونية متخصصة لضمان سهولة الوصول وسرعة الاستجابة وجودة البيانات المجمّعة</w:t>
      </w:r>
      <w:r w:rsidRPr="003F45EE">
        <w:rPr>
          <w:rFonts w:ascii="Simplified Arabic" w:eastAsia="Times New Roman" w:hAnsi="Simplified Arabic" w:cs="Simplified Arabic"/>
          <w:color w:val="000000" w:themeColor="text1"/>
          <w:kern w:val="0"/>
          <w:sz w:val="28"/>
          <w:szCs w:val="28"/>
          <w14:ligatures w14:val="none"/>
        </w:rPr>
        <w:t>.</w:t>
      </w:r>
    </w:p>
    <w:p w14:paraId="06BCE3F8" w14:textId="7F2FDCCD" w:rsidR="00984196" w:rsidRPr="003F45EE" w:rsidRDefault="00A27438" w:rsidP="00A2743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3935804"/>
      <w:bookmarkStart w:id="33" w:name="_Toc233971171"/>
      <w:r w:rsidRPr="003F45EE">
        <w:rPr>
          <w:rFonts w:ascii="Simplified Arabic" w:eastAsia="Times New Roman" w:hAnsi="Simplified Arabic" w:cs="Simplified Arabic" w:hint="cs"/>
          <w:b/>
          <w:bCs/>
          <w:color w:val="000000" w:themeColor="text1"/>
          <w:kern w:val="0"/>
          <w:sz w:val="36"/>
          <w:szCs w:val="36"/>
          <w:rtl/>
          <w14:ligatures w14:val="none"/>
        </w:rPr>
        <w:t xml:space="preserve">13.1 </w:t>
      </w:r>
      <w:r w:rsidR="00984196" w:rsidRPr="003F45EE">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2"/>
      <w:bookmarkEnd w:id="33"/>
    </w:p>
    <w:p w14:paraId="178258EB"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ستُصمَّم استبانة إلكترونية مُهيكلة تُعدّ الأداة الرئيسية لجمع البيانات الأولية، وستتكوّن من ثلاثة أقسام رئيسية</w:t>
      </w:r>
      <w:r w:rsidRPr="003F45EE">
        <w:rPr>
          <w:rFonts w:ascii="Simplified Arabic" w:eastAsia="Times New Roman" w:hAnsi="Simplified Arabic" w:cs="Simplified Arabic"/>
          <w:color w:val="000000" w:themeColor="text1"/>
          <w:kern w:val="0"/>
          <w:sz w:val="28"/>
          <w:szCs w:val="28"/>
          <w14:ligatures w14:val="none"/>
        </w:rPr>
        <w:t>:</w:t>
      </w:r>
    </w:p>
    <w:p w14:paraId="7E99EF35"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والوظيفية سيتضمّن هذا القسم (6) فقرات تشمل: الجنس، الفئة العمرية، المؤهل العلمي، سنوات الخبرة، المسمّى الوظيفي، وحجم الشركة (عدد الموظفين)</w:t>
      </w:r>
      <w:r w:rsidRPr="003F45EE">
        <w:rPr>
          <w:rFonts w:ascii="Simplified Arabic" w:eastAsia="Times New Roman" w:hAnsi="Simplified Arabic" w:cs="Simplified Arabic"/>
          <w:color w:val="000000" w:themeColor="text1"/>
          <w:kern w:val="0"/>
          <w:sz w:val="28"/>
          <w:szCs w:val="28"/>
          <w14:ligatures w14:val="none"/>
        </w:rPr>
        <w:t>.</w:t>
      </w:r>
    </w:p>
    <w:p w14:paraId="727ABB2A"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القسم الثاني: المتغيّر المستقل – الحوكمة المؤسسية (4 أبعاد) سيتكوّن هذا القسم من (16) فقرة موزّعة على أربعة أبعاد، لكل بُعد (4) فقرات، وذلك على النحو التالي</w:t>
      </w:r>
      <w:r w:rsidRPr="003F45EE">
        <w:rPr>
          <w:rFonts w:ascii="Simplified Arabic" w:eastAsia="Times New Roman" w:hAnsi="Simplified Arabic" w:cs="Simplified Arabic"/>
          <w:color w:val="000000" w:themeColor="text1"/>
          <w:kern w:val="0"/>
          <w:sz w:val="28"/>
          <w:szCs w:val="28"/>
          <w14:ligatures w14:val="none"/>
        </w:rPr>
        <w:t>:</w:t>
      </w:r>
    </w:p>
    <w:p w14:paraId="696B1E49" w14:textId="77777777" w:rsidR="00984196" w:rsidRPr="003F45EE" w:rsidRDefault="00984196"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البُعد الأول – الشفافية والإفصاح</w:t>
      </w:r>
      <w:r w:rsidRPr="003F45EE">
        <w:rPr>
          <w:rFonts w:ascii="Simplified Arabic" w:eastAsia="Times New Roman" w:hAnsi="Simplified Arabic" w:cs="Simplified Arabic"/>
          <w:color w:val="000000" w:themeColor="text1"/>
          <w:kern w:val="0"/>
          <w:sz w:val="28"/>
          <w:szCs w:val="28"/>
          <w14:ligatures w14:val="none"/>
        </w:rPr>
        <w:t xml:space="preserve">: (4) </w:t>
      </w:r>
      <w:r w:rsidRPr="003F45EE">
        <w:rPr>
          <w:rFonts w:ascii="Simplified Arabic" w:eastAsia="Times New Roman" w:hAnsi="Simplified Arabic" w:cs="Simplified Arabic"/>
          <w:color w:val="000000" w:themeColor="text1"/>
          <w:kern w:val="0"/>
          <w:sz w:val="28"/>
          <w:szCs w:val="28"/>
          <w:rtl/>
          <w14:ligatures w14:val="none"/>
        </w:rPr>
        <w:t>فقرات تقيس مدى التزام الشركة بالإفصاح عن المعلومات المالية وغير المالية وإتاحتها لأصحاب المصلحة في الوقت المناسب وبالشكل الملائم</w:t>
      </w:r>
      <w:r w:rsidRPr="003F45EE">
        <w:rPr>
          <w:rFonts w:ascii="Simplified Arabic" w:eastAsia="Times New Roman" w:hAnsi="Simplified Arabic" w:cs="Simplified Arabic"/>
          <w:color w:val="000000" w:themeColor="text1"/>
          <w:kern w:val="0"/>
          <w:sz w:val="28"/>
          <w:szCs w:val="28"/>
          <w14:ligatures w14:val="none"/>
        </w:rPr>
        <w:t>.</w:t>
      </w:r>
    </w:p>
    <w:p w14:paraId="4D75C33D" w14:textId="77777777" w:rsidR="00984196" w:rsidRPr="003F45EE" w:rsidRDefault="00984196"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البُعد الثاني – المساءلة والمحاسبة</w:t>
      </w:r>
      <w:r w:rsidRPr="003F45EE">
        <w:rPr>
          <w:rFonts w:ascii="Simplified Arabic" w:eastAsia="Times New Roman" w:hAnsi="Simplified Arabic" w:cs="Simplified Arabic"/>
          <w:color w:val="000000" w:themeColor="text1"/>
          <w:kern w:val="0"/>
          <w:sz w:val="28"/>
          <w:szCs w:val="28"/>
          <w14:ligatures w14:val="none"/>
        </w:rPr>
        <w:t xml:space="preserve">: (4) </w:t>
      </w:r>
      <w:r w:rsidRPr="003F45EE">
        <w:rPr>
          <w:rFonts w:ascii="Simplified Arabic" w:eastAsia="Times New Roman" w:hAnsi="Simplified Arabic" w:cs="Simplified Arabic"/>
          <w:color w:val="000000" w:themeColor="text1"/>
          <w:kern w:val="0"/>
          <w:sz w:val="28"/>
          <w:szCs w:val="28"/>
          <w:rtl/>
          <w14:ligatures w14:val="none"/>
        </w:rPr>
        <w:t>فقرات تقيس مدى وجود آليات واضحة لمحاسبة الإدارة التنفيذية ومساءلتها عن قراراتها وأدائها أمام مجلس الإدارة وأصحاب المصلحة</w:t>
      </w:r>
      <w:r w:rsidRPr="003F45EE">
        <w:rPr>
          <w:rFonts w:ascii="Simplified Arabic" w:eastAsia="Times New Roman" w:hAnsi="Simplified Arabic" w:cs="Simplified Arabic"/>
          <w:color w:val="000000" w:themeColor="text1"/>
          <w:kern w:val="0"/>
          <w:sz w:val="28"/>
          <w:szCs w:val="28"/>
          <w14:ligatures w14:val="none"/>
        </w:rPr>
        <w:t>.</w:t>
      </w:r>
    </w:p>
    <w:p w14:paraId="39CFEA81" w14:textId="77777777" w:rsidR="00984196" w:rsidRPr="003F45EE" w:rsidRDefault="00984196"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البُعد الثالث – استقلالية مجلس الإدارة</w:t>
      </w:r>
      <w:r w:rsidRPr="003F45EE">
        <w:rPr>
          <w:rFonts w:ascii="Simplified Arabic" w:eastAsia="Times New Roman" w:hAnsi="Simplified Arabic" w:cs="Simplified Arabic"/>
          <w:color w:val="000000" w:themeColor="text1"/>
          <w:kern w:val="0"/>
          <w:sz w:val="28"/>
          <w:szCs w:val="28"/>
          <w14:ligatures w14:val="none"/>
        </w:rPr>
        <w:t xml:space="preserve">: (4) </w:t>
      </w:r>
      <w:r w:rsidRPr="003F45EE">
        <w:rPr>
          <w:rFonts w:ascii="Simplified Arabic" w:eastAsia="Times New Roman" w:hAnsi="Simplified Arabic" w:cs="Simplified Arabic"/>
          <w:color w:val="000000" w:themeColor="text1"/>
          <w:kern w:val="0"/>
          <w:sz w:val="28"/>
          <w:szCs w:val="28"/>
          <w:rtl/>
          <w14:ligatures w14:val="none"/>
        </w:rPr>
        <w:t>فقرات تقيس مدى استقلالية مجلس الإدارة عن الإدارة التنفيذية وقدرته على ممارسة دوره الرقابي والتوجيهي بفعالية ونزاهة</w:t>
      </w:r>
      <w:r w:rsidRPr="003F45EE">
        <w:rPr>
          <w:rFonts w:ascii="Simplified Arabic" w:eastAsia="Times New Roman" w:hAnsi="Simplified Arabic" w:cs="Simplified Arabic"/>
          <w:color w:val="000000" w:themeColor="text1"/>
          <w:kern w:val="0"/>
          <w:sz w:val="28"/>
          <w:szCs w:val="28"/>
          <w14:ligatures w14:val="none"/>
        </w:rPr>
        <w:t>.</w:t>
      </w:r>
    </w:p>
    <w:p w14:paraId="78642D8D" w14:textId="77777777" w:rsidR="00984196" w:rsidRPr="003F45EE" w:rsidRDefault="00984196" w:rsidP="00B20E47">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البُعد الرابع – الرقابة الداخلية وإدارة المخاطر</w:t>
      </w:r>
      <w:r w:rsidRPr="003F45EE">
        <w:rPr>
          <w:rFonts w:ascii="Simplified Arabic" w:eastAsia="Times New Roman" w:hAnsi="Simplified Arabic" w:cs="Simplified Arabic"/>
          <w:color w:val="000000" w:themeColor="text1"/>
          <w:kern w:val="0"/>
          <w:sz w:val="28"/>
          <w:szCs w:val="28"/>
          <w14:ligatures w14:val="none"/>
        </w:rPr>
        <w:t xml:space="preserve">: (4) </w:t>
      </w:r>
      <w:r w:rsidRPr="003F45EE">
        <w:rPr>
          <w:rFonts w:ascii="Simplified Arabic" w:eastAsia="Times New Roman" w:hAnsi="Simplified Arabic" w:cs="Simplified Arabic"/>
          <w:color w:val="000000" w:themeColor="text1"/>
          <w:kern w:val="0"/>
          <w:sz w:val="28"/>
          <w:szCs w:val="28"/>
          <w:rtl/>
          <w14:ligatures w14:val="none"/>
        </w:rPr>
        <w:t>فقرات تقيس مدى وجود أنظمة رقابة داخلية فعّالة وإجراءات منهجية لتحديد المخاطر وتقييمها والتعامل معها</w:t>
      </w:r>
      <w:r w:rsidRPr="003F45EE">
        <w:rPr>
          <w:rFonts w:ascii="Simplified Arabic" w:eastAsia="Times New Roman" w:hAnsi="Simplified Arabic" w:cs="Simplified Arabic"/>
          <w:color w:val="000000" w:themeColor="text1"/>
          <w:kern w:val="0"/>
          <w:sz w:val="28"/>
          <w:szCs w:val="28"/>
          <w14:ligatures w14:val="none"/>
        </w:rPr>
        <w:t>.</w:t>
      </w:r>
    </w:p>
    <w:p w14:paraId="3634807F"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القسم الثالث: المتغيّر التابع – فعالية الامتثال وتقليل المخاطر القانونية سيتكوّن هذا القسم من (12) فقرة في محور واحد، تقيس مدى فعالية الامتثال التنظيمي والقانوني ومستوى الحدّ من المخاطر القانونية في الشركة، وتتناول جوانب تشمل: الالتزام بالأنظمة واللوائح، وكفاءة برامج الامتثال الداخلية، ومستوى الوعي القانوني لدى العاملين، ومدى انخفاض المخالفات والنزاعات القانونية، وفعالية آليات الإنذار المبكر للمخاطر القانونية</w:t>
      </w:r>
      <w:r w:rsidRPr="003F45EE">
        <w:rPr>
          <w:rFonts w:ascii="Simplified Arabic" w:eastAsia="Times New Roman" w:hAnsi="Simplified Arabic" w:cs="Simplified Arabic"/>
          <w:color w:val="000000" w:themeColor="text1"/>
          <w:kern w:val="0"/>
          <w:sz w:val="28"/>
          <w:szCs w:val="28"/>
          <w14:ligatures w14:val="none"/>
        </w:rPr>
        <w:t>.</w:t>
      </w:r>
    </w:p>
    <w:p w14:paraId="17324ECC"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 xml:space="preserve">وسيُقاس كل فقرة باستخدام مقياس </w:t>
      </w:r>
      <w:proofErr w:type="spellStart"/>
      <w:r w:rsidRPr="003F45EE">
        <w:rPr>
          <w:rFonts w:ascii="Simplified Arabic" w:eastAsia="Times New Roman" w:hAnsi="Simplified Arabic" w:cs="Simplified Arabic"/>
          <w:color w:val="000000" w:themeColor="text1"/>
          <w:kern w:val="0"/>
          <w:sz w:val="28"/>
          <w:szCs w:val="28"/>
          <w:rtl/>
          <w14:ligatures w14:val="none"/>
        </w:rPr>
        <w:t>ليكرت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الخماسي </w:t>
      </w:r>
      <w:r w:rsidRPr="003F45EE">
        <w:rPr>
          <w:rFonts w:ascii="Simplified Arabic" w:eastAsia="Times New Roman" w:hAnsi="Simplified Arabic" w:cs="Simplified Arabic"/>
          <w:color w:val="000000" w:themeColor="text1"/>
          <w:kern w:val="0"/>
          <w:sz w:val="28"/>
          <w:szCs w:val="28"/>
          <w14:ligatures w14:val="none"/>
        </w:rPr>
        <w:t xml:space="preserve">(Likert Scale) </w:t>
      </w:r>
      <w:r w:rsidRPr="003F45EE">
        <w:rPr>
          <w:rFonts w:ascii="Simplified Arabic" w:eastAsia="Times New Roman" w:hAnsi="Simplified Arabic" w:cs="Simplified Arabic"/>
          <w:color w:val="000000" w:themeColor="text1"/>
          <w:kern w:val="0"/>
          <w:sz w:val="28"/>
          <w:szCs w:val="28"/>
          <w:rtl/>
          <w14:ligatures w14:val="none"/>
        </w:rPr>
        <w:t>المتدرّج من (1) بشدة غير موافق إلى (5) موافق بشدة. وبذلك سيبلغ إجمالي فقرات الاستبانة (34) فقرة: (6) فقرات للبيانات الديموغرافية، و(16) فقرة للمتغيّر المستقل، و(12) فقرة للمتغيّر التابع</w:t>
      </w:r>
      <w:r w:rsidRPr="003F45EE">
        <w:rPr>
          <w:rFonts w:ascii="Simplified Arabic" w:eastAsia="Times New Roman" w:hAnsi="Simplified Arabic" w:cs="Simplified Arabic"/>
          <w:color w:val="000000" w:themeColor="text1"/>
          <w:kern w:val="0"/>
          <w:sz w:val="28"/>
          <w:szCs w:val="28"/>
          <w14:ligatures w14:val="none"/>
        </w:rPr>
        <w:t>.</w:t>
      </w:r>
    </w:p>
    <w:p w14:paraId="0005A69B"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وسيتمّ التحقّق من صدق الأداة عبر مرحلتين: صدق المحتوى</w:t>
      </w:r>
      <w:r w:rsidRPr="003F45EE">
        <w:rPr>
          <w:rFonts w:ascii="Simplified Arabic" w:eastAsia="Times New Roman" w:hAnsi="Simplified Arabic" w:cs="Simplified Arabic"/>
          <w:color w:val="000000" w:themeColor="text1"/>
          <w:kern w:val="0"/>
          <w:sz w:val="28"/>
          <w:szCs w:val="28"/>
          <w14:ligatures w14:val="none"/>
        </w:rPr>
        <w:t xml:space="preserve"> (Content Validity) </w:t>
      </w:r>
      <w:r w:rsidRPr="003F45EE">
        <w:rPr>
          <w:rFonts w:ascii="Simplified Arabic" w:eastAsia="Times New Roman" w:hAnsi="Simplified Arabic" w:cs="Simplified Arabic"/>
          <w:color w:val="000000" w:themeColor="text1"/>
          <w:kern w:val="0"/>
          <w:sz w:val="28"/>
          <w:szCs w:val="28"/>
          <w:rtl/>
          <w14:ligatures w14:val="none"/>
        </w:rPr>
        <w:t>من خلال عرض الاستبانة على لجنة من (7-10) محكّمين من أساتذة الجامعات المتخصصين في إدارة الأعمال والقانون والمحاسبة، وصدق البناء</w:t>
      </w:r>
      <w:r w:rsidRPr="003F45EE">
        <w:rPr>
          <w:rFonts w:ascii="Simplified Arabic" w:eastAsia="Times New Roman" w:hAnsi="Simplified Arabic" w:cs="Simplified Arabic"/>
          <w:color w:val="000000" w:themeColor="text1"/>
          <w:kern w:val="0"/>
          <w:sz w:val="28"/>
          <w:szCs w:val="28"/>
          <w14:ligatures w14:val="none"/>
        </w:rPr>
        <w:t xml:space="preserve"> (Construct Validity) </w:t>
      </w:r>
      <w:r w:rsidRPr="003F45EE">
        <w:rPr>
          <w:rFonts w:ascii="Simplified Arabic" w:eastAsia="Times New Roman" w:hAnsi="Simplified Arabic" w:cs="Simplified Arabic"/>
          <w:color w:val="000000" w:themeColor="text1"/>
          <w:kern w:val="0"/>
          <w:sz w:val="28"/>
          <w:szCs w:val="28"/>
          <w:rtl/>
          <w14:ligatures w14:val="none"/>
        </w:rPr>
        <w:t>من خلال حساب معاملات الارتباط بين درجة كل فقرة والدرجة الكلية للبُعد الذي تنتمي إليه</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 xml:space="preserve">كما سيُتحقَّق من ثبات الأداة باستخدام معامل ألفا </w:t>
      </w:r>
      <w:proofErr w:type="spellStart"/>
      <w:r w:rsidRPr="003F45EE">
        <w:rPr>
          <w:rFonts w:ascii="Simplified Arabic" w:eastAsia="Times New Roman" w:hAnsi="Simplified Arabic" w:cs="Simplified Arabic"/>
          <w:color w:val="000000" w:themeColor="text1"/>
          <w:kern w:val="0"/>
          <w:sz w:val="28"/>
          <w:szCs w:val="28"/>
          <w:rtl/>
          <w14:ligatures w14:val="none"/>
        </w:rPr>
        <w:t>كرونباخ</w:t>
      </w:r>
      <w:proofErr w:type="spellEnd"/>
      <w:r w:rsidRPr="003F45EE">
        <w:rPr>
          <w:rFonts w:ascii="Simplified Arabic" w:eastAsia="Times New Roman" w:hAnsi="Simplified Arabic" w:cs="Simplified Arabic"/>
          <w:color w:val="000000" w:themeColor="text1"/>
          <w:kern w:val="0"/>
          <w:sz w:val="28"/>
          <w:szCs w:val="28"/>
          <w14:ligatures w14:val="none"/>
        </w:rPr>
        <w:t xml:space="preserve"> (Cronbach's Alpha)</w:t>
      </w:r>
      <w:r w:rsidRPr="003F45EE">
        <w:rPr>
          <w:rFonts w:ascii="Simplified Arabic" w:eastAsia="Times New Roman" w:hAnsi="Simplified Arabic" w:cs="Simplified Arabic"/>
          <w:color w:val="000000" w:themeColor="text1"/>
          <w:kern w:val="0"/>
          <w:sz w:val="28"/>
          <w:szCs w:val="28"/>
          <w:rtl/>
          <w14:ligatures w14:val="none"/>
        </w:rPr>
        <w:t>، حيث سيُشترط ألا يقلّ معامل الثبات عن (0.70) لكل بُعد وللأداة ككل</w:t>
      </w:r>
      <w:r w:rsidRPr="003F45EE">
        <w:rPr>
          <w:rFonts w:ascii="Simplified Arabic" w:eastAsia="Times New Roman" w:hAnsi="Simplified Arabic" w:cs="Simplified Arabic"/>
          <w:color w:val="000000" w:themeColor="text1"/>
          <w:kern w:val="0"/>
          <w:sz w:val="28"/>
          <w:szCs w:val="28"/>
          <w14:ligatures w14:val="none"/>
        </w:rPr>
        <w:t>.</w:t>
      </w:r>
    </w:p>
    <w:p w14:paraId="53724193" w14:textId="54F38530" w:rsidR="00984196" w:rsidRPr="003F45EE" w:rsidRDefault="00A27438" w:rsidP="00A2743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3935805"/>
      <w:bookmarkStart w:id="35" w:name="_Toc233971172"/>
      <w:r w:rsidRPr="003F45EE">
        <w:rPr>
          <w:rFonts w:ascii="Simplified Arabic" w:eastAsia="Times New Roman" w:hAnsi="Simplified Arabic" w:cs="Simplified Arabic" w:hint="cs"/>
          <w:b/>
          <w:bCs/>
          <w:color w:val="000000" w:themeColor="text1"/>
          <w:kern w:val="0"/>
          <w:sz w:val="36"/>
          <w:szCs w:val="36"/>
          <w:rtl/>
          <w14:ligatures w14:val="none"/>
        </w:rPr>
        <w:t xml:space="preserve">14.1 </w:t>
      </w:r>
      <w:r w:rsidR="00984196" w:rsidRPr="003F45EE">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4"/>
      <w:bookmarkEnd w:id="35"/>
    </w:p>
    <w:p w14:paraId="614A9145" w14:textId="77777777" w:rsidR="00984196" w:rsidRPr="003F45EE" w:rsidRDefault="00984196"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ستُستخدم مجموعة متنوعة من الأساليب الإحصائية لتحليل البيانات باستخدام برنامج الحزمة الإحصائية للعلوم الاجتماعية </w:t>
      </w:r>
      <w:r w:rsidRPr="003F45EE">
        <w:rPr>
          <w:rFonts w:ascii="Simplified Arabic" w:eastAsia="Times New Roman" w:hAnsi="Simplified Arabic" w:cs="Simplified Arabic"/>
          <w:color w:val="000000" w:themeColor="text1"/>
          <w:kern w:val="0"/>
          <w:sz w:val="28"/>
          <w:szCs w:val="28"/>
          <w14:ligatures w14:val="none"/>
        </w:rPr>
        <w:t xml:space="preserve">(SPSS v.28) </w:t>
      </w:r>
      <w:r w:rsidRPr="003F45EE">
        <w:rPr>
          <w:rFonts w:ascii="Simplified Arabic" w:eastAsia="Times New Roman" w:hAnsi="Simplified Arabic" w:cs="Simplified Arabic"/>
          <w:color w:val="000000" w:themeColor="text1"/>
          <w:kern w:val="0"/>
          <w:sz w:val="28"/>
          <w:szCs w:val="28"/>
          <w:rtl/>
          <w14:ligatures w14:val="none"/>
        </w:rPr>
        <w:t>وبرنامج</w:t>
      </w:r>
      <w:r w:rsidRPr="003F45EE">
        <w:rPr>
          <w:rFonts w:ascii="Simplified Arabic" w:eastAsia="Times New Roman" w:hAnsi="Simplified Arabic" w:cs="Simplified Arabic"/>
          <w:color w:val="000000" w:themeColor="text1"/>
          <w:kern w:val="0"/>
          <w:sz w:val="28"/>
          <w:szCs w:val="28"/>
          <w14:ligatures w14:val="none"/>
        </w:rPr>
        <w:t xml:space="preserve"> (AMOS v.26) </w:t>
      </w:r>
      <w:r w:rsidRPr="003F45EE">
        <w:rPr>
          <w:rFonts w:ascii="Simplified Arabic" w:eastAsia="Times New Roman" w:hAnsi="Simplified Arabic" w:cs="Simplified Arabic"/>
          <w:color w:val="000000" w:themeColor="text1"/>
          <w:kern w:val="0"/>
          <w:sz w:val="28"/>
          <w:szCs w:val="28"/>
          <w:rtl/>
          <w14:ligatures w14:val="none"/>
        </w:rPr>
        <w:t>للنمذجة بالمعادلات الهيكلية، وذلك على النحو التالي</w:t>
      </w:r>
      <w:r w:rsidRPr="003F45EE">
        <w:rPr>
          <w:rFonts w:ascii="Simplified Arabic" w:eastAsia="Times New Roman" w:hAnsi="Simplified Arabic" w:cs="Simplified Arabic"/>
          <w:color w:val="000000" w:themeColor="text1"/>
          <w:kern w:val="0"/>
          <w:sz w:val="28"/>
          <w:szCs w:val="28"/>
          <w14:ligatures w14:val="none"/>
        </w:rPr>
        <w:t>:</w:t>
      </w:r>
    </w:p>
    <w:p w14:paraId="04B4015A" w14:textId="77777777" w:rsidR="00984196" w:rsidRPr="003F45EE" w:rsidRDefault="00984196" w:rsidP="00B20E47">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أساليب الإحصاء الوصفي</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عيّنة الدراسة الديموغرافية، والمتوسطات الحسابية والانحرافات المعيارية لتحديد مستوى استجابات المبحوثين على فقرات الاستبانة وترتيب الأبعاد حسب أهميتها النسبية</w:t>
      </w:r>
      <w:r w:rsidRPr="003F45EE">
        <w:rPr>
          <w:rFonts w:ascii="Simplified Arabic" w:eastAsia="Times New Roman" w:hAnsi="Simplified Arabic" w:cs="Simplified Arabic"/>
          <w:color w:val="000000" w:themeColor="text1"/>
          <w:kern w:val="0"/>
          <w:sz w:val="28"/>
          <w:szCs w:val="28"/>
          <w14:ligatures w14:val="none"/>
        </w:rPr>
        <w:t>.</w:t>
      </w:r>
    </w:p>
    <w:p w14:paraId="08A481C9" w14:textId="77777777" w:rsidR="00984196" w:rsidRPr="003F45EE" w:rsidRDefault="00984196" w:rsidP="00B20E47">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أساليب اختبار جودة الأداة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3F45EE">
        <w:rPr>
          <w:rFonts w:ascii="Simplified Arabic" w:eastAsia="Times New Roman" w:hAnsi="Simplified Arabic" w:cs="Simplified Arabic"/>
          <w:color w:val="000000" w:themeColor="text1"/>
          <w:kern w:val="0"/>
          <w:sz w:val="28"/>
          <w:szCs w:val="28"/>
          <w:rtl/>
          <w14:ligatures w14:val="none"/>
        </w:rPr>
        <w:t>كرونباخ</w:t>
      </w:r>
      <w:proofErr w:type="spellEnd"/>
      <w:r w:rsidRPr="003F45EE">
        <w:rPr>
          <w:rFonts w:ascii="Simplified Arabic" w:eastAsia="Times New Roman" w:hAnsi="Simplified Arabic" w:cs="Simplified Arabic"/>
          <w:color w:val="000000" w:themeColor="text1"/>
          <w:kern w:val="0"/>
          <w:sz w:val="28"/>
          <w:szCs w:val="28"/>
          <w14:ligatures w14:val="none"/>
        </w:rPr>
        <w:t xml:space="preserve"> (Cronbach's Alpha) </w:t>
      </w:r>
      <w:r w:rsidRPr="003F45EE">
        <w:rPr>
          <w:rFonts w:ascii="Simplified Arabic" w:eastAsia="Times New Roman" w:hAnsi="Simplified Arabic" w:cs="Simplified Arabic"/>
          <w:color w:val="000000" w:themeColor="text1"/>
          <w:kern w:val="0"/>
          <w:sz w:val="28"/>
          <w:szCs w:val="28"/>
          <w:rtl/>
          <w14:ligatures w14:val="none"/>
        </w:rPr>
        <w:t>للتحقّق من ثبات الأداة، ومعاملات ارتباط بيرسون</w:t>
      </w:r>
      <w:r w:rsidRPr="003F45EE">
        <w:rPr>
          <w:rFonts w:ascii="Simplified Arabic" w:eastAsia="Times New Roman" w:hAnsi="Simplified Arabic" w:cs="Simplified Arabic"/>
          <w:color w:val="000000" w:themeColor="text1"/>
          <w:kern w:val="0"/>
          <w:sz w:val="28"/>
          <w:szCs w:val="28"/>
          <w14:ligatures w14:val="none"/>
        </w:rPr>
        <w:t xml:space="preserve"> (Pearson Correlation) </w:t>
      </w:r>
      <w:r w:rsidRPr="003F45EE">
        <w:rPr>
          <w:rFonts w:ascii="Simplified Arabic" w:eastAsia="Times New Roman" w:hAnsi="Simplified Arabic" w:cs="Simplified Arabic"/>
          <w:color w:val="000000" w:themeColor="text1"/>
          <w:kern w:val="0"/>
          <w:sz w:val="28"/>
          <w:szCs w:val="28"/>
          <w:rtl/>
          <w14:ligatures w14:val="none"/>
        </w:rPr>
        <w:t>للتحقّق من صدق الاتساق الداخلي، والتحليل العاملي التوكيدي</w:t>
      </w:r>
      <w:r w:rsidRPr="003F45EE">
        <w:rPr>
          <w:rFonts w:ascii="Simplified Arabic" w:eastAsia="Times New Roman" w:hAnsi="Simplified Arabic" w:cs="Simplified Arabic"/>
          <w:color w:val="000000" w:themeColor="text1"/>
          <w:kern w:val="0"/>
          <w:sz w:val="28"/>
          <w:szCs w:val="28"/>
          <w14:ligatures w14:val="none"/>
        </w:rPr>
        <w:t xml:space="preserve"> (Confirmatory Factor Analysis – CFA) </w:t>
      </w:r>
      <w:r w:rsidRPr="003F45EE">
        <w:rPr>
          <w:rFonts w:ascii="Simplified Arabic" w:eastAsia="Times New Roman" w:hAnsi="Simplified Arabic" w:cs="Simplified Arabic"/>
          <w:color w:val="000000" w:themeColor="text1"/>
          <w:kern w:val="0"/>
          <w:sz w:val="28"/>
          <w:szCs w:val="28"/>
          <w:rtl/>
          <w14:ligatures w14:val="none"/>
        </w:rPr>
        <w:t>للتحقّق من صدق البناء وملاءمة النموذج القياسي</w:t>
      </w:r>
      <w:r w:rsidRPr="003F45EE">
        <w:rPr>
          <w:rFonts w:ascii="Simplified Arabic" w:eastAsia="Times New Roman" w:hAnsi="Simplified Arabic" w:cs="Simplified Arabic"/>
          <w:color w:val="000000" w:themeColor="text1"/>
          <w:kern w:val="0"/>
          <w:sz w:val="28"/>
          <w:szCs w:val="28"/>
          <w14:ligatures w14:val="none"/>
        </w:rPr>
        <w:t>.</w:t>
      </w:r>
    </w:p>
    <w:p w14:paraId="2A13B651" w14:textId="77777777" w:rsidR="00984196" w:rsidRPr="003F45EE" w:rsidRDefault="00984196" w:rsidP="00B20E47">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معامل ارتباط بيرسون لاختبار العلاقات بين المتغيرات، وتحليل الانحدار المتعدد</w:t>
      </w:r>
      <w:r w:rsidRPr="003F45EE">
        <w:rPr>
          <w:rFonts w:ascii="Simplified Arabic" w:eastAsia="Times New Roman" w:hAnsi="Simplified Arabic" w:cs="Simplified Arabic"/>
          <w:color w:val="000000" w:themeColor="text1"/>
          <w:kern w:val="0"/>
          <w:sz w:val="28"/>
          <w:szCs w:val="28"/>
          <w14:ligatures w14:val="none"/>
        </w:rPr>
        <w:t xml:space="preserve"> (Multiple Regression Analysis) </w:t>
      </w:r>
      <w:r w:rsidRPr="003F45EE">
        <w:rPr>
          <w:rFonts w:ascii="Simplified Arabic" w:eastAsia="Times New Roman" w:hAnsi="Simplified Arabic" w:cs="Simplified Arabic"/>
          <w:color w:val="000000" w:themeColor="text1"/>
          <w:kern w:val="0"/>
          <w:sz w:val="28"/>
          <w:szCs w:val="28"/>
          <w:rtl/>
          <w14:ligatures w14:val="none"/>
        </w:rPr>
        <w:t>لاختبار أثر أبعاد الحوكمة المؤسسية على المتغيّر التابع وتحديد القدرة التفسيرية للنموذج، وتحليل الانحدار البسيط</w:t>
      </w:r>
      <w:r w:rsidRPr="003F45EE">
        <w:rPr>
          <w:rFonts w:ascii="Simplified Arabic" w:eastAsia="Times New Roman" w:hAnsi="Simplified Arabic" w:cs="Simplified Arabic"/>
          <w:color w:val="000000" w:themeColor="text1"/>
          <w:kern w:val="0"/>
          <w:sz w:val="28"/>
          <w:szCs w:val="28"/>
          <w14:ligatures w14:val="none"/>
        </w:rPr>
        <w:t xml:space="preserve"> (Simple Regression) </w:t>
      </w:r>
      <w:r w:rsidRPr="003F45EE">
        <w:rPr>
          <w:rFonts w:ascii="Simplified Arabic" w:eastAsia="Times New Roman" w:hAnsi="Simplified Arabic" w:cs="Simplified Arabic"/>
          <w:color w:val="000000" w:themeColor="text1"/>
          <w:kern w:val="0"/>
          <w:sz w:val="28"/>
          <w:szCs w:val="28"/>
          <w:rtl/>
          <w14:ligatures w14:val="none"/>
        </w:rPr>
        <w:t>لاختبار أثر كل بُعد على حدة، والنمذجة بالمعادلات الهيكلية</w:t>
      </w:r>
      <w:r w:rsidRPr="003F45EE">
        <w:rPr>
          <w:rFonts w:ascii="Simplified Arabic" w:eastAsia="Times New Roman" w:hAnsi="Simplified Arabic" w:cs="Simplified Arabic"/>
          <w:color w:val="000000" w:themeColor="text1"/>
          <w:kern w:val="0"/>
          <w:sz w:val="28"/>
          <w:szCs w:val="28"/>
          <w14:ligatures w14:val="none"/>
        </w:rPr>
        <w:t xml:space="preserve"> (Structural Equation Modeling – SEM) </w:t>
      </w:r>
      <w:r w:rsidRPr="003F45EE">
        <w:rPr>
          <w:rFonts w:ascii="Simplified Arabic" w:eastAsia="Times New Roman" w:hAnsi="Simplified Arabic" w:cs="Simplified Arabic"/>
          <w:color w:val="000000" w:themeColor="text1"/>
          <w:kern w:val="0"/>
          <w:sz w:val="28"/>
          <w:szCs w:val="28"/>
          <w:rtl/>
          <w14:ligatures w14:val="none"/>
        </w:rPr>
        <w:t>للتحقّق من صلاحية النموذج البحثي المقترح واختبار العلاقات السببية بين المتغيرات</w:t>
      </w:r>
      <w:r w:rsidRPr="003F45EE">
        <w:rPr>
          <w:rFonts w:ascii="Simplified Arabic" w:eastAsia="Times New Roman" w:hAnsi="Simplified Arabic" w:cs="Simplified Arabic"/>
          <w:color w:val="000000" w:themeColor="text1"/>
          <w:kern w:val="0"/>
          <w:sz w:val="28"/>
          <w:szCs w:val="28"/>
          <w14:ligatures w14:val="none"/>
        </w:rPr>
        <w:t>.</w:t>
      </w:r>
    </w:p>
    <w:p w14:paraId="5146010A" w14:textId="77777777" w:rsidR="00984196" w:rsidRPr="003F45EE" w:rsidRDefault="00984196" w:rsidP="00B20E47">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أساليب اختبار الفروق</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اختبار "ت" للعيّنات المستقلة</w:t>
      </w:r>
      <w:r w:rsidRPr="003F45EE">
        <w:rPr>
          <w:rFonts w:ascii="Simplified Arabic" w:eastAsia="Times New Roman" w:hAnsi="Simplified Arabic" w:cs="Simplified Arabic"/>
          <w:color w:val="000000" w:themeColor="text1"/>
          <w:kern w:val="0"/>
          <w:sz w:val="28"/>
          <w:szCs w:val="28"/>
          <w14:ligatures w14:val="none"/>
        </w:rPr>
        <w:t xml:space="preserve"> (Independent Samples T-Test) </w:t>
      </w:r>
      <w:r w:rsidRPr="003F45EE">
        <w:rPr>
          <w:rFonts w:ascii="Simplified Arabic" w:eastAsia="Times New Roman" w:hAnsi="Simplified Arabic" w:cs="Simplified Arabic"/>
          <w:color w:val="000000" w:themeColor="text1"/>
          <w:kern w:val="0"/>
          <w:sz w:val="28"/>
          <w:szCs w:val="28"/>
          <w:rtl/>
          <w14:ligatures w14:val="none"/>
        </w:rPr>
        <w:t>لاختبار الفروق بين مجموعتين، وتحليل التباين الأحادي</w:t>
      </w:r>
      <w:r w:rsidRPr="003F45EE">
        <w:rPr>
          <w:rFonts w:ascii="Simplified Arabic" w:eastAsia="Times New Roman" w:hAnsi="Simplified Arabic" w:cs="Simplified Arabic"/>
          <w:color w:val="000000" w:themeColor="text1"/>
          <w:kern w:val="0"/>
          <w:sz w:val="28"/>
          <w:szCs w:val="28"/>
          <w14:ligatures w14:val="none"/>
        </w:rPr>
        <w:t xml:space="preserve"> (One-Way ANOVA) </w:t>
      </w:r>
      <w:r w:rsidRPr="003F45EE">
        <w:rPr>
          <w:rFonts w:ascii="Simplified Arabic" w:eastAsia="Times New Roman" w:hAnsi="Simplified Arabic" w:cs="Simplified Arabic"/>
          <w:color w:val="000000" w:themeColor="text1"/>
          <w:kern w:val="0"/>
          <w:sz w:val="28"/>
          <w:szCs w:val="28"/>
          <w:rtl/>
          <w14:ligatures w14:val="none"/>
        </w:rPr>
        <w:t>لاختبار الفروق بين ثلاث مجموعات فأكثر، واختبار المقارنات البعدية</w:t>
      </w:r>
      <w:r w:rsidRPr="003F45EE">
        <w:rPr>
          <w:rFonts w:ascii="Simplified Arabic" w:eastAsia="Times New Roman" w:hAnsi="Simplified Arabic" w:cs="Simplified Arabic"/>
          <w:color w:val="000000" w:themeColor="text1"/>
          <w:kern w:val="0"/>
          <w:sz w:val="28"/>
          <w:szCs w:val="28"/>
          <w14:ligatures w14:val="none"/>
        </w:rPr>
        <w:t xml:space="preserve"> (Post Hoc Tests) </w:t>
      </w:r>
      <w:r w:rsidRPr="003F45EE">
        <w:rPr>
          <w:rFonts w:ascii="Simplified Arabic" w:eastAsia="Times New Roman" w:hAnsi="Simplified Arabic" w:cs="Simplified Arabic"/>
          <w:color w:val="000000" w:themeColor="text1"/>
          <w:kern w:val="0"/>
          <w:sz w:val="28"/>
          <w:szCs w:val="28"/>
          <w:rtl/>
          <w14:ligatures w14:val="none"/>
        </w:rPr>
        <w:t>باستخدام اختبار شيفيه</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Scheffé</w:t>
      </w:r>
      <w:proofErr w:type="spellEnd"/>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لتحديد مصادر الفروق عند وجودها</w:t>
      </w:r>
      <w:r w:rsidRPr="003F45EE">
        <w:rPr>
          <w:rFonts w:ascii="Simplified Arabic" w:eastAsia="Times New Roman" w:hAnsi="Simplified Arabic" w:cs="Simplified Arabic"/>
          <w:color w:val="000000" w:themeColor="text1"/>
          <w:kern w:val="0"/>
          <w:sz w:val="28"/>
          <w:szCs w:val="28"/>
          <w14:ligatures w14:val="none"/>
        </w:rPr>
        <w:t>.</w:t>
      </w:r>
    </w:p>
    <w:p w14:paraId="05A2BEA5" w14:textId="77777777" w:rsidR="00984196" w:rsidRPr="003F45EE" w:rsidRDefault="00984196" w:rsidP="00B20E47">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أساليب التحقّق من افتراضات التحليل</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اختبار التوزيع الطبيعي</w:t>
      </w:r>
      <w:r w:rsidRPr="003F45EE">
        <w:rPr>
          <w:rFonts w:ascii="Simplified Arabic" w:eastAsia="Times New Roman" w:hAnsi="Simplified Arabic" w:cs="Simplified Arabic"/>
          <w:color w:val="000000" w:themeColor="text1"/>
          <w:kern w:val="0"/>
          <w:sz w:val="28"/>
          <w:szCs w:val="28"/>
          <w14:ligatures w14:val="none"/>
        </w:rPr>
        <w:t xml:space="preserve"> (Kolmogorov-Smirnov Test)</w:t>
      </w:r>
      <w:r w:rsidRPr="003F45EE">
        <w:rPr>
          <w:rFonts w:ascii="Simplified Arabic" w:eastAsia="Times New Roman" w:hAnsi="Simplified Arabic" w:cs="Simplified Arabic"/>
          <w:color w:val="000000" w:themeColor="text1"/>
          <w:kern w:val="0"/>
          <w:sz w:val="28"/>
          <w:szCs w:val="28"/>
          <w:rtl/>
          <w14:ligatures w14:val="none"/>
        </w:rPr>
        <w:t xml:space="preserve">، واختبار الخطية </w:t>
      </w:r>
      <w:r w:rsidRPr="003F45EE">
        <w:rPr>
          <w:rFonts w:ascii="Simplified Arabic" w:eastAsia="Times New Roman" w:hAnsi="Simplified Arabic" w:cs="Simplified Arabic"/>
          <w:color w:val="000000" w:themeColor="text1"/>
          <w:kern w:val="0"/>
          <w:sz w:val="28"/>
          <w:szCs w:val="28"/>
          <w14:ligatures w14:val="none"/>
        </w:rPr>
        <w:t>(Linearity Test)</w:t>
      </w:r>
      <w:r w:rsidRPr="003F45EE">
        <w:rPr>
          <w:rFonts w:ascii="Simplified Arabic" w:eastAsia="Times New Roman" w:hAnsi="Simplified Arabic" w:cs="Simplified Arabic"/>
          <w:color w:val="000000" w:themeColor="text1"/>
          <w:kern w:val="0"/>
          <w:sz w:val="28"/>
          <w:szCs w:val="28"/>
          <w:rtl/>
          <w14:ligatures w14:val="none"/>
        </w:rPr>
        <w:t>، واختبار عدم وجود ارتباط ذاتي</w:t>
      </w:r>
      <w:r w:rsidRPr="003F45EE">
        <w:rPr>
          <w:rFonts w:ascii="Simplified Arabic" w:eastAsia="Times New Roman" w:hAnsi="Simplified Arabic" w:cs="Simplified Arabic"/>
          <w:color w:val="000000" w:themeColor="text1"/>
          <w:kern w:val="0"/>
          <w:sz w:val="28"/>
          <w:szCs w:val="28"/>
          <w14:ligatures w14:val="none"/>
        </w:rPr>
        <w:t xml:space="preserve"> (Durbin-Watson Test)</w:t>
      </w:r>
      <w:r w:rsidRPr="003F45EE">
        <w:rPr>
          <w:rFonts w:ascii="Simplified Arabic" w:eastAsia="Times New Roman" w:hAnsi="Simplified Arabic" w:cs="Simplified Arabic"/>
          <w:color w:val="000000" w:themeColor="text1"/>
          <w:kern w:val="0"/>
          <w:sz w:val="28"/>
          <w:szCs w:val="28"/>
          <w:rtl/>
          <w14:ligatures w14:val="none"/>
        </w:rPr>
        <w:t>، واختبار معامل تضخّم التباين</w:t>
      </w:r>
      <w:r w:rsidRPr="003F45EE">
        <w:rPr>
          <w:rFonts w:ascii="Simplified Arabic" w:eastAsia="Times New Roman" w:hAnsi="Simplified Arabic" w:cs="Simplified Arabic"/>
          <w:color w:val="000000" w:themeColor="text1"/>
          <w:kern w:val="0"/>
          <w:sz w:val="28"/>
          <w:szCs w:val="28"/>
          <w14:ligatures w14:val="none"/>
        </w:rPr>
        <w:t xml:space="preserve"> (VIF) </w:t>
      </w:r>
      <w:r w:rsidRPr="003F45EE">
        <w:rPr>
          <w:rFonts w:ascii="Simplified Arabic" w:eastAsia="Times New Roman" w:hAnsi="Simplified Arabic" w:cs="Simplified Arabic"/>
          <w:color w:val="000000" w:themeColor="text1"/>
          <w:kern w:val="0"/>
          <w:sz w:val="28"/>
          <w:szCs w:val="28"/>
          <w:rtl/>
          <w14:ligatures w14:val="none"/>
        </w:rPr>
        <w:t>للتحقّق من عدم وجود مشكلة التعدد الخطي بين المتغيرات المستقلة</w:t>
      </w:r>
      <w:r w:rsidRPr="003F45EE">
        <w:rPr>
          <w:rFonts w:ascii="Simplified Arabic" w:eastAsia="Times New Roman" w:hAnsi="Simplified Arabic" w:cs="Simplified Arabic"/>
          <w:color w:val="000000" w:themeColor="text1"/>
          <w:kern w:val="0"/>
          <w:sz w:val="28"/>
          <w:szCs w:val="28"/>
          <w14:ligatures w14:val="none"/>
        </w:rPr>
        <w:t>.</w:t>
      </w:r>
    </w:p>
    <w:p w14:paraId="588F3CF5" w14:textId="2E534AD5" w:rsidR="00984196" w:rsidRPr="003F45EE" w:rsidRDefault="00A27438" w:rsidP="00A2743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3935806"/>
      <w:bookmarkStart w:id="37" w:name="_Toc233971173"/>
      <w:r w:rsidRPr="003F45EE">
        <w:rPr>
          <w:rFonts w:ascii="Simplified Arabic" w:eastAsia="Times New Roman" w:hAnsi="Simplified Arabic" w:cs="Simplified Arabic" w:hint="cs"/>
          <w:b/>
          <w:bCs/>
          <w:color w:val="000000" w:themeColor="text1"/>
          <w:kern w:val="0"/>
          <w:sz w:val="36"/>
          <w:szCs w:val="36"/>
          <w:rtl/>
          <w14:ligatures w14:val="none"/>
        </w:rPr>
        <w:t xml:space="preserve">15.1 </w:t>
      </w:r>
      <w:r w:rsidR="00984196" w:rsidRPr="003F45EE">
        <w:rPr>
          <w:rFonts w:ascii="Simplified Arabic" w:eastAsia="Times New Roman" w:hAnsi="Simplified Arabic" w:cs="Simplified Arabic"/>
          <w:b/>
          <w:bCs/>
          <w:color w:val="000000" w:themeColor="text1"/>
          <w:kern w:val="0"/>
          <w:sz w:val="36"/>
          <w:szCs w:val="36"/>
          <w:rtl/>
          <w14:ligatures w14:val="none"/>
        </w:rPr>
        <w:t>حدود الدراسة</w:t>
      </w:r>
      <w:bookmarkEnd w:id="36"/>
      <w:bookmarkEnd w:id="37"/>
    </w:p>
    <w:p w14:paraId="0A227A12" w14:textId="77777777" w:rsidR="00984196" w:rsidRPr="003F45EE" w:rsidRDefault="00984196" w:rsidP="00B20E47">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الحدود الموضوعية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ستقتصر الدراسة على فحص أثر الحوكمة المؤسسية بأبعادها الأربعة (الشفافية والإفصاح، المساءلة والمحاسبة، استقلالية مجلس الإدارة، الرقابة الداخلية وإدارة المخاطر) على فعالية الامتثال وتقليل المخاطر القانونية، دون التطرّق إلى أبعاد أخرى للحوكمة مثل حقوق المساهمين أو المسؤولية الاجتماعية أو الإفصاح البيئي</w:t>
      </w:r>
      <w:r w:rsidRPr="003F45EE">
        <w:rPr>
          <w:rFonts w:ascii="Simplified Arabic" w:eastAsia="Times New Roman" w:hAnsi="Simplified Arabic" w:cs="Simplified Arabic"/>
          <w:color w:val="000000" w:themeColor="text1"/>
          <w:kern w:val="0"/>
          <w:sz w:val="28"/>
          <w:szCs w:val="28"/>
          <w14:ligatures w14:val="none"/>
        </w:rPr>
        <w:t>.</w:t>
      </w:r>
    </w:p>
    <w:p w14:paraId="67B1A9B4" w14:textId="77777777" w:rsidR="00984196" w:rsidRPr="003F45EE" w:rsidRDefault="00984196" w:rsidP="00B20E47">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الحدود المكانية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ستُطبَّق الدراسة على الشركات المتوسطة العاملة في المملكة العربية السعودية، وتحديداً في المدن الرئيسية الثلاث: الرياض وجدة والدمام، بوصفها المراكز الاقتصادية التي تتركّز فيها الغالبية العظمى من الشركات المتوسطة</w:t>
      </w:r>
      <w:r w:rsidRPr="003F45EE">
        <w:rPr>
          <w:rFonts w:ascii="Simplified Arabic" w:eastAsia="Times New Roman" w:hAnsi="Simplified Arabic" w:cs="Simplified Arabic"/>
          <w:color w:val="000000" w:themeColor="text1"/>
          <w:kern w:val="0"/>
          <w:sz w:val="28"/>
          <w:szCs w:val="28"/>
          <w14:ligatures w14:val="none"/>
        </w:rPr>
        <w:t>.</w:t>
      </w:r>
    </w:p>
    <w:p w14:paraId="25C83BD4" w14:textId="77777777" w:rsidR="00984196" w:rsidRPr="003F45EE" w:rsidRDefault="00984196" w:rsidP="00B20E47">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الحدود الزمانية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ستُجرى الدراسة الميدانية (توزيع الاستبانات وجمعها) خلال الفصل الدراسي الثاني من العام الجامعي 1447/1448هـ الموافق للربع الثاني والثالث من عام 2026م</w:t>
      </w:r>
      <w:r w:rsidRPr="003F45EE">
        <w:rPr>
          <w:rFonts w:ascii="Simplified Arabic" w:eastAsia="Times New Roman" w:hAnsi="Simplified Arabic" w:cs="Simplified Arabic"/>
          <w:color w:val="000000" w:themeColor="text1"/>
          <w:kern w:val="0"/>
          <w:sz w:val="28"/>
          <w:szCs w:val="28"/>
          <w14:ligatures w14:val="none"/>
        </w:rPr>
        <w:t>.</w:t>
      </w:r>
    </w:p>
    <w:p w14:paraId="0DABFAE7" w14:textId="77777777" w:rsidR="00984196" w:rsidRPr="003F45EE" w:rsidRDefault="00984196" w:rsidP="00B20E47">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3F45EE">
        <w:rPr>
          <w:rFonts w:ascii="Simplified Arabic" w:eastAsia="Times New Roman" w:hAnsi="Simplified Arabic" w:cs="Simplified Arabic"/>
          <w:color w:val="000000" w:themeColor="text1"/>
          <w:kern w:val="0"/>
          <w:sz w:val="28"/>
          <w:szCs w:val="28"/>
          <w:rtl/>
          <w14:ligatures w14:val="none"/>
        </w:rPr>
        <w:t>الحدود البشرية</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rtl/>
          <w14:ligatures w14:val="none"/>
        </w:rPr>
        <w:t>ستقتصر الدراسة على فئات وظيفية محددة في الشركات المتوسطة، وهم: أعضاء مجالس الإدارة، والمديرون التنفيذيون، ومديرو الامتثال والشؤون القانونية، ومديرو المراجعة الداخلية وإدارة المخاطر، والمديرون الماليون، باعتبارهم الأكثر اطلاعاً على ممارسات الحوكمة وعمليات الامتثال وإدارة المخاطر القانونية في شركاتهم</w:t>
      </w:r>
      <w:r w:rsidRPr="003F45EE">
        <w:rPr>
          <w:rFonts w:ascii="Simplified Arabic" w:eastAsia="Times New Roman" w:hAnsi="Simplified Arabic" w:cs="Simplified Arabic"/>
          <w:color w:val="000000" w:themeColor="text1"/>
          <w:kern w:val="0"/>
          <w:sz w:val="28"/>
          <w:szCs w:val="28"/>
          <w14:ligatures w14:val="none"/>
        </w:rPr>
        <w:t>.</w:t>
      </w:r>
    </w:p>
    <w:p w14:paraId="23A5DD93" w14:textId="3A03769C" w:rsidR="00403379" w:rsidRPr="003F45EE" w:rsidRDefault="00A27438" w:rsidP="00A27438">
      <w:pPr>
        <w:jc w:val="center"/>
        <w:outlineLvl w:val="0"/>
        <w:rPr>
          <w:rFonts w:ascii="Simplified Arabic" w:eastAsia="Times New Roman" w:hAnsi="Simplified Arabic" w:cs="Simplified Arabic"/>
          <w:b/>
          <w:bCs/>
          <w:color w:val="000000" w:themeColor="text1"/>
          <w:kern w:val="0"/>
          <w:sz w:val="40"/>
          <w:szCs w:val="40"/>
          <w14:ligatures w14:val="none"/>
        </w:rPr>
      </w:pPr>
      <w:r w:rsidRPr="003F45EE">
        <w:rPr>
          <w:rFonts w:ascii="Simplified Arabic" w:eastAsia="Times New Roman" w:hAnsi="Simplified Arabic" w:cs="Simplified Arabic"/>
          <w:b/>
          <w:bCs/>
          <w:color w:val="000000" w:themeColor="text1"/>
          <w:kern w:val="0"/>
          <w:sz w:val="40"/>
          <w:szCs w:val="40"/>
          <w:rtl/>
          <w14:ligatures w14:val="none"/>
        </w:rPr>
        <w:br w:type="page"/>
      </w:r>
      <w:bookmarkStart w:id="38" w:name="_Toc233971174"/>
      <w:r w:rsidRPr="003F45EE">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03379" w:rsidRPr="003F45EE">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8"/>
    </w:p>
    <w:p w14:paraId="2D321616" w14:textId="77777777" w:rsidR="00403379" w:rsidRPr="003F45EE" w:rsidRDefault="00403379" w:rsidP="00A2743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9" w:name="_Toc233971175"/>
      <w:r w:rsidRPr="003F45EE">
        <w:rPr>
          <w:rFonts w:ascii="Simplified Arabic" w:eastAsia="Times New Roman" w:hAnsi="Simplified Arabic" w:cs="Simplified Arabic"/>
          <w:b/>
          <w:bCs/>
          <w:color w:val="000000" w:themeColor="text1"/>
          <w:kern w:val="0"/>
          <w:sz w:val="36"/>
          <w:szCs w:val="36"/>
          <w:rtl/>
          <w14:ligatures w14:val="none"/>
        </w:rPr>
        <w:t>المبحث الأول: الحوكمة المؤسسية</w:t>
      </w:r>
      <w:bookmarkEnd w:id="39"/>
    </w:p>
    <w:p w14:paraId="758620FB" w14:textId="54020E6D"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971176"/>
      <w:r w:rsidRPr="003F45EE">
        <w:rPr>
          <w:rFonts w:ascii="Simplified Arabic" w:eastAsia="Times New Roman" w:hAnsi="Simplified Arabic" w:cs="Simplified Arabic" w:hint="cs"/>
          <w:b/>
          <w:bCs/>
          <w:color w:val="000000" w:themeColor="text1"/>
          <w:kern w:val="0"/>
          <w:sz w:val="32"/>
          <w:szCs w:val="32"/>
          <w:rtl/>
          <w14:ligatures w14:val="none"/>
        </w:rPr>
        <w:t xml:space="preserve">1.1.2 </w:t>
      </w:r>
      <w:r w:rsidR="00403379" w:rsidRPr="003F45EE">
        <w:rPr>
          <w:rFonts w:ascii="Simplified Arabic" w:eastAsia="Times New Roman" w:hAnsi="Simplified Arabic" w:cs="Simplified Arabic"/>
          <w:b/>
          <w:bCs/>
          <w:color w:val="000000" w:themeColor="text1"/>
          <w:kern w:val="0"/>
          <w:sz w:val="32"/>
          <w:szCs w:val="32"/>
          <w:rtl/>
          <w14:ligatures w14:val="none"/>
        </w:rPr>
        <w:t>تمهيد</w:t>
      </w:r>
      <w:bookmarkEnd w:id="40"/>
    </w:p>
    <w:p w14:paraId="35AC38F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شهدت بيئة الأعمال المعاصرة تحولات جوهرية أعادت رسم ملامح العلاقة بين الشركات وأصحاب المصلحة، وفرضت على المنظمات تبنّي أطر إدارية أكثر انضباطًا وشفافية في إدارة مواردها وقراراتها. وقد جاءت الحوكمة المؤسسية بوصفها استجابةً منهجية لهذه التحولات، بعد أن كشفت الانهيارات المالية والفضائح المحاسبية الكبرى في مطلع الألفية الثالثة عن هشاشة كثير من الأنظمة الإدارية التقليدية، وأبانت عن الحاجة الملحّة إلى منظومة متكاملة تُعيد التوازن بين السلطة والمسؤولية، وتُرسّخ الثقة في المؤسسات الاقتصادية. ولم يعد يُنظر إلى الحوكمة اليوم بوصفها مجرد إطار رقابي شكلي، بل غدت فلسفة إدارية شاملة تُوجّه سلوك المنظمات وتضبط علاقاتها الداخلية والخارجية، وتُسهم في تعزيز قدرتها على مواجهة المخاطر وتحقيق الاستدامة</w:t>
      </w:r>
      <w:r w:rsidRPr="003F45EE">
        <w:rPr>
          <w:rFonts w:ascii="Simplified Arabic" w:eastAsia="Times New Roman" w:hAnsi="Simplified Arabic" w:cs="Simplified Arabic"/>
          <w:color w:val="000000" w:themeColor="text1"/>
          <w:kern w:val="0"/>
          <w:sz w:val="28"/>
          <w:szCs w:val="28"/>
          <w14:ligatures w14:val="none"/>
        </w:rPr>
        <w:t>.</w:t>
      </w:r>
    </w:p>
    <w:p w14:paraId="2B123845"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وفي ظل التوسع المتسارع للشركات المتوسطة في المملكة العربية السعودية، ومع تصاعد التشريعات المنظّمة لبيئة الأعمال في إطار رؤية المملكة ٢٠٣٠، أضحى تطبيق الحوكمة المؤسسية ضرورةً استراتيجية لا خيارًا تكميليًا، إذ تتقاطع فيها الأبعاد القانونية والإدارية والاقتصادية والأخلاقية على نحوٍ يُعزّز تنافسية هذه الشركات ويحميها من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متعددة. ويستمد هذا المبحث أهميته من كونه يؤسّس معرفيًا للمتغير المستقل في الدراسة الحالية، عبر تفكيك المفهوم وتحليل تطوره واستعراض أبعاده المعتمدة، تمهيدًا لبناء تصور نظري متماسك يُوجّه الجانب الميداني لاحقًا</w:t>
      </w:r>
      <w:r w:rsidRPr="003F45EE">
        <w:rPr>
          <w:rFonts w:ascii="Simplified Arabic" w:eastAsia="Times New Roman" w:hAnsi="Simplified Arabic" w:cs="Simplified Arabic"/>
          <w:color w:val="000000" w:themeColor="text1"/>
          <w:kern w:val="0"/>
          <w:sz w:val="28"/>
          <w:szCs w:val="28"/>
          <w14:ligatures w14:val="none"/>
        </w:rPr>
        <w:t>.</w:t>
      </w:r>
    </w:p>
    <w:p w14:paraId="75056F0D" w14:textId="15F72C1D"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971177"/>
      <w:r w:rsidRPr="003F45EE">
        <w:rPr>
          <w:rFonts w:ascii="Simplified Arabic" w:eastAsia="Times New Roman" w:hAnsi="Simplified Arabic" w:cs="Simplified Arabic" w:hint="cs"/>
          <w:b/>
          <w:bCs/>
          <w:color w:val="000000" w:themeColor="text1"/>
          <w:kern w:val="0"/>
          <w:sz w:val="32"/>
          <w:szCs w:val="32"/>
          <w:rtl/>
          <w14:ligatures w14:val="none"/>
        </w:rPr>
        <w:t>2.1.2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مفهوم الحوكمة المؤسسية</w:t>
      </w:r>
      <w:bookmarkEnd w:id="41"/>
    </w:p>
    <w:p w14:paraId="6C824A91"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تتعدد الأطر المرجعية التي تناولت مفهوم الحوكمة المؤسسية، بحسب اختلاف المدارس الفكرية وتباين زوايا المعالجة بين المنظور القانوني والمنظور الاقتصادي والمنظور الإداري السلوكي. ويرى (أبو شمالة ومسعود، ٢٠٢٢) أن الحوكمة المؤسسية تُمثّل منظومة القواعد والممارسات التي تُنظّم العلاقة بين الإدارة التنفيذية ومجلس الإدارة والمساهمين وسائر أصحاب المصلحة، بما يضمن توجيه الشركة وإدارتها على نحوٍ </w:t>
      </w:r>
      <w:r w:rsidRPr="003F45EE">
        <w:rPr>
          <w:rFonts w:ascii="Simplified Arabic" w:eastAsia="Times New Roman" w:hAnsi="Simplified Arabic" w:cs="Simplified Arabic"/>
          <w:color w:val="000000" w:themeColor="text1"/>
          <w:kern w:val="0"/>
          <w:sz w:val="28"/>
          <w:szCs w:val="28"/>
          <w:rtl/>
          <w14:ligatures w14:val="none"/>
        </w:rPr>
        <w:lastRenderedPageBreak/>
        <w:t>يُحقّق مصالح الأطراف كافة ويصون حقوقهم. ويُلاحظ في هذا التعريف الميل إلى المدخل التنظيمي – العلائقي، الذي يُركّز على شبكة العلاقات الداخلية والخارجية أكثر من تركيزه على الجوانب الإجرائية</w:t>
      </w:r>
      <w:r w:rsidRPr="003F45EE">
        <w:rPr>
          <w:rFonts w:ascii="Simplified Arabic" w:eastAsia="Times New Roman" w:hAnsi="Simplified Arabic" w:cs="Simplified Arabic"/>
          <w:color w:val="000000" w:themeColor="text1"/>
          <w:kern w:val="0"/>
          <w:sz w:val="28"/>
          <w:szCs w:val="28"/>
          <w14:ligatures w14:val="none"/>
        </w:rPr>
        <w:t>.</w:t>
      </w:r>
    </w:p>
    <w:p w14:paraId="5D739ED3"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وفي المقابل، يقترب (البيطار، ٢٠٢٥) من المدخل القانوني حين يُعرّف الحوكمة باعتبارها إطارًا تشريعيًا وتنظيميًا يُحكم إدارة الشركة المساهمة ويُقلّل من مخاطرها القانونية، من خلال تحديد الاختصاصات والصلاحيات ورسم آليات المساءلة وفق قواعد التجارة والأنظمة ذات الصلة. ويكشف هذا التعريف عن البُعد </w:t>
      </w:r>
      <w:proofErr w:type="spellStart"/>
      <w:r w:rsidRPr="003F45EE">
        <w:rPr>
          <w:rFonts w:ascii="Simplified Arabic" w:eastAsia="Times New Roman" w:hAnsi="Simplified Arabic" w:cs="Simplified Arabic"/>
          <w:color w:val="000000" w:themeColor="text1"/>
          <w:kern w:val="0"/>
          <w:sz w:val="28"/>
          <w:szCs w:val="28"/>
          <w:rtl/>
          <w14:ligatures w14:val="none"/>
        </w:rPr>
        <w:t>الحمائي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للحوكمة، إذ لا تقتصر وظيفتها على تنظيم الأداء الإداري، بل تمتد إلى تحصين الشركة من تبعات المخالفات القانونية. ويُقارب (الحارثي، ٢٠٢٣) هذا الطرح حين يعرض الحوكمة بوصفها منظومة ضوابط تُعزّز الالتزام التنظيمي وتُرسّخ ثقافة الامتثال في السياقات المؤسسية، وهو ما يجعلها أداةً لإدارة المخاطر لا مجرد وسيلة لضبط السلوك</w:t>
      </w:r>
      <w:r w:rsidRPr="003F45EE">
        <w:rPr>
          <w:rFonts w:ascii="Simplified Arabic" w:eastAsia="Times New Roman" w:hAnsi="Simplified Arabic" w:cs="Simplified Arabic"/>
          <w:color w:val="000000" w:themeColor="text1"/>
          <w:kern w:val="0"/>
          <w:sz w:val="28"/>
          <w:szCs w:val="28"/>
          <w14:ligatures w14:val="none"/>
        </w:rPr>
        <w:t>.</w:t>
      </w:r>
    </w:p>
    <w:p w14:paraId="37A0F220"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ومن زاوية أكثر شمولًا، يذهب</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Boshnak</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2021) </w:t>
      </w:r>
      <w:r w:rsidRPr="003F45EE">
        <w:rPr>
          <w:rFonts w:ascii="Simplified Arabic" w:eastAsia="Times New Roman" w:hAnsi="Simplified Arabic" w:cs="Simplified Arabic"/>
          <w:color w:val="000000" w:themeColor="text1"/>
          <w:kern w:val="0"/>
          <w:sz w:val="28"/>
          <w:szCs w:val="28"/>
          <w:rtl/>
          <w14:ligatures w14:val="none"/>
        </w:rPr>
        <w:t>إلى أن الحوكمة المؤسسية آلية متعددة الأبعاد تجمع بين هياكل الملكية وتركيبة المجلس ولجانه المتخصصة وأنظمة الرقابة، بحيث تعمل هذه العناصر مجتمعةً على الحدّ من مشكلات الوكالة وتخفيض تكاليفها. ويعكس هذا التعريف امتدادًا واضحًا لنظرية الوكالة</w:t>
      </w:r>
      <w:r w:rsidRPr="003F45EE">
        <w:rPr>
          <w:rFonts w:ascii="Simplified Arabic" w:eastAsia="Times New Roman" w:hAnsi="Simplified Arabic" w:cs="Simplified Arabic"/>
          <w:color w:val="000000" w:themeColor="text1"/>
          <w:kern w:val="0"/>
          <w:sz w:val="28"/>
          <w:szCs w:val="28"/>
          <w14:ligatures w14:val="none"/>
        </w:rPr>
        <w:t xml:space="preserve"> (Agency Theory) </w:t>
      </w:r>
      <w:r w:rsidRPr="003F45EE">
        <w:rPr>
          <w:rFonts w:ascii="Simplified Arabic" w:eastAsia="Times New Roman" w:hAnsi="Simplified Arabic" w:cs="Simplified Arabic"/>
          <w:color w:val="000000" w:themeColor="text1"/>
          <w:kern w:val="0"/>
          <w:sz w:val="28"/>
          <w:szCs w:val="28"/>
          <w:rtl/>
          <w14:ligatures w14:val="none"/>
        </w:rPr>
        <w:t>التي تُشكّل أحد الأُسس النظرية المفسّرة للحوكمة. ويُوسّع</w:t>
      </w:r>
      <w:r w:rsidRPr="003F45EE">
        <w:rPr>
          <w:rFonts w:ascii="Simplified Arabic" w:eastAsia="Times New Roman" w:hAnsi="Simplified Arabic" w:cs="Simplified Arabic"/>
          <w:color w:val="000000" w:themeColor="text1"/>
          <w:kern w:val="0"/>
          <w:sz w:val="28"/>
          <w:szCs w:val="28"/>
          <w14:ligatures w14:val="none"/>
        </w:rPr>
        <w:t xml:space="preserve"> (Velte, 2023) </w:t>
      </w:r>
      <w:r w:rsidRPr="003F45EE">
        <w:rPr>
          <w:rFonts w:ascii="Simplified Arabic" w:eastAsia="Times New Roman" w:hAnsi="Simplified Arabic" w:cs="Simplified Arabic"/>
          <w:color w:val="000000" w:themeColor="text1"/>
          <w:kern w:val="0"/>
          <w:sz w:val="28"/>
          <w:szCs w:val="28"/>
          <w:rtl/>
          <w14:ligatures w14:val="none"/>
        </w:rPr>
        <w:t>دائرة المفهوم حين ينظر إليه بوصفه منظومة ضبطية تحول دون وقوع سوء السلوك المالي في الشركات، عبر تكامل الرقابة الداخلية والرقابة الخارجية وآليات الحوافز</w:t>
      </w:r>
      <w:r w:rsidRPr="003F45EE">
        <w:rPr>
          <w:rFonts w:ascii="Simplified Arabic" w:eastAsia="Times New Roman" w:hAnsi="Simplified Arabic" w:cs="Simplified Arabic"/>
          <w:color w:val="000000" w:themeColor="text1"/>
          <w:kern w:val="0"/>
          <w:sz w:val="28"/>
          <w:szCs w:val="28"/>
          <w14:ligatures w14:val="none"/>
        </w:rPr>
        <w:t>.</w:t>
      </w:r>
    </w:p>
    <w:p w14:paraId="34757790"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ومن جهة أخرى، يُقدّم</w:t>
      </w:r>
      <w:r w:rsidRPr="003F45EE">
        <w:rPr>
          <w:rFonts w:ascii="Simplified Arabic" w:eastAsia="Times New Roman" w:hAnsi="Simplified Arabic" w:cs="Simplified Arabic"/>
          <w:color w:val="000000" w:themeColor="text1"/>
          <w:kern w:val="0"/>
          <w:sz w:val="28"/>
          <w:szCs w:val="28"/>
          <w14:ligatures w14:val="none"/>
        </w:rPr>
        <w:t xml:space="preserve"> (Bruner, 2022) </w:t>
      </w:r>
      <w:r w:rsidRPr="003F45EE">
        <w:rPr>
          <w:rFonts w:ascii="Simplified Arabic" w:eastAsia="Times New Roman" w:hAnsi="Simplified Arabic" w:cs="Simplified Arabic"/>
          <w:color w:val="000000" w:themeColor="text1"/>
          <w:kern w:val="0"/>
          <w:sz w:val="28"/>
          <w:szCs w:val="28"/>
          <w:rtl/>
          <w14:ligatures w14:val="none"/>
        </w:rPr>
        <w:t>قراءة تجديدية للمفهوم، إذ يربطه بمقتضيات الاستدامة، فيرى أن الحوكمة لم تعد اقتصارًا على حماية مصالح المساهمين، بل باتت إطارًا يُعيد تعريف مسؤولية الشركة تجاه المجتمع والبيئة والأجيال القادمة. ويلتقي هذا الطرح مع رؤية</w:t>
      </w:r>
      <w:r w:rsidRPr="003F45EE">
        <w:rPr>
          <w:rFonts w:ascii="Simplified Arabic" w:eastAsia="Times New Roman" w:hAnsi="Simplified Arabic" w:cs="Simplified Arabic"/>
          <w:color w:val="000000" w:themeColor="text1"/>
          <w:kern w:val="0"/>
          <w:sz w:val="28"/>
          <w:szCs w:val="28"/>
          <w14:ligatures w14:val="none"/>
        </w:rPr>
        <w:t xml:space="preserve"> (Hickman &amp; Petrin, 2021) </w:t>
      </w:r>
      <w:r w:rsidRPr="003F45EE">
        <w:rPr>
          <w:rFonts w:ascii="Simplified Arabic" w:eastAsia="Times New Roman" w:hAnsi="Simplified Arabic" w:cs="Simplified Arabic"/>
          <w:color w:val="000000" w:themeColor="text1"/>
          <w:kern w:val="0"/>
          <w:sz w:val="28"/>
          <w:szCs w:val="28"/>
          <w:rtl/>
          <w14:ligatures w14:val="none"/>
        </w:rPr>
        <w:t>اللذين يُدرجان أبعادًا معاصرة كأخلاقيات الذكاء الاصطناعي ضمن نطاق الحوكمة، مما يعكس اتساع المفهوم وتحوّله من الشكل الكلاسيكي الضيق إلى صيغة موسّعة تستوعب تحولات البيئة الرقمية والقيمية. ويتقاطع مع ذلك ما ذكره</w:t>
      </w:r>
      <w:r w:rsidRPr="003F45EE">
        <w:rPr>
          <w:rFonts w:ascii="Simplified Arabic" w:eastAsia="Times New Roman" w:hAnsi="Simplified Arabic" w:cs="Simplified Arabic"/>
          <w:color w:val="000000" w:themeColor="text1"/>
          <w:kern w:val="0"/>
          <w:sz w:val="28"/>
          <w:szCs w:val="28"/>
          <w14:ligatures w14:val="none"/>
        </w:rPr>
        <w:t xml:space="preserve"> (Akinsola, 2025) </w:t>
      </w:r>
      <w:r w:rsidRPr="003F45EE">
        <w:rPr>
          <w:rFonts w:ascii="Simplified Arabic" w:eastAsia="Times New Roman" w:hAnsi="Simplified Arabic" w:cs="Simplified Arabic"/>
          <w:color w:val="000000" w:themeColor="text1"/>
          <w:kern w:val="0"/>
          <w:sz w:val="28"/>
          <w:szCs w:val="28"/>
          <w:rtl/>
          <w14:ligatures w14:val="none"/>
        </w:rPr>
        <w:t>من أن الحوكمة إطار متكامل يُوازن بين الشفافية والمساءلة وتخفيف المخاطر، وتُشكّل هذه العناصر عنده جوهر الممارسات الفضلى للحوكمة</w:t>
      </w:r>
      <w:r w:rsidRPr="003F45EE">
        <w:rPr>
          <w:rFonts w:ascii="Simplified Arabic" w:eastAsia="Times New Roman" w:hAnsi="Simplified Arabic" w:cs="Simplified Arabic"/>
          <w:color w:val="000000" w:themeColor="text1"/>
          <w:kern w:val="0"/>
          <w:sz w:val="28"/>
          <w:szCs w:val="28"/>
          <w14:ligatures w14:val="none"/>
        </w:rPr>
        <w:t>.</w:t>
      </w:r>
    </w:p>
    <w:p w14:paraId="1978A329"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ويرى الباحث في ضوء ما تقدّم أن الحوكمة المؤسسية تُعدّ منظومة متكاملة من القواعد والهياكل والممارسات التي تُنظّم العملية الإدارية داخل الشركة، وتضبط علاقاتها بأصحاب المصلحة، عبر ترسيخ مبادئ الشفافية والمساءلة واستقلالية القرار وفاعلية الرقابة، بما يُمكّن المنظمة من تحقيق أهدافها الاستراتيجية </w:t>
      </w:r>
      <w:r w:rsidRPr="003F45EE">
        <w:rPr>
          <w:rFonts w:ascii="Simplified Arabic" w:eastAsia="Times New Roman" w:hAnsi="Simplified Arabic" w:cs="Simplified Arabic"/>
          <w:color w:val="000000" w:themeColor="text1"/>
          <w:kern w:val="0"/>
          <w:sz w:val="28"/>
          <w:szCs w:val="28"/>
          <w:rtl/>
          <w14:ligatures w14:val="none"/>
        </w:rPr>
        <w:lastRenderedPageBreak/>
        <w:t>بكفاءة، وتعزيز التزامها التشريعي، والحدّ من تعرّضها للمخاطر القانونية والمالية والسمعية. ويتجاوز هذا التصور القراءات الأحادية للمفهوم إلى قراءةٍ تكاملية تجمع بين البُعد التنظيمي والبُعد القانوني والبُعد الأخلاقي، بما يُلائم طبيعة الشركات المتوسطة في السياق السعودي</w:t>
      </w:r>
      <w:r w:rsidRPr="003F45EE">
        <w:rPr>
          <w:rFonts w:ascii="Simplified Arabic" w:eastAsia="Times New Roman" w:hAnsi="Simplified Arabic" w:cs="Simplified Arabic"/>
          <w:color w:val="000000" w:themeColor="text1"/>
          <w:kern w:val="0"/>
          <w:sz w:val="28"/>
          <w:szCs w:val="28"/>
          <w14:ligatures w14:val="none"/>
        </w:rPr>
        <w:t>.</w:t>
      </w:r>
    </w:p>
    <w:p w14:paraId="44181930" w14:textId="1B353AA2"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971178"/>
      <w:r w:rsidRPr="003F45EE">
        <w:rPr>
          <w:rFonts w:ascii="Simplified Arabic" w:eastAsia="Times New Roman" w:hAnsi="Simplified Arabic" w:cs="Simplified Arabic" w:hint="cs"/>
          <w:b/>
          <w:bCs/>
          <w:color w:val="000000" w:themeColor="text1"/>
          <w:kern w:val="0"/>
          <w:sz w:val="32"/>
          <w:szCs w:val="32"/>
          <w:rtl/>
          <w14:ligatures w14:val="none"/>
        </w:rPr>
        <w:t>3.1.2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التطور التاريخي لمفهوم الحوكمة المؤسسية</w:t>
      </w:r>
      <w:bookmarkEnd w:id="42"/>
    </w:p>
    <w:p w14:paraId="6B8B103D"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يستدعي الفهم العميق للحوكمة المؤسسية استعراض المراحل التي مرّ بها المفهوم منذ نشأته، إذ إن قراءته في سياقه التاريخي تكشف عن الدوافع التي أفرزته وعن التحولات التي شكّلت ملامحه المعاصرة. وتُشير أدبيات هذا الحقل إلى أن جذور الحوكمة الحديثة تمتد إلى النقاشات المبكّرة حول الفصل بين الملكية والإدارة في الشركات الكبرى، غير أن التبلور الفعلي للمفهوم جاء بعد سلسلة الانهيارات المالية التي طالت شركات عالمية كبرى، مما دفع الجهات التنظيمية إلى تبنّي أُطر إلزامية كقانون </w:t>
      </w:r>
      <w:proofErr w:type="spellStart"/>
      <w:r w:rsidRPr="003F45EE">
        <w:rPr>
          <w:rFonts w:ascii="Simplified Arabic" w:eastAsia="Times New Roman" w:hAnsi="Simplified Arabic" w:cs="Simplified Arabic"/>
          <w:color w:val="000000" w:themeColor="text1"/>
          <w:kern w:val="0"/>
          <w:sz w:val="28"/>
          <w:szCs w:val="28"/>
          <w:rtl/>
          <w14:ligatures w14:val="none"/>
        </w:rPr>
        <w:t>ساربينز</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rtl/>
          <w14:ligatures w14:val="none"/>
        </w:rPr>
        <w:t>أوكسلي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ومدونات الحوكمة الأوروبية، وهو ما تُشير إليه دراسة</w:t>
      </w:r>
      <w:r w:rsidRPr="003F45EE">
        <w:rPr>
          <w:rFonts w:ascii="Simplified Arabic" w:eastAsia="Times New Roman" w:hAnsi="Simplified Arabic" w:cs="Simplified Arabic"/>
          <w:color w:val="000000" w:themeColor="text1"/>
          <w:kern w:val="0"/>
          <w:sz w:val="28"/>
          <w:szCs w:val="28"/>
          <w14:ligatures w14:val="none"/>
        </w:rPr>
        <w:t xml:space="preserve"> (Velte, 2023) </w:t>
      </w:r>
      <w:r w:rsidRPr="003F45EE">
        <w:rPr>
          <w:rFonts w:ascii="Simplified Arabic" w:eastAsia="Times New Roman" w:hAnsi="Simplified Arabic" w:cs="Simplified Arabic"/>
          <w:color w:val="000000" w:themeColor="text1"/>
          <w:kern w:val="0"/>
          <w:sz w:val="28"/>
          <w:szCs w:val="28"/>
          <w:rtl/>
          <w14:ligatures w14:val="none"/>
        </w:rPr>
        <w:t>في معرض تحليلها للعلاقة بين الحوكمة وسوء السلوك المالي</w:t>
      </w:r>
      <w:r w:rsidRPr="003F45EE">
        <w:rPr>
          <w:rFonts w:ascii="Simplified Arabic" w:eastAsia="Times New Roman" w:hAnsi="Simplified Arabic" w:cs="Simplified Arabic"/>
          <w:color w:val="000000" w:themeColor="text1"/>
          <w:kern w:val="0"/>
          <w:sz w:val="28"/>
          <w:szCs w:val="28"/>
          <w14:ligatures w14:val="none"/>
        </w:rPr>
        <w:t>.</w:t>
      </w:r>
    </w:p>
    <w:p w14:paraId="50FAF124"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وقد انتقل المفهوم بعد ذلك من صيغته الرقابية الصارمة إلى صيغة أكثر شمولًا، إذ أدرج أبعادًا تتصل بالمسؤولية الاجتماعية والاستدامة البيئية والحوكمة الرقمية. ويُبرز</w:t>
      </w:r>
      <w:r w:rsidRPr="003F45EE">
        <w:rPr>
          <w:rFonts w:ascii="Simplified Arabic" w:eastAsia="Times New Roman" w:hAnsi="Simplified Arabic" w:cs="Simplified Arabic"/>
          <w:color w:val="000000" w:themeColor="text1"/>
          <w:kern w:val="0"/>
          <w:sz w:val="28"/>
          <w:szCs w:val="28"/>
          <w14:ligatures w14:val="none"/>
        </w:rPr>
        <w:t xml:space="preserve"> (Bruner, 2022) </w:t>
      </w:r>
      <w:r w:rsidRPr="003F45EE">
        <w:rPr>
          <w:rFonts w:ascii="Simplified Arabic" w:eastAsia="Times New Roman" w:hAnsi="Simplified Arabic" w:cs="Simplified Arabic"/>
          <w:color w:val="000000" w:themeColor="text1"/>
          <w:kern w:val="0"/>
          <w:sz w:val="28"/>
          <w:szCs w:val="28"/>
          <w:rtl/>
          <w14:ligatures w14:val="none"/>
        </w:rPr>
        <w:t>هذا التحول بوصفه استجابةً لضغوط أصحاب المصلحة وتصاعد الوعي بأولويات الاستدامة. كما يعكس تحليل</w:t>
      </w:r>
      <w:r w:rsidRPr="003F45EE">
        <w:rPr>
          <w:rFonts w:ascii="Simplified Arabic" w:eastAsia="Times New Roman" w:hAnsi="Simplified Arabic" w:cs="Simplified Arabic"/>
          <w:color w:val="000000" w:themeColor="text1"/>
          <w:kern w:val="0"/>
          <w:sz w:val="28"/>
          <w:szCs w:val="28"/>
          <w14:ligatures w14:val="none"/>
        </w:rPr>
        <w:t xml:space="preserve"> (Hasan &amp; </w:t>
      </w:r>
      <w:proofErr w:type="spellStart"/>
      <w:r w:rsidRPr="003F45EE">
        <w:rPr>
          <w:rFonts w:ascii="Simplified Arabic" w:eastAsia="Times New Roman" w:hAnsi="Simplified Arabic" w:cs="Simplified Arabic"/>
          <w:color w:val="000000" w:themeColor="text1"/>
          <w:kern w:val="0"/>
          <w:sz w:val="28"/>
          <w:szCs w:val="28"/>
          <w14:ligatures w14:val="none"/>
        </w:rPr>
        <w:t>Brüh</w:t>
      </w:r>
      <w:r w:rsidRPr="003F45EE">
        <w:rPr>
          <w:rFonts w:ascii="Cambria" w:eastAsia="Times New Roman" w:hAnsi="Cambria" w:cs="Cambria"/>
          <w:color w:val="000000" w:themeColor="text1"/>
          <w:kern w:val="0"/>
          <w:sz w:val="28"/>
          <w:szCs w:val="28"/>
          <w14:ligatures w14:val="none"/>
        </w:rPr>
        <w:t>ö</w:t>
      </w:r>
      <w:r w:rsidRPr="003F45EE">
        <w:rPr>
          <w:rFonts w:ascii="Simplified Arabic" w:eastAsia="Times New Roman" w:hAnsi="Simplified Arabic" w:cs="Simplified Arabic"/>
          <w:color w:val="000000" w:themeColor="text1"/>
          <w:kern w:val="0"/>
          <w:sz w:val="28"/>
          <w:szCs w:val="28"/>
          <w14:ligatures w14:val="none"/>
        </w:rPr>
        <w:t>fener</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2025) </w:t>
      </w:r>
      <w:proofErr w:type="spellStart"/>
      <w:r w:rsidRPr="003F45EE">
        <w:rPr>
          <w:rFonts w:ascii="Simplified Arabic" w:eastAsia="Times New Roman" w:hAnsi="Simplified Arabic" w:cs="Simplified Arabic"/>
          <w:color w:val="000000" w:themeColor="text1"/>
          <w:kern w:val="0"/>
          <w:sz w:val="28"/>
          <w:szCs w:val="28"/>
          <w:rtl/>
          <w14:ligatures w14:val="none"/>
        </w:rPr>
        <w:t>الببليومتري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لأدبيات الحوكمة وإدارة المخاطر والامتثال</w:t>
      </w:r>
      <w:r w:rsidRPr="003F45EE">
        <w:rPr>
          <w:rFonts w:ascii="Simplified Arabic" w:eastAsia="Times New Roman" w:hAnsi="Simplified Arabic" w:cs="Simplified Arabic"/>
          <w:color w:val="000000" w:themeColor="text1"/>
          <w:kern w:val="0"/>
          <w:sz w:val="28"/>
          <w:szCs w:val="28"/>
          <w14:ligatures w14:val="none"/>
        </w:rPr>
        <w:t xml:space="preserve"> (GRC) </w:t>
      </w:r>
      <w:r w:rsidRPr="003F45EE">
        <w:rPr>
          <w:rFonts w:ascii="Simplified Arabic" w:eastAsia="Times New Roman" w:hAnsi="Simplified Arabic" w:cs="Simplified Arabic"/>
          <w:color w:val="000000" w:themeColor="text1"/>
          <w:kern w:val="0"/>
          <w:sz w:val="28"/>
          <w:szCs w:val="28"/>
          <w:rtl/>
          <w14:ligatures w14:val="none"/>
        </w:rPr>
        <w:t>تطور المفهوم نحو التكامل مع منظومتَي إدارة المخاطر والامتثال، بحيث أصبحت الحوكمة أحد أضلاع مثلث متكامل يحكم البيئة المؤسسية الحديثة. ويُضيف</w:t>
      </w:r>
      <w:r w:rsidRPr="003F45EE">
        <w:rPr>
          <w:rFonts w:ascii="Simplified Arabic" w:eastAsia="Times New Roman" w:hAnsi="Simplified Arabic" w:cs="Simplified Arabic"/>
          <w:color w:val="000000" w:themeColor="text1"/>
          <w:kern w:val="0"/>
          <w:sz w:val="28"/>
          <w:szCs w:val="28"/>
          <w14:ligatures w14:val="none"/>
        </w:rPr>
        <w:t xml:space="preserve"> (Sharma et al., 2021) </w:t>
      </w:r>
      <w:r w:rsidRPr="003F45EE">
        <w:rPr>
          <w:rFonts w:ascii="Simplified Arabic" w:eastAsia="Times New Roman" w:hAnsi="Simplified Arabic" w:cs="Simplified Arabic"/>
          <w:color w:val="000000" w:themeColor="text1"/>
          <w:kern w:val="0"/>
          <w:sz w:val="28"/>
          <w:szCs w:val="28"/>
          <w:rtl/>
          <w14:ligatures w14:val="none"/>
        </w:rPr>
        <w:t>بُعدًا معاصرًا لهذا التطور حين يُشيرون إلى الحاجة لتكييف الحوكمة مع تحديات العمليات المالية الرقمية العابرة للحدود، مما يعكس مرونة المفهوم وقابليته للتكيّف مع مستجدات البيئة</w:t>
      </w:r>
      <w:r w:rsidRPr="003F45EE">
        <w:rPr>
          <w:rFonts w:ascii="Simplified Arabic" w:eastAsia="Times New Roman" w:hAnsi="Simplified Arabic" w:cs="Simplified Arabic"/>
          <w:color w:val="000000" w:themeColor="text1"/>
          <w:kern w:val="0"/>
          <w:sz w:val="28"/>
          <w:szCs w:val="28"/>
          <w14:ligatures w14:val="none"/>
        </w:rPr>
        <w:t>.</w:t>
      </w:r>
    </w:p>
    <w:p w14:paraId="4601CB05" w14:textId="0A4483E6"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971179"/>
      <w:r w:rsidRPr="003F45EE">
        <w:rPr>
          <w:rFonts w:ascii="Simplified Arabic" w:eastAsia="Times New Roman" w:hAnsi="Simplified Arabic" w:cs="Simplified Arabic" w:hint="cs"/>
          <w:b/>
          <w:bCs/>
          <w:color w:val="000000" w:themeColor="text1"/>
          <w:kern w:val="0"/>
          <w:sz w:val="32"/>
          <w:szCs w:val="32"/>
          <w:rtl/>
          <w14:ligatures w14:val="none"/>
        </w:rPr>
        <w:t>4.1.2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أهمية الحوكمة المؤسسية</w:t>
      </w:r>
      <w:bookmarkEnd w:id="43"/>
    </w:p>
    <w:p w14:paraId="4DD6499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تكتسب الحوكمة المؤسسية أهمية بالغة في بيئة الأعمال المعاصرة، إذ لم تعد مجرد ممارسة إدارية اختيارية، بل تحوّلت إلى ركيزة استراتيجية تُحدّد قدرة الشركات على الاستمرار والتوسع في ظل تنامي التعقيد التشريعي وتصاعد توقعات أصحاب المصلحة. وتنبع أهميتها من كونها تُوفّر إطارًا مرجعيًا يُنظّم اتخاذ القرار ويضبط السلوك التنظيمي، ويُوازن بين المصالح المتباينة داخل المنظمة وخارجها</w:t>
      </w:r>
      <w:r w:rsidRPr="003F45EE">
        <w:rPr>
          <w:rFonts w:ascii="Simplified Arabic" w:eastAsia="Times New Roman" w:hAnsi="Simplified Arabic" w:cs="Simplified Arabic"/>
          <w:color w:val="000000" w:themeColor="text1"/>
          <w:kern w:val="0"/>
          <w:sz w:val="28"/>
          <w:szCs w:val="28"/>
          <w14:ligatures w14:val="none"/>
        </w:rPr>
        <w:t>.</w:t>
      </w:r>
    </w:p>
    <w:p w14:paraId="30D230B3"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ويُشير (البلوي، ٢٠٢٥) إلى أن أهمية الحوكمة المؤسسية تتجلى في جملة من الجوانب، أبرزها: أنها تُسهم في رفع مستوى الإفصاح وجودة التقارير المالية، وتُعزّز ثقة المستثمرين في الأسواق المالية، وتُمكّن الأطراف الخارجية من تكوين صورة دقيقة عن الأداء المؤسسي، فضلًا عن كونها تُقلّل من عدم تماثل المعلومات بين الإدارة وأصحاب المصلحة، وتُرسّخ ممارسات الإفصاح الطوعي إلى جانب الإفصاح الإلزامي</w:t>
      </w:r>
      <w:r w:rsidRPr="003F45EE">
        <w:rPr>
          <w:rFonts w:ascii="Simplified Arabic" w:eastAsia="Times New Roman" w:hAnsi="Simplified Arabic" w:cs="Simplified Arabic"/>
          <w:color w:val="000000" w:themeColor="text1"/>
          <w:kern w:val="0"/>
          <w:sz w:val="28"/>
          <w:szCs w:val="28"/>
          <w14:ligatures w14:val="none"/>
        </w:rPr>
        <w:t>.</w:t>
      </w:r>
    </w:p>
    <w:p w14:paraId="0AA30CC3"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ويرى (</w:t>
      </w:r>
      <w:proofErr w:type="spellStart"/>
      <w:r w:rsidRPr="003F45EE">
        <w:rPr>
          <w:rFonts w:ascii="Simplified Arabic" w:eastAsia="Times New Roman" w:hAnsi="Simplified Arabic" w:cs="Simplified Arabic"/>
          <w:color w:val="000000" w:themeColor="text1"/>
          <w:kern w:val="0"/>
          <w:sz w:val="28"/>
          <w:szCs w:val="28"/>
          <w:rtl/>
          <w14:ligatures w14:val="none"/>
        </w:rPr>
        <w:t>الدعجه</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والعضايلة، ٢٠٢٣) أن أهمية الحوكمة تتّسع لتشمل الجانب الثقافي والسلوكي داخل المنظمات، إذ تُسهم في بناء ثقافة تنظيمية داعمة للنزاهة والالتزام، وتُرسّخ منظومة قيم مؤسسية تُوحّد سلوك العاملين وتربطه بالأهداف الاستراتيجية، بما يعزّز التماسك الداخلي ويرفع مستوى الأداء الجماعي</w:t>
      </w:r>
      <w:r w:rsidRPr="003F45EE">
        <w:rPr>
          <w:rFonts w:ascii="Simplified Arabic" w:eastAsia="Times New Roman" w:hAnsi="Simplified Arabic" w:cs="Simplified Arabic"/>
          <w:color w:val="000000" w:themeColor="text1"/>
          <w:kern w:val="0"/>
          <w:sz w:val="28"/>
          <w:szCs w:val="28"/>
          <w14:ligatures w14:val="none"/>
        </w:rPr>
        <w:t>.</w:t>
      </w:r>
    </w:p>
    <w:p w14:paraId="2C2D3E20"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ويُضيف (</w:t>
      </w:r>
      <w:proofErr w:type="spellStart"/>
      <w:r w:rsidRPr="003F45EE">
        <w:rPr>
          <w:rFonts w:ascii="Simplified Arabic" w:eastAsia="Times New Roman" w:hAnsi="Simplified Arabic" w:cs="Simplified Arabic"/>
          <w:color w:val="000000" w:themeColor="text1"/>
          <w:kern w:val="0"/>
          <w:sz w:val="28"/>
          <w:szCs w:val="28"/>
          <w:rtl/>
          <w14:ligatures w14:val="none"/>
        </w:rPr>
        <w:t>العزعزي</w:t>
      </w:r>
      <w:proofErr w:type="spellEnd"/>
      <w:r w:rsidRPr="003F45EE">
        <w:rPr>
          <w:rFonts w:ascii="Simplified Arabic" w:eastAsia="Times New Roman" w:hAnsi="Simplified Arabic" w:cs="Simplified Arabic"/>
          <w:color w:val="000000" w:themeColor="text1"/>
          <w:kern w:val="0"/>
          <w:sz w:val="28"/>
          <w:szCs w:val="28"/>
          <w:rtl/>
          <w14:ligatures w14:val="none"/>
        </w:rPr>
        <w:t>، ٢٠٢١) أن الحوكمة المؤسسية تكتسب أهميتها من دورها في تعزيز جودة الرقابة الداخلية، عبر ما تُوفّره من هياكل واضحة للصلاحيات والمسؤوليات، وما تُرسّخه من آليات للتحقق والمراجعة، وما تُتيحه من تكامل بين الوظائف الرقابية المختلفة داخل المنظمة، وهو ما ينعكس على قدرتها في اكتشاف الانحرافات ومعالجتها في وقت مبكر</w:t>
      </w:r>
      <w:r w:rsidRPr="003F45EE">
        <w:rPr>
          <w:rFonts w:ascii="Simplified Arabic" w:eastAsia="Times New Roman" w:hAnsi="Simplified Arabic" w:cs="Simplified Arabic"/>
          <w:color w:val="000000" w:themeColor="text1"/>
          <w:kern w:val="0"/>
          <w:sz w:val="28"/>
          <w:szCs w:val="28"/>
          <w14:ligatures w14:val="none"/>
        </w:rPr>
        <w:t>.</w:t>
      </w:r>
    </w:p>
    <w:p w14:paraId="5EB52EAF"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ويذهب</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Boshnak</w:t>
      </w:r>
      <w:proofErr w:type="spellEnd"/>
      <w:r w:rsidRPr="003F45EE">
        <w:rPr>
          <w:rFonts w:ascii="Simplified Arabic" w:eastAsia="Times New Roman" w:hAnsi="Simplified Arabic" w:cs="Simplified Arabic"/>
          <w:color w:val="000000" w:themeColor="text1"/>
          <w:kern w:val="0"/>
          <w:sz w:val="28"/>
          <w:szCs w:val="28"/>
          <w14:ligatures w14:val="none"/>
        </w:rPr>
        <w:t xml:space="preserve"> et al., 2023) </w:t>
      </w:r>
      <w:r w:rsidRPr="003F45EE">
        <w:rPr>
          <w:rFonts w:ascii="Simplified Arabic" w:eastAsia="Times New Roman" w:hAnsi="Simplified Arabic" w:cs="Simplified Arabic"/>
          <w:color w:val="000000" w:themeColor="text1"/>
          <w:kern w:val="0"/>
          <w:sz w:val="28"/>
          <w:szCs w:val="28"/>
          <w:rtl/>
          <w14:ligatures w14:val="none"/>
        </w:rPr>
        <w:t>إلى أن أهمية الحوكمة تظهر بجلاء في أوقات الأزمات، إذ إن الشركات التي تتبنّى ممارسات حوكمة راسخة تكون أقدر على التكيّف مع الصدمات الخارجية والحفاظ على استقرارها التشغيلي والمالي، وهو ما لوحظ في سياق تداعيات جائحة كوفيد-١٩ على الشركات المُدرَجة، حيث برز دور الحوكمة في احتواء المخاطر وتخفيف آثارها</w:t>
      </w:r>
      <w:r w:rsidRPr="003F45EE">
        <w:rPr>
          <w:rFonts w:ascii="Simplified Arabic" w:eastAsia="Times New Roman" w:hAnsi="Simplified Arabic" w:cs="Simplified Arabic"/>
          <w:color w:val="000000" w:themeColor="text1"/>
          <w:kern w:val="0"/>
          <w:sz w:val="28"/>
          <w:szCs w:val="28"/>
          <w14:ligatures w14:val="none"/>
        </w:rPr>
        <w:t>.</w:t>
      </w:r>
    </w:p>
    <w:p w14:paraId="67CCE05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ويُنبّه</w:t>
      </w:r>
      <w:r w:rsidRPr="003F45EE">
        <w:rPr>
          <w:rFonts w:ascii="Simplified Arabic" w:eastAsia="Times New Roman" w:hAnsi="Simplified Arabic" w:cs="Simplified Arabic"/>
          <w:color w:val="000000" w:themeColor="text1"/>
          <w:kern w:val="0"/>
          <w:sz w:val="28"/>
          <w:szCs w:val="28"/>
          <w14:ligatures w14:val="none"/>
        </w:rPr>
        <w:t xml:space="preserve"> (Nasrallah &amp; El Khoury, 2022) </w:t>
      </w:r>
      <w:r w:rsidRPr="003F45EE">
        <w:rPr>
          <w:rFonts w:ascii="Simplified Arabic" w:eastAsia="Times New Roman" w:hAnsi="Simplified Arabic" w:cs="Simplified Arabic"/>
          <w:color w:val="000000" w:themeColor="text1"/>
          <w:kern w:val="0"/>
          <w:sz w:val="28"/>
          <w:szCs w:val="28"/>
          <w:rtl/>
          <w14:ligatures w14:val="none"/>
        </w:rPr>
        <w:t>إلى أن أهمية الحوكمة لا تقتصر على الشركات الكبرى، بل تمتد إلى الشركات الصغيرة والمتوسطة في الاقتصادات النامية، إذ تُوفّر لها إطارًا يُعزّز قدرتها على النمو والوصول إلى مصادر التمويل، ويرفع من موثوقيتها أمام الشركاء والمستثمرين، وهو ما يُلائم بشكل مباشر السياق الذي تتحرك فيه الدراسة الحالية</w:t>
      </w:r>
      <w:r w:rsidRPr="003F45EE">
        <w:rPr>
          <w:rFonts w:ascii="Simplified Arabic" w:eastAsia="Times New Roman" w:hAnsi="Simplified Arabic" w:cs="Simplified Arabic"/>
          <w:color w:val="000000" w:themeColor="text1"/>
          <w:kern w:val="0"/>
          <w:sz w:val="28"/>
          <w:szCs w:val="28"/>
          <w14:ligatures w14:val="none"/>
        </w:rPr>
        <w:t>.</w:t>
      </w:r>
    </w:p>
    <w:p w14:paraId="39C7519B"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كما يُبرز (الحارثي، ٢٠٢٣) بُعدًا تشريعيًا مهمًا لأهمية الحوكمة، يتمثّل في دورها في تعزيز الامتثال الضريبي وضبط علاقة الشركة بالجهات التنظيمية، مما يُقلّل من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الغرامات والعقوبات ويُوفّر بيئة قانونية مستقرة تدعم استمرارية النشاط. ويلتقي مع ذلك</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Akinadewo</w:t>
      </w:r>
      <w:proofErr w:type="spellEnd"/>
      <w:r w:rsidRPr="003F45EE">
        <w:rPr>
          <w:rFonts w:ascii="Simplified Arabic" w:eastAsia="Times New Roman" w:hAnsi="Simplified Arabic" w:cs="Simplified Arabic"/>
          <w:color w:val="000000" w:themeColor="text1"/>
          <w:kern w:val="0"/>
          <w:sz w:val="28"/>
          <w:szCs w:val="28"/>
          <w14:ligatures w14:val="none"/>
        </w:rPr>
        <w:t xml:space="preserve"> &amp; </w:t>
      </w:r>
      <w:proofErr w:type="spellStart"/>
      <w:r w:rsidRPr="003F45EE">
        <w:rPr>
          <w:rFonts w:ascii="Simplified Arabic" w:eastAsia="Times New Roman" w:hAnsi="Simplified Arabic" w:cs="Simplified Arabic"/>
          <w:color w:val="000000" w:themeColor="text1"/>
          <w:kern w:val="0"/>
          <w:sz w:val="28"/>
          <w:szCs w:val="28"/>
          <w14:ligatures w14:val="none"/>
        </w:rPr>
        <w:t>Akinkoye</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2023) </w:t>
      </w:r>
      <w:r w:rsidRPr="003F45EE">
        <w:rPr>
          <w:rFonts w:ascii="Simplified Arabic" w:eastAsia="Times New Roman" w:hAnsi="Simplified Arabic" w:cs="Simplified Arabic"/>
          <w:color w:val="000000" w:themeColor="text1"/>
          <w:kern w:val="0"/>
          <w:sz w:val="28"/>
          <w:szCs w:val="28"/>
          <w:rtl/>
          <w14:ligatures w14:val="none"/>
        </w:rPr>
        <w:t xml:space="preserve">اللذان </w:t>
      </w:r>
      <w:r w:rsidRPr="003F45EE">
        <w:rPr>
          <w:rFonts w:ascii="Simplified Arabic" w:eastAsia="Times New Roman" w:hAnsi="Simplified Arabic" w:cs="Simplified Arabic"/>
          <w:color w:val="000000" w:themeColor="text1"/>
          <w:kern w:val="0"/>
          <w:sz w:val="28"/>
          <w:szCs w:val="28"/>
          <w:rtl/>
          <w14:ligatures w14:val="none"/>
        </w:rPr>
        <w:lastRenderedPageBreak/>
        <w:t>يُشيران إلى أن الحوكمة تُشكّل استراتيجية فاعلة لضمان الامتثال القانوني، وحماية الشركة من التبعات القضائية، وتعزيز موقعها التفاوضي في بيئة أعمال متزايدة التنظيم</w:t>
      </w:r>
      <w:r w:rsidRPr="003F45EE">
        <w:rPr>
          <w:rFonts w:ascii="Simplified Arabic" w:eastAsia="Times New Roman" w:hAnsi="Simplified Arabic" w:cs="Simplified Arabic"/>
          <w:color w:val="000000" w:themeColor="text1"/>
          <w:kern w:val="0"/>
          <w:sz w:val="28"/>
          <w:szCs w:val="28"/>
          <w14:ligatures w14:val="none"/>
        </w:rPr>
        <w:t>.</w:t>
      </w:r>
    </w:p>
    <w:p w14:paraId="2E9285A5" w14:textId="39A6B1B6"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971180"/>
      <w:r w:rsidRPr="003F45EE">
        <w:rPr>
          <w:rFonts w:ascii="Simplified Arabic" w:eastAsia="Times New Roman" w:hAnsi="Simplified Arabic" w:cs="Simplified Arabic" w:hint="cs"/>
          <w:b/>
          <w:bCs/>
          <w:color w:val="000000" w:themeColor="text1"/>
          <w:kern w:val="0"/>
          <w:sz w:val="32"/>
          <w:szCs w:val="32"/>
          <w:rtl/>
          <w14:ligatures w14:val="none"/>
        </w:rPr>
        <w:t>5.1.2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أهداف الحوكمة المؤسسية</w:t>
      </w:r>
      <w:bookmarkEnd w:id="44"/>
    </w:p>
    <w:p w14:paraId="461DD8B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تتوجّه الحوكمة المؤسسية نحو تحقيق جملة من الأهداف المترابطة التي تتكامل فيما بينها لتُشكّل منظومة قيمية وإدارية شاملة. ويُمكن استخلاص هذه الأهداف من قراءة أدبيات هذا الحقل، وتصنيفها على النحو الآتي</w:t>
      </w:r>
      <w:r w:rsidRPr="003F45EE">
        <w:rPr>
          <w:rFonts w:ascii="Simplified Arabic" w:eastAsia="Times New Roman" w:hAnsi="Simplified Arabic" w:cs="Simplified Arabic"/>
          <w:color w:val="000000" w:themeColor="text1"/>
          <w:kern w:val="0"/>
          <w:sz w:val="28"/>
          <w:szCs w:val="28"/>
          <w14:ligatures w14:val="none"/>
        </w:rPr>
        <w:t>:</w:t>
      </w:r>
    </w:p>
    <w:p w14:paraId="020FD32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يرى (إسماعيل والمحاسنة، ٢٠٢٥) أن الحوكمة المؤسسية تسعى إلى: تحقيق الأداء الاستراتيجي المتميّز عبر مواءمة القرارات التشغيلية مع التوجّهات بعيدة المدى، وضمان استثمار الموارد المؤسسية بكفاءة، وتعزيز قدرة المنظمة على إنجاز أهدافها المُعلنة في ظل بيئة متغيرة، إلى جانب ترسيخ منظومة رقابية تُتيح متابعة الإنجاز وقياس الفجوات</w:t>
      </w:r>
      <w:r w:rsidRPr="003F45EE">
        <w:rPr>
          <w:rFonts w:ascii="Simplified Arabic" w:eastAsia="Times New Roman" w:hAnsi="Simplified Arabic" w:cs="Simplified Arabic"/>
          <w:color w:val="000000" w:themeColor="text1"/>
          <w:kern w:val="0"/>
          <w:sz w:val="28"/>
          <w:szCs w:val="28"/>
          <w14:ligatures w14:val="none"/>
        </w:rPr>
        <w:t>.</w:t>
      </w:r>
    </w:p>
    <w:p w14:paraId="34243D82"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ويُبيّن (بن خيرة </w:t>
      </w:r>
      <w:proofErr w:type="spellStart"/>
      <w:r w:rsidRPr="003F45EE">
        <w:rPr>
          <w:rFonts w:ascii="Simplified Arabic" w:eastAsia="Times New Roman" w:hAnsi="Simplified Arabic" w:cs="Simplified Arabic"/>
          <w:color w:val="000000" w:themeColor="text1"/>
          <w:kern w:val="0"/>
          <w:sz w:val="28"/>
          <w:szCs w:val="28"/>
          <w:rtl/>
          <w14:ligatures w14:val="none"/>
        </w:rPr>
        <w:t>وبوخلوة</w:t>
      </w:r>
      <w:proofErr w:type="spellEnd"/>
      <w:r w:rsidRPr="003F45EE">
        <w:rPr>
          <w:rFonts w:ascii="Simplified Arabic" w:eastAsia="Times New Roman" w:hAnsi="Simplified Arabic" w:cs="Simplified Arabic"/>
          <w:color w:val="000000" w:themeColor="text1"/>
          <w:kern w:val="0"/>
          <w:sz w:val="28"/>
          <w:szCs w:val="28"/>
          <w:rtl/>
          <w14:ligatures w14:val="none"/>
        </w:rPr>
        <w:t>، ٢٠٢٢) أن الحوكمة تستهدف: تكامل الأداء الإداري في جميع وحدات المنظمة، وضبط ممارسات إدارة الموارد البشرية بما ينسجم مع مبادئ العدالة والشفافية، وتحقيق التوازن بين الاعتبارات الاقتصادية والاجتماعية في القرارات التنظيمية، فضلًا عن دعم منظومة الحوافز والمساءلة داخل بيئة العمل</w:t>
      </w:r>
      <w:r w:rsidRPr="003F45EE">
        <w:rPr>
          <w:rFonts w:ascii="Simplified Arabic" w:eastAsia="Times New Roman" w:hAnsi="Simplified Arabic" w:cs="Simplified Arabic"/>
          <w:color w:val="000000" w:themeColor="text1"/>
          <w:kern w:val="0"/>
          <w:sz w:val="28"/>
          <w:szCs w:val="28"/>
          <w14:ligatures w14:val="none"/>
        </w:rPr>
        <w:t>.</w:t>
      </w:r>
    </w:p>
    <w:p w14:paraId="6D5882DC"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ويُضيف</w:t>
      </w:r>
      <w:r w:rsidRPr="003F45EE">
        <w:rPr>
          <w:rFonts w:ascii="Simplified Arabic" w:eastAsia="Times New Roman" w:hAnsi="Simplified Arabic" w:cs="Simplified Arabic"/>
          <w:color w:val="000000" w:themeColor="text1"/>
          <w:kern w:val="0"/>
          <w:sz w:val="28"/>
          <w:szCs w:val="28"/>
          <w14:ligatures w14:val="none"/>
        </w:rPr>
        <w:t xml:space="preserve"> (Bagais &amp; </w:t>
      </w:r>
      <w:proofErr w:type="spellStart"/>
      <w:r w:rsidRPr="003F45EE">
        <w:rPr>
          <w:rFonts w:ascii="Simplified Arabic" w:eastAsia="Times New Roman" w:hAnsi="Simplified Arabic" w:cs="Simplified Arabic"/>
          <w:color w:val="000000" w:themeColor="text1"/>
          <w:kern w:val="0"/>
          <w:sz w:val="28"/>
          <w:szCs w:val="28"/>
          <w14:ligatures w14:val="none"/>
        </w:rPr>
        <w:t>Aljaaidi</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2020) </w:t>
      </w:r>
      <w:r w:rsidRPr="003F45EE">
        <w:rPr>
          <w:rFonts w:ascii="Simplified Arabic" w:eastAsia="Times New Roman" w:hAnsi="Simplified Arabic" w:cs="Simplified Arabic"/>
          <w:color w:val="000000" w:themeColor="text1"/>
          <w:kern w:val="0"/>
          <w:sz w:val="28"/>
          <w:szCs w:val="28"/>
          <w:rtl/>
          <w14:ligatures w14:val="none"/>
        </w:rPr>
        <w:t>أن أهداف الحوكمة تتضمّن: تخفيض تكاليف الوكالة الناجمة عن تعارض المصالح بين الإدارة والملّاك، وتحسين جودة المعلومات المُفصح عنها، ورفع كفاءة عمليات صنع القرار، وتعزيز ثقة السوق في هياكل الشركة وممارساتها</w:t>
      </w:r>
      <w:r w:rsidRPr="003F45EE">
        <w:rPr>
          <w:rFonts w:ascii="Simplified Arabic" w:eastAsia="Times New Roman" w:hAnsi="Simplified Arabic" w:cs="Simplified Arabic"/>
          <w:color w:val="000000" w:themeColor="text1"/>
          <w:kern w:val="0"/>
          <w:sz w:val="28"/>
          <w:szCs w:val="28"/>
          <w14:ligatures w14:val="none"/>
        </w:rPr>
        <w:t>.</w:t>
      </w:r>
    </w:p>
    <w:p w14:paraId="77A13292"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ويذهب</w:t>
      </w:r>
      <w:r w:rsidRPr="003F45EE">
        <w:rPr>
          <w:rFonts w:ascii="Simplified Arabic" w:eastAsia="Times New Roman" w:hAnsi="Simplified Arabic" w:cs="Simplified Arabic"/>
          <w:color w:val="000000" w:themeColor="text1"/>
          <w:kern w:val="0"/>
          <w:sz w:val="28"/>
          <w:szCs w:val="28"/>
          <w14:ligatures w14:val="none"/>
        </w:rPr>
        <w:t xml:space="preserve"> (Alharbi &amp; Hashim, 2024) </w:t>
      </w:r>
      <w:r w:rsidRPr="003F45EE">
        <w:rPr>
          <w:rFonts w:ascii="Simplified Arabic" w:eastAsia="Times New Roman" w:hAnsi="Simplified Arabic" w:cs="Simplified Arabic"/>
          <w:color w:val="000000" w:themeColor="text1"/>
          <w:kern w:val="0"/>
          <w:sz w:val="28"/>
          <w:szCs w:val="28"/>
          <w:rtl/>
          <w14:ligatures w14:val="none"/>
        </w:rPr>
        <w:t>إلى أن الحوكمة تستهدف: ترسيخ ممارسات الإفصاح عن الاستدامة، وربط الشركة بمنظومة المسؤولية الاجتماعية والبيئية، وتعزيز التزامها بمعايير الاستدامة العالمية، وتحسين موقعها في تقييمات الحوكمة البيئية والاجتماعية والمؤسسية</w:t>
      </w:r>
      <w:r w:rsidRPr="003F45EE">
        <w:rPr>
          <w:rFonts w:ascii="Simplified Arabic" w:eastAsia="Times New Roman" w:hAnsi="Simplified Arabic" w:cs="Simplified Arabic"/>
          <w:color w:val="000000" w:themeColor="text1"/>
          <w:kern w:val="0"/>
          <w:sz w:val="28"/>
          <w:szCs w:val="28"/>
          <w14:ligatures w14:val="none"/>
        </w:rPr>
        <w:t xml:space="preserve"> (ESG).</w:t>
      </w:r>
    </w:p>
    <w:p w14:paraId="7E1E069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ويُشير (العامري، ٢٠٢٣) إلى أن الحوكمة تسعى إلى: الحدّ من ممارسات المحاسبة الإبداعية التي تُشوّه الصورة الحقيقية للأداء المالي، وضمان سلامة القوائم المالية، وحماية الشركة من ممارسات التلاعب التي قد تُعرّضها لمخاطر قانونية وسمعية، فضلًا عن تعزيز مصداقيتها أمام المستثمرين والمنظمين</w:t>
      </w:r>
      <w:r w:rsidRPr="003F45EE">
        <w:rPr>
          <w:rFonts w:ascii="Simplified Arabic" w:eastAsia="Times New Roman" w:hAnsi="Simplified Arabic" w:cs="Simplified Arabic"/>
          <w:color w:val="000000" w:themeColor="text1"/>
          <w:kern w:val="0"/>
          <w:sz w:val="28"/>
          <w:szCs w:val="28"/>
          <w14:ligatures w14:val="none"/>
        </w:rPr>
        <w:t>.</w:t>
      </w:r>
    </w:p>
    <w:p w14:paraId="60EFE349"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ويُبرز (الزنايدي والنويران، ٢٠٢١) أن من أهداف الحوكمة: رفع كفاءة المنظمات المصرفية، ودعم قدرتها على إدارة مواردها، وضمان التزامها بالمبادئ التي تحكم قطاعها، وتعزيز استقرارها المالي وقدرتها التنافسية في بيئة متطلبة تنظيميًا</w:t>
      </w:r>
      <w:r w:rsidRPr="003F45EE">
        <w:rPr>
          <w:rFonts w:ascii="Simplified Arabic" w:eastAsia="Times New Roman" w:hAnsi="Simplified Arabic" w:cs="Simplified Arabic"/>
          <w:color w:val="000000" w:themeColor="text1"/>
          <w:kern w:val="0"/>
          <w:sz w:val="28"/>
          <w:szCs w:val="28"/>
          <w14:ligatures w14:val="none"/>
        </w:rPr>
        <w:t>.</w:t>
      </w:r>
    </w:p>
    <w:p w14:paraId="6DEF6147" w14:textId="37E6B148"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971181"/>
      <w:r w:rsidRPr="003F45EE">
        <w:rPr>
          <w:rFonts w:ascii="Simplified Arabic" w:eastAsia="Times New Roman" w:hAnsi="Simplified Arabic" w:cs="Simplified Arabic" w:hint="cs"/>
          <w:b/>
          <w:bCs/>
          <w:color w:val="000000" w:themeColor="text1"/>
          <w:kern w:val="0"/>
          <w:sz w:val="32"/>
          <w:szCs w:val="32"/>
          <w:rtl/>
          <w14:ligatures w14:val="none"/>
        </w:rPr>
        <w:t>6.1.2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أبعاد الحوكمة المؤسسية</w:t>
      </w:r>
      <w:bookmarkEnd w:id="45"/>
    </w:p>
    <w:p w14:paraId="1373C101"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تمّ تحديد أبعاد الحوكمة المؤسسية في هذه الدراسة بناءً على ما ورد في دراسة (أبو شمالة ومسعود، ٢٠٢٢) ودراسة (البلوي، ٢٠٢٥) ودراسة</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Boshnak</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2021) </w:t>
      </w:r>
      <w:r w:rsidRPr="003F45EE">
        <w:rPr>
          <w:rFonts w:ascii="Simplified Arabic" w:eastAsia="Times New Roman" w:hAnsi="Simplified Arabic" w:cs="Simplified Arabic"/>
          <w:color w:val="000000" w:themeColor="text1"/>
          <w:kern w:val="0"/>
          <w:sz w:val="28"/>
          <w:szCs w:val="28"/>
          <w:rtl/>
          <w14:ligatures w14:val="none"/>
        </w:rPr>
        <w:t>ودراسة</w:t>
      </w:r>
      <w:r w:rsidRPr="003F45EE">
        <w:rPr>
          <w:rFonts w:ascii="Simplified Arabic" w:eastAsia="Times New Roman" w:hAnsi="Simplified Arabic" w:cs="Simplified Arabic"/>
          <w:color w:val="000000" w:themeColor="text1"/>
          <w:kern w:val="0"/>
          <w:sz w:val="28"/>
          <w:szCs w:val="28"/>
          <w14:ligatures w14:val="none"/>
        </w:rPr>
        <w:t xml:space="preserve"> (Bagais &amp; </w:t>
      </w:r>
      <w:proofErr w:type="spellStart"/>
      <w:r w:rsidRPr="003F45EE">
        <w:rPr>
          <w:rFonts w:ascii="Simplified Arabic" w:eastAsia="Times New Roman" w:hAnsi="Simplified Arabic" w:cs="Simplified Arabic"/>
          <w:color w:val="000000" w:themeColor="text1"/>
          <w:kern w:val="0"/>
          <w:sz w:val="28"/>
          <w:szCs w:val="28"/>
          <w14:ligatures w14:val="none"/>
        </w:rPr>
        <w:t>Aljaaidi</w:t>
      </w:r>
      <w:proofErr w:type="spellEnd"/>
      <w:r w:rsidRPr="003F45EE">
        <w:rPr>
          <w:rFonts w:ascii="Simplified Arabic" w:eastAsia="Times New Roman" w:hAnsi="Simplified Arabic" w:cs="Simplified Arabic"/>
          <w:color w:val="000000" w:themeColor="text1"/>
          <w:kern w:val="0"/>
          <w:sz w:val="28"/>
          <w:szCs w:val="28"/>
          <w14:ligatures w14:val="none"/>
        </w:rPr>
        <w:t>, 2020)</w:t>
      </w:r>
      <w:r w:rsidRPr="003F45EE">
        <w:rPr>
          <w:rFonts w:ascii="Simplified Arabic" w:eastAsia="Times New Roman" w:hAnsi="Simplified Arabic" w:cs="Simplified Arabic"/>
          <w:color w:val="000000" w:themeColor="text1"/>
          <w:kern w:val="0"/>
          <w:sz w:val="28"/>
          <w:szCs w:val="28"/>
          <w:rtl/>
          <w14:ligatures w14:val="none"/>
        </w:rPr>
        <w:t>، إذ تقاطعت هذه الدراسات في اعتماد أربعة أبعاد رئيسة تُعبّر عن جوهر ممارسات الحوكمة في الشركات، وهي: الشفافية والإفصاح، والمساءلة والمحاسبة، واستقلالية مجلس الإدارة، والرقابة الداخلية وإدارة المخاطر. وقد رُوعي في اختيار هذه الأبعاد ملاءمتها لطبيعة الشركات المتوسطة في السياق السعودي، وارتباطها الوظيفي بالمتغير التابع للدراسة</w:t>
      </w:r>
      <w:r w:rsidRPr="003F45EE">
        <w:rPr>
          <w:rFonts w:ascii="Simplified Arabic" w:eastAsia="Times New Roman" w:hAnsi="Simplified Arabic" w:cs="Simplified Arabic"/>
          <w:color w:val="000000" w:themeColor="text1"/>
          <w:kern w:val="0"/>
          <w:sz w:val="28"/>
          <w:szCs w:val="28"/>
          <w14:ligatures w14:val="none"/>
        </w:rPr>
        <w:t>.</w:t>
      </w:r>
    </w:p>
    <w:p w14:paraId="5ABFFF88" w14:textId="77777777" w:rsidR="00403379" w:rsidRPr="003F45EE" w:rsidRDefault="00403379" w:rsidP="000F61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45EE">
        <w:rPr>
          <w:rFonts w:ascii="Simplified Arabic" w:eastAsia="Times New Roman" w:hAnsi="Simplified Arabic" w:cs="Simplified Arabic"/>
          <w:b/>
          <w:bCs/>
          <w:color w:val="000000" w:themeColor="text1"/>
          <w:kern w:val="0"/>
          <w:sz w:val="28"/>
          <w:szCs w:val="28"/>
          <w:rtl/>
          <w14:ligatures w14:val="none"/>
        </w:rPr>
        <w:t>البُعد الأول: الشفافية والإفصاح</w:t>
      </w:r>
    </w:p>
    <w:p w14:paraId="12BAD8C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تُشكّل الشفافية والإفصاح الركيزة الأولى للحوكمة المؤسسية، إذ يُعبّران عن التزام الشركة بإتاحة المعلومات المالية وغير المالية في الوقت المناسب وبالشكل الملائم لأصحاب المصلحة كافةً. ويُشير (البلوي، ٢٠٢٥) إلى أن هذا البُعد يمتد ليشمل الإفصاح عن السياسات المحاسبية المُتّبعة، وهيكل الملكية، وسياسات المكافآت، والمخاطر التي تواجه الشركة، وأي معلومات جوهرية قد تؤثر في قرارات المستثمرين. ويكتسب هذا البُعد أهميته من كونه يُقلّل عدم تماثل المعلومات بين الأطراف الداخلية والخارجية، ويُتيح تقييمًا موضوعيًا لأداء الشركة</w:t>
      </w:r>
      <w:r w:rsidRPr="003F45EE">
        <w:rPr>
          <w:rFonts w:ascii="Simplified Arabic" w:eastAsia="Times New Roman" w:hAnsi="Simplified Arabic" w:cs="Simplified Arabic"/>
          <w:color w:val="000000" w:themeColor="text1"/>
          <w:kern w:val="0"/>
          <w:sz w:val="28"/>
          <w:szCs w:val="28"/>
          <w14:ligatures w14:val="none"/>
        </w:rPr>
        <w:t>.</w:t>
      </w:r>
    </w:p>
    <w:p w14:paraId="251B1200"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ويُوسّع</w:t>
      </w:r>
      <w:r w:rsidRPr="003F45EE">
        <w:rPr>
          <w:rFonts w:ascii="Simplified Arabic" w:eastAsia="Times New Roman" w:hAnsi="Simplified Arabic" w:cs="Simplified Arabic"/>
          <w:color w:val="000000" w:themeColor="text1"/>
          <w:kern w:val="0"/>
          <w:sz w:val="28"/>
          <w:szCs w:val="28"/>
          <w14:ligatures w14:val="none"/>
        </w:rPr>
        <w:t xml:space="preserve"> (Alharbi &amp; Hashim, 2024) </w:t>
      </w:r>
      <w:r w:rsidRPr="003F45EE">
        <w:rPr>
          <w:rFonts w:ascii="Simplified Arabic" w:eastAsia="Times New Roman" w:hAnsi="Simplified Arabic" w:cs="Simplified Arabic"/>
          <w:color w:val="000000" w:themeColor="text1"/>
          <w:kern w:val="0"/>
          <w:sz w:val="28"/>
          <w:szCs w:val="28"/>
          <w:rtl/>
          <w14:ligatures w14:val="none"/>
        </w:rPr>
        <w:t>نطاق هذا البُعد ليتجاوز الإفصاح المالي التقليدي إلى الإفصاح عن ممارسات الاستدامة والمسؤولية الاجتماعية والبيئية، مما يعكس تطور مفهوم الشفافية من صيغته الضيقة إلى صيغة شاملة تستوعب التوقعات المتنامية لأصحاب المصلحة. ويُلاحظ أن هذا التوسّع في نطاق الإفصاح يُعزّز قدرة الشركة على بناء علاقات ثقة طويلة الأمد، ويُحسّن موقعها التنافسي في الأسواق التي باتت تُقيّم الشركات وفق معايير متعددة الأبعاد</w:t>
      </w:r>
      <w:r w:rsidRPr="003F45EE">
        <w:rPr>
          <w:rFonts w:ascii="Simplified Arabic" w:eastAsia="Times New Roman" w:hAnsi="Simplified Arabic" w:cs="Simplified Arabic"/>
          <w:color w:val="000000" w:themeColor="text1"/>
          <w:kern w:val="0"/>
          <w:sz w:val="28"/>
          <w:szCs w:val="28"/>
          <w14:ligatures w14:val="none"/>
        </w:rPr>
        <w:t>.</w:t>
      </w:r>
    </w:p>
    <w:p w14:paraId="1A8E5D53"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ولا يقتصر البُعد على الجانب الكمّي للمعلومات المُفصح عنها، بل يمتد إلى جودتها ومدى دقّتها وقابليتها للفهم والمقارنة، وهو ما يُبرزه (العامري، ٢٠٢٣) حين يربط بين تراجع الشفافية وممارسات المحاسبة </w:t>
      </w:r>
      <w:r w:rsidRPr="003F45EE">
        <w:rPr>
          <w:rFonts w:ascii="Simplified Arabic" w:eastAsia="Times New Roman" w:hAnsi="Simplified Arabic" w:cs="Simplified Arabic"/>
          <w:color w:val="000000" w:themeColor="text1"/>
          <w:kern w:val="0"/>
          <w:sz w:val="28"/>
          <w:szCs w:val="28"/>
          <w:rtl/>
          <w14:ligatures w14:val="none"/>
        </w:rPr>
        <w:lastRenderedPageBreak/>
        <w:t>الإبداعية التي تُشوّه الصورة الحقيقية للأداء وتُعرّض الشركة لمخاطر قانونية جسيمة. ويُشير ذلك إلى أن الشفافية ليست مجرد التزام بإصدار التقارير، بل هي منظومة قيمية تحكم كيفية إعداد المعلومات وتوصيلها</w:t>
      </w:r>
      <w:r w:rsidRPr="003F45EE">
        <w:rPr>
          <w:rFonts w:ascii="Simplified Arabic" w:eastAsia="Times New Roman" w:hAnsi="Simplified Arabic" w:cs="Simplified Arabic"/>
          <w:color w:val="000000" w:themeColor="text1"/>
          <w:kern w:val="0"/>
          <w:sz w:val="28"/>
          <w:szCs w:val="28"/>
          <w14:ligatures w14:val="none"/>
        </w:rPr>
        <w:t>.</w:t>
      </w:r>
    </w:p>
    <w:p w14:paraId="629EEC0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ويُضيف</w:t>
      </w:r>
      <w:r w:rsidRPr="003F45EE">
        <w:rPr>
          <w:rFonts w:ascii="Simplified Arabic" w:eastAsia="Times New Roman" w:hAnsi="Simplified Arabic" w:cs="Simplified Arabic"/>
          <w:color w:val="000000" w:themeColor="text1"/>
          <w:kern w:val="0"/>
          <w:sz w:val="28"/>
          <w:szCs w:val="28"/>
          <w14:ligatures w14:val="none"/>
        </w:rPr>
        <w:t xml:space="preserve"> (Akinsola, 2025) </w:t>
      </w:r>
      <w:r w:rsidRPr="003F45EE">
        <w:rPr>
          <w:rFonts w:ascii="Simplified Arabic" w:eastAsia="Times New Roman" w:hAnsi="Simplified Arabic" w:cs="Simplified Arabic"/>
          <w:color w:val="000000" w:themeColor="text1"/>
          <w:kern w:val="0"/>
          <w:sz w:val="28"/>
          <w:szCs w:val="28"/>
          <w:rtl/>
          <w14:ligatures w14:val="none"/>
        </w:rPr>
        <w:t>بُعدًا تكامليًا حين يعتبر الشفافية إحدى الممارسات الفضلى التي تُعزّز المساءلة وتُخفّف من المخاطر، مما يعكس الترابط الوظيفي بين الشفافية وسائر أبعاد الحوكمة. ومن هنا، فإن الشركات المتوسطة التي تسعى إلى تعزيز موقعها في السوق السعودي تجد في الشفافية والإفصاح مدخلًا رئيسًا لبناء الثقة مع الجهات التنظيمية والشركاء والممولين، ولحماية نفسها من التبعات القانونية الناشئة عن قصور المعلومات</w:t>
      </w:r>
      <w:r w:rsidRPr="003F45EE">
        <w:rPr>
          <w:rFonts w:ascii="Simplified Arabic" w:eastAsia="Times New Roman" w:hAnsi="Simplified Arabic" w:cs="Simplified Arabic"/>
          <w:color w:val="000000" w:themeColor="text1"/>
          <w:kern w:val="0"/>
          <w:sz w:val="28"/>
          <w:szCs w:val="28"/>
          <w14:ligatures w14:val="none"/>
        </w:rPr>
        <w:t>.</w:t>
      </w:r>
    </w:p>
    <w:p w14:paraId="05D1AF33" w14:textId="77777777" w:rsidR="00403379" w:rsidRPr="003F45EE" w:rsidRDefault="00403379" w:rsidP="000F61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45EE">
        <w:rPr>
          <w:rFonts w:ascii="Simplified Arabic" w:eastAsia="Times New Roman" w:hAnsi="Simplified Arabic" w:cs="Simplified Arabic"/>
          <w:b/>
          <w:bCs/>
          <w:color w:val="000000" w:themeColor="text1"/>
          <w:kern w:val="0"/>
          <w:sz w:val="28"/>
          <w:szCs w:val="28"/>
          <w:rtl/>
          <w14:ligatures w14:val="none"/>
        </w:rPr>
        <w:t>البُعد الثاني: المساءلة والمحاسبة</w:t>
      </w:r>
    </w:p>
    <w:p w14:paraId="583AE52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يُمثّل هذا البُعد الآلية التي تُترجم بها مبادئ الحوكمة إلى ممارسات إدارية ملموسة، إذ يُوفّر إطارًا واضحًا لمحاسبة الإدارة التنفيذية على قراراتها وأدائها أمام مجلس الإدارة والمساهمين. ويُبيّن</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Akinadewo</w:t>
      </w:r>
      <w:proofErr w:type="spellEnd"/>
      <w:r w:rsidRPr="003F45EE">
        <w:rPr>
          <w:rFonts w:ascii="Simplified Arabic" w:eastAsia="Times New Roman" w:hAnsi="Simplified Arabic" w:cs="Simplified Arabic"/>
          <w:color w:val="000000" w:themeColor="text1"/>
          <w:kern w:val="0"/>
          <w:sz w:val="28"/>
          <w:szCs w:val="28"/>
          <w14:ligatures w14:val="none"/>
        </w:rPr>
        <w:t xml:space="preserve"> &amp; </w:t>
      </w:r>
      <w:proofErr w:type="spellStart"/>
      <w:r w:rsidRPr="003F45EE">
        <w:rPr>
          <w:rFonts w:ascii="Simplified Arabic" w:eastAsia="Times New Roman" w:hAnsi="Simplified Arabic" w:cs="Simplified Arabic"/>
          <w:color w:val="000000" w:themeColor="text1"/>
          <w:kern w:val="0"/>
          <w:sz w:val="28"/>
          <w:szCs w:val="28"/>
          <w14:ligatures w14:val="none"/>
        </w:rPr>
        <w:t>Akinkoye</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2023) </w:t>
      </w:r>
      <w:r w:rsidRPr="003F45EE">
        <w:rPr>
          <w:rFonts w:ascii="Simplified Arabic" w:eastAsia="Times New Roman" w:hAnsi="Simplified Arabic" w:cs="Simplified Arabic"/>
          <w:color w:val="000000" w:themeColor="text1"/>
          <w:kern w:val="0"/>
          <w:sz w:val="28"/>
          <w:szCs w:val="28"/>
          <w:rtl/>
          <w14:ligatures w14:val="none"/>
        </w:rPr>
        <w:t>أن المساءلة تُشكّل عمودًا فقريًا للحوكمة، لأنها تربط بين السلطة الممنوحة والمسؤولية المترتبة عليها، وتُتيح تتبّع القرارات وربطها بأصحابها، بما يُقلّل من احتمالات إساءة استخدام الصلاحيات</w:t>
      </w:r>
      <w:r w:rsidRPr="003F45EE">
        <w:rPr>
          <w:rFonts w:ascii="Simplified Arabic" w:eastAsia="Times New Roman" w:hAnsi="Simplified Arabic" w:cs="Simplified Arabic"/>
          <w:color w:val="000000" w:themeColor="text1"/>
          <w:kern w:val="0"/>
          <w:sz w:val="28"/>
          <w:szCs w:val="28"/>
          <w14:ligatures w14:val="none"/>
        </w:rPr>
        <w:t>.</w:t>
      </w:r>
    </w:p>
    <w:p w14:paraId="6676211F"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ويعرض (</w:t>
      </w:r>
      <w:proofErr w:type="spellStart"/>
      <w:r w:rsidRPr="003F45EE">
        <w:rPr>
          <w:rFonts w:ascii="Simplified Arabic" w:eastAsia="Times New Roman" w:hAnsi="Simplified Arabic" w:cs="Simplified Arabic"/>
          <w:color w:val="000000" w:themeColor="text1"/>
          <w:kern w:val="0"/>
          <w:sz w:val="28"/>
          <w:szCs w:val="28"/>
          <w:rtl/>
          <w14:ligatures w14:val="none"/>
        </w:rPr>
        <w:t>العزعزي</w:t>
      </w:r>
      <w:proofErr w:type="spellEnd"/>
      <w:r w:rsidRPr="003F45EE">
        <w:rPr>
          <w:rFonts w:ascii="Simplified Arabic" w:eastAsia="Times New Roman" w:hAnsi="Simplified Arabic" w:cs="Simplified Arabic"/>
          <w:color w:val="000000" w:themeColor="text1"/>
          <w:kern w:val="0"/>
          <w:sz w:val="28"/>
          <w:szCs w:val="28"/>
          <w:rtl/>
          <w14:ligatures w14:val="none"/>
        </w:rPr>
        <w:t>، ٢٠٢١) هذا البُعد من زاويةٍ رقابية، حين يُبرز الترابط بين المساءلة وجودة الرقابة الداخلية، إذ إن آليات المساءلة الفاعلة تستلزم وجود أنظمة رقابية قادرة على رصد الانحرافات وتوثيقها، وتوفير الأدلة اللازمة لعمليات المحاسبة، وهو ما يجعل هذا البُعد مترابطًا وظيفيًا مع بُعد الرقابة الداخلية</w:t>
      </w:r>
      <w:r w:rsidRPr="003F45EE">
        <w:rPr>
          <w:rFonts w:ascii="Simplified Arabic" w:eastAsia="Times New Roman" w:hAnsi="Simplified Arabic" w:cs="Simplified Arabic"/>
          <w:color w:val="000000" w:themeColor="text1"/>
          <w:kern w:val="0"/>
          <w:sz w:val="28"/>
          <w:szCs w:val="28"/>
          <w14:ligatures w14:val="none"/>
        </w:rPr>
        <w:t>.</w:t>
      </w:r>
    </w:p>
    <w:p w14:paraId="5CE18A30"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ويرى</w:t>
      </w:r>
      <w:r w:rsidRPr="003F45EE">
        <w:rPr>
          <w:rFonts w:ascii="Simplified Arabic" w:eastAsia="Times New Roman" w:hAnsi="Simplified Arabic" w:cs="Simplified Arabic"/>
          <w:color w:val="000000" w:themeColor="text1"/>
          <w:kern w:val="0"/>
          <w:sz w:val="28"/>
          <w:szCs w:val="28"/>
          <w14:ligatures w14:val="none"/>
        </w:rPr>
        <w:t xml:space="preserve"> (Velte, 2023) </w:t>
      </w:r>
      <w:r w:rsidRPr="003F45EE">
        <w:rPr>
          <w:rFonts w:ascii="Simplified Arabic" w:eastAsia="Times New Roman" w:hAnsi="Simplified Arabic" w:cs="Simplified Arabic"/>
          <w:color w:val="000000" w:themeColor="text1"/>
          <w:kern w:val="0"/>
          <w:sz w:val="28"/>
          <w:szCs w:val="28"/>
          <w:rtl/>
          <w14:ligatures w14:val="none"/>
        </w:rPr>
        <w:t>أن ضعف المساءلة يُشكّل أحد العوامل المفسّرة لحالات سوء السلوك المالي في الشركات، إذ إن غياب الآليات الرادعة يُتيح مساحةً للممارسات المنحرفة التي تُعرّض الشركة لمخاطر مالية وقانونية جسيمة. ومن هنا، فإن ترسيخ المساءلة لا يُعدّ ترفًا تنظيميًا، بل ضرورةً وقائية تحمي الشركة من انزلاقات قد تُهدّد وجودها</w:t>
      </w:r>
      <w:r w:rsidRPr="003F45EE">
        <w:rPr>
          <w:rFonts w:ascii="Simplified Arabic" w:eastAsia="Times New Roman" w:hAnsi="Simplified Arabic" w:cs="Simplified Arabic"/>
          <w:color w:val="000000" w:themeColor="text1"/>
          <w:kern w:val="0"/>
          <w:sz w:val="28"/>
          <w:szCs w:val="28"/>
          <w14:ligatures w14:val="none"/>
        </w:rPr>
        <w:t>.</w:t>
      </w:r>
    </w:p>
    <w:p w14:paraId="537F2ACE"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ويُوسّع</w:t>
      </w:r>
      <w:r w:rsidRPr="003F45EE">
        <w:rPr>
          <w:rFonts w:ascii="Simplified Arabic" w:eastAsia="Times New Roman" w:hAnsi="Simplified Arabic" w:cs="Simplified Arabic"/>
          <w:color w:val="000000" w:themeColor="text1"/>
          <w:kern w:val="0"/>
          <w:sz w:val="28"/>
          <w:szCs w:val="28"/>
          <w14:ligatures w14:val="none"/>
        </w:rPr>
        <w:t xml:space="preserve"> (Bello et al., 2022) </w:t>
      </w:r>
      <w:r w:rsidRPr="003F45EE">
        <w:rPr>
          <w:rFonts w:ascii="Simplified Arabic" w:eastAsia="Times New Roman" w:hAnsi="Simplified Arabic" w:cs="Simplified Arabic"/>
          <w:color w:val="000000" w:themeColor="text1"/>
          <w:kern w:val="0"/>
          <w:sz w:val="28"/>
          <w:szCs w:val="28"/>
          <w:rtl/>
          <w14:ligatures w14:val="none"/>
        </w:rPr>
        <w:t xml:space="preserve">نطاق المساءلة ليشمل المسؤولية القانونية للشركة تجاه الأطراف الخارجية، مؤكدين أن آليات المحاسبة الداخلية تتقاطع مع منظومة المسؤوليات القانونية، وتُشكّل خط الدفاع الأول ضد المخاطر القانونية. وينسجم هذا الطرح مع طبيعة الدراسة الحالية التي تسعى إلى استكشاف أثر </w:t>
      </w:r>
      <w:r w:rsidRPr="003F45EE">
        <w:rPr>
          <w:rFonts w:ascii="Simplified Arabic" w:eastAsia="Times New Roman" w:hAnsi="Simplified Arabic" w:cs="Simplified Arabic"/>
          <w:color w:val="000000" w:themeColor="text1"/>
          <w:kern w:val="0"/>
          <w:sz w:val="28"/>
          <w:szCs w:val="28"/>
          <w:rtl/>
          <w14:ligatures w14:val="none"/>
        </w:rPr>
        <w:lastRenderedPageBreak/>
        <w:t>الحوكمة في تقليل المخاطر القانونية، إذ تُوفّر المساءلة الفاعلة إطارًا استباقيًا لتفادي التبعات القانونية قبل وقوعها</w:t>
      </w:r>
      <w:r w:rsidRPr="003F45EE">
        <w:rPr>
          <w:rFonts w:ascii="Simplified Arabic" w:eastAsia="Times New Roman" w:hAnsi="Simplified Arabic" w:cs="Simplified Arabic"/>
          <w:color w:val="000000" w:themeColor="text1"/>
          <w:kern w:val="0"/>
          <w:sz w:val="28"/>
          <w:szCs w:val="28"/>
          <w14:ligatures w14:val="none"/>
        </w:rPr>
        <w:t>.</w:t>
      </w:r>
    </w:p>
    <w:p w14:paraId="5099F2BB" w14:textId="77777777" w:rsidR="00403379" w:rsidRPr="003F45EE" w:rsidRDefault="00403379" w:rsidP="000F61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45EE">
        <w:rPr>
          <w:rFonts w:ascii="Simplified Arabic" w:eastAsia="Times New Roman" w:hAnsi="Simplified Arabic" w:cs="Simplified Arabic"/>
          <w:b/>
          <w:bCs/>
          <w:color w:val="000000" w:themeColor="text1"/>
          <w:kern w:val="0"/>
          <w:sz w:val="28"/>
          <w:szCs w:val="28"/>
          <w:rtl/>
          <w14:ligatures w14:val="none"/>
        </w:rPr>
        <w:t>البُعد الثالث: استقلالية مجلس الإدارة</w:t>
      </w:r>
    </w:p>
    <w:p w14:paraId="3D01DE3B"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يُعدّ مجلس الإدارة القلب النابض لمنظومة الحوكمة، إذ تعتمد فاعلية الحوكمة إلى حدٍّ بعيد على قدرة المجلس على ممارسة دوره الرقابي والتوجيهي باستقلالية عن الإدارة التنفيذية. ويُوضح</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Boshnak</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2021) </w:t>
      </w:r>
      <w:r w:rsidRPr="003F45EE">
        <w:rPr>
          <w:rFonts w:ascii="Simplified Arabic" w:eastAsia="Times New Roman" w:hAnsi="Simplified Arabic" w:cs="Simplified Arabic"/>
          <w:color w:val="000000" w:themeColor="text1"/>
          <w:kern w:val="0"/>
          <w:sz w:val="28"/>
          <w:szCs w:val="28"/>
          <w:rtl/>
          <w14:ligatures w14:val="none"/>
        </w:rPr>
        <w:t>أن استقلالية المجلس تُقاس بعدة مؤشرات، منها: نسبة الأعضاء المستقلين، والفصل بين منصبَي رئيس المجلس والرئيس التنفيذي، ووجود لجان متخصصة تعمل باستقلالية عن الإدارة، ومدى قدرة المجلس على اتخاذ قرارات مغايرة لتوجهات الإدارة عند الاقتضاء</w:t>
      </w:r>
      <w:r w:rsidRPr="003F45EE">
        <w:rPr>
          <w:rFonts w:ascii="Simplified Arabic" w:eastAsia="Times New Roman" w:hAnsi="Simplified Arabic" w:cs="Simplified Arabic"/>
          <w:color w:val="000000" w:themeColor="text1"/>
          <w:kern w:val="0"/>
          <w:sz w:val="28"/>
          <w:szCs w:val="28"/>
          <w14:ligatures w14:val="none"/>
        </w:rPr>
        <w:t>.</w:t>
      </w:r>
    </w:p>
    <w:p w14:paraId="0BB73F4D"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ويرتبط هذا البُعد ارتباطًا وثيقًا بنظرية الوكالة، إذ يعمل المجلس المستقل بوصفه آلية لضبط سلوك الإدارة وحماية مصالح المساهمين، وهو ما يُبرزه</w:t>
      </w:r>
      <w:r w:rsidRPr="003F45EE">
        <w:rPr>
          <w:rFonts w:ascii="Simplified Arabic" w:eastAsia="Times New Roman" w:hAnsi="Simplified Arabic" w:cs="Simplified Arabic"/>
          <w:color w:val="000000" w:themeColor="text1"/>
          <w:kern w:val="0"/>
          <w:sz w:val="28"/>
          <w:szCs w:val="28"/>
          <w14:ligatures w14:val="none"/>
        </w:rPr>
        <w:t xml:space="preserve"> (Bagais &amp; </w:t>
      </w:r>
      <w:proofErr w:type="spellStart"/>
      <w:r w:rsidRPr="003F45EE">
        <w:rPr>
          <w:rFonts w:ascii="Simplified Arabic" w:eastAsia="Times New Roman" w:hAnsi="Simplified Arabic" w:cs="Simplified Arabic"/>
          <w:color w:val="000000" w:themeColor="text1"/>
          <w:kern w:val="0"/>
          <w:sz w:val="28"/>
          <w:szCs w:val="28"/>
          <w14:ligatures w14:val="none"/>
        </w:rPr>
        <w:t>Aljaaidi</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2020) </w:t>
      </w:r>
      <w:r w:rsidRPr="003F45EE">
        <w:rPr>
          <w:rFonts w:ascii="Simplified Arabic" w:eastAsia="Times New Roman" w:hAnsi="Simplified Arabic" w:cs="Simplified Arabic"/>
          <w:color w:val="000000" w:themeColor="text1"/>
          <w:kern w:val="0"/>
          <w:sz w:val="28"/>
          <w:szCs w:val="28"/>
          <w:rtl/>
          <w14:ligatures w14:val="none"/>
        </w:rPr>
        <w:t>حين يُشيران إلى أن استقلالية المجلس تُخفّف من مشكلات الوكالة، وتُقلّل من فرص انحراف الإدارة عن الأهداف المُعلنة، وتُعزّز قدرة المجلس على التقييم الموضوعي لأداء الإدارة التنفيذية</w:t>
      </w:r>
      <w:r w:rsidRPr="003F45EE">
        <w:rPr>
          <w:rFonts w:ascii="Simplified Arabic" w:eastAsia="Times New Roman" w:hAnsi="Simplified Arabic" w:cs="Simplified Arabic"/>
          <w:color w:val="000000" w:themeColor="text1"/>
          <w:kern w:val="0"/>
          <w:sz w:val="28"/>
          <w:szCs w:val="28"/>
          <w14:ligatures w14:val="none"/>
        </w:rPr>
        <w:t>.</w:t>
      </w:r>
    </w:p>
    <w:p w14:paraId="1004137D"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ويُضيف</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Alzeban</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2020) </w:t>
      </w:r>
      <w:r w:rsidRPr="003F45EE">
        <w:rPr>
          <w:rFonts w:ascii="Simplified Arabic" w:eastAsia="Times New Roman" w:hAnsi="Simplified Arabic" w:cs="Simplified Arabic"/>
          <w:color w:val="000000" w:themeColor="text1"/>
          <w:kern w:val="0"/>
          <w:sz w:val="28"/>
          <w:szCs w:val="28"/>
          <w:rtl/>
          <w14:ligatures w14:val="none"/>
        </w:rPr>
        <w:t>بُعدًا تكامليًا حين يربط بين استقلالية المجلس وفاعلية لجان المراجعة والمراجعة الداخلية، مؤكدًا أن المجلس المستقل يُشكّل الرافعة التنظيمية التي تُتيح للجان المتخصصة أداء دورها بفاعلية، وتُوفّر لها الحماية اللازمة من ضغوط الإدارة التنفيذية. ويُلاحظ أن هذا الترابط يُعزّز منظومة الحوكمة برمّتها، ويُحوّلها من مجموعة عناصر متفرقة إلى نسق متكامل</w:t>
      </w:r>
      <w:r w:rsidRPr="003F45EE">
        <w:rPr>
          <w:rFonts w:ascii="Simplified Arabic" w:eastAsia="Times New Roman" w:hAnsi="Simplified Arabic" w:cs="Simplified Arabic"/>
          <w:color w:val="000000" w:themeColor="text1"/>
          <w:kern w:val="0"/>
          <w:sz w:val="28"/>
          <w:szCs w:val="28"/>
          <w14:ligatures w14:val="none"/>
        </w:rPr>
        <w:t>.</w:t>
      </w:r>
    </w:p>
    <w:p w14:paraId="076C63D4"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ويرى (بدر وأبو قاعود، ٢٠٢٤) أن استقلالية المجلس تنعكس على المناخ التنظيمي والقيادي داخل الشركة، إذ تُتيح ممارسة قيادة تحويلية أكثر جرأة، وتدعم قدرة المؤسسة على تجاوز التحديات الإدارية والوظيفية. ومن هذا المنطلق، فإن الاستقلالية ليست غاية في ذاتها، بل وسيلة لتفعيل الدور الحقيقي للمجلس في توجيه الشركة نحو أهدافها الاستراتيجية، وحمايتها من المخاطر التي قد تنجم عن هيمنة الإدارة التنفيذية على مسار القرار</w:t>
      </w:r>
      <w:r w:rsidRPr="003F45EE">
        <w:rPr>
          <w:rFonts w:ascii="Simplified Arabic" w:eastAsia="Times New Roman" w:hAnsi="Simplified Arabic" w:cs="Simplified Arabic"/>
          <w:color w:val="000000" w:themeColor="text1"/>
          <w:kern w:val="0"/>
          <w:sz w:val="28"/>
          <w:szCs w:val="28"/>
          <w14:ligatures w14:val="none"/>
        </w:rPr>
        <w:t>.</w:t>
      </w:r>
    </w:p>
    <w:p w14:paraId="643E5F15" w14:textId="77777777" w:rsidR="00403379" w:rsidRPr="003F45EE" w:rsidRDefault="00403379" w:rsidP="000F61DD">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3F45EE">
        <w:rPr>
          <w:rFonts w:ascii="Simplified Arabic" w:eastAsia="Times New Roman" w:hAnsi="Simplified Arabic" w:cs="Simplified Arabic"/>
          <w:b/>
          <w:bCs/>
          <w:color w:val="000000" w:themeColor="text1"/>
          <w:kern w:val="0"/>
          <w:sz w:val="28"/>
          <w:szCs w:val="28"/>
          <w:rtl/>
          <w14:ligatures w14:val="none"/>
        </w:rPr>
        <w:t>البُعد الرابع: الرقابة الداخلية وإدارة المخاطر</w:t>
      </w:r>
    </w:p>
    <w:p w14:paraId="47D282C4"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يُشكّل هذا البُعد الذراع التنفيذية لمنظومة الحوكمة، إذ يُترجم مبادئها إلى إجراءات وأنظمة عملية تحمي الشركة من المخاطر التشغيلية والمالية والقانونية. ويُبيّن (فارح وبن سعيد، ٢٠٢٠) أن الرقابة الداخلية تعمل بوصفها منظومة متكاملة من السياسات والإجراءات التي تُوفّر تأكيدًا معقولًا بشأن تحقيق أهداف الشركة، وموثوقية تقاريرها، والتزامها بالتشريعات، وذلك عبر تكامل وظائف المراجعة الداخلية مع سائر الوظائف الرقابية</w:t>
      </w:r>
      <w:r w:rsidRPr="003F45EE">
        <w:rPr>
          <w:rFonts w:ascii="Simplified Arabic" w:eastAsia="Times New Roman" w:hAnsi="Simplified Arabic" w:cs="Simplified Arabic"/>
          <w:color w:val="000000" w:themeColor="text1"/>
          <w:kern w:val="0"/>
          <w:sz w:val="28"/>
          <w:szCs w:val="28"/>
          <w14:ligatures w14:val="none"/>
        </w:rPr>
        <w:t>.</w:t>
      </w:r>
    </w:p>
    <w:p w14:paraId="71EF86BF"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ويرى (المطيري والعنزي، ٢٠٢٥) أن هذا البُعد شهد تطورًا نوعيًا بانتقاله من الصيغة التقليدية القائمة على الاكتشاف اللاحق للانحرافات إلى صيغة استباقية تسعى إلى التنبؤ بالمخاطر قبل وقوعها، والتدخّل المبكّر لاحتوائها، بما يُعزّز قدرة الشركة على الحدّ من المخاطر المالية والحفاظ على استقرارها التشغيلي. ويعكس هذا التطور تحولًا في فلسفة الرقابة من الدور الرقابي البحت إلى الدور الاستشاري والوقائي</w:t>
      </w:r>
      <w:r w:rsidRPr="003F45EE">
        <w:rPr>
          <w:rFonts w:ascii="Simplified Arabic" w:eastAsia="Times New Roman" w:hAnsi="Simplified Arabic" w:cs="Simplified Arabic"/>
          <w:color w:val="000000" w:themeColor="text1"/>
          <w:kern w:val="0"/>
          <w:sz w:val="28"/>
          <w:szCs w:val="28"/>
          <w14:ligatures w14:val="none"/>
        </w:rPr>
        <w:t>.</w:t>
      </w:r>
    </w:p>
    <w:p w14:paraId="0D113CA9"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ويُوسّع</w:t>
      </w:r>
      <w:r w:rsidRPr="003F45EE">
        <w:rPr>
          <w:rFonts w:ascii="Simplified Arabic" w:eastAsia="Times New Roman" w:hAnsi="Simplified Arabic" w:cs="Simplified Arabic"/>
          <w:color w:val="000000" w:themeColor="text1"/>
          <w:kern w:val="0"/>
          <w:sz w:val="28"/>
          <w:szCs w:val="28"/>
          <w14:ligatures w14:val="none"/>
        </w:rPr>
        <w:t xml:space="preserve"> (Hasan &amp; </w:t>
      </w:r>
      <w:proofErr w:type="spellStart"/>
      <w:r w:rsidRPr="003F45EE">
        <w:rPr>
          <w:rFonts w:ascii="Simplified Arabic" w:eastAsia="Times New Roman" w:hAnsi="Simplified Arabic" w:cs="Simplified Arabic"/>
          <w:color w:val="000000" w:themeColor="text1"/>
          <w:kern w:val="0"/>
          <w:sz w:val="28"/>
          <w:szCs w:val="28"/>
          <w14:ligatures w14:val="none"/>
        </w:rPr>
        <w:t>Brüh</w:t>
      </w:r>
      <w:r w:rsidRPr="003F45EE">
        <w:rPr>
          <w:rFonts w:ascii="Cambria" w:eastAsia="Times New Roman" w:hAnsi="Cambria" w:cs="Cambria"/>
          <w:color w:val="000000" w:themeColor="text1"/>
          <w:kern w:val="0"/>
          <w:sz w:val="28"/>
          <w:szCs w:val="28"/>
          <w14:ligatures w14:val="none"/>
        </w:rPr>
        <w:t>ö</w:t>
      </w:r>
      <w:r w:rsidRPr="003F45EE">
        <w:rPr>
          <w:rFonts w:ascii="Simplified Arabic" w:eastAsia="Times New Roman" w:hAnsi="Simplified Arabic" w:cs="Simplified Arabic"/>
          <w:color w:val="000000" w:themeColor="text1"/>
          <w:kern w:val="0"/>
          <w:sz w:val="28"/>
          <w:szCs w:val="28"/>
          <w14:ligatures w14:val="none"/>
        </w:rPr>
        <w:t>fener</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2025) </w:t>
      </w:r>
      <w:r w:rsidRPr="003F45EE">
        <w:rPr>
          <w:rFonts w:ascii="Simplified Arabic" w:eastAsia="Times New Roman" w:hAnsi="Simplified Arabic" w:cs="Simplified Arabic"/>
          <w:color w:val="000000" w:themeColor="text1"/>
          <w:kern w:val="0"/>
          <w:sz w:val="28"/>
          <w:szCs w:val="28"/>
          <w:rtl/>
          <w14:ligatures w14:val="none"/>
        </w:rPr>
        <w:t>هذا البُعد ضمن إطار متكامل يجمع بين الحوكمة وإدارة المخاطر والامتثال</w:t>
      </w:r>
      <w:r w:rsidRPr="003F45EE">
        <w:rPr>
          <w:rFonts w:ascii="Simplified Arabic" w:eastAsia="Times New Roman" w:hAnsi="Simplified Arabic" w:cs="Simplified Arabic"/>
          <w:color w:val="000000" w:themeColor="text1"/>
          <w:kern w:val="0"/>
          <w:sz w:val="28"/>
          <w:szCs w:val="28"/>
          <w14:ligatures w14:val="none"/>
        </w:rPr>
        <w:t xml:space="preserve"> (GRC)</w:t>
      </w:r>
      <w:r w:rsidRPr="003F45EE">
        <w:rPr>
          <w:rFonts w:ascii="Simplified Arabic" w:eastAsia="Times New Roman" w:hAnsi="Simplified Arabic" w:cs="Simplified Arabic"/>
          <w:color w:val="000000" w:themeColor="text1"/>
          <w:kern w:val="0"/>
          <w:sz w:val="28"/>
          <w:szCs w:val="28"/>
          <w:rtl/>
          <w14:ligatures w14:val="none"/>
        </w:rPr>
        <w:t>، مؤكدَين أن هذه العناصر الثلاثة لم تعد وظائف منفصلة، بل مكونات نسق واحد تتفاعل فيما بينها لتوفير الحماية الشاملة للشركة. ويُلائم هذا الطرح التوجّهات الحديثة في الشركات المتوسطة، التي باتت تسعى إلى تكامل هذه الوظائف بدلًا من فصلها</w:t>
      </w:r>
      <w:r w:rsidRPr="003F45EE">
        <w:rPr>
          <w:rFonts w:ascii="Simplified Arabic" w:eastAsia="Times New Roman" w:hAnsi="Simplified Arabic" w:cs="Simplified Arabic"/>
          <w:color w:val="000000" w:themeColor="text1"/>
          <w:kern w:val="0"/>
          <w:sz w:val="28"/>
          <w:szCs w:val="28"/>
          <w14:ligatures w14:val="none"/>
        </w:rPr>
        <w:t>.</w:t>
      </w:r>
    </w:p>
    <w:p w14:paraId="6950C8D4"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ويُبرز (</w:t>
      </w:r>
      <w:proofErr w:type="spellStart"/>
      <w:r w:rsidRPr="003F45EE">
        <w:rPr>
          <w:rFonts w:ascii="Simplified Arabic" w:eastAsia="Times New Roman" w:hAnsi="Simplified Arabic" w:cs="Simplified Arabic"/>
          <w:color w:val="000000" w:themeColor="text1"/>
          <w:kern w:val="0"/>
          <w:sz w:val="28"/>
          <w:szCs w:val="28"/>
          <w:rtl/>
          <w14:ligatures w14:val="none"/>
        </w:rPr>
        <w:t>الرزني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والزغول، ٢٠٢٤) الدور المُعدِّل الذي تلعبه المراجعة الداخلية في تعزيز أثر الحوكمة على إدارة المخاطر، إذ إن وجود وظيفة مراجعة داخلية فاعلة يُضاعف من قدرة أنظمة الحوكمة على ضبط المخاطر المصرفية والتجارية. ويلتقي مع ذلك (الحربي والشمري، ٢٠٢٥) اللذان يُشيران إلى أن الاستفادة من التقنيات الحديثة، ومنها الذكاء الاصطناعي، باتت تُشكّل رافدًا مهمًا لتعزيز منظومة الرقابة وإدارة المخاطر، خاصةً في مجال الأمن السيبراني الذي أصبح يُشكّل أحد أبرز مصادر المخاطر المعاصرة</w:t>
      </w:r>
      <w:r w:rsidRPr="003F45EE">
        <w:rPr>
          <w:rFonts w:ascii="Simplified Arabic" w:eastAsia="Times New Roman" w:hAnsi="Simplified Arabic" w:cs="Simplified Arabic"/>
          <w:color w:val="000000" w:themeColor="text1"/>
          <w:kern w:val="0"/>
          <w:sz w:val="28"/>
          <w:szCs w:val="28"/>
          <w14:ligatures w14:val="none"/>
        </w:rPr>
        <w:t>.</w:t>
      </w:r>
    </w:p>
    <w:p w14:paraId="5B57744F" w14:textId="6A56F035" w:rsidR="00403379" w:rsidRPr="003F45EE" w:rsidRDefault="00A27438" w:rsidP="00A27438">
      <w:pPr>
        <w:jc w:val="center"/>
        <w:outlineLvl w:val="1"/>
        <w:rPr>
          <w:rFonts w:ascii="Simplified Arabic" w:eastAsia="Times New Roman" w:hAnsi="Simplified Arabic" w:cs="Simplified Arabic"/>
          <w:b/>
          <w:bCs/>
          <w:color w:val="000000" w:themeColor="text1"/>
          <w:kern w:val="0"/>
          <w:sz w:val="36"/>
          <w:szCs w:val="36"/>
          <w14:ligatures w14:val="none"/>
        </w:rPr>
      </w:pPr>
      <w:r w:rsidRPr="003F45EE">
        <w:rPr>
          <w:rFonts w:ascii="Simplified Arabic" w:eastAsia="Times New Roman" w:hAnsi="Simplified Arabic" w:cs="Simplified Arabic"/>
          <w:b/>
          <w:bCs/>
          <w:color w:val="000000" w:themeColor="text1"/>
          <w:kern w:val="0"/>
          <w:sz w:val="36"/>
          <w:szCs w:val="36"/>
          <w:rtl/>
          <w14:ligatures w14:val="none"/>
        </w:rPr>
        <w:br w:type="page"/>
      </w:r>
      <w:bookmarkStart w:id="46" w:name="_Toc233971182"/>
      <w:r w:rsidR="00403379" w:rsidRPr="003F45EE">
        <w:rPr>
          <w:rFonts w:ascii="Simplified Arabic" w:eastAsia="Times New Roman" w:hAnsi="Simplified Arabic" w:cs="Simplified Arabic"/>
          <w:b/>
          <w:bCs/>
          <w:color w:val="000000" w:themeColor="text1"/>
          <w:kern w:val="0"/>
          <w:sz w:val="36"/>
          <w:szCs w:val="36"/>
          <w:rtl/>
          <w14:ligatures w14:val="none"/>
        </w:rPr>
        <w:lastRenderedPageBreak/>
        <w:t>المبحث الثاني: فعالية الامتثال وتقليل المخاطر القانونية</w:t>
      </w:r>
      <w:bookmarkEnd w:id="46"/>
    </w:p>
    <w:p w14:paraId="4515EBFE" w14:textId="2009FFEB"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971183"/>
      <w:r w:rsidRPr="003F45EE">
        <w:rPr>
          <w:rFonts w:ascii="Simplified Arabic" w:eastAsia="Times New Roman" w:hAnsi="Simplified Arabic" w:cs="Simplified Arabic" w:hint="cs"/>
          <w:b/>
          <w:bCs/>
          <w:color w:val="000000" w:themeColor="text1"/>
          <w:kern w:val="0"/>
          <w:sz w:val="32"/>
          <w:szCs w:val="32"/>
          <w:rtl/>
          <w14:ligatures w14:val="none"/>
        </w:rPr>
        <w:t xml:space="preserve">1.2.2 </w:t>
      </w:r>
      <w:r w:rsidR="00403379" w:rsidRPr="003F45EE">
        <w:rPr>
          <w:rFonts w:ascii="Simplified Arabic" w:eastAsia="Times New Roman" w:hAnsi="Simplified Arabic" w:cs="Simplified Arabic"/>
          <w:b/>
          <w:bCs/>
          <w:color w:val="000000" w:themeColor="text1"/>
          <w:kern w:val="0"/>
          <w:sz w:val="32"/>
          <w:szCs w:val="32"/>
          <w:rtl/>
          <w14:ligatures w14:val="none"/>
        </w:rPr>
        <w:t>تمهيد</w:t>
      </w:r>
      <w:bookmarkEnd w:id="47"/>
    </w:p>
    <w:p w14:paraId="750B3B53"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فرضت التحولات التشريعية المتسارعة، وتنامي التعقيد في بيئة الأعمال العالمية والمحلية، ضغوطًا متزايدة على الشركات لتبنّي منظومات متكاملة للامتثال تحميها من المخاطر القانونية وتُعزّز استدامتها. ولم تعد المخاطر القانونية تُعدّ مسألة ثانوية تُترك للمعالجة القضائية عند وقوعها، بل باتت تُدار بوصفها فئة مستقلة من المخاطر تستدعي التخطيط الاستباقي والمعالجة المنهجية. وفي هذا السياق، برزت “فعالية الامتثال” بوصفها مفهومًا مركبًا يجمع بين الالتزام بالتشريعات والأنظمة، والقدرة على استيعاب مستجداتها، وتحويل هذا الالتزام إلى ممارسات مؤسسية راسخة تحول دون وقوع الشركة في مخالفات قد تُعرّضها لتبعات قانونية باهظة</w:t>
      </w:r>
      <w:r w:rsidRPr="003F45EE">
        <w:rPr>
          <w:rFonts w:ascii="Simplified Arabic" w:eastAsia="Times New Roman" w:hAnsi="Simplified Arabic" w:cs="Simplified Arabic"/>
          <w:color w:val="000000" w:themeColor="text1"/>
          <w:kern w:val="0"/>
          <w:sz w:val="28"/>
          <w:szCs w:val="28"/>
          <w14:ligatures w14:val="none"/>
        </w:rPr>
        <w:t>.</w:t>
      </w:r>
    </w:p>
    <w:p w14:paraId="4AEFC701"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ويكتسب هذا الموضوع أهمية خاصة في السياق السعودي، حيث تشهد المملكة تحولات تشريعية وتنظيمية متلاحقة في إطار رؤية ٢٠٣٠، تفرض على الشركات المتوسطة تحديدًا مسؤوليات إضافية لضبط عملياتها وتحصينها من المخاطر القانونية. ويسعى هذا المبحث إلى تفكيك المفهوم وتحليل مكوناته، وعرض أهميته وأهدافه ومداخله المفسّرة، بما يُوفّر إطارًا نظريًا متماسكًا لدراسة المتغير التابع في هذه الدراسة</w:t>
      </w:r>
      <w:r w:rsidRPr="003F45EE">
        <w:rPr>
          <w:rFonts w:ascii="Simplified Arabic" w:eastAsia="Times New Roman" w:hAnsi="Simplified Arabic" w:cs="Simplified Arabic"/>
          <w:color w:val="000000" w:themeColor="text1"/>
          <w:kern w:val="0"/>
          <w:sz w:val="28"/>
          <w:szCs w:val="28"/>
          <w14:ligatures w14:val="none"/>
        </w:rPr>
        <w:t>.</w:t>
      </w:r>
    </w:p>
    <w:p w14:paraId="6BB241E9" w14:textId="11A2C5C8"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971184"/>
      <w:r w:rsidRPr="003F45EE">
        <w:rPr>
          <w:rFonts w:ascii="Simplified Arabic" w:eastAsia="Times New Roman" w:hAnsi="Simplified Arabic" w:cs="Simplified Arabic" w:hint="cs"/>
          <w:b/>
          <w:bCs/>
          <w:color w:val="000000" w:themeColor="text1"/>
          <w:kern w:val="0"/>
          <w:sz w:val="32"/>
          <w:szCs w:val="32"/>
          <w:rtl/>
          <w14:ligatures w14:val="none"/>
        </w:rPr>
        <w:t>2.2.2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مفهوم فعالية الامتثال وتقليل المخاطر القانونية</w:t>
      </w:r>
      <w:bookmarkEnd w:id="48"/>
    </w:p>
    <w:p w14:paraId="30976B9A"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يُشكّل مفهوم فعالية الامتثال وتقليل المخاطر القانونية مفهومًا مركبًا يستدعي تفكيك عنصريه لفهم دلالته الشاملة، إذ يجمع بين الجانب الإيجابي المتمثّل في الالتزام الفاعل بالتشريعات، والجانب الوقائي المتمثّل في الحدّ من التعرّض للمخاطر القانونية. ويُقدّم</w:t>
      </w:r>
      <w:r w:rsidRPr="003F45EE">
        <w:rPr>
          <w:rFonts w:ascii="Simplified Arabic" w:eastAsia="Times New Roman" w:hAnsi="Simplified Arabic" w:cs="Simplified Arabic"/>
          <w:color w:val="000000" w:themeColor="text1"/>
          <w:kern w:val="0"/>
          <w:sz w:val="28"/>
          <w:szCs w:val="28"/>
          <w14:ligatures w14:val="none"/>
        </w:rPr>
        <w:t xml:space="preserve"> (Akinsola, 2025) </w:t>
      </w:r>
      <w:r w:rsidRPr="003F45EE">
        <w:rPr>
          <w:rFonts w:ascii="Simplified Arabic" w:eastAsia="Times New Roman" w:hAnsi="Simplified Arabic" w:cs="Simplified Arabic"/>
          <w:color w:val="000000" w:themeColor="text1"/>
          <w:kern w:val="0"/>
          <w:sz w:val="28"/>
          <w:szCs w:val="28"/>
          <w:rtl/>
          <w14:ligatures w14:val="none"/>
        </w:rPr>
        <w:t>قراءةً تكاملية لهذا المفهوم حين يعرّفه بوصفه منظومة من الممارسات المؤسسية التي تُترجم متطلبات التشريعات إلى إجراءات تشغيلية، وتُوفّر آليات لرصد المخالفات المحتملة ومعالجتها قبل تفاقمها، بما يُحصّن الشركة من التبعات القانونية والسمعية</w:t>
      </w:r>
      <w:r w:rsidRPr="003F45EE">
        <w:rPr>
          <w:rFonts w:ascii="Simplified Arabic" w:eastAsia="Times New Roman" w:hAnsi="Simplified Arabic" w:cs="Simplified Arabic"/>
          <w:color w:val="000000" w:themeColor="text1"/>
          <w:kern w:val="0"/>
          <w:sz w:val="28"/>
          <w:szCs w:val="28"/>
          <w14:ligatures w14:val="none"/>
        </w:rPr>
        <w:t>.</w:t>
      </w:r>
    </w:p>
    <w:p w14:paraId="3C07B269"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ويُقارب</w:t>
      </w:r>
      <w:r w:rsidRPr="003F45EE">
        <w:rPr>
          <w:rFonts w:ascii="Simplified Arabic" w:eastAsia="Times New Roman" w:hAnsi="Simplified Arabic" w:cs="Simplified Arabic"/>
          <w:color w:val="000000" w:themeColor="text1"/>
          <w:kern w:val="0"/>
          <w:sz w:val="28"/>
          <w:szCs w:val="28"/>
          <w14:ligatures w14:val="none"/>
        </w:rPr>
        <w:t xml:space="preserve"> (Bello et al., 2022) </w:t>
      </w:r>
      <w:r w:rsidRPr="003F45EE">
        <w:rPr>
          <w:rFonts w:ascii="Simplified Arabic" w:eastAsia="Times New Roman" w:hAnsi="Simplified Arabic" w:cs="Simplified Arabic"/>
          <w:color w:val="000000" w:themeColor="text1"/>
          <w:kern w:val="0"/>
          <w:sz w:val="28"/>
          <w:szCs w:val="28"/>
          <w:rtl/>
          <w14:ligatures w14:val="none"/>
        </w:rPr>
        <w:t xml:space="preserve">هذا المفهوم من زاوية إدارة المخاطر، حين يعرّفون تقليل المخاطر القانونية بوصفه العملية المنهجية التي تسعى إلى تحديد مصادر التعرّض القانوني في نشاط الشركة، وتقييم احتمالات وقوعها وحدّة تأثيرها، وتصميم الاستجابات الملائمة لكل نوع من هذه المخاطر. ويعكس هذا </w:t>
      </w:r>
      <w:r w:rsidRPr="003F45EE">
        <w:rPr>
          <w:rFonts w:ascii="Simplified Arabic" w:eastAsia="Times New Roman" w:hAnsi="Simplified Arabic" w:cs="Simplified Arabic"/>
          <w:color w:val="000000" w:themeColor="text1"/>
          <w:kern w:val="0"/>
          <w:sz w:val="28"/>
          <w:szCs w:val="28"/>
          <w:rtl/>
          <w14:ligatures w14:val="none"/>
        </w:rPr>
        <w:lastRenderedPageBreak/>
        <w:t>التعريف المدخل المنهجي في التعامل مع المخاطر القانونية، والذي يُدرجها ضمن المنظومة الشاملة لإدارة المخاطر المؤسسية</w:t>
      </w:r>
      <w:r w:rsidRPr="003F45EE">
        <w:rPr>
          <w:rFonts w:ascii="Simplified Arabic" w:eastAsia="Times New Roman" w:hAnsi="Simplified Arabic" w:cs="Simplified Arabic"/>
          <w:color w:val="000000" w:themeColor="text1"/>
          <w:kern w:val="0"/>
          <w:sz w:val="28"/>
          <w:szCs w:val="28"/>
          <w14:ligatures w14:val="none"/>
        </w:rPr>
        <w:t>.</w:t>
      </w:r>
    </w:p>
    <w:p w14:paraId="0E543A3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ومن منظورٍ قانوني، يعرّف (البيطار، ٢٠٢٥) المخاطر القانونية بوصفها تلك </w:t>
      </w:r>
      <w:proofErr w:type="spellStart"/>
      <w:r w:rsidRPr="003F45EE">
        <w:rPr>
          <w:rFonts w:ascii="Simplified Arabic" w:eastAsia="Times New Roman" w:hAnsi="Simplified Arabic" w:cs="Simplified Arabic"/>
          <w:color w:val="000000" w:themeColor="text1"/>
          <w:kern w:val="0"/>
          <w:sz w:val="28"/>
          <w:szCs w:val="28"/>
          <w:rtl/>
          <w14:ligatures w14:val="none"/>
        </w:rPr>
        <w:t>التعرّضات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الناشئة عن عدم امتثال الشركة للأنظمة المعمول بها، أو عن قصور في هياكلها التنظيمية، أو عن سوء صياغة عقودها والتزاماتها، بما قد يُعرّضها لمساءلة قضائية أو غرامات تنظيمية أو خسائر تعويضية. وتكشف هذه الرؤية عن الطابع المتعدد الأبعاد للمخاطر القانونية، إذ لا تنحصر في المخالفة الصريحة للنص القانوني، بل تمتد إلى القصور التنظيمي وضعف الصياغة التعاقدية</w:t>
      </w:r>
      <w:r w:rsidRPr="003F45EE">
        <w:rPr>
          <w:rFonts w:ascii="Simplified Arabic" w:eastAsia="Times New Roman" w:hAnsi="Simplified Arabic" w:cs="Simplified Arabic"/>
          <w:color w:val="000000" w:themeColor="text1"/>
          <w:kern w:val="0"/>
          <w:sz w:val="28"/>
          <w:szCs w:val="28"/>
          <w14:ligatures w14:val="none"/>
        </w:rPr>
        <w:t>.</w:t>
      </w:r>
    </w:p>
    <w:p w14:paraId="504A222D"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ويُوسّع</w:t>
      </w:r>
      <w:r w:rsidRPr="003F45EE">
        <w:rPr>
          <w:rFonts w:ascii="Simplified Arabic" w:eastAsia="Times New Roman" w:hAnsi="Simplified Arabic" w:cs="Simplified Arabic"/>
          <w:color w:val="000000" w:themeColor="text1"/>
          <w:kern w:val="0"/>
          <w:sz w:val="28"/>
          <w:szCs w:val="28"/>
          <w14:ligatures w14:val="none"/>
        </w:rPr>
        <w:t xml:space="preserve"> (Olanrewaju et al., 2024) </w:t>
      </w:r>
      <w:r w:rsidRPr="003F45EE">
        <w:rPr>
          <w:rFonts w:ascii="Simplified Arabic" w:eastAsia="Times New Roman" w:hAnsi="Simplified Arabic" w:cs="Simplified Arabic"/>
          <w:color w:val="000000" w:themeColor="text1"/>
          <w:kern w:val="0"/>
          <w:sz w:val="28"/>
          <w:szCs w:val="28"/>
          <w:rtl/>
          <w14:ligatures w14:val="none"/>
        </w:rPr>
        <w:t>نطاق المفهوم ليشمل السياق الدولي، حين يعرّفون إدارة المخاطر القانونية بوصفها الاستراتيجيات المنهجية التي تُوظّفها الشركات لتحديد المخاطر القانونية في عملياتها العابرة للحدود والتخفيف من آثارها، مع مراعاة تباين الأطر التشريعية بين الدول واختلاف تفسيرات القضاء. ويعكس هذا التعريف اتساع نطاق المخاطر القانونية في ظل العولمة وتشابك الأنشطة الاقتصادية</w:t>
      </w:r>
      <w:r w:rsidRPr="003F45EE">
        <w:rPr>
          <w:rFonts w:ascii="Simplified Arabic" w:eastAsia="Times New Roman" w:hAnsi="Simplified Arabic" w:cs="Simplified Arabic"/>
          <w:color w:val="000000" w:themeColor="text1"/>
          <w:kern w:val="0"/>
          <w:sz w:val="28"/>
          <w:szCs w:val="28"/>
          <w14:ligatures w14:val="none"/>
        </w:rPr>
        <w:t>.</w:t>
      </w:r>
    </w:p>
    <w:p w14:paraId="470DFC2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ويُقدّم</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Akinadewo</w:t>
      </w:r>
      <w:proofErr w:type="spellEnd"/>
      <w:r w:rsidRPr="003F45EE">
        <w:rPr>
          <w:rFonts w:ascii="Simplified Arabic" w:eastAsia="Times New Roman" w:hAnsi="Simplified Arabic" w:cs="Simplified Arabic"/>
          <w:color w:val="000000" w:themeColor="text1"/>
          <w:kern w:val="0"/>
          <w:sz w:val="28"/>
          <w:szCs w:val="28"/>
          <w14:ligatures w14:val="none"/>
        </w:rPr>
        <w:t xml:space="preserve"> &amp; </w:t>
      </w:r>
      <w:proofErr w:type="spellStart"/>
      <w:r w:rsidRPr="003F45EE">
        <w:rPr>
          <w:rFonts w:ascii="Simplified Arabic" w:eastAsia="Times New Roman" w:hAnsi="Simplified Arabic" w:cs="Simplified Arabic"/>
          <w:color w:val="000000" w:themeColor="text1"/>
          <w:kern w:val="0"/>
          <w:sz w:val="28"/>
          <w:szCs w:val="28"/>
          <w14:ligatures w14:val="none"/>
        </w:rPr>
        <w:t>Akinkoye</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2023) </w:t>
      </w:r>
      <w:r w:rsidRPr="003F45EE">
        <w:rPr>
          <w:rFonts w:ascii="Simplified Arabic" w:eastAsia="Times New Roman" w:hAnsi="Simplified Arabic" w:cs="Simplified Arabic"/>
          <w:color w:val="000000" w:themeColor="text1"/>
          <w:kern w:val="0"/>
          <w:sz w:val="28"/>
          <w:szCs w:val="28"/>
          <w:rtl/>
          <w14:ligatures w14:val="none"/>
        </w:rPr>
        <w:t>قراءةً مكمّلة تربط بين الامتثال والحوكمة، حين يعرّفان الامتثال القانوني بوصفه استراتيجية إدارية تسعى إلى مواءمة سلوك الشركة مع منظومة التشريعات، عبر تصميم سياسات داخلية تعكس متطلبات الأنظمة الخارجية، وتوفير آليات للمتابعة والتقييم المستمر لمستوى الالتزام. ويربط هذا التعريف بين الامتثال بوصفه هدفًا، والحوكمة بوصفها وسيلةً لتحقيقه</w:t>
      </w:r>
      <w:r w:rsidRPr="003F45EE">
        <w:rPr>
          <w:rFonts w:ascii="Simplified Arabic" w:eastAsia="Times New Roman" w:hAnsi="Simplified Arabic" w:cs="Simplified Arabic"/>
          <w:color w:val="000000" w:themeColor="text1"/>
          <w:kern w:val="0"/>
          <w:sz w:val="28"/>
          <w:szCs w:val="28"/>
          <w14:ligatures w14:val="none"/>
        </w:rPr>
        <w:t>.</w:t>
      </w:r>
    </w:p>
    <w:p w14:paraId="7E8F3BE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ومن جهةٍ أخرى، يُبرز (الهلالي، ٢٠٢٥) تنوّع مصادر المخاطر القانونية المعاصرة، إذ يُشير إلى أن التطورات التكنولوجية أفرزت مصادر جديدة للمخاطر، مثل المخاطر الناشئة عن التعامل مع العملات الرقمية المستحدثة، وهو ما يُوسّع نطاق المفهوم ليشمل </w:t>
      </w:r>
      <w:proofErr w:type="spellStart"/>
      <w:r w:rsidRPr="003F45EE">
        <w:rPr>
          <w:rFonts w:ascii="Simplified Arabic" w:eastAsia="Times New Roman" w:hAnsi="Simplified Arabic" w:cs="Simplified Arabic"/>
          <w:color w:val="000000" w:themeColor="text1"/>
          <w:kern w:val="0"/>
          <w:sz w:val="28"/>
          <w:szCs w:val="28"/>
          <w:rtl/>
          <w14:ligatures w14:val="none"/>
        </w:rPr>
        <w:t>تعرّضات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لم تكن قائمة في الأطر التشريعية التقليدية. ويلتقي مع ذلك ما تُشير إليه (صاري، ٢٠٢٤) من أن بعض العقود التجارية، كعقود المناولة الصناعية، تُفرز </w:t>
      </w:r>
      <w:proofErr w:type="gramStart"/>
      <w:r w:rsidRPr="003F45EE">
        <w:rPr>
          <w:rFonts w:ascii="Simplified Arabic" w:eastAsia="Times New Roman" w:hAnsi="Simplified Arabic" w:cs="Simplified Arabic"/>
          <w:color w:val="000000" w:themeColor="text1"/>
          <w:kern w:val="0"/>
          <w:sz w:val="28"/>
          <w:szCs w:val="28"/>
          <w:rtl/>
          <w14:ligatures w14:val="none"/>
        </w:rPr>
        <w:t>مخاطر</w:t>
      </w:r>
      <w:proofErr w:type="gramEnd"/>
      <w:r w:rsidRPr="003F45EE">
        <w:rPr>
          <w:rFonts w:ascii="Simplified Arabic" w:eastAsia="Times New Roman" w:hAnsi="Simplified Arabic" w:cs="Simplified Arabic"/>
          <w:color w:val="000000" w:themeColor="text1"/>
          <w:kern w:val="0"/>
          <w:sz w:val="28"/>
          <w:szCs w:val="28"/>
          <w:rtl/>
          <w14:ligatures w14:val="none"/>
        </w:rPr>
        <w:t xml:space="preserve"> قانونية مركّبة تتصل بمنظومة قانون المنافسة والإكراهات التنظيمية المرتبطة به</w:t>
      </w:r>
      <w:r w:rsidRPr="003F45EE">
        <w:rPr>
          <w:rFonts w:ascii="Simplified Arabic" w:eastAsia="Times New Roman" w:hAnsi="Simplified Arabic" w:cs="Simplified Arabic"/>
          <w:color w:val="000000" w:themeColor="text1"/>
          <w:kern w:val="0"/>
          <w:sz w:val="28"/>
          <w:szCs w:val="28"/>
          <w14:ligatures w14:val="none"/>
        </w:rPr>
        <w:t>.</w:t>
      </w:r>
    </w:p>
    <w:p w14:paraId="57FA2805"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ويرى الباحث في ضوء ما تقدّم أن فعالية الامتثال وتقليل المخاطر القانونية تُشير إلى قدرة الشركة على بناء منظومة متكاملة من السياسات والإجراءات والممارسات التي تضمن التزامها بالتشريعات والأنظمة السارية، وتُمكّنها من التنبؤ بالمخاطر القانونية المحتملة، وتقييمها، ومعالجتها بأساليب استباقية وعلاجية، بما يحفظ مصالحها ويصون سمعتها ويُعزّز استدامتها. ويجمع هذا التصور بين البُعد الإيجابي (الامتثال </w:t>
      </w:r>
      <w:r w:rsidRPr="003F45EE">
        <w:rPr>
          <w:rFonts w:ascii="Simplified Arabic" w:eastAsia="Times New Roman" w:hAnsi="Simplified Arabic" w:cs="Simplified Arabic"/>
          <w:color w:val="000000" w:themeColor="text1"/>
          <w:kern w:val="0"/>
          <w:sz w:val="28"/>
          <w:szCs w:val="28"/>
          <w:rtl/>
          <w14:ligatures w14:val="none"/>
        </w:rPr>
        <w:lastRenderedPageBreak/>
        <w:t>الفاعل) والبُعد الوقائي (تقليل التعرّض القانوني)، ويُدرج المفهوم في إطار الإدارة الاستراتيجية للمخاطر لا في إطار المعالجة القانونية الشكلية</w:t>
      </w:r>
      <w:r w:rsidRPr="003F45EE">
        <w:rPr>
          <w:rFonts w:ascii="Simplified Arabic" w:eastAsia="Times New Roman" w:hAnsi="Simplified Arabic" w:cs="Simplified Arabic"/>
          <w:color w:val="000000" w:themeColor="text1"/>
          <w:kern w:val="0"/>
          <w:sz w:val="28"/>
          <w:szCs w:val="28"/>
          <w14:ligatures w14:val="none"/>
        </w:rPr>
        <w:t>.</w:t>
      </w:r>
    </w:p>
    <w:p w14:paraId="32DE21A8" w14:textId="402616DC"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971185"/>
      <w:r w:rsidRPr="003F45EE">
        <w:rPr>
          <w:rFonts w:ascii="Simplified Arabic" w:eastAsia="Times New Roman" w:hAnsi="Simplified Arabic" w:cs="Simplified Arabic" w:hint="cs"/>
          <w:b/>
          <w:bCs/>
          <w:color w:val="000000" w:themeColor="text1"/>
          <w:kern w:val="0"/>
          <w:sz w:val="32"/>
          <w:szCs w:val="32"/>
          <w:rtl/>
          <w14:ligatures w14:val="none"/>
        </w:rPr>
        <w:t>3.2.2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تطور مفهوم الامتثال وإدارة المخاطر القانونية</w:t>
      </w:r>
      <w:bookmarkEnd w:id="49"/>
    </w:p>
    <w:p w14:paraId="0EBDFBB5"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مرّ مفهوم الامتثال بتحولات جوهرية عكست تطور بيئة الأعمال ومنظومة التشريعات الحاكمة لها. ففي مراحله المبكّرة، كان الامتثال يُنظر إليه بوصفه استجابةً شكلية لمتطلبات الجهات التنظيمية، تُعنى الشركة بموجبها بتلبية الحدّ الأدنى من الاشتراطات لتفادي العقوبات. وقد ظلّ هذا الفهم سائدًا حتى برزت الحاجة إلى معالجة أكثر عمقًا في أعقاب الأزمات المالية الكبرى والفضائح المؤسسية التي كشفت عن قصور المقاربة الشكلية</w:t>
      </w:r>
      <w:r w:rsidRPr="003F45EE">
        <w:rPr>
          <w:rFonts w:ascii="Simplified Arabic" w:eastAsia="Times New Roman" w:hAnsi="Simplified Arabic" w:cs="Simplified Arabic"/>
          <w:color w:val="000000" w:themeColor="text1"/>
          <w:kern w:val="0"/>
          <w:sz w:val="28"/>
          <w:szCs w:val="28"/>
          <w14:ligatures w14:val="none"/>
        </w:rPr>
        <w:t>.</w:t>
      </w:r>
    </w:p>
    <w:p w14:paraId="296E01C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ويُبيّن</w:t>
      </w:r>
      <w:r w:rsidRPr="003F45EE">
        <w:rPr>
          <w:rFonts w:ascii="Simplified Arabic" w:eastAsia="Times New Roman" w:hAnsi="Simplified Arabic" w:cs="Simplified Arabic"/>
          <w:color w:val="000000" w:themeColor="text1"/>
          <w:kern w:val="0"/>
          <w:sz w:val="28"/>
          <w:szCs w:val="28"/>
          <w14:ligatures w14:val="none"/>
        </w:rPr>
        <w:t xml:space="preserve"> (Hasan &amp; </w:t>
      </w:r>
      <w:proofErr w:type="spellStart"/>
      <w:r w:rsidRPr="003F45EE">
        <w:rPr>
          <w:rFonts w:ascii="Simplified Arabic" w:eastAsia="Times New Roman" w:hAnsi="Simplified Arabic" w:cs="Simplified Arabic"/>
          <w:color w:val="000000" w:themeColor="text1"/>
          <w:kern w:val="0"/>
          <w:sz w:val="28"/>
          <w:szCs w:val="28"/>
          <w14:ligatures w14:val="none"/>
        </w:rPr>
        <w:t>Brüh</w:t>
      </w:r>
      <w:r w:rsidRPr="003F45EE">
        <w:rPr>
          <w:rFonts w:ascii="Cambria" w:eastAsia="Times New Roman" w:hAnsi="Cambria" w:cs="Cambria"/>
          <w:color w:val="000000" w:themeColor="text1"/>
          <w:kern w:val="0"/>
          <w:sz w:val="28"/>
          <w:szCs w:val="28"/>
          <w14:ligatures w14:val="none"/>
        </w:rPr>
        <w:t>ö</w:t>
      </w:r>
      <w:r w:rsidRPr="003F45EE">
        <w:rPr>
          <w:rFonts w:ascii="Simplified Arabic" w:eastAsia="Times New Roman" w:hAnsi="Simplified Arabic" w:cs="Simplified Arabic"/>
          <w:color w:val="000000" w:themeColor="text1"/>
          <w:kern w:val="0"/>
          <w:sz w:val="28"/>
          <w:szCs w:val="28"/>
          <w14:ligatures w14:val="none"/>
        </w:rPr>
        <w:t>fener</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2025) </w:t>
      </w:r>
      <w:r w:rsidRPr="003F45EE">
        <w:rPr>
          <w:rFonts w:ascii="Simplified Arabic" w:eastAsia="Times New Roman" w:hAnsi="Simplified Arabic" w:cs="Simplified Arabic"/>
          <w:color w:val="000000" w:themeColor="text1"/>
          <w:kern w:val="0"/>
          <w:sz w:val="28"/>
          <w:szCs w:val="28"/>
          <w:rtl/>
          <w14:ligatures w14:val="none"/>
        </w:rPr>
        <w:t>أن هذا التطور توّج بظهور الإطار المتكامل للحوكمة وإدارة المخاطر والامتثال</w:t>
      </w:r>
      <w:r w:rsidRPr="003F45EE">
        <w:rPr>
          <w:rFonts w:ascii="Simplified Arabic" w:eastAsia="Times New Roman" w:hAnsi="Simplified Arabic" w:cs="Simplified Arabic"/>
          <w:color w:val="000000" w:themeColor="text1"/>
          <w:kern w:val="0"/>
          <w:sz w:val="28"/>
          <w:szCs w:val="28"/>
          <w14:ligatures w14:val="none"/>
        </w:rPr>
        <w:t xml:space="preserve"> (GRC)</w:t>
      </w:r>
      <w:r w:rsidRPr="003F45EE">
        <w:rPr>
          <w:rFonts w:ascii="Simplified Arabic" w:eastAsia="Times New Roman" w:hAnsi="Simplified Arabic" w:cs="Simplified Arabic"/>
          <w:color w:val="000000" w:themeColor="text1"/>
          <w:kern w:val="0"/>
          <w:sz w:val="28"/>
          <w:szCs w:val="28"/>
          <w:rtl/>
          <w14:ligatures w14:val="none"/>
        </w:rPr>
        <w:t>، الذي أعاد صياغة العلاقة بين هذه العناصر بوصفها منظومة واحدة متكاملة، بدلًا من كونها وظائف منفصلة تعمل بمعزل عن بعضها. ويعكس هذا التطور تحولًا فلسفيًا في النظر إلى الامتثال، من كونه عبئًا تنظيميًا إلى كونه أداةً استراتيجية لخلق القيمة وحماية الأصول</w:t>
      </w:r>
      <w:r w:rsidRPr="003F45EE">
        <w:rPr>
          <w:rFonts w:ascii="Simplified Arabic" w:eastAsia="Times New Roman" w:hAnsi="Simplified Arabic" w:cs="Simplified Arabic"/>
          <w:color w:val="000000" w:themeColor="text1"/>
          <w:kern w:val="0"/>
          <w:sz w:val="28"/>
          <w:szCs w:val="28"/>
          <w14:ligatures w14:val="none"/>
        </w:rPr>
        <w:t>.</w:t>
      </w:r>
    </w:p>
    <w:p w14:paraId="7C4723E1"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ويُضيف</w:t>
      </w:r>
      <w:r w:rsidRPr="003F45EE">
        <w:rPr>
          <w:rFonts w:ascii="Simplified Arabic" w:eastAsia="Times New Roman" w:hAnsi="Simplified Arabic" w:cs="Simplified Arabic"/>
          <w:color w:val="000000" w:themeColor="text1"/>
          <w:kern w:val="0"/>
          <w:sz w:val="28"/>
          <w:szCs w:val="28"/>
          <w14:ligatures w14:val="none"/>
        </w:rPr>
        <w:t xml:space="preserve"> (Sharma et al., 2021) </w:t>
      </w:r>
      <w:r w:rsidRPr="003F45EE">
        <w:rPr>
          <w:rFonts w:ascii="Simplified Arabic" w:eastAsia="Times New Roman" w:hAnsi="Simplified Arabic" w:cs="Simplified Arabic"/>
          <w:color w:val="000000" w:themeColor="text1"/>
          <w:kern w:val="0"/>
          <w:sz w:val="28"/>
          <w:szCs w:val="28"/>
          <w:rtl/>
          <w14:ligatures w14:val="none"/>
        </w:rPr>
        <w:t>بُعدًا معاصرًا لهذا التطور، حين يُشيرون إلى أن العمليات المالية الرقمية العابرة للحدود أفرزت تحديات جديدة للامتثال، تستدعي تطوير أطر تنظيمية تستوعب طبيعة هذه العمليات وتُوازن بين الابتكار وضبط المخاطر. ويلتقي مع ذلك</w:t>
      </w:r>
      <w:r w:rsidRPr="003F45EE">
        <w:rPr>
          <w:rFonts w:ascii="Simplified Arabic" w:eastAsia="Times New Roman" w:hAnsi="Simplified Arabic" w:cs="Simplified Arabic"/>
          <w:color w:val="000000" w:themeColor="text1"/>
          <w:kern w:val="0"/>
          <w:sz w:val="28"/>
          <w:szCs w:val="28"/>
          <w14:ligatures w14:val="none"/>
        </w:rPr>
        <w:t xml:space="preserve"> (Hickman &amp; Petrin, 2021) </w:t>
      </w:r>
      <w:r w:rsidRPr="003F45EE">
        <w:rPr>
          <w:rFonts w:ascii="Simplified Arabic" w:eastAsia="Times New Roman" w:hAnsi="Simplified Arabic" w:cs="Simplified Arabic"/>
          <w:color w:val="000000" w:themeColor="text1"/>
          <w:kern w:val="0"/>
          <w:sz w:val="28"/>
          <w:szCs w:val="28"/>
          <w:rtl/>
          <w14:ligatures w14:val="none"/>
        </w:rPr>
        <w:t>اللذان يُبرزان أن تطور تقنيات الذكاء الاصطناعي فرض متطلبات جديدة على منظومة الامتثال، تتصل بأخلاقيات هذه التقنيات ومسؤوليات الشركات في توظيفها</w:t>
      </w:r>
      <w:r w:rsidRPr="003F45EE">
        <w:rPr>
          <w:rFonts w:ascii="Simplified Arabic" w:eastAsia="Times New Roman" w:hAnsi="Simplified Arabic" w:cs="Simplified Arabic"/>
          <w:color w:val="000000" w:themeColor="text1"/>
          <w:kern w:val="0"/>
          <w:sz w:val="28"/>
          <w:szCs w:val="28"/>
          <w14:ligatures w14:val="none"/>
        </w:rPr>
        <w:t>.</w:t>
      </w:r>
    </w:p>
    <w:p w14:paraId="503860DA" w14:textId="3BAB58FD"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971186"/>
      <w:r w:rsidRPr="003F45EE">
        <w:rPr>
          <w:rFonts w:ascii="Simplified Arabic" w:eastAsia="Times New Roman" w:hAnsi="Simplified Arabic" w:cs="Simplified Arabic" w:hint="cs"/>
          <w:b/>
          <w:bCs/>
          <w:color w:val="000000" w:themeColor="text1"/>
          <w:kern w:val="0"/>
          <w:sz w:val="32"/>
          <w:szCs w:val="32"/>
          <w:rtl/>
          <w14:ligatures w14:val="none"/>
        </w:rPr>
        <w:t>4.2.2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أهمية فعالية الامتثال وتقليل المخاطر القانونية</w:t>
      </w:r>
      <w:bookmarkEnd w:id="50"/>
    </w:p>
    <w:p w14:paraId="1DE87D9D"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تكتسب فعالية الامتثال وتقليل المخاطر القانونية أهمية استراتيجية متنامية في بيئة الأعمال المعاصرة، إذ لم تعد هذه الوظيفة تُعدّ وظيفةً مساندة، بل تحوّلت إلى ركيزة أساسية في المنظومة الإدارية للشركات. وتتجلى أهميتها في قدرتها على توفير الحماية الشاملة للشركة، وتعزيز مكانتها التنافسية، ودعم استمرارية نشاطها في ظل بيئة تشريعية متغيرة</w:t>
      </w:r>
      <w:r w:rsidRPr="003F45EE">
        <w:rPr>
          <w:rFonts w:ascii="Simplified Arabic" w:eastAsia="Times New Roman" w:hAnsi="Simplified Arabic" w:cs="Simplified Arabic"/>
          <w:color w:val="000000" w:themeColor="text1"/>
          <w:kern w:val="0"/>
          <w:sz w:val="28"/>
          <w:szCs w:val="28"/>
          <w14:ligatures w14:val="none"/>
        </w:rPr>
        <w:t>.</w:t>
      </w:r>
    </w:p>
    <w:p w14:paraId="7B27B185"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ويُشير</w:t>
      </w:r>
      <w:r w:rsidRPr="003F45EE">
        <w:rPr>
          <w:rFonts w:ascii="Simplified Arabic" w:eastAsia="Times New Roman" w:hAnsi="Simplified Arabic" w:cs="Simplified Arabic"/>
          <w:color w:val="000000" w:themeColor="text1"/>
          <w:kern w:val="0"/>
          <w:sz w:val="28"/>
          <w:szCs w:val="28"/>
          <w14:ligatures w14:val="none"/>
        </w:rPr>
        <w:t xml:space="preserve"> (Bello et al., 2022) </w:t>
      </w:r>
      <w:r w:rsidRPr="003F45EE">
        <w:rPr>
          <w:rFonts w:ascii="Simplified Arabic" w:eastAsia="Times New Roman" w:hAnsi="Simplified Arabic" w:cs="Simplified Arabic"/>
          <w:color w:val="000000" w:themeColor="text1"/>
          <w:kern w:val="0"/>
          <w:sz w:val="28"/>
          <w:szCs w:val="28"/>
          <w:rtl/>
          <w14:ligatures w14:val="none"/>
        </w:rPr>
        <w:t>إلى أن أهمية الامتثال وإدارة المخاطر القانونية تتجلى في: حماية الشركة من الالتزامات القانونية التي قد تُهدّد كيانها، وتقليل احتمالات التعرّض للتقاضي والغرامات، وتخفيض التكاليف المرتبطة بتسوية النزاعات، فضلًا عن حماية سمعة الشركة وموقعها في السوق. ويعكس هذا التنوع في مجالات الأهمية الطابع الشامل للأثر الذي تُحدثه منظومة الامتثال الفاعلة</w:t>
      </w:r>
      <w:r w:rsidRPr="003F45EE">
        <w:rPr>
          <w:rFonts w:ascii="Simplified Arabic" w:eastAsia="Times New Roman" w:hAnsi="Simplified Arabic" w:cs="Simplified Arabic"/>
          <w:color w:val="000000" w:themeColor="text1"/>
          <w:kern w:val="0"/>
          <w:sz w:val="28"/>
          <w:szCs w:val="28"/>
          <w14:ligatures w14:val="none"/>
        </w:rPr>
        <w:t>.</w:t>
      </w:r>
    </w:p>
    <w:p w14:paraId="3CD23214"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ويُبرز (البيطار، ٢٠٢٥) بُعدًا تشريعيًا لأهمية إدارة المخاطر القانونية، حين يُشير إلى أن التطورات المتلاحقة في قوانين التجارة تفرض على الشركات ضرورة تحديث منظوماتها الداخلية بصورة مستمرة، لضمان انسجامها مع المستجدات التشريعية، وتجنّب المخاطر الناشئة عن الفجوة بين الممارسات القائمة والاشتراطات الجديدة. ويُظهر ذلك أن أهمية الامتثال ليست ثابتة، بل تتنامى مع كل تحديث تشريعي</w:t>
      </w:r>
      <w:r w:rsidRPr="003F45EE">
        <w:rPr>
          <w:rFonts w:ascii="Simplified Arabic" w:eastAsia="Times New Roman" w:hAnsi="Simplified Arabic" w:cs="Simplified Arabic"/>
          <w:color w:val="000000" w:themeColor="text1"/>
          <w:kern w:val="0"/>
          <w:sz w:val="28"/>
          <w:szCs w:val="28"/>
          <w14:ligatures w14:val="none"/>
        </w:rPr>
        <w:t>.</w:t>
      </w:r>
    </w:p>
    <w:p w14:paraId="66D7FF5B"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ويرى</w:t>
      </w:r>
      <w:r w:rsidRPr="003F45EE">
        <w:rPr>
          <w:rFonts w:ascii="Simplified Arabic" w:eastAsia="Times New Roman" w:hAnsi="Simplified Arabic" w:cs="Simplified Arabic"/>
          <w:color w:val="000000" w:themeColor="text1"/>
          <w:kern w:val="0"/>
          <w:sz w:val="28"/>
          <w:szCs w:val="28"/>
          <w14:ligatures w14:val="none"/>
        </w:rPr>
        <w:t xml:space="preserve"> (Olanrewaju et al., 2024) </w:t>
      </w:r>
      <w:r w:rsidRPr="003F45EE">
        <w:rPr>
          <w:rFonts w:ascii="Simplified Arabic" w:eastAsia="Times New Roman" w:hAnsi="Simplified Arabic" w:cs="Simplified Arabic"/>
          <w:color w:val="000000" w:themeColor="text1"/>
          <w:kern w:val="0"/>
          <w:sz w:val="28"/>
          <w:szCs w:val="28"/>
          <w:rtl/>
          <w14:ligatures w14:val="none"/>
        </w:rPr>
        <w:t xml:space="preserve">أن أهمية إدارة المخاطر القانونية تتضخم في السياقات الدولية، إذ إن الشركات العاملة عبر الحدود تواجه </w:t>
      </w:r>
      <w:proofErr w:type="spellStart"/>
      <w:r w:rsidRPr="003F45EE">
        <w:rPr>
          <w:rFonts w:ascii="Simplified Arabic" w:eastAsia="Times New Roman" w:hAnsi="Simplified Arabic" w:cs="Simplified Arabic"/>
          <w:color w:val="000000" w:themeColor="text1"/>
          <w:kern w:val="0"/>
          <w:sz w:val="28"/>
          <w:szCs w:val="28"/>
          <w:rtl/>
          <w14:ligatures w14:val="none"/>
        </w:rPr>
        <w:t>تعرّضات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قانونية متعددة تتصل بتباين الأطر التشريعية، مما يجعل منظومة الامتثال الفاعلة شرطًا للاستمرار في الأسواق العالمية. ويُلائم هذا الطرح توجّهات الشركات المتوسطة السعودية التي تسعى إلى التوسّع في أسواق إقليمية ودولية</w:t>
      </w:r>
      <w:r w:rsidRPr="003F45EE">
        <w:rPr>
          <w:rFonts w:ascii="Simplified Arabic" w:eastAsia="Times New Roman" w:hAnsi="Simplified Arabic" w:cs="Simplified Arabic"/>
          <w:color w:val="000000" w:themeColor="text1"/>
          <w:kern w:val="0"/>
          <w:sz w:val="28"/>
          <w:szCs w:val="28"/>
          <w14:ligatures w14:val="none"/>
        </w:rPr>
        <w:t>.</w:t>
      </w:r>
    </w:p>
    <w:p w14:paraId="076C3AF3"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ويُوضّح (الحارثي، ٢٠٢٣) أهمية الامتثال في مجالٍ حيوي كالإدارة الضريبية، مؤكدًا أن الامتثال الضريبي يُعدّ عنصرًا محوريًا في المنظومة الشاملة للامتثال، إذ ينعكس على العلاقة بين الشركة والجهات المالية الحكومية، ويُحدّد مستوى تعرّضها للغرامات والمساءلة. ويلتقي مع ذلك (العمار، ٢٠٢٦) الذي يُشير إلى أن تكامل نموذج الحوكمة وإدارة المخاطر والامتثال يُسهم في تعزيز السمعة التنظيمية، بما ينعكس على ثقة أصحاب المصلحة وقدرة المؤسسة على استقطاب الموارد والفرص</w:t>
      </w:r>
      <w:r w:rsidRPr="003F45EE">
        <w:rPr>
          <w:rFonts w:ascii="Simplified Arabic" w:eastAsia="Times New Roman" w:hAnsi="Simplified Arabic" w:cs="Simplified Arabic"/>
          <w:color w:val="000000" w:themeColor="text1"/>
          <w:kern w:val="0"/>
          <w:sz w:val="28"/>
          <w:szCs w:val="28"/>
          <w14:ligatures w14:val="none"/>
        </w:rPr>
        <w:t>.</w:t>
      </w:r>
    </w:p>
    <w:p w14:paraId="5E1E3D8A"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ويُنبّه (الحربي والشمري، ٢٠٢٥) إلى أن أهمية الامتثال تتّسع في المجال السيبراني، إذ إن التحول الرقمي أفرز فئةً جديدة من المخاطر القانونية المرتبطة بحماية البيانات وأمن المعلومات، وباتت منظومة الامتثال تشمل هذه المجالات المستجدة التي تستدعي أدوات تقنية متقدمة كالذكاء الاصطناعي لضبطها. ويُضيف</w:t>
      </w:r>
      <w:r w:rsidRPr="003F45EE">
        <w:rPr>
          <w:rFonts w:ascii="Simplified Arabic" w:eastAsia="Times New Roman" w:hAnsi="Simplified Arabic" w:cs="Simplified Arabic"/>
          <w:color w:val="000000" w:themeColor="text1"/>
          <w:kern w:val="0"/>
          <w:sz w:val="28"/>
          <w:szCs w:val="28"/>
          <w14:ligatures w14:val="none"/>
        </w:rPr>
        <w:t xml:space="preserve"> (Hickman &amp; Petrin, 2021) </w:t>
      </w:r>
      <w:r w:rsidRPr="003F45EE">
        <w:rPr>
          <w:rFonts w:ascii="Simplified Arabic" w:eastAsia="Times New Roman" w:hAnsi="Simplified Arabic" w:cs="Simplified Arabic"/>
          <w:color w:val="000000" w:themeColor="text1"/>
          <w:kern w:val="0"/>
          <w:sz w:val="28"/>
          <w:szCs w:val="28"/>
          <w:rtl/>
          <w14:ligatures w14:val="none"/>
        </w:rPr>
        <w:t>أن الامتثال المعاصر يمتد ليشمل أخلاقيات التقنيات الناشئة، بما يعكس اتساع النطاق الذي تتحرك فيه إدارة المخاطر القانونية</w:t>
      </w:r>
      <w:r w:rsidRPr="003F45EE">
        <w:rPr>
          <w:rFonts w:ascii="Simplified Arabic" w:eastAsia="Times New Roman" w:hAnsi="Simplified Arabic" w:cs="Simplified Arabic"/>
          <w:color w:val="000000" w:themeColor="text1"/>
          <w:kern w:val="0"/>
          <w:sz w:val="28"/>
          <w:szCs w:val="28"/>
          <w14:ligatures w14:val="none"/>
        </w:rPr>
        <w:t>.</w:t>
      </w:r>
    </w:p>
    <w:p w14:paraId="492BB8FD" w14:textId="3AF80F0A"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971187"/>
      <w:r w:rsidRPr="003F45EE">
        <w:rPr>
          <w:rFonts w:ascii="Simplified Arabic" w:eastAsia="Times New Roman" w:hAnsi="Simplified Arabic" w:cs="Simplified Arabic" w:hint="cs"/>
          <w:b/>
          <w:bCs/>
          <w:color w:val="000000" w:themeColor="text1"/>
          <w:kern w:val="0"/>
          <w:sz w:val="32"/>
          <w:szCs w:val="32"/>
          <w:rtl/>
          <w14:ligatures w14:val="none"/>
        </w:rPr>
        <w:t>5.2.2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أهداف فعالية الامتثال وتقليل المخاطر القانونية</w:t>
      </w:r>
      <w:bookmarkEnd w:id="51"/>
    </w:p>
    <w:p w14:paraId="2D64A44B"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lastRenderedPageBreak/>
        <w:t>تتوجّه منظومة الامتثال وإدارة المخاطر القانونية نحو تحقيق جملة من الأهداف المتكاملة التي تخدم الاستراتيجية الشاملة للشركة. ويُمكن استخلاص هذه الأهداف من قراءة أدبيات هذا الحقل على النحو الآتي</w:t>
      </w:r>
      <w:r w:rsidRPr="003F45EE">
        <w:rPr>
          <w:rFonts w:ascii="Simplified Arabic" w:eastAsia="Times New Roman" w:hAnsi="Simplified Arabic" w:cs="Simplified Arabic"/>
          <w:color w:val="000000" w:themeColor="text1"/>
          <w:kern w:val="0"/>
          <w:sz w:val="28"/>
          <w:szCs w:val="28"/>
          <w14:ligatures w14:val="none"/>
        </w:rPr>
        <w:t>:</w:t>
      </w:r>
    </w:p>
    <w:p w14:paraId="08FF97AF"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يرى</w:t>
      </w:r>
      <w:r w:rsidRPr="003F45EE">
        <w:rPr>
          <w:rFonts w:ascii="Simplified Arabic" w:eastAsia="Times New Roman" w:hAnsi="Simplified Arabic" w:cs="Simplified Arabic"/>
          <w:color w:val="000000" w:themeColor="text1"/>
          <w:kern w:val="0"/>
          <w:sz w:val="28"/>
          <w:szCs w:val="28"/>
          <w14:ligatures w14:val="none"/>
        </w:rPr>
        <w:t xml:space="preserve"> (Akinsola, 2025) </w:t>
      </w:r>
      <w:r w:rsidRPr="003F45EE">
        <w:rPr>
          <w:rFonts w:ascii="Simplified Arabic" w:eastAsia="Times New Roman" w:hAnsi="Simplified Arabic" w:cs="Simplified Arabic"/>
          <w:color w:val="000000" w:themeColor="text1"/>
          <w:kern w:val="0"/>
          <w:sz w:val="28"/>
          <w:szCs w:val="28"/>
          <w:rtl/>
          <w14:ligatures w14:val="none"/>
        </w:rPr>
        <w:t>أن فعالية الامتثال تسعى إلى تحقيق: ترسيخ الشفافية في العمليات المؤسسية، وتعزيز المساءلة الداخلية والخارجية، وتخفيف التعرّض للمخاطر القانونية والتنظيمية، فضلًا عن دعم الممارسات الفضلى التي تعكس نضج المنظمة</w:t>
      </w:r>
      <w:r w:rsidRPr="003F45EE">
        <w:rPr>
          <w:rFonts w:ascii="Simplified Arabic" w:eastAsia="Times New Roman" w:hAnsi="Simplified Arabic" w:cs="Simplified Arabic"/>
          <w:color w:val="000000" w:themeColor="text1"/>
          <w:kern w:val="0"/>
          <w:sz w:val="28"/>
          <w:szCs w:val="28"/>
          <w14:ligatures w14:val="none"/>
        </w:rPr>
        <w:t>.</w:t>
      </w:r>
    </w:p>
    <w:p w14:paraId="506ABE29"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ويُبيّن</w:t>
      </w:r>
      <w:r w:rsidRPr="003F45EE">
        <w:rPr>
          <w:rFonts w:ascii="Simplified Arabic" w:eastAsia="Times New Roman" w:hAnsi="Simplified Arabic" w:cs="Simplified Arabic"/>
          <w:color w:val="000000" w:themeColor="text1"/>
          <w:kern w:val="0"/>
          <w:sz w:val="28"/>
          <w:szCs w:val="28"/>
          <w14:ligatures w14:val="none"/>
        </w:rPr>
        <w:t xml:space="preserve"> (Bello et al., 2022) </w:t>
      </w:r>
      <w:r w:rsidRPr="003F45EE">
        <w:rPr>
          <w:rFonts w:ascii="Simplified Arabic" w:eastAsia="Times New Roman" w:hAnsi="Simplified Arabic" w:cs="Simplified Arabic"/>
          <w:color w:val="000000" w:themeColor="text1"/>
          <w:kern w:val="0"/>
          <w:sz w:val="28"/>
          <w:szCs w:val="28"/>
          <w:rtl/>
          <w14:ligatures w14:val="none"/>
        </w:rPr>
        <w:t>أن إدارة المخاطر القانونية تستهدف: توفير الحماية الوقائية للشركة من النزاعات القضائية، وتقليل تكاليف التقاضي والغرامات، وحماية الأصول المؤسسية من التآكل، وتعزيز الاستقرار المالي والتشغيلي، إلى جانب حماية السمعة المؤسسية من التداعيات السلبية</w:t>
      </w:r>
      <w:r w:rsidRPr="003F45EE">
        <w:rPr>
          <w:rFonts w:ascii="Simplified Arabic" w:eastAsia="Times New Roman" w:hAnsi="Simplified Arabic" w:cs="Simplified Arabic"/>
          <w:color w:val="000000" w:themeColor="text1"/>
          <w:kern w:val="0"/>
          <w:sz w:val="28"/>
          <w:szCs w:val="28"/>
          <w14:ligatures w14:val="none"/>
        </w:rPr>
        <w:t>.</w:t>
      </w:r>
    </w:p>
    <w:p w14:paraId="2A0DFD7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ويُضيف</w:t>
      </w:r>
      <w:r w:rsidRPr="003F45EE">
        <w:rPr>
          <w:rFonts w:ascii="Simplified Arabic" w:eastAsia="Times New Roman" w:hAnsi="Simplified Arabic" w:cs="Simplified Arabic"/>
          <w:color w:val="000000" w:themeColor="text1"/>
          <w:kern w:val="0"/>
          <w:sz w:val="28"/>
          <w:szCs w:val="28"/>
          <w14:ligatures w14:val="none"/>
        </w:rPr>
        <w:t xml:space="preserve"> (Olanrewaju et al., 2024) </w:t>
      </w:r>
      <w:r w:rsidRPr="003F45EE">
        <w:rPr>
          <w:rFonts w:ascii="Simplified Arabic" w:eastAsia="Times New Roman" w:hAnsi="Simplified Arabic" w:cs="Simplified Arabic"/>
          <w:color w:val="000000" w:themeColor="text1"/>
          <w:kern w:val="0"/>
          <w:sz w:val="28"/>
          <w:szCs w:val="28"/>
          <w:rtl/>
          <w14:ligatures w14:val="none"/>
        </w:rPr>
        <w:t>أن أهداف إدارة المخاطر القانونية تتضمّن: تحديد المخاطر القانونية المحتملة في مختلف مراحل النشاط، وتقييم احتمالات وقوعها وحدّة أثرها، وتصميم استجابات ملائمة لكل فئة من هذه المخاطر، وبناء ثقافة مؤسسية تُدرك أهمية الوقاية القانونية</w:t>
      </w:r>
      <w:r w:rsidRPr="003F45EE">
        <w:rPr>
          <w:rFonts w:ascii="Simplified Arabic" w:eastAsia="Times New Roman" w:hAnsi="Simplified Arabic" w:cs="Simplified Arabic"/>
          <w:color w:val="000000" w:themeColor="text1"/>
          <w:kern w:val="0"/>
          <w:sz w:val="28"/>
          <w:szCs w:val="28"/>
          <w14:ligatures w14:val="none"/>
        </w:rPr>
        <w:t>.</w:t>
      </w:r>
    </w:p>
    <w:p w14:paraId="75C19E83"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ويذهب (فارح وبن سعيد، ٢٠٢٠) إلى أن منظومة الامتثال تستهدف: ضبط الممارسات الإدارية بما ينسجم مع التشريعات، وتعزيز فاعلية المراجعة الداخلية في اكتشاف المخالفات، ودعم منظومة الرقابة على العمليات، إلى جانب رفع كفاءة الاستجابة للمتطلبات التنظيمية</w:t>
      </w:r>
      <w:r w:rsidRPr="003F45EE">
        <w:rPr>
          <w:rFonts w:ascii="Simplified Arabic" w:eastAsia="Times New Roman" w:hAnsi="Simplified Arabic" w:cs="Simplified Arabic"/>
          <w:color w:val="000000" w:themeColor="text1"/>
          <w:kern w:val="0"/>
          <w:sz w:val="28"/>
          <w:szCs w:val="28"/>
          <w14:ligatures w14:val="none"/>
        </w:rPr>
        <w:t>.</w:t>
      </w:r>
    </w:p>
    <w:p w14:paraId="1FEAF11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ويُشير (العمار، ٢٠٢٦) إلى أن تكامل الحوكمة وإدارة المخاطر والامتثال يستهدف: بناء سمعة تنظيمية قوية، وتعزيز ثقة أصحاب المصلحة، ودعم قدرة الشركة على التوسع والنمو، فضلًا عن تحقيق التكامل بين الوظائف الرقابية داخل المنظمة</w:t>
      </w:r>
      <w:r w:rsidRPr="003F45EE">
        <w:rPr>
          <w:rFonts w:ascii="Simplified Arabic" w:eastAsia="Times New Roman" w:hAnsi="Simplified Arabic" w:cs="Simplified Arabic"/>
          <w:color w:val="000000" w:themeColor="text1"/>
          <w:kern w:val="0"/>
          <w:sz w:val="28"/>
          <w:szCs w:val="28"/>
          <w14:ligatures w14:val="none"/>
        </w:rPr>
        <w:t>.</w:t>
      </w:r>
    </w:p>
    <w:p w14:paraId="132FCF9B"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ويُبرز (الهلالي، ٢٠٢٥) أن إدارة المخاطر القانونية للمستجدات التقنية تستهدف: استيعاب طبيعة المخاطر المستحدثة، وتطوير أطر قانونية داخلية تُعالج هذه المستجدات، وحماية الشركة من </w:t>
      </w:r>
      <w:proofErr w:type="spellStart"/>
      <w:r w:rsidRPr="003F45EE">
        <w:rPr>
          <w:rFonts w:ascii="Simplified Arabic" w:eastAsia="Times New Roman" w:hAnsi="Simplified Arabic" w:cs="Simplified Arabic"/>
          <w:color w:val="000000" w:themeColor="text1"/>
          <w:kern w:val="0"/>
          <w:sz w:val="28"/>
          <w:szCs w:val="28"/>
          <w:rtl/>
          <w14:ligatures w14:val="none"/>
        </w:rPr>
        <w:t>التعرّضات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الناشئة عن التقنيات الجديدة، وضمان استمرارية النشاط في بيئة تقنية متسارعة التغير</w:t>
      </w:r>
      <w:r w:rsidRPr="003F45EE">
        <w:rPr>
          <w:rFonts w:ascii="Simplified Arabic" w:eastAsia="Times New Roman" w:hAnsi="Simplified Arabic" w:cs="Simplified Arabic"/>
          <w:color w:val="000000" w:themeColor="text1"/>
          <w:kern w:val="0"/>
          <w:sz w:val="28"/>
          <w:szCs w:val="28"/>
          <w14:ligatures w14:val="none"/>
        </w:rPr>
        <w:t>.</w:t>
      </w:r>
    </w:p>
    <w:p w14:paraId="2C3C3564" w14:textId="7CC759F0"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971188"/>
      <w:r w:rsidRPr="003F45EE">
        <w:rPr>
          <w:rFonts w:ascii="Simplified Arabic" w:eastAsia="Times New Roman" w:hAnsi="Simplified Arabic" w:cs="Simplified Arabic" w:hint="cs"/>
          <w:b/>
          <w:bCs/>
          <w:color w:val="000000" w:themeColor="text1"/>
          <w:kern w:val="0"/>
          <w:sz w:val="32"/>
          <w:szCs w:val="32"/>
          <w:rtl/>
          <w14:ligatures w14:val="none"/>
        </w:rPr>
        <w:t>6.2.2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مصادر المخاطر القانونية وأنواعها</w:t>
      </w:r>
      <w:bookmarkEnd w:id="52"/>
    </w:p>
    <w:p w14:paraId="1CD90D21"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تتنوّع مصادر المخاطر القانونية التي تتعرّض لها الشركات، ويستدعي الفهم العميق للمتغير التابع استعراض هذه المصادر بصورة منهجية. وتُشير (صاري، ٢٠٢٤) إلى أن العقود التجارية تُعدّ من أبرز </w:t>
      </w:r>
      <w:r w:rsidRPr="003F45EE">
        <w:rPr>
          <w:rFonts w:ascii="Simplified Arabic" w:eastAsia="Times New Roman" w:hAnsi="Simplified Arabic" w:cs="Simplified Arabic"/>
          <w:color w:val="000000" w:themeColor="text1"/>
          <w:kern w:val="0"/>
          <w:sz w:val="28"/>
          <w:szCs w:val="28"/>
          <w:rtl/>
          <w14:ligatures w14:val="none"/>
        </w:rPr>
        <w:lastRenderedPageBreak/>
        <w:t xml:space="preserve">مصادر المخاطر القانونية، إذ إن قصور الصياغة التعاقدية أو غموض بنودها قد يُفضي إلى </w:t>
      </w:r>
      <w:proofErr w:type="spellStart"/>
      <w:r w:rsidRPr="003F45EE">
        <w:rPr>
          <w:rFonts w:ascii="Simplified Arabic" w:eastAsia="Times New Roman" w:hAnsi="Simplified Arabic" w:cs="Simplified Arabic"/>
          <w:color w:val="000000" w:themeColor="text1"/>
          <w:kern w:val="0"/>
          <w:sz w:val="28"/>
          <w:szCs w:val="28"/>
          <w:rtl/>
          <w14:ligatures w14:val="none"/>
        </w:rPr>
        <w:t>تعرّضات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قانونية جسيمة، خاصةً في العقود المركّبة كعقود المناولة الصناعية التي تتقاطع مع قوانين المنافسة وتفرض إكراهات تنظيمية متعددة</w:t>
      </w:r>
      <w:r w:rsidRPr="003F45EE">
        <w:rPr>
          <w:rFonts w:ascii="Simplified Arabic" w:eastAsia="Times New Roman" w:hAnsi="Simplified Arabic" w:cs="Simplified Arabic"/>
          <w:color w:val="000000" w:themeColor="text1"/>
          <w:kern w:val="0"/>
          <w:sz w:val="28"/>
          <w:szCs w:val="28"/>
          <w14:ligatures w14:val="none"/>
        </w:rPr>
        <w:t>.</w:t>
      </w:r>
    </w:p>
    <w:p w14:paraId="4DD96F9F"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 xml:space="preserve">ويُضيف (الهلالي، ٢٠٢٥) مصدرًا مستحدثًا للمخاطر القانونية، يتصل بالتعامل مع العملات الرقمية، مبيّنًا أن هذا المجال يُشكّل فضاءً تشريعيًا رماديًا يستدعي حذرًا خاصًا، إذ إن غياب الأطر التنظيمية المكتملة يُعرّض الشركات </w:t>
      </w:r>
      <w:proofErr w:type="spellStart"/>
      <w:r w:rsidRPr="003F45EE">
        <w:rPr>
          <w:rFonts w:ascii="Simplified Arabic" w:eastAsia="Times New Roman" w:hAnsi="Simplified Arabic" w:cs="Simplified Arabic"/>
          <w:color w:val="000000" w:themeColor="text1"/>
          <w:kern w:val="0"/>
          <w:sz w:val="28"/>
          <w:szCs w:val="28"/>
          <w:rtl/>
          <w14:ligatures w14:val="none"/>
        </w:rPr>
        <w:t>لتعرّضات</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قانونية غير مسبوقة. ويلتقي مع ذلك</w:t>
      </w:r>
      <w:r w:rsidRPr="003F45EE">
        <w:rPr>
          <w:rFonts w:ascii="Simplified Arabic" w:eastAsia="Times New Roman" w:hAnsi="Simplified Arabic" w:cs="Simplified Arabic"/>
          <w:color w:val="000000" w:themeColor="text1"/>
          <w:kern w:val="0"/>
          <w:sz w:val="28"/>
          <w:szCs w:val="28"/>
          <w14:ligatures w14:val="none"/>
        </w:rPr>
        <w:t xml:space="preserve"> (Sharma et al., 2021) </w:t>
      </w:r>
      <w:r w:rsidRPr="003F45EE">
        <w:rPr>
          <w:rFonts w:ascii="Simplified Arabic" w:eastAsia="Times New Roman" w:hAnsi="Simplified Arabic" w:cs="Simplified Arabic"/>
          <w:color w:val="000000" w:themeColor="text1"/>
          <w:kern w:val="0"/>
          <w:sz w:val="28"/>
          <w:szCs w:val="28"/>
          <w:rtl/>
          <w14:ligatures w14:val="none"/>
        </w:rPr>
        <w:t>في تحليلهم للمخاطر القانونية الناشئة عن العمليات المالية الرقمية العابرة للحدود، حيث تتشابك الاختصاصات القضائية وتتباين الأطر التنظيمية</w:t>
      </w:r>
      <w:r w:rsidRPr="003F45EE">
        <w:rPr>
          <w:rFonts w:ascii="Simplified Arabic" w:eastAsia="Times New Roman" w:hAnsi="Simplified Arabic" w:cs="Simplified Arabic"/>
          <w:color w:val="000000" w:themeColor="text1"/>
          <w:kern w:val="0"/>
          <w:sz w:val="28"/>
          <w:szCs w:val="28"/>
          <w14:ligatures w14:val="none"/>
        </w:rPr>
        <w:t>.</w:t>
      </w:r>
    </w:p>
    <w:p w14:paraId="299C0F4A"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ويُبرز (الحربي والشمري، ٢٠٢٥) فئةً معاصرة من المخاطر القانونية، تتصل بأمن المعلومات وحماية البيانات، إذ إن التحول الرقمي أفرز التزامات قانونية جديدة تفرض على الشركات ضبط منظوماتها السيبرانية، ويُعرّض الإخلال بها الشركة لعقوبات صارمة. وتنسجم هذه الرؤية مع تحليل</w:t>
      </w:r>
      <w:r w:rsidRPr="003F45EE">
        <w:rPr>
          <w:rFonts w:ascii="Simplified Arabic" w:eastAsia="Times New Roman" w:hAnsi="Simplified Arabic" w:cs="Simplified Arabic"/>
          <w:color w:val="000000" w:themeColor="text1"/>
          <w:kern w:val="0"/>
          <w:sz w:val="28"/>
          <w:szCs w:val="28"/>
          <w14:ligatures w14:val="none"/>
        </w:rPr>
        <w:t xml:space="preserve"> (Hickman &amp; Petrin, 2021) </w:t>
      </w:r>
      <w:r w:rsidRPr="003F45EE">
        <w:rPr>
          <w:rFonts w:ascii="Simplified Arabic" w:eastAsia="Times New Roman" w:hAnsi="Simplified Arabic" w:cs="Simplified Arabic"/>
          <w:color w:val="000000" w:themeColor="text1"/>
          <w:kern w:val="0"/>
          <w:sz w:val="28"/>
          <w:szCs w:val="28"/>
          <w:rtl/>
          <w14:ligatures w14:val="none"/>
        </w:rPr>
        <w:t>للمتطلبات القانونية المتصلة بأخلاقيات الذكاء الاصطناعي، والتي أضحت تُشكّل بُعدًا جديدًا من أبعاد المخاطر القانونية</w:t>
      </w:r>
      <w:r w:rsidRPr="003F45EE">
        <w:rPr>
          <w:rFonts w:ascii="Simplified Arabic" w:eastAsia="Times New Roman" w:hAnsi="Simplified Arabic" w:cs="Simplified Arabic"/>
          <w:color w:val="000000" w:themeColor="text1"/>
          <w:kern w:val="0"/>
          <w:sz w:val="28"/>
          <w:szCs w:val="28"/>
          <w14:ligatures w14:val="none"/>
        </w:rPr>
        <w:t>.</w:t>
      </w:r>
    </w:p>
    <w:p w14:paraId="63034C44" w14:textId="59497095"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971189"/>
      <w:r w:rsidRPr="003F45EE">
        <w:rPr>
          <w:rFonts w:ascii="Simplified Arabic" w:eastAsia="Times New Roman" w:hAnsi="Simplified Arabic" w:cs="Simplified Arabic" w:hint="cs"/>
          <w:b/>
          <w:bCs/>
          <w:color w:val="000000" w:themeColor="text1"/>
          <w:kern w:val="0"/>
          <w:sz w:val="32"/>
          <w:szCs w:val="32"/>
          <w:rtl/>
          <w14:ligatures w14:val="none"/>
        </w:rPr>
        <w:t>7.2.2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المداخل النظرية المفسّرة للعلاقة بين الحوكمة والامتثال وتقليل المخاطر القانونية</w:t>
      </w:r>
      <w:bookmarkEnd w:id="53"/>
    </w:p>
    <w:p w14:paraId="1091CA5C"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تتوفّر عدة مداخل نظرية تُفسّر العلاقة بين ممارسات الحوكمة المؤسسية وفعالية الامتثال وتقليل المخاطر القانونية، ويسعى استعراضها إلى بناء تصور نظري متماسك للمتغير التابع في هذه الدراسة</w:t>
      </w:r>
      <w:r w:rsidRPr="003F45EE">
        <w:rPr>
          <w:rFonts w:ascii="Simplified Arabic" w:eastAsia="Times New Roman" w:hAnsi="Simplified Arabic" w:cs="Simplified Arabic"/>
          <w:color w:val="000000" w:themeColor="text1"/>
          <w:kern w:val="0"/>
          <w:sz w:val="28"/>
          <w:szCs w:val="28"/>
          <w14:ligatures w14:val="none"/>
        </w:rPr>
        <w:t>.</w:t>
      </w:r>
    </w:p>
    <w:p w14:paraId="440CF65A"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يستند المدخل الرقابي إلى أن الحوكمة تُوفّر إطارًا رقابيًا يُعزّز قدرة الشركة على ضبط عملياتها ومراقبة التزامها بالتشريعات. ويُبرز</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Alzeban</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2020) </w:t>
      </w:r>
      <w:r w:rsidRPr="003F45EE">
        <w:rPr>
          <w:rFonts w:ascii="Simplified Arabic" w:eastAsia="Times New Roman" w:hAnsi="Simplified Arabic" w:cs="Simplified Arabic"/>
          <w:color w:val="000000" w:themeColor="text1"/>
          <w:kern w:val="0"/>
          <w:sz w:val="28"/>
          <w:szCs w:val="28"/>
          <w:rtl/>
          <w14:ligatures w14:val="none"/>
        </w:rPr>
        <w:t>هذا المدخل حين يُشير إلى أن التكامل بين لجنة المراجعة والمراجعة الداخلية يُشكّل خط الدفاع الرقابي الأول، ويُتيح رصد الانحرافات القانونية في مرحلة مبكّرة قبل تفاقمها. ويلتقي مع ذلك (المطيري والعنزي، ٢٠٢٥) في طرحهما للمراجعة الداخلية الاستباقية بوصفها آلية للحدّ من المخاطر عبر التنبؤ بها ومعالجتها قبل وقوعها</w:t>
      </w:r>
      <w:r w:rsidRPr="003F45EE">
        <w:rPr>
          <w:rFonts w:ascii="Simplified Arabic" w:eastAsia="Times New Roman" w:hAnsi="Simplified Arabic" w:cs="Simplified Arabic"/>
          <w:color w:val="000000" w:themeColor="text1"/>
          <w:kern w:val="0"/>
          <w:sz w:val="28"/>
          <w:szCs w:val="28"/>
          <w14:ligatures w14:val="none"/>
        </w:rPr>
        <w:t>.</w:t>
      </w:r>
    </w:p>
    <w:p w14:paraId="4053A6BF"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ويستند المدخل التكاملي إلى أن الحوكمة والامتثال وإدارة المخاطر لا تعمل بمعزل عن بعضها، بل تُشكّل منظومة واحدة متكاملة. ويُبرز</w:t>
      </w:r>
      <w:r w:rsidRPr="003F45EE">
        <w:rPr>
          <w:rFonts w:ascii="Simplified Arabic" w:eastAsia="Times New Roman" w:hAnsi="Simplified Arabic" w:cs="Simplified Arabic"/>
          <w:color w:val="000000" w:themeColor="text1"/>
          <w:kern w:val="0"/>
          <w:sz w:val="28"/>
          <w:szCs w:val="28"/>
          <w14:ligatures w14:val="none"/>
        </w:rPr>
        <w:t xml:space="preserve"> (Hasan &amp; </w:t>
      </w:r>
      <w:proofErr w:type="spellStart"/>
      <w:r w:rsidRPr="003F45EE">
        <w:rPr>
          <w:rFonts w:ascii="Simplified Arabic" w:eastAsia="Times New Roman" w:hAnsi="Simplified Arabic" w:cs="Simplified Arabic"/>
          <w:color w:val="000000" w:themeColor="text1"/>
          <w:kern w:val="0"/>
          <w:sz w:val="28"/>
          <w:szCs w:val="28"/>
          <w14:ligatures w14:val="none"/>
        </w:rPr>
        <w:t>Brüh</w:t>
      </w:r>
      <w:r w:rsidRPr="003F45EE">
        <w:rPr>
          <w:rFonts w:ascii="Cambria" w:eastAsia="Times New Roman" w:hAnsi="Cambria" w:cs="Cambria"/>
          <w:color w:val="000000" w:themeColor="text1"/>
          <w:kern w:val="0"/>
          <w:sz w:val="28"/>
          <w:szCs w:val="28"/>
          <w14:ligatures w14:val="none"/>
        </w:rPr>
        <w:t>ö</w:t>
      </w:r>
      <w:r w:rsidRPr="003F45EE">
        <w:rPr>
          <w:rFonts w:ascii="Simplified Arabic" w:eastAsia="Times New Roman" w:hAnsi="Simplified Arabic" w:cs="Simplified Arabic"/>
          <w:color w:val="000000" w:themeColor="text1"/>
          <w:kern w:val="0"/>
          <w:sz w:val="28"/>
          <w:szCs w:val="28"/>
          <w14:ligatures w14:val="none"/>
        </w:rPr>
        <w:t>fener</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2025) </w:t>
      </w:r>
      <w:r w:rsidRPr="003F45EE">
        <w:rPr>
          <w:rFonts w:ascii="Simplified Arabic" w:eastAsia="Times New Roman" w:hAnsi="Simplified Arabic" w:cs="Simplified Arabic"/>
          <w:color w:val="000000" w:themeColor="text1"/>
          <w:kern w:val="0"/>
          <w:sz w:val="28"/>
          <w:szCs w:val="28"/>
          <w:rtl/>
          <w14:ligatures w14:val="none"/>
        </w:rPr>
        <w:t xml:space="preserve">هذا المدخل في تحليلهما </w:t>
      </w:r>
      <w:proofErr w:type="spellStart"/>
      <w:r w:rsidRPr="003F45EE">
        <w:rPr>
          <w:rFonts w:ascii="Simplified Arabic" w:eastAsia="Times New Roman" w:hAnsi="Simplified Arabic" w:cs="Simplified Arabic"/>
          <w:color w:val="000000" w:themeColor="text1"/>
          <w:kern w:val="0"/>
          <w:sz w:val="28"/>
          <w:szCs w:val="28"/>
          <w:rtl/>
          <w14:ligatures w14:val="none"/>
        </w:rPr>
        <w:lastRenderedPageBreak/>
        <w:t>الببليومتري</w:t>
      </w:r>
      <w:proofErr w:type="spellEnd"/>
      <w:r w:rsidRPr="003F45EE">
        <w:rPr>
          <w:rFonts w:ascii="Simplified Arabic" w:eastAsia="Times New Roman" w:hAnsi="Simplified Arabic" w:cs="Simplified Arabic"/>
          <w:color w:val="000000" w:themeColor="text1"/>
          <w:kern w:val="0"/>
          <w:sz w:val="28"/>
          <w:szCs w:val="28"/>
          <w:rtl/>
          <w14:ligatures w14:val="none"/>
        </w:rPr>
        <w:t xml:space="preserve"> للأدبيات، مؤكدَين أن الاتجاه المعاصر يميل نحو دمج هذه الوظائف الثلاث في إطار موحّد يُوفّر حماية شاملة للشركة، ويرفع من كفاءة استجابتها للتحديات التنظيمية والقانونية</w:t>
      </w:r>
      <w:r w:rsidRPr="003F45EE">
        <w:rPr>
          <w:rFonts w:ascii="Simplified Arabic" w:eastAsia="Times New Roman" w:hAnsi="Simplified Arabic" w:cs="Simplified Arabic"/>
          <w:color w:val="000000" w:themeColor="text1"/>
          <w:kern w:val="0"/>
          <w:sz w:val="28"/>
          <w:szCs w:val="28"/>
          <w14:ligatures w14:val="none"/>
        </w:rPr>
        <w:t>.</w:t>
      </w:r>
    </w:p>
    <w:p w14:paraId="6430D53C"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ويستند المدخل الاستراتيجي إلى أن الامتثال وإدارة المخاطر القانونية لا تُشكّل مجرد وظائف رقابية، بل عناصر استراتيجية تُسهم في تحقيق التنافسية والاستدامة. ويُبرز (العمار، ٢٠٢٦) هذا المدخل حين يربط بين تكامل نموذج الحوكمة وإدارة المخاطر والامتثال والسمعة التنظيمية للمؤسسة، مما يعكس البُعد الاستراتيجي لهذه المنظومة، وتحوّلها من أداة وقائية إلى أداة لخلق القيمة</w:t>
      </w:r>
      <w:r w:rsidRPr="003F45EE">
        <w:rPr>
          <w:rFonts w:ascii="Simplified Arabic" w:eastAsia="Times New Roman" w:hAnsi="Simplified Arabic" w:cs="Simplified Arabic"/>
          <w:color w:val="000000" w:themeColor="text1"/>
          <w:kern w:val="0"/>
          <w:sz w:val="28"/>
          <w:szCs w:val="28"/>
          <w14:ligatures w14:val="none"/>
        </w:rPr>
        <w:t>.</w:t>
      </w:r>
    </w:p>
    <w:p w14:paraId="4071558F" w14:textId="2BE5A72A"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971190"/>
      <w:r w:rsidRPr="003F45EE">
        <w:rPr>
          <w:rFonts w:ascii="Simplified Arabic" w:eastAsia="Times New Roman" w:hAnsi="Simplified Arabic" w:cs="Simplified Arabic" w:hint="cs"/>
          <w:b/>
          <w:bCs/>
          <w:color w:val="000000" w:themeColor="text1"/>
          <w:kern w:val="0"/>
          <w:sz w:val="32"/>
          <w:szCs w:val="32"/>
          <w:rtl/>
          <w14:ligatures w14:val="none"/>
        </w:rPr>
        <w:t>8.2.2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قياس فعالية الامتثال وتقليل المخاطر القانونية</w:t>
      </w:r>
      <w:bookmarkEnd w:id="54"/>
    </w:p>
    <w:p w14:paraId="56EC24F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يتضمّن المتغير التابع في هذه الدراسة محورًا واحدًا يقيس فعالية الامتثال وتقليل المخاطر القانونية بوصفهما بُعدًا متكاملًا. وقد استندت الدراسة في بناء هذا المحور إلى الأطر التي طرحها</w:t>
      </w:r>
      <w:r w:rsidRPr="003F45EE">
        <w:rPr>
          <w:rFonts w:ascii="Simplified Arabic" w:eastAsia="Times New Roman" w:hAnsi="Simplified Arabic" w:cs="Simplified Arabic"/>
          <w:color w:val="000000" w:themeColor="text1"/>
          <w:kern w:val="0"/>
          <w:sz w:val="28"/>
          <w:szCs w:val="28"/>
          <w14:ligatures w14:val="none"/>
        </w:rPr>
        <w:t xml:space="preserve"> (Akinsola, 2025) </w:t>
      </w:r>
      <w:r w:rsidRPr="003F45EE">
        <w:rPr>
          <w:rFonts w:ascii="Simplified Arabic" w:eastAsia="Times New Roman" w:hAnsi="Simplified Arabic" w:cs="Simplified Arabic"/>
          <w:color w:val="000000" w:themeColor="text1"/>
          <w:kern w:val="0"/>
          <w:sz w:val="28"/>
          <w:szCs w:val="28"/>
          <w:rtl/>
          <w14:ligatures w14:val="none"/>
        </w:rPr>
        <w:t>في تحليله للامتثال القانوني بوصفه ممارسة شاملة تتضمّن الشفافية والمساءلة وتخفيف المخاطر، وإلى ما طرحه</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Akinadewo</w:t>
      </w:r>
      <w:proofErr w:type="spellEnd"/>
      <w:r w:rsidRPr="003F45EE">
        <w:rPr>
          <w:rFonts w:ascii="Simplified Arabic" w:eastAsia="Times New Roman" w:hAnsi="Simplified Arabic" w:cs="Simplified Arabic"/>
          <w:color w:val="000000" w:themeColor="text1"/>
          <w:kern w:val="0"/>
          <w:sz w:val="28"/>
          <w:szCs w:val="28"/>
          <w14:ligatures w14:val="none"/>
        </w:rPr>
        <w:t xml:space="preserve"> &amp; </w:t>
      </w:r>
      <w:proofErr w:type="spellStart"/>
      <w:r w:rsidRPr="003F45EE">
        <w:rPr>
          <w:rFonts w:ascii="Simplified Arabic" w:eastAsia="Times New Roman" w:hAnsi="Simplified Arabic" w:cs="Simplified Arabic"/>
          <w:color w:val="000000" w:themeColor="text1"/>
          <w:kern w:val="0"/>
          <w:sz w:val="28"/>
          <w:szCs w:val="28"/>
          <w14:ligatures w14:val="none"/>
        </w:rPr>
        <w:t>Akinkoye</w:t>
      </w:r>
      <w:proofErr w:type="spellEnd"/>
      <w:r w:rsidRPr="003F45EE">
        <w:rPr>
          <w:rFonts w:ascii="Simplified Arabic" w:eastAsia="Times New Roman" w:hAnsi="Simplified Arabic" w:cs="Simplified Arabic"/>
          <w:color w:val="000000" w:themeColor="text1"/>
          <w:kern w:val="0"/>
          <w:sz w:val="28"/>
          <w:szCs w:val="28"/>
          <w14:ligatures w14:val="none"/>
        </w:rPr>
        <w:t xml:space="preserve">, 2023) </w:t>
      </w:r>
      <w:r w:rsidRPr="003F45EE">
        <w:rPr>
          <w:rFonts w:ascii="Simplified Arabic" w:eastAsia="Times New Roman" w:hAnsi="Simplified Arabic" w:cs="Simplified Arabic"/>
          <w:color w:val="000000" w:themeColor="text1"/>
          <w:kern w:val="0"/>
          <w:sz w:val="28"/>
          <w:szCs w:val="28"/>
          <w:rtl/>
          <w14:ligatures w14:val="none"/>
        </w:rPr>
        <w:t>من ربطٍ بين استراتيجيات الحوكمة والامتثال القانوني الفاعل، فضلًا عن الأطر التي قدّمها</w:t>
      </w:r>
      <w:r w:rsidRPr="003F45EE">
        <w:rPr>
          <w:rFonts w:ascii="Simplified Arabic" w:eastAsia="Times New Roman" w:hAnsi="Simplified Arabic" w:cs="Simplified Arabic"/>
          <w:color w:val="000000" w:themeColor="text1"/>
          <w:kern w:val="0"/>
          <w:sz w:val="28"/>
          <w:szCs w:val="28"/>
          <w14:ligatures w14:val="none"/>
        </w:rPr>
        <w:t xml:space="preserve"> (Bello et al., 2022) </w:t>
      </w:r>
      <w:r w:rsidRPr="003F45EE">
        <w:rPr>
          <w:rFonts w:ascii="Simplified Arabic" w:eastAsia="Times New Roman" w:hAnsi="Simplified Arabic" w:cs="Simplified Arabic"/>
          <w:color w:val="000000" w:themeColor="text1"/>
          <w:kern w:val="0"/>
          <w:sz w:val="28"/>
          <w:szCs w:val="28"/>
          <w:rtl/>
          <w14:ligatures w14:val="none"/>
        </w:rPr>
        <w:t>لإدارة المخاطر القانونية في السياق المؤسسي، وما ورد لدى</w:t>
      </w:r>
      <w:r w:rsidRPr="003F45EE">
        <w:rPr>
          <w:rFonts w:ascii="Simplified Arabic" w:eastAsia="Times New Roman" w:hAnsi="Simplified Arabic" w:cs="Simplified Arabic"/>
          <w:color w:val="000000" w:themeColor="text1"/>
          <w:kern w:val="0"/>
          <w:sz w:val="28"/>
          <w:szCs w:val="28"/>
          <w14:ligatures w14:val="none"/>
        </w:rPr>
        <w:t xml:space="preserve"> (Olanrewaju et al., 2024) </w:t>
      </w:r>
      <w:r w:rsidRPr="003F45EE">
        <w:rPr>
          <w:rFonts w:ascii="Simplified Arabic" w:eastAsia="Times New Roman" w:hAnsi="Simplified Arabic" w:cs="Simplified Arabic"/>
          <w:color w:val="000000" w:themeColor="text1"/>
          <w:kern w:val="0"/>
          <w:sz w:val="28"/>
          <w:szCs w:val="28"/>
          <w:rtl/>
          <w14:ligatures w14:val="none"/>
        </w:rPr>
        <w:t>بشأن الاستراتيجيات المنهجية لتحديد المخاطر القانونية والتخفيف منها</w:t>
      </w:r>
      <w:r w:rsidRPr="003F45EE">
        <w:rPr>
          <w:rFonts w:ascii="Simplified Arabic" w:eastAsia="Times New Roman" w:hAnsi="Simplified Arabic" w:cs="Simplified Arabic"/>
          <w:color w:val="000000" w:themeColor="text1"/>
          <w:kern w:val="0"/>
          <w:sz w:val="28"/>
          <w:szCs w:val="28"/>
          <w14:ligatures w14:val="none"/>
        </w:rPr>
        <w:t>.</w:t>
      </w:r>
    </w:p>
    <w:p w14:paraId="3C5305A7"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ويتناول هذا المحور جملةً من المؤشرات التي تعكس فعالية منظومة الامتثال في الشركة، وتشمل: مدى وجود سياسات مكتوبة للامتثال، ومدى فاعلية الآليات المؤسسية لرصد المخالفات المحتملة ومعالجتها، وقدرة الشركة على التنبؤ بالمخاطر القانونية قبل وقوعها، ومستوى الوعي القانوني لدى العاملين ومنسوبي الإدارة، وكفاءة العلاقة مع الجهات التنظيمية، ومدى استقرار الشركة أمام النزاعات القضائية، وقدرتها على تحديث منظومتها الداخلية استجابةً للمستجدات التشريعية. وتُصاغ هذه المؤشرات بصورة عملية تُتيح قياسها من منظور المديرين والعاملين المعنيّين في الشركات المستهدفة</w:t>
      </w:r>
      <w:r w:rsidRPr="003F45EE">
        <w:rPr>
          <w:rFonts w:ascii="Simplified Arabic" w:eastAsia="Times New Roman" w:hAnsi="Simplified Arabic" w:cs="Simplified Arabic"/>
          <w:color w:val="000000" w:themeColor="text1"/>
          <w:kern w:val="0"/>
          <w:sz w:val="28"/>
          <w:szCs w:val="28"/>
          <w14:ligatures w14:val="none"/>
        </w:rPr>
        <w:t>.</w:t>
      </w:r>
    </w:p>
    <w:p w14:paraId="580C9D0D" w14:textId="536CBFE2" w:rsidR="00403379" w:rsidRPr="003F45EE" w:rsidRDefault="00A27438" w:rsidP="00A2743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971191"/>
      <w:r w:rsidRPr="003F45EE">
        <w:rPr>
          <w:rFonts w:ascii="Simplified Arabic" w:eastAsia="Times New Roman" w:hAnsi="Simplified Arabic" w:cs="Simplified Arabic" w:hint="cs"/>
          <w:b/>
          <w:bCs/>
          <w:color w:val="000000" w:themeColor="text1"/>
          <w:kern w:val="0"/>
          <w:sz w:val="32"/>
          <w:szCs w:val="32"/>
          <w:rtl/>
          <w14:ligatures w14:val="none"/>
        </w:rPr>
        <w:t>9.2.2</w:t>
      </w:r>
      <w:r w:rsidR="00403379" w:rsidRPr="003F45EE">
        <w:rPr>
          <w:rFonts w:ascii="Simplified Arabic" w:eastAsia="Times New Roman" w:hAnsi="Simplified Arabic" w:cs="Simplified Arabic"/>
          <w:b/>
          <w:bCs/>
          <w:color w:val="000000" w:themeColor="text1"/>
          <w:kern w:val="0"/>
          <w:sz w:val="32"/>
          <w:szCs w:val="32"/>
          <w:rtl/>
          <w14:ligatures w14:val="none"/>
        </w:rPr>
        <w:t xml:space="preserve"> ملاءمة المفهوم لسياق الشركات المتوسطة في المملكة العربية السعودية</w:t>
      </w:r>
      <w:bookmarkEnd w:id="55"/>
    </w:p>
    <w:p w14:paraId="76F1DD34"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يكتسب مفهوم فعالية الامتثال وتقليل المخاطر القانونية أهميةً خاصة في سياق الشركات المتوسطة في المملكة العربية السعودية، وذلك في ضوء التحولات التشريعية المتلاحقة في إطار رؤية ٢٠٣٠. ويُشير</w:t>
      </w:r>
      <w:r w:rsidRPr="003F45EE">
        <w:rPr>
          <w:rFonts w:ascii="Simplified Arabic" w:eastAsia="Times New Roman" w:hAnsi="Simplified Arabic" w:cs="Simplified Arabic"/>
          <w:color w:val="000000" w:themeColor="text1"/>
          <w:kern w:val="0"/>
          <w:sz w:val="28"/>
          <w:szCs w:val="28"/>
          <w14:ligatures w14:val="none"/>
        </w:rPr>
        <w:t xml:space="preserve"> </w:t>
      </w:r>
      <w:r w:rsidRPr="003F45EE">
        <w:rPr>
          <w:rFonts w:ascii="Simplified Arabic" w:eastAsia="Times New Roman" w:hAnsi="Simplified Arabic" w:cs="Simplified Arabic"/>
          <w:color w:val="000000" w:themeColor="text1"/>
          <w:kern w:val="0"/>
          <w:sz w:val="28"/>
          <w:szCs w:val="28"/>
          <w14:ligatures w14:val="none"/>
        </w:rPr>
        <w:lastRenderedPageBreak/>
        <w:t xml:space="preserve">(Nasrallah &amp; El Khoury, 2022) </w:t>
      </w:r>
      <w:r w:rsidRPr="003F45EE">
        <w:rPr>
          <w:rFonts w:ascii="Simplified Arabic" w:eastAsia="Times New Roman" w:hAnsi="Simplified Arabic" w:cs="Simplified Arabic"/>
          <w:color w:val="000000" w:themeColor="text1"/>
          <w:kern w:val="0"/>
          <w:sz w:val="28"/>
          <w:szCs w:val="28"/>
          <w:rtl/>
          <w14:ligatures w14:val="none"/>
        </w:rPr>
        <w:t>في سياق تحليلهما لأداء الشركات الصغيرة والمتوسطة في اقتصاد نامٍ إلى أن هذه الفئة من الشركات تواجه تحديات متزايدة في مواءمة عملياتها مع متطلبات الحوكمة والامتثال، نظرًا لمحدودية مواردها البشرية والمالية المخصّصة لهذه الوظائف مقارنةً بالشركات الكبرى</w:t>
      </w:r>
      <w:r w:rsidRPr="003F45EE">
        <w:rPr>
          <w:rFonts w:ascii="Simplified Arabic" w:eastAsia="Times New Roman" w:hAnsi="Simplified Arabic" w:cs="Simplified Arabic"/>
          <w:color w:val="000000" w:themeColor="text1"/>
          <w:kern w:val="0"/>
          <w:sz w:val="28"/>
          <w:szCs w:val="28"/>
          <w14:ligatures w14:val="none"/>
        </w:rPr>
        <w:t>.</w:t>
      </w:r>
    </w:p>
    <w:p w14:paraId="37BFF9CB"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ويرى (الحارثي، ٢٠٢٣) أن السياق السعودي يفرض تحديات مضاعفة، تتصل بالتطورات المتلاحقة في المنظومة الضريبية، وتنامي متطلبات الامتثال الضريبي، مما يستدعي من الشركات المتوسطة تطوير قدراتها الداخلية لاستيعاب هذه المتطلبات. ويلتقي مع ذلك (العمار، ٢٠٢٦) في تحليله للسياق السعودي، مؤكدًا الحاجة إلى تكامل منظومة الحوكمة وإدارة المخاطر والامتثال بوصفها استجابةً استراتيجية للتحولات التنظيمية الجارية</w:t>
      </w:r>
      <w:r w:rsidRPr="003F45EE">
        <w:rPr>
          <w:rFonts w:ascii="Simplified Arabic" w:eastAsia="Times New Roman" w:hAnsi="Simplified Arabic" w:cs="Simplified Arabic"/>
          <w:color w:val="000000" w:themeColor="text1"/>
          <w:kern w:val="0"/>
          <w:sz w:val="28"/>
          <w:szCs w:val="28"/>
          <w14:ligatures w14:val="none"/>
        </w:rPr>
        <w:t>.</w:t>
      </w:r>
    </w:p>
    <w:p w14:paraId="5ADEBBC8" w14:textId="77777777" w:rsidR="00403379" w:rsidRPr="003F45EE" w:rsidRDefault="00403379" w:rsidP="00A2743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3F45EE">
        <w:rPr>
          <w:rFonts w:ascii="Simplified Arabic" w:eastAsia="Times New Roman" w:hAnsi="Simplified Arabic" w:cs="Simplified Arabic"/>
          <w:color w:val="000000" w:themeColor="text1"/>
          <w:kern w:val="0"/>
          <w:sz w:val="28"/>
          <w:szCs w:val="28"/>
          <w:rtl/>
          <w14:ligatures w14:val="none"/>
        </w:rPr>
        <w:t>ويُضيف</w:t>
      </w:r>
      <w:r w:rsidRPr="003F45EE">
        <w:rPr>
          <w:rFonts w:ascii="Simplified Arabic" w:eastAsia="Times New Roman" w:hAnsi="Simplified Arabic" w:cs="Simplified Arabic"/>
          <w:color w:val="000000" w:themeColor="text1"/>
          <w:kern w:val="0"/>
          <w:sz w:val="28"/>
          <w:szCs w:val="28"/>
          <w14:ligatures w14:val="none"/>
        </w:rPr>
        <w:t xml:space="preserve"> (</w:t>
      </w:r>
      <w:proofErr w:type="spellStart"/>
      <w:r w:rsidRPr="003F45EE">
        <w:rPr>
          <w:rFonts w:ascii="Simplified Arabic" w:eastAsia="Times New Roman" w:hAnsi="Simplified Arabic" w:cs="Simplified Arabic"/>
          <w:color w:val="000000" w:themeColor="text1"/>
          <w:kern w:val="0"/>
          <w:sz w:val="28"/>
          <w:szCs w:val="28"/>
          <w14:ligatures w14:val="none"/>
        </w:rPr>
        <w:t>Boshnak</w:t>
      </w:r>
      <w:proofErr w:type="spellEnd"/>
      <w:r w:rsidRPr="003F45EE">
        <w:rPr>
          <w:rFonts w:ascii="Simplified Arabic" w:eastAsia="Times New Roman" w:hAnsi="Simplified Arabic" w:cs="Simplified Arabic"/>
          <w:color w:val="000000" w:themeColor="text1"/>
          <w:kern w:val="0"/>
          <w:sz w:val="28"/>
          <w:szCs w:val="28"/>
          <w14:ligatures w14:val="none"/>
        </w:rPr>
        <w:t xml:space="preserve"> et al., 2023) </w:t>
      </w:r>
      <w:r w:rsidRPr="003F45EE">
        <w:rPr>
          <w:rFonts w:ascii="Simplified Arabic" w:eastAsia="Times New Roman" w:hAnsi="Simplified Arabic" w:cs="Simplified Arabic"/>
          <w:color w:val="000000" w:themeColor="text1"/>
          <w:kern w:val="0"/>
          <w:sz w:val="28"/>
          <w:szCs w:val="28"/>
          <w:rtl/>
          <w14:ligatures w14:val="none"/>
        </w:rPr>
        <w:t>بُعدًا مهمًا لتحليل السياق السعودي، حين يُبرزون أن الشركات المُدرَجة في السوق السعودي شهدت تطورًا ملموسًا في ممارسات الحوكمة والامتثال في ضوء التحديات المتعاقبة، وأن هذا التطور يُشكّل مرجعيةً يمكن أن تستفيد منها الشركات المتوسطة في تطوير منظوماتها الداخلية</w:t>
      </w:r>
      <w:r w:rsidRPr="003F45EE">
        <w:rPr>
          <w:rFonts w:ascii="Simplified Arabic" w:eastAsia="Times New Roman" w:hAnsi="Simplified Arabic" w:cs="Simplified Arabic"/>
          <w:color w:val="000000" w:themeColor="text1"/>
          <w:kern w:val="0"/>
          <w:sz w:val="28"/>
          <w:szCs w:val="28"/>
          <w14:ligatures w14:val="none"/>
        </w:rPr>
        <w:t>.</w:t>
      </w:r>
    </w:p>
    <w:p w14:paraId="4ECAEA07" w14:textId="257507BD" w:rsidR="00210F5B" w:rsidRPr="003F45EE" w:rsidRDefault="00A27438" w:rsidP="0014738C">
      <w:pPr>
        <w:jc w:val="center"/>
        <w:outlineLvl w:val="0"/>
        <w:rPr>
          <w:rFonts w:ascii="Simplified Arabic" w:hAnsi="Simplified Arabic" w:cs="Simplified Arabic"/>
          <w:b/>
          <w:bCs/>
          <w:color w:val="000000" w:themeColor="text1"/>
          <w:szCs w:val="28"/>
          <w:rtl/>
        </w:rPr>
        <w:sectPr w:rsidR="00210F5B" w:rsidRPr="003F45EE" w:rsidSect="009F3763">
          <w:footerReference w:type="default" r:id="rId10"/>
          <w:pgSz w:w="11906" w:h="16838" w:code="9"/>
          <w:pgMar w:top="1134" w:right="1701" w:bottom="1134" w:left="1134" w:header="720" w:footer="720" w:gutter="0"/>
          <w:pgNumType w:start="1"/>
          <w:cols w:space="708"/>
          <w:bidi/>
          <w:rtlGutter/>
          <w:docGrid w:linePitch="360"/>
        </w:sectPr>
      </w:pPr>
      <w:r w:rsidRPr="003F45EE">
        <w:rPr>
          <w:rFonts w:ascii="Simplified Arabic" w:eastAsia="Times New Roman" w:hAnsi="Simplified Arabic" w:cs="Simplified Arabic"/>
          <w:b/>
          <w:bCs/>
          <w:color w:val="000000" w:themeColor="text1"/>
          <w:kern w:val="0"/>
          <w:sz w:val="40"/>
          <w:szCs w:val="40"/>
          <w:rtl/>
          <w14:ligatures w14:val="none"/>
        </w:rPr>
        <w:br w:type="page"/>
      </w:r>
      <w:bookmarkEnd w:id="27"/>
    </w:p>
    <w:p w14:paraId="29D4231B" w14:textId="3C227B82" w:rsidR="0081623B" w:rsidRPr="003F45EE" w:rsidRDefault="00E27D3B" w:rsidP="000F61D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F45EE">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52138089">
            <wp:simplePos x="0" y="0"/>
            <wp:positionH relativeFrom="column">
              <wp:posOffset>4187190</wp:posOffset>
            </wp:positionH>
            <wp:positionV relativeFrom="paragraph">
              <wp:posOffset>0</wp:posOffset>
            </wp:positionV>
            <wp:extent cx="1453515" cy="1346200"/>
            <wp:effectExtent l="0" t="0" r="0" b="6350"/>
            <wp:wrapTight wrapText="bothSides">
              <wp:wrapPolygon edited="0">
                <wp:start x="0" y="0"/>
                <wp:lineTo x="0" y="21396"/>
                <wp:lineTo x="21232" y="21396"/>
                <wp:lineTo x="21232"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53515" cy="13462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3F45EE">
        <w:rPr>
          <w:rFonts w:asciiTheme="majorBidi" w:eastAsia="Calibri" w:hAnsiTheme="majorBidi" w:cstheme="majorBidi"/>
          <w:b/>
          <w:bCs/>
          <w:color w:val="000000" w:themeColor="text1"/>
          <w:kern w:val="0"/>
          <w:sz w:val="32"/>
          <w:szCs w:val="32"/>
          <w:lang w:bidi="ar-EG"/>
          <w14:ligatures w14:val="none"/>
        </w:rPr>
        <w:t>Mid</w:t>
      </w:r>
      <w:r w:rsidR="000D353F" w:rsidRPr="003F45EE">
        <w:rPr>
          <w:rFonts w:asciiTheme="majorBidi" w:eastAsia="Calibri" w:hAnsiTheme="majorBidi" w:cstheme="majorBidi"/>
          <w:b/>
          <w:bCs/>
          <w:color w:val="000000" w:themeColor="text1"/>
          <w:kern w:val="0"/>
          <w:sz w:val="32"/>
          <w:szCs w:val="32"/>
          <w:lang w:bidi="ar-EG"/>
          <w14:ligatures w14:val="none"/>
        </w:rPr>
        <w:t xml:space="preserve"> </w:t>
      </w:r>
      <w:r w:rsidR="0081623B" w:rsidRPr="003F45EE">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3F45EE" w:rsidRDefault="0081623B" w:rsidP="000F61D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3F45EE">
        <w:rPr>
          <w:rFonts w:asciiTheme="majorBidi" w:eastAsia="Calibri" w:hAnsiTheme="majorBidi" w:cstheme="majorBidi"/>
          <w:b/>
          <w:bCs/>
          <w:color w:val="000000" w:themeColor="text1"/>
          <w:kern w:val="0"/>
          <w:sz w:val="32"/>
          <w:szCs w:val="32"/>
          <w:lang w:bidi="ar-EG"/>
          <w14:ligatures w14:val="none"/>
        </w:rPr>
        <w:t>College of Management</w:t>
      </w:r>
    </w:p>
    <w:p w14:paraId="0479A04F" w14:textId="67D37E8A" w:rsidR="0081623B" w:rsidRPr="003F45EE" w:rsidRDefault="00857739" w:rsidP="000F61DD">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3F45EE">
        <w:rPr>
          <w:rFonts w:asciiTheme="majorBidi" w:eastAsia="Calibri" w:hAnsiTheme="majorBidi" w:cstheme="majorBidi"/>
          <w:b/>
          <w:bCs/>
          <w:color w:val="000000" w:themeColor="text1"/>
          <w:kern w:val="0"/>
          <w:sz w:val="32"/>
          <w:szCs w:val="32"/>
          <w:lang w:bidi="ar-EG"/>
          <w14:ligatures w14:val="none"/>
        </w:rPr>
        <w:t xml:space="preserve">Department of </w:t>
      </w:r>
      <w:r w:rsidR="006111E3" w:rsidRPr="003F45EE">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3F45EE" w:rsidRDefault="00CC6261" w:rsidP="000F61D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C5C5B97" w14:textId="77777777" w:rsidR="00F17434" w:rsidRPr="003F45EE" w:rsidRDefault="00F17434" w:rsidP="00210F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3F45EE">
        <w:rPr>
          <w:rFonts w:asciiTheme="majorBidi" w:eastAsia="Calibri" w:hAnsiTheme="majorBidi" w:cstheme="majorBidi"/>
          <w:b/>
          <w:bCs/>
          <w:color w:val="000000" w:themeColor="text1"/>
          <w:kern w:val="0"/>
          <w:sz w:val="40"/>
          <w:szCs w:val="40"/>
          <w:lang w:bidi="ar-EG"/>
          <w14:ligatures w14:val="none"/>
        </w:rPr>
        <w:t>The Impact of Corporate Governance on Compliance Effectiveness and Legal Risk Reduction in Medium-Sized Enterprises in the Kingdom of Saudi Arabia</w:t>
      </w:r>
    </w:p>
    <w:p w14:paraId="6377641D" w14:textId="77777777" w:rsidR="00210F5B" w:rsidRPr="003F45EE" w:rsidRDefault="00210F5B" w:rsidP="00210F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56789EFE" w:rsidR="000D353F" w:rsidRPr="003F45EE" w:rsidRDefault="000D353F" w:rsidP="00210F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F45EE">
        <w:rPr>
          <w:rFonts w:asciiTheme="majorBidi" w:eastAsia="Calibri" w:hAnsiTheme="majorBidi" w:cstheme="majorBidi"/>
          <w:b/>
          <w:bCs/>
          <w:color w:val="000000" w:themeColor="text1"/>
          <w:kern w:val="0"/>
          <w:sz w:val="36"/>
          <w:szCs w:val="36"/>
          <w:lang w:bidi="ar-EG"/>
          <w14:ligatures w14:val="none"/>
        </w:rPr>
        <w:t>Prepared by:</w:t>
      </w:r>
    </w:p>
    <w:p w14:paraId="04D30A00" w14:textId="1207AA20" w:rsidR="00210F5B" w:rsidRPr="003F45EE" w:rsidRDefault="004456CD" w:rsidP="00210F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14:ligatures w14:val="none"/>
        </w:rPr>
      </w:pPr>
      <w:r>
        <w:rPr>
          <w:rFonts w:asciiTheme="majorBidi" w:eastAsia="Calibri" w:hAnsiTheme="majorBidi" w:cstheme="majorBidi"/>
          <w:b/>
          <w:bCs/>
          <w:color w:val="000000" w:themeColor="text1"/>
          <w:kern w:val="0"/>
          <w:sz w:val="36"/>
          <w:szCs w:val="36"/>
          <w14:ligatures w14:val="none"/>
        </w:rPr>
        <w:t xml:space="preserve">Nasser halal </w:t>
      </w:r>
      <w:proofErr w:type="spellStart"/>
      <w:r>
        <w:rPr>
          <w:rFonts w:asciiTheme="majorBidi" w:eastAsia="Calibri" w:hAnsiTheme="majorBidi" w:cstheme="majorBidi"/>
          <w:b/>
          <w:bCs/>
          <w:color w:val="000000" w:themeColor="text1"/>
          <w:kern w:val="0"/>
          <w:sz w:val="36"/>
          <w:szCs w:val="36"/>
          <w14:ligatures w14:val="none"/>
        </w:rPr>
        <w:t>alhrbi</w:t>
      </w:r>
      <w:proofErr w:type="spellEnd"/>
    </w:p>
    <w:p w14:paraId="2F334FDC" w14:textId="77777777" w:rsidR="00210F5B" w:rsidRPr="003F45EE" w:rsidRDefault="00210F5B" w:rsidP="00210F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5E8B64B1" w14:textId="77777777" w:rsidR="00210F5B" w:rsidRPr="003F45EE" w:rsidRDefault="00210F5B" w:rsidP="00210F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3F45EE" w:rsidRPr="003F45EE" w14:paraId="1F9E14F8" w14:textId="77777777" w:rsidTr="00F559FA">
        <w:tc>
          <w:tcPr>
            <w:tcW w:w="4530" w:type="dxa"/>
          </w:tcPr>
          <w:p w14:paraId="1127B7C7" w14:textId="77777777" w:rsidR="00210F5B" w:rsidRPr="003F45EE" w:rsidRDefault="00210F5B"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45EE">
              <w:rPr>
                <w:rFonts w:asciiTheme="majorBidi" w:eastAsia="Calibri" w:hAnsiTheme="majorBidi" w:cstheme="majorBidi"/>
                <w:b/>
                <w:bCs/>
                <w:color w:val="000000" w:themeColor="text1"/>
                <w:kern w:val="0"/>
                <w:sz w:val="36"/>
                <w:szCs w:val="36"/>
                <w:lang w:bidi="ar-EG"/>
                <w14:ligatures w14:val="none"/>
              </w:rPr>
              <w:t>Main supervisor</w:t>
            </w:r>
            <w:r w:rsidRPr="003F45EE">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BC214A0" w14:textId="77777777" w:rsidR="00210F5B" w:rsidRPr="003F45EE" w:rsidRDefault="00210F5B"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45EE">
              <w:rPr>
                <w:rFonts w:asciiTheme="majorBidi" w:eastAsia="Calibri" w:hAnsiTheme="majorBidi" w:cstheme="majorBidi"/>
                <w:b/>
                <w:bCs/>
                <w:color w:val="000000" w:themeColor="text1"/>
                <w:kern w:val="0"/>
                <w:sz w:val="36"/>
                <w:szCs w:val="36"/>
                <w:lang w:bidi="ar-EG"/>
                <w14:ligatures w14:val="none"/>
              </w:rPr>
              <w:t>Second supervisor</w:t>
            </w:r>
            <w:r w:rsidRPr="003F45EE">
              <w:rPr>
                <w:rFonts w:asciiTheme="majorBidi" w:eastAsia="Calibri" w:hAnsiTheme="majorBidi" w:cstheme="majorBidi"/>
                <w:b/>
                <w:bCs/>
                <w:color w:val="000000" w:themeColor="text1"/>
                <w:kern w:val="0"/>
                <w:sz w:val="36"/>
                <w:szCs w:val="36"/>
                <w:rtl/>
                <w:lang w:bidi="ar-EG"/>
                <w14:ligatures w14:val="none"/>
              </w:rPr>
              <w:t>/</w:t>
            </w:r>
          </w:p>
        </w:tc>
      </w:tr>
      <w:tr w:rsidR="003F45EE" w:rsidRPr="003F45EE" w14:paraId="47A52350" w14:textId="77777777" w:rsidTr="00F559FA">
        <w:tc>
          <w:tcPr>
            <w:tcW w:w="4530" w:type="dxa"/>
          </w:tcPr>
          <w:p w14:paraId="0E973594" w14:textId="77777777" w:rsidR="00210F5B" w:rsidRPr="003F45EE" w:rsidRDefault="00210F5B"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45EE">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59EF2D2E" w14:textId="77777777" w:rsidR="00210F5B" w:rsidRPr="003F45EE" w:rsidRDefault="00210F5B" w:rsidP="00F559F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F45EE">
              <w:rPr>
                <w:rFonts w:asciiTheme="majorBidi" w:eastAsia="Calibri" w:hAnsiTheme="majorBidi" w:cstheme="majorBidi"/>
                <w:color w:val="000000" w:themeColor="text1"/>
                <w:kern w:val="0"/>
                <w:sz w:val="36"/>
                <w:szCs w:val="36"/>
                <w:lang w:bidi="ar-EG"/>
                <w14:ligatures w14:val="none"/>
              </w:rPr>
              <w:t>Dr. Fayez Jarad</w:t>
            </w:r>
          </w:p>
        </w:tc>
      </w:tr>
    </w:tbl>
    <w:p w14:paraId="25489998" w14:textId="77777777" w:rsidR="00210F5B" w:rsidRPr="003F45EE" w:rsidRDefault="00210F5B" w:rsidP="00210F5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3F45EE">
        <w:rPr>
          <w:rFonts w:asciiTheme="majorBidi" w:eastAsia="Calibri" w:hAnsiTheme="majorBidi" w:cstheme="majorBidi"/>
          <w:color w:val="000000" w:themeColor="text1"/>
          <w:kern w:val="0"/>
          <w:sz w:val="36"/>
          <w:szCs w:val="36"/>
          <w:rtl/>
          <w:lang w:bidi="ar-EG"/>
          <w14:ligatures w14:val="none"/>
        </w:rPr>
        <w:t>1448 – 2026</w:t>
      </w:r>
    </w:p>
    <w:p w14:paraId="24A2B5DD" w14:textId="77777777" w:rsidR="00210F5B" w:rsidRPr="003F45EE" w:rsidRDefault="00210F5B" w:rsidP="00210F5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0081CE18" w14:textId="77777777" w:rsidR="00623FC1" w:rsidRPr="003F45EE" w:rsidRDefault="00623FC1" w:rsidP="000F61D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6E15A01" w14:textId="77777777" w:rsidR="00623FC1" w:rsidRPr="003F45EE" w:rsidRDefault="00623FC1" w:rsidP="000F61DD">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6489129" w:rsidR="009125CE" w:rsidRPr="003F45EE" w:rsidRDefault="009125CE" w:rsidP="000F61DD">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3F45EE" w:rsidSect="009F3763">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D62AC" w14:textId="77777777" w:rsidR="00CA4B8A" w:rsidRDefault="00CA4B8A" w:rsidP="009125CE">
      <w:pPr>
        <w:spacing w:after="0" w:line="240" w:lineRule="auto"/>
      </w:pPr>
      <w:r>
        <w:separator/>
      </w:r>
    </w:p>
  </w:endnote>
  <w:endnote w:type="continuationSeparator" w:id="0">
    <w:p w14:paraId="3919647E" w14:textId="77777777" w:rsidR="00CA4B8A" w:rsidRDefault="00CA4B8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473742553"/>
      <w:docPartObj>
        <w:docPartGallery w:val="Page Numbers (Bottom of Page)"/>
        <w:docPartUnique/>
      </w:docPartObj>
    </w:sdtPr>
    <w:sdtEndPr>
      <w:rPr>
        <w:noProof/>
      </w:rPr>
    </w:sdtEndPr>
    <w:sdtContent>
      <w:p w14:paraId="13047AE1" w14:textId="5AE9D65B" w:rsidR="009F3763" w:rsidRPr="009F3763" w:rsidRDefault="009F3763" w:rsidP="009F3763">
        <w:pPr>
          <w:pStyle w:val="a4"/>
          <w:tabs>
            <w:tab w:val="left" w:pos="4271"/>
            <w:tab w:val="center" w:pos="4535"/>
          </w:tabs>
          <w:rPr>
            <w:rFonts w:ascii="Simplified Arabic" w:hAnsi="Simplified Arabic" w:cs="Simplified Arabic"/>
            <w:b/>
            <w:bCs/>
            <w:sz w:val="24"/>
            <w:szCs w:val="24"/>
          </w:rPr>
        </w:pPr>
        <w:r w:rsidRPr="009F3763">
          <w:rPr>
            <w:rFonts w:ascii="Simplified Arabic" w:hAnsi="Simplified Arabic" w:cs="Simplified Arabic"/>
            <w:b/>
            <w:bCs/>
            <w:sz w:val="24"/>
            <w:szCs w:val="24"/>
            <w:rtl/>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285653791"/>
      <w:docPartObj>
        <w:docPartGallery w:val="Page Numbers (Bottom of Page)"/>
        <w:docPartUnique/>
      </w:docPartObj>
    </w:sdtPr>
    <w:sdtEndPr>
      <w:rPr>
        <w:noProof/>
      </w:rPr>
    </w:sdtEndPr>
    <w:sdtContent>
      <w:p w14:paraId="37199573" w14:textId="77777777" w:rsidR="009F3763" w:rsidRPr="009F3763" w:rsidRDefault="009F3763" w:rsidP="009F3763">
        <w:pPr>
          <w:pStyle w:val="a4"/>
          <w:tabs>
            <w:tab w:val="left" w:pos="4271"/>
            <w:tab w:val="center" w:pos="4535"/>
          </w:tabs>
          <w:rPr>
            <w:rFonts w:ascii="Simplified Arabic" w:hAnsi="Simplified Arabic" w:cs="Simplified Arabic"/>
            <w:b/>
            <w:bCs/>
            <w:sz w:val="24"/>
            <w:szCs w:val="24"/>
          </w:rPr>
        </w:pPr>
        <w:r w:rsidRPr="009F3763">
          <w:rPr>
            <w:rFonts w:ascii="Simplified Arabic" w:hAnsi="Simplified Arabic" w:cs="Simplified Arabic"/>
            <w:b/>
            <w:bCs/>
            <w:sz w:val="24"/>
            <w:szCs w:val="24"/>
            <w:rtl/>
          </w:rPr>
          <w:tab/>
        </w:r>
        <w:r w:rsidRPr="009F3763">
          <w:rPr>
            <w:rFonts w:ascii="Simplified Arabic" w:hAnsi="Simplified Arabic" w:cs="Simplified Arabic"/>
            <w:b/>
            <w:bCs/>
            <w:sz w:val="24"/>
            <w:szCs w:val="24"/>
            <w:rtl/>
          </w:rPr>
          <w:tab/>
        </w:r>
        <w:r w:rsidRPr="009F3763">
          <w:rPr>
            <w:rFonts w:ascii="Simplified Arabic" w:hAnsi="Simplified Arabic" w:cs="Simplified Arabic"/>
            <w:b/>
            <w:bCs/>
            <w:sz w:val="24"/>
            <w:szCs w:val="24"/>
            <w:rtl/>
          </w:rPr>
          <w:tab/>
        </w:r>
        <w:r w:rsidRPr="009F3763">
          <w:rPr>
            <w:rFonts w:ascii="Simplified Arabic" w:hAnsi="Simplified Arabic" w:cs="Simplified Arabic"/>
            <w:b/>
            <w:bCs/>
            <w:sz w:val="24"/>
            <w:szCs w:val="24"/>
          </w:rPr>
          <w:fldChar w:fldCharType="begin"/>
        </w:r>
        <w:r w:rsidRPr="009F3763">
          <w:rPr>
            <w:rFonts w:ascii="Simplified Arabic" w:hAnsi="Simplified Arabic" w:cs="Simplified Arabic"/>
            <w:b/>
            <w:bCs/>
            <w:sz w:val="24"/>
            <w:szCs w:val="24"/>
          </w:rPr>
          <w:instrText xml:space="preserve"> PAGE   \* MERGEFORMAT </w:instrText>
        </w:r>
        <w:r w:rsidRPr="009F3763">
          <w:rPr>
            <w:rFonts w:ascii="Simplified Arabic" w:hAnsi="Simplified Arabic" w:cs="Simplified Arabic"/>
            <w:b/>
            <w:bCs/>
            <w:sz w:val="24"/>
            <w:szCs w:val="24"/>
          </w:rPr>
          <w:fldChar w:fldCharType="separate"/>
        </w:r>
        <w:r w:rsidR="0014738C">
          <w:rPr>
            <w:rFonts w:ascii="Simplified Arabic" w:hAnsi="Simplified Arabic" w:cs="Simplified Arabic"/>
            <w:b/>
            <w:bCs/>
            <w:noProof/>
            <w:sz w:val="24"/>
            <w:szCs w:val="24"/>
            <w:rtl/>
          </w:rPr>
          <w:t>37</w:t>
        </w:r>
        <w:r w:rsidRPr="009F3763">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ED869" w14:textId="15A86E1F" w:rsidR="00210F5B" w:rsidRPr="009F3763" w:rsidRDefault="00210F5B" w:rsidP="00210F5B">
    <w:pPr>
      <w:pStyle w:val="a4"/>
      <w:tabs>
        <w:tab w:val="left" w:pos="4271"/>
        <w:tab w:val="center" w:pos="4535"/>
      </w:tabs>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80AD89" w14:textId="77777777" w:rsidR="00CA4B8A" w:rsidRDefault="00CA4B8A" w:rsidP="009125CE">
      <w:pPr>
        <w:spacing w:after="0" w:line="240" w:lineRule="auto"/>
      </w:pPr>
      <w:r>
        <w:separator/>
      </w:r>
    </w:p>
  </w:footnote>
  <w:footnote w:type="continuationSeparator" w:id="0">
    <w:p w14:paraId="5A88030D" w14:textId="77777777" w:rsidR="00CA4B8A" w:rsidRDefault="00CA4B8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F076F"/>
    <w:multiLevelType w:val="hybridMultilevel"/>
    <w:tmpl w:val="A412B8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471418"/>
    <w:multiLevelType w:val="hybridMultilevel"/>
    <w:tmpl w:val="0FE63D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FC153D"/>
    <w:multiLevelType w:val="hybridMultilevel"/>
    <w:tmpl w:val="FD2655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6F56E5"/>
    <w:multiLevelType w:val="multilevel"/>
    <w:tmpl w:val="B0D8B9C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486A3E"/>
    <w:multiLevelType w:val="multilevel"/>
    <w:tmpl w:val="B0D8B9C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80D1162"/>
    <w:multiLevelType w:val="multilevel"/>
    <w:tmpl w:val="B0D8B9C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37538B"/>
    <w:multiLevelType w:val="multilevel"/>
    <w:tmpl w:val="B0D8B9C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3323E7"/>
    <w:multiLevelType w:val="hybridMultilevel"/>
    <w:tmpl w:val="09B267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4630396">
    <w:abstractNumId w:val="6"/>
  </w:num>
  <w:num w:numId="2" w16cid:durableId="1615210793">
    <w:abstractNumId w:val="3"/>
  </w:num>
  <w:num w:numId="3" w16cid:durableId="1986427040">
    <w:abstractNumId w:val="5"/>
  </w:num>
  <w:num w:numId="4" w16cid:durableId="1098019668">
    <w:abstractNumId w:val="4"/>
  </w:num>
  <w:num w:numId="5" w16cid:durableId="1690057560">
    <w:abstractNumId w:val="7"/>
  </w:num>
  <w:num w:numId="6" w16cid:durableId="1214387344">
    <w:abstractNumId w:val="1"/>
  </w:num>
  <w:num w:numId="7" w16cid:durableId="1392659206">
    <w:abstractNumId w:val="0"/>
  </w:num>
  <w:num w:numId="8" w16cid:durableId="1029338429">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30913"/>
    <w:rsid w:val="00034342"/>
    <w:rsid w:val="0004554E"/>
    <w:rsid w:val="00052AB0"/>
    <w:rsid w:val="00053122"/>
    <w:rsid w:val="000543EF"/>
    <w:rsid w:val="000602CA"/>
    <w:rsid w:val="000610C9"/>
    <w:rsid w:val="00061FA2"/>
    <w:rsid w:val="00064FF1"/>
    <w:rsid w:val="00067938"/>
    <w:rsid w:val="0007370A"/>
    <w:rsid w:val="000769E1"/>
    <w:rsid w:val="000842EB"/>
    <w:rsid w:val="00091FE7"/>
    <w:rsid w:val="00093973"/>
    <w:rsid w:val="00094E98"/>
    <w:rsid w:val="000A06E6"/>
    <w:rsid w:val="000A2ED4"/>
    <w:rsid w:val="000A4AC3"/>
    <w:rsid w:val="000A4DAE"/>
    <w:rsid w:val="000A6930"/>
    <w:rsid w:val="000C4130"/>
    <w:rsid w:val="000C46EE"/>
    <w:rsid w:val="000C6F98"/>
    <w:rsid w:val="000D03ED"/>
    <w:rsid w:val="000D2E22"/>
    <w:rsid w:val="000D353F"/>
    <w:rsid w:val="000D7A52"/>
    <w:rsid w:val="000E0212"/>
    <w:rsid w:val="000E2A00"/>
    <w:rsid w:val="000E3680"/>
    <w:rsid w:val="000E503B"/>
    <w:rsid w:val="000F44B4"/>
    <w:rsid w:val="000F61DD"/>
    <w:rsid w:val="00110487"/>
    <w:rsid w:val="0012342D"/>
    <w:rsid w:val="001306F3"/>
    <w:rsid w:val="00131E44"/>
    <w:rsid w:val="00143989"/>
    <w:rsid w:val="0014738C"/>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0F5B"/>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5D8B"/>
    <w:rsid w:val="00357BB1"/>
    <w:rsid w:val="00357CD0"/>
    <w:rsid w:val="003620C0"/>
    <w:rsid w:val="0036476A"/>
    <w:rsid w:val="00370FDA"/>
    <w:rsid w:val="0037141D"/>
    <w:rsid w:val="00375565"/>
    <w:rsid w:val="00375658"/>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29FB"/>
    <w:rsid w:val="003E3EBB"/>
    <w:rsid w:val="003E7CB6"/>
    <w:rsid w:val="003F45EE"/>
    <w:rsid w:val="00401DBE"/>
    <w:rsid w:val="00402123"/>
    <w:rsid w:val="00403379"/>
    <w:rsid w:val="00403383"/>
    <w:rsid w:val="004130C0"/>
    <w:rsid w:val="00413CBD"/>
    <w:rsid w:val="00413DF8"/>
    <w:rsid w:val="00413F36"/>
    <w:rsid w:val="004163C7"/>
    <w:rsid w:val="004215C5"/>
    <w:rsid w:val="0042402B"/>
    <w:rsid w:val="004260FE"/>
    <w:rsid w:val="00433FD4"/>
    <w:rsid w:val="0043649D"/>
    <w:rsid w:val="004456CD"/>
    <w:rsid w:val="00446ED1"/>
    <w:rsid w:val="004475C8"/>
    <w:rsid w:val="00461163"/>
    <w:rsid w:val="004613E8"/>
    <w:rsid w:val="00461DB2"/>
    <w:rsid w:val="00464637"/>
    <w:rsid w:val="00464AF1"/>
    <w:rsid w:val="004706B4"/>
    <w:rsid w:val="004708AB"/>
    <w:rsid w:val="00470A2D"/>
    <w:rsid w:val="00473631"/>
    <w:rsid w:val="00474A1C"/>
    <w:rsid w:val="00475C10"/>
    <w:rsid w:val="00476ADB"/>
    <w:rsid w:val="0047707D"/>
    <w:rsid w:val="00482056"/>
    <w:rsid w:val="00482616"/>
    <w:rsid w:val="00491EAB"/>
    <w:rsid w:val="004A035D"/>
    <w:rsid w:val="004A04D1"/>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5B9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1C45"/>
    <w:rsid w:val="00597F74"/>
    <w:rsid w:val="005A4FB6"/>
    <w:rsid w:val="005A755A"/>
    <w:rsid w:val="005B112C"/>
    <w:rsid w:val="005B2F92"/>
    <w:rsid w:val="005B5824"/>
    <w:rsid w:val="005B7D85"/>
    <w:rsid w:val="005D0E3A"/>
    <w:rsid w:val="005D1F90"/>
    <w:rsid w:val="005D25AE"/>
    <w:rsid w:val="005D2620"/>
    <w:rsid w:val="005D5DB7"/>
    <w:rsid w:val="005E37C2"/>
    <w:rsid w:val="005E3F86"/>
    <w:rsid w:val="005E4AF3"/>
    <w:rsid w:val="005F2722"/>
    <w:rsid w:val="005F467A"/>
    <w:rsid w:val="006020A6"/>
    <w:rsid w:val="006044AD"/>
    <w:rsid w:val="00604CE7"/>
    <w:rsid w:val="006068C6"/>
    <w:rsid w:val="006111E3"/>
    <w:rsid w:val="006112DD"/>
    <w:rsid w:val="0061146E"/>
    <w:rsid w:val="00617C5B"/>
    <w:rsid w:val="00623FC1"/>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8E2"/>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0EBF"/>
    <w:rsid w:val="00821534"/>
    <w:rsid w:val="0083081C"/>
    <w:rsid w:val="00831F14"/>
    <w:rsid w:val="008332E4"/>
    <w:rsid w:val="0083662A"/>
    <w:rsid w:val="00837FAD"/>
    <w:rsid w:val="0084024D"/>
    <w:rsid w:val="00845E7F"/>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024C"/>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563EE"/>
    <w:rsid w:val="0096099D"/>
    <w:rsid w:val="009638CB"/>
    <w:rsid w:val="00963C6C"/>
    <w:rsid w:val="00964E82"/>
    <w:rsid w:val="009652F6"/>
    <w:rsid w:val="00966F46"/>
    <w:rsid w:val="00970F41"/>
    <w:rsid w:val="0097383F"/>
    <w:rsid w:val="009760DA"/>
    <w:rsid w:val="00976DC2"/>
    <w:rsid w:val="00980234"/>
    <w:rsid w:val="00984196"/>
    <w:rsid w:val="00985B71"/>
    <w:rsid w:val="0098768E"/>
    <w:rsid w:val="00994120"/>
    <w:rsid w:val="009A1D1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0E3A"/>
    <w:rsid w:val="009F3763"/>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27438"/>
    <w:rsid w:val="00A30D10"/>
    <w:rsid w:val="00A31A25"/>
    <w:rsid w:val="00A348C1"/>
    <w:rsid w:val="00A3547E"/>
    <w:rsid w:val="00A35B21"/>
    <w:rsid w:val="00A40ADE"/>
    <w:rsid w:val="00A44EBE"/>
    <w:rsid w:val="00A4659A"/>
    <w:rsid w:val="00A50745"/>
    <w:rsid w:val="00A55EF3"/>
    <w:rsid w:val="00A56A72"/>
    <w:rsid w:val="00A57461"/>
    <w:rsid w:val="00A71BCE"/>
    <w:rsid w:val="00A71E73"/>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20E47"/>
    <w:rsid w:val="00B23150"/>
    <w:rsid w:val="00B303DC"/>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6D0F"/>
    <w:rsid w:val="00B9286F"/>
    <w:rsid w:val="00BA0E1B"/>
    <w:rsid w:val="00BA1572"/>
    <w:rsid w:val="00BA1B67"/>
    <w:rsid w:val="00BA3D6A"/>
    <w:rsid w:val="00BA522C"/>
    <w:rsid w:val="00BA5817"/>
    <w:rsid w:val="00BB1144"/>
    <w:rsid w:val="00BB3514"/>
    <w:rsid w:val="00BB5324"/>
    <w:rsid w:val="00BB6CD7"/>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6D8"/>
    <w:rsid w:val="00C50BCD"/>
    <w:rsid w:val="00C510C4"/>
    <w:rsid w:val="00C62935"/>
    <w:rsid w:val="00C67472"/>
    <w:rsid w:val="00C71E18"/>
    <w:rsid w:val="00C74890"/>
    <w:rsid w:val="00C75293"/>
    <w:rsid w:val="00C75BC1"/>
    <w:rsid w:val="00C77324"/>
    <w:rsid w:val="00C77A43"/>
    <w:rsid w:val="00C83C91"/>
    <w:rsid w:val="00C83DD5"/>
    <w:rsid w:val="00C83F6A"/>
    <w:rsid w:val="00C86842"/>
    <w:rsid w:val="00C9332D"/>
    <w:rsid w:val="00C9427A"/>
    <w:rsid w:val="00C9690C"/>
    <w:rsid w:val="00C96BB5"/>
    <w:rsid w:val="00CA0736"/>
    <w:rsid w:val="00CA24A2"/>
    <w:rsid w:val="00CA49E9"/>
    <w:rsid w:val="00CA4B8A"/>
    <w:rsid w:val="00CA6DC7"/>
    <w:rsid w:val="00CB2A94"/>
    <w:rsid w:val="00CB4A76"/>
    <w:rsid w:val="00CC4484"/>
    <w:rsid w:val="00CC4DEF"/>
    <w:rsid w:val="00CC6261"/>
    <w:rsid w:val="00CC6705"/>
    <w:rsid w:val="00CC7877"/>
    <w:rsid w:val="00CD105C"/>
    <w:rsid w:val="00CF1F0B"/>
    <w:rsid w:val="00CF4901"/>
    <w:rsid w:val="00CF552E"/>
    <w:rsid w:val="00CF6CEC"/>
    <w:rsid w:val="00D043D4"/>
    <w:rsid w:val="00D1053F"/>
    <w:rsid w:val="00D10F38"/>
    <w:rsid w:val="00D1454F"/>
    <w:rsid w:val="00D17478"/>
    <w:rsid w:val="00D216C5"/>
    <w:rsid w:val="00D22171"/>
    <w:rsid w:val="00D274B5"/>
    <w:rsid w:val="00D27AED"/>
    <w:rsid w:val="00D30845"/>
    <w:rsid w:val="00D3210F"/>
    <w:rsid w:val="00D32470"/>
    <w:rsid w:val="00D33051"/>
    <w:rsid w:val="00D417B5"/>
    <w:rsid w:val="00D5653F"/>
    <w:rsid w:val="00D57D04"/>
    <w:rsid w:val="00D60743"/>
    <w:rsid w:val="00D92BC0"/>
    <w:rsid w:val="00D92F77"/>
    <w:rsid w:val="00D94FC5"/>
    <w:rsid w:val="00D965B5"/>
    <w:rsid w:val="00DA0EBA"/>
    <w:rsid w:val="00DA1C1B"/>
    <w:rsid w:val="00DA3C05"/>
    <w:rsid w:val="00DA4A91"/>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4C32"/>
    <w:rsid w:val="00E452A2"/>
    <w:rsid w:val="00E50B03"/>
    <w:rsid w:val="00E53564"/>
    <w:rsid w:val="00E552BA"/>
    <w:rsid w:val="00E640C5"/>
    <w:rsid w:val="00E64188"/>
    <w:rsid w:val="00E6570B"/>
    <w:rsid w:val="00E663FA"/>
    <w:rsid w:val="00E67CA1"/>
    <w:rsid w:val="00E67D1B"/>
    <w:rsid w:val="00E71C79"/>
    <w:rsid w:val="00E738F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485F"/>
    <w:rsid w:val="00EF5F43"/>
    <w:rsid w:val="00F00FB8"/>
    <w:rsid w:val="00F10C89"/>
    <w:rsid w:val="00F11345"/>
    <w:rsid w:val="00F12EEC"/>
    <w:rsid w:val="00F1646F"/>
    <w:rsid w:val="00F17434"/>
    <w:rsid w:val="00F30BD7"/>
    <w:rsid w:val="00F310F2"/>
    <w:rsid w:val="00F33937"/>
    <w:rsid w:val="00F3442D"/>
    <w:rsid w:val="00F450D5"/>
    <w:rsid w:val="00F540A1"/>
    <w:rsid w:val="00F546CE"/>
    <w:rsid w:val="00F563E2"/>
    <w:rsid w:val="00F60BB7"/>
    <w:rsid w:val="00F66109"/>
    <w:rsid w:val="00F72CBB"/>
    <w:rsid w:val="00F733B2"/>
    <w:rsid w:val="00F8780B"/>
    <w:rsid w:val="00F91846"/>
    <w:rsid w:val="00F95872"/>
    <w:rsid w:val="00F97DB4"/>
    <w:rsid w:val="00FA0A03"/>
    <w:rsid w:val="00FA24AF"/>
    <w:rsid w:val="00FA3CED"/>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4033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6-1">
    <w:name w:val="Grid Table 6 Colorful Accent 1"/>
    <w:basedOn w:val="a1"/>
    <w:uiPriority w:val="51"/>
    <w:rsid w:val="009F3763"/>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6-2">
    <w:name w:val="Grid Table 6 Colorful Accent 2"/>
    <w:basedOn w:val="a1"/>
    <w:uiPriority w:val="51"/>
    <w:rsid w:val="00D17478"/>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210F5B"/>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6-5">
    <w:name w:val="Grid Table 6 Colorful Accent 5"/>
    <w:basedOn w:val="a1"/>
    <w:uiPriority w:val="51"/>
    <w:rsid w:val="003F45E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91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54351795">
      <w:bodyDiv w:val="1"/>
      <w:marLeft w:val="0"/>
      <w:marRight w:val="0"/>
      <w:marTop w:val="0"/>
      <w:marBottom w:val="0"/>
      <w:divBdr>
        <w:top w:val="none" w:sz="0" w:space="0" w:color="auto"/>
        <w:left w:val="none" w:sz="0" w:space="0" w:color="auto"/>
        <w:bottom w:val="none" w:sz="0" w:space="0" w:color="auto"/>
        <w:right w:val="none" w:sz="0" w:space="0" w:color="auto"/>
      </w:divBdr>
    </w:div>
    <w:div w:id="64299438">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1456495">
      <w:bodyDiv w:val="1"/>
      <w:marLeft w:val="0"/>
      <w:marRight w:val="0"/>
      <w:marTop w:val="0"/>
      <w:marBottom w:val="0"/>
      <w:divBdr>
        <w:top w:val="none" w:sz="0" w:space="0" w:color="auto"/>
        <w:left w:val="none" w:sz="0" w:space="0" w:color="auto"/>
        <w:bottom w:val="none" w:sz="0" w:space="0" w:color="auto"/>
        <w:right w:val="none" w:sz="0" w:space="0" w:color="auto"/>
      </w:divBdr>
    </w:div>
    <w:div w:id="10685329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0826410">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223329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5886776">
      <w:bodyDiv w:val="1"/>
      <w:marLeft w:val="0"/>
      <w:marRight w:val="0"/>
      <w:marTop w:val="0"/>
      <w:marBottom w:val="0"/>
      <w:divBdr>
        <w:top w:val="none" w:sz="0" w:space="0" w:color="auto"/>
        <w:left w:val="none" w:sz="0" w:space="0" w:color="auto"/>
        <w:bottom w:val="none" w:sz="0" w:space="0" w:color="auto"/>
        <w:right w:val="none" w:sz="0" w:space="0" w:color="auto"/>
      </w:divBdr>
    </w:div>
    <w:div w:id="274024228">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402291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18190198">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45980949">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6640502">
      <w:bodyDiv w:val="1"/>
      <w:marLeft w:val="0"/>
      <w:marRight w:val="0"/>
      <w:marTop w:val="0"/>
      <w:marBottom w:val="0"/>
      <w:divBdr>
        <w:top w:val="none" w:sz="0" w:space="0" w:color="auto"/>
        <w:left w:val="none" w:sz="0" w:space="0" w:color="auto"/>
        <w:bottom w:val="none" w:sz="0" w:space="0" w:color="auto"/>
        <w:right w:val="none" w:sz="0" w:space="0" w:color="auto"/>
      </w:divBdr>
    </w:div>
    <w:div w:id="390662589">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3749531">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88639478">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396197">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453571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5865562">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215183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70665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159162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8289118">
      <w:bodyDiv w:val="1"/>
      <w:marLeft w:val="0"/>
      <w:marRight w:val="0"/>
      <w:marTop w:val="0"/>
      <w:marBottom w:val="0"/>
      <w:divBdr>
        <w:top w:val="none" w:sz="0" w:space="0" w:color="auto"/>
        <w:left w:val="none" w:sz="0" w:space="0" w:color="auto"/>
        <w:bottom w:val="none" w:sz="0" w:space="0" w:color="auto"/>
        <w:right w:val="none" w:sz="0" w:space="0" w:color="auto"/>
      </w:divBdr>
    </w:div>
    <w:div w:id="669213691">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2488815">
      <w:bodyDiv w:val="1"/>
      <w:marLeft w:val="0"/>
      <w:marRight w:val="0"/>
      <w:marTop w:val="0"/>
      <w:marBottom w:val="0"/>
      <w:divBdr>
        <w:top w:val="none" w:sz="0" w:space="0" w:color="auto"/>
        <w:left w:val="none" w:sz="0" w:space="0" w:color="auto"/>
        <w:bottom w:val="none" w:sz="0" w:space="0" w:color="auto"/>
        <w:right w:val="none" w:sz="0" w:space="0" w:color="auto"/>
      </w:divBdr>
    </w:div>
    <w:div w:id="741802855">
      <w:bodyDiv w:val="1"/>
      <w:marLeft w:val="0"/>
      <w:marRight w:val="0"/>
      <w:marTop w:val="0"/>
      <w:marBottom w:val="0"/>
      <w:divBdr>
        <w:top w:val="none" w:sz="0" w:space="0" w:color="auto"/>
        <w:left w:val="none" w:sz="0" w:space="0" w:color="auto"/>
        <w:bottom w:val="none" w:sz="0" w:space="0" w:color="auto"/>
        <w:right w:val="none" w:sz="0" w:space="0" w:color="auto"/>
      </w:divBdr>
    </w:div>
    <w:div w:id="77197926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172002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226293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153661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7475598">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84993616">
      <w:bodyDiv w:val="1"/>
      <w:marLeft w:val="0"/>
      <w:marRight w:val="0"/>
      <w:marTop w:val="0"/>
      <w:marBottom w:val="0"/>
      <w:divBdr>
        <w:top w:val="none" w:sz="0" w:space="0" w:color="auto"/>
        <w:left w:val="none" w:sz="0" w:space="0" w:color="auto"/>
        <w:bottom w:val="none" w:sz="0" w:space="0" w:color="auto"/>
        <w:right w:val="none" w:sz="0" w:space="0" w:color="auto"/>
      </w:divBdr>
      <w:divsChild>
        <w:div w:id="13302133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0552121">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435716">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8258960">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097366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69133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2615602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6494158">
      <w:bodyDiv w:val="1"/>
      <w:marLeft w:val="0"/>
      <w:marRight w:val="0"/>
      <w:marTop w:val="0"/>
      <w:marBottom w:val="0"/>
      <w:divBdr>
        <w:top w:val="none" w:sz="0" w:space="0" w:color="auto"/>
        <w:left w:val="none" w:sz="0" w:space="0" w:color="auto"/>
        <w:bottom w:val="none" w:sz="0" w:space="0" w:color="auto"/>
        <w:right w:val="none" w:sz="0" w:space="0" w:color="auto"/>
      </w:divBdr>
    </w:div>
    <w:div w:id="166855499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7825346">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5415882">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882262">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0712472">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804588">
      <w:bodyDiv w:val="1"/>
      <w:marLeft w:val="0"/>
      <w:marRight w:val="0"/>
      <w:marTop w:val="0"/>
      <w:marBottom w:val="0"/>
      <w:divBdr>
        <w:top w:val="none" w:sz="0" w:space="0" w:color="auto"/>
        <w:left w:val="none" w:sz="0" w:space="0" w:color="auto"/>
        <w:bottom w:val="none" w:sz="0" w:space="0" w:color="auto"/>
        <w:right w:val="none" w:sz="0" w:space="0" w:color="auto"/>
      </w:divBdr>
    </w:div>
    <w:div w:id="2010521801">
      <w:bodyDiv w:val="1"/>
      <w:marLeft w:val="0"/>
      <w:marRight w:val="0"/>
      <w:marTop w:val="0"/>
      <w:marBottom w:val="0"/>
      <w:divBdr>
        <w:top w:val="none" w:sz="0" w:space="0" w:color="auto"/>
        <w:left w:val="none" w:sz="0" w:space="0" w:color="auto"/>
        <w:bottom w:val="none" w:sz="0" w:space="0" w:color="auto"/>
        <w:right w:val="none" w:sz="0" w:space="0" w:color="auto"/>
      </w:divBdr>
      <w:divsChild>
        <w:div w:id="2002851878">
          <w:marLeft w:val="0"/>
          <w:marRight w:val="0"/>
          <w:marTop w:val="0"/>
          <w:marBottom w:val="0"/>
          <w:divBdr>
            <w:top w:val="none" w:sz="0" w:space="0" w:color="auto"/>
            <w:left w:val="none" w:sz="0" w:space="0" w:color="auto"/>
            <w:bottom w:val="none" w:sz="0" w:space="0" w:color="auto"/>
            <w:right w:val="none" w:sz="0" w:space="0" w:color="auto"/>
          </w:divBdr>
          <w:divsChild>
            <w:div w:id="286933160">
              <w:marLeft w:val="0"/>
              <w:marRight w:val="0"/>
              <w:marTop w:val="0"/>
              <w:marBottom w:val="0"/>
              <w:divBdr>
                <w:top w:val="none" w:sz="0" w:space="0" w:color="auto"/>
                <w:left w:val="none" w:sz="0" w:space="0" w:color="auto"/>
                <w:bottom w:val="none" w:sz="0" w:space="0" w:color="auto"/>
                <w:right w:val="none" w:sz="0" w:space="0" w:color="auto"/>
              </w:divBdr>
              <w:divsChild>
                <w:div w:id="1979719576">
                  <w:marLeft w:val="0"/>
                  <w:marRight w:val="0"/>
                  <w:marTop w:val="0"/>
                  <w:marBottom w:val="0"/>
                  <w:divBdr>
                    <w:top w:val="none" w:sz="0" w:space="0" w:color="auto"/>
                    <w:left w:val="none" w:sz="0" w:space="0" w:color="auto"/>
                    <w:bottom w:val="none" w:sz="0" w:space="0" w:color="auto"/>
                    <w:right w:val="none" w:sz="0" w:space="0" w:color="auto"/>
                  </w:divBdr>
                  <w:divsChild>
                    <w:div w:id="1169174331">
                      <w:marLeft w:val="0"/>
                      <w:marRight w:val="0"/>
                      <w:marTop w:val="0"/>
                      <w:marBottom w:val="0"/>
                      <w:divBdr>
                        <w:top w:val="none" w:sz="0" w:space="0" w:color="auto"/>
                        <w:left w:val="none" w:sz="0" w:space="0" w:color="auto"/>
                        <w:bottom w:val="none" w:sz="0" w:space="0" w:color="auto"/>
                        <w:right w:val="none" w:sz="0" w:space="0" w:color="auto"/>
                      </w:divBdr>
                      <w:divsChild>
                        <w:div w:id="1940214741">
                          <w:marLeft w:val="0"/>
                          <w:marRight w:val="0"/>
                          <w:marTop w:val="0"/>
                          <w:marBottom w:val="0"/>
                          <w:divBdr>
                            <w:top w:val="none" w:sz="0" w:space="0" w:color="auto"/>
                            <w:left w:val="none" w:sz="0" w:space="0" w:color="auto"/>
                            <w:bottom w:val="none" w:sz="0" w:space="0" w:color="auto"/>
                            <w:right w:val="none" w:sz="0" w:space="0" w:color="auto"/>
                          </w:divBdr>
                          <w:divsChild>
                            <w:div w:id="2114746509">
                              <w:marLeft w:val="0"/>
                              <w:marRight w:val="0"/>
                              <w:marTop w:val="0"/>
                              <w:marBottom w:val="0"/>
                              <w:divBdr>
                                <w:top w:val="none" w:sz="0" w:space="0" w:color="auto"/>
                                <w:left w:val="none" w:sz="0" w:space="0" w:color="auto"/>
                                <w:bottom w:val="none" w:sz="0" w:space="0" w:color="auto"/>
                                <w:right w:val="none" w:sz="0" w:space="0" w:color="auto"/>
                              </w:divBdr>
                              <w:divsChild>
                                <w:div w:id="27545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849081">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49910394">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7075019">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3667375">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58485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ACF0E7-B7B1-480E-9F29-C65074DEE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41</Pages>
  <Words>10759</Words>
  <Characters>62728</Characters>
  <Application>Microsoft Office Word</Application>
  <DocSecurity>0</DocSecurity>
  <Lines>922</Lines>
  <Paragraphs>283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Nasser Alharbi</cp:lastModifiedBy>
  <cp:revision>4</cp:revision>
  <cp:lastPrinted>2026-07-03T08:45:00Z</cp:lastPrinted>
  <dcterms:created xsi:type="dcterms:W3CDTF">2026-07-03T08:45:00Z</dcterms:created>
  <dcterms:modified xsi:type="dcterms:W3CDTF">2026-07-14T11:29:00Z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