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13F96" w14:textId="77777777" w:rsidR="008E7AE0" w:rsidRPr="008E7AE0" w:rsidRDefault="008E7AE0" w:rsidP="008E7AE0">
      <w:pPr>
        <w:spacing w:after="0" w:line="240" w:lineRule="auto"/>
        <w:ind w:firstLine="567"/>
        <w:jc w:val="both"/>
        <w:rPr>
          <w:rFonts w:ascii="Simplified Arabic" w:eastAsia="Calibri" w:hAnsi="Simplified Arabic" w:cs="Simplified Arabic"/>
          <w:b/>
          <w:bCs/>
          <w:noProof/>
          <w:sz w:val="32"/>
          <w:szCs w:val="32"/>
          <w:rtl/>
          <w:lang w:bidi="ar-SY"/>
        </w:rPr>
      </w:pPr>
      <w:r w:rsidRPr="008E7AE0">
        <w:rPr>
          <w:rFonts w:ascii="Simplified Arabic" w:eastAsia="Calibri" w:hAnsi="Simplified Arabic" w:cs="Simplified Arabic"/>
          <w:b/>
          <w:bCs/>
          <w:noProof/>
          <w:color w:val="8496B0"/>
          <w:sz w:val="32"/>
          <w:szCs w:val="32"/>
          <w:rtl/>
        </w:rPr>
        <w:drawing>
          <wp:anchor distT="0" distB="0" distL="114300" distR="114300" simplePos="0" relativeHeight="251682304" behindDoc="1" locked="0" layoutInCell="1" allowOverlap="1" wp14:anchorId="6DFCC6E8" wp14:editId="15679244">
            <wp:simplePos x="0" y="0"/>
            <wp:positionH relativeFrom="column">
              <wp:posOffset>172720</wp:posOffset>
            </wp:positionH>
            <wp:positionV relativeFrom="paragraph">
              <wp:posOffset>0</wp:posOffset>
            </wp:positionV>
            <wp:extent cx="1725295" cy="961390"/>
            <wp:effectExtent l="0" t="0" r="8255" b="0"/>
            <wp:wrapTight wrapText="bothSides">
              <wp:wrapPolygon edited="0">
                <wp:start x="0" y="0"/>
                <wp:lineTo x="0" y="20972"/>
                <wp:lineTo x="21465" y="20972"/>
                <wp:lineTo x="21465" y="0"/>
                <wp:lineTo x="0" y="0"/>
              </wp:wrapPolygon>
            </wp:wrapTight>
            <wp:docPr id="413983434"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25295" cy="961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7AE0">
        <w:rPr>
          <w:rFonts w:ascii="Simplified Arabic" w:eastAsia="Calibri" w:hAnsi="Simplified Arabic" w:cs="Simplified Arabic"/>
          <w:b/>
          <w:bCs/>
          <w:noProof/>
          <w:sz w:val="32"/>
          <w:szCs w:val="32"/>
          <w:rtl/>
          <w:lang w:bidi="ar-SY"/>
        </w:rPr>
        <w:t xml:space="preserve">   جامعة ميدأوشن                                 </w:t>
      </w:r>
    </w:p>
    <w:p w14:paraId="7A014112" w14:textId="77777777" w:rsidR="008E7AE0" w:rsidRPr="008E7AE0" w:rsidRDefault="008E7AE0" w:rsidP="008E7AE0">
      <w:pPr>
        <w:spacing w:after="0" w:line="240" w:lineRule="auto"/>
        <w:ind w:firstLine="567"/>
        <w:jc w:val="both"/>
        <w:rPr>
          <w:rFonts w:ascii="Simplified Arabic" w:eastAsia="Calibri" w:hAnsi="Simplified Arabic" w:cs="Simplified Arabic"/>
          <w:b/>
          <w:bCs/>
          <w:noProof/>
          <w:sz w:val="32"/>
          <w:szCs w:val="32"/>
          <w:rtl/>
          <w:lang w:bidi="ar-SY"/>
        </w:rPr>
      </w:pPr>
      <w:r w:rsidRPr="008E7AE0">
        <w:rPr>
          <w:rFonts w:ascii="Simplified Arabic" w:eastAsia="Calibri" w:hAnsi="Simplified Arabic" w:cs="Simplified Arabic"/>
          <w:b/>
          <w:bCs/>
          <w:color w:val="000000"/>
          <w:sz w:val="32"/>
          <w:szCs w:val="32"/>
          <w:rtl/>
        </w:rPr>
        <w:t xml:space="preserve">     كلية</w:t>
      </w:r>
      <w:r w:rsidRPr="008E7AE0">
        <w:rPr>
          <w:rFonts w:ascii="Simplified Arabic" w:eastAsia="Calibri" w:hAnsi="Simplified Arabic" w:cs="Simplified Arabic"/>
          <w:b/>
          <w:bCs/>
          <w:noProof/>
          <w:sz w:val="32"/>
          <w:szCs w:val="32"/>
          <w:rtl/>
          <w:lang w:bidi="ar-SY"/>
        </w:rPr>
        <w:t xml:space="preserve"> الإدارة</w:t>
      </w:r>
    </w:p>
    <w:p w14:paraId="1D2A38BE" w14:textId="77777777" w:rsidR="008E7AE0" w:rsidRPr="008E7AE0" w:rsidRDefault="008E7AE0" w:rsidP="008E7AE0">
      <w:pPr>
        <w:spacing w:after="0" w:line="240" w:lineRule="auto"/>
        <w:ind w:firstLine="567"/>
        <w:jc w:val="both"/>
        <w:rPr>
          <w:rFonts w:ascii="Simplified Arabic" w:eastAsia="Calibri" w:hAnsi="Simplified Arabic" w:cs="Simplified Arabic"/>
          <w:b/>
          <w:bCs/>
          <w:noProof/>
          <w:sz w:val="32"/>
          <w:szCs w:val="32"/>
          <w:rtl/>
        </w:rPr>
      </w:pPr>
      <w:r w:rsidRPr="008E7AE0">
        <w:rPr>
          <w:rFonts w:ascii="Simplified Arabic" w:eastAsia="Calibri" w:hAnsi="Simplified Arabic" w:cs="Simplified Arabic"/>
          <w:b/>
          <w:bCs/>
          <w:noProof/>
          <w:sz w:val="32"/>
          <w:szCs w:val="32"/>
          <w:rtl/>
          <w:lang w:bidi="ar-SY"/>
        </w:rPr>
        <w:t>ماجستير تخصص إدارة المشاريع</w:t>
      </w:r>
    </w:p>
    <w:p w14:paraId="77CF8565" w14:textId="77777777" w:rsidR="008E7AE0" w:rsidRPr="008E7AE0" w:rsidRDefault="008E7AE0" w:rsidP="008E7AE0">
      <w:pPr>
        <w:spacing w:after="360" w:line="240" w:lineRule="auto"/>
        <w:ind w:firstLine="567"/>
        <w:jc w:val="both"/>
        <w:rPr>
          <w:rFonts w:ascii="Simplified Arabic" w:eastAsia="Calibri" w:hAnsi="Simplified Arabic" w:cs="Simplified Arabic"/>
          <w:b/>
          <w:bCs/>
          <w:noProof/>
          <w:sz w:val="32"/>
          <w:szCs w:val="32"/>
          <w:rtl/>
          <w:lang w:bidi="ar-SY"/>
        </w:rPr>
      </w:pPr>
    </w:p>
    <w:p w14:paraId="6F3D729E" w14:textId="77777777" w:rsidR="008E7AE0" w:rsidRPr="008E7AE0" w:rsidRDefault="008E7AE0" w:rsidP="008E7AE0">
      <w:pPr>
        <w:spacing w:after="360" w:line="240" w:lineRule="auto"/>
        <w:ind w:firstLine="567"/>
        <w:jc w:val="both"/>
        <w:rPr>
          <w:rFonts w:ascii="Simplified Arabic" w:eastAsia="Calibri" w:hAnsi="Simplified Arabic" w:cs="Simplified Arabic"/>
          <w:b/>
          <w:bCs/>
          <w:noProof/>
          <w:sz w:val="46"/>
          <w:szCs w:val="46"/>
          <w:rtl/>
          <w:lang w:bidi="ar-SY"/>
        </w:rPr>
      </w:pPr>
    </w:p>
    <w:p w14:paraId="1BA8E0EB" w14:textId="77777777" w:rsidR="00E53D01" w:rsidRPr="00EA59B6" w:rsidRDefault="00E53D01" w:rsidP="00E53D01">
      <w:pPr>
        <w:spacing w:after="360" w:line="240" w:lineRule="auto"/>
        <w:jc w:val="center"/>
        <w:rPr>
          <w:rFonts w:ascii="Simplified Arabic" w:eastAsia="Calibri" w:hAnsi="Simplified Arabic" w:cs="Simplified Arabic"/>
          <w:b/>
          <w:bCs/>
          <w:sz w:val="16"/>
          <w:szCs w:val="16"/>
          <w:rtl/>
        </w:rPr>
      </w:pPr>
      <w:r w:rsidRPr="00EA59B6">
        <w:rPr>
          <w:rFonts w:ascii="Simplified Arabic" w:eastAsia="Calibri" w:hAnsi="Simplified Arabic" w:cs="PT Bold Heading"/>
          <w:sz w:val="40"/>
          <w:szCs w:val="40"/>
          <w:rtl/>
        </w:rPr>
        <w:t>استخدام الذكاء الاصطناعي في إدارة المشاريع وأثره في تحسين كفاءة أداء ‏المشاريع ‏‏السعودية</w:t>
      </w:r>
      <w:r w:rsidRPr="00EA59B6">
        <w:rPr>
          <w:rFonts w:ascii="Times New Roman" w:eastAsia="Calibri" w:hAnsi="Times New Roman" w:cs="Simplified Arabic"/>
          <w:b/>
          <w:bCs/>
          <w:sz w:val="44"/>
          <w:szCs w:val="48"/>
          <w:rtl/>
        </w:rPr>
        <w:t>‏</w:t>
      </w:r>
    </w:p>
    <w:p w14:paraId="38C95317" w14:textId="77777777" w:rsidR="00E53D01" w:rsidRPr="00EA59B6" w:rsidRDefault="00E53D01" w:rsidP="00E53D01">
      <w:pPr>
        <w:spacing w:after="360" w:line="240" w:lineRule="auto"/>
        <w:ind w:firstLine="567"/>
        <w:jc w:val="center"/>
        <w:rPr>
          <w:rFonts w:ascii="Simplified Arabic" w:eastAsia="Calibri" w:hAnsi="Simplified Arabic" w:cs="Simplified Arabic"/>
          <w:b/>
          <w:bCs/>
          <w:sz w:val="16"/>
          <w:szCs w:val="16"/>
          <w:rtl/>
        </w:rPr>
      </w:pPr>
    </w:p>
    <w:p w14:paraId="1E856A48" w14:textId="77777777" w:rsidR="00E53D01" w:rsidRPr="00EA59B6" w:rsidRDefault="00E53D01" w:rsidP="00E53D01">
      <w:pPr>
        <w:spacing w:after="0" w:line="240" w:lineRule="auto"/>
        <w:jc w:val="center"/>
        <w:rPr>
          <w:rFonts w:ascii="Simplified Arabic" w:eastAsia="Calibri" w:hAnsi="Simplified Arabic" w:cs="Simplified Arabic"/>
          <w:b/>
          <w:bCs/>
          <w:sz w:val="36"/>
          <w:szCs w:val="36"/>
          <w:rtl/>
          <w:lang w:bidi="ar-SY"/>
        </w:rPr>
      </w:pPr>
      <w:r w:rsidRPr="00EA59B6">
        <w:rPr>
          <w:rFonts w:ascii="Simplified Arabic" w:eastAsia="Calibri" w:hAnsi="Simplified Arabic" w:cs="Simplified Arabic"/>
          <w:b/>
          <w:bCs/>
          <w:sz w:val="36"/>
          <w:szCs w:val="36"/>
          <w:rtl/>
          <w:lang w:bidi="ar-SY"/>
        </w:rPr>
        <w:t>إعداد:</w:t>
      </w:r>
    </w:p>
    <w:p w14:paraId="7F4B0639" w14:textId="77777777" w:rsidR="00E53D01" w:rsidRPr="00EA59B6" w:rsidRDefault="00E53D01" w:rsidP="00E53D01">
      <w:pPr>
        <w:spacing w:after="0" w:line="240" w:lineRule="auto"/>
        <w:jc w:val="center"/>
        <w:rPr>
          <w:rFonts w:ascii="Simplified Arabic" w:eastAsia="Calibri" w:hAnsi="Simplified Arabic" w:cs="Simplified Arabic"/>
          <w:b/>
          <w:bCs/>
          <w:sz w:val="36"/>
          <w:szCs w:val="36"/>
          <w:rtl/>
          <w:lang w:bidi="ar-EG"/>
        </w:rPr>
      </w:pPr>
      <w:r w:rsidRPr="00EA59B6">
        <w:rPr>
          <w:rFonts w:ascii="Simplified Arabic" w:eastAsia="Calibri" w:hAnsi="Simplified Arabic" w:cs="Simplified Arabic"/>
          <w:b/>
          <w:bCs/>
          <w:sz w:val="36"/>
          <w:szCs w:val="36"/>
          <w:rtl/>
          <w:lang w:bidi="ar-EG"/>
        </w:rPr>
        <w:t xml:space="preserve">يسراء محمد </w:t>
      </w:r>
      <w:proofErr w:type="spellStart"/>
      <w:r w:rsidRPr="00EA59B6">
        <w:rPr>
          <w:rFonts w:ascii="Simplified Arabic" w:eastAsia="Calibri" w:hAnsi="Simplified Arabic" w:cs="Simplified Arabic"/>
          <w:b/>
          <w:bCs/>
          <w:sz w:val="36"/>
          <w:szCs w:val="36"/>
          <w:rtl/>
          <w:lang w:bidi="ar-EG"/>
        </w:rPr>
        <w:t>الجميعة</w:t>
      </w:r>
      <w:proofErr w:type="spellEnd"/>
    </w:p>
    <w:p w14:paraId="7C3AB024" w14:textId="77777777" w:rsidR="00E53D01" w:rsidRPr="00EA59B6" w:rsidRDefault="00E53D01" w:rsidP="00E53D01">
      <w:pPr>
        <w:spacing w:after="0" w:line="240" w:lineRule="auto"/>
        <w:jc w:val="center"/>
        <w:rPr>
          <w:rFonts w:ascii="Simplified Arabic" w:eastAsia="Calibri" w:hAnsi="Simplified Arabic" w:cs="Simplified Arabic"/>
          <w:b/>
          <w:bCs/>
          <w:sz w:val="36"/>
          <w:szCs w:val="36"/>
          <w:rtl/>
          <w:lang w:bidi="ar-EG"/>
        </w:rPr>
      </w:pPr>
      <w:r w:rsidRPr="00EA59B6">
        <w:rPr>
          <w:rFonts w:ascii="Simplified Arabic" w:eastAsia="Calibri" w:hAnsi="Simplified Arabic" w:cs="Simplified Arabic"/>
          <w:b/>
          <w:bCs/>
          <w:sz w:val="36"/>
          <w:szCs w:val="36"/>
          <w:rtl/>
          <w:lang w:bidi="ar-EG"/>
        </w:rPr>
        <w:t>الرقم الأكاديمي: 253001501</w:t>
      </w:r>
    </w:p>
    <w:p w14:paraId="72844398" w14:textId="77777777" w:rsidR="00E53D01" w:rsidRPr="00EA59B6" w:rsidRDefault="00E53D01" w:rsidP="00E53D01">
      <w:pPr>
        <w:spacing w:after="360" w:line="240" w:lineRule="auto"/>
        <w:jc w:val="center"/>
        <w:rPr>
          <w:rFonts w:ascii="Simplified Arabic" w:eastAsia="Calibri" w:hAnsi="Simplified Arabic" w:cs="Simplified Arabic"/>
          <w:b/>
          <w:bCs/>
          <w:sz w:val="30"/>
          <w:szCs w:val="30"/>
          <w:rtl/>
          <w:lang w:bidi="ar-EG"/>
        </w:rPr>
      </w:pPr>
    </w:p>
    <w:p w14:paraId="1405E40A" w14:textId="77777777" w:rsidR="008E7AE0" w:rsidRPr="008E7AE0" w:rsidRDefault="008E7AE0" w:rsidP="008E7AE0">
      <w:pPr>
        <w:spacing w:after="360" w:line="240" w:lineRule="auto"/>
        <w:jc w:val="center"/>
        <w:rPr>
          <w:rFonts w:ascii="Simplified Arabic" w:eastAsia="Calibri" w:hAnsi="Simplified Arabic" w:cs="Simplified Arabic"/>
          <w:b/>
          <w:bCs/>
          <w:sz w:val="30"/>
          <w:szCs w:val="30"/>
          <w:rtl/>
          <w:lang w:bidi="ar-EG"/>
        </w:rPr>
      </w:pPr>
    </w:p>
    <w:p w14:paraId="410A0B9B" w14:textId="77777777" w:rsidR="008E7AE0" w:rsidRPr="008E7AE0" w:rsidRDefault="008E7AE0" w:rsidP="008E7AE0">
      <w:pPr>
        <w:spacing w:after="0" w:line="240" w:lineRule="auto"/>
        <w:jc w:val="center"/>
        <w:rPr>
          <w:rFonts w:ascii="Simplified Arabic" w:eastAsia="Calibri" w:hAnsi="Simplified Arabic" w:cs="Simplified Arabic"/>
          <w:b/>
          <w:bCs/>
          <w:sz w:val="36"/>
          <w:szCs w:val="36"/>
          <w:rtl/>
          <w:lang w:bidi="ar-SY"/>
        </w:rPr>
      </w:pPr>
      <w:r w:rsidRPr="008E7AE0">
        <w:rPr>
          <w:rFonts w:ascii="Simplified Arabic" w:eastAsia="Calibri" w:hAnsi="Simplified Arabic" w:cs="Simplified Arabic"/>
          <w:b/>
          <w:bCs/>
          <w:sz w:val="36"/>
          <w:szCs w:val="36"/>
          <w:rtl/>
          <w:lang w:bidi="ar-SY"/>
        </w:rPr>
        <w:t xml:space="preserve">الإشراف/ </w:t>
      </w:r>
    </w:p>
    <w:p w14:paraId="396C0716" w14:textId="77777777" w:rsidR="008E7AE0" w:rsidRPr="008E7AE0" w:rsidRDefault="008E7AE0" w:rsidP="008E7AE0">
      <w:pPr>
        <w:spacing w:after="0" w:line="240" w:lineRule="auto"/>
        <w:jc w:val="center"/>
        <w:rPr>
          <w:rFonts w:ascii="Simplified Arabic" w:eastAsia="Calibri" w:hAnsi="Simplified Arabic" w:cs="Simplified Arabic"/>
          <w:b/>
          <w:bCs/>
          <w:sz w:val="36"/>
          <w:szCs w:val="36"/>
          <w:rtl/>
          <w:lang w:bidi="ar-EG"/>
        </w:rPr>
      </w:pPr>
      <w:r w:rsidRPr="008E7AE0">
        <w:rPr>
          <w:rFonts w:ascii="Simplified Arabic" w:eastAsia="Calibri" w:hAnsi="Simplified Arabic" w:cs="Simplified Arabic"/>
          <w:b/>
          <w:bCs/>
          <w:sz w:val="36"/>
          <w:szCs w:val="36"/>
          <w:rtl/>
          <w:lang w:bidi="ar-EG"/>
        </w:rPr>
        <w:t xml:space="preserve">أ.د. الفيصل </w:t>
      </w:r>
      <w:proofErr w:type="gramStart"/>
      <w:r w:rsidRPr="008E7AE0">
        <w:rPr>
          <w:rFonts w:ascii="Simplified Arabic" w:eastAsia="Calibri" w:hAnsi="Simplified Arabic" w:cs="Simplified Arabic"/>
          <w:b/>
          <w:bCs/>
          <w:sz w:val="36"/>
          <w:szCs w:val="36"/>
          <w:rtl/>
          <w:lang w:bidi="ar-EG"/>
        </w:rPr>
        <w:t>عبدالحميد</w:t>
      </w:r>
      <w:proofErr w:type="gramEnd"/>
    </w:p>
    <w:p w14:paraId="00589F4D" w14:textId="77777777" w:rsidR="008E7AE0" w:rsidRPr="008E7AE0" w:rsidRDefault="008E7AE0" w:rsidP="008E7AE0">
      <w:pPr>
        <w:spacing w:after="0" w:line="240" w:lineRule="auto"/>
        <w:jc w:val="center"/>
        <w:rPr>
          <w:rFonts w:ascii="Simplified Arabic" w:eastAsia="Calibri" w:hAnsi="Simplified Arabic" w:cs="Simplified Arabic"/>
          <w:b/>
          <w:bCs/>
          <w:sz w:val="36"/>
          <w:szCs w:val="36"/>
          <w:rtl/>
          <w:lang w:bidi="ar-EG"/>
        </w:rPr>
      </w:pPr>
      <w:r w:rsidRPr="008E7AE0">
        <w:rPr>
          <w:rFonts w:ascii="Simplified Arabic" w:eastAsia="Calibri" w:hAnsi="Simplified Arabic" w:cs="Simplified Arabic"/>
          <w:b/>
          <w:bCs/>
          <w:sz w:val="36"/>
          <w:szCs w:val="36"/>
          <w:rtl/>
          <w:lang w:bidi="ar-EG"/>
        </w:rPr>
        <w:t xml:space="preserve">أ.د. </w:t>
      </w:r>
      <w:r w:rsidRPr="008E7AE0">
        <w:rPr>
          <w:rFonts w:ascii="Simplified Arabic" w:eastAsia="Calibri" w:hAnsi="Simplified Arabic" w:cs="Simplified Arabic"/>
          <w:b/>
          <w:bCs/>
          <w:sz w:val="36"/>
          <w:szCs w:val="36"/>
          <w:rtl/>
        </w:rPr>
        <w:t>فايز علي جراد</w:t>
      </w:r>
    </w:p>
    <w:p w14:paraId="62E40B50" w14:textId="77777777" w:rsidR="008E7AE0" w:rsidRPr="008E7AE0" w:rsidRDefault="008E7AE0" w:rsidP="008E7AE0">
      <w:pPr>
        <w:spacing w:after="360" w:line="240" w:lineRule="auto"/>
        <w:jc w:val="center"/>
        <w:rPr>
          <w:rFonts w:ascii="Simplified Arabic" w:eastAsia="Calibri" w:hAnsi="Simplified Arabic" w:cs="Simplified Arabic"/>
          <w:sz w:val="28"/>
          <w:szCs w:val="28"/>
          <w:rtl/>
          <w:lang w:bidi="ar-SY"/>
        </w:rPr>
      </w:pPr>
    </w:p>
    <w:p w14:paraId="6192DAB2" w14:textId="77777777" w:rsidR="008E7AE0" w:rsidRPr="008E7AE0" w:rsidRDefault="008E7AE0" w:rsidP="008E7AE0">
      <w:pPr>
        <w:spacing w:after="0" w:line="240" w:lineRule="auto"/>
        <w:jc w:val="center"/>
        <w:rPr>
          <w:rFonts w:ascii="Simplified Arabic" w:eastAsia="Calibri" w:hAnsi="Simplified Arabic" w:cs="Simplified Arabic"/>
          <w:b/>
          <w:bCs/>
          <w:sz w:val="36"/>
          <w:szCs w:val="36"/>
          <w:rtl/>
          <w:lang w:bidi="ar-SY"/>
        </w:rPr>
      </w:pPr>
      <w:r w:rsidRPr="008E7AE0">
        <w:rPr>
          <w:rFonts w:ascii="Simplified Arabic" w:eastAsia="Calibri" w:hAnsi="Simplified Arabic" w:cs="Simplified Arabic"/>
          <w:b/>
          <w:bCs/>
          <w:sz w:val="36"/>
          <w:szCs w:val="36"/>
          <w:rtl/>
          <w:lang w:bidi="ar-SY"/>
        </w:rPr>
        <w:t>العام الجامعي</w:t>
      </w:r>
    </w:p>
    <w:p w14:paraId="59DCD6B3" w14:textId="77777777" w:rsidR="008E7AE0" w:rsidRPr="008E7AE0" w:rsidRDefault="008E7AE0" w:rsidP="008E7AE0">
      <w:pPr>
        <w:spacing w:after="0" w:line="240" w:lineRule="auto"/>
        <w:jc w:val="center"/>
        <w:rPr>
          <w:rFonts w:ascii="Simplified Arabic" w:eastAsia="Calibri" w:hAnsi="Simplified Arabic" w:cs="Simplified Arabic"/>
          <w:b/>
          <w:bCs/>
          <w:sz w:val="32"/>
          <w:szCs w:val="32"/>
          <w:rtl/>
          <w:lang w:bidi="ar-SY"/>
        </w:rPr>
      </w:pPr>
      <w:r w:rsidRPr="008E7AE0">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83328" behindDoc="0" locked="0" layoutInCell="1" allowOverlap="1" wp14:anchorId="41630867" wp14:editId="0F463F1F">
                <wp:simplePos x="0" y="0"/>
                <wp:positionH relativeFrom="column">
                  <wp:posOffset>3082925</wp:posOffset>
                </wp:positionH>
                <wp:positionV relativeFrom="paragraph">
                  <wp:posOffset>286385</wp:posOffset>
                </wp:positionV>
                <wp:extent cx="438150" cy="314325"/>
                <wp:effectExtent l="0" t="0" r="0" b="9525"/>
                <wp:wrapNone/>
                <wp:docPr id="1881661618" name="مستطيل 1"/>
                <wp:cNvGraphicFramePr/>
                <a:graphic xmlns:a="http://schemas.openxmlformats.org/drawingml/2006/main">
                  <a:graphicData uri="http://schemas.microsoft.com/office/word/2010/wordprocessingShape">
                    <wps:wsp>
                      <wps:cNvSpPr/>
                      <wps:spPr>
                        <a:xfrm>
                          <a:off x="0" y="0"/>
                          <a:ext cx="438150" cy="31432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99740" id="مستطيل 1" o:spid="_x0000_s1026" style="position:absolute;left:0;text-align:left;margin-left:242.75pt;margin-top:22.55pt;width:34.5pt;height:24.7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" fillcolor="window" stroked="f" strokeweight="2pt"/>
            </w:pict>
          </mc:Fallback>
        </mc:AlternateContent>
      </w:r>
      <w:proofErr w:type="spellStart"/>
      <w:r w:rsidRPr="008E7AE0">
        <w:rPr>
          <w:rFonts w:ascii="Simplified Arabic" w:eastAsia="Calibri" w:hAnsi="Simplified Arabic" w:cs="Simplified Arabic"/>
          <w:b/>
          <w:bCs/>
          <w:sz w:val="32"/>
          <w:szCs w:val="32"/>
          <w:rtl/>
          <w:lang w:bidi="ar-SY"/>
        </w:rPr>
        <w:t>2026م</w:t>
      </w:r>
      <w:proofErr w:type="spellEnd"/>
    </w:p>
    <w:p w14:paraId="08256A6C" w14:textId="77777777" w:rsidR="008E7AE0" w:rsidRPr="008E7AE0" w:rsidRDefault="008E7AE0" w:rsidP="008E7AE0">
      <w:pPr>
        <w:spacing w:after="360" w:line="240" w:lineRule="auto"/>
        <w:ind w:firstLine="567"/>
        <w:jc w:val="both"/>
        <w:rPr>
          <w:rFonts w:ascii="Simplified Arabic" w:eastAsia="Calibri" w:hAnsi="Simplified Arabic" w:cs="Simplified Arabic"/>
          <w:sz w:val="28"/>
          <w:szCs w:val="28"/>
          <w:rtl/>
        </w:rPr>
        <w:sectPr w:rsidR="008E7AE0" w:rsidRPr="008E7AE0" w:rsidSect="008E7AE0">
          <w:headerReference w:type="even" r:id="rId9"/>
          <w:headerReference w:type="default" r:id="rId10"/>
          <w:footerReference w:type="even" r:id="rId11"/>
          <w:footerReference w:type="default" r:id="rId12"/>
          <w:headerReference w:type="first" r:id="rId13"/>
          <w:footerReference w:type="first" r:id="rId14"/>
          <w:pgSz w:w="11906" w:h="16838"/>
          <w:pgMar w:top="1168" w:right="1729" w:bottom="1412" w:left="1729" w:header="709" w:footer="709" w:gutter="0"/>
          <w:pgNumType w:start="1"/>
          <w:cols w:space="708"/>
          <w:titlePg/>
          <w:bidi/>
          <w:rtlGutter/>
          <w:docGrid w:linePitch="360"/>
        </w:sectPr>
      </w:pPr>
    </w:p>
    <w:p w14:paraId="1E705919" w14:textId="77777777" w:rsidR="008E7AE0" w:rsidRPr="008E7AE0" w:rsidRDefault="008E7AE0" w:rsidP="008E7AE0">
      <w:pPr>
        <w:spacing w:after="360" w:line="240" w:lineRule="auto"/>
        <w:ind w:firstLine="567"/>
        <w:jc w:val="both"/>
        <w:rPr>
          <w:rFonts w:ascii="Simplified Arabic" w:eastAsia="Calibri" w:hAnsi="Simplified Arabic" w:cs="Simplified Arabic"/>
          <w:sz w:val="28"/>
          <w:szCs w:val="28"/>
        </w:rPr>
      </w:pPr>
      <w:r w:rsidRPr="008E7AE0">
        <w:rPr>
          <w:rFonts w:ascii="Times New Roman" w:eastAsia="Calibri" w:hAnsi="Times New Roman" w:cs="Simplified Arabic"/>
          <w:b/>
          <w:bCs/>
          <w:noProof/>
          <w:sz w:val="24"/>
          <w:szCs w:val="28"/>
          <w:rtl/>
          <w:lang w:val="ar-SA"/>
        </w:rPr>
        <w:lastRenderedPageBreak/>
        <mc:AlternateContent>
          <mc:Choice Requires="wps">
            <w:drawing>
              <wp:anchor distT="0" distB="0" distL="114300" distR="114300" simplePos="0" relativeHeight="251684352" behindDoc="0" locked="0" layoutInCell="1" allowOverlap="1" wp14:anchorId="14F04ABA" wp14:editId="616F7977">
                <wp:simplePos x="0" y="0"/>
                <wp:positionH relativeFrom="column">
                  <wp:posOffset>3028315</wp:posOffset>
                </wp:positionH>
                <wp:positionV relativeFrom="paragraph">
                  <wp:posOffset>86360</wp:posOffset>
                </wp:positionV>
                <wp:extent cx="492370" cy="400929"/>
                <wp:effectExtent l="0" t="0" r="3175" b="0"/>
                <wp:wrapNone/>
                <wp:docPr id="1107349897" name="مستطيل 3"/>
                <wp:cNvGraphicFramePr/>
                <a:graphic xmlns:a="http://schemas.openxmlformats.org/drawingml/2006/main">
                  <a:graphicData uri="http://schemas.microsoft.com/office/word/2010/wordprocessingShape">
                    <wps:wsp>
                      <wps:cNvSpPr/>
                      <wps:spPr>
                        <a:xfrm>
                          <a:off x="0" y="0"/>
                          <a:ext cx="492370" cy="400929"/>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BC16B69" id="مستطيل 3" o:spid="_x0000_s1026" style="position:absolute;left:0;text-align:left;margin-left:238.45pt;margin-top:6.8pt;width:38.75pt;height:31.55pt;z-index:2516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" fillcolor="window" stroked="f" strokeweight="2pt"/>
            </w:pict>
          </mc:Fallback>
        </mc:AlternateContent>
      </w:r>
    </w:p>
    <w:p w14:paraId="5716DFD5" w14:textId="77777777" w:rsidR="008E7AE0" w:rsidRPr="008E7AE0" w:rsidRDefault="008E7AE0" w:rsidP="008E7AE0">
      <w:pPr>
        <w:spacing w:after="360" w:line="240" w:lineRule="auto"/>
        <w:ind w:firstLine="567"/>
        <w:jc w:val="center"/>
        <w:rPr>
          <w:rFonts w:ascii="Simplified Arabic" w:eastAsia="Calibri" w:hAnsi="Simplified Arabic" w:cs="PT Bold Heading"/>
          <w:sz w:val="32"/>
          <w:szCs w:val="32"/>
          <w:u w:val="single"/>
          <w:rtl/>
        </w:rPr>
      </w:pPr>
    </w:p>
    <w:p w14:paraId="2395E0B9" w14:textId="77777777" w:rsidR="008E7AE0" w:rsidRPr="008E7AE0" w:rsidRDefault="008E7AE0" w:rsidP="008E7AE0">
      <w:pPr>
        <w:spacing w:after="360" w:line="240" w:lineRule="auto"/>
        <w:jc w:val="center"/>
        <w:rPr>
          <w:rFonts w:ascii="Simplified Arabic" w:eastAsia="Calibri" w:hAnsi="Simplified Arabic" w:cs="PT Bold Heading"/>
          <w:sz w:val="32"/>
          <w:szCs w:val="32"/>
          <w:u w:val="single"/>
          <w:rtl/>
        </w:rPr>
      </w:pPr>
      <w:r w:rsidRPr="008E7AE0">
        <w:rPr>
          <w:rFonts w:ascii="Simplified Arabic" w:eastAsia="Calibri" w:hAnsi="Simplified Arabic" w:cs="PT Bold Heading"/>
          <w:sz w:val="32"/>
          <w:szCs w:val="32"/>
          <w:u w:val="single"/>
          <w:rtl/>
        </w:rPr>
        <w:t>الشكر والتقدير</w:t>
      </w:r>
    </w:p>
    <w:p w14:paraId="47DAD3BA" w14:textId="77777777" w:rsidR="008E7AE0" w:rsidRPr="008E7AE0" w:rsidRDefault="008E7AE0" w:rsidP="008E7AE0">
      <w:pPr>
        <w:spacing w:after="360" w:line="240" w:lineRule="auto"/>
        <w:ind w:firstLine="567"/>
        <w:jc w:val="center"/>
        <w:rPr>
          <w:rFonts w:ascii="Simplified Arabic" w:eastAsia="Calibri" w:hAnsi="Simplified Arabic" w:cs="PT Bold Heading"/>
          <w:sz w:val="12"/>
          <w:szCs w:val="12"/>
          <w:u w:val="single"/>
          <w:rtl/>
        </w:rPr>
      </w:pPr>
    </w:p>
    <w:p w14:paraId="6657D219" w14:textId="77777777" w:rsidR="00E53D01" w:rsidRPr="00EA59B6" w:rsidRDefault="00E53D01" w:rsidP="00E53D01">
      <w:pPr>
        <w:spacing w:after="360" w:line="240" w:lineRule="auto"/>
        <w:ind w:firstLine="567"/>
        <w:jc w:val="both"/>
        <w:rPr>
          <w:rFonts w:ascii="Simplified Arabic" w:eastAsia="Calibri" w:hAnsi="Simplified Arabic" w:cs="PT Bold Heading"/>
          <w:sz w:val="29"/>
          <w:szCs w:val="29"/>
          <w:u w:val="single"/>
          <w:rtl/>
        </w:rPr>
      </w:pPr>
      <w:r w:rsidRPr="00EA59B6">
        <w:rPr>
          <w:rFonts w:ascii="Simplified Arabic" w:eastAsia="Calibri" w:hAnsi="Simplified Arabic" w:cs="Simplified Arabic"/>
          <w:sz w:val="29"/>
          <w:szCs w:val="29"/>
          <w:rtl/>
        </w:rPr>
        <w:t xml:space="preserve">الحمد لله رب العالمين الذي وفقني لإتمام هذه الرسالة العلمية، والصلاة والسلام على نبينا محمد وعلى </w:t>
      </w:r>
      <w:proofErr w:type="spellStart"/>
      <w:r w:rsidRPr="00EA59B6">
        <w:rPr>
          <w:rFonts w:ascii="Simplified Arabic" w:eastAsia="Calibri" w:hAnsi="Simplified Arabic" w:cs="Simplified Arabic"/>
          <w:sz w:val="29"/>
          <w:szCs w:val="29"/>
          <w:rtl/>
        </w:rPr>
        <w:t>آله</w:t>
      </w:r>
      <w:proofErr w:type="spellEnd"/>
      <w:r w:rsidRPr="00EA59B6">
        <w:rPr>
          <w:rFonts w:ascii="Simplified Arabic" w:eastAsia="Calibri" w:hAnsi="Simplified Arabic" w:cs="Simplified Arabic"/>
          <w:sz w:val="29"/>
          <w:szCs w:val="29"/>
          <w:rtl/>
        </w:rPr>
        <w:t xml:space="preserve"> الغر الميامين القائل: (من لا يشكر الناس لا يشكر الله).</w:t>
      </w:r>
    </w:p>
    <w:p w14:paraId="5223FD85" w14:textId="77777777" w:rsidR="00E53D01" w:rsidRPr="00EA59B6" w:rsidRDefault="00E53D01" w:rsidP="00E53D01">
      <w:pPr>
        <w:spacing w:after="360" w:line="240" w:lineRule="auto"/>
        <w:ind w:firstLine="567"/>
        <w:jc w:val="both"/>
        <w:rPr>
          <w:rFonts w:ascii="Simplified Arabic" w:eastAsia="Calibri" w:hAnsi="Simplified Arabic" w:cs="Simplified Arabic"/>
          <w:sz w:val="29"/>
          <w:szCs w:val="29"/>
          <w:rtl/>
        </w:rPr>
      </w:pPr>
      <w:r w:rsidRPr="00EA59B6">
        <w:rPr>
          <w:rFonts w:ascii="Simplified Arabic" w:eastAsia="Calibri" w:hAnsi="Simplified Arabic" w:cs="Simplified Arabic"/>
          <w:sz w:val="29"/>
          <w:szCs w:val="29"/>
          <w:rtl/>
        </w:rPr>
        <w:t xml:space="preserve">مع انتهائي من هذه الرسالة لا يسعني إلا أن أعترف لكل ذي فضل عليَّ بفضله، فهم أهلٌ للشكر والثناء، ولذا </w:t>
      </w:r>
      <w:proofErr w:type="spellStart"/>
      <w:r w:rsidRPr="00EA59B6">
        <w:rPr>
          <w:rFonts w:ascii="Simplified Arabic" w:eastAsia="Calibri" w:hAnsi="Simplified Arabic" w:cs="Simplified Arabic"/>
          <w:sz w:val="29"/>
          <w:szCs w:val="29"/>
          <w:rtl/>
        </w:rPr>
        <w:t>اتقدم</w:t>
      </w:r>
      <w:proofErr w:type="spellEnd"/>
      <w:r w:rsidRPr="00EA59B6">
        <w:rPr>
          <w:rFonts w:ascii="Simplified Arabic" w:eastAsia="Calibri" w:hAnsi="Simplified Arabic" w:cs="Simplified Arabic"/>
          <w:sz w:val="29"/>
          <w:szCs w:val="29"/>
          <w:rtl/>
        </w:rPr>
        <w:t xml:space="preserve"> بالشكر الجزيل وبخالص المودة والتقدير للمشرفين على هذه الرسالة، الأستاذ الدكتور/ الفيصل </w:t>
      </w:r>
      <w:proofErr w:type="gramStart"/>
      <w:r w:rsidRPr="00EA59B6">
        <w:rPr>
          <w:rFonts w:ascii="Simplified Arabic" w:eastAsia="Calibri" w:hAnsi="Simplified Arabic" w:cs="Simplified Arabic"/>
          <w:sz w:val="29"/>
          <w:szCs w:val="29"/>
          <w:rtl/>
        </w:rPr>
        <w:t>عبدالحميد</w:t>
      </w:r>
      <w:proofErr w:type="gramEnd"/>
      <w:r w:rsidRPr="00EA59B6">
        <w:rPr>
          <w:rFonts w:ascii="Simplified Arabic" w:eastAsia="Calibri" w:hAnsi="Simplified Arabic" w:cs="Simplified Arabic"/>
          <w:sz w:val="29"/>
          <w:szCs w:val="29"/>
          <w:rtl/>
        </w:rPr>
        <w:t>، والأستاذ الدكتور/ فايز علي جراد لما قدماه لي من إرشادات وتوجيهات علمية ومنهجية قيمة وسديدة، وعلى سعة صدرهما في الأخذ والعطاء طوال فترة الدراسة.</w:t>
      </w:r>
    </w:p>
    <w:p w14:paraId="49C1BB7F" w14:textId="77777777" w:rsidR="00E53D01" w:rsidRPr="00EA59B6" w:rsidRDefault="00E53D01" w:rsidP="00E53D01">
      <w:pPr>
        <w:spacing w:after="360" w:line="240" w:lineRule="auto"/>
        <w:ind w:firstLine="567"/>
        <w:jc w:val="both"/>
        <w:rPr>
          <w:rFonts w:ascii="Times New Roman" w:eastAsia="Times New Roman" w:hAnsi="Times New Roman" w:cs="Simplified Arabic"/>
          <w:sz w:val="27"/>
          <w:szCs w:val="27"/>
          <w:rtl/>
        </w:rPr>
      </w:pPr>
      <w:r w:rsidRPr="00EA59B6">
        <w:rPr>
          <w:rFonts w:ascii="Times New Roman" w:eastAsia="Times New Roman" w:hAnsi="Times New Roman" w:cs="Simplified Arabic"/>
          <w:sz w:val="27"/>
          <w:szCs w:val="27"/>
          <w:rtl/>
        </w:rPr>
        <w:t>كما أتوجه بالشكر إلى القائمين على المشاريع السعودية، الذين قدموا لي الدعم والمؤازرة فيما يتعلق بالحصول على المعلومات، والاستجابة على تساؤلات وفقرات أداة الدراسة.</w:t>
      </w:r>
    </w:p>
    <w:p w14:paraId="2842CB5C" w14:textId="77777777" w:rsidR="00E53D01" w:rsidRPr="00EA59B6" w:rsidRDefault="00E53D01" w:rsidP="00E53D01">
      <w:pPr>
        <w:spacing w:after="360" w:line="240" w:lineRule="auto"/>
        <w:ind w:firstLine="567"/>
        <w:jc w:val="both"/>
        <w:rPr>
          <w:rFonts w:ascii="Simplified Arabic" w:eastAsia="Calibri" w:hAnsi="Simplified Arabic" w:cs="Simplified Arabic"/>
          <w:sz w:val="29"/>
          <w:szCs w:val="29"/>
          <w:rtl/>
        </w:rPr>
      </w:pPr>
      <w:r w:rsidRPr="00EA59B6">
        <w:rPr>
          <w:rFonts w:ascii="Simplified Arabic" w:eastAsia="Calibri" w:hAnsi="Simplified Arabic" w:cs="Simplified Arabic"/>
          <w:sz w:val="29"/>
          <w:szCs w:val="29"/>
          <w:rtl/>
        </w:rPr>
        <w:t>كما أشكر كل من انتفعت بعلمه، وكل من ساعدني على إخراج هذه الدراسة إلى النور، فما وفقت فيه فمن الله، وما قصرت فمني ومن الشيطان، والله الهادي إلى سواء السبيل.</w:t>
      </w:r>
    </w:p>
    <w:p w14:paraId="25804232" w14:textId="77777777" w:rsidR="00E53D01" w:rsidRPr="00EA59B6" w:rsidRDefault="00E53D01" w:rsidP="00E53D01">
      <w:pPr>
        <w:spacing w:after="360" w:line="240" w:lineRule="auto"/>
        <w:ind w:firstLine="567"/>
        <w:jc w:val="right"/>
        <w:rPr>
          <w:rFonts w:ascii="Simplified Arabic" w:eastAsia="Calibri" w:hAnsi="Simplified Arabic" w:cs="PT Bold Heading"/>
          <w:sz w:val="28"/>
          <w:szCs w:val="28"/>
          <w:u w:val="single"/>
          <w:rtl/>
        </w:rPr>
      </w:pPr>
      <w:r w:rsidRPr="00EA59B6">
        <w:rPr>
          <w:rFonts w:ascii="Simplified Arabic" w:eastAsia="Calibri" w:hAnsi="Simplified Arabic" w:cs="PT Bold Heading"/>
          <w:sz w:val="28"/>
          <w:szCs w:val="28"/>
          <w:u w:val="single"/>
          <w:rtl/>
        </w:rPr>
        <w:t>الباحثة</w:t>
      </w:r>
    </w:p>
    <w:p w14:paraId="7308C3DA" w14:textId="77777777" w:rsidR="008E7AE0" w:rsidRPr="008E7AE0" w:rsidRDefault="008E7AE0" w:rsidP="008E7AE0">
      <w:pPr>
        <w:spacing w:after="360" w:line="240" w:lineRule="auto"/>
        <w:ind w:firstLine="567"/>
        <w:jc w:val="both"/>
        <w:rPr>
          <w:rFonts w:ascii="Simplified Arabic" w:eastAsia="Calibri" w:hAnsi="Simplified Arabic" w:cs="PT Bold Heading"/>
          <w:sz w:val="30"/>
          <w:szCs w:val="30"/>
          <w:u w:val="single"/>
          <w:rtl/>
        </w:rPr>
      </w:pPr>
      <w:r w:rsidRPr="008E7AE0">
        <w:rPr>
          <w:rFonts w:ascii="Simplified Arabic" w:eastAsia="Calibri" w:hAnsi="Simplified Arabic" w:cs="PT Bold Heading"/>
          <w:sz w:val="30"/>
          <w:szCs w:val="30"/>
          <w:u w:val="single"/>
          <w:rtl/>
        </w:rPr>
        <w:br w:type="page"/>
      </w:r>
    </w:p>
    <w:p w14:paraId="324E7789" w14:textId="77777777" w:rsidR="008E7AE0" w:rsidRPr="008E7AE0" w:rsidRDefault="008E7AE0" w:rsidP="008E7AE0">
      <w:pPr>
        <w:spacing w:after="360" w:line="240" w:lineRule="auto"/>
        <w:jc w:val="center"/>
        <w:rPr>
          <w:rFonts w:ascii="Simplified Arabic" w:eastAsia="Calibri" w:hAnsi="Simplified Arabic" w:cs="PT Bold Heading"/>
          <w:sz w:val="32"/>
          <w:szCs w:val="32"/>
          <w:u w:val="single"/>
          <w:rtl/>
        </w:rPr>
      </w:pPr>
      <w:r w:rsidRPr="008E7AE0">
        <w:rPr>
          <w:rFonts w:ascii="Simplified Arabic" w:eastAsia="Calibri" w:hAnsi="Simplified Arabic" w:cs="PT Bold Heading"/>
          <w:sz w:val="32"/>
          <w:szCs w:val="32"/>
          <w:u w:val="single"/>
          <w:rtl/>
        </w:rPr>
        <w:lastRenderedPageBreak/>
        <w:t>ملخص الدراسة</w:t>
      </w:r>
    </w:p>
    <w:p w14:paraId="686AAF97" w14:textId="77777777" w:rsidR="00E53D01" w:rsidRPr="00EA59B6" w:rsidRDefault="00E53D01" w:rsidP="00E53D01">
      <w:pPr>
        <w:spacing w:after="360" w:line="240" w:lineRule="auto"/>
        <w:ind w:firstLine="567"/>
        <w:jc w:val="center"/>
        <w:rPr>
          <w:rFonts w:ascii="Simplified Arabic" w:eastAsia="Calibri" w:hAnsi="Simplified Arabic" w:cs="Simplified Arabic"/>
          <w:b/>
          <w:bCs/>
          <w:sz w:val="28"/>
          <w:szCs w:val="28"/>
          <w:rtl/>
        </w:rPr>
      </w:pPr>
      <w:r w:rsidRPr="00EA59B6">
        <w:rPr>
          <w:rFonts w:ascii="Simplified Arabic" w:eastAsia="Calibri" w:hAnsi="Simplified Arabic" w:cs="Simplified Arabic"/>
          <w:b/>
          <w:bCs/>
          <w:sz w:val="32"/>
          <w:szCs w:val="32"/>
          <w:rtl/>
        </w:rPr>
        <w:t>استخدام الذكاء الاصطناعي في إدارة المشاريع وأثره في ‏تحسين كفاءة أداء ‏المشاريع ‏‏السعودية‏</w:t>
      </w:r>
    </w:p>
    <w:p w14:paraId="5FDF0FB7" w14:textId="77777777" w:rsidR="00E53D01" w:rsidRPr="00EA59B6" w:rsidRDefault="00E53D01" w:rsidP="00E53D01">
      <w:pPr>
        <w:spacing w:after="360" w:line="240" w:lineRule="auto"/>
        <w:ind w:firstLine="567"/>
        <w:jc w:val="both"/>
        <w:rPr>
          <w:rFonts w:ascii="Simplified Arabic" w:eastAsia="Calibri" w:hAnsi="Simplified Arabic" w:cs="Simplified Arabic"/>
          <w:b/>
          <w:bCs/>
          <w:sz w:val="28"/>
          <w:szCs w:val="28"/>
          <w:rtl/>
        </w:rPr>
      </w:pPr>
      <w:r w:rsidRPr="00EA59B6">
        <w:rPr>
          <w:rFonts w:ascii="Simplified Arabic" w:eastAsia="Calibri" w:hAnsi="Simplified Arabic" w:cs="Simplified Arabic"/>
          <w:b/>
          <w:bCs/>
          <w:sz w:val="28"/>
          <w:szCs w:val="28"/>
          <w:rtl/>
        </w:rPr>
        <w:t>المستخلص</w:t>
      </w:r>
    </w:p>
    <w:p w14:paraId="0B6AD3D9" w14:textId="77777777" w:rsidR="00E53D01" w:rsidRPr="00EA59B6" w:rsidRDefault="00E53D01" w:rsidP="00E53D01">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هدفت هذه الدراسة إلى تحديد أثر استخدام الذكاء الاصطناعي بأبعاده الستة (تحليل البيانات، التنبؤ بالمخاطر، تحسين الجدولة الزمنية، دعم اتخاذ القرار، إدارة الموارد، المراقبة والمتابعة المستمرة) في تحسين كفاءة أداء المشاريع بأبعادها الستة (الالتزام بالجداول الزمنية، التحكم في التكاليف، جودة المخرجات، إدارة المخاطر، كفاءة استخدام الموارد، القدرة على التكيف) في المؤسسات السعودية. اعتمدت الدراسة المنهج الوصفي التحليلي الارتباطي، وتم جمع البيانات باستخدام استبانة صممت خصيصاً لهذا الغرض، وتكونت من (60) عبارة موزعة على محورين رئيسين وفق مقياس </w:t>
      </w:r>
      <w:proofErr w:type="spellStart"/>
      <w:r w:rsidRPr="00EA59B6">
        <w:rPr>
          <w:rFonts w:ascii="Times New Roman" w:eastAsia="Calibri" w:hAnsi="Times New Roman" w:cs="Simplified Arabic"/>
          <w:sz w:val="24"/>
          <w:szCs w:val="28"/>
          <w:rtl/>
        </w:rPr>
        <w:t>ليكارت</w:t>
      </w:r>
      <w:proofErr w:type="spellEnd"/>
      <w:r w:rsidRPr="00EA59B6">
        <w:rPr>
          <w:rFonts w:ascii="Times New Roman" w:eastAsia="Calibri" w:hAnsi="Times New Roman" w:cs="Simplified Arabic"/>
          <w:sz w:val="24"/>
          <w:szCs w:val="28"/>
          <w:rtl/>
        </w:rPr>
        <w:t xml:space="preserve"> الخماسي. بلغ مجتمع الدراسة العاملين في إدارات المشاريع في المؤسسات السعودية، وتم تحديد حجم العينة باستخدام معادلة ستيفن طومسون، حيث بلغت العينة (412) فرداً تم اختيارهم بالطريقة العشوائية البسيطة.</w:t>
      </w:r>
    </w:p>
    <w:p w14:paraId="1C4DE2AF" w14:textId="77777777" w:rsidR="00E53D01" w:rsidRPr="00EA59B6" w:rsidRDefault="00E53D01" w:rsidP="00E53D01">
      <w:pPr>
        <w:spacing w:after="360" w:line="240"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sz w:val="24"/>
          <w:szCs w:val="28"/>
          <w:rtl/>
        </w:rPr>
        <w:t>تم تحليل البيانات باستخدام برنامج (</w:t>
      </w:r>
      <w:r w:rsidRPr="00EA59B6">
        <w:rPr>
          <w:rFonts w:ascii="Times New Roman" w:eastAsia="Calibri" w:hAnsi="Times New Roman" w:cs="Simplified Arabic"/>
          <w:sz w:val="24"/>
          <w:szCs w:val="28"/>
        </w:rPr>
        <w:t xml:space="preserve">SPSS </w:t>
      </w:r>
      <w:proofErr w:type="spellStart"/>
      <w:r w:rsidRPr="00EA59B6">
        <w:rPr>
          <w:rFonts w:ascii="Times New Roman" w:eastAsia="Calibri" w:hAnsi="Times New Roman" w:cs="Simplified Arabic"/>
          <w:sz w:val="24"/>
          <w:szCs w:val="28"/>
        </w:rPr>
        <w:t>v.28</w:t>
      </w:r>
      <w:proofErr w:type="spellEnd"/>
      <w:r w:rsidRPr="00EA59B6">
        <w:rPr>
          <w:rFonts w:ascii="Times New Roman" w:eastAsia="Calibri" w:hAnsi="Times New Roman" w:cs="Simplified Arabic"/>
          <w:sz w:val="24"/>
          <w:szCs w:val="28"/>
          <w:rtl/>
        </w:rPr>
        <w:t xml:space="preserve">)، من خلال الإحصاء الوصفي (المتوسطات الحسابية، الانحرافات المعيارية، التكرارات، النسب المئوية)، ومعامل ارتباط بيرسون، وتحليل الانحدار الخطي المتعدد، بالإضافة إلى اختبارات الثبات (ألفا </w:t>
      </w:r>
      <w:proofErr w:type="spellStart"/>
      <w:r w:rsidRPr="00EA59B6">
        <w:rPr>
          <w:rFonts w:ascii="Times New Roman" w:eastAsia="Calibri" w:hAnsi="Times New Roman" w:cs="Simplified Arabic"/>
          <w:sz w:val="24"/>
          <w:szCs w:val="28"/>
          <w:rtl/>
        </w:rPr>
        <w:t>كرونباخ</w:t>
      </w:r>
      <w:proofErr w:type="spellEnd"/>
      <w:r w:rsidRPr="00EA59B6">
        <w:rPr>
          <w:rFonts w:ascii="Times New Roman" w:eastAsia="Calibri" w:hAnsi="Times New Roman" w:cs="Simplified Arabic"/>
          <w:sz w:val="24"/>
          <w:szCs w:val="28"/>
          <w:rtl/>
        </w:rPr>
        <w:t xml:space="preserve">)، والصدق (صدق المحتوى، الصدق الظاهري، الصدق البنائي). أظهرت النتائج أن مستوى استخدام الذكاء الاصطناعي في إدارة المشاريع جاء مرتفعاً (3.46)، وكذلك مستوى كفاءة أداء المشاريع جاء مرتفعاً (3.52). كما أظهرت النتائج وجود علاقة ارتباطية موجبة وقوية بين المتغيرين (ر = 0.672). </w:t>
      </w:r>
    </w:p>
    <w:p w14:paraId="72FE058C" w14:textId="77777777" w:rsidR="00E53D01" w:rsidRPr="00EA59B6" w:rsidRDefault="00E53D01" w:rsidP="00E53D01">
      <w:pPr>
        <w:spacing w:after="360" w:line="240"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sz w:val="24"/>
          <w:szCs w:val="28"/>
          <w:rtl/>
        </w:rPr>
        <w:t>وأكد تحليل الانحدار المتعدد أن أبعاد استخدام الذكاء الاصطناعي الستة تؤثر تأثيراً ذا دلالة إحصائية في كفاءة أداء المشاريع (</w:t>
      </w:r>
      <w:proofErr w:type="spellStart"/>
      <w:r w:rsidRPr="00EA59B6">
        <w:rPr>
          <w:rFonts w:ascii="Times New Roman" w:eastAsia="Calibri" w:hAnsi="Times New Roman" w:cs="Simplified Arabic"/>
          <w:sz w:val="24"/>
          <w:szCs w:val="28"/>
        </w:rPr>
        <w:t>R²</w:t>
      </w:r>
      <w:proofErr w:type="spellEnd"/>
      <w:r w:rsidRPr="00EA59B6">
        <w:rPr>
          <w:rFonts w:ascii="Times New Roman" w:eastAsia="Calibri" w:hAnsi="Times New Roman" w:cs="Simplified Arabic"/>
          <w:sz w:val="24"/>
          <w:szCs w:val="28"/>
        </w:rPr>
        <w:t xml:space="preserve"> = 0.532</w:t>
      </w:r>
      <w:r w:rsidRPr="00EA59B6">
        <w:rPr>
          <w:rFonts w:ascii="Times New Roman" w:eastAsia="Calibri" w:hAnsi="Times New Roman" w:cs="Simplified Arabic"/>
          <w:sz w:val="24"/>
          <w:szCs w:val="28"/>
          <w:rtl/>
        </w:rPr>
        <w:t>)، حيث كان دعم اتخاذ القرار الأكثر تأثيراً (</w:t>
      </w:r>
      <w:r w:rsidRPr="00EA59B6">
        <w:rPr>
          <w:rFonts w:ascii="Times New Roman" w:eastAsia="Calibri" w:hAnsi="Times New Roman" w:cs="Simplified Arabic"/>
          <w:sz w:val="24"/>
          <w:szCs w:val="28"/>
        </w:rPr>
        <w:t>Beta = 0.267</w:t>
      </w:r>
      <w:r w:rsidRPr="00EA59B6">
        <w:rPr>
          <w:rFonts w:ascii="Times New Roman" w:eastAsia="Calibri" w:hAnsi="Times New Roman" w:cs="Simplified Arabic"/>
          <w:sz w:val="24"/>
          <w:szCs w:val="28"/>
          <w:rtl/>
        </w:rPr>
        <w:t>)، يليه تحليل البيانات (</w:t>
      </w:r>
      <w:r w:rsidRPr="00EA59B6">
        <w:rPr>
          <w:rFonts w:ascii="Times New Roman" w:eastAsia="Calibri" w:hAnsi="Times New Roman" w:cs="Simplified Arabic"/>
          <w:sz w:val="24"/>
          <w:szCs w:val="28"/>
        </w:rPr>
        <w:t>Beta = 0.245</w:t>
      </w:r>
      <w:r w:rsidRPr="00EA59B6">
        <w:rPr>
          <w:rFonts w:ascii="Times New Roman" w:eastAsia="Calibri" w:hAnsi="Times New Roman" w:cs="Simplified Arabic"/>
          <w:sz w:val="24"/>
          <w:szCs w:val="28"/>
          <w:rtl/>
        </w:rPr>
        <w:t>)، ثم التنبؤ بالمخاطر (</w:t>
      </w:r>
      <w:r w:rsidRPr="00EA59B6">
        <w:rPr>
          <w:rFonts w:ascii="Times New Roman" w:eastAsia="Calibri" w:hAnsi="Times New Roman" w:cs="Simplified Arabic"/>
          <w:sz w:val="24"/>
          <w:szCs w:val="28"/>
        </w:rPr>
        <w:t>Beta = 0.228</w:t>
      </w:r>
      <w:r w:rsidRPr="00EA59B6">
        <w:rPr>
          <w:rFonts w:ascii="Times New Roman" w:eastAsia="Calibri" w:hAnsi="Times New Roman" w:cs="Simplified Arabic"/>
          <w:sz w:val="24"/>
          <w:szCs w:val="28"/>
          <w:rtl/>
        </w:rPr>
        <w:t>)، ثم المراقبة والمتابعة المستمرة (</w:t>
      </w:r>
      <w:r w:rsidRPr="00EA59B6">
        <w:rPr>
          <w:rFonts w:ascii="Times New Roman" w:eastAsia="Calibri" w:hAnsi="Times New Roman" w:cs="Simplified Arabic"/>
          <w:sz w:val="24"/>
          <w:szCs w:val="28"/>
        </w:rPr>
        <w:t>Beta = 0.201</w:t>
      </w:r>
      <w:r w:rsidRPr="00EA59B6">
        <w:rPr>
          <w:rFonts w:ascii="Times New Roman" w:eastAsia="Calibri" w:hAnsi="Times New Roman" w:cs="Simplified Arabic"/>
          <w:sz w:val="24"/>
          <w:szCs w:val="28"/>
          <w:rtl/>
        </w:rPr>
        <w:t>)، ثم تحسين الجدولة الزمنية (</w:t>
      </w:r>
      <w:r w:rsidRPr="00EA59B6">
        <w:rPr>
          <w:rFonts w:ascii="Times New Roman" w:eastAsia="Calibri" w:hAnsi="Times New Roman" w:cs="Simplified Arabic"/>
          <w:sz w:val="24"/>
          <w:szCs w:val="28"/>
        </w:rPr>
        <w:t>Beta = 0.182</w:t>
      </w:r>
      <w:r w:rsidRPr="00EA59B6">
        <w:rPr>
          <w:rFonts w:ascii="Times New Roman" w:eastAsia="Calibri" w:hAnsi="Times New Roman" w:cs="Simplified Arabic"/>
          <w:sz w:val="24"/>
          <w:szCs w:val="28"/>
          <w:rtl/>
        </w:rPr>
        <w:t>)، وأخيراً إدارة الموارد (</w:t>
      </w:r>
      <w:r w:rsidRPr="00EA59B6">
        <w:rPr>
          <w:rFonts w:ascii="Times New Roman" w:eastAsia="Calibri" w:hAnsi="Times New Roman" w:cs="Simplified Arabic"/>
          <w:sz w:val="24"/>
          <w:szCs w:val="28"/>
        </w:rPr>
        <w:t>Beta = 0.158</w:t>
      </w:r>
      <w:r w:rsidRPr="00EA59B6">
        <w:rPr>
          <w:rFonts w:ascii="Times New Roman" w:eastAsia="Calibri" w:hAnsi="Times New Roman" w:cs="Simplified Arabic"/>
          <w:sz w:val="24"/>
          <w:szCs w:val="28"/>
          <w:rtl/>
        </w:rPr>
        <w:t xml:space="preserve">). </w:t>
      </w:r>
    </w:p>
    <w:p w14:paraId="1627D1FC" w14:textId="77777777" w:rsidR="00E53D01" w:rsidRPr="00EA59B6" w:rsidRDefault="00E53D01" w:rsidP="00E53D01">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lastRenderedPageBreak/>
        <w:t>وبناء على هذه النتائج، أوصت الدراسة بتعزيز الاستثمار في أنظمة دعم اتخاذ القرار وتحليل البيانات، وتطوير نماذج التنبؤ بالمخاطر، وتحسين كفاءة استخدام الموارد، وتعزيز القدرة على التكيف، وتطوير البنية التحتية للبيانات، وتعزيز ثقافة الابتكار الرقمي، وقياس العائد على الاستثمار في الذكاء الاصطناعي بشكل دوري.</w:t>
      </w:r>
    </w:p>
    <w:p w14:paraId="10AF696C" w14:textId="77777777" w:rsidR="00E53D01" w:rsidRDefault="00E53D01" w:rsidP="00E53D01">
      <w:pPr>
        <w:spacing w:after="360" w:line="240"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b/>
          <w:bCs/>
          <w:sz w:val="24"/>
          <w:szCs w:val="28"/>
          <w:rtl/>
        </w:rPr>
        <w:t>الكلمات المفتاحية:</w:t>
      </w:r>
      <w:r w:rsidRPr="00EA59B6">
        <w:rPr>
          <w:rFonts w:ascii="Times New Roman" w:eastAsia="Calibri" w:hAnsi="Times New Roman" w:cs="Simplified Arabic"/>
          <w:sz w:val="24"/>
          <w:szCs w:val="28"/>
          <w:rtl/>
        </w:rPr>
        <w:t xml:space="preserve"> الذكاء الاصطناعي، إدارة المشاريع، كفاءة أداء المشاريع، تحليل البيانات، التنبؤ بالمخاطر، دعم اتخاذ القرار، التحول الرقمي، المملكة العربية السعودية.</w:t>
      </w:r>
    </w:p>
    <w:p w14:paraId="4273B025" w14:textId="7C438502" w:rsidR="002C4468" w:rsidRPr="00134F3D" w:rsidRDefault="00BC07E1" w:rsidP="00134F3D">
      <w:pPr>
        <w:bidi w:val="0"/>
        <w:spacing w:after="200" w:line="276" w:lineRule="auto"/>
        <w:rPr>
          <w:rFonts w:ascii="Times New Roman" w:eastAsia="Calibri" w:hAnsi="Times New Roman" w:cs="Simplified Arabic"/>
          <w:sz w:val="24"/>
          <w:szCs w:val="28"/>
          <w:rtl/>
        </w:rPr>
      </w:pPr>
      <w:r>
        <w:rPr>
          <w:rFonts w:ascii="Simplified Arabic" w:eastAsia="Calibri" w:hAnsi="Simplified Arabic" w:cs="Simplified Arabic" w:hint="cs"/>
          <w:sz w:val="26"/>
          <w:szCs w:val="26"/>
          <w:rtl/>
        </w:rPr>
        <w:t>.</w:t>
      </w:r>
    </w:p>
    <w:p w14:paraId="30FEEE16" w14:textId="7B7B337F" w:rsidR="002C4468" w:rsidRPr="002C4468" w:rsidRDefault="002C4468" w:rsidP="002C4468">
      <w:pPr>
        <w:spacing w:after="0" w:line="240" w:lineRule="auto"/>
        <w:rPr>
          <w:rFonts w:ascii="Simplified Arabic" w:eastAsia="Calibri" w:hAnsi="Simplified Arabic" w:cs="Simplified Arabic"/>
          <w:sz w:val="26"/>
          <w:szCs w:val="26"/>
        </w:rPr>
        <w:sectPr w:rsidR="002C4468" w:rsidRPr="002C4468" w:rsidSect="005A3E74">
          <w:footerReference w:type="default" r:id="rId15"/>
          <w:footerReference w:type="first" r:id="rId16"/>
          <w:pgSz w:w="11906" w:h="16838"/>
          <w:pgMar w:top="1168" w:right="1729" w:bottom="1412" w:left="1729" w:header="709" w:footer="709" w:gutter="0"/>
          <w:pgNumType w:fmt="arabicAbjad"/>
          <w:cols w:space="708"/>
          <w:bidi/>
          <w:rtlGutter/>
          <w:docGrid w:linePitch="360"/>
        </w:sectPr>
      </w:pPr>
    </w:p>
    <w:p w14:paraId="6C8386FF" w14:textId="77777777" w:rsidR="00586478" w:rsidRPr="00586478" w:rsidRDefault="00586478" w:rsidP="00B03B33">
      <w:pPr>
        <w:spacing w:after="0" w:line="360" w:lineRule="auto"/>
        <w:jc w:val="center"/>
        <w:rPr>
          <w:rFonts w:ascii="Simplified Arabic" w:hAnsi="Simplified Arabic" w:cs="PT Bold Heading"/>
          <w:rtl/>
        </w:rPr>
      </w:pPr>
    </w:p>
    <w:p w14:paraId="36FDC546" w14:textId="77777777" w:rsidR="005D60FD" w:rsidRPr="005D60FD" w:rsidRDefault="005D60FD" w:rsidP="005D60FD">
      <w:pPr>
        <w:spacing w:after="360" w:line="240" w:lineRule="auto"/>
        <w:ind w:firstLine="567"/>
        <w:jc w:val="both"/>
        <w:rPr>
          <w:rFonts w:ascii="Simplified Arabic" w:hAnsi="Simplified Arabic" w:cs="Simplified Arabic"/>
          <w:sz w:val="28"/>
          <w:szCs w:val="28"/>
          <w:rtl/>
        </w:rPr>
      </w:pPr>
    </w:p>
    <w:p w14:paraId="4085D3F7" w14:textId="77777777" w:rsidR="005D60FD" w:rsidRPr="005D60FD" w:rsidRDefault="005D60FD" w:rsidP="005D60FD">
      <w:pPr>
        <w:spacing w:after="360" w:line="240" w:lineRule="auto"/>
        <w:ind w:firstLine="567"/>
      </w:pPr>
    </w:p>
    <w:p w14:paraId="692173C9" w14:textId="37712C09" w:rsidR="005D60FD" w:rsidRPr="005D60FD" w:rsidRDefault="005D60FD" w:rsidP="005D60FD">
      <w:pPr>
        <w:spacing w:after="0" w:line="276" w:lineRule="auto"/>
        <w:ind w:firstLine="567"/>
        <w:jc w:val="center"/>
        <w:rPr>
          <w:rFonts w:ascii="Simplified Arabic" w:eastAsia="Calibri" w:hAnsi="Simplified Arabic" w:cs="PT Bold Heading"/>
          <w:sz w:val="48"/>
          <w:szCs w:val="48"/>
          <w:rtl/>
        </w:rPr>
      </w:pPr>
      <w:r w:rsidRPr="005D60FD">
        <w:rPr>
          <w:rFonts w:ascii="Simplified Arabic" w:eastAsia="Calibri" w:hAnsi="Simplified Arabic" w:cs="PT Bold Heading"/>
          <w:sz w:val="48"/>
          <w:szCs w:val="48"/>
          <w:rtl/>
        </w:rPr>
        <w:t>الفصل الأول</w:t>
      </w:r>
    </w:p>
    <w:p w14:paraId="4363C3AE" w14:textId="77777777" w:rsidR="005D60FD" w:rsidRPr="005D60FD" w:rsidRDefault="005D60FD" w:rsidP="005D60FD">
      <w:pPr>
        <w:spacing w:after="0" w:line="276" w:lineRule="auto"/>
        <w:ind w:firstLine="567"/>
        <w:jc w:val="center"/>
        <w:rPr>
          <w:rFonts w:ascii="Simplified Arabic" w:eastAsia="Calibri" w:hAnsi="Simplified Arabic" w:cs="PT Bold Heading"/>
          <w:sz w:val="48"/>
          <w:szCs w:val="48"/>
          <w:rtl/>
        </w:rPr>
      </w:pPr>
      <w:r w:rsidRPr="005D60FD">
        <w:rPr>
          <w:rFonts w:ascii="Simplified Arabic" w:eastAsia="Calibri" w:hAnsi="Simplified Arabic" w:cs="PT Bold Heading"/>
          <w:sz w:val="48"/>
          <w:szCs w:val="48"/>
          <w:rtl/>
        </w:rPr>
        <w:t>الإطار العام للدراسة</w:t>
      </w:r>
    </w:p>
    <w:p w14:paraId="6556C5FF" w14:textId="77777777" w:rsidR="005D60FD" w:rsidRPr="005D60FD" w:rsidRDefault="005D60FD" w:rsidP="005D60FD">
      <w:pPr>
        <w:spacing w:after="0" w:line="276" w:lineRule="auto"/>
        <w:ind w:left="720" w:firstLine="567"/>
        <w:contextualSpacing/>
        <w:jc w:val="both"/>
        <w:rPr>
          <w:rFonts w:ascii="Simplified Arabic" w:eastAsia="Calibri" w:hAnsi="Simplified Arabic" w:cs="Simplified Arabic"/>
          <w:b/>
          <w:bCs/>
          <w:sz w:val="24"/>
          <w:szCs w:val="24"/>
          <w:rtl/>
        </w:rPr>
      </w:pPr>
    </w:p>
    <w:p w14:paraId="4CF6B508"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تمهيد.</w:t>
      </w:r>
    </w:p>
    <w:p w14:paraId="2F8BD53D"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tl/>
        </w:rPr>
      </w:pPr>
      <w:r w:rsidRPr="005D60FD">
        <w:rPr>
          <w:rFonts w:ascii="Simplified Arabic" w:eastAsia="Calibri" w:hAnsi="Simplified Arabic" w:cs="PT Bold Heading"/>
          <w:sz w:val="36"/>
          <w:szCs w:val="36"/>
          <w:rtl/>
        </w:rPr>
        <w:t>المقدمة.</w:t>
      </w:r>
    </w:p>
    <w:p w14:paraId="22805D21"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مشكلة الدراسة.</w:t>
      </w:r>
    </w:p>
    <w:p w14:paraId="318177E8"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أهمية الدراسة.</w:t>
      </w:r>
    </w:p>
    <w:p w14:paraId="4EE1CC9B"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تساؤلات الدراسة.</w:t>
      </w:r>
    </w:p>
    <w:p w14:paraId="47734188"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أهداف الدراسة.</w:t>
      </w:r>
    </w:p>
    <w:p w14:paraId="2BA5D579"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متغيرات الدراسة وأبعادها.</w:t>
      </w:r>
    </w:p>
    <w:p w14:paraId="13FB5F59"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فرضيات الدراسة.</w:t>
      </w:r>
    </w:p>
    <w:p w14:paraId="2D858B63"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حدود الدراسة.</w:t>
      </w:r>
    </w:p>
    <w:p w14:paraId="77411553"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المفاهيم الاصطلاحية والإجرائية.</w:t>
      </w:r>
    </w:p>
    <w:p w14:paraId="16DC127B" w14:textId="77777777" w:rsidR="005D60FD" w:rsidRPr="005D60FD" w:rsidRDefault="005D60FD" w:rsidP="005D60FD">
      <w:pPr>
        <w:spacing w:after="360" w:line="240" w:lineRule="auto"/>
        <w:ind w:firstLine="567"/>
        <w:jc w:val="both"/>
        <w:rPr>
          <w:rFonts w:ascii="Times New Roman" w:eastAsia="Calibri" w:hAnsi="Times New Roman" w:cs="Simplified Arabic"/>
          <w:b/>
          <w:bCs/>
          <w:sz w:val="24"/>
          <w:szCs w:val="28"/>
          <w:rtl/>
        </w:rPr>
      </w:pPr>
      <w:r w:rsidRPr="005D60FD">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88448" behindDoc="0" locked="0" layoutInCell="1" allowOverlap="1" wp14:anchorId="6B4B487B" wp14:editId="0BBEC7E4">
                <wp:simplePos x="0" y="0"/>
                <wp:positionH relativeFrom="column">
                  <wp:posOffset>2548890</wp:posOffset>
                </wp:positionH>
                <wp:positionV relativeFrom="paragraph">
                  <wp:posOffset>1613535</wp:posOffset>
                </wp:positionV>
                <wp:extent cx="300941" cy="318304"/>
                <wp:effectExtent l="0" t="0" r="4445" b="5715"/>
                <wp:wrapNone/>
                <wp:docPr id="279596461" name="مستطيل 3"/>
                <wp:cNvGraphicFramePr/>
                <a:graphic xmlns:a="http://schemas.openxmlformats.org/drawingml/2006/main">
                  <a:graphicData uri="http://schemas.microsoft.com/office/word/2010/wordprocessingShape">
                    <wps:wsp>
                      <wps:cNvSpPr/>
                      <wps:spPr>
                        <a:xfrm>
                          <a:off x="0" y="0"/>
                          <a:ext cx="300941" cy="318304"/>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25998" id="مستطيل 3" o:spid="_x0000_s1026" style="position:absolute;left:0;text-align:left;margin-left:200.7pt;margin-top:127.05pt;width:23.7pt;height:25.0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" fillcolor="window" stroked="f" strokeweight="2pt"/>
            </w:pict>
          </mc:Fallback>
        </mc:AlternateContent>
      </w:r>
      <w:r w:rsidRPr="005D60FD">
        <w:rPr>
          <w:rFonts w:ascii="Times New Roman" w:eastAsia="Calibri" w:hAnsi="Times New Roman" w:cs="Simplified Arabic"/>
          <w:b/>
          <w:bCs/>
          <w:sz w:val="24"/>
          <w:szCs w:val="28"/>
          <w:rtl/>
        </w:rPr>
        <w:br w:type="page"/>
      </w:r>
    </w:p>
    <w:p w14:paraId="13BDBFF2" w14:textId="77777777" w:rsidR="005D60FD" w:rsidRPr="005D60FD" w:rsidRDefault="005D60FD" w:rsidP="005D60FD">
      <w:pPr>
        <w:spacing w:after="360" w:line="240" w:lineRule="auto"/>
        <w:ind w:firstLine="567"/>
        <w:jc w:val="center"/>
        <w:rPr>
          <w:rFonts w:ascii="Simplified Arabic" w:eastAsia="Calibri" w:hAnsi="Simplified Arabic" w:cs="PT Bold Heading"/>
          <w:sz w:val="32"/>
          <w:szCs w:val="32"/>
          <w:rtl/>
        </w:rPr>
      </w:pPr>
      <w:r w:rsidRPr="005D60FD">
        <w:rPr>
          <w:rFonts w:ascii="Simplified Arabic" w:eastAsia="Calibri" w:hAnsi="Simplified Arabic" w:cs="PT Bold Heading"/>
          <w:sz w:val="32"/>
          <w:szCs w:val="32"/>
          <w:rtl/>
        </w:rPr>
        <w:lastRenderedPageBreak/>
        <w:t>الفصل الأول</w:t>
      </w:r>
    </w:p>
    <w:p w14:paraId="7179506C" w14:textId="77777777" w:rsidR="005D60FD" w:rsidRPr="005D60FD" w:rsidRDefault="005D60FD" w:rsidP="005D60FD">
      <w:pPr>
        <w:spacing w:after="360" w:line="240" w:lineRule="auto"/>
        <w:ind w:firstLine="567"/>
        <w:jc w:val="center"/>
        <w:rPr>
          <w:rFonts w:ascii="Simplified Arabic" w:eastAsia="Calibri" w:hAnsi="Simplified Arabic" w:cs="PT Bold Heading"/>
          <w:sz w:val="32"/>
          <w:szCs w:val="32"/>
          <w:rtl/>
        </w:rPr>
      </w:pPr>
      <w:r w:rsidRPr="005D60FD">
        <w:rPr>
          <w:rFonts w:ascii="Simplified Arabic" w:eastAsia="Calibri" w:hAnsi="Simplified Arabic" w:cs="PT Bold Heading"/>
          <w:sz w:val="32"/>
          <w:szCs w:val="32"/>
          <w:rtl/>
        </w:rPr>
        <w:t>الإطار العام للدراسة</w:t>
      </w:r>
    </w:p>
    <w:p w14:paraId="560F3133" w14:textId="77777777" w:rsidR="005D60FD" w:rsidRPr="005D60FD" w:rsidRDefault="005D60FD" w:rsidP="005D60FD">
      <w:pPr>
        <w:spacing w:after="360" w:line="240" w:lineRule="auto"/>
        <w:ind w:firstLine="567"/>
        <w:jc w:val="both"/>
        <w:rPr>
          <w:rFonts w:ascii="Times New Roman" w:eastAsia="Calibri" w:hAnsi="Times New Roman" w:cs="Simplified Arabic"/>
          <w:b/>
          <w:bCs/>
          <w:sz w:val="2"/>
          <w:szCs w:val="6"/>
          <w:rtl/>
        </w:rPr>
      </w:pPr>
    </w:p>
    <w:p w14:paraId="1FDF5602" w14:textId="77777777" w:rsidR="005D60FD" w:rsidRPr="005D60FD" w:rsidRDefault="005D60FD" w:rsidP="005D60FD">
      <w:pPr>
        <w:spacing w:after="360" w:line="240" w:lineRule="auto"/>
        <w:ind w:firstLine="567"/>
        <w:jc w:val="both"/>
        <w:rPr>
          <w:rFonts w:ascii="Times New Roman" w:eastAsia="Calibri" w:hAnsi="Times New Roman" w:cs="Simplified Arabic"/>
          <w:b/>
          <w:bCs/>
          <w:sz w:val="24"/>
          <w:szCs w:val="28"/>
          <w:rtl/>
        </w:rPr>
      </w:pPr>
      <w:r w:rsidRPr="005D60FD">
        <w:rPr>
          <w:rFonts w:ascii="Times New Roman" w:eastAsia="Calibri" w:hAnsi="Times New Roman" w:cs="Simplified Arabic"/>
          <w:b/>
          <w:bCs/>
          <w:sz w:val="24"/>
          <w:szCs w:val="28"/>
          <w:rtl/>
        </w:rPr>
        <w:t>تمهيد</w:t>
      </w:r>
    </w:p>
    <w:p w14:paraId="0254D22F" w14:textId="0BCE09B9" w:rsidR="00EA59B6" w:rsidRPr="00EA59B6" w:rsidRDefault="00EA59B6" w:rsidP="00786AC7">
      <w:pPr>
        <w:spacing w:after="240" w:line="276" w:lineRule="auto"/>
        <w:ind w:firstLine="567"/>
        <w:jc w:val="both"/>
        <w:rPr>
          <w:rFonts w:ascii="Times New Roman" w:eastAsia="Calibri" w:hAnsi="Times New Roman" w:cs="Simplified Arabic"/>
          <w:sz w:val="24"/>
          <w:szCs w:val="28"/>
          <w:rtl/>
        </w:rPr>
      </w:pPr>
      <w:bookmarkStart w:id="0" w:name="_Hlk192448459"/>
      <w:r w:rsidRPr="00EA59B6">
        <w:rPr>
          <w:rFonts w:ascii="Times New Roman" w:eastAsia="Calibri" w:hAnsi="Times New Roman" w:cs="Simplified Arabic"/>
          <w:sz w:val="24"/>
          <w:szCs w:val="28"/>
          <w:rtl/>
        </w:rPr>
        <w:t>يتناول هذا الفصل الإطار العام للدراسة، متضمناً المقدمة، مشكلة الدراسة، تساؤلاتها، أهدافها، أهميتها، متغيراتها وأبعادها، فرضياتها، حدودها، والمفاهيم الاصطلاحية والإجرائية.</w:t>
      </w:r>
    </w:p>
    <w:p w14:paraId="0B101045" w14:textId="77777777" w:rsidR="00EA59B6" w:rsidRPr="00EA59B6" w:rsidRDefault="00EA59B6" w:rsidP="00EA59B6">
      <w:pPr>
        <w:spacing w:after="24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1</w:t>
      </w:r>
      <w:r w:rsidRPr="00EA59B6">
        <w:rPr>
          <w:rFonts w:ascii="Times New Roman" w:eastAsia="Calibri" w:hAnsi="Times New Roman" w:cs="Simplified Arabic"/>
          <w:b/>
          <w:bCs/>
          <w:sz w:val="24"/>
          <w:szCs w:val="28"/>
          <w:rtl/>
        </w:rPr>
        <w:t>. المقدمة</w:t>
      </w:r>
    </w:p>
    <w:p w14:paraId="024CED95"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يشهد العصر الراهن تحولات متسارعة في تقنيات المعلومات والاتصالات، جعلت من </w:t>
      </w:r>
      <w:proofErr w:type="spellStart"/>
      <w:r w:rsidRPr="00EA59B6">
        <w:rPr>
          <w:rFonts w:ascii="Times New Roman" w:eastAsia="Calibri" w:hAnsi="Times New Roman" w:cs="Simplified Arabic"/>
          <w:sz w:val="24"/>
          <w:szCs w:val="28"/>
          <w:rtl/>
        </w:rPr>
        <w:t>الرقمنة</w:t>
      </w:r>
      <w:proofErr w:type="spellEnd"/>
      <w:r w:rsidRPr="00EA59B6">
        <w:rPr>
          <w:rFonts w:ascii="Times New Roman" w:eastAsia="Calibri" w:hAnsi="Times New Roman" w:cs="Simplified Arabic"/>
          <w:sz w:val="24"/>
          <w:szCs w:val="28"/>
          <w:rtl/>
        </w:rPr>
        <w:t xml:space="preserve"> والأتمتة محوراً أساسياً لتطوير الأداء المؤسسي. وتبرز تقنيات الذكاء الاصطناعي كأحد أبرز مخرجات هذه الثورة الرقمية، بما توفره من قدرات متقدمة في تحليل البيانات الضخمة، واستخلاص الأنماط، والتنبؤ بالمخاطر، ودعم اتخاذ القرار، مما يُحدث نقلة نوعية في أساليب الإدارة المعاصرة.</w:t>
      </w:r>
    </w:p>
    <w:p w14:paraId="5C430E50"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يُعد أداء المشاريع مؤشراً رئيساً على نجاح أو فشل المنظمات في تحقيق أهدافها الاستراتيجية. فقد أظهرت دراسة (</w:t>
      </w:r>
      <w:proofErr w:type="spellStart"/>
      <w:r w:rsidRPr="00EA59B6">
        <w:rPr>
          <w:rFonts w:ascii="Times New Roman" w:eastAsia="Calibri" w:hAnsi="Times New Roman" w:cs="Simplified Arabic"/>
          <w:sz w:val="24"/>
          <w:szCs w:val="28"/>
        </w:rPr>
        <w:t>Duică</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أن استخدام تقنيات الذكاء الاصطناعي يسهم في تحسين تحليل البيانات المتعلقة بالمشاريع، ويساعد مديري المشاريع في اتخاذ قرارات أكثر دقة، ويعزز القدرة على التنبؤ بالمخاطر المحتملة. كما أكدت دراسة (</w:t>
      </w:r>
      <w:r w:rsidRPr="00EA59B6">
        <w:rPr>
          <w:rFonts w:ascii="Times New Roman" w:eastAsia="Calibri" w:hAnsi="Times New Roman" w:cs="Simplified Arabic"/>
          <w:sz w:val="24"/>
          <w:szCs w:val="28"/>
        </w:rPr>
        <w:t>Omar et al., 2025</w:t>
      </w:r>
      <w:r w:rsidRPr="00EA59B6">
        <w:rPr>
          <w:rFonts w:ascii="Times New Roman" w:eastAsia="Calibri" w:hAnsi="Times New Roman" w:cs="Simplified Arabic"/>
          <w:sz w:val="24"/>
          <w:szCs w:val="28"/>
          <w:rtl/>
        </w:rPr>
        <w:t>) أن خوارزميات التعلم الآلي تسهم في تحسين دقة تقدير التكاليف والمدة الزمنية للمشاريع، وزيادة كفاءة التخطيط وإدارة المخاطر. وأظهرت دراسة (</w:t>
      </w:r>
      <w:r w:rsidRPr="00EA59B6">
        <w:rPr>
          <w:rFonts w:ascii="Times New Roman" w:eastAsia="Calibri" w:hAnsi="Times New Roman" w:cs="Simplified Arabic"/>
          <w:sz w:val="24"/>
          <w:szCs w:val="28"/>
        </w:rPr>
        <w:t>Sahadevan, 2023</w:t>
      </w:r>
      <w:r w:rsidRPr="00EA59B6">
        <w:rPr>
          <w:rFonts w:ascii="Times New Roman" w:eastAsia="Calibri" w:hAnsi="Times New Roman" w:cs="Simplified Arabic"/>
          <w:sz w:val="24"/>
          <w:szCs w:val="28"/>
          <w:rtl/>
        </w:rPr>
        <w:t>) أن الذكاء الاصطناعي يُحدث تحولاً جوهرياً في ممارسات إدارة المشاريع، من خلال أتمتة المهام الروتينية وتوفير رؤى تحليلية متقدمة تعزز كفاءة الفرق. وتتألف كفاءة أداء المشاريع من أبعاد متعددة، تشمل الالتزام بالجداول الزمنية، والتحكم في التكاليف، وجودة المخرجات، وإدارة المخاطر، وكفاءة استخدام الموارد، والقدرة على التكيف مع المتغيرات (</w:t>
      </w:r>
      <w:r w:rsidRPr="00EA59B6">
        <w:rPr>
          <w:rFonts w:ascii="Times New Roman" w:eastAsia="Calibri" w:hAnsi="Times New Roman" w:cs="Simplified Arabic"/>
          <w:sz w:val="24"/>
          <w:szCs w:val="28"/>
        </w:rPr>
        <w:t>Kerzner, 2022; Meredith et al., 2020</w:t>
      </w:r>
      <w:r w:rsidRPr="00EA59B6">
        <w:rPr>
          <w:rFonts w:ascii="Times New Roman" w:eastAsia="Calibri" w:hAnsi="Times New Roman" w:cs="Simplified Arabic"/>
          <w:sz w:val="24"/>
          <w:szCs w:val="28"/>
          <w:rtl/>
        </w:rPr>
        <w:t>).</w:t>
      </w:r>
    </w:p>
    <w:p w14:paraId="1388EF8F"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من جهة أخرى، برزت تطبيقات الذكاء الاصطناعي في إدارة المشاريع كأحد الحلول الواعدة للتحديات التي تواجه المؤسسات في بيئة الأعمال المتغيرة. فقد أشار تقرير معهد إدارة المشاريع </w:t>
      </w:r>
      <w:r w:rsidRPr="00EA59B6">
        <w:rPr>
          <w:rFonts w:ascii="Times New Roman" w:eastAsia="Calibri" w:hAnsi="Times New Roman" w:cs="Simplified Arabic"/>
          <w:sz w:val="24"/>
          <w:szCs w:val="28"/>
          <w:rtl/>
        </w:rPr>
        <w:lastRenderedPageBreak/>
        <w:t>(</w:t>
      </w:r>
      <w:r w:rsidRPr="00EA59B6">
        <w:rPr>
          <w:rFonts w:ascii="Times New Roman" w:eastAsia="Calibri" w:hAnsi="Times New Roman" w:cs="Simplified Arabic"/>
          <w:sz w:val="24"/>
          <w:szCs w:val="28"/>
        </w:rPr>
        <w:t>PMI, 2023</w:t>
      </w:r>
      <w:r w:rsidRPr="00EA59B6">
        <w:rPr>
          <w:rFonts w:ascii="Times New Roman" w:eastAsia="Calibri" w:hAnsi="Times New Roman" w:cs="Simplified Arabic"/>
          <w:sz w:val="24"/>
          <w:szCs w:val="28"/>
          <w:rtl/>
        </w:rPr>
        <w:t>) إلى أن المنظمات التي تتبنى التقنيات الرقمية، ومن بينها الذكاء الاصطناعي، تحقق معدلات نجاح أعلى في مشاريعها، مع تحسن ملحوظ في الالتزام بالجداول الزمنية والميزانيات. وقد أظهرت دراسة (</w:t>
      </w:r>
      <w:r w:rsidRPr="00EA59B6">
        <w:rPr>
          <w:rFonts w:ascii="Times New Roman" w:eastAsia="Calibri" w:hAnsi="Times New Roman" w:cs="Simplified Arabic"/>
          <w:sz w:val="24"/>
          <w:szCs w:val="28"/>
        </w:rPr>
        <w:t>Marnewick &amp; Marnewick, 2020</w:t>
      </w:r>
      <w:r w:rsidRPr="00EA59B6">
        <w:rPr>
          <w:rFonts w:ascii="Times New Roman" w:eastAsia="Calibri" w:hAnsi="Times New Roman" w:cs="Simplified Arabic"/>
          <w:sz w:val="24"/>
          <w:szCs w:val="28"/>
          <w:rtl/>
        </w:rPr>
        <w:t>) أن الثورة الصناعية الرابعة تفرض على المؤسسات إعادة النظر في ممارساتها الإدارية، وأن الذكاء الاصطناعي يمثل: أداة محورية لتعزيز كفاءة التخطيط والرقابة على المشاريع. وتتنوع تطبيقات الذكاء الاصطناعي في هذا المجال لتشمل التحليلات التنبؤية للمخاطر، وتحسين الجدولة الزمنية، ودعم اتخاذ القرارات الاستراتيجية، وإدارة الموارد بكفاءة، والمراقبة المستمرة لتقدم العمل (</w:t>
      </w:r>
      <w:proofErr w:type="spellStart"/>
      <w:r w:rsidRPr="00EA59B6">
        <w:rPr>
          <w:rFonts w:ascii="Times New Roman" w:eastAsia="Calibri" w:hAnsi="Times New Roman" w:cs="Simplified Arabic"/>
          <w:sz w:val="24"/>
          <w:szCs w:val="28"/>
        </w:rPr>
        <w:t>Duică</w:t>
      </w:r>
      <w:proofErr w:type="spellEnd"/>
      <w:r w:rsidRPr="00EA59B6">
        <w:rPr>
          <w:rFonts w:ascii="Times New Roman" w:eastAsia="Calibri" w:hAnsi="Times New Roman" w:cs="Simplified Arabic"/>
          <w:sz w:val="24"/>
          <w:szCs w:val="28"/>
        </w:rPr>
        <w:t xml:space="preserve"> et al., 2024; Omar et al., 2025</w:t>
      </w:r>
      <w:r w:rsidRPr="00EA59B6">
        <w:rPr>
          <w:rFonts w:ascii="Times New Roman" w:eastAsia="Calibri" w:hAnsi="Times New Roman" w:cs="Simplified Arabic"/>
          <w:sz w:val="24"/>
          <w:szCs w:val="28"/>
          <w:rtl/>
        </w:rPr>
        <w:t>).</w:t>
      </w:r>
    </w:p>
    <w:p w14:paraId="075AF208"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وعند الجمع بين الذكاء الاصطناعي وإدارة المشاريع، يظهر تكامل وظيفي يتجاوز مجرد الأتمتة إلى إعادة هندسة العمليات الإدارية. فبينما تعمل أنظمة الذكاء الاصطناعي على تحليل البيانات التاريخية واستخلاص الدروس المستفادة، فإنها تُمكن مديري المشاريع من اتخاذ قرارات مستنيرة قائمة على الأدلة، بدلاً من الاعتماد على الحدس والخبرة الشخصية وحدها. وقد أشارت مراجعة أدبيات (</w:t>
      </w:r>
      <w:proofErr w:type="spellStart"/>
      <w:r w:rsidRPr="00EA59B6">
        <w:rPr>
          <w:rFonts w:ascii="Times New Roman" w:eastAsia="Calibri" w:hAnsi="Times New Roman" w:cs="Simplified Arabic"/>
          <w:sz w:val="24"/>
          <w:szCs w:val="28"/>
        </w:rPr>
        <w:t>Duică</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إلى أن الذكاء الاصطناعي يُعزز القدرة على التنبؤ بالمشكلات المستقبلية، ويُحسن تخصيص الموارد، ويُسرع عمليات اتخاذ القرار. كما أظهرت دراسة (</w:t>
      </w:r>
      <w:r w:rsidRPr="00EA59B6">
        <w:rPr>
          <w:rFonts w:ascii="Times New Roman" w:eastAsia="Calibri" w:hAnsi="Times New Roman" w:cs="Simplified Arabic"/>
          <w:sz w:val="24"/>
          <w:szCs w:val="28"/>
        </w:rPr>
        <w:t>Omar et al., 2025</w:t>
      </w:r>
      <w:r w:rsidRPr="00EA59B6">
        <w:rPr>
          <w:rFonts w:ascii="Times New Roman" w:eastAsia="Calibri" w:hAnsi="Times New Roman" w:cs="Simplified Arabic"/>
          <w:sz w:val="24"/>
          <w:szCs w:val="28"/>
          <w:rtl/>
        </w:rPr>
        <w:t>) أن استخدام نماذج التعلم الآلي في تقدير التكاليف والجداول الزمنية يزيد من دقة التقديرات ويقلل من الانحرافات. وتُعد شركات التكنولوجيا الكبرى والمؤسسات الرائدة في مجال البناء والهندسة أمثلة بارزة على نجاح تطبيق الذكاء الاصطناعي في تحسين أداء مشاريعها، حيث ساهمت هذه التقنيات في تقليل التأخيرات وتحسين جودة المخرجات (</w:t>
      </w:r>
      <w:r w:rsidRPr="00EA59B6">
        <w:rPr>
          <w:rFonts w:ascii="Times New Roman" w:eastAsia="Calibri" w:hAnsi="Times New Roman" w:cs="Simplified Arabic"/>
          <w:sz w:val="24"/>
          <w:szCs w:val="28"/>
        </w:rPr>
        <w:t>PMI, 2023</w:t>
      </w:r>
      <w:r w:rsidRPr="00EA59B6">
        <w:rPr>
          <w:rFonts w:ascii="Times New Roman" w:eastAsia="Calibri" w:hAnsi="Times New Roman" w:cs="Simplified Arabic"/>
          <w:sz w:val="24"/>
          <w:szCs w:val="28"/>
          <w:rtl/>
        </w:rPr>
        <w:t>).</w:t>
      </w:r>
    </w:p>
    <w:p w14:paraId="4703CF68"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وبالانتقال إلى بيئة الدراسة الحالية، وهي المؤسسات التي تعتمد على إدارة المشاريع في تنفيذ أنشطتها في المملكة العربية السعودية، يلاحظ أن التحولات الاقتصادية والاجتماعية في إطار رؤية 2030 زادت من الاعتماد على المشاريع كأداة أساسية لتحقيق التنمية. فقد أشار تقرير (</w:t>
      </w:r>
      <w:r w:rsidRPr="00EA59B6">
        <w:rPr>
          <w:rFonts w:ascii="Times New Roman" w:eastAsia="Calibri" w:hAnsi="Times New Roman" w:cs="Simplified Arabic"/>
          <w:sz w:val="24"/>
          <w:szCs w:val="28"/>
        </w:rPr>
        <w:t>PMI, 2023</w:t>
      </w:r>
      <w:r w:rsidRPr="00EA59B6">
        <w:rPr>
          <w:rFonts w:ascii="Times New Roman" w:eastAsia="Calibri" w:hAnsi="Times New Roman" w:cs="Simplified Arabic"/>
          <w:sz w:val="24"/>
          <w:szCs w:val="28"/>
          <w:rtl/>
        </w:rPr>
        <w:t xml:space="preserve">) إلى أن المملكة تشهد نمواً متسارعاً في عدد المشاريع الكبرى، خاصة في قطاعات البنية التحتية، والتقنية، والطاقة، والسياحة. ومع هذا التوسع، تبرز الحاجة إلى تبني تقنيات حديثة لتحسين كفاءة إدارة هذه المشاريع، وتجنب الانحرافات عن الجداول الزمنية والميزانيات التي قد تؤثر في تحقيق أهداف الرؤية الطموحة. وقد أكدت دراسة (العنزي، 2022) أن التحول الرقمي يسهم في تطوير إدارة المشاريع في المؤسسات الحكومية، وأن تبني التقنيات الحديثة يُعد عاملاً حاسماً لتحقيق </w:t>
      </w:r>
      <w:r w:rsidRPr="00EA59B6">
        <w:rPr>
          <w:rFonts w:ascii="Times New Roman" w:eastAsia="Calibri" w:hAnsi="Times New Roman" w:cs="Simplified Arabic"/>
          <w:sz w:val="24"/>
          <w:szCs w:val="28"/>
          <w:rtl/>
        </w:rPr>
        <w:lastRenderedPageBreak/>
        <w:t>التميز المؤسسي. كما أشارت دراسة (الحربي، 2023) إلى أن استخدام الذكاء الاصطناعي في دعم اتخاذ القرار الإداري يُعزز كفاءة العمليات ويُحسن النتائج. وهذا يُبرز الحاجة إلى دراسة علمية موثقة لفهم الأثر الحقيقي للذكاء الاصطناعي في إدارة المشاريع في السياق السعودي.</w:t>
      </w:r>
    </w:p>
    <w:p w14:paraId="7838B2F4"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إن ما تقدمه الدراسة الحالية من تناول لهذا الموضوع بالبحث والدراسة يأتي ليسد فجوة معرفية ملموسة، وليقدم دليلاً ميدانياً حول الأثر الذي يمكن أن تحدثه تطبيقات الذكاء الاصطناعي في تحسين كفاءة أداء المشاريع في المؤسسات السعودية. ومن المتوقع أن تسهم نتائجها في توجيه صناع القرار نحو تبني استراتيجيات متكاملة للذكاء الاصطناعي في إدارة المشاريع، وتعزيز الكفاءة التشغيلية، ودعم الأهداف التنموية لرؤية 2030، مع إثراء المكتبة الأكاديمية بنموذج تفسيري يربط بين المتغيرات الرئيسة في سياق عربي فريد.</w:t>
      </w:r>
    </w:p>
    <w:p w14:paraId="3236233E" w14:textId="77777777" w:rsidR="00EA59B6" w:rsidRPr="00EA59B6" w:rsidRDefault="00EA59B6" w:rsidP="00EA59B6">
      <w:pPr>
        <w:spacing w:after="24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2</w:t>
      </w:r>
      <w:r w:rsidRPr="00EA59B6">
        <w:rPr>
          <w:rFonts w:ascii="Times New Roman" w:eastAsia="Calibri" w:hAnsi="Times New Roman" w:cs="Simplified Arabic"/>
          <w:b/>
          <w:bCs/>
          <w:sz w:val="24"/>
          <w:szCs w:val="28"/>
          <w:rtl/>
        </w:rPr>
        <w:t>. مشكلة الدراسة</w:t>
      </w:r>
    </w:p>
    <w:p w14:paraId="61F2CAE0"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تواجه العديد من المؤسسات تحديات متعددة في إدارة مشاريعها، حيث تشير الدراسات إلى أن نسبة كبيرة من المشاريع لا تُنفذ ضمن الوقت أو الميزانية المحددة. فقد أظهر تقرير (</w:t>
      </w:r>
      <w:r w:rsidRPr="00EA59B6">
        <w:rPr>
          <w:rFonts w:ascii="Times New Roman" w:eastAsia="Calibri" w:hAnsi="Times New Roman" w:cs="Simplified Arabic"/>
          <w:sz w:val="24"/>
          <w:szCs w:val="28"/>
        </w:rPr>
        <w:t>PMI, 2023</w:t>
      </w:r>
      <w:r w:rsidRPr="00EA59B6">
        <w:rPr>
          <w:rFonts w:ascii="Times New Roman" w:eastAsia="Calibri" w:hAnsi="Times New Roman" w:cs="Simplified Arabic"/>
          <w:sz w:val="24"/>
          <w:szCs w:val="28"/>
          <w:rtl/>
        </w:rPr>
        <w:t>) أن ما يقارب (50%) من المشاريع حول العالم تعاني من تجاوزات في الجداول الزمنية أو التكاليف، ويعود ذلك في كثير من الأحيان إلى ضعف التخطيط، وعدم القدرة على التنبؤ بالمخاطر، ومحدودية استخدام التقنيات الحديثة في إدارة المشاريع.</w:t>
      </w:r>
    </w:p>
    <w:p w14:paraId="3A5DECE9"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وعلى المستوى المحلي، تواجه المؤسسات السعودية تحديات مماثلة، حيث أشارت دراسة (العنزي، 2022) إلى أن (40%) من المشاريع الحكومية في المملكة تعاني من تأخيرات تتجاوز (10%) من الجدول الزمني المخطط، وأن ضعف التخطيط وإدارة المخاطر يُعد من أبرز الأسباب. كما أظهرت دراسة (الحربي، 2023) أن (35%) من مديري المشاريع في القطاع الخاص يعتبرون أن نقص الأدوات التحليلية المتقدمة يُعيق قدرتهم على التنبؤ بالمشكلات واتخاذ القرارات في الوقت المناسب.</w:t>
      </w:r>
    </w:p>
    <w:p w14:paraId="405671F3"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وعلى المستوى العربي والدولي، تشير الأدبيات إلى أن التحديات التي تواجه إدارة المشاريع تتشابه إلى حد كبير، حيث أظهرت دراسة (</w:t>
      </w:r>
      <w:proofErr w:type="spellStart"/>
      <w:r w:rsidRPr="00EA59B6">
        <w:rPr>
          <w:rFonts w:ascii="Times New Roman" w:eastAsia="Calibri" w:hAnsi="Times New Roman" w:cs="Simplified Arabic"/>
          <w:sz w:val="24"/>
          <w:szCs w:val="28"/>
        </w:rPr>
        <w:t>Duică</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أن ضعف تحليل البيانات وعدم القدرة على التنبؤ بالمخاطر يُعدان من أبرز معوقات نجاح المشاريع. كما أكدت دراسة (</w:t>
      </w:r>
      <w:r w:rsidRPr="00EA59B6">
        <w:rPr>
          <w:rFonts w:ascii="Times New Roman" w:eastAsia="Calibri" w:hAnsi="Times New Roman" w:cs="Simplified Arabic"/>
          <w:sz w:val="24"/>
          <w:szCs w:val="28"/>
        </w:rPr>
        <w:t xml:space="preserve">Sahadevan, </w:t>
      </w:r>
      <w:r w:rsidRPr="00EA59B6">
        <w:rPr>
          <w:rFonts w:ascii="Times New Roman" w:eastAsia="Calibri" w:hAnsi="Times New Roman" w:cs="Simplified Arabic"/>
          <w:sz w:val="24"/>
          <w:szCs w:val="28"/>
        </w:rPr>
        <w:lastRenderedPageBreak/>
        <w:t>2023</w:t>
      </w:r>
      <w:r w:rsidRPr="00EA59B6">
        <w:rPr>
          <w:rFonts w:ascii="Times New Roman" w:eastAsia="Calibri" w:hAnsi="Times New Roman" w:cs="Simplified Arabic"/>
          <w:sz w:val="24"/>
          <w:szCs w:val="28"/>
          <w:rtl/>
        </w:rPr>
        <w:t>) أن الاعتماد على الأساليب التقليدية في إدارة المشاريع يحد من قدرة المؤسسات على التكيف مع المتغيرات السريعة في بيئة الأعمال. وقد أشارت مراجعة (</w:t>
      </w:r>
      <w:r w:rsidRPr="00EA59B6">
        <w:rPr>
          <w:rFonts w:ascii="Times New Roman" w:eastAsia="Calibri" w:hAnsi="Times New Roman" w:cs="Simplified Arabic"/>
          <w:sz w:val="24"/>
          <w:szCs w:val="28"/>
        </w:rPr>
        <w:t>Bock &amp; Wiener, 2020</w:t>
      </w:r>
      <w:r w:rsidRPr="00EA59B6">
        <w:rPr>
          <w:rFonts w:ascii="Times New Roman" w:eastAsia="Calibri" w:hAnsi="Times New Roman" w:cs="Simplified Arabic"/>
          <w:sz w:val="24"/>
          <w:szCs w:val="28"/>
          <w:rtl/>
        </w:rPr>
        <w:t>) إلى أن الأدوات الرقمية المتقدمة، ومن بينها الذكاء الاصطناعي، يمكن أن تسهم في تجاوز هذه التحديات من خلال توفير تحليلات دقيقة وتنبؤات موثوقة. ويُقدر تقرير (</w:t>
      </w:r>
      <w:r w:rsidRPr="00EA59B6">
        <w:rPr>
          <w:rFonts w:ascii="Times New Roman" w:eastAsia="Calibri" w:hAnsi="Times New Roman" w:cs="Simplified Arabic"/>
          <w:sz w:val="24"/>
          <w:szCs w:val="28"/>
        </w:rPr>
        <w:t>PMI, 2023</w:t>
      </w:r>
      <w:r w:rsidRPr="00EA59B6">
        <w:rPr>
          <w:rFonts w:ascii="Times New Roman" w:eastAsia="Calibri" w:hAnsi="Times New Roman" w:cs="Simplified Arabic"/>
          <w:sz w:val="24"/>
          <w:szCs w:val="28"/>
          <w:rtl/>
        </w:rPr>
        <w:t>) أن تبني الذكاء الاصطناعي في إدارة المشاريع يمكن أن يخفض التكاليف بنسبة تصل إلى (20%)، ويُحسن الالتزام بالجداول الزمنية بنسبة (15</w:t>
      </w:r>
      <w:r w:rsidRPr="00EA59B6">
        <w:rPr>
          <w:rFonts w:ascii="Times New Roman" w:eastAsia="Calibri" w:hAnsi="Times New Roman" w:cs="Simplified Arabic"/>
          <w:sz w:val="24"/>
          <w:szCs w:val="28"/>
        </w:rPr>
        <w:t>%</w:t>
      </w:r>
      <w:r w:rsidRPr="00EA59B6">
        <w:rPr>
          <w:rFonts w:ascii="Times New Roman" w:eastAsia="Calibri" w:hAnsi="Times New Roman" w:cs="Simplified Arabic"/>
          <w:sz w:val="24"/>
          <w:szCs w:val="28"/>
          <w:rtl/>
        </w:rPr>
        <w:t>).</w:t>
      </w:r>
    </w:p>
    <w:p w14:paraId="4F5E3FCF"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ورغم الإمكانات الكبيرة التي توفرها تقنيات الذكاء الاصطناعي، فإن تطبيقها في إدارة المشاريع ما يزال محدوداً في العديد من المؤسسات، خاصة في المنطقة العربية. وقد أشارت دراسة (العتيبي، 2020) إلى أن (65%) من المؤسسات السعودية لا تزال تعتمد على الأساليب التقليدية في إدارة مشاريعها، وأن الوعي بفوائد الذكاء الاصطناعي لا يزال محدوداً. كما أظهرت دراسة (السلمي، 2019) أن نقص الكوادر المدربة والبنية التحتية المناسبة يُعدان من أبرز المعوقات التي تحد من تبني التقنيات الحديثة في إدارة المشاريع. وقد لاحظت الباحثة، من خلال متابعتها لواقع إدارة المشاريع في المؤسسات السعودية، وجود تباين كبير في مستوى استخدام التقنيات الحديثة، وغياب الدراسات الميدانية التي قاست بشكل كمي أثر الذكاء الاصطناعي في تحسين كفاءة الأداء.</w:t>
      </w:r>
    </w:p>
    <w:p w14:paraId="6DC2BB71"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وهكذا، تتحدد مشكلة الدراسة الحالية في السؤال الرئيس الآتي: </w:t>
      </w:r>
      <w:r w:rsidRPr="00EA59B6">
        <w:rPr>
          <w:rFonts w:ascii="Times New Roman" w:eastAsia="Calibri" w:hAnsi="Times New Roman" w:cs="Simplified Arabic"/>
          <w:b/>
          <w:bCs/>
          <w:sz w:val="24"/>
          <w:szCs w:val="28"/>
          <w:rtl/>
        </w:rPr>
        <w:t>ما أثر استخدام الذكاء الاصطناعي في إدارة المشاريع على تحسين كفاءة أداء المشاريع؟</w:t>
      </w:r>
    </w:p>
    <w:p w14:paraId="629DD6AF" w14:textId="77777777" w:rsidR="00EA59B6" w:rsidRPr="00EA59B6" w:rsidRDefault="00EA59B6" w:rsidP="00EA59B6">
      <w:pPr>
        <w:spacing w:after="360" w:line="240"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3</w:t>
      </w:r>
      <w:r w:rsidRPr="00EA59B6">
        <w:rPr>
          <w:rFonts w:ascii="Times New Roman" w:eastAsia="Calibri" w:hAnsi="Times New Roman" w:cs="Simplified Arabic"/>
          <w:b/>
          <w:bCs/>
          <w:sz w:val="24"/>
          <w:szCs w:val="28"/>
          <w:rtl/>
        </w:rPr>
        <w:t>. تساؤلات الدراسة</w:t>
      </w:r>
    </w:p>
    <w:p w14:paraId="5C41E27F"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التساؤل الرئيس:</w:t>
      </w:r>
    </w:p>
    <w:p w14:paraId="669B03B1"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ما أثر استخدام الذكاء الاصطناعي في إدارة المشاريع على تحسين كفاءة أداء المشاريع؟</w:t>
      </w:r>
    </w:p>
    <w:p w14:paraId="63E98A2B"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التساؤلات الفرعية:</w:t>
      </w:r>
    </w:p>
    <w:p w14:paraId="116690E8" w14:textId="77777777" w:rsidR="00EA59B6" w:rsidRPr="00EA59B6" w:rsidRDefault="00EA59B6" w:rsidP="00CF2C75">
      <w:pPr>
        <w:numPr>
          <w:ilvl w:val="0"/>
          <w:numId w:val="6"/>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ما مستوى استخدام تقنيات الذكاء الاصطناعي في إدارة المشاريع داخل المؤسسات؟</w:t>
      </w:r>
    </w:p>
    <w:p w14:paraId="26D1BC5F" w14:textId="77777777" w:rsidR="00EA59B6" w:rsidRPr="00EA59B6" w:rsidRDefault="00EA59B6" w:rsidP="00CF2C75">
      <w:pPr>
        <w:numPr>
          <w:ilvl w:val="0"/>
          <w:numId w:val="6"/>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ما مستوى كفاءة أداء المشاريع في المؤسسات؟</w:t>
      </w:r>
    </w:p>
    <w:p w14:paraId="573442CE" w14:textId="77777777" w:rsidR="00EA59B6" w:rsidRPr="00EA59B6" w:rsidRDefault="00EA59B6" w:rsidP="00CF2C75">
      <w:pPr>
        <w:numPr>
          <w:ilvl w:val="0"/>
          <w:numId w:val="6"/>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lastRenderedPageBreak/>
        <w:t>ما طبيعة العلاقة بين استخدام الذكاء الاصطناعي في إدارة المشاريع وكفاءة أداء المشاريع؟</w:t>
      </w:r>
    </w:p>
    <w:p w14:paraId="0AF3BED1" w14:textId="77777777" w:rsidR="00EA59B6" w:rsidRPr="00EA59B6" w:rsidRDefault="00EA59B6" w:rsidP="00CF2C75">
      <w:pPr>
        <w:numPr>
          <w:ilvl w:val="0"/>
          <w:numId w:val="6"/>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ما أثر استخدام الذكاء الاصطناعي بأبعاده المختلفة (تحليل البيانات، التنبؤ بالمخاطر، تحسين الجدولة، دعم اتخاذ القرار، إدارة الموارد، المراقبة والمتابعة) في تحسين كفاءة أداء المشاريع بشكل عام؟</w:t>
      </w:r>
    </w:p>
    <w:p w14:paraId="43EC1392"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وينبثق من هذا التساؤل الأسئلة الفرعية الآتية:</w:t>
      </w:r>
    </w:p>
    <w:p w14:paraId="52B791FE" w14:textId="77777777" w:rsidR="00EA59B6" w:rsidRPr="00EA59B6" w:rsidRDefault="00EA59B6" w:rsidP="00CF2C75">
      <w:pPr>
        <w:numPr>
          <w:ilvl w:val="0"/>
          <w:numId w:val="7"/>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ما أثر تحليل البيانات في تحسين كفاءة أداء المشاريع؟</w:t>
      </w:r>
    </w:p>
    <w:p w14:paraId="6768A1D3" w14:textId="77777777" w:rsidR="00EA59B6" w:rsidRPr="00EA59B6" w:rsidRDefault="00EA59B6" w:rsidP="00CF2C75">
      <w:pPr>
        <w:numPr>
          <w:ilvl w:val="0"/>
          <w:numId w:val="7"/>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ما أثر التنبؤ بالمخاطر في تحسين كفاءة أداء المشاريع؟</w:t>
      </w:r>
    </w:p>
    <w:p w14:paraId="341512B7" w14:textId="77777777" w:rsidR="00EA59B6" w:rsidRPr="00EA59B6" w:rsidRDefault="00EA59B6" w:rsidP="00CF2C75">
      <w:pPr>
        <w:numPr>
          <w:ilvl w:val="0"/>
          <w:numId w:val="7"/>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ما أثر تحسين الجدولة الزمنية في تحسين كفاءة أداء المشاريع؟</w:t>
      </w:r>
    </w:p>
    <w:p w14:paraId="277BC203" w14:textId="77777777" w:rsidR="00EA59B6" w:rsidRPr="00EA59B6" w:rsidRDefault="00EA59B6" w:rsidP="00CF2C75">
      <w:pPr>
        <w:numPr>
          <w:ilvl w:val="0"/>
          <w:numId w:val="7"/>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ما أثر دعم اتخاذ القرار في تحسين كفاءة أداء المشاريع؟</w:t>
      </w:r>
    </w:p>
    <w:p w14:paraId="51CEA429" w14:textId="77777777" w:rsidR="00EA59B6" w:rsidRPr="00EA59B6" w:rsidRDefault="00EA59B6" w:rsidP="00CF2C75">
      <w:pPr>
        <w:numPr>
          <w:ilvl w:val="0"/>
          <w:numId w:val="7"/>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ما أثر إدارة الموارد في تحسين كفاءة أداء المشاريع؟</w:t>
      </w:r>
    </w:p>
    <w:p w14:paraId="7F7CA623" w14:textId="77777777" w:rsidR="00EA59B6" w:rsidRPr="00EA59B6" w:rsidRDefault="00EA59B6" w:rsidP="00CF2C75">
      <w:pPr>
        <w:numPr>
          <w:ilvl w:val="0"/>
          <w:numId w:val="7"/>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ما أثر المراقبة والمتابعة المستمرة في تحسين كفاءة أداء المشاريع؟</w:t>
      </w:r>
    </w:p>
    <w:p w14:paraId="6BFE8679" w14:textId="77777777" w:rsidR="00EA59B6" w:rsidRPr="00EA59B6" w:rsidRDefault="00EA59B6" w:rsidP="00EA59B6">
      <w:pPr>
        <w:spacing w:after="360" w:line="240"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4</w:t>
      </w:r>
      <w:r w:rsidRPr="00EA59B6">
        <w:rPr>
          <w:rFonts w:ascii="Times New Roman" w:eastAsia="Calibri" w:hAnsi="Times New Roman" w:cs="Simplified Arabic"/>
          <w:b/>
          <w:bCs/>
          <w:sz w:val="24"/>
          <w:szCs w:val="28"/>
          <w:rtl/>
        </w:rPr>
        <w:t>. أهمية الدراسة</w:t>
      </w:r>
    </w:p>
    <w:p w14:paraId="1E79B03E"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أولاً: الأهمية العلمية</w:t>
      </w:r>
    </w:p>
    <w:p w14:paraId="3D6AFDBC" w14:textId="77777777" w:rsidR="00EA59B6" w:rsidRPr="00EA59B6" w:rsidRDefault="00EA59B6" w:rsidP="00CF2C75">
      <w:pPr>
        <w:numPr>
          <w:ilvl w:val="0"/>
          <w:numId w:val="8"/>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تسهم الدراسة في إثراء الأدبيات الأكاديمية العربية في مجال إدارة المشاريع والذكاء الاصطناعي، وهو موضوع حديث نسبياً في البحوث العربية، من خلال تقديم نموذج تحليلي يربط بين تطبيقات الذكاء الاصطناعي وكفاءة أداء المشاريع.</w:t>
      </w:r>
    </w:p>
    <w:p w14:paraId="4C94EC83" w14:textId="77777777" w:rsidR="00EA59B6" w:rsidRPr="00EA59B6" w:rsidRDefault="00EA59B6" w:rsidP="00CF2C75">
      <w:pPr>
        <w:numPr>
          <w:ilvl w:val="0"/>
          <w:numId w:val="8"/>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تُعد الدراسة امتداداً للنظريات الإدارية الحديثة (كنظرية اتخاذ القرار ونظرية إدارة المخاطر) في ضوء التطورات التكنولوجية المتسارعة، مما يفتح آفاقاً بحثية جديدة في مجال إدارة المشاريع الرقمية.</w:t>
      </w:r>
    </w:p>
    <w:p w14:paraId="084247EB" w14:textId="77777777" w:rsidR="00EA59B6" w:rsidRPr="00EA59B6" w:rsidRDefault="00EA59B6" w:rsidP="00CF2C75">
      <w:pPr>
        <w:numPr>
          <w:ilvl w:val="0"/>
          <w:numId w:val="8"/>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lastRenderedPageBreak/>
        <w:t>تقدم مؤشرات كمية حول واقع استخدام الذكاء الاصطناعي في إدارة المشاريع في المؤسسات السعودية، مما يُعد قاعدة معرفية مرجعية للدارسين والباحثين مستقبلاً.</w:t>
      </w:r>
    </w:p>
    <w:p w14:paraId="71CDAC2E"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ثانياً: الأهمية العملية</w:t>
      </w:r>
    </w:p>
    <w:p w14:paraId="7A53482F" w14:textId="77777777" w:rsidR="00EA59B6" w:rsidRPr="00EA59B6" w:rsidRDefault="00EA59B6" w:rsidP="00CF2C75">
      <w:pPr>
        <w:numPr>
          <w:ilvl w:val="0"/>
          <w:numId w:val="9"/>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توفر نتائج الدراسة دليلاً لصناع القرار في المؤسسات (مدراء المشاريع، مسؤولي التحول الرقمي، مكاتب إدارة المشاريع) حول الأبعاد الأكثر تأثيراً من تطبيقات الذكاء الاصطناعي على كفاءة أداء المشاريع، مما يساعدهم في توجيه الاستثمارات التقنية وتحديد أولويات التطوير.</w:t>
      </w:r>
    </w:p>
    <w:p w14:paraId="68052D6E" w14:textId="77777777" w:rsidR="00EA59B6" w:rsidRPr="00EA59B6" w:rsidRDefault="00EA59B6" w:rsidP="00CF2C75">
      <w:pPr>
        <w:numPr>
          <w:ilvl w:val="0"/>
          <w:numId w:val="9"/>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تساعد أداة الدراسة (الاستبيان) المطورة في تشخيص مستوى نضج استخدام الذكاء الاصطناعي في المؤسسة، وتحديد مواطن القوة والضعف في ممارسات إدارة المشاريع الحالية.</w:t>
      </w:r>
    </w:p>
    <w:p w14:paraId="29ACC6A1" w14:textId="77777777" w:rsidR="00EA59B6" w:rsidRPr="00EA59B6" w:rsidRDefault="00EA59B6" w:rsidP="00CF2C75">
      <w:pPr>
        <w:numPr>
          <w:ilvl w:val="0"/>
          <w:numId w:val="9"/>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تمكن التوصيات المقترحة المؤسسات من تطوير استراتيجيات متكاملة لتبني الذكاء الاصطناعي في إدارة المشاريع، مع التركيز على المجالات الأكثر تأثيراً في تحسين الأداء والكفاءة.</w:t>
      </w:r>
    </w:p>
    <w:p w14:paraId="644CD704"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ثالثاً: القيمة المضافة التي تحققها الدراسة</w:t>
      </w:r>
    </w:p>
    <w:p w14:paraId="72E1AE0F" w14:textId="77777777" w:rsidR="00EA59B6" w:rsidRPr="00EA59B6" w:rsidRDefault="00EA59B6" w:rsidP="00CF2C75">
      <w:pPr>
        <w:numPr>
          <w:ilvl w:val="0"/>
          <w:numId w:val="10"/>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تقديم أدلة ميدانية من بيئة سعودية تشهد تحولاً رقمياً طموحاً في إطار رؤية 2030، مما يجعل النتائج ذات خصوصية سياقية عالية وقيمة تطبيقية كبيرة للمؤسسات المحلية والإقليمية.</w:t>
      </w:r>
    </w:p>
    <w:p w14:paraId="56DF6E15" w14:textId="77777777" w:rsidR="00EA59B6" w:rsidRPr="00EA59B6" w:rsidRDefault="00EA59B6" w:rsidP="00CF2C75">
      <w:pPr>
        <w:numPr>
          <w:ilvl w:val="0"/>
          <w:numId w:val="10"/>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سد الفجوة البحثية المتعلقة بندرة الدراسات الميدانية العربية التي تناولت الأثر التفصيلي لأبعاد الذكاء الاصطناعي المتعددة على كفاءة أداء المشاريع في قطاعات متنوعة.</w:t>
      </w:r>
    </w:p>
    <w:p w14:paraId="548F068D" w14:textId="77777777" w:rsidR="00EA59B6" w:rsidRPr="00EA59B6" w:rsidRDefault="00EA59B6" w:rsidP="00CF2C75">
      <w:pPr>
        <w:numPr>
          <w:ilvl w:val="0"/>
          <w:numId w:val="10"/>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تقديم نموذج تحليلي متكامل يمكن الاستفادة منه في تصميم وتنفيذ برامج التحول الرقمي في إدارة المشاريع، وتوجيه الباحثين نحو متغيرات وسيطة أو مشرفة محتملة للدراسات المستقبلية.</w:t>
      </w:r>
    </w:p>
    <w:p w14:paraId="0DFB30C8" w14:textId="77777777" w:rsidR="00EA59B6" w:rsidRPr="00EA59B6" w:rsidRDefault="00EA59B6" w:rsidP="00EA59B6">
      <w:pPr>
        <w:spacing w:after="360" w:line="240"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5</w:t>
      </w:r>
      <w:r w:rsidRPr="00EA59B6">
        <w:rPr>
          <w:rFonts w:ascii="Times New Roman" w:eastAsia="Calibri" w:hAnsi="Times New Roman" w:cs="Simplified Arabic"/>
          <w:b/>
          <w:bCs/>
          <w:sz w:val="24"/>
          <w:szCs w:val="28"/>
          <w:rtl/>
        </w:rPr>
        <w:t>. أهداف الدراسة</w:t>
      </w:r>
    </w:p>
    <w:p w14:paraId="788B2F29"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lastRenderedPageBreak/>
        <w:t>الهدف العام:</w:t>
      </w:r>
    </w:p>
    <w:p w14:paraId="0E9D352E"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تهدف الدراسة الحالية إلى تحديد أثر استخدام الذكاء الاصطناعي بأبعاده المختلفة (تحليل البيانات، التنبؤ بالمخاطر، تحسين الجدولة، دعم اتخاذ القرار، إدارة الموارد، المراقبة والمتابعة) في تحسين كفاءة أداء المشاريع في المؤسسات.</w:t>
      </w:r>
    </w:p>
    <w:p w14:paraId="400DCDCC"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الأهداف الفرعية:</w:t>
      </w:r>
    </w:p>
    <w:p w14:paraId="6C9CEBC4" w14:textId="77777777" w:rsidR="00EA59B6" w:rsidRPr="00EA59B6" w:rsidRDefault="00EA59B6" w:rsidP="00CF2C75">
      <w:pPr>
        <w:numPr>
          <w:ilvl w:val="0"/>
          <w:numId w:val="11"/>
        </w:numPr>
        <w:spacing w:after="0" w:line="276"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قياس مستوى استخدام تقنيات الذكاء الاصطناعي في إدارة المشاريع داخل المؤسسات.</w:t>
      </w:r>
    </w:p>
    <w:p w14:paraId="5B0DA42E" w14:textId="77777777" w:rsidR="00EA59B6" w:rsidRPr="00EA59B6" w:rsidRDefault="00EA59B6" w:rsidP="00CF2C75">
      <w:pPr>
        <w:numPr>
          <w:ilvl w:val="0"/>
          <w:numId w:val="11"/>
        </w:numPr>
        <w:spacing w:after="0" w:line="276"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قياس مستوى كفاءة أداء المشاريع في المؤسسات.</w:t>
      </w:r>
    </w:p>
    <w:p w14:paraId="35605ACB" w14:textId="77777777" w:rsidR="00EA59B6" w:rsidRPr="00EA59B6" w:rsidRDefault="00EA59B6" w:rsidP="00CF2C75">
      <w:pPr>
        <w:numPr>
          <w:ilvl w:val="0"/>
          <w:numId w:val="11"/>
        </w:numPr>
        <w:spacing w:after="0" w:line="276"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تحديد طبيعة العلاقة بين استخدام الذكاء الاصطناعي في إدارة المشاريع وكفاءة أداء المشاريع.</w:t>
      </w:r>
    </w:p>
    <w:p w14:paraId="4C87EEAB" w14:textId="77777777" w:rsidR="00EA59B6" w:rsidRPr="00EA59B6" w:rsidRDefault="00EA59B6" w:rsidP="00CF2C75">
      <w:pPr>
        <w:numPr>
          <w:ilvl w:val="0"/>
          <w:numId w:val="11"/>
        </w:numPr>
        <w:spacing w:after="0" w:line="276"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تحديد أثر تحليل البيانات في تحسين كفاءة أداء المشاريع.</w:t>
      </w:r>
    </w:p>
    <w:p w14:paraId="15DBF68F" w14:textId="77777777" w:rsidR="00EA59B6" w:rsidRPr="00EA59B6" w:rsidRDefault="00EA59B6" w:rsidP="00CF2C75">
      <w:pPr>
        <w:numPr>
          <w:ilvl w:val="0"/>
          <w:numId w:val="11"/>
        </w:numPr>
        <w:spacing w:after="0" w:line="276"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تحديد أثر التنبؤ بالمخاطر في تحسين كفاءة أداء المشاريع.</w:t>
      </w:r>
    </w:p>
    <w:p w14:paraId="328E76A9" w14:textId="77777777" w:rsidR="00EA59B6" w:rsidRPr="00EA59B6" w:rsidRDefault="00EA59B6" w:rsidP="00CF2C75">
      <w:pPr>
        <w:numPr>
          <w:ilvl w:val="0"/>
          <w:numId w:val="11"/>
        </w:numPr>
        <w:spacing w:after="0" w:line="276"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تحديد أثر تحسين الجدولة الزمنية في تحسين كفاءة أداء المشاريع.</w:t>
      </w:r>
    </w:p>
    <w:p w14:paraId="1E6AF967" w14:textId="77777777" w:rsidR="00EA59B6" w:rsidRPr="00EA59B6" w:rsidRDefault="00EA59B6" w:rsidP="00CF2C75">
      <w:pPr>
        <w:numPr>
          <w:ilvl w:val="0"/>
          <w:numId w:val="11"/>
        </w:numPr>
        <w:spacing w:after="0" w:line="276"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تحديد أثر دعم اتخاذ القرار في تحسين كفاءة أداء المشاريع.</w:t>
      </w:r>
    </w:p>
    <w:p w14:paraId="08EEAD41" w14:textId="77777777" w:rsidR="00EA59B6" w:rsidRPr="00EA59B6" w:rsidRDefault="00EA59B6" w:rsidP="00CF2C75">
      <w:pPr>
        <w:numPr>
          <w:ilvl w:val="0"/>
          <w:numId w:val="11"/>
        </w:numPr>
        <w:spacing w:after="0" w:line="276"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تحديد أثر إدارة الموارد في تحسين كفاءة أداء المشاريع.</w:t>
      </w:r>
    </w:p>
    <w:p w14:paraId="47793901" w14:textId="77777777" w:rsidR="00EA59B6" w:rsidRPr="00EA59B6" w:rsidRDefault="00EA59B6" w:rsidP="00CF2C75">
      <w:pPr>
        <w:numPr>
          <w:ilvl w:val="0"/>
          <w:numId w:val="11"/>
        </w:numPr>
        <w:spacing w:after="0" w:line="276"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تحديد أثر المراقبة والمتابعة المستمرة في تحسين كفاءة أداء المشاريع.</w:t>
      </w:r>
    </w:p>
    <w:p w14:paraId="108CC384" w14:textId="77777777" w:rsidR="00EA59B6" w:rsidRPr="00EA59B6" w:rsidRDefault="00EA59B6" w:rsidP="00EA59B6">
      <w:pPr>
        <w:spacing w:after="360" w:line="240"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6</w:t>
      </w:r>
      <w:r w:rsidRPr="00EA59B6">
        <w:rPr>
          <w:rFonts w:ascii="Times New Roman" w:eastAsia="Calibri" w:hAnsi="Times New Roman" w:cs="Simplified Arabic"/>
          <w:b/>
          <w:bCs/>
          <w:sz w:val="24"/>
          <w:szCs w:val="28"/>
          <w:rtl/>
        </w:rPr>
        <w:t>. متغيرات الدراسة وأبعادها</w:t>
      </w:r>
    </w:p>
    <w:p w14:paraId="033564DE"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أولاً: المتغير المستقل – استخدام الذكاء الاصطناعي في إدارة المشاريع</w:t>
      </w:r>
    </w:p>
    <w:p w14:paraId="326B37D2"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sz w:val="24"/>
          <w:szCs w:val="28"/>
          <w:rtl/>
        </w:rPr>
        <w:t>يُعرّف في سياق هذه الدراسة بأنه: مدى توظيف المؤسسة لتقنيات الذكاء الاصطناعي (كالتعلم الآلي، وتحليل البيانات، والنماذج التنبؤية، والأنظمة الخبيرة) في دعم عمليات إدارة المشاريع (التخطيط، التنفيذ، المتابعة، والرقابة)، بهدف تحسين الكفاءة والفعالية في تحقيق أهداف المشروع.</w:t>
      </w:r>
    </w:p>
    <w:p w14:paraId="56493C58"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tl/>
        </w:rPr>
      </w:pPr>
    </w:p>
    <w:p w14:paraId="529CF0A2"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tl/>
        </w:rPr>
      </w:pPr>
    </w:p>
    <w:p w14:paraId="69C84992"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p>
    <w:tbl>
      <w:tblPr>
        <w:tblStyle w:val="4-51"/>
        <w:bidiVisual/>
        <w:tblW w:w="8239" w:type="dxa"/>
        <w:jc w:val="center"/>
        <w:tblLook w:val="04A0" w:firstRow="1" w:lastRow="0" w:firstColumn="1" w:lastColumn="0" w:noHBand="0" w:noVBand="1"/>
      </w:tblPr>
      <w:tblGrid>
        <w:gridCol w:w="599"/>
        <w:gridCol w:w="2635"/>
        <w:gridCol w:w="5005"/>
      </w:tblGrid>
      <w:tr w:rsidR="00EA59B6" w:rsidRPr="00EA59B6" w14:paraId="26457A26" w14:textId="77777777" w:rsidTr="004848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BB5442" w14:textId="77777777" w:rsidR="00EA59B6" w:rsidRPr="00EA59B6" w:rsidRDefault="00EA59B6" w:rsidP="00EA59B6">
            <w:pPr>
              <w:spacing w:after="0" w:line="240" w:lineRule="auto"/>
              <w:jc w:val="center"/>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lastRenderedPageBreak/>
              <w:t>الرمز</w:t>
            </w:r>
          </w:p>
        </w:tc>
        <w:tc>
          <w:tcPr>
            <w:tcW w:w="0" w:type="auto"/>
            <w:vAlign w:val="center"/>
            <w:hideMark/>
          </w:tcPr>
          <w:p w14:paraId="049C493D" w14:textId="77777777" w:rsidR="00EA59B6" w:rsidRPr="00EA59B6" w:rsidRDefault="00EA59B6" w:rsidP="00EA59B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البعد</w:t>
            </w:r>
          </w:p>
        </w:tc>
        <w:tc>
          <w:tcPr>
            <w:tcW w:w="5005" w:type="dxa"/>
            <w:vAlign w:val="center"/>
            <w:hideMark/>
          </w:tcPr>
          <w:p w14:paraId="7AB253CB" w14:textId="77777777" w:rsidR="00EA59B6" w:rsidRPr="00EA59B6" w:rsidRDefault="00EA59B6" w:rsidP="00EA59B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الوصف</w:t>
            </w:r>
          </w:p>
        </w:tc>
      </w:tr>
      <w:tr w:rsidR="00EA59B6" w:rsidRPr="00EA59B6" w14:paraId="6B2A94F2"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6BD0C1"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AI1</w:t>
            </w:r>
            <w:proofErr w:type="spellEnd"/>
          </w:p>
        </w:tc>
        <w:tc>
          <w:tcPr>
            <w:tcW w:w="0" w:type="auto"/>
            <w:vAlign w:val="center"/>
            <w:hideMark/>
          </w:tcPr>
          <w:p w14:paraId="0D346ADC"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تحليل البيانات (</w:t>
            </w:r>
            <w:r w:rsidRPr="00EA59B6">
              <w:rPr>
                <w:rFonts w:ascii="Times New Roman" w:eastAsia="Calibri" w:hAnsi="Times New Roman" w:cs="Simplified Arabic"/>
                <w:sz w:val="20"/>
                <w:szCs w:val="24"/>
              </w:rPr>
              <w:t>Data Analysis</w:t>
            </w:r>
            <w:r w:rsidRPr="00EA59B6">
              <w:rPr>
                <w:rFonts w:ascii="Times New Roman" w:eastAsia="Calibri" w:hAnsi="Times New Roman" w:cs="Simplified Arabic"/>
                <w:sz w:val="20"/>
                <w:szCs w:val="24"/>
                <w:rtl/>
              </w:rPr>
              <w:t>)</w:t>
            </w:r>
          </w:p>
        </w:tc>
        <w:tc>
          <w:tcPr>
            <w:tcW w:w="5005" w:type="dxa"/>
            <w:vAlign w:val="center"/>
            <w:hideMark/>
          </w:tcPr>
          <w:p w14:paraId="2EF43F3B"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استخدام خوارزميات الذكاء الاصطناعي لمعالجة وتحليل كميات كبيرة من البيانات المتعلقة بالمشاريع (أداء الفرق، التكاليف، الجداول) لاستخلاص الأنماط والرؤى.</w:t>
            </w:r>
          </w:p>
        </w:tc>
      </w:tr>
      <w:tr w:rsidR="00EA59B6" w:rsidRPr="00EA59B6" w14:paraId="256D820F"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A0F1F0"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AI2</w:t>
            </w:r>
            <w:proofErr w:type="spellEnd"/>
          </w:p>
        </w:tc>
        <w:tc>
          <w:tcPr>
            <w:tcW w:w="0" w:type="auto"/>
            <w:vAlign w:val="center"/>
            <w:hideMark/>
          </w:tcPr>
          <w:p w14:paraId="486E5EED"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التنبؤ بالمخاطر (</w:t>
            </w:r>
            <w:r w:rsidRPr="00EA59B6">
              <w:rPr>
                <w:rFonts w:ascii="Times New Roman" w:eastAsia="Calibri" w:hAnsi="Times New Roman" w:cs="Simplified Arabic"/>
                <w:sz w:val="20"/>
                <w:szCs w:val="24"/>
              </w:rPr>
              <w:t>Risk Prediction</w:t>
            </w:r>
            <w:r w:rsidRPr="00EA59B6">
              <w:rPr>
                <w:rFonts w:ascii="Times New Roman" w:eastAsia="Calibri" w:hAnsi="Times New Roman" w:cs="Simplified Arabic"/>
                <w:sz w:val="20"/>
                <w:szCs w:val="24"/>
                <w:rtl/>
              </w:rPr>
              <w:t>)</w:t>
            </w:r>
          </w:p>
        </w:tc>
        <w:tc>
          <w:tcPr>
            <w:tcW w:w="5005" w:type="dxa"/>
            <w:vAlign w:val="center"/>
            <w:hideMark/>
          </w:tcPr>
          <w:p w14:paraId="4D3C82AA"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استخدام النماذج التنبؤية لتحديد المخاطر المحتملة قبل حدوثها، وتصنيفها حسب الأولوية، لوضع استراتيجيات وقائية.</w:t>
            </w:r>
          </w:p>
        </w:tc>
      </w:tr>
      <w:tr w:rsidR="00EA59B6" w:rsidRPr="00EA59B6" w14:paraId="1D9EC8A8"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234C2B"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AI3</w:t>
            </w:r>
            <w:proofErr w:type="spellEnd"/>
          </w:p>
        </w:tc>
        <w:tc>
          <w:tcPr>
            <w:tcW w:w="0" w:type="auto"/>
            <w:vAlign w:val="center"/>
            <w:hideMark/>
          </w:tcPr>
          <w:p w14:paraId="662DFBD7"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تحسين الجدولة الزمنية (</w:t>
            </w:r>
            <w:r w:rsidRPr="00EA59B6">
              <w:rPr>
                <w:rFonts w:ascii="Times New Roman" w:eastAsia="Calibri" w:hAnsi="Times New Roman" w:cs="Simplified Arabic"/>
                <w:sz w:val="20"/>
                <w:szCs w:val="24"/>
              </w:rPr>
              <w:t>Scheduling Optimization</w:t>
            </w:r>
            <w:r w:rsidRPr="00EA59B6">
              <w:rPr>
                <w:rFonts w:ascii="Times New Roman" w:eastAsia="Calibri" w:hAnsi="Times New Roman" w:cs="Simplified Arabic"/>
                <w:sz w:val="20"/>
                <w:szCs w:val="24"/>
                <w:rtl/>
              </w:rPr>
              <w:t>)</w:t>
            </w:r>
          </w:p>
        </w:tc>
        <w:tc>
          <w:tcPr>
            <w:tcW w:w="5005" w:type="dxa"/>
            <w:vAlign w:val="center"/>
            <w:hideMark/>
          </w:tcPr>
          <w:p w14:paraId="0D234871"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استخدام خوارزميات التحسين لإنشاء جداول زمنية أكثر دقة ومرونة، تراعي الموارد المتاحة والقيود الزمنية وأولويات المهام.</w:t>
            </w:r>
          </w:p>
        </w:tc>
      </w:tr>
      <w:tr w:rsidR="00EA59B6" w:rsidRPr="00EA59B6" w14:paraId="491EEFB0"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8491F2"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AI4</w:t>
            </w:r>
            <w:proofErr w:type="spellEnd"/>
          </w:p>
        </w:tc>
        <w:tc>
          <w:tcPr>
            <w:tcW w:w="0" w:type="auto"/>
            <w:vAlign w:val="center"/>
            <w:hideMark/>
          </w:tcPr>
          <w:p w14:paraId="4BDFE49A"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دعم اتخاذ القرار (</w:t>
            </w:r>
            <w:r w:rsidRPr="00EA59B6">
              <w:rPr>
                <w:rFonts w:ascii="Times New Roman" w:eastAsia="Calibri" w:hAnsi="Times New Roman" w:cs="Simplified Arabic"/>
                <w:sz w:val="20"/>
                <w:szCs w:val="24"/>
              </w:rPr>
              <w:t>Decision Support</w:t>
            </w:r>
            <w:r w:rsidRPr="00EA59B6">
              <w:rPr>
                <w:rFonts w:ascii="Times New Roman" w:eastAsia="Calibri" w:hAnsi="Times New Roman" w:cs="Simplified Arabic"/>
                <w:sz w:val="20"/>
                <w:szCs w:val="24"/>
                <w:rtl/>
              </w:rPr>
              <w:t>)</w:t>
            </w:r>
          </w:p>
        </w:tc>
        <w:tc>
          <w:tcPr>
            <w:tcW w:w="5005" w:type="dxa"/>
            <w:vAlign w:val="center"/>
            <w:hideMark/>
          </w:tcPr>
          <w:p w14:paraId="6751D32A"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توفير أدوات تحليلية وتنبؤية لدعم القرارات الاستراتيجية، مثل: تقييم السيناريوهات وتقدير النتائج المحتملة.</w:t>
            </w:r>
          </w:p>
        </w:tc>
      </w:tr>
      <w:tr w:rsidR="00EA59B6" w:rsidRPr="00EA59B6" w14:paraId="6AA69A61"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DE0F53"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AI5</w:t>
            </w:r>
            <w:proofErr w:type="spellEnd"/>
          </w:p>
        </w:tc>
        <w:tc>
          <w:tcPr>
            <w:tcW w:w="0" w:type="auto"/>
            <w:vAlign w:val="center"/>
            <w:hideMark/>
          </w:tcPr>
          <w:p w14:paraId="5BFEBB91"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إدارة الموارد (</w:t>
            </w:r>
            <w:r w:rsidRPr="00EA59B6">
              <w:rPr>
                <w:rFonts w:ascii="Times New Roman" w:eastAsia="Calibri" w:hAnsi="Times New Roman" w:cs="Simplified Arabic"/>
                <w:sz w:val="20"/>
                <w:szCs w:val="24"/>
              </w:rPr>
              <w:t>Resource Management</w:t>
            </w:r>
            <w:r w:rsidRPr="00EA59B6">
              <w:rPr>
                <w:rFonts w:ascii="Times New Roman" w:eastAsia="Calibri" w:hAnsi="Times New Roman" w:cs="Simplified Arabic"/>
                <w:sz w:val="20"/>
                <w:szCs w:val="24"/>
                <w:rtl/>
              </w:rPr>
              <w:t>)</w:t>
            </w:r>
          </w:p>
        </w:tc>
        <w:tc>
          <w:tcPr>
            <w:tcW w:w="5005" w:type="dxa"/>
            <w:vAlign w:val="center"/>
            <w:hideMark/>
          </w:tcPr>
          <w:p w14:paraId="566E9067"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تحسين تخصيص الموارد البشرية والمالية والمادية وفقاً للاحتياجات الفعلية لكل مرحلة من مراحل المشروع.</w:t>
            </w:r>
          </w:p>
        </w:tc>
      </w:tr>
      <w:tr w:rsidR="00EA59B6" w:rsidRPr="00EA59B6" w14:paraId="16AD9A1E"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7D68B6"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AI6</w:t>
            </w:r>
            <w:proofErr w:type="spellEnd"/>
          </w:p>
        </w:tc>
        <w:tc>
          <w:tcPr>
            <w:tcW w:w="0" w:type="auto"/>
            <w:vAlign w:val="center"/>
            <w:hideMark/>
          </w:tcPr>
          <w:p w14:paraId="2A26D00E"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المراقبة والمتابعة المستمرة (</w:t>
            </w:r>
            <w:r w:rsidRPr="00EA59B6">
              <w:rPr>
                <w:rFonts w:ascii="Times New Roman" w:eastAsia="Calibri" w:hAnsi="Times New Roman" w:cs="Simplified Arabic"/>
                <w:sz w:val="20"/>
                <w:szCs w:val="24"/>
              </w:rPr>
              <w:t>Continuous Monitoring</w:t>
            </w:r>
            <w:r w:rsidRPr="00EA59B6">
              <w:rPr>
                <w:rFonts w:ascii="Times New Roman" w:eastAsia="Calibri" w:hAnsi="Times New Roman" w:cs="Simplified Arabic"/>
                <w:sz w:val="20"/>
                <w:szCs w:val="24"/>
                <w:rtl/>
              </w:rPr>
              <w:t>)</w:t>
            </w:r>
          </w:p>
        </w:tc>
        <w:tc>
          <w:tcPr>
            <w:tcW w:w="5005" w:type="dxa"/>
            <w:vAlign w:val="center"/>
            <w:hideMark/>
          </w:tcPr>
          <w:p w14:paraId="2E087CEF"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متابعة تقدم المشروع في الوقت الفعلي، واكتشاف الانحرافات عن الخطة بسرعة، لاتخاذ إجراءات تصحيحية فورية.</w:t>
            </w:r>
          </w:p>
        </w:tc>
      </w:tr>
    </w:tbl>
    <w:p w14:paraId="1CFE3AB5"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ثانياً: المتغير التابع – كفاءة أداء المشاريع (</w:t>
      </w:r>
      <w:r w:rsidRPr="00EA59B6">
        <w:rPr>
          <w:rFonts w:ascii="Times New Roman" w:eastAsia="Calibri" w:hAnsi="Times New Roman" w:cs="Simplified Arabic"/>
          <w:b/>
          <w:bCs/>
          <w:sz w:val="24"/>
          <w:szCs w:val="28"/>
        </w:rPr>
        <w:t>Project Performance Efficiency</w:t>
      </w:r>
      <w:r w:rsidRPr="00EA59B6">
        <w:rPr>
          <w:rFonts w:ascii="Times New Roman" w:eastAsia="Calibri" w:hAnsi="Times New Roman" w:cs="Simplified Arabic"/>
          <w:b/>
          <w:bCs/>
          <w:sz w:val="24"/>
          <w:szCs w:val="28"/>
          <w:rtl/>
        </w:rPr>
        <w:t>)</w:t>
      </w:r>
    </w:p>
    <w:p w14:paraId="601EE202"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يُقصد به الدرجة التي تحقق بها المشاريع أهدافها المحددة فيما يتعلق بالالتزام بالجداول الزمنية، والتحكم في التكاليف، وجودة المخرجات، وإدارة المخاطر، وكفاءة استخدام الموارد، والقدرة على التكيف مع المتغيرات.</w:t>
      </w:r>
    </w:p>
    <w:tbl>
      <w:tblPr>
        <w:tblStyle w:val="4-51"/>
        <w:bidiVisual/>
        <w:tblW w:w="8231" w:type="dxa"/>
        <w:jc w:val="center"/>
        <w:tblLook w:val="04A0" w:firstRow="1" w:lastRow="0" w:firstColumn="1" w:lastColumn="0" w:noHBand="0" w:noVBand="1"/>
      </w:tblPr>
      <w:tblGrid>
        <w:gridCol w:w="599"/>
        <w:gridCol w:w="3039"/>
        <w:gridCol w:w="4593"/>
      </w:tblGrid>
      <w:tr w:rsidR="00EA59B6" w:rsidRPr="00EA59B6" w14:paraId="37A40400" w14:textId="77777777" w:rsidTr="004848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D13FAB" w14:textId="77777777" w:rsidR="00EA59B6" w:rsidRPr="00EA59B6" w:rsidRDefault="00EA59B6" w:rsidP="00EA59B6">
            <w:pPr>
              <w:spacing w:after="0" w:line="240" w:lineRule="auto"/>
              <w:jc w:val="center"/>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الرمز</w:t>
            </w:r>
          </w:p>
        </w:tc>
        <w:tc>
          <w:tcPr>
            <w:tcW w:w="0" w:type="auto"/>
            <w:vAlign w:val="center"/>
            <w:hideMark/>
          </w:tcPr>
          <w:p w14:paraId="45844DE6" w14:textId="77777777" w:rsidR="00EA59B6" w:rsidRPr="00EA59B6" w:rsidRDefault="00EA59B6" w:rsidP="00EA59B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البعد</w:t>
            </w:r>
          </w:p>
        </w:tc>
        <w:tc>
          <w:tcPr>
            <w:tcW w:w="4593" w:type="dxa"/>
            <w:vAlign w:val="center"/>
            <w:hideMark/>
          </w:tcPr>
          <w:p w14:paraId="7FAD5508" w14:textId="77777777" w:rsidR="00EA59B6" w:rsidRPr="00EA59B6" w:rsidRDefault="00EA59B6" w:rsidP="00EA59B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الوصف</w:t>
            </w:r>
          </w:p>
        </w:tc>
      </w:tr>
      <w:tr w:rsidR="00EA59B6" w:rsidRPr="00EA59B6" w14:paraId="31CB1D39"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3A43A7"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PP1</w:t>
            </w:r>
            <w:proofErr w:type="spellEnd"/>
          </w:p>
        </w:tc>
        <w:tc>
          <w:tcPr>
            <w:tcW w:w="0" w:type="auto"/>
            <w:vAlign w:val="center"/>
            <w:hideMark/>
          </w:tcPr>
          <w:p w14:paraId="1842145E"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الالتزام بالجداول الزمنية (</w:t>
            </w:r>
            <w:r w:rsidRPr="00EA59B6">
              <w:rPr>
                <w:rFonts w:ascii="Times New Roman" w:eastAsia="Calibri" w:hAnsi="Times New Roman" w:cs="Simplified Arabic"/>
                <w:sz w:val="20"/>
                <w:szCs w:val="24"/>
              </w:rPr>
              <w:t>Schedule Adherence</w:t>
            </w:r>
            <w:r w:rsidRPr="00EA59B6">
              <w:rPr>
                <w:rFonts w:ascii="Times New Roman" w:eastAsia="Calibri" w:hAnsi="Times New Roman" w:cs="Simplified Arabic"/>
                <w:sz w:val="20"/>
                <w:szCs w:val="24"/>
                <w:rtl/>
              </w:rPr>
              <w:t>)</w:t>
            </w:r>
          </w:p>
        </w:tc>
        <w:tc>
          <w:tcPr>
            <w:tcW w:w="4593" w:type="dxa"/>
            <w:vAlign w:val="center"/>
            <w:hideMark/>
          </w:tcPr>
          <w:p w14:paraId="3A14248E"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درجة تحقيق المشروع لمعالمه الرئيسة في المواعيد المحددة، وتجنب التأخيرات غير المبررة.</w:t>
            </w:r>
          </w:p>
        </w:tc>
      </w:tr>
      <w:tr w:rsidR="00EA59B6" w:rsidRPr="00EA59B6" w14:paraId="48EA0B80"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2CF20A"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PP2</w:t>
            </w:r>
            <w:proofErr w:type="spellEnd"/>
          </w:p>
        </w:tc>
        <w:tc>
          <w:tcPr>
            <w:tcW w:w="0" w:type="auto"/>
            <w:vAlign w:val="center"/>
            <w:hideMark/>
          </w:tcPr>
          <w:p w14:paraId="4F4E5DC5"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التحكم في التكاليف (</w:t>
            </w:r>
            <w:r w:rsidRPr="00EA59B6">
              <w:rPr>
                <w:rFonts w:ascii="Times New Roman" w:eastAsia="Calibri" w:hAnsi="Times New Roman" w:cs="Simplified Arabic"/>
                <w:sz w:val="20"/>
                <w:szCs w:val="24"/>
              </w:rPr>
              <w:t>Cost Control</w:t>
            </w:r>
            <w:r w:rsidRPr="00EA59B6">
              <w:rPr>
                <w:rFonts w:ascii="Times New Roman" w:eastAsia="Calibri" w:hAnsi="Times New Roman" w:cs="Simplified Arabic"/>
                <w:sz w:val="20"/>
                <w:szCs w:val="24"/>
                <w:rtl/>
              </w:rPr>
              <w:t>)</w:t>
            </w:r>
          </w:p>
        </w:tc>
        <w:tc>
          <w:tcPr>
            <w:tcW w:w="4593" w:type="dxa"/>
            <w:vAlign w:val="center"/>
            <w:hideMark/>
          </w:tcPr>
          <w:p w14:paraId="0C703D3D"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قدرة المشروع على البقاء ضمن الميزانية المقررة، وتجنب التجاوزات المالية غير المخطط لها.</w:t>
            </w:r>
          </w:p>
        </w:tc>
      </w:tr>
      <w:tr w:rsidR="00EA59B6" w:rsidRPr="00EA59B6" w14:paraId="3C9A655A"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C80C22"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PP3</w:t>
            </w:r>
            <w:proofErr w:type="spellEnd"/>
          </w:p>
        </w:tc>
        <w:tc>
          <w:tcPr>
            <w:tcW w:w="0" w:type="auto"/>
            <w:vAlign w:val="center"/>
            <w:hideMark/>
          </w:tcPr>
          <w:p w14:paraId="76865DFF"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جودة المخرجات (</w:t>
            </w:r>
            <w:r w:rsidRPr="00EA59B6">
              <w:rPr>
                <w:rFonts w:ascii="Times New Roman" w:eastAsia="Calibri" w:hAnsi="Times New Roman" w:cs="Simplified Arabic"/>
                <w:sz w:val="20"/>
                <w:szCs w:val="24"/>
              </w:rPr>
              <w:t>Quality of Outputs</w:t>
            </w:r>
            <w:r w:rsidRPr="00EA59B6">
              <w:rPr>
                <w:rFonts w:ascii="Times New Roman" w:eastAsia="Calibri" w:hAnsi="Times New Roman" w:cs="Simplified Arabic"/>
                <w:sz w:val="20"/>
                <w:szCs w:val="24"/>
                <w:rtl/>
              </w:rPr>
              <w:t>)</w:t>
            </w:r>
          </w:p>
        </w:tc>
        <w:tc>
          <w:tcPr>
            <w:tcW w:w="4593" w:type="dxa"/>
            <w:vAlign w:val="center"/>
            <w:hideMark/>
          </w:tcPr>
          <w:p w14:paraId="1BD10430"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درجة تلبية مخرجات المشروع للمعايير والمواصفات المطلوبة، وتقليل الأخطاء وإعادة العمل.</w:t>
            </w:r>
          </w:p>
        </w:tc>
      </w:tr>
      <w:tr w:rsidR="00EA59B6" w:rsidRPr="00EA59B6" w14:paraId="02A8B2FF"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2F0537"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PP4</w:t>
            </w:r>
            <w:proofErr w:type="spellEnd"/>
          </w:p>
        </w:tc>
        <w:tc>
          <w:tcPr>
            <w:tcW w:w="0" w:type="auto"/>
            <w:vAlign w:val="center"/>
            <w:hideMark/>
          </w:tcPr>
          <w:p w14:paraId="48E7C873"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إدارة المخاطر (</w:t>
            </w:r>
            <w:r w:rsidRPr="00EA59B6">
              <w:rPr>
                <w:rFonts w:ascii="Times New Roman" w:eastAsia="Calibri" w:hAnsi="Times New Roman" w:cs="Simplified Arabic"/>
                <w:sz w:val="20"/>
                <w:szCs w:val="24"/>
              </w:rPr>
              <w:t>Risk Management</w:t>
            </w:r>
            <w:r w:rsidRPr="00EA59B6">
              <w:rPr>
                <w:rFonts w:ascii="Times New Roman" w:eastAsia="Calibri" w:hAnsi="Times New Roman" w:cs="Simplified Arabic"/>
                <w:sz w:val="20"/>
                <w:szCs w:val="24"/>
                <w:rtl/>
              </w:rPr>
              <w:t>)</w:t>
            </w:r>
          </w:p>
        </w:tc>
        <w:tc>
          <w:tcPr>
            <w:tcW w:w="4593" w:type="dxa"/>
            <w:vAlign w:val="center"/>
            <w:hideMark/>
          </w:tcPr>
          <w:p w14:paraId="7F01C9D3"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قدرة فريق المشروع على تحديد المخاطر وتقييمها والاستجابة لها بفعالية، وتقليل تأثيرها السلبي.</w:t>
            </w:r>
          </w:p>
        </w:tc>
      </w:tr>
      <w:tr w:rsidR="00EA59B6" w:rsidRPr="00EA59B6" w14:paraId="5877EAAD"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E7802F"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PP5</w:t>
            </w:r>
            <w:proofErr w:type="spellEnd"/>
          </w:p>
        </w:tc>
        <w:tc>
          <w:tcPr>
            <w:tcW w:w="0" w:type="auto"/>
            <w:vAlign w:val="center"/>
            <w:hideMark/>
          </w:tcPr>
          <w:p w14:paraId="782D509B"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كفاءة استخدام الموارد (</w:t>
            </w:r>
            <w:r w:rsidRPr="00EA59B6">
              <w:rPr>
                <w:rFonts w:ascii="Times New Roman" w:eastAsia="Calibri" w:hAnsi="Times New Roman" w:cs="Simplified Arabic"/>
                <w:sz w:val="20"/>
                <w:szCs w:val="24"/>
              </w:rPr>
              <w:t>Resource Efficiency</w:t>
            </w:r>
            <w:r w:rsidRPr="00EA59B6">
              <w:rPr>
                <w:rFonts w:ascii="Times New Roman" w:eastAsia="Calibri" w:hAnsi="Times New Roman" w:cs="Simplified Arabic"/>
                <w:sz w:val="20"/>
                <w:szCs w:val="24"/>
                <w:rtl/>
              </w:rPr>
              <w:t>)</w:t>
            </w:r>
          </w:p>
        </w:tc>
        <w:tc>
          <w:tcPr>
            <w:tcW w:w="4593" w:type="dxa"/>
            <w:vAlign w:val="center"/>
            <w:hideMark/>
          </w:tcPr>
          <w:p w14:paraId="7D7A50BA"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الاستخدام الأمثل: للموارد البشرية والمادية والمالية، وتقليل الهدر وزيادة الإنتاجية.</w:t>
            </w:r>
          </w:p>
        </w:tc>
      </w:tr>
      <w:tr w:rsidR="00EA59B6" w:rsidRPr="00EA59B6" w14:paraId="480AD475"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72D979" w14:textId="77777777" w:rsidR="00EA59B6" w:rsidRPr="00EA59B6" w:rsidRDefault="00EA59B6" w:rsidP="00EA59B6">
            <w:pPr>
              <w:spacing w:after="0" w:line="240" w:lineRule="auto"/>
              <w:jc w:val="center"/>
              <w:rPr>
                <w:rFonts w:ascii="Times New Roman" w:eastAsia="Calibri" w:hAnsi="Times New Roman" w:cs="Simplified Arabic"/>
                <w:sz w:val="20"/>
                <w:szCs w:val="24"/>
              </w:rPr>
            </w:pPr>
            <w:proofErr w:type="spellStart"/>
            <w:r w:rsidRPr="00EA59B6">
              <w:rPr>
                <w:rFonts w:ascii="Times New Roman" w:eastAsia="Calibri" w:hAnsi="Times New Roman" w:cs="Simplified Arabic"/>
                <w:sz w:val="20"/>
                <w:szCs w:val="24"/>
              </w:rPr>
              <w:t>PP6</w:t>
            </w:r>
            <w:proofErr w:type="spellEnd"/>
          </w:p>
        </w:tc>
        <w:tc>
          <w:tcPr>
            <w:tcW w:w="0" w:type="auto"/>
            <w:vAlign w:val="center"/>
            <w:hideMark/>
          </w:tcPr>
          <w:p w14:paraId="500DBCA4"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القدرة على التكيف (</w:t>
            </w:r>
            <w:r w:rsidRPr="00EA59B6">
              <w:rPr>
                <w:rFonts w:ascii="Times New Roman" w:eastAsia="Calibri" w:hAnsi="Times New Roman" w:cs="Simplified Arabic"/>
                <w:sz w:val="20"/>
                <w:szCs w:val="24"/>
              </w:rPr>
              <w:t>Adaptability</w:t>
            </w:r>
            <w:r w:rsidRPr="00EA59B6">
              <w:rPr>
                <w:rFonts w:ascii="Times New Roman" w:eastAsia="Calibri" w:hAnsi="Times New Roman" w:cs="Simplified Arabic"/>
                <w:sz w:val="20"/>
                <w:szCs w:val="24"/>
                <w:rtl/>
              </w:rPr>
              <w:t>)</w:t>
            </w:r>
          </w:p>
        </w:tc>
        <w:tc>
          <w:tcPr>
            <w:tcW w:w="4593" w:type="dxa"/>
            <w:vAlign w:val="center"/>
            <w:hideMark/>
          </w:tcPr>
          <w:p w14:paraId="3A0AB692"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قدرة فريق المشروع على التكيف مع التغيرات في المتطلبات أو الظروف، وتعديل الخطط بسرعة وفعالية.</w:t>
            </w:r>
          </w:p>
        </w:tc>
      </w:tr>
    </w:tbl>
    <w:p w14:paraId="6285690A" w14:textId="77777777" w:rsidR="00EA59B6" w:rsidRPr="00EA59B6" w:rsidRDefault="00EA59B6" w:rsidP="00EA59B6">
      <w:pPr>
        <w:spacing w:after="360" w:line="240" w:lineRule="auto"/>
        <w:ind w:firstLine="567"/>
        <w:jc w:val="both"/>
        <w:rPr>
          <w:rFonts w:ascii="Times New Roman" w:eastAsia="Calibri" w:hAnsi="Times New Roman" w:cs="Simplified Arabic"/>
          <w:b/>
          <w:bCs/>
          <w:sz w:val="24"/>
          <w:szCs w:val="28"/>
        </w:rPr>
      </w:pPr>
    </w:p>
    <w:p w14:paraId="331B8AFC" w14:textId="77777777" w:rsidR="00EA59B6" w:rsidRPr="00EA59B6" w:rsidRDefault="00EA59B6" w:rsidP="00EA59B6">
      <w:pPr>
        <w:spacing w:after="360" w:line="240"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lastRenderedPageBreak/>
        <w:t>7</w:t>
      </w:r>
      <w:r w:rsidRPr="00EA59B6">
        <w:rPr>
          <w:rFonts w:ascii="Times New Roman" w:eastAsia="Calibri" w:hAnsi="Times New Roman" w:cs="Simplified Arabic"/>
          <w:b/>
          <w:bCs/>
          <w:sz w:val="24"/>
          <w:szCs w:val="28"/>
          <w:rtl/>
        </w:rPr>
        <w:t>. فرضيات الدراسة</w:t>
      </w:r>
    </w:p>
    <w:p w14:paraId="42AFC408"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الفرضية الرئيسية:</w:t>
      </w:r>
    </w:p>
    <w:p w14:paraId="6C00429E"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يؤثر استخدام الذكاء الاصطناعي بأبعاده المختلفة تأثيراً ذا دلالة إحصائية في تحسين كفاءة أداء المشاريع في المؤسسات.</w:t>
      </w:r>
    </w:p>
    <w:p w14:paraId="61088DD3"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الفروض الفرعية:</w:t>
      </w:r>
    </w:p>
    <w:p w14:paraId="2035BD2F" w14:textId="77777777" w:rsidR="00EA59B6" w:rsidRPr="00EA59B6" w:rsidRDefault="00EA59B6" w:rsidP="00CF2C75">
      <w:pPr>
        <w:numPr>
          <w:ilvl w:val="0"/>
          <w:numId w:val="12"/>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يؤثر تحليل البيانات تأثيراً ذا دلالة إحصائية في تحسين كفاءة أداء المشاريع.</w:t>
      </w:r>
    </w:p>
    <w:p w14:paraId="48A76C45" w14:textId="77777777" w:rsidR="00EA59B6" w:rsidRPr="00EA59B6" w:rsidRDefault="00EA59B6" w:rsidP="00CF2C75">
      <w:pPr>
        <w:numPr>
          <w:ilvl w:val="0"/>
          <w:numId w:val="12"/>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يؤثر التنبؤ بالمخاطر تأثيراً ذا دلالة إحصائية في تحسين كفاءة أداء المشاريع.</w:t>
      </w:r>
    </w:p>
    <w:p w14:paraId="59F175BF" w14:textId="77777777" w:rsidR="00EA59B6" w:rsidRPr="00EA59B6" w:rsidRDefault="00EA59B6" w:rsidP="00CF2C75">
      <w:pPr>
        <w:numPr>
          <w:ilvl w:val="0"/>
          <w:numId w:val="12"/>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يؤثر تحسين الجدولة الزمنية تأثيراً ذا دلالة إحصائية في تحسين كفاءة أداء المشاريع.</w:t>
      </w:r>
    </w:p>
    <w:p w14:paraId="1F3F02B2" w14:textId="77777777" w:rsidR="00EA59B6" w:rsidRPr="00EA59B6" w:rsidRDefault="00EA59B6" w:rsidP="00CF2C75">
      <w:pPr>
        <w:numPr>
          <w:ilvl w:val="0"/>
          <w:numId w:val="12"/>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يؤثر دعم اتخاذ القرار تأثيراً ذا دلالة إحصائية في تحسين كفاءة أداء المشاريع.</w:t>
      </w:r>
    </w:p>
    <w:p w14:paraId="4F572621" w14:textId="77777777" w:rsidR="00EA59B6" w:rsidRPr="00EA59B6" w:rsidRDefault="00EA59B6" w:rsidP="00CF2C75">
      <w:pPr>
        <w:numPr>
          <w:ilvl w:val="0"/>
          <w:numId w:val="12"/>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يؤثر إدارة الموارد تأثيراً ذا دلالة إحصائية في تحسين كفاءة أداء المشاريع.</w:t>
      </w:r>
    </w:p>
    <w:p w14:paraId="5D5E940E" w14:textId="77777777" w:rsidR="00EA59B6" w:rsidRPr="00EA59B6" w:rsidRDefault="00EA59B6" w:rsidP="00CF2C75">
      <w:pPr>
        <w:numPr>
          <w:ilvl w:val="0"/>
          <w:numId w:val="12"/>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تؤثر المراقبة والمتابعة المستمرة تأثيراً ذا دلالة إحصائية في تحسين كفاءة أداء المشاريع.</w:t>
      </w:r>
    </w:p>
    <w:p w14:paraId="1062D5A6" w14:textId="77777777" w:rsidR="00EA59B6" w:rsidRPr="00EA59B6" w:rsidRDefault="00EA59B6" w:rsidP="00EA59B6">
      <w:pPr>
        <w:spacing w:after="360" w:line="240"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8</w:t>
      </w:r>
      <w:r w:rsidRPr="00EA59B6">
        <w:rPr>
          <w:rFonts w:ascii="Times New Roman" w:eastAsia="Calibri" w:hAnsi="Times New Roman" w:cs="Simplified Arabic"/>
          <w:b/>
          <w:bCs/>
          <w:sz w:val="24"/>
          <w:szCs w:val="28"/>
          <w:rtl/>
        </w:rPr>
        <w:t>. حدود الدراسة</w:t>
      </w:r>
    </w:p>
    <w:p w14:paraId="3AAAFEBF" w14:textId="77777777" w:rsidR="00EA59B6" w:rsidRPr="00EA59B6" w:rsidRDefault="00EA59B6" w:rsidP="00CF2C75">
      <w:pPr>
        <w:numPr>
          <w:ilvl w:val="0"/>
          <w:numId w:val="13"/>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 xml:space="preserve">الحدود العلمية (الموضوعية): </w:t>
      </w:r>
      <w:r w:rsidRPr="00EA59B6">
        <w:rPr>
          <w:rFonts w:ascii="Times New Roman" w:eastAsia="Calibri" w:hAnsi="Times New Roman" w:cs="Simplified Arabic"/>
          <w:sz w:val="24"/>
          <w:szCs w:val="28"/>
          <w:rtl/>
        </w:rPr>
        <w:t>اقتصرت الدراسة الحالية على دراسة أثر استخدام الذكاء الاصطناعي بأبعاده الستة (تحليل البيانات، التنبؤ بالمخاطر، تحسين الجدولة، دعم اتخاذ القرار، إدارة الموارد، المراقبة والمتابعة) في تحسين كفاءة أداء المشاريع بأبعادها الستة (الالتزام بالجداول الزمنية، التحكم في التكاليف، جودة المخرجات، إدارة المخاطر، كفاءة استخدام الموارد، القدرة على التكيف).</w:t>
      </w:r>
    </w:p>
    <w:p w14:paraId="4CFBBD21" w14:textId="77777777" w:rsidR="00EA59B6" w:rsidRPr="00EA59B6" w:rsidRDefault="00EA59B6" w:rsidP="00CF2C75">
      <w:pPr>
        <w:numPr>
          <w:ilvl w:val="0"/>
          <w:numId w:val="13"/>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 xml:space="preserve">الحدود المكانية: </w:t>
      </w:r>
      <w:r w:rsidRPr="00EA59B6">
        <w:rPr>
          <w:rFonts w:ascii="Times New Roman" w:eastAsia="Calibri" w:hAnsi="Times New Roman" w:cs="Simplified Arabic"/>
          <w:sz w:val="24"/>
          <w:szCs w:val="28"/>
          <w:rtl/>
        </w:rPr>
        <w:t>اقتصرت الدراسة على المؤسسات (الشركات والمنظمات) العاملة في المملكة العربية السعودية التي تعتمد على إدارة المشاريع في تنفيذ أنشطتها.</w:t>
      </w:r>
    </w:p>
    <w:p w14:paraId="7093695C" w14:textId="77777777" w:rsidR="00EA59B6" w:rsidRPr="00EA59B6" w:rsidRDefault="00EA59B6" w:rsidP="00CF2C75">
      <w:pPr>
        <w:numPr>
          <w:ilvl w:val="0"/>
          <w:numId w:val="13"/>
        </w:numPr>
        <w:spacing w:after="360" w:line="240" w:lineRule="auto"/>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lastRenderedPageBreak/>
        <w:t xml:space="preserve">الحدود البشرية: </w:t>
      </w:r>
      <w:r w:rsidRPr="00EA59B6">
        <w:rPr>
          <w:rFonts w:ascii="Times New Roman" w:eastAsia="Calibri" w:hAnsi="Times New Roman" w:cs="Simplified Arabic"/>
          <w:sz w:val="24"/>
          <w:szCs w:val="28"/>
          <w:rtl/>
        </w:rPr>
        <w:t>اقتصر مجتمع الدراسة وعينتها على مديري المشاريع والعاملين في إدارات المشاريع داخل المؤسسات السعودية.</w:t>
      </w:r>
    </w:p>
    <w:p w14:paraId="623DEE79" w14:textId="77777777" w:rsidR="00EA59B6" w:rsidRPr="00EA59B6" w:rsidRDefault="00EA59B6" w:rsidP="00CF2C75">
      <w:pPr>
        <w:numPr>
          <w:ilvl w:val="0"/>
          <w:numId w:val="13"/>
        </w:numPr>
        <w:spacing w:after="360" w:line="240" w:lineRule="auto"/>
        <w:jc w:val="both"/>
        <w:rPr>
          <w:rFonts w:ascii="Times New Roman" w:eastAsia="Calibri" w:hAnsi="Times New Roman" w:cs="Simplified Arabic"/>
          <w:sz w:val="24"/>
          <w:szCs w:val="28"/>
          <w:rtl/>
        </w:rPr>
      </w:pPr>
      <w:r w:rsidRPr="00EA59B6">
        <w:rPr>
          <w:rFonts w:ascii="Times New Roman" w:eastAsia="Calibri" w:hAnsi="Times New Roman" w:cs="Simplified Arabic"/>
          <w:b/>
          <w:bCs/>
          <w:sz w:val="24"/>
          <w:szCs w:val="28"/>
          <w:rtl/>
        </w:rPr>
        <w:t xml:space="preserve">الحدود الزمنية: </w:t>
      </w:r>
      <w:r w:rsidRPr="00EA59B6">
        <w:rPr>
          <w:rFonts w:ascii="Times New Roman" w:eastAsia="Calibri" w:hAnsi="Times New Roman" w:cs="Simplified Arabic"/>
          <w:sz w:val="24"/>
          <w:szCs w:val="28"/>
          <w:rtl/>
        </w:rPr>
        <w:t xml:space="preserve">طُبقت الدراسة ميدانياً خلال شهر يونيو من عام </w:t>
      </w:r>
      <w:proofErr w:type="spellStart"/>
      <w:r w:rsidRPr="00EA59B6">
        <w:rPr>
          <w:rFonts w:ascii="Times New Roman" w:eastAsia="Calibri" w:hAnsi="Times New Roman" w:cs="Simplified Arabic"/>
          <w:sz w:val="24"/>
          <w:szCs w:val="28"/>
          <w:rtl/>
        </w:rPr>
        <w:t>2026م</w:t>
      </w:r>
      <w:proofErr w:type="spellEnd"/>
      <w:r w:rsidRPr="00EA59B6">
        <w:rPr>
          <w:rFonts w:ascii="Times New Roman" w:eastAsia="Calibri" w:hAnsi="Times New Roman" w:cs="Simplified Arabic"/>
          <w:sz w:val="24"/>
          <w:szCs w:val="28"/>
          <w:rtl/>
        </w:rPr>
        <w:t>، وتم جمع البيانات في فترة زمنية محددة استمرت أربعة أسابيع.</w:t>
      </w:r>
    </w:p>
    <w:p w14:paraId="7CF28221" w14:textId="77777777" w:rsidR="00EA59B6" w:rsidRPr="00EA59B6" w:rsidRDefault="00EA59B6" w:rsidP="00EA59B6">
      <w:pPr>
        <w:spacing w:after="24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9</w:t>
      </w:r>
      <w:r w:rsidRPr="00EA59B6">
        <w:rPr>
          <w:rFonts w:ascii="Times New Roman" w:eastAsia="Calibri" w:hAnsi="Times New Roman" w:cs="Simplified Arabic"/>
          <w:b/>
          <w:bCs/>
          <w:sz w:val="24"/>
          <w:szCs w:val="28"/>
          <w:rtl/>
        </w:rPr>
        <w:t>. المفاهيم الاصطلاحية والإجرائية</w:t>
      </w:r>
    </w:p>
    <w:p w14:paraId="7E771496"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أولاً: الذكاء الاصطناعي في إدارة المشاريع</w:t>
      </w:r>
    </w:p>
    <w:p w14:paraId="395DAE36"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Russell &amp; Norvig, 2021, p. 2</w:t>
      </w:r>
      <w:r w:rsidRPr="00EA59B6">
        <w:rPr>
          <w:rFonts w:ascii="Times New Roman" w:eastAsia="Calibri" w:hAnsi="Times New Roman" w:cs="Simplified Arabic"/>
          <w:sz w:val="24"/>
          <w:szCs w:val="28"/>
          <w:rtl/>
        </w:rPr>
        <w:t>) الذكاء الاصطناعي بأنه مجال يركز على تطوير أنظمة قادرة على أداء المهام التي تتطلب عادةً ذكاءً بشرياً، مثل: التعلم والاستدلال واتخاذ القرار. ويُعرِّف (</w:t>
      </w:r>
      <w:r w:rsidRPr="00EA59B6">
        <w:rPr>
          <w:rFonts w:ascii="Times New Roman" w:eastAsia="Calibri" w:hAnsi="Times New Roman" w:cs="Simplified Arabic"/>
          <w:sz w:val="24"/>
          <w:szCs w:val="28"/>
        </w:rPr>
        <w:t xml:space="preserve">Davenport &amp; </w:t>
      </w:r>
      <w:proofErr w:type="spellStart"/>
      <w:r w:rsidRPr="00EA59B6">
        <w:rPr>
          <w:rFonts w:ascii="Times New Roman" w:eastAsia="Calibri" w:hAnsi="Times New Roman" w:cs="Simplified Arabic"/>
          <w:sz w:val="24"/>
          <w:szCs w:val="28"/>
        </w:rPr>
        <w:t>Ronanki</w:t>
      </w:r>
      <w:proofErr w:type="spellEnd"/>
      <w:r w:rsidRPr="00EA59B6">
        <w:rPr>
          <w:rFonts w:ascii="Times New Roman" w:eastAsia="Calibri" w:hAnsi="Times New Roman" w:cs="Simplified Arabic"/>
          <w:sz w:val="24"/>
          <w:szCs w:val="28"/>
        </w:rPr>
        <w:t>, 2018, p. 110</w:t>
      </w:r>
      <w:r w:rsidRPr="00EA59B6">
        <w:rPr>
          <w:rFonts w:ascii="Times New Roman" w:eastAsia="Calibri" w:hAnsi="Times New Roman" w:cs="Simplified Arabic"/>
          <w:sz w:val="24"/>
          <w:szCs w:val="28"/>
          <w:rtl/>
        </w:rPr>
        <w:t>) الذكاء الاصطناعي في السياق الإداري بأنه استخدام الخوارزميات والنماذج الحاسوبية لأتمتة المهام المعرفية المعقدة ودعم اتخاذ القرار. وتُعرِّف (</w:t>
      </w:r>
      <w:r w:rsidRPr="00EA59B6">
        <w:rPr>
          <w:rFonts w:ascii="Times New Roman" w:eastAsia="Calibri" w:hAnsi="Times New Roman" w:cs="Simplified Arabic"/>
          <w:sz w:val="24"/>
          <w:szCs w:val="28"/>
        </w:rPr>
        <w:t>PMI, 2021, p. 45</w:t>
      </w:r>
      <w:r w:rsidRPr="00EA59B6">
        <w:rPr>
          <w:rFonts w:ascii="Times New Roman" w:eastAsia="Calibri" w:hAnsi="Times New Roman" w:cs="Simplified Arabic"/>
          <w:sz w:val="24"/>
          <w:szCs w:val="28"/>
          <w:rtl/>
        </w:rPr>
        <w:t>) تقنيات الذكاء الاصطناعي في إدارة المشاريع بأنها الأدوات والأنظمة التي تساعد في تحليل البيانات، والتنبؤ بالمخاطر، وتحسين العمليات، ودعم القرارات المتعلقة بالمشاريع. وفي سياق هذه الدراسة، يُعرف مصطلح استخدام الذكاء الاصطناعي في إدارة المشاريع إجرائياً، بأنه: مدى توظيف المؤسسة لتقنيات الذكاء الاصطناعي (كالتعلم الآلي، وتحليل البيانات، والنماذج التنبؤية، والأنظمة الخبيرة) في دعم عمليات إدارة المشاريع (التخطيط، التنفيذ، المتابعة، والرقابة)، بهدف تحسين الكفاءة والفعالية في تحقيق أهداف المشروع.</w:t>
      </w:r>
    </w:p>
    <w:p w14:paraId="59F120DC"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تعريفات أبعاد استخدام الذكاء الاصطناعي في إدارة المشاريع:</w:t>
      </w:r>
    </w:p>
    <w:p w14:paraId="1286908F"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proofErr w:type="spellStart"/>
      <w:r w:rsidRPr="00EA59B6">
        <w:rPr>
          <w:rFonts w:ascii="Times New Roman" w:eastAsia="Calibri" w:hAnsi="Times New Roman" w:cs="Simplified Arabic"/>
          <w:sz w:val="24"/>
          <w:szCs w:val="28"/>
        </w:rPr>
        <w:t>Duică</w:t>
      </w:r>
      <w:proofErr w:type="spellEnd"/>
      <w:r w:rsidRPr="00EA59B6">
        <w:rPr>
          <w:rFonts w:ascii="Times New Roman" w:eastAsia="Calibri" w:hAnsi="Times New Roman" w:cs="Simplified Arabic"/>
          <w:sz w:val="24"/>
          <w:szCs w:val="28"/>
        </w:rPr>
        <w:t xml:space="preserve"> et al., 2024, p. 28</w:t>
      </w:r>
      <w:r w:rsidRPr="00EA59B6">
        <w:rPr>
          <w:rFonts w:ascii="Times New Roman" w:eastAsia="Calibri" w:hAnsi="Times New Roman" w:cs="Simplified Arabic"/>
          <w:sz w:val="24"/>
          <w:szCs w:val="28"/>
          <w:rtl/>
        </w:rPr>
        <w:t>) تحليل البيانات في إدارة المشاريع بأنه استخدام تقنيات الذكاء الاصطناعي لمعالجة وتحليل كميات كبيرة من البيانات المتعلقة بالمشاريع (مثل: أداء الفرق، التكاليف، الجداول) لاستخلاص الأنماط والرؤى. وفي سياق هذه الدراسة، يُعرف تحليل البيانات إجرائياً، بأنه: مدى استخدام المؤسسة للخوارزميات والنماذج الحاسوبية لتحليل بيانات المشاريع التاريخية والحالية، بهدف استخلاص رؤى تدعم التخطيط والتنفيذ.</w:t>
      </w:r>
    </w:p>
    <w:p w14:paraId="4F64825C"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lastRenderedPageBreak/>
        <w:t>يعرّف (</w:t>
      </w:r>
      <w:r w:rsidRPr="00EA59B6">
        <w:rPr>
          <w:rFonts w:ascii="Times New Roman" w:eastAsia="Calibri" w:hAnsi="Times New Roman" w:cs="Simplified Arabic"/>
          <w:sz w:val="24"/>
          <w:szCs w:val="28"/>
        </w:rPr>
        <w:t>Sahadevan, 2023, p. 40</w:t>
      </w:r>
      <w:r w:rsidRPr="00EA59B6">
        <w:rPr>
          <w:rFonts w:ascii="Times New Roman" w:eastAsia="Calibri" w:hAnsi="Times New Roman" w:cs="Simplified Arabic"/>
          <w:sz w:val="24"/>
          <w:szCs w:val="28"/>
          <w:rtl/>
        </w:rPr>
        <w:t>) التنبؤ بالمخاطر في إدارة المشاريع بأنه استخدام النماذج التنبؤية لتحديد المخاطر المحتملة قبل حدوثها، وتصنيفها حسب الأولوية، لوضع استراتيجيات وقائية. وفي سياق هذه الدراسة، يُعرف التنبؤ بالمخاطر إجرائياً، بأنه: مدى استخدام المؤسسة للنماذج التنبؤية القائمة على الذكاء الاصطناعي لتحديد المخاطر المحتملة التي قد تواجه المشروع، وتصنيفها، واتخاذ إجراءات وقائية.</w:t>
      </w:r>
    </w:p>
    <w:p w14:paraId="5DE9D70A"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Omar et al., 2025, p. 160</w:t>
      </w:r>
      <w:r w:rsidRPr="00EA59B6">
        <w:rPr>
          <w:rFonts w:ascii="Times New Roman" w:eastAsia="Calibri" w:hAnsi="Times New Roman" w:cs="Simplified Arabic"/>
          <w:sz w:val="24"/>
          <w:szCs w:val="28"/>
          <w:rtl/>
        </w:rPr>
        <w:t>) تحسين الجدولة الزمنية في إدارة المشاريع بأنه استخدام خوارزميات التحسين لإنشاء جداول زمنية أكثر دقة ومرونة، تراعي الموارد المتاحة والقيود الزمنية وأولويات المهام. وفي سياق هذه الدراسة، يُعرف تحسين الجدولة الزمنية إجرائياً، بأنه: مدى استخدام المؤسسة للخوارزميات الحاسوبية لتحسين توزيع المهام على الجدول الزمني، وتقليل التأخيرات، وزيادة كفاءة استخدام الوقت.</w:t>
      </w:r>
    </w:p>
    <w:p w14:paraId="6EEB8FBE"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 xml:space="preserve">Davenport &amp; </w:t>
      </w:r>
      <w:proofErr w:type="spellStart"/>
      <w:r w:rsidRPr="00EA59B6">
        <w:rPr>
          <w:rFonts w:ascii="Times New Roman" w:eastAsia="Calibri" w:hAnsi="Times New Roman" w:cs="Simplified Arabic"/>
          <w:sz w:val="24"/>
          <w:szCs w:val="28"/>
        </w:rPr>
        <w:t>Ronanki</w:t>
      </w:r>
      <w:proofErr w:type="spellEnd"/>
      <w:r w:rsidRPr="00EA59B6">
        <w:rPr>
          <w:rFonts w:ascii="Times New Roman" w:eastAsia="Calibri" w:hAnsi="Times New Roman" w:cs="Simplified Arabic"/>
          <w:sz w:val="24"/>
          <w:szCs w:val="28"/>
        </w:rPr>
        <w:t>, 2018, p. 112</w:t>
      </w:r>
      <w:r w:rsidRPr="00EA59B6">
        <w:rPr>
          <w:rFonts w:ascii="Times New Roman" w:eastAsia="Calibri" w:hAnsi="Times New Roman" w:cs="Simplified Arabic"/>
          <w:sz w:val="24"/>
          <w:szCs w:val="28"/>
          <w:rtl/>
        </w:rPr>
        <w:t>) دعم اتخاذ القرار في السياق الإداري بأنه توفير أدوات تحليلية وتنبؤية تساعد صناع القرار على تقييم البدائل واختيار الخيارات المثلى. وفي سياق هذه الدراسة، يُعرف دعم اتخاذ القرار إجرائياً، بأنه: مدى استخدام المؤسسة لأنظمة الذكاء الاصطناعي لتوفير تحليلات وتنبؤات تدعم مديري المشاريع في اتخاذ قرارات مستنيرة بشأن الجداول، الموارد، المخاطر، والتكاليف.</w:t>
      </w:r>
    </w:p>
    <w:p w14:paraId="5DF6688E"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PMI, 2021, p. 67</w:t>
      </w:r>
      <w:r w:rsidRPr="00EA59B6">
        <w:rPr>
          <w:rFonts w:ascii="Times New Roman" w:eastAsia="Calibri" w:hAnsi="Times New Roman" w:cs="Simplified Arabic"/>
          <w:sz w:val="24"/>
          <w:szCs w:val="28"/>
          <w:rtl/>
        </w:rPr>
        <w:t>) إدارة الموارد في المشاريع بأنها عملية تخطيط وتخصيص وإدارة الموارد البشرية والمادية والمالية لضمان تحقيق أهداف المشروع بكفاءة. وفي سياق هذه الدراسة، يُعرف إدارة الموارد إجرائياً، بأنه: مدى استخدام المؤسسة للذكاء الاصطناعي لتحسين تخصيص الموارد (البشرية، المادية، المالية)، وفقاً للاحتياجات الفعلية لكل مرحلة من مراحل المشروع.</w:t>
      </w:r>
    </w:p>
    <w:p w14:paraId="5115E53A"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proofErr w:type="spellStart"/>
      <w:r w:rsidRPr="00EA59B6">
        <w:rPr>
          <w:rFonts w:ascii="Times New Roman" w:eastAsia="Calibri" w:hAnsi="Times New Roman" w:cs="Simplified Arabic"/>
          <w:sz w:val="24"/>
          <w:szCs w:val="28"/>
        </w:rPr>
        <w:t>Duică</w:t>
      </w:r>
      <w:proofErr w:type="spellEnd"/>
      <w:r w:rsidRPr="00EA59B6">
        <w:rPr>
          <w:rFonts w:ascii="Times New Roman" w:eastAsia="Calibri" w:hAnsi="Times New Roman" w:cs="Simplified Arabic"/>
          <w:sz w:val="24"/>
          <w:szCs w:val="28"/>
        </w:rPr>
        <w:t xml:space="preserve"> et al., 2024, p. 30</w:t>
      </w:r>
      <w:r w:rsidRPr="00EA59B6">
        <w:rPr>
          <w:rFonts w:ascii="Times New Roman" w:eastAsia="Calibri" w:hAnsi="Times New Roman" w:cs="Simplified Arabic"/>
          <w:sz w:val="24"/>
          <w:szCs w:val="28"/>
          <w:rtl/>
        </w:rPr>
        <w:t>) المراقبة والمتابعة المستمرة في إدارة المشاريع بأنها متابعة تقدم المشروع في الوقت الفعلي، واكتشاف الانحرافات عن الخطة بسرعة، لاتخاذ إجراءات تصحيحية فورية. وفي سياق هذه الدراسة، يُعرف المراقبة والمتابعة المستمرة إجرائياً، بأنه: مدى استخدام المؤسسة لأنظمة الذكاء الاصطناعي لمتابعة تقدم المشروع بشكل مستمر، ورصد الانحرافات عن الجدول الزمني والميزانية، واتخاذ إجراءات تصحيحية فورية.</w:t>
      </w:r>
    </w:p>
    <w:p w14:paraId="5007D383"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lastRenderedPageBreak/>
        <w:t>ثانياً: كفاءة أداء المشاريع</w:t>
      </w:r>
    </w:p>
    <w:p w14:paraId="574A2294"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Kerzner, 2022, p. 45</w:t>
      </w:r>
      <w:r w:rsidRPr="00EA59B6">
        <w:rPr>
          <w:rFonts w:ascii="Times New Roman" w:eastAsia="Calibri" w:hAnsi="Times New Roman" w:cs="Simplified Arabic"/>
          <w:sz w:val="24"/>
          <w:szCs w:val="28"/>
          <w:rtl/>
        </w:rPr>
        <w:t>) كفاءة أداء المشاريع بأنها قدرة المشروع على تحقيق أهدافه المحددة ضمن القيود الزمنية والتكلفة والجودة المحددة مسبقاً. ويُعرِّف (</w:t>
      </w:r>
      <w:r w:rsidRPr="00EA59B6">
        <w:rPr>
          <w:rFonts w:ascii="Times New Roman" w:eastAsia="Calibri" w:hAnsi="Times New Roman" w:cs="Simplified Arabic"/>
          <w:sz w:val="24"/>
          <w:szCs w:val="28"/>
        </w:rPr>
        <w:t>PMI, 2021, p. 33</w:t>
      </w:r>
      <w:r w:rsidRPr="00EA59B6">
        <w:rPr>
          <w:rFonts w:ascii="Times New Roman" w:eastAsia="Calibri" w:hAnsi="Times New Roman" w:cs="Simplified Arabic"/>
          <w:sz w:val="24"/>
          <w:szCs w:val="28"/>
          <w:rtl/>
        </w:rPr>
        <w:t>) أداء المشروع بأنه مدى نجاح المشروع في تحقيق نطاقه وأهدافه، والالتزام بجدوله الزمني وميزانيته، وتلبية متطلبات الجودة. ويُعرِّف (</w:t>
      </w:r>
      <w:r w:rsidRPr="00EA59B6">
        <w:rPr>
          <w:rFonts w:ascii="Times New Roman" w:eastAsia="Calibri" w:hAnsi="Times New Roman" w:cs="Simplified Arabic"/>
          <w:sz w:val="24"/>
          <w:szCs w:val="28"/>
        </w:rPr>
        <w:t>Meredith et al., 2020, p. 78</w:t>
      </w:r>
      <w:r w:rsidRPr="00EA59B6">
        <w:rPr>
          <w:rFonts w:ascii="Times New Roman" w:eastAsia="Calibri" w:hAnsi="Times New Roman" w:cs="Simplified Arabic"/>
          <w:sz w:val="24"/>
          <w:szCs w:val="28"/>
          <w:rtl/>
        </w:rPr>
        <w:t>) كفاءة المشروع بأنها نسبة المخرجات المحققة إلى المدخلات المستخدمة، مع التركيز على تحقيق الأهداف بأقل قدر من الموارد والوقت. وفي سياق هذه الدراسة، يُعرف مصطلح كفاءة أداء المشاريع إجرائياً، بأنه: الدرجة التي تحقق بها المشاريع أهدافها المحددة فيما يتعلق بالالتزام بالجداول الزمنية، والتحكم في التكاليف، وجودة المخرجات، وإدارة المخاطر، وكفاءة استخدام الموارد، والقدرة على التكيف مع المتغيرات.</w:t>
      </w:r>
    </w:p>
    <w:p w14:paraId="521D6760"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تعريفات أبعاد كفاءة أداء المشاريع:</w:t>
      </w:r>
    </w:p>
    <w:p w14:paraId="4D139F06"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PMI, 2021, p. 89</w:t>
      </w:r>
      <w:r w:rsidRPr="00EA59B6">
        <w:rPr>
          <w:rFonts w:ascii="Times New Roman" w:eastAsia="Calibri" w:hAnsi="Times New Roman" w:cs="Simplified Arabic"/>
          <w:sz w:val="24"/>
          <w:szCs w:val="28"/>
          <w:rtl/>
        </w:rPr>
        <w:t>) الالتزام بالجداول الزمنية بأنه قدرة المشروع على تحقيق معالمه الرئيسة في المواعيد المحددة، وتجنب التأخيرات غير المبررة. وفي سياق هذه الدراسة، يُعرف الالتزام بالجداول الزمنية إجرائياً، بأنه: مدى التزام فريق المشروع بالجداول الزمنية المحددة، وتحقيق المعالم الرئيسة في مواعيدها.</w:t>
      </w:r>
    </w:p>
    <w:p w14:paraId="04C87828"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Kerzner, 2022, p. 78</w:t>
      </w:r>
      <w:r w:rsidRPr="00EA59B6">
        <w:rPr>
          <w:rFonts w:ascii="Times New Roman" w:eastAsia="Calibri" w:hAnsi="Times New Roman" w:cs="Simplified Arabic"/>
          <w:sz w:val="24"/>
          <w:szCs w:val="28"/>
          <w:rtl/>
        </w:rPr>
        <w:t>) التحكم في التكاليف بأنه قدرة المشروع على البقاء ضمن الميزانية المقررة، وتجنب التجاوزات المالية غير المخطط لها. وفي سياق هذه الدراسة، يُعرف التحكم في التكاليف إجرائياً، بأنه: مدى قدرة فريق المشروع على إدارة الميزانية المخصصة، وتجنب التجاوزات غير المبررة.</w:t>
      </w:r>
    </w:p>
    <w:p w14:paraId="19B65B3E"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Meredith et al., 2020, p. 156</w:t>
      </w:r>
      <w:r w:rsidRPr="00EA59B6">
        <w:rPr>
          <w:rFonts w:ascii="Times New Roman" w:eastAsia="Calibri" w:hAnsi="Times New Roman" w:cs="Simplified Arabic"/>
          <w:sz w:val="24"/>
          <w:szCs w:val="28"/>
          <w:rtl/>
        </w:rPr>
        <w:t>) جودة المخرجات بأنها درجة تلبية مخرجات المشروع للمعايير والمواصفات المطلوبة، وتقليل الأخطاء وإعادة العمل. وفي سياق هذه الدراسة، تُعرف جودة المخرجات إجرائياً، بأنه: مدى التزام مخرجات المشروع بالمعايير والمواصفات الفنية والجودة المطلوبة.</w:t>
      </w:r>
    </w:p>
    <w:p w14:paraId="03D722A8"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Turner, 2021, p. 134</w:t>
      </w:r>
      <w:r w:rsidRPr="00EA59B6">
        <w:rPr>
          <w:rFonts w:ascii="Times New Roman" w:eastAsia="Calibri" w:hAnsi="Times New Roman" w:cs="Simplified Arabic"/>
          <w:sz w:val="24"/>
          <w:szCs w:val="28"/>
          <w:rtl/>
        </w:rPr>
        <w:t xml:space="preserve">) إدارة المخاطر في المشاريع بأنها عملية تحديد المخاطر وتقييمها والاستجابة لها بفعالية، وتقليل تأثيرها السلبي. وفي سياق هذه الدراسة، تُعرف إدارة المخاطر </w:t>
      </w:r>
      <w:r w:rsidRPr="00EA59B6">
        <w:rPr>
          <w:rFonts w:ascii="Times New Roman" w:eastAsia="Calibri" w:hAnsi="Times New Roman" w:cs="Simplified Arabic"/>
          <w:sz w:val="24"/>
          <w:szCs w:val="28"/>
          <w:rtl/>
        </w:rPr>
        <w:lastRenderedPageBreak/>
        <w:t>إجرائياً، بأنه: مدى قدرة فريق المشروع على تحديد المخاطر المحتملة وتقييمها، واتخاذ إجراءات للحد من تأثيرها.</w:t>
      </w:r>
    </w:p>
    <w:p w14:paraId="6F59454B"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Kerzner, 2022, p. 112</w:t>
      </w:r>
      <w:r w:rsidRPr="00EA59B6">
        <w:rPr>
          <w:rFonts w:ascii="Times New Roman" w:eastAsia="Calibri" w:hAnsi="Times New Roman" w:cs="Simplified Arabic"/>
          <w:sz w:val="24"/>
          <w:szCs w:val="28"/>
          <w:rtl/>
        </w:rPr>
        <w:t>) كفاءة استخدام الموارد بأنها الاستخدام الأمثل: للموارد البشرية والمادية والمالية، وتقليل الهدر وزيادة الإنتاجية. وفي سياق هذه الدراسة، تُعرف كفاءة استخدام الموارد إجرائياً، بأنه: مدى قدرة فريق المشروع على استخدام الموارد المتاحة بكفاءة، وتحقيق أقصى استفادة منها بأقل تكلفة.</w:t>
      </w:r>
    </w:p>
    <w:p w14:paraId="4EC44C46"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يعرّف (</w:t>
      </w:r>
      <w:r w:rsidRPr="00EA59B6">
        <w:rPr>
          <w:rFonts w:ascii="Times New Roman" w:eastAsia="Calibri" w:hAnsi="Times New Roman" w:cs="Simplified Arabic"/>
          <w:sz w:val="24"/>
          <w:szCs w:val="28"/>
        </w:rPr>
        <w:t>Meredith et al., 2020, p. 201</w:t>
      </w:r>
      <w:r w:rsidRPr="00EA59B6">
        <w:rPr>
          <w:rFonts w:ascii="Times New Roman" w:eastAsia="Calibri" w:hAnsi="Times New Roman" w:cs="Simplified Arabic"/>
          <w:sz w:val="24"/>
          <w:szCs w:val="28"/>
          <w:rtl/>
        </w:rPr>
        <w:t>) القدرة على التكيف في المشاريع بأنها قدرة فريق المشروع على التكيف مع التغيرات في المتطلبات أو الظروف، وتعديل الخطط بسرعة وفعالية. وفي سياق هذه الدراسة، تُعرف القدرة على التكيف إجرائياً، بأنه: مدى قدرة فريق المشروع على التعامل مع التغيرات غير المتوقعة في متطلبات المشروع أو ظروفه، وتعديل الخطط والإجراءات بسرعة.</w:t>
      </w:r>
    </w:p>
    <w:p w14:paraId="5BAF0759"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ثالثاً: بيئة الدراسة</w:t>
      </w:r>
    </w:p>
    <w:p w14:paraId="64B9CD14" w14:textId="77777777" w:rsidR="00EA59B6" w:rsidRPr="00EA59B6" w:rsidRDefault="00EA59B6" w:rsidP="00EA59B6">
      <w:pPr>
        <w:spacing w:after="24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تُعرّف بيئة الدراسة في سياق هذا البحث بأنها: المؤسسات (الشركات والمنظمات) العاملة في المملكة العربية السعودية التي تعتمد على إدارة المشاريع كأسلوب أساسي لتنفيذ أنشطتها واستراتيجياتها، وتشمل قطاعات متنوعة مثل: (الإنشاءات، التقنية، الطاقة، الخدمات، الصحة، التعليم، الحكومي)، وذلك في ضوء التحول الرقمي المتسارع الذي تشهده المملكة ضمن مستهدفات رؤية 2030.</w:t>
      </w:r>
    </w:p>
    <w:p w14:paraId="46FD59BF"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p>
    <w:p w14:paraId="0068DA4B"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sz w:val="24"/>
          <w:szCs w:val="28"/>
          <w:rtl/>
        </w:rPr>
        <w:br w:type="page"/>
      </w:r>
    </w:p>
    <w:p w14:paraId="518B23EC"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tl/>
        </w:rPr>
      </w:pPr>
    </w:p>
    <w:p w14:paraId="61EDE2CF"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tl/>
        </w:rPr>
      </w:pPr>
    </w:p>
    <w:p w14:paraId="7E2311C3" w14:textId="77777777" w:rsidR="00EA59B6" w:rsidRPr="00EA59B6" w:rsidRDefault="00EA59B6" w:rsidP="00EA59B6">
      <w:pPr>
        <w:spacing w:after="360" w:line="240" w:lineRule="auto"/>
        <w:ind w:firstLine="567"/>
        <w:rPr>
          <w:rFonts w:ascii="Simplified Arabic" w:eastAsia="Calibri" w:hAnsi="Simplified Arabic" w:cs="PT Bold Heading"/>
          <w:sz w:val="48"/>
          <w:szCs w:val="48"/>
          <w:rtl/>
        </w:rPr>
      </w:pPr>
      <w:bookmarkStart w:id="1" w:name="_Hlk200813560"/>
      <w:bookmarkEnd w:id="0"/>
    </w:p>
    <w:p w14:paraId="226D5BA1" w14:textId="77777777" w:rsidR="00EA59B6" w:rsidRPr="00EA59B6" w:rsidRDefault="00EA59B6" w:rsidP="00EA59B6">
      <w:pPr>
        <w:spacing w:after="360" w:line="240" w:lineRule="auto"/>
        <w:ind w:firstLine="567"/>
        <w:jc w:val="center"/>
        <w:rPr>
          <w:rFonts w:ascii="Simplified Arabic" w:eastAsia="Calibri" w:hAnsi="Simplified Arabic" w:cs="PT Bold Heading"/>
          <w:sz w:val="48"/>
          <w:szCs w:val="48"/>
          <w:rtl/>
        </w:rPr>
      </w:pPr>
      <w:r w:rsidRPr="00EA59B6">
        <w:rPr>
          <w:rFonts w:ascii="Simplified Arabic" w:eastAsia="Calibri" w:hAnsi="Simplified Arabic" w:cs="PT Bold Heading"/>
          <w:sz w:val="48"/>
          <w:szCs w:val="48"/>
          <w:rtl/>
        </w:rPr>
        <w:t>الفصل الثاني</w:t>
      </w:r>
    </w:p>
    <w:p w14:paraId="5860F7A5" w14:textId="77777777" w:rsidR="00EA59B6" w:rsidRPr="00EA59B6" w:rsidRDefault="00EA59B6" w:rsidP="00EA59B6">
      <w:pPr>
        <w:spacing w:after="360" w:line="240" w:lineRule="auto"/>
        <w:ind w:firstLine="567"/>
        <w:jc w:val="center"/>
        <w:rPr>
          <w:rFonts w:ascii="Simplified Arabic" w:eastAsia="Calibri" w:hAnsi="Simplified Arabic" w:cs="PT Bold Heading"/>
          <w:sz w:val="48"/>
          <w:szCs w:val="48"/>
          <w:rtl/>
        </w:rPr>
      </w:pPr>
      <w:r w:rsidRPr="00EA59B6">
        <w:rPr>
          <w:rFonts w:ascii="Simplified Arabic" w:eastAsia="Calibri" w:hAnsi="Simplified Arabic" w:cs="PT Bold Heading"/>
          <w:sz w:val="48"/>
          <w:szCs w:val="48"/>
          <w:rtl/>
        </w:rPr>
        <w:t>الإطار النظري والدراسات السابقة</w:t>
      </w:r>
    </w:p>
    <w:p w14:paraId="1B094BB6" w14:textId="77777777" w:rsidR="00EA59B6" w:rsidRPr="00EA59B6" w:rsidRDefault="00EA59B6" w:rsidP="00EA59B6">
      <w:pPr>
        <w:spacing w:after="360" w:line="240" w:lineRule="auto"/>
        <w:ind w:firstLine="567"/>
        <w:jc w:val="center"/>
        <w:rPr>
          <w:rFonts w:ascii="Simplified Arabic" w:eastAsia="Calibri" w:hAnsi="Simplified Arabic" w:cs="PT Bold Heading"/>
          <w:sz w:val="48"/>
          <w:szCs w:val="48"/>
          <w:rtl/>
        </w:rPr>
      </w:pPr>
    </w:p>
    <w:p w14:paraId="4EAA45A1" w14:textId="77777777" w:rsidR="00EA59B6" w:rsidRPr="00EA59B6" w:rsidRDefault="00EA59B6" w:rsidP="00EA59B6">
      <w:pPr>
        <w:numPr>
          <w:ilvl w:val="0"/>
          <w:numId w:val="1"/>
        </w:numPr>
        <w:spacing w:after="360" w:line="240" w:lineRule="auto"/>
        <w:ind w:hanging="437"/>
        <w:contextualSpacing/>
        <w:rPr>
          <w:rFonts w:ascii="Simplified Arabic" w:eastAsia="Calibri" w:hAnsi="Simplified Arabic" w:cs="PT Bold Heading"/>
          <w:sz w:val="36"/>
          <w:szCs w:val="36"/>
          <w:rtl/>
        </w:rPr>
      </w:pPr>
      <w:r w:rsidRPr="00EA59B6">
        <w:rPr>
          <w:rFonts w:ascii="Simplified Arabic" w:eastAsia="Calibri" w:hAnsi="Simplified Arabic" w:cs="PT Bold Heading"/>
          <w:sz w:val="36"/>
          <w:szCs w:val="36"/>
          <w:rtl/>
        </w:rPr>
        <w:t>مقدمة</w:t>
      </w:r>
    </w:p>
    <w:p w14:paraId="753E1A63" w14:textId="77777777" w:rsidR="00EA59B6" w:rsidRPr="00EA59B6" w:rsidRDefault="00EA59B6" w:rsidP="00EA59B6">
      <w:pPr>
        <w:spacing w:after="360" w:line="240" w:lineRule="auto"/>
        <w:ind w:left="1077" w:hanging="437"/>
        <w:rPr>
          <w:rFonts w:ascii="Simplified Arabic" w:eastAsia="Calibri" w:hAnsi="Simplified Arabic" w:cs="PT Bold Heading"/>
          <w:sz w:val="2"/>
          <w:szCs w:val="2"/>
          <w:rtl/>
        </w:rPr>
      </w:pPr>
    </w:p>
    <w:p w14:paraId="6A872D31" w14:textId="77777777" w:rsidR="00EA59B6" w:rsidRPr="00EA59B6" w:rsidRDefault="00EA59B6" w:rsidP="00EA59B6">
      <w:pPr>
        <w:numPr>
          <w:ilvl w:val="0"/>
          <w:numId w:val="1"/>
        </w:numPr>
        <w:spacing w:after="360" w:line="240" w:lineRule="auto"/>
        <w:ind w:hanging="437"/>
        <w:contextualSpacing/>
        <w:rPr>
          <w:rFonts w:ascii="Simplified Arabic" w:eastAsia="Calibri" w:hAnsi="Simplified Arabic" w:cs="PT Bold Heading"/>
          <w:sz w:val="36"/>
          <w:szCs w:val="36"/>
          <w:rtl/>
        </w:rPr>
      </w:pPr>
      <w:r w:rsidRPr="00EA59B6">
        <w:rPr>
          <w:rFonts w:ascii="Simplified Arabic" w:eastAsia="Calibri" w:hAnsi="Simplified Arabic" w:cs="PT Bold Heading"/>
          <w:sz w:val="36"/>
          <w:szCs w:val="36"/>
          <w:rtl/>
        </w:rPr>
        <w:t xml:space="preserve">المحور الأول: الدراسات السابقة </w:t>
      </w:r>
    </w:p>
    <w:p w14:paraId="5EDD99EC" w14:textId="77777777" w:rsidR="00EA59B6" w:rsidRPr="00EA59B6" w:rsidRDefault="00EA59B6" w:rsidP="00EA59B6">
      <w:pPr>
        <w:spacing w:after="360" w:line="240" w:lineRule="auto"/>
        <w:ind w:left="1077" w:hanging="437"/>
        <w:rPr>
          <w:rFonts w:ascii="Simplified Arabic" w:eastAsia="Calibri" w:hAnsi="Simplified Arabic" w:cs="PT Bold Heading"/>
          <w:sz w:val="2"/>
          <w:szCs w:val="2"/>
          <w:rtl/>
        </w:rPr>
      </w:pPr>
    </w:p>
    <w:p w14:paraId="7666ECDD" w14:textId="77777777" w:rsidR="00EA59B6" w:rsidRPr="00EA59B6" w:rsidRDefault="00EA59B6" w:rsidP="00EA59B6">
      <w:pPr>
        <w:numPr>
          <w:ilvl w:val="0"/>
          <w:numId w:val="1"/>
        </w:numPr>
        <w:spacing w:after="360" w:line="240" w:lineRule="auto"/>
        <w:ind w:hanging="437"/>
        <w:contextualSpacing/>
        <w:rPr>
          <w:rFonts w:ascii="Simplified Arabic" w:eastAsia="Calibri" w:hAnsi="Simplified Arabic" w:cs="PT Bold Heading"/>
          <w:sz w:val="36"/>
          <w:szCs w:val="36"/>
          <w:rtl/>
        </w:rPr>
      </w:pPr>
      <w:r w:rsidRPr="00EA59B6">
        <w:rPr>
          <w:rFonts w:ascii="Simplified Arabic" w:eastAsia="Calibri" w:hAnsi="Simplified Arabic" w:cs="PT Bold Heading"/>
          <w:sz w:val="36"/>
          <w:szCs w:val="36"/>
          <w:rtl/>
        </w:rPr>
        <w:t>المحور الثاني: الإطار النظري للدراسة</w:t>
      </w:r>
    </w:p>
    <w:bookmarkEnd w:id="1"/>
    <w:p w14:paraId="6599DD55" w14:textId="77777777" w:rsidR="00EA59B6" w:rsidRPr="00EA59B6" w:rsidRDefault="00EA59B6" w:rsidP="00EA59B6">
      <w:pPr>
        <w:spacing w:after="360" w:line="240" w:lineRule="auto"/>
        <w:ind w:firstLine="567"/>
        <w:jc w:val="center"/>
        <w:rPr>
          <w:rFonts w:ascii="Simplified Arabic" w:eastAsia="Calibri" w:hAnsi="Simplified Arabic" w:cs="PT Bold Heading"/>
          <w:sz w:val="42"/>
          <w:szCs w:val="42"/>
          <w:rtl/>
        </w:rPr>
      </w:pPr>
    </w:p>
    <w:p w14:paraId="5ACCFA3E" w14:textId="77777777" w:rsidR="00EA59B6" w:rsidRPr="00EA59B6" w:rsidRDefault="00EA59B6" w:rsidP="00EA59B6">
      <w:pPr>
        <w:spacing w:after="360" w:line="240" w:lineRule="auto"/>
        <w:ind w:firstLine="567"/>
        <w:jc w:val="center"/>
        <w:rPr>
          <w:rFonts w:ascii="Simplified Arabic" w:eastAsia="Calibri" w:hAnsi="Simplified Arabic" w:cs="Simplified Arabic"/>
          <w:sz w:val="28"/>
          <w:szCs w:val="28"/>
          <w:lang w:bidi="ar-EG"/>
        </w:rPr>
      </w:pPr>
      <w:r w:rsidRPr="00EA59B6">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96640" behindDoc="0" locked="0" layoutInCell="1" allowOverlap="1" wp14:anchorId="4DC1179D" wp14:editId="03B3CFCF">
                <wp:simplePos x="0" y="0"/>
                <wp:positionH relativeFrom="column">
                  <wp:posOffset>2424576</wp:posOffset>
                </wp:positionH>
                <wp:positionV relativeFrom="paragraph">
                  <wp:posOffset>2496136</wp:posOffset>
                </wp:positionV>
                <wp:extent cx="492370" cy="400929"/>
                <wp:effectExtent l="0" t="0" r="3175" b="0"/>
                <wp:wrapNone/>
                <wp:docPr id="1742939042" name="مستطيل 3"/>
                <wp:cNvGraphicFramePr/>
                <a:graphic xmlns:a="http://schemas.openxmlformats.org/drawingml/2006/main">
                  <a:graphicData uri="http://schemas.microsoft.com/office/word/2010/wordprocessingShape">
                    <wps:wsp>
                      <wps:cNvSpPr/>
                      <wps:spPr>
                        <a:xfrm>
                          <a:off x="0" y="0"/>
                          <a:ext cx="492370" cy="400929"/>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63B9E46" id="مستطيل 3" o:spid="_x0000_s1026" style="position:absolute;left:0;text-align:left;margin-left:190.9pt;margin-top:196.55pt;width:38.75pt;height:31.55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" fillcolor="window" stroked="f" strokeweight="2pt"/>
            </w:pict>
          </mc:Fallback>
        </mc:AlternateContent>
      </w:r>
      <w:r w:rsidRPr="00EA59B6">
        <w:rPr>
          <w:rFonts w:ascii="Simplified Arabic" w:eastAsia="Calibri" w:hAnsi="Simplified Arabic" w:cs="PT Bold Heading"/>
          <w:sz w:val="48"/>
          <w:szCs w:val="48"/>
          <w:rtl/>
        </w:rPr>
        <w:br w:type="page"/>
      </w:r>
    </w:p>
    <w:p w14:paraId="04A8F9BD" w14:textId="77777777" w:rsidR="00EA59B6" w:rsidRPr="00EA59B6" w:rsidRDefault="00EA59B6" w:rsidP="00EA59B6">
      <w:pPr>
        <w:spacing w:after="360" w:line="240" w:lineRule="auto"/>
        <w:ind w:firstLine="567"/>
        <w:jc w:val="center"/>
        <w:rPr>
          <w:rFonts w:ascii="Simplified Arabic" w:eastAsia="Calibri" w:hAnsi="Simplified Arabic" w:cs="PT Bold Heading"/>
          <w:sz w:val="32"/>
          <w:szCs w:val="32"/>
          <w:rtl/>
        </w:rPr>
      </w:pPr>
      <w:r w:rsidRPr="00EA59B6">
        <w:rPr>
          <w:rFonts w:ascii="Simplified Arabic" w:eastAsia="Calibri" w:hAnsi="Simplified Arabic" w:cs="PT Bold Heading"/>
          <w:sz w:val="32"/>
          <w:szCs w:val="32"/>
          <w:rtl/>
        </w:rPr>
        <w:lastRenderedPageBreak/>
        <w:t>الفصل الثاني</w:t>
      </w:r>
    </w:p>
    <w:p w14:paraId="618179A3" w14:textId="77777777" w:rsidR="00EA59B6" w:rsidRPr="00EA59B6" w:rsidRDefault="00EA59B6" w:rsidP="00EA59B6">
      <w:pPr>
        <w:spacing w:after="360" w:line="240" w:lineRule="auto"/>
        <w:ind w:firstLine="567"/>
        <w:jc w:val="center"/>
        <w:rPr>
          <w:rFonts w:ascii="Simplified Arabic" w:eastAsia="Calibri" w:hAnsi="Simplified Arabic" w:cs="PT Bold Heading"/>
          <w:sz w:val="32"/>
          <w:szCs w:val="32"/>
          <w:rtl/>
        </w:rPr>
      </w:pPr>
      <w:r w:rsidRPr="00EA59B6">
        <w:rPr>
          <w:rFonts w:ascii="Simplified Arabic" w:eastAsia="Calibri" w:hAnsi="Simplified Arabic" w:cs="PT Bold Heading"/>
          <w:sz w:val="32"/>
          <w:szCs w:val="32"/>
          <w:rtl/>
        </w:rPr>
        <w:t>الإطار النظري والدراسات السابقة</w:t>
      </w:r>
    </w:p>
    <w:p w14:paraId="3F2441F9" w14:textId="77777777" w:rsidR="00EA59B6" w:rsidRPr="00EA59B6" w:rsidRDefault="00EA59B6" w:rsidP="00EA59B6">
      <w:pPr>
        <w:spacing w:after="360" w:line="240" w:lineRule="auto"/>
        <w:ind w:firstLine="567"/>
        <w:jc w:val="both"/>
        <w:rPr>
          <w:rFonts w:ascii="Times New Roman" w:eastAsia="Calibri" w:hAnsi="Times New Roman" w:cs="Simplified Arabic"/>
          <w:b/>
          <w:bCs/>
          <w:sz w:val="4"/>
          <w:szCs w:val="6"/>
          <w:rtl/>
        </w:rPr>
      </w:pPr>
    </w:p>
    <w:p w14:paraId="6D03CC8A" w14:textId="77777777" w:rsidR="00EA59B6" w:rsidRPr="00EA59B6" w:rsidRDefault="00EA59B6" w:rsidP="00EA59B6">
      <w:pPr>
        <w:spacing w:after="360" w:line="240" w:lineRule="auto"/>
        <w:ind w:firstLine="567"/>
        <w:jc w:val="both"/>
        <w:rPr>
          <w:rFonts w:ascii="Times New Roman" w:eastAsia="Calibri" w:hAnsi="Times New Roman" w:cs="Simplified Arabic"/>
          <w:b/>
          <w:bCs/>
          <w:sz w:val="24"/>
          <w:szCs w:val="28"/>
          <w:rtl/>
        </w:rPr>
      </w:pPr>
      <w:r w:rsidRPr="00EA59B6">
        <w:rPr>
          <w:rFonts w:ascii="Times New Roman" w:eastAsia="Calibri" w:hAnsi="Times New Roman" w:cs="Simplified Arabic"/>
          <w:b/>
          <w:bCs/>
          <w:sz w:val="24"/>
          <w:szCs w:val="28"/>
          <w:rtl/>
        </w:rPr>
        <w:t>مقدمة</w:t>
      </w:r>
    </w:p>
    <w:p w14:paraId="45CAB73A"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bookmarkStart w:id="2" w:name="_Hlk213788421"/>
      <w:r w:rsidRPr="00EA59B6">
        <w:rPr>
          <w:rFonts w:ascii="Times New Roman" w:eastAsia="Calibri" w:hAnsi="Times New Roman" w:cs="Simplified Arabic"/>
          <w:sz w:val="24"/>
          <w:szCs w:val="28"/>
          <w:rtl/>
        </w:rPr>
        <w:t>ي</w:t>
      </w:r>
      <w:bookmarkEnd w:id="2"/>
      <w:r w:rsidRPr="00EA59B6">
        <w:rPr>
          <w:rFonts w:ascii="Times New Roman" w:eastAsia="Calibri" w:hAnsi="Times New Roman" w:cs="Simplified Arabic"/>
          <w:sz w:val="24"/>
          <w:szCs w:val="28"/>
          <w:rtl/>
        </w:rPr>
        <w:t>تناول هذا الفصل محورين رئيسين؛ أولاً الدراسات السابقة المحلية والعربية والأجنبية، وثانياً الإطار النظري للدراسة بمباحثه الثلاثة التي تتناول المتغير المستقل والتابع والعلاقة بينهما.</w:t>
      </w:r>
    </w:p>
    <w:p w14:paraId="0CE417E5"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tl/>
        </w:rPr>
        <w:t>المحور الأول: الدراسات السابقة</w:t>
      </w:r>
    </w:p>
    <w:p w14:paraId="25756E48"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تمهيد:</w:t>
      </w:r>
    </w:p>
    <w:p w14:paraId="25147B94"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تستعرض هذه المرحلة من الدراسة وتحليلاتها عدداً من الدراسات السابقة التي تناولت متغيرات الدراسة الحالية أو ما يرتبط بها، وذلك في بيئات محلية وعربية وأجنبية متنوعة. ويهدف هذا الاستعراض إلى بناء تصور واضح حول ما تم إنجازه سابقاً في مجال أثر استخدام الذكاء الاصطناعي في تحسين كفاءة أداء المشاريع، وتحديد الفجوات البحثية التي تسعى الدراسة الحالية إلى معالجتها. وسيتم عرض الدراسات المحلية أولاً، تليها العربية، ثم الأجنبية، على أن تُرتَّب من الأقدم إلى الأحدث في كل قسم.</w:t>
      </w:r>
    </w:p>
    <w:p w14:paraId="1DD591D1"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tl/>
        </w:rPr>
        <w:t>أولاً: الدراسات المحلية (4 دراسات)</w:t>
      </w:r>
    </w:p>
    <w:p w14:paraId="2547C97B"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(الشهري وآخرون، 2023)</w:t>
      </w:r>
      <w:r w:rsidRPr="00EA59B6">
        <w:rPr>
          <w:rFonts w:ascii="Times New Roman" w:eastAsia="Calibri" w:hAnsi="Times New Roman" w:cs="Simplified Arabic"/>
          <w:sz w:val="24"/>
          <w:szCs w:val="28"/>
          <w:rtl/>
        </w:rPr>
        <w:t xml:space="preserve"> التي أجريت في المملكة العربية السعودية، بعنوان </w:t>
      </w:r>
      <w:r w:rsidRPr="00EA59B6">
        <w:rPr>
          <w:rFonts w:ascii="Times New Roman" w:eastAsia="Calibri" w:hAnsi="Times New Roman" w:cs="Simplified Arabic"/>
          <w:b/>
          <w:bCs/>
          <w:sz w:val="24"/>
          <w:szCs w:val="28"/>
          <w:rtl/>
        </w:rPr>
        <w:t>واقع الذكاء الاصطناعي على إدارة المشاريع في القطاع الحكومي بالمملكة العربية السعودية،</w:t>
      </w:r>
      <w:r w:rsidRPr="00EA59B6">
        <w:rPr>
          <w:rFonts w:ascii="Times New Roman" w:eastAsia="Calibri" w:hAnsi="Times New Roman" w:cs="Simplified Arabic"/>
          <w:sz w:val="24"/>
          <w:szCs w:val="28"/>
          <w:rtl/>
        </w:rPr>
        <w:t xml:space="preserve"> والتي هدفت إلى التعرف على واقع الذكاء الاصطناعي في إدارة المشاريع بالقطاع الحكومي السعودي، من خلال التعرف على واقع إدراك العاملين لأهمية الذكاء الاصطناعي في مراحل إدارة المشاريع، ومدى مساهمته فيها، وأهميته في تحسين إدارة المشاريع، بالإضافة إلى المتطلبات والمعوقات. اتبعت الدراسة المنهج الوصفي التحليلي باستخدام الاستبانة على عينة طبقية قصدية بلغت (281) مفردة </w:t>
      </w:r>
      <w:r w:rsidRPr="00EA59B6">
        <w:rPr>
          <w:rFonts w:ascii="Times New Roman" w:eastAsia="Calibri" w:hAnsi="Times New Roman" w:cs="Simplified Arabic"/>
          <w:sz w:val="24"/>
          <w:szCs w:val="28"/>
          <w:rtl/>
        </w:rPr>
        <w:lastRenderedPageBreak/>
        <w:t>من العاملين بإدارات المشاريع. وتوصلت النتائج إلى وجود مستوى مرتفع لإدراك العاملين لأهمية الذكاء الاصطناعي في مراحل إدارة المشاريع بمتوسط حسابي (4.09)، وأيدوا أن هناك مساهمة مرتفعة للذكاء الاصطناعي في إدارة المشاريع بالقطاع الحكومي بمتوسط (3.86)، ومؤكدين لأهمية الذكاء الاصطناعي في تحسين إدارة المشاريع بمتوسط (3.96). كما أكدوا وجود متطلبات إدارية وفنية لتبسيط استخدام هذه التقنية، ومعوقات أهمها ارتفاع أسعار التقنيات الحديثة، واختلاف آلية العمل الإداري بين الوحدات، وقلة الحوافز المادية. وأوصت الدراسة بمجموعة من التوصيات لتعزيز استخدام الذكاء الاصطناعي في القطاع الحكومي.</w:t>
      </w:r>
    </w:p>
    <w:p w14:paraId="4E094342"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(الحسن والعوضي، 2024)</w:t>
      </w:r>
      <w:r w:rsidRPr="00EA59B6">
        <w:rPr>
          <w:rFonts w:ascii="Times New Roman" w:eastAsia="Calibri" w:hAnsi="Times New Roman" w:cs="Simplified Arabic"/>
          <w:sz w:val="24"/>
          <w:szCs w:val="28"/>
          <w:rtl/>
        </w:rPr>
        <w:t xml:space="preserve"> التي أجريت في المملكة العربية السعودية، بعنوان </w:t>
      </w:r>
      <w:r w:rsidRPr="00EA59B6">
        <w:rPr>
          <w:rFonts w:ascii="Times New Roman" w:eastAsia="Calibri" w:hAnsi="Times New Roman" w:cs="Simplified Arabic"/>
          <w:b/>
          <w:bCs/>
          <w:sz w:val="24"/>
          <w:szCs w:val="28"/>
          <w:rtl/>
        </w:rPr>
        <w:t>تقييم أثر الذكاء الاصطناعي في إدارة المشاريع الهندسية الإنشائية،</w:t>
      </w:r>
      <w:r w:rsidRPr="00EA59B6">
        <w:rPr>
          <w:rFonts w:ascii="Times New Roman" w:eastAsia="Calibri" w:hAnsi="Times New Roman" w:cs="Simplified Arabic"/>
          <w:sz w:val="24"/>
          <w:szCs w:val="28"/>
          <w:rtl/>
        </w:rPr>
        <w:t xml:space="preserve"> والتي هدفت إلى تقييم أثر تطبيقات الذكاء الاصطناعي في تحسين إدارة المشاريع الهندسية الإنشائية من خلال تحليل تأثيرها في كفاءة التخطيط والتنفيذ والرقابة. اتبعت الدراسة المنهج الوصفي التحليلي، وتم جمع البيانات باستخدام استبانة وزعت على عينة من المهندسين ومديري المشاريع في قطاع الإنشاءات السعودي. أظهرت النتائج أن استخدام تقنيات الذكاء الاصطناعي يسهم في تحسين دقة التخطيط وتقليل الانحرافات في الجداول الزمنية والتكاليف، كما يساعد في تعزيز الرقابة على جودة المخرجات. وأوصت الدراسة بضرورة تبني تقنيات الذكاء الاصطناعي في المشاريع الهندسية، مع توفير التدريب المناسب للكوادر البشرية.</w:t>
      </w:r>
    </w:p>
    <w:p w14:paraId="54661111"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(حمزة، 2025)</w:t>
      </w:r>
      <w:r w:rsidRPr="00EA59B6">
        <w:rPr>
          <w:rFonts w:ascii="Times New Roman" w:eastAsia="Calibri" w:hAnsi="Times New Roman" w:cs="Simplified Arabic"/>
          <w:sz w:val="24"/>
          <w:szCs w:val="28"/>
          <w:rtl/>
        </w:rPr>
        <w:t xml:space="preserve"> التي أجريت في المملكة العربية السعودية والسودان (ضمن السياق السعودي)، بعنوان </w:t>
      </w:r>
      <w:r w:rsidRPr="00EA59B6">
        <w:rPr>
          <w:rFonts w:ascii="Times New Roman" w:eastAsia="Calibri" w:hAnsi="Times New Roman" w:cs="Simplified Arabic"/>
          <w:b/>
          <w:bCs/>
          <w:sz w:val="24"/>
          <w:szCs w:val="28"/>
          <w:rtl/>
        </w:rPr>
        <w:t>أثر التخطيط الاستراتيجي في تحسين أداء المشروعات باستخدام أدوات الذكاء الاصطناعي في ضوء رؤية المملكة العربية السعودية 2030،</w:t>
      </w:r>
      <w:r w:rsidRPr="00EA59B6">
        <w:rPr>
          <w:rFonts w:ascii="Times New Roman" w:eastAsia="Calibri" w:hAnsi="Times New Roman" w:cs="Simplified Arabic"/>
          <w:sz w:val="24"/>
          <w:szCs w:val="28"/>
          <w:rtl/>
        </w:rPr>
        <w:t xml:space="preserve"> والتي هدفت إلى الكشف عن أثر التخطيط الاستراتيجي في تحسين أداء المشروعات عند توظيف أدوات الذكاء الاصطناعي في سياق رؤية السعودية 2030. اعتمدت الدراسة المنهج الوصفي مدعوماً بإطار تحليلي-تاريخي لبناء تصور نظري للفجوة القائمة بين الممارسات التخطيطية الراهنة ومتطلبات الرؤية الوطنية. أظهرت النتائج: (1) اتساق رسالات كثير من الشركات وأهدافها مع مستهدفات رؤية 2030، (2) قصور في تحليل البيئة الداخلية والخارجية (</w:t>
      </w:r>
      <w:r w:rsidRPr="00EA59B6">
        <w:rPr>
          <w:rFonts w:ascii="Times New Roman" w:eastAsia="Calibri" w:hAnsi="Times New Roman" w:cs="Simplified Arabic"/>
          <w:sz w:val="24"/>
          <w:szCs w:val="28"/>
        </w:rPr>
        <w:t>SWOT</w:t>
      </w:r>
      <w:r w:rsidRPr="00EA59B6">
        <w:rPr>
          <w:rFonts w:ascii="Times New Roman" w:eastAsia="Calibri" w:hAnsi="Times New Roman" w:cs="Simplified Arabic"/>
          <w:sz w:val="24"/>
          <w:szCs w:val="28"/>
          <w:rtl/>
        </w:rPr>
        <w:t xml:space="preserve">) داخل بعض الشركات، (3) ضعف توظيف تقنيات الذكاء الاصطناعي في التحليل الاستراتيجي وصياغة الخطط، (4) نقص في الخبرات المتخصصة </w:t>
      </w:r>
      <w:r w:rsidRPr="00EA59B6">
        <w:rPr>
          <w:rFonts w:ascii="Times New Roman" w:eastAsia="Calibri" w:hAnsi="Times New Roman" w:cs="Simplified Arabic"/>
          <w:sz w:val="24"/>
          <w:szCs w:val="28"/>
          <w:rtl/>
        </w:rPr>
        <w:lastRenderedPageBreak/>
        <w:t>بالتخطيط الاستراتيجي، و(5) محدودية في قياس مؤشرات الأداء للمشروعات المنفذة سابقاً. وأكدت الدراسة أن دمج التخطيط الاستراتيجي القائم على البيانات مع حلول الذكاء الاصطناعي يُحسّن الكفاءة والفعالية ويعزّز قدرة المشروعات على تحقيق أهدافها. وأوصت الدراسة بمواءمة الرؤية والرسالة مع مستهدفات رؤية 2030، وتعميم ممارسات التحليل البيئي، واعتماد أدوات الذكاء الاصطناعي في دورات حياة المشروع كافة.</w:t>
      </w:r>
    </w:p>
    <w:p w14:paraId="6AA9AE10"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(أثر استخدام الذكاء الاصطناعي في تحسين أداء المشروع، 2026)</w:t>
      </w:r>
      <w:r w:rsidRPr="00EA59B6">
        <w:rPr>
          <w:rFonts w:ascii="Times New Roman" w:eastAsia="Calibri" w:hAnsi="Times New Roman" w:cs="Simplified Arabic"/>
          <w:sz w:val="24"/>
          <w:szCs w:val="28"/>
          <w:rtl/>
        </w:rPr>
        <w:t xml:space="preserve"> التي أجريت في المملكة العربية السعودية (القطاع الغربي للشركة السعودية للكهرباء)، بعنوان </w:t>
      </w:r>
      <w:r w:rsidRPr="00EA59B6">
        <w:rPr>
          <w:rFonts w:ascii="Times New Roman" w:eastAsia="Calibri" w:hAnsi="Times New Roman" w:cs="Simplified Arabic"/>
          <w:b/>
          <w:bCs/>
          <w:sz w:val="24"/>
          <w:szCs w:val="28"/>
          <w:rtl/>
        </w:rPr>
        <w:t>أثر استخدام الذكاء الاصطناعي في تحسين أداء المشروع،</w:t>
      </w:r>
      <w:r w:rsidRPr="00EA59B6">
        <w:rPr>
          <w:rFonts w:ascii="Times New Roman" w:eastAsia="Calibri" w:hAnsi="Times New Roman" w:cs="Simplified Arabic"/>
          <w:sz w:val="24"/>
          <w:szCs w:val="28"/>
          <w:rtl/>
        </w:rPr>
        <w:t xml:space="preserve"> والتي هدفت إلى استكشاف أثر تكامل أدوات الذكاء الاصطناعي على أداء المشاريع في القطاع الغربي للشركة السعودية للكهرباء، وذلك من خلال تحليل تأثير الذكاء الاصطناعي في أبعاد أداء المشروع المتمثلة في التوقيت، والتكلفة، والجودة. اعتمدت الدراسة المنهج الوصفي التحليلي، وجمعت البيانات باستخدام استبانة إلكترونية وزعت على عينة مكونة من (78) من مديري المشاريع والمهندسين والمختصين، وتم استخدام تحليل الانحدار الخطي لاختبار الفرضيات. أظهرت النتائج وجود أثر إيجابي ذي دلالة إحصائية لتكامل أدوات الذكاء الاصطناعي على أداء المشاريع بشكل عام، كما تبين وجود تأثير معنوي للذكاء الاصطناعي في تحسين توقيت تنفيذ المشاريع، وخفض تكاليفها، ورفع مستوى جودة مخرجاتها. وخلصت الدراسة إلى أهمية تبني تقنيات الذكاء الاصطناعي في إدارة المشاريع.</w:t>
      </w:r>
    </w:p>
    <w:p w14:paraId="0A878371"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tl/>
        </w:rPr>
        <w:t>ثانياً: الدراسات العربية (6 دراسات)</w:t>
      </w:r>
    </w:p>
    <w:p w14:paraId="0BCA418C"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Ben Hassen</w:t>
      </w:r>
      <w:r w:rsidRPr="00EA59B6">
        <w:rPr>
          <w:rFonts w:ascii="Times New Roman" w:eastAsia="Calibri" w:hAnsi="Times New Roman" w:cs="Simplified Arabic"/>
          <w:b/>
          <w:bCs/>
          <w:sz w:val="24"/>
          <w:szCs w:val="28"/>
          <w:rtl/>
        </w:rPr>
        <w:t xml:space="preserve"> وآخرون، 2020)</w:t>
      </w:r>
      <w:r w:rsidRPr="00EA59B6">
        <w:rPr>
          <w:rFonts w:ascii="Times New Roman" w:eastAsia="Calibri" w:hAnsi="Times New Roman" w:cs="Simplified Arabic"/>
          <w:sz w:val="24"/>
          <w:szCs w:val="28"/>
          <w:rtl/>
        </w:rPr>
        <w:t xml:space="preserve"> التي أجريت في دولة قطر، بعنوان </w:t>
      </w:r>
      <w:r w:rsidRPr="00EA59B6">
        <w:rPr>
          <w:rFonts w:ascii="Times New Roman" w:eastAsia="Calibri" w:hAnsi="Times New Roman" w:cs="Simplified Arabic"/>
          <w:b/>
          <w:bCs/>
          <w:sz w:val="24"/>
          <w:szCs w:val="28"/>
        </w:rPr>
        <w:t>Impact of COVID-19 on Food Behavior and Consumption in Qatar</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والتي هدفت إلى تحليل تأثير جائحة كوفيد-19 على السلوك الغذائي وأنماط الاستهلاك في قطر. اتبعت الدراسة المنهج الوصفي التحليلي باستخدام استبيانات إلكترونية شملت عينة من المستهلكين القطريين. وكشفت النتائج أن الجائحة أحدثت تغيرات ملحوظة في العادات الغذائية، بما في ذلك زيادة الوعي بالصحة والتغذية. وأوصت الدراسة بضرورة تعزيز برامج التوعية الغذائية والاستفادة من التحولات السلوكية التي أحدثتها الجائحة.</w:t>
      </w:r>
    </w:p>
    <w:p w14:paraId="694153E0"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lastRenderedPageBreak/>
        <w:t>دراسة (</w:t>
      </w:r>
      <w:proofErr w:type="gramStart"/>
      <w:r w:rsidRPr="00EA59B6">
        <w:rPr>
          <w:rFonts w:ascii="Times New Roman" w:eastAsia="Calibri" w:hAnsi="Times New Roman" w:cs="Simplified Arabic"/>
          <w:b/>
          <w:bCs/>
          <w:sz w:val="24"/>
          <w:szCs w:val="28"/>
          <w:rtl/>
        </w:rPr>
        <w:t>عبدالفتاح</w:t>
      </w:r>
      <w:proofErr w:type="gramEnd"/>
      <w:r w:rsidRPr="00EA59B6">
        <w:rPr>
          <w:rFonts w:ascii="Times New Roman" w:eastAsia="Calibri" w:hAnsi="Times New Roman" w:cs="Simplified Arabic"/>
          <w:b/>
          <w:bCs/>
          <w:sz w:val="24"/>
          <w:szCs w:val="28"/>
          <w:rtl/>
        </w:rPr>
        <w:t>، 2021)</w:t>
      </w:r>
      <w:r w:rsidRPr="00EA59B6">
        <w:rPr>
          <w:rFonts w:ascii="Times New Roman" w:eastAsia="Calibri" w:hAnsi="Times New Roman" w:cs="Simplified Arabic"/>
          <w:sz w:val="24"/>
          <w:szCs w:val="28"/>
          <w:rtl/>
        </w:rPr>
        <w:t xml:space="preserve"> التي أجريت في المملكة الأردنية الهاشمية، بعنوان </w:t>
      </w:r>
      <w:r w:rsidRPr="00EA59B6">
        <w:rPr>
          <w:rFonts w:ascii="Times New Roman" w:eastAsia="Calibri" w:hAnsi="Times New Roman" w:cs="Simplified Arabic"/>
          <w:b/>
          <w:bCs/>
          <w:sz w:val="24"/>
          <w:szCs w:val="28"/>
          <w:rtl/>
        </w:rPr>
        <w:t>أثر استخدام تقنية الذكاء الاصطناعي في تحسين إدارة المشاريع: دراسة حالة شركة المناصير للزيوت والمحروقات،</w:t>
      </w:r>
      <w:r w:rsidRPr="00EA59B6">
        <w:rPr>
          <w:rFonts w:ascii="Times New Roman" w:eastAsia="Calibri" w:hAnsi="Times New Roman" w:cs="Simplified Arabic"/>
          <w:sz w:val="24"/>
          <w:szCs w:val="28"/>
          <w:rtl/>
        </w:rPr>
        <w:t xml:space="preserve"> والتي هدفت إلى دراسة أثر استخدام تقنيات الذكاء الاصطناعي في تحسين إدارة المشاريع في قطاع الطاقة في الأردن. اتبعت الدراسة منهج دراسة الحالة، واعتمدت على تحليل البيانات التي تم جمعها من شركة المناصير للزيوت والمحروقات. أظهرت النتائج أن استخدام تقنيات الذكاء الاصطناعي ساهم في تحسين كفاءة التخطيط وتقليل التكاليف التشغيلية وتعزيز الرقابة على تنفيذ المشاريع. وأوصت الدراسة بضرورة تبني تقنيات الذكاء الاصطناعي في المؤسسات الأردنية، مع التركيز على تدريب الكوادر البشرية.</w:t>
      </w:r>
    </w:p>
    <w:p w14:paraId="0A3BA52D"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El Khatib</w:t>
      </w:r>
      <w:r w:rsidRPr="00EA59B6">
        <w:rPr>
          <w:rFonts w:ascii="Times New Roman" w:eastAsia="Calibri" w:hAnsi="Times New Roman" w:cs="Simplified Arabic"/>
          <w:b/>
          <w:bCs/>
          <w:sz w:val="24"/>
          <w:szCs w:val="28"/>
          <w:rtl/>
        </w:rPr>
        <w:t xml:space="preserve"> وآخرون، 2023)</w:t>
      </w:r>
      <w:r w:rsidRPr="00EA59B6">
        <w:rPr>
          <w:rFonts w:ascii="Times New Roman" w:eastAsia="Calibri" w:hAnsi="Times New Roman" w:cs="Simplified Arabic"/>
          <w:sz w:val="24"/>
          <w:szCs w:val="28"/>
          <w:rtl/>
        </w:rPr>
        <w:t xml:space="preserve"> التي أجريت في دولة الإمارات العربية المتحدة، بعنوان </w:t>
      </w:r>
      <w:r w:rsidRPr="00EA59B6">
        <w:rPr>
          <w:rFonts w:ascii="Times New Roman" w:eastAsia="Calibri" w:hAnsi="Times New Roman" w:cs="Simplified Arabic"/>
          <w:b/>
          <w:bCs/>
          <w:sz w:val="24"/>
          <w:szCs w:val="28"/>
        </w:rPr>
        <w:t>Can Better Capabilities Lead to Better Project and Program Governance? Cases from Dubai</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والتي هدفت إلى تحليل تأثير القدرات التنظيمية في تحسين حوكمة المشاريع والبرامج في دبي، مع التركيز على دور الذكاء الاصطناعي والتقنيات الرقمية. اتبعت الدراسة منهج دراسة الحالة من خلال تحليل نماذج من مؤسسات حكومية وخاصة في دبي. أظهرت النتائج أن تحسين القدرات التنظيمية، بما في ذلك تبني الذكاء الاصطناعي، يسهم في تعزيز فعالية حوكمة المشاريع والبرامج، ويُحسن الأداء العام للمشاريع. وأوصت الدراسة بتطوير القدرات المؤسسية والاستثمار في التقنيات الرقمية لتعزيز حوكمة المشاريع.</w:t>
      </w:r>
    </w:p>
    <w:p w14:paraId="2D3C58EF"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Alhasan</w:t>
      </w:r>
      <w:r w:rsidRPr="00EA59B6">
        <w:rPr>
          <w:rFonts w:ascii="Times New Roman" w:eastAsia="Calibri" w:hAnsi="Times New Roman" w:cs="Simplified Arabic"/>
          <w:b/>
          <w:bCs/>
          <w:sz w:val="24"/>
          <w:szCs w:val="28"/>
          <w:rtl/>
        </w:rPr>
        <w:t xml:space="preserve"> وآخرون، 2024)</w:t>
      </w:r>
      <w:r w:rsidRPr="00EA59B6">
        <w:rPr>
          <w:rFonts w:ascii="Times New Roman" w:eastAsia="Calibri" w:hAnsi="Times New Roman" w:cs="Simplified Arabic"/>
          <w:sz w:val="24"/>
          <w:szCs w:val="28"/>
          <w:rtl/>
        </w:rPr>
        <w:t xml:space="preserve"> التي أجريت في المملكة العربية السعودية (ضمن السياق العربي)، بعنوان </w:t>
      </w:r>
      <w:r w:rsidRPr="00EA59B6">
        <w:rPr>
          <w:rFonts w:ascii="Times New Roman" w:eastAsia="Calibri" w:hAnsi="Times New Roman" w:cs="Simplified Arabic"/>
          <w:b/>
          <w:bCs/>
          <w:sz w:val="24"/>
          <w:szCs w:val="28"/>
          <w:rtl/>
        </w:rPr>
        <w:t>تقييم أثر الذكاء الاصطناعي في إدارة المشاريع الهندسية الإنشائية،</w:t>
      </w:r>
      <w:r w:rsidRPr="00EA59B6">
        <w:rPr>
          <w:rFonts w:ascii="Times New Roman" w:eastAsia="Calibri" w:hAnsi="Times New Roman" w:cs="Simplified Arabic"/>
          <w:sz w:val="24"/>
          <w:szCs w:val="28"/>
          <w:rtl/>
        </w:rPr>
        <w:t xml:space="preserve"> والتي هدفت إلى تقييم أثر تطبيقات الذكاء الاصطناعي في تحسين إدارة المشاريع الهندسية الإنشائية، من خلال تحليل تأثيرها في كفاءة التخطيط والتنفيذ والرقابة. اتبعت الدراسة المنهج الوصفي التحليلي، وتم جمع البيانات باستخدام استبانة وزعت على عينة من المهندسين ومديري المشاريع في قطاع الإنشاءات. أظهرت النتائج أن استخدام تقنيات الذكاء الاصطناعي يسهم في تحسين دقة التخطيط وتقليل الانحرافات في الجداول الزمنية والتكاليف، ويعزز الرقابة على جودة المخرجات. وأوصت الدراسة بضرورة تبني تقنيات الذكاء الاصطناعي في المشاريع الهندسية مع توفير التدريب المناسب للكوادر البشرية.</w:t>
      </w:r>
    </w:p>
    <w:p w14:paraId="7F2C9B64"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lastRenderedPageBreak/>
        <w:t>دراسة (بلعيد، 2025)</w:t>
      </w:r>
      <w:r w:rsidRPr="00EA59B6">
        <w:rPr>
          <w:rFonts w:ascii="Times New Roman" w:eastAsia="Calibri" w:hAnsi="Times New Roman" w:cs="Simplified Arabic"/>
          <w:sz w:val="24"/>
          <w:szCs w:val="28"/>
          <w:rtl/>
        </w:rPr>
        <w:t xml:space="preserve"> التي أجريت في ليبيا، بعنوان </w:t>
      </w:r>
      <w:r w:rsidRPr="00EA59B6">
        <w:rPr>
          <w:rFonts w:ascii="Times New Roman" w:eastAsia="Calibri" w:hAnsi="Times New Roman" w:cs="Simplified Arabic"/>
          <w:b/>
          <w:bCs/>
          <w:sz w:val="24"/>
          <w:szCs w:val="28"/>
          <w:rtl/>
        </w:rPr>
        <w:t>نحو إطار ذكي لاتخاذ القرار في إدارة المشاريع الهندسية باستخدام الذكاء الاصطناعي،</w:t>
      </w:r>
      <w:r w:rsidRPr="00EA59B6">
        <w:rPr>
          <w:rFonts w:ascii="Times New Roman" w:eastAsia="Calibri" w:hAnsi="Times New Roman" w:cs="Simplified Arabic"/>
          <w:sz w:val="24"/>
          <w:szCs w:val="28"/>
          <w:rtl/>
        </w:rPr>
        <w:t xml:space="preserve"> والتي هدفت إلى تطوير إطار عمل ذكي لدعم عملية اتخاذ القرار في إدارة المشاريع الهندسية من خلال دمج تقنيات الذكاء الاصطناعي. اعتمدت الدراسة على المنهج المختلط، حيث جمعت بين المراجعة النظرية والدراسة الميدانية التي شملت عينة من المهندسين ومديري المشاريع في ليبيا. أظهرت النتائج أن دمج تقنيات الذكاء الاصطناعي في عمليات اتخاذ القرار يُحسن دقة التقديرات ويُسرع الاستجابة للمتغيرات. وأوصت الدراسة بتطوير أنظمة ذكاء اصطناعي مخصصة لدعم القرار في المشاريع الهندسية.</w:t>
      </w:r>
    </w:p>
    <w:p w14:paraId="6D5251F9"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(أثر الذكاء الاصطناعي في إدارة المشاريع الصحية، 2024)</w:t>
      </w:r>
      <w:r w:rsidRPr="00EA59B6">
        <w:rPr>
          <w:rFonts w:ascii="Times New Roman" w:eastAsia="Calibri" w:hAnsi="Times New Roman" w:cs="Simplified Arabic"/>
          <w:sz w:val="24"/>
          <w:szCs w:val="28"/>
          <w:rtl/>
        </w:rPr>
        <w:t xml:space="preserve"> التي أجريت في المملكة العربية السعودية، بعنوان </w:t>
      </w:r>
      <w:r w:rsidRPr="00EA59B6">
        <w:rPr>
          <w:rFonts w:ascii="Times New Roman" w:eastAsia="Calibri" w:hAnsi="Times New Roman" w:cs="Simplified Arabic"/>
          <w:b/>
          <w:bCs/>
          <w:sz w:val="24"/>
          <w:szCs w:val="28"/>
          <w:rtl/>
        </w:rPr>
        <w:t>أثر الذكاء الاصطناعي في إدارة المشاريع الصحية: دراسة تطبيقية على وزارة الصحة بالمملكة العربية السعودية،</w:t>
      </w:r>
      <w:r w:rsidRPr="00EA59B6">
        <w:rPr>
          <w:rFonts w:ascii="Times New Roman" w:eastAsia="Calibri" w:hAnsi="Times New Roman" w:cs="Simplified Arabic"/>
          <w:sz w:val="24"/>
          <w:szCs w:val="28"/>
          <w:rtl/>
        </w:rPr>
        <w:t xml:space="preserve"> والتي هدفت إلى قياس أثر استخدام تقنيات الذكاء الاصطناعي في تحسين إدارة المشاريع الصحية في وزارة الصحة السعودية. اتبعت الدراسة المنهج الوصفي التحليلي، وتم جمع البيانات باستخدام استبانة وزعت على عينة من العاملين في إدارات المشاريع الصحية. أظهرت النتائج أن استخدام تقنيات الذكاء الاصطناعي يسهم في تحسين كفاءة التخطيط والتنفيذ والرقابة على المشاريع الصحية، كما يُساعد في تقليل الأخطاء وتحسين جودة الخدمات الصحية. وأوصت الدراسة بتوسيع نطاق استخدام الذكاء الاصطناعي في المشاريع الصحية وتوفير التدريب اللازم للكوادر.</w:t>
      </w:r>
    </w:p>
    <w:p w14:paraId="0A1FA709"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tl/>
        </w:rPr>
        <w:t>ثالثاً: الدراسات الأجنبية (8 دراسات)</w:t>
      </w:r>
    </w:p>
    <w:p w14:paraId="7B57B532"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 xml:space="preserve">Davenport &amp; </w:t>
      </w:r>
      <w:proofErr w:type="spellStart"/>
      <w:r w:rsidRPr="00EA59B6">
        <w:rPr>
          <w:rFonts w:ascii="Times New Roman" w:eastAsia="Calibri" w:hAnsi="Times New Roman" w:cs="Simplified Arabic"/>
          <w:b/>
          <w:bCs/>
          <w:sz w:val="24"/>
          <w:szCs w:val="28"/>
        </w:rPr>
        <w:t>Ronanki</w:t>
      </w:r>
      <w:proofErr w:type="spellEnd"/>
      <w:r w:rsidRPr="00EA59B6">
        <w:rPr>
          <w:rFonts w:ascii="Times New Roman" w:eastAsia="Calibri" w:hAnsi="Times New Roman" w:cs="Simplified Arabic"/>
          <w:b/>
          <w:bCs/>
          <w:sz w:val="24"/>
          <w:szCs w:val="28"/>
        </w:rPr>
        <w:t>, 2018</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التي أجريت في الولايات المتحدة، بعنوان </w:t>
      </w:r>
      <w:r w:rsidRPr="00EA59B6">
        <w:rPr>
          <w:rFonts w:ascii="Times New Roman" w:eastAsia="Calibri" w:hAnsi="Times New Roman" w:cs="Simplified Arabic"/>
          <w:b/>
          <w:bCs/>
          <w:sz w:val="24"/>
          <w:szCs w:val="28"/>
        </w:rPr>
        <w:t>Artificial Intelligence for the Real World</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والتي هدفت إلى تحليل التطبيقات العملية للذكاء الاصطناعي في مختلف المجالات الإدارية، ومن بينها إدارة المشاريع. اعتمدت الدراسة على تحليل حالات دراسية من (152) مشروعاً معرفياً، واستطلاع آراء (250) من المديرين التنفيذيين. أكدت الدراسة أن الذكاء الاصطناعي يساعد المؤسسات على تحسين كفاءة العمليات الإدارية من خلال تحليل البيانات الضخمة ودعم عمليات اتخاذ القرار، كما أشارت إلى أن استخدام الخوارزميات التنبؤية يمكن أن يُحسن دقة تقدير التكاليف والجداول الزمنية. أوصت الدراسة بتبني استراتيجيات </w:t>
      </w:r>
      <w:r w:rsidRPr="00EA59B6">
        <w:rPr>
          <w:rFonts w:ascii="Times New Roman" w:eastAsia="Calibri" w:hAnsi="Times New Roman" w:cs="Simplified Arabic"/>
          <w:sz w:val="24"/>
          <w:szCs w:val="28"/>
          <w:rtl/>
        </w:rPr>
        <w:lastRenderedPageBreak/>
        <w:t>تدريجية لتطبيق الذكاء الاصطناعي، والاستثمار في تدريب الكوادر، وبناء ثقافة تنظيمية داعمة للابتكار.</w:t>
      </w:r>
    </w:p>
    <w:p w14:paraId="6ECF3074"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Noel, 2019</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التي أجريت في كندا، بعنوان </w:t>
      </w:r>
      <w:r w:rsidRPr="00EA59B6">
        <w:rPr>
          <w:rFonts w:ascii="Times New Roman" w:eastAsia="Calibri" w:hAnsi="Times New Roman" w:cs="Simplified Arabic"/>
          <w:b/>
          <w:bCs/>
          <w:sz w:val="24"/>
          <w:szCs w:val="28"/>
        </w:rPr>
        <w:t>Artificial Intelligence and Project Management</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والتي هدفت إلى تحليل العلاقة بين التحول الرقمي وإدارة المشاريع، مع التركيز على دور الذكاء الاصطناعي في تطوير الأدوات المستخدمة في إدارة المشاريع. اعتمدت الدراسة على المنهج التحليلي من خلال مراجعة الأدبيات وتحليل تطبيقات الذكاء الاصطناعي في إدارة المشاريع. أظهرت نتائج الدراسة أن استخدام تقنيات الذكاء الاصطناعي يساعد في أتمتة العديد من العمليات الإدارية داخل المشاريع، مثل: تحليل المخاطر وإعداد التقارير ومتابعة تقدم العمل. وأشارت إلى أن الذكاء الاصطناعي يُحسن كفاءة العمليات ويُقلل الأخطاء البشرية. أوصت الدراسة بتبني الذكاء الاصطناعي كأداة استراتيجية في إدارة المشاريع، والاستثمار في تطوير البنية التحتية الرقمية.</w:t>
      </w:r>
    </w:p>
    <w:p w14:paraId="1D82C48F"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Bock &amp; Wiener, 2020</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التي أجريت في النمسا وألمانيا، بعنوان </w:t>
      </w:r>
      <w:r w:rsidRPr="00EA59B6">
        <w:rPr>
          <w:rFonts w:ascii="Times New Roman" w:eastAsia="Calibri" w:hAnsi="Times New Roman" w:cs="Simplified Arabic"/>
          <w:b/>
          <w:bCs/>
          <w:sz w:val="24"/>
          <w:szCs w:val="28"/>
        </w:rPr>
        <w:t>Towards a Taxonomy of Digital Project Management Tools</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والتي هدفت إلى تقديم تصنيف منهجي لأدوات إدارة المشاريع الرقمية، بما فيها أدوات الذكاء الاصطناعي. اتبعت الدراسة منهج المراجعة المنهجية للأدبيات وتحليل (150) أداة رقمية لإدارة المشاريع. أظهرت النتائج أن الأدوات الرقمية المتقدمة، ومن بينها الذكاء الاصطناعي، يمكن أن تسهم في تجاوز تحديات إدارة المشاريع التقليدية من خلال توفير تحليلات دقيقة وتنبؤات موثوقة، وأن تبني هذه الأدوات يرتبط بتحسن في كفاءة التخطيط والرقابة. أوصت الدراسة بتطوير معايير موحدة لتصنيف وتقييم أدوات إدارة المشاريع الرقمية، وتوجيه المؤسسات نحو اختيار الأدوات المناسبة لسياقها.</w:t>
      </w:r>
    </w:p>
    <w:p w14:paraId="3CBB6383"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Marnewick &amp; Marnewick, 2020</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التي أجريت في جنوب أفريقيا، بعنوان </w:t>
      </w:r>
      <w:r w:rsidRPr="00EA59B6">
        <w:rPr>
          <w:rFonts w:ascii="Times New Roman" w:eastAsia="Calibri" w:hAnsi="Times New Roman" w:cs="Simplified Arabic"/>
          <w:b/>
          <w:bCs/>
          <w:sz w:val="24"/>
          <w:szCs w:val="28"/>
        </w:rPr>
        <w:t>The Demands of Industry 4.0 on Project Teams</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والتي هدفت إلى تحليل متطلبات الثورة الصناعية الرابعة على فرق المشاريع، مع التركيز على الكفاءات التي يجب أن يمتلكها أعضاء الفريق لمواكبة هذه التحولات. اتبعت الدراسة منهجاً تحليلياً لاستكشاف تأثير الثورة الصناعية الرابعة على إدارة المشاريع. أشارت النتائج إلى أن بيئات العمل في الثورة الصناعية الرابعة ستكون ديناميكية ومعقدة، وأن فرق المشاريع ستحتاج إلى مزيج من المهارات التقنية والبشرية للتعامل مع هذه التحديات. </w:t>
      </w:r>
      <w:r w:rsidRPr="00EA59B6">
        <w:rPr>
          <w:rFonts w:ascii="Times New Roman" w:eastAsia="Calibri" w:hAnsi="Times New Roman" w:cs="Simplified Arabic"/>
          <w:sz w:val="24"/>
          <w:szCs w:val="28"/>
          <w:rtl/>
        </w:rPr>
        <w:lastRenderedPageBreak/>
        <w:t>كما أكدت أن القيادة الخادمة (</w:t>
      </w:r>
      <w:r w:rsidRPr="00EA59B6">
        <w:rPr>
          <w:rFonts w:ascii="Times New Roman" w:eastAsia="Calibri" w:hAnsi="Times New Roman" w:cs="Simplified Arabic"/>
          <w:sz w:val="24"/>
          <w:szCs w:val="28"/>
        </w:rPr>
        <w:t>Servant Leadership</w:t>
      </w:r>
      <w:r w:rsidRPr="00EA59B6">
        <w:rPr>
          <w:rFonts w:ascii="Times New Roman" w:eastAsia="Calibri" w:hAnsi="Times New Roman" w:cs="Simplified Arabic"/>
          <w:sz w:val="24"/>
          <w:szCs w:val="28"/>
          <w:rtl/>
        </w:rPr>
        <w:t>) هي الأسلوب القيادي الأكثر ملاءمة لإدارة الفرق في هذا السياق.</w:t>
      </w:r>
    </w:p>
    <w:p w14:paraId="7BE56FF4"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The Role of Artificial Intelligence in Project Performance in Construction Companies in Palestine, 2022</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التي أجريت في فلسطين، بعنوان </w:t>
      </w:r>
      <w:r w:rsidRPr="00EA59B6">
        <w:rPr>
          <w:rFonts w:ascii="Times New Roman" w:eastAsia="Calibri" w:hAnsi="Times New Roman" w:cs="Simplified Arabic"/>
          <w:b/>
          <w:bCs/>
          <w:sz w:val="24"/>
          <w:szCs w:val="28"/>
        </w:rPr>
        <w:t>The Role of Artificial Intelligence in Project Performance in Construction Companies in Palestine</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والتي هدفت إلى استكشاف دور الذكاء الاصطناعي في أداء المشاريع في شركات المقاولات الفلسطينية. اتبعت الدراسة المنهج الوصفي التحليلي باستخدام نظرية إدارة المعرفة، وبلغت عينة الدراسة (183) مكتباً هندسياً. أظهرت النتائج وجود علاقة إيجابية بين استخدام الذكاء الاصطناعي وأداء المشاريع في قطاع المقاولات الفلسطيني. وأوصت الدراسة بضرورة تعزيز استخدام تقنيات الذكاء الاصطناعي في شركات المقاولات لتحسين أداء مشاريعها.</w:t>
      </w:r>
    </w:p>
    <w:p w14:paraId="2C04DBE7"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Sahadevan, 2023</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التي أجريت في الهند، بعنوان </w:t>
      </w:r>
      <w:r w:rsidRPr="00EA59B6">
        <w:rPr>
          <w:rFonts w:ascii="Times New Roman" w:eastAsia="Calibri" w:hAnsi="Times New Roman" w:cs="Simplified Arabic"/>
          <w:b/>
          <w:bCs/>
          <w:sz w:val="24"/>
          <w:szCs w:val="28"/>
        </w:rPr>
        <w:t>Project Management in the Era of Artificial Intelligence</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والتي هدفت إلى تحليل كيفية إحداث الذكاء الاصطناعي تحولاً جوهرياً في ممارسات إدارة المشاريع. اتبعت الدراسة المنهج التحليلي من خلال مراجعة الأدبيات العلمية وتحليل نماذج تطبيقية من مؤسسات رائدة. أظهرت النتائج أن الذكاء الاصطناعي يُحدث تحولاً جوهرياً في ممارسات إدارة المشاريع، من خلال أتمتة المهام الروتينية وتوفير رؤى تحليلية متقدمة تعزز كفاءة الفرق، كما يسهم في تحسين القدرة على التنبؤ بالمخاطر المحتملة التي قد تواجه المشاريع. أوصت الدراسة بتبني استراتيجيات متكاملة لتطبيق الذكاء الاصطناعي في إدارة المشاريع، والتركيز على تطوير المهارات الرقمية للكوادر.</w:t>
      </w:r>
    </w:p>
    <w:p w14:paraId="5174F4EC"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PMI, 2023</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الصادرة عن معهد إدارة المشاريع (</w:t>
      </w:r>
      <w:r w:rsidRPr="00EA59B6">
        <w:rPr>
          <w:rFonts w:ascii="Times New Roman" w:eastAsia="Calibri" w:hAnsi="Times New Roman" w:cs="Simplified Arabic"/>
          <w:sz w:val="24"/>
          <w:szCs w:val="28"/>
        </w:rPr>
        <w:t>PMI</w:t>
      </w:r>
      <w:r w:rsidRPr="00EA59B6">
        <w:rPr>
          <w:rFonts w:ascii="Times New Roman" w:eastAsia="Calibri" w:hAnsi="Times New Roman" w:cs="Simplified Arabic"/>
          <w:sz w:val="24"/>
          <w:szCs w:val="28"/>
          <w:rtl/>
        </w:rPr>
        <w:t xml:space="preserve">) في الولايات المتحدة، بعنوان </w:t>
      </w:r>
      <w:r w:rsidRPr="00EA59B6">
        <w:rPr>
          <w:rFonts w:ascii="Times New Roman" w:eastAsia="Calibri" w:hAnsi="Times New Roman" w:cs="Simplified Arabic"/>
          <w:b/>
          <w:bCs/>
          <w:sz w:val="24"/>
          <w:szCs w:val="28"/>
        </w:rPr>
        <w:t>Pulse of the Profession Report</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والتي هدفت إلى تقديم تحليل شامل لواقع ممارسات إدارة المشاريع حول العالم، مع التركيز على دور التقنيات الرقمية والذكاء الاصطناعي. اعتمد التقرير على مسح شامل شمل آلاف من مديري المشاريع في مختلف القطاعات والمناطق الجغرافية. أشار التقرير إلى أن المنظمات التي تتبنى التقنيات الرقمية، ومن بينها الذكاء الاصطناعي، تحقق معدلات نجاح أعلى في مشاريعها، مع تحسن ملحوظ في الالتزام بالجداول الزمنية والميزانيات. كما أظهر أن ما يقارب (50%) من المشاريع حول العالم تعاني من تجاوزات في الجداول الزمنية أو التكاليف، </w:t>
      </w:r>
      <w:r w:rsidRPr="00EA59B6">
        <w:rPr>
          <w:rFonts w:ascii="Times New Roman" w:eastAsia="Calibri" w:hAnsi="Times New Roman" w:cs="Simplified Arabic"/>
          <w:sz w:val="24"/>
          <w:szCs w:val="28"/>
          <w:rtl/>
        </w:rPr>
        <w:lastRenderedPageBreak/>
        <w:t>وأن تبني الذكاء الاصطناعي يمكن أن يخفض التكاليف ويُحسن الالتزام بالجداول الزمنية. أوصى التقرير بضرورة تبني التقنيات الرقمية بشكل استراتيجي، وتطوير مهارات القوى العاملة، وتعزيز ثقافة الابتكار في المؤسسات.</w:t>
      </w:r>
    </w:p>
    <w:p w14:paraId="0EE4F0EE"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دراسة (</w:t>
      </w:r>
      <w:r w:rsidRPr="00EA59B6">
        <w:rPr>
          <w:rFonts w:ascii="Times New Roman" w:eastAsia="Calibri" w:hAnsi="Times New Roman" w:cs="Simplified Arabic"/>
          <w:b/>
          <w:bCs/>
          <w:sz w:val="24"/>
          <w:szCs w:val="28"/>
        </w:rPr>
        <w:t>Taboada</w:t>
      </w:r>
      <w:r w:rsidRPr="00EA59B6">
        <w:rPr>
          <w:rFonts w:ascii="Times New Roman" w:eastAsia="Calibri" w:hAnsi="Times New Roman" w:cs="Simplified Arabic"/>
          <w:b/>
          <w:bCs/>
          <w:sz w:val="24"/>
          <w:szCs w:val="28"/>
          <w:rtl/>
        </w:rPr>
        <w:t xml:space="preserve"> وآخرون، 2023)</w:t>
      </w:r>
      <w:r w:rsidRPr="00EA59B6">
        <w:rPr>
          <w:rFonts w:ascii="Times New Roman" w:eastAsia="Calibri" w:hAnsi="Times New Roman" w:cs="Simplified Arabic"/>
          <w:sz w:val="24"/>
          <w:szCs w:val="28"/>
          <w:rtl/>
        </w:rPr>
        <w:t xml:space="preserve"> التي أجريت في إسبانيا، بعنوان </w:t>
      </w:r>
      <w:r w:rsidRPr="00EA59B6">
        <w:rPr>
          <w:rFonts w:ascii="Times New Roman" w:eastAsia="Calibri" w:hAnsi="Times New Roman" w:cs="Simplified Arabic"/>
          <w:b/>
          <w:bCs/>
          <w:sz w:val="24"/>
          <w:szCs w:val="28"/>
        </w:rPr>
        <w:t>Artificial Intelligence Enabled Project Management: A Systematic Literature Review</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xml:space="preserve"> والتي هدفت إلى استكشاف دور الذكاء الاصطناعي في إدارة المشاريع من خلال مراجعة منهجية للأدبيات العلمية. اعتمدت الدراسة على تحليل (60) دراسة علمية منشورة في قواعد البيانات العالمية. أظهرت النتائج أن الذكاء الاصطناعي، وخاصة التعلم الآلي، يمكن أن يكون مفيداً بشكل كبير في تعزيز مجالات أداء التخطيط والقياس وعدم اليقين، من خلال توفير قدرات واعدة في التنبؤ واتخاذ القرار. كما أشارت النتائج إلى أن تطبيقات الذكاء الاصطناعي لا تزال في مراحل مبكرة نسبياً في مجالات تحسين الجدولة الزمنية وإدارة الموارد، وأن تبنيها يتطلب استثماراً في البنية التحتية والتدريب.</w:t>
      </w:r>
    </w:p>
    <w:p w14:paraId="7FFBA336"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tl/>
        </w:rPr>
        <w:t>رابعاً: تعقيب تحليلي عام على الدراسات السابقة</w:t>
      </w:r>
    </w:p>
    <w:p w14:paraId="73B15D21"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استناداً إلى ملخصات كافة الدراسات السابقة (المحلية والعربية والأجنبية) التي تم استعراضها (18 دراسة)، يمكن تقديم التعقيب التحليلي الآتي:</w:t>
      </w:r>
    </w:p>
    <w:p w14:paraId="764EA768"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b/>
          <w:bCs/>
          <w:sz w:val="24"/>
          <w:szCs w:val="28"/>
        </w:rPr>
        <w:t>1</w:t>
      </w:r>
      <w:r w:rsidRPr="00EA59B6">
        <w:rPr>
          <w:rFonts w:ascii="Times New Roman" w:eastAsia="Calibri" w:hAnsi="Times New Roman" w:cs="Simplified Arabic"/>
          <w:b/>
          <w:bCs/>
          <w:sz w:val="24"/>
          <w:szCs w:val="28"/>
          <w:rtl/>
        </w:rPr>
        <w:t>. اتساق الدراسة الحالية مع الدراسات السابقة:</w:t>
      </w:r>
    </w:p>
    <w:p w14:paraId="42793AB1"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تتسق الدراسة الحالية مع الاتجاه العام للأبحاث السابقة في التركيز على العلاقة بين استخدام الذكاء الاصطناعي وتحسين كفاءة أداء المشاريع، حيث أجمعت معظم الدراسات المحلية (الشهري وآخرون، 2023؛ الحسن والعوضي، 2024؛ حمزة، 2025؛ دراسة الكهرباء، 2026)، والعربية (</w:t>
      </w:r>
      <w:proofErr w:type="gramStart"/>
      <w:r w:rsidRPr="00EA59B6">
        <w:rPr>
          <w:rFonts w:ascii="Times New Roman" w:eastAsia="Calibri" w:hAnsi="Times New Roman" w:cs="Simplified Arabic"/>
          <w:sz w:val="24"/>
          <w:szCs w:val="28"/>
          <w:rtl/>
        </w:rPr>
        <w:t>عبدالفتاح</w:t>
      </w:r>
      <w:proofErr w:type="gramEnd"/>
      <w:r w:rsidRPr="00EA59B6">
        <w:rPr>
          <w:rFonts w:ascii="Times New Roman" w:eastAsia="Calibri" w:hAnsi="Times New Roman" w:cs="Simplified Arabic"/>
          <w:sz w:val="24"/>
          <w:szCs w:val="28"/>
          <w:rtl/>
        </w:rPr>
        <w:t xml:space="preserve">، 2021؛ </w:t>
      </w:r>
      <w:r w:rsidRPr="00EA59B6">
        <w:rPr>
          <w:rFonts w:ascii="Times New Roman" w:eastAsia="Calibri" w:hAnsi="Times New Roman" w:cs="Simplified Arabic"/>
          <w:sz w:val="24"/>
          <w:szCs w:val="28"/>
        </w:rPr>
        <w:t>El Khatib</w:t>
      </w:r>
      <w:r w:rsidRPr="00EA59B6">
        <w:rPr>
          <w:rFonts w:ascii="Times New Roman" w:eastAsia="Calibri" w:hAnsi="Times New Roman" w:cs="Simplified Arabic"/>
          <w:sz w:val="24"/>
          <w:szCs w:val="28"/>
          <w:rtl/>
        </w:rPr>
        <w:t xml:space="preserve"> وآخرون، 2023؛ بلعيد، 2025)، والأجنبية (</w:t>
      </w:r>
      <w:r w:rsidRPr="00EA59B6">
        <w:rPr>
          <w:rFonts w:ascii="Times New Roman" w:eastAsia="Calibri" w:hAnsi="Times New Roman" w:cs="Simplified Arabic"/>
          <w:sz w:val="24"/>
          <w:szCs w:val="28"/>
        </w:rPr>
        <w:t>Taboada</w:t>
      </w:r>
      <w:r w:rsidRPr="00EA59B6">
        <w:rPr>
          <w:rFonts w:ascii="Times New Roman" w:eastAsia="Calibri" w:hAnsi="Times New Roman" w:cs="Simplified Arabic"/>
          <w:sz w:val="24"/>
          <w:szCs w:val="28"/>
          <w:rtl/>
        </w:rPr>
        <w:t xml:space="preserve"> وآخرون، 2023</w:t>
      </w:r>
      <w:r w:rsidRPr="00EA59B6">
        <w:rPr>
          <w:rFonts w:ascii="Times New Roman" w:eastAsia="Calibri" w:hAnsi="Times New Roman" w:cs="Simplified Arabic"/>
          <w:sz w:val="24"/>
          <w:szCs w:val="28"/>
        </w:rPr>
        <w:t>; Sahadevan, 2023; Omar</w:t>
      </w:r>
      <w:r w:rsidRPr="00EA59B6">
        <w:rPr>
          <w:rFonts w:ascii="Times New Roman" w:eastAsia="Calibri" w:hAnsi="Times New Roman" w:cs="Simplified Arabic"/>
          <w:sz w:val="24"/>
          <w:szCs w:val="28"/>
          <w:rtl/>
        </w:rPr>
        <w:t xml:space="preserve"> وآخرون، 2025</w:t>
      </w:r>
      <w:r w:rsidRPr="00EA59B6">
        <w:rPr>
          <w:rFonts w:ascii="Times New Roman" w:eastAsia="Calibri" w:hAnsi="Times New Roman" w:cs="Simplified Arabic"/>
          <w:sz w:val="24"/>
          <w:szCs w:val="28"/>
        </w:rPr>
        <w:t>; PMI, 2023</w:t>
      </w:r>
      <w:r w:rsidRPr="00EA59B6">
        <w:rPr>
          <w:rFonts w:ascii="Times New Roman" w:eastAsia="Calibri" w:hAnsi="Times New Roman" w:cs="Simplified Arabic"/>
          <w:sz w:val="24"/>
          <w:szCs w:val="28"/>
          <w:rtl/>
        </w:rPr>
        <w:t>) على وجود تأثير إيجابي لاستخدام الذكاء الاصطناعي في مؤشرات الأداء المختلفة. كما تتسق الدراسة في اعتمادها على المنهج الكمي والاستبانة كأداة رئيسة لجمع البيانات، وهو النهج السائد في الأبحاث الميدانية في هذا المجال.</w:t>
      </w:r>
    </w:p>
    <w:p w14:paraId="3FCD6028"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b/>
          <w:bCs/>
          <w:sz w:val="24"/>
          <w:szCs w:val="28"/>
        </w:rPr>
        <w:lastRenderedPageBreak/>
        <w:t>2</w:t>
      </w:r>
      <w:r w:rsidRPr="00EA59B6">
        <w:rPr>
          <w:rFonts w:ascii="Times New Roman" w:eastAsia="Calibri" w:hAnsi="Times New Roman" w:cs="Simplified Arabic"/>
          <w:b/>
          <w:bCs/>
          <w:sz w:val="24"/>
          <w:szCs w:val="28"/>
          <w:rtl/>
        </w:rPr>
        <w:t>. جوانب اتفاق الدراسة الحالية مع الدراسات السابقة:</w:t>
      </w:r>
    </w:p>
    <w:p w14:paraId="44EEBFCA"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تتفق الدراسة الحالية مع الدراسات السابقة في عدة جوانب جوهرية. أولها، التأكيد على أن استخدام الذكاء الاصطناعي يُحسن كفاءة التخطيط والتنفيذ والرقابة على المشاريع، وهو ما أظهرته دراسة (</w:t>
      </w:r>
      <w:r w:rsidRPr="00EA59B6">
        <w:rPr>
          <w:rFonts w:ascii="Times New Roman" w:eastAsia="Calibri" w:hAnsi="Times New Roman" w:cs="Simplified Arabic"/>
          <w:sz w:val="24"/>
          <w:szCs w:val="28"/>
        </w:rPr>
        <w:t>Taboada</w:t>
      </w:r>
      <w:r w:rsidRPr="00EA59B6">
        <w:rPr>
          <w:rFonts w:ascii="Times New Roman" w:eastAsia="Calibri" w:hAnsi="Times New Roman" w:cs="Simplified Arabic"/>
          <w:sz w:val="24"/>
          <w:szCs w:val="28"/>
          <w:rtl/>
        </w:rPr>
        <w:t xml:space="preserve"> وآخرون، 2023)، ودراسة (</w:t>
      </w:r>
      <w:r w:rsidRPr="00EA59B6">
        <w:rPr>
          <w:rFonts w:ascii="Times New Roman" w:eastAsia="Calibri" w:hAnsi="Times New Roman" w:cs="Simplified Arabic"/>
          <w:sz w:val="24"/>
          <w:szCs w:val="28"/>
        </w:rPr>
        <w:t>Sahadevan, 2023</w:t>
      </w:r>
      <w:r w:rsidRPr="00EA59B6">
        <w:rPr>
          <w:rFonts w:ascii="Times New Roman" w:eastAsia="Calibri" w:hAnsi="Times New Roman" w:cs="Simplified Arabic"/>
          <w:sz w:val="24"/>
          <w:szCs w:val="28"/>
          <w:rtl/>
        </w:rPr>
        <w:t>)، ودراسة (أثر استخدام الذكاء الاصطناعي، 2026). ثانيها، الإقرار بأن الذكاء الاصطناعي يُعزز القدرة على التنبؤ بالمخاطر وتقليل تأثيرها، وهو ما أبرزته دراسة (حمزة، 2025)، ودراسة (</w:t>
      </w:r>
      <w:r w:rsidRPr="00EA59B6">
        <w:rPr>
          <w:rFonts w:ascii="Times New Roman" w:eastAsia="Calibri" w:hAnsi="Times New Roman" w:cs="Simplified Arabic"/>
          <w:sz w:val="24"/>
          <w:szCs w:val="28"/>
        </w:rPr>
        <w:t>Omar</w:t>
      </w:r>
      <w:r w:rsidRPr="00EA59B6">
        <w:rPr>
          <w:rFonts w:ascii="Times New Roman" w:eastAsia="Calibri" w:hAnsi="Times New Roman" w:cs="Simplified Arabic"/>
          <w:sz w:val="24"/>
          <w:szCs w:val="28"/>
          <w:rtl/>
        </w:rPr>
        <w:t xml:space="preserve"> وآخرون، 2025). ثالثها، الاتفاق على أن الذكاء الاصطناعي يُحسن دقة التقديرات الزمنية </w:t>
      </w:r>
      <w:proofErr w:type="spellStart"/>
      <w:r w:rsidRPr="00EA59B6">
        <w:rPr>
          <w:rFonts w:ascii="Times New Roman" w:eastAsia="Calibri" w:hAnsi="Times New Roman" w:cs="Simplified Arabic"/>
          <w:sz w:val="24"/>
          <w:szCs w:val="28"/>
          <w:rtl/>
        </w:rPr>
        <w:t>والتكلفية</w:t>
      </w:r>
      <w:proofErr w:type="spellEnd"/>
      <w:r w:rsidRPr="00EA59B6">
        <w:rPr>
          <w:rFonts w:ascii="Times New Roman" w:eastAsia="Calibri" w:hAnsi="Times New Roman" w:cs="Simplified Arabic"/>
          <w:sz w:val="24"/>
          <w:szCs w:val="28"/>
          <w:rtl/>
        </w:rPr>
        <w:t xml:space="preserve"> للمشاريع، وهو ما أظهرته دراسة (</w:t>
      </w:r>
      <w:r w:rsidRPr="00EA59B6">
        <w:rPr>
          <w:rFonts w:ascii="Times New Roman" w:eastAsia="Calibri" w:hAnsi="Times New Roman" w:cs="Simplified Arabic"/>
          <w:sz w:val="24"/>
          <w:szCs w:val="28"/>
        </w:rPr>
        <w:t>PMI, 2023</w:t>
      </w:r>
      <w:r w:rsidRPr="00EA59B6">
        <w:rPr>
          <w:rFonts w:ascii="Times New Roman" w:eastAsia="Calibri" w:hAnsi="Times New Roman" w:cs="Simplified Arabic"/>
          <w:sz w:val="24"/>
          <w:szCs w:val="28"/>
          <w:rtl/>
        </w:rPr>
        <w:t>)، ودراسة (</w:t>
      </w:r>
      <w:r w:rsidRPr="00EA59B6">
        <w:rPr>
          <w:rFonts w:ascii="Times New Roman" w:eastAsia="Calibri" w:hAnsi="Times New Roman" w:cs="Simplified Arabic"/>
          <w:sz w:val="24"/>
          <w:szCs w:val="28"/>
        </w:rPr>
        <w:t xml:space="preserve">Davenport &amp; </w:t>
      </w:r>
      <w:proofErr w:type="spellStart"/>
      <w:r w:rsidRPr="00EA59B6">
        <w:rPr>
          <w:rFonts w:ascii="Times New Roman" w:eastAsia="Calibri" w:hAnsi="Times New Roman" w:cs="Simplified Arabic"/>
          <w:sz w:val="24"/>
          <w:szCs w:val="28"/>
        </w:rPr>
        <w:t>Ronanki</w:t>
      </w:r>
      <w:proofErr w:type="spellEnd"/>
      <w:r w:rsidRPr="00EA59B6">
        <w:rPr>
          <w:rFonts w:ascii="Times New Roman" w:eastAsia="Calibri" w:hAnsi="Times New Roman" w:cs="Simplified Arabic"/>
          <w:sz w:val="24"/>
          <w:szCs w:val="28"/>
        </w:rPr>
        <w:t>, 2018</w:t>
      </w:r>
      <w:r w:rsidRPr="00EA59B6">
        <w:rPr>
          <w:rFonts w:ascii="Times New Roman" w:eastAsia="Calibri" w:hAnsi="Times New Roman" w:cs="Simplified Arabic"/>
          <w:sz w:val="24"/>
          <w:szCs w:val="28"/>
          <w:rtl/>
        </w:rPr>
        <w:t>). رابعها، الإجماع على أن تبني الذكاء الاصطناعي يتطلب استثماراً في البنية التحتية والتدريب، وهو ما أكدته دراسة (الشهري وآخرون، 2023).</w:t>
      </w:r>
    </w:p>
    <w:p w14:paraId="16407962"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b/>
          <w:bCs/>
          <w:sz w:val="24"/>
          <w:szCs w:val="28"/>
        </w:rPr>
        <w:t>3</w:t>
      </w:r>
      <w:r w:rsidRPr="00EA59B6">
        <w:rPr>
          <w:rFonts w:ascii="Times New Roman" w:eastAsia="Calibri" w:hAnsi="Times New Roman" w:cs="Simplified Arabic"/>
          <w:b/>
          <w:bCs/>
          <w:sz w:val="24"/>
          <w:szCs w:val="28"/>
          <w:rtl/>
        </w:rPr>
        <w:t>. جوانب اختلاف الدراسة الحالية مع الدراسات السابقة:</w:t>
      </w:r>
    </w:p>
    <w:p w14:paraId="427D65A4"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تختلف الدراسة الحالية عن الدراسات السابقة في عدة جوانب منهجية وموضوعية. أولها، شمولية النموذج المقترح؛ فهي من أوائل الدراسات التي تدمج ستة أبعاد لاستخدام الذكاء الاصطناعي (تحليل البيانات، التنبؤ بالمخاطر، تحسين الجدولة، دعم اتخاذ القرار، إدارة الموارد، المراقبة والمتابعة) في نموذج واحد، وتختبر تأثيرها مجتمعة ومنفردة في ستة أبعاد لكفاءة أداء المشاريع (الالتزام بالجداول، التحكم في التكاليف، جودة المخرجات، إدارة المخاطر، كفاءة الموارد، القدرة على التكيف). ثانيها، أن الدراسة تركز على المؤسسات في مختلف القطاعات (الإنشاءات، التقنية، الطاقة، الخدمات، الصحة، التعليم، الحكومي)، بينما ركزت معظم الدراسات المحلية السابقة على قطاع معين (كالحكومي أو الكهرباء). ثالثها، أن الدراسة تعتمد على منهجية كمية تتضمن تحليلات إحصائية متقدمة، بينما اكتفت بعض الدراسات بالإحصاءات الوصفية.</w:t>
      </w:r>
    </w:p>
    <w:p w14:paraId="5FB11187"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b/>
          <w:bCs/>
          <w:sz w:val="24"/>
          <w:szCs w:val="28"/>
        </w:rPr>
        <w:t>4</w:t>
      </w:r>
      <w:r w:rsidRPr="00EA59B6">
        <w:rPr>
          <w:rFonts w:ascii="Times New Roman" w:eastAsia="Calibri" w:hAnsi="Times New Roman" w:cs="Simplified Arabic"/>
          <w:b/>
          <w:bCs/>
          <w:sz w:val="24"/>
          <w:szCs w:val="28"/>
          <w:rtl/>
        </w:rPr>
        <w:t>. الفجوة البحثية:</w:t>
      </w:r>
    </w:p>
    <w:p w14:paraId="26FA56CA"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على الرغم من وفرة الدراسات التي تناولت أثر الذكاء الاصطناعي على أداء المشاريع، لا تزال هناك عدة فجوات بحثية قائمة. أولاً، ندرة الدراسات الميدانية العربية التي تناولت الأثر التفصيلي </w:t>
      </w:r>
      <w:r w:rsidRPr="00EA59B6">
        <w:rPr>
          <w:rFonts w:ascii="Times New Roman" w:eastAsia="Calibri" w:hAnsi="Times New Roman" w:cs="Simplified Arabic"/>
          <w:sz w:val="24"/>
          <w:szCs w:val="28"/>
          <w:rtl/>
        </w:rPr>
        <w:lastRenderedPageBreak/>
        <w:t>لأبعاد الذكاء الاصطناعي المتعددة على كفاءة أداء المشاريع في قطاعات متنوعة. ثانياً، قلة الدراسات التي استهدفت المؤسسات في مختلف القطاعات في المملكة العربية السعودية. ثالثاً، محدودية الدراسات التي حاولت تقديم نموذج تفسيري متكامل يشرح كيف يمكن لأبعاد الذكاء الاصطناعي المختلفة أن تؤثر في أبعاد أداء المشاريع المختلفة. رابعاً، عدم وجود دراسات ركزت على العلاقة بين هذه المتغيرات في سياق التحول الرقمي المتسارع في المملكة ضمن رؤية 2030.</w:t>
      </w:r>
    </w:p>
    <w:p w14:paraId="6CE048B0"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b/>
          <w:bCs/>
          <w:sz w:val="24"/>
          <w:szCs w:val="28"/>
        </w:rPr>
        <w:t>5</w:t>
      </w:r>
      <w:r w:rsidRPr="00EA59B6">
        <w:rPr>
          <w:rFonts w:ascii="Times New Roman" w:eastAsia="Calibri" w:hAnsi="Times New Roman" w:cs="Simplified Arabic"/>
          <w:b/>
          <w:bCs/>
          <w:sz w:val="24"/>
          <w:szCs w:val="28"/>
          <w:rtl/>
        </w:rPr>
        <w:t>. جوانب استفادة الدراسة الحالية من الدراسات السابقة:</w:t>
      </w:r>
    </w:p>
    <w:p w14:paraId="735188D0"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استفادت الدراسة الحالية من الدراسات السابقة في عدة جوانب. أولها، تطوير الإطار النظري للدراسة من خلال الاستناد إلى النماذج والنظريات المقدمة في دليل (</w:t>
      </w:r>
      <w:r w:rsidRPr="00EA59B6">
        <w:rPr>
          <w:rFonts w:ascii="Times New Roman" w:eastAsia="Calibri" w:hAnsi="Times New Roman" w:cs="Simplified Arabic"/>
          <w:sz w:val="24"/>
          <w:szCs w:val="28"/>
        </w:rPr>
        <w:t>PMI, 2021</w:t>
      </w:r>
      <w:r w:rsidRPr="00EA59B6">
        <w:rPr>
          <w:rFonts w:ascii="Times New Roman" w:eastAsia="Calibri" w:hAnsi="Times New Roman" w:cs="Simplified Arabic"/>
          <w:sz w:val="24"/>
          <w:szCs w:val="28"/>
          <w:rtl/>
        </w:rPr>
        <w:t>)، وتقارير (</w:t>
      </w:r>
      <w:r w:rsidRPr="00EA59B6">
        <w:rPr>
          <w:rFonts w:ascii="Times New Roman" w:eastAsia="Calibri" w:hAnsi="Times New Roman" w:cs="Simplified Arabic"/>
          <w:sz w:val="24"/>
          <w:szCs w:val="28"/>
        </w:rPr>
        <w:t>PMI, 2023</w:t>
      </w:r>
      <w:r w:rsidRPr="00EA59B6">
        <w:rPr>
          <w:rFonts w:ascii="Times New Roman" w:eastAsia="Calibri" w:hAnsi="Times New Roman" w:cs="Simplified Arabic"/>
          <w:sz w:val="24"/>
          <w:szCs w:val="28"/>
          <w:rtl/>
        </w:rPr>
        <w:t>). ثانيها، تصميم أداة الدراسة (الاستبيان) بالاستناد إلى المقاييس المستخدمة في دراسات (الشهري وآخرون، 2023)، و(أثر استخدام الذكاء الاصطناعي، 2026). ثالثها، تحديد أبعاد المتغيرات الرئيسة وفق ما أقرته الأدبيات السابقة (</w:t>
      </w:r>
      <w:r w:rsidRPr="00EA59B6">
        <w:rPr>
          <w:rFonts w:ascii="Times New Roman" w:eastAsia="Calibri" w:hAnsi="Times New Roman" w:cs="Simplified Arabic"/>
          <w:sz w:val="24"/>
          <w:szCs w:val="28"/>
        </w:rPr>
        <w:t>Kerzner, 2022; Meredith</w:t>
      </w:r>
      <w:r w:rsidRPr="00EA59B6">
        <w:rPr>
          <w:rFonts w:ascii="Times New Roman" w:eastAsia="Calibri" w:hAnsi="Times New Roman" w:cs="Simplified Arabic"/>
          <w:sz w:val="24"/>
          <w:szCs w:val="28"/>
          <w:rtl/>
        </w:rPr>
        <w:t xml:space="preserve"> وآخرون، 2020). رابعها، تحديد المنهجية الإحصائية المناسبة لتحليل البيانات بالاستناد إلى ما تم تطبيقه في دراسات (أثر استخدام الذكاء الاصطناعي، 2026).</w:t>
      </w:r>
    </w:p>
    <w:p w14:paraId="19FA7D97"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b/>
          <w:bCs/>
          <w:sz w:val="24"/>
          <w:szCs w:val="28"/>
        </w:rPr>
        <w:t>6</w:t>
      </w:r>
      <w:r w:rsidRPr="00EA59B6">
        <w:rPr>
          <w:rFonts w:ascii="Times New Roman" w:eastAsia="Calibri" w:hAnsi="Times New Roman" w:cs="Simplified Arabic"/>
          <w:b/>
          <w:bCs/>
          <w:sz w:val="24"/>
          <w:szCs w:val="28"/>
          <w:rtl/>
        </w:rPr>
        <w:t>. الجوانب المميزة للدراسة الحالية عن الدراسات السابقة:</w:t>
      </w:r>
    </w:p>
    <w:p w14:paraId="39B0BE3B"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تتميز الدراسة الحالية بعدة جوانب، أولها تقديمها نموذجاً تحليلياً متكاملاً يربط بين ستة أبعاد لاستخدام الذكاء الاصطناعي وستة أبعاد لكفاءة أداء المشاريع، مما يتيح فهماً أشمل وأعمق للعلاقة مقارنة بالدراسات التي تناولت بعداً واحداً أو اثنين فقط. ثانياً، إجراء الدراسة الميدانية على عينة من المؤسسات في مختلف القطاعات في المملكة العربية السعودية، وهي بيئة تمتلك خصائص فريدة من حيث التحول الرقمي الطموح في إطار رؤية 2030. ثالثاً، ربط الدراسة بين النظرية والتطبيق من خلال اختبار علاقة معقدة تجمع بين متغيرات تقنية ومتغيرات أداء في نموذج واحد قابل للاختبار الميداني، مع تقديم توصيات عملية قابلة للتنفيذ بناءً على النتائج. رابعاً، اعتماد الدراسة على تحليلات إحصائية متقدمة (الانحدار المتعدد مع فحص الازدواج الخطي </w:t>
      </w:r>
      <w:r w:rsidRPr="00EA59B6">
        <w:rPr>
          <w:rFonts w:ascii="Times New Roman" w:eastAsia="Calibri" w:hAnsi="Times New Roman" w:cs="Simplified Arabic"/>
          <w:sz w:val="24"/>
          <w:szCs w:val="28"/>
        </w:rPr>
        <w:t>VIF</w:t>
      </w:r>
      <w:r w:rsidRPr="00EA59B6">
        <w:rPr>
          <w:rFonts w:ascii="Times New Roman" w:eastAsia="Calibri" w:hAnsi="Times New Roman" w:cs="Simplified Arabic"/>
          <w:sz w:val="24"/>
          <w:szCs w:val="28"/>
          <w:rtl/>
        </w:rPr>
        <w:t>)، مما يعزز دقة النتائج وقابليتها للتعميم.</w:t>
      </w:r>
    </w:p>
    <w:p w14:paraId="4C7EB600" w14:textId="77777777" w:rsidR="00EA59B6" w:rsidRPr="00EA59B6" w:rsidRDefault="00EA59B6" w:rsidP="00EA59B6">
      <w:pPr>
        <w:spacing w:after="360" w:line="276" w:lineRule="auto"/>
        <w:ind w:firstLine="567"/>
        <w:jc w:val="center"/>
        <w:rPr>
          <w:rFonts w:ascii="Times New Roman" w:eastAsia="Calibri" w:hAnsi="Times New Roman" w:cs="Simplified Arabic"/>
          <w:sz w:val="28"/>
          <w:szCs w:val="32"/>
        </w:rPr>
      </w:pPr>
      <w:r w:rsidRPr="00EA59B6">
        <w:rPr>
          <w:rFonts w:ascii="Times New Roman" w:eastAsia="Calibri" w:hAnsi="Times New Roman" w:cs="Simplified Arabic"/>
          <w:sz w:val="24"/>
          <w:szCs w:val="28"/>
        </w:rPr>
        <w:br w:type="page"/>
      </w:r>
      <w:r w:rsidRPr="00EA59B6">
        <w:rPr>
          <w:rFonts w:ascii="Times New Roman" w:eastAsia="Calibri" w:hAnsi="Times New Roman" w:cs="Simplified Arabic"/>
          <w:b/>
          <w:bCs/>
          <w:sz w:val="28"/>
          <w:szCs w:val="32"/>
          <w:rtl/>
        </w:rPr>
        <w:lastRenderedPageBreak/>
        <w:t>المحور الثاني: الإطار النظري للدراسة</w:t>
      </w:r>
    </w:p>
    <w:p w14:paraId="3418EC4D"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b/>
          <w:bCs/>
          <w:sz w:val="24"/>
          <w:szCs w:val="28"/>
          <w:rtl/>
        </w:rPr>
        <w:t>تمهيد:</w:t>
      </w:r>
    </w:p>
    <w:p w14:paraId="3B2E18B2"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يقدم هذا المحور الإطار النظري للدراسة، مستنداً إلى الأدبيات العلمية الحديثة التي تناولت العلاقة بين استخدام الذكاء الاصطناعي في إدارة المشاريع وكفاءة أداء المشاريع. يتكون الإطار من ثلاثة مباحث؛ يختص الأول بالذكاء الاصطناعي في إدارة المشاريع (المتغير المستقل) من حيث مفهومه وأبعاده وتطبيقاته ونماذج نضجه وتحدياته، ويتناول الثاني كفاءة أداء المشاريع (المتغير التابع) بأبعاده المختلفة والنظريات المفسرة له، بينما يجمع الثالث بين المتغيرين في علاقة تكاملية تحدد الآليات التفسيرية والنتائج المستخلصة من الأدبيات.</w:t>
      </w:r>
    </w:p>
    <w:p w14:paraId="72762C84"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tl/>
        </w:rPr>
        <w:t>المبحث الأول: الذكاء الاصطناعي في إدارة المشاريع – المفهوم والأبعاد والتطبيقات</w:t>
      </w:r>
    </w:p>
    <w:p w14:paraId="3A96CB93"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يهدف هذا المبحث إلى تقديم إطار نظري شامل لاستخدام الذكاء الاصطناعي في إدارة المشاريع، وذلك من خلال </w:t>
      </w:r>
      <w:proofErr w:type="gramStart"/>
      <w:r w:rsidRPr="00EA59B6">
        <w:rPr>
          <w:rFonts w:ascii="Times New Roman" w:eastAsia="Calibri" w:hAnsi="Times New Roman" w:cs="Simplified Arabic"/>
          <w:sz w:val="24"/>
          <w:szCs w:val="28"/>
          <w:rtl/>
        </w:rPr>
        <w:t>ستة</w:t>
      </w:r>
      <w:proofErr w:type="gramEnd"/>
      <w:r w:rsidRPr="00EA59B6">
        <w:rPr>
          <w:rFonts w:ascii="Times New Roman" w:eastAsia="Calibri" w:hAnsi="Times New Roman" w:cs="Simplified Arabic"/>
          <w:sz w:val="24"/>
          <w:szCs w:val="28"/>
          <w:rtl/>
        </w:rPr>
        <w:t xml:space="preserve"> موضوعات فرعية تتناول: مفهوم الذكاء الاصطناعي وتطوره في سياق إدارة المشاريع، أبعاد تطبيقات الذكاء الاصطناعي الرئيسة، النظريات المفسرة لاستخدام الذكاء الاصطناعي في إدارة المشاريع، نماذج نضج تبني الذكاء الاصطناعي في المؤسسات، تحديات تطبيق الذكاء الاصطناعي في إدارة المشاريع، وأخيراً أثر الذكاء الاصطناعي في تحسين العمليات الإدارية للمشاريع.</w:t>
      </w:r>
    </w:p>
    <w:p w14:paraId="460C978D"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1.2.1</w:t>
      </w:r>
      <w:r w:rsidRPr="00EA59B6">
        <w:rPr>
          <w:rFonts w:ascii="Times New Roman" w:eastAsia="Calibri" w:hAnsi="Times New Roman" w:cs="Simplified Arabic"/>
          <w:b/>
          <w:bCs/>
          <w:sz w:val="24"/>
          <w:szCs w:val="28"/>
          <w:rtl/>
        </w:rPr>
        <w:t xml:space="preserve"> مفهوم الذكاء الاصطناعي وتطوره في سياق إدارة المشاريع</w:t>
      </w:r>
    </w:p>
    <w:p w14:paraId="6C1ECB32"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يُعد الذكاء الاصطناعي (</w:t>
      </w:r>
      <w:r w:rsidRPr="00EA59B6">
        <w:rPr>
          <w:rFonts w:ascii="Times New Roman" w:eastAsia="Calibri" w:hAnsi="Times New Roman" w:cs="Simplified Arabic"/>
          <w:sz w:val="24"/>
          <w:szCs w:val="28"/>
        </w:rPr>
        <w:t>Artificial Intelligence – AI</w:t>
      </w:r>
      <w:r w:rsidRPr="00EA59B6">
        <w:rPr>
          <w:rFonts w:ascii="Times New Roman" w:eastAsia="Calibri" w:hAnsi="Times New Roman" w:cs="Simplified Arabic"/>
          <w:sz w:val="24"/>
          <w:szCs w:val="28"/>
          <w:rtl/>
        </w:rPr>
        <w:t>) أحد أبرز إنجازات الثورة الرقمية الرابعة، حيث يشير إلى قدرة الأنظمة الحاسوبية على أداء مهام كانت تتطلب عادةً تدخلاً بشرياً، مثل: التعلم والاستدلال والإدراك واتخاذ القرار (</w:t>
      </w:r>
      <w:r w:rsidRPr="00EA59B6">
        <w:rPr>
          <w:rFonts w:ascii="Times New Roman" w:eastAsia="Calibri" w:hAnsi="Times New Roman" w:cs="Simplified Arabic"/>
          <w:sz w:val="24"/>
          <w:szCs w:val="28"/>
        </w:rPr>
        <w:t>Russell &amp; Norvig, 2021, p. 2</w:t>
      </w:r>
      <w:r w:rsidRPr="00EA59B6">
        <w:rPr>
          <w:rFonts w:ascii="Times New Roman" w:eastAsia="Calibri" w:hAnsi="Times New Roman" w:cs="Simplified Arabic"/>
          <w:sz w:val="24"/>
          <w:szCs w:val="28"/>
          <w:rtl/>
        </w:rPr>
        <w:t>). وقد تطور مفهوم الذكاء الاصطناعي عبر عدة مراحل منذ منتصف القرن العشرين، بدءاً من الأنظمة القائمة على القواعد (الأنظمة الخبيرة)، وصولاً إلى تقنيات التعلم العميق والشبكات العصبية الاصطناعية التي تحاكي بنية الدماغ البشري. ومع ظهور الثورة الصناعية الخامسة (</w:t>
      </w:r>
      <w:r w:rsidRPr="00EA59B6">
        <w:rPr>
          <w:rFonts w:ascii="Times New Roman" w:eastAsia="Calibri" w:hAnsi="Times New Roman" w:cs="Simplified Arabic"/>
          <w:sz w:val="24"/>
          <w:szCs w:val="28"/>
        </w:rPr>
        <w:t>Industry 5.0</w:t>
      </w:r>
      <w:r w:rsidRPr="00EA59B6">
        <w:rPr>
          <w:rFonts w:ascii="Times New Roman" w:eastAsia="Calibri" w:hAnsi="Times New Roman" w:cs="Simplified Arabic"/>
          <w:sz w:val="24"/>
          <w:szCs w:val="28"/>
          <w:rtl/>
        </w:rPr>
        <w:t xml:space="preserve">)، أصبح الذكاء </w:t>
      </w:r>
      <w:r w:rsidRPr="00EA59B6">
        <w:rPr>
          <w:rFonts w:ascii="Times New Roman" w:eastAsia="Calibri" w:hAnsi="Times New Roman" w:cs="Simplified Arabic"/>
          <w:sz w:val="24"/>
          <w:szCs w:val="28"/>
          <w:rtl/>
        </w:rPr>
        <w:lastRenderedPageBreak/>
        <w:t>الاصطناعي أحد التقنيات التمكينية الأساسية التي تساعد المؤسسات على تحقيق إنتاجية أكثر كفاءة واستدامة (</w:t>
      </w:r>
      <w:r w:rsidRPr="00EA59B6">
        <w:rPr>
          <w:rFonts w:ascii="Times New Roman" w:eastAsia="Calibri" w:hAnsi="Times New Roman" w:cs="Simplified Arabic"/>
          <w:sz w:val="24"/>
          <w:szCs w:val="28"/>
        </w:rPr>
        <w:t>Taboada et al., 2023, p. 2</w:t>
      </w:r>
      <w:r w:rsidRPr="00EA59B6">
        <w:rPr>
          <w:rFonts w:ascii="Times New Roman" w:eastAsia="Calibri" w:hAnsi="Times New Roman" w:cs="Simplified Arabic"/>
          <w:sz w:val="24"/>
          <w:szCs w:val="28"/>
          <w:rtl/>
        </w:rPr>
        <w:t>).</w:t>
      </w:r>
    </w:p>
    <w:p w14:paraId="7466283C"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وفي سياق إدارة المشاريع، يُعرِّف (</w:t>
      </w:r>
      <w:r w:rsidRPr="00EA59B6">
        <w:rPr>
          <w:rFonts w:ascii="Times New Roman" w:eastAsia="Calibri" w:hAnsi="Times New Roman" w:cs="Simplified Arabic"/>
          <w:sz w:val="24"/>
          <w:szCs w:val="28"/>
        </w:rPr>
        <w:t>PMI, 2021, p. 45</w:t>
      </w:r>
      <w:r w:rsidRPr="00EA59B6">
        <w:rPr>
          <w:rFonts w:ascii="Times New Roman" w:eastAsia="Calibri" w:hAnsi="Times New Roman" w:cs="Simplified Arabic"/>
          <w:sz w:val="24"/>
          <w:szCs w:val="28"/>
          <w:rtl/>
        </w:rPr>
        <w:t>) الذكاء الاصطناعي بأنه استخدام الخوارزميات والنماذج الحاسوبية لأتمتة المهام المعرفية المعقدة ودعم اتخاذ القرار في مختلف مراحل دورة حياة المشروع. وقد أشار تقرير (</w:t>
      </w:r>
      <w:r w:rsidRPr="00EA59B6">
        <w:rPr>
          <w:rFonts w:ascii="Times New Roman" w:eastAsia="Calibri" w:hAnsi="Times New Roman" w:cs="Simplified Arabic"/>
          <w:sz w:val="24"/>
          <w:szCs w:val="28"/>
        </w:rPr>
        <w:t>PMI, 2023</w:t>
      </w:r>
      <w:r w:rsidRPr="00EA59B6">
        <w:rPr>
          <w:rFonts w:ascii="Times New Roman" w:eastAsia="Calibri" w:hAnsi="Times New Roman" w:cs="Simplified Arabic"/>
          <w:sz w:val="24"/>
          <w:szCs w:val="28"/>
          <w:rtl/>
        </w:rPr>
        <w:t>) إلى أن المنظمات التي تتبنى التقنيات الرقمية، ومن بينها الذكاء الاصطناعي، تحقق معدلات نجاح أعلى في مشاريعها. كما أظهرت دراسة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أن المستخدمين المتقدمين للذكاء الاصطناعي (الرواد) هم أكثر إنتاجية وفعالية وقدرة على حل المشكلات مقارنة بالمستخدمين المبتدئين. ويتوقع أن ترتفع نسبة المشاريع التي تُدار باستخدام الذكاء الاصطناعي بشكل كبير في السنوات القادمة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وتشير مراجعة منهجية حديثة (</w:t>
      </w:r>
      <w:r w:rsidRPr="00EA59B6">
        <w:rPr>
          <w:rFonts w:ascii="Times New Roman" w:eastAsia="Calibri" w:hAnsi="Times New Roman" w:cs="Simplified Arabic"/>
          <w:sz w:val="24"/>
          <w:szCs w:val="28"/>
        </w:rPr>
        <w:t>Vergara et al., 2025</w:t>
      </w:r>
      <w:r w:rsidRPr="00EA59B6">
        <w:rPr>
          <w:rFonts w:ascii="Times New Roman" w:eastAsia="Calibri" w:hAnsi="Times New Roman" w:cs="Simplified Arabic"/>
          <w:sz w:val="24"/>
          <w:szCs w:val="28"/>
          <w:rtl/>
        </w:rPr>
        <w:t>) إلى أن عدد المنشورات العلمية حول الذكاء الاصطناعي في إدارة المشاريع قد شهد نمواً مطرداً، مع تركيز متزايد على تطبيقات التعلم الآلي والتحليلات التنبؤية في تحسين أداء المشاريع.</w:t>
      </w:r>
    </w:p>
    <w:p w14:paraId="0E22755E"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مفهوم الذكاء الاصطناعي في إدارة المشاريع قد تطور من كونه أداة مساعدة لأتمتة المهام الروتينية إلى محور استراتيجي يعيد تشكيل ممارسات الإدارة. وهذا التحول له أهمية خاصة في سياق الدراسة الحالية، حيث أن تبني الذكاء الاصطناعي في المؤسسات السعودية لم يعد خياراً بل ضرورة لمواكبة التطورات العالمية وتحقيق مستهدفات رؤية 2030 في تعزيز الكفاءة والابتكار.</w:t>
      </w:r>
    </w:p>
    <w:p w14:paraId="5AFD5C75"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1.2.2</w:t>
      </w:r>
      <w:r w:rsidRPr="00EA59B6">
        <w:rPr>
          <w:rFonts w:ascii="Times New Roman" w:eastAsia="Calibri" w:hAnsi="Times New Roman" w:cs="Simplified Arabic"/>
          <w:b/>
          <w:bCs/>
          <w:sz w:val="24"/>
          <w:szCs w:val="28"/>
          <w:rtl/>
        </w:rPr>
        <w:t xml:space="preserve"> أبعاد تطبيقات الذكاء الاصطناعي الرئيسة في إدارة المشاريع</w:t>
      </w:r>
    </w:p>
    <w:p w14:paraId="44D0CF04"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sz w:val="24"/>
          <w:szCs w:val="28"/>
          <w:rtl/>
        </w:rPr>
        <w:t>تتعدد تطبيقات الذكاء الاصطناعي في إدارة المشاريع، ويمكن تصنيفها وفق ستة أبعاد رئيسة مترابطة، كما هو موضح في الجدول الآتي.</w:t>
      </w:r>
    </w:p>
    <w:p w14:paraId="19A2B67B"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p>
    <w:p w14:paraId="123F40FD"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p>
    <w:p w14:paraId="1FACD525"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b/>
          <w:bCs/>
          <w:sz w:val="24"/>
          <w:szCs w:val="24"/>
          <w:rtl/>
        </w:rPr>
        <w:lastRenderedPageBreak/>
        <w:t>جدول (2.1): الأبعاد الرئيسة لتطبيقات الذكاء الاصطناعي في إدارة المشاريع</w:t>
      </w:r>
    </w:p>
    <w:tbl>
      <w:tblPr>
        <w:tblStyle w:val="4-51"/>
        <w:bidiVisual/>
        <w:tblW w:w="0" w:type="auto"/>
        <w:jc w:val="center"/>
        <w:tblLook w:val="04A0" w:firstRow="1" w:lastRow="0" w:firstColumn="1" w:lastColumn="0" w:noHBand="0" w:noVBand="1"/>
      </w:tblPr>
      <w:tblGrid>
        <w:gridCol w:w="2136"/>
        <w:gridCol w:w="2355"/>
        <w:gridCol w:w="1399"/>
        <w:gridCol w:w="2548"/>
      </w:tblGrid>
      <w:tr w:rsidR="00EA59B6" w:rsidRPr="00EA59B6" w14:paraId="2352DDF3" w14:textId="77777777" w:rsidTr="004848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79BEDD"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البعد</w:t>
            </w:r>
          </w:p>
        </w:tc>
        <w:tc>
          <w:tcPr>
            <w:tcW w:w="0" w:type="auto"/>
            <w:vAlign w:val="center"/>
            <w:hideMark/>
          </w:tcPr>
          <w:p w14:paraId="0D9BF6A2" w14:textId="77777777" w:rsidR="00EA59B6" w:rsidRPr="00EA59B6" w:rsidRDefault="00EA59B6" w:rsidP="00EA59B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الوصف</w:t>
            </w:r>
          </w:p>
        </w:tc>
        <w:tc>
          <w:tcPr>
            <w:tcW w:w="0" w:type="auto"/>
            <w:vAlign w:val="center"/>
            <w:hideMark/>
          </w:tcPr>
          <w:p w14:paraId="3351703B" w14:textId="77777777" w:rsidR="00EA59B6" w:rsidRPr="00EA59B6" w:rsidRDefault="00EA59B6" w:rsidP="00EA59B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الأدوات والتقنيات</w:t>
            </w:r>
          </w:p>
        </w:tc>
        <w:tc>
          <w:tcPr>
            <w:tcW w:w="0" w:type="auto"/>
            <w:vAlign w:val="center"/>
            <w:hideMark/>
          </w:tcPr>
          <w:p w14:paraId="564B56EE" w14:textId="77777777" w:rsidR="00EA59B6" w:rsidRPr="00EA59B6" w:rsidRDefault="00EA59B6" w:rsidP="00EA59B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المراجع المعتمدة</w:t>
            </w:r>
          </w:p>
        </w:tc>
      </w:tr>
      <w:tr w:rsidR="00EA59B6" w:rsidRPr="00EA59B6" w14:paraId="5066D2C4"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1985EC"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تحليل البيانات (</w:t>
            </w:r>
            <w:r w:rsidRPr="00EA59B6">
              <w:rPr>
                <w:rFonts w:ascii="Times New Roman" w:eastAsia="Calibri" w:hAnsi="Times New Roman" w:cs="Simplified Arabic"/>
                <w:sz w:val="24"/>
                <w:szCs w:val="24"/>
              </w:rPr>
              <w:t>Data Analysis</w:t>
            </w:r>
            <w:r w:rsidRPr="00EA59B6">
              <w:rPr>
                <w:rFonts w:ascii="Times New Roman" w:eastAsia="Calibri" w:hAnsi="Times New Roman" w:cs="Simplified Arabic"/>
                <w:sz w:val="24"/>
                <w:szCs w:val="24"/>
                <w:rtl/>
              </w:rPr>
              <w:t>)</w:t>
            </w:r>
          </w:p>
        </w:tc>
        <w:tc>
          <w:tcPr>
            <w:tcW w:w="0" w:type="auto"/>
            <w:vAlign w:val="center"/>
            <w:hideMark/>
          </w:tcPr>
          <w:p w14:paraId="173395FD"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معالجة وتحليل كميات كبيرة من البيانات المتعلقة بالمشاريع (أداء الفرق، التكاليف، الجداول) لاستخلاص الأنماط والرؤى</w:t>
            </w:r>
          </w:p>
        </w:tc>
        <w:tc>
          <w:tcPr>
            <w:tcW w:w="0" w:type="auto"/>
            <w:vAlign w:val="center"/>
            <w:hideMark/>
          </w:tcPr>
          <w:p w14:paraId="310DC9ED"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التعلم الآلي، الشبكات العصبية، التعلم العميق</w:t>
            </w:r>
          </w:p>
        </w:tc>
        <w:tc>
          <w:tcPr>
            <w:tcW w:w="0" w:type="auto"/>
            <w:vAlign w:val="center"/>
            <w:hideMark/>
          </w:tcPr>
          <w:p w14:paraId="790859B8"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Pr>
              <w:t xml:space="preserve">Taboada et al., 2023; </w:t>
            </w:r>
            <w:proofErr w:type="spellStart"/>
            <w:r w:rsidRPr="00EA59B6">
              <w:rPr>
                <w:rFonts w:ascii="Times New Roman" w:eastAsia="Calibri" w:hAnsi="Times New Roman" w:cs="Simplified Arabic"/>
                <w:sz w:val="24"/>
                <w:szCs w:val="24"/>
              </w:rPr>
              <w:t>Kozhakhmetova</w:t>
            </w:r>
            <w:proofErr w:type="spellEnd"/>
            <w:r w:rsidRPr="00EA59B6">
              <w:rPr>
                <w:rFonts w:ascii="Times New Roman" w:eastAsia="Calibri" w:hAnsi="Times New Roman" w:cs="Simplified Arabic"/>
                <w:sz w:val="24"/>
                <w:szCs w:val="24"/>
              </w:rPr>
              <w:t xml:space="preserve"> et al., 2024; Sajadi et al., 2024</w:t>
            </w:r>
          </w:p>
        </w:tc>
      </w:tr>
      <w:tr w:rsidR="00EA59B6" w:rsidRPr="00EA59B6" w14:paraId="586315EC"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B08AD6"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التنبؤ بالمخاطر (</w:t>
            </w:r>
            <w:r w:rsidRPr="00EA59B6">
              <w:rPr>
                <w:rFonts w:ascii="Times New Roman" w:eastAsia="Calibri" w:hAnsi="Times New Roman" w:cs="Simplified Arabic"/>
                <w:sz w:val="24"/>
                <w:szCs w:val="24"/>
              </w:rPr>
              <w:t>Risk Prediction</w:t>
            </w:r>
            <w:r w:rsidRPr="00EA59B6">
              <w:rPr>
                <w:rFonts w:ascii="Times New Roman" w:eastAsia="Calibri" w:hAnsi="Times New Roman" w:cs="Simplified Arabic"/>
                <w:sz w:val="24"/>
                <w:szCs w:val="24"/>
                <w:rtl/>
              </w:rPr>
              <w:t>)</w:t>
            </w:r>
          </w:p>
        </w:tc>
        <w:tc>
          <w:tcPr>
            <w:tcW w:w="0" w:type="auto"/>
            <w:vAlign w:val="center"/>
            <w:hideMark/>
          </w:tcPr>
          <w:p w14:paraId="76CB0137"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استخدام النماذج التنبؤية لتحديد المخاطر المحتملة قبل حدوثها، وتصنيفها حسب الأولوية</w:t>
            </w:r>
          </w:p>
        </w:tc>
        <w:tc>
          <w:tcPr>
            <w:tcW w:w="0" w:type="auto"/>
            <w:vAlign w:val="center"/>
            <w:hideMark/>
          </w:tcPr>
          <w:p w14:paraId="64FA9423"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خوارزميات التعلم الآلي، التحليلات التنبؤية</w:t>
            </w:r>
          </w:p>
        </w:tc>
        <w:tc>
          <w:tcPr>
            <w:tcW w:w="0" w:type="auto"/>
            <w:vAlign w:val="center"/>
            <w:hideMark/>
          </w:tcPr>
          <w:p w14:paraId="7C11F7F9"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Pr>
              <w:t xml:space="preserve">Taboada et al., 2023; </w:t>
            </w:r>
            <w:proofErr w:type="spellStart"/>
            <w:r w:rsidRPr="00EA59B6">
              <w:rPr>
                <w:rFonts w:ascii="Times New Roman" w:eastAsia="Calibri" w:hAnsi="Times New Roman" w:cs="Simplified Arabic"/>
                <w:sz w:val="24"/>
                <w:szCs w:val="24"/>
              </w:rPr>
              <w:t>Kozhakhmetova</w:t>
            </w:r>
            <w:proofErr w:type="spellEnd"/>
            <w:r w:rsidRPr="00EA59B6">
              <w:rPr>
                <w:rFonts w:ascii="Times New Roman" w:eastAsia="Calibri" w:hAnsi="Times New Roman" w:cs="Simplified Arabic"/>
                <w:sz w:val="24"/>
                <w:szCs w:val="24"/>
              </w:rPr>
              <w:t xml:space="preserve"> et al., 2024; Dacre et al., 2025</w:t>
            </w:r>
          </w:p>
        </w:tc>
      </w:tr>
      <w:tr w:rsidR="00EA59B6" w:rsidRPr="00EA59B6" w14:paraId="5EC27E6C"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4CF259"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تحسين الجدولة الزمنية (</w:t>
            </w:r>
            <w:r w:rsidRPr="00EA59B6">
              <w:rPr>
                <w:rFonts w:ascii="Times New Roman" w:eastAsia="Calibri" w:hAnsi="Times New Roman" w:cs="Simplified Arabic"/>
                <w:sz w:val="24"/>
                <w:szCs w:val="24"/>
              </w:rPr>
              <w:t>Scheduling Optimization</w:t>
            </w:r>
            <w:r w:rsidRPr="00EA59B6">
              <w:rPr>
                <w:rFonts w:ascii="Times New Roman" w:eastAsia="Calibri" w:hAnsi="Times New Roman" w:cs="Simplified Arabic"/>
                <w:sz w:val="24"/>
                <w:szCs w:val="24"/>
                <w:rtl/>
              </w:rPr>
              <w:t>)</w:t>
            </w:r>
          </w:p>
        </w:tc>
        <w:tc>
          <w:tcPr>
            <w:tcW w:w="0" w:type="auto"/>
            <w:vAlign w:val="center"/>
            <w:hideMark/>
          </w:tcPr>
          <w:p w14:paraId="5EFA2496"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إنشاء جداول زمنية أكثر دقة ومرونة، تراعي الموارد المتاحة والقيود الزمنية وأولويات المهام</w:t>
            </w:r>
          </w:p>
        </w:tc>
        <w:tc>
          <w:tcPr>
            <w:tcW w:w="0" w:type="auto"/>
            <w:vAlign w:val="center"/>
            <w:hideMark/>
          </w:tcPr>
          <w:p w14:paraId="3D5A69D5"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خوارزميات التحسين، التعلم الآلي</w:t>
            </w:r>
          </w:p>
        </w:tc>
        <w:tc>
          <w:tcPr>
            <w:tcW w:w="0" w:type="auto"/>
            <w:vAlign w:val="center"/>
            <w:hideMark/>
          </w:tcPr>
          <w:p w14:paraId="509AD3F7"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proofErr w:type="spellStart"/>
            <w:r w:rsidRPr="00EA59B6">
              <w:rPr>
                <w:rFonts w:ascii="Times New Roman" w:eastAsia="Calibri" w:hAnsi="Times New Roman" w:cs="Simplified Arabic"/>
                <w:sz w:val="24"/>
                <w:szCs w:val="24"/>
              </w:rPr>
              <w:t>Duică</w:t>
            </w:r>
            <w:proofErr w:type="spellEnd"/>
            <w:r w:rsidRPr="00EA59B6">
              <w:rPr>
                <w:rFonts w:ascii="Times New Roman" w:eastAsia="Calibri" w:hAnsi="Times New Roman" w:cs="Simplified Arabic"/>
                <w:sz w:val="24"/>
                <w:szCs w:val="24"/>
              </w:rPr>
              <w:t xml:space="preserve"> et al., 2024; Omar et al., 2025; Yigit &amp; Dogan, 2024</w:t>
            </w:r>
          </w:p>
        </w:tc>
      </w:tr>
      <w:tr w:rsidR="00EA59B6" w:rsidRPr="00EA59B6" w14:paraId="6D4679D7"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78F150"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دعم اتخاذ القرار (</w:t>
            </w:r>
            <w:r w:rsidRPr="00EA59B6">
              <w:rPr>
                <w:rFonts w:ascii="Times New Roman" w:eastAsia="Calibri" w:hAnsi="Times New Roman" w:cs="Simplified Arabic"/>
                <w:sz w:val="24"/>
                <w:szCs w:val="24"/>
              </w:rPr>
              <w:t>Decision Support</w:t>
            </w:r>
            <w:r w:rsidRPr="00EA59B6">
              <w:rPr>
                <w:rFonts w:ascii="Times New Roman" w:eastAsia="Calibri" w:hAnsi="Times New Roman" w:cs="Simplified Arabic"/>
                <w:sz w:val="24"/>
                <w:szCs w:val="24"/>
                <w:rtl/>
              </w:rPr>
              <w:t>)</w:t>
            </w:r>
          </w:p>
        </w:tc>
        <w:tc>
          <w:tcPr>
            <w:tcW w:w="0" w:type="auto"/>
            <w:vAlign w:val="center"/>
            <w:hideMark/>
          </w:tcPr>
          <w:p w14:paraId="48CE8279"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توفير أدوات تحليلية وتنبؤية لدعم القرارات الاستراتيجية، مثل: تقييم السيناريوهات وتقدير النتائج المحتملة</w:t>
            </w:r>
          </w:p>
        </w:tc>
        <w:tc>
          <w:tcPr>
            <w:tcW w:w="0" w:type="auto"/>
            <w:vAlign w:val="center"/>
            <w:hideMark/>
          </w:tcPr>
          <w:p w14:paraId="357031D3"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الأنظمة الخبيرة، التحليلات التنبؤية</w:t>
            </w:r>
          </w:p>
        </w:tc>
        <w:tc>
          <w:tcPr>
            <w:tcW w:w="0" w:type="auto"/>
            <w:vAlign w:val="center"/>
            <w:hideMark/>
          </w:tcPr>
          <w:p w14:paraId="2C344BA3"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Pr>
              <w:t xml:space="preserve">Davenport &amp; </w:t>
            </w:r>
            <w:proofErr w:type="spellStart"/>
            <w:r w:rsidRPr="00EA59B6">
              <w:rPr>
                <w:rFonts w:ascii="Times New Roman" w:eastAsia="Calibri" w:hAnsi="Times New Roman" w:cs="Simplified Arabic"/>
                <w:sz w:val="24"/>
                <w:szCs w:val="24"/>
              </w:rPr>
              <w:t>Ronanki</w:t>
            </w:r>
            <w:proofErr w:type="spellEnd"/>
            <w:r w:rsidRPr="00EA59B6">
              <w:rPr>
                <w:rFonts w:ascii="Times New Roman" w:eastAsia="Calibri" w:hAnsi="Times New Roman" w:cs="Simplified Arabic"/>
                <w:sz w:val="24"/>
                <w:szCs w:val="24"/>
              </w:rPr>
              <w:t xml:space="preserve">, 2018; Dacre et al., 2025; </w:t>
            </w:r>
            <w:proofErr w:type="spellStart"/>
            <w:r w:rsidRPr="00EA59B6">
              <w:rPr>
                <w:rFonts w:ascii="Times New Roman" w:eastAsia="Calibri" w:hAnsi="Times New Roman" w:cs="Simplified Arabic"/>
                <w:sz w:val="24"/>
                <w:szCs w:val="24"/>
              </w:rPr>
              <w:t>Alayed</w:t>
            </w:r>
            <w:proofErr w:type="spellEnd"/>
            <w:r w:rsidRPr="00EA59B6">
              <w:rPr>
                <w:rFonts w:ascii="Times New Roman" w:eastAsia="Calibri" w:hAnsi="Times New Roman" w:cs="Simplified Arabic"/>
                <w:sz w:val="24"/>
                <w:szCs w:val="24"/>
              </w:rPr>
              <w:t>, 2025</w:t>
            </w:r>
          </w:p>
        </w:tc>
      </w:tr>
      <w:tr w:rsidR="00EA59B6" w:rsidRPr="00EA59B6" w14:paraId="67CC0E6B"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BD0DD7"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إدارة الموارد (</w:t>
            </w:r>
            <w:r w:rsidRPr="00EA59B6">
              <w:rPr>
                <w:rFonts w:ascii="Times New Roman" w:eastAsia="Calibri" w:hAnsi="Times New Roman" w:cs="Simplified Arabic"/>
                <w:sz w:val="24"/>
                <w:szCs w:val="24"/>
              </w:rPr>
              <w:t>Resource Management</w:t>
            </w:r>
            <w:r w:rsidRPr="00EA59B6">
              <w:rPr>
                <w:rFonts w:ascii="Times New Roman" w:eastAsia="Calibri" w:hAnsi="Times New Roman" w:cs="Simplified Arabic"/>
                <w:sz w:val="24"/>
                <w:szCs w:val="24"/>
                <w:rtl/>
              </w:rPr>
              <w:t>)</w:t>
            </w:r>
          </w:p>
        </w:tc>
        <w:tc>
          <w:tcPr>
            <w:tcW w:w="0" w:type="auto"/>
            <w:vAlign w:val="center"/>
            <w:hideMark/>
          </w:tcPr>
          <w:p w14:paraId="46C8B7C3"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تحسين تخصيص الموارد البشرية والمالية والمادية وفقاً للاحتياجات الفعلية لكل مرحلة من مراحل المشروع</w:t>
            </w:r>
          </w:p>
        </w:tc>
        <w:tc>
          <w:tcPr>
            <w:tcW w:w="0" w:type="auto"/>
            <w:vAlign w:val="center"/>
            <w:hideMark/>
          </w:tcPr>
          <w:p w14:paraId="1D3E98B2"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خوارزميات التحسين، التعلم الآلي</w:t>
            </w:r>
          </w:p>
        </w:tc>
        <w:tc>
          <w:tcPr>
            <w:tcW w:w="0" w:type="auto"/>
            <w:vAlign w:val="center"/>
            <w:hideMark/>
          </w:tcPr>
          <w:p w14:paraId="0574AAE0"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Pr>
              <w:t>Pereira et al., 2024; Omar et al., 2025; Polychronakis et al., 2024</w:t>
            </w:r>
          </w:p>
        </w:tc>
      </w:tr>
      <w:tr w:rsidR="00EA59B6" w:rsidRPr="00EA59B6" w14:paraId="5CCACA60"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51FDCF"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المراقبة والمتابعة المستمرة (</w:t>
            </w:r>
            <w:r w:rsidRPr="00EA59B6">
              <w:rPr>
                <w:rFonts w:ascii="Times New Roman" w:eastAsia="Calibri" w:hAnsi="Times New Roman" w:cs="Simplified Arabic"/>
                <w:sz w:val="24"/>
                <w:szCs w:val="24"/>
              </w:rPr>
              <w:t>Continuous Monitoring</w:t>
            </w:r>
            <w:r w:rsidRPr="00EA59B6">
              <w:rPr>
                <w:rFonts w:ascii="Times New Roman" w:eastAsia="Calibri" w:hAnsi="Times New Roman" w:cs="Simplified Arabic"/>
                <w:sz w:val="24"/>
                <w:szCs w:val="24"/>
                <w:rtl/>
              </w:rPr>
              <w:t>)</w:t>
            </w:r>
          </w:p>
        </w:tc>
        <w:tc>
          <w:tcPr>
            <w:tcW w:w="0" w:type="auto"/>
            <w:vAlign w:val="center"/>
            <w:hideMark/>
          </w:tcPr>
          <w:p w14:paraId="5682A6FE"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متابعة تقدم المشروع في الوقت الفعلي، واكتشاف الانحرافات عن الخطة بسرعة</w:t>
            </w:r>
          </w:p>
        </w:tc>
        <w:tc>
          <w:tcPr>
            <w:tcW w:w="0" w:type="auto"/>
            <w:vAlign w:val="center"/>
            <w:hideMark/>
          </w:tcPr>
          <w:p w14:paraId="6D4D5256"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إنترنت الأشياء، التحليلات في الوقت الفعلي</w:t>
            </w:r>
          </w:p>
        </w:tc>
        <w:tc>
          <w:tcPr>
            <w:tcW w:w="0" w:type="auto"/>
            <w:vAlign w:val="center"/>
            <w:hideMark/>
          </w:tcPr>
          <w:p w14:paraId="4A5C94F1"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Pr>
              <w:t>Sahadevan, 2023; PMI, 2024; Noel, 2019</w:t>
            </w:r>
          </w:p>
        </w:tc>
      </w:tr>
    </w:tbl>
    <w:p w14:paraId="6AC2A322"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i/>
          <w:iCs/>
          <w:sz w:val="24"/>
          <w:szCs w:val="24"/>
          <w:rtl/>
        </w:rPr>
        <w:t>(المصدر: إعداد الباحثة بالاعتماد على المراجع المذكورة)</w:t>
      </w:r>
    </w:p>
    <w:p w14:paraId="47F93C86"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lastRenderedPageBreak/>
        <w:t>ويتضح من الجدول السابق أن هذه الأبعاد الستة تعمل بشكل تكاملي؛ فتحليل البيانات يوفر الأساس لفهم الأداء السابق والحالي، بينما يوفر التنبؤ بالمخاطر رؤية استشرافية للمستقبل. وتسهم خوارزميات تحسين الجدولة في ترجمة هذه الرؤى إلى خطط قابلة للتنفيذ، بينما تدعم أنظمة اتخاذ القرار اختيار البدائل المثلى. وتعمل إدارة الموارد على توجيه الموارد بكفاءة، بينما تضمن المراقبة المستمرة اكتشاف الانحرافات مبكراً وتصحيح المسار. وقد أظهرت دراسة (</w:t>
      </w:r>
      <w:proofErr w:type="spellStart"/>
      <w:r w:rsidRPr="00EA59B6">
        <w:rPr>
          <w:rFonts w:ascii="Times New Roman" w:eastAsia="Calibri" w:hAnsi="Times New Roman" w:cs="Simplified Arabic"/>
          <w:sz w:val="24"/>
          <w:szCs w:val="28"/>
        </w:rPr>
        <w:t>Kozhakhmetova</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أن أنظمة اتخاذ القرار، وأتمتة العمليات، وتقنيات الصوت هي التقنيات الثلاث الأكثر أهمية التي يستخدمها متخصصو إدارة المشاريع لتحسين كفاءة المشاريع. كما أشارت دراسة (</w:t>
      </w:r>
      <w:r w:rsidRPr="00EA59B6">
        <w:rPr>
          <w:rFonts w:ascii="Times New Roman" w:eastAsia="Calibri" w:hAnsi="Times New Roman" w:cs="Simplified Arabic"/>
          <w:sz w:val="24"/>
          <w:szCs w:val="28"/>
        </w:rPr>
        <w:t>Sajadi et al., 2024</w:t>
      </w:r>
      <w:r w:rsidRPr="00EA59B6">
        <w:rPr>
          <w:rFonts w:ascii="Times New Roman" w:eastAsia="Calibri" w:hAnsi="Times New Roman" w:cs="Simplified Arabic"/>
          <w:sz w:val="24"/>
          <w:szCs w:val="28"/>
          <w:rtl/>
        </w:rPr>
        <w:t>) إلى أن التحليلات التنبؤية وتقنيات التعلم الآلي تسهم بشكل كبير في تحسين دقة تقديرات المشاريع وتقليل حالات عدم اليقين.</w:t>
      </w:r>
    </w:p>
    <w:p w14:paraId="3F93AD1B"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التكامل بين أبعاد الذكاء الاصطناعي الستة هو ما يخلق قيمة استراتيجية حقيقية. فالمنظمة التي تركز فقط على تحليل البيانات دون الاستفادة من القدرات التنبؤية قد تفوت فرصاً مهمة لتجنب المخاطر. وبالمثل، فإن وجود أنظمة متقدمة لتحسين الجدولة دون أدوات فعالة لمراقبة التقدم قد يؤدي إلى انحرافات غير مكتشفة. وهذا يفسر لماذا تُعد المنظومات المتكاملة للذكاء الاصطناعي أكثر فعالية من الأدوات المنعزلة، خاصة في المشاريع الكبرى التي تشمل عدداً كبيراً من الأطراف والوظائف.</w:t>
      </w:r>
    </w:p>
    <w:p w14:paraId="1F64C924"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1.2.3</w:t>
      </w:r>
      <w:r w:rsidRPr="00EA59B6">
        <w:rPr>
          <w:rFonts w:ascii="Times New Roman" w:eastAsia="Calibri" w:hAnsi="Times New Roman" w:cs="Simplified Arabic"/>
          <w:b/>
          <w:bCs/>
          <w:sz w:val="24"/>
          <w:szCs w:val="28"/>
          <w:rtl/>
        </w:rPr>
        <w:t xml:space="preserve"> النظريات المفسرة لاستخدام الذكاء الاصطناعي في إدارة المشاريع</w:t>
      </w:r>
    </w:p>
    <w:p w14:paraId="788525DE"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تتنوع الأطر النظرية التي تسعى إلى تفسير كيفية استخدام الذكاء الاصطناعي في تحسين إدارة المشاريع، ويمكن حصر أبرزها في ثلاث نظريات رئيسة. أولاً، </w:t>
      </w:r>
      <w:r w:rsidRPr="00EA59B6">
        <w:rPr>
          <w:rFonts w:ascii="Times New Roman" w:eastAsia="Calibri" w:hAnsi="Times New Roman" w:cs="Simplified Arabic"/>
          <w:b/>
          <w:bCs/>
          <w:sz w:val="24"/>
          <w:szCs w:val="28"/>
          <w:rtl/>
        </w:rPr>
        <w:t>نظرية اتخاذ القرار المعزز بالبيانات (</w:t>
      </w:r>
      <w:r w:rsidRPr="00EA59B6">
        <w:rPr>
          <w:rFonts w:ascii="Times New Roman" w:eastAsia="Calibri" w:hAnsi="Times New Roman" w:cs="Simplified Arabic"/>
          <w:b/>
          <w:bCs/>
          <w:sz w:val="24"/>
          <w:szCs w:val="28"/>
        </w:rPr>
        <w:t>Data-Driven Decision Making Theory</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التي تركز على استخدام التحليلات المتقدمة والنماذج التنبؤية لتحسين جودة القرارات الإدارية. وتشير هذه النظرية إلى أن توفر البيانات الدقيقة وفي الوقت المناسب يُمكن صناع القرار من تقييم البدائل واختيار الخيارات المثلى، مما يقلل من الاعتماد على الحدس والخبرة الشخصية (</w:t>
      </w:r>
      <w:r w:rsidRPr="00EA59B6">
        <w:rPr>
          <w:rFonts w:ascii="Times New Roman" w:eastAsia="Calibri" w:hAnsi="Times New Roman" w:cs="Simplified Arabic"/>
          <w:sz w:val="24"/>
          <w:szCs w:val="28"/>
        </w:rPr>
        <w:t xml:space="preserve">Davenport &amp; </w:t>
      </w:r>
      <w:proofErr w:type="spellStart"/>
      <w:r w:rsidRPr="00EA59B6">
        <w:rPr>
          <w:rFonts w:ascii="Times New Roman" w:eastAsia="Calibri" w:hAnsi="Times New Roman" w:cs="Simplified Arabic"/>
          <w:sz w:val="24"/>
          <w:szCs w:val="28"/>
        </w:rPr>
        <w:t>Ronanki</w:t>
      </w:r>
      <w:proofErr w:type="spellEnd"/>
      <w:r w:rsidRPr="00EA59B6">
        <w:rPr>
          <w:rFonts w:ascii="Times New Roman" w:eastAsia="Calibri" w:hAnsi="Times New Roman" w:cs="Simplified Arabic"/>
          <w:sz w:val="24"/>
          <w:szCs w:val="28"/>
        </w:rPr>
        <w:t>, 2018</w:t>
      </w:r>
      <w:r w:rsidRPr="00EA59B6">
        <w:rPr>
          <w:rFonts w:ascii="Times New Roman" w:eastAsia="Calibri" w:hAnsi="Times New Roman" w:cs="Simplified Arabic"/>
          <w:sz w:val="24"/>
          <w:szCs w:val="28"/>
          <w:rtl/>
        </w:rPr>
        <w:t>). وقد أشارت دراسة (</w:t>
      </w:r>
      <w:r w:rsidRPr="00EA59B6">
        <w:rPr>
          <w:rFonts w:ascii="Times New Roman" w:eastAsia="Calibri" w:hAnsi="Times New Roman" w:cs="Simplified Arabic"/>
          <w:sz w:val="24"/>
          <w:szCs w:val="28"/>
        </w:rPr>
        <w:t>Dacre et al., 2025</w:t>
      </w:r>
      <w:r w:rsidRPr="00EA59B6">
        <w:rPr>
          <w:rFonts w:ascii="Times New Roman" w:eastAsia="Calibri" w:hAnsi="Times New Roman" w:cs="Simplified Arabic"/>
          <w:sz w:val="24"/>
          <w:szCs w:val="28"/>
          <w:rtl/>
        </w:rPr>
        <w:t>) إلى أن (61%) من المهنيين أفادوا بتحسن في اتخاذ القرار من خلال التحليلات الفورية والنمذجة التنبؤية.</w:t>
      </w:r>
    </w:p>
    <w:p w14:paraId="270AB3E8"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lastRenderedPageBreak/>
        <w:t xml:space="preserve">ثانياً، </w:t>
      </w:r>
      <w:r w:rsidRPr="00EA59B6">
        <w:rPr>
          <w:rFonts w:ascii="Times New Roman" w:eastAsia="Calibri" w:hAnsi="Times New Roman" w:cs="Simplified Arabic"/>
          <w:b/>
          <w:bCs/>
          <w:sz w:val="24"/>
          <w:szCs w:val="28"/>
          <w:rtl/>
        </w:rPr>
        <w:t>نظرية التعلم التنظيمي (</w:t>
      </w:r>
      <w:r w:rsidRPr="00EA59B6">
        <w:rPr>
          <w:rFonts w:ascii="Times New Roman" w:eastAsia="Calibri" w:hAnsi="Times New Roman" w:cs="Simplified Arabic"/>
          <w:b/>
          <w:bCs/>
          <w:sz w:val="24"/>
          <w:szCs w:val="28"/>
        </w:rPr>
        <w:t>Organizational Learning Theory</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التي تؤكد على أن المؤسسات يمكنها تحسين أدائها من خلال اكتساب المعرفة من الخبرات السابقة وتطبيقها في سياقات جديدة. ويتكامل الذكاء الاصطناعي مع هذه النظرية من خلال تحليل البيانات التاريخية واستخلاص الدروس المستفادة، مما يمكن المؤسسات من تحسين عملياتها بشكل مستمر (</w:t>
      </w:r>
      <w:r w:rsidRPr="00EA59B6">
        <w:rPr>
          <w:rFonts w:ascii="Times New Roman" w:eastAsia="Calibri" w:hAnsi="Times New Roman" w:cs="Simplified Arabic"/>
          <w:sz w:val="24"/>
          <w:szCs w:val="28"/>
        </w:rPr>
        <w:t>Sahadevan, 2023</w:t>
      </w:r>
      <w:r w:rsidRPr="00EA59B6">
        <w:rPr>
          <w:rFonts w:ascii="Times New Roman" w:eastAsia="Calibri" w:hAnsi="Times New Roman" w:cs="Simplified Arabic"/>
          <w:sz w:val="24"/>
          <w:szCs w:val="28"/>
          <w:rtl/>
        </w:rPr>
        <w:t>). وقد أشارت دراسة (</w:t>
      </w:r>
      <w:proofErr w:type="spellStart"/>
      <w:r w:rsidRPr="00EA59B6">
        <w:rPr>
          <w:rFonts w:ascii="Times New Roman" w:eastAsia="Calibri" w:hAnsi="Times New Roman" w:cs="Simplified Arabic"/>
          <w:sz w:val="24"/>
          <w:szCs w:val="28"/>
        </w:rPr>
        <w:t>Alayed</w:t>
      </w:r>
      <w:proofErr w:type="spellEnd"/>
      <w:r w:rsidRPr="00EA59B6">
        <w:rPr>
          <w:rFonts w:ascii="Times New Roman" w:eastAsia="Calibri" w:hAnsi="Times New Roman" w:cs="Simplified Arabic"/>
          <w:sz w:val="24"/>
          <w:szCs w:val="28"/>
        </w:rPr>
        <w:t>, 2025</w:t>
      </w:r>
      <w:r w:rsidRPr="00EA59B6">
        <w:rPr>
          <w:rFonts w:ascii="Times New Roman" w:eastAsia="Calibri" w:hAnsi="Times New Roman" w:cs="Simplified Arabic"/>
          <w:sz w:val="24"/>
          <w:szCs w:val="28"/>
          <w:rtl/>
        </w:rPr>
        <w:t>) إلى أن الذكاء الاصطناعي يعزز قدرة المؤسسات على التعلم من المشاريع السابقة وتحسين التخطيط للمشاريع المستقبلية.</w:t>
      </w:r>
    </w:p>
    <w:p w14:paraId="60A4814E"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ثالثاً، </w:t>
      </w:r>
      <w:r w:rsidRPr="00EA59B6">
        <w:rPr>
          <w:rFonts w:ascii="Times New Roman" w:eastAsia="Calibri" w:hAnsi="Times New Roman" w:cs="Simplified Arabic"/>
          <w:b/>
          <w:bCs/>
          <w:sz w:val="24"/>
          <w:szCs w:val="28"/>
          <w:rtl/>
        </w:rPr>
        <w:t>نظرية القدرات الديناميكية (</w:t>
      </w:r>
      <w:r w:rsidRPr="00EA59B6">
        <w:rPr>
          <w:rFonts w:ascii="Times New Roman" w:eastAsia="Calibri" w:hAnsi="Times New Roman" w:cs="Simplified Arabic"/>
          <w:b/>
          <w:bCs/>
          <w:sz w:val="24"/>
          <w:szCs w:val="28"/>
        </w:rPr>
        <w:t>Dynamic Capabilities Theory</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التي تشير إلى أن قدرة المؤسسة على الاستشعار والاستيعاب والتحول هي ما يميز المنظمات عالية الأداء عن غيرها. ويتيح الذكاء الاصطناعي تعزيز هذه القدرات من خلال توفير رؤى استباقية وتحليلات تنبؤية تمكن المؤسسات من التكيف مع التغيرات في بيئة الأعمال (</w:t>
      </w:r>
      <w:r w:rsidRPr="00EA59B6">
        <w:rPr>
          <w:rFonts w:ascii="Times New Roman" w:eastAsia="Calibri" w:hAnsi="Times New Roman" w:cs="Simplified Arabic"/>
          <w:sz w:val="24"/>
          <w:szCs w:val="28"/>
        </w:rPr>
        <w:t>Taboada et al., 2023</w:t>
      </w:r>
      <w:r w:rsidRPr="00EA59B6">
        <w:rPr>
          <w:rFonts w:ascii="Times New Roman" w:eastAsia="Calibri" w:hAnsi="Times New Roman" w:cs="Simplified Arabic"/>
          <w:sz w:val="24"/>
          <w:szCs w:val="28"/>
          <w:rtl/>
        </w:rPr>
        <w:t>). وقد أشارت دراسة (</w:t>
      </w:r>
      <w:r w:rsidRPr="00EA59B6">
        <w:rPr>
          <w:rFonts w:ascii="Times New Roman" w:eastAsia="Calibri" w:hAnsi="Times New Roman" w:cs="Simplified Arabic"/>
          <w:sz w:val="24"/>
          <w:szCs w:val="28"/>
        </w:rPr>
        <w:t>Omar et al., 2025</w:t>
      </w:r>
      <w:r w:rsidRPr="00EA59B6">
        <w:rPr>
          <w:rFonts w:ascii="Times New Roman" w:eastAsia="Calibri" w:hAnsi="Times New Roman" w:cs="Simplified Arabic"/>
          <w:sz w:val="24"/>
          <w:szCs w:val="28"/>
          <w:rtl/>
        </w:rPr>
        <w:t>) إلى أن استخدام خوارزميات التعلم الآلي يساعد في تحسين دقة تقدير التكاليف والمدة الزمنية للمشاريع، مما يعكس قدرة الذكاء الاصطناعي على تعزيز القدرات الديناميكية للمؤسسات. وتشير مراجعة منهجية (</w:t>
      </w:r>
      <w:r w:rsidRPr="00EA59B6">
        <w:rPr>
          <w:rFonts w:ascii="Times New Roman" w:eastAsia="Calibri" w:hAnsi="Times New Roman" w:cs="Simplified Arabic"/>
          <w:sz w:val="24"/>
          <w:szCs w:val="28"/>
        </w:rPr>
        <w:t>Polychronakis et al., 2024</w:t>
      </w:r>
      <w:r w:rsidRPr="00EA59B6">
        <w:rPr>
          <w:rFonts w:ascii="Times New Roman" w:eastAsia="Calibri" w:hAnsi="Times New Roman" w:cs="Simplified Arabic"/>
          <w:sz w:val="24"/>
          <w:szCs w:val="28"/>
          <w:rtl/>
        </w:rPr>
        <w:t>) إلى أن تكامل الذكاء الاصطناعي مع إدارة المشاريع يسهم في تطوير قدرات تنظيمية جديدة تمكن المؤسسات من الاستجابة بشكل أسرع للتغيرات في بيئة الأعمال.</w:t>
      </w:r>
    </w:p>
    <w:p w14:paraId="220165C1"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هذه النظريات لا تتنافس بقدر ما تتكامل لتقديم تفسير متعدد المستويات لاستخدام الذكاء الاصطناعي في إدارة المشاريع. ففي سياق التحول الرقمي في المملكة العربية السعودية، يمكن تطبيق هذه النظريات بشكل تكاملي: توفر نظرية اتخاذ القرار المعزز بالبيانات الأساس لتصميم أنظمة تحليلية متقدمة، بينما توجه نظرية التعلم التنظيمي كيفية استخلاص الدروس من المشاريع السابقة وتحسين العمليات. وتُشير نظرية القدرات الديناميكية إلى أن هذه الأنظمة يجب أن تكون مرنة وقابلة للتكيف مع التغيرات السريعة في بيئة الأعمال.</w:t>
      </w:r>
    </w:p>
    <w:p w14:paraId="2AA95D7A"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1.2.4</w:t>
      </w:r>
      <w:r w:rsidRPr="00EA59B6">
        <w:rPr>
          <w:rFonts w:ascii="Times New Roman" w:eastAsia="Calibri" w:hAnsi="Times New Roman" w:cs="Simplified Arabic"/>
          <w:b/>
          <w:bCs/>
          <w:sz w:val="24"/>
          <w:szCs w:val="28"/>
          <w:rtl/>
        </w:rPr>
        <w:t xml:space="preserve"> نماذج نضج تبني الذكاء الاصطناعي في المؤسسات</w:t>
      </w:r>
    </w:p>
    <w:p w14:paraId="3E73EC49"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لتقييم مدى تقدم المؤسسات في تبني الذكاء الاصطناعي في إدارة المشاريع، تم تطوير عدد من نماذج النضج التي تصف مراحل التطور من البداية إلى التحول الاستراتيجي الكامل. ويُعد </w:t>
      </w:r>
      <w:r w:rsidRPr="00EA59B6">
        <w:rPr>
          <w:rFonts w:ascii="Times New Roman" w:eastAsia="Calibri" w:hAnsi="Times New Roman" w:cs="Simplified Arabic"/>
          <w:sz w:val="24"/>
          <w:szCs w:val="28"/>
          <w:rtl/>
        </w:rPr>
        <w:lastRenderedPageBreak/>
        <w:t>نموذج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أحد أبرز هذه النماذج في سياق إدارة المشاريع، حيث يصنف المؤسسات وفق مستويات تبني الذكاء الاصطناعي. وقد أشار تقرير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إلى أن المستخدمين المتقدمين للذكاء الاصطناعي (الرواد) يمثلون حوالي (20%) من المؤسسات، بينما لا يزال الجزء الأكبر في مراحل الاستكشاف والتجريب. وتُظهر البيانات أن الرواد أكثر إنتاجية (93% مقابل 58%)، وأكثر فعالية (88% مقابل 50%)، ويحققون تحسينات في نطاق المشروع والجدولة وإدارة التكاليف وإدارة الجودة مقارنة بالمستخدمين المبتدئين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w:t>
      </w:r>
    </w:p>
    <w:p w14:paraId="003C73A1" w14:textId="77777777" w:rsidR="00EA59B6" w:rsidRPr="00EA59B6" w:rsidRDefault="00EA59B6" w:rsidP="00EA59B6">
      <w:pPr>
        <w:spacing w:after="0" w:line="276" w:lineRule="auto"/>
        <w:jc w:val="center"/>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tl/>
        </w:rPr>
        <w:t>جدول (2.2): مستويات نضج تبني الذكاء الاصطناعي في إدارة المشاريع</w:t>
      </w:r>
    </w:p>
    <w:tbl>
      <w:tblPr>
        <w:tblStyle w:val="4-51"/>
        <w:bidiVisual/>
        <w:tblW w:w="0" w:type="auto"/>
        <w:jc w:val="center"/>
        <w:tblLook w:val="04A0" w:firstRow="1" w:lastRow="0" w:firstColumn="1" w:lastColumn="0" w:noHBand="0" w:noVBand="1"/>
      </w:tblPr>
      <w:tblGrid>
        <w:gridCol w:w="863"/>
        <w:gridCol w:w="2209"/>
        <w:gridCol w:w="4016"/>
        <w:gridCol w:w="1350"/>
      </w:tblGrid>
      <w:tr w:rsidR="00EA59B6" w:rsidRPr="00EA59B6" w14:paraId="3789FCA6" w14:textId="77777777" w:rsidTr="004848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2CA96D"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المستوى</w:t>
            </w:r>
          </w:p>
        </w:tc>
        <w:tc>
          <w:tcPr>
            <w:tcW w:w="0" w:type="auto"/>
            <w:vAlign w:val="center"/>
            <w:hideMark/>
          </w:tcPr>
          <w:p w14:paraId="0E6C8E72" w14:textId="77777777" w:rsidR="00EA59B6" w:rsidRPr="00EA59B6" w:rsidRDefault="00EA59B6" w:rsidP="00EA59B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التصنيف</w:t>
            </w:r>
          </w:p>
        </w:tc>
        <w:tc>
          <w:tcPr>
            <w:tcW w:w="0" w:type="auto"/>
            <w:vAlign w:val="center"/>
            <w:hideMark/>
          </w:tcPr>
          <w:p w14:paraId="75A17717" w14:textId="77777777" w:rsidR="00EA59B6" w:rsidRPr="00EA59B6" w:rsidRDefault="00EA59B6" w:rsidP="00EA59B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الخصائص الرئيسة</w:t>
            </w:r>
          </w:p>
        </w:tc>
        <w:tc>
          <w:tcPr>
            <w:tcW w:w="0" w:type="auto"/>
            <w:vAlign w:val="center"/>
            <w:hideMark/>
          </w:tcPr>
          <w:p w14:paraId="4E6298BA" w14:textId="77777777" w:rsidR="00EA59B6" w:rsidRPr="00EA59B6" w:rsidRDefault="00EA59B6" w:rsidP="00EA59B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نسبة المؤسسات</w:t>
            </w:r>
          </w:p>
        </w:tc>
      </w:tr>
      <w:tr w:rsidR="00EA59B6" w:rsidRPr="00EA59B6" w14:paraId="3FA2C32E"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AE476B"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الأول</w:t>
            </w:r>
          </w:p>
        </w:tc>
        <w:tc>
          <w:tcPr>
            <w:tcW w:w="0" w:type="auto"/>
            <w:vAlign w:val="center"/>
            <w:hideMark/>
          </w:tcPr>
          <w:p w14:paraId="0FF6A8EB"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tl/>
              </w:rPr>
              <w:t>المستكشفون (</w:t>
            </w:r>
            <w:r w:rsidRPr="00EA59B6">
              <w:rPr>
                <w:rFonts w:ascii="Times New Roman" w:eastAsia="Calibri" w:hAnsi="Times New Roman" w:cs="Simplified Arabic"/>
                <w:b/>
                <w:bCs/>
                <w:sz w:val="24"/>
                <w:szCs w:val="24"/>
              </w:rPr>
              <w:t>Explorers</w:t>
            </w:r>
            <w:r w:rsidRPr="00EA59B6">
              <w:rPr>
                <w:rFonts w:ascii="Times New Roman" w:eastAsia="Calibri" w:hAnsi="Times New Roman" w:cs="Simplified Arabic"/>
                <w:b/>
                <w:bCs/>
                <w:sz w:val="24"/>
                <w:szCs w:val="24"/>
                <w:rtl/>
              </w:rPr>
              <w:t>)</w:t>
            </w:r>
          </w:p>
        </w:tc>
        <w:tc>
          <w:tcPr>
            <w:tcW w:w="0" w:type="auto"/>
            <w:vAlign w:val="center"/>
            <w:hideMark/>
          </w:tcPr>
          <w:p w14:paraId="04BAF912"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tl/>
              </w:rPr>
              <w:t>تجارب محدودة، استخدام أساسي للأدوات، نتائج غير موسعة</w:t>
            </w:r>
          </w:p>
        </w:tc>
        <w:tc>
          <w:tcPr>
            <w:tcW w:w="0" w:type="auto"/>
            <w:vAlign w:val="center"/>
            <w:hideMark/>
          </w:tcPr>
          <w:p w14:paraId="13F1D5C6"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Pr>
              <w:t>~50%</w:t>
            </w:r>
          </w:p>
        </w:tc>
      </w:tr>
      <w:tr w:rsidR="00EA59B6" w:rsidRPr="00EA59B6" w14:paraId="71CF00B1"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2682AB"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الثاني</w:t>
            </w:r>
          </w:p>
        </w:tc>
        <w:tc>
          <w:tcPr>
            <w:tcW w:w="0" w:type="auto"/>
            <w:vAlign w:val="center"/>
            <w:hideMark/>
          </w:tcPr>
          <w:p w14:paraId="7A6FB47B"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Pr>
            </w:pPr>
            <w:proofErr w:type="spellStart"/>
            <w:r w:rsidRPr="00EA59B6">
              <w:rPr>
                <w:rFonts w:ascii="Times New Roman" w:eastAsia="Calibri" w:hAnsi="Times New Roman" w:cs="Simplified Arabic"/>
                <w:b/>
                <w:bCs/>
                <w:sz w:val="24"/>
                <w:szCs w:val="24"/>
                <w:rtl/>
              </w:rPr>
              <w:t>المتبنون</w:t>
            </w:r>
            <w:proofErr w:type="spellEnd"/>
            <w:r w:rsidRPr="00EA59B6">
              <w:rPr>
                <w:rFonts w:ascii="Times New Roman" w:eastAsia="Calibri" w:hAnsi="Times New Roman" w:cs="Simplified Arabic"/>
                <w:b/>
                <w:bCs/>
                <w:sz w:val="24"/>
                <w:szCs w:val="24"/>
                <w:rtl/>
              </w:rPr>
              <w:t xml:space="preserve"> (</w:t>
            </w:r>
            <w:r w:rsidRPr="00EA59B6">
              <w:rPr>
                <w:rFonts w:ascii="Times New Roman" w:eastAsia="Calibri" w:hAnsi="Times New Roman" w:cs="Simplified Arabic"/>
                <w:b/>
                <w:bCs/>
                <w:sz w:val="24"/>
                <w:szCs w:val="24"/>
              </w:rPr>
              <w:t>Adopters</w:t>
            </w:r>
            <w:r w:rsidRPr="00EA59B6">
              <w:rPr>
                <w:rFonts w:ascii="Times New Roman" w:eastAsia="Calibri" w:hAnsi="Times New Roman" w:cs="Simplified Arabic"/>
                <w:b/>
                <w:bCs/>
                <w:sz w:val="24"/>
                <w:szCs w:val="24"/>
                <w:rtl/>
              </w:rPr>
              <w:t>)</w:t>
            </w:r>
          </w:p>
        </w:tc>
        <w:tc>
          <w:tcPr>
            <w:tcW w:w="0" w:type="auto"/>
            <w:vAlign w:val="center"/>
            <w:hideMark/>
          </w:tcPr>
          <w:p w14:paraId="2A6BD523"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tl/>
              </w:rPr>
              <w:t>استخدام منتظم لبعض الأدوات، تحسينات جزئية في الأداء</w:t>
            </w:r>
          </w:p>
        </w:tc>
        <w:tc>
          <w:tcPr>
            <w:tcW w:w="0" w:type="auto"/>
            <w:vAlign w:val="center"/>
            <w:hideMark/>
          </w:tcPr>
          <w:p w14:paraId="05DC5C56" w14:textId="77777777" w:rsidR="00EA59B6" w:rsidRPr="00EA59B6" w:rsidRDefault="00EA59B6" w:rsidP="00EA59B6">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Pr>
              <w:t>~30%</w:t>
            </w:r>
          </w:p>
        </w:tc>
      </w:tr>
      <w:tr w:rsidR="00EA59B6" w:rsidRPr="00EA59B6" w14:paraId="3193DB14"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5A8202" w14:textId="77777777" w:rsidR="00EA59B6" w:rsidRPr="00EA59B6" w:rsidRDefault="00EA59B6" w:rsidP="00EA59B6">
            <w:pPr>
              <w:spacing w:after="0" w:line="276" w:lineRule="auto"/>
              <w:jc w:val="center"/>
              <w:rPr>
                <w:rFonts w:ascii="Times New Roman" w:eastAsia="Calibri" w:hAnsi="Times New Roman" w:cs="Simplified Arabic"/>
                <w:sz w:val="24"/>
                <w:szCs w:val="24"/>
              </w:rPr>
            </w:pPr>
            <w:r w:rsidRPr="00EA59B6">
              <w:rPr>
                <w:rFonts w:ascii="Times New Roman" w:eastAsia="Calibri" w:hAnsi="Times New Roman" w:cs="Simplified Arabic"/>
                <w:sz w:val="24"/>
                <w:szCs w:val="24"/>
                <w:rtl/>
              </w:rPr>
              <w:t>الثالث</w:t>
            </w:r>
          </w:p>
        </w:tc>
        <w:tc>
          <w:tcPr>
            <w:tcW w:w="0" w:type="auto"/>
            <w:vAlign w:val="center"/>
            <w:hideMark/>
          </w:tcPr>
          <w:p w14:paraId="043A5C60"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tl/>
              </w:rPr>
              <w:t>الرواد (</w:t>
            </w:r>
            <w:r w:rsidRPr="00EA59B6">
              <w:rPr>
                <w:rFonts w:ascii="Times New Roman" w:eastAsia="Calibri" w:hAnsi="Times New Roman" w:cs="Simplified Arabic"/>
                <w:b/>
                <w:bCs/>
                <w:sz w:val="24"/>
                <w:szCs w:val="24"/>
              </w:rPr>
              <w:t>Trailblazers</w:t>
            </w:r>
            <w:r w:rsidRPr="00EA59B6">
              <w:rPr>
                <w:rFonts w:ascii="Times New Roman" w:eastAsia="Calibri" w:hAnsi="Times New Roman" w:cs="Simplified Arabic"/>
                <w:b/>
                <w:bCs/>
                <w:sz w:val="24"/>
                <w:szCs w:val="24"/>
                <w:rtl/>
              </w:rPr>
              <w:t>)</w:t>
            </w:r>
          </w:p>
        </w:tc>
        <w:tc>
          <w:tcPr>
            <w:tcW w:w="0" w:type="auto"/>
            <w:vAlign w:val="center"/>
            <w:hideMark/>
          </w:tcPr>
          <w:p w14:paraId="4DF67397"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tl/>
              </w:rPr>
              <w:t>استخدام متقدم ومتكامل، تحسينات كبيرة في الأداء، ميزة تنافسية</w:t>
            </w:r>
          </w:p>
        </w:tc>
        <w:tc>
          <w:tcPr>
            <w:tcW w:w="0" w:type="auto"/>
            <w:vAlign w:val="center"/>
            <w:hideMark/>
          </w:tcPr>
          <w:p w14:paraId="02BD41D9" w14:textId="77777777" w:rsidR="00EA59B6" w:rsidRPr="00EA59B6" w:rsidRDefault="00EA59B6" w:rsidP="00EA59B6">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Pr>
              <w:t>~20%</w:t>
            </w:r>
          </w:p>
        </w:tc>
      </w:tr>
    </w:tbl>
    <w:p w14:paraId="10485F6B" w14:textId="77777777" w:rsidR="00EA59B6" w:rsidRPr="00EA59B6" w:rsidRDefault="00EA59B6" w:rsidP="00EA59B6">
      <w:pPr>
        <w:spacing w:after="0" w:line="276" w:lineRule="auto"/>
        <w:jc w:val="center"/>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tl/>
        </w:rPr>
        <w:t xml:space="preserve">(المصدر: إعداد الباحثة بالاعتماد على </w:t>
      </w:r>
      <w:r w:rsidRPr="00EA59B6">
        <w:rPr>
          <w:rFonts w:ascii="Times New Roman" w:eastAsia="Calibri" w:hAnsi="Times New Roman" w:cs="Simplified Arabic"/>
          <w:b/>
          <w:bCs/>
          <w:sz w:val="24"/>
          <w:szCs w:val="24"/>
        </w:rPr>
        <w:t>PMI, 2024</w:t>
      </w:r>
      <w:r w:rsidRPr="00EA59B6">
        <w:rPr>
          <w:rFonts w:ascii="Times New Roman" w:eastAsia="Calibri" w:hAnsi="Times New Roman" w:cs="Simplified Arabic"/>
          <w:b/>
          <w:bCs/>
          <w:sz w:val="24"/>
          <w:szCs w:val="24"/>
          <w:rtl/>
        </w:rPr>
        <w:t>)</w:t>
      </w:r>
    </w:p>
    <w:p w14:paraId="43814B7C"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وتُظهر البيانات الواردة في الجدول أن ما يقرب من (80%) من المؤسسات لا تزال في مراحل الاستكشاف والتبني، في حين أن (20%) فقط وصلت إلى مرحلة الريادة. وهذا يشير إلى وجود فجوة كبيرة بين الطموحات الاستراتيجية والقدرات التنفيذية الفعلية، مما يبرز أهمية فهم العوامل التي تسهم في تسريع تبني الذكاء الاصطناعي في إدارة المشاريع. وتشير دراسة (</w:t>
      </w:r>
      <w:proofErr w:type="spellStart"/>
      <w:r w:rsidRPr="00EA59B6">
        <w:rPr>
          <w:rFonts w:ascii="Times New Roman" w:eastAsia="Calibri" w:hAnsi="Times New Roman" w:cs="Simplified Arabic"/>
          <w:sz w:val="24"/>
          <w:szCs w:val="28"/>
        </w:rPr>
        <w:t>Alayed</w:t>
      </w:r>
      <w:proofErr w:type="spellEnd"/>
      <w:r w:rsidRPr="00EA59B6">
        <w:rPr>
          <w:rFonts w:ascii="Times New Roman" w:eastAsia="Calibri" w:hAnsi="Times New Roman" w:cs="Simplified Arabic"/>
          <w:sz w:val="24"/>
          <w:szCs w:val="28"/>
        </w:rPr>
        <w:t>, 2025</w:t>
      </w:r>
      <w:r w:rsidRPr="00EA59B6">
        <w:rPr>
          <w:rFonts w:ascii="Times New Roman" w:eastAsia="Calibri" w:hAnsi="Times New Roman" w:cs="Simplified Arabic"/>
          <w:sz w:val="24"/>
          <w:szCs w:val="28"/>
          <w:rtl/>
        </w:rPr>
        <w:t>) إلى أن العوامل الرئيسة التي تسهم في تبني الذكاء الاصطناعي في إدارة المشاريع تشمل دعم الإدارة العليا، وتوفر البيانات عالية الجودة، وتطوير المهارات الرقمية للكوادر.</w:t>
      </w:r>
    </w:p>
    <w:p w14:paraId="5239B60D"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في ضوء ما سبق ترى الباحثة أن نماذج نضج الذكاء الاصطناعي تُعد أدوات مهمة لتزويد صناع القرار بخريطة طريق واضحة لتطوير قدرات مؤسساتهم. فالمنظمة التي تدرك أنها لا تزال في مرحلة الاستكشاف، على سبيل المثال، يمكنها تركيز جهودها على بناء المهارات الأساسية والبنية التحتية للبيانات قبل التوسع في النشر المؤسسي. وفي السياق السعودي، حيث تشهد المؤسسات </w:t>
      </w:r>
      <w:r w:rsidRPr="00EA59B6">
        <w:rPr>
          <w:rFonts w:ascii="Times New Roman" w:eastAsia="Calibri" w:hAnsi="Times New Roman" w:cs="Simplified Arabic"/>
          <w:sz w:val="24"/>
          <w:szCs w:val="28"/>
          <w:rtl/>
        </w:rPr>
        <w:lastRenderedPageBreak/>
        <w:t>تحولاً رقمياً طموحاً، يمكن لهذه النماذج أن توجه استراتيجيات تبني الذكاء الاصطناعي في إدارة المشاريع.</w:t>
      </w:r>
    </w:p>
    <w:p w14:paraId="0B0A010B"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1.2.5</w:t>
      </w:r>
      <w:r w:rsidRPr="00EA59B6">
        <w:rPr>
          <w:rFonts w:ascii="Times New Roman" w:eastAsia="Calibri" w:hAnsi="Times New Roman" w:cs="Simplified Arabic"/>
          <w:b/>
          <w:bCs/>
          <w:sz w:val="24"/>
          <w:szCs w:val="28"/>
          <w:rtl/>
        </w:rPr>
        <w:t xml:space="preserve"> تحديات تطبيق الذكاء الاصطناعي في إدارة المشاريع</w:t>
      </w:r>
    </w:p>
    <w:p w14:paraId="19D6C130"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على الرغم من الفوائد الكبيرة التي يقدمها الذكاء الاصطناعي، تواجه المؤسسات العديد من التحديات التي تعوق تبنيها الفعال لهذه التقنيات في إدارة المشاريع. ويمكن تصنيف هذه التحديات إلى أربع فئات رئيسة. أولاً، </w:t>
      </w:r>
      <w:r w:rsidRPr="00EA59B6">
        <w:rPr>
          <w:rFonts w:ascii="Times New Roman" w:eastAsia="Calibri" w:hAnsi="Times New Roman" w:cs="Simplified Arabic"/>
          <w:b/>
          <w:bCs/>
          <w:sz w:val="24"/>
          <w:szCs w:val="28"/>
          <w:rtl/>
        </w:rPr>
        <w:t>التحديات التقنية</w:t>
      </w:r>
      <w:r w:rsidRPr="00EA59B6">
        <w:rPr>
          <w:rFonts w:ascii="Times New Roman" w:eastAsia="Calibri" w:hAnsi="Times New Roman" w:cs="Simplified Arabic"/>
          <w:sz w:val="24"/>
          <w:szCs w:val="28"/>
          <w:rtl/>
        </w:rPr>
        <w:t>، وتشمل ضعف البنية التحتية للبيانات، وعدم جاهزية البيانات للتطبيقات المتقدمة، ومشكلات التوافق مع الأنظمة القديمة (</w:t>
      </w:r>
      <w:r w:rsidRPr="00EA59B6">
        <w:rPr>
          <w:rFonts w:ascii="Times New Roman" w:eastAsia="Calibri" w:hAnsi="Times New Roman" w:cs="Simplified Arabic"/>
          <w:sz w:val="24"/>
          <w:szCs w:val="28"/>
        </w:rPr>
        <w:t>Taboada et al., 2023</w:t>
      </w:r>
      <w:r w:rsidRPr="00EA59B6">
        <w:rPr>
          <w:rFonts w:ascii="Times New Roman" w:eastAsia="Calibri" w:hAnsi="Times New Roman" w:cs="Simplified Arabic"/>
          <w:sz w:val="24"/>
          <w:szCs w:val="28"/>
          <w:rtl/>
        </w:rPr>
        <w:t>). وقد أشار تقرير (</w:t>
      </w:r>
      <w:r w:rsidRPr="00EA59B6">
        <w:rPr>
          <w:rFonts w:ascii="Times New Roman" w:eastAsia="Calibri" w:hAnsi="Times New Roman" w:cs="Simplified Arabic"/>
          <w:sz w:val="24"/>
          <w:szCs w:val="28"/>
        </w:rPr>
        <w:t>Dacre et al., 2025</w:t>
      </w:r>
      <w:r w:rsidRPr="00EA59B6">
        <w:rPr>
          <w:rFonts w:ascii="Times New Roman" w:eastAsia="Calibri" w:hAnsi="Times New Roman" w:cs="Simplified Arabic"/>
          <w:sz w:val="24"/>
          <w:szCs w:val="28"/>
          <w:rtl/>
        </w:rPr>
        <w:t>) إلى أن حوكمة البيانات برزت كشاغل حاسم، مع تركيز قوي على معالجة مخاطر البيانات غير الجيدة تؤدي إلى نتائج غير جيدة. كما أشارت دراسة (</w:t>
      </w:r>
      <w:r w:rsidRPr="00EA59B6">
        <w:rPr>
          <w:rFonts w:ascii="Times New Roman" w:eastAsia="Calibri" w:hAnsi="Times New Roman" w:cs="Simplified Arabic"/>
          <w:sz w:val="24"/>
          <w:szCs w:val="28"/>
        </w:rPr>
        <w:t>Sajadi et al., 2024</w:t>
      </w:r>
      <w:r w:rsidRPr="00EA59B6">
        <w:rPr>
          <w:rFonts w:ascii="Times New Roman" w:eastAsia="Calibri" w:hAnsi="Times New Roman" w:cs="Simplified Arabic"/>
          <w:sz w:val="24"/>
          <w:szCs w:val="28"/>
          <w:rtl/>
        </w:rPr>
        <w:t>) إلى أن تحديات جودة البيانات وقابليتها للتفسير تشكل عقبات رئيسة أمام تطبيق الذكاء الاصطناعي في إدارة المشاريع.</w:t>
      </w:r>
    </w:p>
    <w:p w14:paraId="5EBE1F22"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ثانياً، </w:t>
      </w:r>
      <w:r w:rsidRPr="00EA59B6">
        <w:rPr>
          <w:rFonts w:ascii="Times New Roman" w:eastAsia="Calibri" w:hAnsi="Times New Roman" w:cs="Simplified Arabic"/>
          <w:b/>
          <w:bCs/>
          <w:sz w:val="24"/>
          <w:szCs w:val="28"/>
          <w:rtl/>
        </w:rPr>
        <w:t>التحديات البشرية</w:t>
      </w:r>
      <w:r w:rsidRPr="00EA59B6">
        <w:rPr>
          <w:rFonts w:ascii="Times New Roman" w:eastAsia="Calibri" w:hAnsi="Times New Roman" w:cs="Simplified Arabic"/>
          <w:sz w:val="24"/>
          <w:szCs w:val="28"/>
          <w:rtl/>
        </w:rPr>
        <w:t>، وتشمل نقص المهارات والخبرات اللازمة لاستخدام أدوات الذكاء الاصطناعي، ومقاومة التغيير، وفجوة المواهب الرقمية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وقد أشار تقرير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إلى أن المستخدمين المتقدمين للذكاء الاصطناعي هم أكثر ميلاً بثلاث مرات لتطوير مهاراتهم باستخدام الذكاء الاصطناعي مقارنة بالمستخدمين المبتدئين، مما يعكس أهمية التدريب وبناء القدرات في تعزيز التبني. وتشير دراسة (</w:t>
      </w:r>
      <w:r w:rsidRPr="00EA59B6">
        <w:rPr>
          <w:rFonts w:ascii="Times New Roman" w:eastAsia="Calibri" w:hAnsi="Times New Roman" w:cs="Simplified Arabic"/>
          <w:sz w:val="24"/>
          <w:szCs w:val="28"/>
        </w:rPr>
        <w:t>Vergara et al., 2025</w:t>
      </w:r>
      <w:r w:rsidRPr="00EA59B6">
        <w:rPr>
          <w:rFonts w:ascii="Times New Roman" w:eastAsia="Calibri" w:hAnsi="Times New Roman" w:cs="Simplified Arabic"/>
          <w:sz w:val="24"/>
          <w:szCs w:val="28"/>
          <w:rtl/>
        </w:rPr>
        <w:t>) إلى أن نقص المهارات المتخصصة في مجال الذكاء الاصطناعي يُعد من أبرز المعوقات التي تحد من تبني هذه التقنيات في إدارة المشاريع.</w:t>
      </w:r>
    </w:p>
    <w:p w14:paraId="3EBD4D3E"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ثالثاً، </w:t>
      </w:r>
      <w:r w:rsidRPr="00EA59B6">
        <w:rPr>
          <w:rFonts w:ascii="Times New Roman" w:eastAsia="Calibri" w:hAnsi="Times New Roman" w:cs="Simplified Arabic"/>
          <w:b/>
          <w:bCs/>
          <w:sz w:val="24"/>
          <w:szCs w:val="28"/>
          <w:rtl/>
        </w:rPr>
        <w:t>التحديات التنظيمية</w:t>
      </w:r>
      <w:r w:rsidRPr="00EA59B6">
        <w:rPr>
          <w:rFonts w:ascii="Times New Roman" w:eastAsia="Calibri" w:hAnsi="Times New Roman" w:cs="Simplified Arabic"/>
          <w:sz w:val="24"/>
          <w:szCs w:val="28"/>
          <w:rtl/>
        </w:rPr>
        <w:t>، وتشمل غياب الاستراتيجية الواضحة، وضعف الحوكمة، والبيروقراطية، وعجز القيادة الرقمية (</w:t>
      </w:r>
      <w:r w:rsidRPr="00EA59B6">
        <w:rPr>
          <w:rFonts w:ascii="Times New Roman" w:eastAsia="Calibri" w:hAnsi="Times New Roman" w:cs="Simplified Arabic"/>
          <w:sz w:val="24"/>
          <w:szCs w:val="28"/>
        </w:rPr>
        <w:t>Sahadevan, 2023</w:t>
      </w:r>
      <w:r w:rsidRPr="00EA59B6">
        <w:rPr>
          <w:rFonts w:ascii="Times New Roman" w:eastAsia="Calibri" w:hAnsi="Times New Roman" w:cs="Simplified Arabic"/>
          <w:sz w:val="24"/>
          <w:szCs w:val="28"/>
          <w:rtl/>
        </w:rPr>
        <w:t>). وقد أشارت دراسة (</w:t>
      </w:r>
      <w:proofErr w:type="spellStart"/>
      <w:r w:rsidRPr="00EA59B6">
        <w:rPr>
          <w:rFonts w:ascii="Times New Roman" w:eastAsia="Calibri" w:hAnsi="Times New Roman" w:cs="Simplified Arabic"/>
          <w:sz w:val="24"/>
          <w:szCs w:val="28"/>
        </w:rPr>
        <w:t>Kozhakhmetova</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xml:space="preserve">) إلى أن تبني الذكاء الاصطناعي يختلف بين الصناعات، مما يعكس تأثير السياق التنظيمي على سرعة التبني. رابعاً، </w:t>
      </w:r>
      <w:r w:rsidRPr="00EA59B6">
        <w:rPr>
          <w:rFonts w:ascii="Times New Roman" w:eastAsia="Calibri" w:hAnsi="Times New Roman" w:cs="Simplified Arabic"/>
          <w:b/>
          <w:bCs/>
          <w:sz w:val="24"/>
          <w:szCs w:val="28"/>
          <w:rtl/>
        </w:rPr>
        <w:t>التحديات المالية</w:t>
      </w:r>
      <w:r w:rsidRPr="00EA59B6">
        <w:rPr>
          <w:rFonts w:ascii="Times New Roman" w:eastAsia="Calibri" w:hAnsi="Times New Roman" w:cs="Simplified Arabic"/>
          <w:sz w:val="24"/>
          <w:szCs w:val="28"/>
          <w:rtl/>
        </w:rPr>
        <w:t>، وتشمل ارتفاع تكاليف التطبيق، وصعوبة قياس العائد على الاستثمار، وعدم وضوح نماذج التمويل (</w:t>
      </w:r>
      <w:proofErr w:type="spellStart"/>
      <w:r w:rsidRPr="00EA59B6">
        <w:rPr>
          <w:rFonts w:ascii="Times New Roman" w:eastAsia="Calibri" w:hAnsi="Times New Roman" w:cs="Simplified Arabic"/>
          <w:sz w:val="24"/>
          <w:szCs w:val="28"/>
        </w:rPr>
        <w:t>Kozhakhmetova</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xml:space="preserve">). وتشير </w:t>
      </w:r>
      <w:r w:rsidRPr="00EA59B6">
        <w:rPr>
          <w:rFonts w:ascii="Times New Roman" w:eastAsia="Calibri" w:hAnsi="Times New Roman" w:cs="Simplified Arabic"/>
          <w:sz w:val="24"/>
          <w:szCs w:val="28"/>
          <w:rtl/>
        </w:rPr>
        <w:lastRenderedPageBreak/>
        <w:t>دراسة (</w:t>
      </w:r>
      <w:r w:rsidRPr="00EA59B6">
        <w:rPr>
          <w:rFonts w:ascii="Times New Roman" w:eastAsia="Calibri" w:hAnsi="Times New Roman" w:cs="Simplified Arabic"/>
          <w:sz w:val="24"/>
          <w:szCs w:val="28"/>
        </w:rPr>
        <w:t>Polychronakis et al., 2024</w:t>
      </w:r>
      <w:r w:rsidRPr="00EA59B6">
        <w:rPr>
          <w:rFonts w:ascii="Times New Roman" w:eastAsia="Calibri" w:hAnsi="Times New Roman" w:cs="Simplified Arabic"/>
          <w:sz w:val="24"/>
          <w:szCs w:val="28"/>
          <w:rtl/>
        </w:rPr>
        <w:t>) إلى أن المؤسسات تواجه صعوبة في تحديد العائد على الاستثمار لمشاريع الذكاء الاصطناعي، مما يحد من قدرتها على تبرير التكاليف الأولية المرتفعة.</w:t>
      </w:r>
    </w:p>
    <w:p w14:paraId="7F4920F5"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تحديات تطبيق الذكاء الاصطناعي في إدارة المشاريع لا تكمن في التقنية بحد ذاتها، بل في كيفية تصميمها وتطبيقها ودمجها في العمليات التنظيمية. فالتحديات البشرية والتنظيمية غالباً ما تكون أكثر إعاقة من التحديات التقنية. فالمنظمة قد تمتلك البنية التحتية المناسبة والبيانات الجاهزة، لكنها تظل عاجزة عن تحقيق القيمة المطلوبة إذا لم تمتلك القيادة الرقمية المناسبة، أو إذا واجهت مقاومة ثقافية من الموظفين الذين يخشون أن يحل الذكاء الاصطناعي محل وظائفهم.</w:t>
      </w:r>
    </w:p>
    <w:p w14:paraId="33824440"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1.2.6</w:t>
      </w:r>
      <w:r w:rsidRPr="00EA59B6">
        <w:rPr>
          <w:rFonts w:ascii="Times New Roman" w:eastAsia="Calibri" w:hAnsi="Times New Roman" w:cs="Simplified Arabic"/>
          <w:b/>
          <w:bCs/>
          <w:sz w:val="24"/>
          <w:szCs w:val="28"/>
          <w:rtl/>
        </w:rPr>
        <w:t xml:space="preserve"> أثر الذكاء الاصطناعي في تحسين العمليات الإدارية للمشاريع</w:t>
      </w:r>
    </w:p>
    <w:p w14:paraId="27811ECC"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يؤثر الذكاء الاصطناعي في تحسين العمليات الإدارية للمشاريع من خلال عدة آليات رئيسة. أولاً، </w:t>
      </w:r>
      <w:r w:rsidRPr="00EA59B6">
        <w:rPr>
          <w:rFonts w:ascii="Times New Roman" w:eastAsia="Calibri" w:hAnsi="Times New Roman" w:cs="Simplified Arabic"/>
          <w:b/>
          <w:bCs/>
          <w:sz w:val="24"/>
          <w:szCs w:val="28"/>
          <w:rtl/>
        </w:rPr>
        <w:t>أتمتة المهام الروتينية</w:t>
      </w:r>
      <w:r w:rsidRPr="00EA59B6">
        <w:rPr>
          <w:rFonts w:ascii="Times New Roman" w:eastAsia="Calibri" w:hAnsi="Times New Roman" w:cs="Simplified Arabic"/>
          <w:sz w:val="24"/>
          <w:szCs w:val="28"/>
          <w:rtl/>
        </w:rPr>
        <w:t>، حيث يمكن للذكاء الاصطناعي أتمتة العديد من المهام الإدارية المتكررة مثل: إعداد التقارير، وتتبع التقدم، وإدارة المستندات، مما يوفر وقت الفرق للتركيز على المهام ذات القيمة المضافة الأعلى (</w:t>
      </w:r>
      <w:r w:rsidRPr="00EA59B6">
        <w:rPr>
          <w:rFonts w:ascii="Times New Roman" w:eastAsia="Calibri" w:hAnsi="Times New Roman" w:cs="Simplified Arabic"/>
          <w:sz w:val="24"/>
          <w:szCs w:val="28"/>
        </w:rPr>
        <w:t>Sahadevan, 2023</w:t>
      </w:r>
      <w:r w:rsidRPr="00EA59B6">
        <w:rPr>
          <w:rFonts w:ascii="Times New Roman" w:eastAsia="Calibri" w:hAnsi="Times New Roman" w:cs="Simplified Arabic"/>
          <w:sz w:val="24"/>
          <w:szCs w:val="28"/>
          <w:rtl/>
        </w:rPr>
        <w:t>). وقد أشارت دراسة (</w:t>
      </w:r>
      <w:r w:rsidRPr="00EA59B6">
        <w:rPr>
          <w:rFonts w:ascii="Times New Roman" w:eastAsia="Calibri" w:hAnsi="Times New Roman" w:cs="Simplified Arabic"/>
          <w:sz w:val="24"/>
          <w:szCs w:val="28"/>
        </w:rPr>
        <w:t>Noel, 2019</w:t>
      </w:r>
      <w:r w:rsidRPr="00EA59B6">
        <w:rPr>
          <w:rFonts w:ascii="Times New Roman" w:eastAsia="Calibri" w:hAnsi="Times New Roman" w:cs="Simplified Arabic"/>
          <w:sz w:val="24"/>
          <w:szCs w:val="28"/>
          <w:rtl/>
        </w:rPr>
        <w:t>) إلى أن استخدام تقنيات الذكاء الاصطناعي يساعد في أتمتة العديد من العمليات الإدارية داخل المشاريع.</w:t>
      </w:r>
    </w:p>
    <w:p w14:paraId="1F873FE5"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ثانياً، </w:t>
      </w:r>
      <w:r w:rsidRPr="00EA59B6">
        <w:rPr>
          <w:rFonts w:ascii="Times New Roman" w:eastAsia="Calibri" w:hAnsi="Times New Roman" w:cs="Simplified Arabic"/>
          <w:b/>
          <w:bCs/>
          <w:sz w:val="24"/>
          <w:szCs w:val="28"/>
          <w:rtl/>
        </w:rPr>
        <w:t>تحسين جودة التخطيط</w:t>
      </w:r>
      <w:r w:rsidRPr="00EA59B6">
        <w:rPr>
          <w:rFonts w:ascii="Times New Roman" w:eastAsia="Calibri" w:hAnsi="Times New Roman" w:cs="Simplified Arabic"/>
          <w:sz w:val="24"/>
          <w:szCs w:val="28"/>
          <w:rtl/>
        </w:rPr>
        <w:t>، حيث توفر أنظمة الذكاء الاصطناعي تحليلات تنبؤية دقيقة تساعد في تقدير التكاليف والمدة الزمنية للمشاريع بشكل أكثر دقة (</w:t>
      </w:r>
      <w:r w:rsidRPr="00EA59B6">
        <w:rPr>
          <w:rFonts w:ascii="Times New Roman" w:eastAsia="Calibri" w:hAnsi="Times New Roman" w:cs="Simplified Arabic"/>
          <w:sz w:val="24"/>
          <w:szCs w:val="28"/>
        </w:rPr>
        <w:t>Omar et al., 2025</w:t>
      </w:r>
      <w:r w:rsidRPr="00EA59B6">
        <w:rPr>
          <w:rFonts w:ascii="Times New Roman" w:eastAsia="Calibri" w:hAnsi="Times New Roman" w:cs="Simplified Arabic"/>
          <w:sz w:val="24"/>
          <w:szCs w:val="28"/>
          <w:rtl/>
        </w:rPr>
        <w:t>). وقد أظهرت دراسة (</w:t>
      </w:r>
      <w:r w:rsidRPr="00EA59B6">
        <w:rPr>
          <w:rFonts w:ascii="Times New Roman" w:eastAsia="Calibri" w:hAnsi="Times New Roman" w:cs="Simplified Arabic"/>
          <w:sz w:val="24"/>
          <w:szCs w:val="28"/>
        </w:rPr>
        <w:t>Dacre et al., 2025</w:t>
      </w:r>
      <w:r w:rsidRPr="00EA59B6">
        <w:rPr>
          <w:rFonts w:ascii="Times New Roman" w:eastAsia="Calibri" w:hAnsi="Times New Roman" w:cs="Simplified Arabic"/>
          <w:sz w:val="24"/>
          <w:szCs w:val="28"/>
          <w:rtl/>
        </w:rPr>
        <w:t>) أن المكاسب في الأداء تشمل تحسناً في التسليم في الوقت المحدد بنسبة (68%)، وخفضاً في التكاليف بنسبة (38%)، وتحسناً في الجودة بنسبة (61%). وتشير دراسة (</w:t>
      </w:r>
      <w:r w:rsidRPr="00EA59B6">
        <w:rPr>
          <w:rFonts w:ascii="Times New Roman" w:eastAsia="Calibri" w:hAnsi="Times New Roman" w:cs="Simplified Arabic"/>
          <w:sz w:val="24"/>
          <w:szCs w:val="28"/>
        </w:rPr>
        <w:t>Yigit &amp; Dogan, 2024</w:t>
      </w:r>
      <w:r w:rsidRPr="00EA59B6">
        <w:rPr>
          <w:rFonts w:ascii="Times New Roman" w:eastAsia="Calibri" w:hAnsi="Times New Roman" w:cs="Simplified Arabic"/>
          <w:sz w:val="24"/>
          <w:szCs w:val="28"/>
          <w:rtl/>
        </w:rPr>
        <w:t>) إلى أن خوارزميات التعلم الآلي تسهم في تحسين دقة تقدير مدة المشاريع وتقليل حالات التأخير.</w:t>
      </w:r>
    </w:p>
    <w:p w14:paraId="22AAE81E"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ثالثاً، </w:t>
      </w:r>
      <w:r w:rsidRPr="00EA59B6">
        <w:rPr>
          <w:rFonts w:ascii="Times New Roman" w:eastAsia="Calibri" w:hAnsi="Times New Roman" w:cs="Simplified Arabic"/>
          <w:b/>
          <w:bCs/>
          <w:sz w:val="24"/>
          <w:szCs w:val="28"/>
          <w:rtl/>
        </w:rPr>
        <w:t>تعزيز الرقابة والمتابعة</w:t>
      </w:r>
      <w:r w:rsidRPr="00EA59B6">
        <w:rPr>
          <w:rFonts w:ascii="Times New Roman" w:eastAsia="Calibri" w:hAnsi="Times New Roman" w:cs="Simplified Arabic"/>
          <w:sz w:val="24"/>
          <w:szCs w:val="28"/>
          <w:rtl/>
        </w:rPr>
        <w:t>، حيث تتيح أنظمة الذكاء الاصطناعي مراقبة تقدم المشروع في الوقت الفعلي، واكتشاف الانحرافات عن الخطة بسرعة، مما يسمح باتخاذ إجراءات تصحيحية فورية (</w:t>
      </w:r>
      <w:proofErr w:type="spellStart"/>
      <w:r w:rsidRPr="00EA59B6">
        <w:rPr>
          <w:rFonts w:ascii="Times New Roman" w:eastAsia="Calibri" w:hAnsi="Times New Roman" w:cs="Simplified Arabic"/>
          <w:sz w:val="24"/>
          <w:szCs w:val="28"/>
        </w:rPr>
        <w:t>Duică</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وقد أظهرت دراسة (</w:t>
      </w:r>
      <w:proofErr w:type="spellStart"/>
      <w:r w:rsidRPr="00EA59B6">
        <w:rPr>
          <w:rFonts w:ascii="Times New Roman" w:eastAsia="Calibri" w:hAnsi="Times New Roman" w:cs="Simplified Arabic"/>
          <w:sz w:val="24"/>
          <w:szCs w:val="28"/>
        </w:rPr>
        <w:t>Kozhakhmetova</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xml:space="preserve">) أن أنظمة اتخاذ القرار، </w:t>
      </w:r>
      <w:r w:rsidRPr="00EA59B6">
        <w:rPr>
          <w:rFonts w:ascii="Times New Roman" w:eastAsia="Calibri" w:hAnsi="Times New Roman" w:cs="Simplified Arabic"/>
          <w:sz w:val="24"/>
          <w:szCs w:val="28"/>
          <w:rtl/>
        </w:rPr>
        <w:lastRenderedPageBreak/>
        <w:t xml:space="preserve">وأتمتة العمليات، وتقنيات الصوت هي التقنيات الثلاث الأكثر أهمية التي يستخدمها متخصصو إدارة المشاريع لتحسين كفاءة المشاريع. رابعاً، </w:t>
      </w:r>
      <w:r w:rsidRPr="00EA59B6">
        <w:rPr>
          <w:rFonts w:ascii="Times New Roman" w:eastAsia="Calibri" w:hAnsi="Times New Roman" w:cs="Simplified Arabic"/>
          <w:b/>
          <w:bCs/>
          <w:sz w:val="24"/>
          <w:szCs w:val="28"/>
          <w:rtl/>
        </w:rPr>
        <w:t>تحسين إدارة الموارد</w:t>
      </w:r>
      <w:r w:rsidRPr="00EA59B6">
        <w:rPr>
          <w:rFonts w:ascii="Times New Roman" w:eastAsia="Calibri" w:hAnsi="Times New Roman" w:cs="Simplified Arabic"/>
          <w:sz w:val="24"/>
          <w:szCs w:val="28"/>
          <w:rtl/>
        </w:rPr>
        <w:t>، حيث تساعد خوارزميات الذكاء الاصطناعي في تحسين تخصيص الموارد البشرية والمادية والمالية وفقاً للاحتياجات الفعلية لكل مرحلة من مراحل المشروع، مما يقلل الهدر ويزيد الكفاءة (</w:t>
      </w:r>
      <w:r w:rsidRPr="00EA59B6">
        <w:rPr>
          <w:rFonts w:ascii="Times New Roman" w:eastAsia="Calibri" w:hAnsi="Times New Roman" w:cs="Simplified Arabic"/>
          <w:sz w:val="24"/>
          <w:szCs w:val="28"/>
        </w:rPr>
        <w:t>Pereira et al., 2024</w:t>
      </w:r>
      <w:r w:rsidRPr="00EA59B6">
        <w:rPr>
          <w:rFonts w:ascii="Times New Roman" w:eastAsia="Calibri" w:hAnsi="Times New Roman" w:cs="Simplified Arabic"/>
          <w:sz w:val="24"/>
          <w:szCs w:val="28"/>
          <w:rtl/>
        </w:rPr>
        <w:t>). وقد أشار تقرير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إلى أن المستخدمين المتقدمين للذكاء الاصطناعي يحققون تحسينات في إدارة التكاليف والجودة مقارنة بالمستخدمين المبتدئين. كما أشارت دراسة (</w:t>
      </w:r>
      <w:r w:rsidRPr="00EA59B6">
        <w:rPr>
          <w:rFonts w:ascii="Times New Roman" w:eastAsia="Calibri" w:hAnsi="Times New Roman" w:cs="Simplified Arabic"/>
          <w:sz w:val="24"/>
          <w:szCs w:val="28"/>
        </w:rPr>
        <w:t>Polychronakis et al., 2024</w:t>
      </w:r>
      <w:r w:rsidRPr="00EA59B6">
        <w:rPr>
          <w:rFonts w:ascii="Times New Roman" w:eastAsia="Calibri" w:hAnsi="Times New Roman" w:cs="Simplified Arabic"/>
          <w:sz w:val="24"/>
          <w:szCs w:val="28"/>
          <w:rtl/>
        </w:rPr>
        <w:t>) إلى أن الذكاء الاصطناعي يسهم في تحسين إدارة سلسلة التوريد في المشاريع من خلال توفير رؤى تحليلية دقيقة حول تدفق الموارد والمخاطر المرتبطة بها.</w:t>
      </w:r>
    </w:p>
    <w:p w14:paraId="11979C05"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الذكاء الاصطناعي يُحدث تحولاً جوهرياً في ممارسات إدارة المشاريع من خلال أتمتة المهام الروتينية، وتحسين جودة التخطيط، وتعزيز الرقابة والمتابعة، وتحسين إدارة الموارد. غير أن تحقيق هذه الفوائد يتطلب تخطيطاً استراتيجياً واستثماراً في البنية التحتية والتدريب. وتكمن أهمية هذا المبحث في تقديمه الإطار النظري الذي سيُستخدم لاحقاً في بناء أداة الدراسة (الاستبيان)، وتطوير الفروض، مع التركيز على الأبعاد الستة للذكاء الاصطناعي كمتغيرات تفسيرية لكفاءة أداء المشاريع.</w:t>
      </w:r>
    </w:p>
    <w:p w14:paraId="00492C7C"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p>
    <w:p w14:paraId="123C3B29" w14:textId="77777777" w:rsidR="00EA59B6" w:rsidRPr="00EA59B6" w:rsidRDefault="00EA59B6" w:rsidP="00EA59B6">
      <w:pPr>
        <w:bidi w:val="0"/>
        <w:spacing w:after="200" w:line="276" w:lineRule="auto"/>
        <w:rPr>
          <w:rFonts w:ascii="Times New Roman" w:eastAsia="Calibri" w:hAnsi="Times New Roman" w:cs="Simplified Arabic"/>
          <w:b/>
          <w:bCs/>
          <w:sz w:val="26"/>
          <w:szCs w:val="30"/>
          <w:rtl/>
        </w:rPr>
      </w:pPr>
      <w:r w:rsidRPr="00EA59B6">
        <w:rPr>
          <w:rFonts w:ascii="Times New Roman" w:eastAsia="Calibri" w:hAnsi="Times New Roman" w:cs="Simplified Arabic"/>
          <w:b/>
          <w:bCs/>
          <w:sz w:val="26"/>
          <w:szCs w:val="30"/>
          <w:rtl/>
        </w:rPr>
        <w:br w:type="page"/>
      </w:r>
    </w:p>
    <w:p w14:paraId="2BB64A85" w14:textId="77777777" w:rsidR="00EA59B6" w:rsidRPr="00EA59B6" w:rsidRDefault="00EA59B6" w:rsidP="00EA59B6">
      <w:pPr>
        <w:spacing w:after="360" w:line="276" w:lineRule="auto"/>
        <w:ind w:firstLine="567"/>
        <w:jc w:val="center"/>
        <w:rPr>
          <w:rFonts w:ascii="Times New Roman" w:eastAsia="Calibri" w:hAnsi="Times New Roman" w:cs="Simplified Arabic"/>
          <w:b/>
          <w:bCs/>
          <w:sz w:val="26"/>
          <w:szCs w:val="30"/>
        </w:rPr>
      </w:pPr>
      <w:r w:rsidRPr="00EA59B6">
        <w:rPr>
          <w:rFonts w:ascii="Times New Roman" w:eastAsia="Calibri" w:hAnsi="Times New Roman" w:cs="Simplified Arabic"/>
          <w:b/>
          <w:bCs/>
          <w:sz w:val="26"/>
          <w:szCs w:val="30"/>
          <w:rtl/>
        </w:rPr>
        <w:lastRenderedPageBreak/>
        <w:t>المبحث الثاني: كفاءة أداء المشاريع – المفهوم والأبعاد والمحددات</w:t>
      </w:r>
    </w:p>
    <w:p w14:paraId="0B55A21F"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يهدف هذا المبحث إلى تقديم إطار نظري شامل لكفاءة أداء المشاريع بوصفه المتغير التابع في هذه الدراسة، وذلك من خلال </w:t>
      </w:r>
      <w:proofErr w:type="gramStart"/>
      <w:r w:rsidRPr="00EA59B6">
        <w:rPr>
          <w:rFonts w:ascii="Times New Roman" w:eastAsia="Calibri" w:hAnsi="Times New Roman" w:cs="Simplified Arabic"/>
          <w:sz w:val="24"/>
          <w:szCs w:val="28"/>
          <w:rtl/>
        </w:rPr>
        <w:t>خمسة</w:t>
      </w:r>
      <w:proofErr w:type="gramEnd"/>
      <w:r w:rsidRPr="00EA59B6">
        <w:rPr>
          <w:rFonts w:ascii="Times New Roman" w:eastAsia="Calibri" w:hAnsi="Times New Roman" w:cs="Simplified Arabic"/>
          <w:sz w:val="24"/>
          <w:szCs w:val="28"/>
          <w:rtl/>
        </w:rPr>
        <w:t xml:space="preserve"> موضوعات فرعية تتناول: مفهوم كفاءة أداء المشاريع وتطوره، الأبعاد المتعددة لكفاءة أداء المشاريع، النظريات المفسرة لأداء المشاريع، العوامل المؤثرة في كفاءة أداء المشاريع، وأخيراً قياس كفاءة أداء المشاريع.</w:t>
      </w:r>
    </w:p>
    <w:p w14:paraId="6F394817"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2.2.1</w:t>
      </w:r>
      <w:r w:rsidRPr="00EA59B6">
        <w:rPr>
          <w:rFonts w:ascii="Times New Roman" w:eastAsia="Calibri" w:hAnsi="Times New Roman" w:cs="Simplified Arabic"/>
          <w:b/>
          <w:bCs/>
          <w:sz w:val="24"/>
          <w:szCs w:val="28"/>
          <w:rtl/>
        </w:rPr>
        <w:t xml:space="preserve"> مفهوم كفاءة أداء المشاريع وتطوره</w:t>
      </w:r>
    </w:p>
    <w:p w14:paraId="038F897A"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يُعد أداء المشاريع مؤشراً حاسماً على نجاح أو فشل المنظمات في تحقيق أهدافها الاستراتيجية. وقد تطور مفهوم أداء المشاريع عبر الزمن من التركيز على المعايير التقليدية (الوقت، التكلفة، الجودة) إلى أبعاد أكثر شمولاً تشمل رضا أصحاب المصلحة، والقدرة على التكيف، والاستدامة (</w:t>
      </w:r>
      <w:r w:rsidRPr="00EA59B6">
        <w:rPr>
          <w:rFonts w:ascii="Times New Roman" w:eastAsia="Calibri" w:hAnsi="Times New Roman" w:cs="Simplified Arabic"/>
          <w:sz w:val="24"/>
          <w:szCs w:val="28"/>
        </w:rPr>
        <w:t>PMI, 2021, p. 33</w:t>
      </w:r>
      <w:r w:rsidRPr="00EA59B6">
        <w:rPr>
          <w:rFonts w:ascii="Times New Roman" w:eastAsia="Calibri" w:hAnsi="Times New Roman" w:cs="Simplified Arabic"/>
          <w:sz w:val="24"/>
          <w:szCs w:val="28"/>
          <w:rtl/>
        </w:rPr>
        <w:t>). يُعرِّف (</w:t>
      </w:r>
      <w:r w:rsidRPr="00EA59B6">
        <w:rPr>
          <w:rFonts w:ascii="Times New Roman" w:eastAsia="Calibri" w:hAnsi="Times New Roman" w:cs="Simplified Arabic"/>
          <w:sz w:val="24"/>
          <w:szCs w:val="28"/>
        </w:rPr>
        <w:t>Kerzner, 2022, p. 45</w:t>
      </w:r>
      <w:r w:rsidRPr="00EA59B6">
        <w:rPr>
          <w:rFonts w:ascii="Times New Roman" w:eastAsia="Calibri" w:hAnsi="Times New Roman" w:cs="Simplified Arabic"/>
          <w:sz w:val="24"/>
          <w:szCs w:val="28"/>
          <w:rtl/>
        </w:rPr>
        <w:t>) كفاءة أداء المشاريع بأنها قدرة المشروع على تحقيق أهدافه المحددة ضمن القيود الزمنية والتكلفة والجودة المحددة مسبقاً. ويُعرِّف (</w:t>
      </w:r>
      <w:r w:rsidRPr="00EA59B6">
        <w:rPr>
          <w:rFonts w:ascii="Times New Roman" w:eastAsia="Calibri" w:hAnsi="Times New Roman" w:cs="Simplified Arabic"/>
          <w:sz w:val="24"/>
          <w:szCs w:val="28"/>
        </w:rPr>
        <w:t>PMI, 2021, p. 33</w:t>
      </w:r>
      <w:r w:rsidRPr="00EA59B6">
        <w:rPr>
          <w:rFonts w:ascii="Times New Roman" w:eastAsia="Calibri" w:hAnsi="Times New Roman" w:cs="Simplified Arabic"/>
          <w:sz w:val="24"/>
          <w:szCs w:val="28"/>
          <w:rtl/>
        </w:rPr>
        <w:t>) أداء المشروع بأنه مدى نجاح المشروع في تحقيق نطاقه وأهدافه، والالتزام بجدوله الزمني وميزانيته، وتلبية متطلبات الجودة.</w:t>
      </w:r>
    </w:p>
    <w:p w14:paraId="3499CF2F"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وقد أشار تقرير (</w:t>
      </w:r>
      <w:r w:rsidRPr="00EA59B6">
        <w:rPr>
          <w:rFonts w:ascii="Times New Roman" w:eastAsia="Calibri" w:hAnsi="Times New Roman" w:cs="Simplified Arabic"/>
          <w:sz w:val="24"/>
          <w:szCs w:val="28"/>
        </w:rPr>
        <w:t>PMI, 2023</w:t>
      </w:r>
      <w:r w:rsidRPr="00EA59B6">
        <w:rPr>
          <w:rFonts w:ascii="Times New Roman" w:eastAsia="Calibri" w:hAnsi="Times New Roman" w:cs="Simplified Arabic"/>
          <w:sz w:val="24"/>
          <w:szCs w:val="28"/>
          <w:rtl/>
        </w:rPr>
        <w:t>) إلى أن ما يقارب (50%) من المشاريع حول العالم تعاني من تجاوزات في الجداول الزمنية أو التكاليف، مما يبرز أهمية فهم العوامل المؤثرة في كفاءة أداء المشاريع. وتُشير الأدبيات الحديثة إلى أن كفاءة أداء المشاريع لم تعد تُقاس فقط بالمعايير التقليدية، بل تشمل أيضاً القدرة على التكيف مع التغيرات، وإدارة المخاطر بفعالية، وتحقيق الاستدامة (</w:t>
      </w:r>
      <w:r w:rsidRPr="00EA59B6">
        <w:rPr>
          <w:rFonts w:ascii="Times New Roman" w:eastAsia="Calibri" w:hAnsi="Times New Roman" w:cs="Simplified Arabic"/>
          <w:sz w:val="24"/>
          <w:szCs w:val="28"/>
        </w:rPr>
        <w:t>Meredith et al., 2020, p. 78</w:t>
      </w:r>
      <w:r w:rsidRPr="00EA59B6">
        <w:rPr>
          <w:rFonts w:ascii="Times New Roman" w:eastAsia="Calibri" w:hAnsi="Times New Roman" w:cs="Simplified Arabic"/>
          <w:sz w:val="24"/>
          <w:szCs w:val="28"/>
          <w:rtl/>
        </w:rPr>
        <w:t>). وقد أشارت دراسة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إلى أن المستخدمين المتقدمين للذكاء الاصطناعي يحققون تحسينات في نطاق المشروع والجدولة وإدارة التكاليف وإدارة الجودة مقارنة بالمستخدمين المبتدئين. كما أشارت دراسة (</w:t>
      </w:r>
      <w:r w:rsidRPr="00EA59B6">
        <w:rPr>
          <w:rFonts w:ascii="Times New Roman" w:eastAsia="Calibri" w:hAnsi="Times New Roman" w:cs="Simplified Arabic"/>
          <w:sz w:val="24"/>
          <w:szCs w:val="28"/>
        </w:rPr>
        <w:t>Vergara et al., 2025</w:t>
      </w:r>
      <w:r w:rsidRPr="00EA59B6">
        <w:rPr>
          <w:rFonts w:ascii="Times New Roman" w:eastAsia="Calibri" w:hAnsi="Times New Roman" w:cs="Simplified Arabic"/>
          <w:sz w:val="24"/>
          <w:szCs w:val="28"/>
          <w:rtl/>
        </w:rPr>
        <w:t>) إلى أن أداء المشاريع في عصر الذكاء الاصطناعي لم يعد يقتصر على المقاييس التقليدية، بل يشمل أيضاً قدرة الفرق على الابتكار والتكيف مع التقنيات الجديدة.</w:t>
      </w:r>
    </w:p>
    <w:p w14:paraId="0BAE0AF4"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lastRenderedPageBreak/>
        <w:t>في ضوء ما سبق ترى الباحثة أن مفهوم كفاءة أداء المشاريع قد تجاوز النظرة الكمية الضيقة إلى رؤية أكثر شمولاً تجمع بين الأبعاد الكمية والنوعية والسلوكية. وهذا التطور له أهمية خاصة في سياق الدراسة الحالية، حيث أن العلاقة بين الذكاء الاصطناعي وكفاءة أداء المشاريع قد لا تظهر بشكل كامل إذا قُصر القياس على المؤشرات التقليدية فقط، بينما قد تظهر بقوة عند قياس أبعاد مثل: القدرة على التكيف وإدارة المخاطر.</w:t>
      </w:r>
    </w:p>
    <w:p w14:paraId="2EE6F40E"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2.2.2</w:t>
      </w:r>
      <w:r w:rsidRPr="00EA59B6">
        <w:rPr>
          <w:rFonts w:ascii="Times New Roman" w:eastAsia="Calibri" w:hAnsi="Times New Roman" w:cs="Simplified Arabic"/>
          <w:b/>
          <w:bCs/>
          <w:sz w:val="24"/>
          <w:szCs w:val="28"/>
          <w:rtl/>
        </w:rPr>
        <w:t xml:space="preserve"> الأبعاد المتعددة لكفاءة أداء المشاريع</w:t>
      </w:r>
    </w:p>
    <w:p w14:paraId="6D2D8683"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تتعدد أبعاد كفاءة أداء المشاريع، ويمكن حصرها في ستة أبعاد رئيسة مترابطة، كما هو موضح في الجدول الآتي.</w:t>
      </w:r>
    </w:p>
    <w:p w14:paraId="068E5018" w14:textId="77777777" w:rsidR="00EA59B6" w:rsidRPr="00EA59B6" w:rsidRDefault="00EA59B6" w:rsidP="00EA59B6">
      <w:pPr>
        <w:spacing w:after="0" w:line="276" w:lineRule="auto"/>
        <w:jc w:val="center"/>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tl/>
        </w:rPr>
        <w:t>جدول (2.3): الأبعاد الرئيسة لكفاءة أداء المشاريع</w:t>
      </w:r>
    </w:p>
    <w:tbl>
      <w:tblPr>
        <w:tblStyle w:val="4-51"/>
        <w:bidiVisual/>
        <w:tblW w:w="0" w:type="auto"/>
        <w:jc w:val="center"/>
        <w:tblLook w:val="04A0" w:firstRow="1" w:lastRow="0" w:firstColumn="1" w:lastColumn="0" w:noHBand="0" w:noVBand="1"/>
      </w:tblPr>
      <w:tblGrid>
        <w:gridCol w:w="2042"/>
        <w:gridCol w:w="2172"/>
        <w:gridCol w:w="1625"/>
        <w:gridCol w:w="2599"/>
      </w:tblGrid>
      <w:tr w:rsidR="00EA59B6" w:rsidRPr="00EA59B6" w14:paraId="60E8CAEE" w14:textId="77777777" w:rsidTr="004848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A36FFA" w14:textId="77777777" w:rsidR="00EA59B6" w:rsidRPr="00EA59B6" w:rsidRDefault="00EA59B6" w:rsidP="00EA59B6">
            <w:pPr>
              <w:spacing w:after="0" w:line="240" w:lineRule="auto"/>
              <w:jc w:val="center"/>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البعد</w:t>
            </w:r>
          </w:p>
        </w:tc>
        <w:tc>
          <w:tcPr>
            <w:tcW w:w="0" w:type="auto"/>
            <w:vAlign w:val="center"/>
            <w:hideMark/>
          </w:tcPr>
          <w:p w14:paraId="450B99B2" w14:textId="77777777" w:rsidR="00EA59B6" w:rsidRPr="00EA59B6" w:rsidRDefault="00EA59B6" w:rsidP="00EA59B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الوصف</w:t>
            </w:r>
          </w:p>
        </w:tc>
        <w:tc>
          <w:tcPr>
            <w:tcW w:w="0" w:type="auto"/>
            <w:vAlign w:val="center"/>
            <w:hideMark/>
          </w:tcPr>
          <w:p w14:paraId="69140D44" w14:textId="77777777" w:rsidR="00EA59B6" w:rsidRPr="00EA59B6" w:rsidRDefault="00EA59B6" w:rsidP="00EA59B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مؤشرات القياس</w:t>
            </w:r>
          </w:p>
        </w:tc>
        <w:tc>
          <w:tcPr>
            <w:tcW w:w="0" w:type="auto"/>
            <w:vAlign w:val="center"/>
            <w:hideMark/>
          </w:tcPr>
          <w:p w14:paraId="414DCE1B" w14:textId="77777777" w:rsidR="00EA59B6" w:rsidRPr="00EA59B6" w:rsidRDefault="00EA59B6" w:rsidP="00EA59B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المراجع المعتمدة</w:t>
            </w:r>
          </w:p>
        </w:tc>
      </w:tr>
      <w:tr w:rsidR="00EA59B6" w:rsidRPr="00EA59B6" w14:paraId="60F0E699"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BE0698" w14:textId="77777777" w:rsidR="00EA59B6" w:rsidRPr="00EA59B6" w:rsidRDefault="00EA59B6" w:rsidP="00EA59B6">
            <w:pPr>
              <w:spacing w:after="0" w:line="240" w:lineRule="auto"/>
              <w:jc w:val="center"/>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الالتزام بالجداول الزمنية (</w:t>
            </w:r>
            <w:r w:rsidRPr="00EA59B6">
              <w:rPr>
                <w:rFonts w:ascii="Times New Roman" w:eastAsia="Calibri" w:hAnsi="Times New Roman" w:cs="Simplified Arabic"/>
                <w:sz w:val="20"/>
                <w:szCs w:val="24"/>
              </w:rPr>
              <w:t>Schedule Adherence</w:t>
            </w:r>
            <w:r w:rsidRPr="00EA59B6">
              <w:rPr>
                <w:rFonts w:ascii="Times New Roman" w:eastAsia="Calibri" w:hAnsi="Times New Roman" w:cs="Simplified Arabic"/>
                <w:sz w:val="20"/>
                <w:szCs w:val="24"/>
                <w:rtl/>
              </w:rPr>
              <w:t>)</w:t>
            </w:r>
          </w:p>
        </w:tc>
        <w:tc>
          <w:tcPr>
            <w:tcW w:w="0" w:type="auto"/>
            <w:vAlign w:val="center"/>
            <w:hideMark/>
          </w:tcPr>
          <w:p w14:paraId="5E0FD1E7"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قدرة المشروع على تحقيق معالمه الرئيسة في المواعيد المحددة</w:t>
            </w:r>
          </w:p>
        </w:tc>
        <w:tc>
          <w:tcPr>
            <w:tcW w:w="0" w:type="auto"/>
            <w:vAlign w:val="center"/>
            <w:hideMark/>
          </w:tcPr>
          <w:p w14:paraId="1FF47F35"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نسبة تأخر المهام، عدد المعالم المتأخرة</w:t>
            </w:r>
          </w:p>
        </w:tc>
        <w:tc>
          <w:tcPr>
            <w:tcW w:w="0" w:type="auto"/>
            <w:vAlign w:val="center"/>
            <w:hideMark/>
          </w:tcPr>
          <w:p w14:paraId="01C0EA80"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Pr>
              <w:t>PMI, 2021; Kerzner, 2022; Yigit &amp; Dogan, 2024</w:t>
            </w:r>
          </w:p>
        </w:tc>
      </w:tr>
      <w:tr w:rsidR="00EA59B6" w:rsidRPr="00EA59B6" w14:paraId="4C35EF6D"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CB5AF9" w14:textId="77777777" w:rsidR="00EA59B6" w:rsidRPr="00EA59B6" w:rsidRDefault="00EA59B6" w:rsidP="00EA59B6">
            <w:pPr>
              <w:spacing w:after="0" w:line="240" w:lineRule="auto"/>
              <w:jc w:val="center"/>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التحكم في التكاليف (</w:t>
            </w:r>
            <w:r w:rsidRPr="00EA59B6">
              <w:rPr>
                <w:rFonts w:ascii="Times New Roman" w:eastAsia="Calibri" w:hAnsi="Times New Roman" w:cs="Simplified Arabic"/>
                <w:sz w:val="20"/>
                <w:szCs w:val="24"/>
              </w:rPr>
              <w:t>Cost Control</w:t>
            </w:r>
            <w:r w:rsidRPr="00EA59B6">
              <w:rPr>
                <w:rFonts w:ascii="Times New Roman" w:eastAsia="Calibri" w:hAnsi="Times New Roman" w:cs="Simplified Arabic"/>
                <w:sz w:val="20"/>
                <w:szCs w:val="24"/>
                <w:rtl/>
              </w:rPr>
              <w:t>)</w:t>
            </w:r>
          </w:p>
        </w:tc>
        <w:tc>
          <w:tcPr>
            <w:tcW w:w="0" w:type="auto"/>
            <w:vAlign w:val="center"/>
            <w:hideMark/>
          </w:tcPr>
          <w:p w14:paraId="586DAF57"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قدرة المشروع على البقاء ضمن الميزانية المقررة</w:t>
            </w:r>
          </w:p>
        </w:tc>
        <w:tc>
          <w:tcPr>
            <w:tcW w:w="0" w:type="auto"/>
            <w:vAlign w:val="center"/>
            <w:hideMark/>
          </w:tcPr>
          <w:p w14:paraId="02EC6EE1"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نسبة تجاوز التكاليف، انحراف الميزانية</w:t>
            </w:r>
          </w:p>
        </w:tc>
        <w:tc>
          <w:tcPr>
            <w:tcW w:w="0" w:type="auto"/>
            <w:vAlign w:val="center"/>
            <w:hideMark/>
          </w:tcPr>
          <w:p w14:paraId="43667226"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Pr>
              <w:t>PMI, 2021; Meredith et al., 2020; Omar et al., 2025</w:t>
            </w:r>
          </w:p>
        </w:tc>
      </w:tr>
      <w:tr w:rsidR="00EA59B6" w:rsidRPr="00EA59B6" w14:paraId="60961FCE"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2F0E5A" w14:textId="77777777" w:rsidR="00EA59B6" w:rsidRPr="00EA59B6" w:rsidRDefault="00EA59B6" w:rsidP="00EA59B6">
            <w:pPr>
              <w:spacing w:after="0" w:line="240" w:lineRule="auto"/>
              <w:jc w:val="center"/>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جودة المخرجات (</w:t>
            </w:r>
            <w:r w:rsidRPr="00EA59B6">
              <w:rPr>
                <w:rFonts w:ascii="Times New Roman" w:eastAsia="Calibri" w:hAnsi="Times New Roman" w:cs="Simplified Arabic"/>
                <w:sz w:val="20"/>
                <w:szCs w:val="24"/>
              </w:rPr>
              <w:t>Quality of Outputs</w:t>
            </w:r>
            <w:r w:rsidRPr="00EA59B6">
              <w:rPr>
                <w:rFonts w:ascii="Times New Roman" w:eastAsia="Calibri" w:hAnsi="Times New Roman" w:cs="Simplified Arabic"/>
                <w:sz w:val="20"/>
                <w:szCs w:val="24"/>
                <w:rtl/>
              </w:rPr>
              <w:t>)</w:t>
            </w:r>
          </w:p>
        </w:tc>
        <w:tc>
          <w:tcPr>
            <w:tcW w:w="0" w:type="auto"/>
            <w:vAlign w:val="center"/>
            <w:hideMark/>
          </w:tcPr>
          <w:p w14:paraId="44465FCC"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درجة تلبية مخرجات المشروع للمعايير والمواصفات المطلوبة</w:t>
            </w:r>
          </w:p>
        </w:tc>
        <w:tc>
          <w:tcPr>
            <w:tcW w:w="0" w:type="auto"/>
            <w:vAlign w:val="center"/>
            <w:hideMark/>
          </w:tcPr>
          <w:p w14:paraId="5AD5EB6D"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نسبة الأخطاء، معدل إعادة العمل</w:t>
            </w:r>
          </w:p>
        </w:tc>
        <w:tc>
          <w:tcPr>
            <w:tcW w:w="0" w:type="auto"/>
            <w:vAlign w:val="center"/>
            <w:hideMark/>
          </w:tcPr>
          <w:p w14:paraId="5BB59807"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Pr>
              <w:t>Kerzner, 2022; PMI, 2024; Dacre et al., 2025</w:t>
            </w:r>
          </w:p>
        </w:tc>
      </w:tr>
      <w:tr w:rsidR="00EA59B6" w:rsidRPr="00EA59B6" w14:paraId="6ED904F3"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4F04D0" w14:textId="77777777" w:rsidR="00EA59B6" w:rsidRPr="00EA59B6" w:rsidRDefault="00EA59B6" w:rsidP="00EA59B6">
            <w:pPr>
              <w:spacing w:after="0" w:line="240" w:lineRule="auto"/>
              <w:jc w:val="center"/>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إدارة المخاطر (</w:t>
            </w:r>
            <w:r w:rsidRPr="00EA59B6">
              <w:rPr>
                <w:rFonts w:ascii="Times New Roman" w:eastAsia="Calibri" w:hAnsi="Times New Roman" w:cs="Simplified Arabic"/>
                <w:sz w:val="20"/>
                <w:szCs w:val="24"/>
              </w:rPr>
              <w:t>Risk Management</w:t>
            </w:r>
            <w:r w:rsidRPr="00EA59B6">
              <w:rPr>
                <w:rFonts w:ascii="Times New Roman" w:eastAsia="Calibri" w:hAnsi="Times New Roman" w:cs="Simplified Arabic"/>
                <w:sz w:val="20"/>
                <w:szCs w:val="24"/>
                <w:rtl/>
              </w:rPr>
              <w:t>)</w:t>
            </w:r>
          </w:p>
        </w:tc>
        <w:tc>
          <w:tcPr>
            <w:tcW w:w="0" w:type="auto"/>
            <w:vAlign w:val="center"/>
            <w:hideMark/>
          </w:tcPr>
          <w:p w14:paraId="44789DBE"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قدرة فريق المشروع على تحديد المخاطر وتقييمها والاستجابة لها بفعالية</w:t>
            </w:r>
          </w:p>
        </w:tc>
        <w:tc>
          <w:tcPr>
            <w:tcW w:w="0" w:type="auto"/>
            <w:vAlign w:val="center"/>
            <w:hideMark/>
          </w:tcPr>
          <w:p w14:paraId="6248575D"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عدد المخاطر المحددة، نسبة المخاطر المُدارة</w:t>
            </w:r>
          </w:p>
        </w:tc>
        <w:tc>
          <w:tcPr>
            <w:tcW w:w="0" w:type="auto"/>
            <w:vAlign w:val="center"/>
            <w:hideMark/>
          </w:tcPr>
          <w:p w14:paraId="0C4C86B8"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Pr>
              <w:t xml:space="preserve">Turner, 2021; </w:t>
            </w:r>
            <w:proofErr w:type="spellStart"/>
            <w:r w:rsidRPr="00EA59B6">
              <w:rPr>
                <w:rFonts w:ascii="Times New Roman" w:eastAsia="Calibri" w:hAnsi="Times New Roman" w:cs="Simplified Arabic"/>
                <w:b/>
                <w:bCs/>
                <w:sz w:val="20"/>
                <w:szCs w:val="24"/>
              </w:rPr>
              <w:t>Kozhakhmetova</w:t>
            </w:r>
            <w:proofErr w:type="spellEnd"/>
            <w:r w:rsidRPr="00EA59B6">
              <w:rPr>
                <w:rFonts w:ascii="Times New Roman" w:eastAsia="Calibri" w:hAnsi="Times New Roman" w:cs="Simplified Arabic"/>
                <w:b/>
                <w:bCs/>
                <w:sz w:val="20"/>
                <w:szCs w:val="24"/>
              </w:rPr>
              <w:t xml:space="preserve"> et al., 2024; Taboada et al., 2023</w:t>
            </w:r>
          </w:p>
        </w:tc>
      </w:tr>
      <w:tr w:rsidR="00EA59B6" w:rsidRPr="00EA59B6" w14:paraId="7A0C6225" w14:textId="77777777" w:rsidTr="004848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9FE2C1" w14:textId="77777777" w:rsidR="00EA59B6" w:rsidRPr="00EA59B6" w:rsidRDefault="00EA59B6" w:rsidP="00EA59B6">
            <w:pPr>
              <w:spacing w:after="0" w:line="240" w:lineRule="auto"/>
              <w:jc w:val="center"/>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كفاءة استخدام الموارد (</w:t>
            </w:r>
            <w:r w:rsidRPr="00EA59B6">
              <w:rPr>
                <w:rFonts w:ascii="Times New Roman" w:eastAsia="Calibri" w:hAnsi="Times New Roman" w:cs="Simplified Arabic"/>
                <w:sz w:val="20"/>
                <w:szCs w:val="24"/>
              </w:rPr>
              <w:t>Resource Efficiency</w:t>
            </w:r>
            <w:r w:rsidRPr="00EA59B6">
              <w:rPr>
                <w:rFonts w:ascii="Times New Roman" w:eastAsia="Calibri" w:hAnsi="Times New Roman" w:cs="Simplified Arabic"/>
                <w:sz w:val="20"/>
                <w:szCs w:val="24"/>
                <w:rtl/>
              </w:rPr>
              <w:t>)</w:t>
            </w:r>
          </w:p>
        </w:tc>
        <w:tc>
          <w:tcPr>
            <w:tcW w:w="0" w:type="auto"/>
            <w:vAlign w:val="center"/>
            <w:hideMark/>
          </w:tcPr>
          <w:p w14:paraId="0ECABEFD"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الاستخدام الأمثل: للموارد البشرية والمادية والمالية</w:t>
            </w:r>
          </w:p>
        </w:tc>
        <w:tc>
          <w:tcPr>
            <w:tcW w:w="0" w:type="auto"/>
            <w:vAlign w:val="center"/>
            <w:hideMark/>
          </w:tcPr>
          <w:p w14:paraId="130D9E38"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نسبة استخدام الموارد، الإنتاجية لكل وحدة مورد</w:t>
            </w:r>
          </w:p>
        </w:tc>
        <w:tc>
          <w:tcPr>
            <w:tcW w:w="0" w:type="auto"/>
            <w:vAlign w:val="center"/>
            <w:hideMark/>
          </w:tcPr>
          <w:p w14:paraId="0C7B8790" w14:textId="77777777" w:rsidR="00EA59B6" w:rsidRPr="00EA59B6" w:rsidRDefault="00EA59B6" w:rsidP="00EA59B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Pr>
              <w:t>Kerzner, 2022; Omar et al., 2025; Pereira et al., 2024</w:t>
            </w:r>
          </w:p>
        </w:tc>
      </w:tr>
      <w:tr w:rsidR="00EA59B6" w:rsidRPr="00EA59B6" w14:paraId="740CD608" w14:textId="77777777" w:rsidTr="004848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1E268B" w14:textId="77777777" w:rsidR="00EA59B6" w:rsidRPr="00EA59B6" w:rsidRDefault="00EA59B6" w:rsidP="00EA59B6">
            <w:pPr>
              <w:spacing w:after="0" w:line="240" w:lineRule="auto"/>
              <w:jc w:val="center"/>
              <w:rPr>
                <w:rFonts w:ascii="Times New Roman" w:eastAsia="Calibri" w:hAnsi="Times New Roman" w:cs="Simplified Arabic"/>
                <w:sz w:val="20"/>
                <w:szCs w:val="24"/>
              </w:rPr>
            </w:pPr>
            <w:r w:rsidRPr="00EA59B6">
              <w:rPr>
                <w:rFonts w:ascii="Times New Roman" w:eastAsia="Calibri" w:hAnsi="Times New Roman" w:cs="Simplified Arabic"/>
                <w:sz w:val="20"/>
                <w:szCs w:val="24"/>
                <w:rtl/>
              </w:rPr>
              <w:t>القدرة على التكيف (</w:t>
            </w:r>
            <w:r w:rsidRPr="00EA59B6">
              <w:rPr>
                <w:rFonts w:ascii="Times New Roman" w:eastAsia="Calibri" w:hAnsi="Times New Roman" w:cs="Simplified Arabic"/>
                <w:sz w:val="20"/>
                <w:szCs w:val="24"/>
              </w:rPr>
              <w:t>Adaptability</w:t>
            </w:r>
            <w:r w:rsidRPr="00EA59B6">
              <w:rPr>
                <w:rFonts w:ascii="Times New Roman" w:eastAsia="Calibri" w:hAnsi="Times New Roman" w:cs="Simplified Arabic"/>
                <w:sz w:val="20"/>
                <w:szCs w:val="24"/>
                <w:rtl/>
              </w:rPr>
              <w:t>)</w:t>
            </w:r>
          </w:p>
        </w:tc>
        <w:tc>
          <w:tcPr>
            <w:tcW w:w="0" w:type="auto"/>
            <w:vAlign w:val="center"/>
            <w:hideMark/>
          </w:tcPr>
          <w:p w14:paraId="47B97B23"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قدرة فريق المشروع على التكيف مع التغيرات في المتطلبات أو الظروف</w:t>
            </w:r>
          </w:p>
        </w:tc>
        <w:tc>
          <w:tcPr>
            <w:tcW w:w="0" w:type="auto"/>
            <w:vAlign w:val="center"/>
            <w:hideMark/>
          </w:tcPr>
          <w:p w14:paraId="31B5C2FC"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tl/>
              </w:rPr>
              <w:t>سرعة الاستجابة للتغيرات، مرونة تعديل الخطط</w:t>
            </w:r>
          </w:p>
        </w:tc>
        <w:tc>
          <w:tcPr>
            <w:tcW w:w="0" w:type="auto"/>
            <w:vAlign w:val="center"/>
            <w:hideMark/>
          </w:tcPr>
          <w:p w14:paraId="25060C26" w14:textId="77777777" w:rsidR="00EA59B6" w:rsidRPr="00EA59B6" w:rsidRDefault="00EA59B6" w:rsidP="00EA59B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EA59B6">
              <w:rPr>
                <w:rFonts w:ascii="Times New Roman" w:eastAsia="Calibri" w:hAnsi="Times New Roman" w:cs="Simplified Arabic"/>
                <w:b/>
                <w:bCs/>
                <w:sz w:val="20"/>
                <w:szCs w:val="24"/>
              </w:rPr>
              <w:t>Meredith et al., 2020; Sahadevan, 2023; Polychronakis et al., 2024</w:t>
            </w:r>
          </w:p>
        </w:tc>
      </w:tr>
    </w:tbl>
    <w:p w14:paraId="2B7BF502" w14:textId="77777777" w:rsidR="00EA59B6" w:rsidRPr="00EA59B6" w:rsidRDefault="00EA59B6" w:rsidP="00EA59B6">
      <w:pPr>
        <w:spacing w:after="0" w:line="276" w:lineRule="auto"/>
        <w:jc w:val="center"/>
        <w:rPr>
          <w:rFonts w:ascii="Times New Roman" w:eastAsia="Calibri" w:hAnsi="Times New Roman" w:cs="Simplified Arabic"/>
          <w:b/>
          <w:bCs/>
          <w:sz w:val="24"/>
          <w:szCs w:val="24"/>
        </w:rPr>
      </w:pPr>
      <w:r w:rsidRPr="00EA59B6">
        <w:rPr>
          <w:rFonts w:ascii="Times New Roman" w:eastAsia="Calibri" w:hAnsi="Times New Roman" w:cs="Simplified Arabic"/>
          <w:b/>
          <w:bCs/>
          <w:sz w:val="24"/>
          <w:szCs w:val="24"/>
          <w:rtl/>
        </w:rPr>
        <w:t>(المصدر: إعداد الباحثة بالاعتماد على المراجع المذكورة)</w:t>
      </w:r>
    </w:p>
    <w:p w14:paraId="4D730A31"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lastRenderedPageBreak/>
        <w:t>ويتضح من الجدول السابق أن هذه الأبعاد الستة تعمل بشكل تكاملي لتشكل صورة شاملة عن كفاءة أداء المشروع. فالالتزام بالجداول الزمنية والتحكم في التكاليف يمثلان الأبعاد التقليدية، بينما تعكس جودة المخرجات وإدارة المخاطر الجوانب النوعية. وتُضيف كفاءة استخدام الموارد والقدرة على التكيف أبعاداً استراتيجية تتجاوز النجاح قصير المدى. وقد أشارت دراسة (</w:t>
      </w:r>
      <w:proofErr w:type="spellStart"/>
      <w:r w:rsidRPr="00EA59B6">
        <w:rPr>
          <w:rFonts w:ascii="Times New Roman" w:eastAsia="Calibri" w:hAnsi="Times New Roman" w:cs="Simplified Arabic"/>
          <w:sz w:val="24"/>
          <w:szCs w:val="28"/>
        </w:rPr>
        <w:t>Kozhakhmetova</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إلى أن المشاريع ذات معدلات التبني الأعلى للذكاء الاصطناعي أظهرت درجات كفاءة أعلى، مما يؤكد أهمية هذه الأبعاد المتعددة في تقييم الأداء. كما أظهرت دراسة (</w:t>
      </w:r>
      <w:r w:rsidRPr="00EA59B6">
        <w:rPr>
          <w:rFonts w:ascii="Times New Roman" w:eastAsia="Calibri" w:hAnsi="Times New Roman" w:cs="Simplified Arabic"/>
          <w:sz w:val="24"/>
          <w:szCs w:val="28"/>
        </w:rPr>
        <w:t>Dacre et al., 2025</w:t>
      </w:r>
      <w:r w:rsidRPr="00EA59B6">
        <w:rPr>
          <w:rFonts w:ascii="Times New Roman" w:eastAsia="Calibri" w:hAnsi="Times New Roman" w:cs="Simplified Arabic"/>
          <w:sz w:val="24"/>
          <w:szCs w:val="28"/>
          <w:rtl/>
        </w:rPr>
        <w:t>) تحسناً ملموساً في التسليم في الوقت المحدد، وخفض التكاليف، وتحسين الجودة بفضل تبني الذكاء الاصطناعي.</w:t>
      </w:r>
    </w:p>
    <w:p w14:paraId="515AEA0B"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جوهر كفاءة أداء المشاريع يكمن في التكامل بين أبعادها الستة. فالمنظمة التي تركز فقط على الالتزام بالجداول الزمنية دون الاهتمام بالجودة قد تحقق أهدافها الزمنية لكن على حساب سمعة المنتج. وفي سياق العلاقة مع الذكاء الاصطناعي، من المتوقع أن ترتبط الأبعاد المختلفة للذكاء الاصطناعي بأبعاد مختلفة لكفاءة الأداء. فعلى سبيل المثال، قد يرتبط تحليل البيانات والتنبؤ بالمخاطر بإدارة المخاطر والجودة، بينما قد يرتبط تحسين الجدولة وإدارة الموارد بالالتزام بالجداول والتحكم في التكاليف.</w:t>
      </w:r>
    </w:p>
    <w:p w14:paraId="27D18595"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2.2.3</w:t>
      </w:r>
      <w:r w:rsidRPr="00EA59B6">
        <w:rPr>
          <w:rFonts w:ascii="Times New Roman" w:eastAsia="Calibri" w:hAnsi="Times New Roman" w:cs="Simplified Arabic"/>
          <w:b/>
          <w:bCs/>
          <w:sz w:val="24"/>
          <w:szCs w:val="28"/>
          <w:rtl/>
        </w:rPr>
        <w:t xml:space="preserve"> النظريات المفسرة لأداء المشاريع</w:t>
      </w:r>
    </w:p>
    <w:p w14:paraId="2BFE79F3"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تتنوع الأطر النظرية التي تسعى إلى تفسير كيفية تحسين أداء المشاريع، ويمكن حصر أبرزها في ثلاث نظريات رئيسة. أولاً، </w:t>
      </w:r>
      <w:r w:rsidRPr="00EA59B6">
        <w:rPr>
          <w:rFonts w:ascii="Times New Roman" w:eastAsia="Calibri" w:hAnsi="Times New Roman" w:cs="Simplified Arabic"/>
          <w:b/>
          <w:bCs/>
          <w:sz w:val="24"/>
          <w:szCs w:val="28"/>
          <w:rtl/>
        </w:rPr>
        <w:t>نظرية العوامل الحرجة للنجاح (</w:t>
      </w:r>
      <w:r w:rsidRPr="00EA59B6">
        <w:rPr>
          <w:rFonts w:ascii="Times New Roman" w:eastAsia="Calibri" w:hAnsi="Times New Roman" w:cs="Simplified Arabic"/>
          <w:b/>
          <w:bCs/>
          <w:sz w:val="24"/>
          <w:szCs w:val="28"/>
        </w:rPr>
        <w:t>Critical Success Factors Theory</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التي تركز على تحديد العوامل الرئيسة التي تسهم في نجاح المشاريع، مثل: دعم الإدارة العليا، ووضوح الأهداف، وكفاءة الفريق، وفعالية التخطيط (</w:t>
      </w:r>
      <w:r w:rsidRPr="00EA59B6">
        <w:rPr>
          <w:rFonts w:ascii="Times New Roman" w:eastAsia="Calibri" w:hAnsi="Times New Roman" w:cs="Simplified Arabic"/>
          <w:sz w:val="24"/>
          <w:szCs w:val="28"/>
        </w:rPr>
        <w:t>PMI, 2021</w:t>
      </w:r>
      <w:r w:rsidRPr="00EA59B6">
        <w:rPr>
          <w:rFonts w:ascii="Times New Roman" w:eastAsia="Calibri" w:hAnsi="Times New Roman" w:cs="Simplified Arabic"/>
          <w:sz w:val="24"/>
          <w:szCs w:val="28"/>
          <w:rtl/>
        </w:rPr>
        <w:t>). وقد أشارت دراسة (</w:t>
      </w:r>
      <w:r w:rsidRPr="00EA59B6">
        <w:rPr>
          <w:rFonts w:ascii="Times New Roman" w:eastAsia="Calibri" w:hAnsi="Times New Roman" w:cs="Simplified Arabic"/>
          <w:sz w:val="24"/>
          <w:szCs w:val="28"/>
        </w:rPr>
        <w:t>PMI, 2023</w:t>
      </w:r>
      <w:r w:rsidRPr="00EA59B6">
        <w:rPr>
          <w:rFonts w:ascii="Times New Roman" w:eastAsia="Calibri" w:hAnsi="Times New Roman" w:cs="Simplified Arabic"/>
          <w:sz w:val="24"/>
          <w:szCs w:val="28"/>
          <w:rtl/>
        </w:rPr>
        <w:t>) إلى أن المؤسسات التي تتبنى التقنيات الرقمية، ومن بينها الذكاء الاصطناعي، تحقق معدلات نجاح أعلى في مشاريعها، مما يعكس أهمية العوامل التقنية كعوامل حرجة للنجاح. وتشير دراسة (</w:t>
      </w:r>
      <w:proofErr w:type="spellStart"/>
      <w:r w:rsidRPr="00EA59B6">
        <w:rPr>
          <w:rFonts w:ascii="Times New Roman" w:eastAsia="Calibri" w:hAnsi="Times New Roman" w:cs="Simplified Arabic"/>
          <w:sz w:val="24"/>
          <w:szCs w:val="28"/>
        </w:rPr>
        <w:t>Alayed</w:t>
      </w:r>
      <w:proofErr w:type="spellEnd"/>
      <w:r w:rsidRPr="00EA59B6">
        <w:rPr>
          <w:rFonts w:ascii="Times New Roman" w:eastAsia="Calibri" w:hAnsi="Times New Roman" w:cs="Simplified Arabic"/>
          <w:sz w:val="24"/>
          <w:szCs w:val="28"/>
        </w:rPr>
        <w:t>, 2025</w:t>
      </w:r>
      <w:r w:rsidRPr="00EA59B6">
        <w:rPr>
          <w:rFonts w:ascii="Times New Roman" w:eastAsia="Calibri" w:hAnsi="Times New Roman" w:cs="Simplified Arabic"/>
          <w:sz w:val="24"/>
          <w:szCs w:val="28"/>
          <w:rtl/>
        </w:rPr>
        <w:t>) إلى أن العوامل الحرجة للنجاح في تبني الذكاء الاصطناعي تشمل دعم القيادة، وتوفر البيانات عالية الجودة، والاستعداد التنظيمي للتغيير.</w:t>
      </w:r>
    </w:p>
    <w:p w14:paraId="5C992A6E"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lastRenderedPageBreak/>
        <w:t xml:space="preserve">ثانياً، </w:t>
      </w:r>
      <w:r w:rsidRPr="00EA59B6">
        <w:rPr>
          <w:rFonts w:ascii="Times New Roman" w:eastAsia="Calibri" w:hAnsi="Times New Roman" w:cs="Simplified Arabic"/>
          <w:b/>
          <w:bCs/>
          <w:sz w:val="24"/>
          <w:szCs w:val="28"/>
          <w:rtl/>
        </w:rPr>
        <w:t>نظرية القيود الثلاثية (</w:t>
      </w:r>
      <w:r w:rsidRPr="00EA59B6">
        <w:rPr>
          <w:rFonts w:ascii="Times New Roman" w:eastAsia="Calibri" w:hAnsi="Times New Roman" w:cs="Simplified Arabic"/>
          <w:b/>
          <w:bCs/>
          <w:sz w:val="24"/>
          <w:szCs w:val="28"/>
        </w:rPr>
        <w:t>Triple Constraint Theory</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التي تشير إلى أن أداء المشروع يتحدد من خلال ثلاثة قيود رئيسة هي: النطاق، والوقت، والتكلفة، وأن أي تغيير في أحد هذه القيود يؤثر في الآخرين (</w:t>
      </w:r>
      <w:r w:rsidRPr="00EA59B6">
        <w:rPr>
          <w:rFonts w:ascii="Times New Roman" w:eastAsia="Calibri" w:hAnsi="Times New Roman" w:cs="Simplified Arabic"/>
          <w:sz w:val="24"/>
          <w:szCs w:val="28"/>
        </w:rPr>
        <w:t>Kerzner, 2022</w:t>
      </w:r>
      <w:r w:rsidRPr="00EA59B6">
        <w:rPr>
          <w:rFonts w:ascii="Times New Roman" w:eastAsia="Calibri" w:hAnsi="Times New Roman" w:cs="Simplified Arabic"/>
          <w:sz w:val="24"/>
          <w:szCs w:val="28"/>
          <w:rtl/>
        </w:rPr>
        <w:t>). ويتكامل الذكاء الاصطناعي مع هذه النظرية من خلال توفير أدوات تحليلية تساعد في تحقيق التوازن بين هذه القيود الثلاثة. وقد أظهرت دراسة (</w:t>
      </w:r>
      <w:r w:rsidRPr="00EA59B6">
        <w:rPr>
          <w:rFonts w:ascii="Times New Roman" w:eastAsia="Calibri" w:hAnsi="Times New Roman" w:cs="Simplified Arabic"/>
          <w:sz w:val="24"/>
          <w:szCs w:val="28"/>
        </w:rPr>
        <w:t>Omar et al., 2025</w:t>
      </w:r>
      <w:r w:rsidRPr="00EA59B6">
        <w:rPr>
          <w:rFonts w:ascii="Times New Roman" w:eastAsia="Calibri" w:hAnsi="Times New Roman" w:cs="Simplified Arabic"/>
          <w:sz w:val="24"/>
          <w:szCs w:val="28"/>
          <w:rtl/>
        </w:rPr>
        <w:t>) أن استخدام خوارزميات التعلم الآلي يساعد في تحسين دقة تقدير التكاليف والمدة الزمنية للمشاريع، مما يعزز القدرة على إدارة القيود الثلاثية بفعالية. وتشير دراسة (</w:t>
      </w:r>
      <w:r w:rsidRPr="00EA59B6">
        <w:rPr>
          <w:rFonts w:ascii="Times New Roman" w:eastAsia="Calibri" w:hAnsi="Times New Roman" w:cs="Simplified Arabic"/>
          <w:sz w:val="24"/>
          <w:szCs w:val="28"/>
        </w:rPr>
        <w:t>Yigit &amp; Dogan, 2024</w:t>
      </w:r>
      <w:r w:rsidRPr="00EA59B6">
        <w:rPr>
          <w:rFonts w:ascii="Times New Roman" w:eastAsia="Calibri" w:hAnsi="Times New Roman" w:cs="Simplified Arabic"/>
          <w:sz w:val="24"/>
          <w:szCs w:val="28"/>
          <w:rtl/>
        </w:rPr>
        <w:t>) إلى أن خوارزميات التعلم الآلي تسهم في تحسين التوازن بين الوقت والتكلفة في المشاريع.</w:t>
      </w:r>
    </w:p>
    <w:p w14:paraId="7AFD9EEA"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ثالثاً، </w:t>
      </w:r>
      <w:r w:rsidRPr="00EA59B6">
        <w:rPr>
          <w:rFonts w:ascii="Times New Roman" w:eastAsia="Calibri" w:hAnsi="Times New Roman" w:cs="Simplified Arabic"/>
          <w:b/>
          <w:bCs/>
          <w:sz w:val="24"/>
          <w:szCs w:val="28"/>
          <w:rtl/>
        </w:rPr>
        <w:t>نظرية الأداء المتوازن (</w:t>
      </w:r>
      <w:r w:rsidRPr="00EA59B6">
        <w:rPr>
          <w:rFonts w:ascii="Times New Roman" w:eastAsia="Calibri" w:hAnsi="Times New Roman" w:cs="Simplified Arabic"/>
          <w:b/>
          <w:bCs/>
          <w:sz w:val="24"/>
          <w:szCs w:val="28"/>
        </w:rPr>
        <w:t>Balanced Performance Theory</w:t>
      </w:r>
      <w:r w:rsidRPr="00EA59B6">
        <w:rPr>
          <w:rFonts w:ascii="Times New Roman" w:eastAsia="Calibri" w:hAnsi="Times New Roman" w:cs="Simplified Arabic"/>
          <w:b/>
          <w:bCs/>
          <w:sz w:val="24"/>
          <w:szCs w:val="28"/>
          <w:rtl/>
        </w:rPr>
        <w:t>)</w:t>
      </w:r>
      <w:r w:rsidRPr="00EA59B6">
        <w:rPr>
          <w:rFonts w:ascii="Times New Roman" w:eastAsia="Calibri" w:hAnsi="Times New Roman" w:cs="Simplified Arabic"/>
          <w:sz w:val="24"/>
          <w:szCs w:val="28"/>
          <w:rtl/>
        </w:rPr>
        <w:t>، التي تؤكد على أن تقييم أداء المشاريع يجب أن يشمل أبعاداً متعددة تتجاوز المعايير التقليدية لتشمل رضا أصحاب المصلحة، والقدرة على التكيف، والاستدامة (</w:t>
      </w:r>
      <w:r w:rsidRPr="00EA59B6">
        <w:rPr>
          <w:rFonts w:ascii="Times New Roman" w:eastAsia="Calibri" w:hAnsi="Times New Roman" w:cs="Simplified Arabic"/>
          <w:sz w:val="24"/>
          <w:szCs w:val="28"/>
        </w:rPr>
        <w:t>Meredith et al., 2020</w:t>
      </w:r>
      <w:r w:rsidRPr="00EA59B6">
        <w:rPr>
          <w:rFonts w:ascii="Times New Roman" w:eastAsia="Calibri" w:hAnsi="Times New Roman" w:cs="Simplified Arabic"/>
          <w:sz w:val="24"/>
          <w:szCs w:val="28"/>
          <w:rtl/>
        </w:rPr>
        <w:t>). وقد أشارت دراسة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إلى أن المستخدمين المتقدمين للذكاء الاصطناعي يحققون تحسينات في نطاق المشروع والجدولة وإدارة التكاليف والجودة، مما يعكس قدرة الذكاء الاصطناعي على تعزيز الأداء المتوازن. وتشير مراجعة منهجية (</w:t>
      </w:r>
      <w:r w:rsidRPr="00EA59B6">
        <w:rPr>
          <w:rFonts w:ascii="Times New Roman" w:eastAsia="Calibri" w:hAnsi="Times New Roman" w:cs="Simplified Arabic"/>
          <w:sz w:val="24"/>
          <w:szCs w:val="28"/>
        </w:rPr>
        <w:t>Sajadi et al., 2024</w:t>
      </w:r>
      <w:r w:rsidRPr="00EA59B6">
        <w:rPr>
          <w:rFonts w:ascii="Times New Roman" w:eastAsia="Calibri" w:hAnsi="Times New Roman" w:cs="Simplified Arabic"/>
          <w:sz w:val="24"/>
          <w:szCs w:val="28"/>
          <w:rtl/>
        </w:rPr>
        <w:t>) إلى أن الأداء المتوازن للمشاريع يتطلب دمج التحليلات التنبؤية مع المقاييس التقليدية لتحقيق رؤية شاملة لأداء المشروع.</w:t>
      </w:r>
    </w:p>
    <w:p w14:paraId="6EC678DB"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هذه النظريات لا تتنافس بقدر ما تتكامل لتقديم تفسير متعدد المستويات لأداء المشاريع. ففي سياق العلاقة بين الذكاء الاصطناعي وكفاءة أداء المشاريع، يمكن الاستفادة من عدة نظريات معاً. فمن ناحية، تشرح نظرية العوامل الحرجة للنجاح كيف يمكن للذكاء الاصطناعي أن يكون عاملاً حاسماً في نجاح المشاريع. ومن ناحية أخرى، تفسر نظرية القيود الثلاثية كيف يمكن للذكاء الاصطناعي أن يساعد في تحقيق التوازن بين الوقت والتكلفة والنطاق. وتُضيف نظرية الأداء المتوازن بُعداً استراتيجياً يتجاوز المقاييس التقليدية.</w:t>
      </w:r>
    </w:p>
    <w:p w14:paraId="4F176185"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2.2.4</w:t>
      </w:r>
      <w:r w:rsidRPr="00EA59B6">
        <w:rPr>
          <w:rFonts w:ascii="Times New Roman" w:eastAsia="Calibri" w:hAnsi="Times New Roman" w:cs="Simplified Arabic"/>
          <w:b/>
          <w:bCs/>
          <w:sz w:val="24"/>
          <w:szCs w:val="28"/>
          <w:rtl/>
        </w:rPr>
        <w:t xml:space="preserve"> العوامل المؤثرة في كفاءة أداء المشاريع</w:t>
      </w:r>
    </w:p>
    <w:p w14:paraId="4F04FDD0"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تتأثر كفاءة أداء المشاريع بمجموعة من العوامل الداخلية والخارجية. من أبرز العوامل الداخلية: جودة التخطيط، وكفاءة فريق المشروع، وفعالية أنظمة الرقابة والمتابعة، وتوفر الموارد، ودعم الإدارة العليا (</w:t>
      </w:r>
      <w:r w:rsidRPr="00EA59B6">
        <w:rPr>
          <w:rFonts w:ascii="Times New Roman" w:eastAsia="Calibri" w:hAnsi="Times New Roman" w:cs="Simplified Arabic"/>
          <w:sz w:val="24"/>
          <w:szCs w:val="28"/>
        </w:rPr>
        <w:t>PMI, 2021</w:t>
      </w:r>
      <w:r w:rsidRPr="00EA59B6">
        <w:rPr>
          <w:rFonts w:ascii="Times New Roman" w:eastAsia="Calibri" w:hAnsi="Times New Roman" w:cs="Simplified Arabic"/>
          <w:sz w:val="24"/>
          <w:szCs w:val="28"/>
          <w:rtl/>
        </w:rPr>
        <w:t xml:space="preserve">). أما العوامل الخارجية، فتشمل درجة ديناميكية البيئة، والتغيرات في المتطلبات </w:t>
      </w:r>
      <w:r w:rsidRPr="00EA59B6">
        <w:rPr>
          <w:rFonts w:ascii="Times New Roman" w:eastAsia="Calibri" w:hAnsi="Times New Roman" w:cs="Simplified Arabic"/>
          <w:sz w:val="24"/>
          <w:szCs w:val="28"/>
          <w:rtl/>
        </w:rPr>
        <w:lastRenderedPageBreak/>
        <w:t>التنظيمية، وتقلبات السوق، والتطورات التكنولوجية (</w:t>
      </w:r>
      <w:r w:rsidRPr="00EA59B6">
        <w:rPr>
          <w:rFonts w:ascii="Times New Roman" w:eastAsia="Calibri" w:hAnsi="Times New Roman" w:cs="Simplified Arabic"/>
          <w:sz w:val="24"/>
          <w:szCs w:val="28"/>
        </w:rPr>
        <w:t>Kerzner, 2022</w:t>
      </w:r>
      <w:r w:rsidRPr="00EA59B6">
        <w:rPr>
          <w:rFonts w:ascii="Times New Roman" w:eastAsia="Calibri" w:hAnsi="Times New Roman" w:cs="Simplified Arabic"/>
          <w:sz w:val="24"/>
          <w:szCs w:val="28"/>
          <w:rtl/>
        </w:rPr>
        <w:t>). وقد أشارت دراسة (</w:t>
      </w:r>
      <w:r w:rsidRPr="00EA59B6">
        <w:rPr>
          <w:rFonts w:ascii="Times New Roman" w:eastAsia="Calibri" w:hAnsi="Times New Roman" w:cs="Simplified Arabic"/>
          <w:sz w:val="24"/>
          <w:szCs w:val="28"/>
        </w:rPr>
        <w:t>Taboada et al., 2023</w:t>
      </w:r>
      <w:r w:rsidRPr="00EA59B6">
        <w:rPr>
          <w:rFonts w:ascii="Times New Roman" w:eastAsia="Calibri" w:hAnsi="Times New Roman" w:cs="Simplified Arabic"/>
          <w:sz w:val="24"/>
          <w:szCs w:val="28"/>
          <w:rtl/>
        </w:rPr>
        <w:t>) إلى أن الذكاء الاصطناعي يمكن أن يعزز الأداء في مجالات التخطيط والقياس وعدم اليقين، مما يجعله عاملاً مؤثراً في تحسين كفاءة أداء المشاريع. كما أظهرت دراسة (</w:t>
      </w:r>
      <w:proofErr w:type="spellStart"/>
      <w:r w:rsidRPr="00EA59B6">
        <w:rPr>
          <w:rFonts w:ascii="Times New Roman" w:eastAsia="Calibri" w:hAnsi="Times New Roman" w:cs="Simplified Arabic"/>
          <w:sz w:val="24"/>
          <w:szCs w:val="28"/>
        </w:rPr>
        <w:t>Kozhakhmetova</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أن تبني الذكاء الاصطناعي يختلف بين الصناعات، حيث كانت مشاريع البرمجيات والإنشاءات والمشاريع العلمية الأكثر نشاطاً في استخدام الذكاء الاصطناعي، مما يعكس تأثير السياق الصناعي على كفاءة الأداء. وقد أشار تقرير (</w:t>
      </w:r>
      <w:r w:rsidRPr="00EA59B6">
        <w:rPr>
          <w:rFonts w:ascii="Times New Roman" w:eastAsia="Calibri" w:hAnsi="Times New Roman" w:cs="Simplified Arabic"/>
          <w:sz w:val="24"/>
          <w:szCs w:val="28"/>
        </w:rPr>
        <w:t>Dacre et al., 2025</w:t>
      </w:r>
      <w:r w:rsidRPr="00EA59B6">
        <w:rPr>
          <w:rFonts w:ascii="Times New Roman" w:eastAsia="Calibri" w:hAnsi="Times New Roman" w:cs="Simplified Arabic"/>
          <w:sz w:val="24"/>
          <w:szCs w:val="28"/>
          <w:rtl/>
        </w:rPr>
        <w:t>) إلى أن (82%) من المشاركين أبلغوا عن تعزيز القدرات الرقمية داخل فرقهم، مما يعكس تأثير تبني التقنيات الحديثة على الكفاءة التنظيمية. كما أشارت دراسة (</w:t>
      </w:r>
      <w:r w:rsidRPr="00EA59B6">
        <w:rPr>
          <w:rFonts w:ascii="Times New Roman" w:eastAsia="Calibri" w:hAnsi="Times New Roman" w:cs="Simplified Arabic"/>
          <w:sz w:val="24"/>
          <w:szCs w:val="28"/>
        </w:rPr>
        <w:t>Polychronakis et al., 2024</w:t>
      </w:r>
      <w:r w:rsidRPr="00EA59B6">
        <w:rPr>
          <w:rFonts w:ascii="Times New Roman" w:eastAsia="Calibri" w:hAnsi="Times New Roman" w:cs="Simplified Arabic"/>
          <w:sz w:val="24"/>
          <w:szCs w:val="28"/>
          <w:rtl/>
        </w:rPr>
        <w:t>) إلى أن العوامل التنظيمية مثل: ثقافة الابتكار ودعم القيادة تلعب دوراً محورياً في تعزيز أثر الذكاء الاصطناعي على أداء المشاريع.</w:t>
      </w:r>
    </w:p>
    <w:p w14:paraId="0D89EDE1"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كفاءة أداء المشاريع تتحدد من خلال تفاعل معقد بين العوامل الداخلية والخارجية. وفي سياق العلاقة مع الذكاء الاصطناعي، يمكن اعتبار الذكاء الاصطناعي عاملاً داخلياً يُعزز القدرات التنظيمية، لكن فعاليته تعتمد على عوامل أخرى مثل: دعم الإدارة العليا، وثقافة الابتكار، وجودة البيانات.</w:t>
      </w:r>
    </w:p>
    <w:p w14:paraId="7F7797FE"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2.2.5</w:t>
      </w:r>
      <w:r w:rsidRPr="00EA59B6">
        <w:rPr>
          <w:rFonts w:ascii="Times New Roman" w:eastAsia="Calibri" w:hAnsi="Times New Roman" w:cs="Simplified Arabic"/>
          <w:b/>
          <w:bCs/>
          <w:sz w:val="24"/>
          <w:szCs w:val="28"/>
          <w:rtl/>
        </w:rPr>
        <w:t xml:space="preserve"> قياس كفاءة أداء المشاريع</w:t>
      </w:r>
    </w:p>
    <w:p w14:paraId="2A0EE183"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يُعد قياس كفاءة أداء المشاريع تحدياً منهجياً كبيراً، نظراً لتعدد الأبعاد والطرق والمقاييس المستخدمة. وتتنوع أساليب القياس من المقاييس الكمية (مثل: مؤشرات الأداء الرئيسة </w:t>
      </w:r>
      <w:proofErr w:type="spellStart"/>
      <w:r w:rsidRPr="00EA59B6">
        <w:rPr>
          <w:rFonts w:ascii="Times New Roman" w:eastAsia="Calibri" w:hAnsi="Times New Roman" w:cs="Simplified Arabic"/>
          <w:sz w:val="24"/>
          <w:szCs w:val="28"/>
        </w:rPr>
        <w:t>KPIs</w:t>
      </w:r>
      <w:proofErr w:type="spellEnd"/>
      <w:r w:rsidRPr="00EA59B6">
        <w:rPr>
          <w:rFonts w:ascii="Times New Roman" w:eastAsia="Calibri" w:hAnsi="Times New Roman" w:cs="Simplified Arabic"/>
          <w:sz w:val="24"/>
          <w:szCs w:val="28"/>
          <w:rtl/>
        </w:rPr>
        <w:t>، وتحليل القيمة المكتسبة) إلى المقاييس النوعية (مثل: تقييم رضا أصحاب المصلحة، والمراجعات النوعية) (</w:t>
      </w:r>
      <w:r w:rsidRPr="00EA59B6">
        <w:rPr>
          <w:rFonts w:ascii="Times New Roman" w:eastAsia="Calibri" w:hAnsi="Times New Roman" w:cs="Simplified Arabic"/>
          <w:sz w:val="24"/>
          <w:szCs w:val="28"/>
        </w:rPr>
        <w:t>PMI, 2021</w:t>
      </w:r>
      <w:r w:rsidRPr="00EA59B6">
        <w:rPr>
          <w:rFonts w:ascii="Times New Roman" w:eastAsia="Calibri" w:hAnsi="Times New Roman" w:cs="Simplified Arabic"/>
          <w:sz w:val="24"/>
          <w:szCs w:val="28"/>
          <w:rtl/>
        </w:rPr>
        <w:t>). وقد أشارت دراسة (</w:t>
      </w:r>
      <w:r w:rsidRPr="00EA59B6">
        <w:rPr>
          <w:rFonts w:ascii="Times New Roman" w:eastAsia="Calibri" w:hAnsi="Times New Roman" w:cs="Simplified Arabic"/>
          <w:sz w:val="24"/>
          <w:szCs w:val="28"/>
        </w:rPr>
        <w:t>Taboada et al., 2023</w:t>
      </w:r>
      <w:r w:rsidRPr="00EA59B6">
        <w:rPr>
          <w:rFonts w:ascii="Times New Roman" w:eastAsia="Calibri" w:hAnsi="Times New Roman" w:cs="Simplified Arabic"/>
          <w:sz w:val="24"/>
          <w:szCs w:val="28"/>
          <w:rtl/>
        </w:rPr>
        <w:t>) إلى أن عدد المنشورات المؤثرة حول الذكاء الاصطناعي في إدارة المشاريع زاد بشكل كبير خلال العقد الماضي، مما يعكس الاهتمام المتزايد بفهم كيفية قياس تأثير التقنيات الحديثة على أداء المشاريع. وتشمل المقاييس الشائعة لقياس أداء المشاريع: مؤشر أداء الجدول الزمني (</w:t>
      </w:r>
      <w:r w:rsidRPr="00EA59B6">
        <w:rPr>
          <w:rFonts w:ascii="Times New Roman" w:eastAsia="Calibri" w:hAnsi="Times New Roman" w:cs="Simplified Arabic"/>
          <w:sz w:val="24"/>
          <w:szCs w:val="28"/>
        </w:rPr>
        <w:t>SPI</w:t>
      </w:r>
      <w:r w:rsidRPr="00EA59B6">
        <w:rPr>
          <w:rFonts w:ascii="Times New Roman" w:eastAsia="Calibri" w:hAnsi="Times New Roman" w:cs="Simplified Arabic"/>
          <w:sz w:val="24"/>
          <w:szCs w:val="28"/>
          <w:rtl/>
        </w:rPr>
        <w:t>)، ومؤشر أداء التكلفة (</w:t>
      </w:r>
      <w:r w:rsidRPr="00EA59B6">
        <w:rPr>
          <w:rFonts w:ascii="Times New Roman" w:eastAsia="Calibri" w:hAnsi="Times New Roman" w:cs="Simplified Arabic"/>
          <w:sz w:val="24"/>
          <w:szCs w:val="28"/>
        </w:rPr>
        <w:t>CPI</w:t>
      </w:r>
      <w:r w:rsidRPr="00EA59B6">
        <w:rPr>
          <w:rFonts w:ascii="Times New Roman" w:eastAsia="Calibri" w:hAnsi="Times New Roman" w:cs="Simplified Arabic"/>
          <w:sz w:val="24"/>
          <w:szCs w:val="28"/>
          <w:rtl/>
        </w:rPr>
        <w:t>)، وتحليل التباين، ونسبة إنجاز المهام، ومعدل الأخطاء، ورضا العملاء (</w:t>
      </w:r>
      <w:r w:rsidRPr="00EA59B6">
        <w:rPr>
          <w:rFonts w:ascii="Times New Roman" w:eastAsia="Calibri" w:hAnsi="Times New Roman" w:cs="Simplified Arabic"/>
          <w:sz w:val="24"/>
          <w:szCs w:val="28"/>
        </w:rPr>
        <w:t>Kerzner, 2022</w:t>
      </w:r>
      <w:r w:rsidRPr="00EA59B6">
        <w:rPr>
          <w:rFonts w:ascii="Times New Roman" w:eastAsia="Calibri" w:hAnsi="Times New Roman" w:cs="Simplified Arabic"/>
          <w:sz w:val="24"/>
          <w:szCs w:val="28"/>
          <w:rtl/>
        </w:rPr>
        <w:t>). وقد أشار تقرير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xml:space="preserve">) إلى أن المستخدمين المتقدمين للذكاء الاصطناعي يحققون تحسينات قابلة للقياس في نطاق </w:t>
      </w:r>
      <w:r w:rsidRPr="00EA59B6">
        <w:rPr>
          <w:rFonts w:ascii="Times New Roman" w:eastAsia="Calibri" w:hAnsi="Times New Roman" w:cs="Simplified Arabic"/>
          <w:sz w:val="24"/>
          <w:szCs w:val="28"/>
          <w:rtl/>
        </w:rPr>
        <w:lastRenderedPageBreak/>
        <w:t>المشروع والجدولة وإدارة التكاليف وإدارة الجودة، مما يوفر أدلة كمية على تأثير الذكاء الاصطناعي في كفاءة أداء المشاريع. وتشير مراجعة منهجية (</w:t>
      </w:r>
      <w:r w:rsidRPr="00EA59B6">
        <w:rPr>
          <w:rFonts w:ascii="Times New Roman" w:eastAsia="Calibri" w:hAnsi="Times New Roman" w:cs="Simplified Arabic"/>
          <w:sz w:val="24"/>
          <w:szCs w:val="28"/>
        </w:rPr>
        <w:t>Vergara et al., 2025</w:t>
      </w:r>
      <w:r w:rsidRPr="00EA59B6">
        <w:rPr>
          <w:rFonts w:ascii="Times New Roman" w:eastAsia="Calibri" w:hAnsi="Times New Roman" w:cs="Simplified Arabic"/>
          <w:sz w:val="24"/>
          <w:szCs w:val="28"/>
          <w:rtl/>
        </w:rPr>
        <w:t>) إلى أن هناك حاجة متزايدة لتطوير مقاييس جديدة تأخذ في الاعتبار تأثير التقنيات الرقمية على أداء المشاريع، بما في ذلك مقاييس الابتكار والمرونة التنظيمية.</w:t>
      </w:r>
    </w:p>
    <w:p w14:paraId="17EE2A58"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المقاييس المتعددة الأبعاد (التي تجمع بين مقاييس كمية ونوعية، وتغطي أبعاداً متعددة مثل: الجداول والتكاليف والجودة والمخاطر) هي الأكثر قدرة على تقديم صورة شاملة عن الأداء. وفي سياق الدراسة الحالية، فإن اعتماد مثل: هذه المقاييس المتعددة الأبعاد في أداة الدراسة (الاستبيان) سيزيد من دقة القياس وملاءمته لاختبار الفروض.</w:t>
      </w:r>
    </w:p>
    <w:p w14:paraId="26DB3DF3"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p>
    <w:p w14:paraId="43E44DCC" w14:textId="77777777" w:rsidR="00EA59B6" w:rsidRPr="00EA59B6" w:rsidRDefault="00EA59B6" w:rsidP="00EA59B6">
      <w:pPr>
        <w:bidi w:val="0"/>
        <w:spacing w:after="200" w:line="276" w:lineRule="auto"/>
        <w:rPr>
          <w:rFonts w:ascii="Times New Roman" w:eastAsia="Calibri" w:hAnsi="Times New Roman" w:cs="Simplified Arabic"/>
          <w:b/>
          <w:bCs/>
          <w:sz w:val="26"/>
          <w:szCs w:val="30"/>
          <w:rtl/>
        </w:rPr>
      </w:pPr>
      <w:r w:rsidRPr="00EA59B6">
        <w:rPr>
          <w:rFonts w:ascii="Times New Roman" w:eastAsia="Calibri" w:hAnsi="Times New Roman" w:cs="Simplified Arabic"/>
          <w:b/>
          <w:bCs/>
          <w:sz w:val="26"/>
          <w:szCs w:val="30"/>
          <w:rtl/>
        </w:rPr>
        <w:br w:type="page"/>
      </w:r>
    </w:p>
    <w:p w14:paraId="28895FA1" w14:textId="77777777" w:rsidR="00EA59B6" w:rsidRPr="00EA59B6" w:rsidRDefault="00EA59B6" w:rsidP="00EA59B6">
      <w:pPr>
        <w:spacing w:after="360" w:line="276" w:lineRule="auto"/>
        <w:ind w:firstLine="567"/>
        <w:jc w:val="center"/>
        <w:rPr>
          <w:rFonts w:ascii="Times New Roman" w:eastAsia="Calibri" w:hAnsi="Times New Roman" w:cs="Simplified Arabic"/>
          <w:b/>
          <w:bCs/>
          <w:sz w:val="26"/>
          <w:szCs w:val="30"/>
        </w:rPr>
      </w:pPr>
      <w:r w:rsidRPr="00EA59B6">
        <w:rPr>
          <w:rFonts w:ascii="Times New Roman" w:eastAsia="Calibri" w:hAnsi="Times New Roman" w:cs="Simplified Arabic"/>
          <w:b/>
          <w:bCs/>
          <w:sz w:val="26"/>
          <w:szCs w:val="30"/>
          <w:rtl/>
        </w:rPr>
        <w:lastRenderedPageBreak/>
        <w:t>المبحث الثالث: العلاقة بين الذكاء الاصطناعي وكفاءة أداء المشاريع</w:t>
      </w:r>
    </w:p>
    <w:p w14:paraId="39267922"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 xml:space="preserve">يهدف هذا المبحث إلى تقديم إطار نظري يجمع بين متغيري الدراسة الرئيسين، وذلك من خلال </w:t>
      </w:r>
      <w:proofErr w:type="gramStart"/>
      <w:r w:rsidRPr="00EA59B6">
        <w:rPr>
          <w:rFonts w:ascii="Times New Roman" w:eastAsia="Calibri" w:hAnsi="Times New Roman" w:cs="Simplified Arabic"/>
          <w:sz w:val="24"/>
          <w:szCs w:val="28"/>
          <w:rtl/>
        </w:rPr>
        <w:t>ثلاثة</w:t>
      </w:r>
      <w:proofErr w:type="gramEnd"/>
      <w:r w:rsidRPr="00EA59B6">
        <w:rPr>
          <w:rFonts w:ascii="Times New Roman" w:eastAsia="Calibri" w:hAnsi="Times New Roman" w:cs="Simplified Arabic"/>
          <w:sz w:val="24"/>
          <w:szCs w:val="28"/>
          <w:rtl/>
        </w:rPr>
        <w:t xml:space="preserve"> موضوعات فرعية تتناول: طبيعة العلاقة بين الذكاء الاصطناعي وكفاءة أداء المشاريع، آليات التأثير المباشرة وغير المباشرة للذكاء الاصطناعي في أداء المشاريع، والأدلة التجريبية المستمدة من الدراسات السابقة.</w:t>
      </w:r>
    </w:p>
    <w:p w14:paraId="1401D86F"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3.2.1</w:t>
      </w:r>
      <w:r w:rsidRPr="00EA59B6">
        <w:rPr>
          <w:rFonts w:ascii="Times New Roman" w:eastAsia="Calibri" w:hAnsi="Times New Roman" w:cs="Simplified Arabic"/>
          <w:b/>
          <w:bCs/>
          <w:sz w:val="24"/>
          <w:szCs w:val="28"/>
          <w:rtl/>
        </w:rPr>
        <w:t xml:space="preserve"> طبيعة العلاقة بين الذكاء الاصطناعي وكفاءة أداء المشاريع</w:t>
      </w:r>
    </w:p>
    <w:p w14:paraId="25D8CDF4"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تتسم العلاقة بين الذكاء الاصطناعي وكفاءة أداء المشاريع بالتعقيد والتعددية، إذ لا يمكن اختزالها في تأثير خطي مباشر، بل تمتد لتشمل تأثيرات غير مباشرة عبر متغيرات وسيطة متعددة. وقد أشارت مراجعة منهجية حديثة (</w:t>
      </w:r>
      <w:r w:rsidRPr="00EA59B6">
        <w:rPr>
          <w:rFonts w:ascii="Times New Roman" w:eastAsia="Calibri" w:hAnsi="Times New Roman" w:cs="Simplified Arabic"/>
          <w:sz w:val="24"/>
          <w:szCs w:val="28"/>
        </w:rPr>
        <w:t>Taboada et al., 2023</w:t>
      </w:r>
      <w:r w:rsidRPr="00EA59B6">
        <w:rPr>
          <w:rFonts w:ascii="Times New Roman" w:eastAsia="Calibri" w:hAnsi="Times New Roman" w:cs="Simplified Arabic"/>
          <w:sz w:val="24"/>
          <w:szCs w:val="28"/>
          <w:rtl/>
        </w:rPr>
        <w:t>) إلى أن الذكاء الاصطناعي، وخاصة التعلم الآلي، يمكن أن يكون مفيداً بشكل كبير في تعزيز مجالات أداء التخطيط والقياس وعدم اليقين من خلال توفير قدرات واعدة في التنبؤ واتخاذ القرار. كما أظهرت دراسة (</w:t>
      </w:r>
      <w:proofErr w:type="spellStart"/>
      <w:r w:rsidRPr="00EA59B6">
        <w:rPr>
          <w:rFonts w:ascii="Times New Roman" w:eastAsia="Calibri" w:hAnsi="Times New Roman" w:cs="Simplified Arabic"/>
          <w:sz w:val="24"/>
          <w:szCs w:val="28"/>
        </w:rPr>
        <w:t>Kozhakhmetova</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أن المشاريع ذات معدلات التبني الأعلى للذكاء الاصطناعي أظهرت درجات كفاءة أعلى، وأن أنظمة اتخاذ القرار، وأتمتة العمليات، وتقنيات الصوت هي التقنيات الثلاث الأكثر أهمية التي يستخدمها متخصصو إدارة المشاريع لتحسين كفاءة المشاريع.</w:t>
      </w:r>
    </w:p>
    <w:p w14:paraId="0961C2E4"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وقد أشارت دراسة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إلى أن المستخدمين المتقدمين للذكاء الاصطناعي يحققون تحسينات كبيرة في الإنتاجية والفعالية وقدرات حل المشكلات، مما يؤكد وجود علاقة إيجابية قوية بين استخدام الذكاء الاصطناعي وكفاءة أداء المشاريع. وقد خلصت دراسة (</w:t>
      </w:r>
      <w:r w:rsidRPr="00EA59B6">
        <w:rPr>
          <w:rFonts w:ascii="Times New Roman" w:eastAsia="Calibri" w:hAnsi="Times New Roman" w:cs="Simplified Arabic"/>
          <w:sz w:val="24"/>
          <w:szCs w:val="28"/>
        </w:rPr>
        <w:t>Sahadevan, 2023</w:t>
      </w:r>
      <w:r w:rsidRPr="00EA59B6">
        <w:rPr>
          <w:rFonts w:ascii="Times New Roman" w:eastAsia="Calibri" w:hAnsi="Times New Roman" w:cs="Simplified Arabic"/>
          <w:sz w:val="24"/>
          <w:szCs w:val="28"/>
          <w:rtl/>
        </w:rPr>
        <w:t>) إلى أن الذكاء الاصطناعي يُحدث تحولاً جوهرياً في ممارسات إدارة المشاريع، من خلال أتمتة المهام الروتينية وتوفير رؤى تحليلية متقدمة تعزز كفاءة الفرق، كما يسهم في تحسين القدرة على التنبؤ بالمخاطر المحتملة التي قد تواجه المشاريع. وقد أظهرت دراسة (</w:t>
      </w:r>
      <w:r w:rsidRPr="00EA59B6">
        <w:rPr>
          <w:rFonts w:ascii="Times New Roman" w:eastAsia="Calibri" w:hAnsi="Times New Roman" w:cs="Simplified Arabic"/>
          <w:sz w:val="24"/>
          <w:szCs w:val="28"/>
        </w:rPr>
        <w:t>Dacre et al., 2025</w:t>
      </w:r>
      <w:r w:rsidRPr="00EA59B6">
        <w:rPr>
          <w:rFonts w:ascii="Times New Roman" w:eastAsia="Calibri" w:hAnsi="Times New Roman" w:cs="Simplified Arabic"/>
          <w:sz w:val="24"/>
          <w:szCs w:val="28"/>
          <w:rtl/>
        </w:rPr>
        <w:t>) أن المكاسب في الأداء تشمل تحسناً في التسليم في الوقت المحدد بنسبة (68%)، وخفضاً في التكاليف بنسبة (38%)، وتحسناً في الجودة بنسبة (61%)، مما يؤكد قوة العلاقة بين تبني الذكاء الاصطناعي وتحسين الأداء. وتشير مراجعة منهجية (</w:t>
      </w:r>
      <w:proofErr w:type="spellStart"/>
      <w:r w:rsidRPr="00EA59B6">
        <w:rPr>
          <w:rFonts w:ascii="Times New Roman" w:eastAsia="Calibri" w:hAnsi="Times New Roman" w:cs="Simplified Arabic"/>
          <w:sz w:val="24"/>
          <w:szCs w:val="28"/>
        </w:rPr>
        <w:t>Alayed</w:t>
      </w:r>
      <w:proofErr w:type="spellEnd"/>
      <w:r w:rsidRPr="00EA59B6">
        <w:rPr>
          <w:rFonts w:ascii="Times New Roman" w:eastAsia="Calibri" w:hAnsi="Times New Roman" w:cs="Simplified Arabic"/>
          <w:sz w:val="24"/>
          <w:szCs w:val="28"/>
        </w:rPr>
        <w:t>, 2025</w:t>
      </w:r>
      <w:r w:rsidRPr="00EA59B6">
        <w:rPr>
          <w:rFonts w:ascii="Times New Roman" w:eastAsia="Calibri" w:hAnsi="Times New Roman" w:cs="Simplified Arabic"/>
          <w:sz w:val="24"/>
          <w:szCs w:val="28"/>
          <w:rtl/>
        </w:rPr>
        <w:t xml:space="preserve">) إلى أن الذكاء الاصطناعي يعزز أداء </w:t>
      </w:r>
      <w:r w:rsidRPr="00EA59B6">
        <w:rPr>
          <w:rFonts w:ascii="Times New Roman" w:eastAsia="Calibri" w:hAnsi="Times New Roman" w:cs="Simplified Arabic"/>
          <w:sz w:val="24"/>
          <w:szCs w:val="28"/>
          <w:rtl/>
        </w:rPr>
        <w:lastRenderedPageBreak/>
        <w:t>المشاريع من خلال تحسين دقة التقديرات وتقليل حالات عدم اليقين وتعزيز قدرة الفرق على التكيف مع التغيرات.</w:t>
      </w:r>
    </w:p>
    <w:p w14:paraId="067E4F9E"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العلاقة بين الذكاء الاصطناعي وكفاءة أداء المشاريع ليست علاقة خطية بسيطة، بل تتشابك فيها آليات مباشرة وغير مباشرة. فالتأثير المباشر يظهر من خلال تحسين جودة التخطيط والرقابة وإدارة المخاطر، بينما يظهر التأثير غير المباشر من خلال تعزيز قدرات الفرق وتمكينها من اتخاذ قرارات أكثر استنارة. وفي السياق السعودي، حيث تشهد المؤسسات تحولاً رقمياً طموحاً، فإن فهم طبيعة هذه العلاقة يكتسب أهمية خاصة لتوجيه الاستثمارات في تقنيات الذكاء الاصطناعي نحو المجالات الأكثر تأثيراً في تحسين كفاءة أداء المشاريع.</w:t>
      </w:r>
    </w:p>
    <w:p w14:paraId="36C10903"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3.2.2</w:t>
      </w:r>
      <w:r w:rsidRPr="00EA59B6">
        <w:rPr>
          <w:rFonts w:ascii="Times New Roman" w:eastAsia="Calibri" w:hAnsi="Times New Roman" w:cs="Simplified Arabic"/>
          <w:b/>
          <w:bCs/>
          <w:sz w:val="24"/>
          <w:szCs w:val="28"/>
          <w:rtl/>
        </w:rPr>
        <w:t xml:space="preserve"> آليات تأثير الذكاء الاصطناعي في كفاءة أداء المشاريع</w:t>
      </w:r>
    </w:p>
    <w:p w14:paraId="26837CCD"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يمكن تصنيف آليات تأثير الذكاء الاصطناعي في كفاءة أداء المشاريع إلى تأثيرات مباشرة وأخرى غير مباشرة. تتمثل: التأثيرات المباشرة في تحسين الالتزام بالجداول الزمنية من خلال خوارزميات تحسين الجدولة، والتحكم في التكاليف من خلال التنبؤ الدقيق بالتجاوزات، وتحسين جودة المخرجات من خلال أنظمة ضبط الجودة الذكية، وتعزيز إدارة المخاطر من خلال النماذج التنبؤية (</w:t>
      </w:r>
      <w:r w:rsidRPr="00EA59B6">
        <w:rPr>
          <w:rFonts w:ascii="Times New Roman" w:eastAsia="Calibri" w:hAnsi="Times New Roman" w:cs="Simplified Arabic"/>
          <w:sz w:val="24"/>
          <w:szCs w:val="28"/>
        </w:rPr>
        <w:t>PMI, 2021</w:t>
      </w:r>
      <w:r w:rsidRPr="00EA59B6">
        <w:rPr>
          <w:rFonts w:ascii="Times New Roman" w:eastAsia="Calibri" w:hAnsi="Times New Roman" w:cs="Simplified Arabic"/>
          <w:sz w:val="24"/>
          <w:szCs w:val="28"/>
          <w:rtl/>
        </w:rPr>
        <w:t>). وقد أظهرت دراسة (</w:t>
      </w:r>
      <w:r w:rsidRPr="00EA59B6">
        <w:rPr>
          <w:rFonts w:ascii="Times New Roman" w:eastAsia="Calibri" w:hAnsi="Times New Roman" w:cs="Simplified Arabic"/>
          <w:sz w:val="24"/>
          <w:szCs w:val="28"/>
        </w:rPr>
        <w:t>Omar et al., 2025</w:t>
      </w:r>
      <w:r w:rsidRPr="00EA59B6">
        <w:rPr>
          <w:rFonts w:ascii="Times New Roman" w:eastAsia="Calibri" w:hAnsi="Times New Roman" w:cs="Simplified Arabic"/>
          <w:sz w:val="24"/>
          <w:szCs w:val="28"/>
          <w:rtl/>
        </w:rPr>
        <w:t>) أن استخدام خوارزميات التعلم الآلي يساعد في تحسين دقة تقدير التكاليف والمدة الزمنية للمشاريع، كما يسهم في تحسين إدارة المخاطر وزيادة كفاءة التخطيط.</w:t>
      </w:r>
    </w:p>
    <w:p w14:paraId="1D578D9B"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أما التأثيرات غير المباشرة، فتشمل تحسين كفاءة استخدام الموارد من خلال التخصيص الأمثل، وتعزيز القدرة على التكيف من خلال الرؤى الاستباقية، وتمكين الفرق من التركيز على المهام ذات القيمة المضافة من خلال أتمتة المهام الروتينية (</w:t>
      </w:r>
      <w:r w:rsidRPr="00EA59B6">
        <w:rPr>
          <w:rFonts w:ascii="Times New Roman" w:eastAsia="Calibri" w:hAnsi="Times New Roman" w:cs="Simplified Arabic"/>
          <w:sz w:val="24"/>
          <w:szCs w:val="28"/>
        </w:rPr>
        <w:t>Sahadevan, 2023</w:t>
      </w:r>
      <w:r w:rsidRPr="00EA59B6">
        <w:rPr>
          <w:rFonts w:ascii="Times New Roman" w:eastAsia="Calibri" w:hAnsi="Times New Roman" w:cs="Simplified Arabic"/>
          <w:sz w:val="24"/>
          <w:szCs w:val="28"/>
          <w:rtl/>
        </w:rPr>
        <w:t>). وقد أشارت دراسة (</w:t>
      </w:r>
      <w:r w:rsidRPr="00EA59B6">
        <w:rPr>
          <w:rFonts w:ascii="Times New Roman" w:eastAsia="Calibri" w:hAnsi="Times New Roman" w:cs="Simplified Arabic"/>
          <w:sz w:val="24"/>
          <w:szCs w:val="28"/>
        </w:rPr>
        <w:t>Taboada et al., 2023</w:t>
      </w:r>
      <w:r w:rsidRPr="00EA59B6">
        <w:rPr>
          <w:rFonts w:ascii="Times New Roman" w:eastAsia="Calibri" w:hAnsi="Times New Roman" w:cs="Simplified Arabic"/>
          <w:sz w:val="24"/>
          <w:szCs w:val="28"/>
          <w:rtl/>
        </w:rPr>
        <w:t>) إلى أن الذكاء الاصطناعي يوفر قدرات واعدة في التنبؤ واتخاذ القرار، مما يُعزز الأداء في مجالات التخطيط والقياس وعدم اليقين. كما أشار تقرير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إلى أن المستخدمين المتقدمين للذكاء الاصطناعي يحققون تحسينات في التعاون والإبداع، مما يعكس التأثير غير المباشر للذكاء الاصطناعي في تعزيز القدرات البشرية. وتشير دراسة (</w:t>
      </w:r>
      <w:r w:rsidRPr="00EA59B6">
        <w:rPr>
          <w:rFonts w:ascii="Times New Roman" w:eastAsia="Calibri" w:hAnsi="Times New Roman" w:cs="Simplified Arabic"/>
          <w:sz w:val="24"/>
          <w:szCs w:val="28"/>
        </w:rPr>
        <w:t xml:space="preserve">Polychronakis </w:t>
      </w:r>
      <w:r w:rsidRPr="00EA59B6">
        <w:rPr>
          <w:rFonts w:ascii="Times New Roman" w:eastAsia="Calibri" w:hAnsi="Times New Roman" w:cs="Simplified Arabic"/>
          <w:sz w:val="24"/>
          <w:szCs w:val="28"/>
        </w:rPr>
        <w:lastRenderedPageBreak/>
        <w:t>et al., 2024</w:t>
      </w:r>
      <w:r w:rsidRPr="00EA59B6">
        <w:rPr>
          <w:rFonts w:ascii="Times New Roman" w:eastAsia="Calibri" w:hAnsi="Times New Roman" w:cs="Simplified Arabic"/>
          <w:sz w:val="24"/>
          <w:szCs w:val="28"/>
          <w:rtl/>
        </w:rPr>
        <w:t>) إلى أن الذكاء الاصطناعي يسهم في تحسين تدفق المعلومات وتعزيز التعاون بين فرق المشاريع، مما ينعكس إيجاباً على كفاءة الأداء.</w:t>
      </w:r>
    </w:p>
    <w:p w14:paraId="42E03193"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في ضوء ما سبق ترى الباحثة أن آليات تأثير الذكاء الاصطناعي في كفاءة أداء المشاريع تتضمن تأثيرات مباشرة على المؤشرات التقليدية (الوقت، التكلفة، الجودة)، وتأثيرات غير مباشرة على القدرات التنظيمية (الموارد، التكيف، الابتكار). وهذا التنوع يفسر لماذا تختلف شدة التأثير باختلاف السياق ونوع المشروع ودرجة النضج في تبني الذكاء الاصطناعي.</w:t>
      </w:r>
    </w:p>
    <w:p w14:paraId="2DDAAC12"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Pr>
        <w:t>3.2.3</w:t>
      </w:r>
      <w:r w:rsidRPr="00EA59B6">
        <w:rPr>
          <w:rFonts w:ascii="Times New Roman" w:eastAsia="Calibri" w:hAnsi="Times New Roman" w:cs="Simplified Arabic"/>
          <w:b/>
          <w:bCs/>
          <w:sz w:val="24"/>
          <w:szCs w:val="28"/>
          <w:rtl/>
        </w:rPr>
        <w:t xml:space="preserve"> الأدلة التجريبية من الدراسات السابقة حول العلاقة</w:t>
      </w:r>
    </w:p>
    <w:p w14:paraId="3907F5F2"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تتفق أغلب الدراسات التجريبية الحديثة على وجود علاقة إيجابية بين استخدام الذكاء الاصطناعي وكفاءة أداء المشاريع، وإن اختلفت في حجم هذا التأثير وفي الآليات التي يعمل من خلالها. فقد أظهرت دراسة (</w:t>
      </w:r>
      <w:proofErr w:type="spellStart"/>
      <w:r w:rsidRPr="00EA59B6">
        <w:rPr>
          <w:rFonts w:ascii="Times New Roman" w:eastAsia="Calibri" w:hAnsi="Times New Roman" w:cs="Simplified Arabic"/>
          <w:sz w:val="24"/>
          <w:szCs w:val="28"/>
        </w:rPr>
        <w:t>Kozhakhmetova</w:t>
      </w:r>
      <w:proofErr w:type="spellEnd"/>
      <w:r w:rsidRPr="00EA59B6">
        <w:rPr>
          <w:rFonts w:ascii="Times New Roman" w:eastAsia="Calibri" w:hAnsi="Times New Roman" w:cs="Simplified Arabic"/>
          <w:sz w:val="24"/>
          <w:szCs w:val="28"/>
        </w:rPr>
        <w:t xml:space="preserve"> et al., 2024</w:t>
      </w:r>
      <w:r w:rsidRPr="00EA59B6">
        <w:rPr>
          <w:rFonts w:ascii="Times New Roman" w:eastAsia="Calibri" w:hAnsi="Times New Roman" w:cs="Simplified Arabic"/>
          <w:sz w:val="24"/>
          <w:szCs w:val="28"/>
          <w:rtl/>
        </w:rPr>
        <w:t>) أن المشاريع ذات معدلات التبني الأعلى للذكاء الاصطناعي أظهرت درجات كفاءة أعلى، حيث بلغ معدل التبني في مشاريع البرمجيات (3.2)، ومعدل الكفاءة (3.3)، بينما كانت الصناعات ذات الكفاءة المنخفضة (مثل: السياحة) تظهر أدنى النتائج (معدل التبني 1.9، ومعدل الكفاءة 2.2). كما أظهرت دراسة (</w:t>
      </w:r>
      <w:r w:rsidRPr="00EA59B6">
        <w:rPr>
          <w:rFonts w:ascii="Times New Roman" w:eastAsia="Calibri" w:hAnsi="Times New Roman" w:cs="Simplified Arabic"/>
          <w:sz w:val="24"/>
          <w:szCs w:val="28"/>
        </w:rPr>
        <w:t>PMI, 2024</w:t>
      </w:r>
      <w:r w:rsidRPr="00EA59B6">
        <w:rPr>
          <w:rFonts w:ascii="Times New Roman" w:eastAsia="Calibri" w:hAnsi="Times New Roman" w:cs="Simplified Arabic"/>
          <w:sz w:val="24"/>
          <w:szCs w:val="28"/>
          <w:rtl/>
        </w:rPr>
        <w:t>) أن المستخدمين المتقدمين للذكاء الاصطناعي يحققون تحسينات كبيرة في الإنتاجية والفعالية، وفي نطاق المشروع والجدولة وإدارة التكاليف وإدارة الجودة.</w:t>
      </w:r>
    </w:p>
    <w:p w14:paraId="017322BA"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وقد أشارت مراجعة منهجية (</w:t>
      </w:r>
      <w:r w:rsidRPr="00EA59B6">
        <w:rPr>
          <w:rFonts w:ascii="Times New Roman" w:eastAsia="Calibri" w:hAnsi="Times New Roman" w:cs="Simplified Arabic"/>
          <w:sz w:val="24"/>
          <w:szCs w:val="28"/>
        </w:rPr>
        <w:t>Taboada et al., 2023</w:t>
      </w:r>
      <w:r w:rsidRPr="00EA59B6">
        <w:rPr>
          <w:rFonts w:ascii="Times New Roman" w:eastAsia="Calibri" w:hAnsi="Times New Roman" w:cs="Simplified Arabic"/>
          <w:sz w:val="24"/>
          <w:szCs w:val="28"/>
          <w:rtl/>
        </w:rPr>
        <w:t>) إلى أن عدد المنشورات المؤثرة حول الذكاء الاصطناعي في إدارة المشاريع زاد بشكل كبير خلال العقد الماضي، وأن الذكاء الاصطناعي، وخاصة التعلم الآلي، يمكن أن يكون مفيداً بشكل كبير في تعزيز مجالات أداء التخطيط والقياس وعدم اليقين. كما أظهرت دراسة (</w:t>
      </w:r>
      <w:r w:rsidRPr="00EA59B6">
        <w:rPr>
          <w:rFonts w:ascii="Times New Roman" w:eastAsia="Calibri" w:hAnsi="Times New Roman" w:cs="Simplified Arabic"/>
          <w:sz w:val="24"/>
          <w:szCs w:val="28"/>
        </w:rPr>
        <w:t>Dacre et al., 2025</w:t>
      </w:r>
      <w:r w:rsidRPr="00EA59B6">
        <w:rPr>
          <w:rFonts w:ascii="Times New Roman" w:eastAsia="Calibri" w:hAnsi="Times New Roman" w:cs="Simplified Arabic"/>
          <w:sz w:val="24"/>
          <w:szCs w:val="28"/>
          <w:rtl/>
        </w:rPr>
        <w:t>) أن (61%) من المهنيين أفادوا بتحسن في اتخاذ القرار من خلال التحليلات الفورية والنمذجة التنبؤية، و(82%) أبلغوا عن تعزيز القدرات الرقمية داخل فرقهم. وقد خلصت دراسة (</w:t>
      </w:r>
      <w:r w:rsidRPr="00EA59B6">
        <w:rPr>
          <w:rFonts w:ascii="Times New Roman" w:eastAsia="Calibri" w:hAnsi="Times New Roman" w:cs="Simplified Arabic"/>
          <w:sz w:val="24"/>
          <w:szCs w:val="28"/>
        </w:rPr>
        <w:t>Sahadevan, 2023</w:t>
      </w:r>
      <w:r w:rsidRPr="00EA59B6">
        <w:rPr>
          <w:rFonts w:ascii="Times New Roman" w:eastAsia="Calibri" w:hAnsi="Times New Roman" w:cs="Simplified Arabic"/>
          <w:sz w:val="24"/>
          <w:szCs w:val="28"/>
          <w:rtl/>
        </w:rPr>
        <w:t>) إلى أن الذكاء الاصطناعي يُحدث تحولاً جوهرياً في ممارسات إدارة المشاريع، من خلال أتمتة المهام الروتينية وتوفير رؤى تحليلية متقدمة تعزز كفاءة الفرق. وقد خلصت دراسة (</w:t>
      </w:r>
      <w:r w:rsidRPr="00EA59B6">
        <w:rPr>
          <w:rFonts w:ascii="Times New Roman" w:eastAsia="Calibri" w:hAnsi="Times New Roman" w:cs="Simplified Arabic"/>
          <w:sz w:val="24"/>
          <w:szCs w:val="28"/>
        </w:rPr>
        <w:t>Omar et al., 2025</w:t>
      </w:r>
      <w:r w:rsidRPr="00EA59B6">
        <w:rPr>
          <w:rFonts w:ascii="Times New Roman" w:eastAsia="Calibri" w:hAnsi="Times New Roman" w:cs="Simplified Arabic"/>
          <w:sz w:val="24"/>
          <w:szCs w:val="28"/>
          <w:rtl/>
        </w:rPr>
        <w:t xml:space="preserve">) إلى أن استخدام خوارزميات التعلم الآلي يساعد في تحسين دقة تقدير التكاليف والمدة الزمنية للمشاريع، كما يسهم في تحسين </w:t>
      </w:r>
      <w:r w:rsidRPr="00EA59B6">
        <w:rPr>
          <w:rFonts w:ascii="Times New Roman" w:eastAsia="Calibri" w:hAnsi="Times New Roman" w:cs="Simplified Arabic"/>
          <w:sz w:val="24"/>
          <w:szCs w:val="28"/>
          <w:rtl/>
        </w:rPr>
        <w:lastRenderedPageBreak/>
        <w:t>إدارة المخاطر وزيادة كفاءة التخطيط. وتشير مراجعة منهجية (</w:t>
      </w:r>
      <w:r w:rsidRPr="00EA59B6">
        <w:rPr>
          <w:rFonts w:ascii="Times New Roman" w:eastAsia="Calibri" w:hAnsi="Times New Roman" w:cs="Simplified Arabic"/>
          <w:sz w:val="24"/>
          <w:szCs w:val="28"/>
        </w:rPr>
        <w:t>Vergara et al., 2025</w:t>
      </w:r>
      <w:r w:rsidRPr="00EA59B6">
        <w:rPr>
          <w:rFonts w:ascii="Times New Roman" w:eastAsia="Calibri" w:hAnsi="Times New Roman" w:cs="Simplified Arabic"/>
          <w:sz w:val="24"/>
          <w:szCs w:val="28"/>
          <w:rtl/>
        </w:rPr>
        <w:t>) إلى أن الأدلة التجريبية تدعم بشكل قوي العلاقة الإيجابية بين تبني الذكاء الاصطناعي وتحسين كفاءة أداء المشاريع، مع اختلافات في حجم التأثير حسب القطاع ومستوى النضج التنظيمي.</w:t>
      </w:r>
    </w:p>
    <w:p w14:paraId="3907FCEE"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sz w:val="24"/>
          <w:szCs w:val="28"/>
          <w:rtl/>
        </w:rPr>
        <w:t>في ضوء ما سبق ترى الباحثة أن الأدلة التجريبية من الدراسات السابقة تتفق على وجود علاقة إيجابية بين الذكاء الاصطناعي وكفاءة أداء المشاريع، مع اختلافات في حجم التأثير حسب السياق والصناعة ومستوى النضج. وتُشير هذه النتائج إلى أن الاستثمار في الذكاء الاصطناعي يمكن أن يحقق عوائد ملموسة في تحسين أداء المشاريع، لكن حجم هذه العوائد يعتمد على عوامل متعددة تشمل جودة البيانات، ومهارات الفريق، ودعم الإدارة، وملاءمة الأدوات للسياق. وفي ضوء هذه الأدلة، تسعى الدراسة الحالية إلى اختبار هذه العلاقة في سياق المؤسسات السعودية، وتقديم أدلة ميدانية حول الأبعاد الأكثر تأثيراً من الذكاء الاصطناعي على كفاءة أداء المشاريع.</w:t>
      </w:r>
    </w:p>
    <w:p w14:paraId="027F1B9F" w14:textId="77777777" w:rsidR="00EA59B6" w:rsidRPr="00EA59B6" w:rsidRDefault="00EA59B6" w:rsidP="00EA59B6">
      <w:pPr>
        <w:spacing w:after="360" w:line="276" w:lineRule="auto"/>
        <w:ind w:firstLine="567"/>
        <w:jc w:val="both"/>
        <w:rPr>
          <w:rFonts w:ascii="Times New Roman" w:eastAsia="Calibri" w:hAnsi="Times New Roman" w:cs="Simplified Arabic"/>
          <w:b/>
          <w:bCs/>
          <w:sz w:val="24"/>
          <w:szCs w:val="28"/>
        </w:rPr>
      </w:pPr>
      <w:r w:rsidRPr="00EA59B6">
        <w:rPr>
          <w:rFonts w:ascii="Times New Roman" w:eastAsia="Calibri" w:hAnsi="Times New Roman" w:cs="Simplified Arabic"/>
          <w:b/>
          <w:bCs/>
          <w:sz w:val="24"/>
          <w:szCs w:val="28"/>
          <w:rtl/>
        </w:rPr>
        <w:t>خاتمة الإطار النظري</w:t>
      </w:r>
    </w:p>
    <w:p w14:paraId="61534394"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خلصت الدراسة في إطارها النظري إلى مجموعة من النتائج الرئيسة التي تُعد بمثابة اللبنات الأساسية للنموذج الميداني للبحث. فقد أظهر المبحث الأول أن الذكاء الاصطناعي في إدارة المشاريع يتكون من ستة أبعاد مترابطة (تحليل البيانات، التنبؤ بالمخاطر، تحسين الجدولة، دعم اتخاذ القرار، إدارة الموارد، المراقبة والمتابعة)، وأن فعاليته تعتمد على تكاملها وملاءمتها لسياق المشروع. كما تتنوع النظريات المفسرة له لتشمل نظرية اتخاذ القرار المعزز بالبيانات، ونظرية التعلم التنظيمي، ونظرية القدرات الديناميكية، وتكاملها يوفر إطاراً لفهم العلاقة المعقدة بين الذكاء الاصطناعي وكفاءة الأداء. كما أظهرت الأدلة أن تبني الذكاء الاصطناعي يمر بمراحل نضج متعددة، وأن التحديات التقنية والبشرية والتنظيمية والمالية تشكل عقبات أمام التبني الفعال.</w:t>
      </w:r>
    </w:p>
    <w:p w14:paraId="52547409"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Pr>
      </w:pPr>
      <w:r w:rsidRPr="00EA59B6">
        <w:rPr>
          <w:rFonts w:ascii="Times New Roman" w:eastAsia="Calibri" w:hAnsi="Times New Roman" w:cs="Simplified Arabic"/>
          <w:sz w:val="24"/>
          <w:szCs w:val="28"/>
          <w:rtl/>
        </w:rPr>
        <w:t>وأوضح المبحث الثاني أن كفاءة أداء المشاريع مفهوم متعدد الأبعاد يشمل الالتزام بالجداول الزمنية، والتحكم في التكاليف، وجودة المخرجات، وإدارة المخاطر، وكفاءة استخدام الموارد، والقدرة على التكيف. وتتنوع النظريات المفسرة لأداء المشاريع لتشمل نظرية العوامل الحرجة للنجاح، ونظرية القيود الثلاثية، ونظرية الأداء المتوازن، وتكاملها يوفر إطاراً لفهم العوامل المؤثرة في كفاءة أداء المشاريع.</w:t>
      </w:r>
    </w:p>
    <w:p w14:paraId="0CF46400" w14:textId="77777777" w:rsidR="00EA59B6" w:rsidRPr="00EA59B6" w:rsidRDefault="00EA59B6" w:rsidP="00EA59B6">
      <w:pPr>
        <w:spacing w:after="360" w:line="276"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sz w:val="24"/>
          <w:szCs w:val="28"/>
          <w:rtl/>
        </w:rPr>
        <w:lastRenderedPageBreak/>
        <w:t>أما المبحث الثالث فقد كشف أن العلاقة بين الذكاء الاصطناعي وكفاءة أداء المشاريع علاقة إيجابية مدعومة بالأدلة التجريبية، وتتشكل عبر آليات مباشرة (تحسين التخطيط والرقابة وإدارة المخاطر)، وغير مباشرة (تعزيز قدرات الفرق وتمكينها من اتخاذ قرارات أكثر استنارة). وتتفق الدراسات السابقة على أن الذكاء الاصطناعي يُعزز كفاءة أداء المشاريع، لكن حجم التأثير يختلف باختلاف السياق ومستوى النضج في التبني. وبناءً على هذه النتائج، تم صياغة الفرضيات الرئيسة والفرعية التي سيجري اختبارها ميدانياً في الفصل الرابع من هذه الدراسة.</w:t>
      </w:r>
    </w:p>
    <w:p w14:paraId="16AD089A"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Pr>
      </w:pPr>
    </w:p>
    <w:p w14:paraId="072FC30E" w14:textId="77777777" w:rsidR="00EA59B6" w:rsidRPr="00EA59B6" w:rsidRDefault="00EA59B6" w:rsidP="00EA59B6">
      <w:pPr>
        <w:spacing w:after="360" w:line="240" w:lineRule="auto"/>
        <w:ind w:firstLine="567"/>
        <w:jc w:val="both"/>
        <w:rPr>
          <w:rFonts w:ascii="Times New Roman" w:eastAsia="Calibri" w:hAnsi="Times New Roman" w:cs="Simplified Arabic"/>
          <w:sz w:val="24"/>
          <w:szCs w:val="28"/>
          <w:rtl/>
        </w:rPr>
      </w:pPr>
      <w:r w:rsidRPr="00EA59B6">
        <w:rPr>
          <w:rFonts w:ascii="Times New Roman" w:eastAsia="Calibri" w:hAnsi="Times New Roman" w:cs="Simplified Arabic"/>
          <w:sz w:val="24"/>
          <w:szCs w:val="28"/>
          <w:rtl/>
        </w:rPr>
        <w:br w:type="page"/>
      </w:r>
    </w:p>
    <w:sectPr w:rsidR="00EA59B6" w:rsidRPr="00EA59B6" w:rsidSect="0070468E">
      <w:footerReference w:type="default" r:id="rId17"/>
      <w:footerReference w:type="first" r:id="rId18"/>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D7F57" w14:textId="77777777" w:rsidR="00580DD9" w:rsidRDefault="00580DD9">
      <w:pPr>
        <w:spacing w:after="0" w:line="240" w:lineRule="auto"/>
      </w:pPr>
      <w:r>
        <w:separator/>
      </w:r>
    </w:p>
  </w:endnote>
  <w:endnote w:type="continuationSeparator" w:id="0">
    <w:p w14:paraId="2DFB3E79" w14:textId="77777777" w:rsidR="00580DD9" w:rsidRDefault="00580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98C98" w14:textId="77777777" w:rsidR="008E7AE0" w:rsidRDefault="008E7AE0">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0573452"/>
      <w:docPartObj>
        <w:docPartGallery w:val="Page Numbers (Bottom of Page)"/>
        <w:docPartUnique/>
      </w:docPartObj>
    </w:sdtPr>
    <w:sdtEndPr/>
    <w:sdtContent>
      <w:p w14:paraId="2F389B88" w14:textId="77777777" w:rsidR="008E7AE0" w:rsidRDefault="008E7AE0">
        <w:pPr>
          <w:pStyle w:val="a3"/>
          <w:jc w:val="center"/>
        </w:pPr>
        <w:r>
          <w:fldChar w:fldCharType="begin"/>
        </w:r>
        <w:r>
          <w:instrText>PAGE   \* MERGEFORMAT</w:instrText>
        </w:r>
        <w:r>
          <w:fldChar w:fldCharType="separate"/>
        </w:r>
        <w:r>
          <w:rPr>
            <w:rtl/>
            <w:lang w:val="ar-SA"/>
          </w:rPr>
          <w:t>2</w:t>
        </w:r>
        <w:r>
          <w:fldChar w:fldCharType="end"/>
        </w:r>
      </w:p>
    </w:sdtContent>
  </w:sdt>
  <w:p w14:paraId="29B37DE3" w14:textId="77777777" w:rsidR="008E7AE0" w:rsidRPr="00B540F1" w:rsidRDefault="008E7AE0" w:rsidP="00B540F1">
    <w:pPr>
      <w:pStyle w:val="a3"/>
      <w:jc w:val="center"/>
      <w:rPr>
        <w:rFonts w:cs="Simplified Arabic"/>
        <w:b/>
        <w:bCs/>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847240748"/>
      <w:docPartObj>
        <w:docPartGallery w:val="Page Numbers (Bottom of Page)"/>
        <w:docPartUnique/>
      </w:docPartObj>
    </w:sdtPr>
    <w:sdtEndPr/>
    <w:sdtContent>
      <w:p w14:paraId="003BCED9" w14:textId="77777777" w:rsidR="008E7AE0" w:rsidRPr="003220EB" w:rsidRDefault="008E7AE0">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17AFAFB" w14:textId="77777777" w:rsidR="008E7AE0" w:rsidRDefault="008E7AE0" w:rsidP="00B540F1">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1676817"/>
      <w:docPartObj>
        <w:docPartGallery w:val="Page Numbers (Bottom of Page)"/>
        <w:docPartUnique/>
      </w:docPartObj>
    </w:sdtPr>
    <w:sdtEndPr/>
    <w:sdtContent>
      <w:p w14:paraId="5CC09008" w14:textId="77777777" w:rsidR="005A3E74" w:rsidRDefault="005A3E74">
        <w:pPr>
          <w:pStyle w:val="a3"/>
          <w:jc w:val="center"/>
        </w:pPr>
        <w:r>
          <w:fldChar w:fldCharType="begin"/>
        </w:r>
        <w:r>
          <w:instrText>PAGE   \* MERGEFORMAT</w:instrText>
        </w:r>
        <w:r>
          <w:fldChar w:fldCharType="separate"/>
        </w:r>
        <w:r>
          <w:rPr>
            <w:rtl/>
            <w:lang w:val="ar-SA"/>
          </w:rPr>
          <w:t>2</w:t>
        </w:r>
        <w:r>
          <w:fldChar w:fldCharType="end"/>
        </w:r>
      </w:p>
    </w:sdtContent>
  </w:sdt>
  <w:p w14:paraId="626268CF" w14:textId="77777777" w:rsidR="005A3E74" w:rsidRPr="00B540F1" w:rsidRDefault="005A3E74" w:rsidP="00B540F1">
    <w:pPr>
      <w:pStyle w:val="a3"/>
      <w:jc w:val="center"/>
      <w:rPr>
        <w:rFonts w:cs="Simplified Arabic"/>
        <w:b/>
        <w:bCs/>
        <w:sz w:val="28"/>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275720299"/>
      <w:docPartObj>
        <w:docPartGallery w:val="Page Numbers (Bottom of Page)"/>
        <w:docPartUnique/>
      </w:docPartObj>
    </w:sdtPr>
    <w:sdtEndPr/>
    <w:sdtContent>
      <w:p w14:paraId="7B51FA3B" w14:textId="77777777" w:rsidR="005A3E74" w:rsidRPr="003220EB" w:rsidRDefault="005A3E74">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2F9B421" w14:textId="77777777" w:rsidR="005A3E74" w:rsidRDefault="005A3E74" w:rsidP="00B540F1">
    <w:pPr>
      <w:pStyle w:val="a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EndPr/>
    <w:sdtContent>
      <w:p w14:paraId="1C39DD6C" w14:textId="77777777"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72F02A0F" w14:textId="77777777" w:rsidR="0012436D" w:rsidRPr="00B540F1" w:rsidRDefault="0012436D" w:rsidP="00B540F1">
    <w:pPr>
      <w:pStyle w:val="a3"/>
      <w:jc w:val="center"/>
      <w:rPr>
        <w:rFonts w:cs="Simplified Arabic"/>
        <w:b/>
        <w:bCs/>
        <w:sz w:val="28"/>
        <w:szCs w:val="2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EndPr/>
    <w:sdtContent>
      <w:p w14:paraId="1569232E"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7D7761B1"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8655D" w14:textId="77777777" w:rsidR="00580DD9" w:rsidRDefault="00580DD9">
      <w:pPr>
        <w:spacing w:after="0" w:line="240" w:lineRule="auto"/>
      </w:pPr>
      <w:r>
        <w:separator/>
      </w:r>
    </w:p>
  </w:footnote>
  <w:footnote w:type="continuationSeparator" w:id="0">
    <w:p w14:paraId="01F97C40" w14:textId="77777777" w:rsidR="00580DD9" w:rsidRDefault="00580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3B768" w14:textId="77777777" w:rsidR="008E7AE0" w:rsidRDefault="008E7AE0">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660CD" w14:textId="77777777" w:rsidR="008E7AE0" w:rsidRDefault="008E7AE0">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DD3AC" w14:textId="77777777" w:rsidR="008E7AE0" w:rsidRDefault="008E7AE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C74E6"/>
    <w:multiLevelType w:val="multilevel"/>
    <w:tmpl w:val="DFC65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D24DE"/>
    <w:multiLevelType w:val="hybridMultilevel"/>
    <w:tmpl w:val="257A2E8C"/>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6B31B4"/>
    <w:multiLevelType w:val="multilevel"/>
    <w:tmpl w:val="23A4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61936"/>
    <w:multiLevelType w:val="multilevel"/>
    <w:tmpl w:val="E5D0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115C2"/>
    <w:multiLevelType w:val="multilevel"/>
    <w:tmpl w:val="CBD65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D94C58"/>
    <w:multiLevelType w:val="multilevel"/>
    <w:tmpl w:val="FC12D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811C4"/>
    <w:multiLevelType w:val="multilevel"/>
    <w:tmpl w:val="6406C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664BA0"/>
    <w:multiLevelType w:val="multilevel"/>
    <w:tmpl w:val="202E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33BFD"/>
    <w:multiLevelType w:val="multilevel"/>
    <w:tmpl w:val="2D8238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906711"/>
    <w:multiLevelType w:val="multilevel"/>
    <w:tmpl w:val="9C62F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487409"/>
    <w:multiLevelType w:val="multilevel"/>
    <w:tmpl w:val="8572E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01556D"/>
    <w:multiLevelType w:val="multilevel"/>
    <w:tmpl w:val="E18C7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4E6C27"/>
    <w:multiLevelType w:val="multilevel"/>
    <w:tmpl w:val="DF08E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183711"/>
    <w:multiLevelType w:val="multilevel"/>
    <w:tmpl w:val="D00864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331B37"/>
    <w:multiLevelType w:val="multilevel"/>
    <w:tmpl w:val="A394F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16" w15:restartNumberingAfterBreak="0">
    <w:nsid w:val="42266FE9"/>
    <w:multiLevelType w:val="multilevel"/>
    <w:tmpl w:val="16FC0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4B3737"/>
    <w:multiLevelType w:val="multilevel"/>
    <w:tmpl w:val="0F0A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5C356C"/>
    <w:multiLevelType w:val="multilevel"/>
    <w:tmpl w:val="68BA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2621F"/>
    <w:multiLevelType w:val="hybridMultilevel"/>
    <w:tmpl w:val="2E085FEE"/>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58F900FC"/>
    <w:multiLevelType w:val="multilevel"/>
    <w:tmpl w:val="0556F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A5645E"/>
    <w:multiLevelType w:val="multilevel"/>
    <w:tmpl w:val="777C5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1F6C76"/>
    <w:multiLevelType w:val="hybridMultilevel"/>
    <w:tmpl w:val="8988BE5C"/>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637264B6"/>
    <w:multiLevelType w:val="multilevel"/>
    <w:tmpl w:val="CA92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FC0586"/>
    <w:multiLevelType w:val="multilevel"/>
    <w:tmpl w:val="197A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EA0645"/>
    <w:multiLevelType w:val="multilevel"/>
    <w:tmpl w:val="7890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3816EC"/>
    <w:multiLevelType w:val="multilevel"/>
    <w:tmpl w:val="0E3C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F145AF"/>
    <w:multiLevelType w:val="multilevel"/>
    <w:tmpl w:val="209C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AA45E6"/>
    <w:multiLevelType w:val="multilevel"/>
    <w:tmpl w:val="7C846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7C764C"/>
    <w:multiLevelType w:val="multilevel"/>
    <w:tmpl w:val="D00864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A8C327F"/>
    <w:multiLevelType w:val="hybridMultilevel"/>
    <w:tmpl w:val="F1E4736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7B542285"/>
    <w:multiLevelType w:val="multilevel"/>
    <w:tmpl w:val="ED6C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DB4322"/>
    <w:multiLevelType w:val="multilevel"/>
    <w:tmpl w:val="8898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8293">
    <w:abstractNumId w:val="15"/>
  </w:num>
  <w:num w:numId="2" w16cid:durableId="301083176">
    <w:abstractNumId w:val="1"/>
  </w:num>
  <w:num w:numId="3" w16cid:durableId="1849827278">
    <w:abstractNumId w:val="22"/>
  </w:num>
  <w:num w:numId="4" w16cid:durableId="1776443396">
    <w:abstractNumId w:val="19"/>
  </w:num>
  <w:num w:numId="5" w16cid:durableId="189806374">
    <w:abstractNumId w:val="30"/>
  </w:num>
  <w:num w:numId="6" w16cid:durableId="468088355">
    <w:abstractNumId w:val="16"/>
  </w:num>
  <w:num w:numId="7" w16cid:durableId="1159032316">
    <w:abstractNumId w:val="26"/>
  </w:num>
  <w:num w:numId="8" w16cid:durableId="511071311">
    <w:abstractNumId w:val="9"/>
  </w:num>
  <w:num w:numId="9" w16cid:durableId="1570657039">
    <w:abstractNumId w:val="4"/>
  </w:num>
  <w:num w:numId="10" w16cid:durableId="1504397124">
    <w:abstractNumId w:val="11"/>
  </w:num>
  <w:num w:numId="11" w16cid:durableId="2130661049">
    <w:abstractNumId w:val="14"/>
  </w:num>
  <w:num w:numId="12" w16cid:durableId="2001301260">
    <w:abstractNumId w:val="28"/>
  </w:num>
  <w:num w:numId="13" w16cid:durableId="260457115">
    <w:abstractNumId w:val="32"/>
  </w:num>
  <w:num w:numId="14" w16cid:durableId="1147160926">
    <w:abstractNumId w:val="5"/>
  </w:num>
  <w:num w:numId="15" w16cid:durableId="250899365">
    <w:abstractNumId w:val="12"/>
  </w:num>
  <w:num w:numId="16" w16cid:durableId="2017882169">
    <w:abstractNumId w:val="24"/>
  </w:num>
  <w:num w:numId="17" w16cid:durableId="578828082">
    <w:abstractNumId w:val="8"/>
  </w:num>
  <w:num w:numId="18" w16cid:durableId="109906052">
    <w:abstractNumId w:val="17"/>
  </w:num>
  <w:num w:numId="19" w16cid:durableId="524292437">
    <w:abstractNumId w:val="20"/>
  </w:num>
  <w:num w:numId="20" w16cid:durableId="176651400">
    <w:abstractNumId w:val="6"/>
  </w:num>
  <w:num w:numId="21" w16cid:durableId="1427192559">
    <w:abstractNumId w:val="23"/>
  </w:num>
  <w:num w:numId="22" w16cid:durableId="1402217876">
    <w:abstractNumId w:val="7"/>
  </w:num>
  <w:num w:numId="23" w16cid:durableId="1287002710">
    <w:abstractNumId w:val="21"/>
  </w:num>
  <w:num w:numId="24" w16cid:durableId="1387024191">
    <w:abstractNumId w:val="2"/>
  </w:num>
  <w:num w:numId="25" w16cid:durableId="792016070">
    <w:abstractNumId w:val="25"/>
  </w:num>
  <w:num w:numId="26" w16cid:durableId="1639991980">
    <w:abstractNumId w:val="18"/>
  </w:num>
  <w:num w:numId="27" w16cid:durableId="1803377656">
    <w:abstractNumId w:val="31"/>
  </w:num>
  <w:num w:numId="28" w16cid:durableId="681931490">
    <w:abstractNumId w:val="3"/>
  </w:num>
  <w:num w:numId="29" w16cid:durableId="1246574806">
    <w:abstractNumId w:val="10"/>
  </w:num>
  <w:num w:numId="30" w16cid:durableId="1406730615">
    <w:abstractNumId w:val="27"/>
  </w:num>
  <w:num w:numId="31" w16cid:durableId="1100416597">
    <w:abstractNumId w:val="0"/>
  </w:num>
  <w:num w:numId="32" w16cid:durableId="943727464">
    <w:abstractNumId w:val="29"/>
  </w:num>
  <w:num w:numId="33" w16cid:durableId="1334607509">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D8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577E"/>
    <w:rsid w:val="00076DF9"/>
    <w:rsid w:val="00081E36"/>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C6F78"/>
    <w:rsid w:val="000D014F"/>
    <w:rsid w:val="000D0D22"/>
    <w:rsid w:val="000D1419"/>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28FF"/>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4F3D"/>
    <w:rsid w:val="00135AE1"/>
    <w:rsid w:val="001400B6"/>
    <w:rsid w:val="00140CF1"/>
    <w:rsid w:val="00141BBE"/>
    <w:rsid w:val="001469D8"/>
    <w:rsid w:val="00146E87"/>
    <w:rsid w:val="0014721E"/>
    <w:rsid w:val="00151119"/>
    <w:rsid w:val="00151467"/>
    <w:rsid w:val="00152750"/>
    <w:rsid w:val="00154EAB"/>
    <w:rsid w:val="001565D3"/>
    <w:rsid w:val="00160229"/>
    <w:rsid w:val="001618FC"/>
    <w:rsid w:val="00162334"/>
    <w:rsid w:val="00162864"/>
    <w:rsid w:val="00163E75"/>
    <w:rsid w:val="001658FF"/>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B621C"/>
    <w:rsid w:val="001B78BE"/>
    <w:rsid w:val="001C02A6"/>
    <w:rsid w:val="001C0539"/>
    <w:rsid w:val="001C080F"/>
    <w:rsid w:val="001C11C1"/>
    <w:rsid w:val="001C24DE"/>
    <w:rsid w:val="001C28A1"/>
    <w:rsid w:val="001C28D1"/>
    <w:rsid w:val="001C39D6"/>
    <w:rsid w:val="001C427F"/>
    <w:rsid w:val="001C447D"/>
    <w:rsid w:val="001D06B6"/>
    <w:rsid w:val="001D12AE"/>
    <w:rsid w:val="001D3256"/>
    <w:rsid w:val="001D3E7A"/>
    <w:rsid w:val="001D5541"/>
    <w:rsid w:val="001D6979"/>
    <w:rsid w:val="001D735A"/>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6A0A"/>
    <w:rsid w:val="0020024D"/>
    <w:rsid w:val="00200DCE"/>
    <w:rsid w:val="00201A1E"/>
    <w:rsid w:val="00202EC8"/>
    <w:rsid w:val="00203CFC"/>
    <w:rsid w:val="0020647A"/>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2932"/>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5DA3"/>
    <w:rsid w:val="0025667E"/>
    <w:rsid w:val="00256EBB"/>
    <w:rsid w:val="00256F77"/>
    <w:rsid w:val="00260682"/>
    <w:rsid w:val="00261D90"/>
    <w:rsid w:val="002623D4"/>
    <w:rsid w:val="00262AAF"/>
    <w:rsid w:val="0026305E"/>
    <w:rsid w:val="0026390F"/>
    <w:rsid w:val="0026451D"/>
    <w:rsid w:val="00264823"/>
    <w:rsid w:val="00265866"/>
    <w:rsid w:val="00266060"/>
    <w:rsid w:val="002669FA"/>
    <w:rsid w:val="00266D2D"/>
    <w:rsid w:val="002670E6"/>
    <w:rsid w:val="002703D7"/>
    <w:rsid w:val="002704B3"/>
    <w:rsid w:val="00270950"/>
    <w:rsid w:val="00273E08"/>
    <w:rsid w:val="002746D9"/>
    <w:rsid w:val="00275773"/>
    <w:rsid w:val="0027786C"/>
    <w:rsid w:val="002817E1"/>
    <w:rsid w:val="00281F89"/>
    <w:rsid w:val="002827E9"/>
    <w:rsid w:val="00282C19"/>
    <w:rsid w:val="0028432B"/>
    <w:rsid w:val="002903CD"/>
    <w:rsid w:val="00292D1A"/>
    <w:rsid w:val="00294BF9"/>
    <w:rsid w:val="00296A44"/>
    <w:rsid w:val="00296AB4"/>
    <w:rsid w:val="002A2507"/>
    <w:rsid w:val="002A2842"/>
    <w:rsid w:val="002A46BB"/>
    <w:rsid w:val="002A5439"/>
    <w:rsid w:val="002A659A"/>
    <w:rsid w:val="002A79E1"/>
    <w:rsid w:val="002A7B95"/>
    <w:rsid w:val="002B0FE8"/>
    <w:rsid w:val="002B1017"/>
    <w:rsid w:val="002B3323"/>
    <w:rsid w:val="002B382F"/>
    <w:rsid w:val="002B6D3E"/>
    <w:rsid w:val="002B6EA3"/>
    <w:rsid w:val="002B72E7"/>
    <w:rsid w:val="002C06BC"/>
    <w:rsid w:val="002C070C"/>
    <w:rsid w:val="002C10D9"/>
    <w:rsid w:val="002C2414"/>
    <w:rsid w:val="002C26AD"/>
    <w:rsid w:val="002C4468"/>
    <w:rsid w:val="002C4D35"/>
    <w:rsid w:val="002C53EB"/>
    <w:rsid w:val="002C5EC9"/>
    <w:rsid w:val="002D3369"/>
    <w:rsid w:val="002D37BA"/>
    <w:rsid w:val="002D46AC"/>
    <w:rsid w:val="002D6106"/>
    <w:rsid w:val="002D75E1"/>
    <w:rsid w:val="002E2303"/>
    <w:rsid w:val="002E242D"/>
    <w:rsid w:val="002E349B"/>
    <w:rsid w:val="002E42B6"/>
    <w:rsid w:val="002E6BB3"/>
    <w:rsid w:val="002F02C0"/>
    <w:rsid w:val="002F03BA"/>
    <w:rsid w:val="002F1E95"/>
    <w:rsid w:val="002F27BB"/>
    <w:rsid w:val="002F2AD4"/>
    <w:rsid w:val="002F49ED"/>
    <w:rsid w:val="002F6640"/>
    <w:rsid w:val="002F6877"/>
    <w:rsid w:val="002F73CF"/>
    <w:rsid w:val="003013B7"/>
    <w:rsid w:val="0030240A"/>
    <w:rsid w:val="00302A17"/>
    <w:rsid w:val="0030429D"/>
    <w:rsid w:val="00306F63"/>
    <w:rsid w:val="003109BF"/>
    <w:rsid w:val="00311C23"/>
    <w:rsid w:val="00313562"/>
    <w:rsid w:val="00315FED"/>
    <w:rsid w:val="003171B7"/>
    <w:rsid w:val="00321AA1"/>
    <w:rsid w:val="00321E54"/>
    <w:rsid w:val="003220EB"/>
    <w:rsid w:val="003230E3"/>
    <w:rsid w:val="00325B67"/>
    <w:rsid w:val="003264C3"/>
    <w:rsid w:val="00330EB5"/>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6DF8"/>
    <w:rsid w:val="00367A0F"/>
    <w:rsid w:val="00370964"/>
    <w:rsid w:val="00370DC5"/>
    <w:rsid w:val="00370DC7"/>
    <w:rsid w:val="00371B9A"/>
    <w:rsid w:val="00373A6F"/>
    <w:rsid w:val="003743A7"/>
    <w:rsid w:val="003747FA"/>
    <w:rsid w:val="00374E1D"/>
    <w:rsid w:val="003756BF"/>
    <w:rsid w:val="003768F8"/>
    <w:rsid w:val="00376DB0"/>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9762B"/>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6FB0"/>
    <w:rsid w:val="003E7229"/>
    <w:rsid w:val="003E749D"/>
    <w:rsid w:val="003E7DFC"/>
    <w:rsid w:val="003F01EA"/>
    <w:rsid w:val="003F07DE"/>
    <w:rsid w:val="003F09CC"/>
    <w:rsid w:val="003F11E5"/>
    <w:rsid w:val="003F2D47"/>
    <w:rsid w:val="003F32B9"/>
    <w:rsid w:val="003F36D2"/>
    <w:rsid w:val="003F38C1"/>
    <w:rsid w:val="003F41A4"/>
    <w:rsid w:val="003F51CC"/>
    <w:rsid w:val="003F5286"/>
    <w:rsid w:val="003F6F63"/>
    <w:rsid w:val="003F6FED"/>
    <w:rsid w:val="0040332C"/>
    <w:rsid w:val="00404805"/>
    <w:rsid w:val="00405795"/>
    <w:rsid w:val="0040687F"/>
    <w:rsid w:val="00406E1A"/>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227"/>
    <w:rsid w:val="00475C71"/>
    <w:rsid w:val="00475E80"/>
    <w:rsid w:val="004770F8"/>
    <w:rsid w:val="004772CE"/>
    <w:rsid w:val="004772DF"/>
    <w:rsid w:val="00480F5F"/>
    <w:rsid w:val="00482252"/>
    <w:rsid w:val="00482443"/>
    <w:rsid w:val="00483018"/>
    <w:rsid w:val="00483131"/>
    <w:rsid w:val="00483B4A"/>
    <w:rsid w:val="00484912"/>
    <w:rsid w:val="00484EB8"/>
    <w:rsid w:val="00486C37"/>
    <w:rsid w:val="004904C5"/>
    <w:rsid w:val="004905EB"/>
    <w:rsid w:val="00491F08"/>
    <w:rsid w:val="004929CA"/>
    <w:rsid w:val="0049465E"/>
    <w:rsid w:val="00496422"/>
    <w:rsid w:val="00497220"/>
    <w:rsid w:val="004A03F8"/>
    <w:rsid w:val="004A0923"/>
    <w:rsid w:val="004A0E11"/>
    <w:rsid w:val="004A2084"/>
    <w:rsid w:val="004A2C59"/>
    <w:rsid w:val="004A44AE"/>
    <w:rsid w:val="004A4C02"/>
    <w:rsid w:val="004A4D82"/>
    <w:rsid w:val="004A52D4"/>
    <w:rsid w:val="004A562B"/>
    <w:rsid w:val="004A5FEA"/>
    <w:rsid w:val="004A63F5"/>
    <w:rsid w:val="004A77D6"/>
    <w:rsid w:val="004B1C99"/>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0E7"/>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63"/>
    <w:rsid w:val="005160F8"/>
    <w:rsid w:val="005214A9"/>
    <w:rsid w:val="00521F54"/>
    <w:rsid w:val="00522AEF"/>
    <w:rsid w:val="005247AE"/>
    <w:rsid w:val="00524E28"/>
    <w:rsid w:val="005252F9"/>
    <w:rsid w:val="00525E0E"/>
    <w:rsid w:val="00526FBB"/>
    <w:rsid w:val="005272EC"/>
    <w:rsid w:val="005302FF"/>
    <w:rsid w:val="005303A7"/>
    <w:rsid w:val="0053201D"/>
    <w:rsid w:val="00533B7A"/>
    <w:rsid w:val="00534C06"/>
    <w:rsid w:val="00535141"/>
    <w:rsid w:val="00535364"/>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479D3"/>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52C"/>
    <w:rsid w:val="00574861"/>
    <w:rsid w:val="00575A25"/>
    <w:rsid w:val="00576378"/>
    <w:rsid w:val="0057680B"/>
    <w:rsid w:val="00580DD9"/>
    <w:rsid w:val="005822BE"/>
    <w:rsid w:val="0058279C"/>
    <w:rsid w:val="00582EFE"/>
    <w:rsid w:val="00584E72"/>
    <w:rsid w:val="00586478"/>
    <w:rsid w:val="00586BBF"/>
    <w:rsid w:val="005903D6"/>
    <w:rsid w:val="00591E2E"/>
    <w:rsid w:val="00592DC5"/>
    <w:rsid w:val="005947FE"/>
    <w:rsid w:val="00594922"/>
    <w:rsid w:val="00596509"/>
    <w:rsid w:val="00596F43"/>
    <w:rsid w:val="00597698"/>
    <w:rsid w:val="005A0D4E"/>
    <w:rsid w:val="005A16BB"/>
    <w:rsid w:val="005A1969"/>
    <w:rsid w:val="005A373C"/>
    <w:rsid w:val="005A3E74"/>
    <w:rsid w:val="005A4F9A"/>
    <w:rsid w:val="005A6900"/>
    <w:rsid w:val="005A7A25"/>
    <w:rsid w:val="005B08D0"/>
    <w:rsid w:val="005B3264"/>
    <w:rsid w:val="005B40C0"/>
    <w:rsid w:val="005B4A7D"/>
    <w:rsid w:val="005B5E96"/>
    <w:rsid w:val="005B63D0"/>
    <w:rsid w:val="005B712D"/>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0FD"/>
    <w:rsid w:val="005D6BEA"/>
    <w:rsid w:val="005D7AF0"/>
    <w:rsid w:val="005E0722"/>
    <w:rsid w:val="005E144A"/>
    <w:rsid w:val="005E16EF"/>
    <w:rsid w:val="005E19D0"/>
    <w:rsid w:val="005E250A"/>
    <w:rsid w:val="005E2ECB"/>
    <w:rsid w:val="005E399A"/>
    <w:rsid w:val="005E3EC5"/>
    <w:rsid w:val="005E5D84"/>
    <w:rsid w:val="005E6A5D"/>
    <w:rsid w:val="005E6AC9"/>
    <w:rsid w:val="005E7C66"/>
    <w:rsid w:val="005F0041"/>
    <w:rsid w:val="005F00AF"/>
    <w:rsid w:val="005F2A2E"/>
    <w:rsid w:val="005F4DA8"/>
    <w:rsid w:val="00600363"/>
    <w:rsid w:val="006016B0"/>
    <w:rsid w:val="006016B8"/>
    <w:rsid w:val="006016C0"/>
    <w:rsid w:val="00601E7A"/>
    <w:rsid w:val="00602DC3"/>
    <w:rsid w:val="00603A73"/>
    <w:rsid w:val="00604D75"/>
    <w:rsid w:val="00605EDD"/>
    <w:rsid w:val="00607C3F"/>
    <w:rsid w:val="00614BFB"/>
    <w:rsid w:val="00617DE6"/>
    <w:rsid w:val="006205BC"/>
    <w:rsid w:val="006214ED"/>
    <w:rsid w:val="00622DB5"/>
    <w:rsid w:val="006300CC"/>
    <w:rsid w:val="006309D3"/>
    <w:rsid w:val="00633E04"/>
    <w:rsid w:val="0063402F"/>
    <w:rsid w:val="006360AB"/>
    <w:rsid w:val="00637AE8"/>
    <w:rsid w:val="0064184A"/>
    <w:rsid w:val="00641B03"/>
    <w:rsid w:val="0064217F"/>
    <w:rsid w:val="00644BDF"/>
    <w:rsid w:val="00645988"/>
    <w:rsid w:val="00646B84"/>
    <w:rsid w:val="006470F6"/>
    <w:rsid w:val="006504FF"/>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6CAD"/>
    <w:rsid w:val="006976D7"/>
    <w:rsid w:val="006A10D3"/>
    <w:rsid w:val="006A2D69"/>
    <w:rsid w:val="006A2F76"/>
    <w:rsid w:val="006A3286"/>
    <w:rsid w:val="006A3621"/>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61A2"/>
    <w:rsid w:val="00707236"/>
    <w:rsid w:val="007101E6"/>
    <w:rsid w:val="00711EE7"/>
    <w:rsid w:val="00712C03"/>
    <w:rsid w:val="00716C09"/>
    <w:rsid w:val="0071714A"/>
    <w:rsid w:val="007171B1"/>
    <w:rsid w:val="0071771F"/>
    <w:rsid w:val="00720B9E"/>
    <w:rsid w:val="007229C2"/>
    <w:rsid w:val="00724907"/>
    <w:rsid w:val="00730DB6"/>
    <w:rsid w:val="007319AE"/>
    <w:rsid w:val="007322CF"/>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86AC7"/>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316C"/>
    <w:rsid w:val="007D4CE2"/>
    <w:rsid w:val="007D56E7"/>
    <w:rsid w:val="007E044A"/>
    <w:rsid w:val="007E0AD4"/>
    <w:rsid w:val="007E11C3"/>
    <w:rsid w:val="007E2D44"/>
    <w:rsid w:val="007E4D10"/>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0F4A"/>
    <w:rsid w:val="00815899"/>
    <w:rsid w:val="00815AD6"/>
    <w:rsid w:val="00820731"/>
    <w:rsid w:val="0082095C"/>
    <w:rsid w:val="00820A2B"/>
    <w:rsid w:val="0082209E"/>
    <w:rsid w:val="0082243C"/>
    <w:rsid w:val="00825888"/>
    <w:rsid w:val="00826D1A"/>
    <w:rsid w:val="00827B63"/>
    <w:rsid w:val="00830E88"/>
    <w:rsid w:val="00834AB8"/>
    <w:rsid w:val="00834EAB"/>
    <w:rsid w:val="00835043"/>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C7399"/>
    <w:rsid w:val="008D0737"/>
    <w:rsid w:val="008D0920"/>
    <w:rsid w:val="008D0E1B"/>
    <w:rsid w:val="008D1C04"/>
    <w:rsid w:val="008D34AE"/>
    <w:rsid w:val="008D3C9C"/>
    <w:rsid w:val="008D46B6"/>
    <w:rsid w:val="008D5D1E"/>
    <w:rsid w:val="008D691B"/>
    <w:rsid w:val="008D7B8D"/>
    <w:rsid w:val="008D7BFD"/>
    <w:rsid w:val="008D7DB8"/>
    <w:rsid w:val="008E0C6C"/>
    <w:rsid w:val="008E24CC"/>
    <w:rsid w:val="008E325E"/>
    <w:rsid w:val="008E4DCD"/>
    <w:rsid w:val="008E4E12"/>
    <w:rsid w:val="008E5EEB"/>
    <w:rsid w:val="008E68DF"/>
    <w:rsid w:val="008E6DB6"/>
    <w:rsid w:val="008E727C"/>
    <w:rsid w:val="008E7574"/>
    <w:rsid w:val="008E7AE0"/>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00F"/>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1B3"/>
    <w:rsid w:val="00962B3F"/>
    <w:rsid w:val="0096525B"/>
    <w:rsid w:val="00965995"/>
    <w:rsid w:val="00965D90"/>
    <w:rsid w:val="00972154"/>
    <w:rsid w:val="00972E2B"/>
    <w:rsid w:val="0097325D"/>
    <w:rsid w:val="009736DA"/>
    <w:rsid w:val="00973A49"/>
    <w:rsid w:val="00977124"/>
    <w:rsid w:val="0098003E"/>
    <w:rsid w:val="00981648"/>
    <w:rsid w:val="009829AB"/>
    <w:rsid w:val="00982F89"/>
    <w:rsid w:val="00983425"/>
    <w:rsid w:val="00987600"/>
    <w:rsid w:val="0099068C"/>
    <w:rsid w:val="0099140C"/>
    <w:rsid w:val="009952D2"/>
    <w:rsid w:val="009953F1"/>
    <w:rsid w:val="00997E7E"/>
    <w:rsid w:val="009A10B6"/>
    <w:rsid w:val="009A1E73"/>
    <w:rsid w:val="009A2A97"/>
    <w:rsid w:val="009A3BA4"/>
    <w:rsid w:val="009B04C0"/>
    <w:rsid w:val="009B1448"/>
    <w:rsid w:val="009B1A29"/>
    <w:rsid w:val="009B3C18"/>
    <w:rsid w:val="009B4B26"/>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3E78"/>
    <w:rsid w:val="009F402D"/>
    <w:rsid w:val="009F69F2"/>
    <w:rsid w:val="00A03BD4"/>
    <w:rsid w:val="00A05139"/>
    <w:rsid w:val="00A057F4"/>
    <w:rsid w:val="00A06BCD"/>
    <w:rsid w:val="00A10CC1"/>
    <w:rsid w:val="00A143DB"/>
    <w:rsid w:val="00A16290"/>
    <w:rsid w:val="00A176CB"/>
    <w:rsid w:val="00A23298"/>
    <w:rsid w:val="00A23936"/>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015"/>
    <w:rsid w:val="00A76A8B"/>
    <w:rsid w:val="00A76AB9"/>
    <w:rsid w:val="00A80CD8"/>
    <w:rsid w:val="00A81C48"/>
    <w:rsid w:val="00A84A8D"/>
    <w:rsid w:val="00A8606A"/>
    <w:rsid w:val="00A86B70"/>
    <w:rsid w:val="00A872BB"/>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ABC"/>
    <w:rsid w:val="00AC7BC1"/>
    <w:rsid w:val="00AD27E1"/>
    <w:rsid w:val="00AD566D"/>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3FD4"/>
    <w:rsid w:val="00AF68B8"/>
    <w:rsid w:val="00AF71D4"/>
    <w:rsid w:val="00AF7362"/>
    <w:rsid w:val="00AF7CFE"/>
    <w:rsid w:val="00AF7FFC"/>
    <w:rsid w:val="00B00320"/>
    <w:rsid w:val="00B01720"/>
    <w:rsid w:val="00B036EB"/>
    <w:rsid w:val="00B03B33"/>
    <w:rsid w:val="00B04F33"/>
    <w:rsid w:val="00B05B37"/>
    <w:rsid w:val="00B05D7C"/>
    <w:rsid w:val="00B060A4"/>
    <w:rsid w:val="00B063A1"/>
    <w:rsid w:val="00B067D9"/>
    <w:rsid w:val="00B073AD"/>
    <w:rsid w:val="00B07625"/>
    <w:rsid w:val="00B07B22"/>
    <w:rsid w:val="00B07DBC"/>
    <w:rsid w:val="00B11124"/>
    <w:rsid w:val="00B11712"/>
    <w:rsid w:val="00B13396"/>
    <w:rsid w:val="00B13676"/>
    <w:rsid w:val="00B14C30"/>
    <w:rsid w:val="00B16D8B"/>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3F89"/>
    <w:rsid w:val="00B540F1"/>
    <w:rsid w:val="00B54BA7"/>
    <w:rsid w:val="00B56210"/>
    <w:rsid w:val="00B6181B"/>
    <w:rsid w:val="00B61C39"/>
    <w:rsid w:val="00B62C3C"/>
    <w:rsid w:val="00B6313F"/>
    <w:rsid w:val="00B634D3"/>
    <w:rsid w:val="00B6486B"/>
    <w:rsid w:val="00B64E3E"/>
    <w:rsid w:val="00B65644"/>
    <w:rsid w:val="00B667E3"/>
    <w:rsid w:val="00B72F3A"/>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2499"/>
    <w:rsid w:val="00BB3A1B"/>
    <w:rsid w:val="00BB4F91"/>
    <w:rsid w:val="00BB6FE5"/>
    <w:rsid w:val="00BB74CD"/>
    <w:rsid w:val="00BB7E31"/>
    <w:rsid w:val="00BB7F89"/>
    <w:rsid w:val="00BC07E1"/>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7F7"/>
    <w:rsid w:val="00C23A4F"/>
    <w:rsid w:val="00C24FD4"/>
    <w:rsid w:val="00C26187"/>
    <w:rsid w:val="00C30269"/>
    <w:rsid w:val="00C329F3"/>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071"/>
    <w:rsid w:val="00C62860"/>
    <w:rsid w:val="00C62E41"/>
    <w:rsid w:val="00C65C9A"/>
    <w:rsid w:val="00C6620E"/>
    <w:rsid w:val="00C66C62"/>
    <w:rsid w:val="00C70515"/>
    <w:rsid w:val="00C72BA7"/>
    <w:rsid w:val="00C73292"/>
    <w:rsid w:val="00C75B7B"/>
    <w:rsid w:val="00C77470"/>
    <w:rsid w:val="00C8148C"/>
    <w:rsid w:val="00C81F9E"/>
    <w:rsid w:val="00C827E3"/>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829"/>
    <w:rsid w:val="00CA5875"/>
    <w:rsid w:val="00CA5C67"/>
    <w:rsid w:val="00CA68E9"/>
    <w:rsid w:val="00CA697A"/>
    <w:rsid w:val="00CA69DB"/>
    <w:rsid w:val="00CB44ED"/>
    <w:rsid w:val="00CB4F64"/>
    <w:rsid w:val="00CB72D1"/>
    <w:rsid w:val="00CC0BB7"/>
    <w:rsid w:val="00CC14A8"/>
    <w:rsid w:val="00CC2468"/>
    <w:rsid w:val="00CC24A6"/>
    <w:rsid w:val="00CC33B6"/>
    <w:rsid w:val="00CC390B"/>
    <w:rsid w:val="00CC3C4B"/>
    <w:rsid w:val="00CC41A4"/>
    <w:rsid w:val="00CC4C02"/>
    <w:rsid w:val="00CC6A35"/>
    <w:rsid w:val="00CD0748"/>
    <w:rsid w:val="00CD09C4"/>
    <w:rsid w:val="00CD09D6"/>
    <w:rsid w:val="00CD5D74"/>
    <w:rsid w:val="00CD5FAD"/>
    <w:rsid w:val="00CD6321"/>
    <w:rsid w:val="00CD7337"/>
    <w:rsid w:val="00CE34F1"/>
    <w:rsid w:val="00CE3CA7"/>
    <w:rsid w:val="00CE4B4E"/>
    <w:rsid w:val="00CE530D"/>
    <w:rsid w:val="00CF2A48"/>
    <w:rsid w:val="00CF2C75"/>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4546"/>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6F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832"/>
    <w:rsid w:val="00D77ADA"/>
    <w:rsid w:val="00D77D87"/>
    <w:rsid w:val="00D81F19"/>
    <w:rsid w:val="00D81F20"/>
    <w:rsid w:val="00D82B8D"/>
    <w:rsid w:val="00D87D6F"/>
    <w:rsid w:val="00D90938"/>
    <w:rsid w:val="00D90C81"/>
    <w:rsid w:val="00D96360"/>
    <w:rsid w:val="00D97785"/>
    <w:rsid w:val="00DA30D4"/>
    <w:rsid w:val="00DA4699"/>
    <w:rsid w:val="00DA47C1"/>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53D"/>
    <w:rsid w:val="00DF0C70"/>
    <w:rsid w:val="00DF357C"/>
    <w:rsid w:val="00DF47FC"/>
    <w:rsid w:val="00E0008F"/>
    <w:rsid w:val="00E003FE"/>
    <w:rsid w:val="00E01C75"/>
    <w:rsid w:val="00E025B2"/>
    <w:rsid w:val="00E025DD"/>
    <w:rsid w:val="00E03314"/>
    <w:rsid w:val="00E0434F"/>
    <w:rsid w:val="00E050DA"/>
    <w:rsid w:val="00E06563"/>
    <w:rsid w:val="00E07C4D"/>
    <w:rsid w:val="00E1000E"/>
    <w:rsid w:val="00E10EC3"/>
    <w:rsid w:val="00E110FF"/>
    <w:rsid w:val="00E12364"/>
    <w:rsid w:val="00E13C70"/>
    <w:rsid w:val="00E14CEA"/>
    <w:rsid w:val="00E16C53"/>
    <w:rsid w:val="00E1725D"/>
    <w:rsid w:val="00E20B87"/>
    <w:rsid w:val="00E23EEA"/>
    <w:rsid w:val="00E255E5"/>
    <w:rsid w:val="00E27A4A"/>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202"/>
    <w:rsid w:val="00E514D1"/>
    <w:rsid w:val="00E51817"/>
    <w:rsid w:val="00E51E64"/>
    <w:rsid w:val="00E52F4A"/>
    <w:rsid w:val="00E53D01"/>
    <w:rsid w:val="00E5413B"/>
    <w:rsid w:val="00E5476D"/>
    <w:rsid w:val="00E549DC"/>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374E"/>
    <w:rsid w:val="00E86498"/>
    <w:rsid w:val="00E902FE"/>
    <w:rsid w:val="00E90D2C"/>
    <w:rsid w:val="00E9115F"/>
    <w:rsid w:val="00E91CD8"/>
    <w:rsid w:val="00E92C79"/>
    <w:rsid w:val="00E93589"/>
    <w:rsid w:val="00E95041"/>
    <w:rsid w:val="00E9581E"/>
    <w:rsid w:val="00E96463"/>
    <w:rsid w:val="00EA0CA3"/>
    <w:rsid w:val="00EA2906"/>
    <w:rsid w:val="00EA2ADB"/>
    <w:rsid w:val="00EA32A8"/>
    <w:rsid w:val="00EA3F1A"/>
    <w:rsid w:val="00EA59B6"/>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C43"/>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6F69"/>
    <w:rsid w:val="00ED73A8"/>
    <w:rsid w:val="00ED7E77"/>
    <w:rsid w:val="00EE0CB0"/>
    <w:rsid w:val="00EE1728"/>
    <w:rsid w:val="00EE1CCA"/>
    <w:rsid w:val="00EE2E91"/>
    <w:rsid w:val="00EF018C"/>
    <w:rsid w:val="00EF0689"/>
    <w:rsid w:val="00EF2481"/>
    <w:rsid w:val="00EF2F92"/>
    <w:rsid w:val="00EF38CB"/>
    <w:rsid w:val="00EF4259"/>
    <w:rsid w:val="00EF6899"/>
    <w:rsid w:val="00EF7C48"/>
    <w:rsid w:val="00F01D23"/>
    <w:rsid w:val="00F02A38"/>
    <w:rsid w:val="00F04AEB"/>
    <w:rsid w:val="00F06286"/>
    <w:rsid w:val="00F0668E"/>
    <w:rsid w:val="00F0796A"/>
    <w:rsid w:val="00F1083A"/>
    <w:rsid w:val="00F10B05"/>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67BD"/>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53C"/>
    <w:rsid w:val="00F73750"/>
    <w:rsid w:val="00F73999"/>
    <w:rsid w:val="00F74351"/>
    <w:rsid w:val="00F74FA7"/>
    <w:rsid w:val="00F76B59"/>
    <w:rsid w:val="00F80669"/>
    <w:rsid w:val="00F8074A"/>
    <w:rsid w:val="00F821B0"/>
    <w:rsid w:val="00F826B4"/>
    <w:rsid w:val="00F84863"/>
    <w:rsid w:val="00F8513E"/>
    <w:rsid w:val="00F855F3"/>
    <w:rsid w:val="00F85C07"/>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05D"/>
    <w:rsid w:val="00FC3B0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E6FF3"/>
    <w:rsid w:val="00FF2536"/>
    <w:rsid w:val="00FF2FFC"/>
    <w:rsid w:val="00FF48C3"/>
    <w:rsid w:val="00FF5058"/>
    <w:rsid w:val="00FF61B3"/>
    <w:rsid w:val="00FF78A8"/>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C3F46"/>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1"/>
    <w:uiPriority w:val="49"/>
    <w:rsid w:val="005A3E7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numbering" w:customStyle="1" w:styleId="41">
    <w:name w:val="بلا قائمة4"/>
    <w:next w:val="a2"/>
    <w:uiPriority w:val="99"/>
    <w:semiHidden/>
    <w:unhideWhenUsed/>
    <w:rsid w:val="0039762B"/>
  </w:style>
  <w:style w:type="table" w:customStyle="1" w:styleId="4-63">
    <w:name w:val="جدول شبكة 4 - تمييز 63"/>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52">
    <w:name w:val="بلا قائمة5"/>
    <w:next w:val="a2"/>
    <w:uiPriority w:val="99"/>
    <w:semiHidden/>
    <w:unhideWhenUsed/>
    <w:rsid w:val="0039762B"/>
  </w:style>
  <w:style w:type="table" w:customStyle="1" w:styleId="4-64">
    <w:name w:val="جدول شبكة 4 - تمييز 64"/>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60">
    <w:name w:val="بلا قائمة6"/>
    <w:next w:val="a2"/>
    <w:uiPriority w:val="99"/>
    <w:semiHidden/>
    <w:unhideWhenUsed/>
    <w:rsid w:val="0039762B"/>
  </w:style>
  <w:style w:type="table" w:customStyle="1" w:styleId="4-65">
    <w:name w:val="جدول شبكة 4 - تمييز 65"/>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70">
    <w:name w:val="بلا قائمة7"/>
    <w:next w:val="a2"/>
    <w:uiPriority w:val="99"/>
    <w:semiHidden/>
    <w:unhideWhenUsed/>
    <w:rsid w:val="005303A7"/>
  </w:style>
  <w:style w:type="table" w:customStyle="1" w:styleId="4-66">
    <w:name w:val="جدول شبكة 4 - تمييز 66"/>
    <w:basedOn w:val="a1"/>
    <w:next w:val="4-6"/>
    <w:uiPriority w:val="49"/>
    <w:rsid w:val="005303A7"/>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3">
    <w:name w:val="Grid Table 4 Accent 3"/>
    <w:basedOn w:val="a1"/>
    <w:uiPriority w:val="49"/>
    <w:rsid w:val="00370DC5"/>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80">
    <w:name w:val="بلا قائمة8"/>
    <w:next w:val="a2"/>
    <w:uiPriority w:val="99"/>
    <w:semiHidden/>
    <w:unhideWhenUsed/>
    <w:rsid w:val="00FE6FF3"/>
  </w:style>
  <w:style w:type="numbering" w:customStyle="1" w:styleId="90">
    <w:name w:val="بلا قائمة9"/>
    <w:next w:val="a2"/>
    <w:uiPriority w:val="99"/>
    <w:semiHidden/>
    <w:unhideWhenUsed/>
    <w:rsid w:val="003E6FB0"/>
  </w:style>
  <w:style w:type="numbering" w:customStyle="1" w:styleId="100">
    <w:name w:val="بلا قائمة10"/>
    <w:next w:val="a2"/>
    <w:uiPriority w:val="99"/>
    <w:semiHidden/>
    <w:unhideWhenUsed/>
    <w:rsid w:val="002903CD"/>
  </w:style>
  <w:style w:type="numbering" w:customStyle="1" w:styleId="120">
    <w:name w:val="بلا قائمة12"/>
    <w:next w:val="a2"/>
    <w:uiPriority w:val="99"/>
    <w:semiHidden/>
    <w:unhideWhenUsed/>
    <w:rsid w:val="002903CD"/>
  </w:style>
  <w:style w:type="numbering" w:customStyle="1" w:styleId="130">
    <w:name w:val="بلا قائمة13"/>
    <w:next w:val="a2"/>
    <w:uiPriority w:val="99"/>
    <w:semiHidden/>
    <w:unhideWhenUsed/>
    <w:rsid w:val="0040687F"/>
  </w:style>
  <w:style w:type="numbering" w:customStyle="1" w:styleId="140">
    <w:name w:val="بلا قائمة14"/>
    <w:next w:val="a2"/>
    <w:uiPriority w:val="99"/>
    <w:semiHidden/>
    <w:unhideWhenUsed/>
    <w:rsid w:val="0040687F"/>
  </w:style>
  <w:style w:type="table" w:styleId="4-5">
    <w:name w:val="Grid Table 4 Accent 5"/>
    <w:basedOn w:val="a1"/>
    <w:uiPriority w:val="49"/>
    <w:rsid w:val="002D6106"/>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150">
    <w:name w:val="بلا قائمة15"/>
    <w:next w:val="a2"/>
    <w:uiPriority w:val="99"/>
    <w:semiHidden/>
    <w:unhideWhenUsed/>
    <w:rsid w:val="00BB2499"/>
  </w:style>
  <w:style w:type="table" w:styleId="4-4">
    <w:name w:val="Grid Table 4 Accent 4"/>
    <w:basedOn w:val="a1"/>
    <w:uiPriority w:val="49"/>
    <w:rsid w:val="008E7AE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5">
    <w:name w:val="Body Text"/>
    <w:basedOn w:val="a"/>
    <w:link w:val="Char9"/>
    <w:uiPriority w:val="99"/>
    <w:unhideWhenUsed/>
    <w:rsid w:val="005D60FD"/>
    <w:pPr>
      <w:bidi w:val="0"/>
      <w:spacing w:after="360" w:line="240" w:lineRule="auto"/>
      <w:jc w:val="center"/>
    </w:pPr>
    <w:rPr>
      <w:rFonts w:ascii="Times New Roman" w:eastAsia="Calibri" w:hAnsi="Times New Roman" w:cs="Simplified Arabic"/>
      <w:b/>
      <w:bCs/>
      <w:sz w:val="28"/>
      <w:szCs w:val="32"/>
    </w:rPr>
  </w:style>
  <w:style w:type="character" w:customStyle="1" w:styleId="Char9">
    <w:name w:val="نص أساسي Char"/>
    <w:basedOn w:val="a0"/>
    <w:link w:val="af5"/>
    <w:uiPriority w:val="99"/>
    <w:rsid w:val="005D60FD"/>
    <w:rPr>
      <w:rFonts w:ascii="Times New Roman" w:eastAsia="Calibri" w:hAnsi="Times New Roman" w:cs="Simplified Arabic"/>
      <w:b/>
      <w:bCs/>
      <w:sz w:val="28"/>
      <w:szCs w:val="32"/>
    </w:rPr>
  </w:style>
  <w:style w:type="paragraph" w:styleId="af6">
    <w:name w:val="Body Text Indent"/>
    <w:basedOn w:val="a"/>
    <w:link w:val="Chara"/>
    <w:uiPriority w:val="99"/>
    <w:unhideWhenUsed/>
    <w:rsid w:val="005D60FD"/>
    <w:pPr>
      <w:spacing w:line="240" w:lineRule="auto"/>
      <w:ind w:firstLine="567"/>
      <w:jc w:val="center"/>
    </w:pPr>
    <w:rPr>
      <w:rFonts w:ascii="Times New Roman" w:eastAsia="Calibri" w:hAnsi="Times New Roman" w:cs="Simplified Arabic"/>
      <w:b/>
      <w:bCs/>
      <w:sz w:val="34"/>
      <w:szCs w:val="38"/>
    </w:rPr>
  </w:style>
  <w:style w:type="character" w:customStyle="1" w:styleId="Chara">
    <w:name w:val="نص أساسي بمسافة بادئة Char"/>
    <w:basedOn w:val="a0"/>
    <w:link w:val="af6"/>
    <w:uiPriority w:val="99"/>
    <w:rsid w:val="005D60FD"/>
    <w:rPr>
      <w:rFonts w:ascii="Times New Roman" w:eastAsia="Calibri" w:hAnsi="Times New Roman" w:cs="Simplified Arabic"/>
      <w:b/>
      <w:bCs/>
      <w:sz w:val="34"/>
      <w:szCs w:val="38"/>
    </w:rPr>
  </w:style>
  <w:style w:type="table" w:customStyle="1" w:styleId="4-52">
    <w:name w:val="جدول شبكة 4 - تمييز 52"/>
    <w:basedOn w:val="a1"/>
    <w:next w:val="4-5"/>
    <w:uiPriority w:val="49"/>
    <w:rsid w:val="005D60FD"/>
    <w:pPr>
      <w:spacing w:after="0" w:line="240" w:lineRule="auto"/>
    </w:pPr>
    <w:rPr>
      <w:rFonts w:ascii="Times New Roman" w:hAnsi="Times New Roman" w:cs="Simplified Arabic"/>
      <w:sz w:val="24"/>
      <w:szCs w:val="28"/>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23">
    <w:name w:val="Body Text 2"/>
    <w:basedOn w:val="a"/>
    <w:link w:val="2Char0"/>
    <w:uiPriority w:val="99"/>
    <w:unhideWhenUsed/>
    <w:rsid w:val="005D60FD"/>
    <w:pPr>
      <w:spacing w:after="360" w:line="240" w:lineRule="auto"/>
      <w:jc w:val="center"/>
    </w:pPr>
    <w:rPr>
      <w:rFonts w:ascii="Times New Roman" w:eastAsia="Calibri" w:hAnsi="Times New Roman" w:cs="Simplified Arabic"/>
      <w:b/>
      <w:bCs/>
      <w:sz w:val="44"/>
      <w:szCs w:val="48"/>
    </w:rPr>
  </w:style>
  <w:style w:type="character" w:customStyle="1" w:styleId="2Char0">
    <w:name w:val="نص أساسي 2 Char"/>
    <w:basedOn w:val="a0"/>
    <w:link w:val="23"/>
    <w:uiPriority w:val="99"/>
    <w:rsid w:val="005D60FD"/>
    <w:rPr>
      <w:rFonts w:ascii="Times New Roman" w:eastAsia="Calibri" w:hAnsi="Times New Roman" w:cs="Simplified Arabic"/>
      <w:b/>
      <w:bCs/>
      <w:sz w:val="44"/>
      <w:szCs w:val="48"/>
    </w:rPr>
  </w:style>
  <w:style w:type="paragraph" w:styleId="af7">
    <w:name w:val="caption"/>
    <w:basedOn w:val="a"/>
    <w:next w:val="a"/>
    <w:uiPriority w:val="35"/>
    <w:unhideWhenUsed/>
    <w:qFormat/>
    <w:rsid w:val="005D60FD"/>
    <w:pPr>
      <w:spacing w:before="240" w:after="0" w:line="276" w:lineRule="auto"/>
      <w:jc w:val="center"/>
    </w:pPr>
    <w:rPr>
      <w:rFonts w:ascii="Times New Roman" w:hAnsi="Times New Roman" w:cs="PT Bold Heading"/>
      <w:sz w:val="24"/>
      <w:szCs w:val="28"/>
      <w:u w:val="single"/>
    </w:rPr>
  </w:style>
  <w:style w:type="paragraph" w:customStyle="1" w:styleId="msonormal0">
    <w:name w:val="msonormal"/>
    <w:basedOn w:val="a"/>
    <w:rsid w:val="005D60F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5D60F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atex-display">
    <w:name w:val="katex-display"/>
    <w:basedOn w:val="a0"/>
    <w:rsid w:val="005D60FD"/>
  </w:style>
  <w:style w:type="character" w:customStyle="1" w:styleId="katex">
    <w:name w:val="katex"/>
    <w:basedOn w:val="a0"/>
    <w:rsid w:val="005D60FD"/>
  </w:style>
  <w:style w:type="character" w:customStyle="1" w:styleId="katex-mathml">
    <w:name w:val="katex-mathml"/>
    <w:basedOn w:val="a0"/>
    <w:rsid w:val="005D60FD"/>
  </w:style>
  <w:style w:type="character" w:customStyle="1" w:styleId="katex-html">
    <w:name w:val="katex-html"/>
    <w:basedOn w:val="a0"/>
    <w:rsid w:val="005D60FD"/>
  </w:style>
  <w:style w:type="character" w:customStyle="1" w:styleId="base">
    <w:name w:val="base"/>
    <w:basedOn w:val="a0"/>
    <w:rsid w:val="005D60FD"/>
  </w:style>
  <w:style w:type="character" w:customStyle="1" w:styleId="strut">
    <w:name w:val="strut"/>
    <w:basedOn w:val="a0"/>
    <w:rsid w:val="005D60FD"/>
  </w:style>
  <w:style w:type="character" w:customStyle="1" w:styleId="mord">
    <w:name w:val="mord"/>
    <w:basedOn w:val="a0"/>
    <w:rsid w:val="005D60FD"/>
  </w:style>
  <w:style w:type="character" w:customStyle="1" w:styleId="mspace">
    <w:name w:val="mspace"/>
    <w:basedOn w:val="a0"/>
    <w:rsid w:val="005D60FD"/>
  </w:style>
  <w:style w:type="character" w:customStyle="1" w:styleId="mrel">
    <w:name w:val="mrel"/>
    <w:basedOn w:val="a0"/>
    <w:rsid w:val="005D60FD"/>
  </w:style>
  <w:style w:type="character" w:customStyle="1" w:styleId="mopen">
    <w:name w:val="mopen"/>
    <w:basedOn w:val="a0"/>
    <w:rsid w:val="005D60FD"/>
  </w:style>
  <w:style w:type="character" w:customStyle="1" w:styleId="mfrac">
    <w:name w:val="mfrac"/>
    <w:basedOn w:val="a0"/>
    <w:rsid w:val="005D60FD"/>
  </w:style>
  <w:style w:type="character" w:customStyle="1" w:styleId="vlist-t">
    <w:name w:val="vlist-t"/>
    <w:basedOn w:val="a0"/>
    <w:rsid w:val="005D60FD"/>
  </w:style>
  <w:style w:type="character" w:customStyle="1" w:styleId="vlist-r">
    <w:name w:val="vlist-r"/>
    <w:basedOn w:val="a0"/>
    <w:rsid w:val="005D60FD"/>
  </w:style>
  <w:style w:type="character" w:customStyle="1" w:styleId="vlist">
    <w:name w:val="vlist"/>
    <w:basedOn w:val="a0"/>
    <w:rsid w:val="005D60FD"/>
  </w:style>
  <w:style w:type="character" w:customStyle="1" w:styleId="pstrut">
    <w:name w:val="pstrut"/>
    <w:basedOn w:val="a0"/>
    <w:rsid w:val="005D60FD"/>
  </w:style>
  <w:style w:type="character" w:customStyle="1" w:styleId="msupsub">
    <w:name w:val="msupsub"/>
    <w:basedOn w:val="a0"/>
    <w:rsid w:val="005D60FD"/>
  </w:style>
  <w:style w:type="character" w:customStyle="1" w:styleId="sizing">
    <w:name w:val="sizing"/>
    <w:basedOn w:val="a0"/>
    <w:rsid w:val="005D60FD"/>
  </w:style>
  <w:style w:type="character" w:customStyle="1" w:styleId="frac-line">
    <w:name w:val="frac-line"/>
    <w:basedOn w:val="a0"/>
    <w:rsid w:val="005D60FD"/>
  </w:style>
  <w:style w:type="character" w:customStyle="1" w:styleId="mbin">
    <w:name w:val="mbin"/>
    <w:basedOn w:val="a0"/>
    <w:rsid w:val="005D60FD"/>
  </w:style>
  <w:style w:type="character" w:customStyle="1" w:styleId="mclose">
    <w:name w:val="mclose"/>
    <w:basedOn w:val="a0"/>
    <w:rsid w:val="005D60FD"/>
  </w:style>
  <w:style w:type="character" w:customStyle="1" w:styleId="vlist-s">
    <w:name w:val="vlist-s"/>
    <w:basedOn w:val="a0"/>
    <w:rsid w:val="005D60FD"/>
  </w:style>
  <w:style w:type="character" w:styleId="af8">
    <w:name w:val="FollowedHyperlink"/>
    <w:basedOn w:val="a0"/>
    <w:uiPriority w:val="99"/>
    <w:semiHidden/>
    <w:unhideWhenUsed/>
    <w:rsid w:val="005D60FD"/>
    <w:rPr>
      <w:color w:val="800080"/>
      <w:u w:val="single"/>
    </w:rPr>
  </w:style>
  <w:style w:type="paragraph" w:styleId="24">
    <w:name w:val="Body Text Indent 2"/>
    <w:basedOn w:val="a"/>
    <w:link w:val="2Char1"/>
    <w:uiPriority w:val="99"/>
    <w:unhideWhenUsed/>
    <w:rsid w:val="005D60FD"/>
    <w:pPr>
      <w:bidi w:val="0"/>
      <w:spacing w:after="240" w:line="276" w:lineRule="auto"/>
      <w:ind w:firstLine="567"/>
      <w:jc w:val="center"/>
    </w:pPr>
    <w:rPr>
      <w:rFonts w:ascii="Times New Roman" w:eastAsia="Calibri" w:hAnsi="Times New Roman" w:cs="Simplified Arabic"/>
      <w:b/>
      <w:bCs/>
      <w:sz w:val="28"/>
      <w:szCs w:val="32"/>
    </w:rPr>
  </w:style>
  <w:style w:type="character" w:customStyle="1" w:styleId="2Char1">
    <w:name w:val="نص أساسي بمسافة بادئة 2 Char"/>
    <w:basedOn w:val="a0"/>
    <w:link w:val="24"/>
    <w:uiPriority w:val="99"/>
    <w:rsid w:val="005D60FD"/>
    <w:rPr>
      <w:rFonts w:ascii="Times New Roman" w:eastAsia="Calibri" w:hAnsi="Times New Roman" w:cs="Simplified Arabic"/>
      <w:b/>
      <w:bCs/>
      <w:sz w:val="28"/>
      <w:szCs w:val="32"/>
    </w:rPr>
  </w:style>
  <w:style w:type="table" w:customStyle="1" w:styleId="4-53">
    <w:name w:val="جدول شبكة 4 - تمييز 53"/>
    <w:basedOn w:val="a1"/>
    <w:next w:val="4-5"/>
    <w:uiPriority w:val="49"/>
    <w:rsid w:val="00EA59B6"/>
    <w:pPr>
      <w:spacing w:after="0" w:line="240" w:lineRule="auto"/>
    </w:pPr>
    <w:rPr>
      <w:rFonts w:ascii="Times New Roman" w:hAnsi="Times New Roman" w:cs="Simplified Arabic"/>
      <w:sz w:val="24"/>
      <w:szCs w:val="28"/>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11377</Words>
  <Characters>64852</Characters>
  <Application>Microsoft Office Word</Application>
  <DocSecurity>0</DocSecurity>
  <Lines>540</Lines>
  <Paragraphs>152</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76077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3</cp:revision>
  <cp:lastPrinted>2026-06-24T13:56:00Z</cp:lastPrinted>
  <dcterms:created xsi:type="dcterms:W3CDTF">2026-06-24T14:05:00Z</dcterms:created>
  <dcterms:modified xsi:type="dcterms:W3CDTF">2026-06-24T14:09:00Z</dcterms:modified>
</cp:coreProperties>
</file>