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4E3" w:rsidRPr="00BD3BE3" w:rsidRDefault="00D104E3" w:rsidP="00D104E3">
      <w:pPr>
        <w:jc w:val="right"/>
        <w:rPr>
          <w:rFonts w:ascii="Sakkal Majalla" w:hAnsi="Sakkal Majalla" w:cs="Sakkal Majalla"/>
          <w:b/>
          <w:bCs/>
          <w:sz w:val="28"/>
          <w:szCs w:val="28"/>
          <w:lang w:bidi="ar-EG"/>
        </w:rPr>
      </w:pPr>
      <w:r w:rsidRPr="00BD3BE3">
        <w:rPr>
          <w:rFonts w:ascii="Sakkal Majalla" w:hAnsi="Sakkal Majalla" w:cs="Sakkal Majalla"/>
          <w:b/>
          <w:bCs/>
          <w:sz w:val="28"/>
          <w:szCs w:val="28"/>
          <w:rtl/>
          <w:lang w:bidi="ar-EG"/>
        </w:rPr>
        <w:t xml:space="preserve">جامعة </w:t>
      </w:r>
      <w:proofErr w:type="spellStart"/>
      <w:r w:rsidRPr="00BD3BE3">
        <w:rPr>
          <w:rFonts w:ascii="Sakkal Majalla" w:hAnsi="Sakkal Majalla" w:cs="Sakkal Majalla"/>
          <w:b/>
          <w:bCs/>
          <w:sz w:val="28"/>
          <w:szCs w:val="28"/>
          <w:rtl/>
          <w:lang w:bidi="ar-EG"/>
        </w:rPr>
        <w:t>ميدأوشن</w:t>
      </w:r>
      <w:proofErr w:type="spellEnd"/>
      <w:r w:rsidRPr="00BD3BE3">
        <w:rPr>
          <w:rFonts w:ascii="Sakkal Majalla" w:hAnsi="Sakkal Majalla" w:cs="Sakkal Majalla"/>
          <w:b/>
          <w:bCs/>
          <w:sz w:val="28"/>
          <w:szCs w:val="28"/>
          <w:rtl/>
          <w:lang w:bidi="ar-EG"/>
        </w:rPr>
        <w:t xml:space="preserve"> </w:t>
      </w:r>
    </w:p>
    <w:p w:rsidR="00D104E3" w:rsidRPr="00BD3BE3" w:rsidRDefault="00D104E3" w:rsidP="00D104E3">
      <w:pPr>
        <w:jc w:val="right"/>
        <w:rPr>
          <w:rFonts w:ascii="Sakkal Majalla" w:hAnsi="Sakkal Majalla" w:cs="Sakkal Majalla"/>
          <w:b/>
          <w:bCs/>
          <w:sz w:val="28"/>
          <w:szCs w:val="28"/>
          <w:rtl/>
          <w:lang w:bidi="ar-EG"/>
        </w:rPr>
      </w:pPr>
      <w:r w:rsidRPr="00BD3BE3">
        <w:rPr>
          <w:rFonts w:ascii="Sakkal Majalla" w:hAnsi="Sakkal Majalla" w:cs="Sakkal Majalla"/>
          <w:b/>
          <w:bCs/>
          <w:noProof/>
          <w:sz w:val="28"/>
          <w:szCs w:val="28"/>
        </w:rPr>
        <w:drawing>
          <wp:anchor distT="0" distB="0" distL="114300" distR="114300" simplePos="0" relativeHeight="251659264" behindDoc="0" locked="0" layoutInCell="1" allowOverlap="1" wp14:anchorId="2BDB0B93" wp14:editId="0D57CD1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D3BE3">
        <w:rPr>
          <w:rFonts w:ascii="Sakkal Majalla" w:hAnsi="Sakkal Majalla" w:cs="Sakkal Majalla"/>
          <w:b/>
          <w:bCs/>
          <w:sz w:val="28"/>
          <w:szCs w:val="28"/>
          <w:lang w:bidi="ar-EG"/>
        </w:rPr>
        <w:t xml:space="preserve">    </w:t>
      </w:r>
      <w:r w:rsidRPr="00BD3BE3">
        <w:rPr>
          <w:rFonts w:ascii="Sakkal Majalla" w:hAnsi="Sakkal Majalla" w:cs="Sakkal Majalla"/>
          <w:b/>
          <w:bCs/>
          <w:sz w:val="28"/>
          <w:szCs w:val="28"/>
          <w:rtl/>
          <w:lang w:bidi="ar-EG"/>
        </w:rPr>
        <w:t xml:space="preserve">كلية الإدارة </w:t>
      </w:r>
    </w:p>
    <w:p w:rsidR="00D104E3" w:rsidRPr="00BD3BE3" w:rsidRDefault="00D104E3" w:rsidP="00D104E3">
      <w:pPr>
        <w:jc w:val="right"/>
        <w:rPr>
          <w:rFonts w:ascii="Sakkal Majalla" w:hAnsi="Sakkal Majalla" w:cs="Sakkal Majalla"/>
          <w:sz w:val="28"/>
          <w:szCs w:val="28"/>
          <w:rtl/>
        </w:rPr>
      </w:pPr>
      <w:r w:rsidRPr="00BD3BE3">
        <w:rPr>
          <w:rFonts w:ascii="Sakkal Majalla" w:hAnsi="Sakkal Majalla" w:cs="Sakkal Majalla"/>
          <w:b/>
          <w:bCs/>
          <w:sz w:val="28"/>
          <w:szCs w:val="28"/>
          <w:rtl/>
          <w:lang w:bidi="ar-EG"/>
        </w:rPr>
        <w:t>قسم / تخص</w:t>
      </w:r>
      <w:r w:rsidRPr="00BD3BE3">
        <w:rPr>
          <w:rFonts w:ascii="Sakkal Majalla" w:hAnsi="Sakkal Majalla" w:cs="Sakkal Majalla" w:hint="cs"/>
          <w:b/>
          <w:bCs/>
          <w:sz w:val="28"/>
          <w:szCs w:val="28"/>
          <w:rtl/>
          <w:lang w:bidi="ar-EG"/>
        </w:rPr>
        <w:t xml:space="preserve">ص إدارة </w:t>
      </w:r>
      <w:r w:rsidRPr="00BD3BE3">
        <w:rPr>
          <w:rFonts w:ascii="Sakkal Majalla" w:hAnsi="Sakkal Majalla" w:cs="Sakkal Majalla" w:hint="cs"/>
          <w:b/>
          <w:bCs/>
          <w:sz w:val="28"/>
          <w:szCs w:val="28"/>
          <w:rtl/>
        </w:rPr>
        <w:t>الأعمال</w:t>
      </w:r>
    </w:p>
    <w:p w:rsidR="00D104E3" w:rsidRPr="00BD3BE3" w:rsidRDefault="00D104E3" w:rsidP="00D104E3">
      <w:pPr>
        <w:rPr>
          <w:rFonts w:ascii="Sakkal Majalla" w:hAnsi="Sakkal Majalla" w:cs="Sakkal Majalla"/>
          <w:sz w:val="28"/>
          <w:szCs w:val="28"/>
          <w:rtl/>
          <w:lang w:bidi="ar-EG"/>
        </w:rPr>
      </w:pPr>
    </w:p>
    <w:p w:rsidR="00D104E3" w:rsidRPr="00BD3BE3" w:rsidRDefault="00D104E3" w:rsidP="00D104E3">
      <w:pPr>
        <w:rPr>
          <w:rFonts w:ascii="Sakkal Majalla" w:hAnsi="Sakkal Majalla" w:cs="Sakkal Majalla"/>
          <w:sz w:val="28"/>
          <w:szCs w:val="28"/>
          <w:rtl/>
          <w:lang w:bidi="ar-EG"/>
        </w:rPr>
      </w:pPr>
    </w:p>
    <w:p w:rsidR="00D104E3" w:rsidRPr="00BD3BE3" w:rsidRDefault="00D104E3" w:rsidP="00D104E3">
      <w:pPr>
        <w:rPr>
          <w:rFonts w:ascii="Sakkal Majalla" w:hAnsi="Sakkal Majalla" w:cs="Sakkal Majalla"/>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hint="cs"/>
          <w:b/>
          <w:bCs/>
          <w:sz w:val="28"/>
          <w:szCs w:val="28"/>
          <w:rtl/>
          <w:lang w:bidi="ar-EG"/>
        </w:rPr>
        <w:t>عنوان البحث</w:t>
      </w:r>
    </w:p>
    <w:p w:rsidR="00D104E3" w:rsidRPr="00BD3BE3" w:rsidRDefault="00D104E3" w:rsidP="00D104E3">
      <w:pPr>
        <w:jc w:val="center"/>
        <w:rPr>
          <w:rFonts w:ascii="Sakkal Majalla" w:hAnsi="Sakkal Majalla" w:cs="Sakkal Majalla"/>
          <w:sz w:val="28"/>
          <w:szCs w:val="28"/>
          <w:rtl/>
          <w:lang w:bidi="ar-EG"/>
        </w:rPr>
      </w:pPr>
    </w:p>
    <w:p w:rsidR="00D104E3" w:rsidRPr="00BD3BE3" w:rsidRDefault="00D104E3" w:rsidP="00D104E3">
      <w:pPr>
        <w:jc w:val="center"/>
        <w:rPr>
          <w:rFonts w:ascii="Sakkal Majalla" w:hAnsi="Sakkal Majalla" w:cs="Sakkal Majalla"/>
          <w:sz w:val="28"/>
          <w:szCs w:val="28"/>
          <w:rtl/>
          <w:lang w:bidi="ar-EG"/>
        </w:rPr>
      </w:pPr>
      <w:r w:rsidRPr="00BD3BE3">
        <w:rPr>
          <w:rFonts w:ascii="Sakkal Majalla" w:hAnsi="Sakkal Majalla" w:cs="Sakkal Majalla"/>
          <w:sz w:val="28"/>
          <w:szCs w:val="28"/>
          <w:rtl/>
          <w:lang w:bidi="ar-EG"/>
        </w:rPr>
        <w:t>أثر برامج التمويل الحكومية على نمو رواد الأعمال</w:t>
      </w:r>
    </w:p>
    <w:p w:rsidR="00D104E3" w:rsidRPr="00BD3BE3" w:rsidRDefault="00D104E3" w:rsidP="00D104E3">
      <w:pPr>
        <w:rPr>
          <w:rFonts w:ascii="Sakkal Majalla" w:hAnsi="Sakkal Majalla" w:cs="Sakkal Majalla"/>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b/>
          <w:bCs/>
          <w:sz w:val="28"/>
          <w:szCs w:val="28"/>
          <w:rtl/>
          <w:lang w:bidi="ar-EG"/>
        </w:rPr>
        <w:t>إعداد الطالب/</w:t>
      </w: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hint="cs"/>
          <w:b/>
          <w:bCs/>
          <w:sz w:val="28"/>
          <w:szCs w:val="28"/>
          <w:rtl/>
          <w:lang w:bidi="ar-EG"/>
        </w:rPr>
        <w:t xml:space="preserve">نايف محمد القحطاني </w:t>
      </w: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hint="cs"/>
          <w:b/>
          <w:bCs/>
          <w:sz w:val="28"/>
          <w:szCs w:val="28"/>
          <w:rtl/>
          <w:lang w:bidi="ar-EG"/>
        </w:rPr>
        <w:t xml:space="preserve">الرقم </w:t>
      </w:r>
      <w:proofErr w:type="gramStart"/>
      <w:r w:rsidRPr="00BD3BE3">
        <w:rPr>
          <w:rFonts w:ascii="Sakkal Majalla" w:hAnsi="Sakkal Majalla" w:cs="Sakkal Majalla" w:hint="cs"/>
          <w:b/>
          <w:bCs/>
          <w:sz w:val="28"/>
          <w:szCs w:val="28"/>
          <w:rtl/>
          <w:lang w:bidi="ar-EG"/>
        </w:rPr>
        <w:t>الجامعي :</w:t>
      </w:r>
      <w:proofErr w:type="gramEnd"/>
      <w:r w:rsidRPr="00BD3BE3">
        <w:rPr>
          <w:rFonts w:ascii="Sakkal Majalla" w:hAnsi="Sakkal Majalla" w:cs="Sakkal Majalla" w:hint="cs"/>
          <w:b/>
          <w:bCs/>
          <w:sz w:val="28"/>
          <w:szCs w:val="28"/>
          <w:rtl/>
          <w:lang w:bidi="ar-EG"/>
        </w:rPr>
        <w:t xml:space="preserve"> 252001144</w:t>
      </w:r>
    </w:p>
    <w:p w:rsidR="00D104E3" w:rsidRPr="00BD3BE3" w:rsidRDefault="00D104E3" w:rsidP="00D104E3">
      <w:pPr>
        <w:jc w:val="center"/>
        <w:rPr>
          <w:rFonts w:ascii="Sakkal Majalla" w:hAnsi="Sakkal Majalla" w:cs="Sakkal Majalla"/>
          <w:b/>
          <w:bCs/>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b/>
          <w:bCs/>
          <w:sz w:val="28"/>
          <w:szCs w:val="28"/>
          <w:rtl/>
          <w:lang w:bidi="ar-EG"/>
        </w:rPr>
        <w:t>إشراف/</w:t>
      </w:r>
    </w:p>
    <w:p w:rsidR="00D104E3" w:rsidRPr="00BD3BE3" w:rsidRDefault="00D104E3" w:rsidP="00D104E3">
      <w:pPr>
        <w:jc w:val="center"/>
        <w:rPr>
          <w:rFonts w:ascii="Sakkal Majalla" w:hAnsi="Sakkal Majalla" w:cs="Sakkal Majalla"/>
          <w:b/>
          <w:bCs/>
          <w:sz w:val="28"/>
          <w:szCs w:val="28"/>
          <w:rtl/>
          <w:lang w:bidi="ar-EG"/>
        </w:rPr>
      </w:pPr>
      <w:proofErr w:type="spellStart"/>
      <w:proofErr w:type="gramStart"/>
      <w:r w:rsidRPr="00BD3BE3">
        <w:rPr>
          <w:rFonts w:ascii="Sakkal Majalla" w:hAnsi="Sakkal Majalla" w:cs="Sakkal Majalla" w:hint="cs"/>
          <w:b/>
          <w:bCs/>
          <w:sz w:val="28"/>
          <w:szCs w:val="28"/>
          <w:rtl/>
          <w:lang w:bidi="ar-EG"/>
        </w:rPr>
        <w:t>د.الفيصل</w:t>
      </w:r>
      <w:proofErr w:type="spellEnd"/>
      <w:proofErr w:type="gramEnd"/>
      <w:r w:rsidRPr="00BD3BE3">
        <w:rPr>
          <w:rFonts w:ascii="Sakkal Majalla" w:hAnsi="Sakkal Majalla" w:cs="Sakkal Majalla" w:hint="cs"/>
          <w:b/>
          <w:bCs/>
          <w:sz w:val="28"/>
          <w:szCs w:val="28"/>
          <w:rtl/>
          <w:lang w:bidi="ar-EG"/>
        </w:rPr>
        <w:t xml:space="preserve"> عبد الحميد</w:t>
      </w:r>
    </w:p>
    <w:p w:rsidR="00D104E3" w:rsidRPr="00BD3BE3" w:rsidRDefault="00D104E3" w:rsidP="00D104E3">
      <w:pPr>
        <w:jc w:val="center"/>
        <w:rPr>
          <w:rFonts w:ascii="Sakkal Majalla" w:hAnsi="Sakkal Majalla" w:cs="Sakkal Majalla"/>
          <w:b/>
          <w:bCs/>
          <w:sz w:val="28"/>
          <w:szCs w:val="28"/>
          <w:rtl/>
          <w:lang w:bidi="ar-EG"/>
        </w:rPr>
      </w:pPr>
      <w:proofErr w:type="spellStart"/>
      <w:proofErr w:type="gramStart"/>
      <w:r w:rsidRPr="00BD3BE3">
        <w:rPr>
          <w:rFonts w:ascii="Sakkal Majalla" w:hAnsi="Sakkal Majalla" w:cs="Sakkal Majalla" w:hint="cs"/>
          <w:b/>
          <w:bCs/>
          <w:sz w:val="28"/>
          <w:szCs w:val="28"/>
          <w:rtl/>
          <w:lang w:bidi="ar-EG"/>
        </w:rPr>
        <w:t>د.فايز</w:t>
      </w:r>
      <w:proofErr w:type="spellEnd"/>
      <w:proofErr w:type="gramEnd"/>
      <w:r w:rsidRPr="00BD3BE3">
        <w:rPr>
          <w:rFonts w:ascii="Sakkal Majalla" w:hAnsi="Sakkal Majalla" w:cs="Sakkal Majalla" w:hint="cs"/>
          <w:b/>
          <w:bCs/>
          <w:sz w:val="28"/>
          <w:szCs w:val="28"/>
          <w:rtl/>
          <w:lang w:bidi="ar-EG"/>
        </w:rPr>
        <w:t xml:space="preserve"> جراد</w:t>
      </w:r>
    </w:p>
    <w:p w:rsidR="00D104E3" w:rsidRPr="00BD3BE3" w:rsidRDefault="00D104E3" w:rsidP="00D104E3">
      <w:pPr>
        <w:rPr>
          <w:rFonts w:ascii="Sakkal Majalla" w:hAnsi="Sakkal Majalla" w:cs="Sakkal Majalla"/>
          <w:b/>
          <w:bCs/>
          <w:sz w:val="28"/>
          <w:szCs w:val="28"/>
          <w:rtl/>
          <w:lang w:bidi="ar-EG"/>
        </w:rPr>
      </w:pP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b/>
          <w:bCs/>
          <w:sz w:val="28"/>
          <w:szCs w:val="28"/>
          <w:rtl/>
          <w:lang w:bidi="ar-EG"/>
        </w:rPr>
        <w:t>العام الدراسي:</w:t>
      </w:r>
    </w:p>
    <w:p w:rsidR="00D104E3" w:rsidRPr="00BD3BE3" w:rsidRDefault="00D104E3" w:rsidP="00D104E3">
      <w:pPr>
        <w:jc w:val="center"/>
        <w:rPr>
          <w:rFonts w:ascii="Sakkal Majalla" w:hAnsi="Sakkal Majalla" w:cs="Sakkal Majalla"/>
          <w:b/>
          <w:bCs/>
          <w:sz w:val="28"/>
          <w:szCs w:val="28"/>
          <w:rtl/>
          <w:lang w:bidi="ar-EG"/>
        </w:rPr>
      </w:pPr>
      <w:r w:rsidRPr="00BD3BE3">
        <w:rPr>
          <w:rFonts w:ascii="Sakkal Majalla" w:hAnsi="Sakkal Majalla" w:cs="Sakkal Majalla" w:hint="cs"/>
          <w:b/>
          <w:bCs/>
          <w:sz w:val="28"/>
          <w:szCs w:val="28"/>
          <w:rtl/>
          <w:lang w:bidi="ar-EG"/>
        </w:rPr>
        <w:t>2025</w:t>
      </w:r>
    </w:p>
    <w:p w:rsidR="00D104E3" w:rsidRDefault="00D104E3" w:rsidP="00D104E3">
      <w:pPr>
        <w:bidi/>
        <w:rPr>
          <w:rFonts w:ascii="Sakkal Majalla" w:hAnsi="Sakkal Majalla" w:cs="Sakkal Majalla"/>
          <w:b/>
          <w:bCs/>
          <w:kern w:val="2"/>
          <w:sz w:val="28"/>
          <w:szCs w:val="28"/>
          <w:rtl/>
          <w:lang w:bidi="ar-EG"/>
          <w14:ligatures w14:val="standardContextual"/>
        </w:rPr>
      </w:pPr>
    </w:p>
    <w:p w:rsidR="00D104E3" w:rsidRPr="00D104E3" w:rsidRDefault="00D104E3" w:rsidP="00D104E3">
      <w:pPr>
        <w:bidi/>
        <w:rPr>
          <w:rFonts w:ascii="Sakkal Majalla" w:hAnsi="Sakkal Majalla" w:cs="Sakkal Majalla"/>
          <w:b/>
          <w:bCs/>
          <w:kern w:val="2"/>
          <w:sz w:val="28"/>
          <w:szCs w:val="28"/>
          <w:lang w:bidi="ar-EG"/>
          <w14:ligatures w14:val="standardContextual"/>
        </w:rPr>
      </w:pPr>
      <w:r w:rsidRPr="00D104E3">
        <w:rPr>
          <w:rFonts w:ascii="Sakkal Majalla" w:hAnsi="Sakkal Majalla" w:cs="Sakkal Majalla"/>
          <w:b/>
          <w:bCs/>
          <w:kern w:val="2"/>
          <w:sz w:val="28"/>
          <w:szCs w:val="28"/>
          <w:rtl/>
          <w:lang w:bidi="ar-EG"/>
          <w14:ligatures w14:val="standardContextual"/>
        </w:rPr>
        <w:t>الفصل الأول: المقدمة والإطار النظري</w:t>
      </w:r>
    </w:p>
    <w:p w:rsidR="00D104E3" w:rsidRDefault="00D104E3" w:rsidP="00D104E3">
      <w:pPr>
        <w:bidi/>
      </w:pPr>
    </w:p>
    <w:p w:rsidR="00D104E3" w:rsidRDefault="00D104E3" w:rsidP="00D104E3">
      <w:pPr>
        <w:bidi/>
      </w:pPr>
      <w:r>
        <w:rPr>
          <w:rFonts w:cs="Arial"/>
          <w:rtl/>
        </w:rPr>
        <w:t>المقدمة</w:t>
      </w:r>
      <w:r>
        <w:t>:</w:t>
      </w:r>
    </w:p>
    <w:p w:rsidR="00D104E3" w:rsidRDefault="00D104E3" w:rsidP="00D104E3">
      <w:pPr>
        <w:bidi/>
      </w:pPr>
    </w:p>
    <w:p w:rsidR="00D104E3" w:rsidRDefault="00D104E3" w:rsidP="00D104E3">
      <w:pPr>
        <w:bidi/>
      </w:pPr>
      <w:r>
        <w:rPr>
          <w:rFonts w:cs="Arial"/>
          <w:rtl/>
        </w:rPr>
        <w:t>تعد ريادة الأعمال أحد المحركات الرئيسة للنمو الاقتصادي في المملكة العربية السعودية، لما تسهم به من تطوير للقطاعات الإنتاجية، وخلق فرص عمل جديدة، وتنويع مصادر الدخل الوطني. وقد أولت رؤية المملكة 2030 اهتمامًا كبيرًا بتمكين رواد الأعمال، باعتبارهم عنصرًا محوريًا في التحول الاقتصادي، حيث تهدف الرؤية إلى رفع مساهمة المنشآت الصغيرة والمتوسطة وتعزيز قدرتها على المنافسة محليًا ودوليًا. ومن أجل تحقيق هذه الأهداف، عملت الجهات الحكومية على إطلاق مجموعة من البرامج التمويلية الداعمة لرواد الأعمال، تشمل القروض الميسرة، وتمويل التأسيس، وبرامج الضمان، ورأس المال الجريء، إضافة إلى خدمات إرشادية واستشارية مرتبطة بالتمويل</w:t>
      </w:r>
      <w:r>
        <w:t>.</w:t>
      </w:r>
    </w:p>
    <w:p w:rsidR="00D104E3" w:rsidRDefault="00D104E3" w:rsidP="00D104E3">
      <w:pPr>
        <w:bidi/>
      </w:pPr>
    </w:p>
    <w:p w:rsidR="00D104E3" w:rsidRDefault="00D104E3" w:rsidP="00D104E3">
      <w:pPr>
        <w:bidi/>
      </w:pPr>
      <w:r>
        <w:rPr>
          <w:rFonts w:cs="Arial"/>
          <w:rtl/>
        </w:rPr>
        <w:t>ورغم هذا التنوع في البرامج والمبادرات التمويلية، تبقى التساؤلات قائمة حول مدى قدرتها على تحقيق الأثر المطلوب في نمو المشاريع الريادية، سواء من حيث التوسع وزيادة حجم النشاط، أو من حيث الاستدامة المالية، أو تعزيز الابتكار، أو خلق فرص العمل. إذ تشير بعض التجارب إلى نجاح مشاريع عدة بعد حصولها على التمويل الحكومي، في حين تواجه مشاريع أخرى صعوبات في تحقيق الاستمرار أو التوسع بعد مرحلة التأسيس، مما يستدعي دراسة علمية متعمقة لفهم العوامل المؤثرة في هذا التباين</w:t>
      </w:r>
      <w:r>
        <w:t>.</w:t>
      </w:r>
    </w:p>
    <w:p w:rsidR="00D104E3" w:rsidRDefault="00D104E3" w:rsidP="00D104E3">
      <w:pPr>
        <w:bidi/>
      </w:pPr>
    </w:p>
    <w:p w:rsidR="00D104E3" w:rsidRDefault="00D104E3" w:rsidP="00D104E3">
      <w:pPr>
        <w:bidi/>
      </w:pPr>
      <w:r>
        <w:rPr>
          <w:rFonts w:cs="Arial"/>
          <w:rtl/>
        </w:rPr>
        <w:t>وفي ظل هذه المعطيات، تسعى هذه الدراسة إلى قياس أثر برامج التمويل الحكومية على نمو رواد الأعمال في المملكة، من خلال تحليل مدى فعالية هذه البرامج في تعزيز الأداء الريادي وتحقيق الأهداف التنموية. كما تهدف إلى تقديم فهم أعمق للعلاقة بين التمويل الحكومي في المملكة العربية السعودية ومتغيرات النمو الريادي، بما يساهم في تطوير السياسات والبرامج التمويلية المستقبلية، ويعزز قدرة الاقتصاد الوطني على دعم المبادرات الريادية وتحقيق التنمية المستدامة</w:t>
      </w:r>
      <w:r>
        <w:t>.</w:t>
      </w:r>
    </w:p>
    <w:p w:rsidR="00D104E3" w:rsidRDefault="00D104E3" w:rsidP="00D104E3">
      <w:pPr>
        <w:bidi/>
      </w:pPr>
    </w:p>
    <w:p w:rsidR="00D104E3" w:rsidRDefault="00D104E3" w:rsidP="00D104E3">
      <w:pPr>
        <w:bidi/>
      </w:pPr>
    </w:p>
    <w:p w:rsidR="00D104E3" w:rsidRDefault="00D104E3" w:rsidP="00D104E3">
      <w:pPr>
        <w:bidi/>
      </w:pPr>
      <w:r>
        <w:rPr>
          <w:rFonts w:cs="Arial"/>
          <w:rtl/>
        </w:rPr>
        <w:t>الإطار النظري</w:t>
      </w:r>
      <w:r>
        <w:t>:</w:t>
      </w:r>
    </w:p>
    <w:p w:rsidR="00D104E3" w:rsidRDefault="00D104E3" w:rsidP="00D104E3">
      <w:pPr>
        <w:bidi/>
      </w:pPr>
    </w:p>
    <w:p w:rsidR="00D104E3" w:rsidRDefault="00D104E3" w:rsidP="00D104E3">
      <w:pPr>
        <w:bidi/>
      </w:pPr>
      <w:r>
        <w:rPr>
          <w:rFonts w:cs="Arial"/>
          <w:rtl/>
        </w:rPr>
        <w:t>أولًا: نظرية التمويل ودوره في دعم المشاريع الريادية</w:t>
      </w:r>
    </w:p>
    <w:p w:rsidR="00D104E3" w:rsidRDefault="00D104E3" w:rsidP="00D104E3">
      <w:pPr>
        <w:bidi/>
      </w:pPr>
    </w:p>
    <w:p w:rsidR="00D104E3" w:rsidRDefault="00D104E3" w:rsidP="00D104E3">
      <w:pPr>
        <w:bidi/>
      </w:pPr>
      <w:r>
        <w:rPr>
          <w:rFonts w:cs="Arial"/>
          <w:rtl/>
        </w:rPr>
        <w:t>تشير النظريات الاقتصادية إلى أن التمويل يمثل أحد أهم الموارد التي يحتاجها رواد الأعمال في مراحل التأسيس والنمو. وتُعد نظرية التمويل التقليدية</w:t>
      </w:r>
      <w:r>
        <w:t xml:space="preserve"> (Traditional Finance Theory) </w:t>
      </w:r>
      <w:r>
        <w:rPr>
          <w:rFonts w:cs="Arial"/>
          <w:rtl/>
        </w:rPr>
        <w:t>إحدى أبرز النظريات التي توضح أهمية توفر رأس المال لبدء الأعمال والتوسع، حيث تشير إلى أن نقص التمويل يُعد عقبة رئيسية أمام دخول الأسواق أو البقاء فيها</w:t>
      </w:r>
      <w:r>
        <w:t>.</w:t>
      </w:r>
    </w:p>
    <w:p w:rsidR="00D104E3" w:rsidRDefault="00D104E3" w:rsidP="00D104E3">
      <w:pPr>
        <w:bidi/>
      </w:pPr>
    </w:p>
    <w:p w:rsidR="00D104E3" w:rsidRDefault="00D104E3" w:rsidP="00D104E3">
      <w:pPr>
        <w:bidi/>
      </w:pPr>
      <w:r>
        <w:rPr>
          <w:rFonts w:cs="Arial"/>
          <w:rtl/>
        </w:rPr>
        <w:t>كما تبرز نظرية تكلفة رأس المال</w:t>
      </w:r>
      <w:r>
        <w:t xml:space="preserve"> (Cost of Capital Theory) </w:t>
      </w:r>
      <w:r>
        <w:rPr>
          <w:rFonts w:cs="Arial"/>
          <w:rtl/>
        </w:rPr>
        <w:t>التي توضح أن انخفاض تكلفة التمويل – كما في التمويل الحكومي الميسر – يساهم في زيادة قدرة رواد الأعمال على الاستثمار في مشاريع جديدة أو توسعة مشاريع قائمة، مما يرفع من فرص نموها</w:t>
      </w:r>
      <w:r>
        <w:t>.</w:t>
      </w:r>
    </w:p>
    <w:p w:rsidR="00D104E3" w:rsidRDefault="00D104E3" w:rsidP="00D104E3">
      <w:pPr>
        <w:bidi/>
      </w:pPr>
    </w:p>
    <w:p w:rsidR="00D104E3" w:rsidRDefault="00D104E3" w:rsidP="00D104E3">
      <w:pPr>
        <w:bidi/>
      </w:pPr>
    </w:p>
    <w:p w:rsidR="00D104E3" w:rsidRDefault="00D104E3" w:rsidP="00D104E3">
      <w:pPr>
        <w:bidi/>
      </w:pPr>
      <w:r>
        <w:rPr>
          <w:rFonts w:cs="Arial"/>
          <w:rtl/>
        </w:rPr>
        <w:t>ثانيًا: نظرية الموارد</w:t>
      </w:r>
      <w:r>
        <w:t xml:space="preserve"> (Resource-Based View - RBV)</w:t>
      </w:r>
    </w:p>
    <w:p w:rsidR="00D104E3" w:rsidRDefault="00D104E3" w:rsidP="00D104E3">
      <w:pPr>
        <w:bidi/>
      </w:pPr>
    </w:p>
    <w:p w:rsidR="00D104E3" w:rsidRDefault="00D104E3" w:rsidP="00D104E3">
      <w:pPr>
        <w:bidi/>
      </w:pPr>
      <w:r>
        <w:rPr>
          <w:rFonts w:cs="Arial"/>
          <w:rtl/>
        </w:rPr>
        <w:t>تعد هذه النظرية من أكثر النظريات شيوعًا في مجال الإدارة الاستراتيجية، حيث تؤكد أن امتلاك المشروع لموارد قيمة ونادرة وقابلة للاستغلال يساهم في تحقيق ميزة تنافسية مستدامة. ووفق هذه النظرية، يعتبر التمويل الحكومي أحد الموارد الجوهرية التي يمكن أن توفر للمشروع قدرة على</w:t>
      </w:r>
      <w:r>
        <w:t>:</w:t>
      </w:r>
    </w:p>
    <w:p w:rsidR="00D104E3" w:rsidRDefault="00D104E3" w:rsidP="00D104E3">
      <w:pPr>
        <w:bidi/>
      </w:pPr>
      <w:r>
        <w:tab/>
        <w:t>•</w:t>
      </w:r>
      <w:r>
        <w:tab/>
      </w:r>
      <w:r>
        <w:rPr>
          <w:rFonts w:cs="Arial"/>
          <w:rtl/>
        </w:rPr>
        <w:t>تطوير منتجات جديدة</w:t>
      </w:r>
    </w:p>
    <w:p w:rsidR="00D104E3" w:rsidRDefault="00D104E3" w:rsidP="00D104E3">
      <w:pPr>
        <w:bidi/>
      </w:pPr>
      <w:r>
        <w:tab/>
        <w:t>•</w:t>
      </w:r>
      <w:r>
        <w:tab/>
      </w:r>
      <w:r>
        <w:rPr>
          <w:rFonts w:cs="Arial"/>
          <w:rtl/>
        </w:rPr>
        <w:t>تحسين العمليات التشغيلية</w:t>
      </w:r>
    </w:p>
    <w:p w:rsidR="00D104E3" w:rsidRDefault="00D104E3" w:rsidP="00D104E3">
      <w:pPr>
        <w:bidi/>
      </w:pPr>
      <w:r>
        <w:tab/>
        <w:t>•</w:t>
      </w:r>
      <w:r>
        <w:tab/>
      </w:r>
      <w:r>
        <w:rPr>
          <w:rFonts w:cs="Arial"/>
          <w:rtl/>
        </w:rPr>
        <w:t>الدخول لأسواق جديدة</w:t>
      </w:r>
    </w:p>
    <w:p w:rsidR="00D104E3" w:rsidRDefault="00D104E3" w:rsidP="00D104E3">
      <w:pPr>
        <w:bidi/>
      </w:pPr>
      <w:r>
        <w:tab/>
        <w:t>•</w:t>
      </w:r>
      <w:r>
        <w:tab/>
      </w:r>
      <w:r>
        <w:rPr>
          <w:rFonts w:cs="Arial"/>
          <w:rtl/>
        </w:rPr>
        <w:t>رفع مستوى الابتكار</w:t>
      </w:r>
    </w:p>
    <w:p w:rsidR="00D104E3" w:rsidRDefault="00D104E3" w:rsidP="00D104E3">
      <w:pPr>
        <w:bidi/>
      </w:pPr>
    </w:p>
    <w:p w:rsidR="00D104E3" w:rsidRDefault="00D104E3" w:rsidP="00D104E3">
      <w:pPr>
        <w:bidi/>
      </w:pPr>
      <w:r>
        <w:rPr>
          <w:rFonts w:cs="Arial"/>
          <w:rtl/>
        </w:rPr>
        <w:t>وبالتالي، فإن التمويل الحكومي ليس مجرد دعم مالي، بل يعد موردًا استراتيجيًا يعزز النمو طويل الأمد</w:t>
      </w:r>
      <w:r>
        <w:t>.</w:t>
      </w:r>
    </w:p>
    <w:p w:rsidR="00D104E3" w:rsidRDefault="00D104E3" w:rsidP="00D104E3">
      <w:pPr>
        <w:bidi/>
      </w:pPr>
    </w:p>
    <w:p w:rsidR="00D104E3" w:rsidRDefault="00D104E3" w:rsidP="00D104E3">
      <w:pPr>
        <w:bidi/>
        <w:rPr>
          <w:rFonts w:ascii="Tahoma" w:hAnsi="Tahoma" w:cs="Tahoma"/>
          <w:rtl/>
        </w:rPr>
      </w:pPr>
    </w:p>
    <w:p w:rsidR="00D104E3" w:rsidRDefault="00D104E3" w:rsidP="00D104E3">
      <w:pPr>
        <w:bidi/>
      </w:pPr>
    </w:p>
    <w:p w:rsidR="00D104E3" w:rsidRDefault="00D104E3" w:rsidP="00D104E3">
      <w:pPr>
        <w:bidi/>
      </w:pPr>
      <w:r>
        <w:rPr>
          <w:rFonts w:cs="Arial"/>
          <w:rtl/>
        </w:rPr>
        <w:t>ثالثًا: نظرية النمو الريادي</w:t>
      </w:r>
      <w:r>
        <w:t xml:space="preserve"> (Entrepreneurial Growth Theory)</w:t>
      </w:r>
    </w:p>
    <w:p w:rsidR="00D104E3" w:rsidRDefault="00D104E3" w:rsidP="00D104E3">
      <w:pPr>
        <w:bidi/>
      </w:pPr>
    </w:p>
    <w:p w:rsidR="00D104E3" w:rsidRDefault="00D104E3" w:rsidP="00D104E3">
      <w:pPr>
        <w:bidi/>
      </w:pPr>
      <w:r>
        <w:rPr>
          <w:rFonts w:cs="Arial"/>
          <w:rtl/>
        </w:rPr>
        <w:t>تُعنى هذه النظرية بدراسة العوامل التي تؤثر على نمو المشاريع الريادية، وتؤكد أن النمو لا يعتمد فقط على قدرات رائد الأعمال، بل يتأثر أيضًا بالبيئة الداعمة مثل</w:t>
      </w:r>
      <w:r>
        <w:t>:</w:t>
      </w:r>
    </w:p>
    <w:p w:rsidR="00D104E3" w:rsidRDefault="00D104E3" w:rsidP="00D104E3">
      <w:pPr>
        <w:bidi/>
      </w:pPr>
      <w:r>
        <w:tab/>
        <w:t>•</w:t>
      </w:r>
      <w:r>
        <w:tab/>
      </w:r>
      <w:r>
        <w:rPr>
          <w:rFonts w:cs="Arial"/>
          <w:rtl/>
        </w:rPr>
        <w:t>توفر التمويل</w:t>
      </w:r>
    </w:p>
    <w:p w:rsidR="00D104E3" w:rsidRDefault="00D104E3" w:rsidP="00D104E3">
      <w:pPr>
        <w:bidi/>
      </w:pPr>
      <w:r>
        <w:tab/>
        <w:t>•</w:t>
      </w:r>
      <w:r>
        <w:tab/>
      </w:r>
      <w:r>
        <w:rPr>
          <w:rFonts w:cs="Arial"/>
          <w:rtl/>
        </w:rPr>
        <w:t>تيسير الإجراءات الحكومية</w:t>
      </w:r>
    </w:p>
    <w:p w:rsidR="00D104E3" w:rsidRDefault="00D104E3" w:rsidP="00D104E3">
      <w:pPr>
        <w:bidi/>
      </w:pPr>
      <w:r>
        <w:tab/>
        <w:t>•</w:t>
      </w:r>
      <w:r>
        <w:tab/>
      </w:r>
      <w:r>
        <w:rPr>
          <w:rFonts w:cs="Arial"/>
          <w:rtl/>
        </w:rPr>
        <w:t>الدعم الفني والإرشاد</w:t>
      </w:r>
    </w:p>
    <w:p w:rsidR="00D104E3" w:rsidRDefault="00D104E3" w:rsidP="00D104E3">
      <w:pPr>
        <w:bidi/>
      </w:pPr>
      <w:r>
        <w:tab/>
        <w:t>•</w:t>
      </w:r>
      <w:r>
        <w:tab/>
      </w:r>
      <w:r>
        <w:rPr>
          <w:rFonts w:cs="Arial"/>
          <w:rtl/>
        </w:rPr>
        <w:t xml:space="preserve">مرافقة النمو بخدمات </w:t>
      </w:r>
      <w:proofErr w:type="spellStart"/>
      <w:r>
        <w:rPr>
          <w:rFonts w:cs="Arial"/>
          <w:rtl/>
        </w:rPr>
        <w:t>تمكينية</w:t>
      </w:r>
      <w:proofErr w:type="spellEnd"/>
    </w:p>
    <w:p w:rsidR="00D104E3" w:rsidRDefault="00D104E3" w:rsidP="00D104E3">
      <w:pPr>
        <w:bidi/>
      </w:pPr>
    </w:p>
    <w:p w:rsidR="00D104E3" w:rsidRDefault="00D104E3" w:rsidP="00D104E3">
      <w:pPr>
        <w:bidi/>
      </w:pPr>
      <w:r>
        <w:rPr>
          <w:rFonts w:cs="Arial"/>
          <w:rtl/>
        </w:rPr>
        <w:t>وبالاستناد إلى هذه النظرية، يُفترض أن برامج التمويل الحكومية تسهم في تحقيق النمو الريادي عندما تترافق مع خدمات غير مالية مثل الإرشاد، التدريب، وبرامج التمكين الإداري</w:t>
      </w:r>
      <w:r>
        <w:t>.</w:t>
      </w:r>
    </w:p>
    <w:p w:rsidR="00D104E3" w:rsidRDefault="00D104E3" w:rsidP="00D104E3">
      <w:pPr>
        <w:bidi/>
      </w:pPr>
    </w:p>
    <w:p w:rsidR="00D104E3" w:rsidRDefault="00D104E3" w:rsidP="00D104E3">
      <w:pPr>
        <w:bidi/>
        <w:rPr>
          <w:rFonts w:ascii="Tahoma" w:hAnsi="Tahoma" w:cs="Tahoma"/>
          <w:rtl/>
        </w:rPr>
      </w:pPr>
    </w:p>
    <w:p w:rsidR="00D104E3" w:rsidRDefault="00D104E3" w:rsidP="00D104E3">
      <w:pPr>
        <w:bidi/>
      </w:pPr>
    </w:p>
    <w:p w:rsidR="00D104E3" w:rsidRDefault="00D104E3" w:rsidP="00D104E3">
      <w:pPr>
        <w:bidi/>
      </w:pPr>
      <w:r>
        <w:rPr>
          <w:rFonts w:cs="Arial"/>
          <w:rtl/>
        </w:rPr>
        <w:t>رابعًا: نظرية الابتكار</w:t>
      </w:r>
      <w:r>
        <w:t xml:space="preserve"> (Innovation Theory)</w:t>
      </w:r>
    </w:p>
    <w:p w:rsidR="00D104E3" w:rsidRDefault="00D104E3" w:rsidP="00D104E3">
      <w:pPr>
        <w:bidi/>
      </w:pPr>
    </w:p>
    <w:p w:rsidR="00D104E3" w:rsidRDefault="00D104E3" w:rsidP="00D104E3">
      <w:pPr>
        <w:bidi/>
      </w:pPr>
      <w:r>
        <w:rPr>
          <w:rFonts w:cs="Arial"/>
          <w:rtl/>
        </w:rPr>
        <w:t xml:space="preserve">تركز هذه النظرية على أهمية الابتكار في نجاح ونمو المشاريع الصغيرة والمتوسطة. ويؤكد </w:t>
      </w:r>
      <w:proofErr w:type="spellStart"/>
      <w:r>
        <w:rPr>
          <w:rFonts w:cs="Arial"/>
          <w:rtl/>
        </w:rPr>
        <w:t>شومبيتر</w:t>
      </w:r>
      <w:proofErr w:type="spellEnd"/>
      <w:r>
        <w:t xml:space="preserve"> (Schumpeter) </w:t>
      </w:r>
      <w:r>
        <w:rPr>
          <w:rFonts w:cs="Arial"/>
          <w:rtl/>
        </w:rPr>
        <w:t>أن الابتكار يمثل المحرك الرئيس لخلق القيمة الاقتصادية، وأن المشاريع المبتكرة تمتلك قدرة أعلى على التوسع والبقاء في الأسواق</w:t>
      </w:r>
      <w:r>
        <w:t>.</w:t>
      </w:r>
    </w:p>
    <w:p w:rsidR="00D104E3" w:rsidRDefault="00D104E3" w:rsidP="00D104E3">
      <w:pPr>
        <w:bidi/>
      </w:pPr>
    </w:p>
    <w:p w:rsidR="00D104E3" w:rsidRDefault="00D104E3" w:rsidP="00D104E3">
      <w:pPr>
        <w:bidi/>
      </w:pPr>
      <w:r>
        <w:rPr>
          <w:rFonts w:cs="Arial"/>
          <w:rtl/>
        </w:rPr>
        <w:t>وتشير النظرية إلى أن التمويل يمثل عنصرًا أساسيًا لتمكين الابتكار، خصوصًا في المشاريع التقنية أو المشاريع ذات المخاطر العالية، وهو ما يجعل التمويل الحكومي داعمًا مهمًا للنشاط الابتكاري</w:t>
      </w:r>
      <w:r>
        <w:t>.</w:t>
      </w:r>
    </w:p>
    <w:p w:rsidR="00D104E3" w:rsidRDefault="00D104E3" w:rsidP="00D104E3">
      <w:pPr>
        <w:bidi/>
      </w:pPr>
    </w:p>
    <w:p w:rsidR="00D104E3" w:rsidRDefault="00D104E3" w:rsidP="00D104E3">
      <w:pPr>
        <w:bidi/>
      </w:pPr>
    </w:p>
    <w:p w:rsidR="00D104E3" w:rsidRDefault="00D104E3" w:rsidP="00D104E3">
      <w:pPr>
        <w:bidi/>
      </w:pPr>
      <w:r>
        <w:rPr>
          <w:rFonts w:cs="Arial"/>
          <w:rtl/>
        </w:rPr>
        <w:t>خامسًا: نظرية الوكالة</w:t>
      </w:r>
      <w:r>
        <w:t xml:space="preserve"> (Agency Theory)</w:t>
      </w:r>
    </w:p>
    <w:p w:rsidR="00D104E3" w:rsidRDefault="00D104E3" w:rsidP="00D104E3">
      <w:pPr>
        <w:bidi/>
      </w:pPr>
    </w:p>
    <w:p w:rsidR="00D104E3" w:rsidRDefault="00D104E3" w:rsidP="00D104E3">
      <w:pPr>
        <w:bidi/>
      </w:pPr>
      <w:r>
        <w:rPr>
          <w:rFonts w:cs="Arial"/>
          <w:rtl/>
        </w:rPr>
        <w:t>تُستخدم هذه النظرية لتفسير العلاقة بين الجهات الممولة ورواد الأعمال، حيث تشير إلى وجود فجوة معلوماتية بين الطرفين. ووفقًا لها، فإن التمويل الحكومي يقلل من المخاطر التي تواجه رواد الأعمال، كما يخفف من القيود التمويلية التي تفرضها البنوك التجارية</w:t>
      </w:r>
      <w:r>
        <w:t>.</w:t>
      </w:r>
    </w:p>
    <w:p w:rsidR="00D104E3" w:rsidRDefault="00D104E3" w:rsidP="00D104E3">
      <w:pPr>
        <w:bidi/>
      </w:pPr>
    </w:p>
    <w:p w:rsidR="00D104E3" w:rsidRDefault="00D104E3" w:rsidP="00D104E3">
      <w:pPr>
        <w:bidi/>
      </w:pPr>
      <w:r>
        <w:rPr>
          <w:rFonts w:cs="Arial"/>
          <w:rtl/>
        </w:rPr>
        <w:t>وتوضح النظرية أن التمويل الحكومي المصحوب بالمتابعة والإشراف يقلل من المخاطر ويزيد فرص النجاح، مما ينعكس على النمو والاستدامة للمشاريع</w:t>
      </w:r>
      <w:r>
        <w:t>.</w:t>
      </w:r>
    </w:p>
    <w:p w:rsidR="00D104E3" w:rsidRDefault="00D104E3" w:rsidP="00D104E3">
      <w:pPr>
        <w:bidi/>
      </w:pPr>
    </w:p>
    <w:p w:rsidR="00D104E3" w:rsidRDefault="00D104E3" w:rsidP="00D104E3">
      <w:pPr>
        <w:bidi/>
      </w:pPr>
    </w:p>
    <w:p w:rsidR="00D104E3" w:rsidRDefault="00D104E3" w:rsidP="00D104E3">
      <w:pPr>
        <w:bidi/>
      </w:pPr>
      <w:r>
        <w:rPr>
          <w:rFonts w:cs="Arial"/>
          <w:rtl/>
        </w:rPr>
        <w:t>سادسًا: نموذج بيئة ريادة الأعمال</w:t>
      </w:r>
      <w:r>
        <w:t xml:space="preserve"> (Entrepreneurial Ecosystem Model)</w:t>
      </w:r>
    </w:p>
    <w:p w:rsidR="00D104E3" w:rsidRDefault="00D104E3" w:rsidP="00D104E3">
      <w:pPr>
        <w:bidi/>
      </w:pPr>
      <w:r>
        <w:rPr>
          <w:rFonts w:cs="Arial"/>
          <w:rtl/>
        </w:rPr>
        <w:t>يعد هذا النموذج من أهم النماذج المعاصرة في دراسة بيئة ريادة الأعمال، حيث يوضح أن المشاريع الريادية تنمو في حال توفر مجموعة عناصر مترابطة، تشمل</w:t>
      </w:r>
      <w:r>
        <w:t>:</w:t>
      </w:r>
    </w:p>
    <w:p w:rsidR="00D104E3" w:rsidRDefault="00D104E3" w:rsidP="00D104E3">
      <w:pPr>
        <w:bidi/>
      </w:pPr>
      <w:r>
        <w:tab/>
        <w:t>•</w:t>
      </w:r>
      <w:r>
        <w:tab/>
      </w:r>
      <w:r>
        <w:rPr>
          <w:rFonts w:cs="Arial"/>
          <w:rtl/>
        </w:rPr>
        <w:t>التمويل</w:t>
      </w:r>
    </w:p>
    <w:p w:rsidR="00D104E3" w:rsidRDefault="00D104E3" w:rsidP="00D104E3">
      <w:pPr>
        <w:bidi/>
      </w:pPr>
      <w:r>
        <w:tab/>
        <w:t>•</w:t>
      </w:r>
      <w:r>
        <w:tab/>
      </w:r>
      <w:r>
        <w:rPr>
          <w:rFonts w:cs="Arial"/>
          <w:rtl/>
        </w:rPr>
        <w:t>المواهب</w:t>
      </w:r>
    </w:p>
    <w:p w:rsidR="00D104E3" w:rsidRDefault="00D104E3" w:rsidP="00D104E3">
      <w:pPr>
        <w:bidi/>
      </w:pPr>
      <w:r>
        <w:tab/>
        <w:t>•</w:t>
      </w:r>
      <w:r>
        <w:tab/>
      </w:r>
      <w:proofErr w:type="spellStart"/>
      <w:r>
        <w:rPr>
          <w:rFonts w:cs="Arial"/>
          <w:rtl/>
        </w:rPr>
        <w:t>الحوكمة</w:t>
      </w:r>
      <w:proofErr w:type="spellEnd"/>
    </w:p>
    <w:p w:rsidR="00D104E3" w:rsidRDefault="00D104E3" w:rsidP="00D104E3">
      <w:pPr>
        <w:bidi/>
      </w:pPr>
      <w:r>
        <w:tab/>
        <w:t>•</w:t>
      </w:r>
      <w:r>
        <w:tab/>
      </w:r>
      <w:r>
        <w:rPr>
          <w:rFonts w:cs="Arial"/>
          <w:rtl/>
        </w:rPr>
        <w:t>الثقافة الريادية</w:t>
      </w:r>
    </w:p>
    <w:p w:rsidR="00D104E3" w:rsidRDefault="00D104E3" w:rsidP="00D104E3">
      <w:pPr>
        <w:bidi/>
      </w:pPr>
      <w:r>
        <w:tab/>
        <w:t>•</w:t>
      </w:r>
      <w:r>
        <w:tab/>
      </w:r>
      <w:r>
        <w:rPr>
          <w:rFonts w:cs="Arial"/>
          <w:rtl/>
        </w:rPr>
        <w:t>البنية التحتية</w:t>
      </w:r>
    </w:p>
    <w:p w:rsidR="00D104E3" w:rsidRDefault="00D104E3" w:rsidP="00D104E3">
      <w:pPr>
        <w:bidi/>
      </w:pPr>
      <w:r>
        <w:tab/>
        <w:t>•</w:t>
      </w:r>
      <w:r>
        <w:tab/>
      </w:r>
      <w:r>
        <w:rPr>
          <w:rFonts w:cs="Arial"/>
          <w:rtl/>
        </w:rPr>
        <w:t>الدعم الحكومي</w:t>
      </w:r>
    </w:p>
    <w:p w:rsidR="00D104E3" w:rsidRDefault="00D104E3" w:rsidP="00D104E3">
      <w:pPr>
        <w:bidi/>
      </w:pPr>
      <w:r>
        <w:tab/>
        <w:t>•</w:t>
      </w:r>
      <w:r>
        <w:tab/>
      </w:r>
      <w:r>
        <w:rPr>
          <w:rFonts w:cs="Arial"/>
          <w:rtl/>
        </w:rPr>
        <w:t>التشريعات</w:t>
      </w:r>
    </w:p>
    <w:p w:rsidR="00D104E3" w:rsidRDefault="00D104E3" w:rsidP="00D104E3">
      <w:pPr>
        <w:bidi/>
      </w:pPr>
      <w:r>
        <w:tab/>
        <w:t>•</w:t>
      </w:r>
      <w:r>
        <w:tab/>
      </w:r>
      <w:r>
        <w:rPr>
          <w:rFonts w:cs="Arial"/>
          <w:rtl/>
        </w:rPr>
        <w:t>التكنولوجيا</w:t>
      </w:r>
    </w:p>
    <w:p w:rsidR="00D104E3" w:rsidRDefault="00D104E3" w:rsidP="00D104E3">
      <w:pPr>
        <w:bidi/>
      </w:pPr>
    </w:p>
    <w:p w:rsidR="00D104E3" w:rsidRDefault="00D104E3" w:rsidP="00D104E3">
      <w:pPr>
        <w:bidi/>
        <w:rPr>
          <w:rtl/>
        </w:rPr>
      </w:pPr>
      <w:r>
        <w:rPr>
          <w:rFonts w:cs="Arial"/>
          <w:rtl/>
        </w:rPr>
        <w:t>وبالتالي فإن التمويل الحكومي يمثل عنصرًا أساسيًا من عناصر النظام البيئي الريادي، ولا يمكن تحقيق نمو مستدام دون تكامل هذا العنصر مع العناصر الأخرى</w:t>
      </w:r>
      <w:r>
        <w:t>.</w:t>
      </w:r>
    </w:p>
    <w:p w:rsidR="00D104E3" w:rsidRDefault="00D104E3" w:rsidP="00D104E3">
      <w:pPr>
        <w:bidi/>
      </w:pPr>
    </w:p>
    <w:p w:rsidR="00D104E3" w:rsidRDefault="00D104E3" w:rsidP="00D104E3">
      <w:pPr>
        <w:bidi/>
      </w:pPr>
    </w:p>
    <w:p w:rsidR="00D104E3" w:rsidRDefault="00D104E3" w:rsidP="00D104E3">
      <w:pPr>
        <w:bidi/>
      </w:pPr>
      <w:r>
        <w:rPr>
          <w:rFonts w:cs="Arial"/>
          <w:rtl/>
        </w:rPr>
        <w:t>سابعًا: العلاقة بين المنطلقات النظرية وموضوع الدراسة</w:t>
      </w:r>
    </w:p>
    <w:p w:rsidR="00D104E3" w:rsidRDefault="00D104E3" w:rsidP="00D104E3">
      <w:pPr>
        <w:bidi/>
      </w:pPr>
    </w:p>
    <w:p w:rsidR="00D104E3" w:rsidRDefault="00D104E3" w:rsidP="00D104E3">
      <w:pPr>
        <w:bidi/>
      </w:pPr>
      <w:r>
        <w:rPr>
          <w:rFonts w:cs="Arial"/>
          <w:rtl/>
        </w:rPr>
        <w:t>من خلال هذه النظريات والنماذج، يمكن بناء التفسير النظري الخاص بالدراسة، والذي يتمثل في</w:t>
      </w:r>
      <w:r>
        <w:t>:</w:t>
      </w:r>
    </w:p>
    <w:p w:rsidR="00D104E3" w:rsidRDefault="00D104E3" w:rsidP="00D104E3">
      <w:pPr>
        <w:bidi/>
      </w:pPr>
      <w:r>
        <w:tab/>
        <w:t>1.</w:t>
      </w:r>
      <w:r>
        <w:tab/>
      </w:r>
      <w:r>
        <w:rPr>
          <w:rFonts w:cs="Arial"/>
          <w:rtl/>
        </w:rPr>
        <w:t>التمويل الحكومي يمثل موردًا استراتيجيًا يساعد على تعزيز النمو (نظرية الموارد)</w:t>
      </w:r>
      <w:r>
        <w:t>.</w:t>
      </w:r>
    </w:p>
    <w:p w:rsidR="00D104E3" w:rsidRDefault="00D104E3" w:rsidP="00D104E3">
      <w:pPr>
        <w:bidi/>
      </w:pPr>
      <w:r>
        <w:tab/>
        <w:t>2.</w:t>
      </w:r>
      <w:r>
        <w:tab/>
      </w:r>
      <w:r>
        <w:rPr>
          <w:rFonts w:cs="Arial"/>
          <w:rtl/>
        </w:rPr>
        <w:t>الخدمات المصاحبة للتمويل تسهم في تحسين الأداء الريادي (نظرية النمو الريادي)</w:t>
      </w:r>
      <w:r>
        <w:t>.</w:t>
      </w:r>
    </w:p>
    <w:p w:rsidR="00D104E3" w:rsidRDefault="00D104E3" w:rsidP="00D104E3">
      <w:pPr>
        <w:bidi/>
      </w:pPr>
      <w:r>
        <w:tab/>
        <w:t>3.</w:t>
      </w:r>
      <w:r>
        <w:tab/>
      </w:r>
      <w:r>
        <w:rPr>
          <w:rFonts w:cs="Arial"/>
          <w:rtl/>
        </w:rPr>
        <w:t>التمويل المرتبط بالابتكار يعزز القدرة التنافسية للمشاريع (نظرية الابتكار)</w:t>
      </w:r>
      <w:r>
        <w:t>.</w:t>
      </w:r>
    </w:p>
    <w:p w:rsidR="00D104E3" w:rsidRDefault="00D104E3" w:rsidP="00D104E3">
      <w:pPr>
        <w:bidi/>
      </w:pPr>
      <w:r>
        <w:tab/>
        <w:t>4.</w:t>
      </w:r>
      <w:r>
        <w:tab/>
      </w:r>
      <w:r>
        <w:rPr>
          <w:rFonts w:cs="Arial"/>
          <w:rtl/>
        </w:rPr>
        <w:t>الرقابة الحكومية والاستخدام الأمثل للتمويل يقللان من الفجوة المعلوماتية (نظرية الوكالة)</w:t>
      </w:r>
      <w:r>
        <w:t>.</w:t>
      </w:r>
    </w:p>
    <w:p w:rsidR="00D104E3" w:rsidRDefault="00D104E3" w:rsidP="00D104E3">
      <w:pPr>
        <w:bidi/>
      </w:pPr>
      <w:r>
        <w:tab/>
        <w:t>5.</w:t>
      </w:r>
      <w:r>
        <w:tab/>
      </w:r>
      <w:r>
        <w:rPr>
          <w:rFonts w:cs="Arial"/>
          <w:rtl/>
        </w:rPr>
        <w:t>تكامل برامج التمويل مع عناصر النظام البيئي الريادي يؤدي إلى نتائج أفضل</w:t>
      </w:r>
      <w:r>
        <w:t>.</w:t>
      </w:r>
    </w:p>
    <w:p w:rsidR="00D104E3" w:rsidRDefault="00D104E3" w:rsidP="00D104E3">
      <w:pPr>
        <w:bidi/>
      </w:pPr>
    </w:p>
    <w:p w:rsidR="00D104E3" w:rsidRDefault="00D104E3" w:rsidP="00D104E3">
      <w:pPr>
        <w:bidi/>
      </w:pPr>
    </w:p>
    <w:p w:rsidR="00D104E3" w:rsidRDefault="00D104E3" w:rsidP="00D104E3">
      <w:pPr>
        <w:bidi/>
      </w:pPr>
      <w:r>
        <w:rPr>
          <w:rFonts w:cs="Arial"/>
          <w:rtl/>
        </w:rPr>
        <w:t>الفصل الثاني: الدراسات السابقة</w:t>
      </w:r>
    </w:p>
    <w:p w:rsidR="00D104E3" w:rsidRDefault="00D104E3" w:rsidP="00D104E3">
      <w:pPr>
        <w:bidi/>
      </w:pPr>
    </w:p>
    <w:p w:rsidR="00D104E3" w:rsidRDefault="00D104E3" w:rsidP="00D104E3">
      <w:pPr>
        <w:bidi/>
      </w:pPr>
      <w:r>
        <w:rPr>
          <w:rFonts w:cs="Arial"/>
          <w:rtl/>
        </w:rPr>
        <w:t>الدراسات السابقة</w:t>
      </w:r>
      <w:r>
        <w:t>:</w:t>
      </w:r>
    </w:p>
    <w:p w:rsidR="00D104E3" w:rsidRDefault="00D104E3" w:rsidP="00D104E3">
      <w:pPr>
        <w:bidi/>
      </w:pPr>
    </w:p>
    <w:p w:rsidR="00D104E3" w:rsidRDefault="00D104E3" w:rsidP="00D104E3">
      <w:pPr>
        <w:bidi/>
      </w:pPr>
      <w:r>
        <w:rPr>
          <w:rFonts w:cs="Arial" w:hint="cs"/>
          <w:rtl/>
        </w:rPr>
        <w:t>أعدت</w:t>
      </w:r>
      <w:r>
        <w:rPr>
          <w:rFonts w:cs="Arial"/>
          <w:rtl/>
        </w:rPr>
        <w:t xml:space="preserve"> الدراسات السابقة جزءًا أساسيًا في بناء الإطار العلمي للبحث، حيث تسهم في توضيح ما توصل إليه الباحثون حول أثر برامج التمويل الحكومية في المملكة العربية السعودية على نمو رواد الأعمال، كما تساعد في تحديد الفجوات البحثية التي تسعى الدراسة الحالية إلى معالجتها. ويمكن تصنيف الدراسات السابقة إلى دراسات تناولت التمويل الحكومي بشكل مباشر، وأخرى ركزت على النمو الريادي، ودراسات جمعت بين المتغيرين</w:t>
      </w:r>
      <w:r>
        <w:t>.</w:t>
      </w:r>
    </w:p>
    <w:p w:rsidR="00D104E3" w:rsidRDefault="00D104E3" w:rsidP="00D104E3">
      <w:pPr>
        <w:bidi/>
      </w:pPr>
    </w:p>
    <w:p w:rsidR="00D104E3" w:rsidRDefault="00D104E3" w:rsidP="00D104E3">
      <w:pPr>
        <w:bidi/>
      </w:pPr>
    </w:p>
    <w:p w:rsidR="00D104E3" w:rsidRDefault="00D104E3" w:rsidP="00D104E3">
      <w:pPr>
        <w:bidi/>
      </w:pPr>
      <w:r>
        <w:rPr>
          <w:rFonts w:cs="Arial"/>
          <w:rtl/>
        </w:rPr>
        <w:t>أولًا: الدراسات المتعلقة بالتمويل الحكومي</w:t>
      </w:r>
    </w:p>
    <w:p w:rsidR="00D104E3" w:rsidRDefault="00D104E3" w:rsidP="00D104E3">
      <w:pPr>
        <w:bidi/>
      </w:pPr>
    </w:p>
    <w:p w:rsidR="00D104E3" w:rsidRDefault="00D104E3" w:rsidP="00D104E3">
      <w:pPr>
        <w:bidi/>
      </w:pPr>
      <w:r>
        <w:rPr>
          <w:rFonts w:cs="Arial"/>
          <w:rtl/>
        </w:rPr>
        <w:t>هدفت دراسة سليم (2019) إلى التعرف على أثر التمويل الحكومي الميسر في دعم تأسيس المشاريع الريادية في المملكة العربية السعودية. واعتمدت الدراسة على المنهج الوصفي التحليلي، باستخدام الاستبانة كأداة رئيسة لجمع البيانات من عينة من رواد الأعمال المستفيدين من برامج التمويل الحكومي. وتوصلت الدراسة إلى أن التمويل الميسر يسهم بدرجة كبيرة في مساعدة رواد الأعمال على تجاوز العقبات المرتبطة بمرحلة التأسيس، خصوصًا في ظل صعوبة الحصول على التمويل التقليدي، مما يعزز من فرص بدء المشروع واستمراريته</w:t>
      </w:r>
      <w:r>
        <w:t>.</w:t>
      </w:r>
    </w:p>
    <w:p w:rsidR="00D104E3" w:rsidRDefault="00D104E3" w:rsidP="00D104E3">
      <w:pPr>
        <w:bidi/>
      </w:pPr>
    </w:p>
    <w:p w:rsidR="00D104E3" w:rsidRDefault="00D104E3" w:rsidP="00D104E3">
      <w:pPr>
        <w:bidi/>
      </w:pPr>
      <w:r>
        <w:rPr>
          <w:rFonts w:cs="Arial"/>
          <w:rtl/>
        </w:rPr>
        <w:t xml:space="preserve">كما هدفت دراسة جبريل (2020) إلى قياس أثر برامج التمويل الحكومية على الأداء المالي للمشروعات الصغيرة والمتوسطة خلال السنوات الأولى من عمر المشروع. واعتمدت الدراسة المنهج الكمي من خلال تحليل البيانات المالية لعينة من المشاريع المدعومة، إلى </w:t>
      </w:r>
      <w:r>
        <w:rPr>
          <w:rFonts w:cs="Arial"/>
          <w:rtl/>
        </w:rPr>
        <w:lastRenderedPageBreak/>
        <w:t>جانب استخدام استبانة لقياس تصورات أصحاب المشاريع. وأظهرت النتائج وجود تأثير إيجابي مباشر للتمويل الحكومي على تحسن مؤشرات الأداء المالي، خاصة في السنوات الثلاث الأولى، مما يزيد من احتمالية بقاء المشروع في السوق</w:t>
      </w:r>
      <w:r>
        <w:t>.</w:t>
      </w:r>
    </w:p>
    <w:p w:rsidR="00D104E3" w:rsidRDefault="00D104E3" w:rsidP="00D104E3">
      <w:pPr>
        <w:bidi/>
      </w:pPr>
    </w:p>
    <w:p w:rsidR="00D104E3" w:rsidRDefault="00D104E3" w:rsidP="00D104E3">
      <w:pPr>
        <w:bidi/>
      </w:pPr>
      <w:r>
        <w:rPr>
          <w:rFonts w:cs="Arial"/>
          <w:rtl/>
        </w:rPr>
        <w:t>وفي دراسة الزهراني (2021)، كان الهدف تحليل أثر القروض الحكومية على التوسع التشغيلي للمشروعات الصغيرة والمتوسطة في المملكة العربية السعودية. واستخدمت الدراسة المنهج الوصفي التحليلي، مع الاعتماد على بيانات ثانوية وتقارير رسمية، إضافة إلى أداة استبانة ميدانية. وأشارت النتائج إلى أن التمويل الحكومي يسهم في رفع القدرة الإنتاجية وزيادة حجم العمليات التشغيلية بنسبة ملحوظة، لا سيما في القطاعات الصناعية والخدمية</w:t>
      </w:r>
      <w:r>
        <w:t>.</w:t>
      </w:r>
    </w:p>
    <w:p w:rsidR="00D104E3" w:rsidRDefault="00D104E3" w:rsidP="00D104E3">
      <w:pPr>
        <w:bidi/>
      </w:pPr>
    </w:p>
    <w:p w:rsidR="00D104E3" w:rsidRDefault="00D104E3" w:rsidP="00D104E3">
      <w:pPr>
        <w:bidi/>
      </w:pPr>
      <w:r>
        <w:rPr>
          <w:rFonts w:cs="Arial"/>
          <w:rtl/>
        </w:rPr>
        <w:t>أما دراسة</w:t>
      </w:r>
      <w:r>
        <w:t xml:space="preserve"> </w:t>
      </w:r>
      <w:proofErr w:type="spellStart"/>
      <w:r>
        <w:t>Alkaabi</w:t>
      </w:r>
      <w:proofErr w:type="spellEnd"/>
      <w:r>
        <w:t xml:space="preserve"> (2020) </w:t>
      </w:r>
      <w:r>
        <w:rPr>
          <w:rFonts w:cs="Arial"/>
          <w:rtl/>
        </w:rPr>
        <w:t>في دولة الإمارات العربية المتحدة، فقد هدفت إلى استكشاف العلاقة بين التمويل الحكومي ونمو الأعمال الريادية. واعتمدت الدراسة المنهج الكمي باستخدام تحليل الانحدار لقياس أثر الدعم الحكومي على مؤشرات النمو. وأكدت النتائج وجود علاقة إيجابية ذات دلالة إحصائية بين التمويل الحكومي ونمو المشاريع الريادية، كما بيّنت أن الجمع بين الدعم المالي وبرامج التدريب والإرشاد يحقق نتائج أفضل مقارنة بتقديم التمويل المالي فقط</w:t>
      </w:r>
      <w:r>
        <w:t>.</w:t>
      </w:r>
    </w:p>
    <w:p w:rsidR="00D104E3" w:rsidRDefault="00D104E3" w:rsidP="00D104E3">
      <w:pPr>
        <w:bidi/>
      </w:pPr>
    </w:p>
    <w:p w:rsidR="00D104E3" w:rsidRDefault="00D104E3" w:rsidP="00D104E3">
      <w:pPr>
        <w:bidi/>
      </w:pPr>
    </w:p>
    <w:p w:rsidR="00D104E3" w:rsidRDefault="00D104E3" w:rsidP="00D104E3">
      <w:pPr>
        <w:bidi/>
      </w:pPr>
      <w:r>
        <w:rPr>
          <w:rFonts w:cs="Arial"/>
          <w:rtl/>
        </w:rPr>
        <w:t>التعقيب على الدراسات السابقة</w:t>
      </w:r>
      <w:r>
        <w:t>:</w:t>
      </w:r>
    </w:p>
    <w:p w:rsidR="00D104E3" w:rsidRDefault="00D104E3" w:rsidP="00D104E3">
      <w:pPr>
        <w:bidi/>
      </w:pPr>
    </w:p>
    <w:p w:rsidR="00D104E3" w:rsidRDefault="00D104E3" w:rsidP="00D104E3">
      <w:pPr>
        <w:bidi/>
      </w:pPr>
      <w:r>
        <w:rPr>
          <w:rFonts w:cs="Arial"/>
          <w:rtl/>
        </w:rPr>
        <w:t>من خلال استعراض الدراسات السابقة يتضح وجود اهتمام بحثي متزايد بدراسة أثر التمويل الحكومي في دعم ريادة الأعمال ونمو المشروعات الصغيرة والمتوسطة، حيث اتفقت معظم الدراسات على وجود علاقة إيجابية بين الدعم التمويلي الحكومي وتحسين أداء المشاريع وزيادة فرص استمراريتها في السوق</w:t>
      </w:r>
      <w:r>
        <w:t>.</w:t>
      </w:r>
    </w:p>
    <w:p w:rsidR="00D104E3" w:rsidRDefault="00D104E3" w:rsidP="00D104E3">
      <w:pPr>
        <w:bidi/>
      </w:pPr>
    </w:p>
    <w:p w:rsidR="00D104E3" w:rsidRDefault="00D104E3" w:rsidP="00D104E3">
      <w:pPr>
        <w:bidi/>
      </w:pPr>
      <w:r>
        <w:rPr>
          <w:rFonts w:cs="Arial"/>
          <w:rtl/>
        </w:rPr>
        <w:t>وتتشابه الدراسات في اعتمادها على المنهج الوصفي التحليلي أو المنهج الكمي، واستخدام الاستبانة وتحليل البيانات المالية كأدوات رئيسة لجمع البيانات، كما ركزت غالبية الدراسات على قياس أثر التمويل على مؤشرات الأداء المالي أو التوسع التشغيلي</w:t>
      </w:r>
      <w:r>
        <w:t>.</w:t>
      </w:r>
    </w:p>
    <w:p w:rsidR="00D104E3" w:rsidRDefault="00D104E3" w:rsidP="00D104E3">
      <w:pPr>
        <w:bidi/>
      </w:pPr>
    </w:p>
    <w:p w:rsidR="00D104E3" w:rsidRDefault="00D104E3" w:rsidP="00D104E3">
      <w:pPr>
        <w:bidi/>
      </w:pPr>
      <w:r>
        <w:rPr>
          <w:rFonts w:cs="Arial"/>
          <w:rtl/>
        </w:rPr>
        <w:t>في المقابل، اختلفت الدراسات من حيث البيئات التطبيقية، وحجم العينات، ونوع المتغيرات المستخدمة في قياس النمو، حيث ركزت بعض الدراسات على البعد المالي فقط، بينما تناولت دراسات أخرى الأبعاد التشغيلية أو الإدارية للنمو. كما اختلفت في طبيعة الدعم محل الدراسة، إذ تناولت بعض البحوث التمويل المالي فقط، في حين بحثت أخرى أثر الدعم المتكامل الذي يجمع بين التمويل والتدريب والإرشاد</w:t>
      </w:r>
      <w:r>
        <w:t>.</w:t>
      </w:r>
    </w:p>
    <w:p w:rsidR="00D104E3" w:rsidRDefault="00D104E3" w:rsidP="00D104E3">
      <w:pPr>
        <w:bidi/>
      </w:pPr>
    </w:p>
    <w:p w:rsidR="00D104E3" w:rsidRDefault="00D104E3" w:rsidP="00D104E3">
      <w:pPr>
        <w:bidi/>
      </w:pPr>
      <w:bookmarkStart w:id="0" w:name="_GoBack"/>
      <w:bookmarkEnd w:id="0"/>
    </w:p>
    <w:p w:rsidR="00D104E3" w:rsidRDefault="00D104E3" w:rsidP="00DE3636">
      <w:pPr>
        <w:bidi/>
      </w:pPr>
      <w:r>
        <w:rPr>
          <w:rFonts w:cs="Arial"/>
          <w:rtl/>
        </w:rPr>
        <w:t>الفجوة البحثية</w:t>
      </w:r>
      <w:r>
        <w:t>:</w:t>
      </w:r>
    </w:p>
    <w:p w:rsidR="00D104E3" w:rsidRDefault="00D104E3" w:rsidP="00D104E3">
      <w:pPr>
        <w:bidi/>
      </w:pPr>
      <w:r>
        <w:rPr>
          <w:rFonts w:cs="Arial"/>
          <w:rtl/>
        </w:rPr>
        <w:t>من خلال تحليل الدراسات السابقة، يمكن تحديد مجموعة من الفجوات البحثية التي تسعى هذه الدراسة إلى معالجتها، وهي</w:t>
      </w:r>
      <w:r>
        <w:t>:</w:t>
      </w:r>
    </w:p>
    <w:p w:rsidR="00D104E3" w:rsidRDefault="00D104E3" w:rsidP="00D104E3">
      <w:pPr>
        <w:bidi/>
      </w:pPr>
      <w:r>
        <w:tab/>
      </w:r>
      <w:r>
        <w:tab/>
      </w:r>
      <w:r>
        <w:rPr>
          <w:rFonts w:cs="Arial"/>
          <w:rtl/>
        </w:rPr>
        <w:t>قلة الدراسات التي تناولت أثر برامج التمويل الحكومية في المملكة العربية السعودية بشكل شامل</w:t>
      </w:r>
      <w:r>
        <w:t>.</w:t>
      </w:r>
    </w:p>
    <w:p w:rsidR="00D104E3" w:rsidRDefault="00D104E3" w:rsidP="00D104E3">
      <w:pPr>
        <w:bidi/>
      </w:pPr>
      <w:r>
        <w:tab/>
      </w:r>
      <w:r>
        <w:tab/>
      </w:r>
      <w:r>
        <w:rPr>
          <w:rFonts w:cs="Arial"/>
          <w:rtl/>
        </w:rPr>
        <w:t>تركيز معظم الدراسات على جانب واحد من النمو الريادي</w:t>
      </w:r>
      <w:r>
        <w:t>.</w:t>
      </w:r>
    </w:p>
    <w:p w:rsidR="002371B6" w:rsidRDefault="00D104E3" w:rsidP="00D104E3">
      <w:pPr>
        <w:bidi/>
      </w:pPr>
      <w:r>
        <w:tab/>
      </w:r>
      <w:r>
        <w:tab/>
      </w:r>
      <w:r>
        <w:rPr>
          <w:rFonts w:cs="Arial"/>
          <w:rtl/>
        </w:rPr>
        <w:t>قلة الدراسات التي تجمع بين التمويل والخدمات المصاحبة</w:t>
      </w:r>
      <w:r>
        <w:t>.</w:t>
      </w:r>
    </w:p>
    <w:sectPr w:rsidR="00237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4E3"/>
    <w:rsid w:val="002371B6"/>
    <w:rsid w:val="00D104E3"/>
    <w:rsid w:val="00DE36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781D"/>
  <w15:chartTrackingRefBased/>
  <w15:docId w15:val="{5896F213-9D68-4C5F-A260-5ED3AAFE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1323</Words>
  <Characters>7543</Characters>
  <Application>Microsoft Office Word</Application>
  <DocSecurity>0</DocSecurity>
  <Lines>62</Lines>
  <Paragraphs>17</Paragraphs>
  <ScaleCrop>false</ScaleCrop>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Nawaf Ali Alzahrani</dc:creator>
  <cp:keywords/>
  <dc:description/>
  <cp:lastModifiedBy>Nawaf Ali Alzahrani</cp:lastModifiedBy>
  <cp:revision>2</cp:revision>
  <dcterms:created xsi:type="dcterms:W3CDTF">2026-03-25T12:41:00Z</dcterms:created>
  <dcterms:modified xsi:type="dcterms:W3CDTF">2026-03-25T12:52:00Z</dcterms:modified>
</cp:coreProperties>
</file>