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43DF560" w:rsidR="009125CE" w:rsidRPr="00650C72" w:rsidRDefault="00073937" w:rsidP="0007393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50C7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4910AD9">
            <wp:simplePos x="0" y="0"/>
            <wp:positionH relativeFrom="margin">
              <wp:posOffset>137160</wp:posOffset>
            </wp:positionH>
            <wp:positionV relativeFrom="margin">
              <wp:posOffset>-110490</wp:posOffset>
            </wp:positionV>
            <wp:extent cx="1666240" cy="15468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6240" cy="1546860"/>
                    </a:xfrm>
                    <a:prstGeom prst="rect">
                      <a:avLst/>
                    </a:prstGeom>
                  </pic:spPr>
                </pic:pic>
              </a:graphicData>
            </a:graphic>
            <wp14:sizeRelH relativeFrom="margin">
              <wp14:pctWidth>0</wp14:pctWidth>
            </wp14:sizeRelH>
            <wp14:sizeRelV relativeFrom="margin">
              <wp14:pctHeight>0</wp14:pctHeight>
            </wp14:sizeRelV>
          </wp:anchor>
        </w:drawing>
      </w:r>
      <w:r w:rsidR="009125CE" w:rsidRPr="00650C72">
        <w:rPr>
          <w:rFonts w:ascii="Simplified Arabic" w:hAnsi="Simplified Arabic" w:cs="Simplified Arabic"/>
          <w:b/>
          <w:bCs/>
          <w:color w:val="000000" w:themeColor="text1"/>
          <w:sz w:val="32"/>
          <w:szCs w:val="32"/>
          <w:rtl/>
          <w:lang w:bidi="ar-EG"/>
        </w:rPr>
        <w:t xml:space="preserve">جامعة ميدأوشن </w:t>
      </w:r>
    </w:p>
    <w:p w14:paraId="1E957002" w14:textId="036DBED0" w:rsidR="00F546CE" w:rsidRPr="00650C72" w:rsidRDefault="009125CE" w:rsidP="0007393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50C72">
        <w:rPr>
          <w:rFonts w:ascii="Simplified Arabic" w:hAnsi="Simplified Arabic" w:cs="Simplified Arabic"/>
          <w:b/>
          <w:bCs/>
          <w:color w:val="000000" w:themeColor="text1"/>
          <w:sz w:val="32"/>
          <w:szCs w:val="32"/>
          <w:lang w:bidi="ar-EG"/>
        </w:rPr>
        <w:t xml:space="preserve"> </w:t>
      </w:r>
      <w:r w:rsidRPr="00650C72">
        <w:rPr>
          <w:rFonts w:ascii="Simplified Arabic" w:hAnsi="Simplified Arabic" w:cs="Simplified Arabic"/>
          <w:b/>
          <w:bCs/>
          <w:color w:val="000000" w:themeColor="text1"/>
          <w:sz w:val="32"/>
          <w:szCs w:val="32"/>
          <w:rtl/>
          <w:lang w:bidi="ar-EG"/>
        </w:rPr>
        <w:t xml:space="preserve">كلية </w:t>
      </w:r>
      <w:r w:rsidR="008C42C1" w:rsidRPr="00650C72">
        <w:rPr>
          <w:rFonts w:ascii="Simplified Arabic" w:hAnsi="Simplified Arabic" w:cs="Simplified Arabic"/>
          <w:b/>
          <w:bCs/>
          <w:color w:val="000000" w:themeColor="text1"/>
          <w:sz w:val="32"/>
          <w:szCs w:val="32"/>
          <w:rtl/>
          <w:lang w:bidi="ar-EG"/>
        </w:rPr>
        <w:t>الإدارة</w:t>
      </w:r>
      <w:r w:rsidRPr="00650C72">
        <w:rPr>
          <w:rFonts w:ascii="Simplified Arabic" w:hAnsi="Simplified Arabic" w:cs="Simplified Arabic"/>
          <w:b/>
          <w:bCs/>
          <w:color w:val="000000" w:themeColor="text1"/>
          <w:sz w:val="32"/>
          <w:szCs w:val="32"/>
          <w:rtl/>
          <w:lang w:bidi="ar-EG"/>
        </w:rPr>
        <w:t xml:space="preserve"> </w:t>
      </w:r>
    </w:p>
    <w:p w14:paraId="5B103A08" w14:textId="77777777" w:rsidR="006E6BDA" w:rsidRPr="00650C72" w:rsidRDefault="006E6BDA" w:rsidP="0007393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50C72">
        <w:rPr>
          <w:rFonts w:ascii="Simplified Arabic" w:hAnsi="Simplified Arabic" w:cs="Simplified Arabic"/>
          <w:b/>
          <w:bCs/>
          <w:color w:val="000000" w:themeColor="text1"/>
          <w:sz w:val="32"/>
          <w:szCs w:val="32"/>
          <w:rtl/>
        </w:rPr>
        <w:t>ماجستير إدارة عقارية</w:t>
      </w:r>
    </w:p>
    <w:p w14:paraId="0A25F43C" w14:textId="77777777" w:rsidR="008C7BB4" w:rsidRPr="00650C72" w:rsidRDefault="008C7BB4" w:rsidP="0007393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342D98F" w14:textId="3BC04014" w:rsidR="008A7BB4" w:rsidRPr="00650C72" w:rsidRDefault="006E6BDA" w:rsidP="0007393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650C72">
        <w:rPr>
          <w:rFonts w:ascii="Simplified Arabic" w:hAnsi="Simplified Arabic" w:cs="Simplified Arabic"/>
          <w:b/>
          <w:bCs/>
          <w:color w:val="000000" w:themeColor="text1"/>
          <w:sz w:val="40"/>
          <w:szCs w:val="40"/>
          <w:rtl/>
        </w:rPr>
        <w:t>أثر استخدام أدوات الذكاء الاصطناعي في التقييم العقاري على جودة القرار الاستثماري: دراسة ميدانية على المستثمرين العقاريين في مدينة الرياض، المملكة العربية السعودية</w:t>
      </w:r>
      <w:r w:rsidR="008A7BB4" w:rsidRPr="00650C72">
        <w:rPr>
          <w:rFonts w:ascii="Simplified Arabic" w:hAnsi="Simplified Arabic" w:cs="Simplified Arabic"/>
          <w:b/>
          <w:bCs/>
          <w:color w:val="000000" w:themeColor="text1"/>
          <w:sz w:val="40"/>
          <w:szCs w:val="40"/>
          <w:rtl/>
        </w:rPr>
        <w:t>.</w:t>
      </w:r>
    </w:p>
    <w:p w14:paraId="751A7E65" w14:textId="67C247A1" w:rsidR="009125CE" w:rsidRPr="00650C72" w:rsidRDefault="009125CE"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t>إعداد الطالب/</w:t>
      </w:r>
    </w:p>
    <w:p w14:paraId="2720B114" w14:textId="77777777" w:rsidR="006E6BDA" w:rsidRPr="00650C72" w:rsidRDefault="006E6BDA" w:rsidP="00073937">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50C72">
        <w:rPr>
          <w:rFonts w:ascii="Simplified Arabic" w:hAnsi="Simplified Arabic" w:cs="Simplified Arabic"/>
          <w:color w:val="000000" w:themeColor="text1"/>
          <w:sz w:val="36"/>
          <w:szCs w:val="36"/>
          <w:rtl/>
        </w:rPr>
        <w:t>عبدالرحمن العنزي</w:t>
      </w:r>
    </w:p>
    <w:p w14:paraId="73B5430F"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073937" w:rsidRPr="00650C72" w14:paraId="7B7A1CB0" w14:textId="77777777" w:rsidTr="00073937">
        <w:tc>
          <w:tcPr>
            <w:tcW w:w="4530" w:type="dxa"/>
          </w:tcPr>
          <w:p w14:paraId="6C3B656D"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hint="cs"/>
                <w:b/>
                <w:bCs/>
                <w:color w:val="000000" w:themeColor="text1"/>
                <w:sz w:val="36"/>
                <w:szCs w:val="36"/>
                <w:rtl/>
                <w:lang w:bidi="ar-EG"/>
              </w:rPr>
              <w:t>المشرف الرئيسي/</w:t>
            </w:r>
          </w:p>
        </w:tc>
        <w:tc>
          <w:tcPr>
            <w:tcW w:w="4531" w:type="dxa"/>
          </w:tcPr>
          <w:p w14:paraId="3DAEF1AC"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hint="cs"/>
                <w:b/>
                <w:bCs/>
                <w:color w:val="000000" w:themeColor="text1"/>
                <w:sz w:val="36"/>
                <w:szCs w:val="36"/>
                <w:rtl/>
                <w:lang w:bidi="ar-EG"/>
              </w:rPr>
              <w:t>المشرف الثاني/</w:t>
            </w:r>
          </w:p>
        </w:tc>
      </w:tr>
      <w:tr w:rsidR="00073937" w:rsidRPr="00650C72" w14:paraId="16346936" w14:textId="77777777" w:rsidTr="00073937">
        <w:tc>
          <w:tcPr>
            <w:tcW w:w="4530" w:type="dxa"/>
          </w:tcPr>
          <w:p w14:paraId="16AB778A"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B159650"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eastAsia="Calibri" w:hAnsi="Simplified Arabic" w:cs="Simplified Arabic"/>
                <w:color w:val="000000" w:themeColor="text1"/>
                <w:kern w:val="0"/>
                <w:sz w:val="36"/>
                <w:szCs w:val="36"/>
                <w:rtl/>
                <w:lang w:bidi="ar-EG"/>
                <w14:ligatures w14:val="none"/>
              </w:rPr>
              <w:t>د.فايز جراد</w:t>
            </w:r>
          </w:p>
        </w:tc>
      </w:tr>
    </w:tbl>
    <w:p w14:paraId="73B4F08A"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t>العام الدراسي:</w:t>
      </w:r>
    </w:p>
    <w:p w14:paraId="2C19359C"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073937" w:rsidRPr="00650C72" w:rsidSect="00073937">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650C72">
        <w:rPr>
          <w:rFonts w:ascii="Simplified Arabic" w:hAnsi="Simplified Arabic" w:cs="Simplified Arabic" w:hint="cs"/>
          <w:color w:val="000000" w:themeColor="text1"/>
          <w:sz w:val="36"/>
          <w:szCs w:val="36"/>
          <w:rtl/>
          <w:lang w:bidi="ar-EG"/>
        </w:rPr>
        <w:t xml:space="preserve">1448 </w:t>
      </w:r>
      <w:r w:rsidRPr="00650C72">
        <w:rPr>
          <w:rFonts w:ascii="Simplified Arabic" w:hAnsi="Simplified Arabic" w:cs="Simplified Arabic"/>
          <w:color w:val="000000" w:themeColor="text1"/>
          <w:sz w:val="36"/>
          <w:szCs w:val="36"/>
          <w:rtl/>
          <w:lang w:bidi="ar-EG"/>
        </w:rPr>
        <w:t>–</w:t>
      </w:r>
      <w:r w:rsidRPr="00650C72">
        <w:rPr>
          <w:rFonts w:ascii="Simplified Arabic" w:hAnsi="Simplified Arabic" w:cs="Simplified Arabic" w:hint="cs"/>
          <w:color w:val="000000" w:themeColor="text1"/>
          <w:sz w:val="36"/>
          <w:szCs w:val="36"/>
          <w:rtl/>
          <w:lang w:bidi="ar-EG"/>
        </w:rPr>
        <w:t xml:space="preserve"> 2026</w:t>
      </w:r>
    </w:p>
    <w:p w14:paraId="7F7CD99C" w14:textId="452EB66C"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7C844E9" w14:textId="6C7174FB"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50C72">
        <w:rPr>
          <w:rFonts w:ascii="Sakkal Majalla" w:eastAsia="Times New Roman" w:hAnsi="Sakkal Majalla" w:cs="Sakkal Majalla"/>
          <w:b/>
          <w:bCs/>
          <w:noProof/>
          <w:color w:val="000000" w:themeColor="text1"/>
          <w:kern w:val="0"/>
          <w:sz w:val="40"/>
          <w:szCs w:val="40"/>
          <w:rtl/>
          <w14:ligatures w14:val="none"/>
        </w:rPr>
        <w:drawing>
          <wp:anchor distT="0" distB="0" distL="114300" distR="114300" simplePos="0" relativeHeight="251688960" behindDoc="0" locked="0" layoutInCell="1" allowOverlap="1" wp14:anchorId="0419AA62" wp14:editId="278DC0DA">
            <wp:simplePos x="0" y="0"/>
            <wp:positionH relativeFrom="column">
              <wp:posOffset>1503045</wp:posOffset>
            </wp:positionH>
            <wp:positionV relativeFrom="paragraph">
              <wp:posOffset>574040</wp:posOffset>
            </wp:positionV>
            <wp:extent cx="3464953" cy="6956510"/>
            <wp:effectExtent l="0" t="0" r="2540" b="0"/>
            <wp:wrapNone/>
            <wp:docPr id="5" name="Picture 5" descr="C:\Users\GHZ\Desktop\بسم الله الرحمن الرحيم\43575794ea63f718aacde5d266d8eb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GHZ\Desktop\بسم الله الرحمن الرحيم\43575794ea63f718aacde5d266d8ebd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4953" cy="6956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AE0FAE" w14:textId="46EF7BE9"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3D9C6E96" w14:textId="244123F5" w:rsidR="00073937" w:rsidRPr="00650C72" w:rsidRDefault="00073937" w:rsidP="0007393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4796410"/>
      <w:r w:rsidRPr="00650C72">
        <w:rPr>
          <w:rFonts w:ascii="Simplified Arabic" w:hAnsi="Simplified Arabic" w:cs="Simplified Arabic" w:hint="cs"/>
          <w:b/>
          <w:bCs/>
          <w:color w:val="000000" w:themeColor="text1"/>
          <w:sz w:val="40"/>
          <w:szCs w:val="40"/>
          <w:rtl/>
          <w:lang w:bidi="ar-EG"/>
        </w:rPr>
        <w:t>بسم الله الرحمن الرحيم</w:t>
      </w:r>
      <w:bookmarkEnd w:id="0"/>
    </w:p>
    <w:p w14:paraId="439A10CB" w14:textId="08830CE6" w:rsidR="00073937" w:rsidRPr="00650C72" w:rsidRDefault="00073937">
      <w:pPr>
        <w:bidi w:val="0"/>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br w:type="page"/>
      </w:r>
    </w:p>
    <w:p w14:paraId="042C263E" w14:textId="31958D28" w:rsidR="00073937" w:rsidRPr="00650C72" w:rsidRDefault="00073937" w:rsidP="0007393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4796411"/>
      <w:r w:rsidRPr="00650C72">
        <w:rPr>
          <w:rFonts w:cs="DecoType Naskh Variants"/>
          <w:noProof/>
          <w:color w:val="000000" w:themeColor="text1"/>
          <w:sz w:val="48"/>
          <w:szCs w:val="48"/>
        </w:rPr>
        <w:lastRenderedPageBreak/>
        <w:drawing>
          <wp:anchor distT="0" distB="0" distL="114300" distR="114300" simplePos="0" relativeHeight="251691008" behindDoc="0" locked="0" layoutInCell="1" allowOverlap="1" wp14:anchorId="49582ED3" wp14:editId="5165E178">
            <wp:simplePos x="0" y="0"/>
            <wp:positionH relativeFrom="margin">
              <wp:posOffset>2129155</wp:posOffset>
            </wp:positionH>
            <wp:positionV relativeFrom="paragraph">
              <wp:posOffset>-266700</wp:posOffset>
            </wp:positionV>
            <wp:extent cx="1724531" cy="1333500"/>
            <wp:effectExtent l="0" t="0" r="9525"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531" cy="1333500"/>
                    </a:xfrm>
                    <a:prstGeom prst="rect">
                      <a:avLst/>
                    </a:prstGeom>
                    <a:noFill/>
                  </pic:spPr>
                </pic:pic>
              </a:graphicData>
            </a:graphic>
            <wp14:sizeRelH relativeFrom="margin">
              <wp14:pctWidth>0</wp14:pctWidth>
            </wp14:sizeRelH>
            <wp14:sizeRelV relativeFrom="margin">
              <wp14:pctHeight>0</wp14:pctHeight>
            </wp14:sizeRelV>
          </wp:anchor>
        </w:drawing>
      </w:r>
      <w:r w:rsidRPr="00650C72">
        <w:rPr>
          <w:rFonts w:ascii="Simplified Arabic" w:hAnsi="Simplified Arabic" w:cs="Simplified Arabic" w:hint="cs"/>
          <w:b/>
          <w:bCs/>
          <w:color w:val="000000" w:themeColor="text1"/>
          <w:sz w:val="40"/>
          <w:szCs w:val="40"/>
          <w:rtl/>
          <w:lang w:bidi="ar-EG"/>
        </w:rPr>
        <w:t>الإهداء</w:t>
      </w:r>
      <w:bookmarkEnd w:id="1"/>
      <w:r w:rsidRPr="00650C72">
        <w:rPr>
          <w:rFonts w:ascii="Simplified Arabic" w:hAnsi="Simplified Arabic" w:cs="Simplified Arabic" w:hint="cs"/>
          <w:b/>
          <w:bCs/>
          <w:color w:val="000000" w:themeColor="text1"/>
          <w:sz w:val="40"/>
          <w:szCs w:val="40"/>
          <w:rtl/>
          <w:lang w:bidi="ar-EG"/>
        </w:rPr>
        <w:t xml:space="preserve"> </w:t>
      </w:r>
    </w:p>
    <w:p w14:paraId="5E65AE98" w14:textId="5BAC4D47" w:rsidR="00073937" w:rsidRPr="00650C72" w:rsidRDefault="00073937" w:rsidP="00073937">
      <w:pPr>
        <w:rPr>
          <w:color w:val="000000" w:themeColor="text1"/>
        </w:rPr>
      </w:pPr>
    </w:p>
    <w:p w14:paraId="7DE7D3E8" w14:textId="77777777" w:rsidR="00073937" w:rsidRPr="00650C72" w:rsidRDefault="00073937" w:rsidP="00073937">
      <w:pPr>
        <w:spacing w:before="100" w:beforeAutospacing="1" w:after="100" w:afterAutospacing="1"/>
        <w:jc w:val="center"/>
        <w:rPr>
          <w:rFonts w:ascii="Amiri" w:hAnsi="Amiri" w:cs="Amiri"/>
          <w:b/>
          <w:bCs/>
          <w:color w:val="000000" w:themeColor="text1"/>
          <w:sz w:val="36"/>
          <w:szCs w:val="36"/>
          <w:rtl/>
          <w:lang w:bidi="ar-EG"/>
        </w:rPr>
      </w:pPr>
      <w:r w:rsidRPr="00650C72">
        <w:rPr>
          <w:rFonts w:ascii="Amiri" w:hAnsi="Amiri" w:cs="Amiri"/>
          <w:b/>
          <w:bCs/>
          <w:color w:val="000000" w:themeColor="text1"/>
          <w:sz w:val="36"/>
          <w:szCs w:val="36"/>
          <w:rtl/>
          <w:lang w:bidi="ar-EG"/>
        </w:rPr>
        <w:t>إلى المعرفة التي قادت هذا الجهد خطوةً بعد خطوة،</w:t>
      </w:r>
    </w:p>
    <w:p w14:paraId="41B9718E" w14:textId="77777777" w:rsidR="00073937" w:rsidRPr="00650C72" w:rsidRDefault="00073937" w:rsidP="00073937">
      <w:pPr>
        <w:spacing w:before="100" w:beforeAutospacing="1" w:after="100" w:afterAutospacing="1"/>
        <w:jc w:val="center"/>
        <w:rPr>
          <w:rFonts w:ascii="Amiri" w:hAnsi="Amiri" w:cs="Amiri"/>
          <w:b/>
          <w:bCs/>
          <w:color w:val="000000" w:themeColor="text1"/>
          <w:sz w:val="36"/>
          <w:szCs w:val="36"/>
          <w:rtl/>
          <w:lang w:bidi="ar-EG"/>
        </w:rPr>
      </w:pPr>
      <w:r w:rsidRPr="00650C72">
        <w:rPr>
          <w:rFonts w:ascii="Amiri" w:hAnsi="Amiri" w:cs="Amiri"/>
          <w:b/>
          <w:bCs/>
          <w:color w:val="000000" w:themeColor="text1"/>
          <w:sz w:val="36"/>
          <w:szCs w:val="36"/>
          <w:rtl/>
          <w:lang w:bidi="ar-EG"/>
        </w:rPr>
        <w:t>وإلى كل تجربة علمية علّمتني أن التساؤل أساس الفهم،</w:t>
      </w:r>
    </w:p>
    <w:p w14:paraId="02461B3F" w14:textId="77777777" w:rsidR="00073937" w:rsidRPr="00650C72" w:rsidRDefault="00073937" w:rsidP="00073937">
      <w:pPr>
        <w:spacing w:before="100" w:beforeAutospacing="1" w:after="100" w:afterAutospacing="1"/>
        <w:jc w:val="center"/>
        <w:rPr>
          <w:rFonts w:ascii="Amiri" w:hAnsi="Amiri" w:cs="Amiri"/>
          <w:b/>
          <w:bCs/>
          <w:color w:val="000000" w:themeColor="text1"/>
          <w:sz w:val="36"/>
          <w:szCs w:val="36"/>
          <w:rtl/>
          <w:lang w:bidi="ar-EG"/>
        </w:rPr>
      </w:pPr>
      <w:r w:rsidRPr="00650C72">
        <w:rPr>
          <w:rFonts w:ascii="Amiri" w:hAnsi="Amiri" w:cs="Amiri"/>
          <w:b/>
          <w:bCs/>
          <w:color w:val="000000" w:themeColor="text1"/>
          <w:sz w:val="36"/>
          <w:szCs w:val="36"/>
          <w:rtl/>
          <w:lang w:bidi="ar-EG"/>
        </w:rPr>
        <w:t>وأن البحث الحقيقي لا يكتمل إلا بالتحليل والنقد والتأمل،</w:t>
      </w:r>
    </w:p>
    <w:p w14:paraId="568FFE60" w14:textId="77777777" w:rsidR="00073937" w:rsidRPr="00650C72" w:rsidRDefault="00073937" w:rsidP="00073937">
      <w:pPr>
        <w:spacing w:before="100" w:beforeAutospacing="1" w:after="100" w:afterAutospacing="1"/>
        <w:jc w:val="center"/>
        <w:rPr>
          <w:rFonts w:ascii="Amiri" w:hAnsi="Amiri" w:cs="Amiri"/>
          <w:b/>
          <w:bCs/>
          <w:color w:val="000000" w:themeColor="text1"/>
          <w:sz w:val="36"/>
          <w:szCs w:val="36"/>
          <w:rtl/>
          <w:lang w:bidi="ar-EG"/>
        </w:rPr>
      </w:pPr>
      <w:r w:rsidRPr="00650C72">
        <w:rPr>
          <w:rFonts w:ascii="Amiri" w:hAnsi="Amiri" w:cs="Amiri"/>
          <w:b/>
          <w:bCs/>
          <w:color w:val="000000" w:themeColor="text1"/>
          <w:sz w:val="36"/>
          <w:szCs w:val="36"/>
          <w:rtl/>
          <w:lang w:bidi="ar-EG"/>
        </w:rPr>
        <w:t>أهدي هذه الصفحات،</w:t>
      </w:r>
    </w:p>
    <w:p w14:paraId="6D1E9572" w14:textId="77777777" w:rsidR="00073937" w:rsidRPr="00650C72" w:rsidRDefault="00073937" w:rsidP="00073937">
      <w:pPr>
        <w:spacing w:before="100" w:beforeAutospacing="1" w:after="100" w:afterAutospacing="1"/>
        <w:jc w:val="center"/>
        <w:rPr>
          <w:rFonts w:cs="Calibri"/>
          <w:color w:val="000000" w:themeColor="text1"/>
          <w:sz w:val="28"/>
          <w:szCs w:val="28"/>
          <w:rtl/>
          <w:lang w:bidi="ar-EG"/>
        </w:rPr>
      </w:pPr>
      <w:r w:rsidRPr="00650C72">
        <w:rPr>
          <w:rFonts w:ascii="Amiri" w:hAnsi="Amiri" w:cs="Amiri"/>
          <w:b/>
          <w:bCs/>
          <w:color w:val="000000" w:themeColor="text1"/>
          <w:sz w:val="36"/>
          <w:szCs w:val="36"/>
          <w:rtl/>
          <w:lang w:bidi="ar-EG"/>
        </w:rPr>
        <w:t>تقديرًا لقيمة العلم، وإيمانًا بدوره في خدمة الإنسان والمجتمع.</w:t>
      </w:r>
    </w:p>
    <w:p w14:paraId="2CC3D119"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142ECBF" w14:textId="77777777" w:rsidR="00073937" w:rsidRPr="00650C72" w:rsidRDefault="00073937"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F8102CC" w14:textId="13553AC8" w:rsidR="00073937" w:rsidRPr="00650C72" w:rsidRDefault="00073937">
      <w:pPr>
        <w:bidi w:val="0"/>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br w:type="page"/>
      </w:r>
    </w:p>
    <w:p w14:paraId="081958CA" w14:textId="16C4B921" w:rsidR="00073937" w:rsidRPr="00650C72" w:rsidRDefault="00073937" w:rsidP="0007393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2" w:name="_Toc234796412"/>
      <w:r w:rsidRPr="00650C72">
        <w:rPr>
          <w:rFonts w:eastAsiaTheme="majorEastAsia" w:cs="Sakkal Majalla"/>
          <w:b/>
          <w:bCs/>
          <w:noProof/>
          <w:color w:val="000000" w:themeColor="text1"/>
          <w:sz w:val="32"/>
          <w:szCs w:val="32"/>
        </w:rPr>
        <w:lastRenderedPageBreak/>
        <w:drawing>
          <wp:anchor distT="0" distB="0" distL="114300" distR="114300" simplePos="0" relativeHeight="251693056" behindDoc="0" locked="0" layoutInCell="1" allowOverlap="1" wp14:anchorId="7CBF5975" wp14:editId="758B075D">
            <wp:simplePos x="0" y="0"/>
            <wp:positionH relativeFrom="page">
              <wp:posOffset>2673350</wp:posOffset>
            </wp:positionH>
            <wp:positionV relativeFrom="paragraph">
              <wp:posOffset>-84455</wp:posOffset>
            </wp:positionV>
            <wp:extent cx="1999342" cy="952500"/>
            <wp:effectExtent l="0" t="0" r="127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9342" cy="952500"/>
                    </a:xfrm>
                    <a:prstGeom prst="rect">
                      <a:avLst/>
                    </a:prstGeom>
                    <a:noFill/>
                  </pic:spPr>
                </pic:pic>
              </a:graphicData>
            </a:graphic>
            <wp14:sizeRelH relativeFrom="page">
              <wp14:pctWidth>0</wp14:pctWidth>
            </wp14:sizeRelH>
            <wp14:sizeRelV relativeFrom="page">
              <wp14:pctHeight>0</wp14:pctHeight>
            </wp14:sizeRelV>
          </wp:anchor>
        </w:drawing>
      </w:r>
      <w:r w:rsidRPr="00650C72">
        <w:rPr>
          <w:rFonts w:ascii="Simplified Arabic" w:hAnsi="Simplified Arabic" w:cs="Simplified Arabic" w:hint="cs"/>
          <w:b/>
          <w:bCs/>
          <w:color w:val="000000" w:themeColor="text1"/>
          <w:sz w:val="40"/>
          <w:szCs w:val="40"/>
          <w:rtl/>
          <w:lang w:bidi="ar-EG"/>
        </w:rPr>
        <w:t>الشكر والتقدير</w:t>
      </w:r>
      <w:bookmarkEnd w:id="2"/>
    </w:p>
    <w:p w14:paraId="2BC571DE" w14:textId="78D176BA" w:rsidR="00073937" w:rsidRPr="00650C72" w:rsidRDefault="00073937" w:rsidP="00073937">
      <w:pPr>
        <w:rPr>
          <w:color w:val="000000" w:themeColor="text1"/>
        </w:rPr>
      </w:pPr>
    </w:p>
    <w:p w14:paraId="50AE1023" w14:textId="77777777" w:rsidR="00073937" w:rsidRPr="00650C72" w:rsidRDefault="00073937" w:rsidP="00073937">
      <w:pPr>
        <w:spacing w:line="360" w:lineRule="auto"/>
        <w:jc w:val="center"/>
        <w:rPr>
          <w:rFonts w:cs="Sakkal Majalla"/>
          <w:b/>
          <w:bCs/>
          <w:color w:val="000000" w:themeColor="text1"/>
          <w:sz w:val="36"/>
          <w:szCs w:val="36"/>
          <w:rtl/>
        </w:rPr>
      </w:pPr>
      <w:r w:rsidRPr="00650C72">
        <w:rPr>
          <w:rFonts w:cs="Sakkal Majalla" w:hint="cs"/>
          <w:b/>
          <w:bCs/>
          <w:color w:val="000000" w:themeColor="text1"/>
          <w:sz w:val="36"/>
          <w:szCs w:val="36"/>
          <w:rtl/>
        </w:rPr>
        <w:t>نحمد الله عز وجل الذي وفقنا في إتمام هذا البحث العلمي،</w:t>
      </w:r>
    </w:p>
    <w:p w14:paraId="40ADFB49" w14:textId="77777777" w:rsidR="00073937" w:rsidRPr="00650C72" w:rsidRDefault="00073937" w:rsidP="00073937">
      <w:pPr>
        <w:spacing w:line="360" w:lineRule="auto"/>
        <w:jc w:val="center"/>
        <w:rPr>
          <w:rFonts w:cs="Sakkal Majalla"/>
          <w:b/>
          <w:bCs/>
          <w:color w:val="000000" w:themeColor="text1"/>
          <w:sz w:val="36"/>
          <w:szCs w:val="36"/>
          <w:rtl/>
        </w:rPr>
      </w:pPr>
      <w:r w:rsidRPr="00650C72">
        <w:rPr>
          <w:rFonts w:cs="Sakkal Majalla" w:hint="cs"/>
          <w:b/>
          <w:bCs/>
          <w:color w:val="000000" w:themeColor="text1"/>
          <w:sz w:val="36"/>
          <w:szCs w:val="36"/>
          <w:rtl/>
        </w:rPr>
        <w:t xml:space="preserve"> والذي ألهمنا الصحة والعافية والعزيمة.</w:t>
      </w:r>
    </w:p>
    <w:p w14:paraId="6D8E00ED" w14:textId="77777777" w:rsidR="00073937" w:rsidRPr="00650C72" w:rsidRDefault="00073937" w:rsidP="00073937">
      <w:pPr>
        <w:spacing w:line="360" w:lineRule="auto"/>
        <w:jc w:val="center"/>
        <w:rPr>
          <w:rFonts w:ascii="Aref Ruqaa" w:hAnsi="Aref Ruqaa" w:cs="Aref Ruqaa"/>
          <w:b/>
          <w:bCs/>
          <w:color w:val="000000" w:themeColor="text1"/>
          <w:sz w:val="32"/>
          <w:szCs w:val="32"/>
          <w:rtl/>
        </w:rPr>
      </w:pPr>
      <w:r w:rsidRPr="00650C72">
        <w:rPr>
          <w:rFonts w:ascii="Aref Ruqaa" w:hAnsi="Aref Ruqaa" w:cs="Aref Ruqaa" w:hint="cs"/>
          <w:b/>
          <w:bCs/>
          <w:color w:val="000000" w:themeColor="text1"/>
          <w:sz w:val="32"/>
          <w:szCs w:val="32"/>
          <w:rtl/>
        </w:rPr>
        <w:t>فالحمد لله حمدًا كثيرًا</w:t>
      </w:r>
    </w:p>
    <w:p w14:paraId="7BC66307" w14:textId="77777777" w:rsidR="00073937" w:rsidRPr="00650C72" w:rsidRDefault="00073937" w:rsidP="00073937">
      <w:pPr>
        <w:spacing w:line="360" w:lineRule="auto"/>
        <w:ind w:hanging="2"/>
        <w:jc w:val="center"/>
        <w:rPr>
          <w:rFonts w:cs="Sakkal Majalla"/>
          <w:b/>
          <w:bCs/>
          <w:color w:val="000000" w:themeColor="text1"/>
          <w:sz w:val="32"/>
          <w:szCs w:val="32"/>
          <w:rtl/>
        </w:rPr>
      </w:pPr>
      <w:r w:rsidRPr="00650C72">
        <w:rPr>
          <w:rFonts w:cs="Sakkal Majalla" w:hint="cs"/>
          <w:b/>
          <w:bCs/>
          <w:color w:val="000000" w:themeColor="text1"/>
          <w:sz w:val="32"/>
          <w:szCs w:val="32"/>
          <w:rtl/>
        </w:rPr>
        <w:t>نتقدم بجزيل الشكر والتقدير إلي الأستاذ الدكتور /</w:t>
      </w:r>
    </w:p>
    <w:p w14:paraId="04D20925" w14:textId="77777777" w:rsidR="00073937" w:rsidRPr="00650C72" w:rsidRDefault="00073937" w:rsidP="00073937">
      <w:pPr>
        <w:spacing w:line="360" w:lineRule="auto"/>
        <w:ind w:hanging="1"/>
        <w:jc w:val="center"/>
        <w:rPr>
          <w:rFonts w:cs="Sakkal Majalla"/>
          <w:b/>
          <w:bCs/>
          <w:color w:val="000000" w:themeColor="text1"/>
          <w:sz w:val="32"/>
          <w:szCs w:val="32"/>
          <w:rtl/>
        </w:rPr>
      </w:pPr>
      <w:r w:rsidRPr="00650C72">
        <w:rPr>
          <w:rFonts w:cs="Sakkal Majalla" w:hint="cs"/>
          <w:b/>
          <w:bCs/>
          <w:color w:val="000000" w:themeColor="text1"/>
          <w:sz w:val="32"/>
          <w:szCs w:val="32"/>
          <w:rtl/>
        </w:rPr>
        <w:t>د. الفيصل عبد الحميد</w:t>
      </w:r>
    </w:p>
    <w:p w14:paraId="08B57ED3" w14:textId="77777777" w:rsidR="00073937" w:rsidRPr="00650C72" w:rsidRDefault="00073937" w:rsidP="00073937">
      <w:pPr>
        <w:spacing w:line="360" w:lineRule="auto"/>
        <w:ind w:hanging="1"/>
        <w:jc w:val="center"/>
        <w:rPr>
          <w:rFonts w:cs="Sakkal Majalla"/>
          <w:b/>
          <w:bCs/>
          <w:color w:val="000000" w:themeColor="text1"/>
          <w:sz w:val="32"/>
          <w:szCs w:val="32"/>
          <w:rtl/>
        </w:rPr>
      </w:pPr>
      <w:r w:rsidRPr="00650C72">
        <w:rPr>
          <w:rFonts w:cs="Sakkal Majalla" w:hint="cs"/>
          <w:b/>
          <w:bCs/>
          <w:color w:val="000000" w:themeColor="text1"/>
          <w:sz w:val="32"/>
          <w:szCs w:val="32"/>
          <w:rtl/>
        </w:rPr>
        <w:t>د. فايز جراد</w:t>
      </w:r>
    </w:p>
    <w:p w14:paraId="35CF28D7" w14:textId="77777777" w:rsidR="00073937" w:rsidRPr="00650C72" w:rsidRDefault="00073937" w:rsidP="00073937">
      <w:pPr>
        <w:spacing w:line="360" w:lineRule="auto"/>
        <w:ind w:firstLine="424"/>
        <w:jc w:val="both"/>
        <w:rPr>
          <w:rFonts w:cs="Sakkal Majalla"/>
          <w:b/>
          <w:bCs/>
          <w:color w:val="000000" w:themeColor="text1"/>
          <w:sz w:val="32"/>
          <w:szCs w:val="32"/>
          <w:rtl/>
        </w:rPr>
      </w:pPr>
      <w:r w:rsidRPr="00650C72">
        <w:rPr>
          <w:rFonts w:cs="Sakkal Majalla" w:hint="cs"/>
          <w:b/>
          <w:bCs/>
          <w:color w:val="000000" w:themeColor="text1"/>
          <w:sz w:val="32"/>
          <w:szCs w:val="32"/>
          <w:rtl/>
        </w:rPr>
        <w:t>على كل ما قدماه لنا من توجيهات ومعلومات قيمة ساهمت في إثراء موضوع دراستنا في جوانبها المختلفة.</w:t>
      </w:r>
    </w:p>
    <w:p w14:paraId="675E7ED2" w14:textId="77777777" w:rsidR="00073937" w:rsidRPr="00650C72" w:rsidRDefault="00073937" w:rsidP="00073937">
      <w:pPr>
        <w:spacing w:line="360" w:lineRule="auto"/>
        <w:ind w:firstLine="424"/>
        <w:jc w:val="both"/>
        <w:rPr>
          <w:rFonts w:cs="Sakkal Majalla"/>
          <w:b/>
          <w:bCs/>
          <w:color w:val="000000" w:themeColor="text1"/>
          <w:sz w:val="32"/>
          <w:szCs w:val="32"/>
          <w:rtl/>
        </w:rPr>
      </w:pPr>
      <w:r w:rsidRPr="00650C72">
        <w:rPr>
          <w:rFonts w:cs="Sakkal Majalla" w:hint="cs"/>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2F341967" w14:textId="77777777" w:rsidR="00073937" w:rsidRPr="00650C72" w:rsidRDefault="00073937" w:rsidP="00073937">
      <w:pPr>
        <w:spacing w:line="360" w:lineRule="auto"/>
        <w:ind w:firstLine="424"/>
        <w:jc w:val="both"/>
        <w:rPr>
          <w:rFonts w:cs="Sakkal Majalla"/>
          <w:b/>
          <w:bCs/>
          <w:color w:val="000000" w:themeColor="text1"/>
          <w:sz w:val="32"/>
          <w:szCs w:val="32"/>
          <w:rtl/>
        </w:rPr>
      </w:pPr>
      <w:r w:rsidRPr="00650C72">
        <w:rPr>
          <w:rFonts w:cs="Sakkal Majalla" w:hint="cs"/>
          <w:b/>
          <w:bCs/>
          <w:color w:val="000000" w:themeColor="text1"/>
          <w:sz w:val="32"/>
          <w:szCs w:val="32"/>
          <w:rtl/>
        </w:rPr>
        <w:t>كما أتقدم بالشكر الجزيل لكل من لم يسعني الحظ بذكر أسمائهم راجيًا من المولي عز وجل أن تكون هذه الدراسة نافذة لدراسات أخري .</w:t>
      </w:r>
    </w:p>
    <w:p w14:paraId="180DF608" w14:textId="77777777" w:rsidR="0088241C" w:rsidRPr="00650C72" w:rsidRDefault="0088241C">
      <w:pPr>
        <w:bidi w:val="0"/>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br w:type="page"/>
      </w:r>
    </w:p>
    <w:p w14:paraId="6AA45FBB" w14:textId="77777777" w:rsidR="0088241C" w:rsidRPr="00650C72" w:rsidRDefault="0088241C" w:rsidP="0088241C">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3" w:name="_Toc234796413"/>
      <w:r w:rsidRPr="00650C72">
        <w:rPr>
          <w:rFonts w:ascii="Simplified Arabic" w:eastAsia="Times New Roman" w:hAnsi="Simplified Arabic" w:cs="Simplified Arabic"/>
          <w:b/>
          <w:bCs/>
          <w:color w:val="000000" w:themeColor="text1"/>
          <w:kern w:val="0"/>
          <w:sz w:val="40"/>
          <w:szCs w:val="40"/>
          <w:rtl/>
          <w14:ligatures w14:val="none"/>
        </w:rPr>
        <w:lastRenderedPageBreak/>
        <w:t>المستخلص</w:t>
      </w:r>
      <w:bookmarkEnd w:id="3"/>
    </w:p>
    <w:p w14:paraId="3EF96612"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قياس أثر استخدام أدوات الذكاء الاصطناعي في التقييم العقاري بأبعادها الأربعة (التحليلات التنبؤية للأسعار، ونماذج التقييم الآلي، وتحليل البيانات الضخمة العقارية، وأنظمة دعم القرار الذكية) على جودة القرار الاستثماري في شركات التطوير والاستثمار العقاري بالمملكة العربية السعودية. واعتمدت الدراسة المنهج الوصفي التحليلي، وطبّقت الاستبانة أداةً لجمع البيانات على عينة عشوائية طبقية نسبية قوامها (355) مفردة من المديرين التنفيذيين ومديري الاستثمار ومديري التقييم العقاري ومحللي الاستثمار والمقيّمين العقاريين المعتمدين العاملين في شركات التطوير العقاري بمدينة الرياض. وجرى التحقق من صدق الأداة وثباتها عبر الصدق الظاهري وصدق الاتساق الداخلي ومصفوفة الارتباط ومعامل ألفا كرونباخ الذي بلغ للأداة ككل (0.927). وحُلّلت البيانات باستخدام برنامج</w:t>
      </w:r>
      <w:r w:rsidRPr="00650C72">
        <w:rPr>
          <w:rFonts w:ascii="Simplified Arabic" w:eastAsia="Times New Roman" w:hAnsi="Simplified Arabic" w:cs="Simplified Arabic"/>
          <w:color w:val="000000" w:themeColor="text1"/>
          <w:kern w:val="0"/>
          <w:sz w:val="28"/>
          <w:szCs w:val="28"/>
          <w14:ligatures w14:val="none"/>
        </w:rPr>
        <w:t xml:space="preserve"> (SPSS) </w:t>
      </w:r>
      <w:r w:rsidRPr="00650C72">
        <w:rPr>
          <w:rFonts w:ascii="Simplified Arabic" w:eastAsia="Times New Roman" w:hAnsi="Simplified Arabic" w:cs="Simplified Arabic"/>
          <w:color w:val="000000" w:themeColor="text1"/>
          <w:kern w:val="0"/>
          <w:sz w:val="28"/>
          <w:szCs w:val="28"/>
          <w:rtl/>
          <w14:ligatures w14:val="none"/>
        </w:rPr>
        <w:t>عبر المتوسطات الحسابية والانحرافات المعيارية وتحليل الانحدار البسيط والمتعدد. وتوصّلت الدراسة إلى وجود مستوى مرتفع من توظيف أدوات الذكاء الاصطناعي في التقييم العقاري، وإلى وجود أثر ذي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لأبعاد المتغير المستقل مجتمعة على جودة القرار الاستثماري، إذ بلغ معامل التحديد (0.780)، وجاء بُعد أنظمة دعم القرار الذكية في المرتبة الأولى من حيث قوة التأثير، تلاه نماذج التقييم الآلي، فتحليل البيانات الضخمة، فالتحليلات التنبؤية للأسعار. وأوصت الدراسة بتعزيز الاستثمار في البنية التحتية للبيانات العقارية، وتطوير أنظمة دعم القرار داخل الشركات، وبناء برامج تدريبية متخصصة، وتبنّي منهجية التقييم متعدد الوسائط، وتعزيز التكامل بين الحكم البشري ومخرجات الأنظمة الذكية</w:t>
      </w:r>
      <w:r w:rsidRPr="00650C72">
        <w:rPr>
          <w:rFonts w:ascii="Simplified Arabic" w:eastAsia="Times New Roman" w:hAnsi="Simplified Arabic" w:cs="Simplified Arabic"/>
          <w:color w:val="000000" w:themeColor="text1"/>
          <w:kern w:val="0"/>
          <w:sz w:val="28"/>
          <w:szCs w:val="28"/>
          <w14:ligatures w14:val="none"/>
        </w:rPr>
        <w:t>.</w:t>
      </w:r>
    </w:p>
    <w:p w14:paraId="00CD91EA"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الكلمات المفتاحية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الذكاء الاصطناعي، التقييم العقاري، جودة القرار الاستثماري، التحليلات التنبؤية، نماذج التقييم الآلي، البيانات الضخمة، أنظمة دعم القرار، المملكة العربية السعودية</w:t>
      </w:r>
      <w:r w:rsidRPr="00650C72">
        <w:rPr>
          <w:rFonts w:ascii="Simplified Arabic" w:eastAsia="Times New Roman" w:hAnsi="Simplified Arabic" w:cs="Simplified Arabic"/>
          <w:color w:val="000000" w:themeColor="text1"/>
          <w:kern w:val="0"/>
          <w:sz w:val="28"/>
          <w:szCs w:val="28"/>
          <w14:ligatures w14:val="none"/>
        </w:rPr>
        <w:t>.</w:t>
      </w:r>
    </w:p>
    <w:p w14:paraId="73471507" w14:textId="77777777" w:rsidR="0088241C" w:rsidRPr="00650C72" w:rsidRDefault="0088241C">
      <w:pPr>
        <w:bidi w:val="0"/>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br w:type="page"/>
      </w:r>
    </w:p>
    <w:p w14:paraId="62AF4C92" w14:textId="77777777" w:rsidR="0088241C" w:rsidRPr="00650C72" w:rsidRDefault="0088241C" w:rsidP="0088241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4" w:name="_Toc234796414"/>
      <w:r w:rsidRPr="00650C72">
        <w:rPr>
          <w:rFonts w:ascii="Simplified Arabic" w:hAnsi="Simplified Arabic" w:cs="Simplified Arabic" w:hint="cs"/>
          <w:b/>
          <w:bCs/>
          <w:color w:val="000000" w:themeColor="text1"/>
          <w:sz w:val="40"/>
          <w:szCs w:val="40"/>
          <w:rtl/>
          <w:lang w:bidi="ar-EG"/>
        </w:rPr>
        <w:lastRenderedPageBreak/>
        <w:t>قائمة المحتويات</w:t>
      </w:r>
      <w:bookmarkEnd w:id="4"/>
    </w:p>
    <w:sdt>
      <w:sdtPr>
        <w:rPr>
          <w:rFonts w:ascii="Simplified Arabic" w:hAnsi="Simplified Arabic" w:cs="Simplified Arabic"/>
          <w:b/>
          <w:bCs/>
          <w:color w:val="000000" w:themeColor="text1"/>
          <w:sz w:val="28"/>
          <w:szCs w:val="28"/>
        </w:rPr>
        <w:id w:val="962769599"/>
        <w:docPartObj>
          <w:docPartGallery w:val="Table of Contents"/>
          <w:docPartUnique/>
        </w:docPartObj>
      </w:sdtPr>
      <w:sdtEndPr>
        <w:rPr>
          <w:rFonts w:eastAsiaTheme="minorHAnsi"/>
          <w:noProof/>
          <w:kern w:val="2"/>
          <w:rtl/>
          <w14:ligatures w14:val="standardContextual"/>
        </w:rPr>
      </w:sdtEndPr>
      <w:sdtContent>
        <w:p w14:paraId="7F5C47C5" w14:textId="43A3E717" w:rsidR="000851CB" w:rsidRPr="00650C72" w:rsidRDefault="000851CB" w:rsidP="000851CB">
          <w:pPr>
            <w:pStyle w:val="TOCHeading"/>
            <w:spacing w:line="240" w:lineRule="auto"/>
            <w:rPr>
              <w:rFonts w:ascii="Simplified Arabic" w:hAnsi="Simplified Arabic" w:cs="Simplified Arabic"/>
              <w:b/>
              <w:bCs/>
              <w:color w:val="000000" w:themeColor="text1"/>
              <w:sz w:val="2"/>
              <w:szCs w:val="2"/>
            </w:rPr>
          </w:pPr>
        </w:p>
        <w:p w14:paraId="1E764652"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650C72">
            <w:rPr>
              <w:rFonts w:ascii="Simplified Arabic" w:hAnsi="Simplified Arabic" w:cs="Simplified Arabic"/>
              <w:b/>
              <w:bCs/>
              <w:color w:val="000000" w:themeColor="text1"/>
              <w:sz w:val="28"/>
              <w:szCs w:val="28"/>
            </w:rPr>
            <w:fldChar w:fldCharType="begin"/>
          </w:r>
          <w:r w:rsidRPr="00650C72">
            <w:rPr>
              <w:rFonts w:ascii="Simplified Arabic" w:hAnsi="Simplified Arabic" w:cs="Simplified Arabic"/>
              <w:b/>
              <w:bCs/>
              <w:color w:val="000000" w:themeColor="text1"/>
              <w:sz w:val="28"/>
              <w:szCs w:val="28"/>
            </w:rPr>
            <w:instrText xml:space="preserve"> TOC \o "1-3" \h \z \u </w:instrText>
          </w:r>
          <w:r w:rsidRPr="00650C72">
            <w:rPr>
              <w:rFonts w:ascii="Simplified Arabic" w:hAnsi="Simplified Arabic" w:cs="Simplified Arabic"/>
              <w:b/>
              <w:bCs/>
              <w:color w:val="000000" w:themeColor="text1"/>
              <w:sz w:val="28"/>
              <w:szCs w:val="28"/>
            </w:rPr>
            <w:fldChar w:fldCharType="separate"/>
          </w:r>
          <w:hyperlink w:anchor="_Toc234796410" w:history="1">
            <w:r w:rsidRPr="00650C72">
              <w:rPr>
                <w:rStyle w:val="Hyperlink"/>
                <w:rFonts w:ascii="Simplified Arabic" w:hAnsi="Simplified Arabic" w:cs="Simplified Arabic"/>
                <w:b/>
                <w:bCs/>
                <w:noProof/>
                <w:color w:val="000000" w:themeColor="text1"/>
                <w:sz w:val="28"/>
                <w:szCs w:val="28"/>
                <w:rtl/>
                <w:lang w:bidi="ar-EG"/>
              </w:rPr>
              <w:t>بسم الله الرحمن الرحيم</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‌أ</w:t>
            </w:r>
            <w:r w:rsidRPr="00650C72">
              <w:rPr>
                <w:rFonts w:ascii="Simplified Arabic" w:hAnsi="Simplified Arabic" w:cs="Simplified Arabic"/>
                <w:b/>
                <w:bCs/>
                <w:noProof/>
                <w:webHidden/>
                <w:color w:val="000000" w:themeColor="text1"/>
                <w:sz w:val="28"/>
                <w:szCs w:val="28"/>
                <w:rtl/>
              </w:rPr>
              <w:fldChar w:fldCharType="end"/>
            </w:r>
          </w:hyperlink>
        </w:p>
        <w:p w14:paraId="3A747681"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1" w:history="1">
            <w:r w:rsidRPr="00650C72">
              <w:rPr>
                <w:rStyle w:val="Hyperlink"/>
                <w:rFonts w:ascii="Simplified Arabic" w:hAnsi="Simplified Arabic" w:cs="Simplified Arabic"/>
                <w:b/>
                <w:bCs/>
                <w:noProof/>
                <w:color w:val="000000" w:themeColor="text1"/>
                <w:sz w:val="28"/>
                <w:szCs w:val="28"/>
                <w:rtl/>
                <w:lang w:bidi="ar-EG"/>
              </w:rPr>
              <w:t>الإهداء</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‌ب</w:t>
            </w:r>
            <w:r w:rsidRPr="00650C72">
              <w:rPr>
                <w:rFonts w:ascii="Simplified Arabic" w:hAnsi="Simplified Arabic" w:cs="Simplified Arabic"/>
                <w:b/>
                <w:bCs/>
                <w:noProof/>
                <w:webHidden/>
                <w:color w:val="000000" w:themeColor="text1"/>
                <w:sz w:val="28"/>
                <w:szCs w:val="28"/>
                <w:rtl/>
              </w:rPr>
              <w:fldChar w:fldCharType="end"/>
            </w:r>
          </w:hyperlink>
        </w:p>
        <w:p w14:paraId="20F30DFA"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2" w:history="1">
            <w:r w:rsidRPr="00650C72">
              <w:rPr>
                <w:rStyle w:val="Hyperlink"/>
                <w:rFonts w:ascii="Simplified Arabic" w:hAnsi="Simplified Arabic" w:cs="Simplified Arabic"/>
                <w:b/>
                <w:bCs/>
                <w:noProof/>
                <w:color w:val="000000" w:themeColor="text1"/>
                <w:sz w:val="28"/>
                <w:szCs w:val="28"/>
                <w:rtl/>
                <w:lang w:bidi="ar-EG"/>
              </w:rPr>
              <w:t>الشكر والتقدير</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‌ج</w:t>
            </w:r>
            <w:r w:rsidRPr="00650C72">
              <w:rPr>
                <w:rFonts w:ascii="Simplified Arabic" w:hAnsi="Simplified Arabic" w:cs="Simplified Arabic"/>
                <w:b/>
                <w:bCs/>
                <w:noProof/>
                <w:webHidden/>
                <w:color w:val="000000" w:themeColor="text1"/>
                <w:sz w:val="28"/>
                <w:szCs w:val="28"/>
                <w:rtl/>
              </w:rPr>
              <w:fldChar w:fldCharType="end"/>
            </w:r>
          </w:hyperlink>
        </w:p>
        <w:p w14:paraId="276C04DE"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3" w:history="1">
            <w:r w:rsidRPr="00650C72">
              <w:rPr>
                <w:rStyle w:val="Hyperlink"/>
                <w:rFonts w:ascii="Simplified Arabic" w:eastAsia="Times New Roman" w:hAnsi="Simplified Arabic" w:cs="Simplified Arabic"/>
                <w:b/>
                <w:bCs/>
                <w:noProof/>
                <w:color w:val="000000" w:themeColor="text1"/>
                <w:sz w:val="28"/>
                <w:szCs w:val="28"/>
                <w:rtl/>
              </w:rPr>
              <w:t>المستخلص</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‌د</w:t>
            </w:r>
            <w:r w:rsidRPr="00650C72">
              <w:rPr>
                <w:rFonts w:ascii="Simplified Arabic" w:hAnsi="Simplified Arabic" w:cs="Simplified Arabic"/>
                <w:b/>
                <w:bCs/>
                <w:noProof/>
                <w:webHidden/>
                <w:color w:val="000000" w:themeColor="text1"/>
                <w:sz w:val="28"/>
                <w:szCs w:val="28"/>
                <w:rtl/>
              </w:rPr>
              <w:fldChar w:fldCharType="end"/>
            </w:r>
          </w:hyperlink>
        </w:p>
        <w:p w14:paraId="76037257"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4" w:history="1">
            <w:r w:rsidRPr="00650C72">
              <w:rPr>
                <w:rStyle w:val="Hyperlink"/>
                <w:rFonts w:ascii="Simplified Arabic" w:hAnsi="Simplified Arabic" w:cs="Simplified Arabic"/>
                <w:b/>
                <w:bCs/>
                <w:noProof/>
                <w:color w:val="000000" w:themeColor="text1"/>
                <w:sz w:val="28"/>
                <w:szCs w:val="28"/>
                <w:rtl/>
                <w:lang w:bidi="ar-EG"/>
              </w:rPr>
              <w:t>قائمة المحتويات</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‌ه</w:t>
            </w:r>
            <w:r w:rsidRPr="00650C72">
              <w:rPr>
                <w:rFonts w:ascii="Simplified Arabic" w:hAnsi="Simplified Arabic" w:cs="Simplified Arabic"/>
                <w:b/>
                <w:bCs/>
                <w:noProof/>
                <w:webHidden/>
                <w:color w:val="000000" w:themeColor="text1"/>
                <w:sz w:val="28"/>
                <w:szCs w:val="28"/>
                <w:rtl/>
              </w:rPr>
              <w:fldChar w:fldCharType="end"/>
            </w:r>
          </w:hyperlink>
        </w:p>
        <w:p w14:paraId="7D466E8F"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5" w:history="1">
            <w:r w:rsidRPr="00650C72">
              <w:rPr>
                <w:rStyle w:val="Hyperlink"/>
                <w:rFonts w:ascii="Simplified Arabic" w:hAnsi="Simplified Arabic" w:cs="Simplified Arabic"/>
                <w:b/>
                <w:bCs/>
                <w:noProof/>
                <w:color w:val="000000" w:themeColor="text1"/>
                <w:sz w:val="28"/>
                <w:szCs w:val="28"/>
                <w:rtl/>
                <w:lang w:bidi="ar-EG"/>
              </w:rPr>
              <w:t>قائمة الجداول</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hint="eastAsia"/>
                <w:b/>
                <w:bCs/>
                <w:noProof/>
                <w:webHidden/>
                <w:color w:val="000000" w:themeColor="text1"/>
                <w:sz w:val="28"/>
                <w:szCs w:val="28"/>
                <w:rtl/>
              </w:rPr>
              <w:t>‌ح</w:t>
            </w:r>
            <w:r w:rsidRPr="00650C72">
              <w:rPr>
                <w:rFonts w:ascii="Simplified Arabic" w:hAnsi="Simplified Arabic" w:cs="Simplified Arabic"/>
                <w:b/>
                <w:bCs/>
                <w:noProof/>
                <w:webHidden/>
                <w:color w:val="000000" w:themeColor="text1"/>
                <w:sz w:val="28"/>
                <w:szCs w:val="28"/>
                <w:rtl/>
              </w:rPr>
              <w:fldChar w:fldCharType="end"/>
            </w:r>
          </w:hyperlink>
        </w:p>
        <w:p w14:paraId="120C6700"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6" w:history="1">
            <w:r w:rsidRPr="00650C72">
              <w:rPr>
                <w:rStyle w:val="Hyperlink"/>
                <w:rFonts w:ascii="Simplified Arabic" w:hAnsi="Simplified Arabic" w:cs="Simplified Arabic"/>
                <w:b/>
                <w:bCs/>
                <w:noProof/>
                <w:color w:val="000000" w:themeColor="text1"/>
                <w:sz w:val="28"/>
                <w:szCs w:val="28"/>
                <w:rtl/>
              </w:rPr>
              <w:t>الفصل الأول: الإطار العام للدراسة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Toc234796416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w:t>
            </w:r>
            <w:r w:rsidRPr="00650C72">
              <w:rPr>
                <w:rFonts w:ascii="Simplified Arabic" w:hAnsi="Simplified Arabic" w:cs="Simplified Arabic"/>
                <w:b/>
                <w:bCs/>
                <w:noProof/>
                <w:webHidden/>
                <w:color w:val="000000" w:themeColor="text1"/>
                <w:sz w:val="28"/>
                <w:szCs w:val="28"/>
                <w:rtl/>
              </w:rPr>
              <w:fldChar w:fldCharType="end"/>
            </w:r>
          </w:hyperlink>
        </w:p>
        <w:p w14:paraId="00D8390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7" w:history="1">
            <w:r w:rsidRPr="00650C72">
              <w:rPr>
                <w:rStyle w:val="Hyperlink"/>
                <w:rFonts w:ascii="Simplified Arabic" w:hAnsi="Simplified Arabic" w:cs="Simplified Arabic"/>
                <w:b/>
                <w:bCs/>
                <w:noProof/>
                <w:color w:val="000000" w:themeColor="text1"/>
                <w:sz w:val="28"/>
                <w:szCs w:val="28"/>
                <w:rtl/>
              </w:rPr>
              <w:t>1.1 المقدمة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Toc234796417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w:t>
            </w:r>
            <w:r w:rsidRPr="00650C72">
              <w:rPr>
                <w:rFonts w:ascii="Simplified Arabic" w:hAnsi="Simplified Arabic" w:cs="Simplified Arabic"/>
                <w:b/>
                <w:bCs/>
                <w:noProof/>
                <w:webHidden/>
                <w:color w:val="000000" w:themeColor="text1"/>
                <w:sz w:val="28"/>
                <w:szCs w:val="28"/>
                <w:rtl/>
              </w:rPr>
              <w:fldChar w:fldCharType="end"/>
            </w:r>
          </w:hyperlink>
        </w:p>
        <w:p w14:paraId="020F9237"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8" w:history="1">
            <w:r w:rsidRPr="00650C72">
              <w:rPr>
                <w:rStyle w:val="Hyperlink"/>
                <w:rFonts w:ascii="Simplified Arabic" w:hAnsi="Simplified Arabic" w:cs="Simplified Arabic"/>
                <w:b/>
                <w:bCs/>
                <w:noProof/>
                <w:color w:val="000000" w:themeColor="text1"/>
                <w:sz w:val="28"/>
                <w:szCs w:val="28"/>
                <w:rtl/>
              </w:rPr>
              <w:t>2.1 مشكلة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w:t>
            </w:r>
            <w:r w:rsidRPr="00650C72">
              <w:rPr>
                <w:rFonts w:ascii="Simplified Arabic" w:hAnsi="Simplified Arabic" w:cs="Simplified Arabic"/>
                <w:b/>
                <w:bCs/>
                <w:noProof/>
                <w:webHidden/>
                <w:color w:val="000000" w:themeColor="text1"/>
                <w:sz w:val="28"/>
                <w:szCs w:val="28"/>
                <w:rtl/>
              </w:rPr>
              <w:fldChar w:fldCharType="end"/>
            </w:r>
          </w:hyperlink>
        </w:p>
        <w:p w14:paraId="2A68F9F6"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19" w:history="1">
            <w:r w:rsidRPr="00650C72">
              <w:rPr>
                <w:rStyle w:val="Hyperlink"/>
                <w:rFonts w:ascii="Simplified Arabic" w:eastAsia="Times New Roman" w:hAnsi="Simplified Arabic" w:cs="Simplified Arabic"/>
                <w:b/>
                <w:bCs/>
                <w:noProof/>
                <w:color w:val="000000" w:themeColor="text1"/>
                <w:sz w:val="28"/>
                <w:szCs w:val="28"/>
                <w:rtl/>
              </w:rPr>
              <w:t>3.1 أهداف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Toc234796419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w:t>
            </w:r>
            <w:r w:rsidRPr="00650C72">
              <w:rPr>
                <w:rFonts w:ascii="Simplified Arabic" w:hAnsi="Simplified Arabic" w:cs="Simplified Arabic"/>
                <w:b/>
                <w:bCs/>
                <w:noProof/>
                <w:webHidden/>
                <w:color w:val="000000" w:themeColor="text1"/>
                <w:sz w:val="28"/>
                <w:szCs w:val="28"/>
                <w:rtl/>
              </w:rPr>
              <w:fldChar w:fldCharType="end"/>
            </w:r>
          </w:hyperlink>
        </w:p>
        <w:p w14:paraId="184A1744"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0" w:history="1">
            <w:r w:rsidRPr="00650C72">
              <w:rPr>
                <w:rStyle w:val="Hyperlink"/>
                <w:rFonts w:ascii="Simplified Arabic" w:eastAsia="Times New Roman" w:hAnsi="Simplified Arabic" w:cs="Simplified Arabic"/>
                <w:b/>
                <w:bCs/>
                <w:noProof/>
                <w:color w:val="000000" w:themeColor="text1"/>
                <w:sz w:val="28"/>
                <w:szCs w:val="28"/>
                <w:rtl/>
              </w:rPr>
              <w:t>4.1 أسئلة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w:t>
            </w:r>
            <w:r w:rsidRPr="00650C72">
              <w:rPr>
                <w:rFonts w:ascii="Simplified Arabic" w:hAnsi="Simplified Arabic" w:cs="Simplified Arabic"/>
                <w:b/>
                <w:bCs/>
                <w:noProof/>
                <w:webHidden/>
                <w:color w:val="000000" w:themeColor="text1"/>
                <w:sz w:val="28"/>
                <w:szCs w:val="28"/>
                <w:rtl/>
              </w:rPr>
              <w:fldChar w:fldCharType="end"/>
            </w:r>
          </w:hyperlink>
        </w:p>
        <w:p w14:paraId="6D6B3C1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1" w:history="1">
            <w:r w:rsidRPr="00650C72">
              <w:rPr>
                <w:rStyle w:val="Hyperlink"/>
                <w:rFonts w:ascii="Simplified Arabic" w:eastAsia="Times New Roman" w:hAnsi="Simplified Arabic" w:cs="Simplified Arabic"/>
                <w:b/>
                <w:bCs/>
                <w:noProof/>
                <w:color w:val="000000" w:themeColor="text1"/>
                <w:sz w:val="28"/>
                <w:szCs w:val="28"/>
                <w:rtl/>
              </w:rPr>
              <w:t>5.1 فرضيات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w:t>
            </w:r>
            <w:r w:rsidRPr="00650C72">
              <w:rPr>
                <w:rFonts w:ascii="Simplified Arabic" w:hAnsi="Simplified Arabic" w:cs="Simplified Arabic"/>
                <w:b/>
                <w:bCs/>
                <w:noProof/>
                <w:webHidden/>
                <w:color w:val="000000" w:themeColor="text1"/>
                <w:sz w:val="28"/>
                <w:szCs w:val="28"/>
                <w:rtl/>
              </w:rPr>
              <w:fldChar w:fldCharType="end"/>
            </w:r>
          </w:hyperlink>
        </w:p>
        <w:p w14:paraId="45EC4EC0"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2" w:history="1">
            <w:r w:rsidRPr="00650C72">
              <w:rPr>
                <w:rStyle w:val="Hyperlink"/>
                <w:rFonts w:ascii="Simplified Arabic" w:eastAsia="Times New Roman" w:hAnsi="Simplified Arabic" w:cs="Simplified Arabic"/>
                <w:b/>
                <w:bCs/>
                <w:noProof/>
                <w:color w:val="000000" w:themeColor="text1"/>
                <w:sz w:val="28"/>
                <w:szCs w:val="28"/>
                <w:rtl/>
              </w:rPr>
              <w:t>6.1 أهمية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w:t>
            </w:r>
            <w:r w:rsidRPr="00650C72">
              <w:rPr>
                <w:rFonts w:ascii="Simplified Arabic" w:hAnsi="Simplified Arabic" w:cs="Simplified Arabic"/>
                <w:b/>
                <w:bCs/>
                <w:noProof/>
                <w:webHidden/>
                <w:color w:val="000000" w:themeColor="text1"/>
                <w:sz w:val="28"/>
                <w:szCs w:val="28"/>
                <w:rtl/>
              </w:rPr>
              <w:fldChar w:fldCharType="end"/>
            </w:r>
          </w:hyperlink>
        </w:p>
        <w:p w14:paraId="1595F3A5"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3" w:history="1">
            <w:r w:rsidRPr="00650C72">
              <w:rPr>
                <w:rStyle w:val="Hyperlink"/>
                <w:rFonts w:ascii="Simplified Arabic" w:eastAsia="Times New Roman" w:hAnsi="Simplified Arabic" w:cs="Simplified Arabic"/>
                <w:b/>
                <w:bCs/>
                <w:noProof/>
                <w:color w:val="000000" w:themeColor="text1"/>
                <w:sz w:val="28"/>
                <w:szCs w:val="28"/>
                <w:rtl/>
              </w:rPr>
              <w:t>7.1 الدراسات السابقة: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6</w:t>
            </w:r>
            <w:r w:rsidRPr="00650C72">
              <w:rPr>
                <w:rFonts w:ascii="Simplified Arabic" w:hAnsi="Simplified Arabic" w:cs="Simplified Arabic"/>
                <w:b/>
                <w:bCs/>
                <w:noProof/>
                <w:webHidden/>
                <w:color w:val="000000" w:themeColor="text1"/>
                <w:sz w:val="28"/>
                <w:szCs w:val="28"/>
                <w:rtl/>
              </w:rPr>
              <w:fldChar w:fldCharType="end"/>
            </w:r>
          </w:hyperlink>
        </w:p>
        <w:p w14:paraId="34B0B6E4"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4" w:history="1">
            <w:r w:rsidRPr="00650C72">
              <w:rPr>
                <w:rStyle w:val="Hyperlink"/>
                <w:rFonts w:ascii="Simplified Arabic" w:hAnsi="Simplified Arabic" w:cs="Simplified Arabic"/>
                <w:b/>
                <w:bCs/>
                <w:noProof/>
                <w:color w:val="000000" w:themeColor="text1"/>
                <w:sz w:val="28"/>
                <w:szCs w:val="28"/>
                <w:rtl/>
              </w:rPr>
              <w:t>8.1 الفجوة البحثية: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13</w:t>
            </w:r>
            <w:r w:rsidRPr="00650C72">
              <w:rPr>
                <w:rFonts w:ascii="Simplified Arabic" w:hAnsi="Simplified Arabic" w:cs="Simplified Arabic"/>
                <w:b/>
                <w:bCs/>
                <w:noProof/>
                <w:webHidden/>
                <w:color w:val="000000" w:themeColor="text1"/>
                <w:sz w:val="28"/>
                <w:szCs w:val="28"/>
                <w:rtl/>
              </w:rPr>
              <w:fldChar w:fldCharType="end"/>
            </w:r>
          </w:hyperlink>
        </w:p>
        <w:p w14:paraId="7A651A46"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5" w:history="1">
            <w:r w:rsidRPr="00650C72">
              <w:rPr>
                <w:rStyle w:val="Hyperlink"/>
                <w:rFonts w:ascii="Simplified Arabic" w:eastAsia="Times New Roman" w:hAnsi="Simplified Arabic" w:cs="Simplified Arabic"/>
                <w:b/>
                <w:bCs/>
                <w:noProof/>
                <w:color w:val="000000" w:themeColor="text1"/>
                <w:sz w:val="28"/>
                <w:szCs w:val="28"/>
                <w:rtl/>
              </w:rPr>
              <w:t>9.1 المنطلقات النظرية للدراسة: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14</w:t>
            </w:r>
            <w:r w:rsidRPr="00650C72">
              <w:rPr>
                <w:rFonts w:ascii="Simplified Arabic" w:hAnsi="Simplified Arabic" w:cs="Simplified Arabic"/>
                <w:b/>
                <w:bCs/>
                <w:noProof/>
                <w:webHidden/>
                <w:color w:val="000000" w:themeColor="text1"/>
                <w:sz w:val="28"/>
                <w:szCs w:val="28"/>
                <w:rtl/>
              </w:rPr>
              <w:fldChar w:fldCharType="end"/>
            </w:r>
          </w:hyperlink>
        </w:p>
        <w:p w14:paraId="62D029F8"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8" w:history="1">
            <w:r w:rsidRPr="00650C72">
              <w:rPr>
                <w:rStyle w:val="Hyperlink"/>
                <w:rFonts w:ascii="Simplified Arabic" w:eastAsia="Times New Roman" w:hAnsi="Simplified Arabic" w:cs="Simplified Arabic"/>
                <w:b/>
                <w:bCs/>
                <w:noProof/>
                <w:color w:val="000000" w:themeColor="text1"/>
                <w:sz w:val="28"/>
                <w:szCs w:val="28"/>
                <w:rtl/>
              </w:rPr>
              <w:t>10.1 المنهجية وطرق البحث:</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16</w:t>
            </w:r>
            <w:r w:rsidRPr="00650C72">
              <w:rPr>
                <w:rFonts w:ascii="Simplified Arabic" w:hAnsi="Simplified Arabic" w:cs="Simplified Arabic"/>
                <w:b/>
                <w:bCs/>
                <w:noProof/>
                <w:webHidden/>
                <w:color w:val="000000" w:themeColor="text1"/>
                <w:sz w:val="28"/>
                <w:szCs w:val="28"/>
                <w:rtl/>
              </w:rPr>
              <w:fldChar w:fldCharType="end"/>
            </w:r>
          </w:hyperlink>
        </w:p>
        <w:p w14:paraId="66E703C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29" w:history="1">
            <w:r w:rsidRPr="00650C72">
              <w:rPr>
                <w:rStyle w:val="Hyperlink"/>
                <w:rFonts w:ascii="Simplified Arabic" w:eastAsia="Times New Roman" w:hAnsi="Simplified Arabic" w:cs="Simplified Arabic"/>
                <w:b/>
                <w:bCs/>
                <w:noProof/>
                <w:color w:val="000000" w:themeColor="text1"/>
                <w:sz w:val="28"/>
                <w:szCs w:val="28"/>
                <w:rtl/>
              </w:rPr>
              <w:t>11.1 مجتمع الدراسة وعينتها</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Toc234796429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17</w:t>
            </w:r>
            <w:r w:rsidRPr="00650C72">
              <w:rPr>
                <w:rFonts w:ascii="Simplified Arabic" w:hAnsi="Simplified Arabic" w:cs="Simplified Arabic"/>
                <w:b/>
                <w:bCs/>
                <w:noProof/>
                <w:webHidden/>
                <w:color w:val="000000" w:themeColor="text1"/>
                <w:sz w:val="28"/>
                <w:szCs w:val="28"/>
                <w:rtl/>
              </w:rPr>
              <w:fldChar w:fldCharType="end"/>
            </w:r>
          </w:hyperlink>
        </w:p>
        <w:p w14:paraId="4787FC32"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0" w:history="1">
            <w:r w:rsidRPr="00650C72">
              <w:rPr>
                <w:rStyle w:val="Hyperlink"/>
                <w:rFonts w:ascii="Simplified Arabic" w:eastAsia="Times New Roman" w:hAnsi="Simplified Arabic" w:cs="Simplified Arabic"/>
                <w:b/>
                <w:bCs/>
                <w:noProof/>
                <w:color w:val="000000" w:themeColor="text1"/>
                <w:sz w:val="28"/>
                <w:szCs w:val="28"/>
                <w:rtl/>
              </w:rPr>
              <w:t>12.1 مصادر جمع البيانات</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17</w:t>
            </w:r>
            <w:r w:rsidRPr="00650C72">
              <w:rPr>
                <w:rFonts w:ascii="Simplified Arabic" w:hAnsi="Simplified Arabic" w:cs="Simplified Arabic"/>
                <w:b/>
                <w:bCs/>
                <w:noProof/>
                <w:webHidden/>
                <w:color w:val="000000" w:themeColor="text1"/>
                <w:sz w:val="28"/>
                <w:szCs w:val="28"/>
                <w:rtl/>
              </w:rPr>
              <w:fldChar w:fldCharType="end"/>
            </w:r>
          </w:hyperlink>
        </w:p>
        <w:p w14:paraId="46E2F862"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1" w:history="1">
            <w:r w:rsidRPr="00650C72">
              <w:rPr>
                <w:rStyle w:val="Hyperlink"/>
                <w:rFonts w:ascii="Simplified Arabic" w:eastAsia="Times New Roman" w:hAnsi="Simplified Arabic" w:cs="Simplified Arabic"/>
                <w:b/>
                <w:bCs/>
                <w:noProof/>
                <w:color w:val="000000" w:themeColor="text1"/>
                <w:sz w:val="28"/>
                <w:szCs w:val="28"/>
                <w:rtl/>
              </w:rPr>
              <w:t>13.1 أداة الدراسة (الاستبانة)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18</w:t>
            </w:r>
            <w:r w:rsidRPr="00650C72">
              <w:rPr>
                <w:rFonts w:ascii="Simplified Arabic" w:hAnsi="Simplified Arabic" w:cs="Simplified Arabic"/>
                <w:b/>
                <w:bCs/>
                <w:noProof/>
                <w:webHidden/>
                <w:color w:val="000000" w:themeColor="text1"/>
                <w:sz w:val="28"/>
                <w:szCs w:val="28"/>
                <w:rtl/>
              </w:rPr>
              <w:fldChar w:fldCharType="end"/>
            </w:r>
          </w:hyperlink>
        </w:p>
        <w:p w14:paraId="0C5FA8DD"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2" w:history="1">
            <w:r w:rsidRPr="00650C72">
              <w:rPr>
                <w:rStyle w:val="Hyperlink"/>
                <w:rFonts w:ascii="Simplified Arabic" w:eastAsia="Times New Roman" w:hAnsi="Simplified Arabic" w:cs="Simplified Arabic"/>
                <w:b/>
                <w:bCs/>
                <w:noProof/>
                <w:color w:val="000000" w:themeColor="text1"/>
                <w:sz w:val="28"/>
                <w:szCs w:val="28"/>
                <w:rtl/>
              </w:rPr>
              <w:t>14.1 الأساليب الإحصائية المستخدمة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19</w:t>
            </w:r>
            <w:r w:rsidRPr="00650C72">
              <w:rPr>
                <w:rFonts w:ascii="Simplified Arabic" w:hAnsi="Simplified Arabic" w:cs="Simplified Arabic"/>
                <w:b/>
                <w:bCs/>
                <w:noProof/>
                <w:webHidden/>
                <w:color w:val="000000" w:themeColor="text1"/>
                <w:sz w:val="28"/>
                <w:szCs w:val="28"/>
                <w:rtl/>
              </w:rPr>
              <w:fldChar w:fldCharType="end"/>
            </w:r>
          </w:hyperlink>
        </w:p>
        <w:p w14:paraId="4CDDD0EB"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3" w:history="1">
            <w:r w:rsidRPr="00650C72">
              <w:rPr>
                <w:rStyle w:val="Hyperlink"/>
                <w:rFonts w:ascii="Simplified Arabic" w:eastAsia="Times New Roman" w:hAnsi="Simplified Arabic" w:cs="Simplified Arabic"/>
                <w:b/>
                <w:bCs/>
                <w:noProof/>
                <w:color w:val="000000" w:themeColor="text1"/>
                <w:sz w:val="28"/>
                <w:szCs w:val="28"/>
                <w:rtl/>
              </w:rPr>
              <w:t>15.1 حدود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19</w:t>
            </w:r>
            <w:r w:rsidRPr="00650C72">
              <w:rPr>
                <w:rFonts w:ascii="Simplified Arabic" w:hAnsi="Simplified Arabic" w:cs="Simplified Arabic"/>
                <w:b/>
                <w:bCs/>
                <w:noProof/>
                <w:webHidden/>
                <w:color w:val="000000" w:themeColor="text1"/>
                <w:sz w:val="28"/>
                <w:szCs w:val="28"/>
                <w:rtl/>
              </w:rPr>
              <w:fldChar w:fldCharType="end"/>
            </w:r>
          </w:hyperlink>
        </w:p>
        <w:p w14:paraId="74A4AEC5"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4" w:history="1">
            <w:r w:rsidRPr="00650C72">
              <w:rPr>
                <w:rStyle w:val="Hyperlink"/>
                <w:rFonts w:ascii="Simplified Arabic" w:eastAsia="Times New Roman" w:hAnsi="Simplified Arabic" w:cs="Simplified Arabic"/>
                <w:b/>
                <w:bCs/>
                <w:noProof/>
                <w:color w:val="000000" w:themeColor="text1"/>
                <w:sz w:val="28"/>
                <w:szCs w:val="28"/>
                <w:rtl/>
              </w:rPr>
              <w:t>الفصل الثاني: الإطار النظري للدراسة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21</w:t>
            </w:r>
            <w:r w:rsidRPr="00650C72">
              <w:rPr>
                <w:rFonts w:ascii="Simplified Arabic" w:hAnsi="Simplified Arabic" w:cs="Simplified Arabic"/>
                <w:b/>
                <w:bCs/>
                <w:noProof/>
                <w:webHidden/>
                <w:color w:val="000000" w:themeColor="text1"/>
                <w:sz w:val="28"/>
                <w:szCs w:val="28"/>
                <w:rtl/>
              </w:rPr>
              <w:fldChar w:fldCharType="end"/>
            </w:r>
          </w:hyperlink>
        </w:p>
        <w:p w14:paraId="6CD1AEE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5" w:history="1">
            <w:r w:rsidRPr="00650C72">
              <w:rPr>
                <w:rStyle w:val="Hyperlink"/>
                <w:rFonts w:ascii="Simplified Arabic" w:eastAsia="Times New Roman" w:hAnsi="Simplified Arabic" w:cs="Simplified Arabic"/>
                <w:b/>
                <w:bCs/>
                <w:noProof/>
                <w:color w:val="000000" w:themeColor="text1"/>
                <w:sz w:val="28"/>
                <w:szCs w:val="28"/>
                <w:rtl/>
              </w:rPr>
              <w:t>المبحث الأول: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21</w:t>
            </w:r>
            <w:r w:rsidRPr="00650C72">
              <w:rPr>
                <w:rFonts w:ascii="Simplified Arabic" w:hAnsi="Simplified Arabic" w:cs="Simplified Arabic"/>
                <w:b/>
                <w:bCs/>
                <w:noProof/>
                <w:webHidden/>
                <w:color w:val="000000" w:themeColor="text1"/>
                <w:sz w:val="28"/>
                <w:szCs w:val="28"/>
                <w:rtl/>
              </w:rPr>
              <w:fldChar w:fldCharType="end"/>
            </w:r>
          </w:hyperlink>
        </w:p>
        <w:p w14:paraId="432EDC8F"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6" w:history="1">
            <w:r w:rsidRPr="00650C72">
              <w:rPr>
                <w:rStyle w:val="Hyperlink"/>
                <w:rFonts w:ascii="Simplified Arabic" w:eastAsia="Times New Roman" w:hAnsi="Simplified Arabic" w:cs="Simplified Arabic"/>
                <w:b/>
                <w:bCs/>
                <w:noProof/>
                <w:color w:val="000000" w:themeColor="text1"/>
                <w:sz w:val="28"/>
                <w:szCs w:val="28"/>
                <w:rtl/>
              </w:rPr>
              <w:t>1.1.2 تمهيد</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Toc234796436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21</w:t>
            </w:r>
            <w:r w:rsidRPr="00650C72">
              <w:rPr>
                <w:rFonts w:ascii="Simplified Arabic" w:hAnsi="Simplified Arabic" w:cs="Simplified Arabic"/>
                <w:b/>
                <w:bCs/>
                <w:noProof/>
                <w:webHidden/>
                <w:color w:val="000000" w:themeColor="text1"/>
                <w:sz w:val="28"/>
                <w:szCs w:val="28"/>
                <w:rtl/>
              </w:rPr>
              <w:fldChar w:fldCharType="end"/>
            </w:r>
          </w:hyperlink>
        </w:p>
        <w:p w14:paraId="77D0264C"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7" w:history="1">
            <w:r w:rsidRPr="00650C72">
              <w:rPr>
                <w:rStyle w:val="Hyperlink"/>
                <w:rFonts w:ascii="Simplified Arabic" w:eastAsia="Times New Roman" w:hAnsi="Simplified Arabic" w:cs="Simplified Arabic"/>
                <w:b/>
                <w:bCs/>
                <w:noProof/>
                <w:color w:val="000000" w:themeColor="text1"/>
                <w:sz w:val="28"/>
                <w:szCs w:val="28"/>
                <w:rtl/>
              </w:rPr>
              <w:t>2.1.2 مفهوم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Toc234796437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21</w:t>
            </w:r>
            <w:r w:rsidRPr="00650C72">
              <w:rPr>
                <w:rFonts w:ascii="Simplified Arabic" w:hAnsi="Simplified Arabic" w:cs="Simplified Arabic"/>
                <w:b/>
                <w:bCs/>
                <w:noProof/>
                <w:webHidden/>
                <w:color w:val="000000" w:themeColor="text1"/>
                <w:sz w:val="28"/>
                <w:szCs w:val="28"/>
                <w:rtl/>
              </w:rPr>
              <w:fldChar w:fldCharType="end"/>
            </w:r>
          </w:hyperlink>
        </w:p>
        <w:p w14:paraId="075A3556"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8" w:history="1">
            <w:r w:rsidRPr="00650C72">
              <w:rPr>
                <w:rStyle w:val="Hyperlink"/>
                <w:rFonts w:ascii="Simplified Arabic" w:eastAsia="Times New Roman" w:hAnsi="Simplified Arabic" w:cs="Simplified Arabic"/>
                <w:b/>
                <w:bCs/>
                <w:noProof/>
                <w:color w:val="000000" w:themeColor="text1"/>
                <w:sz w:val="28"/>
                <w:szCs w:val="28"/>
                <w:rtl/>
              </w:rPr>
              <w:t>3.1.2 أهمية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23</w:t>
            </w:r>
            <w:r w:rsidRPr="00650C72">
              <w:rPr>
                <w:rFonts w:ascii="Simplified Arabic" w:hAnsi="Simplified Arabic" w:cs="Simplified Arabic"/>
                <w:b/>
                <w:bCs/>
                <w:noProof/>
                <w:webHidden/>
                <w:color w:val="000000" w:themeColor="text1"/>
                <w:sz w:val="28"/>
                <w:szCs w:val="28"/>
                <w:rtl/>
              </w:rPr>
              <w:fldChar w:fldCharType="end"/>
            </w:r>
          </w:hyperlink>
        </w:p>
        <w:p w14:paraId="2ABCE44F"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39" w:history="1">
            <w:r w:rsidRPr="00650C72">
              <w:rPr>
                <w:rStyle w:val="Hyperlink"/>
                <w:rFonts w:ascii="Simplified Arabic" w:eastAsia="Times New Roman" w:hAnsi="Simplified Arabic" w:cs="Simplified Arabic"/>
                <w:b/>
                <w:bCs/>
                <w:noProof/>
                <w:color w:val="000000" w:themeColor="text1"/>
                <w:sz w:val="28"/>
                <w:szCs w:val="28"/>
                <w:rtl/>
              </w:rPr>
              <w:t>4.1.2 أهداف توظيف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Toc234796439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25</w:t>
            </w:r>
            <w:r w:rsidRPr="00650C72">
              <w:rPr>
                <w:rFonts w:ascii="Simplified Arabic" w:hAnsi="Simplified Arabic" w:cs="Simplified Arabic"/>
                <w:b/>
                <w:bCs/>
                <w:noProof/>
                <w:webHidden/>
                <w:color w:val="000000" w:themeColor="text1"/>
                <w:sz w:val="28"/>
                <w:szCs w:val="28"/>
                <w:rtl/>
              </w:rPr>
              <w:fldChar w:fldCharType="end"/>
            </w:r>
          </w:hyperlink>
        </w:p>
        <w:p w14:paraId="2B8F69CA"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0" w:history="1">
            <w:r w:rsidRPr="00650C72">
              <w:rPr>
                <w:rStyle w:val="Hyperlink"/>
                <w:rFonts w:ascii="Simplified Arabic" w:eastAsia="Times New Roman" w:hAnsi="Simplified Arabic" w:cs="Simplified Arabic"/>
                <w:b/>
                <w:bCs/>
                <w:noProof/>
                <w:color w:val="000000" w:themeColor="text1"/>
                <w:sz w:val="28"/>
                <w:szCs w:val="28"/>
                <w:rtl/>
              </w:rPr>
              <w:t>5.1.2 أبعاد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27</w:t>
            </w:r>
            <w:r w:rsidRPr="00650C72">
              <w:rPr>
                <w:rFonts w:ascii="Simplified Arabic" w:hAnsi="Simplified Arabic" w:cs="Simplified Arabic"/>
                <w:b/>
                <w:bCs/>
                <w:noProof/>
                <w:webHidden/>
                <w:color w:val="000000" w:themeColor="text1"/>
                <w:sz w:val="28"/>
                <w:szCs w:val="28"/>
                <w:rtl/>
              </w:rPr>
              <w:fldChar w:fldCharType="end"/>
            </w:r>
          </w:hyperlink>
        </w:p>
        <w:p w14:paraId="37DA41FA"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1" w:history="1">
            <w:r w:rsidRPr="00650C72">
              <w:rPr>
                <w:rStyle w:val="Hyperlink"/>
                <w:rFonts w:ascii="Simplified Arabic" w:eastAsia="Times New Roman" w:hAnsi="Simplified Arabic" w:cs="Simplified Arabic"/>
                <w:b/>
                <w:bCs/>
                <w:noProof/>
                <w:color w:val="000000" w:themeColor="text1"/>
                <w:sz w:val="28"/>
                <w:szCs w:val="28"/>
                <w:rtl/>
              </w:rPr>
              <w:t>6.1.2 المداخل النظرية المفسِّرة لتوظيف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30</w:t>
            </w:r>
            <w:r w:rsidRPr="00650C72">
              <w:rPr>
                <w:rFonts w:ascii="Simplified Arabic" w:hAnsi="Simplified Arabic" w:cs="Simplified Arabic"/>
                <w:b/>
                <w:bCs/>
                <w:noProof/>
                <w:webHidden/>
                <w:color w:val="000000" w:themeColor="text1"/>
                <w:sz w:val="28"/>
                <w:szCs w:val="28"/>
                <w:rtl/>
              </w:rPr>
              <w:fldChar w:fldCharType="end"/>
            </w:r>
          </w:hyperlink>
        </w:p>
        <w:p w14:paraId="4B21D442"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2" w:history="1">
            <w:r w:rsidRPr="00650C72">
              <w:rPr>
                <w:rStyle w:val="Hyperlink"/>
                <w:rFonts w:ascii="Simplified Arabic" w:eastAsia="Times New Roman" w:hAnsi="Simplified Arabic" w:cs="Simplified Arabic"/>
                <w:b/>
                <w:bCs/>
                <w:noProof/>
                <w:color w:val="000000" w:themeColor="text1"/>
                <w:sz w:val="28"/>
                <w:szCs w:val="28"/>
                <w:rtl/>
              </w:rPr>
              <w:t>7.1.2 العوامل المؤثرة في نجاح توظيف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30</w:t>
            </w:r>
            <w:r w:rsidRPr="00650C72">
              <w:rPr>
                <w:rFonts w:ascii="Simplified Arabic" w:hAnsi="Simplified Arabic" w:cs="Simplified Arabic"/>
                <w:b/>
                <w:bCs/>
                <w:noProof/>
                <w:webHidden/>
                <w:color w:val="000000" w:themeColor="text1"/>
                <w:sz w:val="28"/>
                <w:szCs w:val="28"/>
                <w:rtl/>
              </w:rPr>
              <w:fldChar w:fldCharType="end"/>
            </w:r>
          </w:hyperlink>
        </w:p>
        <w:p w14:paraId="6BD8C9E8"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3" w:history="1">
            <w:r w:rsidRPr="00650C72">
              <w:rPr>
                <w:rStyle w:val="Hyperlink"/>
                <w:rFonts w:ascii="Simplified Arabic" w:eastAsia="Times New Roman" w:hAnsi="Simplified Arabic" w:cs="Simplified Arabic"/>
                <w:b/>
                <w:bCs/>
                <w:noProof/>
                <w:color w:val="000000" w:themeColor="text1"/>
                <w:sz w:val="28"/>
                <w:szCs w:val="28"/>
                <w:rtl/>
              </w:rPr>
              <w:t>8.1.2 تحديات توظيف أدوات الذكاء الاصطناعي في التقييم العقاري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31</w:t>
            </w:r>
            <w:r w:rsidRPr="00650C72">
              <w:rPr>
                <w:rFonts w:ascii="Simplified Arabic" w:hAnsi="Simplified Arabic" w:cs="Simplified Arabic"/>
                <w:b/>
                <w:bCs/>
                <w:noProof/>
                <w:webHidden/>
                <w:color w:val="000000" w:themeColor="text1"/>
                <w:sz w:val="28"/>
                <w:szCs w:val="28"/>
                <w:rtl/>
              </w:rPr>
              <w:fldChar w:fldCharType="end"/>
            </w:r>
          </w:hyperlink>
        </w:p>
        <w:p w14:paraId="76C6B2A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4" w:history="1">
            <w:r w:rsidRPr="00650C72">
              <w:rPr>
                <w:rStyle w:val="Hyperlink"/>
                <w:rFonts w:ascii="Simplified Arabic" w:eastAsia="Times New Roman" w:hAnsi="Simplified Arabic" w:cs="Simplified Arabic"/>
                <w:b/>
                <w:bCs/>
                <w:noProof/>
                <w:color w:val="000000" w:themeColor="text1"/>
                <w:sz w:val="28"/>
                <w:szCs w:val="28"/>
                <w:rtl/>
              </w:rPr>
              <w:t>المبحث الثاني: 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32</w:t>
            </w:r>
            <w:r w:rsidRPr="00650C72">
              <w:rPr>
                <w:rFonts w:ascii="Simplified Arabic" w:hAnsi="Simplified Arabic" w:cs="Simplified Arabic"/>
                <w:b/>
                <w:bCs/>
                <w:noProof/>
                <w:webHidden/>
                <w:color w:val="000000" w:themeColor="text1"/>
                <w:sz w:val="28"/>
                <w:szCs w:val="28"/>
                <w:rtl/>
              </w:rPr>
              <w:fldChar w:fldCharType="end"/>
            </w:r>
          </w:hyperlink>
        </w:p>
        <w:p w14:paraId="3FBFB350"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5" w:history="1">
            <w:r w:rsidRPr="00650C72">
              <w:rPr>
                <w:rStyle w:val="Hyperlink"/>
                <w:rFonts w:ascii="Simplified Arabic" w:eastAsia="Times New Roman" w:hAnsi="Simplified Arabic" w:cs="Simplified Arabic"/>
                <w:b/>
                <w:bCs/>
                <w:noProof/>
                <w:color w:val="000000" w:themeColor="text1"/>
                <w:sz w:val="28"/>
                <w:szCs w:val="28"/>
                <w:rtl/>
              </w:rPr>
              <w:t>1.2.2 تمهيد</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32</w:t>
            </w:r>
            <w:r w:rsidRPr="00650C72">
              <w:rPr>
                <w:rFonts w:ascii="Simplified Arabic" w:hAnsi="Simplified Arabic" w:cs="Simplified Arabic"/>
                <w:b/>
                <w:bCs/>
                <w:noProof/>
                <w:webHidden/>
                <w:color w:val="000000" w:themeColor="text1"/>
                <w:sz w:val="28"/>
                <w:szCs w:val="28"/>
                <w:rtl/>
              </w:rPr>
              <w:fldChar w:fldCharType="end"/>
            </w:r>
          </w:hyperlink>
        </w:p>
        <w:p w14:paraId="384EE266"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6" w:history="1">
            <w:r w:rsidRPr="00650C72">
              <w:rPr>
                <w:rStyle w:val="Hyperlink"/>
                <w:rFonts w:ascii="Simplified Arabic" w:eastAsia="Times New Roman" w:hAnsi="Simplified Arabic" w:cs="Simplified Arabic"/>
                <w:b/>
                <w:bCs/>
                <w:noProof/>
                <w:color w:val="000000" w:themeColor="text1"/>
                <w:sz w:val="28"/>
                <w:szCs w:val="28"/>
                <w:rtl/>
              </w:rPr>
              <w:t>2.2.2 مفهوم 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Toc234796446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32</w:t>
            </w:r>
            <w:r w:rsidRPr="00650C72">
              <w:rPr>
                <w:rFonts w:ascii="Simplified Arabic" w:hAnsi="Simplified Arabic" w:cs="Simplified Arabic"/>
                <w:b/>
                <w:bCs/>
                <w:noProof/>
                <w:webHidden/>
                <w:color w:val="000000" w:themeColor="text1"/>
                <w:sz w:val="28"/>
                <w:szCs w:val="28"/>
                <w:rtl/>
              </w:rPr>
              <w:fldChar w:fldCharType="end"/>
            </w:r>
          </w:hyperlink>
        </w:p>
        <w:p w14:paraId="455030D5"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7" w:history="1">
            <w:r w:rsidRPr="00650C72">
              <w:rPr>
                <w:rStyle w:val="Hyperlink"/>
                <w:rFonts w:ascii="Simplified Arabic" w:eastAsia="Times New Roman" w:hAnsi="Simplified Arabic" w:cs="Simplified Arabic"/>
                <w:b/>
                <w:bCs/>
                <w:noProof/>
                <w:color w:val="000000" w:themeColor="text1"/>
                <w:sz w:val="28"/>
                <w:szCs w:val="28"/>
                <w:rtl/>
              </w:rPr>
              <w:t>3.2.2 أهمية 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Toc234796447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34</w:t>
            </w:r>
            <w:r w:rsidRPr="00650C72">
              <w:rPr>
                <w:rFonts w:ascii="Simplified Arabic" w:hAnsi="Simplified Arabic" w:cs="Simplified Arabic"/>
                <w:b/>
                <w:bCs/>
                <w:noProof/>
                <w:webHidden/>
                <w:color w:val="000000" w:themeColor="text1"/>
                <w:sz w:val="28"/>
                <w:szCs w:val="28"/>
                <w:rtl/>
              </w:rPr>
              <w:fldChar w:fldCharType="end"/>
            </w:r>
          </w:hyperlink>
        </w:p>
        <w:p w14:paraId="306E23B0"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8" w:history="1">
            <w:r w:rsidRPr="00650C72">
              <w:rPr>
                <w:rStyle w:val="Hyperlink"/>
                <w:rFonts w:ascii="Simplified Arabic" w:eastAsia="Times New Roman" w:hAnsi="Simplified Arabic" w:cs="Simplified Arabic"/>
                <w:b/>
                <w:bCs/>
                <w:noProof/>
                <w:color w:val="000000" w:themeColor="text1"/>
                <w:sz w:val="28"/>
                <w:szCs w:val="28"/>
                <w:rtl/>
              </w:rPr>
              <w:t>4.2.2 أهداف الاهتمام بجودة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35</w:t>
            </w:r>
            <w:r w:rsidRPr="00650C72">
              <w:rPr>
                <w:rFonts w:ascii="Simplified Arabic" w:hAnsi="Simplified Arabic" w:cs="Simplified Arabic"/>
                <w:b/>
                <w:bCs/>
                <w:noProof/>
                <w:webHidden/>
                <w:color w:val="000000" w:themeColor="text1"/>
                <w:sz w:val="28"/>
                <w:szCs w:val="28"/>
                <w:rtl/>
              </w:rPr>
              <w:fldChar w:fldCharType="end"/>
            </w:r>
          </w:hyperlink>
        </w:p>
        <w:p w14:paraId="0C5BD548"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49" w:history="1">
            <w:r w:rsidRPr="00650C72">
              <w:rPr>
                <w:rStyle w:val="Hyperlink"/>
                <w:rFonts w:ascii="Simplified Arabic" w:eastAsia="Times New Roman" w:hAnsi="Simplified Arabic" w:cs="Simplified Arabic"/>
                <w:b/>
                <w:bCs/>
                <w:noProof/>
                <w:color w:val="000000" w:themeColor="text1"/>
                <w:sz w:val="28"/>
                <w:szCs w:val="28"/>
                <w:rtl/>
              </w:rPr>
              <w:t>5.2.2 أبعاد 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Toc234796449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36</w:t>
            </w:r>
            <w:r w:rsidRPr="00650C72">
              <w:rPr>
                <w:rFonts w:ascii="Simplified Arabic" w:hAnsi="Simplified Arabic" w:cs="Simplified Arabic"/>
                <w:b/>
                <w:bCs/>
                <w:noProof/>
                <w:webHidden/>
                <w:color w:val="000000" w:themeColor="text1"/>
                <w:sz w:val="28"/>
                <w:szCs w:val="28"/>
                <w:rtl/>
              </w:rPr>
              <w:fldChar w:fldCharType="end"/>
            </w:r>
          </w:hyperlink>
        </w:p>
        <w:p w14:paraId="3A11E36E"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0" w:history="1">
            <w:r w:rsidRPr="00650C72">
              <w:rPr>
                <w:rStyle w:val="Hyperlink"/>
                <w:rFonts w:ascii="Simplified Arabic" w:eastAsia="Times New Roman" w:hAnsi="Simplified Arabic" w:cs="Simplified Arabic"/>
                <w:b/>
                <w:bCs/>
                <w:noProof/>
                <w:color w:val="000000" w:themeColor="text1"/>
                <w:sz w:val="28"/>
                <w:szCs w:val="28"/>
                <w:rtl/>
              </w:rPr>
              <w:t>6.2.2 المداخل النظرية المفسِّرة لجودة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38</w:t>
            </w:r>
            <w:r w:rsidRPr="00650C72">
              <w:rPr>
                <w:rFonts w:ascii="Simplified Arabic" w:hAnsi="Simplified Arabic" w:cs="Simplified Arabic"/>
                <w:b/>
                <w:bCs/>
                <w:noProof/>
                <w:webHidden/>
                <w:color w:val="000000" w:themeColor="text1"/>
                <w:sz w:val="28"/>
                <w:szCs w:val="28"/>
                <w:rtl/>
              </w:rPr>
              <w:fldChar w:fldCharType="end"/>
            </w:r>
          </w:hyperlink>
        </w:p>
        <w:p w14:paraId="5B4EB63F"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1" w:history="1">
            <w:r w:rsidRPr="00650C72">
              <w:rPr>
                <w:rStyle w:val="Hyperlink"/>
                <w:rFonts w:ascii="Simplified Arabic" w:eastAsia="Times New Roman" w:hAnsi="Simplified Arabic" w:cs="Simplified Arabic"/>
                <w:b/>
                <w:bCs/>
                <w:noProof/>
                <w:color w:val="000000" w:themeColor="text1"/>
                <w:sz w:val="28"/>
                <w:szCs w:val="28"/>
                <w:rtl/>
              </w:rPr>
              <w:t>7.2.2 العوامل المؤثرة في 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39</w:t>
            </w:r>
            <w:r w:rsidRPr="00650C72">
              <w:rPr>
                <w:rFonts w:ascii="Simplified Arabic" w:hAnsi="Simplified Arabic" w:cs="Simplified Arabic"/>
                <w:b/>
                <w:bCs/>
                <w:noProof/>
                <w:webHidden/>
                <w:color w:val="000000" w:themeColor="text1"/>
                <w:sz w:val="28"/>
                <w:szCs w:val="28"/>
                <w:rtl/>
              </w:rPr>
              <w:fldChar w:fldCharType="end"/>
            </w:r>
          </w:hyperlink>
        </w:p>
        <w:p w14:paraId="75B26D12" w14:textId="77777777" w:rsidR="000851CB" w:rsidRPr="00650C72" w:rsidRDefault="000851CB" w:rsidP="000851CB">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2" w:history="1">
            <w:r w:rsidRPr="00650C72">
              <w:rPr>
                <w:rStyle w:val="Hyperlink"/>
                <w:rFonts w:ascii="Simplified Arabic" w:eastAsia="Times New Roman" w:hAnsi="Simplified Arabic" w:cs="Simplified Arabic"/>
                <w:b/>
                <w:bCs/>
                <w:noProof/>
                <w:color w:val="000000" w:themeColor="text1"/>
                <w:sz w:val="28"/>
                <w:szCs w:val="28"/>
                <w:rtl/>
              </w:rPr>
              <w:t>8.2.2 العلاقة بين أدوات الذكاء الاصطناعي في التقييم العقاري وجودة القرار الاستثماري</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40</w:t>
            </w:r>
            <w:r w:rsidRPr="00650C72">
              <w:rPr>
                <w:rFonts w:ascii="Simplified Arabic" w:hAnsi="Simplified Arabic" w:cs="Simplified Arabic"/>
                <w:b/>
                <w:bCs/>
                <w:noProof/>
                <w:webHidden/>
                <w:color w:val="000000" w:themeColor="text1"/>
                <w:sz w:val="28"/>
                <w:szCs w:val="28"/>
                <w:rtl/>
              </w:rPr>
              <w:fldChar w:fldCharType="end"/>
            </w:r>
          </w:hyperlink>
        </w:p>
        <w:p w14:paraId="590F31BD"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3" w:history="1">
            <w:r w:rsidRPr="00650C72">
              <w:rPr>
                <w:rStyle w:val="Hyperlink"/>
                <w:rFonts w:ascii="Simplified Arabic" w:eastAsia="Times New Roman" w:hAnsi="Simplified Arabic" w:cs="Simplified Arabic"/>
                <w:b/>
                <w:bCs/>
                <w:noProof/>
                <w:color w:val="000000" w:themeColor="text1"/>
                <w:sz w:val="28"/>
                <w:szCs w:val="28"/>
                <w:rtl/>
              </w:rPr>
              <w:t>الفصل الثالث: منهجية الدراسة وإجراءاتها</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42</w:t>
            </w:r>
            <w:r w:rsidRPr="00650C72">
              <w:rPr>
                <w:rFonts w:ascii="Simplified Arabic" w:hAnsi="Simplified Arabic" w:cs="Simplified Arabic"/>
                <w:b/>
                <w:bCs/>
                <w:noProof/>
                <w:webHidden/>
                <w:color w:val="000000" w:themeColor="text1"/>
                <w:sz w:val="28"/>
                <w:szCs w:val="28"/>
                <w:rtl/>
              </w:rPr>
              <w:fldChar w:fldCharType="end"/>
            </w:r>
          </w:hyperlink>
        </w:p>
        <w:p w14:paraId="36F41692"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4" w:history="1">
            <w:r w:rsidRPr="00650C72">
              <w:rPr>
                <w:rStyle w:val="Hyperlink"/>
                <w:rFonts w:ascii="Simplified Arabic" w:eastAsia="Times New Roman" w:hAnsi="Simplified Arabic" w:cs="Simplified Arabic"/>
                <w:b/>
                <w:bCs/>
                <w:noProof/>
                <w:color w:val="000000" w:themeColor="text1"/>
                <w:sz w:val="28"/>
                <w:szCs w:val="28"/>
                <w:rtl/>
              </w:rPr>
              <w:t>1.3 تمهيد</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42</w:t>
            </w:r>
            <w:r w:rsidRPr="00650C72">
              <w:rPr>
                <w:rFonts w:ascii="Simplified Arabic" w:hAnsi="Simplified Arabic" w:cs="Simplified Arabic"/>
                <w:b/>
                <w:bCs/>
                <w:noProof/>
                <w:webHidden/>
                <w:color w:val="000000" w:themeColor="text1"/>
                <w:sz w:val="28"/>
                <w:szCs w:val="28"/>
                <w:rtl/>
              </w:rPr>
              <w:fldChar w:fldCharType="end"/>
            </w:r>
          </w:hyperlink>
        </w:p>
        <w:p w14:paraId="4D12C2FE"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5" w:history="1">
            <w:r w:rsidRPr="00650C72">
              <w:rPr>
                <w:rStyle w:val="Hyperlink"/>
                <w:rFonts w:ascii="Simplified Arabic" w:eastAsia="Times New Roman" w:hAnsi="Simplified Arabic" w:cs="Simplified Arabic"/>
                <w:b/>
                <w:bCs/>
                <w:noProof/>
                <w:color w:val="000000" w:themeColor="text1"/>
                <w:sz w:val="28"/>
                <w:szCs w:val="28"/>
                <w:rtl/>
              </w:rPr>
              <w:t>2.3 منهج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42</w:t>
            </w:r>
            <w:r w:rsidRPr="00650C72">
              <w:rPr>
                <w:rFonts w:ascii="Simplified Arabic" w:hAnsi="Simplified Arabic" w:cs="Simplified Arabic"/>
                <w:b/>
                <w:bCs/>
                <w:noProof/>
                <w:webHidden/>
                <w:color w:val="000000" w:themeColor="text1"/>
                <w:sz w:val="28"/>
                <w:szCs w:val="28"/>
                <w:rtl/>
              </w:rPr>
              <w:fldChar w:fldCharType="end"/>
            </w:r>
          </w:hyperlink>
        </w:p>
        <w:p w14:paraId="63CF6FF3"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6" w:history="1">
            <w:r w:rsidRPr="00650C72">
              <w:rPr>
                <w:rStyle w:val="Hyperlink"/>
                <w:rFonts w:ascii="Simplified Arabic" w:eastAsia="Times New Roman" w:hAnsi="Simplified Arabic" w:cs="Simplified Arabic"/>
                <w:b/>
                <w:bCs/>
                <w:noProof/>
                <w:color w:val="000000" w:themeColor="text1"/>
                <w:sz w:val="28"/>
                <w:szCs w:val="28"/>
                <w:rtl/>
              </w:rPr>
              <w:t>3.3 مجتمع الدراسة وعينتها</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Toc234796456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42</w:t>
            </w:r>
            <w:r w:rsidRPr="00650C72">
              <w:rPr>
                <w:rFonts w:ascii="Simplified Arabic" w:hAnsi="Simplified Arabic" w:cs="Simplified Arabic"/>
                <w:b/>
                <w:bCs/>
                <w:noProof/>
                <w:webHidden/>
                <w:color w:val="000000" w:themeColor="text1"/>
                <w:sz w:val="28"/>
                <w:szCs w:val="28"/>
                <w:rtl/>
              </w:rPr>
              <w:fldChar w:fldCharType="end"/>
            </w:r>
          </w:hyperlink>
        </w:p>
        <w:p w14:paraId="2806A9C6"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7" w:history="1">
            <w:r w:rsidRPr="00650C72">
              <w:rPr>
                <w:rStyle w:val="Hyperlink"/>
                <w:rFonts w:ascii="Simplified Arabic" w:eastAsia="Times New Roman" w:hAnsi="Simplified Arabic" w:cs="Simplified Arabic"/>
                <w:b/>
                <w:bCs/>
                <w:noProof/>
                <w:color w:val="000000" w:themeColor="text1"/>
                <w:sz w:val="28"/>
                <w:szCs w:val="28"/>
                <w:rtl/>
              </w:rPr>
              <w:t>4.3 أداة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Toc234796457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44</w:t>
            </w:r>
            <w:r w:rsidRPr="00650C72">
              <w:rPr>
                <w:rFonts w:ascii="Simplified Arabic" w:hAnsi="Simplified Arabic" w:cs="Simplified Arabic"/>
                <w:b/>
                <w:bCs/>
                <w:noProof/>
                <w:webHidden/>
                <w:color w:val="000000" w:themeColor="text1"/>
                <w:sz w:val="28"/>
                <w:szCs w:val="28"/>
                <w:rtl/>
              </w:rPr>
              <w:fldChar w:fldCharType="end"/>
            </w:r>
          </w:hyperlink>
        </w:p>
        <w:p w14:paraId="22ABEB5F"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8" w:history="1">
            <w:r w:rsidRPr="00650C72">
              <w:rPr>
                <w:rStyle w:val="Hyperlink"/>
                <w:rFonts w:ascii="Simplified Arabic" w:eastAsia="Times New Roman" w:hAnsi="Simplified Arabic" w:cs="Simplified Arabic"/>
                <w:b/>
                <w:bCs/>
                <w:noProof/>
                <w:color w:val="000000" w:themeColor="text1"/>
                <w:sz w:val="28"/>
                <w:szCs w:val="28"/>
                <w:rtl/>
              </w:rPr>
              <w:t>5.3 صدق أداة الدراسة وثباتها</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45</w:t>
            </w:r>
            <w:r w:rsidRPr="00650C72">
              <w:rPr>
                <w:rFonts w:ascii="Simplified Arabic" w:hAnsi="Simplified Arabic" w:cs="Simplified Arabic"/>
                <w:b/>
                <w:bCs/>
                <w:noProof/>
                <w:webHidden/>
                <w:color w:val="000000" w:themeColor="text1"/>
                <w:sz w:val="28"/>
                <w:szCs w:val="28"/>
                <w:rtl/>
              </w:rPr>
              <w:fldChar w:fldCharType="end"/>
            </w:r>
          </w:hyperlink>
        </w:p>
        <w:p w14:paraId="38715834"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59" w:history="1">
            <w:r w:rsidRPr="00650C72">
              <w:rPr>
                <w:rStyle w:val="Hyperlink"/>
                <w:rFonts w:ascii="Simplified Arabic" w:eastAsia="Times New Roman" w:hAnsi="Simplified Arabic" w:cs="Simplified Arabic"/>
                <w:b/>
                <w:bCs/>
                <w:noProof/>
                <w:color w:val="000000" w:themeColor="text1"/>
                <w:sz w:val="28"/>
                <w:szCs w:val="28"/>
                <w:rtl/>
              </w:rPr>
              <w:t>6.3 الأساليب الإحصائية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Toc234796459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49</w:t>
            </w:r>
            <w:r w:rsidRPr="00650C72">
              <w:rPr>
                <w:rFonts w:ascii="Simplified Arabic" w:hAnsi="Simplified Arabic" w:cs="Simplified Arabic"/>
                <w:b/>
                <w:bCs/>
                <w:noProof/>
                <w:webHidden/>
                <w:color w:val="000000" w:themeColor="text1"/>
                <w:sz w:val="28"/>
                <w:szCs w:val="28"/>
                <w:rtl/>
              </w:rPr>
              <w:fldChar w:fldCharType="end"/>
            </w:r>
          </w:hyperlink>
        </w:p>
        <w:p w14:paraId="6F51A1AC"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0" w:history="1">
            <w:r w:rsidRPr="00650C72">
              <w:rPr>
                <w:rStyle w:val="Hyperlink"/>
                <w:rFonts w:ascii="Simplified Arabic" w:eastAsia="Times New Roman" w:hAnsi="Simplified Arabic" w:cs="Simplified Arabic"/>
                <w:b/>
                <w:bCs/>
                <w:noProof/>
                <w:color w:val="000000" w:themeColor="text1"/>
                <w:sz w:val="28"/>
                <w:szCs w:val="28"/>
                <w:rtl/>
              </w:rPr>
              <w:t>الفصل الرابع: تحليل البيانات واختبار الفرضيات</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51</w:t>
            </w:r>
            <w:r w:rsidRPr="00650C72">
              <w:rPr>
                <w:rFonts w:ascii="Simplified Arabic" w:hAnsi="Simplified Arabic" w:cs="Simplified Arabic"/>
                <w:b/>
                <w:bCs/>
                <w:noProof/>
                <w:webHidden/>
                <w:color w:val="000000" w:themeColor="text1"/>
                <w:sz w:val="28"/>
                <w:szCs w:val="28"/>
                <w:rtl/>
              </w:rPr>
              <w:fldChar w:fldCharType="end"/>
            </w:r>
          </w:hyperlink>
        </w:p>
        <w:p w14:paraId="29B43B12"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1" w:history="1">
            <w:r w:rsidRPr="00650C72">
              <w:rPr>
                <w:rStyle w:val="Hyperlink"/>
                <w:rFonts w:ascii="Simplified Arabic" w:eastAsia="Times New Roman" w:hAnsi="Simplified Arabic" w:cs="Simplified Arabic"/>
                <w:b/>
                <w:bCs/>
                <w:noProof/>
                <w:color w:val="000000" w:themeColor="text1"/>
                <w:sz w:val="28"/>
                <w:szCs w:val="28"/>
                <w:rtl/>
              </w:rPr>
              <w:t>1.4 تمهيد</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51</w:t>
            </w:r>
            <w:r w:rsidRPr="00650C72">
              <w:rPr>
                <w:rFonts w:ascii="Simplified Arabic" w:hAnsi="Simplified Arabic" w:cs="Simplified Arabic"/>
                <w:b/>
                <w:bCs/>
                <w:noProof/>
                <w:webHidden/>
                <w:color w:val="000000" w:themeColor="text1"/>
                <w:sz w:val="28"/>
                <w:szCs w:val="28"/>
                <w:rtl/>
              </w:rPr>
              <w:fldChar w:fldCharType="end"/>
            </w:r>
          </w:hyperlink>
        </w:p>
        <w:p w14:paraId="024AF77C"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2" w:history="1">
            <w:r w:rsidRPr="00650C72">
              <w:rPr>
                <w:rStyle w:val="Hyperlink"/>
                <w:rFonts w:ascii="Simplified Arabic" w:eastAsia="Times New Roman" w:hAnsi="Simplified Arabic" w:cs="Simplified Arabic"/>
                <w:b/>
                <w:bCs/>
                <w:noProof/>
                <w:color w:val="000000" w:themeColor="text1"/>
                <w:sz w:val="28"/>
                <w:szCs w:val="28"/>
                <w:rtl/>
              </w:rPr>
              <w:t>2.4 تحليل الخصائص الديموغرافية والوظيفية لأفراد العينة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51</w:t>
            </w:r>
            <w:r w:rsidRPr="00650C72">
              <w:rPr>
                <w:rFonts w:ascii="Simplified Arabic" w:hAnsi="Simplified Arabic" w:cs="Simplified Arabic"/>
                <w:b/>
                <w:bCs/>
                <w:noProof/>
                <w:webHidden/>
                <w:color w:val="000000" w:themeColor="text1"/>
                <w:sz w:val="28"/>
                <w:szCs w:val="28"/>
                <w:rtl/>
              </w:rPr>
              <w:fldChar w:fldCharType="end"/>
            </w:r>
          </w:hyperlink>
        </w:p>
        <w:p w14:paraId="110510A3"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3" w:history="1">
            <w:r w:rsidRPr="00650C72">
              <w:rPr>
                <w:rStyle w:val="Hyperlink"/>
                <w:rFonts w:ascii="Simplified Arabic" w:eastAsia="Times New Roman" w:hAnsi="Simplified Arabic" w:cs="Simplified Arabic"/>
                <w:b/>
                <w:bCs/>
                <w:noProof/>
                <w:color w:val="000000" w:themeColor="text1"/>
                <w:sz w:val="28"/>
                <w:szCs w:val="28"/>
                <w:rtl/>
              </w:rPr>
              <w:t>3.4 التحليل الوصفي لاستجابات أفراد العينة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Toc234796463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53</w:t>
            </w:r>
            <w:r w:rsidRPr="00650C72">
              <w:rPr>
                <w:rFonts w:ascii="Simplified Arabic" w:hAnsi="Simplified Arabic" w:cs="Simplified Arabic"/>
                <w:b/>
                <w:bCs/>
                <w:noProof/>
                <w:webHidden/>
                <w:color w:val="000000" w:themeColor="text1"/>
                <w:sz w:val="28"/>
                <w:szCs w:val="28"/>
                <w:rtl/>
              </w:rPr>
              <w:fldChar w:fldCharType="end"/>
            </w:r>
          </w:hyperlink>
        </w:p>
        <w:p w14:paraId="0A5C06BA"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4" w:history="1">
            <w:r w:rsidRPr="00650C72">
              <w:rPr>
                <w:rStyle w:val="Hyperlink"/>
                <w:rFonts w:ascii="Simplified Arabic" w:eastAsia="Times New Roman" w:hAnsi="Simplified Arabic" w:cs="Simplified Arabic"/>
                <w:b/>
                <w:bCs/>
                <w:noProof/>
                <w:color w:val="000000" w:themeColor="text1"/>
                <w:sz w:val="28"/>
                <w:szCs w:val="28"/>
                <w:rtl/>
              </w:rPr>
              <w:t>4.4 اختبار فرضيات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Toc234796464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58</w:t>
            </w:r>
            <w:r w:rsidRPr="00650C72">
              <w:rPr>
                <w:rFonts w:ascii="Simplified Arabic" w:hAnsi="Simplified Arabic" w:cs="Simplified Arabic"/>
                <w:b/>
                <w:bCs/>
                <w:noProof/>
                <w:webHidden/>
                <w:color w:val="000000" w:themeColor="text1"/>
                <w:sz w:val="28"/>
                <w:szCs w:val="28"/>
                <w:rtl/>
              </w:rPr>
              <w:fldChar w:fldCharType="end"/>
            </w:r>
          </w:hyperlink>
        </w:p>
        <w:p w14:paraId="077AB8F5"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5" w:history="1">
            <w:r w:rsidRPr="00650C72">
              <w:rPr>
                <w:rStyle w:val="Hyperlink"/>
                <w:rFonts w:ascii="Simplified Arabic" w:eastAsia="Times New Roman" w:hAnsi="Simplified Arabic" w:cs="Simplified Arabic"/>
                <w:b/>
                <w:bCs/>
                <w:noProof/>
                <w:color w:val="000000" w:themeColor="text1"/>
                <w:sz w:val="28"/>
                <w:szCs w:val="28"/>
                <w:rtl/>
              </w:rPr>
              <w:t>الفصل الخامس: النتائج والتوصيات</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Toc234796465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65</w:t>
            </w:r>
            <w:r w:rsidRPr="00650C72">
              <w:rPr>
                <w:rFonts w:ascii="Simplified Arabic" w:hAnsi="Simplified Arabic" w:cs="Simplified Arabic"/>
                <w:b/>
                <w:bCs/>
                <w:noProof/>
                <w:webHidden/>
                <w:color w:val="000000" w:themeColor="text1"/>
                <w:sz w:val="28"/>
                <w:szCs w:val="28"/>
                <w:rtl/>
              </w:rPr>
              <w:fldChar w:fldCharType="end"/>
            </w:r>
          </w:hyperlink>
        </w:p>
        <w:p w14:paraId="0A164901"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6" w:history="1">
            <w:r w:rsidRPr="00650C72">
              <w:rPr>
                <w:rStyle w:val="Hyperlink"/>
                <w:rFonts w:ascii="Simplified Arabic" w:eastAsia="Times New Roman" w:hAnsi="Simplified Arabic" w:cs="Simplified Arabic"/>
                <w:b/>
                <w:bCs/>
                <w:noProof/>
                <w:color w:val="000000" w:themeColor="text1"/>
                <w:sz w:val="28"/>
                <w:szCs w:val="28"/>
                <w:rtl/>
              </w:rPr>
              <w:t>1.5 تمهيد</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Toc234796466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65</w:t>
            </w:r>
            <w:r w:rsidRPr="00650C72">
              <w:rPr>
                <w:rFonts w:ascii="Simplified Arabic" w:hAnsi="Simplified Arabic" w:cs="Simplified Arabic"/>
                <w:b/>
                <w:bCs/>
                <w:noProof/>
                <w:webHidden/>
                <w:color w:val="000000" w:themeColor="text1"/>
                <w:sz w:val="28"/>
                <w:szCs w:val="28"/>
                <w:rtl/>
              </w:rPr>
              <w:fldChar w:fldCharType="end"/>
            </w:r>
          </w:hyperlink>
        </w:p>
        <w:p w14:paraId="13FB4F1B"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7" w:history="1">
            <w:r w:rsidRPr="00650C72">
              <w:rPr>
                <w:rStyle w:val="Hyperlink"/>
                <w:rFonts w:ascii="Simplified Arabic" w:eastAsia="Times New Roman" w:hAnsi="Simplified Arabic" w:cs="Simplified Arabic"/>
                <w:b/>
                <w:bCs/>
                <w:noProof/>
                <w:color w:val="000000" w:themeColor="text1"/>
                <w:sz w:val="28"/>
                <w:szCs w:val="28"/>
                <w:rtl/>
              </w:rPr>
              <w:t>2.5 نتائج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Toc234796467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65</w:t>
            </w:r>
            <w:r w:rsidRPr="00650C72">
              <w:rPr>
                <w:rFonts w:ascii="Simplified Arabic" w:hAnsi="Simplified Arabic" w:cs="Simplified Arabic"/>
                <w:b/>
                <w:bCs/>
                <w:noProof/>
                <w:webHidden/>
                <w:color w:val="000000" w:themeColor="text1"/>
                <w:sz w:val="28"/>
                <w:szCs w:val="28"/>
                <w:rtl/>
              </w:rPr>
              <w:fldChar w:fldCharType="end"/>
            </w:r>
          </w:hyperlink>
        </w:p>
        <w:p w14:paraId="2B168AF0" w14:textId="77777777" w:rsidR="000851CB" w:rsidRPr="00650C72" w:rsidRDefault="000851CB" w:rsidP="000851CB">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8" w:history="1">
            <w:r w:rsidRPr="00650C72">
              <w:rPr>
                <w:rStyle w:val="Hyperlink"/>
                <w:rFonts w:ascii="Simplified Arabic" w:eastAsia="Times New Roman" w:hAnsi="Simplified Arabic" w:cs="Simplified Arabic"/>
                <w:b/>
                <w:bCs/>
                <w:noProof/>
                <w:color w:val="000000" w:themeColor="text1"/>
                <w:sz w:val="28"/>
                <w:szCs w:val="28"/>
                <w:rtl/>
              </w:rPr>
              <w:t>3.5 توصيات الدراسة</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Toc234796468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68</w:t>
            </w:r>
            <w:r w:rsidRPr="00650C72">
              <w:rPr>
                <w:rFonts w:ascii="Simplified Arabic" w:hAnsi="Simplified Arabic" w:cs="Simplified Arabic"/>
                <w:b/>
                <w:bCs/>
                <w:noProof/>
                <w:webHidden/>
                <w:color w:val="000000" w:themeColor="text1"/>
                <w:sz w:val="28"/>
                <w:szCs w:val="28"/>
                <w:rtl/>
              </w:rPr>
              <w:fldChar w:fldCharType="end"/>
            </w:r>
          </w:hyperlink>
        </w:p>
        <w:p w14:paraId="1ADCE1A5"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69" w:history="1">
            <w:r w:rsidRPr="00650C72">
              <w:rPr>
                <w:rStyle w:val="Hyperlink"/>
                <w:rFonts w:ascii="Simplified Arabic" w:eastAsia="Times New Roman" w:hAnsi="Simplified Arabic" w:cs="Simplified Arabic"/>
                <w:b/>
                <w:bCs/>
                <w:noProof/>
                <w:color w:val="000000" w:themeColor="text1"/>
                <w:sz w:val="28"/>
                <w:szCs w:val="28"/>
              </w:rPr>
              <w:t>Abstract</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Toc234796469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71</w:t>
            </w:r>
            <w:r w:rsidRPr="00650C72">
              <w:rPr>
                <w:rFonts w:ascii="Simplified Arabic" w:hAnsi="Simplified Arabic" w:cs="Simplified Arabic"/>
                <w:b/>
                <w:bCs/>
                <w:noProof/>
                <w:webHidden/>
                <w:color w:val="000000" w:themeColor="text1"/>
                <w:sz w:val="28"/>
                <w:szCs w:val="28"/>
                <w:rtl/>
              </w:rPr>
              <w:fldChar w:fldCharType="end"/>
            </w:r>
          </w:hyperlink>
        </w:p>
        <w:p w14:paraId="26C94338"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70" w:history="1">
            <w:r w:rsidRPr="00650C72">
              <w:rPr>
                <w:rStyle w:val="Hyperlink"/>
                <w:rFonts w:ascii="Simplified Arabic" w:eastAsia="Calibri" w:hAnsi="Simplified Arabic" w:cs="Simplified Arabic"/>
                <w:b/>
                <w:bCs/>
                <w:noProof/>
                <w:color w:val="000000" w:themeColor="text1"/>
                <w:sz w:val="28"/>
                <w:szCs w:val="28"/>
                <w:rtl/>
              </w:rPr>
              <w:t>المراجع</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Toc234796470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72</w:t>
            </w:r>
            <w:r w:rsidRPr="00650C72">
              <w:rPr>
                <w:rFonts w:ascii="Simplified Arabic" w:hAnsi="Simplified Arabic" w:cs="Simplified Arabic"/>
                <w:b/>
                <w:bCs/>
                <w:noProof/>
                <w:webHidden/>
                <w:color w:val="000000" w:themeColor="text1"/>
                <w:sz w:val="28"/>
                <w:szCs w:val="28"/>
                <w:rtl/>
              </w:rPr>
              <w:fldChar w:fldCharType="end"/>
            </w:r>
          </w:hyperlink>
        </w:p>
        <w:p w14:paraId="122491BD"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71" w:history="1">
            <w:r w:rsidRPr="00650C72">
              <w:rPr>
                <w:rStyle w:val="Hyperlink"/>
                <w:rFonts w:ascii="Simplified Arabic" w:eastAsia="Calibri" w:hAnsi="Simplified Arabic" w:cs="Simplified Arabic"/>
                <w:b/>
                <w:bCs/>
                <w:noProof/>
                <w:color w:val="000000" w:themeColor="text1"/>
                <w:sz w:val="28"/>
                <w:szCs w:val="28"/>
                <w:rtl/>
                <w:lang w:bidi="ar-EG"/>
              </w:rPr>
              <w:t>الملاحق</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Toc234796471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76</w:t>
            </w:r>
            <w:r w:rsidRPr="00650C72">
              <w:rPr>
                <w:rFonts w:ascii="Simplified Arabic" w:hAnsi="Simplified Arabic" w:cs="Simplified Arabic"/>
                <w:b/>
                <w:bCs/>
                <w:noProof/>
                <w:webHidden/>
                <w:color w:val="000000" w:themeColor="text1"/>
                <w:sz w:val="28"/>
                <w:szCs w:val="28"/>
                <w:rtl/>
              </w:rPr>
              <w:fldChar w:fldCharType="end"/>
            </w:r>
          </w:hyperlink>
        </w:p>
        <w:p w14:paraId="1FF7C3B3" w14:textId="77777777" w:rsidR="000851CB" w:rsidRPr="00650C72" w:rsidRDefault="000851CB" w:rsidP="000851CB">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4796472" w:history="1">
            <w:r w:rsidRPr="00650C72">
              <w:rPr>
                <w:rStyle w:val="Hyperlink"/>
                <w:rFonts w:ascii="Simplified Arabic" w:hAnsi="Simplified Arabic" w:cs="Simplified Arabic"/>
                <w:b/>
                <w:bCs/>
                <w:noProof/>
                <w:color w:val="000000" w:themeColor="text1"/>
                <w:sz w:val="28"/>
                <w:szCs w:val="28"/>
                <w:rtl/>
              </w:rPr>
              <w:t>استمارة استبيان</w:t>
            </w:r>
            <w:r w:rsidRPr="00650C72">
              <w:rPr>
                <w:rFonts w:ascii="Simplified Arabic" w:hAnsi="Simplified Arabic" w:cs="Simplified Arabic"/>
                <w:b/>
                <w:bCs/>
                <w:noProof/>
                <w:webHidden/>
                <w:color w:val="000000" w:themeColor="text1"/>
                <w:sz w:val="28"/>
                <w:szCs w:val="28"/>
                <w:rtl/>
              </w:rPr>
              <w:tab/>
            </w:r>
            <w:r w:rsidRPr="00650C72">
              <w:rPr>
                <w:rFonts w:ascii="Simplified Arabic" w:hAnsi="Simplified Arabic" w:cs="Simplified Arabic"/>
                <w:b/>
                <w:bCs/>
                <w:noProof/>
                <w:webHidden/>
                <w:color w:val="000000" w:themeColor="text1"/>
                <w:sz w:val="28"/>
                <w:szCs w:val="28"/>
                <w:rtl/>
              </w:rPr>
              <w:fldChar w:fldCharType="begin"/>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Pr>
              <w:instrText>PAGEREF</w:instrText>
            </w:r>
            <w:r w:rsidRPr="00650C72">
              <w:rPr>
                <w:rFonts w:ascii="Simplified Arabic" w:hAnsi="Simplified Arabic" w:cs="Simplified Arabic"/>
                <w:b/>
                <w:bCs/>
                <w:noProof/>
                <w:webHidden/>
                <w:color w:val="000000" w:themeColor="text1"/>
                <w:sz w:val="28"/>
                <w:szCs w:val="28"/>
                <w:rtl/>
              </w:rPr>
              <w:instrText xml:space="preserve"> _</w:instrText>
            </w:r>
            <w:r w:rsidRPr="00650C72">
              <w:rPr>
                <w:rFonts w:ascii="Simplified Arabic" w:hAnsi="Simplified Arabic" w:cs="Simplified Arabic"/>
                <w:b/>
                <w:bCs/>
                <w:noProof/>
                <w:webHidden/>
                <w:color w:val="000000" w:themeColor="text1"/>
                <w:sz w:val="28"/>
                <w:szCs w:val="28"/>
              </w:rPr>
              <w:instrText>Toc234796472 \h</w:instrText>
            </w:r>
            <w:r w:rsidRPr="00650C72">
              <w:rPr>
                <w:rFonts w:ascii="Simplified Arabic" w:hAnsi="Simplified Arabic" w:cs="Simplified Arabic"/>
                <w:b/>
                <w:bCs/>
                <w:noProof/>
                <w:webHidden/>
                <w:color w:val="000000" w:themeColor="text1"/>
                <w:sz w:val="28"/>
                <w:szCs w:val="28"/>
                <w:rtl/>
              </w:rPr>
              <w:instrText xml:space="preserve"> </w:instrText>
            </w:r>
            <w:r w:rsidRPr="00650C72">
              <w:rPr>
                <w:rFonts w:ascii="Simplified Arabic" w:hAnsi="Simplified Arabic" w:cs="Simplified Arabic"/>
                <w:b/>
                <w:bCs/>
                <w:noProof/>
                <w:webHidden/>
                <w:color w:val="000000" w:themeColor="text1"/>
                <w:sz w:val="28"/>
                <w:szCs w:val="28"/>
                <w:rtl/>
              </w:rPr>
            </w:r>
            <w:r w:rsidRPr="00650C72">
              <w:rPr>
                <w:rFonts w:ascii="Simplified Arabic" w:hAnsi="Simplified Arabic" w:cs="Simplified Arabic"/>
                <w:b/>
                <w:bCs/>
                <w:noProof/>
                <w:webHidden/>
                <w:color w:val="000000" w:themeColor="text1"/>
                <w:sz w:val="28"/>
                <w:szCs w:val="28"/>
                <w:rtl/>
              </w:rPr>
              <w:fldChar w:fldCharType="separate"/>
            </w:r>
            <w:r w:rsidR="00AF423C">
              <w:rPr>
                <w:rFonts w:ascii="Simplified Arabic" w:hAnsi="Simplified Arabic" w:cs="Simplified Arabic"/>
                <w:b/>
                <w:bCs/>
                <w:noProof/>
                <w:webHidden/>
                <w:color w:val="000000" w:themeColor="text1"/>
                <w:sz w:val="28"/>
                <w:szCs w:val="28"/>
                <w:rtl/>
              </w:rPr>
              <w:t>77</w:t>
            </w:r>
            <w:r w:rsidRPr="00650C72">
              <w:rPr>
                <w:rFonts w:ascii="Simplified Arabic" w:hAnsi="Simplified Arabic" w:cs="Simplified Arabic"/>
                <w:b/>
                <w:bCs/>
                <w:noProof/>
                <w:webHidden/>
                <w:color w:val="000000" w:themeColor="text1"/>
                <w:sz w:val="28"/>
                <w:szCs w:val="28"/>
                <w:rtl/>
              </w:rPr>
              <w:fldChar w:fldCharType="end"/>
            </w:r>
          </w:hyperlink>
        </w:p>
        <w:p w14:paraId="123A3EDD" w14:textId="7F1B5ACD" w:rsidR="000851CB" w:rsidRPr="00650C72" w:rsidRDefault="000851CB" w:rsidP="000851CB">
          <w:pPr>
            <w:spacing w:line="240" w:lineRule="auto"/>
            <w:rPr>
              <w:color w:val="000000" w:themeColor="text1"/>
            </w:rPr>
          </w:pPr>
          <w:r w:rsidRPr="00650C72">
            <w:rPr>
              <w:rFonts w:ascii="Simplified Arabic" w:hAnsi="Simplified Arabic" w:cs="Simplified Arabic"/>
              <w:b/>
              <w:bCs/>
              <w:noProof/>
              <w:color w:val="000000" w:themeColor="text1"/>
              <w:sz w:val="28"/>
              <w:szCs w:val="28"/>
            </w:rPr>
            <w:fldChar w:fldCharType="end"/>
          </w:r>
        </w:p>
      </w:sdtContent>
    </w:sdt>
    <w:p w14:paraId="1C993C02" w14:textId="4CB8F65C" w:rsidR="0088241C" w:rsidRPr="00650C72" w:rsidRDefault="0088241C" w:rsidP="0007393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3680B787" w14:textId="77777777" w:rsidR="0088241C" w:rsidRPr="00650C72" w:rsidRDefault="0088241C">
      <w:pPr>
        <w:bidi w:val="0"/>
        <w:rPr>
          <w:rFonts w:ascii="Simplified Arabic" w:hAnsi="Simplified Arabic" w:cs="Simplified Arabic"/>
          <w:b/>
          <w:bCs/>
          <w:color w:val="000000" w:themeColor="text1"/>
          <w:sz w:val="36"/>
          <w:szCs w:val="36"/>
          <w:rtl/>
          <w:lang w:bidi="ar-EG"/>
        </w:rPr>
      </w:pPr>
      <w:r w:rsidRPr="00650C72">
        <w:rPr>
          <w:rFonts w:ascii="Simplified Arabic" w:hAnsi="Simplified Arabic" w:cs="Simplified Arabic"/>
          <w:b/>
          <w:bCs/>
          <w:color w:val="000000" w:themeColor="text1"/>
          <w:sz w:val="36"/>
          <w:szCs w:val="36"/>
          <w:rtl/>
          <w:lang w:bidi="ar-EG"/>
        </w:rPr>
        <w:br w:type="page"/>
      </w:r>
    </w:p>
    <w:p w14:paraId="685BCE06" w14:textId="77777777" w:rsidR="0088241C" w:rsidRPr="00650C72" w:rsidRDefault="0088241C" w:rsidP="0088241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5" w:name="_Toc234796415"/>
      <w:r w:rsidRPr="00650C72">
        <w:rPr>
          <w:rFonts w:ascii="Simplified Arabic" w:hAnsi="Simplified Arabic" w:cs="Simplified Arabic" w:hint="cs"/>
          <w:b/>
          <w:bCs/>
          <w:color w:val="000000" w:themeColor="text1"/>
          <w:sz w:val="40"/>
          <w:szCs w:val="40"/>
          <w:rtl/>
          <w:lang w:bidi="ar-EG"/>
        </w:rPr>
        <w:lastRenderedPageBreak/>
        <w:t>قائمة الجداول</w:t>
      </w:r>
      <w:bookmarkEnd w:id="5"/>
    </w:p>
    <w:tbl>
      <w:tblPr>
        <w:tblStyle w:val="GridTable6Colorful-Accent1"/>
        <w:bidiVisual/>
        <w:tblW w:w="0" w:type="auto"/>
        <w:tblLook w:val="04A0" w:firstRow="1" w:lastRow="0" w:firstColumn="1" w:lastColumn="0" w:noHBand="0" w:noVBand="1"/>
      </w:tblPr>
      <w:tblGrid>
        <w:gridCol w:w="1264"/>
        <w:gridCol w:w="6521"/>
        <w:gridCol w:w="1276"/>
      </w:tblGrid>
      <w:tr w:rsidR="0088241C" w:rsidRPr="00650C72" w14:paraId="3D00480A" w14:textId="77777777" w:rsidTr="006C0F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7B540968" w14:textId="638DDAB9" w:rsidR="0088241C" w:rsidRPr="00650C72" w:rsidRDefault="0088241C" w:rsidP="0088241C">
            <w:pPr>
              <w:spacing w:before="100" w:beforeAutospacing="1" w:after="100" w:afterAutospacing="1" w:line="276" w:lineRule="auto"/>
              <w:jc w:val="center"/>
              <w:rPr>
                <w:rFonts w:ascii="Simplified Arabic" w:hAnsi="Simplified Arabic" w:cs="Simplified Arabic" w:hint="cs"/>
                <w:color w:val="000000" w:themeColor="text1"/>
                <w:sz w:val="32"/>
                <w:szCs w:val="32"/>
                <w:rtl/>
                <w:lang w:bidi="ar-EG"/>
              </w:rPr>
            </w:pPr>
            <w:r w:rsidRPr="00650C72">
              <w:rPr>
                <w:rFonts w:ascii="Simplified Arabic" w:hAnsi="Simplified Arabic" w:cs="Simplified Arabic" w:hint="cs"/>
                <w:color w:val="000000" w:themeColor="text1"/>
                <w:sz w:val="32"/>
                <w:szCs w:val="32"/>
                <w:rtl/>
                <w:lang w:bidi="ar-EG"/>
              </w:rPr>
              <w:t>رقم الجدول</w:t>
            </w:r>
          </w:p>
        </w:tc>
        <w:tc>
          <w:tcPr>
            <w:tcW w:w="6521" w:type="dxa"/>
            <w:vAlign w:val="center"/>
          </w:tcPr>
          <w:p w14:paraId="61F9D5E3" w14:textId="3BF13D26" w:rsidR="0088241C" w:rsidRPr="00650C72" w:rsidRDefault="0088241C" w:rsidP="0088241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lang w:bidi="ar-EG"/>
              </w:rPr>
            </w:pPr>
            <w:r w:rsidRPr="00650C72">
              <w:rPr>
                <w:rFonts w:ascii="Simplified Arabic" w:hAnsi="Simplified Arabic" w:cs="Simplified Arabic" w:hint="cs"/>
                <w:color w:val="000000" w:themeColor="text1"/>
                <w:sz w:val="32"/>
                <w:szCs w:val="32"/>
                <w:rtl/>
                <w:lang w:bidi="ar-EG"/>
              </w:rPr>
              <w:t>اسم الجدول</w:t>
            </w:r>
          </w:p>
        </w:tc>
        <w:tc>
          <w:tcPr>
            <w:tcW w:w="1276" w:type="dxa"/>
            <w:vAlign w:val="center"/>
          </w:tcPr>
          <w:p w14:paraId="488F5016" w14:textId="37157827" w:rsidR="0088241C" w:rsidRPr="00650C72" w:rsidRDefault="0088241C"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lang w:bidi="ar-EG"/>
              </w:rPr>
            </w:pPr>
            <w:r w:rsidRPr="00650C72">
              <w:rPr>
                <w:rFonts w:ascii="Simplified Arabic" w:hAnsi="Simplified Arabic" w:cs="Simplified Arabic" w:hint="cs"/>
                <w:color w:val="000000" w:themeColor="text1"/>
                <w:sz w:val="32"/>
                <w:szCs w:val="32"/>
                <w:rtl/>
                <w:lang w:bidi="ar-EG"/>
              </w:rPr>
              <w:t>رقم الصفحة</w:t>
            </w:r>
          </w:p>
        </w:tc>
      </w:tr>
      <w:tr w:rsidR="006C0F6B" w:rsidRPr="00650C72" w14:paraId="6AF56342"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ED87EA0"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627E958B" w14:textId="5222051A" w:rsidR="006C0F6B" w:rsidRPr="00650C72" w:rsidRDefault="006C0F6B" w:rsidP="006C0F6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3 - 1</w:t>
            </w:r>
            <w:r w:rsidRPr="00650C72">
              <w:rPr>
                <w:rFonts w:ascii="Simplified Arabic" w:eastAsia="Times New Roman" w:hAnsi="Simplified Arabic" w:cs="Simplified Arabic"/>
                <w:color w:val="000000" w:themeColor="text1"/>
                <w:kern w:val="0"/>
                <w:sz w:val="28"/>
                <w:szCs w:val="28"/>
                <w:rtl/>
                <w14:ligatures w14:val="none"/>
              </w:rPr>
              <w:t>): توزيع الاستبانات على شركات التطوير والاستثمار العقاري وفق حجم الشركة</w:t>
            </w:r>
          </w:p>
        </w:tc>
        <w:tc>
          <w:tcPr>
            <w:tcW w:w="1276" w:type="dxa"/>
            <w:vAlign w:val="center"/>
          </w:tcPr>
          <w:p w14:paraId="2D3BD209" w14:textId="501F85B5" w:rsidR="006C0F6B" w:rsidRPr="00650C72" w:rsidRDefault="00AF423C"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44</w:t>
            </w:r>
          </w:p>
        </w:tc>
      </w:tr>
      <w:tr w:rsidR="006C0F6B" w:rsidRPr="00650C72" w14:paraId="0919E226"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62EDB976"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54F0BFA7" w14:textId="7E2A8844" w:rsidR="006C0F6B" w:rsidRPr="00650C72" w:rsidRDefault="006C0F6B" w:rsidP="006C0F6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3 - 2</w:t>
            </w:r>
            <w:r w:rsidRPr="00650C72">
              <w:rPr>
                <w:rFonts w:ascii="Simplified Arabic" w:eastAsia="Times New Roman" w:hAnsi="Simplified Arabic" w:cs="Simplified Arabic"/>
                <w:color w:val="000000" w:themeColor="text1"/>
                <w:kern w:val="0"/>
                <w:sz w:val="28"/>
                <w:szCs w:val="28"/>
                <w:rtl/>
                <w14:ligatures w14:val="none"/>
              </w:rPr>
              <w:t>): مقياس ليكرت الخماسي ومدى المتوسطات الحسابية</w:t>
            </w:r>
          </w:p>
        </w:tc>
        <w:tc>
          <w:tcPr>
            <w:tcW w:w="1276" w:type="dxa"/>
            <w:vAlign w:val="center"/>
          </w:tcPr>
          <w:p w14:paraId="32F55710" w14:textId="52E2801F" w:rsidR="006C0F6B" w:rsidRPr="00650C72" w:rsidRDefault="00AF423C"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45</w:t>
            </w:r>
          </w:p>
        </w:tc>
      </w:tr>
      <w:tr w:rsidR="006C0F6B" w:rsidRPr="00650C72" w14:paraId="5C9D22F0"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1057D68"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0AA8E211" w14:textId="40BA9708" w:rsidR="006C0F6B" w:rsidRPr="00650C72" w:rsidRDefault="006C0F6B" w:rsidP="006C0F6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3 - 3</w:t>
            </w:r>
            <w:r w:rsidRPr="00650C72">
              <w:rPr>
                <w:rFonts w:ascii="Simplified Arabic" w:eastAsia="Times New Roman" w:hAnsi="Simplified Arabic" w:cs="Simplified Arabic"/>
                <w:color w:val="000000" w:themeColor="text1"/>
                <w:kern w:val="0"/>
                <w:sz w:val="28"/>
                <w:szCs w:val="28"/>
                <w:rtl/>
                <w14:ligatures w14:val="none"/>
              </w:rPr>
              <w:t>): معاملات ارتباط عبارات أبعاد المتغير المستقل بالدرجة الكلية للبُعد</w:t>
            </w:r>
          </w:p>
        </w:tc>
        <w:tc>
          <w:tcPr>
            <w:tcW w:w="1276" w:type="dxa"/>
            <w:vAlign w:val="center"/>
          </w:tcPr>
          <w:p w14:paraId="0BF54D24" w14:textId="542F4A8A" w:rsidR="006C0F6B" w:rsidRPr="00650C72" w:rsidRDefault="00AF423C"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46</w:t>
            </w:r>
          </w:p>
        </w:tc>
      </w:tr>
      <w:tr w:rsidR="006C0F6B" w:rsidRPr="00650C72" w14:paraId="3922F33C"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13522842"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51DF2200" w14:textId="5140F156" w:rsidR="006C0F6B" w:rsidRPr="00650C72" w:rsidRDefault="006C0F6B" w:rsidP="006C0F6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3 - 4</w:t>
            </w:r>
            <w:r w:rsidRPr="00650C72">
              <w:rPr>
                <w:rFonts w:ascii="Simplified Arabic" w:eastAsia="Times New Roman" w:hAnsi="Simplified Arabic" w:cs="Simplified Arabic"/>
                <w:color w:val="000000" w:themeColor="text1"/>
                <w:kern w:val="0"/>
                <w:sz w:val="28"/>
                <w:szCs w:val="28"/>
                <w:rtl/>
                <w14:ligatures w14:val="none"/>
              </w:rPr>
              <w:t>): معاملات ارتباط عبارات المتغير التابع (جودة القرار الاستثماري) بالدرجة الكلية للمتغير</w:t>
            </w:r>
          </w:p>
        </w:tc>
        <w:tc>
          <w:tcPr>
            <w:tcW w:w="1276" w:type="dxa"/>
            <w:vAlign w:val="center"/>
          </w:tcPr>
          <w:p w14:paraId="7828326A" w14:textId="2CCDBD5C" w:rsidR="006C0F6B" w:rsidRPr="00650C72" w:rsidRDefault="00AF423C"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47</w:t>
            </w:r>
          </w:p>
        </w:tc>
      </w:tr>
      <w:tr w:rsidR="006C0F6B" w:rsidRPr="00650C72" w14:paraId="177D3008"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CDA1FD7"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270422D2" w14:textId="43774B81" w:rsidR="006C0F6B" w:rsidRPr="00650C72" w:rsidRDefault="006C0F6B" w:rsidP="006C0F6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3 - 5</w:t>
            </w:r>
            <w:r w:rsidRPr="00650C72">
              <w:rPr>
                <w:rFonts w:ascii="Simplified Arabic" w:eastAsia="Times New Roman" w:hAnsi="Simplified Arabic" w:cs="Simplified Arabic"/>
                <w:color w:val="000000" w:themeColor="text1"/>
                <w:kern w:val="0"/>
                <w:sz w:val="28"/>
                <w:szCs w:val="28"/>
                <w:rtl/>
                <w14:ligatures w14:val="none"/>
              </w:rPr>
              <w:t>): مصفوفة الارتباط بين أبعاد المتغير المستقل والمتغير التابع</w:t>
            </w:r>
          </w:p>
        </w:tc>
        <w:tc>
          <w:tcPr>
            <w:tcW w:w="1276" w:type="dxa"/>
            <w:vAlign w:val="center"/>
          </w:tcPr>
          <w:p w14:paraId="64B8901A" w14:textId="78F506F4" w:rsidR="006C0F6B" w:rsidRPr="00650C72" w:rsidRDefault="00AF423C"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48</w:t>
            </w:r>
          </w:p>
        </w:tc>
      </w:tr>
      <w:tr w:rsidR="006C0F6B" w:rsidRPr="00650C72" w14:paraId="54C3CC8C"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38A85CAD" w14:textId="77777777" w:rsidR="006C0F6B" w:rsidRPr="00650C72" w:rsidRDefault="006C0F6B" w:rsidP="006C0F6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2DF83469" w14:textId="529876D8" w:rsidR="006C0F6B" w:rsidRPr="00650C72" w:rsidRDefault="006C0F6B" w:rsidP="006C0F6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3 - 6</w:t>
            </w:r>
            <w:r w:rsidRPr="00650C72">
              <w:rPr>
                <w:rFonts w:ascii="Simplified Arabic" w:eastAsia="Times New Roman" w:hAnsi="Simplified Arabic" w:cs="Simplified Arabic"/>
                <w:color w:val="000000" w:themeColor="text1"/>
                <w:kern w:val="0"/>
                <w:sz w:val="28"/>
                <w:szCs w:val="28"/>
                <w:rtl/>
                <w14:ligatures w14:val="none"/>
              </w:rPr>
              <w:t>): معاملات ثبات ألفا كرونباخ لأبعاد الدراسة</w:t>
            </w:r>
          </w:p>
        </w:tc>
        <w:tc>
          <w:tcPr>
            <w:tcW w:w="1276" w:type="dxa"/>
            <w:vAlign w:val="center"/>
          </w:tcPr>
          <w:p w14:paraId="25FF78A3" w14:textId="2F473740" w:rsidR="006C0F6B" w:rsidRPr="00650C72" w:rsidRDefault="00AF423C"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49</w:t>
            </w:r>
          </w:p>
        </w:tc>
      </w:tr>
      <w:tr w:rsidR="0027585B" w:rsidRPr="00650C72" w14:paraId="7691FEB9"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68AEDB3"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ACDD9DF" w14:textId="26D1D6DD"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4 - 1</w:t>
            </w:r>
            <w:r w:rsidRPr="00650C72">
              <w:rPr>
                <w:rFonts w:ascii="Simplified Arabic" w:eastAsia="Times New Roman" w:hAnsi="Simplified Arabic" w:cs="Simplified Arabic"/>
                <w:color w:val="000000" w:themeColor="text1"/>
                <w:kern w:val="0"/>
                <w:sz w:val="28"/>
                <w:szCs w:val="28"/>
                <w:rtl/>
                <w14:ligatures w14:val="none"/>
              </w:rPr>
              <w:t>): توزيع أفراد العينة وفق الخصائص الديموغرافية والوظيفية</w:t>
            </w:r>
          </w:p>
        </w:tc>
        <w:tc>
          <w:tcPr>
            <w:tcW w:w="1276" w:type="dxa"/>
            <w:vAlign w:val="center"/>
          </w:tcPr>
          <w:p w14:paraId="562C24F0" w14:textId="02B07DF6"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51</w:t>
            </w:r>
          </w:p>
        </w:tc>
      </w:tr>
      <w:tr w:rsidR="0027585B" w:rsidRPr="00650C72" w14:paraId="460E53E5"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749AFAB2"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78908289" w14:textId="5B2C95E7"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4 - 2</w:t>
            </w:r>
            <w:r w:rsidRPr="00650C72">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لعبارات بُعد التحليلات التنبؤية للأسعار</w:t>
            </w:r>
          </w:p>
        </w:tc>
        <w:tc>
          <w:tcPr>
            <w:tcW w:w="1276" w:type="dxa"/>
            <w:vAlign w:val="center"/>
          </w:tcPr>
          <w:p w14:paraId="5AECB5FB" w14:textId="04F6534D"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53</w:t>
            </w:r>
          </w:p>
        </w:tc>
      </w:tr>
      <w:tr w:rsidR="0027585B" w:rsidRPr="00650C72" w14:paraId="082BE75F"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3FF36ADD"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785773C1" w14:textId="587FB2E8"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4 - 3</w:t>
            </w:r>
            <w:r w:rsidRPr="00650C72">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لعبارات بُعد نماذج التقييم الآلي</w:t>
            </w:r>
          </w:p>
        </w:tc>
        <w:tc>
          <w:tcPr>
            <w:tcW w:w="1276" w:type="dxa"/>
            <w:vAlign w:val="center"/>
          </w:tcPr>
          <w:p w14:paraId="4E009A4A" w14:textId="384C9119"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54</w:t>
            </w:r>
          </w:p>
        </w:tc>
      </w:tr>
      <w:tr w:rsidR="0027585B" w:rsidRPr="00650C72" w14:paraId="3BCCBED1"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1AF4FF9D"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3FEEA79" w14:textId="35FF4F04"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4 - 4</w:t>
            </w:r>
            <w:r w:rsidRPr="00650C72">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لعبارات بُعد تحليل البيانات الضخمة العقارية</w:t>
            </w:r>
          </w:p>
        </w:tc>
        <w:tc>
          <w:tcPr>
            <w:tcW w:w="1276" w:type="dxa"/>
            <w:vAlign w:val="center"/>
          </w:tcPr>
          <w:p w14:paraId="257605E4" w14:textId="50E1012E"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54</w:t>
            </w:r>
          </w:p>
        </w:tc>
      </w:tr>
      <w:tr w:rsidR="0027585B" w:rsidRPr="00650C72" w14:paraId="428073E3"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9C5F4C3"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0A4BA1DA" w14:textId="1E87130A"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4 - 5</w:t>
            </w:r>
            <w:r w:rsidRPr="00650C72">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لعبارات بُعد أنظمة دعم القرار الذكية</w:t>
            </w:r>
          </w:p>
        </w:tc>
        <w:tc>
          <w:tcPr>
            <w:tcW w:w="1276" w:type="dxa"/>
            <w:vAlign w:val="center"/>
          </w:tcPr>
          <w:p w14:paraId="128CE6D7" w14:textId="408C17FE"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55</w:t>
            </w:r>
          </w:p>
        </w:tc>
      </w:tr>
      <w:tr w:rsidR="0027585B" w:rsidRPr="00650C72" w14:paraId="52D7CB79"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1982944D"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180130F" w14:textId="3EF21E28"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4 - 6</w:t>
            </w:r>
            <w:r w:rsidRPr="00650C72">
              <w:rPr>
                <w:rFonts w:ascii="Simplified Arabic" w:eastAsia="Times New Roman" w:hAnsi="Simplified Arabic" w:cs="Simplified Arabic"/>
                <w:color w:val="000000" w:themeColor="text1"/>
                <w:kern w:val="0"/>
                <w:sz w:val="28"/>
                <w:szCs w:val="28"/>
                <w:rtl/>
                <w14:ligatures w14:val="none"/>
              </w:rPr>
              <w:t>): الترتيب العام لأبعاد أدوات الذكاء الاصطناعي في التقييم العقاري</w:t>
            </w:r>
          </w:p>
        </w:tc>
        <w:tc>
          <w:tcPr>
            <w:tcW w:w="1276" w:type="dxa"/>
            <w:vAlign w:val="center"/>
          </w:tcPr>
          <w:p w14:paraId="6967EC0E" w14:textId="50536F0D"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56</w:t>
            </w:r>
          </w:p>
        </w:tc>
      </w:tr>
      <w:tr w:rsidR="0027585B" w:rsidRPr="00650C72" w14:paraId="5673E56B"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34C00C5"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5C685C5" w14:textId="697BAEDC"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4 - 7</w:t>
            </w:r>
            <w:r w:rsidRPr="00650C72">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لعبارات جودة القرار الاستثماري</w:t>
            </w:r>
          </w:p>
        </w:tc>
        <w:tc>
          <w:tcPr>
            <w:tcW w:w="1276" w:type="dxa"/>
            <w:vAlign w:val="center"/>
          </w:tcPr>
          <w:p w14:paraId="6C06A850" w14:textId="1C9EB03B"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57</w:t>
            </w:r>
          </w:p>
        </w:tc>
      </w:tr>
      <w:tr w:rsidR="0027585B" w:rsidRPr="00650C72" w14:paraId="1E3803FA"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133E0BCD"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E576075" w14:textId="48F00EF4"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4 - 8</w:t>
            </w:r>
            <w:r w:rsidRPr="00650C72">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أدوات الذكاء الاصطناعي في التقييم العقاري على جودة القرار الاستثماري</w:t>
            </w:r>
          </w:p>
        </w:tc>
        <w:tc>
          <w:tcPr>
            <w:tcW w:w="1276" w:type="dxa"/>
            <w:vAlign w:val="center"/>
          </w:tcPr>
          <w:p w14:paraId="091C500F" w14:textId="150CCE10"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58</w:t>
            </w:r>
          </w:p>
        </w:tc>
      </w:tr>
      <w:tr w:rsidR="0027585B" w:rsidRPr="00650C72" w14:paraId="23CB02C6"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3E27D45A"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190A5F1C" w14:textId="3C7A8919"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4 - 9</w:t>
            </w:r>
            <w:r w:rsidRPr="00650C72">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التحليلات التنبؤية للأسعار على جودة القرار الاستثماري</w:t>
            </w:r>
          </w:p>
        </w:tc>
        <w:tc>
          <w:tcPr>
            <w:tcW w:w="1276" w:type="dxa"/>
            <w:vAlign w:val="center"/>
          </w:tcPr>
          <w:p w14:paraId="3DEF638E" w14:textId="59204A8E"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60</w:t>
            </w:r>
          </w:p>
        </w:tc>
      </w:tr>
      <w:tr w:rsidR="00650C72" w:rsidRPr="00650C72" w14:paraId="0202C952"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3E152789"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4C9A7814" w14:textId="43EA517C"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4 - 10</w:t>
            </w:r>
            <w:r w:rsidRPr="00650C72">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نماذج التقييم الآلي على جودة القرار الاستثماري</w:t>
            </w:r>
          </w:p>
        </w:tc>
        <w:tc>
          <w:tcPr>
            <w:tcW w:w="1276" w:type="dxa"/>
            <w:vAlign w:val="center"/>
          </w:tcPr>
          <w:p w14:paraId="5CFD71C7" w14:textId="10FA6087"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61</w:t>
            </w:r>
          </w:p>
        </w:tc>
      </w:tr>
      <w:tr w:rsidR="00650C72" w:rsidRPr="00650C72" w14:paraId="02F3DCA7" w14:textId="77777777" w:rsidTr="006C0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D725174"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05ABC1DC" w14:textId="0F44CDE1" w:rsidR="0027585B" w:rsidRPr="00650C72" w:rsidRDefault="0027585B" w:rsidP="0027585B">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4 - 11</w:t>
            </w:r>
            <w:r w:rsidRPr="00650C72">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تحليل البيانات الضخمة العقارية على جودة القرار الاستثماري</w:t>
            </w:r>
          </w:p>
        </w:tc>
        <w:tc>
          <w:tcPr>
            <w:tcW w:w="1276" w:type="dxa"/>
            <w:vAlign w:val="center"/>
          </w:tcPr>
          <w:p w14:paraId="2938CBEC" w14:textId="287E835E" w:rsidR="0027585B" w:rsidRPr="00650C72" w:rsidRDefault="00AF423C"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62</w:t>
            </w:r>
          </w:p>
        </w:tc>
      </w:tr>
      <w:tr w:rsidR="00650C72" w:rsidRPr="00650C72" w14:paraId="353D535A" w14:textId="77777777" w:rsidTr="006C0F6B">
        <w:tc>
          <w:tcPr>
            <w:cnfStyle w:val="001000000000" w:firstRow="0" w:lastRow="0" w:firstColumn="1" w:lastColumn="0" w:oddVBand="0" w:evenVBand="0" w:oddHBand="0" w:evenHBand="0" w:firstRowFirstColumn="0" w:firstRowLastColumn="0" w:lastRowFirstColumn="0" w:lastRowLastColumn="0"/>
            <w:tcW w:w="1264" w:type="dxa"/>
          </w:tcPr>
          <w:p w14:paraId="23A52456" w14:textId="77777777" w:rsidR="0027585B" w:rsidRPr="00650C72" w:rsidRDefault="0027585B" w:rsidP="0027585B">
            <w:pPr>
              <w:pStyle w:val="ListParagraph"/>
              <w:numPr>
                <w:ilvl w:val="0"/>
                <w:numId w:val="36"/>
              </w:numPr>
              <w:spacing w:before="100" w:beforeAutospacing="1" w:after="100" w:afterAutospacing="1" w:line="276" w:lineRule="auto"/>
              <w:ind w:left="360"/>
              <w:jc w:val="center"/>
              <w:rPr>
                <w:rFonts w:ascii="Simplified Arabic" w:hAnsi="Simplified Arabic" w:cs="Simplified Arabic" w:hint="cs"/>
                <w:color w:val="000000" w:themeColor="text1"/>
                <w:sz w:val="28"/>
                <w:szCs w:val="28"/>
                <w:rtl/>
                <w:lang w:bidi="ar-EG"/>
              </w:rPr>
            </w:pPr>
          </w:p>
        </w:tc>
        <w:tc>
          <w:tcPr>
            <w:tcW w:w="6521" w:type="dxa"/>
          </w:tcPr>
          <w:p w14:paraId="116FBDE7" w14:textId="5D9ADD52" w:rsidR="0027585B" w:rsidRPr="00650C72" w:rsidRDefault="0027585B" w:rsidP="0027585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650C72">
              <w:rPr>
                <w:rFonts w:ascii="Simplified Arabic" w:eastAsia="Times New Roman" w:hAnsi="Simplified Arabic" w:cs="Simplified Arabic"/>
                <w:color w:val="000000" w:themeColor="text1"/>
                <w:kern w:val="0"/>
                <w:sz w:val="28"/>
                <w:szCs w:val="28"/>
                <w:rtl/>
                <w14:ligatures w14:val="none"/>
              </w:rPr>
              <w:t>جدول (</w:t>
            </w:r>
            <w:r w:rsidRPr="00650C72">
              <w:rPr>
                <w:rFonts w:ascii="Simplified Arabic" w:eastAsia="Times New Roman" w:hAnsi="Simplified Arabic" w:cs="Simplified Arabic" w:hint="cs"/>
                <w:color w:val="000000" w:themeColor="text1"/>
                <w:kern w:val="0"/>
                <w:sz w:val="28"/>
                <w:szCs w:val="28"/>
                <w:rtl/>
                <w14:ligatures w14:val="none"/>
              </w:rPr>
              <w:t>4 - 12</w:t>
            </w:r>
            <w:r w:rsidRPr="00650C72">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أنظمة دعم القرار الذكية على جودة القرار الاستثماري</w:t>
            </w:r>
          </w:p>
        </w:tc>
        <w:tc>
          <w:tcPr>
            <w:tcW w:w="1276" w:type="dxa"/>
            <w:vAlign w:val="center"/>
          </w:tcPr>
          <w:p w14:paraId="06D50569" w14:textId="5FC40923" w:rsidR="0027585B" w:rsidRPr="00650C72" w:rsidRDefault="00AF423C"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63</w:t>
            </w:r>
          </w:p>
        </w:tc>
      </w:tr>
    </w:tbl>
    <w:p w14:paraId="3E28A90E" w14:textId="77777777" w:rsidR="0088241C" w:rsidRPr="00650C72" w:rsidRDefault="0088241C" w:rsidP="0088241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88241C" w:rsidRPr="00650C72" w:rsidSect="00073937">
          <w:footerReference w:type="default" r:id="rId13"/>
          <w:pgSz w:w="11906" w:h="16838" w:code="9"/>
          <w:pgMar w:top="1134" w:right="1701" w:bottom="1134" w:left="1134" w:header="720" w:footer="720" w:gutter="0"/>
          <w:pgNumType w:fmt="arabicAbjad" w:start="1"/>
          <w:cols w:space="708"/>
          <w:bidi/>
          <w:rtlGutter/>
          <w:docGrid w:linePitch="360"/>
        </w:sectPr>
      </w:pPr>
    </w:p>
    <w:p w14:paraId="11AC0D0F" w14:textId="0DE59AAC" w:rsidR="00073937" w:rsidRPr="00650C72" w:rsidRDefault="0088241C" w:rsidP="0088241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6" w:name="_Hlk172151144"/>
      <w:bookmarkStart w:id="7" w:name="_Toc169790489"/>
      <w:bookmarkStart w:id="8" w:name="_Toc234796416"/>
      <w:r w:rsidRPr="00650C72">
        <w:rPr>
          <w:rFonts w:ascii="Simplified Arabic" w:hAnsi="Simplified Arabic" w:cs="Simplified Arabic" w:hint="cs"/>
          <w:b/>
          <w:bCs/>
          <w:color w:val="000000" w:themeColor="text1"/>
          <w:sz w:val="40"/>
          <w:szCs w:val="40"/>
          <w:rtl/>
        </w:rPr>
        <w:lastRenderedPageBreak/>
        <w:t>الفصل الأول: الإطار العام للدراسة</w:t>
      </w:r>
      <w:bookmarkEnd w:id="8"/>
    </w:p>
    <w:p w14:paraId="3C6B5F13" w14:textId="45D09322" w:rsidR="0088241C" w:rsidRPr="00650C72" w:rsidRDefault="0088241C" w:rsidP="0088241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9" w:name="_Toc234796417"/>
      <w:r w:rsidRPr="00650C72">
        <w:rPr>
          <w:rFonts w:ascii="Simplified Arabic" w:hAnsi="Simplified Arabic" w:cs="Simplified Arabic" w:hint="cs"/>
          <w:b/>
          <w:bCs/>
          <w:color w:val="000000" w:themeColor="text1"/>
          <w:sz w:val="36"/>
          <w:szCs w:val="36"/>
          <w:rtl/>
        </w:rPr>
        <w:t>1.1 المقدمة</w:t>
      </w:r>
      <w:bookmarkEnd w:id="9"/>
    </w:p>
    <w:p w14:paraId="7B5A7533" w14:textId="4CD4176F"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يُعدّ القطاع العقاري من أكثر القطاعات الاقتصادية ديناميكيةً وتأثيراً في الناتج المحلي الإجمالي للدول، إذ يرتبط ارتباطاً عضوياً بحركة رؤوس الأموال والتوظيف والتنمية الحضرية، ويُشكّل في المملكة العربية السعودية ركيزة محورية ضمن مستهدفات رؤية 2030 الرامية إلى تنويع مصادر الدخل الوطني وتعزيز مساهمة الأنشطة غير النفطية. وقد شهدت العقود الأخيرة تطوراً متسارعاً في تقنيات الذكاء الاصطناعي وتطبيقاتها عبر مختلف الميادين، حيث أصبحت هذه التقنيات أداةً محورية في إعادة تشكيل أنماط العمل واتخاذ القرار داخل المنظمات المعاصرة</w:t>
      </w:r>
      <w:r w:rsidRPr="00650C72">
        <w:rPr>
          <w:rFonts w:ascii="Simplified Arabic" w:hAnsi="Simplified Arabic" w:cs="Simplified Arabic"/>
          <w:color w:val="000000" w:themeColor="text1"/>
          <w:sz w:val="28"/>
          <w:szCs w:val="28"/>
        </w:rPr>
        <w:t xml:space="preserve"> (El</w:t>
      </w:r>
      <w:r w:rsidRPr="00650C72">
        <w:rPr>
          <w:rFonts w:ascii="Simplified Arabic" w:hAnsi="Simplified Arabic" w:cs="Simplified Arabic"/>
          <w:color w:val="000000" w:themeColor="text1"/>
          <w:sz w:val="28"/>
          <w:szCs w:val="28"/>
        </w:rPr>
        <w:noBreakHyphen/>
        <w:t>Emary</w:t>
      </w:r>
      <w:r w:rsidR="006E6BDA" w:rsidRPr="00650C72">
        <w:rPr>
          <w:rFonts w:ascii="Simplified Arabic" w:hAnsi="Simplified Arabic" w:cs="Simplified Arabic"/>
          <w:color w:val="000000" w:themeColor="text1"/>
          <w:sz w:val="28"/>
          <w:szCs w:val="28"/>
        </w:rPr>
        <w:t xml:space="preserve"> et al</w:t>
      </w:r>
      <w:r w:rsidRPr="00650C72">
        <w:rPr>
          <w:rFonts w:ascii="Simplified Arabic" w:hAnsi="Simplified Arabic" w:cs="Simplified Arabic"/>
          <w:color w:val="000000" w:themeColor="text1"/>
          <w:sz w:val="28"/>
          <w:szCs w:val="28"/>
        </w:rPr>
        <w:t>, 2020).</w:t>
      </w:r>
    </w:p>
    <w:p w14:paraId="584F2C3F" w14:textId="20124C01"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 xml:space="preserve"> برزت أدوات الذكاء الاصطناعي بوصفها منظومة متكاملة تضم عدة أبعاد تُعيد صياغة المنهجيات التقليدية في تقدير قيمة الأصول العقارية. فالتحليلات التنبؤية للأسعار المبنية على خوارزميات التعلم الآلي تُمكّن من استشراف الاتجاهات المستقبلية للسوق بدقة تفوق النماذج الإحصائية الكلاسيكية، بينما تُتيح نماذج التقييم الآلي تقدير القيمة السوقية العادلة من خلال معالجة كميات هائلة من بيانات الصفقات التاريخية والمتغيرات النوعية في وقت قياسي، كما أن تحليل البيانات الضخمة يدمج مصادر متعددة كالبيانات الجيومكانية والمؤشرات الاقتصادية الكلية لتوفير رؤية شاملة، إلى جانب أنظمة دعم القرار الذكية التي تُساعد المستثمرين في ترشيد خياراتهم وتقليل التحيزات المعرفية</w:t>
      </w:r>
      <w:r w:rsidRPr="00650C72">
        <w:rPr>
          <w:rFonts w:ascii="Simplified Arabic" w:hAnsi="Simplified Arabic" w:cs="Simplified Arabic"/>
          <w:color w:val="000000" w:themeColor="text1"/>
          <w:sz w:val="28"/>
          <w:szCs w:val="28"/>
        </w:rPr>
        <w:t xml:space="preserve"> (Karanikolas</w:t>
      </w:r>
      <w:r w:rsidR="006E6BDA" w:rsidRPr="00650C72">
        <w:rPr>
          <w:rFonts w:ascii="Simplified Arabic" w:eastAsiaTheme="minorHAnsi" w:hAnsi="Simplified Arabic" w:cs="Simplified Arabic"/>
          <w:color w:val="000000" w:themeColor="text1"/>
          <w:kern w:val="2"/>
          <w:sz w:val="28"/>
          <w:szCs w:val="28"/>
          <w14:ligatures w14:val="standardContextual"/>
        </w:rPr>
        <w:t xml:space="preserve"> </w:t>
      </w:r>
      <w:r w:rsidR="006E6BDA" w:rsidRPr="00650C72">
        <w:rPr>
          <w:rFonts w:ascii="Simplified Arabic" w:hAnsi="Simplified Arabic" w:cs="Simplified Arabic"/>
          <w:color w:val="000000" w:themeColor="text1"/>
          <w:sz w:val="28"/>
          <w:szCs w:val="28"/>
        </w:rPr>
        <w:t xml:space="preserve">et al, </w:t>
      </w:r>
      <w:r w:rsidRPr="00650C72">
        <w:rPr>
          <w:rFonts w:ascii="Simplified Arabic" w:hAnsi="Simplified Arabic" w:cs="Simplified Arabic"/>
          <w:color w:val="000000" w:themeColor="text1"/>
          <w:sz w:val="28"/>
          <w:szCs w:val="28"/>
        </w:rPr>
        <w:t xml:space="preserve"> 2025).</w:t>
      </w:r>
    </w:p>
    <w:p w14:paraId="400B16CA" w14:textId="77777777" w:rsidR="006E6BDA"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وتتجاوز قدرات هذه الأدوات حدود التقييم لتمتد إلى مجالات أوسع في دعم القرار المالي والاستثماري، حيث أسهمت التحليلات التنبؤية والروبوتات الاستشارية في رفع كفاءة إدارة المحافظ الاستثمارية وتحسين العوائد المعدّلة بالمخاطر عبر قطاعات مالية متعددة</w:t>
      </w:r>
      <w:r w:rsidRPr="00650C72">
        <w:rPr>
          <w:rFonts w:ascii="Simplified Arabic" w:hAnsi="Simplified Arabic" w:cs="Simplified Arabic"/>
          <w:color w:val="000000" w:themeColor="text1"/>
          <w:sz w:val="28"/>
          <w:szCs w:val="28"/>
        </w:rPr>
        <w:t xml:space="preserve"> (Khanna, 2021).</w:t>
      </w:r>
    </w:p>
    <w:p w14:paraId="70615D80" w14:textId="7082797D"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Pr>
        <w:t xml:space="preserve"> </w:t>
      </w:r>
      <w:r w:rsidRPr="00650C72">
        <w:rPr>
          <w:rFonts w:ascii="Simplified Arabic" w:hAnsi="Simplified Arabic" w:cs="Simplified Arabic"/>
          <w:color w:val="000000" w:themeColor="text1"/>
          <w:sz w:val="28"/>
          <w:szCs w:val="28"/>
          <w:rtl/>
        </w:rPr>
        <w:t>كما أثبتت الخوارزميات الجينية قدرتها على تحسين مكوّنات نماذج التقييم الآلي وزيادة دقتها في ظروف عدم اليقين السوقي عند تطبيقها على بيانات الصفقات العقارية الفعلية</w:t>
      </w:r>
      <w:r w:rsidRPr="00650C72">
        <w:rPr>
          <w:rFonts w:ascii="Simplified Arabic" w:hAnsi="Simplified Arabic" w:cs="Simplified Arabic"/>
          <w:color w:val="000000" w:themeColor="text1"/>
          <w:sz w:val="28"/>
          <w:szCs w:val="28"/>
        </w:rPr>
        <w:t xml:space="preserve"> (Chmielewska</w:t>
      </w:r>
      <w:r w:rsidR="006E6BDA" w:rsidRPr="00650C72">
        <w:rPr>
          <w:rFonts w:ascii="Simplified Arabic" w:eastAsiaTheme="minorHAnsi" w:hAnsi="Simplified Arabic" w:cs="Simplified Arabic"/>
          <w:color w:val="000000" w:themeColor="text1"/>
          <w:kern w:val="2"/>
          <w:sz w:val="28"/>
          <w:szCs w:val="28"/>
          <w14:ligatures w14:val="standardContextual"/>
        </w:rPr>
        <w:t xml:space="preserve"> </w:t>
      </w:r>
      <w:r w:rsidR="006E6BDA" w:rsidRPr="00650C72">
        <w:rPr>
          <w:rFonts w:ascii="Simplified Arabic" w:hAnsi="Simplified Arabic" w:cs="Simplified Arabic"/>
          <w:color w:val="000000" w:themeColor="text1"/>
          <w:sz w:val="28"/>
          <w:szCs w:val="28"/>
        </w:rPr>
        <w:t>et al</w:t>
      </w:r>
      <w:r w:rsidRPr="00650C72">
        <w:rPr>
          <w:rFonts w:ascii="Simplified Arabic" w:hAnsi="Simplified Arabic" w:cs="Simplified Arabic"/>
          <w:color w:val="000000" w:themeColor="text1"/>
          <w:sz w:val="28"/>
          <w:szCs w:val="28"/>
        </w:rPr>
        <w:t>, 2020).</w:t>
      </w:r>
    </w:p>
    <w:p w14:paraId="7547EA9D" w14:textId="47FFB39A"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وعليه، تأتي هذه الدراسة لتسدّ فجوة بحثية واضحة من خلال استقصاء أثر أدوات الذكاء الاصطناعي في التقييم العقاري بأبعادها الأربعة</w:t>
      </w:r>
      <w:r w:rsidR="006E6BDA" w:rsidRPr="00650C72">
        <w:rPr>
          <w:rFonts w:ascii="Simplified Arabic" w:hAnsi="Simplified Arabic" w:cs="Simplified Arabic"/>
          <w:color w:val="000000" w:themeColor="text1"/>
          <w:sz w:val="28"/>
          <w:szCs w:val="28"/>
          <w:rtl/>
        </w:rPr>
        <w:t xml:space="preserve"> </w:t>
      </w:r>
      <w:r w:rsidRPr="00650C72">
        <w:rPr>
          <w:rFonts w:ascii="Simplified Arabic" w:hAnsi="Simplified Arabic" w:cs="Simplified Arabic"/>
          <w:color w:val="000000" w:themeColor="text1"/>
          <w:sz w:val="28"/>
          <w:szCs w:val="28"/>
          <w:rtl/>
        </w:rPr>
        <w:t xml:space="preserve">التحليلات التنبؤية للأسعار، ونماذج التقييم الآلي، وتحليل البيانات </w:t>
      </w:r>
      <w:r w:rsidRPr="00650C72">
        <w:rPr>
          <w:rFonts w:ascii="Simplified Arabic" w:hAnsi="Simplified Arabic" w:cs="Simplified Arabic"/>
          <w:color w:val="000000" w:themeColor="text1"/>
          <w:sz w:val="28"/>
          <w:szCs w:val="28"/>
          <w:rtl/>
        </w:rPr>
        <w:lastRenderedPageBreak/>
        <w:t>الضخمة العقارية، وأنظمة دعم القرار الذكية  على جودة القرار الاستثماري في شركات التطوير والاستثمار العقاري بالمملكة العربية السعودية، بما يُسهم في تقديم إطار علمي وتطبيقي يُمكن أن يُوجّه الممارسة المهنية والسياسات التنظيمية في هذا القطاع الحيوي</w:t>
      </w:r>
      <w:r w:rsidRPr="00650C72">
        <w:rPr>
          <w:rFonts w:ascii="Simplified Arabic" w:hAnsi="Simplified Arabic" w:cs="Simplified Arabic"/>
          <w:color w:val="000000" w:themeColor="text1"/>
          <w:sz w:val="28"/>
          <w:szCs w:val="28"/>
        </w:rPr>
        <w:t>.</w:t>
      </w:r>
    </w:p>
    <w:p w14:paraId="3DD13FEF" w14:textId="350703CD" w:rsidR="0088241C" w:rsidRPr="00650C72" w:rsidRDefault="0088241C" w:rsidP="0088241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0" w:name="_Toc169790490"/>
      <w:bookmarkStart w:id="11" w:name="_Toc234796418"/>
      <w:bookmarkEnd w:id="6"/>
      <w:bookmarkEnd w:id="7"/>
      <w:r w:rsidRPr="00650C72">
        <w:rPr>
          <w:rFonts w:ascii="Simplified Arabic" w:hAnsi="Simplified Arabic" w:cs="Simplified Arabic"/>
          <w:b/>
          <w:bCs/>
          <w:color w:val="000000" w:themeColor="text1"/>
          <w:sz w:val="36"/>
          <w:szCs w:val="36"/>
          <w:rtl/>
        </w:rPr>
        <w:t>2.1 مشكلة الدراسة</w:t>
      </w:r>
      <w:bookmarkEnd w:id="11"/>
    </w:p>
    <w:p w14:paraId="446D09DB" w14:textId="2B1F345D"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يشهد قطاع التطوير والاستثمار العقاري في المملكة العربية السعودية تحولات هيكلية متسارعة في ظل رؤية المملكة 2030 التي وضعت القطاع العقاري في صدارة المحركات الاقتصادية غير النفطية، إذ تستهدف رفع نسبة تملك المساكن إلى 70% وضخ استثمارات تتجاوز تريليون ريال في المشروعات العقارية الكبرى كمشروع نيوم والقدية وروشن وغيرها. وقد أفرز هذا التوسع الهائل بيئة استثمارية بالغة التعقيد تتسم بتعدد المتغيرات المؤثرة في أسعار الأصول العقارية وتقلباتها المستمرة، مما جعل الأساليب التقليدية في التقييم العقاري واتخاذ القرار الاستثماري — التي تعتمد بشكل رئيسي على الخبرة الشخصية للمقيّم والمقارنة السوقية المحدودة والتحليل المالي الكلاسيكي</w:t>
      </w:r>
      <w:r w:rsidR="006E6BDA" w:rsidRPr="00650C72">
        <w:rPr>
          <w:rFonts w:ascii="Simplified Arabic" w:hAnsi="Simplified Arabic" w:cs="Simplified Arabic"/>
          <w:color w:val="000000" w:themeColor="text1"/>
          <w:sz w:val="28"/>
          <w:szCs w:val="28"/>
          <w:rtl/>
        </w:rPr>
        <w:t xml:space="preserve"> </w:t>
      </w:r>
      <w:r w:rsidRPr="00650C72">
        <w:rPr>
          <w:rFonts w:ascii="Simplified Arabic" w:hAnsi="Simplified Arabic" w:cs="Simplified Arabic"/>
          <w:color w:val="000000" w:themeColor="text1"/>
          <w:sz w:val="28"/>
          <w:szCs w:val="28"/>
          <w:rtl/>
        </w:rPr>
        <w:t>قاصرة عن مواكبة حجم البيانات المتدفقة وسرعة التغيرات السوقية ودرجة التشابك بين العوامل الاقتصادية والديموغرافية والتنظيمية التي تحكم حركة السوق</w:t>
      </w:r>
      <w:r w:rsidRPr="00650C72">
        <w:rPr>
          <w:rFonts w:ascii="Simplified Arabic" w:hAnsi="Simplified Arabic" w:cs="Simplified Arabic"/>
          <w:color w:val="000000" w:themeColor="text1"/>
          <w:sz w:val="28"/>
          <w:szCs w:val="28"/>
        </w:rPr>
        <w:t>.</w:t>
      </w:r>
    </w:p>
    <w:p w14:paraId="2F680C7B" w14:textId="77777777"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وتتفاقم هذه الفجوة في ضوء التحديات التي يواجهها صناع القرار الاستثماري في الشركات العقارية السعودية، والتي تتمثل في محدودية البيانات المهيكلة والمتاحة رقمياً عن حركة الأسعار التاريخية، وغياب أنظمة دعم قرار ذكية متكاملة تربط بين مصادر البيانات المتعددة كبيانات السجل العقاري والمؤشرات الاقتصادية والبيانات الجيومكانية، فضلاً عن الاعتماد المفرط على الحكم الشخصي الذي يفضي في كثير من الأحيان إلى تحيزات معرفية تُضعف موضوعية القرار ودقته. وقد نبّهت دراسة</w:t>
      </w:r>
      <w:r w:rsidRPr="00650C72">
        <w:rPr>
          <w:rFonts w:ascii="Simplified Arabic" w:hAnsi="Simplified Arabic" w:cs="Simplified Arabic"/>
          <w:color w:val="000000" w:themeColor="text1"/>
          <w:sz w:val="28"/>
          <w:szCs w:val="28"/>
        </w:rPr>
        <w:t xml:space="preserve"> Onyenahazi &amp; Antwi (2024) </w:t>
      </w:r>
      <w:r w:rsidRPr="00650C72">
        <w:rPr>
          <w:rFonts w:ascii="Simplified Arabic" w:hAnsi="Simplified Arabic" w:cs="Simplified Arabic"/>
          <w:color w:val="000000" w:themeColor="text1"/>
          <w:sz w:val="28"/>
          <w:szCs w:val="28"/>
          <w:rtl/>
        </w:rPr>
        <w:t>إلى أن غياب الشفافية في خوارزميات الذكاء الاصطناعي ومخاطر التحيز الخوارزمي يمثلان عقبتين رئيسيتين أمام تبني هذه الأدوات في إدارة الأصول العقارية، وهو ما يستوجب دراسة معمقة للسياق السعودي خاصة</w:t>
      </w:r>
      <w:r w:rsidRPr="00650C72">
        <w:rPr>
          <w:rFonts w:ascii="Simplified Arabic" w:hAnsi="Simplified Arabic" w:cs="Simplified Arabic"/>
          <w:color w:val="000000" w:themeColor="text1"/>
          <w:sz w:val="28"/>
          <w:szCs w:val="28"/>
        </w:rPr>
        <w:t>.</w:t>
      </w:r>
    </w:p>
    <w:p w14:paraId="45B3A57F" w14:textId="17C7EEC9" w:rsidR="00ED11D0" w:rsidRPr="00650C72" w:rsidRDefault="00ED11D0" w:rsidP="0088241C">
      <w:pPr>
        <w:pStyle w:val="NormalWeb"/>
        <w:bidi/>
        <w:spacing w:line="276" w:lineRule="auto"/>
        <w:ind w:firstLine="424"/>
        <w:jc w:val="both"/>
        <w:rPr>
          <w:rFonts w:ascii="Simplified Arabic" w:hAnsi="Simplified Arabic" w:cs="Simplified Arabic"/>
          <w:color w:val="000000" w:themeColor="text1"/>
          <w:sz w:val="28"/>
          <w:szCs w:val="28"/>
        </w:rPr>
      </w:pPr>
      <w:r w:rsidRPr="00650C72">
        <w:rPr>
          <w:rFonts w:ascii="Simplified Arabic" w:hAnsi="Simplified Arabic" w:cs="Simplified Arabic"/>
          <w:color w:val="000000" w:themeColor="text1"/>
          <w:sz w:val="28"/>
          <w:szCs w:val="28"/>
          <w:rtl/>
        </w:rPr>
        <w:t xml:space="preserve">وبناءً على ما تقدم، تتبلور مشكلة الدراسة الحالية في وجود قصور واضح في توظيف أدوات الذكاء الاصطناعي — بأبعادها الأربعة: التحليلات التنبؤية للأسعار، ونماذج التقييم الآلي، وتحليل البيانات الضخمة العقارية، وأنظمة دعم القرار الذكية  في عمليات التقييم العقاري داخل شركات التطوير والاستثمار العقاري بالمملكة العربية السعودية، وما يترتب على ذلك من تأثير سلبي محتمل على جودة القرار الاستثماري من حيث الدقة والسرعة والشمولية والموضوعية. ومن ثَمَّ تسعى هذه الدراسة إلى الإجابة عن التساؤل </w:t>
      </w:r>
      <w:r w:rsidRPr="00650C72">
        <w:rPr>
          <w:rFonts w:ascii="Simplified Arabic" w:hAnsi="Simplified Arabic" w:cs="Simplified Arabic"/>
          <w:color w:val="000000" w:themeColor="text1"/>
          <w:sz w:val="28"/>
          <w:szCs w:val="28"/>
          <w:rtl/>
        </w:rPr>
        <w:lastRenderedPageBreak/>
        <w:t>الرئيسي</w:t>
      </w:r>
      <w:r w:rsidRPr="00650C72">
        <w:rPr>
          <w:rFonts w:ascii="Simplified Arabic" w:hAnsi="Simplified Arabic" w:cs="Simplified Arabic"/>
          <w:color w:val="000000" w:themeColor="text1"/>
          <w:sz w:val="28"/>
          <w:szCs w:val="28"/>
        </w:rPr>
        <w:t xml:space="preserve">: </w:t>
      </w:r>
      <w:r w:rsidRPr="00650C72">
        <w:rPr>
          <w:rStyle w:val="Strong"/>
          <w:rFonts w:ascii="Simplified Arabic" w:hAnsi="Simplified Arabic" w:cs="Simplified Arabic"/>
          <w:b w:val="0"/>
          <w:bCs w:val="0"/>
          <w:color w:val="000000" w:themeColor="text1"/>
          <w:sz w:val="28"/>
          <w:szCs w:val="28"/>
          <w:rtl/>
        </w:rPr>
        <w:t>ما أثر استخدام أدوات الذكاء الاصطناعي في التقييم العقاري بأبعادها الأربعة على جودة القرار الاستثماري في شركات التطوير والاستثمار العقاري بالمملكة العربية السعودية؟</w:t>
      </w:r>
    </w:p>
    <w:p w14:paraId="556E605F" w14:textId="38C78968"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0"/>
      <w:bookmarkStart w:id="13" w:name="_Toc234796419"/>
      <w:bookmarkEnd w:id="10"/>
      <w:r w:rsidRPr="00650C72">
        <w:rPr>
          <w:rFonts w:ascii="Simplified Arabic" w:eastAsia="Times New Roman" w:hAnsi="Simplified Arabic" w:cs="Simplified Arabic"/>
          <w:b/>
          <w:bCs/>
          <w:color w:val="000000" w:themeColor="text1"/>
          <w:kern w:val="0"/>
          <w:sz w:val="36"/>
          <w:szCs w:val="36"/>
          <w:rtl/>
          <w14:ligatures w14:val="none"/>
        </w:rPr>
        <w:t>3.1 أهداف الدراسة:</w:t>
      </w:r>
      <w:bookmarkEnd w:id="13"/>
    </w:p>
    <w:p w14:paraId="7B43C27C"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تهدف هذه الدراسة إلى دراسة أثر استخدام أدوات الذكاء الاصطناعي في التقييم العقاري بأبعاده (التحليلات التنبؤية للأسعار،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r w:rsidRPr="00650C72">
        <w:rPr>
          <w:rFonts w:ascii="Simplified Arabic" w:eastAsia="Times New Roman" w:hAnsi="Simplified Arabic" w:cs="Simplified Arabic"/>
          <w:color w:val="000000" w:themeColor="text1"/>
          <w:kern w:val="0"/>
          <w:sz w:val="28"/>
          <w:szCs w:val="28"/>
          <w:rtl/>
          <w14:ligatures w14:val="none"/>
        </w:rPr>
        <w:t>، تحليل البيانات الضخمة العقارية، أنظمة دعم القرار الذكية) على جودة القرار الاستثماري في شركات التطوير والاستثمار العقاري بالمملكة العربية السعودية</w:t>
      </w:r>
      <w:r w:rsidRPr="00650C72">
        <w:rPr>
          <w:rFonts w:ascii="Simplified Arabic" w:eastAsia="Times New Roman" w:hAnsi="Simplified Arabic" w:cs="Simplified Arabic"/>
          <w:color w:val="000000" w:themeColor="text1"/>
          <w:kern w:val="0"/>
          <w:sz w:val="28"/>
          <w:szCs w:val="28"/>
          <w14:ligatures w14:val="none"/>
        </w:rPr>
        <w:t>.</w:t>
      </w:r>
    </w:p>
    <w:p w14:paraId="3179E33E" w14:textId="7A758B69" w:rsidR="00ED11D0" w:rsidRPr="00650C72" w:rsidRDefault="00ED11D0"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650C72">
        <w:rPr>
          <w:rFonts w:ascii="Simplified Arabic" w:eastAsia="Times New Roman" w:hAnsi="Simplified Arabic" w:cs="Simplified Arabic"/>
          <w:b/>
          <w:bCs/>
          <w:color w:val="000000" w:themeColor="text1"/>
          <w:kern w:val="0"/>
          <w:sz w:val="28"/>
          <w:szCs w:val="28"/>
          <w14:ligatures w14:val="none"/>
        </w:rPr>
        <w:t>:</w:t>
      </w:r>
    </w:p>
    <w:p w14:paraId="2C0F7C32" w14:textId="4EEA27AB" w:rsidR="00ED11D0" w:rsidRPr="00650C72" w:rsidRDefault="00ED11D0" w:rsidP="0088241C">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قياس أثر استخدام التحليلات التنبؤية للأسعار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691C4641" w14:textId="0800B84C" w:rsidR="00ED11D0" w:rsidRPr="00650C72" w:rsidRDefault="00ED11D0" w:rsidP="0088241C">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تحديد أثر استخدام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7CC01F60" w14:textId="1EAAE1AD" w:rsidR="00ED11D0" w:rsidRPr="00650C72" w:rsidRDefault="00ED11D0" w:rsidP="0088241C">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الكشف عن أثر استخدام أدوات تحليل البيانات الضخمة العقارية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71809810" w14:textId="1CA067D1" w:rsidR="00ED11D0" w:rsidRPr="00650C72" w:rsidRDefault="00ED11D0" w:rsidP="0088241C">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تقييم أثر استخدام أنظمة دعم القرار الذكية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1E9D17F9" w14:textId="77777777" w:rsidR="0088241C" w:rsidRPr="00650C72" w:rsidRDefault="0088241C" w:rsidP="0088241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4796420"/>
      <w:r w:rsidRPr="00650C72">
        <w:rPr>
          <w:rFonts w:ascii="Simplified Arabic" w:eastAsia="Times New Roman" w:hAnsi="Simplified Arabic" w:cs="Simplified Arabic"/>
          <w:b/>
          <w:bCs/>
          <w:color w:val="000000" w:themeColor="text1"/>
          <w:kern w:val="0"/>
          <w:sz w:val="36"/>
          <w:szCs w:val="36"/>
          <w:rtl/>
          <w14:ligatures w14:val="none"/>
        </w:rPr>
        <w:t>4.1 أسئلة الدراسة</w:t>
      </w:r>
      <w:bookmarkEnd w:id="14"/>
    </w:p>
    <w:p w14:paraId="3A4809F9" w14:textId="0BAD72F1"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السؤال الرئيسي: ما أثر استخدام أدوات الذكاء الاصطناعي في التقييم العقاري بأبعاده (التحليلات التنبؤية للأسعار، نماذج التقييم الآلي، تحليل البيانات الضخمة العقارية، أنظمة دعم القرار الذكية) على جودة القرار الاستثماري في شركات التطوير والاستثمار العقاري بالمملكة العربية السعودية؟</w:t>
      </w:r>
    </w:p>
    <w:p w14:paraId="03459E05" w14:textId="77777777" w:rsidR="00ED11D0" w:rsidRPr="00650C72" w:rsidRDefault="00ED11D0"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650C72">
        <w:rPr>
          <w:rFonts w:ascii="Simplified Arabic" w:eastAsia="Times New Roman" w:hAnsi="Simplified Arabic" w:cs="Simplified Arabic"/>
          <w:b/>
          <w:bCs/>
          <w:color w:val="000000" w:themeColor="text1"/>
          <w:kern w:val="0"/>
          <w:sz w:val="28"/>
          <w:szCs w:val="28"/>
          <w14:ligatures w14:val="none"/>
        </w:rPr>
        <w:t>:</w:t>
      </w:r>
    </w:p>
    <w:p w14:paraId="20CBDF4A" w14:textId="77777777" w:rsidR="00ED11D0" w:rsidRPr="00650C72" w:rsidRDefault="00ED11D0" w:rsidP="0088241C">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ما أثر استخدام التحليلات التنبؤية للأسعار القائمة على الذكاء الاصطناعي على جودة القرار الاستثماري في شركات التطوير والاستثمار العقاري السعودية؟</w:t>
      </w:r>
    </w:p>
    <w:p w14:paraId="4841D993" w14:textId="77777777" w:rsidR="00ED11D0" w:rsidRPr="00650C72" w:rsidRDefault="00ED11D0" w:rsidP="0088241C">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ما أثر استخدام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القائمة على الذكاء الاصطناعي على جودة القرار الاستثماري في شركات التطوير والاستثمار العقاري السعودية؟</w:t>
      </w:r>
    </w:p>
    <w:p w14:paraId="2144B605" w14:textId="77777777" w:rsidR="00ED11D0" w:rsidRPr="00650C72" w:rsidRDefault="00ED11D0" w:rsidP="0088241C">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ما أثر استخدام أدوات تحليل البيانات الضخمة العقارية القائمة على الذكاء الاصطناعي على جودة القرار الاستثماري في شركات التطوير والاستثمار العقاري السعودية؟</w:t>
      </w:r>
    </w:p>
    <w:p w14:paraId="64079A95" w14:textId="77777777" w:rsidR="00ED11D0" w:rsidRPr="00650C72" w:rsidRDefault="00ED11D0" w:rsidP="0088241C">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ما أثر استخدام أنظمة دعم القرار الذكية القائمة على الذكاء الاصطناعي على جودة القرار الاستثماري في شركات التطوير والاستثمار العقاري السعودية؟</w:t>
      </w:r>
    </w:p>
    <w:p w14:paraId="147CCC0D" w14:textId="77777777" w:rsidR="0088241C" w:rsidRPr="00650C72" w:rsidRDefault="0088241C" w:rsidP="0088241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4796421"/>
      <w:r w:rsidRPr="00650C72">
        <w:rPr>
          <w:rFonts w:ascii="Simplified Arabic" w:eastAsia="Times New Roman" w:hAnsi="Simplified Arabic" w:cs="Simplified Arabic"/>
          <w:b/>
          <w:bCs/>
          <w:color w:val="000000" w:themeColor="text1"/>
          <w:kern w:val="0"/>
          <w:sz w:val="36"/>
          <w:szCs w:val="36"/>
          <w:rtl/>
          <w14:ligatures w14:val="none"/>
        </w:rPr>
        <w:t>5.1 فرضيات الدراسة</w:t>
      </w:r>
      <w:bookmarkEnd w:id="15"/>
    </w:p>
    <w:p w14:paraId="0972ACDA" w14:textId="12ACC07A"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الفرض الرئيسي: يوجد أثر ذو دلالة إحصائية عند مستوى معنوية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0.05</w:t>
      </w:r>
      <w:r w:rsidRPr="00650C72">
        <w:rPr>
          <w:rFonts w:ascii="Simplified Arabic" w:eastAsia="Times New Roman" w:hAnsi="Simplified Arabic" w:cs="Simplified Arabic"/>
          <w:color w:val="000000" w:themeColor="text1"/>
          <w:kern w:val="0"/>
          <w:sz w:val="28"/>
          <w:szCs w:val="28"/>
          <w:rtl/>
          <w14:ligatures w14:val="none"/>
        </w:rPr>
        <w:t>) لاستخدام أدوات الذكاء الاصطناعي في التقييم العقاري بأبعاده مجتمعة (التحليلات التنبؤية للأسعار، نماذج التقييم الآلي، تحليل البيانات الضخمة العقارية، أنظمة دعم القرار الذكية) على جودة القرار الاستثماري في شركات التطوير والاستثمار العقاري بالمملكة العربية السعودية.</w:t>
      </w:r>
    </w:p>
    <w:p w14:paraId="1E76BB86" w14:textId="77777777" w:rsidR="00ED11D0" w:rsidRPr="00650C72" w:rsidRDefault="00ED11D0"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وينبثق من هذا الفرض الرئيسي الفرضيات الفرعية التالية</w:t>
      </w:r>
      <w:r w:rsidRPr="00650C72">
        <w:rPr>
          <w:rFonts w:ascii="Simplified Arabic" w:eastAsia="Times New Roman" w:hAnsi="Simplified Arabic" w:cs="Simplified Arabic"/>
          <w:b/>
          <w:bCs/>
          <w:color w:val="000000" w:themeColor="text1"/>
          <w:kern w:val="0"/>
          <w:sz w:val="28"/>
          <w:szCs w:val="28"/>
          <w14:ligatures w14:val="none"/>
        </w:rPr>
        <w:t>:</w:t>
      </w:r>
    </w:p>
    <w:p w14:paraId="4C04D93F" w14:textId="77777777" w:rsidR="00ED11D0" w:rsidRPr="00650C72" w:rsidRDefault="00ED11D0" w:rsidP="0088241C">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H</w:t>
      </w:r>
      <w:r w:rsidRPr="00650C72">
        <w:rPr>
          <w:rFonts w:ascii="Times New Roman" w:eastAsia="Times New Roman" w:hAnsi="Times New Roman" w:cs="Times New Roman"/>
          <w:color w:val="000000" w:themeColor="text1"/>
          <w:kern w:val="0"/>
          <w:sz w:val="28"/>
          <w:szCs w:val="28"/>
          <w14:ligatures w14:val="none"/>
        </w:rPr>
        <w:t>₁</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التحليلات التنبؤية للأسعار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710F305B" w14:textId="77777777" w:rsidR="00ED11D0" w:rsidRPr="00650C72" w:rsidRDefault="00ED11D0" w:rsidP="0088241C">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H</w:t>
      </w:r>
      <w:r w:rsidRPr="00650C72">
        <w:rPr>
          <w:rFonts w:ascii="Times New Roman" w:eastAsia="Times New Roman" w:hAnsi="Times New Roman" w:cs="Times New Roman"/>
          <w:color w:val="000000" w:themeColor="text1"/>
          <w:kern w:val="0"/>
          <w:sz w:val="28"/>
          <w:szCs w:val="28"/>
          <w14:ligatures w14:val="none"/>
        </w:rPr>
        <w:t>₂</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6EBF1787" w14:textId="77777777" w:rsidR="00ED11D0" w:rsidRPr="00650C72" w:rsidRDefault="00ED11D0" w:rsidP="0088241C">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H</w:t>
      </w:r>
      <w:r w:rsidRPr="00650C72">
        <w:rPr>
          <w:rFonts w:ascii="Times New Roman" w:eastAsia="Times New Roman" w:hAnsi="Times New Roman" w:cs="Times New Roman"/>
          <w:color w:val="000000" w:themeColor="text1"/>
          <w:kern w:val="0"/>
          <w:sz w:val="28"/>
          <w:szCs w:val="28"/>
          <w14:ligatures w14:val="none"/>
        </w:rPr>
        <w:t>₃</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أدوات تحليل البيانات الضخمة العقارية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33F69BA4" w14:textId="77777777" w:rsidR="00ED11D0" w:rsidRPr="00650C72" w:rsidRDefault="00ED11D0" w:rsidP="0088241C">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lastRenderedPageBreak/>
        <w:t>H</w:t>
      </w:r>
      <w:r w:rsidRPr="00650C72">
        <w:rPr>
          <w:rFonts w:ascii="Times New Roman" w:eastAsia="Times New Roman" w:hAnsi="Times New Roman" w:cs="Times New Roman"/>
          <w:color w:val="000000" w:themeColor="text1"/>
          <w:kern w:val="0"/>
          <w:sz w:val="28"/>
          <w:szCs w:val="28"/>
          <w14:ligatures w14:val="none"/>
        </w:rPr>
        <w:t>₄</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أنظمة دعم القرار الذكية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07AD5A22" w14:textId="77777777" w:rsidR="0088241C" w:rsidRPr="00650C72" w:rsidRDefault="0088241C" w:rsidP="0088241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4796422"/>
      <w:r w:rsidRPr="00650C72">
        <w:rPr>
          <w:rFonts w:ascii="Simplified Arabic" w:eastAsia="Times New Roman" w:hAnsi="Simplified Arabic" w:cs="Simplified Arabic"/>
          <w:b/>
          <w:bCs/>
          <w:color w:val="000000" w:themeColor="text1"/>
          <w:kern w:val="0"/>
          <w:sz w:val="36"/>
          <w:szCs w:val="36"/>
          <w:rtl/>
          <w14:ligatures w14:val="none"/>
        </w:rPr>
        <w:t>6.1 أهمية الدراسة</w:t>
      </w:r>
      <w:bookmarkEnd w:id="16"/>
    </w:p>
    <w:p w14:paraId="219DD494" w14:textId="206785EC" w:rsidR="0088241C" w:rsidRPr="00650C72" w:rsidRDefault="0088241C" w:rsidP="0088241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BAE4D66" w14:textId="0A66B797"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هذه الدراسة في ردم الفجوة البحثية القائمة عند نقطة التقاطع بين ثلاثة حقول معرفية هي الذكاء الاصطناعي والتقييم العقاري وإدارة الاستثمار، وهو تقاطع لم يحظَ بالاهتمام الكافي في الأدبيات العربية رغم أهميته المتزايدة في ظل التحول الرقمي</w:t>
      </w:r>
      <w:r w:rsidRPr="00650C72">
        <w:rPr>
          <w:rFonts w:ascii="Simplified Arabic" w:eastAsia="Times New Roman" w:hAnsi="Simplified Arabic" w:cs="Simplified Arabic"/>
          <w:color w:val="000000" w:themeColor="text1"/>
          <w:kern w:val="0"/>
          <w:sz w:val="28"/>
          <w:szCs w:val="28"/>
          <w14:ligatures w14:val="none"/>
        </w:rPr>
        <w:t>.</w:t>
      </w:r>
    </w:p>
    <w:p w14:paraId="38DC039E" w14:textId="37865785"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تقدم الدراسة نموذجاً مفاهيمياً يربط بين أبعاد أدوات الذكاء الاصطناعي في التقييم العقاري (التحليلات التنبؤية، نماذج التقييم الآلي، تحليل البيانات الضخمة، أنظمة دعم القرار الذكية) وجودة القرار الاستثماري، مما يوفر إطاراً نظرياً قابلاً للاختبار والتطوير من قبل الباحثين اللاحقين</w:t>
      </w:r>
      <w:r w:rsidRPr="00650C72">
        <w:rPr>
          <w:rFonts w:ascii="Simplified Arabic" w:eastAsia="Times New Roman" w:hAnsi="Simplified Arabic" w:cs="Simplified Arabic"/>
          <w:color w:val="000000" w:themeColor="text1"/>
          <w:kern w:val="0"/>
          <w:sz w:val="28"/>
          <w:szCs w:val="28"/>
          <w14:ligatures w14:val="none"/>
        </w:rPr>
        <w:t>.</w:t>
      </w:r>
    </w:p>
    <w:p w14:paraId="756E2D73" w14:textId="467429A6"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الدراسة في توسيع نطاق تطبيق نظريات اتخاذ القرار (مثل نظرية القرار الرشيد ونظرية العقلانية المحدودة) لتشمل السياقات التي يتم فيها استخدام أدوات الذكاء الاصطناعي كعامل مساعد في عملية صنع القرار</w:t>
      </w:r>
      <w:r w:rsidRPr="00650C72">
        <w:rPr>
          <w:rFonts w:ascii="Simplified Arabic" w:eastAsia="Times New Roman" w:hAnsi="Simplified Arabic" w:cs="Simplified Arabic"/>
          <w:color w:val="000000" w:themeColor="text1"/>
          <w:kern w:val="0"/>
          <w:sz w:val="28"/>
          <w:szCs w:val="28"/>
          <w14:ligatures w14:val="none"/>
        </w:rPr>
        <w:t>.</w:t>
      </w:r>
    </w:p>
    <w:p w14:paraId="0D1DB037" w14:textId="07E994F4"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تقدم الدراسة إطاراً تحليلياً لفهم آليات التحول الرقمي في قطاع التقييم العقاري ومدى نضج هذا التحول وانعكاساته على جودة المخرجات الاستثمارية</w:t>
      </w:r>
      <w:r w:rsidRPr="00650C72">
        <w:rPr>
          <w:rFonts w:ascii="Simplified Arabic" w:eastAsia="Times New Roman" w:hAnsi="Simplified Arabic" w:cs="Simplified Arabic"/>
          <w:color w:val="000000" w:themeColor="text1"/>
          <w:kern w:val="0"/>
          <w:sz w:val="28"/>
          <w:szCs w:val="28"/>
          <w14:ligatures w14:val="none"/>
        </w:rPr>
        <w:t>.</w:t>
      </w:r>
    </w:p>
    <w:p w14:paraId="46FDEFC4" w14:textId="77777777" w:rsidR="00ED11D0" w:rsidRPr="00650C72" w:rsidRDefault="00ED11D0" w:rsidP="0088241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7363082"/>
      <w:r w:rsidRPr="00650C72">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650C72">
        <w:rPr>
          <w:rFonts w:ascii="Simplified Arabic" w:eastAsia="Times New Roman" w:hAnsi="Simplified Arabic" w:cs="Simplified Arabic"/>
          <w:b/>
          <w:bCs/>
          <w:color w:val="000000" w:themeColor="text1"/>
          <w:kern w:val="0"/>
          <w:sz w:val="32"/>
          <w:szCs w:val="32"/>
          <w14:ligatures w14:val="none"/>
        </w:rPr>
        <w:t>:</w:t>
      </w:r>
      <w:bookmarkEnd w:id="17"/>
    </w:p>
    <w:p w14:paraId="16E41E7A" w14:textId="6D709FA5"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تقدم الدراسة خارطة طريق عملية لشركات التطوير والاستثمار العقاري المصرية لتبني أدوات الذكاء الاصطناعي في عمليات التقييم بشكل تدريجي ومدروس، مع تحديد الأبعاد الأكثر تأثيراً على جودة القرار لترتيب أولويات الاستثمار في هذه الأدوات</w:t>
      </w:r>
      <w:r w:rsidRPr="00650C72">
        <w:rPr>
          <w:rFonts w:ascii="Simplified Arabic" w:eastAsia="Times New Roman" w:hAnsi="Simplified Arabic" w:cs="Simplified Arabic"/>
          <w:color w:val="000000" w:themeColor="text1"/>
          <w:kern w:val="0"/>
          <w:sz w:val="28"/>
          <w:szCs w:val="28"/>
          <w14:ligatures w14:val="none"/>
        </w:rPr>
        <w:t>.</w:t>
      </w:r>
    </w:p>
    <w:p w14:paraId="4871F3DB" w14:textId="14A980E5"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تزوّد الدراسة المديرين التنفيذيين ومتخذي القرار في القطاع العقاري بأدلة تجريبية حول الفوائد الملموسة لاستخدام أدوات الذكاء الاصطناعي في تحسين دقة تقييماتهم وسرعة قراراتهم وتقليل المخاطر المرتبطة بها</w:t>
      </w:r>
      <w:r w:rsidRPr="00650C72">
        <w:rPr>
          <w:rFonts w:ascii="Simplified Arabic" w:eastAsia="Times New Roman" w:hAnsi="Simplified Arabic" w:cs="Simplified Arabic"/>
          <w:color w:val="000000" w:themeColor="text1"/>
          <w:kern w:val="0"/>
          <w:sz w:val="28"/>
          <w:szCs w:val="28"/>
          <w14:ligatures w14:val="none"/>
        </w:rPr>
        <w:t>.</w:t>
      </w:r>
    </w:p>
    <w:p w14:paraId="56A4E19D" w14:textId="45C27FB9" w:rsidR="00ED11D0" w:rsidRPr="00650C72" w:rsidRDefault="00ED11D0" w:rsidP="0088241C">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تفيد نتائج الدراسة الجهات الرقابية والتنظيمية (مثل هيئة الرقابة المالية والبنك المركزي المصري وهيئة المجتمعات العمرانية) في صياغة أُطر تنظيمية وتشريعية تحكم استخدام أدوات الذكاء الاصطناعي في التقييم العقاري وتضمن حماية المستثمرين</w:t>
      </w:r>
      <w:r w:rsidRPr="00650C72">
        <w:rPr>
          <w:rFonts w:ascii="Simplified Arabic" w:eastAsia="Times New Roman" w:hAnsi="Simplified Arabic" w:cs="Simplified Arabic"/>
          <w:color w:val="000000" w:themeColor="text1"/>
          <w:kern w:val="0"/>
          <w:sz w:val="28"/>
          <w:szCs w:val="28"/>
          <w14:ligatures w14:val="none"/>
        </w:rPr>
        <w:t>.</w:t>
      </w:r>
    </w:p>
    <w:p w14:paraId="1A68C839" w14:textId="59E3B0DA"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170243312"/>
      <w:bookmarkStart w:id="19" w:name="_Toc234796423"/>
      <w:bookmarkEnd w:id="12"/>
      <w:r w:rsidRPr="00650C7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28AB7D45"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(الخلايلة والصمادي، 2021): أثر تطبيقات الذكاء الاصطناعي على جودة الرعاية الصحية: دراسة تطبيقية على مستشفيات وزارة الصحة الأردنية</w:t>
      </w:r>
      <w:r w:rsidRPr="00650C72">
        <w:rPr>
          <w:rFonts w:ascii="Simplified Arabic" w:eastAsia="Times New Roman" w:hAnsi="Simplified Arabic" w:cs="Simplified Arabic"/>
          <w:b/>
          <w:bCs/>
          <w:color w:val="000000" w:themeColor="text1"/>
          <w:kern w:val="0"/>
          <w:sz w:val="28"/>
          <w:szCs w:val="28"/>
          <w14:ligatures w14:val="none"/>
        </w:rPr>
        <w:t>.</w:t>
      </w:r>
    </w:p>
    <w:p w14:paraId="55F1841A"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تطبيقات الذكاء الاصطناعي على جودة الرعاية الصحية في مستشفيات وزارة الصحة الأردنية. واستخدمت الدراسة المنهج الوصفي التحليلي، وتكوّنت العينة من </w:t>
      </w:r>
      <w:r w:rsidRPr="00650C72">
        <w:rPr>
          <w:rFonts w:ascii="Simplified Arabic" w:eastAsia="Times New Roman" w:hAnsi="Simplified Arabic" w:cs="Simplified Arabic"/>
          <w:color w:val="000000" w:themeColor="text1"/>
          <w:kern w:val="0"/>
          <w:sz w:val="28"/>
          <w:szCs w:val="28"/>
          <w14:ligatures w14:val="none"/>
        </w:rPr>
        <w:t xml:space="preserve">(329) </w:t>
      </w:r>
      <w:r w:rsidRPr="00650C72">
        <w:rPr>
          <w:rFonts w:ascii="Simplified Arabic" w:eastAsia="Times New Roman" w:hAnsi="Simplified Arabic" w:cs="Simplified Arabic"/>
          <w:color w:val="000000" w:themeColor="text1"/>
          <w:kern w:val="0"/>
          <w:sz w:val="28"/>
          <w:szCs w:val="28"/>
          <w:rtl/>
          <w14:ligatures w14:val="none"/>
        </w:rPr>
        <w:t xml:space="preserve">مفردة من العاملين في القطاع الصحي ضمن المسميات الوظيفية (طبيب، ممرض، صيدلي، فني، سجلات طبية)، وطوّر الباحث استبانة مكونة من (40) فقرة وحُللت البيانات باستخدام الأساليب الإحصائية الملائمة عند مستوى دلالة </w:t>
      </w:r>
      <w:r w:rsidRPr="00650C72">
        <w:rPr>
          <w:rFonts w:ascii="Simplified Arabic" w:eastAsia="Times New Roman" w:hAnsi="Simplified Arabic" w:cs="Simplified Arabic"/>
          <w:color w:val="000000" w:themeColor="text1"/>
          <w:kern w:val="0"/>
          <w:sz w:val="28"/>
          <w:szCs w:val="28"/>
          <w14:ligatures w14:val="none"/>
        </w:rPr>
        <w:t>(</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أن مستوى تطبيقات الذكاء الاصطناعي ومستوى جودة الرعاية الصحية جاءا بتقييم متوسط، مع وجود أثر ذي دلالة إحصائية لأبعاد تطبيقات الذكاء الاصطناعي على جودة الرعاية الصحية. وأوصت الدراسة بعمل برامج تدريبية مستمرة لتطوير مهارات العاملين على استخدام تطبيقات الذكاء الاصطناعي، وتكثيف الدورات التوعوية بأهميتها، واستقصاء آراء المراجعين لمعرفة درجة رضاهم عن جودة الخدمة</w:t>
      </w:r>
      <w:r w:rsidRPr="00650C72">
        <w:rPr>
          <w:rFonts w:ascii="Simplified Arabic" w:eastAsia="Times New Roman" w:hAnsi="Simplified Arabic" w:cs="Simplified Arabic"/>
          <w:color w:val="000000" w:themeColor="text1"/>
          <w:kern w:val="0"/>
          <w:sz w:val="28"/>
          <w:szCs w:val="28"/>
          <w14:ligatures w14:val="none"/>
        </w:rPr>
        <w:t>.</w:t>
      </w:r>
    </w:p>
    <w:p w14:paraId="2D65B097"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(فهيم والبنا وعامر، 2023): أثر توظيف أدوات الذكاء الاصطناعي على فاعلية التسويق الرقمي بالتطبيق على شركة أمازون</w:t>
      </w:r>
      <w:r w:rsidRPr="00650C72">
        <w:rPr>
          <w:rFonts w:ascii="Simplified Arabic" w:eastAsia="Times New Roman" w:hAnsi="Simplified Arabic" w:cs="Simplified Arabic"/>
          <w:b/>
          <w:bCs/>
          <w:color w:val="000000" w:themeColor="text1"/>
          <w:kern w:val="0"/>
          <w:sz w:val="28"/>
          <w:szCs w:val="28"/>
          <w14:ligatures w14:val="none"/>
        </w:rPr>
        <w:t>.</w:t>
      </w:r>
    </w:p>
    <w:p w14:paraId="49C51460" w14:textId="67AA7CB9"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أثر توظيف أدوات الذكاء الاصطناعي بأبعادها (تحليل البيانات، تخصيص المحتوى، توقع سلوك العميل، الإعلانات الموجهة، روبوتات الدردشة) على فاعلية التسويق الرقمي في شركة أمازون مصر. واستخدمت الدراسة المنهج الوصفي التحليلي، وتكوّنت العينة من (340) مفردة من مجتمع دراسة قوامه (2,962) من العاملين بشركة أمازون مصر، واعتمدت على استبانة كأداة رئيسية حُللت بيانتها باستخدام برنامج</w:t>
      </w:r>
      <w:r w:rsidRPr="00650C72">
        <w:rPr>
          <w:rFonts w:ascii="Simplified Arabic" w:eastAsia="Times New Roman" w:hAnsi="Simplified Arabic" w:cs="Simplified Arabic"/>
          <w:color w:val="000000" w:themeColor="text1"/>
          <w:kern w:val="0"/>
          <w:sz w:val="28"/>
          <w:szCs w:val="28"/>
          <w14:ligatures w14:val="none"/>
        </w:rPr>
        <w:t xml:space="preserve"> (SPSS).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معنوي ذي دلالة إحصائية بين جميع أبعاد أدوات الذكاء الاصطناعي وفاعلية التسويق الرقمي</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 xml:space="preserve">وأوصت الدراسة بضرورة </w:t>
      </w:r>
      <w:r w:rsidRPr="00650C72">
        <w:rPr>
          <w:rFonts w:ascii="Simplified Arabic" w:eastAsia="Times New Roman" w:hAnsi="Simplified Arabic" w:cs="Simplified Arabic"/>
          <w:color w:val="000000" w:themeColor="text1"/>
          <w:kern w:val="0"/>
          <w:sz w:val="28"/>
          <w:szCs w:val="28"/>
          <w:rtl/>
          <w14:ligatures w14:val="none"/>
        </w:rPr>
        <w:lastRenderedPageBreak/>
        <w:t>التوسع في استخدام أدوات الذكاء الاصطناعي في استراتيجيات التسويق الرقمي وتطوير قدرات العاملين في هذا المجال</w:t>
      </w:r>
      <w:r w:rsidRPr="00650C72">
        <w:rPr>
          <w:rFonts w:ascii="Simplified Arabic" w:eastAsia="Times New Roman" w:hAnsi="Simplified Arabic" w:cs="Simplified Arabic"/>
          <w:color w:val="000000" w:themeColor="text1"/>
          <w:kern w:val="0"/>
          <w:sz w:val="28"/>
          <w:szCs w:val="28"/>
          <w14:ligatures w14:val="none"/>
        </w:rPr>
        <w:t>.</w:t>
      </w:r>
    </w:p>
    <w:p w14:paraId="37A080C3" w14:textId="3E9A5274"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 xml:space="preserve">دراسة (عبدالرحمن </w:t>
      </w:r>
      <w:r w:rsidR="006E6BDA" w:rsidRPr="00650C72">
        <w:rPr>
          <w:rFonts w:ascii="Simplified Arabic" w:eastAsia="Times New Roman" w:hAnsi="Simplified Arabic" w:cs="Simplified Arabic"/>
          <w:b/>
          <w:bCs/>
          <w:color w:val="000000" w:themeColor="text1"/>
          <w:kern w:val="0"/>
          <w:sz w:val="28"/>
          <w:szCs w:val="28"/>
          <w:rtl/>
          <w14:ligatures w14:val="none"/>
        </w:rPr>
        <w:t>واخرون</w:t>
      </w:r>
      <w:r w:rsidRPr="00650C72">
        <w:rPr>
          <w:rFonts w:ascii="Simplified Arabic" w:eastAsia="Times New Roman" w:hAnsi="Simplified Arabic" w:cs="Simplified Arabic"/>
          <w:b/>
          <w:bCs/>
          <w:color w:val="000000" w:themeColor="text1"/>
          <w:kern w:val="0"/>
          <w:sz w:val="28"/>
          <w:szCs w:val="28"/>
          <w:rtl/>
          <w14:ligatures w14:val="none"/>
        </w:rPr>
        <w:t xml:space="preserve">، </w:t>
      </w:r>
      <w:r w:rsidR="006E6BDA" w:rsidRPr="00650C72">
        <w:rPr>
          <w:rFonts w:ascii="Simplified Arabic" w:eastAsia="Times New Roman" w:hAnsi="Simplified Arabic" w:cs="Simplified Arabic"/>
          <w:b/>
          <w:bCs/>
          <w:color w:val="000000" w:themeColor="text1"/>
          <w:kern w:val="0"/>
          <w:sz w:val="28"/>
          <w:szCs w:val="28"/>
          <w14:ligatures w14:val="none"/>
        </w:rPr>
        <w:t xml:space="preserve"> (</w:t>
      </w:r>
      <w:r w:rsidRPr="00650C72">
        <w:rPr>
          <w:rFonts w:ascii="Simplified Arabic" w:eastAsia="Times New Roman" w:hAnsi="Simplified Arabic" w:cs="Simplified Arabic"/>
          <w:b/>
          <w:bCs/>
          <w:color w:val="000000" w:themeColor="text1"/>
          <w:kern w:val="0"/>
          <w:sz w:val="28"/>
          <w:szCs w:val="28"/>
          <w14:ligatures w14:val="none"/>
        </w:rPr>
        <w:t>2024</w:t>
      </w:r>
      <w:r w:rsidRPr="00650C72">
        <w:rPr>
          <w:rFonts w:ascii="Simplified Arabic" w:eastAsia="Times New Roman" w:hAnsi="Simplified Arabic" w:cs="Simplified Arabic"/>
          <w:b/>
          <w:bCs/>
          <w:color w:val="000000" w:themeColor="text1"/>
          <w:kern w:val="0"/>
          <w:sz w:val="28"/>
          <w:szCs w:val="28"/>
          <w:rtl/>
          <w14:ligatures w14:val="none"/>
        </w:rPr>
        <w:t>تقييم واقع جودة صنع القرار الاستثماري: دراسة مسحية على الشركات في المدينة الصناعية بحسياء</w:t>
      </w:r>
      <w:r w:rsidRPr="00650C72">
        <w:rPr>
          <w:rFonts w:ascii="Simplified Arabic" w:eastAsia="Times New Roman" w:hAnsi="Simplified Arabic" w:cs="Simplified Arabic"/>
          <w:b/>
          <w:bCs/>
          <w:color w:val="000000" w:themeColor="text1"/>
          <w:kern w:val="0"/>
          <w:sz w:val="28"/>
          <w:szCs w:val="28"/>
          <w14:ligatures w14:val="none"/>
        </w:rPr>
        <w:t>.</w:t>
      </w:r>
    </w:p>
    <w:p w14:paraId="23788006"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واقع جودة صنع القرار الاستثماري بأبعاده (مراحل صنع القرار، كفاءة وأسلوب متخذ القرار، نتائج وسرعة صنع القرار) على الشركات العاملة في المدينة الصناعية بحسياء في سوريا. واستخدمت الدراسة المنهج الوصفي التحليلي المسحي، وتكوّنت العينة من (100) وحدة معاينة من الشركات العاملة في المدينة الصناعية، واعتمدت على أداة تقييم مصممة استناداً إلى دراسات سابقة وحُللت البيانات باستخدام اختبار</w:t>
      </w:r>
      <w:r w:rsidRPr="00650C72">
        <w:rPr>
          <w:rFonts w:ascii="Simplified Arabic" w:eastAsia="Times New Roman" w:hAnsi="Simplified Arabic" w:cs="Simplified Arabic"/>
          <w:color w:val="000000" w:themeColor="text1"/>
          <w:kern w:val="0"/>
          <w:sz w:val="28"/>
          <w:szCs w:val="28"/>
          <w14:ligatures w14:val="none"/>
        </w:rPr>
        <w:t xml:space="preserve"> (T-Test One Sample) </w:t>
      </w:r>
      <w:r w:rsidRPr="00650C72">
        <w:rPr>
          <w:rFonts w:ascii="Simplified Arabic" w:eastAsia="Times New Roman" w:hAnsi="Simplified Arabic" w:cs="Simplified Arabic"/>
          <w:color w:val="000000" w:themeColor="text1"/>
          <w:kern w:val="0"/>
          <w:sz w:val="28"/>
          <w:szCs w:val="28"/>
          <w:rtl/>
          <w14:ligatures w14:val="none"/>
        </w:rPr>
        <w:t>وبرنامج</w:t>
      </w:r>
      <w:r w:rsidRPr="00650C72">
        <w:rPr>
          <w:rFonts w:ascii="Simplified Arabic" w:eastAsia="Times New Roman" w:hAnsi="Simplified Arabic" w:cs="Simplified Arabic"/>
          <w:color w:val="000000" w:themeColor="text1"/>
          <w:kern w:val="0"/>
          <w:sz w:val="28"/>
          <w:szCs w:val="28"/>
          <w14:ligatures w14:val="none"/>
        </w:rPr>
        <w:t xml:space="preserve"> (SPSS, 22).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توافر الجودة في مراحل صنع القرار الاستثماري وفي كفاءة وأسلوب متخذ القرار، مع وجود فروق جوهرية بين نتائج وسرعة صنع القرار الاستثماري الفعلية والمتوقعة. وأوصت الدراسة بضرورة اهتمام صناع القرار بربط المنهج المتبع مع النتائج للوصول إلى جودة في قراراتهم والاعتماد على الخبراء للحصول على المعلومات الدقيقة ذات الجودة العالية</w:t>
      </w:r>
      <w:r w:rsidRPr="00650C72">
        <w:rPr>
          <w:rFonts w:ascii="Simplified Arabic" w:eastAsia="Times New Roman" w:hAnsi="Simplified Arabic" w:cs="Simplified Arabic"/>
          <w:color w:val="000000" w:themeColor="text1"/>
          <w:kern w:val="0"/>
          <w:sz w:val="28"/>
          <w:szCs w:val="28"/>
          <w14:ligatures w14:val="none"/>
        </w:rPr>
        <w:t>.</w:t>
      </w:r>
    </w:p>
    <w:p w14:paraId="34807463"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(العريمي والحلالمة، 2024): أثر الذكاء الاصطناعي على جودة اتخاذ القرار: الدور الوسيط للتمكين الإداري</w:t>
      </w:r>
      <w:r w:rsidRPr="00650C72">
        <w:rPr>
          <w:rFonts w:ascii="Simplified Arabic" w:eastAsia="Times New Roman" w:hAnsi="Simplified Arabic" w:cs="Simplified Arabic"/>
          <w:b/>
          <w:bCs/>
          <w:color w:val="000000" w:themeColor="text1"/>
          <w:kern w:val="0"/>
          <w:sz w:val="28"/>
          <w:szCs w:val="28"/>
          <w14:ligatures w14:val="none"/>
        </w:rPr>
        <w:t xml:space="preserve">: </w:t>
      </w:r>
      <w:r w:rsidRPr="00650C72">
        <w:rPr>
          <w:rFonts w:ascii="Simplified Arabic" w:eastAsia="Times New Roman" w:hAnsi="Simplified Arabic" w:cs="Simplified Arabic"/>
          <w:b/>
          <w:bCs/>
          <w:color w:val="000000" w:themeColor="text1"/>
          <w:kern w:val="0"/>
          <w:sz w:val="28"/>
          <w:szCs w:val="28"/>
          <w:rtl/>
          <w14:ligatures w14:val="none"/>
        </w:rPr>
        <w:t>دراسة تطبيقية على شركات الاتصالات وتكنولوجيا المعلومات الأردنية</w:t>
      </w:r>
      <w:r w:rsidRPr="00650C72">
        <w:rPr>
          <w:rFonts w:ascii="Simplified Arabic" w:eastAsia="Times New Roman" w:hAnsi="Simplified Arabic" w:cs="Simplified Arabic"/>
          <w:b/>
          <w:bCs/>
          <w:color w:val="000000" w:themeColor="text1"/>
          <w:kern w:val="0"/>
          <w:sz w:val="28"/>
          <w:szCs w:val="28"/>
          <w14:ligatures w14:val="none"/>
        </w:rPr>
        <w:t>.</w:t>
      </w:r>
    </w:p>
    <w:p w14:paraId="3EFDD4C7"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على جودة اتخاذ القرار في ظل الدور الوسيط للتمكين الإداري، وذلك بالتطبيق على شركات الاتصالات وتكنولوجيا المعلومات الأردنية. واستخدمت الدراسة المنهج الوصفي التحليلي، وتكوّنت العينة من العاملين في شركات الاتصالات الأردنية (مثل زين، أورانج، أمنية)، واعتمدت على استبانة كأداة لجمع البيانات ضمن رسالة ماجستير بجامعة البلقاء التطبيقية. وتوصلت نتائج الدراسة إلى وجود أثر ذي دلالة إحصائية للذكاء الاصطناعي على جودة اتخاذ القرار، وأن التمكين الإداري يلعب دوراً وسيطاً في تعزيز هذه العلاقة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وأوصت الدراسة بضرورة تعزيز استخدام تقنيات الذكاء الاصطناعي في شركات الاتصالات وتمكين الموظفين إدارياً لتحسين جودة القرارات المتخذة</w:t>
      </w:r>
      <w:r w:rsidRPr="00650C72">
        <w:rPr>
          <w:rFonts w:ascii="Simplified Arabic" w:eastAsia="Times New Roman" w:hAnsi="Simplified Arabic" w:cs="Simplified Arabic"/>
          <w:color w:val="000000" w:themeColor="text1"/>
          <w:kern w:val="0"/>
          <w:sz w:val="28"/>
          <w:szCs w:val="28"/>
          <w14:ligatures w14:val="none"/>
        </w:rPr>
        <w:t>.</w:t>
      </w:r>
    </w:p>
    <w:p w14:paraId="0719B881"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(المهباش والعزكي، 2024): أثر تطبيق أدوات الذكاء الاصطناعي في تقييم أداء الموظفين في البنوك الإسلامية</w:t>
      </w:r>
      <w:r w:rsidRPr="00650C72">
        <w:rPr>
          <w:rFonts w:ascii="Simplified Arabic" w:eastAsia="Times New Roman" w:hAnsi="Simplified Arabic" w:cs="Simplified Arabic"/>
          <w:b/>
          <w:bCs/>
          <w:color w:val="000000" w:themeColor="text1"/>
          <w:kern w:val="0"/>
          <w:sz w:val="28"/>
          <w:szCs w:val="28"/>
          <w14:ligatures w14:val="none"/>
        </w:rPr>
        <w:t>.</w:t>
      </w:r>
    </w:p>
    <w:p w14:paraId="00C7D960"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تطبيقات أدوات الذكاء الاصطناعي بأبعادها (تحليل البيانات، الموارد البشرية، التحليل البياني) على تقييم أداء الموظفين في البنوك الإسلامية. واستخدمت الدراسة المنهج الوصفي التحليلي، وجُمعت البيانات من مصادر متعددة شملت استطلاعات ومقابلات مع المتخصصين والمدراء داخل البنوك الإسلامية. وتوصلت نتائج الدراسة إلى أن استخدام تطبيقات الذكاء الاصطناعي في تقييم أداء الموظفين يسهم في تحسين الكفاءة والدقة في عمليات التقييم وتعزيز الأداء المؤسسي. وأوصت الدراسة بمزيد من التوسع في استخدام هذه التقنيات مع مراعاة الجوانب الأخلاقية والاجتماعية لضمان استفادة متوازنة ومستدامة</w:t>
      </w:r>
      <w:r w:rsidRPr="00650C72">
        <w:rPr>
          <w:rFonts w:ascii="Simplified Arabic" w:eastAsia="Times New Roman" w:hAnsi="Simplified Arabic" w:cs="Simplified Arabic"/>
          <w:color w:val="000000" w:themeColor="text1"/>
          <w:kern w:val="0"/>
          <w:sz w:val="28"/>
          <w:szCs w:val="28"/>
          <w14:ligatures w14:val="none"/>
        </w:rPr>
        <w:t>.</w:t>
      </w:r>
    </w:p>
    <w:p w14:paraId="07B8745B"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(الثبيتي والسواط، 2024)</w:t>
      </w:r>
      <w:r w:rsidRPr="00650C72">
        <w:rPr>
          <w:rFonts w:ascii="Simplified Arabic" w:eastAsia="Times New Roman" w:hAnsi="Simplified Arabic" w:cs="Simplified Arabic"/>
          <w:b/>
          <w:bCs/>
          <w:color w:val="000000" w:themeColor="text1"/>
          <w:kern w:val="0"/>
          <w:sz w:val="28"/>
          <w:szCs w:val="28"/>
          <w14:ligatures w14:val="none"/>
        </w:rPr>
        <w:t xml:space="preserve">: </w:t>
      </w:r>
      <w:r w:rsidRPr="00650C72">
        <w:rPr>
          <w:rFonts w:ascii="Simplified Arabic" w:eastAsia="Times New Roman" w:hAnsi="Simplified Arabic" w:cs="Simplified Arabic"/>
          <w:b/>
          <w:bCs/>
          <w:color w:val="000000" w:themeColor="text1"/>
          <w:kern w:val="0"/>
          <w:sz w:val="28"/>
          <w:szCs w:val="28"/>
          <w:rtl/>
          <w14:ligatures w14:val="none"/>
        </w:rPr>
        <w:t>استخدام أدوات الذكاء الاصطناعي التوليدي في تطوير الأداء التدريسي لمعلمات العلوم الإدارية بالمرحلة الثانوية</w:t>
      </w:r>
      <w:r w:rsidRPr="00650C72">
        <w:rPr>
          <w:rFonts w:ascii="Simplified Arabic" w:eastAsia="Times New Roman" w:hAnsi="Simplified Arabic" w:cs="Simplified Arabic"/>
          <w:b/>
          <w:bCs/>
          <w:color w:val="000000" w:themeColor="text1"/>
          <w:kern w:val="0"/>
          <w:sz w:val="28"/>
          <w:szCs w:val="28"/>
          <w14:ligatures w14:val="none"/>
        </w:rPr>
        <w:t>.</w:t>
      </w:r>
    </w:p>
    <w:p w14:paraId="4A547DF1"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واقع استخدام أدوات الذكاء الاصطناعي التوليدي بأبعاده (أهمية الاستخدام، متطلبات الاستخدام، تحديات الاستخدام) في تطوير الأداء التدريسي لمعلمات العلوم الإدارية بالمرحلة الثانوية في محافظة الطائف بالمملكة العربية السعودية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المسحي، وتكوّنت العينة من (68) معلمة من معلمات العلوم الإدارية بالمرحلة الثانوية، واعتمدت على استبانة مكونة من </w:t>
      </w:r>
      <w:r w:rsidRPr="00650C72">
        <w:rPr>
          <w:rFonts w:ascii="Simplified Arabic" w:eastAsia="Times New Roman" w:hAnsi="Simplified Arabic" w:cs="Simplified Arabic"/>
          <w:color w:val="000000" w:themeColor="text1"/>
          <w:kern w:val="0"/>
          <w:sz w:val="28"/>
          <w:szCs w:val="28"/>
          <w14:ligatures w14:val="none"/>
        </w:rPr>
        <w:t xml:space="preserve">(40) </w:t>
      </w:r>
      <w:r w:rsidRPr="00650C72">
        <w:rPr>
          <w:rFonts w:ascii="Simplified Arabic" w:eastAsia="Times New Roman" w:hAnsi="Simplified Arabic" w:cs="Simplified Arabic"/>
          <w:color w:val="000000" w:themeColor="text1"/>
          <w:kern w:val="0"/>
          <w:sz w:val="28"/>
          <w:szCs w:val="28"/>
          <w:rtl/>
          <w14:ligatures w14:val="none"/>
        </w:rPr>
        <w:t>فقرة محكّمة. وتوصلت نتائج الدراسة إلى أن أهمية استخدام أدوات الذكاء الاصطناعي التوليدي جاءت بدرجة عالية (م=4.14)، ومتطلبات الاستخدام بدرجة عالية (م=3.57)، والتحديات بدرجة عالية (م=3.74)، مع عدم تأثير المؤهل العلمي على استجابات المعلمات بينما أثر نوع المؤهل وسنوات الخبرة على بعض الأبعاد. وأوصت الدراسة بدعم المعلمات وتحفيزهن وتوفير برامج تدريبية على استخدام الأدوات وإشراك مراكز البحث الجامعية وعقد ورش العمل مع الالتزام بإرشادات هيئة البيانات والذكاء الاصطناعي السعودية</w:t>
      </w:r>
      <w:r w:rsidRPr="00650C72">
        <w:rPr>
          <w:rFonts w:ascii="Simplified Arabic" w:eastAsia="Times New Roman" w:hAnsi="Simplified Arabic" w:cs="Simplified Arabic"/>
          <w:color w:val="000000" w:themeColor="text1"/>
          <w:kern w:val="0"/>
          <w:sz w:val="28"/>
          <w:szCs w:val="28"/>
          <w14:ligatures w14:val="none"/>
        </w:rPr>
        <w:t>.</w:t>
      </w:r>
    </w:p>
    <w:p w14:paraId="0896CC9E"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hint="cs"/>
          <w:b/>
          <w:bCs/>
          <w:color w:val="000000" w:themeColor="text1"/>
          <w:kern w:val="0"/>
          <w:sz w:val="28"/>
          <w:szCs w:val="28"/>
          <w:rtl/>
          <w14:ligatures w14:val="none"/>
        </w:rPr>
        <w:t>د</w:t>
      </w:r>
      <w:r w:rsidRPr="00650C72">
        <w:rPr>
          <w:rFonts w:ascii="Simplified Arabic" w:eastAsia="Times New Roman" w:hAnsi="Simplified Arabic" w:cs="Simplified Arabic"/>
          <w:b/>
          <w:bCs/>
          <w:color w:val="000000" w:themeColor="text1"/>
          <w:kern w:val="0"/>
          <w:sz w:val="28"/>
          <w:szCs w:val="28"/>
          <w:rtl/>
          <w14:ligatures w14:val="none"/>
        </w:rPr>
        <w:t>راسة (عبدالعزيز واخرون، 2025)</w:t>
      </w:r>
      <w:r w:rsidRPr="00650C72">
        <w:rPr>
          <w:rFonts w:ascii="Simplified Arabic" w:eastAsia="Times New Roman" w:hAnsi="Simplified Arabic" w:cs="Simplified Arabic"/>
          <w:b/>
          <w:bCs/>
          <w:color w:val="000000" w:themeColor="text1"/>
          <w:kern w:val="0"/>
          <w:sz w:val="28"/>
          <w:szCs w:val="28"/>
          <w14:ligatures w14:val="none"/>
        </w:rPr>
        <w:t xml:space="preserve">: </w:t>
      </w:r>
      <w:r w:rsidRPr="00650C72">
        <w:rPr>
          <w:rFonts w:ascii="Simplified Arabic" w:eastAsia="Times New Roman" w:hAnsi="Simplified Arabic" w:cs="Simplified Arabic"/>
          <w:b/>
          <w:bCs/>
          <w:color w:val="000000" w:themeColor="text1"/>
          <w:kern w:val="0"/>
          <w:sz w:val="28"/>
          <w:szCs w:val="28"/>
          <w:rtl/>
          <w14:ligatures w14:val="none"/>
        </w:rPr>
        <w:t>تأثير آليات حوكمة الشركات على جودة القرار الاستثماري: دراسة ميدانية على البنك الأهلي المصري</w:t>
      </w:r>
      <w:r w:rsidRPr="00650C72">
        <w:rPr>
          <w:rFonts w:ascii="Simplified Arabic" w:eastAsia="Times New Roman" w:hAnsi="Simplified Arabic" w:cs="Simplified Arabic"/>
          <w:b/>
          <w:bCs/>
          <w:color w:val="000000" w:themeColor="text1"/>
          <w:kern w:val="0"/>
          <w:sz w:val="28"/>
          <w:szCs w:val="28"/>
          <w14:ligatures w14:val="none"/>
        </w:rPr>
        <w:t>.</w:t>
      </w:r>
    </w:p>
    <w:p w14:paraId="3CE7182A" w14:textId="6FE1287A"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تأثير آليات حوكمة الشركات بأبعادها (الإفصاح والشفافية، حماية المستثمرين، مسؤوليات مجلس الإدارة، دور أصحاب المصالح) على جودة القرار الاستثماري في البنك الأهلي المصري بالسادس من أكتوبر. واستخدمت الدراسة المنهج الوصفي التحليلي مع أسلوب تحليل المسار</w:t>
      </w:r>
      <w:r w:rsidRPr="00650C72">
        <w:rPr>
          <w:rFonts w:ascii="Simplified Arabic" w:eastAsia="Times New Roman" w:hAnsi="Simplified Arabic" w:cs="Simplified Arabic"/>
          <w:color w:val="000000" w:themeColor="text1"/>
          <w:kern w:val="0"/>
          <w:sz w:val="28"/>
          <w:szCs w:val="28"/>
          <w14:ligatures w14:val="none"/>
        </w:rPr>
        <w:t xml:space="preserve"> (Path Analysis)</w:t>
      </w:r>
      <w:r w:rsidRPr="00650C72">
        <w:rPr>
          <w:rFonts w:ascii="Simplified Arabic" w:eastAsia="Times New Roman" w:hAnsi="Simplified Arabic" w:cs="Simplified Arabic"/>
          <w:color w:val="000000" w:themeColor="text1"/>
          <w:kern w:val="0"/>
          <w:sz w:val="28"/>
          <w:szCs w:val="28"/>
          <w:rtl/>
          <w14:ligatures w14:val="none"/>
        </w:rPr>
        <w:t xml:space="preserve">، وتكوّنت العينة من (150) مفردة من المديرين والإداريين بالبنك، حيث تم </w:t>
      </w:r>
      <w:r w:rsidRPr="00650C72">
        <w:rPr>
          <w:rFonts w:ascii="Simplified Arabic" w:eastAsia="Times New Roman" w:hAnsi="Simplified Arabic" w:cs="Simplified Arabic"/>
          <w:color w:val="000000" w:themeColor="text1"/>
          <w:kern w:val="0"/>
          <w:sz w:val="28"/>
          <w:szCs w:val="28"/>
          <w:rtl/>
          <w14:ligatures w14:val="none"/>
        </w:rPr>
        <w:lastRenderedPageBreak/>
        <w:t>توزيع استمارة استبانة عليهم. وتوصلت نتائج الدراسة إلى وجود تأثير ذي دلالة إحصائية لآليات حوكمة الشركات على جودة القرار الاستثماري، وأن تطبيق مبادئ الحوكمة يسهم في تعزيز الشفافية والإفصاح مما ينعكس إيجاباً على قرارات الاستثمار. وأوصت الدراسة بضرورة تعزيز تطبيق آليات الحوكمة في القطاع المصرفي المصري وزيادة الاهتمام بحماية حقوق المستثمرين وتفعيل دور مجالس الإدارة في الرقابة والمتابعة</w:t>
      </w:r>
      <w:r w:rsidRPr="00650C72">
        <w:rPr>
          <w:rFonts w:ascii="Simplified Arabic" w:eastAsia="Times New Roman" w:hAnsi="Simplified Arabic" w:cs="Simplified Arabic"/>
          <w:color w:val="000000" w:themeColor="text1"/>
          <w:kern w:val="0"/>
          <w:sz w:val="28"/>
          <w:szCs w:val="28"/>
          <w14:ligatures w14:val="none"/>
        </w:rPr>
        <w:t>.</w:t>
      </w:r>
    </w:p>
    <w:p w14:paraId="6632BDFA"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(بوبكر وقرفي، 2025): أثر استخدام أدوات الذكاء الاصطناعي في تحسين العملية المحاسبية: دراسة ميدانية على عينة من أساتذة المحاسبة والمحاسبين</w:t>
      </w:r>
      <w:r w:rsidRPr="00650C72">
        <w:rPr>
          <w:rFonts w:ascii="Simplified Arabic" w:eastAsia="Times New Roman" w:hAnsi="Simplified Arabic" w:cs="Simplified Arabic"/>
          <w:b/>
          <w:bCs/>
          <w:color w:val="000000" w:themeColor="text1"/>
          <w:kern w:val="0"/>
          <w:sz w:val="28"/>
          <w:szCs w:val="28"/>
          <w14:ligatures w14:val="none"/>
        </w:rPr>
        <w:t>.</w:t>
      </w:r>
    </w:p>
    <w:p w14:paraId="43AF0AF8"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أدوات الذكاء الاصطناعي في تحسين العملية المحاسبية بأبعادها (تخفيض الأخطاء البشرية، دقة البيانات وسلامتها، الكفاءة وتوفير الوقت، إعداد التقارير في الوقت الحقيقي، قابلية التوسع والتكيف). واستخدمت الدراسة المنهج الوصفي التحليلي، وتكوّنت العينة من أساتذة المحاسبة والمحاسبين، وجُمعت البيانات عبر توزيع استمارات وحُللت إحصائياً. وتوصلت نتائج الدراسة إلى أن استخدام الذكاء الاصطناعي يحسّن العملية المحاسبية من عدة جوانب تشمل تخفيض معدلات الأخطاء البشرية وتحسين دقة البيانات وسلامتها والمساهمة في تحقيق الكفاءة وتوفير الوقت وإعداد التقارير في الوقت الحقيقي. وأوصت الدراسة بضرورة تبني المؤسسات المحاسبية لأدوات الذكاء الاصطناعي وتدريب المحاسبين على استخدامها لتحقيق أعلى مستويات الجودة في الأداء المحاسبي</w:t>
      </w:r>
      <w:r w:rsidRPr="00650C72">
        <w:rPr>
          <w:rFonts w:ascii="Simplified Arabic" w:eastAsia="Times New Roman" w:hAnsi="Simplified Arabic" w:cs="Simplified Arabic"/>
          <w:color w:val="000000" w:themeColor="text1"/>
          <w:kern w:val="0"/>
          <w:sz w:val="28"/>
          <w:szCs w:val="28"/>
          <w14:ligatures w14:val="none"/>
        </w:rPr>
        <w:t>.</w:t>
      </w:r>
    </w:p>
    <w:p w14:paraId="3C28E44F"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 (بامردوف ومجلد، 2025): أثر استخدام الذكاء الاصطناعي على الرضا الوظيفي: دراسة ميدانية على الموظفين الإداريين بجامعة الملك عبدالعزيز</w:t>
      </w:r>
      <w:r w:rsidRPr="00650C72">
        <w:rPr>
          <w:rFonts w:ascii="Simplified Arabic" w:eastAsia="Times New Roman" w:hAnsi="Simplified Arabic" w:cs="Simplified Arabic"/>
          <w:b/>
          <w:bCs/>
          <w:color w:val="000000" w:themeColor="text1"/>
          <w:kern w:val="0"/>
          <w:sz w:val="28"/>
          <w:szCs w:val="28"/>
          <w14:ligatures w14:val="none"/>
        </w:rPr>
        <w:t>.</w:t>
      </w:r>
    </w:p>
    <w:p w14:paraId="07CB82BE"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الذكاء الاصطناعي على الرضا الوظيفي لدى الموظفين الإداريين بجامعة الملك عبدالعزيز. واستخدمت الدراسة المنهج الوصفي التحليلي، وتكوّنت العينة من </w:t>
      </w:r>
      <w:r w:rsidRPr="00650C72">
        <w:rPr>
          <w:rFonts w:ascii="Simplified Arabic" w:eastAsia="Times New Roman" w:hAnsi="Simplified Arabic" w:cs="Simplified Arabic"/>
          <w:color w:val="000000" w:themeColor="text1"/>
          <w:kern w:val="0"/>
          <w:sz w:val="28"/>
          <w:szCs w:val="28"/>
          <w14:ligatures w14:val="none"/>
        </w:rPr>
        <w:t xml:space="preserve">(309) </w:t>
      </w:r>
      <w:r w:rsidRPr="00650C72">
        <w:rPr>
          <w:rFonts w:ascii="Simplified Arabic" w:eastAsia="Times New Roman" w:hAnsi="Simplified Arabic" w:cs="Simplified Arabic"/>
          <w:color w:val="000000" w:themeColor="text1"/>
          <w:kern w:val="0"/>
          <w:sz w:val="28"/>
          <w:szCs w:val="28"/>
          <w:rtl/>
          <w14:ligatures w14:val="none"/>
        </w:rPr>
        <w:t>موظفين إداريين بالجامعة، واعتمدت على استبانة كأداة لجمع البيانات</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 الذكاء الاصطناعي يرفع الرضا الوظيفي بنسبة (39%) ويحسّن من جودة اتخاذ القرار بنسبة (25.4%)، مع وجود أثر إيجابي ودال إحصائياً للذكاء الاصطناعي على الرضا الوظيفي. وأوصت الدراسة بضرورة تعزيز استخدام تقنيات الذكاء الاصطناعي في الجامعات وتوفير برامج تأهيلية للموظفين لضمان الاستفادة القصوى من هذه التقنيات</w:t>
      </w:r>
      <w:r w:rsidRPr="00650C72">
        <w:rPr>
          <w:rFonts w:ascii="Simplified Arabic" w:eastAsia="Times New Roman" w:hAnsi="Simplified Arabic" w:cs="Simplified Arabic"/>
          <w:color w:val="000000" w:themeColor="text1"/>
          <w:kern w:val="0"/>
          <w:sz w:val="28"/>
          <w:szCs w:val="28"/>
          <w14:ligatures w14:val="none"/>
        </w:rPr>
        <w:t>.</w:t>
      </w:r>
    </w:p>
    <w:p w14:paraId="16D8D644"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lastRenderedPageBreak/>
        <w:t>دراسة (حمزة، 2026): أثر استخدام أدوات الذكاء الاصطناعي على الأداء الأكاديمي وسلوكيات التعلم لدى طلبة الجامعات في لبنان</w:t>
      </w:r>
      <w:r w:rsidRPr="00650C72">
        <w:rPr>
          <w:rFonts w:ascii="Simplified Arabic" w:eastAsia="Times New Roman" w:hAnsi="Simplified Arabic" w:cs="Simplified Arabic"/>
          <w:b/>
          <w:bCs/>
          <w:color w:val="000000" w:themeColor="text1"/>
          <w:kern w:val="0"/>
          <w:sz w:val="28"/>
          <w:szCs w:val="28"/>
          <w14:ligatures w14:val="none"/>
        </w:rPr>
        <w:t>.</w:t>
      </w:r>
    </w:p>
    <w:p w14:paraId="1A5DAD94" w14:textId="54807AA5"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أدوات الذكاء الاصطناعي على الأداء الأكاديمي بأبعاده (التحصيل الأكاديمي، التفكير الإبداعي، التعلم الذاتي، المهارات البحثية) وسلوكيات التعلم بأبعادها (التسويف الأكاديمي، التفاعل الاجتماعي) لدى طلبة الجامعات في لبنان. واستخدمت الدراسة المنهج الوصفي التحليلي مع أسلوب الانحدار الخطي البسيط، وتكوّنت العينة من (300) طالب جامعي في لبنان، واعتمدت على استبانة كأداة لجمع البيانات. وتوصلت نتائج الدراسة إلى وجود أثر إيجابي دال إحصائياً لاستخدام أدوات الذكاء الاصطناعي على التحصيل الأكاديمي والتفكير الإبداعي والتعلم الذاتي والمهارات البحثية، وأثر سلبي على التسويف الأكاديمي (أي تقليله)، مع عدم وجود أثر دال على التفاعل الاجتماعي. وأوصت الدراسة بأن تطوّر الجامعات سياسات واضحة لتوجيه استخدام أدوات الذكاء الاصطناعي لتعظيم الفوائد وتقليل السلبيات</w:t>
      </w:r>
      <w:r w:rsidRPr="00650C72">
        <w:rPr>
          <w:rFonts w:ascii="Simplified Arabic" w:eastAsia="Times New Roman" w:hAnsi="Simplified Arabic" w:cs="Simplified Arabic"/>
          <w:color w:val="000000" w:themeColor="text1"/>
          <w:kern w:val="0"/>
          <w:sz w:val="28"/>
          <w:szCs w:val="28"/>
          <w14:ligatures w14:val="none"/>
        </w:rPr>
        <w:t>.</w:t>
      </w:r>
    </w:p>
    <w:p w14:paraId="5CA27904"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w:t>
      </w:r>
      <w:r w:rsidRPr="00650C72">
        <w:rPr>
          <w:rFonts w:ascii="Simplified Arabic" w:eastAsia="Times New Roman" w:hAnsi="Simplified Arabic" w:cs="Simplified Arabic"/>
          <w:b/>
          <w:bCs/>
          <w:color w:val="000000" w:themeColor="text1"/>
          <w:kern w:val="0"/>
          <w:sz w:val="28"/>
          <w:szCs w:val="28"/>
          <w14:ligatures w14:val="none"/>
        </w:rPr>
        <w:t xml:space="preserve"> (Chmielewska et al., 2020): Genetic Algorithm as Automated Valuation Model Component in Real Estate Investment Decisions System.</w:t>
      </w:r>
    </w:p>
    <w:p w14:paraId="60096F7C"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استخدام الخوارزمية الجينية كمكون لنموذج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في نظام قرارات الاستثمار العقاري، مع استخدام طريقة هيلفيغ</w:t>
      </w:r>
      <w:r w:rsidRPr="00650C72">
        <w:rPr>
          <w:rFonts w:ascii="Simplified Arabic" w:eastAsia="Times New Roman" w:hAnsi="Simplified Arabic" w:cs="Simplified Arabic"/>
          <w:color w:val="000000" w:themeColor="text1"/>
          <w:kern w:val="0"/>
          <w:sz w:val="28"/>
          <w:szCs w:val="28"/>
          <w14:ligatures w14:val="none"/>
        </w:rPr>
        <w:t xml:space="preserve"> (Hellwig's method) </w:t>
      </w:r>
      <w:r w:rsidRPr="00650C72">
        <w:rPr>
          <w:rFonts w:ascii="Simplified Arabic" w:eastAsia="Times New Roman" w:hAnsi="Simplified Arabic" w:cs="Simplified Arabic"/>
          <w:color w:val="000000" w:themeColor="text1"/>
          <w:kern w:val="0"/>
          <w:sz w:val="28"/>
          <w:szCs w:val="28"/>
          <w:rtl/>
          <w14:ligatures w14:val="none"/>
        </w:rPr>
        <w:t>لدعم القرار. واستخدمت الدراسة المنهج التجريبي الكمي القائم على التحليل الحاسوبي للبيانات العقارية، وتكوّنت العينة من (2,578) صفقة عقارية سكنية مسجلة عام 2018 في مدينة فروتسواف</w:t>
      </w:r>
      <w:r w:rsidRPr="00650C72">
        <w:rPr>
          <w:rFonts w:ascii="Simplified Arabic" w:eastAsia="Times New Roman" w:hAnsi="Simplified Arabic" w:cs="Simplified Arabic"/>
          <w:color w:val="000000" w:themeColor="text1"/>
          <w:kern w:val="0"/>
          <w:sz w:val="28"/>
          <w:szCs w:val="28"/>
          <w14:ligatures w14:val="none"/>
        </w:rPr>
        <w:t xml:space="preserve"> (Wroc</w:t>
      </w:r>
      <w:r w:rsidRPr="00650C72">
        <w:rPr>
          <w:rFonts w:ascii="Cambria" w:eastAsia="Times New Roman" w:hAnsi="Cambria" w:cs="Cambria"/>
          <w:color w:val="000000" w:themeColor="text1"/>
          <w:kern w:val="0"/>
          <w:sz w:val="28"/>
          <w:szCs w:val="28"/>
          <w14:ligatures w14:val="none"/>
        </w:rPr>
        <w:t>ł</w:t>
      </w:r>
      <w:r w:rsidRPr="00650C72">
        <w:rPr>
          <w:rFonts w:ascii="Simplified Arabic" w:eastAsia="Times New Roman" w:hAnsi="Simplified Arabic" w:cs="Simplified Arabic"/>
          <w:color w:val="000000" w:themeColor="text1"/>
          <w:kern w:val="0"/>
          <w:sz w:val="28"/>
          <w:szCs w:val="28"/>
          <w14:ligatures w14:val="none"/>
        </w:rPr>
        <w:t xml:space="preserve">aw) </w:t>
      </w:r>
      <w:r w:rsidRPr="00650C72">
        <w:rPr>
          <w:rFonts w:ascii="Simplified Arabic" w:eastAsia="Times New Roman" w:hAnsi="Simplified Arabic" w:cs="Simplified Arabic"/>
          <w:color w:val="000000" w:themeColor="text1"/>
          <w:kern w:val="0"/>
          <w:sz w:val="28"/>
          <w:szCs w:val="28"/>
          <w:rtl/>
          <w14:ligatures w14:val="none"/>
        </w:rPr>
        <w:t>في بولندا، حيث وُصف كل عقار بـ (12) سمة مُرمّزة (الموقع، نوع الملكية، عدد الغرف... إلخ). وتوصلت نتائج الدراسة إلى أن الخوارزمية الجينية توفر أداة فعالة لتحسين نماذج التقييم الآلي وأنها تساعد المستثمرين في اتخاذ قرارات استثمارية أكثر دقة من خلال تصنيف العقارات بناءً على معايير متعددة. وأوصت الدراسة بتوسيع تطبيق الخوارزميات الجينية في أنظمة دعم القرار الاستثماري العقاري وتطوير النماذج لتشمل أسواقاً عقارية أخرى</w:t>
      </w:r>
      <w:r w:rsidRPr="00650C72">
        <w:rPr>
          <w:rFonts w:ascii="Simplified Arabic" w:eastAsia="Times New Roman" w:hAnsi="Simplified Arabic" w:cs="Simplified Arabic"/>
          <w:color w:val="000000" w:themeColor="text1"/>
          <w:kern w:val="0"/>
          <w:sz w:val="28"/>
          <w:szCs w:val="28"/>
          <w14:ligatures w14:val="none"/>
        </w:rPr>
        <w:t>.</w:t>
      </w:r>
    </w:p>
    <w:p w14:paraId="6506CA80"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lastRenderedPageBreak/>
        <w:t>دراسة</w:t>
      </w:r>
      <w:r w:rsidRPr="00650C72">
        <w:rPr>
          <w:rFonts w:ascii="Simplified Arabic" w:eastAsia="Times New Roman" w:hAnsi="Simplified Arabic" w:cs="Simplified Arabic"/>
          <w:b/>
          <w:bCs/>
          <w:color w:val="000000" w:themeColor="text1"/>
          <w:kern w:val="0"/>
          <w:sz w:val="28"/>
          <w:szCs w:val="28"/>
          <w14:ligatures w14:val="none"/>
        </w:rPr>
        <w:t xml:space="preserve"> (El-Emary et al., 2020): The Effect of Using Artificial Intelligence on the Quality of Decision-Making in Various Organizations: A Critical Survey Study.</w:t>
      </w:r>
    </w:p>
    <w:p w14:paraId="50938443"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الذكاء الاصطناعي على جودة اتخاذ القرار في المنظمات المختلفة، وتحديد أنواع القرارات التي يمكن دعمها بتقنيات الذكاء الاصطناعي وأهم الخوارزميات والنماذج المستخدمة. واستخدمت الدراسة المنهج الوصفي التحليلي الوثائقي القائم على المراجعة النقدية لـ (12) دراسة سابقة منشورة خلال الفترة </w:t>
      </w:r>
      <w:r w:rsidRPr="00650C72">
        <w:rPr>
          <w:rFonts w:ascii="Simplified Arabic" w:eastAsia="Times New Roman" w:hAnsi="Simplified Arabic" w:cs="Simplified Arabic"/>
          <w:color w:val="000000" w:themeColor="text1"/>
          <w:kern w:val="0"/>
          <w:sz w:val="28"/>
          <w:szCs w:val="28"/>
          <w14:ligatures w14:val="none"/>
        </w:rPr>
        <w:t xml:space="preserve">(2010-2020) </w:t>
      </w:r>
      <w:r w:rsidRPr="00650C72">
        <w:rPr>
          <w:rFonts w:ascii="Simplified Arabic" w:eastAsia="Times New Roman" w:hAnsi="Simplified Arabic" w:cs="Simplified Arabic"/>
          <w:color w:val="000000" w:themeColor="text1"/>
          <w:kern w:val="0"/>
          <w:sz w:val="28"/>
          <w:szCs w:val="28"/>
          <w:rtl/>
          <w14:ligatures w14:val="none"/>
        </w:rPr>
        <w:t>عبر المكتبة الرقمية السعودية ومحرك البحث</w:t>
      </w:r>
      <w:r w:rsidRPr="00650C72">
        <w:rPr>
          <w:rFonts w:ascii="Simplified Arabic" w:eastAsia="Times New Roman" w:hAnsi="Simplified Arabic" w:cs="Simplified Arabic"/>
          <w:color w:val="000000" w:themeColor="text1"/>
          <w:kern w:val="0"/>
          <w:sz w:val="28"/>
          <w:szCs w:val="28"/>
          <w14:ligatures w14:val="none"/>
        </w:rPr>
        <w:t xml:space="preserve"> Google Scholar.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 تقنيات الذكاء الاصطناعي يؤثر إيجابياً على دقة وجودة اتخاذ القرار في مختلف أشكال المنظمات، وأن أهم التقنيات المستخدمة تشمل آلة المتجهات الداعمة</w:t>
      </w:r>
      <w:r w:rsidRPr="00650C72">
        <w:rPr>
          <w:rFonts w:ascii="Simplified Arabic" w:eastAsia="Times New Roman" w:hAnsi="Simplified Arabic" w:cs="Simplified Arabic"/>
          <w:color w:val="000000" w:themeColor="text1"/>
          <w:kern w:val="0"/>
          <w:sz w:val="28"/>
          <w:szCs w:val="28"/>
          <w14:ligatures w14:val="none"/>
        </w:rPr>
        <w:t xml:space="preserve"> (SVM) </w:t>
      </w:r>
      <w:r w:rsidRPr="00650C72">
        <w:rPr>
          <w:rFonts w:ascii="Simplified Arabic" w:eastAsia="Times New Roman" w:hAnsi="Simplified Arabic" w:cs="Simplified Arabic"/>
          <w:color w:val="000000" w:themeColor="text1"/>
          <w:kern w:val="0"/>
          <w:sz w:val="28"/>
          <w:szCs w:val="28"/>
          <w:rtl/>
          <w14:ligatures w14:val="none"/>
        </w:rPr>
        <w:t>والشبكات العصبية الاصطناعية وشبكات بايز والغابة العشوائية وشجرة القرار. وأوصت الدراسة بضرورة إجراء مزيد من الدراسات التجريبية والاستكشافية حول تأثير الذكاء الاصطناعي على جودة القرار خاصة في الدول العربية، وتصميم نماذج وخطط عمل لتوظيف الذكاء الاصطناعي في اتخاذ القرار</w:t>
      </w:r>
      <w:r w:rsidRPr="00650C72">
        <w:rPr>
          <w:rFonts w:ascii="Simplified Arabic" w:eastAsia="Times New Roman" w:hAnsi="Simplified Arabic" w:cs="Simplified Arabic"/>
          <w:color w:val="000000" w:themeColor="text1"/>
          <w:kern w:val="0"/>
          <w:sz w:val="28"/>
          <w:szCs w:val="28"/>
          <w14:ligatures w14:val="none"/>
        </w:rPr>
        <w:t>.</w:t>
      </w:r>
    </w:p>
    <w:p w14:paraId="4645F088"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w:t>
      </w:r>
      <w:r w:rsidRPr="00650C72">
        <w:rPr>
          <w:rFonts w:ascii="Simplified Arabic" w:eastAsia="Times New Roman" w:hAnsi="Simplified Arabic" w:cs="Simplified Arabic"/>
          <w:b/>
          <w:bCs/>
          <w:color w:val="000000" w:themeColor="text1"/>
          <w:kern w:val="0"/>
          <w:sz w:val="28"/>
          <w:szCs w:val="28"/>
          <w14:ligatures w14:val="none"/>
        </w:rPr>
        <w:t xml:space="preserve"> (Khanna, 2021): Evaluating the Impact of Artificial Intelligence on Investment Decision-Making in Finance.</w:t>
      </w:r>
    </w:p>
    <w:p w14:paraId="71942D80" w14:textId="4C3A3666"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الذكاء الاصطناعي على اتخاذ القرار الاستثماري في القطاع المالي بأبعاده </w:t>
      </w: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المستشارون الآليون</w:t>
      </w:r>
      <w:r w:rsidRPr="00650C72">
        <w:rPr>
          <w:rFonts w:ascii="Simplified Arabic" w:eastAsia="Times New Roman" w:hAnsi="Simplified Arabic" w:cs="Simplified Arabic"/>
          <w:color w:val="000000" w:themeColor="text1"/>
          <w:kern w:val="0"/>
          <w:sz w:val="28"/>
          <w:szCs w:val="28"/>
          <w14:ligatures w14:val="none"/>
        </w:rPr>
        <w:t xml:space="preserve"> Robo-Advisors</w:t>
      </w:r>
      <w:r w:rsidRPr="00650C72">
        <w:rPr>
          <w:rFonts w:ascii="Simplified Arabic" w:eastAsia="Times New Roman" w:hAnsi="Simplified Arabic" w:cs="Simplified Arabic"/>
          <w:color w:val="000000" w:themeColor="text1"/>
          <w:kern w:val="0"/>
          <w:sz w:val="28"/>
          <w:szCs w:val="28"/>
          <w:rtl/>
          <w14:ligatures w14:val="none"/>
        </w:rPr>
        <w:t>، التحليلات التنبؤية، التداول الخوارزمي، إدارة المخاطر). واستخدمت الدراسة المنهج الوصفي التحليلي القائم على المراجعة الأدبية الشاملة وتحليل دراسات الحالة من مؤسسات مالية مرموقة. وتوصلت نتائج الدراسة إلى أن المستشارين الآليين تفوقوا على المحافظ المدارة بشرياً من حيث متوسط العوائد وكفاءة التكلفة، وأن نماذج التنبؤ القائمة على الذكاء الاصطناعي تفوقت على النماذج التقليدية، كما أن التداول الخوارزمي زاد من سيولة السوق لكنه قد يزيد التقلبات في فترات الاضطراب، فيما عززت أنظمة إدارة المخاطر المدعومة بالذكاء الاصطناعي العوائد المعدلة بالمخاطر. وأوصت الدراسة بتبني التعاون الفعّال بين الإنسان والآلة في اتخاذ القرارات الاستثمارية ومعالجة التحديات الأخلاقية المتعلقة بالتحيز الخوارزمي وخصوصية البيانات والشفافية</w:t>
      </w:r>
      <w:r w:rsidRPr="00650C72">
        <w:rPr>
          <w:rFonts w:ascii="Simplified Arabic" w:eastAsia="Times New Roman" w:hAnsi="Simplified Arabic" w:cs="Simplified Arabic"/>
          <w:color w:val="000000" w:themeColor="text1"/>
          <w:kern w:val="0"/>
          <w:sz w:val="28"/>
          <w:szCs w:val="28"/>
          <w14:ligatures w14:val="none"/>
        </w:rPr>
        <w:t>.</w:t>
      </w:r>
    </w:p>
    <w:p w14:paraId="73D591D9" w14:textId="77777777"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lastRenderedPageBreak/>
        <w:t>دراسة</w:t>
      </w:r>
      <w:r w:rsidRPr="00650C72">
        <w:rPr>
          <w:rFonts w:ascii="Simplified Arabic" w:eastAsia="Times New Roman" w:hAnsi="Simplified Arabic" w:cs="Simplified Arabic"/>
          <w:b/>
          <w:bCs/>
          <w:color w:val="000000" w:themeColor="text1"/>
          <w:kern w:val="0"/>
          <w:sz w:val="28"/>
          <w:szCs w:val="28"/>
          <w14:ligatures w14:val="none"/>
        </w:rPr>
        <w:t xml:space="preserve"> (Alsahan &amp; AlZaidan, 2024): Unleashing the Power of Artificial Intelligence in Real Estate Valuation: Opportunities and Challenges Ahead.</w:t>
      </w:r>
    </w:p>
    <w:p w14:paraId="63491D6D"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الأهمية الاستراتيجية لدمج الذكاء الاصطناعي في التقييم العقاري بأبعاده (نماذج التقييم القائمة على الذكاء الاصطناعي، التحليلات التنبؤية، الذكاء الاصطناعي القابل للتفسير</w:t>
      </w:r>
      <w:r w:rsidRPr="00650C72">
        <w:rPr>
          <w:rFonts w:ascii="Simplified Arabic" w:eastAsia="Times New Roman" w:hAnsi="Simplified Arabic" w:cs="Simplified Arabic"/>
          <w:color w:val="000000" w:themeColor="text1"/>
          <w:kern w:val="0"/>
          <w:sz w:val="28"/>
          <w:szCs w:val="28"/>
          <w14:ligatures w14:val="none"/>
        </w:rPr>
        <w:t xml:space="preserve"> (XAI)</w:t>
      </w:r>
      <w:r w:rsidRPr="00650C72">
        <w:rPr>
          <w:rFonts w:ascii="Simplified Arabic" w:eastAsia="Times New Roman" w:hAnsi="Simplified Arabic" w:cs="Simplified Arabic"/>
          <w:color w:val="000000" w:themeColor="text1"/>
          <w:kern w:val="0"/>
          <w:sz w:val="28"/>
          <w:szCs w:val="28"/>
          <w:rtl/>
          <w14:ligatures w14:val="none"/>
        </w:rPr>
        <w:t>، القضايا الأخلاقية والتنظيمية) مع التطبيق على السوق السعودي. واستخدمت الدراسة المنهج الوصفي القائم على المراجعة الأدبية الشاملة للمقالات الأكاديمية والتقارير الصناعية وبيانات السوق دون جمع بيانات أولية. وتوصلت نتائج الدراسة إلى أن الذكاء الاصطناعي يمكنه تحسين دقة التقييم العقاري وكفاءته وشفافيته، مع وجود تحديات رئيسية تشمل طبيعة "الصندوق الأسود" لنماذج التعلم الآلي وخصوصية البيانات والتحيز والقبول التنظيمي. وأوصت الدراسة بتطوير تقنيات الذكاء الاصطناعي القابل للتفسير في التقييم العقاري ودمج مصادر بيانات متنوعة وإنشاء أنظمة تقييم هجينة تجمع بين الذكاء الاصطناعي والخبرة البشرية ومعالجة المخاوف الأخلاقية والتنظيمية</w:t>
      </w:r>
      <w:r w:rsidRPr="00650C72">
        <w:rPr>
          <w:rFonts w:ascii="Simplified Arabic" w:eastAsia="Times New Roman" w:hAnsi="Simplified Arabic" w:cs="Simplified Arabic"/>
          <w:color w:val="000000" w:themeColor="text1"/>
          <w:kern w:val="0"/>
          <w:sz w:val="28"/>
          <w:szCs w:val="28"/>
          <w14:ligatures w14:val="none"/>
        </w:rPr>
        <w:t>.</w:t>
      </w:r>
    </w:p>
    <w:p w14:paraId="71A0CC11" w14:textId="77777777" w:rsidR="0088241C" w:rsidRPr="00650C72" w:rsidRDefault="0088241C"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w:t>
      </w:r>
      <w:r w:rsidRPr="00650C72">
        <w:rPr>
          <w:rFonts w:ascii="Simplified Arabic" w:eastAsia="Times New Roman" w:hAnsi="Simplified Arabic" w:cs="Simplified Arabic"/>
          <w:b/>
          <w:bCs/>
          <w:color w:val="000000" w:themeColor="text1"/>
          <w:kern w:val="0"/>
          <w:sz w:val="28"/>
          <w:szCs w:val="28"/>
          <w14:ligatures w14:val="none"/>
        </w:rPr>
        <w:t xml:space="preserve"> (Onyenahazi &amp; Antwi, 2024): The Role of Artificial Intelligence in Investment Decision-Making: Opportunities and Risks for Financial Institutions.</w:t>
      </w:r>
    </w:p>
    <w:p w14:paraId="40C195B9" w14:textId="77777777" w:rsidR="0088241C" w:rsidRPr="00650C72" w:rsidRDefault="0088241C"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في اتخاذ القرار الاستثماري بأبعاده (التعلم الآلي، معالجة اللغة الطبيعية، التحليلات التنبؤية) وما يقدمه من فرص ومخاطر للمؤسسات المالية في مجالات إدارة الأصول وتحسين المحافظ وتقييم المخاطر. واستخدمت الدراسة المنهج الوصفي التحليلي القائم على المراجعة الأدبية ودراسات الحالة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وتوصلت نتائج الدراسة إلى أن خوارزميات الذكاء الاصطناعي تمكّن المؤسسات المالية من معالجة كميات ضخمة من البيانات بكفاءة أكبر وتحديد اتجاهات السوق واتخاذ قرارات أكثر استنارة مما يؤدي إلى تعزيز العوائد والميزة التنافسية، مع وجود مخاطر تتعلق بالتحيز الخوارزمي وقابلية التفسير والأمن السيبراني. وأوصت الدراسة بضرورة اعتماد أُطر شاملة لإدارة المخاطر المرتبطة بالذكاء الاصطناعي وتعزيز الشفافية في الخوارزميات والموازنة بين الأتمتة والرقابة البشرية</w:t>
      </w:r>
      <w:r w:rsidRPr="00650C72">
        <w:rPr>
          <w:rFonts w:ascii="Simplified Arabic" w:eastAsia="Times New Roman" w:hAnsi="Simplified Arabic" w:cs="Simplified Arabic"/>
          <w:color w:val="000000" w:themeColor="text1"/>
          <w:kern w:val="0"/>
          <w:sz w:val="28"/>
          <w:szCs w:val="28"/>
          <w14:ligatures w14:val="none"/>
        </w:rPr>
        <w:t>.</w:t>
      </w:r>
    </w:p>
    <w:p w14:paraId="6050BB02" w14:textId="79040E52" w:rsidR="00ED11D0" w:rsidRPr="00650C72" w:rsidRDefault="00ED11D0" w:rsidP="0088241C">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دراسة</w:t>
      </w:r>
      <w:r w:rsidRPr="00650C72">
        <w:rPr>
          <w:rFonts w:ascii="Simplified Arabic" w:eastAsia="Times New Roman" w:hAnsi="Simplified Arabic" w:cs="Simplified Arabic"/>
          <w:b/>
          <w:bCs/>
          <w:color w:val="000000" w:themeColor="text1"/>
          <w:kern w:val="0"/>
          <w:sz w:val="28"/>
          <w:szCs w:val="28"/>
          <w14:ligatures w14:val="none"/>
        </w:rPr>
        <w:t xml:space="preserve"> (Karanikolas</w:t>
      </w:r>
      <w:r w:rsidR="006E6BDA" w:rsidRPr="00650C72">
        <w:rPr>
          <w:rFonts w:ascii="Simplified Arabic" w:eastAsia="Times New Roman" w:hAnsi="Simplified Arabic" w:cs="Simplified Arabic"/>
          <w:b/>
          <w:bCs/>
          <w:color w:val="000000" w:themeColor="text1"/>
          <w:kern w:val="0"/>
          <w:sz w:val="28"/>
          <w:szCs w:val="28"/>
          <w14:ligatures w14:val="none"/>
        </w:rPr>
        <w:t xml:space="preserve"> et al.</w:t>
      </w:r>
      <w:r w:rsidRPr="00650C72">
        <w:rPr>
          <w:rFonts w:ascii="Simplified Arabic" w:eastAsia="Times New Roman" w:hAnsi="Simplified Arabic" w:cs="Simplified Arabic"/>
          <w:b/>
          <w:bCs/>
          <w:color w:val="000000" w:themeColor="text1"/>
          <w:kern w:val="0"/>
          <w:sz w:val="28"/>
          <w:szCs w:val="28"/>
          <w14:ligatures w14:val="none"/>
        </w:rPr>
        <w:t>, 2025): Artificial Intelligence and Real Estate Valuation: The Design and Implementation of a Multimodal Model.</w:t>
      </w:r>
    </w:p>
    <w:p w14:paraId="14231605"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إمكانية تحسين دقة التقييم العقاري من خلال تصميم وتنفيذ نموذج متعدد الوسائط بأبعاده </w:t>
      </w: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استخراج الخصائص من النصوص باستخدام معالجة اللغة الطبيعية</w:t>
      </w:r>
      <w:r w:rsidRPr="00650C72">
        <w:rPr>
          <w:rFonts w:ascii="Simplified Arabic" w:eastAsia="Times New Roman" w:hAnsi="Simplified Arabic" w:cs="Simplified Arabic"/>
          <w:color w:val="000000" w:themeColor="text1"/>
          <w:kern w:val="0"/>
          <w:sz w:val="28"/>
          <w:szCs w:val="28"/>
          <w14:ligatures w14:val="none"/>
        </w:rPr>
        <w:t xml:space="preserve"> NLP</w:t>
      </w:r>
      <w:r w:rsidRPr="00650C72">
        <w:rPr>
          <w:rFonts w:ascii="Simplified Arabic" w:eastAsia="Times New Roman" w:hAnsi="Simplified Arabic" w:cs="Simplified Arabic"/>
          <w:color w:val="000000" w:themeColor="text1"/>
          <w:kern w:val="0"/>
          <w:sz w:val="28"/>
          <w:szCs w:val="28"/>
          <w:rtl/>
          <w14:ligatures w14:val="none"/>
        </w:rPr>
        <w:t>، استخراج السمات البصرية بالرؤية الحاسوبية، الإثراء المكاني ببيانات الوصول ونقاط الاهتمام). واستخدمت الدراسة منهجاً تجريبياً حاسوبياً يجمع بين تقنيات التعلم العميق ونماذج تعزيز التدرج</w:t>
      </w:r>
      <w:r w:rsidRPr="00650C72">
        <w:rPr>
          <w:rFonts w:ascii="Simplified Arabic" w:eastAsia="Times New Roman" w:hAnsi="Simplified Arabic" w:cs="Simplified Arabic"/>
          <w:color w:val="000000" w:themeColor="text1"/>
          <w:kern w:val="0"/>
          <w:sz w:val="28"/>
          <w:szCs w:val="28"/>
          <w14:ligatures w14:val="none"/>
        </w:rPr>
        <w:t xml:space="preserve"> (Gradient Boosting)</w:t>
      </w:r>
      <w:r w:rsidRPr="00650C72">
        <w:rPr>
          <w:rFonts w:ascii="Simplified Arabic" w:eastAsia="Times New Roman" w:hAnsi="Simplified Arabic" w:cs="Simplified Arabic"/>
          <w:color w:val="000000" w:themeColor="text1"/>
          <w:kern w:val="0"/>
          <w:sz w:val="28"/>
          <w:szCs w:val="28"/>
          <w:rtl/>
          <w14:ligatures w14:val="none"/>
        </w:rPr>
        <w:t>، وتكوّنت العينة من آلاف الإعلانات العقارية من مدينة ثيسالونيكي في اليونان. وتوصلت نتائج الدراسة إلى أن النموذج متعدد الوسائط يتفوق باستمرار على النماذج التقليدية (الهيدونية والمقارنة) في جميع مقاييس الأداء مع توفير شفافية أكبر عبر أدوات التفسير</w:t>
      </w:r>
      <w:r w:rsidRPr="00650C72">
        <w:rPr>
          <w:rFonts w:ascii="Simplified Arabic" w:eastAsia="Times New Roman" w:hAnsi="Simplified Arabic" w:cs="Simplified Arabic"/>
          <w:color w:val="000000" w:themeColor="text1"/>
          <w:kern w:val="0"/>
          <w:sz w:val="28"/>
          <w:szCs w:val="28"/>
          <w14:ligatures w14:val="none"/>
        </w:rPr>
        <w:t xml:space="preserve"> (SHAP, Grad-CAM). </w:t>
      </w:r>
      <w:r w:rsidRPr="00650C72">
        <w:rPr>
          <w:rFonts w:ascii="Simplified Arabic" w:eastAsia="Times New Roman" w:hAnsi="Simplified Arabic" w:cs="Simplified Arabic"/>
          <w:color w:val="000000" w:themeColor="text1"/>
          <w:kern w:val="0"/>
          <w:sz w:val="28"/>
          <w:szCs w:val="28"/>
          <w:rtl/>
          <w14:ligatures w14:val="none"/>
        </w:rPr>
        <w:t>وأوصت الدراسة بتبني النموذج المقترح في عمليات التقييم العقاري وضمان جودة البيانات وفحص التحيز والمواءمة مع المعايير الدولية</w:t>
      </w:r>
      <w:r w:rsidRPr="00650C72">
        <w:rPr>
          <w:rFonts w:ascii="Simplified Arabic" w:eastAsia="Times New Roman" w:hAnsi="Simplified Arabic" w:cs="Simplified Arabic"/>
          <w:color w:val="000000" w:themeColor="text1"/>
          <w:kern w:val="0"/>
          <w:sz w:val="28"/>
          <w:szCs w:val="28"/>
          <w14:ligatures w14:val="none"/>
        </w:rPr>
        <w:t xml:space="preserve"> (RICS/IVS/IAAO).</w:t>
      </w:r>
    </w:p>
    <w:p w14:paraId="7200AE0E" w14:textId="593CAC44" w:rsidR="0088241C" w:rsidRPr="00650C72" w:rsidRDefault="0088241C" w:rsidP="0088241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169790501"/>
      <w:bookmarkStart w:id="21" w:name="_Toc223603160"/>
      <w:bookmarkStart w:id="22" w:name="_Toc234796424"/>
      <w:bookmarkEnd w:id="18"/>
      <w:r w:rsidRPr="00650C72">
        <w:rPr>
          <w:rFonts w:ascii="Simplified Arabic" w:hAnsi="Simplified Arabic" w:cs="Simplified Arabic"/>
          <w:b/>
          <w:bCs/>
          <w:color w:val="000000" w:themeColor="text1"/>
          <w:sz w:val="36"/>
          <w:szCs w:val="36"/>
          <w:rtl/>
        </w:rPr>
        <w:t>8.1 الفجوة البحثية:</w:t>
      </w:r>
      <w:bookmarkEnd w:id="22"/>
    </w:p>
    <w:p w14:paraId="0CF052B1" w14:textId="3DF10F41" w:rsidR="009E03A2" w:rsidRPr="00650C72" w:rsidRDefault="00ED11D0" w:rsidP="0088241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650C72">
        <w:rPr>
          <w:rFonts w:ascii="Simplified Arabic" w:hAnsi="Simplified Arabic" w:cs="Simplified Arabic"/>
          <w:color w:val="000000" w:themeColor="text1"/>
          <w:sz w:val="28"/>
          <w:szCs w:val="28"/>
          <w:rtl/>
        </w:rPr>
        <w:t>باستقراء الدراسات السابقة التي اعتمدت عليها هذه الدراسة يتضح أن الأدبيات العربية والإنجليزية قد عالجت أثر الذكاء الاصطناعي على جودة اتخاذ القرار في قطاعات متعددة كالرعاية الصحية (الخلايلة والصمادي، 2021) والاتصالات وتكنولوجيا المعلومات (العريمي والحلالمة، 2024) والتسويق الرقمي (فهيم والبنا وعامر، 2023) والمحاسبة (بوبكر وقرفي، 2025) والتعليم (حمزة، 2026</w:t>
      </w:r>
      <w:r w:rsidR="006E6BDA"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color w:val="000000" w:themeColor="text1"/>
          <w:sz w:val="28"/>
          <w:szCs w:val="28"/>
        </w:rPr>
        <w:t xml:space="preserve"> </w:t>
      </w:r>
      <w:r w:rsidRPr="00650C72">
        <w:rPr>
          <w:rFonts w:ascii="Simplified Arabic" w:hAnsi="Simplified Arabic" w:cs="Simplified Arabic"/>
          <w:color w:val="000000" w:themeColor="text1"/>
          <w:sz w:val="28"/>
          <w:szCs w:val="28"/>
          <w:rtl/>
        </w:rPr>
        <w:t>وتقييم أداء الموظفين في البنوك (المهباش والعزكي، 2024)، كما تناولت دراسات أخرى أثر آليات الحوكمة على جودة القرار الاستثماري في القطاع المصرفي (عبدالعزيز وآخرون، 2025) وواقع جودة القرار في الشركات الصناعية (عبدالرحمن وآخرون، 2024)، بينما ركّزت الدراسات الإنجليزية على الجانب التقني لنماذج التقييم الآلي والخوارزميات الجينية</w:t>
      </w:r>
      <w:r w:rsidRPr="00650C72">
        <w:rPr>
          <w:rFonts w:ascii="Simplified Arabic" w:hAnsi="Simplified Arabic" w:cs="Simplified Arabic"/>
          <w:color w:val="000000" w:themeColor="text1"/>
          <w:sz w:val="28"/>
          <w:szCs w:val="28"/>
        </w:rPr>
        <w:t xml:space="preserve"> (Chmielewska et al., 2020) </w:t>
      </w:r>
      <w:r w:rsidRPr="00650C72">
        <w:rPr>
          <w:rFonts w:ascii="Simplified Arabic" w:hAnsi="Simplified Arabic" w:cs="Simplified Arabic"/>
          <w:color w:val="000000" w:themeColor="text1"/>
          <w:sz w:val="28"/>
          <w:szCs w:val="28"/>
          <w:rtl/>
        </w:rPr>
        <w:t>والنماذج متعددة الوسائط في التقييم العقاري</w:t>
      </w:r>
      <w:r w:rsidRPr="00650C72">
        <w:rPr>
          <w:rFonts w:ascii="Simplified Arabic" w:hAnsi="Simplified Arabic" w:cs="Simplified Arabic"/>
          <w:color w:val="000000" w:themeColor="text1"/>
          <w:sz w:val="28"/>
          <w:szCs w:val="28"/>
        </w:rPr>
        <w:t xml:space="preserve"> (Karanikolas et al., 2025) </w:t>
      </w:r>
      <w:r w:rsidRPr="00650C72">
        <w:rPr>
          <w:rFonts w:ascii="Simplified Arabic" w:hAnsi="Simplified Arabic" w:cs="Simplified Arabic"/>
          <w:color w:val="000000" w:themeColor="text1"/>
          <w:sz w:val="28"/>
          <w:szCs w:val="28"/>
          <w:rtl/>
        </w:rPr>
        <w:t xml:space="preserve">وتطبيقات الذكاء الاصطناعي في القرار المالي والاستثماري بشكل عام </w:t>
      </w:r>
      <w:r w:rsidRPr="00650C72">
        <w:rPr>
          <w:rFonts w:ascii="Simplified Arabic" w:hAnsi="Simplified Arabic" w:cs="Simplified Arabic"/>
          <w:color w:val="000000" w:themeColor="text1"/>
          <w:sz w:val="28"/>
          <w:szCs w:val="28"/>
        </w:rPr>
        <w:t>(Khanna, 2021; El</w:t>
      </w:r>
      <w:r w:rsidRPr="00650C72">
        <w:rPr>
          <w:rFonts w:ascii="Simplified Arabic" w:hAnsi="Simplified Arabic" w:cs="Simplified Arabic"/>
          <w:color w:val="000000" w:themeColor="text1"/>
          <w:sz w:val="28"/>
          <w:szCs w:val="28"/>
        </w:rPr>
        <w:noBreakHyphen/>
        <w:t xml:space="preserve">Emary et al., 2020) </w:t>
      </w:r>
      <w:r w:rsidRPr="00650C72">
        <w:rPr>
          <w:rFonts w:ascii="Simplified Arabic" w:hAnsi="Simplified Arabic" w:cs="Simplified Arabic"/>
          <w:color w:val="000000" w:themeColor="text1"/>
          <w:sz w:val="28"/>
          <w:szCs w:val="28"/>
          <w:rtl/>
        </w:rPr>
        <w:t>وإدارة الأصول العقارية</w:t>
      </w:r>
      <w:r w:rsidRPr="00650C72">
        <w:rPr>
          <w:rFonts w:ascii="Simplified Arabic" w:hAnsi="Simplified Arabic" w:cs="Simplified Arabic"/>
          <w:color w:val="000000" w:themeColor="text1"/>
          <w:sz w:val="28"/>
          <w:szCs w:val="28"/>
        </w:rPr>
        <w:t xml:space="preserve"> (Onyenahazi &amp; Antwi, 2024; Alsahan &amp; AlZaidan, 2024). </w:t>
      </w:r>
      <w:r w:rsidRPr="00650C72">
        <w:rPr>
          <w:rFonts w:ascii="Simplified Arabic" w:hAnsi="Simplified Arabic" w:cs="Simplified Arabic"/>
          <w:color w:val="000000" w:themeColor="text1"/>
          <w:sz w:val="28"/>
          <w:szCs w:val="28"/>
          <w:rtl/>
        </w:rPr>
        <w:t xml:space="preserve">غير أن المتأمل في هذه الدراسات مجتمعة يلحظ أنها لم تربط بشكل مباشر ومتكامل بين أدوات الذكاء الاصطناعي في التقييم العقاري بأبعادها الأربعة مجتمعة — التحليلات التنبؤية للأسعار ونماذج التقييم الآلي وتحليل البيانات الضخمة العقارية وأنظمة دعم القرار الذكية — من جهة، وجودة القرار الاستثماري العقاري من جهة أخرى، ولا سيما في السياق السعودي الذي يتميز بخصوصيات تنظيمية وسوقية فريدة في ظل التحولات المتسارعة التي تشهدها رؤية 2030؛ فالدراسات العربية عالجت قطاعات بعيدة عن العقار أو اقتصرت على بُعد واحد من أبعاد الذكاء </w:t>
      </w:r>
      <w:r w:rsidRPr="00650C72">
        <w:rPr>
          <w:rFonts w:ascii="Simplified Arabic" w:hAnsi="Simplified Arabic" w:cs="Simplified Arabic"/>
          <w:color w:val="000000" w:themeColor="text1"/>
          <w:sz w:val="28"/>
          <w:szCs w:val="28"/>
          <w:rtl/>
        </w:rPr>
        <w:lastRenderedPageBreak/>
        <w:t>الاصطناعي، والدراسات الإنجليزية ركّزت على الجانب التقني للخوارزميات دون ربطه بجودة القرار الاستثماري كمتغير تابع قابل للقياس في بيئة الأعمال العقارية، وهو ما يُشكّل فجوة بحثية واضحة تسعى الدراسة الحالية إلى سدّها من خلال بناء نموذج تكاملي يختبر هذا الأثر ميدانياً على شركات التطوير والاستثمار العقاري بالمملكة العربية السعودية</w:t>
      </w:r>
      <w:r w:rsidR="009E03A2" w:rsidRPr="00650C72">
        <w:rPr>
          <w:rFonts w:ascii="Simplified Arabic" w:hAnsi="Simplified Arabic" w:cs="Simplified Arabic"/>
          <w:color w:val="000000" w:themeColor="text1"/>
          <w:sz w:val="28"/>
          <w:szCs w:val="28"/>
          <w:rtl/>
        </w:rPr>
        <w:t>.</w:t>
      </w:r>
    </w:p>
    <w:p w14:paraId="4252E9E5" w14:textId="77777777" w:rsidR="0088241C" w:rsidRPr="00650C72" w:rsidRDefault="0088241C" w:rsidP="0088241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2"/>
      <w:bookmarkStart w:id="24" w:name="_Toc234796425"/>
      <w:bookmarkEnd w:id="20"/>
      <w:bookmarkEnd w:id="21"/>
      <w:r w:rsidRPr="00650C7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4"/>
    </w:p>
    <w:p w14:paraId="6A1036AF" w14:textId="01E3BE34" w:rsidR="0088241C" w:rsidRPr="00650C72" w:rsidRDefault="0088241C" w:rsidP="0088241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50C72">
        <w:rPr>
          <w:rFonts w:ascii="Simplified Arabic" w:eastAsia="Times New Roman" w:hAnsi="Simplified Arabic" w:cs="Simplified Arabic"/>
          <w:b/>
          <w:bCs/>
          <w:color w:val="000000" w:themeColor="text1"/>
          <w:kern w:val="0"/>
          <w:sz w:val="32"/>
          <w:szCs w:val="32"/>
          <w:rtl/>
          <w14:ligatures w14:val="none"/>
        </w:rPr>
        <w:t>أدوات الذكاء الاصطناعي في التقييم العقاري (المتغير المستقل)</w:t>
      </w:r>
    </w:p>
    <w:p w14:paraId="7CCF1D90"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تُعرَّف أدوات الذكاء الاصطناعي إجرائياً في هذه الدراسة بأنها مجموعة البرمجيات والخوارزميات القائمة على تقنيات التعلم الآلي والتعلم العميق ومعالجة اللغة الطبيعية وتحليل البيانات، التي تُستخدم في تقدير قيمة الأصول العقارية وتحليل اتجاهات السوق ودعم عملية اتخاذ القرار الاستثماري. وتتفرع هذه الأدوات في الدراسة الحالية إلى أربعة أبعاد رئيسية</w:t>
      </w:r>
      <w:r w:rsidRPr="00650C72">
        <w:rPr>
          <w:rFonts w:ascii="Simplified Arabic" w:eastAsia="Times New Roman" w:hAnsi="Simplified Arabic" w:cs="Simplified Arabic"/>
          <w:color w:val="000000" w:themeColor="text1"/>
          <w:kern w:val="0"/>
          <w:sz w:val="28"/>
          <w:szCs w:val="28"/>
          <w14:ligatures w14:val="none"/>
        </w:rPr>
        <w:t>:</w:t>
      </w:r>
    </w:p>
    <w:p w14:paraId="30AE21B6"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الأول: التحليلات التنبؤية للأسعار</w:t>
      </w:r>
      <w:r w:rsidRPr="00650C72">
        <w:rPr>
          <w:rFonts w:ascii="Simplified Arabic" w:eastAsia="Times New Roman" w:hAnsi="Simplified Arabic" w:cs="Simplified Arabic"/>
          <w:color w:val="000000" w:themeColor="text1"/>
          <w:kern w:val="0"/>
          <w:sz w:val="28"/>
          <w:szCs w:val="28"/>
          <w14:ligatures w14:val="none"/>
        </w:rPr>
        <w:t xml:space="preserve"> (Predictive Price Analytics). </w:t>
      </w:r>
      <w:r w:rsidRPr="00650C72">
        <w:rPr>
          <w:rFonts w:ascii="Simplified Arabic" w:eastAsia="Times New Roman" w:hAnsi="Simplified Arabic" w:cs="Simplified Arabic"/>
          <w:color w:val="000000" w:themeColor="text1"/>
          <w:kern w:val="0"/>
          <w:sz w:val="28"/>
          <w:szCs w:val="28"/>
          <w:rtl/>
          <w14:ligatures w14:val="none"/>
        </w:rPr>
        <w:t>يُقصد بها توظيف خوارزميات التعلم الآلي والنماذج الإحصائية المتقدمة في تحليل البيانات التاريخية والراهنة لأسعار العقارات بهدف التنبؤ باتجاهاتها المستقبلية. وتعتمد هذه التحليلات على متغيرات متعددة تشمل المؤشرات الاقتصادية الكلية وأنماط العرض والطلب والخصائص الجغرافية والديموغرافية، مما يُتيح لصانع القرار الاستثماري تقديرات أكثر دقة للعوائد المتوقعة وتقييم المخاطر السعرية بصورة استباقية. وقد بيّنت دراسة</w:t>
      </w:r>
      <w:r w:rsidRPr="00650C72">
        <w:rPr>
          <w:rFonts w:ascii="Simplified Arabic" w:eastAsia="Times New Roman" w:hAnsi="Simplified Arabic" w:cs="Simplified Arabic"/>
          <w:color w:val="000000" w:themeColor="text1"/>
          <w:kern w:val="0"/>
          <w:sz w:val="28"/>
          <w:szCs w:val="28"/>
          <w14:ligatures w14:val="none"/>
        </w:rPr>
        <w:t xml:space="preserve"> Khanna (2021) </w:t>
      </w:r>
      <w:r w:rsidRPr="00650C72">
        <w:rPr>
          <w:rFonts w:ascii="Simplified Arabic" w:eastAsia="Times New Roman" w:hAnsi="Simplified Arabic" w:cs="Simplified Arabic"/>
          <w:color w:val="000000" w:themeColor="text1"/>
          <w:kern w:val="0"/>
          <w:sz w:val="28"/>
          <w:szCs w:val="28"/>
          <w:rtl/>
          <w14:ligatures w14:val="none"/>
        </w:rPr>
        <w:t>أن التحليلات التنبؤية المدعومة بالذكاء الاصطناعي تتفوق على نماذج الانحدار التقليدية في تقديم عوائد معدّلة بالمخاطر أفضل عبر القطاعات المالية</w:t>
      </w:r>
      <w:r w:rsidRPr="00650C72">
        <w:rPr>
          <w:rFonts w:ascii="Simplified Arabic" w:eastAsia="Times New Roman" w:hAnsi="Simplified Arabic" w:cs="Simplified Arabic"/>
          <w:color w:val="000000" w:themeColor="text1"/>
          <w:kern w:val="0"/>
          <w:sz w:val="28"/>
          <w:szCs w:val="28"/>
          <w14:ligatures w14:val="none"/>
        </w:rPr>
        <w:t>.</w:t>
      </w:r>
    </w:p>
    <w:p w14:paraId="23501B76"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الثاني: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(Automated Valuation Models – AVM). </w:t>
      </w:r>
      <w:r w:rsidRPr="00650C72">
        <w:rPr>
          <w:rFonts w:ascii="Simplified Arabic" w:eastAsia="Times New Roman" w:hAnsi="Simplified Arabic" w:cs="Simplified Arabic"/>
          <w:color w:val="000000" w:themeColor="text1"/>
          <w:kern w:val="0"/>
          <w:sz w:val="28"/>
          <w:szCs w:val="28"/>
          <w:rtl/>
          <w14:ligatures w14:val="none"/>
        </w:rPr>
        <w:t>تُعرّفها الرابطة الدولية لمسؤولي التقييم</w:t>
      </w:r>
      <w:r w:rsidRPr="00650C72">
        <w:rPr>
          <w:rFonts w:ascii="Simplified Arabic" w:eastAsia="Times New Roman" w:hAnsi="Simplified Arabic" w:cs="Simplified Arabic"/>
          <w:color w:val="000000" w:themeColor="text1"/>
          <w:kern w:val="0"/>
          <w:sz w:val="28"/>
          <w:szCs w:val="28"/>
          <w14:ligatures w14:val="none"/>
        </w:rPr>
        <w:t xml:space="preserve"> (IAAO) </w:t>
      </w:r>
      <w:r w:rsidRPr="00650C72">
        <w:rPr>
          <w:rFonts w:ascii="Simplified Arabic" w:eastAsia="Times New Roman" w:hAnsi="Simplified Arabic" w:cs="Simplified Arabic"/>
          <w:color w:val="000000" w:themeColor="text1"/>
          <w:kern w:val="0"/>
          <w:sz w:val="28"/>
          <w:szCs w:val="28"/>
          <w:rtl/>
          <w14:ligatures w14:val="none"/>
        </w:rPr>
        <w:t>بأنها برامج حاسوبية قائمة على نماذج رياضية تستخدم تقنيات النمذجة الإحصائية وتحليل السوق لإنتاج تقديرات للقيمة السوقية للعقارات بالاعتماد على بيانات الصفقات المسجلة والخصائص الفيزيائية والموقعية للعقار. وتتميز هذه النماذج بقدرتها على إنجاز عمليات التقييم في وقت قياسي مع تغطية عدد كبير من الوحدات العقارية في آن واحد، وهو ما أكدته دراسة</w:t>
      </w:r>
      <w:r w:rsidRPr="00650C72">
        <w:rPr>
          <w:rFonts w:ascii="Simplified Arabic" w:eastAsia="Times New Roman" w:hAnsi="Simplified Arabic" w:cs="Simplified Arabic"/>
          <w:color w:val="000000" w:themeColor="text1"/>
          <w:kern w:val="0"/>
          <w:sz w:val="28"/>
          <w:szCs w:val="28"/>
          <w14:ligatures w14:val="none"/>
        </w:rPr>
        <w:t xml:space="preserve"> Chmielewska et al. (2020) </w:t>
      </w:r>
      <w:r w:rsidRPr="00650C72">
        <w:rPr>
          <w:rFonts w:ascii="Simplified Arabic" w:eastAsia="Times New Roman" w:hAnsi="Simplified Arabic" w:cs="Simplified Arabic"/>
          <w:color w:val="000000" w:themeColor="text1"/>
          <w:kern w:val="0"/>
          <w:sz w:val="28"/>
          <w:szCs w:val="28"/>
          <w:rtl/>
          <w14:ligatures w14:val="none"/>
        </w:rPr>
        <w:t>التي أثبتت أن دمج الخوارزميات الجينية في نماذج التقييم الآلي يرفع دقتها بشكل ملموس عند تطبيقها على بيانات الصفقات الفعلية في ظروف عدم اليقين السوقي</w:t>
      </w:r>
      <w:r w:rsidRPr="00650C72">
        <w:rPr>
          <w:rFonts w:ascii="Simplified Arabic" w:eastAsia="Times New Roman" w:hAnsi="Simplified Arabic" w:cs="Simplified Arabic"/>
          <w:color w:val="000000" w:themeColor="text1"/>
          <w:kern w:val="0"/>
          <w:sz w:val="28"/>
          <w:szCs w:val="28"/>
          <w14:ligatures w14:val="none"/>
        </w:rPr>
        <w:t>.</w:t>
      </w:r>
    </w:p>
    <w:p w14:paraId="533A3743"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البُعد الثالث: تحليل البيانات الضخمة العقارية</w:t>
      </w:r>
      <w:r w:rsidRPr="00650C72">
        <w:rPr>
          <w:rFonts w:ascii="Simplified Arabic" w:eastAsia="Times New Roman" w:hAnsi="Simplified Arabic" w:cs="Simplified Arabic"/>
          <w:color w:val="000000" w:themeColor="text1"/>
          <w:kern w:val="0"/>
          <w:sz w:val="28"/>
          <w:szCs w:val="28"/>
          <w14:ligatures w14:val="none"/>
        </w:rPr>
        <w:t xml:space="preserve"> (Real Estate Big Data Analytics). </w:t>
      </w:r>
      <w:r w:rsidRPr="00650C72">
        <w:rPr>
          <w:rFonts w:ascii="Simplified Arabic" w:eastAsia="Times New Roman" w:hAnsi="Simplified Arabic" w:cs="Simplified Arabic"/>
          <w:color w:val="000000" w:themeColor="text1"/>
          <w:kern w:val="0"/>
          <w:sz w:val="28"/>
          <w:szCs w:val="28"/>
          <w:rtl/>
          <w14:ligatures w14:val="none"/>
        </w:rPr>
        <w:t>يُشير هذا المفهوم إلى عملية جمع ومعالجة وتحليل أحجام هائلة من البيانات المهيكلة وغير المهيكلة المتعلقة بالسوق العقاري من مصادر متنوعة، تشمل سجلات الصفقات العقارية والبيانات الجيومكانية وصور الأقمار الاصطناعية ومؤشرات البنية التحتية وبيانات وسائل التواصل الاجتماعي والمؤشرات الاقتصادية والديموغرافية. ويهدف هذا التحليل إلى استخلاص أنماط وعلاقات غير ظاهرة تُثري عملية التقييم وتوفر لصانع القرار رؤية شاملة ومتعددة الأبعاد تتجاوز حدود المصادر التقليدية المحدودة. وقد أشار</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إلى أن النماذج متعددة الوسائط التي تدمج بيانات نصية ورقمية وبصرية تتفوق على النماذج أحادية المصدر في دقة التقييم العقاري</w:t>
      </w:r>
      <w:r w:rsidRPr="00650C72">
        <w:rPr>
          <w:rFonts w:ascii="Simplified Arabic" w:eastAsia="Times New Roman" w:hAnsi="Simplified Arabic" w:cs="Simplified Arabic"/>
          <w:color w:val="000000" w:themeColor="text1"/>
          <w:kern w:val="0"/>
          <w:sz w:val="28"/>
          <w:szCs w:val="28"/>
          <w14:ligatures w14:val="none"/>
        </w:rPr>
        <w:t>.</w:t>
      </w:r>
    </w:p>
    <w:p w14:paraId="7B66E46C"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الرابع: أنظمة دعم القرار الذكية</w:t>
      </w:r>
      <w:r w:rsidRPr="00650C72">
        <w:rPr>
          <w:rFonts w:ascii="Simplified Arabic" w:eastAsia="Times New Roman" w:hAnsi="Simplified Arabic" w:cs="Simplified Arabic"/>
          <w:color w:val="000000" w:themeColor="text1"/>
          <w:kern w:val="0"/>
          <w:sz w:val="28"/>
          <w:szCs w:val="28"/>
          <w14:ligatures w14:val="none"/>
        </w:rPr>
        <w:t xml:space="preserve"> (Intelligent Decision Support Systems – IDSS). </w:t>
      </w:r>
      <w:r w:rsidRPr="00650C72">
        <w:rPr>
          <w:rFonts w:ascii="Simplified Arabic" w:eastAsia="Times New Roman" w:hAnsi="Simplified Arabic" w:cs="Simplified Arabic"/>
          <w:color w:val="000000" w:themeColor="text1"/>
          <w:kern w:val="0"/>
          <w:sz w:val="28"/>
          <w:szCs w:val="28"/>
          <w:rtl/>
          <w14:ligatures w14:val="none"/>
        </w:rPr>
        <w:t>تُعرَّف بأنها أنظمة حاسوبية تفاعلية تستخدم تقنيات الذكاء الاصطناعي كالأنظمة الخبيرة والاستدلال الضبابي والشبكات البيزية لمساعدة صناع القرار في تحليل المشكلات شبه المهيكلة وغير المهيكلة وتقييم البدائل المتاحة واختيار الأنسب منها. وفي السياق العقاري الاستثماري، تُدمج هذه الأنظمة بين مخرجات التحليلات التنبؤية ونماذج التقييم الآلي وتحليل البيانات الضخمة لتقديم توصيات متكاملة تُراعي تفضيلات المستثمر ومستوى المخاطر المقبول والأهداف الاستراتيجية، مما يُسهم في تقليل التحيزات المعرفية وترشيد عملية الاختيار الاستثماري. وقد أوضح العريمي والحلالمة (2024) أن دمج أدوات الذكاء الاصطناعي مع آليات التمكين الإداري يُعزز جودة اتخاذ القرار بشكل ملحوظ</w:t>
      </w:r>
      <w:r w:rsidRPr="00650C72">
        <w:rPr>
          <w:rFonts w:ascii="Simplified Arabic" w:eastAsia="Times New Roman" w:hAnsi="Simplified Arabic" w:cs="Simplified Arabic"/>
          <w:color w:val="000000" w:themeColor="text1"/>
          <w:kern w:val="0"/>
          <w:sz w:val="28"/>
          <w:szCs w:val="28"/>
          <w14:ligatures w14:val="none"/>
        </w:rPr>
        <w:t>.</w:t>
      </w:r>
    </w:p>
    <w:p w14:paraId="3555F055" w14:textId="63E30535" w:rsidR="00ED11D0" w:rsidRPr="00650C72" w:rsidRDefault="00ED11D0" w:rsidP="000739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27363087"/>
      <w:bookmarkStart w:id="26" w:name="_Toc234796426"/>
      <w:r w:rsidRPr="00650C72">
        <w:rPr>
          <w:rFonts w:ascii="Simplified Arabic" w:eastAsia="Times New Roman" w:hAnsi="Simplified Arabic" w:cs="Simplified Arabic"/>
          <w:b/>
          <w:bCs/>
          <w:color w:val="000000" w:themeColor="text1"/>
          <w:kern w:val="0"/>
          <w:sz w:val="32"/>
          <w:szCs w:val="32"/>
          <w:rtl/>
          <w14:ligatures w14:val="none"/>
        </w:rPr>
        <w:t>جودة القرار الاستثماري (المتغير التابع)</w:t>
      </w:r>
      <w:bookmarkEnd w:id="25"/>
      <w:bookmarkEnd w:id="26"/>
    </w:p>
    <w:p w14:paraId="3CF1B257"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تُعرَّف جودة القرار الاستثماري إجرائياً في هذه الدراسة بأنها الدرجة التي يتسم بها القرار المتعلق باختيار الأصول العقارية أو التخارج منها بالدقة والموضوعية والشمولية والسرعة المناسبة، بما يُفضي إلى تحقيق العوائد المستهدفة ضمن مستويات مقبولة من المخاطر وبالاستناد إلى معلومات كافية وتحليل منهجي للبدائل المتاحة. ويتضمن هذا المفهوم عدة مؤشرات فرعية تشمل: دقة تقدير القيمة العادلة للأصل، وسرعة الوصول إلى القرار دون التضحية بالجودة، وشمولية البيانات المستخدمة في التحليل، وموضوعية القرار وتحرره من التحيزات الشخصية، وكفاءة توظيف الموارد المالية، والقدرة على تقييم المخاطر بصورة واقعية. وقد أكدت دراسة عبدالعزيز وآخرون (2025) أن جودة القرار الاستثماري تتأثر جوهرياً بمنظومة الحوكمة ونوعية المعلومات المتاحة لصانع القرار، بينما أشارت دراسة بامردوف ومجلد (2025) إلى أن توظيف </w:t>
      </w:r>
      <w:r w:rsidRPr="00650C72">
        <w:rPr>
          <w:rFonts w:ascii="Simplified Arabic" w:eastAsia="Times New Roman" w:hAnsi="Simplified Arabic" w:cs="Simplified Arabic"/>
          <w:color w:val="000000" w:themeColor="text1"/>
          <w:kern w:val="0"/>
          <w:sz w:val="28"/>
          <w:szCs w:val="28"/>
          <w:rtl/>
          <w14:ligatures w14:val="none"/>
        </w:rPr>
        <w:lastRenderedPageBreak/>
        <w:t>التقنيات الذكية يُسهم في رفع مستوى جودة القرار من خلال تقليص هامش الخطأ البشري وتوفير تحليلات أعمق وأشمل</w:t>
      </w:r>
      <w:r w:rsidRPr="00650C72">
        <w:rPr>
          <w:rFonts w:ascii="Simplified Arabic" w:eastAsia="Times New Roman" w:hAnsi="Simplified Arabic" w:cs="Simplified Arabic"/>
          <w:color w:val="000000" w:themeColor="text1"/>
          <w:kern w:val="0"/>
          <w:sz w:val="28"/>
          <w:szCs w:val="28"/>
          <w14:ligatures w14:val="none"/>
        </w:rPr>
        <w:t>.</w:t>
      </w:r>
    </w:p>
    <w:p w14:paraId="1F5375B2" w14:textId="174B9EDE" w:rsidR="00ED11D0" w:rsidRPr="00650C72" w:rsidRDefault="00ED11D0" w:rsidP="000739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27363088"/>
      <w:bookmarkStart w:id="28" w:name="_Toc234796427"/>
      <w:r w:rsidRPr="00650C72">
        <w:rPr>
          <w:rFonts w:ascii="Simplified Arabic" w:eastAsia="Times New Roman" w:hAnsi="Simplified Arabic" w:cs="Simplified Arabic"/>
          <w:b/>
          <w:bCs/>
          <w:color w:val="000000" w:themeColor="text1"/>
          <w:kern w:val="0"/>
          <w:sz w:val="32"/>
          <w:szCs w:val="32"/>
          <w:rtl/>
          <w14:ligatures w14:val="none"/>
        </w:rPr>
        <w:t>التقييم العقاري</w:t>
      </w:r>
      <w:r w:rsidRPr="00650C72">
        <w:rPr>
          <w:rFonts w:ascii="Simplified Arabic" w:eastAsia="Times New Roman" w:hAnsi="Simplified Arabic" w:cs="Simplified Arabic"/>
          <w:b/>
          <w:bCs/>
          <w:color w:val="000000" w:themeColor="text1"/>
          <w:kern w:val="0"/>
          <w:sz w:val="32"/>
          <w:szCs w:val="32"/>
          <w14:ligatures w14:val="none"/>
        </w:rPr>
        <w:t xml:space="preserve"> (Real Estate Appraisal)</w:t>
      </w:r>
      <w:bookmarkEnd w:id="27"/>
      <w:bookmarkEnd w:id="28"/>
    </w:p>
    <w:p w14:paraId="5FD6E915"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يُعرَّف التقييم العقاري بأنه عملية تقدير القيمة السوقية للأصل العقاري في تاريخ محدد وفقاً لمنهجيات معتمدة تشمل أسلوب المقارنة البيعية وأسلوب الدخل وأسلوب التكلفة، وذلك بالاستناد إلى بيانات السوق المتاحة وخصائص العقار الفيزيائية والموقعية والقانونية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وتسعى هذه الدراسة إلى استكشاف كيف يُمكن لأدوات الذكاء الاصطناعي أن تُعيد تشكيل هذه العملية وتُعزز مخرجاتها بما ينعكس إيجابياً على جودة القرارات الاستثمارية المبنية عليها في شركات التطوير والاستثمار العقاري بالمملكة العربية السعودية</w:t>
      </w:r>
      <w:r w:rsidRPr="00650C72">
        <w:rPr>
          <w:rFonts w:ascii="Simplified Arabic" w:eastAsia="Times New Roman" w:hAnsi="Simplified Arabic" w:cs="Simplified Arabic"/>
          <w:color w:val="000000" w:themeColor="text1"/>
          <w:kern w:val="0"/>
          <w:sz w:val="28"/>
          <w:szCs w:val="28"/>
          <w14:ligatures w14:val="none"/>
        </w:rPr>
        <w:t>.</w:t>
      </w:r>
    </w:p>
    <w:p w14:paraId="052A6085" w14:textId="35B70E38"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9" w:name="_Toc169790506"/>
      <w:bookmarkStart w:id="30" w:name="_Toc234796428"/>
      <w:bookmarkEnd w:id="23"/>
      <w:r w:rsidRPr="00650C72">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0"/>
    </w:p>
    <w:p w14:paraId="3AF2E1D5"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سوف تعتمد هذه الدراسة على المنهج الوصفي التحليلي باعتباره المنهج الأكثر ملاءمة لطبيعة الدراسة وأهدافها، إذ يُتيح وصف الظاهرة محل الدراسة وتحليلها كمياً وكيفياً للوصول إلى استنتاجات علمية دقيقة. ويتسق هذا المنهج مع ما اعتمدته العديد من الدراسات السابقة ذات الصلة كدراسة (عبدالعزيز ووهدان وزيدان، 2025) ودراسة (بامردوف ومجلد، </w:t>
      </w:r>
      <w:r w:rsidRPr="00650C72">
        <w:rPr>
          <w:rFonts w:ascii="Simplified Arabic" w:eastAsia="Times New Roman" w:hAnsi="Simplified Arabic" w:cs="Simplified Arabic"/>
          <w:color w:val="000000" w:themeColor="text1"/>
          <w:kern w:val="0"/>
          <w:sz w:val="28"/>
          <w:szCs w:val="28"/>
          <w14:ligatures w14:val="none"/>
        </w:rPr>
        <w:t xml:space="preserve">2025) </w:t>
      </w:r>
      <w:r w:rsidRPr="00650C72">
        <w:rPr>
          <w:rFonts w:ascii="Simplified Arabic" w:eastAsia="Times New Roman" w:hAnsi="Simplified Arabic" w:cs="Simplified Arabic"/>
          <w:color w:val="000000" w:themeColor="text1"/>
          <w:kern w:val="0"/>
          <w:sz w:val="28"/>
          <w:szCs w:val="28"/>
          <w:rtl/>
          <w14:ligatures w14:val="none"/>
        </w:rPr>
        <w:t>ودراسة (الخلايلة والصمادي، 2021)، حيث سيُمكّن الباحث من وصف واقع استخدام أدوات الذكاء الاصطناعي في التقييم العقاري لدى شركات التطوير والاستثمار العقاري السعودية وتحليل أثرها على جودة القرار الاستثماري</w:t>
      </w:r>
      <w:r w:rsidRPr="00650C72">
        <w:rPr>
          <w:rFonts w:ascii="Simplified Arabic" w:eastAsia="Times New Roman" w:hAnsi="Simplified Arabic" w:cs="Simplified Arabic"/>
          <w:color w:val="000000" w:themeColor="text1"/>
          <w:kern w:val="0"/>
          <w:sz w:val="28"/>
          <w:szCs w:val="28"/>
          <w14:ligatures w14:val="none"/>
        </w:rPr>
        <w:t>.</w:t>
      </w:r>
    </w:p>
    <w:p w14:paraId="12CE80F2"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وسوف يتم توظيف هذا المنهج من خلال شقين متكاملين: الشق النظري الذي سيعتمد على المراجعة المنهجية للأدبيات والدراسات السابقة العربية والأجنبية المتعلقة بأدوات الذكاء الاصطناعي والتقييم العقاري وجودة القرار الاستثماري بهدف بناء الإطار النظري والمفاهيمي للدراسة، والشق الميداني التطبيقي الذي سيعتمد على تصميم استبانة إلكترونية محكّمة وتوزيعها على أفراد العينة المستهدفة لجمع البيانات الأولية وتحليلها إحصائياً باستخدام الأساليب الإحصائية الملائمة لاختبار فرضيات الدراسة والإجابة عن أسئلتها</w:t>
      </w:r>
      <w:r w:rsidRPr="00650C72">
        <w:rPr>
          <w:rFonts w:ascii="Simplified Arabic" w:eastAsia="Times New Roman" w:hAnsi="Simplified Arabic" w:cs="Simplified Arabic"/>
          <w:color w:val="000000" w:themeColor="text1"/>
          <w:kern w:val="0"/>
          <w:sz w:val="28"/>
          <w:szCs w:val="28"/>
          <w14:ligatures w14:val="none"/>
        </w:rPr>
        <w:t>.</w:t>
      </w:r>
    </w:p>
    <w:p w14:paraId="6EB0B650" w14:textId="36C52A7D"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1" w:name="_Toc234796429"/>
      <w:r w:rsidRPr="00650C72">
        <w:rPr>
          <w:rFonts w:ascii="Simplified Arabic" w:eastAsia="Times New Roman" w:hAnsi="Simplified Arabic" w:cs="Simplified Arabic"/>
          <w:b/>
          <w:bCs/>
          <w:color w:val="000000" w:themeColor="text1"/>
          <w:kern w:val="0"/>
          <w:sz w:val="36"/>
          <w:szCs w:val="36"/>
          <w:rtl/>
          <w14:ligatures w14:val="none"/>
        </w:rPr>
        <w:t>11.1 مجتمع الدراسة وعينتها</w:t>
      </w:r>
      <w:bookmarkEnd w:id="31"/>
    </w:p>
    <w:p w14:paraId="4608333F"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سوف يتكون مجتمع الدراسة من جميع العاملين في المستويات الإدارية (العليا والوسطى) في شركات التطوير والاستثمار العقاري المرخصة والمسجلة لدى الهيئة العامة للعقار بالمملكة العربية السعودية، وتحديداً </w:t>
      </w:r>
      <w:r w:rsidRPr="00650C72">
        <w:rPr>
          <w:rFonts w:ascii="Simplified Arabic" w:eastAsia="Times New Roman" w:hAnsi="Simplified Arabic" w:cs="Simplified Arabic"/>
          <w:color w:val="000000" w:themeColor="text1"/>
          <w:kern w:val="0"/>
          <w:sz w:val="28"/>
          <w:szCs w:val="28"/>
          <w:rtl/>
          <w14:ligatures w14:val="none"/>
        </w:rPr>
        <w:lastRenderedPageBreak/>
        <w:t>من يشغلون مناصب ذات صلة مباشرة بعمليات التقييم العقاري واتخاذ القرارات الاستثمارية، ويشمل ذلك المديرين التنفيذيين ومديري الاستثمار ومديري التقييم العقاري ومحللي الاستثمار والمقيّمين العقاريين المعتمدين العاملين في هذه الشركات. ووفقاً لبيانات الهيئة العامة للعقار وسجلات وزارة التجارة السعودية، يُقدّر عدد شركات التطوير والاستثمار العقاري النشطة في المملكة بنحو (450) شركة، ويُقدّر إجمالي العاملين في المستويات الإدارية المستهدفة بنحو (3,200) فرد</w:t>
      </w:r>
      <w:r w:rsidRPr="00650C72">
        <w:rPr>
          <w:rFonts w:ascii="Simplified Arabic" w:eastAsia="Times New Roman" w:hAnsi="Simplified Arabic" w:cs="Simplified Arabic"/>
          <w:color w:val="000000" w:themeColor="text1"/>
          <w:kern w:val="0"/>
          <w:sz w:val="28"/>
          <w:szCs w:val="28"/>
          <w14:ligatures w14:val="none"/>
        </w:rPr>
        <w:t>.</w:t>
      </w:r>
    </w:p>
    <w:p w14:paraId="43A2D938" w14:textId="6BC19F11"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وسوف يتم اختيار عينة الدراسة بأسلوب العينة العشوائية الطبقية النسبية لضمان تمثيل مختلف أحجام الشركات (كبيرة، متوسطة، صغيرة</w:t>
      </w:r>
      <w:r w:rsidR="006E6BDA" w:rsidRPr="00650C72">
        <w:rPr>
          <w:rFonts w:ascii="Simplified Arabic" w:eastAsia="Times New Roman" w:hAnsi="Simplified Arabic" w:cs="Simplified Arabic"/>
          <w:color w:val="000000" w:themeColor="text1"/>
          <w:kern w:val="0"/>
          <w:sz w:val="28"/>
          <w:szCs w:val="28"/>
          <w:rtl/>
          <w14:ligatures w14:val="none"/>
        </w:rPr>
        <w:t xml:space="preserve"> فى </w:t>
      </w:r>
      <w:r w:rsidRPr="00650C72">
        <w:rPr>
          <w:rFonts w:ascii="Simplified Arabic" w:eastAsia="Times New Roman" w:hAnsi="Simplified Arabic" w:cs="Simplified Arabic"/>
          <w:color w:val="000000" w:themeColor="text1"/>
          <w:kern w:val="0"/>
          <w:sz w:val="28"/>
          <w:szCs w:val="28"/>
          <w:rtl/>
          <w14:ligatures w14:val="none"/>
        </w:rPr>
        <w:t>الرياض،وسيتم تحديد حجم العينة وفقاً لمعادلة ستيفن ثامبسون</w:t>
      </w:r>
      <w:r w:rsidRPr="00650C72">
        <w:rPr>
          <w:rFonts w:ascii="Simplified Arabic" w:eastAsia="Times New Roman" w:hAnsi="Simplified Arabic" w:cs="Simplified Arabic"/>
          <w:color w:val="000000" w:themeColor="text1"/>
          <w:kern w:val="0"/>
          <w:sz w:val="28"/>
          <w:szCs w:val="28"/>
          <w14:ligatures w14:val="none"/>
        </w:rPr>
        <w:t xml:space="preserve"> (Steven Thompson) </w:t>
      </w:r>
      <w:r w:rsidRPr="00650C72">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وبناءً على ذلك سيبلغ الحد الأدنى المطلوب لحجم العينة نحو (343) مفردة. وسوف يقوم الباحث بتوزيع </w:t>
      </w:r>
      <w:r w:rsidRPr="00650C72">
        <w:rPr>
          <w:rFonts w:ascii="Simplified Arabic" w:eastAsia="Times New Roman" w:hAnsi="Simplified Arabic" w:cs="Simplified Arabic"/>
          <w:color w:val="000000" w:themeColor="text1"/>
          <w:kern w:val="0"/>
          <w:sz w:val="28"/>
          <w:szCs w:val="28"/>
          <w14:ligatures w14:val="none"/>
        </w:rPr>
        <w:t xml:space="preserve">(400) </w:t>
      </w:r>
      <w:r w:rsidRPr="00650C72">
        <w:rPr>
          <w:rFonts w:ascii="Simplified Arabic" w:eastAsia="Times New Roman" w:hAnsi="Simplified Arabic" w:cs="Simplified Arabic"/>
          <w:color w:val="000000" w:themeColor="text1"/>
          <w:kern w:val="0"/>
          <w:sz w:val="28"/>
          <w:szCs w:val="28"/>
          <w:rtl/>
          <w14:ligatures w14:val="none"/>
        </w:rPr>
        <w:t>استبانة لتعويض الفاقد المتوقع في الاستبانات غير المكتملة أو غير الصالحة للتحليل الإحصائي، بهدف ضمان الوصول إلى الحد الأدنى المطلوب من الاستبانات القابلة للتحليل</w:t>
      </w:r>
      <w:r w:rsidRPr="00650C72">
        <w:rPr>
          <w:rFonts w:ascii="Simplified Arabic" w:eastAsia="Times New Roman" w:hAnsi="Simplified Arabic" w:cs="Simplified Arabic"/>
          <w:color w:val="000000" w:themeColor="text1"/>
          <w:kern w:val="0"/>
          <w:sz w:val="28"/>
          <w:szCs w:val="28"/>
          <w14:ligatures w14:val="none"/>
        </w:rPr>
        <w:t>.</w:t>
      </w:r>
    </w:p>
    <w:p w14:paraId="7FFC948C" w14:textId="5EC0BFA7"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234796430"/>
      <w:r w:rsidRPr="00650C72">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32"/>
    </w:p>
    <w:p w14:paraId="3A51F883" w14:textId="77777777" w:rsidR="00ED11D0" w:rsidRPr="00650C72" w:rsidRDefault="00ED11D0"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650C72">
        <w:rPr>
          <w:rFonts w:ascii="Simplified Arabic" w:eastAsia="Times New Roman" w:hAnsi="Simplified Arabic" w:cs="Simplified Arabic"/>
          <w:b/>
          <w:bCs/>
          <w:color w:val="000000" w:themeColor="text1"/>
          <w:kern w:val="0"/>
          <w:sz w:val="28"/>
          <w:szCs w:val="28"/>
          <w14:ligatures w14:val="none"/>
        </w:rPr>
        <w:t>:</w:t>
      </w:r>
    </w:p>
    <w:p w14:paraId="75B77E72" w14:textId="77777777" w:rsidR="00ED11D0" w:rsidRPr="00650C72" w:rsidRDefault="00ED11D0" w:rsidP="0088241C">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المصادر الثانوية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والرسائل الجامعية (ماجستير ودكتوراه) والدوريات والمجلات العلمية المحكّمة العربية والأجنبية والتقارير الرسمية الصادرة عن الهيئة العامة للعقار ووزارة الإسكان السعودية والهيئة السعودية للبيانات والذكاء الاصطناعي (سدايا)، وذلك لبناء الإطار النظري للدراسة وتأصيل متغيراتها علمياً</w:t>
      </w:r>
      <w:r w:rsidRPr="00650C72">
        <w:rPr>
          <w:rFonts w:ascii="Simplified Arabic" w:eastAsia="Times New Roman" w:hAnsi="Simplified Arabic" w:cs="Simplified Arabic"/>
          <w:color w:val="000000" w:themeColor="text1"/>
          <w:kern w:val="0"/>
          <w:sz w:val="28"/>
          <w:szCs w:val="28"/>
          <w14:ligatures w14:val="none"/>
        </w:rPr>
        <w:t>.</w:t>
      </w:r>
    </w:p>
    <w:p w14:paraId="1B7AD8D9" w14:textId="77777777" w:rsidR="00ED11D0" w:rsidRPr="00650C72" w:rsidRDefault="00ED11D0" w:rsidP="0088241C">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المصادر الأولية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وتتمثل في الاستبانة الإلكترونية التي سيتم تصميمها وتطويرها خصيصاً لأغراض هذه الدراسة كأداة رئيسية لجمع البيانات الميدانية من أفراد العينة المستهدفة، وسوف يتم توزيعها إلكترونياً عبر منصات متخصصة لضمان سرعة الوصول وسهولة الاستجابة</w:t>
      </w:r>
      <w:r w:rsidRPr="00650C72">
        <w:rPr>
          <w:rFonts w:ascii="Simplified Arabic" w:eastAsia="Times New Roman" w:hAnsi="Simplified Arabic" w:cs="Simplified Arabic"/>
          <w:color w:val="000000" w:themeColor="text1"/>
          <w:kern w:val="0"/>
          <w:sz w:val="28"/>
          <w:szCs w:val="28"/>
          <w14:ligatures w14:val="none"/>
        </w:rPr>
        <w:t>.</w:t>
      </w:r>
    </w:p>
    <w:p w14:paraId="0068DD69" w14:textId="0ACED9BA"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3" w:name="_Toc234796431"/>
      <w:r w:rsidRPr="00650C72">
        <w:rPr>
          <w:rFonts w:ascii="Simplified Arabic" w:eastAsia="Times New Roman" w:hAnsi="Simplified Arabic" w:cs="Simplified Arabic"/>
          <w:b/>
          <w:bCs/>
          <w:color w:val="000000" w:themeColor="text1"/>
          <w:kern w:val="0"/>
          <w:sz w:val="36"/>
          <w:szCs w:val="36"/>
          <w:rtl/>
          <w14:ligatures w14:val="none"/>
        </w:rPr>
        <w:t>13.1 أداة الدراسة (الاستبانة)</w:t>
      </w:r>
      <w:bookmarkEnd w:id="33"/>
    </w:p>
    <w:p w14:paraId="28E631F7"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سوف يقوم الباحث بتصميم استبانة إلكترونية محكّمة كأداة رئيسية لجمع البيانات الأولية، وستتكون الاستبانة من ثلاثة أقسام رئيسية على النحو التالي</w:t>
      </w:r>
      <w:r w:rsidRPr="00650C72">
        <w:rPr>
          <w:rFonts w:ascii="Simplified Arabic" w:eastAsia="Times New Roman" w:hAnsi="Simplified Arabic" w:cs="Simplified Arabic"/>
          <w:color w:val="000000" w:themeColor="text1"/>
          <w:kern w:val="0"/>
          <w:sz w:val="28"/>
          <w:szCs w:val="28"/>
          <w14:ligatures w14:val="none"/>
        </w:rPr>
        <w:t>:</w:t>
      </w:r>
    </w:p>
    <w:p w14:paraId="2217AC72"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القسم الأول: البيانات الديموغرافية، ويتضمن (4) عبارات تتعلق بالخصائص الشخصية والوظيفية لأفراد العينة وهي: المؤهل العلمي، سنوات الخبرة، المسمى الوظيفي، حجم الشركة</w:t>
      </w:r>
      <w:r w:rsidRPr="00650C72">
        <w:rPr>
          <w:rFonts w:ascii="Simplified Arabic" w:eastAsia="Times New Roman" w:hAnsi="Simplified Arabic" w:cs="Simplified Arabic"/>
          <w:color w:val="000000" w:themeColor="text1"/>
          <w:kern w:val="0"/>
          <w:sz w:val="28"/>
          <w:szCs w:val="28"/>
          <w14:ligatures w14:val="none"/>
        </w:rPr>
        <w:t>.</w:t>
      </w:r>
    </w:p>
    <w:p w14:paraId="013F517B"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القسم الثاني: المتغير المستقل (أدوات الذكاء الاصطناعي في التقييم العقاري)، ويتضمن (16) عبارة موزعة على أربعة أبعاد بواقع (4) عبارات لكل بُعد وذلك على النحو التالي</w:t>
      </w:r>
      <w:r w:rsidRPr="00650C72">
        <w:rPr>
          <w:rFonts w:ascii="Simplified Arabic" w:eastAsia="Times New Roman" w:hAnsi="Simplified Arabic" w:cs="Simplified Arabic"/>
          <w:color w:val="000000" w:themeColor="text1"/>
          <w:kern w:val="0"/>
          <w:sz w:val="28"/>
          <w:szCs w:val="28"/>
          <w14:ligatures w14:val="none"/>
        </w:rPr>
        <w:t>:</w:t>
      </w:r>
    </w:p>
    <w:p w14:paraId="75259AC5" w14:textId="77777777" w:rsidR="00ED11D0" w:rsidRPr="00650C72" w:rsidRDefault="00ED11D0" w:rsidP="0088241C">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الأول: التحليلات التنبؤية للأسعار ويتضمن (4) عبارات</w:t>
      </w:r>
      <w:r w:rsidRPr="00650C72">
        <w:rPr>
          <w:rFonts w:ascii="Simplified Arabic" w:eastAsia="Times New Roman" w:hAnsi="Simplified Arabic" w:cs="Simplified Arabic"/>
          <w:color w:val="000000" w:themeColor="text1"/>
          <w:kern w:val="0"/>
          <w:sz w:val="28"/>
          <w:szCs w:val="28"/>
          <w14:ligatures w14:val="none"/>
        </w:rPr>
        <w:t>.</w:t>
      </w:r>
    </w:p>
    <w:p w14:paraId="3EAF7586" w14:textId="77777777" w:rsidR="00ED11D0" w:rsidRPr="00650C72" w:rsidRDefault="00ED11D0" w:rsidP="0088241C">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الثاني: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ويتضمن (4) عبارات</w:t>
      </w:r>
      <w:r w:rsidRPr="00650C72">
        <w:rPr>
          <w:rFonts w:ascii="Simplified Arabic" w:eastAsia="Times New Roman" w:hAnsi="Simplified Arabic" w:cs="Simplified Arabic"/>
          <w:color w:val="000000" w:themeColor="text1"/>
          <w:kern w:val="0"/>
          <w:sz w:val="28"/>
          <w:szCs w:val="28"/>
          <w14:ligatures w14:val="none"/>
        </w:rPr>
        <w:t>.</w:t>
      </w:r>
    </w:p>
    <w:p w14:paraId="6C3C61BB" w14:textId="77777777" w:rsidR="00ED11D0" w:rsidRPr="00650C72" w:rsidRDefault="00ED11D0" w:rsidP="0088241C">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الثالث: تحليل البيانات الضخمة العقارية ويتضمن (4) عبارات</w:t>
      </w:r>
      <w:r w:rsidRPr="00650C72">
        <w:rPr>
          <w:rFonts w:ascii="Simplified Arabic" w:eastAsia="Times New Roman" w:hAnsi="Simplified Arabic" w:cs="Simplified Arabic"/>
          <w:color w:val="000000" w:themeColor="text1"/>
          <w:kern w:val="0"/>
          <w:sz w:val="28"/>
          <w:szCs w:val="28"/>
          <w14:ligatures w14:val="none"/>
        </w:rPr>
        <w:t>.</w:t>
      </w:r>
    </w:p>
    <w:p w14:paraId="637E2AC8" w14:textId="77777777" w:rsidR="00ED11D0" w:rsidRPr="00650C72" w:rsidRDefault="00ED11D0" w:rsidP="0088241C">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الرابع: أنظمة دعم القرار الذكية ويتضمن (4) عبارات</w:t>
      </w:r>
      <w:r w:rsidRPr="00650C72">
        <w:rPr>
          <w:rFonts w:ascii="Simplified Arabic" w:eastAsia="Times New Roman" w:hAnsi="Simplified Arabic" w:cs="Simplified Arabic"/>
          <w:color w:val="000000" w:themeColor="text1"/>
          <w:kern w:val="0"/>
          <w:sz w:val="28"/>
          <w:szCs w:val="28"/>
          <w14:ligatures w14:val="none"/>
        </w:rPr>
        <w:t>.</w:t>
      </w:r>
    </w:p>
    <w:p w14:paraId="7A3C3190"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القسم الثالث: المتغير التابع (جودة القرار الاستثماري)، وهو محور أحادي يتضمن (10) عبارات تقيس جودة القرار الاستثماري العقاري من حيث الدقة والسرعة والشمولية وتقليل المخاطر وترشيد الموارد وموضوعية القرار</w:t>
      </w:r>
      <w:r w:rsidRPr="00650C72">
        <w:rPr>
          <w:rFonts w:ascii="Simplified Arabic" w:eastAsia="Times New Roman" w:hAnsi="Simplified Arabic" w:cs="Simplified Arabic"/>
          <w:color w:val="000000" w:themeColor="text1"/>
          <w:kern w:val="0"/>
          <w:sz w:val="28"/>
          <w:szCs w:val="28"/>
          <w14:ligatures w14:val="none"/>
        </w:rPr>
        <w:t>.</w:t>
      </w:r>
    </w:p>
    <w:p w14:paraId="72466BA1"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وبذلك يبلغ إجمالي عبارات الاستبانة</w:t>
      </w:r>
      <w:r w:rsidRPr="00650C72">
        <w:rPr>
          <w:rFonts w:ascii="Simplified Arabic" w:eastAsia="Times New Roman" w:hAnsi="Simplified Arabic" w:cs="Simplified Arabic"/>
          <w:color w:val="000000" w:themeColor="text1"/>
          <w:kern w:val="0"/>
          <w:sz w:val="28"/>
          <w:szCs w:val="28"/>
          <w14:ligatures w14:val="none"/>
        </w:rPr>
        <w:t xml:space="preserve"> (30) </w:t>
      </w:r>
      <w:r w:rsidRPr="00650C72">
        <w:rPr>
          <w:rFonts w:ascii="Simplified Arabic" w:eastAsia="Times New Roman" w:hAnsi="Simplified Arabic" w:cs="Simplified Arabic"/>
          <w:color w:val="000000" w:themeColor="text1"/>
          <w:kern w:val="0"/>
          <w:sz w:val="28"/>
          <w:szCs w:val="28"/>
          <w:rtl/>
          <w14:ligatures w14:val="none"/>
        </w:rPr>
        <w:t>عبارة بالإضافة إلى (4) عبارات للبيانات الديموغرافية. وسوف يتم قياس استجابات أفراد العينة باستخدام مقياس ليكرت الخماسي (موافق بشدة = 5، موافق = 4، محايد = 3، غير موافق = 2، غير موافق بشدة = 1). وسيتم التحقق من صدق الاستبانة من خلال الصدق الظاهري بعرضها على مجموعة من المحكّمين المتخصصين في مجالات الذكاء الاصطناعي والتقييم العقاري وإدارة الاستثمار، والصدق البنائي من خلال حساب معاملات الارتباط بين كل عبارة ومحورها. كما سيتم التحقق من ثبات الاستبانة باستخدام معامل ألفا كرونباخ</w:t>
      </w:r>
      <w:r w:rsidRPr="00650C72">
        <w:rPr>
          <w:rFonts w:ascii="Simplified Arabic" w:eastAsia="Times New Roman" w:hAnsi="Simplified Arabic" w:cs="Simplified Arabic"/>
          <w:color w:val="000000" w:themeColor="text1"/>
          <w:kern w:val="0"/>
          <w:sz w:val="28"/>
          <w:szCs w:val="28"/>
          <w14:ligatures w14:val="none"/>
        </w:rPr>
        <w:t xml:space="preserve"> (Cronbach's Alpha).</w:t>
      </w:r>
    </w:p>
    <w:p w14:paraId="1FED388A" w14:textId="359E59D7"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4" w:name="_Toc234796432"/>
      <w:r w:rsidRPr="00650C72">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34"/>
    </w:p>
    <w:p w14:paraId="37564234" w14:textId="77777777" w:rsidR="00ED11D0" w:rsidRPr="00650C72" w:rsidRDefault="00ED11D0"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سوف يتم تحليل بيانات الدراسة باستخدام برنامج الحزمة الإحصائية للعلوم الاجتماعية</w:t>
      </w:r>
      <w:r w:rsidRPr="00650C72">
        <w:rPr>
          <w:rFonts w:ascii="Simplified Arabic" w:eastAsia="Times New Roman" w:hAnsi="Simplified Arabic" w:cs="Simplified Arabic"/>
          <w:color w:val="000000" w:themeColor="text1"/>
          <w:kern w:val="0"/>
          <w:sz w:val="28"/>
          <w:szCs w:val="28"/>
          <w14:ligatures w14:val="none"/>
        </w:rPr>
        <w:t xml:space="preserve"> (SPSS) </w:t>
      </w:r>
      <w:r w:rsidRPr="00650C72">
        <w:rPr>
          <w:rFonts w:ascii="Simplified Arabic" w:eastAsia="Times New Roman" w:hAnsi="Simplified Arabic" w:cs="Simplified Arabic"/>
          <w:color w:val="000000" w:themeColor="text1"/>
          <w:kern w:val="0"/>
          <w:sz w:val="28"/>
          <w:szCs w:val="28"/>
          <w:rtl/>
          <w14:ligatures w14:val="none"/>
        </w:rPr>
        <w:t>وذلك من خلال الأساليب الإحصائية التالية</w:t>
      </w:r>
      <w:r w:rsidRPr="00650C72">
        <w:rPr>
          <w:rFonts w:ascii="Simplified Arabic" w:eastAsia="Times New Roman" w:hAnsi="Simplified Arabic" w:cs="Simplified Arabic"/>
          <w:color w:val="000000" w:themeColor="text1"/>
          <w:kern w:val="0"/>
          <w:sz w:val="28"/>
          <w:szCs w:val="28"/>
          <w14:ligatures w14:val="none"/>
        </w:rPr>
        <w:t>:</w:t>
      </w:r>
    </w:p>
    <w:p w14:paraId="0336A495" w14:textId="77777777" w:rsidR="00ED11D0" w:rsidRPr="00650C72" w:rsidRDefault="00ED11D0" w:rsidP="0088241C">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أساليب الإحصاء الوصفي</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أفراد العينة، والمتوسطات الحسابية والانحرافات المعيارية لتحديد مستوى استجابات أفراد العينة على محاور الاستبانة وترتيب أهميتها النسبية</w:t>
      </w:r>
      <w:r w:rsidRPr="00650C72">
        <w:rPr>
          <w:rFonts w:ascii="Simplified Arabic" w:eastAsia="Times New Roman" w:hAnsi="Simplified Arabic" w:cs="Simplified Arabic"/>
          <w:color w:val="000000" w:themeColor="text1"/>
          <w:kern w:val="0"/>
          <w:sz w:val="28"/>
          <w:szCs w:val="28"/>
          <w14:ligatures w14:val="none"/>
        </w:rPr>
        <w:t>.</w:t>
      </w:r>
    </w:p>
    <w:p w14:paraId="62548A85" w14:textId="77777777" w:rsidR="00ED11D0" w:rsidRPr="00650C72" w:rsidRDefault="00ED11D0" w:rsidP="0088241C">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أساليب الإحصاء الاستدلالي</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650C72">
        <w:rPr>
          <w:rFonts w:ascii="Simplified Arabic" w:eastAsia="Times New Roman" w:hAnsi="Simplified Arabic" w:cs="Simplified Arabic"/>
          <w:color w:val="000000" w:themeColor="text1"/>
          <w:kern w:val="0"/>
          <w:sz w:val="28"/>
          <w:szCs w:val="28"/>
          <w14:ligatures w14:val="none"/>
        </w:rPr>
        <w:t xml:space="preserve"> (Pearson Correlation) </w:t>
      </w:r>
      <w:r w:rsidRPr="00650C72">
        <w:rPr>
          <w:rFonts w:ascii="Simplified Arabic" w:eastAsia="Times New Roman" w:hAnsi="Simplified Arabic" w:cs="Simplified Arabic"/>
          <w:color w:val="000000" w:themeColor="text1"/>
          <w:kern w:val="0"/>
          <w:sz w:val="28"/>
          <w:szCs w:val="28"/>
          <w:rtl/>
          <w14:ligatures w14:val="none"/>
        </w:rPr>
        <w:t>لقياس العلاقة بين المتغيرات، وتحليل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(Simple Linear Regression) </w:t>
      </w:r>
      <w:r w:rsidRPr="00650C72">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وتحليل الانحدار الخطي المتعدد</w:t>
      </w:r>
      <w:r w:rsidRPr="00650C72">
        <w:rPr>
          <w:rFonts w:ascii="Simplified Arabic" w:eastAsia="Times New Roman" w:hAnsi="Simplified Arabic" w:cs="Simplified Arabic"/>
          <w:color w:val="000000" w:themeColor="text1"/>
          <w:kern w:val="0"/>
          <w:sz w:val="28"/>
          <w:szCs w:val="28"/>
          <w14:ligatures w14:val="none"/>
        </w:rPr>
        <w:t xml:space="preserve"> (Multiple Linear Regression) </w:t>
      </w:r>
      <w:r w:rsidRPr="00650C72">
        <w:rPr>
          <w:rFonts w:ascii="Simplified Arabic" w:eastAsia="Times New Roman" w:hAnsi="Simplified Arabic" w:cs="Simplified Arabic"/>
          <w:color w:val="000000" w:themeColor="text1"/>
          <w:kern w:val="0"/>
          <w:sz w:val="28"/>
          <w:szCs w:val="28"/>
          <w:rtl/>
          <w14:ligatures w14:val="none"/>
        </w:rPr>
        <w:t xml:space="preserve">لاختبار الأثر المشترك لأبعاد المتغير المستقل مجتمعة على المتغير التابع، واختبار </w:t>
      </w:r>
      <w:r w:rsidRPr="00650C72">
        <w:rPr>
          <w:rFonts w:ascii="Simplified Arabic" w:eastAsia="Times New Roman" w:hAnsi="Simplified Arabic" w:cs="Simplified Arabic"/>
          <w:color w:val="000000" w:themeColor="text1"/>
          <w:kern w:val="0"/>
          <w:sz w:val="28"/>
          <w:szCs w:val="28"/>
          <w14:ligatures w14:val="none"/>
        </w:rPr>
        <w:t xml:space="preserve">(T-Test) </w:t>
      </w:r>
      <w:r w:rsidRPr="00650C72">
        <w:rPr>
          <w:rFonts w:ascii="Simplified Arabic" w:eastAsia="Times New Roman" w:hAnsi="Simplified Arabic" w:cs="Simplified Arabic"/>
          <w:color w:val="000000" w:themeColor="text1"/>
          <w:kern w:val="0"/>
          <w:sz w:val="28"/>
          <w:szCs w:val="28"/>
          <w:rtl/>
          <w14:ligatures w14:val="none"/>
        </w:rPr>
        <w:t>وتحليل التباين الأحادي</w:t>
      </w:r>
      <w:r w:rsidRPr="00650C72">
        <w:rPr>
          <w:rFonts w:ascii="Simplified Arabic" w:eastAsia="Times New Roman" w:hAnsi="Simplified Arabic" w:cs="Simplified Arabic"/>
          <w:color w:val="000000" w:themeColor="text1"/>
          <w:kern w:val="0"/>
          <w:sz w:val="28"/>
          <w:szCs w:val="28"/>
          <w14:ligatures w14:val="none"/>
        </w:rPr>
        <w:t xml:space="preserve"> (One-Way ANOVA) </w:t>
      </w:r>
      <w:r w:rsidRPr="00650C72">
        <w:rPr>
          <w:rFonts w:ascii="Simplified Arabic" w:eastAsia="Times New Roman" w:hAnsi="Simplified Arabic" w:cs="Simplified Arabic"/>
          <w:color w:val="000000" w:themeColor="text1"/>
          <w:kern w:val="0"/>
          <w:sz w:val="28"/>
          <w:szCs w:val="28"/>
          <w:rtl/>
          <w14:ligatures w14:val="none"/>
        </w:rPr>
        <w:t xml:space="preserve">لاختبار الفروق في استجابات أفراد العينة وفقاً للمتغيرات الديموغرافية، ومعامل ألفا كرونباخ </w:t>
      </w:r>
      <w:r w:rsidRPr="00650C72">
        <w:rPr>
          <w:rFonts w:ascii="Simplified Arabic" w:eastAsia="Times New Roman" w:hAnsi="Simplified Arabic" w:cs="Simplified Arabic"/>
          <w:color w:val="000000" w:themeColor="text1"/>
          <w:kern w:val="0"/>
          <w:sz w:val="28"/>
          <w:szCs w:val="28"/>
          <w14:ligatures w14:val="none"/>
        </w:rPr>
        <w:t xml:space="preserve">(Cronbach's Alpha) </w:t>
      </w:r>
      <w:r w:rsidRPr="00650C72">
        <w:rPr>
          <w:rFonts w:ascii="Simplified Arabic" w:eastAsia="Times New Roman" w:hAnsi="Simplified Arabic" w:cs="Simplified Arabic"/>
          <w:color w:val="000000" w:themeColor="text1"/>
          <w:kern w:val="0"/>
          <w:sz w:val="28"/>
          <w:szCs w:val="28"/>
          <w:rtl/>
          <w14:ligatures w14:val="none"/>
        </w:rPr>
        <w:t xml:space="preserve">للتحقق من ثبات أداة الدراسة، ومعامل تضخم التباين </w:t>
      </w:r>
      <w:r w:rsidRPr="00650C72">
        <w:rPr>
          <w:rFonts w:ascii="Simplified Arabic" w:eastAsia="Times New Roman" w:hAnsi="Simplified Arabic" w:cs="Simplified Arabic"/>
          <w:color w:val="000000" w:themeColor="text1"/>
          <w:kern w:val="0"/>
          <w:sz w:val="28"/>
          <w:szCs w:val="28"/>
          <w14:ligatures w14:val="none"/>
        </w:rPr>
        <w:t xml:space="preserve">(VIF) </w:t>
      </w:r>
      <w:r w:rsidRPr="00650C72">
        <w:rPr>
          <w:rFonts w:ascii="Simplified Arabic" w:eastAsia="Times New Roman" w:hAnsi="Simplified Arabic" w:cs="Simplified Arabic"/>
          <w:color w:val="000000" w:themeColor="text1"/>
          <w:kern w:val="0"/>
          <w:sz w:val="28"/>
          <w:szCs w:val="28"/>
          <w:rtl/>
          <w14:ligatures w14:val="none"/>
        </w:rPr>
        <w:t>واختبار التباين المسموح به</w:t>
      </w:r>
      <w:r w:rsidRPr="00650C72">
        <w:rPr>
          <w:rFonts w:ascii="Simplified Arabic" w:eastAsia="Times New Roman" w:hAnsi="Simplified Arabic" w:cs="Simplified Arabic"/>
          <w:color w:val="000000" w:themeColor="text1"/>
          <w:kern w:val="0"/>
          <w:sz w:val="28"/>
          <w:szCs w:val="28"/>
          <w14:ligatures w14:val="none"/>
        </w:rPr>
        <w:t xml:space="preserve"> (Tolerance) </w:t>
      </w:r>
      <w:r w:rsidRPr="00650C72">
        <w:rPr>
          <w:rFonts w:ascii="Simplified Arabic" w:eastAsia="Times New Roman" w:hAnsi="Simplified Arabic" w:cs="Simplified Arabic"/>
          <w:color w:val="000000" w:themeColor="text1"/>
          <w:kern w:val="0"/>
          <w:sz w:val="28"/>
          <w:szCs w:val="28"/>
          <w:rtl/>
          <w14:ligatures w14:val="none"/>
        </w:rPr>
        <w:t>للكشف عن مشكلة الازدواج الخطي بين المتغيرات المستقلة</w:t>
      </w:r>
      <w:r w:rsidRPr="00650C72">
        <w:rPr>
          <w:rFonts w:ascii="Simplified Arabic" w:eastAsia="Times New Roman" w:hAnsi="Simplified Arabic" w:cs="Simplified Arabic"/>
          <w:color w:val="000000" w:themeColor="text1"/>
          <w:kern w:val="0"/>
          <w:sz w:val="28"/>
          <w:szCs w:val="28"/>
          <w14:ligatures w14:val="none"/>
        </w:rPr>
        <w:t>.</w:t>
      </w:r>
    </w:p>
    <w:p w14:paraId="0EF4D301" w14:textId="602FA3C3" w:rsidR="0088241C"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234796433"/>
      <w:r w:rsidRPr="00650C72">
        <w:rPr>
          <w:rFonts w:ascii="Simplified Arabic" w:eastAsia="Times New Roman" w:hAnsi="Simplified Arabic" w:cs="Simplified Arabic"/>
          <w:b/>
          <w:bCs/>
          <w:color w:val="000000" w:themeColor="text1"/>
          <w:kern w:val="0"/>
          <w:sz w:val="36"/>
          <w:szCs w:val="36"/>
          <w:rtl/>
          <w14:ligatures w14:val="none"/>
        </w:rPr>
        <w:t>15.1 حدود الدراسة</w:t>
      </w:r>
      <w:bookmarkEnd w:id="35"/>
    </w:p>
    <w:p w14:paraId="73A167B1" w14:textId="77777777" w:rsidR="00ED11D0" w:rsidRPr="00650C72" w:rsidRDefault="00ED11D0" w:rsidP="0088241C">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الحدود الموضوعية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سوف تقتصر الدراسة على دراسة أثر استخدام أدوات الذكاء الاصطناعي في التقييم العقاري بأبعاده الأربعة (التحليلات التنبؤية للأسعار،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r w:rsidRPr="00650C72">
        <w:rPr>
          <w:rFonts w:ascii="Simplified Arabic" w:eastAsia="Times New Roman" w:hAnsi="Simplified Arabic" w:cs="Simplified Arabic"/>
          <w:color w:val="000000" w:themeColor="text1"/>
          <w:kern w:val="0"/>
          <w:sz w:val="28"/>
          <w:szCs w:val="28"/>
          <w:rtl/>
          <w14:ligatures w14:val="none"/>
        </w:rPr>
        <w:t>، تحليل البيانات الضخمة العقارية، أنظمة دعم القرار الذكية) كمتغير مستقل، على جودة القرار الاستثماري كمتغير تابع</w:t>
      </w:r>
      <w:r w:rsidRPr="00650C72">
        <w:rPr>
          <w:rFonts w:ascii="Simplified Arabic" w:eastAsia="Times New Roman" w:hAnsi="Simplified Arabic" w:cs="Simplified Arabic"/>
          <w:color w:val="000000" w:themeColor="text1"/>
          <w:kern w:val="0"/>
          <w:sz w:val="28"/>
          <w:szCs w:val="28"/>
          <w14:ligatures w14:val="none"/>
        </w:rPr>
        <w:t>.</w:t>
      </w:r>
    </w:p>
    <w:p w14:paraId="1213E18C" w14:textId="77777777" w:rsidR="00ED11D0" w:rsidRPr="00650C72" w:rsidRDefault="00ED11D0" w:rsidP="0088241C">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الحدود المكانية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سوف تُطبق الدراسة على شركات التطوير والاستثمار العقاري المرخصة والمسجلة لدى الهيئة العامة للعقار بالمملكة العربية السعودية، مع التركيز على المناطق الرئيسية ذات النشاط العقاري الأعلى (الرياض، جدة، الدمام)</w:t>
      </w:r>
      <w:r w:rsidRPr="00650C72">
        <w:rPr>
          <w:rFonts w:ascii="Simplified Arabic" w:eastAsia="Times New Roman" w:hAnsi="Simplified Arabic" w:cs="Simplified Arabic"/>
          <w:color w:val="000000" w:themeColor="text1"/>
          <w:kern w:val="0"/>
          <w:sz w:val="28"/>
          <w:szCs w:val="28"/>
          <w14:ligatures w14:val="none"/>
        </w:rPr>
        <w:t>.</w:t>
      </w:r>
    </w:p>
    <w:p w14:paraId="1FC06F3C" w14:textId="77777777" w:rsidR="00ED11D0" w:rsidRPr="00650C72" w:rsidRDefault="00ED11D0" w:rsidP="0088241C">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الحدود الزمانية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سوف تُجرى الدراسة الميدانية وجمع البيانات خلال الفصل الدراسي الثاني من العام الجامعي 2025/2026م</w:t>
      </w:r>
      <w:r w:rsidRPr="00650C72">
        <w:rPr>
          <w:rFonts w:ascii="Simplified Arabic" w:eastAsia="Times New Roman" w:hAnsi="Simplified Arabic" w:cs="Simplified Arabic"/>
          <w:color w:val="000000" w:themeColor="text1"/>
          <w:kern w:val="0"/>
          <w:sz w:val="28"/>
          <w:szCs w:val="28"/>
          <w14:ligatures w14:val="none"/>
        </w:rPr>
        <w:t>.</w:t>
      </w:r>
    </w:p>
    <w:p w14:paraId="34780D31" w14:textId="77777777" w:rsidR="00ED11D0" w:rsidRPr="00650C72" w:rsidRDefault="00ED11D0" w:rsidP="0088241C">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الحدود البشرية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سوف تقتصر الدراسة على العاملين في المستويات الإدارية العليا والوسطى ذوي الصلة المباشرة بعمليات التقييم العقاري واتخاذ القرارات الاستثمارية، وتحديداً المديرين التنفيذيين ومديري الاستثمار ومديري التقييم العقاري ومحللي الاستثمار والمقيّمين العقاريين المعتمدين</w:t>
      </w:r>
      <w:r w:rsidRPr="00650C72">
        <w:rPr>
          <w:rFonts w:ascii="Simplified Arabic" w:eastAsia="Times New Roman" w:hAnsi="Simplified Arabic" w:cs="Simplified Arabic"/>
          <w:color w:val="000000" w:themeColor="text1"/>
          <w:kern w:val="0"/>
          <w:sz w:val="28"/>
          <w:szCs w:val="28"/>
          <w14:ligatures w14:val="none"/>
        </w:rPr>
        <w:t>.</w:t>
      </w:r>
    </w:p>
    <w:p w14:paraId="5736DFAD" w14:textId="588F8EB2" w:rsidR="00197384" w:rsidRPr="00650C72" w:rsidRDefault="0088241C" w:rsidP="0088241C">
      <w:pPr>
        <w:jc w:val="center"/>
        <w:outlineLvl w:val="0"/>
        <w:rPr>
          <w:rFonts w:ascii="Simplified Arabic" w:eastAsia="Times New Roman" w:hAnsi="Simplified Arabic" w:cs="Simplified Arabic"/>
          <w:b/>
          <w:bCs/>
          <w:color w:val="000000" w:themeColor="text1"/>
          <w:kern w:val="0"/>
          <w:sz w:val="40"/>
          <w:szCs w:val="40"/>
          <w14:ligatures w14:val="none"/>
        </w:rPr>
      </w:pPr>
      <w:r w:rsidRPr="00650C72">
        <w:rPr>
          <w:rFonts w:ascii="Simplified Arabic" w:eastAsia="Times New Roman" w:hAnsi="Simplified Arabic" w:cs="Simplified Arabic"/>
          <w:b/>
          <w:bCs/>
          <w:color w:val="000000" w:themeColor="text1"/>
          <w:kern w:val="0"/>
          <w:sz w:val="40"/>
          <w:szCs w:val="40"/>
          <w:rtl/>
          <w14:ligatures w14:val="none"/>
        </w:rPr>
        <w:br w:type="page"/>
      </w:r>
      <w:bookmarkStart w:id="36" w:name="_Toc234796434"/>
      <w:r w:rsidRPr="00650C72">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197384" w:rsidRPr="00650C72">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6F2FE46F" w14:textId="56B099D4" w:rsidR="00197384" w:rsidRPr="00650C72" w:rsidRDefault="00197384" w:rsidP="0088241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7" w:name="_Toc234796435"/>
      <w:r w:rsidRPr="00650C72">
        <w:rPr>
          <w:rFonts w:ascii="Simplified Arabic" w:eastAsia="Times New Roman" w:hAnsi="Simplified Arabic" w:cs="Simplified Arabic"/>
          <w:b/>
          <w:bCs/>
          <w:color w:val="000000" w:themeColor="text1"/>
          <w:kern w:val="0"/>
          <w:sz w:val="36"/>
          <w:szCs w:val="36"/>
          <w:rtl/>
          <w14:ligatures w14:val="none"/>
        </w:rPr>
        <w:t>المبحث الأول: أدوات الذكاء الاصطناعي في التقييم العقاري</w:t>
      </w:r>
      <w:bookmarkEnd w:id="37"/>
    </w:p>
    <w:p w14:paraId="1B5B6871" w14:textId="48CCBC83"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4796436"/>
      <w:r w:rsidRPr="00650C72">
        <w:rPr>
          <w:rFonts w:ascii="Simplified Arabic" w:eastAsia="Times New Roman" w:hAnsi="Simplified Arabic" w:cs="Simplified Arabic" w:hint="cs"/>
          <w:b/>
          <w:bCs/>
          <w:color w:val="000000" w:themeColor="text1"/>
          <w:kern w:val="0"/>
          <w:sz w:val="32"/>
          <w:szCs w:val="32"/>
          <w:rtl/>
          <w14:ligatures w14:val="none"/>
        </w:rPr>
        <w:t xml:space="preserve">1.1.2 </w:t>
      </w:r>
      <w:r w:rsidR="00197384" w:rsidRPr="00650C72">
        <w:rPr>
          <w:rFonts w:ascii="Simplified Arabic" w:eastAsia="Times New Roman" w:hAnsi="Simplified Arabic" w:cs="Simplified Arabic"/>
          <w:b/>
          <w:bCs/>
          <w:color w:val="000000" w:themeColor="text1"/>
          <w:kern w:val="0"/>
          <w:sz w:val="32"/>
          <w:szCs w:val="32"/>
          <w:rtl/>
          <w14:ligatures w14:val="none"/>
        </w:rPr>
        <w:t>تمهيد</w:t>
      </w:r>
      <w:bookmarkEnd w:id="38"/>
    </w:p>
    <w:p w14:paraId="1CC2831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يشهد قطاع العقارات تحولات جوهرية تفرضها موجة التقدم التكنولوجي المتسارع، إذ لم تعد الممارسات التقليدية القائمة على الخبرة الفردية والمقارنات اليدوية كافية لمواكبة تعقيدات السوق العقاري الحديث بما يكتنفه من تشعّب في مصادر البيانات وتقلّب في المتغيرات الاقتصادية والديموغرافية. وفي هذا السياق برزت أدوات الذكاء الاصطناعي بوصفها نقلة نوعية في منظومة التقييم العقاري، حيث أتاحت للمقيّمين والمستثمرين إمكانات غير مسبوقة في معالجة كميات هائلة من البيانات واستخلاص أنماط دقيقة تعكس الواقع السوقي بصورة أكثر موضوعية. ويشير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إلى أن دخول التقنيات الذكية إلى القطاع العقاري لم يكن مجرد إضافة تكنولوجية هامشية، بل أعاد تشكيل بنية العمليات العقارية من أساسها، وأثّر في طرائق جمع البيانات وتصنيفها وتحليلها، وأفرز جيلاً جديداً من الأدوات التحليلية المتخصصة في محاكاة سلوك السوق العقاري بدقة تفوق القدرات البشرية التقليدية</w:t>
      </w:r>
      <w:r w:rsidRPr="00650C72">
        <w:rPr>
          <w:rFonts w:ascii="Simplified Arabic" w:eastAsia="Times New Roman" w:hAnsi="Simplified Arabic" w:cs="Simplified Arabic"/>
          <w:color w:val="000000" w:themeColor="text1"/>
          <w:kern w:val="0"/>
          <w:sz w:val="28"/>
          <w:szCs w:val="28"/>
          <w14:ligatures w14:val="none"/>
        </w:rPr>
        <w:t>.</w:t>
      </w:r>
    </w:p>
    <w:p w14:paraId="6D2C644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وقد اكتسبت أدوات الذكاء الاصطناعي في التقييم العقاري أهمية متزايدة بفعل الحاجة إلى تجاوز القصور الذي كان يعتري النماذج الإحصائية الكلاسيكية، لا سيما في التعامل مع العلاقات غير الخطية المعقدة بين خصائص العقار ومحدداته السعرية. ويرى كارانيكولاس وآخرون</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أن الجيل الجديد من نماذج التقييم القائمة على تقنيات التعلم العميق ومعالجة البيانات متعددة الوسائط يمثّل نقلة معرفية في الحقل، إذ يمكّن من دمج بيانات نصية ومكانية وبصرية في نموذج تقييمي متكامل يعكس الجوانب المتعددة للقيمة العقارية. ومن ثم فإن تناول هذا المتغير المستقل يستوجب استعراضاً منهجياً لمفهومه ولأهميته وأهدافه وأبعاده الأربعة، مع بيان المداخل النظرية المؤطِّرة له والتحديات المرتبطة بتوظيفه في بيئة الأعمال العقارية</w:t>
      </w:r>
      <w:r w:rsidRPr="00650C72">
        <w:rPr>
          <w:rFonts w:ascii="Simplified Arabic" w:eastAsia="Times New Roman" w:hAnsi="Simplified Arabic" w:cs="Simplified Arabic"/>
          <w:color w:val="000000" w:themeColor="text1"/>
          <w:kern w:val="0"/>
          <w:sz w:val="28"/>
          <w:szCs w:val="28"/>
          <w14:ligatures w14:val="none"/>
        </w:rPr>
        <w:t>.</w:t>
      </w:r>
    </w:p>
    <w:p w14:paraId="5B108802" w14:textId="4B99EBB8"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4796437"/>
      <w:r w:rsidRPr="00650C72">
        <w:rPr>
          <w:rFonts w:ascii="Simplified Arabic" w:eastAsia="Times New Roman" w:hAnsi="Simplified Arabic" w:cs="Simplified Arabic" w:hint="cs"/>
          <w:b/>
          <w:bCs/>
          <w:color w:val="000000" w:themeColor="text1"/>
          <w:kern w:val="0"/>
          <w:sz w:val="32"/>
          <w:szCs w:val="32"/>
          <w:rtl/>
          <w14:ligatures w14:val="none"/>
        </w:rPr>
        <w:t>2.1.2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مفهوم أدوات الذكاء الاصطناعي في التقييم العقاري</w:t>
      </w:r>
      <w:bookmarkEnd w:id="39"/>
    </w:p>
    <w:p w14:paraId="243E8AD2"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يتصف مفهوم أدوات الذكاء الاصطناعي في التقييم العقاري بأنه مفهوم متعدد الأبعاد تتقاطع في صياغته حقول معرفية عدة، تشمل علوم الحاسب وهندسة البيانات والاقتصاد العقاري ونظرية التقييم. </w:t>
      </w:r>
      <w:r w:rsidRPr="00650C72">
        <w:rPr>
          <w:rFonts w:ascii="Simplified Arabic" w:eastAsia="Times New Roman" w:hAnsi="Simplified Arabic" w:cs="Simplified Arabic"/>
          <w:color w:val="000000" w:themeColor="text1"/>
          <w:kern w:val="0"/>
          <w:sz w:val="28"/>
          <w:szCs w:val="28"/>
          <w:rtl/>
          <w14:ligatures w14:val="none"/>
        </w:rPr>
        <w:lastRenderedPageBreak/>
        <w:t>ويعرّف ستانج</w:t>
      </w:r>
      <w:r w:rsidRPr="00650C72">
        <w:rPr>
          <w:rFonts w:ascii="Simplified Arabic" w:eastAsia="Times New Roman" w:hAnsi="Simplified Arabic" w:cs="Simplified Arabic"/>
          <w:color w:val="000000" w:themeColor="text1"/>
          <w:kern w:val="0"/>
          <w:sz w:val="28"/>
          <w:szCs w:val="28"/>
          <w14:ligatures w14:val="none"/>
        </w:rPr>
        <w:t xml:space="preserve"> (Stang, 2023) </w:t>
      </w:r>
      <w:r w:rsidRPr="00650C72">
        <w:rPr>
          <w:rFonts w:ascii="Simplified Arabic" w:eastAsia="Times New Roman" w:hAnsi="Simplified Arabic" w:cs="Simplified Arabic"/>
          <w:color w:val="000000" w:themeColor="text1"/>
          <w:kern w:val="0"/>
          <w:sz w:val="28"/>
          <w:szCs w:val="28"/>
          <w:rtl/>
          <w14:ligatures w14:val="none"/>
        </w:rPr>
        <w:t>أدوات الذكاء الاصطناعي في التقييم العقاري بوصفها منظومة من الخوارزميات المتقدمة المستندة إلى تقنيات التعلم الآلي التي تُمكّن أنظمة الحاسب من استنتاج القيمة السوقية للأصول العقارية عبر التعلم من قواعد بيانات ضخمة تتضمن خصائص العقارات وأسعار المبيعات السابقة والمؤشرات السوقية المصاحبة، دون الحاجة إلى برمجة صريحة لكل حالة تقييمية على حدة</w:t>
      </w:r>
      <w:r w:rsidRPr="00650C72">
        <w:rPr>
          <w:rFonts w:ascii="Simplified Arabic" w:eastAsia="Times New Roman" w:hAnsi="Simplified Arabic" w:cs="Simplified Arabic"/>
          <w:color w:val="000000" w:themeColor="text1"/>
          <w:kern w:val="0"/>
          <w:sz w:val="28"/>
          <w:szCs w:val="28"/>
          <w14:ligatures w14:val="none"/>
        </w:rPr>
        <w:t>.</w:t>
      </w:r>
    </w:p>
    <w:p w14:paraId="0E6068D1"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ويقدّم شميليفسكا وآخرون</w:t>
      </w:r>
      <w:r w:rsidRPr="00650C72">
        <w:rPr>
          <w:rFonts w:ascii="Simplified Arabic" w:eastAsia="Times New Roman" w:hAnsi="Simplified Arabic" w:cs="Simplified Arabic"/>
          <w:color w:val="000000" w:themeColor="text1"/>
          <w:kern w:val="0"/>
          <w:sz w:val="28"/>
          <w:szCs w:val="28"/>
          <w14:ligatures w14:val="none"/>
        </w:rPr>
        <w:t xml:space="preserve"> (Chmielewska et al., 2020) </w:t>
      </w:r>
      <w:r w:rsidRPr="00650C72">
        <w:rPr>
          <w:rFonts w:ascii="Simplified Arabic" w:eastAsia="Times New Roman" w:hAnsi="Simplified Arabic" w:cs="Simplified Arabic"/>
          <w:color w:val="000000" w:themeColor="text1"/>
          <w:kern w:val="0"/>
          <w:sz w:val="28"/>
          <w:szCs w:val="28"/>
          <w:rtl/>
          <w14:ligatures w14:val="none"/>
        </w:rPr>
        <w:t>تعريفاً يميل إلى الجانب التقني الخوارزمي، حيث يعتبرون هذه الأدوات مكوّناً محورياً في أنظمة نماذج التقييم الآلي، تعتمد على الخوارزميات الجينية والشبكات العصبية والانحدارات المكانية المتقدمة لإنتاج تقديرات سعرية تتّسم بقابلية التحقق والاتساق الداخلي، بحيث تسهم في أتمتة قرارات الاستثمار العقاري وتقليل الاعتماد على الحكم الشخصي للمقيّم. وفي هذا التعريف يتضح انحياز واضح إلى المدرسة الحاسوبية التي تنظر إلى التقييم بوصفه مسألة معالجة بيانات قابلة للنمذجة الرياضية بدرجة عالية</w:t>
      </w:r>
      <w:r w:rsidRPr="00650C72">
        <w:rPr>
          <w:rFonts w:ascii="Simplified Arabic" w:eastAsia="Times New Roman" w:hAnsi="Simplified Arabic" w:cs="Simplified Arabic"/>
          <w:color w:val="000000" w:themeColor="text1"/>
          <w:kern w:val="0"/>
          <w:sz w:val="28"/>
          <w:szCs w:val="28"/>
          <w14:ligatures w14:val="none"/>
        </w:rPr>
        <w:t>.</w:t>
      </w:r>
    </w:p>
    <w:p w14:paraId="23A1DB31"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ويتبنّى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منظوراً أوسع، إذ يعرّفان أدوات الذكاء الاصطناعي في التقييم العقاري بأنها مجموعة متكاملة من التطبيقات الذكية التي توظّف قدرات المعالجة الآلية للغة الطبيعية والرؤية الحاسوبية والتعلم العميق بهدف استيعاب الطبيعة غير المتجانسة للبيانات العقارية، وترجمتها إلى مؤشرات قيمة قابلة للاستخدام في قرارات الشراء والبيع والتمويل والتطوير. ويتّسع هذا التعريف ليشمل ما هو أبعد من مجرد تقدير الأسعار، فيدخل في نطاقه استشراف اتجاهات السوق وتقييم المخاطر ورصد الفرص الاستثمارية</w:t>
      </w:r>
      <w:r w:rsidRPr="00650C72">
        <w:rPr>
          <w:rFonts w:ascii="Simplified Arabic" w:eastAsia="Times New Roman" w:hAnsi="Simplified Arabic" w:cs="Simplified Arabic"/>
          <w:color w:val="000000" w:themeColor="text1"/>
          <w:kern w:val="0"/>
          <w:sz w:val="28"/>
          <w:szCs w:val="28"/>
          <w14:ligatures w14:val="none"/>
        </w:rPr>
        <w:t>.</w:t>
      </w:r>
    </w:p>
    <w:p w14:paraId="1362A24C"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ومن زاوية إدارية، تُشير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إلى أن هذه الأدوات ينبغي فهمها بوصفها منظومة دعم قرار ذكية تُدمج في السياق التنظيمي لشركات التطوير العقاري، ولا تُختزل في كونها مجرد برمجيات محاسبية للأسعار؛ فهي في جوهرها بنية معرفية تعيد هندسة عمليات صنع القرار داخل الشركة، وتُغيّر من طبيعة العلاقة بين المحلل العقاري والبيانات التي يعمل عليها، وبين المستثمر ومصادر المعلومة التي يستند إليها. ويعزّز هذا المنظور ما ذهب إليه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من أن أدوات الذكاء الاصطناعي في القطاع العقاري تمثّل ركيزة إستراتيجية للابتكار المؤسسي، إذ تُسهم في إعادة تشكيل نماذج الأعمال العقارية عبر تمكين الشركات من التفاعل الفوري مع تغيرات السوق وتوفير خدمات تقييمية متمايزة تعزّز موقعها التنافسي</w:t>
      </w:r>
      <w:r w:rsidRPr="00650C72">
        <w:rPr>
          <w:rFonts w:ascii="Simplified Arabic" w:eastAsia="Times New Roman" w:hAnsi="Simplified Arabic" w:cs="Simplified Arabic"/>
          <w:color w:val="000000" w:themeColor="text1"/>
          <w:kern w:val="0"/>
          <w:sz w:val="28"/>
          <w:szCs w:val="28"/>
          <w14:ligatures w14:val="none"/>
        </w:rPr>
        <w:t>.</w:t>
      </w:r>
    </w:p>
    <w:p w14:paraId="49F8F9A0"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ويطرح باشانِك وليشتشينسكي</w:t>
      </w:r>
      <w:r w:rsidRPr="00650C72">
        <w:rPr>
          <w:rFonts w:ascii="Simplified Arabic" w:eastAsia="Times New Roman" w:hAnsi="Simplified Arabic" w:cs="Simplified Arabic"/>
          <w:color w:val="000000" w:themeColor="text1"/>
          <w:kern w:val="0"/>
          <w:sz w:val="28"/>
          <w:szCs w:val="28"/>
          <w14:ligatures w14:val="none"/>
        </w:rPr>
        <w:t xml:space="preserve"> (Bachanek &amp; Leszczynski, 2025) </w:t>
      </w:r>
      <w:r w:rsidRPr="00650C72">
        <w:rPr>
          <w:rFonts w:ascii="Simplified Arabic" w:eastAsia="Times New Roman" w:hAnsi="Simplified Arabic" w:cs="Simplified Arabic"/>
          <w:color w:val="000000" w:themeColor="text1"/>
          <w:kern w:val="0"/>
          <w:sz w:val="28"/>
          <w:szCs w:val="28"/>
          <w:rtl/>
          <w14:ligatures w14:val="none"/>
        </w:rPr>
        <w:t>تعريفاً يُدرج البُعد الاستدامي ضمن جوهر المفهوم، حيث يعرّفان أدوات الذكاء الاصطناعي في التقييم العقاري بأنها منظومة تقنية-إدارية توظّف الخوارزميات الذكية لدعم القرارات الاستثمارية العقارية بصورة تراعي الأبعاد البيئية والاقتصادية والاجتماعية، وتُسهم في توجيه رؤوس الأموال نحو مشروعات ذات جدوى طويلة الأمد. ويُدخل هذا التعريف مفهوم القيمة المستدامة في صميم عمل الأدوات الذكية، متجاوزاً النظرة الاختزالية التي تحصر التقييم في التقدير السعري اللحظي</w:t>
      </w:r>
      <w:r w:rsidRPr="00650C72">
        <w:rPr>
          <w:rFonts w:ascii="Simplified Arabic" w:eastAsia="Times New Roman" w:hAnsi="Simplified Arabic" w:cs="Simplified Arabic"/>
          <w:color w:val="000000" w:themeColor="text1"/>
          <w:kern w:val="0"/>
          <w:sz w:val="28"/>
          <w:szCs w:val="28"/>
          <w14:ligatures w14:val="none"/>
        </w:rPr>
        <w:t>.</w:t>
      </w:r>
    </w:p>
    <w:p w14:paraId="6F8D5BE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ويلاحظ الباحث من خلال استعراض هذه التعريفات أن ثمة ثلاث مدارس رئيسية تتنازع صياغة المفهوم: المدرسة الأولى تقنية-حاسوبية تركّز على الجانب الخوارزمي وتنظر إلى الأدوات بوصفها معالجات رياضية للبيانات، والمدرسة الثانية إدارية-تنظيمية ترى في هذه الأدوات مكوّناً في منظومة صنع القرار المؤسسي، والمدرسة الثالثة تكاملية-إستراتيجية تربط بين البُعد التقني والبُعد التنموي المستدام. ويرى الباحث أن أدوات الذكاء الاصطناعي في التقييم العقاري يمكن تعريفها إجرائياً في سياق هذه الدراسة بأنها منظومة تقنية-إدارية متكاملة تضمّ التحليلات التنبؤية للأسعار ونماذج التقييم الآلي وتقنيات تحليل البيانات الضخمة العقارية وأنظمة دعم القرار الذكية، تعمل مجتمعةً على تحويل البيانات العقارية غير المتجانسة إلى مخرجات معرفية قابلة للتوظيف في ترشيد قرارات الاستثمار داخل شركات التطوير والاستثمار العقاري السعودية، بحيث تجمع بين الدقة الخوارزمية والملاءمة الإدارية والوعي بمتطلبات السوق المحلي</w:t>
      </w:r>
      <w:r w:rsidRPr="00650C72">
        <w:rPr>
          <w:rFonts w:ascii="Simplified Arabic" w:eastAsia="Times New Roman" w:hAnsi="Simplified Arabic" w:cs="Simplified Arabic"/>
          <w:color w:val="000000" w:themeColor="text1"/>
          <w:kern w:val="0"/>
          <w:sz w:val="28"/>
          <w:szCs w:val="28"/>
          <w14:ligatures w14:val="none"/>
        </w:rPr>
        <w:t>.</w:t>
      </w:r>
    </w:p>
    <w:p w14:paraId="1D0C3CAF" w14:textId="3DBC9BFB"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4796438"/>
      <w:r w:rsidRPr="00650C72">
        <w:rPr>
          <w:rFonts w:ascii="Simplified Arabic" w:eastAsia="Times New Roman" w:hAnsi="Simplified Arabic" w:cs="Simplified Arabic" w:hint="cs"/>
          <w:b/>
          <w:bCs/>
          <w:color w:val="000000" w:themeColor="text1"/>
          <w:kern w:val="0"/>
          <w:sz w:val="32"/>
          <w:szCs w:val="32"/>
          <w:rtl/>
          <w14:ligatures w14:val="none"/>
        </w:rPr>
        <w:t>3.1.2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أهمية أدوات الذكاء الاصطناعي في التقييم العقاري</w:t>
      </w:r>
      <w:bookmarkEnd w:id="40"/>
    </w:p>
    <w:p w14:paraId="7980D83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تنبع أهمية أدوات الذكاء الاصطناعي في التقييم العقاري من كونها استجابة معرفية وعملية لتحديات جوهرية باتت تواجه القطاع، تتصل بحجم البيانات وتعقيدها وسرعة تغيّر متغيرات السوق، فضلاً عن تنامي المتطلبات التنظيمية التي تفرض معايير أعلى من الموضوعية والشفافية والاتساق في تقارير التقييم. وقد أضحت هذه الأدوات ركيزة لا غنى عنها في بناء منظومة تقييمية قادرة على مجاراة تسارع التحولات في أسواق العقارات ومواكبة تطلعات المستثمرين والجهات التنظيمية على حدٍّ سواء</w:t>
      </w:r>
      <w:r w:rsidRPr="00650C72">
        <w:rPr>
          <w:rFonts w:ascii="Simplified Arabic" w:eastAsia="Times New Roman" w:hAnsi="Simplified Arabic" w:cs="Simplified Arabic"/>
          <w:color w:val="000000" w:themeColor="text1"/>
          <w:kern w:val="0"/>
          <w:sz w:val="28"/>
          <w:szCs w:val="28"/>
          <w14:ligatures w14:val="none"/>
        </w:rPr>
        <w:t>.</w:t>
      </w:r>
    </w:p>
    <w:p w14:paraId="5EF3C39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هوانج ويو</w:t>
      </w:r>
      <w:r w:rsidRPr="00650C72">
        <w:rPr>
          <w:rFonts w:ascii="Simplified Arabic" w:eastAsia="Times New Roman" w:hAnsi="Simplified Arabic" w:cs="Simplified Arabic"/>
          <w:color w:val="000000" w:themeColor="text1"/>
          <w:kern w:val="0"/>
          <w:sz w:val="28"/>
          <w:szCs w:val="28"/>
          <w14:ligatures w14:val="none"/>
        </w:rPr>
        <w:t xml:space="preserve"> (Huang &amp; You, 2023) </w:t>
      </w:r>
      <w:r w:rsidRPr="00650C72">
        <w:rPr>
          <w:rFonts w:ascii="Simplified Arabic" w:eastAsia="Times New Roman" w:hAnsi="Simplified Arabic" w:cs="Simplified Arabic"/>
          <w:color w:val="000000" w:themeColor="text1"/>
          <w:kern w:val="0"/>
          <w:sz w:val="28"/>
          <w:szCs w:val="28"/>
          <w:rtl/>
          <w14:ligatures w14:val="none"/>
        </w:rPr>
        <w:t xml:space="preserve">إلى أن أهمية أدوات الذكاء الاصطناعي في السياق المالي والعقاري تتمثل في جملة اعتبارات، أولها قدرتها على تجاوز محدودية النماذج الإحصائية التقليدية في التعامل مع العلاقات غير الخطية والمتشعّبة بين المتغيرات، وثانيها تمكينها لصنّاع القرار من استيعاب حجم غير مسبوق من المعلومات في نافذة زمنية ضيقة، وثالثها إسهامها في تخفيض التحيّزات المعرفية </w:t>
      </w:r>
      <w:r w:rsidRPr="00650C72">
        <w:rPr>
          <w:rFonts w:ascii="Simplified Arabic" w:eastAsia="Times New Roman" w:hAnsi="Simplified Arabic" w:cs="Simplified Arabic"/>
          <w:color w:val="000000" w:themeColor="text1"/>
          <w:kern w:val="0"/>
          <w:sz w:val="28"/>
          <w:szCs w:val="28"/>
          <w:rtl/>
          <w14:ligatures w14:val="none"/>
        </w:rPr>
        <w:lastRenderedPageBreak/>
        <w:t>والسلوكية التي تشوب القرارات القائمة على الحكم الفردي، ورابعها إتاحتها لعمليات محاكاة سيناريوهات مستقبلية متعددة تستند إلى قواعد بيانات تاريخية موسّعة، وخامسها تعزيزها لقابلية التتبع والتدقيق في مسار القرار المالي بما يخدم متطلبات الحوكمة</w:t>
      </w:r>
      <w:r w:rsidRPr="00650C72">
        <w:rPr>
          <w:rFonts w:ascii="Simplified Arabic" w:eastAsia="Times New Roman" w:hAnsi="Simplified Arabic" w:cs="Simplified Arabic"/>
          <w:color w:val="000000" w:themeColor="text1"/>
          <w:kern w:val="0"/>
          <w:sz w:val="28"/>
          <w:szCs w:val="28"/>
          <w14:ligatures w14:val="none"/>
        </w:rPr>
        <w:t>.</w:t>
      </w:r>
    </w:p>
    <w:p w14:paraId="48A383BF"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ويرى العريمي والحلالمة (2024) أن أهمية توظيف الذكاء الاصطناعي على المستوى المؤسسي تكمن في إعادة صياغة أنماط العمل الإداري وتحرير الكوادر البشرية من الأعمال الروتينية لصالح المهام ذات القيمة المضافة، فضلاً عن رفع مستوى الاتساق في إجراءات العمل عبر مختلف الوحدات، وإسناد صنّاع القرار بمعلومات مؤقّتة زمنياً تعكس آخر تطورات السوق، وتعزيز قدرة المنظمة على الاستجابة المرنة للمتغيرات الخارجية، ودعم بناء ميزة تنافسية مستدامة قائمة على التمايز المعرفي. وفي السياق ذاته، يُبرز محسن (2025) أن هذه الأدوات تسهم في إعادة توزيع الأعباء المعرفية داخل المنظمة، إذ تنقل جزءاً من عمليات المعالجة الذهنية المعقدة من الفرد إلى النظام، بما يفتح أمام الإدارة العليا مساحة أوسع للتفكير الإستراتيجي ورسم التوجهات بعيدة المدى</w:t>
      </w:r>
      <w:r w:rsidRPr="00650C72">
        <w:rPr>
          <w:rFonts w:ascii="Simplified Arabic" w:eastAsia="Times New Roman" w:hAnsi="Simplified Arabic" w:cs="Simplified Arabic"/>
          <w:color w:val="000000" w:themeColor="text1"/>
          <w:kern w:val="0"/>
          <w:sz w:val="28"/>
          <w:szCs w:val="28"/>
          <w14:ligatures w14:val="none"/>
        </w:rPr>
        <w:t>.</w:t>
      </w:r>
    </w:p>
    <w:p w14:paraId="440214F2"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خانا</w:t>
      </w:r>
      <w:r w:rsidRPr="00650C72">
        <w:rPr>
          <w:rFonts w:ascii="Simplified Arabic" w:eastAsia="Times New Roman" w:hAnsi="Simplified Arabic" w:cs="Simplified Arabic"/>
          <w:color w:val="000000" w:themeColor="text1"/>
          <w:kern w:val="0"/>
          <w:sz w:val="28"/>
          <w:szCs w:val="28"/>
          <w14:ligatures w14:val="none"/>
        </w:rPr>
        <w:t xml:space="preserve"> (Khanna, 2021) </w:t>
      </w:r>
      <w:r w:rsidRPr="00650C72">
        <w:rPr>
          <w:rFonts w:ascii="Simplified Arabic" w:eastAsia="Times New Roman" w:hAnsi="Simplified Arabic" w:cs="Simplified Arabic"/>
          <w:color w:val="000000" w:themeColor="text1"/>
          <w:kern w:val="0"/>
          <w:sz w:val="28"/>
          <w:szCs w:val="28"/>
          <w:rtl/>
          <w14:ligatures w14:val="none"/>
        </w:rPr>
        <w:t>إلى أن أهمية أدوات الذكاء الاصطناعي في مجال القرارات الاستثمارية تتجلى في عدة محاور، إذ تُسهم في تحسين آليات تقييم المخاطر المالية عبر بناء نماذج قادرة على استكشاف مؤشرات المخاطر المخفية في البيانات، وتوفير أدوات لمراقبة المحافظ الاستثمارية في الزمن الحقيقي، ودعم عمليات المفاضلة بين البدائل الاستثمارية استناداً إلى معايير كمّية ونوعية متعددة، وتقديم توصيات مخصّصة تتوافق مع خصائص المستثمر وتوجهاته، وتخفيض الأثر السلبي للاعتبارات العاطفية والانحيازات الإدراكية في القرار الاستثماري</w:t>
      </w:r>
      <w:r w:rsidRPr="00650C72">
        <w:rPr>
          <w:rFonts w:ascii="Simplified Arabic" w:eastAsia="Times New Roman" w:hAnsi="Simplified Arabic" w:cs="Simplified Arabic"/>
          <w:color w:val="000000" w:themeColor="text1"/>
          <w:kern w:val="0"/>
          <w:sz w:val="28"/>
          <w:szCs w:val="28"/>
          <w14:ligatures w14:val="none"/>
        </w:rPr>
        <w:t>.</w:t>
      </w:r>
    </w:p>
    <w:p w14:paraId="1EEA6A99"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ويذهب أونيناهازي وأنتوي</w:t>
      </w:r>
      <w:r w:rsidRPr="00650C72">
        <w:rPr>
          <w:rFonts w:ascii="Simplified Arabic" w:eastAsia="Times New Roman" w:hAnsi="Simplified Arabic" w:cs="Simplified Arabic"/>
          <w:color w:val="000000" w:themeColor="text1"/>
          <w:kern w:val="0"/>
          <w:sz w:val="28"/>
          <w:szCs w:val="28"/>
          <w14:ligatures w14:val="none"/>
        </w:rPr>
        <w:t xml:space="preserve"> (Onyenahazi &amp; Antwi, 2024) </w:t>
      </w:r>
      <w:r w:rsidRPr="00650C72">
        <w:rPr>
          <w:rFonts w:ascii="Simplified Arabic" w:eastAsia="Times New Roman" w:hAnsi="Simplified Arabic" w:cs="Simplified Arabic"/>
          <w:color w:val="000000" w:themeColor="text1"/>
          <w:kern w:val="0"/>
          <w:sz w:val="28"/>
          <w:szCs w:val="28"/>
          <w:rtl/>
          <w14:ligatures w14:val="none"/>
        </w:rPr>
        <w:t>إلى أن الأهمية الحقيقية لهذه الأدوات في المؤسسات المالية والاستثمارية تتّضح في قدرتها على إعادة تعريف العلاقة بين المخاطرة والعائد، وتمكين المؤسسات من اكتشاف الفرص الاستثمارية في أسواق كانت تُعدّ من قبل مبهمة أو يتعذّر تحليلها، فضلاً عن دعم الامتثال التنظيمي عبر أدوات رقابية ذكية، وتعزيز الشفافية أمام أصحاب المصلحة، وتوفير بنية معلوماتية موحّدة تسهم في اتساق القرارات بين المستويات الإدارية المختلفة</w:t>
      </w:r>
      <w:r w:rsidRPr="00650C72">
        <w:rPr>
          <w:rFonts w:ascii="Simplified Arabic" w:eastAsia="Times New Roman" w:hAnsi="Simplified Arabic" w:cs="Simplified Arabic"/>
          <w:color w:val="000000" w:themeColor="text1"/>
          <w:kern w:val="0"/>
          <w:sz w:val="28"/>
          <w:szCs w:val="28"/>
          <w14:ligatures w14:val="none"/>
        </w:rPr>
        <w:t>.</w:t>
      </w:r>
    </w:p>
    <w:p w14:paraId="22082B87"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وترى الثبيتي والسواط (2024) أن أهمية توظيف أدوات الذكاء الاصطناعي في البيئات المهنية المتخصصة تتمثل في إحداث نقلة نوعية في مستوى الأداء الفني، وتطوير المهارات التطبيقية للممارسين، ورفع قدرتهم على التعامل مع الحالات المركّبة، وإتاحة تغذية راجعة فورية تُسهم في التحسين المستمر </w:t>
      </w:r>
      <w:r w:rsidRPr="00650C72">
        <w:rPr>
          <w:rFonts w:ascii="Simplified Arabic" w:eastAsia="Times New Roman" w:hAnsi="Simplified Arabic" w:cs="Simplified Arabic"/>
          <w:color w:val="000000" w:themeColor="text1"/>
          <w:kern w:val="0"/>
          <w:sz w:val="28"/>
          <w:szCs w:val="28"/>
          <w:rtl/>
          <w14:ligatures w14:val="none"/>
        </w:rPr>
        <w:lastRenderedPageBreak/>
        <w:t>للأداء. وفي البُعد التسويقي والتشغيلي، يوضّح فهيم وآخرون (2023) أن هذه الأدوات ترفع من كفاءة عمليات استهداف العملاء وتحليل سلوكهم، وهو ما ينعكس في السياق العقاري على تعزيز قدرة شركات التطوير على فهم اتجاهات الطلب وتصميم عروض عقارية تلبّي احتياجات السوق بدقة أعلى</w:t>
      </w:r>
      <w:r w:rsidRPr="00650C72">
        <w:rPr>
          <w:rFonts w:ascii="Simplified Arabic" w:eastAsia="Times New Roman" w:hAnsi="Simplified Arabic" w:cs="Simplified Arabic"/>
          <w:color w:val="000000" w:themeColor="text1"/>
          <w:kern w:val="0"/>
          <w:sz w:val="28"/>
          <w:szCs w:val="28"/>
          <w14:ligatures w14:val="none"/>
        </w:rPr>
        <w:t>.</w:t>
      </w:r>
    </w:p>
    <w:p w14:paraId="2E7A9982"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ويؤكّد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أن أهمية هذه الأدوات في القطاع العقاري تحديداً تتضح في تمكين المستثمرين من قراءة إشارات السوق المعقدة، وتعزيز جودة تقديرات القيمة السوقية، ودعم قرارات الدخول والخروج من الأصول العقارية، وتوفير بيئة تحليلية متجانسة تُختصر فيها الفجوة بين البيانات الخام والقرار الاستثماري النهائي. ويضيف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أن الأهمية تتصل كذلك بمعالجة إشكاليات الشفافية وعدم اكتمال المعلومات التي تعاني منها الأسواق العقارية الناشئة، وبتعزيز الثقة بين أطراف الصفقة العقارية عبر توفير تقييمات قائمة على معايير موضوعية قابلة للتحقق</w:t>
      </w:r>
      <w:r w:rsidRPr="00650C72">
        <w:rPr>
          <w:rFonts w:ascii="Simplified Arabic" w:eastAsia="Times New Roman" w:hAnsi="Simplified Arabic" w:cs="Simplified Arabic"/>
          <w:color w:val="000000" w:themeColor="text1"/>
          <w:kern w:val="0"/>
          <w:sz w:val="28"/>
          <w:szCs w:val="28"/>
          <w14:ligatures w14:val="none"/>
        </w:rPr>
        <w:t>.</w:t>
      </w:r>
    </w:p>
    <w:p w14:paraId="305FE44C"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ويلحظ الباحث أن أهمية أدوات الذكاء الاصطناعي في التقييم العقاري في السياق السعودي تتضاعف بفعل التوسع العمراني الكبير الذي تشهده المملكة والمشروعات العقارية الكبرى المرتبطة برؤية 2030، مما يجعل من الضروري تبنّي منظومات تقييمية متطورة تُواكب حجم النشاط العقاري وتنوّعه وتُدعم القرارات الاستثمارية للشركات العاملة في هذا القطاع الحيوي</w:t>
      </w:r>
      <w:r w:rsidRPr="00650C72">
        <w:rPr>
          <w:rFonts w:ascii="Simplified Arabic" w:eastAsia="Times New Roman" w:hAnsi="Simplified Arabic" w:cs="Simplified Arabic"/>
          <w:color w:val="000000" w:themeColor="text1"/>
          <w:kern w:val="0"/>
          <w:sz w:val="28"/>
          <w:szCs w:val="28"/>
          <w14:ligatures w14:val="none"/>
        </w:rPr>
        <w:t>.</w:t>
      </w:r>
    </w:p>
    <w:p w14:paraId="69C609CE" w14:textId="3BC1A390"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4796439"/>
      <w:r w:rsidRPr="00650C72">
        <w:rPr>
          <w:rFonts w:ascii="Simplified Arabic" w:eastAsia="Times New Roman" w:hAnsi="Simplified Arabic" w:cs="Simplified Arabic" w:hint="cs"/>
          <w:b/>
          <w:bCs/>
          <w:color w:val="000000" w:themeColor="text1"/>
          <w:kern w:val="0"/>
          <w:sz w:val="32"/>
          <w:szCs w:val="32"/>
          <w:rtl/>
          <w14:ligatures w14:val="none"/>
        </w:rPr>
        <w:t>4.1.2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أهداف توظيف أدوات الذكاء الاصطناعي في التقييم العقاري</w:t>
      </w:r>
      <w:bookmarkEnd w:id="41"/>
    </w:p>
    <w:p w14:paraId="6D7307A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تتّسم أهداف توظيف أدوات الذكاء الاصطناعي في التقييم العقاري بأنها أهداف متدرجة تنطلق من الغايات التشغيلية اليومية وتتصاعد نحو الغايات الإستراتيجية بعيدة المدى، وقد تناول عدد من الباحثين هذه الأهداف من زوايا متكاملة تعكس تعدد استخدامات هذه الأدوات وتنوع مسارات أثرها في القطاع العقاري</w:t>
      </w:r>
      <w:r w:rsidRPr="00650C72">
        <w:rPr>
          <w:rFonts w:ascii="Simplified Arabic" w:eastAsia="Times New Roman" w:hAnsi="Simplified Arabic" w:cs="Simplified Arabic"/>
          <w:color w:val="000000" w:themeColor="text1"/>
          <w:kern w:val="0"/>
          <w:sz w:val="28"/>
          <w:szCs w:val="28"/>
          <w14:ligatures w14:val="none"/>
        </w:rPr>
        <w:t>.</w:t>
      </w:r>
    </w:p>
    <w:p w14:paraId="70F8F651"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ويحدّد الإمري وآخرون</w:t>
      </w:r>
      <w:r w:rsidRPr="00650C72">
        <w:rPr>
          <w:rFonts w:ascii="Simplified Arabic" w:eastAsia="Times New Roman" w:hAnsi="Simplified Arabic" w:cs="Simplified Arabic"/>
          <w:color w:val="000000" w:themeColor="text1"/>
          <w:kern w:val="0"/>
          <w:sz w:val="28"/>
          <w:szCs w:val="28"/>
          <w14:ligatures w14:val="none"/>
        </w:rPr>
        <w:t xml:space="preserve"> (El-Emary et al., 2020) </w:t>
      </w:r>
      <w:r w:rsidRPr="00650C72">
        <w:rPr>
          <w:rFonts w:ascii="Simplified Arabic" w:eastAsia="Times New Roman" w:hAnsi="Simplified Arabic" w:cs="Simplified Arabic"/>
          <w:color w:val="000000" w:themeColor="text1"/>
          <w:kern w:val="0"/>
          <w:sz w:val="28"/>
          <w:szCs w:val="28"/>
          <w:rtl/>
          <w14:ligatures w14:val="none"/>
        </w:rPr>
        <w:t>أهداف تبنّي الذكاء الاصطناعي في المنظمات في جملة نقاط، تشمل: تعزيز الموضوعية في المخرجات المعرفية عبر تقليل التدخل البشري في المعالجات المتكررة، وتوفير قاعدة تحليلية تتّسم بالسرعة والدقة في آنٍ واحد، ورفع كفاءة استثمار الموارد التنظيمية، ودعم صنّاع القرار بمعلومات متعددة الأبعاد، وتمكين المنظمة من التكيّف مع بيئة أعمال متغيّرة</w:t>
      </w:r>
      <w:r w:rsidRPr="00650C72">
        <w:rPr>
          <w:rFonts w:ascii="Simplified Arabic" w:eastAsia="Times New Roman" w:hAnsi="Simplified Arabic" w:cs="Simplified Arabic"/>
          <w:color w:val="000000" w:themeColor="text1"/>
          <w:kern w:val="0"/>
          <w:sz w:val="28"/>
          <w:szCs w:val="28"/>
          <w14:ligatures w14:val="none"/>
        </w:rPr>
        <w:t>.</w:t>
      </w:r>
    </w:p>
    <w:p w14:paraId="1A0E763E"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ويحدّد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 </w:t>
      </w:r>
      <w:r w:rsidRPr="00650C72">
        <w:rPr>
          <w:rFonts w:ascii="Simplified Arabic" w:eastAsia="Times New Roman" w:hAnsi="Simplified Arabic" w:cs="Simplified Arabic"/>
          <w:color w:val="000000" w:themeColor="text1"/>
          <w:kern w:val="0"/>
          <w:sz w:val="28"/>
          <w:szCs w:val="28"/>
          <w:rtl/>
          <w14:ligatures w14:val="none"/>
        </w:rPr>
        <w:t xml:space="preserve">أهدافاً إضافية لتوظيف هذه الأدوات في القرارات الاستثمارية، منها: تحسين آليات تقييم الأصول عبر نماذج قائمة على البيانات، وتوسيع نطاق البدائل </w:t>
      </w:r>
      <w:r w:rsidRPr="00650C72">
        <w:rPr>
          <w:rFonts w:ascii="Simplified Arabic" w:eastAsia="Times New Roman" w:hAnsi="Simplified Arabic" w:cs="Simplified Arabic"/>
          <w:color w:val="000000" w:themeColor="text1"/>
          <w:kern w:val="0"/>
          <w:sz w:val="28"/>
          <w:szCs w:val="28"/>
          <w:rtl/>
          <w14:ligatures w14:val="none"/>
        </w:rPr>
        <w:lastRenderedPageBreak/>
        <w:t>الاستثمارية القابلة للتحليل، وتعزيز قدرة المستثمر على قراءة المؤشرات الكلية والجزئية في تكامل، وبناء نماذج للتنبؤ بحركة الأسواق تسهم في تحسين توقيت قرارات الاستثمار، وتقديم أدوات تحليلية شخصية تلائم خصائص كل مستثمر</w:t>
      </w:r>
      <w:r w:rsidRPr="00650C72">
        <w:rPr>
          <w:rFonts w:ascii="Simplified Arabic" w:eastAsia="Times New Roman" w:hAnsi="Simplified Arabic" w:cs="Simplified Arabic"/>
          <w:color w:val="000000" w:themeColor="text1"/>
          <w:kern w:val="0"/>
          <w:sz w:val="28"/>
          <w:szCs w:val="28"/>
          <w14:ligatures w14:val="none"/>
        </w:rPr>
        <w:t>.</w:t>
      </w:r>
    </w:p>
    <w:p w14:paraId="37DAE2E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ويُبرز مقلد (2025) أهدافاً معرفية وسلوكية تنبع من العلاقة بين الفرد والنظام الذكي، إذ يشير إلى أن من أبرز أهداف توظيف هذه الأدوات: بناء علاقة اعتمادية رشيدة بين المستخدم والنظام، وتعزيز مستوى تقبّل التقنيات الذكية داخل بيئات العمل، وتحقيق تكامل معرفي بين الحكم البشري والمخرجات الخوارزمية، وتحسين جودة القرارات النهائية عبر توظيف مخرجات النظام في سياقات مؤسسية. ويضيف بامردوف ومجلد (2025) أن من أهداف توظيف الذكاء الاصطناعي على المستوى الوظيفي: تحسين بيئة العمل، وتقليل الأعباء الروتينية، ورفع مستوى الرضا لدى العاملين، وتحرير طاقاتهم للمهام الإبداعية</w:t>
      </w:r>
      <w:r w:rsidRPr="00650C72">
        <w:rPr>
          <w:rFonts w:ascii="Simplified Arabic" w:eastAsia="Times New Roman" w:hAnsi="Simplified Arabic" w:cs="Simplified Arabic"/>
          <w:color w:val="000000" w:themeColor="text1"/>
          <w:kern w:val="0"/>
          <w:sz w:val="28"/>
          <w:szCs w:val="28"/>
          <w14:ligatures w14:val="none"/>
        </w:rPr>
        <w:t>.</w:t>
      </w:r>
    </w:p>
    <w:p w14:paraId="633F31C6"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وترى محمود (2024) أن الأهداف تتوزّع بين أهداف قصيرة المدى تركّز على تحسين جودة القرارات التشغيلية، وأهداف طويلة المدى تسعى إلى إعادة هيكلة المنظمة بحيث تُصبح البنية القرارية قائمة على البيانات في جوهرها. ويضيف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أن الأهداف في القطاع العقاري تحديداً تشمل: تحقيق أتمتة شاملة لعمليات التقييم، وتقليل زمن دورة القرار الاستثماري، وتعزيز الاتساق بين تقارير التقييم الصادرة عن الشركة الواحدة، ودعم عمليات التخطيط طويل المدى للمحافظ العقارية، وبناء قدرات تنبؤية تعزّز تنافسية الشركة في السوق</w:t>
      </w:r>
      <w:r w:rsidRPr="00650C72">
        <w:rPr>
          <w:rFonts w:ascii="Simplified Arabic" w:eastAsia="Times New Roman" w:hAnsi="Simplified Arabic" w:cs="Simplified Arabic"/>
          <w:color w:val="000000" w:themeColor="text1"/>
          <w:kern w:val="0"/>
          <w:sz w:val="28"/>
          <w:szCs w:val="28"/>
          <w14:ligatures w14:val="none"/>
        </w:rPr>
        <w:t>.</w:t>
      </w:r>
    </w:p>
    <w:p w14:paraId="0A6556D2"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ويستخلص الباحث أن الأهداف تنتظم في ثلاثة مستويات مترابطة: مستوى تشغيلي يستهدف تحسين كفاءة عمليات التقييم اليومية وسرعتها ودقتها، ومستوى تكتيكي يستهدف تعزيز جودة القرارات الاستثمارية متوسطة المدى وتحسين إدارة المخاطر، ومستوى إستراتيجي يستهدف إعادة تشكيل نماذج الأعمال العقارية وبناء ميزة تنافسية مستدامة قائمة على المعرفة</w:t>
      </w:r>
      <w:r w:rsidRPr="00650C72">
        <w:rPr>
          <w:rFonts w:ascii="Simplified Arabic" w:eastAsia="Times New Roman" w:hAnsi="Simplified Arabic" w:cs="Simplified Arabic"/>
          <w:color w:val="000000" w:themeColor="text1"/>
          <w:kern w:val="0"/>
          <w:sz w:val="28"/>
          <w:szCs w:val="28"/>
          <w14:ligatures w14:val="none"/>
        </w:rPr>
        <w:t>.</w:t>
      </w:r>
    </w:p>
    <w:p w14:paraId="6CC05A41" w14:textId="1D5AC1DC"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796440"/>
      <w:r w:rsidRPr="00650C72">
        <w:rPr>
          <w:rFonts w:ascii="Simplified Arabic" w:eastAsia="Times New Roman" w:hAnsi="Simplified Arabic" w:cs="Simplified Arabic" w:hint="cs"/>
          <w:b/>
          <w:bCs/>
          <w:color w:val="000000" w:themeColor="text1"/>
          <w:kern w:val="0"/>
          <w:sz w:val="32"/>
          <w:szCs w:val="32"/>
          <w:rtl/>
          <w14:ligatures w14:val="none"/>
        </w:rPr>
        <w:t>5.1.2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أبعاد أدوات الذكاء الاصطناعي في التقييم العقاري</w:t>
      </w:r>
      <w:bookmarkEnd w:id="42"/>
    </w:p>
    <w:p w14:paraId="2A5350A6"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تم تحديد أبعاد أدوات الذكاء الاصطناعي في التقييم العقاري في هذه الدراسة بناءً على مراجعة معمّقة لعدد من الأطر النظرية والدراسات المتخصصة، وفي مقدّمتها دراسة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التي قدّمت مراجعة منظّمة للتقنيات المستخدمة في القطاع العقاري، ودراسة كارانيكولاس وآخرون</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 xml:space="preserve">التي طوّرت نموذجاً متعدد الوسائط للتقييم العقاري القائم على الذكاء </w:t>
      </w:r>
      <w:r w:rsidRPr="00650C72">
        <w:rPr>
          <w:rFonts w:ascii="Simplified Arabic" w:eastAsia="Times New Roman" w:hAnsi="Simplified Arabic" w:cs="Simplified Arabic"/>
          <w:color w:val="000000" w:themeColor="text1"/>
          <w:kern w:val="0"/>
          <w:sz w:val="28"/>
          <w:szCs w:val="28"/>
          <w:rtl/>
          <w14:ligatures w14:val="none"/>
        </w:rPr>
        <w:lastRenderedPageBreak/>
        <w:t>الاصطناعي، ودراسة شميليفسكا وآخرون</w:t>
      </w:r>
      <w:r w:rsidRPr="00650C72">
        <w:rPr>
          <w:rFonts w:ascii="Simplified Arabic" w:eastAsia="Times New Roman" w:hAnsi="Simplified Arabic" w:cs="Simplified Arabic"/>
          <w:color w:val="000000" w:themeColor="text1"/>
          <w:kern w:val="0"/>
          <w:sz w:val="28"/>
          <w:szCs w:val="28"/>
          <w14:ligatures w14:val="none"/>
        </w:rPr>
        <w:t xml:space="preserve"> (Chmielewska et al., 2020) </w:t>
      </w:r>
      <w:r w:rsidRPr="00650C72">
        <w:rPr>
          <w:rFonts w:ascii="Simplified Arabic" w:eastAsia="Times New Roman" w:hAnsi="Simplified Arabic" w:cs="Simplified Arabic"/>
          <w:color w:val="000000" w:themeColor="text1"/>
          <w:kern w:val="0"/>
          <w:sz w:val="28"/>
          <w:szCs w:val="28"/>
          <w:rtl/>
          <w14:ligatures w14:val="none"/>
        </w:rPr>
        <w:t>التي تناولت الخوارزميات الجينية بوصفها مكوّناً في نماذج التقييم الآلي، ودراسة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التي بحثت في أثر الذكاء الاصطناعي على عمليات صنع القرار في شركات العقارات. وقد أفضى تكامل هذه الأطر إلى تحديد أربعة أبعاد رئيسية تعكس الطبيعة الشاملة لتوظيف الذكاء الاصطناعي في التقييم العقاري، وهي: التحليلات التنبؤية للأسعار، ونماذج التقييم الآلي، وتحليل البيانات الضخمة العقارية، وأنظمة دعم القرار الذكية</w:t>
      </w:r>
      <w:r w:rsidRPr="00650C72">
        <w:rPr>
          <w:rFonts w:ascii="Simplified Arabic" w:eastAsia="Times New Roman" w:hAnsi="Simplified Arabic" w:cs="Simplified Arabic"/>
          <w:color w:val="000000" w:themeColor="text1"/>
          <w:kern w:val="0"/>
          <w:sz w:val="28"/>
          <w:szCs w:val="28"/>
          <w14:ligatures w14:val="none"/>
        </w:rPr>
        <w:t>.</w:t>
      </w:r>
    </w:p>
    <w:p w14:paraId="5949AC79"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البُعد الأول: التحليلات التنبؤية للأسعار</w:t>
      </w:r>
    </w:p>
    <w:p w14:paraId="7A6A725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تمثّل التحليلات التنبؤية للأسعار البُعد الأكثر ارتباطاً بالطبيعة المستقبلية للاستثمار العقاري، إذ تُعنى بتوظيف خوارزميات التعلم الآلي وتقنيات النمذجة الإحصائية المتقدمة في استشراف اتجاهات الأسعار المستقبلية للأصول العقارية بناءً على تحليل السلاسل الزمنية وأنماط السوق التاريخية. ويوضّح ستانج</w:t>
      </w:r>
      <w:r w:rsidRPr="00650C72">
        <w:rPr>
          <w:rFonts w:ascii="Simplified Arabic" w:eastAsia="Times New Roman" w:hAnsi="Simplified Arabic" w:cs="Simplified Arabic"/>
          <w:color w:val="000000" w:themeColor="text1"/>
          <w:kern w:val="0"/>
          <w:sz w:val="28"/>
          <w:szCs w:val="28"/>
          <w14:ligatures w14:val="none"/>
        </w:rPr>
        <w:t xml:space="preserve"> (Stang, 2023) </w:t>
      </w:r>
      <w:r w:rsidRPr="00650C72">
        <w:rPr>
          <w:rFonts w:ascii="Simplified Arabic" w:eastAsia="Times New Roman" w:hAnsi="Simplified Arabic" w:cs="Simplified Arabic"/>
          <w:color w:val="000000" w:themeColor="text1"/>
          <w:kern w:val="0"/>
          <w:sz w:val="28"/>
          <w:szCs w:val="28"/>
          <w:rtl/>
          <w14:ligatures w14:val="none"/>
        </w:rPr>
        <w:t>أن الجيل الحديث من نماذج التنبؤ يعتمد على شبكات عصبية عميقة قادرة على استيعاب العلاقات الكامنة بين متغيرات متعددة تتراوح بين خصائص العقار نفسه ومؤشرات الاقتصاد الكلي والعوامل الديموغرافية والبيئية، بما يوفّر تقديرات سعرية تعكس تفاعل هذه المتغيرات في الزمن</w:t>
      </w:r>
      <w:r w:rsidRPr="00650C72">
        <w:rPr>
          <w:rFonts w:ascii="Simplified Arabic" w:eastAsia="Times New Roman" w:hAnsi="Simplified Arabic" w:cs="Simplified Arabic"/>
          <w:color w:val="000000" w:themeColor="text1"/>
          <w:kern w:val="0"/>
          <w:sz w:val="28"/>
          <w:szCs w:val="28"/>
          <w14:ligatures w14:val="none"/>
        </w:rPr>
        <w:t>.</w:t>
      </w:r>
    </w:p>
    <w:p w14:paraId="60B0C83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وتنبثق أهمية هذا البُعد من كونه يمنح شركات التطوير والاستثمار العقاري قدرة على قراءة إشارات السوق قبل تجسّدها في تحوّلات فعلية، مما يُعزّز مركزها التفاوضي في صفقات الشراء والبيع ويوجّه قراراتها الاستثمارية نحو الأصول ذات القدرة الأعلى على تحقيق العائد. ويُشير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إلى أن التحليلات التنبؤية تختلف عن النماذج الإحصائية التقليدية في كونها قادرة على التعلم الذاتي من البيانات الجديدة، وتحديث تنبؤاتها باستمرار مع تدفق المعلومات، مما يجعلها أكثر ملاءمة للأسواق العقارية المتقلبة. ويُدرك المحلل العقاري في ضوء هذا البُعد أن التنبؤ لم يعد ممارسة قائمة على الحدس والخبرة الشخصية، بل أصبح عملية علمية تستند إلى قواعد بيانات موسّعة ونماذج قابلة للتحقق من الأداء عبر مقاييس الدقة والخطأ</w:t>
      </w:r>
      <w:r w:rsidRPr="00650C72">
        <w:rPr>
          <w:rFonts w:ascii="Simplified Arabic" w:eastAsia="Times New Roman" w:hAnsi="Simplified Arabic" w:cs="Simplified Arabic"/>
          <w:color w:val="000000" w:themeColor="text1"/>
          <w:kern w:val="0"/>
          <w:sz w:val="28"/>
          <w:szCs w:val="28"/>
          <w14:ligatures w14:val="none"/>
        </w:rPr>
        <w:t>.</w:t>
      </w:r>
    </w:p>
    <w:p w14:paraId="78FE0619"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البُعد الثاني: نماذج التقييم الآلي</w:t>
      </w:r>
      <w:r w:rsidRPr="00650C72">
        <w:rPr>
          <w:rFonts w:ascii="Simplified Arabic" w:eastAsia="Times New Roman" w:hAnsi="Simplified Arabic" w:cs="Simplified Arabic"/>
          <w:b/>
          <w:bCs/>
          <w:color w:val="000000" w:themeColor="text1"/>
          <w:kern w:val="0"/>
          <w:sz w:val="28"/>
          <w:szCs w:val="28"/>
          <w14:ligatures w14:val="none"/>
        </w:rPr>
        <w:t xml:space="preserve"> (AVM)</w:t>
      </w:r>
    </w:p>
    <w:p w14:paraId="443CF3A7"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تُشكّل نماذج التقييم الآلي المحور التقني الأكثر نضجاً في منظومة الذكاء الاصطناعي العقاري، وتُعنى بإنتاج تقديرات موضوعية لقيمة العقار في لحظة زمنية محددة استناداً إلى مقارنته بعقارات مماثلة عبر خوارزميات معالجة متطورة. ويقدّم شميليفسكا وآخرون</w:t>
      </w:r>
      <w:r w:rsidRPr="00650C72">
        <w:rPr>
          <w:rFonts w:ascii="Simplified Arabic" w:eastAsia="Times New Roman" w:hAnsi="Simplified Arabic" w:cs="Simplified Arabic"/>
          <w:color w:val="000000" w:themeColor="text1"/>
          <w:kern w:val="0"/>
          <w:sz w:val="28"/>
          <w:szCs w:val="28"/>
          <w14:ligatures w14:val="none"/>
        </w:rPr>
        <w:t xml:space="preserve"> (Chmielewska et al., 2020) </w:t>
      </w:r>
      <w:r w:rsidRPr="00650C72">
        <w:rPr>
          <w:rFonts w:ascii="Simplified Arabic" w:eastAsia="Times New Roman" w:hAnsi="Simplified Arabic" w:cs="Simplified Arabic"/>
          <w:color w:val="000000" w:themeColor="text1"/>
          <w:kern w:val="0"/>
          <w:sz w:val="28"/>
          <w:szCs w:val="28"/>
          <w:rtl/>
          <w14:ligatures w14:val="none"/>
        </w:rPr>
        <w:t xml:space="preserve">عرضاً معمّقاً </w:t>
      </w:r>
      <w:r w:rsidRPr="00650C72">
        <w:rPr>
          <w:rFonts w:ascii="Simplified Arabic" w:eastAsia="Times New Roman" w:hAnsi="Simplified Arabic" w:cs="Simplified Arabic"/>
          <w:color w:val="000000" w:themeColor="text1"/>
          <w:kern w:val="0"/>
          <w:sz w:val="28"/>
          <w:szCs w:val="28"/>
          <w:rtl/>
          <w14:ligatures w14:val="none"/>
        </w:rPr>
        <w:lastRenderedPageBreak/>
        <w:t>لهذه النماذج، حيث يوضحون أنها تجمع بين خوارزميات الانحدار المكاني والخوارزميات الجينية والشبكات العصبية بهدف تحقيق التوازن بين الدقة التقديرية والاتساق المنهجي، فضلاً عن قدرتها على معالجة العقارات ذات الخصائص غير النمطية التي يصعب تقييمها بالطرق التقليدية</w:t>
      </w:r>
      <w:r w:rsidRPr="00650C72">
        <w:rPr>
          <w:rFonts w:ascii="Simplified Arabic" w:eastAsia="Times New Roman" w:hAnsi="Simplified Arabic" w:cs="Simplified Arabic"/>
          <w:color w:val="000000" w:themeColor="text1"/>
          <w:kern w:val="0"/>
          <w:sz w:val="28"/>
          <w:szCs w:val="28"/>
          <w14:ligatures w14:val="none"/>
        </w:rPr>
        <w:t>.</w:t>
      </w:r>
    </w:p>
    <w:p w14:paraId="715C3032"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ويُبرز كارانيكولاس وآخرون</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بُعداً جديداً في تطوّر هذه النماذج، إذ يُشيرون إلى أن الجيل الأحدث منها بات يعتمد على المعالجة متعددة الوسائط التي تدمج البيانات الرقمية بالبيانات النصية والبصرية، مما يُتيح مراعاة عوامل نوعية كانت من قبل خارج نطاق النماذج الكمية، مثل الجودة البصرية للعقار وحالته الإنشائية وموقعه في السياق العمراني. وتنبثق أهمية هذا البُعد من كونه يوفّر لشركات التطوير العقاري بنية تقييمية موحّدة قابلة للتوسّع، بحيث يمكن معالجة أعداد كبيرة من العقارات في وقت وجيز وبمعايير متسقة، مما يخدم عمليات إدارة المحافظ العقارية الكبيرة ويدعم القرارات المتعلقة بإعادة تقييم الأصول دورياً. كما يوفّر هذا البُعد ركيزة موضوعية للتفاوض بين أطراف الصفقة العقارية، ويُسهم في تقليل الفجوة بين القيمة السوقية الفعلية والقيمة التقديرية المستخدمة في القرارات الاستثمارية</w:t>
      </w:r>
      <w:r w:rsidRPr="00650C72">
        <w:rPr>
          <w:rFonts w:ascii="Simplified Arabic" w:eastAsia="Times New Roman" w:hAnsi="Simplified Arabic" w:cs="Simplified Arabic"/>
          <w:color w:val="000000" w:themeColor="text1"/>
          <w:kern w:val="0"/>
          <w:sz w:val="28"/>
          <w:szCs w:val="28"/>
          <w14:ligatures w14:val="none"/>
        </w:rPr>
        <w:t>.</w:t>
      </w:r>
    </w:p>
    <w:p w14:paraId="78B1E8E5"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البُعد الثالث: تحليل البيانات الضخمة العقارية</w:t>
      </w:r>
    </w:p>
    <w:p w14:paraId="5C408769"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يُمثّل تحليل البيانات الضخمة العقارية البُعد الذي يوفّر الوقود المعرفي لبقية الأبعاد، إذ تنبثق قيمة الأدوات التحليلية الذكية من غنى قواعد البيانات التي تعمل عليها وتنوّعها. ويوضّح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أن هذا البُعد يشمل عمليات جمع وتنظيم ومعالجة كميات هائلة من البيانات المتعلقة بالسوق العقاري، والتي تتنوّع مصادرها بين سجلات المبيعات والإيجارات والبيانات الحكومية والمؤشرات الاقتصادية والمعلومات المكانية الجغرافية والبيانات المستخلصة من منصات العرض الإلكترونية ومواقع التواصل، مما يُنتج فسيفساء بيانية معقدة تحتاج إلى بنى تحليلية متخصصة لاستخلاص المعرفة منها</w:t>
      </w:r>
      <w:r w:rsidRPr="00650C72">
        <w:rPr>
          <w:rFonts w:ascii="Simplified Arabic" w:eastAsia="Times New Roman" w:hAnsi="Simplified Arabic" w:cs="Simplified Arabic"/>
          <w:color w:val="000000" w:themeColor="text1"/>
          <w:kern w:val="0"/>
          <w:sz w:val="28"/>
          <w:szCs w:val="28"/>
          <w14:ligatures w14:val="none"/>
        </w:rPr>
        <w:t>.</w:t>
      </w:r>
    </w:p>
    <w:p w14:paraId="3297A87A"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ويرى باشانِك وليشتشينسكي</w:t>
      </w:r>
      <w:r w:rsidRPr="00650C72">
        <w:rPr>
          <w:rFonts w:ascii="Simplified Arabic" w:eastAsia="Times New Roman" w:hAnsi="Simplified Arabic" w:cs="Simplified Arabic"/>
          <w:color w:val="000000" w:themeColor="text1"/>
          <w:kern w:val="0"/>
          <w:sz w:val="28"/>
          <w:szCs w:val="28"/>
          <w14:ligatures w14:val="none"/>
        </w:rPr>
        <w:t xml:space="preserve"> (Bachanek &amp; Leszczynski, 2025) </w:t>
      </w:r>
      <w:r w:rsidRPr="00650C72">
        <w:rPr>
          <w:rFonts w:ascii="Simplified Arabic" w:eastAsia="Times New Roman" w:hAnsi="Simplified Arabic" w:cs="Simplified Arabic"/>
          <w:color w:val="000000" w:themeColor="text1"/>
          <w:kern w:val="0"/>
          <w:sz w:val="28"/>
          <w:szCs w:val="28"/>
          <w:rtl/>
          <w14:ligatures w14:val="none"/>
        </w:rPr>
        <w:t xml:space="preserve">أن هذا البُعد يكتسب قيمة إستراتيجية في القطاع العقاري لأنه يمكّن الشركات من رصد الأنماط الخفية في سلوك السوق، وتحديد المناطق الجغرافية ذات الإمكانات التنموية، وقراءة العلاقات المتشابكة بين العوامل الاقتصادية والاجتماعية والعقارية، بما يفتح أمام صنّاع القرار آفاقاً معرفية لم تكن متاحة في ظل الاعتماد على البيانات المحدودة والمعالجات التقليدية. ويُتيح هذا البُعد كذلك تجاوز إشكالية عدم اكتمال المعلومات التي تعاني منها الأسواق العقارية، عبر توظيف تقنيات التنقيب في البيانات لاستنتاج المعلومات المفقودة والتحقق من اتساق البيانات المتاحة. ومن الناحية العملية، يُوفّر تحليل البيانات الضخمة لشركات التطوير العقاري السعودية فرصة </w:t>
      </w:r>
      <w:r w:rsidRPr="00650C72">
        <w:rPr>
          <w:rFonts w:ascii="Simplified Arabic" w:eastAsia="Times New Roman" w:hAnsi="Simplified Arabic" w:cs="Simplified Arabic"/>
          <w:color w:val="000000" w:themeColor="text1"/>
          <w:kern w:val="0"/>
          <w:sz w:val="28"/>
          <w:szCs w:val="28"/>
          <w:rtl/>
          <w14:ligatures w14:val="none"/>
        </w:rPr>
        <w:lastRenderedPageBreak/>
        <w:t>لبناء رؤية متكاملة عن السوق العقاري المحلي، تُسهم في توجيه قرارات التطوير والاستثمار نحو المناطق والقطاعات ذات الجاذبية الأعلى، وتُدعم عمليات التخطيط طويل المدى بمعلومات ذات موثوقية عالية</w:t>
      </w:r>
      <w:r w:rsidRPr="00650C72">
        <w:rPr>
          <w:rFonts w:ascii="Simplified Arabic" w:eastAsia="Times New Roman" w:hAnsi="Simplified Arabic" w:cs="Simplified Arabic"/>
          <w:color w:val="000000" w:themeColor="text1"/>
          <w:kern w:val="0"/>
          <w:sz w:val="28"/>
          <w:szCs w:val="28"/>
          <w14:ligatures w14:val="none"/>
        </w:rPr>
        <w:t>.</w:t>
      </w:r>
    </w:p>
    <w:p w14:paraId="7F272848"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البُعد الرابع: أنظمة دعم القرار الذكية</w:t>
      </w:r>
    </w:p>
    <w:p w14:paraId="1C415BCD"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تُمثّل أنظمة دعم القرار الذكية البُعد التكاملي الذي يُحوّل مخرجات الأبعاد الثلاثة السابقة إلى قرارات قابلة للتنفيذ داخل المنظمة، إذ تعمل هذه الأنظمة على تجميع المعلومات وترتيبها وعرضها بصورة تُيسّر على صانع القرار المقارنة بين البدائل واختيار الأنسب منها. ويُشير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إلى أن هذه الأنظمة لا تكتفي بتقديم المعلومات الخام، بل تُقدّم توصيات محددة مصحوبة بتقييم للمخاطر المرتبطة بكل بديل، وسيناريوهات مستقبلية بديلة، ومؤشرات أداء متوقعة، مما يُحوّل عملية اتخاذ القرار من نشاط قائم على الاجتهاد الفردي إلى ممارسة مؤسسية مدعومة بالمعرفة</w:t>
      </w:r>
      <w:r w:rsidRPr="00650C72">
        <w:rPr>
          <w:rFonts w:ascii="Simplified Arabic" w:eastAsia="Times New Roman" w:hAnsi="Simplified Arabic" w:cs="Simplified Arabic"/>
          <w:color w:val="000000" w:themeColor="text1"/>
          <w:kern w:val="0"/>
          <w:sz w:val="28"/>
          <w:szCs w:val="28"/>
          <w14:ligatures w14:val="none"/>
        </w:rPr>
        <w:t>.</w:t>
      </w:r>
    </w:p>
    <w:p w14:paraId="126B94E0"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وتُبرز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أن أنظمة دعم القرار الذكية في شركات العقارات تُسهم في هيكلة عملية صنع القرار وتوثيقها، مما يُعزّز قابلية التتبع والمساءلة، ويُسهّل مراجعة القرارات السابقة والتعلم منها. ويكتسب هذا البُعد قيمة إضافية في السياق المؤسسي لكونه يوفّر منصة موحّدة للتعاون بين مختلف المستويات الإدارية، إذ يمكن للمديرين التنفيذيين ومديري الاستثمار ومحللي التقييم العمل على قاعدة معلوماتية مشتركة، مما يُعزّز الاتساق بين القرارات على المستويات المختلفة ويُقلّل من الفجوات الاتصالية داخل المنظمة. كما يُتيح هذا البُعد إمكانية تخصيص القرارات وفق سياقات محددة، بحيث تُعالج كل صفقة عقارية بمراعاة خصائصها الفريدة دون الإخلال بالإطار العام لسياسة الشركة الاستثمارية</w:t>
      </w:r>
      <w:r w:rsidRPr="00650C72">
        <w:rPr>
          <w:rFonts w:ascii="Simplified Arabic" w:eastAsia="Times New Roman" w:hAnsi="Simplified Arabic" w:cs="Simplified Arabic"/>
          <w:color w:val="000000" w:themeColor="text1"/>
          <w:kern w:val="0"/>
          <w:sz w:val="28"/>
          <w:szCs w:val="28"/>
          <w14:ligatures w14:val="none"/>
        </w:rPr>
        <w:t>.</w:t>
      </w:r>
    </w:p>
    <w:p w14:paraId="443B2134" w14:textId="6F1459D1"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796441"/>
      <w:r w:rsidRPr="00650C72">
        <w:rPr>
          <w:rFonts w:ascii="Simplified Arabic" w:eastAsia="Times New Roman" w:hAnsi="Simplified Arabic" w:cs="Simplified Arabic" w:hint="cs"/>
          <w:b/>
          <w:bCs/>
          <w:color w:val="000000" w:themeColor="text1"/>
          <w:kern w:val="0"/>
          <w:sz w:val="32"/>
          <w:szCs w:val="32"/>
          <w:rtl/>
          <w14:ligatures w14:val="none"/>
        </w:rPr>
        <w:t>6.1.2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لتوظيف أدوات الذكاء الاصطناعي في التقييم العقاري</w:t>
      </w:r>
      <w:bookmarkEnd w:id="43"/>
    </w:p>
    <w:p w14:paraId="2B759AD6"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يستند توظيف أدوات الذكاء الاصطناعي في التقييم العقاري إلى مداخل نظرية متعددة تُشكّل معاً إطاراً تفسيرياً متكاملاً لفهم آليات عمل هذه الأدوات وأثرها في المنظمة. ويوضّح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 </w:t>
      </w:r>
      <w:r w:rsidRPr="00650C72">
        <w:rPr>
          <w:rFonts w:ascii="Simplified Arabic" w:eastAsia="Times New Roman" w:hAnsi="Simplified Arabic" w:cs="Simplified Arabic"/>
          <w:color w:val="000000" w:themeColor="text1"/>
          <w:kern w:val="0"/>
          <w:sz w:val="28"/>
          <w:szCs w:val="28"/>
          <w:rtl/>
          <w14:ligatures w14:val="none"/>
        </w:rPr>
        <w:t>أن مدخل الاقتصاد السلوكي يُقدّم أساساً نظرياً مهماً لفهم كيفية إسهام هذه الأدوات في تقليل التحيّزات المعرفية التي تعتري القرارات الاستثمارية، إذ تعمل الأنظمة الذكية بوصفها آلية تصحيحية للانحيازات الإدراكية المعروفة كانحياز التمثيل وانحياز التثبيت والانحياز نحو المألوف، مما يُنتج قرارات أكثر عقلانية</w:t>
      </w:r>
      <w:r w:rsidRPr="00650C72">
        <w:rPr>
          <w:rFonts w:ascii="Simplified Arabic" w:eastAsia="Times New Roman" w:hAnsi="Simplified Arabic" w:cs="Simplified Arabic"/>
          <w:color w:val="000000" w:themeColor="text1"/>
          <w:kern w:val="0"/>
          <w:sz w:val="28"/>
          <w:szCs w:val="28"/>
          <w14:ligatures w14:val="none"/>
        </w:rPr>
        <w:t>.</w:t>
      </w:r>
    </w:p>
    <w:p w14:paraId="59C1E081"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ويُقدّم مدخل نظرية المعالجة المعلوماتية للمنظمة بُعداً تفسيرياً آخر، حيث يُشير هوانج ويو</w:t>
      </w:r>
      <w:r w:rsidRPr="00650C72">
        <w:rPr>
          <w:rFonts w:ascii="Simplified Arabic" w:eastAsia="Times New Roman" w:hAnsi="Simplified Arabic" w:cs="Simplified Arabic"/>
          <w:color w:val="000000" w:themeColor="text1"/>
          <w:kern w:val="0"/>
          <w:sz w:val="28"/>
          <w:szCs w:val="28"/>
          <w14:ligatures w14:val="none"/>
        </w:rPr>
        <w:t xml:space="preserve"> (Huang &amp; You, 2023) </w:t>
      </w:r>
      <w:r w:rsidRPr="00650C72">
        <w:rPr>
          <w:rFonts w:ascii="Simplified Arabic" w:eastAsia="Times New Roman" w:hAnsi="Simplified Arabic" w:cs="Simplified Arabic"/>
          <w:color w:val="000000" w:themeColor="text1"/>
          <w:kern w:val="0"/>
          <w:sz w:val="28"/>
          <w:szCs w:val="28"/>
          <w:rtl/>
          <w14:ligatures w14:val="none"/>
        </w:rPr>
        <w:t>إلى أن أدوات الذكاء الاصطناعي ترفع من قدرة المنظمة على معالجة المعلومات وتوسّع طاقتها المعرفية، بما يمكّنها من التعامل مع بيئة أعمال متعددة الأبعاد ومتسارعة التغير. ويُضاف إلى ذلك مدخل النظرة القائمة على الموارد، الذي يُبرزه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في تحليله لدور هذه الأدوات بوصفها مورداً معرفياً نادراً وقابلاً للتقليد بصعوبة، يُسهم في بناء ميزة تنافسية مستدامة للشركات العقارية</w:t>
      </w:r>
      <w:r w:rsidRPr="00650C72">
        <w:rPr>
          <w:rFonts w:ascii="Simplified Arabic" w:eastAsia="Times New Roman" w:hAnsi="Simplified Arabic" w:cs="Simplified Arabic"/>
          <w:color w:val="000000" w:themeColor="text1"/>
          <w:kern w:val="0"/>
          <w:sz w:val="28"/>
          <w:szCs w:val="28"/>
          <w14:ligatures w14:val="none"/>
        </w:rPr>
        <w:t>.</w:t>
      </w:r>
    </w:p>
    <w:p w14:paraId="7DCE89C1" w14:textId="15C8F24D"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4796442"/>
      <w:r w:rsidRPr="00650C72">
        <w:rPr>
          <w:rFonts w:ascii="Simplified Arabic" w:eastAsia="Times New Roman" w:hAnsi="Simplified Arabic" w:cs="Simplified Arabic" w:hint="cs"/>
          <w:b/>
          <w:bCs/>
          <w:color w:val="000000" w:themeColor="text1"/>
          <w:kern w:val="0"/>
          <w:sz w:val="32"/>
          <w:szCs w:val="32"/>
          <w:rtl/>
          <w14:ligatures w14:val="none"/>
        </w:rPr>
        <w:t>7.1.2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العوامل المؤثرة في نجاح توظيف أدوات الذكاء الاصطناعي في التقييم العقاري</w:t>
      </w:r>
      <w:bookmarkEnd w:id="44"/>
    </w:p>
    <w:p w14:paraId="7787A99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يتوقف نجاح توظيف أدوات الذكاء الاصطناعي في التقييم العقاري على منظومة من العوامل المتشابكة التي ينبغي التعامل معها بمنهجية متكاملة. وتُبرز طوالبة وعبابنة (2025) أن جاهزية البنية التحتية التكنولوجية للمنظمة تمثّل شرطاً أساسياً لنجاح هذا التوظيف، إذ يتطلب تشغيل هذه الأدوات بنية معلوماتية قوية وقواعد بيانات نظيفة وموارد حاسوبية كافية. ويُضيف بوبكر وقرفي (2025) أن جودة البيانات المدخلة تُشكّل عاملاً محورياً في جودة المخرجات، بحيث يستدعي الأمر الاستثمار في عمليات جمع البيانات وتنظيفها وتوثيقها</w:t>
      </w:r>
      <w:r w:rsidRPr="00650C72">
        <w:rPr>
          <w:rFonts w:ascii="Simplified Arabic" w:eastAsia="Times New Roman" w:hAnsi="Simplified Arabic" w:cs="Simplified Arabic"/>
          <w:color w:val="000000" w:themeColor="text1"/>
          <w:kern w:val="0"/>
          <w:sz w:val="28"/>
          <w:szCs w:val="28"/>
          <w14:ligatures w14:val="none"/>
        </w:rPr>
        <w:t>.</w:t>
      </w:r>
    </w:p>
    <w:p w14:paraId="2A822F6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كما يُبرز المهباش والعزكي (2024) أن الثقافة التنظيمية الداعمة للابتكار وتقبّل التغيير تمثّل عاملاً حاسماً، إذ لا يمكن للأدوات التقنية أن تُنتج أثرها المرجو في بيئات تنظيمية تقاوم التغيير أو تفتقر إلى الوعي التقني. وتُشير حمزة (2026) إلى أن مستوى المهارات الرقمية للكوادر البشرية يُشكّل عاملاً إضافياً، بحيث يستلزم توظيف هذه الأدوات برامج تدريبية مستمرة لبناء قدرات المستخدمين. ويُلاحظ الباحث أن هذه العوامل تتفاعل مع بعضها البعض، فلا يكفي توفّر أحدها دون الآخر، وأن نجاح التوظيف يستوجب رؤية شاملة تتعامل مع البُعد التكنولوجي والبُعد التنظيمي والبُعد البشري في تكامل</w:t>
      </w:r>
      <w:r w:rsidRPr="00650C72">
        <w:rPr>
          <w:rFonts w:ascii="Simplified Arabic" w:eastAsia="Times New Roman" w:hAnsi="Simplified Arabic" w:cs="Simplified Arabic"/>
          <w:color w:val="000000" w:themeColor="text1"/>
          <w:kern w:val="0"/>
          <w:sz w:val="28"/>
          <w:szCs w:val="28"/>
          <w14:ligatures w14:val="none"/>
        </w:rPr>
        <w:t>.</w:t>
      </w:r>
    </w:p>
    <w:p w14:paraId="5F61F7CE" w14:textId="5A2EB969"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796443"/>
      <w:r w:rsidRPr="00650C72">
        <w:rPr>
          <w:rFonts w:ascii="Simplified Arabic" w:eastAsia="Times New Roman" w:hAnsi="Simplified Arabic" w:cs="Simplified Arabic" w:hint="cs"/>
          <w:b/>
          <w:bCs/>
          <w:color w:val="000000" w:themeColor="text1"/>
          <w:kern w:val="0"/>
          <w:sz w:val="32"/>
          <w:szCs w:val="32"/>
          <w:rtl/>
          <w14:ligatures w14:val="none"/>
        </w:rPr>
        <w:t>8.1.2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تحديات توظيف أدوات الذكاء الاصطناعي في التقييم العقاري</w:t>
      </w:r>
      <w:bookmarkEnd w:id="45"/>
    </w:p>
    <w:p w14:paraId="4C6C952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على الرغم من الإمكانات الواسعة التي تتيحها أدوات الذكاء الاصطناعي في التقييم العقاري، إلا أن توظيفها يواجه جملة من التحديات التي ينبغي على شركات التطوير العقاري إدراكها والتعامل معها. ويُشير أونيناهازي وأنتوي</w:t>
      </w:r>
      <w:r w:rsidRPr="00650C72">
        <w:rPr>
          <w:rFonts w:ascii="Simplified Arabic" w:eastAsia="Times New Roman" w:hAnsi="Simplified Arabic" w:cs="Simplified Arabic"/>
          <w:color w:val="000000" w:themeColor="text1"/>
          <w:kern w:val="0"/>
          <w:sz w:val="28"/>
          <w:szCs w:val="28"/>
          <w14:ligatures w14:val="none"/>
        </w:rPr>
        <w:t xml:space="preserve"> (Onyenahazi &amp; Antwi, 2024) </w:t>
      </w:r>
      <w:r w:rsidRPr="00650C72">
        <w:rPr>
          <w:rFonts w:ascii="Simplified Arabic" w:eastAsia="Times New Roman" w:hAnsi="Simplified Arabic" w:cs="Simplified Arabic"/>
          <w:color w:val="000000" w:themeColor="text1"/>
          <w:kern w:val="0"/>
          <w:sz w:val="28"/>
          <w:szCs w:val="28"/>
          <w:rtl/>
          <w14:ligatures w14:val="none"/>
        </w:rPr>
        <w:t xml:space="preserve">إلى أن التحديات تتوزّع بين تحديات تقنية تتصل بجودة البيانات وموثوقية الخوارزميات، وتحديات تنظيمية تتصل بالإطار القانوني والرقابي المحيط باستخدام </w:t>
      </w:r>
      <w:r w:rsidRPr="00650C72">
        <w:rPr>
          <w:rFonts w:ascii="Simplified Arabic" w:eastAsia="Times New Roman" w:hAnsi="Simplified Arabic" w:cs="Simplified Arabic"/>
          <w:color w:val="000000" w:themeColor="text1"/>
          <w:kern w:val="0"/>
          <w:sz w:val="28"/>
          <w:szCs w:val="28"/>
          <w:rtl/>
          <w14:ligatures w14:val="none"/>
        </w:rPr>
        <w:lastRenderedPageBreak/>
        <w:t>هذه الأدوات، وتحديات أخلاقية تتصل بالشفافية والمساءلة عن القرارات المستندة إلى الأنظمة الذكية، وتحديات بشرية تتصل بمقاومة التغيير والحاجة إلى بناء مهارات جديدة</w:t>
      </w:r>
      <w:r w:rsidRPr="00650C72">
        <w:rPr>
          <w:rFonts w:ascii="Simplified Arabic" w:eastAsia="Times New Roman" w:hAnsi="Simplified Arabic" w:cs="Simplified Arabic"/>
          <w:color w:val="000000" w:themeColor="text1"/>
          <w:kern w:val="0"/>
          <w:sz w:val="28"/>
          <w:szCs w:val="28"/>
          <w14:ligatures w14:val="none"/>
        </w:rPr>
        <w:t>.</w:t>
      </w:r>
    </w:p>
    <w:p w14:paraId="7CA36BB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ويُبرز الشراري (2021) تحدياً إضافياً يتعلق بالتوازن بين الحكم البشري والمخرجات الآلية، إذ ينبغي ألا يؤدي الاعتماد على الأدوات الذكية إلى تجاهل الخبرة البشرية المتراكمة، بل ينبغي أن يتحقق تكامل بين الرؤيتين. ويرى الباحث أن التعامل مع هذه التحديات يستلزم من الشركات العقارية السعودية تبنّي نهج تدريجي في تبنّي هذه الأدوات، يبدأ بمشروعات تجريبية محدودة النطاق، ويتوسّع تدريجياً مع تراكم الخبرة وبناء الثقة داخل المنظمة</w:t>
      </w:r>
      <w:r w:rsidRPr="00650C72">
        <w:rPr>
          <w:rFonts w:ascii="Simplified Arabic" w:eastAsia="Times New Roman" w:hAnsi="Simplified Arabic" w:cs="Simplified Arabic"/>
          <w:color w:val="000000" w:themeColor="text1"/>
          <w:kern w:val="0"/>
          <w:sz w:val="28"/>
          <w:szCs w:val="28"/>
          <w14:ligatures w14:val="none"/>
        </w:rPr>
        <w:t>.</w:t>
      </w:r>
    </w:p>
    <w:p w14:paraId="4481B09E" w14:textId="3A2CFC65" w:rsidR="00197384" w:rsidRPr="00650C72" w:rsidRDefault="0088241C" w:rsidP="0088241C">
      <w:pPr>
        <w:jc w:val="center"/>
        <w:outlineLvl w:val="1"/>
        <w:rPr>
          <w:rFonts w:ascii="Simplified Arabic" w:eastAsia="Times New Roman" w:hAnsi="Simplified Arabic" w:cs="Simplified Arabic"/>
          <w:b/>
          <w:bCs/>
          <w:color w:val="000000" w:themeColor="text1"/>
          <w:kern w:val="0"/>
          <w:sz w:val="36"/>
          <w:szCs w:val="36"/>
          <w:rtl/>
          <w:lang w:bidi="ar-EG"/>
          <w14:ligatures w14:val="none"/>
        </w:rPr>
      </w:pPr>
      <w:r w:rsidRPr="00650C72">
        <w:rPr>
          <w:rFonts w:ascii="Simplified Arabic" w:eastAsia="Times New Roman" w:hAnsi="Simplified Arabic" w:cs="Simplified Arabic"/>
          <w:b/>
          <w:bCs/>
          <w:color w:val="000000" w:themeColor="text1"/>
          <w:kern w:val="0"/>
          <w:sz w:val="36"/>
          <w:szCs w:val="36"/>
          <w14:ligatures w14:val="none"/>
        </w:rPr>
        <w:br w:type="page"/>
      </w:r>
      <w:bookmarkStart w:id="46" w:name="_Toc234796444"/>
      <w:r w:rsidR="00197384" w:rsidRPr="00650C72">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القرار الاستثماري</w:t>
      </w:r>
      <w:bookmarkEnd w:id="46"/>
    </w:p>
    <w:p w14:paraId="3E6167E1" w14:textId="4D9E84D2"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796445"/>
      <w:r w:rsidRPr="00650C72">
        <w:rPr>
          <w:rFonts w:ascii="Simplified Arabic" w:eastAsia="Times New Roman" w:hAnsi="Simplified Arabic" w:cs="Simplified Arabic" w:hint="cs"/>
          <w:b/>
          <w:bCs/>
          <w:color w:val="000000" w:themeColor="text1"/>
          <w:kern w:val="0"/>
          <w:sz w:val="32"/>
          <w:szCs w:val="32"/>
          <w:rtl/>
          <w14:ligatures w14:val="none"/>
        </w:rPr>
        <w:t xml:space="preserve">1.2.2 </w:t>
      </w:r>
      <w:r w:rsidR="00197384" w:rsidRPr="00650C72">
        <w:rPr>
          <w:rFonts w:ascii="Simplified Arabic" w:eastAsia="Times New Roman" w:hAnsi="Simplified Arabic" w:cs="Simplified Arabic"/>
          <w:b/>
          <w:bCs/>
          <w:color w:val="000000" w:themeColor="text1"/>
          <w:kern w:val="0"/>
          <w:sz w:val="32"/>
          <w:szCs w:val="32"/>
          <w:rtl/>
          <w14:ligatures w14:val="none"/>
        </w:rPr>
        <w:t>تمهيد</w:t>
      </w:r>
      <w:bookmarkEnd w:id="47"/>
    </w:p>
    <w:p w14:paraId="39DAEB5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تُعدّ جودة القرار الاستثماري من أكثر المفاهيم مركزيةً في حقل الإدارة المالية والاستثمارية، إذ تعكس المخرج النهائي لمنظومة معقدة من العمليات المعرفية والتحليلية التي تسبق التزام المنظمة برأس المال في أصول أو مشروعات محددة. ويكتسب هذا المفهوم أهمية مضاعفة في القطاع العقاري، لكون القرارات الاستثمارية العقارية تتّسم بضخامة رؤوس الأموال الموظّفة فيها، وطول أفقها الزمني، ومحدودية سيولتها، وتأثّرها بعوامل اقتصادية وديموغرافية وتنظيمية متشابكة، مما يجعل جودة هذه القرارات محدداً رئيسياً لبقاء الشركات العقارية ونموّها</w:t>
      </w:r>
      <w:r w:rsidRPr="00650C72">
        <w:rPr>
          <w:rFonts w:ascii="Simplified Arabic" w:eastAsia="Times New Roman" w:hAnsi="Simplified Arabic" w:cs="Simplified Arabic"/>
          <w:color w:val="000000" w:themeColor="text1"/>
          <w:kern w:val="0"/>
          <w:sz w:val="28"/>
          <w:szCs w:val="28"/>
          <w14:ligatures w14:val="none"/>
        </w:rPr>
        <w:t>.</w:t>
      </w:r>
    </w:p>
    <w:p w14:paraId="1E83692F"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عبدالرحمن وآخرون (2024) إلى أن الاهتمام بجودة القرار الاستثماري تنامى بصورة ملحوظة في العقدين الأخيرين، بفعل تعقّد بيئة الاستثمار وتنامي المخاطر واتساع نطاق الخيارات الاستثمارية المتاحة، مما دفع الباحثين والممارسين إلى تطوير أطر تحليلية تُتيح تقييم جودة القرار الاستثماري بمعايير موضوعية بدل الاكتفاء بالحكم على نتائجه المالية بعد وقوعها. وتنطلق الدراسة الحالية من هذا التوجه، مستعرضةً مفهوم جودة القرار الاستثماري وأهميته وأهدافه ومحدداته والمداخل النظرية المفسّرة له، مع التركيز على السياق العقاري السعودي بوصفه بيئة تطبيقية غنية بالتحديات والفرص</w:t>
      </w:r>
      <w:r w:rsidRPr="00650C72">
        <w:rPr>
          <w:rFonts w:ascii="Simplified Arabic" w:eastAsia="Times New Roman" w:hAnsi="Simplified Arabic" w:cs="Simplified Arabic"/>
          <w:color w:val="000000" w:themeColor="text1"/>
          <w:kern w:val="0"/>
          <w:sz w:val="28"/>
          <w:szCs w:val="28"/>
          <w14:ligatures w14:val="none"/>
        </w:rPr>
        <w:t>.</w:t>
      </w:r>
    </w:p>
    <w:p w14:paraId="3266FE3A" w14:textId="564015B5"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4796446"/>
      <w:r w:rsidRPr="00650C72">
        <w:rPr>
          <w:rFonts w:ascii="Simplified Arabic" w:eastAsia="Times New Roman" w:hAnsi="Simplified Arabic" w:cs="Simplified Arabic" w:hint="cs"/>
          <w:b/>
          <w:bCs/>
          <w:color w:val="000000" w:themeColor="text1"/>
          <w:kern w:val="0"/>
          <w:sz w:val="32"/>
          <w:szCs w:val="32"/>
          <w:rtl/>
          <w14:ligatures w14:val="none"/>
        </w:rPr>
        <w:t>2.2.2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مفهوم جودة القرار الاستثماري</w:t>
      </w:r>
      <w:bookmarkEnd w:id="48"/>
    </w:p>
    <w:p w14:paraId="3433BBD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يتّسم مفهوم جودة القرار الاستثماري بأنه مفهوم متعدد الأبعاد يجمع بين خصائص العملية التي أُنتج بها القرار وخصائص القرار نفسه بوصفه مخرجاً معرفياً. ويعرّف عبدالعزيز وآخرون (2025) جودة القرار الاستثماري بأنها الدرجة التي يحقق بها القرار توازناً بين متطلبات العائد المتوقع ومستوى المخاطر المقبولة، بحيث يستند القرار إلى معلومات كافية وتحليل موضوعي، ويلتزم بالإطار الرقابي والحوكمي للمنظمة، ويعكس اتساقاً بين الأهداف الإستراتيجية للشركة ومسار توظيف رأس المال</w:t>
      </w:r>
      <w:r w:rsidRPr="00650C72">
        <w:rPr>
          <w:rFonts w:ascii="Simplified Arabic" w:eastAsia="Times New Roman" w:hAnsi="Simplified Arabic" w:cs="Simplified Arabic"/>
          <w:color w:val="000000" w:themeColor="text1"/>
          <w:kern w:val="0"/>
          <w:sz w:val="28"/>
          <w:szCs w:val="28"/>
          <w14:ligatures w14:val="none"/>
        </w:rPr>
        <w:t>.</w:t>
      </w:r>
    </w:p>
    <w:p w14:paraId="3FBA90A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ويُقدّم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 </w:t>
      </w:r>
      <w:r w:rsidRPr="00650C72">
        <w:rPr>
          <w:rFonts w:ascii="Simplified Arabic" w:eastAsia="Times New Roman" w:hAnsi="Simplified Arabic" w:cs="Simplified Arabic"/>
          <w:color w:val="000000" w:themeColor="text1"/>
          <w:kern w:val="0"/>
          <w:sz w:val="28"/>
          <w:szCs w:val="28"/>
          <w:rtl/>
          <w14:ligatures w14:val="none"/>
        </w:rPr>
        <w:t xml:space="preserve">تعريفاً يميل إلى الجانب العملياتي، حيث يعتبران جودة القرار الاستثماري صفة مركّبة تعكس مستوى الدقة في تقدير القيمة والعائد، ومستوى الشمولية في مراعاة البدائل، ومستوى الموضوعية في المفاضلة بينها، ومستوى الكفاءة في استخدام الوقت والموارد خلال عملية </w:t>
      </w:r>
      <w:r w:rsidRPr="00650C72">
        <w:rPr>
          <w:rFonts w:ascii="Simplified Arabic" w:eastAsia="Times New Roman" w:hAnsi="Simplified Arabic" w:cs="Simplified Arabic"/>
          <w:color w:val="000000" w:themeColor="text1"/>
          <w:kern w:val="0"/>
          <w:sz w:val="28"/>
          <w:szCs w:val="28"/>
          <w:rtl/>
          <w14:ligatures w14:val="none"/>
        </w:rPr>
        <w:lastRenderedPageBreak/>
        <w:t>اتخاذ القرار. ويتّضح في هذا التعريف انحياز واضح إلى المدرسة المعيارية التي تنظر إلى جودة القرار بوصفها انعكاساً لجودة العملية التي أنتجته، بصرف النظر عن النتيجة الفعلية التي أفضى إليها</w:t>
      </w:r>
      <w:r w:rsidRPr="00650C72">
        <w:rPr>
          <w:rFonts w:ascii="Simplified Arabic" w:eastAsia="Times New Roman" w:hAnsi="Simplified Arabic" w:cs="Simplified Arabic"/>
          <w:color w:val="000000" w:themeColor="text1"/>
          <w:kern w:val="0"/>
          <w:sz w:val="28"/>
          <w:szCs w:val="28"/>
          <w14:ligatures w14:val="none"/>
        </w:rPr>
        <w:t>.</w:t>
      </w:r>
    </w:p>
    <w:p w14:paraId="734C5D89"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وفي المقابل، يتبنّى الخلايلة والصمادي (2021) تعريفاً أوسع للجودة يمزج بين خصائص العملية وخصائص المخرج، إذ يعتبران جودة القرار مفهوماً يشمل موضوعية القرار وشموليته وسرعته ومناسبته للسياق ومستوى إسهامه في تحقيق أهداف المنظمة، وقدرته على مواجهة عدم اليقين، وتوافقه مع الاعتبارات القانونية والأخلاقية. ويُشير هذا التعريف إلى ما يمكن تسميته بالنظرة التكاملية التي تربط جودة القرار بمنظومة القيم والأهداف التي تعمل في إطارها المنظمة</w:t>
      </w:r>
      <w:r w:rsidRPr="00650C72">
        <w:rPr>
          <w:rFonts w:ascii="Simplified Arabic" w:eastAsia="Times New Roman" w:hAnsi="Simplified Arabic" w:cs="Simplified Arabic"/>
          <w:color w:val="000000" w:themeColor="text1"/>
          <w:kern w:val="0"/>
          <w:sz w:val="28"/>
          <w:szCs w:val="28"/>
          <w14:ligatures w14:val="none"/>
        </w:rPr>
        <w:t>.</w:t>
      </w:r>
    </w:p>
    <w:p w14:paraId="53AD4F2C"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ويقدّم آل عزام وابن ظفرة (2023) تعريفاً يُبرز البُعد الظرفي في جودة القرار، حيث يعتبران أن جودة القرار الاستثماري تتحدد بمدى ملاءمته للظروف التي أُتّخذ فيها، ومدى استجابته لمتطلبات المرحلة، ومستوى مرونته في التكيّف مع المتغيرات، ومدى قدرته على الصمود في مواجهة الاختبارات الميدانية. ويتسق هذا التعريف مع المدرسة الظرفية في نظرية القرار التي ترى أن الحكم على جودة القرار لا يمكن أن يكون مطلقاً بل ينبغي أن يكون نسبياً مرتبطاً بالسياق</w:t>
      </w:r>
      <w:r w:rsidRPr="00650C72">
        <w:rPr>
          <w:rFonts w:ascii="Simplified Arabic" w:eastAsia="Times New Roman" w:hAnsi="Simplified Arabic" w:cs="Simplified Arabic"/>
          <w:color w:val="000000" w:themeColor="text1"/>
          <w:kern w:val="0"/>
          <w:sz w:val="28"/>
          <w:szCs w:val="28"/>
          <w14:ligatures w14:val="none"/>
        </w:rPr>
        <w:t>.</w:t>
      </w:r>
    </w:p>
    <w:p w14:paraId="3AC3354F"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ويطرح مقلد (2025) تعريفاً يميل إلى الجانب السلوكي-المعرفي، حيث يعرّف جودة القرار الاستثماري بأنها الحصيلة النهائية لعملية معرفية تتفاعل فيها عناصر البيانات والمعلومات والحكم البشري ومخرجات النظم الداعمة، بحيث تنتهي بقرار يتّسم بالرشد والاتساق ومحدودية الأخطاء التقديرية. ويُبرز هذا التعريف الطابع المركّب لجودة القرار بوصفها ناتجاً لتفاعل عناصر إدراكية وتقنية ومؤسسية</w:t>
      </w:r>
      <w:r w:rsidRPr="00650C72">
        <w:rPr>
          <w:rFonts w:ascii="Simplified Arabic" w:eastAsia="Times New Roman" w:hAnsi="Simplified Arabic" w:cs="Simplified Arabic"/>
          <w:color w:val="000000" w:themeColor="text1"/>
          <w:kern w:val="0"/>
          <w:sz w:val="28"/>
          <w:szCs w:val="28"/>
          <w14:ligatures w14:val="none"/>
        </w:rPr>
        <w:t>.</w:t>
      </w:r>
    </w:p>
    <w:p w14:paraId="6DE0E7DF"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وتُقدّم زيتوني وكلاخي (2026) تعريفاً يُدرج البُعد التقني في صياغة المفهوم، إذ يعتبران أن جودة القرار الاستثماري في العصر الرقمي تتحدد بمدى الاعتماد على أدوات تحليلية متطورة توفّر معلومات دقيقة وموقوتة، ومدى القدرة على استيعاب حجم كبير من البيانات وتحويلها إلى معرفة قابلة للتوظيف، ومدى تكامل مصادر المعلومة داخل المنظمة. ويطرح خانا</w:t>
      </w:r>
      <w:r w:rsidRPr="00650C72">
        <w:rPr>
          <w:rFonts w:ascii="Simplified Arabic" w:eastAsia="Times New Roman" w:hAnsi="Simplified Arabic" w:cs="Simplified Arabic"/>
          <w:color w:val="000000" w:themeColor="text1"/>
          <w:kern w:val="0"/>
          <w:sz w:val="28"/>
          <w:szCs w:val="28"/>
          <w14:ligatures w14:val="none"/>
        </w:rPr>
        <w:t xml:space="preserve"> (Khanna, 2021) </w:t>
      </w:r>
      <w:r w:rsidRPr="00650C72">
        <w:rPr>
          <w:rFonts w:ascii="Simplified Arabic" w:eastAsia="Times New Roman" w:hAnsi="Simplified Arabic" w:cs="Simplified Arabic"/>
          <w:color w:val="000000" w:themeColor="text1"/>
          <w:kern w:val="0"/>
          <w:sz w:val="28"/>
          <w:szCs w:val="28"/>
          <w:rtl/>
          <w14:ligatures w14:val="none"/>
        </w:rPr>
        <w:t>تعريفاً مقارباً يركّز على الجانب المالي، حيث يرى أن جودة القرار الاستثماري تتحدد بمدى تحقيقه للعائد المستهدف ضمن مستوى المخاطر المحدد، ومستوى اتساقه مع سياسة توزيع الأصول للمنظمة، ومدى قدرته على تعزيز القيمة المضافة للمساهمين</w:t>
      </w:r>
      <w:r w:rsidRPr="00650C72">
        <w:rPr>
          <w:rFonts w:ascii="Simplified Arabic" w:eastAsia="Times New Roman" w:hAnsi="Simplified Arabic" w:cs="Simplified Arabic"/>
          <w:color w:val="000000" w:themeColor="text1"/>
          <w:kern w:val="0"/>
          <w:sz w:val="28"/>
          <w:szCs w:val="28"/>
          <w14:ligatures w14:val="none"/>
        </w:rPr>
        <w:t>.</w:t>
      </w:r>
    </w:p>
    <w:p w14:paraId="682C3D7C"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ويلحظ الباحث من خلال هذه التعريفات أن ثمة مدارس رئيسية تتجاذب صياغة المفهوم: مدرسة تركّز على العملية بمعزل عن النتيجة، ومدرسة تركّز على المخرجات المالية، ومدرسة تكاملية تجمع بين البُعدين، ومدرسة ظرفية ترى الجودة نسبية مرتبطة بالسياق. ويرى الباحث أن جودة القرار الاستثماري في سياق هذه الدراسة يمكن تعريفها إجرائياً بأنها الصفة المركّبة التي تُميّز القرار الاستثماري العقاري الذي يستوفي معايير الدقة والسرعة والشمولية وموضوعية القرار وتقليل المخاطر وترشيد الموارد، ويستند في بنائه إلى تحليل معرفي متكامل يوظّف الأدوات التحليلية المتاحة، ويُنتج قراراً قابلاً للتنفيذ يتّسق مع التوجه الإستراتيجي للشركة العقارية ويُسهم في تعزيز مركزها التنافسي في السوق السعودي</w:t>
      </w:r>
      <w:r w:rsidRPr="00650C72">
        <w:rPr>
          <w:rFonts w:ascii="Simplified Arabic" w:eastAsia="Times New Roman" w:hAnsi="Simplified Arabic" w:cs="Simplified Arabic"/>
          <w:color w:val="000000" w:themeColor="text1"/>
          <w:kern w:val="0"/>
          <w:sz w:val="28"/>
          <w:szCs w:val="28"/>
          <w14:ligatures w14:val="none"/>
        </w:rPr>
        <w:t>.</w:t>
      </w:r>
    </w:p>
    <w:p w14:paraId="043FB869" w14:textId="6D1FBD8E"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796447"/>
      <w:r w:rsidRPr="00650C72">
        <w:rPr>
          <w:rFonts w:ascii="Simplified Arabic" w:eastAsia="Times New Roman" w:hAnsi="Simplified Arabic" w:cs="Simplified Arabic" w:hint="cs"/>
          <w:b/>
          <w:bCs/>
          <w:color w:val="000000" w:themeColor="text1"/>
          <w:kern w:val="0"/>
          <w:sz w:val="32"/>
          <w:szCs w:val="32"/>
          <w:rtl/>
          <w14:ligatures w14:val="none"/>
        </w:rPr>
        <w:t>3.2.2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أهمية جودة القرار الاستثماري</w:t>
      </w:r>
      <w:bookmarkEnd w:id="49"/>
    </w:p>
    <w:p w14:paraId="1B92390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تنبع أهمية جودة القرار الاستثماري من كونها المحدد الجوهري لمآلات المنظمة على المدى الطويل، إذ تُشكّل القرارات الاستثمارية نقاط تحوّل مصيرية تُوظّف فيها المنظمة رؤوس أموال ضخمة في التزامات طويلة الأمد يصعب التراجع عنها بيسر. وتزداد أهمية هذه الجودة في القطاع العقاري بصفة خاصة، لكون الاستثمار العقاري يتّسم بارتفاع تكلفة الفرصة البديلة، ومحدودية السيولة، وحساسيّته للدورات الاقتصادية</w:t>
      </w:r>
      <w:r w:rsidRPr="00650C72">
        <w:rPr>
          <w:rFonts w:ascii="Simplified Arabic" w:eastAsia="Times New Roman" w:hAnsi="Simplified Arabic" w:cs="Simplified Arabic"/>
          <w:color w:val="000000" w:themeColor="text1"/>
          <w:kern w:val="0"/>
          <w:sz w:val="28"/>
          <w:szCs w:val="28"/>
          <w14:ligatures w14:val="none"/>
        </w:rPr>
        <w:t>.</w:t>
      </w:r>
    </w:p>
    <w:p w14:paraId="53A1E9A7"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 </w:t>
      </w:r>
      <w:r w:rsidRPr="00650C72">
        <w:rPr>
          <w:rFonts w:ascii="Simplified Arabic" w:eastAsia="Times New Roman" w:hAnsi="Simplified Arabic" w:cs="Simplified Arabic"/>
          <w:color w:val="000000" w:themeColor="text1"/>
          <w:kern w:val="0"/>
          <w:sz w:val="28"/>
          <w:szCs w:val="28"/>
          <w:rtl/>
          <w14:ligatures w14:val="none"/>
        </w:rPr>
        <w:t>إلى أن أهمية جودة القرار الاستثماري تتمثل في جملة اعتبارات: أولها أنها تُحدد مدى قدرة المنظمة على تحقيق أهدافها المالية والإستراتيجية، وثانيها أنها تُسهم في الحفاظ على رأس المال وحمايته من التآكل الناتج عن قرارات غير مدروسة، وثالثها أنها تعزّز ثقة المستثمرين والمساهمين وتُيسّر الوصول إلى مصادر التمويل، ورابعها أنها تُحسّن من قدرة المنظمة على إدارة المخاطر بصورة استباقية، وخامسها أنها تُسهم في بناء سمعة مؤسسية إيجابية تُيسّر الشراكات المستقبلية، وسادسها أنها تُعزّز قدرة المنظمة على الاستفادة من الفرص الاستثمارية في التوقيت المناسب</w:t>
      </w:r>
      <w:r w:rsidRPr="00650C72">
        <w:rPr>
          <w:rFonts w:ascii="Simplified Arabic" w:eastAsia="Times New Roman" w:hAnsi="Simplified Arabic" w:cs="Simplified Arabic"/>
          <w:color w:val="000000" w:themeColor="text1"/>
          <w:kern w:val="0"/>
          <w:sz w:val="28"/>
          <w:szCs w:val="28"/>
          <w14:ligatures w14:val="none"/>
        </w:rPr>
        <w:t>.</w:t>
      </w:r>
    </w:p>
    <w:p w14:paraId="058D830A"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ويرى عبدالرحمن وآخرون (2024) أن الأهمية تتجلى كذلك في البُعد الاقتصادي الكلي، إذ إن جودة القرارات الاستثمارية على مستوى الشركات تنعكس على كفاءة تخصيص الموارد في الاقتصاد ككل، وتُسهم في توجيه رأس المال نحو القطاعات والمشروعات الأكثر إنتاجية، مما يعزّز النمو الاقتصادي المستدام. وفي السياق العقاري تحديداً، تُترجم جودة القرارات الاستثمارية إلى تطوير عقاري متوازن يُلبّي احتياجات السوق دون إفراط في العرض أو ندرة تُخلّ بتوازن الأسعار</w:t>
      </w:r>
      <w:r w:rsidRPr="00650C72">
        <w:rPr>
          <w:rFonts w:ascii="Simplified Arabic" w:eastAsia="Times New Roman" w:hAnsi="Simplified Arabic" w:cs="Simplified Arabic"/>
          <w:color w:val="000000" w:themeColor="text1"/>
          <w:kern w:val="0"/>
          <w:sz w:val="28"/>
          <w:szCs w:val="28"/>
          <w14:ligatures w14:val="none"/>
        </w:rPr>
        <w:t>.</w:t>
      </w:r>
    </w:p>
    <w:p w14:paraId="20E8C22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ويُبرز أونيناهازي وأنتوي</w:t>
      </w:r>
      <w:r w:rsidRPr="00650C72">
        <w:rPr>
          <w:rFonts w:ascii="Simplified Arabic" w:eastAsia="Times New Roman" w:hAnsi="Simplified Arabic" w:cs="Simplified Arabic"/>
          <w:color w:val="000000" w:themeColor="text1"/>
          <w:kern w:val="0"/>
          <w:sz w:val="28"/>
          <w:szCs w:val="28"/>
          <w14:ligatures w14:val="none"/>
        </w:rPr>
        <w:t xml:space="preserve"> (Onyenahazi &amp; Antwi, 2024) </w:t>
      </w:r>
      <w:r w:rsidRPr="00650C72">
        <w:rPr>
          <w:rFonts w:ascii="Simplified Arabic" w:eastAsia="Times New Roman" w:hAnsi="Simplified Arabic" w:cs="Simplified Arabic"/>
          <w:color w:val="000000" w:themeColor="text1"/>
          <w:kern w:val="0"/>
          <w:sz w:val="28"/>
          <w:szCs w:val="28"/>
          <w:rtl/>
          <w14:ligatures w14:val="none"/>
        </w:rPr>
        <w:t>أن أهمية جودة القرار الاستثماري في المؤسسات المالية تتصل بضمان الاستدامة المؤسسية، إذ تُشكّل سلسلة القرارات الاستثمارية العمود الفقري لأداء المنظمة على المدى الطويل، وأي خلل جوهري في جودة هذه القرارات ينعكس تراكمياً على مركزها المالي والتنافسي. ويُضيف عبدالعزيز وآخرون (2025) بُعداً حوكمياً للأهمية، حيث يوضحون أن جودة القرار الاستثماري تُشكّل مؤشراً على فعالية آليات الحوكمة داخل المنظمة، إذ تنعكس فيها فاعلية مجلس الإدارة وكفاءة نظم الرقابة الداخلية ومستوى الشفافية في الإجراءات</w:t>
      </w:r>
      <w:r w:rsidRPr="00650C72">
        <w:rPr>
          <w:rFonts w:ascii="Simplified Arabic" w:eastAsia="Times New Roman" w:hAnsi="Simplified Arabic" w:cs="Simplified Arabic"/>
          <w:color w:val="000000" w:themeColor="text1"/>
          <w:kern w:val="0"/>
          <w:sz w:val="28"/>
          <w:szCs w:val="28"/>
          <w14:ligatures w14:val="none"/>
        </w:rPr>
        <w:t>.</w:t>
      </w:r>
    </w:p>
    <w:p w14:paraId="1C6DB38E"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محسن (2025) إلى أن أهمية جودة القرار تمتد إلى البُعد التنظيمي الداخلي، حيث تُسهم القرارات عالية الجودة في تعزيز روح المبادرة والثقة داخل المنظمة، وتخلق بيئة عمل داعمة للأداء المتميز، بينما تُنتج القرارات ضعيفة الجودة مناخاً من التردد وضعف الثقة يُعيق أداء المنظمة على المستويات كافة. ويرى ستانج</w:t>
      </w:r>
      <w:r w:rsidRPr="00650C72">
        <w:rPr>
          <w:rFonts w:ascii="Simplified Arabic" w:eastAsia="Times New Roman" w:hAnsi="Simplified Arabic" w:cs="Simplified Arabic"/>
          <w:color w:val="000000" w:themeColor="text1"/>
          <w:kern w:val="0"/>
          <w:sz w:val="28"/>
          <w:szCs w:val="28"/>
          <w14:ligatures w14:val="none"/>
        </w:rPr>
        <w:t xml:space="preserve"> (Stang, 2023) </w:t>
      </w:r>
      <w:r w:rsidRPr="00650C72">
        <w:rPr>
          <w:rFonts w:ascii="Simplified Arabic" w:eastAsia="Times New Roman" w:hAnsi="Simplified Arabic" w:cs="Simplified Arabic"/>
          <w:color w:val="000000" w:themeColor="text1"/>
          <w:kern w:val="0"/>
          <w:sz w:val="28"/>
          <w:szCs w:val="28"/>
          <w:rtl/>
          <w14:ligatures w14:val="none"/>
        </w:rPr>
        <w:t>أن الأهمية تتضاعف في القطاع العقاري بسبب حجم رأس المال المستثمر في الصفقة الواحدة، وطول الفترة اللازمة لاسترداده، وحساسيّته للعوامل المكانية والتنظيمية التي يصعب تعديلها بعد اتخاذ القرار</w:t>
      </w:r>
      <w:r w:rsidRPr="00650C72">
        <w:rPr>
          <w:rFonts w:ascii="Simplified Arabic" w:eastAsia="Times New Roman" w:hAnsi="Simplified Arabic" w:cs="Simplified Arabic"/>
          <w:color w:val="000000" w:themeColor="text1"/>
          <w:kern w:val="0"/>
          <w:sz w:val="28"/>
          <w:szCs w:val="28"/>
          <w14:ligatures w14:val="none"/>
        </w:rPr>
        <w:t>.</w:t>
      </w:r>
    </w:p>
    <w:p w14:paraId="378E107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ويلحظ الباحث أن أهمية جودة القرار الاستثماري في السياق العقاري السعودي تتجلى في ضوء التحولات الاقتصادية التي تشهدها المملكة والمشروعات العملاقة المدرجة ضمن رؤية 2030، إذ إن الشركات العقارية السعودية تواجه بيئة استثمارية غير مسبوقة في تنوّعها وحجمها، مما يجعل جودة القرارات الاستثمارية عاملاً مصيرياً في تحديد أيّ الشركات ستنجح في اقتناص الفرص وأيّها ستتخلّف عن الركب. وتُبرز البزايعه (2025) أن أهمية جودة القرار في المؤسسات الحديثة تتصل بقدرة المنظمة على التكيّف مع بيئة الأعمال المتغيرة، وأن جودة القرار تُشكّل ركيزة للتحوّل المؤسسي نحو نماذج أعمال أكثر مرونة وابتكاراً</w:t>
      </w:r>
      <w:r w:rsidRPr="00650C72">
        <w:rPr>
          <w:rFonts w:ascii="Simplified Arabic" w:eastAsia="Times New Roman" w:hAnsi="Simplified Arabic" w:cs="Simplified Arabic"/>
          <w:color w:val="000000" w:themeColor="text1"/>
          <w:kern w:val="0"/>
          <w:sz w:val="28"/>
          <w:szCs w:val="28"/>
          <w14:ligatures w14:val="none"/>
        </w:rPr>
        <w:t>.</w:t>
      </w:r>
    </w:p>
    <w:p w14:paraId="6019D8A7" w14:textId="2D96E51A"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796448"/>
      <w:r w:rsidRPr="00650C72">
        <w:rPr>
          <w:rFonts w:ascii="Simplified Arabic" w:eastAsia="Times New Roman" w:hAnsi="Simplified Arabic" w:cs="Simplified Arabic" w:hint="cs"/>
          <w:b/>
          <w:bCs/>
          <w:color w:val="000000" w:themeColor="text1"/>
          <w:kern w:val="0"/>
          <w:sz w:val="32"/>
          <w:szCs w:val="32"/>
          <w:rtl/>
          <w14:ligatures w14:val="none"/>
        </w:rPr>
        <w:t>4.2.2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أهداف الاهتمام بجودة القرار الاستثماري</w:t>
      </w:r>
      <w:bookmarkEnd w:id="50"/>
    </w:p>
    <w:p w14:paraId="5A996671"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تتّسم أهداف الاهتمام بجودة القرار الاستثماري بأنها أهداف متكاملة تعكس الطبيعة المركّبة للقرار الاستثماري وأثره متعدد الأبعاد على المنظمة. ويُحدّد الإمري وآخرون</w:t>
      </w:r>
      <w:r w:rsidRPr="00650C72">
        <w:rPr>
          <w:rFonts w:ascii="Simplified Arabic" w:eastAsia="Times New Roman" w:hAnsi="Simplified Arabic" w:cs="Simplified Arabic"/>
          <w:color w:val="000000" w:themeColor="text1"/>
          <w:kern w:val="0"/>
          <w:sz w:val="28"/>
          <w:szCs w:val="28"/>
          <w14:ligatures w14:val="none"/>
        </w:rPr>
        <w:t xml:space="preserve"> (El-Emary et al., 2020) </w:t>
      </w:r>
      <w:r w:rsidRPr="00650C72">
        <w:rPr>
          <w:rFonts w:ascii="Simplified Arabic" w:eastAsia="Times New Roman" w:hAnsi="Simplified Arabic" w:cs="Simplified Arabic"/>
          <w:color w:val="000000" w:themeColor="text1"/>
          <w:kern w:val="0"/>
          <w:sz w:val="28"/>
          <w:szCs w:val="28"/>
          <w:rtl/>
          <w14:ligatures w14:val="none"/>
        </w:rPr>
        <w:t>جملة من الأهداف تشمل: الوصول إلى قرارات قائمة على المعرفة الموضوعية بدلاً من الحدس، وتحقيق الاتساق بين القرارات الصادرة عن المستويات الإدارية المختلفة، وتقليل الفجوة بين القرارات المخطط لها والقرارات المتخذة فعلياً، وتوفير أساس عقلاني للمساءلة والمراجعة، ودعم عمليات التعلم التنظيمي من خلال توثيق مسار القرار</w:t>
      </w:r>
      <w:r w:rsidRPr="00650C72">
        <w:rPr>
          <w:rFonts w:ascii="Simplified Arabic" w:eastAsia="Times New Roman" w:hAnsi="Simplified Arabic" w:cs="Simplified Arabic"/>
          <w:color w:val="000000" w:themeColor="text1"/>
          <w:kern w:val="0"/>
          <w:sz w:val="28"/>
          <w:szCs w:val="28"/>
          <w14:ligatures w14:val="none"/>
        </w:rPr>
        <w:t>.</w:t>
      </w:r>
    </w:p>
    <w:p w14:paraId="49FBECD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ويُبرز هوانج ويو</w:t>
      </w:r>
      <w:r w:rsidRPr="00650C72">
        <w:rPr>
          <w:rFonts w:ascii="Simplified Arabic" w:eastAsia="Times New Roman" w:hAnsi="Simplified Arabic" w:cs="Simplified Arabic"/>
          <w:color w:val="000000" w:themeColor="text1"/>
          <w:kern w:val="0"/>
          <w:sz w:val="28"/>
          <w:szCs w:val="28"/>
          <w14:ligatures w14:val="none"/>
        </w:rPr>
        <w:t xml:space="preserve"> (Huang &amp; You, 2023) </w:t>
      </w:r>
      <w:r w:rsidRPr="00650C72">
        <w:rPr>
          <w:rFonts w:ascii="Simplified Arabic" w:eastAsia="Times New Roman" w:hAnsi="Simplified Arabic" w:cs="Simplified Arabic"/>
          <w:color w:val="000000" w:themeColor="text1"/>
          <w:kern w:val="0"/>
          <w:sz w:val="28"/>
          <w:szCs w:val="28"/>
          <w:rtl/>
          <w14:ligatures w14:val="none"/>
        </w:rPr>
        <w:t>أهدافاً إضافية تنبثق من طبيعة القرارات المالية، إذ يُشيران إلى أن الاهتمام بجودة القرار يهدف إلى: تحسين مستوى استيعاب المعلومات المتاحة، وتقليل الأخطاء التقديرية في تقييم البدائل، وتعزيز القدرة على التمييز بين الفرص الاستثمارية الحقيقية والفرص الظاهرية، وبناء نماذج قابلة للتحقق من دقّة القرار، وتحقيق التوازن بين متطلبات المدى القصير ومتطلبات المدى الطويل</w:t>
      </w:r>
      <w:r w:rsidRPr="00650C72">
        <w:rPr>
          <w:rFonts w:ascii="Simplified Arabic" w:eastAsia="Times New Roman" w:hAnsi="Simplified Arabic" w:cs="Simplified Arabic"/>
          <w:color w:val="000000" w:themeColor="text1"/>
          <w:kern w:val="0"/>
          <w:sz w:val="28"/>
          <w:szCs w:val="28"/>
          <w14:ligatures w14:val="none"/>
        </w:rPr>
        <w:t>.</w:t>
      </w:r>
    </w:p>
    <w:p w14:paraId="60B9F49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وتُحدّد الجعافرة وآخرون (2025) أهدافاً تتصل بالبُعد التطبيقي، منها: تطوير مهارات صنّاع القرار في التعامل مع الأدوات التحليلية المتقدمة، ورفع قدرتهم على استيعاب البيانات المعقدة، وتعزيز قدرتهم على التفكير المنظومي في التعامل مع القرارات الاستثمارية. وفي السياق ذاته، يُشير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إلى أن أهداف الاهتمام بجودة القرار الاستثماري في القطاع العقاري تشمل: تقليل زمن دورة اتخاذ القرار، وتحسين مستوى الاستجابة للفرص السوقية، وبناء منظومة تقييم موحّدة تُطبّق على مختلف الصفقات، وتعزيز قابلية المقارنة بين القرارات الاستثمارية داخل الشركة</w:t>
      </w:r>
      <w:r w:rsidRPr="00650C72">
        <w:rPr>
          <w:rFonts w:ascii="Simplified Arabic" w:eastAsia="Times New Roman" w:hAnsi="Simplified Arabic" w:cs="Simplified Arabic"/>
          <w:color w:val="000000" w:themeColor="text1"/>
          <w:kern w:val="0"/>
          <w:sz w:val="28"/>
          <w:szCs w:val="28"/>
          <w14:ligatures w14:val="none"/>
        </w:rPr>
        <w:t>.</w:t>
      </w:r>
    </w:p>
    <w:p w14:paraId="58E9CBDA"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ويستخلص الباحث أن هذه الأهداف تنتظم في ثلاثة مسارات مترابطة: مسار معرفي يهدف إلى تعزيز جودة المعرفة التي تستند إليها القرارات، ومسار عملياتي يهدف إلى تحسين كفاءة عملية اتخاذ القرار، ومسار مؤسسي يهدف إلى بناء منظومة تنظيمية داعمة لجودة القرار على المدى الطويل. وتتكامل هذه المسارات لتُحقّق الغاية الكلية من الاهتمام بجودة القرار الاستثماري، ألا وهي تعزيز قدرة المنظمة على تحقيق أهدافها الإستراتيجية في بيئة أعمال متغيّرة</w:t>
      </w:r>
      <w:r w:rsidRPr="00650C72">
        <w:rPr>
          <w:rFonts w:ascii="Simplified Arabic" w:eastAsia="Times New Roman" w:hAnsi="Simplified Arabic" w:cs="Simplified Arabic"/>
          <w:color w:val="000000" w:themeColor="text1"/>
          <w:kern w:val="0"/>
          <w:sz w:val="28"/>
          <w:szCs w:val="28"/>
          <w14:ligatures w14:val="none"/>
        </w:rPr>
        <w:t>.</w:t>
      </w:r>
    </w:p>
    <w:p w14:paraId="1C3E5977" w14:textId="5B90C264"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796449"/>
      <w:r w:rsidRPr="00650C72">
        <w:rPr>
          <w:rFonts w:ascii="Simplified Arabic" w:eastAsia="Times New Roman" w:hAnsi="Simplified Arabic" w:cs="Simplified Arabic" w:hint="cs"/>
          <w:b/>
          <w:bCs/>
          <w:color w:val="000000" w:themeColor="text1"/>
          <w:kern w:val="0"/>
          <w:sz w:val="32"/>
          <w:szCs w:val="32"/>
          <w:rtl/>
          <w14:ligatures w14:val="none"/>
        </w:rPr>
        <w:t>5.2.2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أبعاد جودة القرار الاستثماري</w:t>
      </w:r>
      <w:bookmarkEnd w:id="51"/>
    </w:p>
    <w:p w14:paraId="1EFAF9F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تناول الباحثون أبعاد جودة القرار الاستثماري من زوايا متعددة، وقد استقرّت الدراسة الحالية على تناول هذا المتغير بوصفه محوراً أحادياً يتضمن عبارات تقيس أبعاد الدقة والسرعة والشمولية وتقليل المخاطر وترشيد الموارد وموضوعية القرار، وذلك انسجاماً مع الأطر التي طرحها كل من عبدالرحمن وآخرون (2024) في تقييم واقع جودة صنع القرار الاستثماري، وعبدالعزيز وآخرون (2025) في دراسة العلاقة بين آليات الحوكمة وجودة القرار الاستثماري. وفيما يلي عرض تفصيلي لأبرز هذه الأبعاد بوصفها مكوّنات جوهرية للمفهوم</w:t>
      </w:r>
      <w:r w:rsidRPr="00650C72">
        <w:rPr>
          <w:rFonts w:ascii="Simplified Arabic" w:eastAsia="Times New Roman" w:hAnsi="Simplified Arabic" w:cs="Simplified Arabic"/>
          <w:color w:val="000000" w:themeColor="text1"/>
          <w:kern w:val="0"/>
          <w:sz w:val="28"/>
          <w:szCs w:val="28"/>
          <w14:ligatures w14:val="none"/>
        </w:rPr>
        <w:t>:</w:t>
      </w:r>
    </w:p>
    <w:p w14:paraId="1D53E9AC"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الدقة</w:t>
      </w:r>
    </w:p>
    <w:p w14:paraId="373831C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يُعبّر بُعد الدقة عن مستوى الاقتراب من الحقيقة الموضوعية في تقدير المعطيات والمآلات المرتبطة بالقرار الاستثماري. ويُشير كارانيكولاس وآخرون</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إلى أن الدقة في القرار الاستثماري العقاري تنعكس في مستوى الاقتراب بين القيم التقديرية المستخدمة في القرار والقيم السوقية الفعلية، وفي مستوى الاتساق بين توقعات العائد وما يتحقق فعلاً، وفي مستوى الموثوقية في تقدير المخاطر. وتكتسب الدقة أهمية بالغة في السياق العقاري بسبب حجم الالتزامات المالية المرتبطة بالقرار، بحيث تُترجم الأخطاء التقديرية الصغيرة إلى فروق مالية كبيرة</w:t>
      </w:r>
      <w:r w:rsidRPr="00650C72">
        <w:rPr>
          <w:rFonts w:ascii="Simplified Arabic" w:eastAsia="Times New Roman" w:hAnsi="Simplified Arabic" w:cs="Simplified Arabic"/>
          <w:color w:val="000000" w:themeColor="text1"/>
          <w:kern w:val="0"/>
          <w:sz w:val="28"/>
          <w:szCs w:val="28"/>
          <w14:ligatures w14:val="none"/>
        </w:rPr>
        <w:t>.</w:t>
      </w:r>
    </w:p>
    <w:p w14:paraId="01DA1495"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السرعة</w:t>
      </w:r>
    </w:p>
    <w:p w14:paraId="26544C9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يُشير بُعد السرعة إلى قدرة المنظمة على الانتقال من رصد الفرصة الاستثمارية إلى اتخاذ القرار وتنفيذه في نافذة زمنية مناسبة، بحيث لا تفقد المنظمة الفرصة بسبب البطء الإداري، ولا تتّخذ قراراً متسرّعاً يفتقر إلى التحليل الكافي. ويُشير المهباش والعزكي (2024) إلى أن السرعة في القرار تُشكّل ميزة تنافسية جوهرية في الأسواق الديناميكية، وأن الأدوات التقنية الحديثة أسهمت في تقليص زمن دورة القرار دون التضحية بجودته. ويُلاحظ في السياق العقاري السعودي أن نافذة الفرصة الاستثمارية قد تكون ضيّقة في ظل التنافسية المتصاعدة، مما يجعل هذا البُعد محورياً</w:t>
      </w:r>
      <w:r w:rsidRPr="00650C72">
        <w:rPr>
          <w:rFonts w:ascii="Simplified Arabic" w:eastAsia="Times New Roman" w:hAnsi="Simplified Arabic" w:cs="Simplified Arabic"/>
          <w:color w:val="000000" w:themeColor="text1"/>
          <w:kern w:val="0"/>
          <w:sz w:val="28"/>
          <w:szCs w:val="28"/>
          <w14:ligatures w14:val="none"/>
        </w:rPr>
        <w:t>.</w:t>
      </w:r>
    </w:p>
    <w:p w14:paraId="0B0AA94E"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الشمولية</w:t>
      </w:r>
    </w:p>
    <w:p w14:paraId="330DD02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يُعبّر بُعد الشمولية عن مدى استيعاب القرار لمختلف العوامل والمتغيرات ذات الصلة، والاعتبارات المؤثرة في مآلاته المستقبلية، والبدائل المتاحة، والمخاطر المحتملة، والفرص المصاحبة. ويرى بامردوف ومجلد (2025) أن الشمولية في القرار تعني تجاوز الرؤية الجزئية للقضية إلى رؤية منظومية تُحيط بأبعادها المتعددة، مما يُقلّل من احتمالات المفاجآت السلبية بعد التنفيذ. وتُتيح أدوات الذكاء الاصطناعي، وفق ما تُشير إليه محمود (2024)، توسيع نطاق الشمولية عبر تمكين صانع القرار من استيعاب حجم أكبر من المعلومات ومعالجتها في وقت أقصر</w:t>
      </w:r>
      <w:r w:rsidRPr="00650C72">
        <w:rPr>
          <w:rFonts w:ascii="Simplified Arabic" w:eastAsia="Times New Roman" w:hAnsi="Simplified Arabic" w:cs="Simplified Arabic"/>
          <w:color w:val="000000" w:themeColor="text1"/>
          <w:kern w:val="0"/>
          <w:sz w:val="28"/>
          <w:szCs w:val="28"/>
          <w14:ligatures w14:val="none"/>
        </w:rPr>
        <w:t>.</w:t>
      </w:r>
    </w:p>
    <w:p w14:paraId="33F75890"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تقليل المخاطر</w:t>
      </w:r>
    </w:p>
    <w:p w14:paraId="330D5179"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يمثّل تقليل المخاطر بُعداً جوهرياً في جودة القرار الاستثماري، لكون المخاطرة سمة ملازمة لكل قرار استثماري. ويُبرز أونيناهازي وأنتوي</w:t>
      </w:r>
      <w:r w:rsidRPr="00650C72">
        <w:rPr>
          <w:rFonts w:ascii="Simplified Arabic" w:eastAsia="Times New Roman" w:hAnsi="Simplified Arabic" w:cs="Simplified Arabic"/>
          <w:color w:val="000000" w:themeColor="text1"/>
          <w:kern w:val="0"/>
          <w:sz w:val="28"/>
          <w:szCs w:val="28"/>
          <w14:ligatures w14:val="none"/>
        </w:rPr>
        <w:t xml:space="preserve"> (Onyenahazi &amp; Antwi, 2024) </w:t>
      </w:r>
      <w:r w:rsidRPr="00650C72">
        <w:rPr>
          <w:rFonts w:ascii="Simplified Arabic" w:eastAsia="Times New Roman" w:hAnsi="Simplified Arabic" w:cs="Simplified Arabic"/>
          <w:color w:val="000000" w:themeColor="text1"/>
          <w:kern w:val="0"/>
          <w:sz w:val="28"/>
          <w:szCs w:val="28"/>
          <w:rtl/>
          <w14:ligatures w14:val="none"/>
        </w:rPr>
        <w:t xml:space="preserve">أن جودة القرار الاستثماري تتّضح في قدرته على تحديد المخاطر المصاحبة له مسبقاً، وتقديرها كمّياً، ووضع إستراتيجيات للتعامل </w:t>
      </w:r>
      <w:r w:rsidRPr="00650C72">
        <w:rPr>
          <w:rFonts w:ascii="Simplified Arabic" w:eastAsia="Times New Roman" w:hAnsi="Simplified Arabic" w:cs="Simplified Arabic"/>
          <w:color w:val="000000" w:themeColor="text1"/>
          <w:kern w:val="0"/>
          <w:sz w:val="28"/>
          <w:szCs w:val="28"/>
          <w:rtl/>
          <w14:ligatures w14:val="none"/>
        </w:rPr>
        <w:lastRenderedPageBreak/>
        <w:t>معها، بحيث لا يُختزل تقليل المخاطر في تجنّبها بل يمتد إلى إدارتها بفاعلية. ويكتسب هذا البُعد أهمية مضاعفة في القرارات العقارية بسبب طول أفقها الزمني وتعدد مصادر المخاطر التي تتعرض لها</w:t>
      </w:r>
      <w:r w:rsidRPr="00650C72">
        <w:rPr>
          <w:rFonts w:ascii="Simplified Arabic" w:eastAsia="Times New Roman" w:hAnsi="Simplified Arabic" w:cs="Simplified Arabic"/>
          <w:color w:val="000000" w:themeColor="text1"/>
          <w:kern w:val="0"/>
          <w:sz w:val="28"/>
          <w:szCs w:val="28"/>
          <w14:ligatures w14:val="none"/>
        </w:rPr>
        <w:t>.</w:t>
      </w:r>
    </w:p>
    <w:p w14:paraId="20FB5B89"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ترشيد الموارد</w:t>
      </w:r>
    </w:p>
    <w:p w14:paraId="65F362A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يُعبّر بُعد ترشيد الموارد عن مستوى الكفاءة في توظيف الموارد المالية والبشرية والزمنية خلال عملية اتخاذ القرار وتنفيذه. ويُشير مدلول والعنزي (2025) إلى أن ترشيد الموارد يعني تحقيق أعلى قدر من العائد بأقل قدر من الاستهلاك للموارد، مما يستدعي منظومة تحليلية تُحسّن من كفاءة تخصيص الموارد. ويتّضح هذا البُعد في القرار العقاري في مستوى كفاءة توزيع رأس المال بين المشروعات، ومستوى الاستفادة من الطاقات البشرية المتاحة، ومستوى الاقتصاد في التكاليف التشغيلية</w:t>
      </w:r>
      <w:r w:rsidRPr="00650C72">
        <w:rPr>
          <w:rFonts w:ascii="Simplified Arabic" w:eastAsia="Times New Roman" w:hAnsi="Simplified Arabic" w:cs="Simplified Arabic"/>
          <w:color w:val="000000" w:themeColor="text1"/>
          <w:kern w:val="0"/>
          <w:sz w:val="28"/>
          <w:szCs w:val="28"/>
          <w14:ligatures w14:val="none"/>
        </w:rPr>
        <w:t>.</w:t>
      </w:r>
    </w:p>
    <w:p w14:paraId="451D3A66" w14:textId="77777777" w:rsidR="00197384" w:rsidRPr="00650C72" w:rsidRDefault="00197384" w:rsidP="0088241C">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بُعد موضوعية القرار</w:t>
      </w:r>
    </w:p>
    <w:p w14:paraId="0D5633B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يُشير بُعد موضوعية القرار إلى مستوى تحرّر القرار من التحيّزات الشخصية والانحيازات المعرفية والاعتبارات غير المهنية. ويرى مقلد (2025) أن الموضوعية تتحقق حين يستند القرار إلى معطيات موثقة ومنطق تحليلي واضح، بحيث يمكن لأي مراجع محايد أن يصل إلى النتيجة ذاتها لو أتيحت له المعطيات نفسها. وتُسهم أدوات الذكاء الاصطناعي، وفق باشانِك وليشتشينسكي</w:t>
      </w:r>
      <w:r w:rsidRPr="00650C72">
        <w:rPr>
          <w:rFonts w:ascii="Simplified Arabic" w:eastAsia="Times New Roman" w:hAnsi="Simplified Arabic" w:cs="Simplified Arabic"/>
          <w:color w:val="000000" w:themeColor="text1"/>
          <w:kern w:val="0"/>
          <w:sz w:val="28"/>
          <w:szCs w:val="28"/>
          <w14:ligatures w14:val="none"/>
        </w:rPr>
        <w:t xml:space="preserve"> (Bachanek &amp; Leszczynski, 2025)</w:t>
      </w:r>
      <w:r w:rsidRPr="00650C72">
        <w:rPr>
          <w:rFonts w:ascii="Simplified Arabic" w:eastAsia="Times New Roman" w:hAnsi="Simplified Arabic" w:cs="Simplified Arabic"/>
          <w:color w:val="000000" w:themeColor="text1"/>
          <w:kern w:val="0"/>
          <w:sz w:val="28"/>
          <w:szCs w:val="28"/>
          <w:rtl/>
          <w14:ligatures w14:val="none"/>
        </w:rPr>
        <w:t>، في تعزيز موضوعية القرار عبر تقليل الاعتماد على الحكم الفردي واستبداله بمعالجات خوارزمية قابلة للتتبع والتحقق</w:t>
      </w:r>
      <w:r w:rsidRPr="00650C72">
        <w:rPr>
          <w:rFonts w:ascii="Simplified Arabic" w:eastAsia="Times New Roman" w:hAnsi="Simplified Arabic" w:cs="Simplified Arabic"/>
          <w:color w:val="000000" w:themeColor="text1"/>
          <w:kern w:val="0"/>
          <w:sz w:val="28"/>
          <w:szCs w:val="28"/>
          <w14:ligatures w14:val="none"/>
        </w:rPr>
        <w:t>.</w:t>
      </w:r>
    </w:p>
    <w:p w14:paraId="3F0A08EF" w14:textId="73CAF0B5"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796450"/>
      <w:r w:rsidRPr="00650C72">
        <w:rPr>
          <w:rFonts w:ascii="Simplified Arabic" w:eastAsia="Times New Roman" w:hAnsi="Simplified Arabic" w:cs="Simplified Arabic" w:hint="cs"/>
          <w:b/>
          <w:bCs/>
          <w:color w:val="000000" w:themeColor="text1"/>
          <w:kern w:val="0"/>
          <w:sz w:val="32"/>
          <w:szCs w:val="32"/>
          <w:rtl/>
          <w14:ligatures w14:val="none"/>
        </w:rPr>
        <w:t>6.2.2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لجودة القرار الاستثماري</w:t>
      </w:r>
      <w:bookmarkEnd w:id="52"/>
    </w:p>
    <w:p w14:paraId="7F05876C"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يُقدّم حقل نظرية القرار جملة من المداخل التي تُسهم في تفسير جودة القرار الاستثماري وتحديد محدداتها. ويُبرز الشراري (2021) أن مدخل الرشد المحدود يُقدّم أساساً تفسيرياً مهماً لجودة القرار، إذ يُقرّ بأن صانع القرار يعمل في ظل قيود معرفية وزمنية تُقيّد قدرته على الوصول إلى القرار الأمثل، وأن جودة القرار تتحدد بمدى قدرة المنظمة على توسيع نطاق هذا الرشد عبر توفير أدوات تحليلية داعمة. ويُتيح هذا المدخل تفسير الدور الذي تؤديه أدوات الذكاء الاصطناعي في رفع سقف الرشد المتاح لصانع القرار</w:t>
      </w:r>
      <w:r w:rsidRPr="00650C72">
        <w:rPr>
          <w:rFonts w:ascii="Simplified Arabic" w:eastAsia="Times New Roman" w:hAnsi="Simplified Arabic" w:cs="Simplified Arabic"/>
          <w:color w:val="000000" w:themeColor="text1"/>
          <w:kern w:val="0"/>
          <w:sz w:val="28"/>
          <w:szCs w:val="28"/>
          <w14:ligatures w14:val="none"/>
        </w:rPr>
        <w:t>.</w:t>
      </w:r>
    </w:p>
    <w:p w14:paraId="122928D5"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ويُبرز عبدالعزيز وآخرون (2025) مدخل نظرية الوكالة بوصفه إطاراً تفسيرياً لجودة القرار الاستثماري، حيث تُوضّح النظرية كيف يمكن أن تنشأ تعارضات مصالح بين الإدارة والمساهمين تُؤثّر في جودة القرارات، </w:t>
      </w:r>
      <w:r w:rsidRPr="00650C72">
        <w:rPr>
          <w:rFonts w:ascii="Simplified Arabic" w:eastAsia="Times New Roman" w:hAnsi="Simplified Arabic" w:cs="Simplified Arabic"/>
          <w:color w:val="000000" w:themeColor="text1"/>
          <w:kern w:val="0"/>
          <w:sz w:val="28"/>
          <w:szCs w:val="28"/>
          <w:rtl/>
          <w14:ligatures w14:val="none"/>
        </w:rPr>
        <w:lastRenderedPageBreak/>
        <w:t>وكيف يمكن لآليات الحوكمة أن تُخفّف من هذه التعارضات وترفع جودة القرارات. ويُقدّم مدخل نظرية الاحتمالات بديلاً تفسيرياً يُبرزه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w:t>
      </w:r>
      <w:r w:rsidRPr="00650C72">
        <w:rPr>
          <w:rFonts w:ascii="Simplified Arabic" w:eastAsia="Times New Roman" w:hAnsi="Simplified Arabic" w:cs="Simplified Arabic"/>
          <w:color w:val="000000" w:themeColor="text1"/>
          <w:kern w:val="0"/>
          <w:sz w:val="28"/>
          <w:szCs w:val="28"/>
          <w:rtl/>
          <w14:ligatures w14:val="none"/>
        </w:rPr>
        <w:t>، حيث يُوضّح كيف تتأثر جودة القرار بالطريقة التي يُدرك بها صانع القرار المخاطر والمكاسب، وكيف يمكن للأدوات التحليلية أن تُقلّل من الانحرافات الإدراكية</w:t>
      </w:r>
      <w:r w:rsidRPr="00650C72">
        <w:rPr>
          <w:rFonts w:ascii="Simplified Arabic" w:eastAsia="Times New Roman" w:hAnsi="Simplified Arabic" w:cs="Simplified Arabic"/>
          <w:color w:val="000000" w:themeColor="text1"/>
          <w:kern w:val="0"/>
          <w:sz w:val="28"/>
          <w:szCs w:val="28"/>
          <w14:ligatures w14:val="none"/>
        </w:rPr>
        <w:t>.</w:t>
      </w:r>
    </w:p>
    <w:p w14:paraId="50102AC0"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كما يُقدّم مدخل نظرية المعالجة المعرفية إطاراً تفسيرياً آخر، حيث يُشير مقلد (2025) إلى أن جودة القرار تتحدد بمدى كفاءة العمليات المعرفية التي يقوم بها صانع القرار خلال دورة القرار، بدءاً من استقبال المعلومات وترميزها، ومروراً بتحليلها وتوليد البدائل، وانتهاءً بتقييمها واختيار الأنسب منها. ويُتيح هذا المدخل فهم كيفية إسهام الأدوات التقنية في تعزيز جودة القرار عبر دعم كل مرحلة من مراحل المعالجة المعرفية</w:t>
      </w:r>
      <w:r w:rsidRPr="00650C72">
        <w:rPr>
          <w:rFonts w:ascii="Simplified Arabic" w:eastAsia="Times New Roman" w:hAnsi="Simplified Arabic" w:cs="Simplified Arabic"/>
          <w:color w:val="000000" w:themeColor="text1"/>
          <w:kern w:val="0"/>
          <w:sz w:val="28"/>
          <w:szCs w:val="28"/>
          <w14:ligatures w14:val="none"/>
        </w:rPr>
        <w:t>.</w:t>
      </w:r>
    </w:p>
    <w:p w14:paraId="1744EA82" w14:textId="185B43A1"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796451"/>
      <w:r w:rsidRPr="00650C72">
        <w:rPr>
          <w:rFonts w:ascii="Simplified Arabic" w:eastAsia="Times New Roman" w:hAnsi="Simplified Arabic" w:cs="Simplified Arabic" w:hint="cs"/>
          <w:b/>
          <w:bCs/>
          <w:color w:val="000000" w:themeColor="text1"/>
          <w:kern w:val="0"/>
          <w:sz w:val="32"/>
          <w:szCs w:val="32"/>
          <w:rtl/>
          <w14:ligatures w14:val="none"/>
        </w:rPr>
        <w:t>7.2.2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العوامل المؤثرة في جودة القرار الاستثماري</w:t>
      </w:r>
      <w:bookmarkEnd w:id="53"/>
    </w:p>
    <w:p w14:paraId="49E54023"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تتشكّل جودة القرار الاستثماري تحت تأثير منظومة من العوامل المتشابكة التي يمكن تصنيفها في عدة فئات. وتُبرز عبدالرحمن وآخرون (2024) العوامل التنظيمية بوصفها فئة محورية، وتشمل ثقافة المنظمة، وهيكلها التنظيمي، وطبيعة نظم المعلومات المتوفرة فيها، ومستوى فاعلية آليات الحوكمة، ومستوى تفويض الصلاحيات. ويُلاحظ أن هذه العوامل تعمل بوصفها بيئة حاضنة تُهيّئ الظروف الملائمة لإنتاج قرارات عالية الجودة أو تُعيق ذلك</w:t>
      </w:r>
      <w:r w:rsidRPr="00650C72">
        <w:rPr>
          <w:rFonts w:ascii="Simplified Arabic" w:eastAsia="Times New Roman" w:hAnsi="Simplified Arabic" w:cs="Simplified Arabic"/>
          <w:color w:val="000000" w:themeColor="text1"/>
          <w:kern w:val="0"/>
          <w:sz w:val="28"/>
          <w:szCs w:val="28"/>
          <w14:ligatures w14:val="none"/>
        </w:rPr>
        <w:t>.</w:t>
      </w:r>
    </w:p>
    <w:p w14:paraId="7ADA606B"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ويُشير خانا</w:t>
      </w:r>
      <w:r w:rsidRPr="00650C72">
        <w:rPr>
          <w:rFonts w:ascii="Simplified Arabic" w:eastAsia="Times New Roman" w:hAnsi="Simplified Arabic" w:cs="Simplified Arabic"/>
          <w:color w:val="000000" w:themeColor="text1"/>
          <w:kern w:val="0"/>
          <w:sz w:val="28"/>
          <w:szCs w:val="28"/>
          <w14:ligatures w14:val="none"/>
        </w:rPr>
        <w:t xml:space="preserve"> (Khanna, 2021) </w:t>
      </w:r>
      <w:r w:rsidRPr="00650C72">
        <w:rPr>
          <w:rFonts w:ascii="Simplified Arabic" w:eastAsia="Times New Roman" w:hAnsi="Simplified Arabic" w:cs="Simplified Arabic"/>
          <w:color w:val="000000" w:themeColor="text1"/>
          <w:kern w:val="0"/>
          <w:sz w:val="28"/>
          <w:szCs w:val="28"/>
          <w:rtl/>
          <w14:ligatures w14:val="none"/>
        </w:rPr>
        <w:t>إلى العوامل المعلوماتية بوصفها فئة أخرى مؤثرة، وتشمل حجم المعلومات المتاحة، وجودتها، وموقوتيتها، ومدى تكاملها، ومستوى إتاحتها لصانعي القرار. وتُبرز فاتن محسن (2025) العوامل البشرية بوصفها فئة ثالثة، تشمل مستوى الخبرة المتراكمة لصانع القرار، ومستوى تدريبه، ومهاراته التحليلية، وسماته الشخصية، وقدرته على التعامل مع الضغط. ويُضيف بوبكر وقرفي (2025) العوامل التقنية، والتي تشمل مستوى تبنّي المنظمة للتقنيات التحليلية المتقدمة، وكفاءة البنية التحتية المعلوماتية، ومستوى تكامل النظم داخل المنظمة</w:t>
      </w:r>
      <w:r w:rsidRPr="00650C72">
        <w:rPr>
          <w:rFonts w:ascii="Simplified Arabic" w:eastAsia="Times New Roman" w:hAnsi="Simplified Arabic" w:cs="Simplified Arabic"/>
          <w:color w:val="000000" w:themeColor="text1"/>
          <w:kern w:val="0"/>
          <w:sz w:val="28"/>
          <w:szCs w:val="28"/>
          <w14:ligatures w14:val="none"/>
        </w:rPr>
        <w:t>.</w:t>
      </w:r>
    </w:p>
    <w:p w14:paraId="26B1E3AE"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ويرى الباحث أن هذه العوامل لا تعمل بمعزل عن بعضها، بل تتفاعل في منظومة متكاملة، وأن جودة القرار الاستثماري تنعكس في نهاية المطاف حصيلةً لهذا التفاعل. ومن ثم فإن السعي إلى تحسين جودة </w:t>
      </w:r>
      <w:r w:rsidRPr="00650C72">
        <w:rPr>
          <w:rFonts w:ascii="Simplified Arabic" w:eastAsia="Times New Roman" w:hAnsi="Simplified Arabic" w:cs="Simplified Arabic"/>
          <w:color w:val="000000" w:themeColor="text1"/>
          <w:kern w:val="0"/>
          <w:sz w:val="28"/>
          <w:szCs w:val="28"/>
          <w:rtl/>
          <w14:ligatures w14:val="none"/>
        </w:rPr>
        <w:lastRenderedPageBreak/>
        <w:t>القرار الاستثماري في شركات التطوير العقاري السعودية يستوجب مقاربة شاملة تتعامل مع هذه الفئات المختلفة في تكامل، ولا تركّز على فئة واحدة على حساب الأخرى</w:t>
      </w:r>
      <w:r w:rsidRPr="00650C72">
        <w:rPr>
          <w:rFonts w:ascii="Simplified Arabic" w:eastAsia="Times New Roman" w:hAnsi="Simplified Arabic" w:cs="Simplified Arabic"/>
          <w:color w:val="000000" w:themeColor="text1"/>
          <w:kern w:val="0"/>
          <w:sz w:val="28"/>
          <w:szCs w:val="28"/>
          <w14:ligatures w14:val="none"/>
        </w:rPr>
        <w:t>.</w:t>
      </w:r>
    </w:p>
    <w:p w14:paraId="117858F7" w14:textId="6E6A020B" w:rsidR="00197384" w:rsidRPr="00650C72" w:rsidRDefault="0088241C" w:rsidP="008824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796452"/>
      <w:r w:rsidRPr="00650C72">
        <w:rPr>
          <w:rFonts w:ascii="Simplified Arabic" w:eastAsia="Times New Roman" w:hAnsi="Simplified Arabic" w:cs="Simplified Arabic" w:hint="cs"/>
          <w:b/>
          <w:bCs/>
          <w:color w:val="000000" w:themeColor="text1"/>
          <w:kern w:val="0"/>
          <w:sz w:val="32"/>
          <w:szCs w:val="32"/>
          <w:rtl/>
          <w14:ligatures w14:val="none"/>
        </w:rPr>
        <w:t>8.2.2</w:t>
      </w:r>
      <w:r w:rsidR="00197384" w:rsidRPr="00650C72">
        <w:rPr>
          <w:rFonts w:ascii="Simplified Arabic" w:eastAsia="Times New Roman" w:hAnsi="Simplified Arabic" w:cs="Simplified Arabic"/>
          <w:b/>
          <w:bCs/>
          <w:color w:val="000000" w:themeColor="text1"/>
          <w:kern w:val="0"/>
          <w:sz w:val="32"/>
          <w:szCs w:val="32"/>
          <w:rtl/>
          <w14:ligatures w14:val="none"/>
        </w:rPr>
        <w:t xml:space="preserve"> العلاقة بين أدوات الذكاء الاصطناعي في التقييم العقاري وجودة القرار الاستثماري</w:t>
      </w:r>
      <w:bookmarkEnd w:id="54"/>
    </w:p>
    <w:p w14:paraId="50F9AB89"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تُشكّل العلاقة بين أدوات الذكاء الاصطناعي في التقييم العقاري وجودة القرار الاستثماري محور اهتمام متنامٍ في الأدبيات المعاصرة، حيث تُبرز الدراسات أن هذه الأدوات تُسهم في تعزيز جودة القرار عبر مسارات متعددة. ويُشير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إلى أن أدوات الذكاء الاصطناعي تعمل في القرار الاستثماري العقاري بوصفها معزّزاً للقدرة المعرفية لصانع القرار، إذ توفّر له معلومات أشمل ومعالجات أعمق وسيناريوهات أكثر تنوّعاً، مما ينعكس في نهاية المطاف على جودة القرار الذي يتّخذه</w:t>
      </w:r>
      <w:r w:rsidRPr="00650C72">
        <w:rPr>
          <w:rFonts w:ascii="Simplified Arabic" w:eastAsia="Times New Roman" w:hAnsi="Simplified Arabic" w:cs="Simplified Arabic"/>
          <w:color w:val="000000" w:themeColor="text1"/>
          <w:kern w:val="0"/>
          <w:sz w:val="28"/>
          <w:szCs w:val="28"/>
          <w14:ligatures w14:val="none"/>
        </w:rPr>
        <w:t>.</w:t>
      </w:r>
    </w:p>
    <w:p w14:paraId="15367C44"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وترى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أن هذه الأدوات تُعيد هيكلة عملية اتخاذ القرار في شركات العقارات، بحيث تنتقل من عملية قائمة على الحدس والخبرة الفردية إلى عملية مؤسسية مدعومة بالبيانات، مما يُعزّز الاتساق والقابلية للتتبع. ويُبرز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أن هذه الأدوات تُسهم في معالجة إشكاليات عدم اكتمال المعلومات التي تُعيق جودة القرارات العقارية، وتوفّر أساساً موضوعياً للتقييم، مما ينعكس على مستوى دقة القرار وموضوعيته وشموليته</w:t>
      </w:r>
      <w:r w:rsidRPr="00650C72">
        <w:rPr>
          <w:rFonts w:ascii="Simplified Arabic" w:eastAsia="Times New Roman" w:hAnsi="Simplified Arabic" w:cs="Simplified Arabic"/>
          <w:color w:val="000000" w:themeColor="text1"/>
          <w:kern w:val="0"/>
          <w:sz w:val="28"/>
          <w:szCs w:val="28"/>
          <w14:ligatures w14:val="none"/>
        </w:rPr>
        <w:t>.</w:t>
      </w:r>
    </w:p>
    <w:p w14:paraId="6649F9D8"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وتستند الدراسة الحالية إلى فرضية جوهرية مفادها أن كل بُعد من أبعاد أدوات الذكاء الاصطناعي في التقييم العقاري يُسهم في تعزيز جودة القرار الاستثماري بأسلوبه الخاص؛ فالتحليلات التنبؤية للأسعار تُعزّز بُعد الدقة عبر تقديم توقعات علمية، ونماذج التقييم الآلي تدعم الموضوعية والاتساق، وتحليل البيانات الضخمة يُثري بُعد الشمولية، وأنظمة دعم القرار الذكية تُحسّن السرعة والترشيد. وبمجمل هذه المسارات المتكاملة، تُشكّل أدوات الذكاء الاصطناعي منظومة داعمة لجودة القرار الاستثماري في شركات التطوير العقاري السعودية، مما يُشكّل المرتكز النظري الذي تنطلق منه الدراسة الحالية لاختبار فرضياتها الميدانية</w:t>
      </w:r>
      <w:r w:rsidRPr="00650C72">
        <w:rPr>
          <w:rFonts w:ascii="Simplified Arabic" w:eastAsia="Times New Roman" w:hAnsi="Simplified Arabic" w:cs="Simplified Arabic"/>
          <w:color w:val="000000" w:themeColor="text1"/>
          <w:kern w:val="0"/>
          <w:sz w:val="28"/>
          <w:szCs w:val="28"/>
          <w14:ligatures w14:val="none"/>
        </w:rPr>
        <w:t>.</w:t>
      </w:r>
    </w:p>
    <w:p w14:paraId="6A4D7430" w14:textId="3B86C148" w:rsidR="00197384" w:rsidRPr="00650C72" w:rsidRDefault="0088241C" w:rsidP="006C0F6B">
      <w:pPr>
        <w:jc w:val="center"/>
        <w:outlineLvl w:val="0"/>
        <w:rPr>
          <w:rFonts w:ascii="Simplified Arabic" w:eastAsia="Times New Roman" w:hAnsi="Simplified Arabic" w:cs="Simplified Arabic"/>
          <w:b/>
          <w:bCs/>
          <w:color w:val="000000" w:themeColor="text1"/>
          <w:kern w:val="0"/>
          <w:sz w:val="40"/>
          <w:szCs w:val="40"/>
          <w14:ligatures w14:val="none"/>
        </w:rPr>
      </w:pPr>
      <w:r w:rsidRPr="00650C72">
        <w:rPr>
          <w:rFonts w:ascii="Simplified Arabic" w:eastAsia="Times New Roman" w:hAnsi="Simplified Arabic" w:cs="Simplified Arabic"/>
          <w:b/>
          <w:bCs/>
          <w:color w:val="000000" w:themeColor="text1"/>
          <w:kern w:val="0"/>
          <w:sz w:val="40"/>
          <w:szCs w:val="40"/>
          <w:rtl/>
          <w14:ligatures w14:val="none"/>
        </w:rPr>
        <w:br w:type="page"/>
      </w:r>
      <w:bookmarkStart w:id="55" w:name="_Toc234796453"/>
      <w:r w:rsidR="00197384" w:rsidRPr="00650C72">
        <w:rPr>
          <w:rFonts w:ascii="Simplified Arabic" w:eastAsia="Times New Roman" w:hAnsi="Simplified Arabic" w:cs="Simplified Arabic"/>
          <w:b/>
          <w:bCs/>
          <w:color w:val="000000" w:themeColor="text1"/>
          <w:kern w:val="0"/>
          <w:sz w:val="40"/>
          <w:szCs w:val="40"/>
          <w:rtl/>
          <w14:ligatures w14:val="none"/>
        </w:rPr>
        <w:lastRenderedPageBreak/>
        <w:t>الفصل الثالث: منهجية الدراسة وإجراءاتها</w:t>
      </w:r>
      <w:bookmarkEnd w:id="55"/>
    </w:p>
    <w:p w14:paraId="386F34D2" w14:textId="250F5A0C"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6" w:name="_Toc234796454"/>
      <w:r w:rsidRPr="00650C72">
        <w:rPr>
          <w:rFonts w:ascii="Simplified Arabic" w:eastAsia="Times New Roman" w:hAnsi="Simplified Arabic" w:cs="Simplified Arabic" w:hint="cs"/>
          <w:b/>
          <w:bCs/>
          <w:color w:val="000000" w:themeColor="text1"/>
          <w:kern w:val="0"/>
          <w:sz w:val="36"/>
          <w:szCs w:val="36"/>
          <w:rtl/>
          <w14:ligatures w14:val="none"/>
        </w:rPr>
        <w:t xml:space="preserve">1.3 </w:t>
      </w:r>
      <w:r w:rsidR="00197384" w:rsidRPr="00650C72">
        <w:rPr>
          <w:rFonts w:ascii="Simplified Arabic" w:eastAsia="Times New Roman" w:hAnsi="Simplified Arabic" w:cs="Simplified Arabic"/>
          <w:b/>
          <w:bCs/>
          <w:color w:val="000000" w:themeColor="text1"/>
          <w:kern w:val="0"/>
          <w:sz w:val="36"/>
          <w:szCs w:val="36"/>
          <w:rtl/>
          <w14:ligatures w14:val="none"/>
        </w:rPr>
        <w:t>تمهيد</w:t>
      </w:r>
      <w:bookmarkEnd w:id="56"/>
    </w:p>
    <w:p w14:paraId="1D4A3EE6" w14:textId="77777777" w:rsidR="00197384" w:rsidRPr="00650C72" w:rsidRDefault="00197384" w:rsidP="008824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يُمثّل هذا الفصل حجر الزاوية في البناء العلمي للدراسة، إذ يعرض الإطار المنهجي الذي اعتمد عليه الباحث للإجابة عن تساؤلات الدراسة واختبار فرضياتها المتعلقة بأثر أدوات الذكاء الاصطناعي في التقييم العقاري بأبعادها الأربعة (التحليلات التنبؤية للأسعار، ونماذج التقييم الآلي، وتحليل البيانات الضخمة العقارية، وأنظمة دعم القرار الذكية) على جودة القرار الاستثماري في شركات التطوير والاستثمار العقاري بالمملكة العربية السعودية. ويتناول الفصل بيان المنهج المتبع، ومجتمع الدراسة وعينتها، وأداة جمع البيانات وطريقة بنائها، والتحقق من صدقها وثباتها بما يشمل الصدق الظاهري وصدق الاتساق الداخلي ومصفوفة الارتباط بين أبعاد المتغير المستقل والمتغير التابع، ثم الأساليب الإحصائية الموظّفة في معالجة البيانات وتحليلها. وقد حرص الباحث في تصميم هذا الفصل على الالتزام بمعايير الدقة العلمية والانضباط المنهجي بما يكفل موثوقية النتائج وقابليتها للتعميم في حدود مجتمع الدراسة</w:t>
      </w:r>
      <w:r w:rsidRPr="00650C72">
        <w:rPr>
          <w:rFonts w:ascii="Simplified Arabic" w:eastAsia="Times New Roman" w:hAnsi="Simplified Arabic" w:cs="Simplified Arabic"/>
          <w:color w:val="000000" w:themeColor="text1"/>
          <w:kern w:val="0"/>
          <w:sz w:val="28"/>
          <w:szCs w:val="28"/>
          <w14:ligatures w14:val="none"/>
        </w:rPr>
        <w:t>.</w:t>
      </w:r>
    </w:p>
    <w:p w14:paraId="445BB287" w14:textId="429E13D2"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7" w:name="_Toc234796455"/>
      <w:r w:rsidRPr="00650C72">
        <w:rPr>
          <w:rFonts w:ascii="Simplified Arabic" w:eastAsia="Times New Roman" w:hAnsi="Simplified Arabic" w:cs="Simplified Arabic" w:hint="cs"/>
          <w:b/>
          <w:bCs/>
          <w:color w:val="000000" w:themeColor="text1"/>
          <w:kern w:val="0"/>
          <w:sz w:val="36"/>
          <w:szCs w:val="36"/>
          <w:rtl/>
          <w14:ligatures w14:val="none"/>
        </w:rPr>
        <w:t>2.3</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منهج الدراسة</w:t>
      </w:r>
      <w:bookmarkEnd w:id="57"/>
    </w:p>
    <w:p w14:paraId="0CDCCEFF"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اعتمد الباحث المنهج الوصفي التحليلي بوصفه المنهج الأنسب لطبيعة الدراسة وأهدافها، إذ يُتيح هذا المنهج وصف الظاهرة موضع البحث كما هي في الواقع من خلال جمع البيانات المتعلقة بها من مصادرها الأولية، ثم تحليلها إحصائياً لاستخلاص العلاقات بين متغيراتها واختبار فرضياتها. ويلائم هذا المنهج الدراسة الحالية لكونها تسعى إلى قياس أثر متغير مستقل متعدد الأبعاد على متغير تابع، وهو ما يستدعي وصف مستوى توظيف أدوات الذكاء الاصطناعي في التقييم العقاري داخل شركات التطوير والاستثمار العقاري السعودية، ووصف مستوى جودة القرار الاستثماري فيها، ثم تحليل العلاقة بين هذين المتغيرين إحصائياً. وقد وظّف الباحث المنهج بشقّيه: الشق الوصفي في استعراض الأدبيات وبناء الإطار النظري وتوصيف خصائص عينة الدراسة، والشق التحليلي في معالجة البيانات الميدانية واختبار الفرضيات وتفسير النتائج</w:t>
      </w:r>
      <w:r w:rsidRPr="00650C72">
        <w:rPr>
          <w:rFonts w:ascii="Simplified Arabic" w:eastAsia="Times New Roman" w:hAnsi="Simplified Arabic" w:cs="Simplified Arabic"/>
          <w:color w:val="000000" w:themeColor="text1"/>
          <w:kern w:val="0"/>
          <w:sz w:val="28"/>
          <w:szCs w:val="28"/>
          <w14:ligatures w14:val="none"/>
        </w:rPr>
        <w:t>.</w:t>
      </w:r>
    </w:p>
    <w:p w14:paraId="0DFDB9F9" w14:textId="4F60041F"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8" w:name="_Toc234796456"/>
      <w:r w:rsidRPr="00650C72">
        <w:rPr>
          <w:rFonts w:ascii="Simplified Arabic" w:eastAsia="Times New Roman" w:hAnsi="Simplified Arabic" w:cs="Simplified Arabic" w:hint="cs"/>
          <w:b/>
          <w:bCs/>
          <w:color w:val="000000" w:themeColor="text1"/>
          <w:kern w:val="0"/>
          <w:sz w:val="36"/>
          <w:szCs w:val="36"/>
          <w:rtl/>
          <w14:ligatures w14:val="none"/>
        </w:rPr>
        <w:t>3.3</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مجتمع الدراسة وعينتها</w:t>
      </w:r>
      <w:bookmarkEnd w:id="58"/>
    </w:p>
    <w:p w14:paraId="59D434CF" w14:textId="318AED1C"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lastRenderedPageBreak/>
        <w:t>مجتمع الدراسة</w:t>
      </w:r>
    </w:p>
    <w:p w14:paraId="3CFAE19C"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تكوّن مجتمع الدراسة من جميع العاملين في المستويات الإدارية العليا والوسطى في شركات التطوير والاستثمار العقاري المرخصة والمسجلة لدى الهيئة العامة للعقار بالمملكة العربية السعودية، ممن يشغلون مناصب ذات صلة مباشرة بعمليات التقييم العقاري واتخاذ القرارات الاستثمارية، ويشمل ذلك المديرين التنفيذيين، ومديري الاستثمار، ومديري التقييم العقاري، ومحللي الاستثمار، والمقيّمين العقاريين المعتمدين. ووفقاً لبيانات الهيئة العامة للعقار وسجلات وزارة التجارة السعودية، يبلغ عدد شركات التطوير والاستثمار العقاري النشطة في المملكة نحو (450) شركة، ويقدَّر إجمالي العاملين في المستويات الإدارية المستهدفة بنحو (3,200) فرد</w:t>
      </w:r>
      <w:r w:rsidRPr="00650C72">
        <w:rPr>
          <w:rFonts w:ascii="Simplified Arabic" w:eastAsia="Times New Roman" w:hAnsi="Simplified Arabic" w:cs="Simplified Arabic"/>
          <w:color w:val="000000" w:themeColor="text1"/>
          <w:kern w:val="0"/>
          <w:sz w:val="28"/>
          <w:szCs w:val="28"/>
          <w14:ligatures w14:val="none"/>
        </w:rPr>
        <w:t>.</w:t>
      </w:r>
    </w:p>
    <w:p w14:paraId="7FADF389" w14:textId="143C25D6"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عينة الدراسة</w:t>
      </w:r>
    </w:p>
    <w:p w14:paraId="4F64D51E"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اعتمد الباحث أسلوب العينة العشوائية الطبقية النسبية لضمان تمثيل مختلف أحجام الشركات (كبيرة، ومتوسطة، وصغيرة) العاملة في مدينة الرياض، وذلك لكونها تُشكّل المركز الرئيسي للنشاط العقاري في المملكة. وقد جرى تحديد حجم العينة وفقاً لمعادلة ستيفن ثامبسون</w:t>
      </w:r>
      <w:r w:rsidRPr="00650C72">
        <w:rPr>
          <w:rFonts w:ascii="Simplified Arabic" w:eastAsia="Times New Roman" w:hAnsi="Simplified Arabic" w:cs="Simplified Arabic"/>
          <w:color w:val="000000" w:themeColor="text1"/>
          <w:kern w:val="0"/>
          <w:sz w:val="28"/>
          <w:szCs w:val="28"/>
          <w14:ligatures w14:val="none"/>
        </w:rPr>
        <w:t xml:space="preserve"> (Steven Thompson) </w:t>
      </w:r>
      <w:r w:rsidRPr="00650C72">
        <w:rPr>
          <w:rFonts w:ascii="Simplified Arabic" w:eastAsia="Times New Roman" w:hAnsi="Simplified Arabic" w:cs="Simplified Arabic"/>
          <w:color w:val="000000" w:themeColor="text1"/>
          <w:kern w:val="0"/>
          <w:sz w:val="28"/>
          <w:szCs w:val="28"/>
          <w:rtl/>
          <w14:ligatures w14:val="none"/>
        </w:rPr>
        <w:t>عند مستوى ثقة (95%) وهامش خطأ (5%)، وعلى ضوء ذلك بلغ الحد الأدنى المطلوب لحجم العينة نحو (343) مفردة. وقام الباحث بتوزيع (400) استبانة لتعويض الفاقد المتوقع في الاستبانات غير المكتملة أو غير الصالحة للتحليل الإحصائي، بهدف ضمان الوصول إلى الحد الأدنى المطلوب من الاستبانات القابلة للتحليل</w:t>
      </w:r>
      <w:r w:rsidRPr="00650C72">
        <w:rPr>
          <w:rFonts w:ascii="Simplified Arabic" w:eastAsia="Times New Roman" w:hAnsi="Simplified Arabic" w:cs="Simplified Arabic"/>
          <w:color w:val="000000" w:themeColor="text1"/>
          <w:kern w:val="0"/>
          <w:sz w:val="28"/>
          <w:szCs w:val="28"/>
          <w14:ligatures w14:val="none"/>
        </w:rPr>
        <w:t>.</w:t>
      </w:r>
    </w:p>
    <w:p w14:paraId="6A50AD99" w14:textId="62843B89"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توزيع الاستبانات واستردادها</w:t>
      </w:r>
    </w:p>
    <w:p w14:paraId="3420AE49"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جرى توزيع الاستبانات على أفراد العينة، وقد بلغ عدد الاستبانات المستردة (378) استبانة، استُبعد منها (23) استبانة لعدم اكتمال بياناتها أو لوجود نمط إجابة غير جدي، ليصبح عدد الاستبانات الصالحة للتحليل الإحصائي (355) استبانة، بمعدل استجابة صالحة قدره (88.75%)، وهو معدل مرتفع يعكس جدية العينة وملاءمة عدد الاستبانات المسترجعة للتحليل الإحصائي وفق الحد الأدنى المستهدف</w:t>
      </w:r>
      <w:r w:rsidRPr="00650C72">
        <w:rPr>
          <w:rFonts w:ascii="Simplified Arabic" w:eastAsia="Times New Roman" w:hAnsi="Simplified Arabic" w:cs="Simplified Arabic"/>
          <w:color w:val="000000" w:themeColor="text1"/>
          <w:kern w:val="0"/>
          <w:sz w:val="28"/>
          <w:szCs w:val="28"/>
          <w14:ligatures w14:val="none"/>
        </w:rPr>
        <w:t>.</w:t>
      </w:r>
    </w:p>
    <w:p w14:paraId="64CAE8FB" w14:textId="79A206AD" w:rsidR="00197384" w:rsidRPr="00650C72" w:rsidRDefault="006C0F6B" w:rsidP="006C0F6B">
      <w:pPr>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br w:type="page"/>
      </w:r>
      <w:r w:rsidR="00197384" w:rsidRPr="00650C72">
        <w:rPr>
          <w:rFonts w:ascii="Simplified Arabic" w:eastAsia="Times New Roman" w:hAnsi="Simplified Arabic" w:cs="Simplified Arabic"/>
          <w:b/>
          <w:bCs/>
          <w:color w:val="000000" w:themeColor="text1"/>
          <w:kern w:val="0"/>
          <w:sz w:val="28"/>
          <w:szCs w:val="28"/>
          <w:rtl/>
          <w14:ligatures w14:val="none"/>
        </w:rPr>
        <w:lastRenderedPageBreak/>
        <w:t>جدول (</w:t>
      </w:r>
      <w:r w:rsidRPr="00650C72">
        <w:rPr>
          <w:rFonts w:ascii="Simplified Arabic" w:eastAsia="Times New Roman" w:hAnsi="Simplified Arabic" w:cs="Simplified Arabic" w:hint="cs"/>
          <w:b/>
          <w:bCs/>
          <w:color w:val="000000" w:themeColor="text1"/>
          <w:kern w:val="0"/>
          <w:sz w:val="28"/>
          <w:szCs w:val="28"/>
          <w:rtl/>
          <w14:ligatures w14:val="none"/>
        </w:rPr>
        <w:t>3 - 1</w:t>
      </w:r>
      <w:r w:rsidR="00197384" w:rsidRPr="00650C72">
        <w:rPr>
          <w:rFonts w:ascii="Simplified Arabic" w:eastAsia="Times New Roman" w:hAnsi="Simplified Arabic" w:cs="Simplified Arabic"/>
          <w:b/>
          <w:bCs/>
          <w:color w:val="000000" w:themeColor="text1"/>
          <w:kern w:val="0"/>
          <w:sz w:val="28"/>
          <w:szCs w:val="28"/>
          <w:rtl/>
          <w14:ligatures w14:val="none"/>
        </w:rPr>
        <w:t>): توزيع الاستبانات على شركات التطوير والاستثمار العقاري وفق حجم الشركة</w:t>
      </w:r>
    </w:p>
    <w:tbl>
      <w:tblPr>
        <w:tblStyle w:val="GridTable6Colorful-Accent1"/>
        <w:bidiVisual/>
        <w:tblW w:w="0" w:type="auto"/>
        <w:jc w:val="center"/>
        <w:tblLook w:val="04A0" w:firstRow="1" w:lastRow="0" w:firstColumn="1" w:lastColumn="0" w:noHBand="0" w:noVBand="1"/>
      </w:tblPr>
      <w:tblGrid>
        <w:gridCol w:w="1090"/>
        <w:gridCol w:w="1210"/>
        <w:gridCol w:w="1344"/>
        <w:gridCol w:w="1358"/>
        <w:gridCol w:w="1375"/>
        <w:gridCol w:w="1482"/>
        <w:gridCol w:w="1202"/>
      </w:tblGrid>
      <w:tr w:rsidR="00650C72" w:rsidRPr="00650C72" w14:paraId="214BBBB0" w14:textId="77777777" w:rsidTr="006C0F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58C371"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حجم الشركة</w:t>
            </w:r>
          </w:p>
        </w:tc>
        <w:tc>
          <w:tcPr>
            <w:tcW w:w="0" w:type="auto"/>
            <w:vAlign w:val="center"/>
            <w:hideMark/>
          </w:tcPr>
          <w:p w14:paraId="034EB33A"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نسبة التمثيل في المجتمع</w:t>
            </w:r>
          </w:p>
        </w:tc>
        <w:tc>
          <w:tcPr>
            <w:tcW w:w="0" w:type="auto"/>
            <w:vAlign w:val="center"/>
            <w:hideMark/>
          </w:tcPr>
          <w:p w14:paraId="7D3E5E21"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عدد الاستبانات الموزعة</w:t>
            </w:r>
          </w:p>
        </w:tc>
        <w:tc>
          <w:tcPr>
            <w:tcW w:w="0" w:type="auto"/>
            <w:vAlign w:val="center"/>
            <w:hideMark/>
          </w:tcPr>
          <w:p w14:paraId="5CAE22AE"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عدد الاستبانات المستردة</w:t>
            </w:r>
          </w:p>
        </w:tc>
        <w:tc>
          <w:tcPr>
            <w:tcW w:w="0" w:type="auto"/>
            <w:vAlign w:val="center"/>
            <w:hideMark/>
          </w:tcPr>
          <w:p w14:paraId="1F75665F"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عدد الاستبانات المستبعدة</w:t>
            </w:r>
          </w:p>
        </w:tc>
        <w:tc>
          <w:tcPr>
            <w:tcW w:w="0" w:type="auto"/>
            <w:vAlign w:val="center"/>
            <w:hideMark/>
          </w:tcPr>
          <w:p w14:paraId="75E51955"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عدد الاستبانات الصالحة للتحليل</w:t>
            </w:r>
          </w:p>
        </w:tc>
        <w:tc>
          <w:tcPr>
            <w:tcW w:w="0" w:type="auto"/>
            <w:vAlign w:val="center"/>
            <w:hideMark/>
          </w:tcPr>
          <w:p w14:paraId="7109D560"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نسبة الصلاحية</w:t>
            </w:r>
          </w:p>
        </w:tc>
      </w:tr>
      <w:tr w:rsidR="00650C72" w:rsidRPr="00650C72" w14:paraId="164D9E62"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6C137F"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شركات كبيرة</w:t>
            </w:r>
          </w:p>
        </w:tc>
        <w:tc>
          <w:tcPr>
            <w:tcW w:w="0" w:type="auto"/>
            <w:vAlign w:val="center"/>
            <w:hideMark/>
          </w:tcPr>
          <w:p w14:paraId="5A34D0B1"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25%</w:t>
            </w:r>
          </w:p>
        </w:tc>
        <w:tc>
          <w:tcPr>
            <w:tcW w:w="0" w:type="auto"/>
            <w:vAlign w:val="center"/>
            <w:hideMark/>
          </w:tcPr>
          <w:p w14:paraId="37370353"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w:t>
            </w:r>
          </w:p>
        </w:tc>
        <w:tc>
          <w:tcPr>
            <w:tcW w:w="0" w:type="auto"/>
            <w:vAlign w:val="center"/>
            <w:hideMark/>
          </w:tcPr>
          <w:p w14:paraId="548745A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96</w:t>
            </w:r>
          </w:p>
        </w:tc>
        <w:tc>
          <w:tcPr>
            <w:tcW w:w="0" w:type="auto"/>
            <w:vAlign w:val="center"/>
            <w:hideMark/>
          </w:tcPr>
          <w:p w14:paraId="64879126"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3FD84036"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91</w:t>
            </w:r>
          </w:p>
        </w:tc>
        <w:tc>
          <w:tcPr>
            <w:tcW w:w="0" w:type="auto"/>
            <w:vAlign w:val="center"/>
            <w:hideMark/>
          </w:tcPr>
          <w:p w14:paraId="6624368D"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91.00%</w:t>
            </w:r>
          </w:p>
        </w:tc>
      </w:tr>
      <w:tr w:rsidR="00650C72" w:rsidRPr="00650C72" w14:paraId="56514322"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1E34E"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شركات متوسطة</w:t>
            </w:r>
          </w:p>
        </w:tc>
        <w:tc>
          <w:tcPr>
            <w:tcW w:w="0" w:type="auto"/>
            <w:vAlign w:val="center"/>
            <w:hideMark/>
          </w:tcPr>
          <w:p w14:paraId="3B39E8AD"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45%</w:t>
            </w:r>
          </w:p>
        </w:tc>
        <w:tc>
          <w:tcPr>
            <w:tcW w:w="0" w:type="auto"/>
            <w:vAlign w:val="center"/>
            <w:hideMark/>
          </w:tcPr>
          <w:p w14:paraId="379FF74F"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180</w:t>
            </w:r>
          </w:p>
        </w:tc>
        <w:tc>
          <w:tcPr>
            <w:tcW w:w="0" w:type="auto"/>
            <w:vAlign w:val="center"/>
            <w:hideMark/>
          </w:tcPr>
          <w:p w14:paraId="0EDF6FF6"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172</w:t>
            </w:r>
          </w:p>
        </w:tc>
        <w:tc>
          <w:tcPr>
            <w:tcW w:w="0" w:type="auto"/>
            <w:vAlign w:val="center"/>
            <w:hideMark/>
          </w:tcPr>
          <w:p w14:paraId="2CD6F72D"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11</w:t>
            </w:r>
          </w:p>
        </w:tc>
        <w:tc>
          <w:tcPr>
            <w:tcW w:w="0" w:type="auto"/>
            <w:vAlign w:val="center"/>
            <w:hideMark/>
          </w:tcPr>
          <w:p w14:paraId="4DD545C6"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161</w:t>
            </w:r>
          </w:p>
        </w:tc>
        <w:tc>
          <w:tcPr>
            <w:tcW w:w="0" w:type="auto"/>
            <w:vAlign w:val="center"/>
            <w:hideMark/>
          </w:tcPr>
          <w:p w14:paraId="09E2A143"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89.44%</w:t>
            </w:r>
          </w:p>
        </w:tc>
      </w:tr>
      <w:tr w:rsidR="00650C72" w:rsidRPr="00650C72" w14:paraId="162435B9"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89473F"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شركات صغيرة</w:t>
            </w:r>
          </w:p>
        </w:tc>
        <w:tc>
          <w:tcPr>
            <w:tcW w:w="0" w:type="auto"/>
            <w:vAlign w:val="center"/>
            <w:hideMark/>
          </w:tcPr>
          <w:p w14:paraId="5B7EF1D5"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30%</w:t>
            </w:r>
          </w:p>
        </w:tc>
        <w:tc>
          <w:tcPr>
            <w:tcW w:w="0" w:type="auto"/>
            <w:vAlign w:val="center"/>
            <w:hideMark/>
          </w:tcPr>
          <w:p w14:paraId="30107031"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120</w:t>
            </w:r>
          </w:p>
        </w:tc>
        <w:tc>
          <w:tcPr>
            <w:tcW w:w="0" w:type="auto"/>
            <w:vAlign w:val="center"/>
            <w:hideMark/>
          </w:tcPr>
          <w:p w14:paraId="01ACCC4A"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110</w:t>
            </w:r>
          </w:p>
        </w:tc>
        <w:tc>
          <w:tcPr>
            <w:tcW w:w="0" w:type="auto"/>
            <w:vAlign w:val="center"/>
            <w:hideMark/>
          </w:tcPr>
          <w:p w14:paraId="5D25E71B"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121FE7CE"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103</w:t>
            </w:r>
          </w:p>
        </w:tc>
        <w:tc>
          <w:tcPr>
            <w:tcW w:w="0" w:type="auto"/>
            <w:vAlign w:val="center"/>
            <w:hideMark/>
          </w:tcPr>
          <w:p w14:paraId="6D0C910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85.83%</w:t>
            </w:r>
          </w:p>
        </w:tc>
      </w:tr>
      <w:tr w:rsidR="00650C72" w:rsidRPr="00650C72" w14:paraId="27EDC2B2"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DCA02"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25AB735D"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w:t>
            </w:r>
          </w:p>
        </w:tc>
        <w:tc>
          <w:tcPr>
            <w:tcW w:w="0" w:type="auto"/>
            <w:vAlign w:val="center"/>
            <w:hideMark/>
          </w:tcPr>
          <w:p w14:paraId="3D7578F3"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400</w:t>
            </w:r>
          </w:p>
        </w:tc>
        <w:tc>
          <w:tcPr>
            <w:tcW w:w="0" w:type="auto"/>
            <w:vAlign w:val="center"/>
            <w:hideMark/>
          </w:tcPr>
          <w:p w14:paraId="5EADC4A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378</w:t>
            </w:r>
          </w:p>
        </w:tc>
        <w:tc>
          <w:tcPr>
            <w:tcW w:w="0" w:type="auto"/>
            <w:vAlign w:val="center"/>
            <w:hideMark/>
          </w:tcPr>
          <w:p w14:paraId="4B5E850D"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23</w:t>
            </w:r>
          </w:p>
        </w:tc>
        <w:tc>
          <w:tcPr>
            <w:tcW w:w="0" w:type="auto"/>
            <w:vAlign w:val="center"/>
            <w:hideMark/>
          </w:tcPr>
          <w:p w14:paraId="04230EA8"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0" w:type="auto"/>
            <w:vAlign w:val="center"/>
            <w:hideMark/>
          </w:tcPr>
          <w:p w14:paraId="4FF5E8B8"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88.75%</w:t>
            </w:r>
          </w:p>
        </w:tc>
      </w:tr>
    </w:tbl>
    <w:p w14:paraId="71DDDC99" w14:textId="6D2BB312"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9" w:name="_Toc234796457"/>
      <w:r w:rsidRPr="00650C72">
        <w:rPr>
          <w:rFonts w:ascii="Simplified Arabic" w:eastAsia="Times New Roman" w:hAnsi="Simplified Arabic" w:cs="Simplified Arabic" w:hint="cs"/>
          <w:b/>
          <w:bCs/>
          <w:color w:val="000000" w:themeColor="text1"/>
          <w:kern w:val="0"/>
          <w:sz w:val="36"/>
          <w:szCs w:val="36"/>
          <w:rtl/>
          <w14:ligatures w14:val="none"/>
        </w:rPr>
        <w:t>4.3</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أداة الدراسة</w:t>
      </w:r>
      <w:bookmarkEnd w:id="59"/>
    </w:p>
    <w:p w14:paraId="6764E000" w14:textId="2FC1ADEE"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بناء الأداة</w:t>
      </w:r>
    </w:p>
    <w:p w14:paraId="23F25B1C"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اعتمد الباحث الاستبانة أداةً رئيسية لجمع البيانات الميدانية، وذلك لملاءمتها لطبيعة الدراسة وقدرتها على استقصاء آراء عدد كبير من أفراد العينة في وقت وجيز وبتكلفة ملائمة. وقد جرى بناء الاستبانة استناداً إلى الإطار النظري للدراسة والدراسات السابقة ذات الصلة، مع مراعاة خصوصية السياق العقاري السعودي</w:t>
      </w:r>
      <w:r w:rsidRPr="00650C72">
        <w:rPr>
          <w:rFonts w:ascii="Simplified Arabic" w:eastAsia="Times New Roman" w:hAnsi="Simplified Arabic" w:cs="Simplified Arabic"/>
          <w:color w:val="000000" w:themeColor="text1"/>
          <w:kern w:val="0"/>
          <w:sz w:val="28"/>
          <w:szCs w:val="28"/>
          <w14:ligatures w14:val="none"/>
        </w:rPr>
        <w:t>.</w:t>
      </w:r>
    </w:p>
    <w:p w14:paraId="239E055C" w14:textId="343A434D"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أقسام الأداة</w:t>
      </w:r>
    </w:p>
    <w:p w14:paraId="00405924"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انتظمت الاستبانة في ثلاثة أقسام رئيسية على النحو التالي</w:t>
      </w:r>
      <w:r w:rsidRPr="00650C72">
        <w:rPr>
          <w:rFonts w:ascii="Simplified Arabic" w:eastAsia="Times New Roman" w:hAnsi="Simplified Arabic" w:cs="Simplified Arabic"/>
          <w:b/>
          <w:bCs/>
          <w:color w:val="000000" w:themeColor="text1"/>
          <w:kern w:val="0"/>
          <w:sz w:val="28"/>
          <w:szCs w:val="28"/>
          <w14:ligatures w14:val="none"/>
        </w:rPr>
        <w:t>:</w:t>
      </w:r>
    </w:p>
    <w:p w14:paraId="3FA86ED4" w14:textId="77777777" w:rsidR="00197384" w:rsidRPr="00650C72" w:rsidRDefault="00197384" w:rsidP="006C0F6B">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القسم الأول</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يتضمن البيانات الديموغرافية والوظيفية لأفراد العينة، وتشمل: المسمى الوظيفي، وسنوات الخبرة، والمؤهل العلمي، وحجم الشركة</w:t>
      </w:r>
      <w:r w:rsidRPr="00650C72">
        <w:rPr>
          <w:rFonts w:ascii="Simplified Arabic" w:eastAsia="Times New Roman" w:hAnsi="Simplified Arabic" w:cs="Simplified Arabic"/>
          <w:color w:val="000000" w:themeColor="text1"/>
          <w:kern w:val="0"/>
          <w:sz w:val="28"/>
          <w:szCs w:val="28"/>
          <w14:ligatures w14:val="none"/>
        </w:rPr>
        <w:t>.</w:t>
      </w:r>
    </w:p>
    <w:p w14:paraId="3BB09010" w14:textId="77777777" w:rsidR="00197384" w:rsidRPr="00650C72" w:rsidRDefault="00197384" w:rsidP="006C0F6B">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القسم الثاني</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يتضمن عبارات المتغير المستقل (أدوات الذكاء الاصطناعي في التقييم العقاري)، ويضم (16) عبارة موزعة على أربعة أبعاد بواقع (4) عبارات لكل بُعد، وهي: التحليلات التنبؤية للأسعار، ونماذج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r w:rsidRPr="00650C72">
        <w:rPr>
          <w:rFonts w:ascii="Simplified Arabic" w:eastAsia="Times New Roman" w:hAnsi="Simplified Arabic" w:cs="Simplified Arabic"/>
          <w:color w:val="000000" w:themeColor="text1"/>
          <w:kern w:val="0"/>
          <w:sz w:val="28"/>
          <w:szCs w:val="28"/>
          <w:rtl/>
          <w14:ligatures w14:val="none"/>
        </w:rPr>
        <w:t>، وتحليل البيانات الضخمة العقارية، وأنظمة دعم القرار الذكية</w:t>
      </w:r>
      <w:r w:rsidRPr="00650C72">
        <w:rPr>
          <w:rFonts w:ascii="Simplified Arabic" w:eastAsia="Times New Roman" w:hAnsi="Simplified Arabic" w:cs="Simplified Arabic"/>
          <w:color w:val="000000" w:themeColor="text1"/>
          <w:kern w:val="0"/>
          <w:sz w:val="28"/>
          <w:szCs w:val="28"/>
          <w14:ligatures w14:val="none"/>
        </w:rPr>
        <w:t>.</w:t>
      </w:r>
    </w:p>
    <w:p w14:paraId="7F937DE4" w14:textId="77777777" w:rsidR="00197384" w:rsidRPr="00650C72" w:rsidRDefault="00197384" w:rsidP="006C0F6B">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القسم الثالث</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يتضمن عبارات المتغير التابع (جودة القرار الاستثماري) بوصفه محوراً أحادياً يضم (10) عبارات تقيس أبعاد الدقة والسرعة والشمولية وتقليل المخاطر وترشيد الموارد وموضوعية القرار</w:t>
      </w:r>
      <w:r w:rsidRPr="00650C72">
        <w:rPr>
          <w:rFonts w:ascii="Simplified Arabic" w:eastAsia="Times New Roman" w:hAnsi="Simplified Arabic" w:cs="Simplified Arabic"/>
          <w:color w:val="000000" w:themeColor="text1"/>
          <w:kern w:val="0"/>
          <w:sz w:val="28"/>
          <w:szCs w:val="28"/>
          <w14:ligatures w14:val="none"/>
        </w:rPr>
        <w:t>.</w:t>
      </w:r>
    </w:p>
    <w:p w14:paraId="585189FD" w14:textId="596C8988"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مقياس الاستجابة</w:t>
      </w:r>
    </w:p>
    <w:p w14:paraId="4B2799FB"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اعتمد الباحث مقياس ليكرت الخماسي لقياس استجابات أفراد العينة، بحيث تدرّجت الاستجابات من (موافق بشدة) وتُعطى (5) درجات، إلى (غير موافق بشدة) وتُعطى (1) درجة، وذلك على النحو الموضّح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494B21AD" w14:textId="05DD988A" w:rsidR="00197384" w:rsidRPr="00650C72" w:rsidRDefault="00197384" w:rsidP="006C0F6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6C0F6B" w:rsidRPr="00650C72">
        <w:rPr>
          <w:rFonts w:ascii="Simplified Arabic" w:eastAsia="Times New Roman" w:hAnsi="Simplified Arabic" w:cs="Simplified Arabic" w:hint="cs"/>
          <w:b/>
          <w:bCs/>
          <w:color w:val="000000" w:themeColor="text1"/>
          <w:kern w:val="0"/>
          <w:sz w:val="28"/>
          <w:szCs w:val="28"/>
          <w:rtl/>
          <w14:ligatures w14:val="none"/>
        </w:rPr>
        <w:t>3 - 2</w:t>
      </w:r>
      <w:r w:rsidRPr="00650C72">
        <w:rPr>
          <w:rFonts w:ascii="Simplified Arabic" w:eastAsia="Times New Roman" w:hAnsi="Simplified Arabic" w:cs="Simplified Arabic"/>
          <w:b/>
          <w:bCs/>
          <w:color w:val="000000" w:themeColor="text1"/>
          <w:kern w:val="0"/>
          <w:sz w:val="28"/>
          <w:szCs w:val="28"/>
          <w:rtl/>
          <w14:ligatures w14:val="none"/>
        </w:rPr>
        <w:t>): مقياس ليكرت الخماسي ومدى المتوسطات الحسابية</w:t>
      </w:r>
    </w:p>
    <w:tbl>
      <w:tblPr>
        <w:tblStyle w:val="GridTable6Colorful-Accent1"/>
        <w:bidiVisual/>
        <w:tblW w:w="7197" w:type="dxa"/>
        <w:jc w:val="center"/>
        <w:tblLook w:val="04A0" w:firstRow="1" w:lastRow="0" w:firstColumn="1" w:lastColumn="0" w:noHBand="0" w:noVBand="1"/>
      </w:tblPr>
      <w:tblGrid>
        <w:gridCol w:w="1920"/>
        <w:gridCol w:w="883"/>
        <w:gridCol w:w="2570"/>
        <w:gridCol w:w="1824"/>
      </w:tblGrid>
      <w:tr w:rsidR="00650C72" w:rsidRPr="00650C72" w14:paraId="42300685" w14:textId="77777777" w:rsidTr="006C0F6B">
        <w:trPr>
          <w:cnfStyle w:val="100000000000" w:firstRow="1" w:lastRow="0" w:firstColumn="0" w:lastColumn="0" w:oddVBand="0" w:evenVBand="0" w:oddHBand="0"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57CE79"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الاستجابة</w:t>
            </w:r>
          </w:p>
        </w:tc>
        <w:tc>
          <w:tcPr>
            <w:tcW w:w="0" w:type="auto"/>
            <w:vAlign w:val="center"/>
            <w:hideMark/>
          </w:tcPr>
          <w:p w14:paraId="5D98F5FC"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الدرجة</w:t>
            </w:r>
          </w:p>
        </w:tc>
        <w:tc>
          <w:tcPr>
            <w:tcW w:w="0" w:type="auto"/>
            <w:vAlign w:val="center"/>
            <w:hideMark/>
          </w:tcPr>
          <w:p w14:paraId="5021B251"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مدى المتوسط الحسابي</w:t>
            </w:r>
          </w:p>
        </w:tc>
        <w:tc>
          <w:tcPr>
            <w:tcW w:w="0" w:type="auto"/>
            <w:vAlign w:val="center"/>
            <w:hideMark/>
          </w:tcPr>
          <w:p w14:paraId="37C2AB3D"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r>
      <w:tr w:rsidR="00650C72" w:rsidRPr="00650C72" w14:paraId="575C6612" w14:textId="77777777" w:rsidTr="006C0F6B">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770178"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موافق بشدة</w:t>
            </w:r>
          </w:p>
        </w:tc>
        <w:tc>
          <w:tcPr>
            <w:tcW w:w="0" w:type="auto"/>
            <w:vAlign w:val="center"/>
            <w:hideMark/>
          </w:tcPr>
          <w:p w14:paraId="3B803AAD"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4157CFC5"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4.21 – 5.00</w:t>
            </w:r>
          </w:p>
        </w:tc>
        <w:tc>
          <w:tcPr>
            <w:tcW w:w="0" w:type="auto"/>
            <w:vAlign w:val="center"/>
            <w:hideMark/>
          </w:tcPr>
          <w:p w14:paraId="60CA98FF"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r>
      <w:tr w:rsidR="00650C72" w:rsidRPr="00650C72" w14:paraId="75B9E1FE" w14:textId="77777777" w:rsidTr="006C0F6B">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C4AEE9"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موافق</w:t>
            </w:r>
          </w:p>
        </w:tc>
        <w:tc>
          <w:tcPr>
            <w:tcW w:w="0" w:type="auto"/>
            <w:vAlign w:val="center"/>
            <w:hideMark/>
          </w:tcPr>
          <w:p w14:paraId="2A76E97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2EE7B614"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3.41 – 4.20</w:t>
            </w:r>
          </w:p>
        </w:tc>
        <w:tc>
          <w:tcPr>
            <w:tcW w:w="0" w:type="auto"/>
            <w:vAlign w:val="center"/>
            <w:hideMark/>
          </w:tcPr>
          <w:p w14:paraId="0A40DF0E"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r w:rsidR="00650C72" w:rsidRPr="00650C72" w14:paraId="73399230" w14:textId="77777777" w:rsidTr="006C0F6B">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FB92B"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محايد</w:t>
            </w:r>
          </w:p>
        </w:tc>
        <w:tc>
          <w:tcPr>
            <w:tcW w:w="0" w:type="auto"/>
            <w:vAlign w:val="center"/>
            <w:hideMark/>
          </w:tcPr>
          <w:p w14:paraId="170F960B"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4BFBDB5E"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2.61 – 3.40</w:t>
            </w:r>
          </w:p>
        </w:tc>
        <w:tc>
          <w:tcPr>
            <w:tcW w:w="0" w:type="auto"/>
            <w:vAlign w:val="center"/>
            <w:hideMark/>
          </w:tcPr>
          <w:p w14:paraId="181B87E8"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متوسط</w:t>
            </w:r>
          </w:p>
        </w:tc>
      </w:tr>
      <w:tr w:rsidR="00650C72" w:rsidRPr="00650C72" w14:paraId="2D38C9A2" w14:textId="77777777" w:rsidTr="006C0F6B">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A4383"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غير موافق</w:t>
            </w:r>
          </w:p>
        </w:tc>
        <w:tc>
          <w:tcPr>
            <w:tcW w:w="0" w:type="auto"/>
            <w:vAlign w:val="center"/>
            <w:hideMark/>
          </w:tcPr>
          <w:p w14:paraId="58ECA6AB"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09C2E32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1.81 – 2.60</w:t>
            </w:r>
          </w:p>
        </w:tc>
        <w:tc>
          <w:tcPr>
            <w:tcW w:w="0" w:type="auto"/>
            <w:vAlign w:val="center"/>
            <w:hideMark/>
          </w:tcPr>
          <w:p w14:paraId="1491821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منخفض</w:t>
            </w:r>
          </w:p>
        </w:tc>
      </w:tr>
      <w:tr w:rsidR="00650C72" w:rsidRPr="00650C72" w14:paraId="1B028AFC" w14:textId="77777777" w:rsidTr="006C0F6B">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9C0971"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غير موافق بشدة</w:t>
            </w:r>
          </w:p>
        </w:tc>
        <w:tc>
          <w:tcPr>
            <w:tcW w:w="0" w:type="auto"/>
            <w:vAlign w:val="center"/>
            <w:hideMark/>
          </w:tcPr>
          <w:p w14:paraId="5B2319BA"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C9EE12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 – 1.80</w:t>
            </w:r>
          </w:p>
        </w:tc>
        <w:tc>
          <w:tcPr>
            <w:tcW w:w="0" w:type="auto"/>
            <w:vAlign w:val="center"/>
            <w:hideMark/>
          </w:tcPr>
          <w:p w14:paraId="2630037D"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منخفض جداً</w:t>
            </w:r>
          </w:p>
        </w:tc>
      </w:tr>
    </w:tbl>
    <w:p w14:paraId="4B9A9E58" w14:textId="04CF17DB"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0" w:name="_Toc234796458"/>
      <w:r w:rsidRPr="00650C72">
        <w:rPr>
          <w:rFonts w:ascii="Simplified Arabic" w:eastAsia="Times New Roman" w:hAnsi="Simplified Arabic" w:cs="Simplified Arabic" w:hint="cs"/>
          <w:b/>
          <w:bCs/>
          <w:color w:val="000000" w:themeColor="text1"/>
          <w:kern w:val="0"/>
          <w:sz w:val="36"/>
          <w:szCs w:val="36"/>
          <w:rtl/>
          <w14:ligatures w14:val="none"/>
        </w:rPr>
        <w:t>5.3</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صدق أداة الدراسة وثباتها</w:t>
      </w:r>
      <w:bookmarkEnd w:id="60"/>
    </w:p>
    <w:p w14:paraId="05B963AC" w14:textId="09086F59"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الصدق الظاهري (صدق المحكمين)</w:t>
      </w:r>
    </w:p>
    <w:p w14:paraId="34317ED3"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 xml:space="preserve">للتحقق من الصدق الظاهري للأداة، عرضها الباحث على مجموعة من المحكمين المتخصصين في مجالات إدارة الأعمال والاستثمار العقاري وتقنية المعلومات، بلغ عددهم (10) محكمين من أعضاء هيئة التدريس في عدد من الجامعات السعودية. وقد طلب منهم إبداء الرأي في مدى ملاءمة العبارات لقياس ما وُضعت لأجله، وسلامتها اللغوية، ووضوح صياغتها، ومدى انتمائها للبُعد المدرجة تحته. وفي ضوء </w:t>
      </w:r>
      <w:r w:rsidRPr="00650C72">
        <w:rPr>
          <w:rFonts w:ascii="Simplified Arabic" w:eastAsia="Times New Roman" w:hAnsi="Simplified Arabic" w:cs="Simplified Arabic"/>
          <w:color w:val="000000" w:themeColor="text1"/>
          <w:kern w:val="0"/>
          <w:sz w:val="28"/>
          <w:szCs w:val="28"/>
          <w:rtl/>
          <w14:ligatures w14:val="none"/>
        </w:rPr>
        <w:lastRenderedPageBreak/>
        <w:t>ملاحظات المحكمين، أجرى الباحث التعديلات اللازمة على بعض العبارات من حيث الصياغة والوضوح، مع الاحتفاظ بجميع العبارات التي حصلت على نسبة اتفاق لا تقل عن</w:t>
      </w:r>
      <w:r w:rsidRPr="00650C72">
        <w:rPr>
          <w:rFonts w:ascii="Simplified Arabic" w:eastAsia="Times New Roman" w:hAnsi="Simplified Arabic" w:cs="Simplified Arabic"/>
          <w:color w:val="000000" w:themeColor="text1"/>
          <w:kern w:val="0"/>
          <w:sz w:val="28"/>
          <w:szCs w:val="28"/>
          <w14:ligatures w14:val="none"/>
        </w:rPr>
        <w:t xml:space="preserve"> (80%).</w:t>
      </w:r>
    </w:p>
    <w:p w14:paraId="69DB271D" w14:textId="23A4650D"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50C72">
        <w:rPr>
          <w:rFonts w:ascii="Simplified Arabic" w:eastAsia="Times New Roman" w:hAnsi="Simplified Arabic" w:cs="Simplified Arabic"/>
          <w:b/>
          <w:bCs/>
          <w:color w:val="000000" w:themeColor="text1"/>
          <w:kern w:val="0"/>
          <w:sz w:val="32"/>
          <w:szCs w:val="32"/>
          <w:rtl/>
          <w14:ligatures w14:val="none"/>
        </w:rPr>
        <w:t>صدق الاتساق الداخلي</w:t>
      </w:r>
    </w:p>
    <w:p w14:paraId="177861CC"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صدق الاتساق الداخلي، طبّق الباحث الأداة على عينة استطلاعية قوامها (40) مفردة من خارج عينة الدراسة الأصلية، ثم حسب معاملات ارتباط بيرسون بين درجة كل عبارة والدرجة الكلية للبُعد الذي تنتمي إليه، وبين درجة كل بُعد والدرجة الكلية للمتغير الذي ينتمي إليه</w:t>
      </w:r>
      <w:r w:rsidRPr="00650C72">
        <w:rPr>
          <w:rFonts w:ascii="Simplified Arabic" w:eastAsia="Times New Roman" w:hAnsi="Simplified Arabic" w:cs="Simplified Arabic"/>
          <w:color w:val="000000" w:themeColor="text1"/>
          <w:kern w:val="0"/>
          <w:sz w:val="28"/>
          <w:szCs w:val="28"/>
          <w14:ligatures w14:val="none"/>
        </w:rPr>
        <w:t>.</w:t>
      </w:r>
    </w:p>
    <w:p w14:paraId="004C95EC" w14:textId="3A0BEE12" w:rsidR="00197384" w:rsidRPr="00650C72" w:rsidRDefault="00197384" w:rsidP="006C0F6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6C0F6B" w:rsidRPr="00650C72">
        <w:rPr>
          <w:rFonts w:ascii="Simplified Arabic" w:eastAsia="Times New Roman" w:hAnsi="Simplified Arabic" w:cs="Simplified Arabic" w:hint="cs"/>
          <w:b/>
          <w:bCs/>
          <w:color w:val="000000" w:themeColor="text1"/>
          <w:kern w:val="0"/>
          <w:sz w:val="28"/>
          <w:szCs w:val="28"/>
          <w:rtl/>
          <w14:ligatures w14:val="none"/>
        </w:rPr>
        <w:t>3 - 3</w:t>
      </w:r>
      <w:r w:rsidRPr="00650C72">
        <w:rPr>
          <w:rFonts w:ascii="Simplified Arabic" w:eastAsia="Times New Roman" w:hAnsi="Simplified Arabic" w:cs="Simplified Arabic"/>
          <w:b/>
          <w:bCs/>
          <w:color w:val="000000" w:themeColor="text1"/>
          <w:kern w:val="0"/>
          <w:sz w:val="28"/>
          <w:szCs w:val="28"/>
          <w:rtl/>
          <w14:ligatures w14:val="none"/>
        </w:rPr>
        <w:t>): معاملات ارتباط عبارات أبعاد المتغير المستقل بالدرجة الكلية للبُعد</w:t>
      </w:r>
    </w:p>
    <w:tbl>
      <w:tblPr>
        <w:tblStyle w:val="GridTable6Colorful-Accent1"/>
        <w:bidiVisual/>
        <w:tblW w:w="0" w:type="auto"/>
        <w:jc w:val="center"/>
        <w:tblLook w:val="04A0" w:firstRow="1" w:lastRow="0" w:firstColumn="1" w:lastColumn="0" w:noHBand="0" w:noVBand="1"/>
      </w:tblPr>
      <w:tblGrid>
        <w:gridCol w:w="3030"/>
        <w:gridCol w:w="893"/>
        <w:gridCol w:w="1701"/>
        <w:gridCol w:w="1701"/>
      </w:tblGrid>
      <w:tr w:rsidR="00650C72" w:rsidRPr="00650C72" w14:paraId="3C584045" w14:textId="77777777" w:rsidTr="006C0F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2024CD"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w:t>
            </w:r>
          </w:p>
        </w:tc>
        <w:tc>
          <w:tcPr>
            <w:tcW w:w="893" w:type="dxa"/>
            <w:vAlign w:val="center"/>
            <w:hideMark/>
          </w:tcPr>
          <w:p w14:paraId="0D308A71"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1701" w:type="dxa"/>
            <w:vAlign w:val="center"/>
            <w:hideMark/>
          </w:tcPr>
          <w:p w14:paraId="1A3BDB37"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الارتباط</w:t>
            </w:r>
          </w:p>
        </w:tc>
        <w:tc>
          <w:tcPr>
            <w:tcW w:w="1701" w:type="dxa"/>
            <w:vAlign w:val="center"/>
            <w:hideMark/>
          </w:tcPr>
          <w:p w14:paraId="05558191"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الدلالة</w:t>
            </w:r>
          </w:p>
        </w:tc>
      </w:tr>
      <w:tr w:rsidR="00650C72" w:rsidRPr="00650C72" w14:paraId="5A99CA00"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0A663A0"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893" w:type="dxa"/>
            <w:vAlign w:val="center"/>
            <w:hideMark/>
          </w:tcPr>
          <w:p w14:paraId="2A48C4E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1701" w:type="dxa"/>
            <w:vAlign w:val="center"/>
            <w:hideMark/>
          </w:tcPr>
          <w:p w14:paraId="44B661E1"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0.781</w:t>
            </w:r>
          </w:p>
        </w:tc>
        <w:tc>
          <w:tcPr>
            <w:tcW w:w="1701" w:type="dxa"/>
            <w:vAlign w:val="center"/>
            <w:hideMark/>
          </w:tcPr>
          <w:p w14:paraId="23D5C2A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348D1C24"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8E73E7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3A541440"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1701" w:type="dxa"/>
            <w:vAlign w:val="center"/>
            <w:hideMark/>
          </w:tcPr>
          <w:p w14:paraId="4699BDDB"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0.824</w:t>
            </w:r>
          </w:p>
        </w:tc>
        <w:tc>
          <w:tcPr>
            <w:tcW w:w="1701" w:type="dxa"/>
            <w:vAlign w:val="center"/>
            <w:hideMark/>
          </w:tcPr>
          <w:p w14:paraId="131555E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1C1B092B"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47D64C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798FD5A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1701" w:type="dxa"/>
            <w:vAlign w:val="center"/>
            <w:hideMark/>
          </w:tcPr>
          <w:p w14:paraId="1E04135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0.756</w:t>
            </w:r>
          </w:p>
        </w:tc>
        <w:tc>
          <w:tcPr>
            <w:tcW w:w="1701" w:type="dxa"/>
            <w:vAlign w:val="center"/>
            <w:hideMark/>
          </w:tcPr>
          <w:p w14:paraId="1D6739A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10DD5299"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3B8020"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09AF2CB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1701" w:type="dxa"/>
            <w:vAlign w:val="center"/>
            <w:hideMark/>
          </w:tcPr>
          <w:p w14:paraId="2053EB5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0.803</w:t>
            </w:r>
          </w:p>
        </w:tc>
        <w:tc>
          <w:tcPr>
            <w:tcW w:w="1701" w:type="dxa"/>
            <w:vAlign w:val="center"/>
            <w:hideMark/>
          </w:tcPr>
          <w:p w14:paraId="4E78F1B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775FCEA7"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5B660A5"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893" w:type="dxa"/>
            <w:vAlign w:val="center"/>
            <w:hideMark/>
          </w:tcPr>
          <w:p w14:paraId="10A6621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1701" w:type="dxa"/>
            <w:vAlign w:val="center"/>
            <w:hideMark/>
          </w:tcPr>
          <w:p w14:paraId="5A0E2FD9"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0.792</w:t>
            </w:r>
          </w:p>
        </w:tc>
        <w:tc>
          <w:tcPr>
            <w:tcW w:w="1701" w:type="dxa"/>
            <w:vAlign w:val="center"/>
            <w:hideMark/>
          </w:tcPr>
          <w:p w14:paraId="6D4E7EB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E9ACD1F"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87C1E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40265751"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1701" w:type="dxa"/>
            <w:vAlign w:val="center"/>
            <w:hideMark/>
          </w:tcPr>
          <w:p w14:paraId="19F0923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0.815</w:t>
            </w:r>
          </w:p>
        </w:tc>
        <w:tc>
          <w:tcPr>
            <w:tcW w:w="1701" w:type="dxa"/>
            <w:vAlign w:val="center"/>
            <w:hideMark/>
          </w:tcPr>
          <w:p w14:paraId="3D2564D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C40C424"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BBF480"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0C9FD55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1701" w:type="dxa"/>
            <w:vAlign w:val="center"/>
            <w:hideMark/>
          </w:tcPr>
          <w:p w14:paraId="6AC7B0AF"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0.768</w:t>
            </w:r>
          </w:p>
        </w:tc>
        <w:tc>
          <w:tcPr>
            <w:tcW w:w="1701" w:type="dxa"/>
            <w:vAlign w:val="center"/>
            <w:hideMark/>
          </w:tcPr>
          <w:p w14:paraId="09D21A1F"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40897236"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B191B7"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262FDDE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1701" w:type="dxa"/>
            <w:vAlign w:val="center"/>
            <w:hideMark/>
          </w:tcPr>
          <w:p w14:paraId="1560477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0.837</w:t>
            </w:r>
          </w:p>
        </w:tc>
        <w:tc>
          <w:tcPr>
            <w:tcW w:w="1701" w:type="dxa"/>
            <w:vAlign w:val="center"/>
            <w:hideMark/>
          </w:tcPr>
          <w:p w14:paraId="29A1D587"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353940D1"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3EF571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893" w:type="dxa"/>
            <w:vAlign w:val="center"/>
            <w:hideMark/>
          </w:tcPr>
          <w:p w14:paraId="3FEDB0AD"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1701" w:type="dxa"/>
            <w:vAlign w:val="center"/>
            <w:hideMark/>
          </w:tcPr>
          <w:p w14:paraId="1C9FBF1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0.811</w:t>
            </w:r>
          </w:p>
        </w:tc>
        <w:tc>
          <w:tcPr>
            <w:tcW w:w="1701" w:type="dxa"/>
            <w:vAlign w:val="center"/>
            <w:hideMark/>
          </w:tcPr>
          <w:p w14:paraId="37724120"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498C8B1F"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7863B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55977DB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1701" w:type="dxa"/>
            <w:vAlign w:val="center"/>
            <w:hideMark/>
          </w:tcPr>
          <w:p w14:paraId="2FBE9B8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0.774</w:t>
            </w:r>
          </w:p>
        </w:tc>
        <w:tc>
          <w:tcPr>
            <w:tcW w:w="1701" w:type="dxa"/>
            <w:vAlign w:val="center"/>
            <w:hideMark/>
          </w:tcPr>
          <w:p w14:paraId="3E61D09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7F848981"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C202A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40ED553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1701" w:type="dxa"/>
            <w:vAlign w:val="center"/>
            <w:hideMark/>
          </w:tcPr>
          <w:p w14:paraId="6BEB7C9E"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0.829</w:t>
            </w:r>
          </w:p>
        </w:tc>
        <w:tc>
          <w:tcPr>
            <w:tcW w:w="1701" w:type="dxa"/>
            <w:vAlign w:val="center"/>
            <w:hideMark/>
          </w:tcPr>
          <w:p w14:paraId="44189E7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4B209305"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9C1C3E"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71F42C18"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1701" w:type="dxa"/>
            <w:vAlign w:val="center"/>
            <w:hideMark/>
          </w:tcPr>
          <w:p w14:paraId="3F4C900D"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0.796</w:t>
            </w:r>
          </w:p>
        </w:tc>
        <w:tc>
          <w:tcPr>
            <w:tcW w:w="1701" w:type="dxa"/>
            <w:vAlign w:val="center"/>
            <w:hideMark/>
          </w:tcPr>
          <w:p w14:paraId="773F1BF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639D7FCF"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BB4FAF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أنظمة دعم القرار الذكية</w:t>
            </w:r>
          </w:p>
        </w:tc>
        <w:tc>
          <w:tcPr>
            <w:tcW w:w="893" w:type="dxa"/>
            <w:vAlign w:val="center"/>
            <w:hideMark/>
          </w:tcPr>
          <w:p w14:paraId="290C8889"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1701" w:type="dxa"/>
            <w:vAlign w:val="center"/>
            <w:hideMark/>
          </w:tcPr>
          <w:p w14:paraId="60DEA917"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0.842</w:t>
            </w:r>
          </w:p>
        </w:tc>
        <w:tc>
          <w:tcPr>
            <w:tcW w:w="1701" w:type="dxa"/>
            <w:vAlign w:val="center"/>
            <w:hideMark/>
          </w:tcPr>
          <w:p w14:paraId="5909AF78"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15DAB294"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3D13A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3E278CE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1701" w:type="dxa"/>
            <w:vAlign w:val="center"/>
            <w:hideMark/>
          </w:tcPr>
          <w:p w14:paraId="0E55BD09"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0.788</w:t>
            </w:r>
          </w:p>
        </w:tc>
        <w:tc>
          <w:tcPr>
            <w:tcW w:w="1701" w:type="dxa"/>
            <w:vAlign w:val="center"/>
            <w:hideMark/>
          </w:tcPr>
          <w:p w14:paraId="0A41B57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47436F94"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2019B48"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12AEBF86"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1701" w:type="dxa"/>
            <w:vAlign w:val="center"/>
            <w:hideMark/>
          </w:tcPr>
          <w:p w14:paraId="54F62B28"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0.807</w:t>
            </w:r>
          </w:p>
        </w:tc>
        <w:tc>
          <w:tcPr>
            <w:tcW w:w="1701" w:type="dxa"/>
            <w:vAlign w:val="center"/>
            <w:hideMark/>
          </w:tcPr>
          <w:p w14:paraId="02E28636"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5917991"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1C4FD2"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893" w:type="dxa"/>
            <w:vAlign w:val="center"/>
            <w:hideMark/>
          </w:tcPr>
          <w:p w14:paraId="362EE79B"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1701" w:type="dxa"/>
            <w:vAlign w:val="center"/>
            <w:hideMark/>
          </w:tcPr>
          <w:p w14:paraId="4078079E"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0.819</w:t>
            </w:r>
          </w:p>
        </w:tc>
        <w:tc>
          <w:tcPr>
            <w:tcW w:w="1701" w:type="dxa"/>
            <w:vAlign w:val="center"/>
            <w:hideMark/>
          </w:tcPr>
          <w:p w14:paraId="57C9035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bl>
    <w:p w14:paraId="48F19787"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يتّضح من الجدول أن جميع معاملات الارتباط تراوحت بين (0.756) و(0.842)، وجاءت دالة إحصائياً عند مستوى (0.01)، مما يدل على تمتع عبارات المتغير المستقل بدرجة عالية من الاتساق الداخلي</w:t>
      </w:r>
      <w:r w:rsidRPr="00650C72">
        <w:rPr>
          <w:rFonts w:ascii="Simplified Arabic" w:eastAsia="Times New Roman" w:hAnsi="Simplified Arabic" w:cs="Simplified Arabic"/>
          <w:color w:val="000000" w:themeColor="text1"/>
          <w:kern w:val="0"/>
          <w:sz w:val="28"/>
          <w:szCs w:val="28"/>
          <w14:ligatures w14:val="none"/>
        </w:rPr>
        <w:t>.</w:t>
      </w:r>
    </w:p>
    <w:p w14:paraId="774EE670" w14:textId="7C1399C7" w:rsidR="00197384" w:rsidRPr="00650C72" w:rsidRDefault="00197384" w:rsidP="006C0F6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6C0F6B" w:rsidRPr="00650C72">
        <w:rPr>
          <w:rFonts w:ascii="Simplified Arabic" w:eastAsia="Times New Roman" w:hAnsi="Simplified Arabic" w:cs="Simplified Arabic" w:hint="cs"/>
          <w:b/>
          <w:bCs/>
          <w:color w:val="000000" w:themeColor="text1"/>
          <w:kern w:val="0"/>
          <w:sz w:val="28"/>
          <w:szCs w:val="28"/>
          <w:rtl/>
          <w14:ligatures w14:val="none"/>
        </w:rPr>
        <w:t>3 - 4</w:t>
      </w:r>
      <w:r w:rsidRPr="00650C72">
        <w:rPr>
          <w:rFonts w:ascii="Simplified Arabic" w:eastAsia="Times New Roman" w:hAnsi="Simplified Arabic" w:cs="Simplified Arabic"/>
          <w:b/>
          <w:bCs/>
          <w:color w:val="000000" w:themeColor="text1"/>
          <w:kern w:val="0"/>
          <w:sz w:val="28"/>
          <w:szCs w:val="28"/>
          <w:rtl/>
          <w14:ligatures w14:val="none"/>
        </w:rPr>
        <w:t>): معاملات ارتباط عبارات المتغير التابع (جودة القرار الاستثماري) بالدرجة الكلية للمتغير</w:t>
      </w:r>
    </w:p>
    <w:tbl>
      <w:tblPr>
        <w:tblStyle w:val="GridTable6Colorful-Accent1"/>
        <w:bidiVisual/>
        <w:tblW w:w="4901" w:type="dxa"/>
        <w:jc w:val="center"/>
        <w:tblLook w:val="04A0" w:firstRow="1" w:lastRow="0" w:firstColumn="1" w:lastColumn="0" w:noHBand="0" w:noVBand="1"/>
      </w:tblPr>
      <w:tblGrid>
        <w:gridCol w:w="995"/>
        <w:gridCol w:w="1947"/>
        <w:gridCol w:w="1959"/>
      </w:tblGrid>
      <w:tr w:rsidR="00650C72" w:rsidRPr="00650C72" w14:paraId="246013B7" w14:textId="77777777" w:rsidTr="006C0F6B">
        <w:trPr>
          <w:cnfStyle w:val="100000000000" w:firstRow="1" w:lastRow="0" w:firstColumn="0" w:lastColumn="0" w:oddVBand="0" w:evenVBand="0" w:oddHBand="0" w:evenHBand="0" w:firstRowFirstColumn="0" w:firstRowLastColumn="0" w:lastRowFirstColumn="0" w:lastRowLastColumn="0"/>
          <w:trHeight w:val="48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B5312"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66DEA118"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الارتباط</w:t>
            </w:r>
          </w:p>
        </w:tc>
        <w:tc>
          <w:tcPr>
            <w:tcW w:w="0" w:type="auto"/>
            <w:vAlign w:val="center"/>
            <w:hideMark/>
          </w:tcPr>
          <w:p w14:paraId="05D70178"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الدلالة</w:t>
            </w:r>
          </w:p>
        </w:tc>
      </w:tr>
      <w:tr w:rsidR="00650C72" w:rsidRPr="00650C72" w14:paraId="56EF3708" w14:textId="77777777" w:rsidTr="006C0F6B">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E11306"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19A381DB"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0.783</w:t>
            </w:r>
          </w:p>
        </w:tc>
        <w:tc>
          <w:tcPr>
            <w:tcW w:w="0" w:type="auto"/>
            <w:vAlign w:val="center"/>
            <w:hideMark/>
          </w:tcPr>
          <w:p w14:paraId="30B97CA3"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6DE71B1F" w14:textId="77777777" w:rsidTr="006C0F6B">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F0220"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6AA165C1"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0.812</w:t>
            </w:r>
          </w:p>
        </w:tc>
        <w:tc>
          <w:tcPr>
            <w:tcW w:w="0" w:type="auto"/>
            <w:vAlign w:val="center"/>
            <w:hideMark/>
          </w:tcPr>
          <w:p w14:paraId="4CC99F0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02C817D8" w14:textId="77777777" w:rsidTr="006C0F6B">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0861F5"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1AA2CAD9"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0.795</w:t>
            </w:r>
          </w:p>
        </w:tc>
        <w:tc>
          <w:tcPr>
            <w:tcW w:w="0" w:type="auto"/>
            <w:vAlign w:val="center"/>
            <w:hideMark/>
          </w:tcPr>
          <w:p w14:paraId="724CAE50"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69B164A9" w14:textId="77777777" w:rsidTr="006C0F6B">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4778C8"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3DF17D28"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0.826</w:t>
            </w:r>
          </w:p>
        </w:tc>
        <w:tc>
          <w:tcPr>
            <w:tcW w:w="0" w:type="auto"/>
            <w:vAlign w:val="center"/>
            <w:hideMark/>
          </w:tcPr>
          <w:p w14:paraId="745B329B"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74061196" w14:textId="77777777" w:rsidTr="006C0F6B">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6F8714"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329DE262"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0.771</w:t>
            </w:r>
          </w:p>
        </w:tc>
        <w:tc>
          <w:tcPr>
            <w:tcW w:w="0" w:type="auto"/>
            <w:vAlign w:val="center"/>
            <w:hideMark/>
          </w:tcPr>
          <w:p w14:paraId="6E02947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29D05C6" w14:textId="77777777" w:rsidTr="006C0F6B">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DD939E"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7A74CC11"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0.804</w:t>
            </w:r>
          </w:p>
        </w:tc>
        <w:tc>
          <w:tcPr>
            <w:tcW w:w="0" w:type="auto"/>
            <w:vAlign w:val="center"/>
            <w:hideMark/>
          </w:tcPr>
          <w:p w14:paraId="6DC5A6CD"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81E5473" w14:textId="77777777" w:rsidTr="006C0F6B">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F36E25"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51D56CE3"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0.789</w:t>
            </w:r>
          </w:p>
        </w:tc>
        <w:tc>
          <w:tcPr>
            <w:tcW w:w="0" w:type="auto"/>
            <w:vAlign w:val="center"/>
            <w:hideMark/>
          </w:tcPr>
          <w:p w14:paraId="03BF2C97"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D145C63" w14:textId="77777777" w:rsidTr="006C0F6B">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9AB771"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307C209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0.833</w:t>
            </w:r>
          </w:p>
        </w:tc>
        <w:tc>
          <w:tcPr>
            <w:tcW w:w="0" w:type="auto"/>
            <w:vAlign w:val="center"/>
            <w:hideMark/>
          </w:tcPr>
          <w:p w14:paraId="24FB706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616560C3" w14:textId="77777777" w:rsidTr="006C0F6B">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291F8C"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51AC390A"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0.816</w:t>
            </w:r>
          </w:p>
        </w:tc>
        <w:tc>
          <w:tcPr>
            <w:tcW w:w="0" w:type="auto"/>
            <w:vAlign w:val="center"/>
            <w:hideMark/>
          </w:tcPr>
          <w:p w14:paraId="57152626"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r w:rsidR="00650C72" w:rsidRPr="00650C72" w14:paraId="5FF3CD75" w14:textId="77777777" w:rsidTr="006C0F6B">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3DF455"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28D30C0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0.798</w:t>
            </w:r>
          </w:p>
        </w:tc>
        <w:tc>
          <w:tcPr>
            <w:tcW w:w="0" w:type="auto"/>
            <w:vAlign w:val="center"/>
            <w:hideMark/>
          </w:tcPr>
          <w:p w14:paraId="4381A716"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0.01</w:t>
            </w:r>
          </w:p>
        </w:tc>
      </w:tr>
    </w:tbl>
    <w:p w14:paraId="271DF2DF"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يتبيّن من الجدول أن معاملات ارتباط عبارات جودة القرار الاستثماري بالدرجة الكلية للمتغير تراوحت بين (0.771) و(0.833)، وجميعها دالة إحصائياً عند مستوى (0.01)، مما يعكس اتساقاً داخلياً مرتفعاً لعبارات المتغير التابع</w:t>
      </w:r>
      <w:r w:rsidRPr="00650C72">
        <w:rPr>
          <w:rFonts w:ascii="Simplified Arabic" w:eastAsia="Times New Roman" w:hAnsi="Simplified Arabic" w:cs="Simplified Arabic"/>
          <w:color w:val="000000" w:themeColor="text1"/>
          <w:kern w:val="0"/>
          <w:sz w:val="28"/>
          <w:szCs w:val="28"/>
          <w14:ligatures w14:val="none"/>
        </w:rPr>
        <w:t>.</w:t>
      </w:r>
    </w:p>
    <w:p w14:paraId="42FB2808" w14:textId="3E12287F"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مصفوفة الارتباط بين أبعاد الدراسة</w:t>
      </w:r>
    </w:p>
    <w:p w14:paraId="383B9EA3"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صدق البناء وتحديد طبيعة العلاقة بين أبعاد المتغير المستقل والمتغير التابع، حسب الباحث معاملات ارتباط بيرسون بين أبعاد الدراسة على النحو الموضح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6241A3FC" w14:textId="6006F78A" w:rsidR="00197384" w:rsidRPr="00650C72" w:rsidRDefault="006C0F6B" w:rsidP="006C0F6B">
      <w:pPr>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br w:type="page"/>
      </w:r>
      <w:r w:rsidR="00197384" w:rsidRPr="00650C72">
        <w:rPr>
          <w:rFonts w:ascii="Simplified Arabic" w:eastAsia="Times New Roman" w:hAnsi="Simplified Arabic" w:cs="Simplified Arabic"/>
          <w:b/>
          <w:bCs/>
          <w:color w:val="000000" w:themeColor="text1"/>
          <w:kern w:val="0"/>
          <w:sz w:val="28"/>
          <w:szCs w:val="28"/>
          <w:rtl/>
          <w14:ligatures w14:val="none"/>
        </w:rPr>
        <w:lastRenderedPageBreak/>
        <w:t>جدول (</w:t>
      </w:r>
      <w:r w:rsidRPr="00650C72">
        <w:rPr>
          <w:rFonts w:ascii="Simplified Arabic" w:eastAsia="Times New Roman" w:hAnsi="Simplified Arabic" w:cs="Simplified Arabic" w:hint="cs"/>
          <w:b/>
          <w:bCs/>
          <w:color w:val="000000" w:themeColor="text1"/>
          <w:kern w:val="0"/>
          <w:sz w:val="28"/>
          <w:szCs w:val="28"/>
          <w:rtl/>
          <w14:ligatures w14:val="none"/>
        </w:rPr>
        <w:t>3 - 5</w:t>
      </w:r>
      <w:r w:rsidR="00197384" w:rsidRPr="00650C72">
        <w:rPr>
          <w:rFonts w:ascii="Simplified Arabic" w:eastAsia="Times New Roman" w:hAnsi="Simplified Arabic" w:cs="Simplified Arabic"/>
          <w:b/>
          <w:bCs/>
          <w:color w:val="000000" w:themeColor="text1"/>
          <w:kern w:val="0"/>
          <w:sz w:val="28"/>
          <w:szCs w:val="28"/>
          <w:rtl/>
          <w14:ligatures w14:val="none"/>
        </w:rPr>
        <w:t>): مصفوفة الارتباط بين أبعاد المتغير المستقل والمتغير التابع</w:t>
      </w:r>
    </w:p>
    <w:tbl>
      <w:tblPr>
        <w:tblStyle w:val="GridTable6Colorful-Accent1"/>
        <w:bidiVisual/>
        <w:tblW w:w="0" w:type="auto"/>
        <w:jc w:val="center"/>
        <w:tblLook w:val="04A0" w:firstRow="1" w:lastRow="0" w:firstColumn="1" w:lastColumn="0" w:noHBand="0" w:noVBand="1"/>
      </w:tblPr>
      <w:tblGrid>
        <w:gridCol w:w="1579"/>
        <w:gridCol w:w="1495"/>
        <w:gridCol w:w="1536"/>
        <w:gridCol w:w="1606"/>
        <w:gridCol w:w="1445"/>
        <w:gridCol w:w="1400"/>
      </w:tblGrid>
      <w:tr w:rsidR="00650C72" w:rsidRPr="00650C72" w14:paraId="7851F5DB" w14:textId="77777777" w:rsidTr="006C0F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3CF369"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3C52B619"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0" w:type="auto"/>
            <w:vAlign w:val="center"/>
            <w:hideMark/>
          </w:tcPr>
          <w:p w14:paraId="4C20A457"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0" w:type="auto"/>
            <w:vAlign w:val="center"/>
            <w:hideMark/>
          </w:tcPr>
          <w:p w14:paraId="1B4D6D7B"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0" w:type="auto"/>
            <w:vAlign w:val="center"/>
            <w:hideMark/>
          </w:tcPr>
          <w:p w14:paraId="046DD34A"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أنظمة دعم القرار الذكية</w:t>
            </w:r>
          </w:p>
        </w:tc>
        <w:tc>
          <w:tcPr>
            <w:tcW w:w="0" w:type="auto"/>
            <w:vAlign w:val="center"/>
            <w:hideMark/>
          </w:tcPr>
          <w:p w14:paraId="044F7BED"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جودة القرار الاستثماري</w:t>
            </w:r>
          </w:p>
        </w:tc>
      </w:tr>
      <w:tr w:rsidR="00650C72" w:rsidRPr="00650C72" w14:paraId="3B3A9DF6"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51CCB0"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0" w:type="auto"/>
            <w:vAlign w:val="center"/>
            <w:hideMark/>
          </w:tcPr>
          <w:p w14:paraId="0C267F2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BE83DA7"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79204A3"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7C8BA4F"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AA01B0E"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650C72" w:rsidRPr="00650C72" w14:paraId="05B5FDC3"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AB0D8"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0" w:type="auto"/>
            <w:vAlign w:val="center"/>
            <w:hideMark/>
          </w:tcPr>
          <w:p w14:paraId="44EF3D70"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2914CBE7"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1DDF2B12"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5841653"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7593E41"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650C72" w:rsidRPr="00650C72" w14:paraId="4C10A973"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4D385"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0" w:type="auto"/>
            <w:vAlign w:val="center"/>
            <w:hideMark/>
          </w:tcPr>
          <w:p w14:paraId="4CC35933"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0.587**</w:t>
            </w:r>
          </w:p>
        </w:tc>
        <w:tc>
          <w:tcPr>
            <w:tcW w:w="0" w:type="auto"/>
            <w:vAlign w:val="center"/>
            <w:hideMark/>
          </w:tcPr>
          <w:p w14:paraId="7D41E918"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0.643**</w:t>
            </w:r>
          </w:p>
        </w:tc>
        <w:tc>
          <w:tcPr>
            <w:tcW w:w="0" w:type="auto"/>
            <w:vAlign w:val="center"/>
            <w:hideMark/>
          </w:tcPr>
          <w:p w14:paraId="64982950"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C75DBF9"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084A73E"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650C72" w:rsidRPr="00650C72" w14:paraId="7DD317F1"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4175E6"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أنظمة دعم القرار الذكية</w:t>
            </w:r>
          </w:p>
        </w:tc>
        <w:tc>
          <w:tcPr>
            <w:tcW w:w="0" w:type="auto"/>
            <w:vAlign w:val="center"/>
            <w:hideMark/>
          </w:tcPr>
          <w:p w14:paraId="0854B939"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0.601**</w:t>
            </w:r>
          </w:p>
        </w:tc>
        <w:tc>
          <w:tcPr>
            <w:tcW w:w="0" w:type="auto"/>
            <w:vAlign w:val="center"/>
            <w:hideMark/>
          </w:tcPr>
          <w:p w14:paraId="355269D1"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0.628**</w:t>
            </w:r>
          </w:p>
        </w:tc>
        <w:tc>
          <w:tcPr>
            <w:tcW w:w="0" w:type="auto"/>
            <w:vAlign w:val="center"/>
            <w:hideMark/>
          </w:tcPr>
          <w:p w14:paraId="35B253EA"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0.659**</w:t>
            </w:r>
          </w:p>
        </w:tc>
        <w:tc>
          <w:tcPr>
            <w:tcW w:w="0" w:type="auto"/>
            <w:vAlign w:val="center"/>
            <w:hideMark/>
          </w:tcPr>
          <w:p w14:paraId="1549FB72"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52400A2C"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650C72" w:rsidRPr="00650C72" w14:paraId="6CA35477"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4A7037"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جودة القرار الاستثماري</w:t>
            </w:r>
          </w:p>
        </w:tc>
        <w:tc>
          <w:tcPr>
            <w:tcW w:w="0" w:type="auto"/>
            <w:vAlign w:val="center"/>
            <w:hideMark/>
          </w:tcPr>
          <w:p w14:paraId="10BFA49B"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0.694**</w:t>
            </w:r>
          </w:p>
        </w:tc>
        <w:tc>
          <w:tcPr>
            <w:tcW w:w="0" w:type="auto"/>
            <w:vAlign w:val="center"/>
            <w:hideMark/>
          </w:tcPr>
          <w:p w14:paraId="231A91BF"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0.721**</w:t>
            </w:r>
          </w:p>
        </w:tc>
        <w:tc>
          <w:tcPr>
            <w:tcW w:w="0" w:type="auto"/>
            <w:vAlign w:val="center"/>
            <w:hideMark/>
          </w:tcPr>
          <w:p w14:paraId="4D561225"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0.708**</w:t>
            </w:r>
          </w:p>
        </w:tc>
        <w:tc>
          <w:tcPr>
            <w:tcW w:w="0" w:type="auto"/>
            <w:vAlign w:val="center"/>
            <w:hideMark/>
          </w:tcPr>
          <w:p w14:paraId="7A02F366"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0.752**</w:t>
            </w:r>
          </w:p>
        </w:tc>
        <w:tc>
          <w:tcPr>
            <w:tcW w:w="0" w:type="auto"/>
            <w:vAlign w:val="center"/>
            <w:hideMark/>
          </w:tcPr>
          <w:p w14:paraId="5E4087B7"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bl>
    <w:p w14:paraId="50EC4307"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دال إحصائياً عند مستوى</w:t>
      </w:r>
      <w:r w:rsidRPr="00650C72">
        <w:rPr>
          <w:rFonts w:ascii="Simplified Arabic" w:eastAsia="Times New Roman" w:hAnsi="Simplified Arabic" w:cs="Simplified Arabic"/>
          <w:color w:val="000000" w:themeColor="text1"/>
          <w:kern w:val="0"/>
          <w:sz w:val="28"/>
          <w:szCs w:val="28"/>
          <w14:ligatures w14:val="none"/>
        </w:rPr>
        <w:t xml:space="preserve"> (0.01).</w:t>
      </w:r>
    </w:p>
    <w:p w14:paraId="12D44FAB"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مصفوفة الارتباط أن جميع معاملات الارتباط بين أبعاد المتغير المستقل والمتغير التابع دالة إحصائياً عند مستوى (0.01)، وقد تراوحت بين (0.694) و(0.752)، وهي قيم تعكس علاقة ارتباطية قوية بين أبعاد أدوات الذكاء الاصطناعي في التقييم العقاري وجودة القرار الاستثماري. كما يتّضح أن قيم الارتباط بين أبعاد المتغير المستقل مع بعضها تراوحت بين (0.587) و(0.659)، وهي قيم تعكس ارتباطاً متوسطاً إلى قوي دون أن تصل إلى مستوى الارتباط الخطي التام الذي قد يُشير إلى مشكلة التعدد الخطي، مما يدل على تمايز الأبعاد وقدرة كل بُعد على قياس جانب مستقل من جوانب المتغير المستقل</w:t>
      </w:r>
      <w:r w:rsidRPr="00650C72">
        <w:rPr>
          <w:rFonts w:ascii="Simplified Arabic" w:eastAsia="Times New Roman" w:hAnsi="Simplified Arabic" w:cs="Simplified Arabic"/>
          <w:color w:val="000000" w:themeColor="text1"/>
          <w:kern w:val="0"/>
          <w:sz w:val="28"/>
          <w:szCs w:val="28"/>
          <w14:ligatures w14:val="none"/>
        </w:rPr>
        <w:t>.</w:t>
      </w:r>
    </w:p>
    <w:p w14:paraId="76010AB7" w14:textId="2F528141"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ثبات الأداة</w:t>
      </w:r>
    </w:p>
    <w:p w14:paraId="21050625"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للتحقق من ثبات أداة الدراسة، اعتمد الباحث معامل ألفا كرونباخ</w:t>
      </w:r>
      <w:r w:rsidRPr="00650C72">
        <w:rPr>
          <w:rFonts w:ascii="Simplified Arabic" w:eastAsia="Times New Roman" w:hAnsi="Simplified Arabic" w:cs="Simplified Arabic"/>
          <w:color w:val="000000" w:themeColor="text1"/>
          <w:kern w:val="0"/>
          <w:sz w:val="28"/>
          <w:szCs w:val="28"/>
          <w14:ligatures w14:val="none"/>
        </w:rPr>
        <w:t xml:space="preserve"> (Cronbach’s Alpha) </w:t>
      </w:r>
      <w:r w:rsidRPr="00650C72">
        <w:rPr>
          <w:rFonts w:ascii="Simplified Arabic" w:eastAsia="Times New Roman" w:hAnsi="Simplified Arabic" w:cs="Simplified Arabic"/>
          <w:color w:val="000000" w:themeColor="text1"/>
          <w:kern w:val="0"/>
          <w:sz w:val="28"/>
          <w:szCs w:val="28"/>
          <w:rtl/>
          <w14:ligatures w14:val="none"/>
        </w:rPr>
        <w:t>بوصفه من أكثر المعاملات استخداماً وقبولاً في هذا النوع من الدراسات. وقد جاءت النتائج على النحو الموضح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58C97010" w14:textId="51D83D1D" w:rsidR="00197384" w:rsidRPr="00650C72" w:rsidRDefault="00197384" w:rsidP="006C0F6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6C0F6B" w:rsidRPr="00650C72">
        <w:rPr>
          <w:rFonts w:ascii="Simplified Arabic" w:eastAsia="Times New Roman" w:hAnsi="Simplified Arabic" w:cs="Simplified Arabic" w:hint="cs"/>
          <w:b/>
          <w:bCs/>
          <w:color w:val="000000" w:themeColor="text1"/>
          <w:kern w:val="0"/>
          <w:sz w:val="28"/>
          <w:szCs w:val="28"/>
          <w:rtl/>
          <w14:ligatures w14:val="none"/>
        </w:rPr>
        <w:t>3 - 6</w:t>
      </w:r>
      <w:r w:rsidRPr="00650C72">
        <w:rPr>
          <w:rFonts w:ascii="Simplified Arabic" w:eastAsia="Times New Roman" w:hAnsi="Simplified Arabic" w:cs="Simplified Arabic"/>
          <w:b/>
          <w:bCs/>
          <w:color w:val="000000" w:themeColor="text1"/>
          <w:kern w:val="0"/>
          <w:sz w:val="28"/>
          <w:szCs w:val="28"/>
          <w:rtl/>
          <w14:ligatures w14:val="none"/>
        </w:rPr>
        <w:t>): معاملات ثبات ألفا كرونباخ لأبعاد الدراسة</w:t>
      </w:r>
    </w:p>
    <w:tbl>
      <w:tblPr>
        <w:tblStyle w:val="GridTable6Colorful-Accent1"/>
        <w:bidiVisual/>
        <w:tblW w:w="7518" w:type="dxa"/>
        <w:jc w:val="center"/>
        <w:tblLook w:val="04A0" w:firstRow="1" w:lastRow="0" w:firstColumn="1" w:lastColumn="0" w:noHBand="0" w:noVBand="1"/>
      </w:tblPr>
      <w:tblGrid>
        <w:gridCol w:w="4001"/>
        <w:gridCol w:w="1453"/>
        <w:gridCol w:w="2064"/>
      </w:tblGrid>
      <w:tr w:rsidR="00650C72" w:rsidRPr="00650C72" w14:paraId="58DC1D0D" w14:textId="77777777" w:rsidTr="006C0F6B">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DCFF9D"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 / المتغير</w:t>
            </w:r>
          </w:p>
        </w:tc>
        <w:tc>
          <w:tcPr>
            <w:tcW w:w="0" w:type="auto"/>
            <w:vAlign w:val="center"/>
            <w:hideMark/>
          </w:tcPr>
          <w:p w14:paraId="3346EFCB"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عدد العبارات</w:t>
            </w:r>
          </w:p>
        </w:tc>
        <w:tc>
          <w:tcPr>
            <w:tcW w:w="0" w:type="auto"/>
            <w:vAlign w:val="center"/>
            <w:hideMark/>
          </w:tcPr>
          <w:p w14:paraId="436A1CB5"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ألفا كرونباخ</w:t>
            </w:r>
          </w:p>
        </w:tc>
      </w:tr>
      <w:tr w:rsidR="00650C72" w:rsidRPr="00650C72" w14:paraId="0A8F3FBB" w14:textId="77777777" w:rsidTr="006C0F6B">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358A3"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0" w:type="auto"/>
            <w:vAlign w:val="center"/>
            <w:hideMark/>
          </w:tcPr>
          <w:p w14:paraId="0B7C21AF"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34250074"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0.847</w:t>
            </w:r>
          </w:p>
        </w:tc>
      </w:tr>
      <w:tr w:rsidR="00650C72" w:rsidRPr="00650C72" w14:paraId="30B05411" w14:textId="77777777" w:rsidTr="006C0F6B">
        <w:trPr>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8C9764"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0" w:type="auto"/>
            <w:vAlign w:val="center"/>
            <w:hideMark/>
          </w:tcPr>
          <w:p w14:paraId="1098A27C"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A9E29A4"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0.862</w:t>
            </w:r>
          </w:p>
        </w:tc>
      </w:tr>
      <w:tr w:rsidR="00650C72" w:rsidRPr="00650C72" w14:paraId="6E26070A" w14:textId="77777777" w:rsidTr="006C0F6B">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5E1B2"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0" w:type="auto"/>
            <w:vAlign w:val="center"/>
            <w:hideMark/>
          </w:tcPr>
          <w:p w14:paraId="4C005B7B"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4C2543A"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0.855</w:t>
            </w:r>
          </w:p>
        </w:tc>
      </w:tr>
      <w:tr w:rsidR="00650C72" w:rsidRPr="00650C72" w14:paraId="3D544E11" w14:textId="77777777" w:rsidTr="006C0F6B">
        <w:trPr>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E8FFE5"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أنظمة دعم القرار الذكية</w:t>
            </w:r>
          </w:p>
        </w:tc>
        <w:tc>
          <w:tcPr>
            <w:tcW w:w="0" w:type="auto"/>
            <w:vAlign w:val="center"/>
            <w:hideMark/>
          </w:tcPr>
          <w:p w14:paraId="5CADD85E"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145288BC"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0.879</w:t>
            </w:r>
          </w:p>
        </w:tc>
      </w:tr>
      <w:tr w:rsidR="00650C72" w:rsidRPr="00650C72" w14:paraId="338A3C58" w14:textId="77777777" w:rsidTr="006C0F6B">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43BDBC"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المتغير المستقل ككل</w:t>
            </w:r>
          </w:p>
        </w:tc>
        <w:tc>
          <w:tcPr>
            <w:tcW w:w="0" w:type="auto"/>
            <w:vAlign w:val="center"/>
            <w:hideMark/>
          </w:tcPr>
          <w:p w14:paraId="4FD2D426"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16</w:t>
            </w:r>
          </w:p>
        </w:tc>
        <w:tc>
          <w:tcPr>
            <w:tcW w:w="0" w:type="auto"/>
            <w:vAlign w:val="center"/>
            <w:hideMark/>
          </w:tcPr>
          <w:p w14:paraId="6621A37F"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0.914</w:t>
            </w:r>
          </w:p>
        </w:tc>
      </w:tr>
      <w:tr w:rsidR="00650C72" w:rsidRPr="00650C72" w14:paraId="08EC5EF8" w14:textId="77777777" w:rsidTr="006C0F6B">
        <w:trPr>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39C373"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جودة القرار الاستثماري (المتغير التابع)</w:t>
            </w:r>
          </w:p>
        </w:tc>
        <w:tc>
          <w:tcPr>
            <w:tcW w:w="0" w:type="auto"/>
            <w:vAlign w:val="center"/>
            <w:hideMark/>
          </w:tcPr>
          <w:p w14:paraId="180BF78F"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1E24E831" w14:textId="77777777" w:rsidR="00197384" w:rsidRPr="00650C72" w:rsidRDefault="00197384"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0.896</w:t>
            </w:r>
          </w:p>
        </w:tc>
      </w:tr>
      <w:tr w:rsidR="00650C72" w:rsidRPr="00650C72" w14:paraId="3D2BFA19" w14:textId="77777777" w:rsidTr="006C0F6B">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4084A"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الأداة ككل</w:t>
            </w:r>
          </w:p>
        </w:tc>
        <w:tc>
          <w:tcPr>
            <w:tcW w:w="0" w:type="auto"/>
            <w:vAlign w:val="center"/>
            <w:hideMark/>
          </w:tcPr>
          <w:p w14:paraId="08BEE191"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26</w:t>
            </w:r>
          </w:p>
        </w:tc>
        <w:tc>
          <w:tcPr>
            <w:tcW w:w="0" w:type="auto"/>
            <w:vAlign w:val="center"/>
            <w:hideMark/>
          </w:tcPr>
          <w:p w14:paraId="1DE033B2" w14:textId="77777777" w:rsidR="00197384" w:rsidRPr="00650C72" w:rsidRDefault="00197384"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0.927</w:t>
            </w:r>
          </w:p>
        </w:tc>
      </w:tr>
    </w:tbl>
    <w:p w14:paraId="5B266107"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قيم معامل ألفا كرونباخ لأبعاد المتغير المستقل تراوحت بين (0.847) و(0.879)، وبلغت للمتغير المستقل ككل (0.914)، وللمتغير التابع (0.896)، وللأداة ككل (0.927)، وجميعها قيم مرتفعة تفوق الحد الأدنى المقبول (0.70)، مما يدل على تمتع الأداة بدرجة عالية من الثبات وصلاحيتها للتطبيق على عينة الدراسة</w:t>
      </w:r>
      <w:r w:rsidRPr="00650C72">
        <w:rPr>
          <w:rFonts w:ascii="Simplified Arabic" w:eastAsia="Times New Roman" w:hAnsi="Simplified Arabic" w:cs="Simplified Arabic"/>
          <w:color w:val="000000" w:themeColor="text1"/>
          <w:kern w:val="0"/>
          <w:sz w:val="28"/>
          <w:szCs w:val="28"/>
          <w14:ligatures w14:val="none"/>
        </w:rPr>
        <w:t>.</w:t>
      </w:r>
    </w:p>
    <w:p w14:paraId="6A65427A" w14:textId="079CDCEA"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1" w:name="_Toc234796459"/>
      <w:r w:rsidRPr="00650C72">
        <w:rPr>
          <w:rFonts w:ascii="Simplified Arabic" w:eastAsia="Times New Roman" w:hAnsi="Simplified Arabic" w:cs="Simplified Arabic" w:hint="cs"/>
          <w:b/>
          <w:bCs/>
          <w:color w:val="000000" w:themeColor="text1"/>
          <w:kern w:val="0"/>
          <w:sz w:val="36"/>
          <w:szCs w:val="36"/>
          <w:rtl/>
          <w14:ligatures w14:val="none"/>
        </w:rPr>
        <w:t>6.3</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الأساليب الإحصائية</w:t>
      </w:r>
      <w:bookmarkEnd w:id="61"/>
    </w:p>
    <w:p w14:paraId="49B4229A"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بعد جمع البيانات وترميزها، أُدخلت في برنامج الحزمة الإحصائية للعلوم الاجتماعية</w:t>
      </w:r>
      <w:r w:rsidRPr="00650C72">
        <w:rPr>
          <w:rFonts w:ascii="Simplified Arabic" w:eastAsia="Times New Roman" w:hAnsi="Simplified Arabic" w:cs="Simplified Arabic"/>
          <w:color w:val="000000" w:themeColor="text1"/>
          <w:kern w:val="0"/>
          <w:sz w:val="28"/>
          <w:szCs w:val="28"/>
          <w14:ligatures w14:val="none"/>
        </w:rPr>
        <w:t xml:space="preserve"> (SPSS)</w:t>
      </w:r>
      <w:r w:rsidRPr="00650C72">
        <w:rPr>
          <w:rFonts w:ascii="Simplified Arabic" w:eastAsia="Times New Roman" w:hAnsi="Simplified Arabic" w:cs="Simplified Arabic"/>
          <w:color w:val="000000" w:themeColor="text1"/>
          <w:kern w:val="0"/>
          <w:sz w:val="28"/>
          <w:szCs w:val="28"/>
          <w:rtl/>
          <w14:ligatures w14:val="none"/>
        </w:rPr>
        <w:t>، وجرى تحليلها باستخدام الأساليب الإحصائية الآتية</w:t>
      </w:r>
      <w:r w:rsidRPr="00650C72">
        <w:rPr>
          <w:rFonts w:ascii="Simplified Arabic" w:eastAsia="Times New Roman" w:hAnsi="Simplified Arabic" w:cs="Simplified Arabic"/>
          <w:color w:val="000000" w:themeColor="text1"/>
          <w:kern w:val="0"/>
          <w:sz w:val="28"/>
          <w:szCs w:val="28"/>
          <w14:ligatures w14:val="none"/>
        </w:rPr>
        <w:t>:</w:t>
      </w:r>
    </w:p>
    <w:p w14:paraId="1EA05772"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التكرارات والنسب المئوية لوصف الخصائص الديموغرافية والوظيفية لأفراد العينة</w:t>
      </w:r>
      <w:r w:rsidRPr="00650C72">
        <w:rPr>
          <w:rFonts w:ascii="Simplified Arabic" w:eastAsia="Times New Roman" w:hAnsi="Simplified Arabic" w:cs="Simplified Arabic"/>
          <w:color w:val="000000" w:themeColor="text1"/>
          <w:kern w:val="0"/>
          <w:sz w:val="28"/>
          <w:szCs w:val="28"/>
          <w14:ligatures w14:val="none"/>
        </w:rPr>
        <w:t>.</w:t>
      </w:r>
    </w:p>
    <w:p w14:paraId="084780AA"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مستوى استجابات أفراد العينة على عبارات الاستبانة وأبعادها</w:t>
      </w:r>
      <w:r w:rsidRPr="00650C72">
        <w:rPr>
          <w:rFonts w:ascii="Simplified Arabic" w:eastAsia="Times New Roman" w:hAnsi="Simplified Arabic" w:cs="Simplified Arabic"/>
          <w:color w:val="000000" w:themeColor="text1"/>
          <w:kern w:val="0"/>
          <w:sz w:val="28"/>
          <w:szCs w:val="28"/>
          <w14:ligatures w14:val="none"/>
        </w:rPr>
        <w:t>.</w:t>
      </w:r>
    </w:p>
    <w:p w14:paraId="3A1FC1D7"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معامل ارتباط بيرسون</w:t>
      </w:r>
      <w:r w:rsidRPr="00650C72">
        <w:rPr>
          <w:rFonts w:ascii="Simplified Arabic" w:eastAsia="Times New Roman" w:hAnsi="Simplified Arabic" w:cs="Simplified Arabic"/>
          <w:color w:val="000000" w:themeColor="text1"/>
          <w:kern w:val="0"/>
          <w:sz w:val="28"/>
          <w:szCs w:val="28"/>
          <w14:ligatures w14:val="none"/>
        </w:rPr>
        <w:t xml:space="preserve"> (Pearson Correlation) </w:t>
      </w:r>
      <w:r w:rsidRPr="00650C72">
        <w:rPr>
          <w:rFonts w:ascii="Simplified Arabic" w:eastAsia="Times New Roman" w:hAnsi="Simplified Arabic" w:cs="Simplified Arabic"/>
          <w:color w:val="000000" w:themeColor="text1"/>
          <w:kern w:val="0"/>
          <w:sz w:val="28"/>
          <w:szCs w:val="28"/>
          <w:rtl/>
          <w14:ligatures w14:val="none"/>
        </w:rPr>
        <w:t>للتحقق من صدق الاتساق الداخلي للأداة وبناء مصفوفة الارتباط بين المتغيرات</w:t>
      </w:r>
      <w:r w:rsidRPr="00650C72">
        <w:rPr>
          <w:rFonts w:ascii="Simplified Arabic" w:eastAsia="Times New Roman" w:hAnsi="Simplified Arabic" w:cs="Simplified Arabic"/>
          <w:color w:val="000000" w:themeColor="text1"/>
          <w:kern w:val="0"/>
          <w:sz w:val="28"/>
          <w:szCs w:val="28"/>
          <w14:ligatures w14:val="none"/>
        </w:rPr>
        <w:t>.</w:t>
      </w:r>
    </w:p>
    <w:p w14:paraId="6F5C24E7"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ألفا كرونباخ</w:t>
      </w:r>
      <w:r w:rsidRPr="00650C72">
        <w:rPr>
          <w:rFonts w:ascii="Simplified Arabic" w:eastAsia="Times New Roman" w:hAnsi="Simplified Arabic" w:cs="Simplified Arabic"/>
          <w:color w:val="000000" w:themeColor="text1"/>
          <w:kern w:val="0"/>
          <w:sz w:val="28"/>
          <w:szCs w:val="28"/>
          <w14:ligatures w14:val="none"/>
        </w:rPr>
        <w:t xml:space="preserve"> (Cronbach’s Alpha) </w:t>
      </w:r>
      <w:r w:rsidRPr="00650C72">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650C72">
        <w:rPr>
          <w:rFonts w:ascii="Simplified Arabic" w:eastAsia="Times New Roman" w:hAnsi="Simplified Arabic" w:cs="Simplified Arabic"/>
          <w:color w:val="000000" w:themeColor="text1"/>
          <w:kern w:val="0"/>
          <w:sz w:val="28"/>
          <w:szCs w:val="28"/>
          <w14:ligatures w14:val="none"/>
        </w:rPr>
        <w:t>.</w:t>
      </w:r>
    </w:p>
    <w:p w14:paraId="3D009CEB"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650C72">
        <w:rPr>
          <w:rFonts w:ascii="Simplified Arabic" w:eastAsia="Times New Roman" w:hAnsi="Simplified Arabic" w:cs="Simplified Arabic"/>
          <w:color w:val="000000" w:themeColor="text1"/>
          <w:kern w:val="0"/>
          <w:sz w:val="28"/>
          <w:szCs w:val="28"/>
          <w14:ligatures w14:val="none"/>
        </w:rPr>
        <w:t xml:space="preserve"> (VIF) </w:t>
      </w:r>
      <w:r w:rsidRPr="00650C72">
        <w:rPr>
          <w:rFonts w:ascii="Simplified Arabic" w:eastAsia="Times New Roman" w:hAnsi="Simplified Arabic" w:cs="Simplified Arabic"/>
          <w:color w:val="000000" w:themeColor="text1"/>
          <w:kern w:val="0"/>
          <w:sz w:val="28"/>
          <w:szCs w:val="28"/>
          <w:rtl/>
          <w14:ligatures w14:val="none"/>
        </w:rPr>
        <w:t>واختبار التباين المسموح</w:t>
      </w:r>
      <w:r w:rsidRPr="00650C72">
        <w:rPr>
          <w:rFonts w:ascii="Simplified Arabic" w:eastAsia="Times New Roman" w:hAnsi="Simplified Arabic" w:cs="Simplified Arabic"/>
          <w:color w:val="000000" w:themeColor="text1"/>
          <w:kern w:val="0"/>
          <w:sz w:val="28"/>
          <w:szCs w:val="28"/>
          <w14:ligatures w14:val="none"/>
        </w:rPr>
        <w:t xml:space="preserve"> (Tolerance) </w:t>
      </w:r>
      <w:r w:rsidRPr="00650C72">
        <w:rPr>
          <w:rFonts w:ascii="Simplified Arabic" w:eastAsia="Times New Roman" w:hAnsi="Simplified Arabic" w:cs="Simplified Arabic"/>
          <w:color w:val="000000" w:themeColor="text1"/>
          <w:kern w:val="0"/>
          <w:sz w:val="28"/>
          <w:szCs w:val="28"/>
          <w:rtl/>
          <w14:ligatures w14:val="none"/>
        </w:rPr>
        <w:t>للتأكد من خلو النموذج من مشكلة التعدد الخطي بين المتغيرات المستقلة</w:t>
      </w:r>
      <w:r w:rsidRPr="00650C72">
        <w:rPr>
          <w:rFonts w:ascii="Simplified Arabic" w:eastAsia="Times New Roman" w:hAnsi="Simplified Arabic" w:cs="Simplified Arabic"/>
          <w:color w:val="000000" w:themeColor="text1"/>
          <w:kern w:val="0"/>
          <w:sz w:val="28"/>
          <w:szCs w:val="28"/>
          <w14:ligatures w14:val="none"/>
        </w:rPr>
        <w:t>.</w:t>
      </w:r>
    </w:p>
    <w:p w14:paraId="5B90A588"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(Simple Linear Regression) </w:t>
      </w:r>
      <w:r w:rsidRPr="00650C72">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(اختبار الفرضيات الفرعية)</w:t>
      </w:r>
      <w:r w:rsidRPr="00650C72">
        <w:rPr>
          <w:rFonts w:ascii="Simplified Arabic" w:eastAsia="Times New Roman" w:hAnsi="Simplified Arabic" w:cs="Simplified Arabic"/>
          <w:color w:val="000000" w:themeColor="text1"/>
          <w:kern w:val="0"/>
          <w:sz w:val="28"/>
          <w:szCs w:val="28"/>
          <w14:ligatures w14:val="none"/>
        </w:rPr>
        <w:t>.</w:t>
      </w:r>
    </w:p>
    <w:p w14:paraId="572B3B28"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650C72">
        <w:rPr>
          <w:rFonts w:ascii="Simplified Arabic" w:eastAsia="Times New Roman" w:hAnsi="Simplified Arabic" w:cs="Simplified Arabic"/>
          <w:color w:val="000000" w:themeColor="text1"/>
          <w:kern w:val="0"/>
          <w:sz w:val="28"/>
          <w:szCs w:val="28"/>
          <w14:ligatures w14:val="none"/>
        </w:rPr>
        <w:t xml:space="preserve"> (Multiple Linear Regression) </w:t>
      </w:r>
      <w:r w:rsidRPr="00650C72">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(اختبار الفرضية الرئيسية)</w:t>
      </w:r>
      <w:r w:rsidRPr="00650C72">
        <w:rPr>
          <w:rFonts w:ascii="Simplified Arabic" w:eastAsia="Times New Roman" w:hAnsi="Simplified Arabic" w:cs="Simplified Arabic"/>
          <w:color w:val="000000" w:themeColor="text1"/>
          <w:kern w:val="0"/>
          <w:sz w:val="28"/>
          <w:szCs w:val="28"/>
          <w14:ligatures w14:val="none"/>
        </w:rPr>
        <w:t>.</w:t>
      </w:r>
    </w:p>
    <w:p w14:paraId="308944D3"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اختبار</w:t>
      </w:r>
      <w:r w:rsidRPr="00650C72">
        <w:rPr>
          <w:rFonts w:ascii="Simplified Arabic" w:eastAsia="Times New Roman" w:hAnsi="Simplified Arabic" w:cs="Simplified Arabic"/>
          <w:color w:val="000000" w:themeColor="text1"/>
          <w:kern w:val="0"/>
          <w:sz w:val="28"/>
          <w:szCs w:val="28"/>
          <w14:ligatures w14:val="none"/>
        </w:rPr>
        <w:t xml:space="preserve"> (T-test) </w:t>
      </w:r>
      <w:r w:rsidRPr="00650C72">
        <w:rPr>
          <w:rFonts w:ascii="Simplified Arabic" w:eastAsia="Times New Roman" w:hAnsi="Simplified Arabic" w:cs="Simplified Arabic"/>
          <w:color w:val="000000" w:themeColor="text1"/>
          <w:kern w:val="0"/>
          <w:sz w:val="28"/>
          <w:szCs w:val="28"/>
          <w:rtl/>
          <w14:ligatures w14:val="none"/>
        </w:rPr>
        <w:t>واختبار تحليل التباين الأحادي</w:t>
      </w:r>
      <w:r w:rsidRPr="00650C72">
        <w:rPr>
          <w:rFonts w:ascii="Simplified Arabic" w:eastAsia="Times New Roman" w:hAnsi="Simplified Arabic" w:cs="Simplified Arabic"/>
          <w:color w:val="000000" w:themeColor="text1"/>
          <w:kern w:val="0"/>
          <w:sz w:val="28"/>
          <w:szCs w:val="28"/>
          <w14:ligatures w14:val="none"/>
        </w:rPr>
        <w:t xml:space="preserve"> (One-Way ANOVA) </w:t>
      </w:r>
      <w:r w:rsidRPr="00650C72">
        <w:rPr>
          <w:rFonts w:ascii="Simplified Arabic" w:eastAsia="Times New Roman" w:hAnsi="Simplified Arabic" w:cs="Simplified Arabic"/>
          <w:color w:val="000000" w:themeColor="text1"/>
          <w:kern w:val="0"/>
          <w:sz w:val="28"/>
          <w:szCs w:val="28"/>
          <w:rtl/>
          <w14:ligatures w14:val="none"/>
        </w:rPr>
        <w:t>للتحقق من دلالة الفروق في استجابات أفراد العينة تُعزى للمتغيرات الديموغرافية والوظيفية</w:t>
      </w:r>
      <w:r w:rsidRPr="00650C72">
        <w:rPr>
          <w:rFonts w:ascii="Simplified Arabic" w:eastAsia="Times New Roman" w:hAnsi="Simplified Arabic" w:cs="Simplified Arabic"/>
          <w:color w:val="000000" w:themeColor="text1"/>
          <w:kern w:val="0"/>
          <w:sz w:val="28"/>
          <w:szCs w:val="28"/>
          <w14:ligatures w14:val="none"/>
        </w:rPr>
        <w:t>.</w:t>
      </w:r>
    </w:p>
    <w:p w14:paraId="1D221D95" w14:textId="77777777" w:rsidR="00197384" w:rsidRPr="00650C72" w:rsidRDefault="00197384" w:rsidP="006C0F6B">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الالتواء</w:t>
      </w:r>
      <w:r w:rsidRPr="00650C72">
        <w:rPr>
          <w:rFonts w:ascii="Simplified Arabic" w:eastAsia="Times New Roman" w:hAnsi="Simplified Arabic" w:cs="Simplified Arabic"/>
          <w:color w:val="000000" w:themeColor="text1"/>
          <w:kern w:val="0"/>
          <w:sz w:val="28"/>
          <w:szCs w:val="28"/>
          <w14:ligatures w14:val="none"/>
        </w:rPr>
        <w:t xml:space="preserve"> (Skewness) </w:t>
      </w:r>
      <w:r w:rsidRPr="00650C72">
        <w:rPr>
          <w:rFonts w:ascii="Simplified Arabic" w:eastAsia="Times New Roman" w:hAnsi="Simplified Arabic" w:cs="Simplified Arabic"/>
          <w:color w:val="000000" w:themeColor="text1"/>
          <w:kern w:val="0"/>
          <w:sz w:val="28"/>
          <w:szCs w:val="28"/>
          <w:rtl/>
          <w14:ligatures w14:val="none"/>
        </w:rPr>
        <w:t>ومعامل التفلطح</w:t>
      </w:r>
      <w:r w:rsidRPr="00650C72">
        <w:rPr>
          <w:rFonts w:ascii="Simplified Arabic" w:eastAsia="Times New Roman" w:hAnsi="Simplified Arabic" w:cs="Simplified Arabic"/>
          <w:color w:val="000000" w:themeColor="text1"/>
          <w:kern w:val="0"/>
          <w:sz w:val="28"/>
          <w:szCs w:val="28"/>
          <w14:ligatures w14:val="none"/>
        </w:rPr>
        <w:t xml:space="preserve"> (Kurtosis) </w:t>
      </w:r>
      <w:r w:rsidRPr="00650C72">
        <w:rPr>
          <w:rFonts w:ascii="Simplified Arabic" w:eastAsia="Times New Roman" w:hAnsi="Simplified Arabic" w:cs="Simplified Arabic"/>
          <w:color w:val="000000" w:themeColor="text1"/>
          <w:kern w:val="0"/>
          <w:sz w:val="28"/>
          <w:szCs w:val="28"/>
          <w:rtl/>
          <w14:ligatures w14:val="none"/>
        </w:rPr>
        <w:t>واختبار كولموجروف-سميرنوف</w:t>
      </w:r>
      <w:r w:rsidRPr="00650C72">
        <w:rPr>
          <w:rFonts w:ascii="Simplified Arabic" w:eastAsia="Times New Roman" w:hAnsi="Simplified Arabic" w:cs="Simplified Arabic"/>
          <w:color w:val="000000" w:themeColor="text1"/>
          <w:kern w:val="0"/>
          <w:sz w:val="28"/>
          <w:szCs w:val="28"/>
          <w14:ligatures w14:val="none"/>
        </w:rPr>
        <w:t xml:space="preserve"> (Kolmogorov-Smirnov) </w:t>
      </w:r>
      <w:r w:rsidRPr="00650C72">
        <w:rPr>
          <w:rFonts w:ascii="Simplified Arabic" w:eastAsia="Times New Roman" w:hAnsi="Simplified Arabic" w:cs="Simplified Arabic"/>
          <w:color w:val="000000" w:themeColor="text1"/>
          <w:kern w:val="0"/>
          <w:sz w:val="28"/>
          <w:szCs w:val="28"/>
          <w:rtl/>
          <w14:ligatures w14:val="none"/>
        </w:rPr>
        <w:t>للتحقق من اعتدالية توزيع البيانات قبل تطبيق الاختبارات المعلمية</w:t>
      </w:r>
      <w:r w:rsidRPr="00650C72">
        <w:rPr>
          <w:rFonts w:ascii="Simplified Arabic" w:eastAsia="Times New Roman" w:hAnsi="Simplified Arabic" w:cs="Simplified Arabic"/>
          <w:color w:val="000000" w:themeColor="text1"/>
          <w:kern w:val="0"/>
          <w:sz w:val="28"/>
          <w:szCs w:val="28"/>
          <w14:ligatures w14:val="none"/>
        </w:rPr>
        <w:t>.</w:t>
      </w:r>
    </w:p>
    <w:p w14:paraId="2683F28E" w14:textId="53B610F6" w:rsidR="00197384" w:rsidRPr="00650C72" w:rsidRDefault="00073937" w:rsidP="006C0F6B">
      <w:pPr>
        <w:jc w:val="center"/>
        <w:outlineLvl w:val="0"/>
        <w:rPr>
          <w:rFonts w:ascii="Simplified Arabic" w:eastAsia="Times New Roman" w:hAnsi="Simplified Arabic" w:cs="Simplified Arabic"/>
          <w:b/>
          <w:bCs/>
          <w:color w:val="000000" w:themeColor="text1"/>
          <w:kern w:val="0"/>
          <w:sz w:val="40"/>
          <w:szCs w:val="40"/>
          <w14:ligatures w14:val="none"/>
        </w:rPr>
      </w:pPr>
      <w:r w:rsidRPr="00650C72">
        <w:rPr>
          <w:rFonts w:ascii="Simplified Arabic" w:eastAsia="Times New Roman" w:hAnsi="Simplified Arabic" w:cs="Simplified Arabic"/>
          <w:b/>
          <w:bCs/>
          <w:color w:val="000000" w:themeColor="text1"/>
          <w:kern w:val="0"/>
          <w:sz w:val="40"/>
          <w:szCs w:val="40"/>
          <w:rtl/>
          <w14:ligatures w14:val="none"/>
        </w:rPr>
        <w:br w:type="page"/>
      </w:r>
      <w:bookmarkStart w:id="62" w:name="_Toc234796460"/>
      <w:r w:rsidR="00197384" w:rsidRPr="00650C72">
        <w:rPr>
          <w:rFonts w:ascii="Simplified Arabic" w:eastAsia="Times New Roman" w:hAnsi="Simplified Arabic" w:cs="Simplified Arabic"/>
          <w:b/>
          <w:bCs/>
          <w:color w:val="000000" w:themeColor="text1"/>
          <w:kern w:val="0"/>
          <w:sz w:val="40"/>
          <w:szCs w:val="40"/>
          <w:rtl/>
          <w14:ligatures w14:val="none"/>
        </w:rPr>
        <w:lastRenderedPageBreak/>
        <w:t>الفصل الرابع: تحليل البيانات واختبار الفرضيات</w:t>
      </w:r>
      <w:bookmarkEnd w:id="62"/>
    </w:p>
    <w:p w14:paraId="2EFCF912" w14:textId="79E3E00D"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3" w:name="_Toc234796461"/>
      <w:r w:rsidRPr="00650C72">
        <w:rPr>
          <w:rFonts w:ascii="Simplified Arabic" w:eastAsia="Times New Roman" w:hAnsi="Simplified Arabic" w:cs="Simplified Arabic" w:hint="cs"/>
          <w:b/>
          <w:bCs/>
          <w:color w:val="000000" w:themeColor="text1"/>
          <w:kern w:val="0"/>
          <w:sz w:val="36"/>
          <w:szCs w:val="36"/>
          <w:rtl/>
          <w14:ligatures w14:val="none"/>
        </w:rPr>
        <w:t xml:space="preserve">1.4 </w:t>
      </w:r>
      <w:r w:rsidR="00197384" w:rsidRPr="00650C72">
        <w:rPr>
          <w:rFonts w:ascii="Simplified Arabic" w:eastAsia="Times New Roman" w:hAnsi="Simplified Arabic" w:cs="Simplified Arabic"/>
          <w:b/>
          <w:bCs/>
          <w:color w:val="000000" w:themeColor="text1"/>
          <w:kern w:val="0"/>
          <w:sz w:val="36"/>
          <w:szCs w:val="36"/>
          <w:rtl/>
          <w14:ligatures w14:val="none"/>
        </w:rPr>
        <w:t>تمهيد</w:t>
      </w:r>
      <w:bookmarkEnd w:id="63"/>
    </w:p>
    <w:p w14:paraId="39EBE5F4" w14:textId="77777777" w:rsidR="00197384" w:rsidRPr="00650C72" w:rsidRDefault="00197384" w:rsidP="006C0F6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يتناول هذا الفصل عرض نتائج التحليل الإحصائي للبيانات التي جُمعت من أفراد عينة الدراسة البالغ عددهم (355) مفردة من العاملين في المستويات الإدارية العليا والوسطى في شركات التطوير والاستثمار العقاري بالمملكة العربية السعودية. ويشمل الفصل عرض نتائج تحليل الخصائص الديموغرافية والوظيفية لأفراد العينة، ثم التحليل الوصفي لاستجابات أفراد العينة على عبارات أبعاد المتغير المستقل (أدوات الذكاء الاصطناعي في التقييم العقاري) والمتغير التابع (جودة القرار الاستثماري)، وأخيراً اختبار الفرضية الرئيسية والفرضيات الفرعية المنبثقة عنها</w:t>
      </w:r>
      <w:r w:rsidRPr="00650C72">
        <w:rPr>
          <w:rFonts w:ascii="Simplified Arabic" w:eastAsia="Times New Roman" w:hAnsi="Simplified Arabic" w:cs="Simplified Arabic"/>
          <w:color w:val="000000" w:themeColor="text1"/>
          <w:kern w:val="0"/>
          <w:sz w:val="28"/>
          <w:szCs w:val="28"/>
          <w14:ligatures w14:val="none"/>
        </w:rPr>
        <w:t>.</w:t>
      </w:r>
    </w:p>
    <w:p w14:paraId="29E1A73F" w14:textId="08E5E711" w:rsidR="00197384" w:rsidRPr="00650C72" w:rsidRDefault="006C0F6B" w:rsidP="006C0F6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4" w:name="_Toc234796462"/>
      <w:r w:rsidRPr="00650C72">
        <w:rPr>
          <w:rFonts w:ascii="Simplified Arabic" w:eastAsia="Times New Roman" w:hAnsi="Simplified Arabic" w:cs="Simplified Arabic" w:hint="cs"/>
          <w:b/>
          <w:bCs/>
          <w:color w:val="000000" w:themeColor="text1"/>
          <w:kern w:val="0"/>
          <w:sz w:val="36"/>
          <w:szCs w:val="36"/>
          <w:rtl/>
          <w14:ligatures w14:val="none"/>
        </w:rPr>
        <w:t>2.4</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تحليل الخصائص الديموغرافية والوظيفية لأفراد العينة</w:t>
      </w:r>
      <w:bookmarkEnd w:id="64"/>
    </w:p>
    <w:p w14:paraId="50D9DB0D" w14:textId="740BFEBD" w:rsidR="00197384" w:rsidRPr="00650C72" w:rsidRDefault="00197384" w:rsidP="006C0F6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6C0F6B" w:rsidRPr="00650C72">
        <w:rPr>
          <w:rFonts w:ascii="Simplified Arabic" w:eastAsia="Times New Roman" w:hAnsi="Simplified Arabic" w:cs="Simplified Arabic" w:hint="cs"/>
          <w:b/>
          <w:bCs/>
          <w:color w:val="000000" w:themeColor="text1"/>
          <w:kern w:val="0"/>
          <w:sz w:val="28"/>
          <w:szCs w:val="28"/>
          <w:rtl/>
          <w14:ligatures w14:val="none"/>
        </w:rPr>
        <w:t>4 - 1</w:t>
      </w:r>
      <w:r w:rsidRPr="00650C72">
        <w:rPr>
          <w:rFonts w:ascii="Simplified Arabic" w:eastAsia="Times New Roman" w:hAnsi="Simplified Arabic" w:cs="Simplified Arabic"/>
          <w:b/>
          <w:bCs/>
          <w:color w:val="000000" w:themeColor="text1"/>
          <w:kern w:val="0"/>
          <w:sz w:val="28"/>
          <w:szCs w:val="28"/>
          <w:rtl/>
          <w14:ligatures w14:val="none"/>
        </w:rPr>
        <w:t>): توزيع أفراد العينة وفق الخصائص الديموغرافية والوظيفية</w:t>
      </w:r>
    </w:p>
    <w:tbl>
      <w:tblPr>
        <w:tblStyle w:val="GridTable6Colorful-Accent1"/>
        <w:bidiVisual/>
        <w:tblW w:w="0" w:type="auto"/>
        <w:jc w:val="center"/>
        <w:tblLook w:val="04A0" w:firstRow="1" w:lastRow="0" w:firstColumn="1" w:lastColumn="0" w:noHBand="0" w:noVBand="1"/>
      </w:tblPr>
      <w:tblGrid>
        <w:gridCol w:w="1699"/>
        <w:gridCol w:w="2817"/>
        <w:gridCol w:w="1105"/>
        <w:gridCol w:w="1843"/>
      </w:tblGrid>
      <w:tr w:rsidR="00650C72" w:rsidRPr="00650C72" w14:paraId="57CFFF82" w14:textId="77777777" w:rsidTr="006C0F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B56048" w14:textId="77777777" w:rsidR="00197384" w:rsidRPr="00650C72" w:rsidRDefault="00197384"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593B8CD6"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الفئة</w:t>
            </w:r>
          </w:p>
        </w:tc>
        <w:tc>
          <w:tcPr>
            <w:tcW w:w="1105" w:type="dxa"/>
            <w:vAlign w:val="center"/>
            <w:hideMark/>
          </w:tcPr>
          <w:p w14:paraId="5C96D00C"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التكرار</w:t>
            </w:r>
          </w:p>
        </w:tc>
        <w:tc>
          <w:tcPr>
            <w:tcW w:w="1843" w:type="dxa"/>
            <w:vAlign w:val="center"/>
            <w:hideMark/>
          </w:tcPr>
          <w:p w14:paraId="20B84230" w14:textId="77777777" w:rsidR="00197384" w:rsidRPr="00650C72" w:rsidRDefault="00197384" w:rsidP="006C0F6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النسبة المئوية</w:t>
            </w:r>
          </w:p>
        </w:tc>
      </w:tr>
      <w:tr w:rsidR="00650C72" w:rsidRPr="00650C72" w14:paraId="4350DBF0"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89F06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النوع</w:t>
            </w:r>
          </w:p>
        </w:tc>
        <w:tc>
          <w:tcPr>
            <w:tcW w:w="0" w:type="auto"/>
            <w:vAlign w:val="center"/>
            <w:hideMark/>
          </w:tcPr>
          <w:p w14:paraId="03D9430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ذكر</w:t>
            </w:r>
          </w:p>
        </w:tc>
        <w:tc>
          <w:tcPr>
            <w:tcW w:w="1105" w:type="dxa"/>
            <w:vAlign w:val="center"/>
            <w:hideMark/>
          </w:tcPr>
          <w:p w14:paraId="40EDAE60"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287</w:t>
            </w:r>
          </w:p>
        </w:tc>
        <w:tc>
          <w:tcPr>
            <w:tcW w:w="1843" w:type="dxa"/>
            <w:vAlign w:val="center"/>
            <w:hideMark/>
          </w:tcPr>
          <w:p w14:paraId="7947673F"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80.85%</w:t>
            </w:r>
          </w:p>
        </w:tc>
      </w:tr>
      <w:tr w:rsidR="00650C72" w:rsidRPr="00650C72" w14:paraId="754EEBDA"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12705D"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E6D620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أنثى</w:t>
            </w:r>
          </w:p>
        </w:tc>
        <w:tc>
          <w:tcPr>
            <w:tcW w:w="1105" w:type="dxa"/>
            <w:vAlign w:val="center"/>
            <w:hideMark/>
          </w:tcPr>
          <w:p w14:paraId="35564989"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68</w:t>
            </w:r>
          </w:p>
        </w:tc>
        <w:tc>
          <w:tcPr>
            <w:tcW w:w="1843" w:type="dxa"/>
            <w:vAlign w:val="center"/>
            <w:hideMark/>
          </w:tcPr>
          <w:p w14:paraId="4A4FDFF1"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19.15%</w:t>
            </w:r>
          </w:p>
        </w:tc>
      </w:tr>
      <w:tr w:rsidR="00650C72" w:rsidRPr="00650C72" w14:paraId="1C1DC97F"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BAF916"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2F2BA99"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64ED784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052CA0B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r w:rsidR="00650C72" w:rsidRPr="00650C72" w14:paraId="2A4FE3BD"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DC7D824"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العمر</w:t>
            </w:r>
          </w:p>
        </w:tc>
        <w:tc>
          <w:tcPr>
            <w:tcW w:w="0" w:type="auto"/>
            <w:vAlign w:val="center"/>
            <w:hideMark/>
          </w:tcPr>
          <w:p w14:paraId="36BBB019"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أقل من 30 سنة</w:t>
            </w:r>
          </w:p>
        </w:tc>
        <w:tc>
          <w:tcPr>
            <w:tcW w:w="1105" w:type="dxa"/>
            <w:vAlign w:val="center"/>
            <w:hideMark/>
          </w:tcPr>
          <w:p w14:paraId="595F92CF"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54</w:t>
            </w:r>
          </w:p>
        </w:tc>
        <w:tc>
          <w:tcPr>
            <w:tcW w:w="1843" w:type="dxa"/>
            <w:vAlign w:val="center"/>
            <w:hideMark/>
          </w:tcPr>
          <w:p w14:paraId="4290065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15.21%</w:t>
            </w:r>
          </w:p>
        </w:tc>
      </w:tr>
      <w:tr w:rsidR="00650C72" w:rsidRPr="00650C72" w14:paraId="201C669E"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E0A2F9"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5D9181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 30 إلى أقل من 40 سنة</w:t>
            </w:r>
          </w:p>
        </w:tc>
        <w:tc>
          <w:tcPr>
            <w:tcW w:w="1105" w:type="dxa"/>
            <w:vAlign w:val="center"/>
            <w:hideMark/>
          </w:tcPr>
          <w:p w14:paraId="147D872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143</w:t>
            </w:r>
          </w:p>
        </w:tc>
        <w:tc>
          <w:tcPr>
            <w:tcW w:w="1843" w:type="dxa"/>
            <w:vAlign w:val="center"/>
            <w:hideMark/>
          </w:tcPr>
          <w:p w14:paraId="2EB63BAF"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40.28%</w:t>
            </w:r>
          </w:p>
        </w:tc>
      </w:tr>
      <w:tr w:rsidR="00650C72" w:rsidRPr="00650C72" w14:paraId="05EC66A2"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997E28"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789BEAB"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 40 إلى أقل من 50 سنة</w:t>
            </w:r>
          </w:p>
        </w:tc>
        <w:tc>
          <w:tcPr>
            <w:tcW w:w="1105" w:type="dxa"/>
            <w:vAlign w:val="center"/>
            <w:hideMark/>
          </w:tcPr>
          <w:p w14:paraId="6A645C97"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108</w:t>
            </w:r>
          </w:p>
        </w:tc>
        <w:tc>
          <w:tcPr>
            <w:tcW w:w="1843" w:type="dxa"/>
            <w:vAlign w:val="center"/>
            <w:hideMark/>
          </w:tcPr>
          <w:p w14:paraId="27410F15"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30.42%</w:t>
            </w:r>
          </w:p>
        </w:tc>
      </w:tr>
      <w:tr w:rsidR="00650C72" w:rsidRPr="00650C72" w14:paraId="13C4C2E2"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2A0BB3"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D0FAA5E"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 xml:space="preserve">50 </w:t>
            </w:r>
            <w:r w:rsidRPr="00650C72">
              <w:rPr>
                <w:rFonts w:ascii="Simplified Arabic" w:eastAsia="Times New Roman" w:hAnsi="Simplified Arabic" w:cs="Simplified Arabic"/>
                <w:color w:val="000000" w:themeColor="text1"/>
                <w:kern w:val="0"/>
                <w:sz w:val="28"/>
                <w:szCs w:val="28"/>
                <w:rtl/>
                <w14:ligatures w14:val="none"/>
              </w:rPr>
              <w:t>سنة فأكثر</w:t>
            </w:r>
          </w:p>
        </w:tc>
        <w:tc>
          <w:tcPr>
            <w:tcW w:w="1105" w:type="dxa"/>
            <w:vAlign w:val="center"/>
            <w:hideMark/>
          </w:tcPr>
          <w:p w14:paraId="1D07B7E9"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50</w:t>
            </w:r>
          </w:p>
        </w:tc>
        <w:tc>
          <w:tcPr>
            <w:tcW w:w="1843" w:type="dxa"/>
            <w:vAlign w:val="center"/>
            <w:hideMark/>
          </w:tcPr>
          <w:p w14:paraId="4C271E5D"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14.09%</w:t>
            </w:r>
          </w:p>
        </w:tc>
      </w:tr>
      <w:tr w:rsidR="00650C72" w:rsidRPr="00650C72" w14:paraId="2564EAD0"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751D8E"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DFBDF66"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72B62DF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520F05F8"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r w:rsidR="00650C72" w:rsidRPr="00650C72" w14:paraId="062AEAF3"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B9100B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المؤهل العلمي</w:t>
            </w:r>
          </w:p>
        </w:tc>
        <w:tc>
          <w:tcPr>
            <w:tcW w:w="0" w:type="auto"/>
            <w:vAlign w:val="center"/>
            <w:hideMark/>
          </w:tcPr>
          <w:p w14:paraId="74D5F799"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دبلوم</w:t>
            </w:r>
          </w:p>
        </w:tc>
        <w:tc>
          <w:tcPr>
            <w:tcW w:w="1105" w:type="dxa"/>
            <w:vAlign w:val="center"/>
            <w:hideMark/>
          </w:tcPr>
          <w:p w14:paraId="4F88977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31</w:t>
            </w:r>
          </w:p>
        </w:tc>
        <w:tc>
          <w:tcPr>
            <w:tcW w:w="1843" w:type="dxa"/>
            <w:vAlign w:val="center"/>
            <w:hideMark/>
          </w:tcPr>
          <w:p w14:paraId="4627F691"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8.73%</w:t>
            </w:r>
          </w:p>
        </w:tc>
      </w:tr>
      <w:tr w:rsidR="00650C72" w:rsidRPr="00650C72" w14:paraId="669703A8"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78430B0"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54CA38E"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بكالوريوس</w:t>
            </w:r>
          </w:p>
        </w:tc>
        <w:tc>
          <w:tcPr>
            <w:tcW w:w="1105" w:type="dxa"/>
            <w:vAlign w:val="center"/>
            <w:hideMark/>
          </w:tcPr>
          <w:p w14:paraId="482B73B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214</w:t>
            </w:r>
          </w:p>
        </w:tc>
        <w:tc>
          <w:tcPr>
            <w:tcW w:w="1843" w:type="dxa"/>
            <w:vAlign w:val="center"/>
            <w:hideMark/>
          </w:tcPr>
          <w:p w14:paraId="46027032"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60.28%</w:t>
            </w:r>
          </w:p>
        </w:tc>
      </w:tr>
      <w:tr w:rsidR="00650C72" w:rsidRPr="00650C72" w14:paraId="0B91F15C"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A742789"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51D9500"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ماجستير</w:t>
            </w:r>
          </w:p>
        </w:tc>
        <w:tc>
          <w:tcPr>
            <w:tcW w:w="1105" w:type="dxa"/>
            <w:vAlign w:val="center"/>
            <w:hideMark/>
          </w:tcPr>
          <w:p w14:paraId="3AE9FFDC"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87</w:t>
            </w:r>
          </w:p>
        </w:tc>
        <w:tc>
          <w:tcPr>
            <w:tcW w:w="1843" w:type="dxa"/>
            <w:vAlign w:val="center"/>
            <w:hideMark/>
          </w:tcPr>
          <w:p w14:paraId="3E09731D"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24.51%</w:t>
            </w:r>
          </w:p>
        </w:tc>
      </w:tr>
      <w:tr w:rsidR="00650C72" w:rsidRPr="00650C72" w14:paraId="3FB12FAC"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E51762"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7BEF6F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دكتوراه</w:t>
            </w:r>
          </w:p>
        </w:tc>
        <w:tc>
          <w:tcPr>
            <w:tcW w:w="1105" w:type="dxa"/>
            <w:vAlign w:val="center"/>
            <w:hideMark/>
          </w:tcPr>
          <w:p w14:paraId="441494EE"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23</w:t>
            </w:r>
          </w:p>
        </w:tc>
        <w:tc>
          <w:tcPr>
            <w:tcW w:w="1843" w:type="dxa"/>
            <w:vAlign w:val="center"/>
            <w:hideMark/>
          </w:tcPr>
          <w:p w14:paraId="64A2415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6.48%</w:t>
            </w:r>
          </w:p>
        </w:tc>
      </w:tr>
      <w:tr w:rsidR="00650C72" w:rsidRPr="00650C72" w14:paraId="0FE1D967"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B7EB281"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692AA40"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139A133F"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18E121FE"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r w:rsidR="00650C72" w:rsidRPr="00650C72" w14:paraId="28D462FA"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65E0CD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سنوات الخبرة</w:t>
            </w:r>
          </w:p>
        </w:tc>
        <w:tc>
          <w:tcPr>
            <w:tcW w:w="0" w:type="auto"/>
            <w:vAlign w:val="center"/>
            <w:hideMark/>
          </w:tcPr>
          <w:p w14:paraId="4120B9A7"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أقل من 5 سنوات</w:t>
            </w:r>
          </w:p>
        </w:tc>
        <w:tc>
          <w:tcPr>
            <w:tcW w:w="1105" w:type="dxa"/>
            <w:vAlign w:val="center"/>
            <w:hideMark/>
          </w:tcPr>
          <w:p w14:paraId="1F7F1210"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62</w:t>
            </w:r>
          </w:p>
        </w:tc>
        <w:tc>
          <w:tcPr>
            <w:tcW w:w="1843" w:type="dxa"/>
            <w:vAlign w:val="center"/>
            <w:hideMark/>
          </w:tcPr>
          <w:p w14:paraId="68E4B3D8"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17.46%</w:t>
            </w:r>
          </w:p>
        </w:tc>
      </w:tr>
      <w:tr w:rsidR="00650C72" w:rsidRPr="00650C72" w14:paraId="2B756680"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E5CDC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91578D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 5 إلى أقل من 10 سنوات</w:t>
            </w:r>
          </w:p>
        </w:tc>
        <w:tc>
          <w:tcPr>
            <w:tcW w:w="1105" w:type="dxa"/>
            <w:vAlign w:val="center"/>
            <w:hideMark/>
          </w:tcPr>
          <w:p w14:paraId="77CA50B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129</w:t>
            </w:r>
          </w:p>
        </w:tc>
        <w:tc>
          <w:tcPr>
            <w:tcW w:w="1843" w:type="dxa"/>
            <w:vAlign w:val="center"/>
            <w:hideMark/>
          </w:tcPr>
          <w:p w14:paraId="27881AB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36.34%</w:t>
            </w:r>
          </w:p>
        </w:tc>
      </w:tr>
      <w:tr w:rsidR="00650C72" w:rsidRPr="00650C72" w14:paraId="523A6B16"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EA00A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9291EA8"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من 10 إلى أقل من 15 سنة</w:t>
            </w:r>
          </w:p>
        </w:tc>
        <w:tc>
          <w:tcPr>
            <w:tcW w:w="1105" w:type="dxa"/>
            <w:vAlign w:val="center"/>
            <w:hideMark/>
          </w:tcPr>
          <w:p w14:paraId="5989C7C8"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98</w:t>
            </w:r>
          </w:p>
        </w:tc>
        <w:tc>
          <w:tcPr>
            <w:tcW w:w="1843" w:type="dxa"/>
            <w:vAlign w:val="center"/>
            <w:hideMark/>
          </w:tcPr>
          <w:p w14:paraId="15C218B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27.61%</w:t>
            </w:r>
          </w:p>
        </w:tc>
      </w:tr>
      <w:tr w:rsidR="00650C72" w:rsidRPr="00650C72" w14:paraId="458A0FC3"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2AFF97"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A9BFA1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 xml:space="preserve">15 </w:t>
            </w:r>
            <w:r w:rsidRPr="00650C72">
              <w:rPr>
                <w:rFonts w:ascii="Simplified Arabic" w:eastAsia="Times New Roman" w:hAnsi="Simplified Arabic" w:cs="Simplified Arabic"/>
                <w:color w:val="000000" w:themeColor="text1"/>
                <w:kern w:val="0"/>
                <w:sz w:val="28"/>
                <w:szCs w:val="28"/>
                <w:rtl/>
                <w14:ligatures w14:val="none"/>
              </w:rPr>
              <w:t>سنة فأكثر</w:t>
            </w:r>
          </w:p>
        </w:tc>
        <w:tc>
          <w:tcPr>
            <w:tcW w:w="1105" w:type="dxa"/>
            <w:vAlign w:val="center"/>
            <w:hideMark/>
          </w:tcPr>
          <w:p w14:paraId="2CD6A4C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66</w:t>
            </w:r>
          </w:p>
        </w:tc>
        <w:tc>
          <w:tcPr>
            <w:tcW w:w="1843" w:type="dxa"/>
            <w:vAlign w:val="center"/>
            <w:hideMark/>
          </w:tcPr>
          <w:p w14:paraId="417BCD91"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18.59%</w:t>
            </w:r>
          </w:p>
        </w:tc>
      </w:tr>
      <w:tr w:rsidR="00650C72" w:rsidRPr="00650C72" w14:paraId="4FD0FF24"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8B8EBE"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0F0063B"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432C054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0AD2B0B0"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r w:rsidR="00650C72" w:rsidRPr="00650C72" w14:paraId="5DA51078"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FD8F28E"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المسمى الوظيفي</w:t>
            </w:r>
          </w:p>
        </w:tc>
        <w:tc>
          <w:tcPr>
            <w:tcW w:w="0" w:type="auto"/>
            <w:vAlign w:val="center"/>
            <w:hideMark/>
          </w:tcPr>
          <w:p w14:paraId="60DDE95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مدير تنفيذي</w:t>
            </w:r>
          </w:p>
        </w:tc>
        <w:tc>
          <w:tcPr>
            <w:tcW w:w="1105" w:type="dxa"/>
            <w:vAlign w:val="center"/>
            <w:hideMark/>
          </w:tcPr>
          <w:p w14:paraId="3C4D411D"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w:t>
            </w:r>
          </w:p>
        </w:tc>
        <w:tc>
          <w:tcPr>
            <w:tcW w:w="1843" w:type="dxa"/>
            <w:vAlign w:val="center"/>
            <w:hideMark/>
          </w:tcPr>
          <w:p w14:paraId="7AC7CA33"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11.83%</w:t>
            </w:r>
          </w:p>
        </w:tc>
      </w:tr>
      <w:tr w:rsidR="00650C72" w:rsidRPr="00650C72" w14:paraId="18BD5556"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75B4D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EA88A5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مدير استثمار</w:t>
            </w:r>
          </w:p>
        </w:tc>
        <w:tc>
          <w:tcPr>
            <w:tcW w:w="1105" w:type="dxa"/>
            <w:vAlign w:val="center"/>
            <w:hideMark/>
          </w:tcPr>
          <w:p w14:paraId="02D09982"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68</w:t>
            </w:r>
          </w:p>
        </w:tc>
        <w:tc>
          <w:tcPr>
            <w:tcW w:w="1843" w:type="dxa"/>
            <w:vAlign w:val="center"/>
            <w:hideMark/>
          </w:tcPr>
          <w:p w14:paraId="179DB88A"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19.15%</w:t>
            </w:r>
          </w:p>
        </w:tc>
      </w:tr>
      <w:tr w:rsidR="00650C72" w:rsidRPr="00650C72" w14:paraId="158FD418"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27F8E7F"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28A7833"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مدير تقييم عقاري</w:t>
            </w:r>
          </w:p>
        </w:tc>
        <w:tc>
          <w:tcPr>
            <w:tcW w:w="1105" w:type="dxa"/>
            <w:vAlign w:val="center"/>
            <w:hideMark/>
          </w:tcPr>
          <w:p w14:paraId="7532231A"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59</w:t>
            </w:r>
          </w:p>
        </w:tc>
        <w:tc>
          <w:tcPr>
            <w:tcW w:w="1843" w:type="dxa"/>
            <w:vAlign w:val="center"/>
            <w:hideMark/>
          </w:tcPr>
          <w:p w14:paraId="1F798FD6"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16.62%</w:t>
            </w:r>
          </w:p>
        </w:tc>
      </w:tr>
      <w:tr w:rsidR="00650C72" w:rsidRPr="00650C72" w14:paraId="015BDA0C"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C85DE8"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6C7682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محلل استثمار</w:t>
            </w:r>
          </w:p>
        </w:tc>
        <w:tc>
          <w:tcPr>
            <w:tcW w:w="1105" w:type="dxa"/>
            <w:vAlign w:val="center"/>
            <w:hideMark/>
          </w:tcPr>
          <w:p w14:paraId="4AF4201F"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94</w:t>
            </w:r>
          </w:p>
        </w:tc>
        <w:tc>
          <w:tcPr>
            <w:tcW w:w="1843" w:type="dxa"/>
            <w:vAlign w:val="center"/>
            <w:hideMark/>
          </w:tcPr>
          <w:p w14:paraId="128131B0"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26.48%</w:t>
            </w:r>
          </w:p>
        </w:tc>
      </w:tr>
      <w:tr w:rsidR="00650C72" w:rsidRPr="00650C72" w14:paraId="6865A16F"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C8BF2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F5AD966"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مقيّم عقاري معتمد</w:t>
            </w:r>
          </w:p>
        </w:tc>
        <w:tc>
          <w:tcPr>
            <w:tcW w:w="1105" w:type="dxa"/>
            <w:vAlign w:val="center"/>
            <w:hideMark/>
          </w:tcPr>
          <w:p w14:paraId="7B52D7E5"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92</w:t>
            </w:r>
          </w:p>
        </w:tc>
        <w:tc>
          <w:tcPr>
            <w:tcW w:w="1843" w:type="dxa"/>
            <w:vAlign w:val="center"/>
            <w:hideMark/>
          </w:tcPr>
          <w:p w14:paraId="34317516"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25.92%</w:t>
            </w:r>
          </w:p>
        </w:tc>
      </w:tr>
      <w:tr w:rsidR="00650C72" w:rsidRPr="00650C72" w14:paraId="46FF02EF"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EF145D"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7ED02FB"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5A985729"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2154A307"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r w:rsidR="00650C72" w:rsidRPr="00650C72" w14:paraId="76B7DEC1"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02057ED"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حجم الشركة</w:t>
            </w:r>
          </w:p>
        </w:tc>
        <w:tc>
          <w:tcPr>
            <w:tcW w:w="0" w:type="auto"/>
            <w:vAlign w:val="center"/>
            <w:hideMark/>
          </w:tcPr>
          <w:p w14:paraId="33D9F56B"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كبيرة</w:t>
            </w:r>
          </w:p>
        </w:tc>
        <w:tc>
          <w:tcPr>
            <w:tcW w:w="1105" w:type="dxa"/>
            <w:vAlign w:val="center"/>
            <w:hideMark/>
          </w:tcPr>
          <w:p w14:paraId="4BA8C6F0"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91</w:t>
            </w:r>
          </w:p>
        </w:tc>
        <w:tc>
          <w:tcPr>
            <w:tcW w:w="1843" w:type="dxa"/>
            <w:vAlign w:val="center"/>
            <w:hideMark/>
          </w:tcPr>
          <w:p w14:paraId="24E4C074"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25.63%</w:t>
            </w:r>
          </w:p>
        </w:tc>
      </w:tr>
      <w:tr w:rsidR="00650C72" w:rsidRPr="00650C72" w14:paraId="168CA2DE"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E9904C"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9516297"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متوسطة</w:t>
            </w:r>
          </w:p>
        </w:tc>
        <w:tc>
          <w:tcPr>
            <w:tcW w:w="1105" w:type="dxa"/>
            <w:vAlign w:val="center"/>
            <w:hideMark/>
          </w:tcPr>
          <w:p w14:paraId="5240106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161</w:t>
            </w:r>
          </w:p>
        </w:tc>
        <w:tc>
          <w:tcPr>
            <w:tcW w:w="1843" w:type="dxa"/>
            <w:vAlign w:val="center"/>
            <w:hideMark/>
          </w:tcPr>
          <w:p w14:paraId="7EC2E9B4"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45.35%</w:t>
            </w:r>
          </w:p>
        </w:tc>
      </w:tr>
      <w:tr w:rsidR="00650C72" w:rsidRPr="00650C72" w14:paraId="04174D65" w14:textId="77777777" w:rsidTr="006C0F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50D785"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468DDFD"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صغيرة</w:t>
            </w:r>
          </w:p>
        </w:tc>
        <w:tc>
          <w:tcPr>
            <w:tcW w:w="1105" w:type="dxa"/>
            <w:vAlign w:val="center"/>
            <w:hideMark/>
          </w:tcPr>
          <w:p w14:paraId="3618F021"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103</w:t>
            </w:r>
          </w:p>
        </w:tc>
        <w:tc>
          <w:tcPr>
            <w:tcW w:w="1843" w:type="dxa"/>
            <w:vAlign w:val="center"/>
            <w:hideMark/>
          </w:tcPr>
          <w:p w14:paraId="75C0E4D2" w14:textId="77777777" w:rsidR="006C0F6B" w:rsidRPr="00650C72" w:rsidRDefault="006C0F6B" w:rsidP="006C0F6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29.02%</w:t>
            </w:r>
          </w:p>
        </w:tc>
      </w:tr>
      <w:tr w:rsidR="00650C72" w:rsidRPr="00650C72" w14:paraId="2A2D27C6" w14:textId="77777777" w:rsidTr="006C0F6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00CDF9" w14:textId="77777777" w:rsidR="006C0F6B" w:rsidRPr="00650C72" w:rsidRDefault="006C0F6B" w:rsidP="006C0F6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2EA785C"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28185663"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355</w:t>
            </w:r>
          </w:p>
        </w:tc>
        <w:tc>
          <w:tcPr>
            <w:tcW w:w="1843" w:type="dxa"/>
            <w:vAlign w:val="center"/>
            <w:hideMark/>
          </w:tcPr>
          <w:p w14:paraId="48B6DC45" w14:textId="77777777" w:rsidR="006C0F6B" w:rsidRPr="00650C72" w:rsidRDefault="006C0F6B" w:rsidP="006C0F6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100.00%</w:t>
            </w:r>
          </w:p>
        </w:tc>
      </w:tr>
    </w:tbl>
    <w:p w14:paraId="215B8F34"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الغالبية العظمى من أفراد العينة من الذكور بنسبة (80.85%)، وهو ما يعكس طبيعة القطاع العقاري السعودي الذي لا يزال يشهد هيمنة نسبية للعنصر الذكوري في المستويات الإدارية. كما تركّزت الفئة العمرية الأكبر بين (30 إلى أقل من 40 سنة) بنسبة (40.28%)، مما يدل على أن غالبية العاملين في المستويات المستهدفة يقعون في مرحلة النضج المهني. وفيما يخص المؤهل العلمي، شكّل حملة البكالوريوس النسبة الأعلى بواقع (60.28%)، يليهم حملة الماجستير بنسبة (24.51%)، مما يُشير إلى مستوى تعليمي مرتفع لأفراد العينة يعزّز موثوقية استجاباتهم. كما جاء توزيع سنوات الخبرة متوازناً بصورة تعكس تنوع الخبرات الميدانية، وشكّل ذوو الخبرة من (5 إلى أقل من 10 سنوات) النسبة الأعلى بواقع</w:t>
      </w:r>
      <w:r w:rsidRPr="00650C72">
        <w:rPr>
          <w:rFonts w:ascii="Simplified Arabic" w:eastAsia="Times New Roman" w:hAnsi="Simplified Arabic" w:cs="Simplified Arabic"/>
          <w:color w:val="000000" w:themeColor="text1"/>
          <w:kern w:val="0"/>
          <w:sz w:val="28"/>
          <w:szCs w:val="28"/>
          <w14:ligatures w14:val="none"/>
        </w:rPr>
        <w:t xml:space="preserve"> (36.34%).</w:t>
      </w:r>
    </w:p>
    <w:p w14:paraId="5091812D" w14:textId="44F2D1CC" w:rsidR="00197384" w:rsidRPr="00650C72" w:rsidRDefault="0027585B" w:rsidP="002758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5" w:name="_Toc234796463"/>
      <w:r w:rsidRPr="00650C72">
        <w:rPr>
          <w:rFonts w:ascii="Simplified Arabic" w:eastAsia="Times New Roman" w:hAnsi="Simplified Arabic" w:cs="Simplified Arabic" w:hint="cs"/>
          <w:b/>
          <w:bCs/>
          <w:color w:val="000000" w:themeColor="text1"/>
          <w:kern w:val="0"/>
          <w:sz w:val="36"/>
          <w:szCs w:val="36"/>
          <w:rtl/>
          <w14:ligatures w14:val="none"/>
        </w:rPr>
        <w:t>3.4</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التحليل الوصفي لاستجابات أفراد العينة</w:t>
      </w:r>
      <w:bookmarkEnd w:id="65"/>
    </w:p>
    <w:p w14:paraId="79157988" w14:textId="4980F7A0"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lastRenderedPageBreak/>
        <w:t>التحليل الوصفي لأبعاد المتغير المستقل (أدوات الذكاء الاصطناعي في التقييم العقاري)</w:t>
      </w:r>
    </w:p>
    <w:p w14:paraId="47E43C9C"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أ. البُعد الأول: التحليلات التنبؤية للأسعار</w:t>
      </w:r>
    </w:p>
    <w:p w14:paraId="19F5FD39" w14:textId="3CB4C66F"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4 - 2</w:t>
      </w:r>
      <w:r w:rsidRPr="00650C72">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لعبارات بُعد التحليلات التنبؤية للأسعار</w:t>
      </w:r>
    </w:p>
    <w:tbl>
      <w:tblPr>
        <w:tblStyle w:val="GridTable6Colorful-Accent1"/>
        <w:bidiVisual/>
        <w:tblW w:w="9203" w:type="dxa"/>
        <w:jc w:val="center"/>
        <w:tblLook w:val="04A0" w:firstRow="1" w:lastRow="0" w:firstColumn="1" w:lastColumn="0" w:noHBand="0" w:noVBand="1"/>
      </w:tblPr>
      <w:tblGrid>
        <w:gridCol w:w="374"/>
        <w:gridCol w:w="4049"/>
        <w:gridCol w:w="1298"/>
        <w:gridCol w:w="1318"/>
        <w:gridCol w:w="1313"/>
        <w:gridCol w:w="851"/>
      </w:tblGrid>
      <w:tr w:rsidR="00650C72" w:rsidRPr="00650C72" w14:paraId="3652AA73"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00314D"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5B701649"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7613DB03"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72C602E4"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313" w:type="dxa"/>
            <w:vAlign w:val="center"/>
            <w:hideMark/>
          </w:tcPr>
          <w:p w14:paraId="3169C7F6"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851" w:type="dxa"/>
            <w:vAlign w:val="center"/>
            <w:hideMark/>
          </w:tcPr>
          <w:p w14:paraId="4228E7D5"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56AF371F"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61CFF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F746742"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توظّف الشركة خوارزميات التعلم الآلي في التنبؤ بأسعار العقارات المستقبلية</w:t>
            </w:r>
          </w:p>
        </w:tc>
        <w:tc>
          <w:tcPr>
            <w:tcW w:w="0" w:type="auto"/>
            <w:vAlign w:val="center"/>
            <w:hideMark/>
          </w:tcPr>
          <w:p w14:paraId="5FAA4D1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4.12</w:t>
            </w:r>
          </w:p>
        </w:tc>
        <w:tc>
          <w:tcPr>
            <w:tcW w:w="0" w:type="auto"/>
            <w:vAlign w:val="center"/>
            <w:hideMark/>
          </w:tcPr>
          <w:p w14:paraId="235BED15"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0.687</w:t>
            </w:r>
          </w:p>
        </w:tc>
        <w:tc>
          <w:tcPr>
            <w:tcW w:w="1313" w:type="dxa"/>
            <w:vAlign w:val="center"/>
            <w:hideMark/>
          </w:tcPr>
          <w:p w14:paraId="18A2F8ED"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3F345BB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0954F64A"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E29095"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00D16253"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التحليلات التنبؤية في استشراف اتجاهات السوق العقاري السعودي بدقة</w:t>
            </w:r>
          </w:p>
        </w:tc>
        <w:tc>
          <w:tcPr>
            <w:tcW w:w="0" w:type="auto"/>
            <w:vAlign w:val="center"/>
            <w:hideMark/>
          </w:tcPr>
          <w:p w14:paraId="7BB5B47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4.05</w:t>
            </w:r>
          </w:p>
        </w:tc>
        <w:tc>
          <w:tcPr>
            <w:tcW w:w="0" w:type="auto"/>
            <w:vAlign w:val="center"/>
            <w:hideMark/>
          </w:tcPr>
          <w:p w14:paraId="04D9EAF1"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0.724</w:t>
            </w:r>
          </w:p>
        </w:tc>
        <w:tc>
          <w:tcPr>
            <w:tcW w:w="1313" w:type="dxa"/>
            <w:vAlign w:val="center"/>
            <w:hideMark/>
          </w:tcPr>
          <w:p w14:paraId="3716E22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03EF2B1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40D528E3"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91BB3"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102858F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تعتمد الشركة على نماذج تنبؤية تدمج المتغيرات الاقتصادية والديموغرافية في تقدير الأسعار</w:t>
            </w:r>
          </w:p>
        </w:tc>
        <w:tc>
          <w:tcPr>
            <w:tcW w:w="0" w:type="auto"/>
            <w:vAlign w:val="center"/>
            <w:hideMark/>
          </w:tcPr>
          <w:p w14:paraId="76E94195"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3.98</w:t>
            </w:r>
          </w:p>
        </w:tc>
        <w:tc>
          <w:tcPr>
            <w:tcW w:w="0" w:type="auto"/>
            <w:vAlign w:val="center"/>
            <w:hideMark/>
          </w:tcPr>
          <w:p w14:paraId="6D85F321"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0.751</w:t>
            </w:r>
          </w:p>
        </w:tc>
        <w:tc>
          <w:tcPr>
            <w:tcW w:w="1313" w:type="dxa"/>
            <w:vAlign w:val="center"/>
            <w:hideMark/>
          </w:tcPr>
          <w:p w14:paraId="46CD188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453296EF"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6328001E"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8E730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0FE03A0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التحليلات التنبؤية للأسعار قراءة إشارات السوق قبل تجسّدها فعلياً</w:t>
            </w:r>
          </w:p>
        </w:tc>
        <w:tc>
          <w:tcPr>
            <w:tcW w:w="0" w:type="auto"/>
            <w:vAlign w:val="center"/>
            <w:hideMark/>
          </w:tcPr>
          <w:p w14:paraId="281EC78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4.18</w:t>
            </w:r>
          </w:p>
        </w:tc>
        <w:tc>
          <w:tcPr>
            <w:tcW w:w="0" w:type="auto"/>
            <w:vAlign w:val="center"/>
            <w:hideMark/>
          </w:tcPr>
          <w:p w14:paraId="3FD96D9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0.669</w:t>
            </w:r>
          </w:p>
        </w:tc>
        <w:tc>
          <w:tcPr>
            <w:tcW w:w="1313" w:type="dxa"/>
            <w:vAlign w:val="center"/>
            <w:hideMark/>
          </w:tcPr>
          <w:p w14:paraId="134E3B1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3B3E6150"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64B98465" w14:textId="77777777" w:rsidTr="00E66D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AB9851C"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6A34619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4.08</w:t>
            </w:r>
          </w:p>
        </w:tc>
        <w:tc>
          <w:tcPr>
            <w:tcW w:w="0" w:type="auto"/>
            <w:vAlign w:val="center"/>
            <w:hideMark/>
          </w:tcPr>
          <w:p w14:paraId="769065D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0.708</w:t>
            </w:r>
          </w:p>
        </w:tc>
        <w:tc>
          <w:tcPr>
            <w:tcW w:w="2164" w:type="dxa"/>
            <w:gridSpan w:val="2"/>
            <w:vAlign w:val="center"/>
            <w:hideMark/>
          </w:tcPr>
          <w:p w14:paraId="6885812D" w14:textId="62060BE0"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3C1909DB"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المتوسط العام لبُعد التحليلات التنبؤية للأسعار بلغ (4.08) بانحراف معياري (0.708)، وهو ما يعكس مستوى موافقة مرتفعاً من أفراد العينة على توظيف هذا البُعد في شركاتهم. وقد جاءت العبارة الرابعة في المرتبة الأولى بمتوسط (4.18)، مما يدل على إدراك أفراد العينة للقيمة الاستشرافية للتحليلات التنبؤية في قراءة السوق العقاري</w:t>
      </w:r>
      <w:r w:rsidRPr="00650C72">
        <w:rPr>
          <w:rFonts w:ascii="Simplified Arabic" w:eastAsia="Times New Roman" w:hAnsi="Simplified Arabic" w:cs="Simplified Arabic"/>
          <w:color w:val="000000" w:themeColor="text1"/>
          <w:kern w:val="0"/>
          <w:sz w:val="28"/>
          <w:szCs w:val="28"/>
          <w14:ligatures w14:val="none"/>
        </w:rPr>
        <w:t>.</w:t>
      </w:r>
    </w:p>
    <w:p w14:paraId="279BF75E" w14:textId="377D73D4" w:rsidR="00197384" w:rsidRPr="00650C72" w:rsidRDefault="0027585B" w:rsidP="0027585B">
      <w:pPr>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br w:type="page"/>
      </w:r>
      <w:r w:rsidR="00197384" w:rsidRPr="00650C72">
        <w:rPr>
          <w:rFonts w:ascii="Simplified Arabic" w:eastAsia="Times New Roman" w:hAnsi="Simplified Arabic" w:cs="Simplified Arabic"/>
          <w:b/>
          <w:bCs/>
          <w:color w:val="000000" w:themeColor="text1"/>
          <w:kern w:val="0"/>
          <w:sz w:val="28"/>
          <w:szCs w:val="28"/>
          <w:rtl/>
          <w14:ligatures w14:val="none"/>
        </w:rPr>
        <w:lastRenderedPageBreak/>
        <w:t>ب. البُعد الثاني: نماذج التقييم الآلي</w:t>
      </w:r>
      <w:r w:rsidR="00197384" w:rsidRPr="00650C72">
        <w:rPr>
          <w:rFonts w:ascii="Simplified Arabic" w:eastAsia="Times New Roman" w:hAnsi="Simplified Arabic" w:cs="Simplified Arabic"/>
          <w:b/>
          <w:bCs/>
          <w:color w:val="000000" w:themeColor="text1"/>
          <w:kern w:val="0"/>
          <w:sz w:val="28"/>
          <w:szCs w:val="28"/>
          <w14:ligatures w14:val="none"/>
        </w:rPr>
        <w:t xml:space="preserve"> (AVM)</w:t>
      </w:r>
    </w:p>
    <w:p w14:paraId="256D9EB3" w14:textId="01D020A7"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4 - 3</w:t>
      </w:r>
      <w:r w:rsidRPr="00650C72">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لعبارات بُعد نماذج التقييم الآلي</w:t>
      </w:r>
    </w:p>
    <w:tbl>
      <w:tblPr>
        <w:tblStyle w:val="GridTable6Colorful-Accent1"/>
        <w:bidiVisual/>
        <w:tblW w:w="9345" w:type="dxa"/>
        <w:jc w:val="center"/>
        <w:tblLook w:val="04A0" w:firstRow="1" w:lastRow="0" w:firstColumn="1" w:lastColumn="0" w:noHBand="0" w:noVBand="1"/>
      </w:tblPr>
      <w:tblGrid>
        <w:gridCol w:w="374"/>
        <w:gridCol w:w="3928"/>
        <w:gridCol w:w="1340"/>
        <w:gridCol w:w="1360"/>
        <w:gridCol w:w="1350"/>
        <w:gridCol w:w="993"/>
      </w:tblGrid>
      <w:tr w:rsidR="00650C72" w:rsidRPr="00650C72" w14:paraId="37C95724"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6E12C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0ED3C074"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6C8AD95C"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25C1999B"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350" w:type="dxa"/>
            <w:vAlign w:val="center"/>
            <w:hideMark/>
          </w:tcPr>
          <w:p w14:paraId="0F2E9A77"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993" w:type="dxa"/>
            <w:vAlign w:val="center"/>
            <w:hideMark/>
          </w:tcPr>
          <w:p w14:paraId="09E881D4"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5543F6E4"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20D19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015CC67"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تعتمد الشركة على نماذج التقييم الآلي في إنتاج تقديرات موضوعية للقيمة العقارية</w:t>
            </w:r>
          </w:p>
        </w:tc>
        <w:tc>
          <w:tcPr>
            <w:tcW w:w="0" w:type="auto"/>
            <w:vAlign w:val="center"/>
            <w:hideMark/>
          </w:tcPr>
          <w:p w14:paraId="5F4F3B85"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4.16</w:t>
            </w:r>
          </w:p>
        </w:tc>
        <w:tc>
          <w:tcPr>
            <w:tcW w:w="0" w:type="auto"/>
            <w:vAlign w:val="center"/>
            <w:hideMark/>
          </w:tcPr>
          <w:p w14:paraId="7DAB4EA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0.692</w:t>
            </w:r>
          </w:p>
        </w:tc>
        <w:tc>
          <w:tcPr>
            <w:tcW w:w="1350" w:type="dxa"/>
            <w:vAlign w:val="center"/>
            <w:hideMark/>
          </w:tcPr>
          <w:p w14:paraId="2FF6703C"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1C3C6D9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08F0384C"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6370E8"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20EF3339"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تُوفّر نماذج التقييم الآلي اتساقاً منهجياً في تقارير التقييم داخل الشركة</w:t>
            </w:r>
          </w:p>
        </w:tc>
        <w:tc>
          <w:tcPr>
            <w:tcW w:w="0" w:type="auto"/>
            <w:vAlign w:val="center"/>
            <w:hideMark/>
          </w:tcPr>
          <w:p w14:paraId="138CDB5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4.09</w:t>
            </w:r>
          </w:p>
        </w:tc>
        <w:tc>
          <w:tcPr>
            <w:tcW w:w="0" w:type="auto"/>
            <w:vAlign w:val="center"/>
            <w:hideMark/>
          </w:tcPr>
          <w:p w14:paraId="1DC8477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0.715</w:t>
            </w:r>
          </w:p>
        </w:tc>
        <w:tc>
          <w:tcPr>
            <w:tcW w:w="1350" w:type="dxa"/>
            <w:vAlign w:val="center"/>
            <w:hideMark/>
          </w:tcPr>
          <w:p w14:paraId="276A816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3BF3898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2285144E"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C61D4"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2A31A78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تُعالج نماذج التقييم الآلي العقارات ذات الخصائص غير النمطية بكفاءة</w:t>
            </w:r>
          </w:p>
        </w:tc>
        <w:tc>
          <w:tcPr>
            <w:tcW w:w="0" w:type="auto"/>
            <w:vAlign w:val="center"/>
            <w:hideMark/>
          </w:tcPr>
          <w:p w14:paraId="4DF5CC8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3.87</w:t>
            </w:r>
          </w:p>
        </w:tc>
        <w:tc>
          <w:tcPr>
            <w:tcW w:w="0" w:type="auto"/>
            <w:vAlign w:val="center"/>
            <w:hideMark/>
          </w:tcPr>
          <w:p w14:paraId="69B33A2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0.803</w:t>
            </w:r>
          </w:p>
        </w:tc>
        <w:tc>
          <w:tcPr>
            <w:tcW w:w="1350" w:type="dxa"/>
            <w:vAlign w:val="center"/>
            <w:hideMark/>
          </w:tcPr>
          <w:p w14:paraId="1BCA69A5"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3F43AE5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16A1F463"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8CB1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5D448B52"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تُقلّص نماذج التقييم الآلي زمن إعداد تقارير التقييم مقارنة بالطرق التقليدية</w:t>
            </w:r>
          </w:p>
        </w:tc>
        <w:tc>
          <w:tcPr>
            <w:tcW w:w="0" w:type="auto"/>
            <w:vAlign w:val="center"/>
            <w:hideMark/>
          </w:tcPr>
          <w:p w14:paraId="29A1B1B1"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4.23</w:t>
            </w:r>
          </w:p>
        </w:tc>
        <w:tc>
          <w:tcPr>
            <w:tcW w:w="0" w:type="auto"/>
            <w:vAlign w:val="center"/>
            <w:hideMark/>
          </w:tcPr>
          <w:p w14:paraId="3B2A922B"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0.658</w:t>
            </w:r>
          </w:p>
        </w:tc>
        <w:tc>
          <w:tcPr>
            <w:tcW w:w="1350" w:type="dxa"/>
            <w:vAlign w:val="center"/>
            <w:hideMark/>
          </w:tcPr>
          <w:p w14:paraId="6B363E4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c>
          <w:tcPr>
            <w:tcW w:w="993" w:type="dxa"/>
            <w:vAlign w:val="center"/>
            <w:hideMark/>
          </w:tcPr>
          <w:p w14:paraId="1B012981"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5E509DB8" w14:textId="77777777" w:rsidTr="004D65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BF502E7"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317D495C"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4.09</w:t>
            </w:r>
          </w:p>
        </w:tc>
        <w:tc>
          <w:tcPr>
            <w:tcW w:w="0" w:type="auto"/>
            <w:vAlign w:val="center"/>
            <w:hideMark/>
          </w:tcPr>
          <w:p w14:paraId="2E742890"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0.717</w:t>
            </w:r>
          </w:p>
        </w:tc>
        <w:tc>
          <w:tcPr>
            <w:tcW w:w="2343" w:type="dxa"/>
            <w:gridSpan w:val="2"/>
            <w:vAlign w:val="center"/>
            <w:hideMark/>
          </w:tcPr>
          <w:p w14:paraId="22D8480B" w14:textId="3A1B9A76"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55BF7FDF"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المتوسط العام لبُعد نماذج التقييم الآلي بلغ (4.09) بانحراف معياري (0.717)، وهو مستوى موافقة مرتفع. وقد جاءت العبارة الرابعة المتعلقة بتقليص زمن إعداد التقارير في المرتبة الأولى بمتوسط (4.23)، مما يعكس إدراك أفراد العينة لأثر هذه النماذج في رفع كفاءة العمليات التقييمية</w:t>
      </w:r>
      <w:r w:rsidRPr="00650C72">
        <w:rPr>
          <w:rFonts w:ascii="Simplified Arabic" w:eastAsia="Times New Roman" w:hAnsi="Simplified Arabic" w:cs="Simplified Arabic"/>
          <w:color w:val="000000" w:themeColor="text1"/>
          <w:kern w:val="0"/>
          <w:sz w:val="28"/>
          <w:szCs w:val="28"/>
          <w14:ligatures w14:val="none"/>
        </w:rPr>
        <w:t>.</w:t>
      </w:r>
    </w:p>
    <w:p w14:paraId="2E997AA9"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 البُعد الثالث: تحليل البيانات الضخمة العقارية</w:t>
      </w:r>
    </w:p>
    <w:p w14:paraId="51036768" w14:textId="60FCE7E5"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4 - 4</w:t>
      </w:r>
      <w:r w:rsidRPr="00650C72">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لعبارات بُعد تحليل البيانات الضخمة العقارية</w:t>
      </w:r>
    </w:p>
    <w:tbl>
      <w:tblPr>
        <w:tblStyle w:val="GridTable6Colorful-Accent1"/>
        <w:bidiVisual/>
        <w:tblW w:w="9345" w:type="dxa"/>
        <w:jc w:val="center"/>
        <w:tblLook w:val="04A0" w:firstRow="1" w:lastRow="0" w:firstColumn="1" w:lastColumn="0" w:noHBand="0" w:noVBand="1"/>
      </w:tblPr>
      <w:tblGrid>
        <w:gridCol w:w="374"/>
        <w:gridCol w:w="3980"/>
        <w:gridCol w:w="1322"/>
        <w:gridCol w:w="1342"/>
        <w:gridCol w:w="1334"/>
        <w:gridCol w:w="993"/>
      </w:tblGrid>
      <w:tr w:rsidR="00650C72" w:rsidRPr="00650C72" w14:paraId="100453C9"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A2DB99"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24CF35C1"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3C4DF74B"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1614CB58"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334" w:type="dxa"/>
            <w:vAlign w:val="center"/>
            <w:hideMark/>
          </w:tcPr>
          <w:p w14:paraId="36C9B34E"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993" w:type="dxa"/>
            <w:vAlign w:val="center"/>
            <w:hideMark/>
          </w:tcPr>
          <w:p w14:paraId="72F083FC"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573705E9"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0EF59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5F0D58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تُوظّف الشركة تقنيات معالجة البيانات الضخمة في تحليل السوق العقاري</w:t>
            </w:r>
          </w:p>
        </w:tc>
        <w:tc>
          <w:tcPr>
            <w:tcW w:w="0" w:type="auto"/>
            <w:vAlign w:val="center"/>
            <w:hideMark/>
          </w:tcPr>
          <w:p w14:paraId="033CB247"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3.94</w:t>
            </w:r>
          </w:p>
        </w:tc>
        <w:tc>
          <w:tcPr>
            <w:tcW w:w="0" w:type="auto"/>
            <w:vAlign w:val="center"/>
            <w:hideMark/>
          </w:tcPr>
          <w:p w14:paraId="4A90088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0.769</w:t>
            </w:r>
          </w:p>
        </w:tc>
        <w:tc>
          <w:tcPr>
            <w:tcW w:w="1334" w:type="dxa"/>
            <w:vAlign w:val="center"/>
            <w:hideMark/>
          </w:tcPr>
          <w:p w14:paraId="12A4593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45FEB372"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594A9B9B"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AB241"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lastRenderedPageBreak/>
              <w:t>2</w:t>
            </w:r>
          </w:p>
        </w:tc>
        <w:tc>
          <w:tcPr>
            <w:tcW w:w="0" w:type="auto"/>
            <w:vAlign w:val="center"/>
            <w:hideMark/>
          </w:tcPr>
          <w:p w14:paraId="6AC5560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البيانات الضخمة رصد الأنماط الخفية في سلوك السوق العقاري</w:t>
            </w:r>
          </w:p>
        </w:tc>
        <w:tc>
          <w:tcPr>
            <w:tcW w:w="0" w:type="auto"/>
            <w:vAlign w:val="center"/>
            <w:hideMark/>
          </w:tcPr>
          <w:p w14:paraId="2F834D66"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4.02</w:t>
            </w:r>
          </w:p>
        </w:tc>
        <w:tc>
          <w:tcPr>
            <w:tcW w:w="0" w:type="auto"/>
            <w:vAlign w:val="center"/>
            <w:hideMark/>
          </w:tcPr>
          <w:p w14:paraId="5B3D14B3"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0.731</w:t>
            </w:r>
          </w:p>
        </w:tc>
        <w:tc>
          <w:tcPr>
            <w:tcW w:w="1334" w:type="dxa"/>
            <w:vAlign w:val="center"/>
            <w:hideMark/>
          </w:tcPr>
          <w:p w14:paraId="514FFE4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04DACF2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59E4BA2C"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0743C"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29B7DCF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تدمج الشركة مصادر بيانات متعددة (حكومية، سوقية، جغرافية) في منظومتها التحليلية</w:t>
            </w:r>
          </w:p>
        </w:tc>
        <w:tc>
          <w:tcPr>
            <w:tcW w:w="0" w:type="auto"/>
            <w:vAlign w:val="center"/>
            <w:hideMark/>
          </w:tcPr>
          <w:p w14:paraId="0DA5C2C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3.79</w:t>
            </w:r>
          </w:p>
        </w:tc>
        <w:tc>
          <w:tcPr>
            <w:tcW w:w="0" w:type="auto"/>
            <w:vAlign w:val="center"/>
            <w:hideMark/>
          </w:tcPr>
          <w:p w14:paraId="2B2E499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0.842</w:t>
            </w:r>
          </w:p>
        </w:tc>
        <w:tc>
          <w:tcPr>
            <w:tcW w:w="1334" w:type="dxa"/>
            <w:vAlign w:val="center"/>
            <w:hideMark/>
          </w:tcPr>
          <w:p w14:paraId="29C95ADB"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2CAF3DDB"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40D2A8B0"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C70BFE"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0D23D93B"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البيانات الضخمة في تحديد المناطق ذات الإمكانات الاستثمارية العالية</w:t>
            </w:r>
          </w:p>
        </w:tc>
        <w:tc>
          <w:tcPr>
            <w:tcW w:w="0" w:type="auto"/>
            <w:vAlign w:val="center"/>
            <w:hideMark/>
          </w:tcPr>
          <w:p w14:paraId="33516AA0"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4.11</w:t>
            </w:r>
          </w:p>
        </w:tc>
        <w:tc>
          <w:tcPr>
            <w:tcW w:w="0" w:type="auto"/>
            <w:vAlign w:val="center"/>
            <w:hideMark/>
          </w:tcPr>
          <w:p w14:paraId="55744CD2"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0.694</w:t>
            </w:r>
          </w:p>
        </w:tc>
        <w:tc>
          <w:tcPr>
            <w:tcW w:w="1334" w:type="dxa"/>
            <w:vAlign w:val="center"/>
            <w:hideMark/>
          </w:tcPr>
          <w:p w14:paraId="69B4062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3A5DF026"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44239765" w14:textId="77777777" w:rsidTr="00140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D570C17"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5F778A8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080A0B0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0.759</w:t>
            </w:r>
          </w:p>
        </w:tc>
        <w:tc>
          <w:tcPr>
            <w:tcW w:w="2327" w:type="dxa"/>
            <w:gridSpan w:val="2"/>
            <w:vAlign w:val="center"/>
            <w:hideMark/>
          </w:tcPr>
          <w:p w14:paraId="0E148449" w14:textId="7C1F4F8D"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2473E458"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المتوسط العام لبُعد تحليل البيانات الضخمة العقارية بلغ (3.97) بانحراف معياري (0.759)، وهو مستوى موافقة مرتفع. ويُلاحظ أن العبارة الثالثة المتعلقة بدمج مصادر البيانات المتعددة جاءت في المرتبة الأخيرة بمتوسط (3.79)، مما قد يُشير إلى وجود فرصة لتطوير هذا الجانب في الشركات العقارية السعودية</w:t>
      </w:r>
      <w:r w:rsidRPr="00650C72">
        <w:rPr>
          <w:rFonts w:ascii="Simplified Arabic" w:eastAsia="Times New Roman" w:hAnsi="Simplified Arabic" w:cs="Simplified Arabic"/>
          <w:color w:val="000000" w:themeColor="text1"/>
          <w:kern w:val="0"/>
          <w:sz w:val="28"/>
          <w:szCs w:val="28"/>
          <w14:ligatures w14:val="none"/>
        </w:rPr>
        <w:t>.</w:t>
      </w:r>
    </w:p>
    <w:p w14:paraId="0D0BD7F8"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د. البُعد الرابع: أنظمة دعم القرار الذكية</w:t>
      </w:r>
    </w:p>
    <w:p w14:paraId="1A68E9F6" w14:textId="3DCE63E3"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4 - 5</w:t>
      </w:r>
      <w:r w:rsidRPr="00650C72">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لعبارات بُعد أنظمة دعم القرار الذكية</w:t>
      </w:r>
    </w:p>
    <w:tbl>
      <w:tblPr>
        <w:tblStyle w:val="GridTable6Colorful-Accent1"/>
        <w:bidiVisual/>
        <w:tblW w:w="9345" w:type="dxa"/>
        <w:jc w:val="center"/>
        <w:tblLook w:val="04A0" w:firstRow="1" w:lastRow="0" w:firstColumn="1" w:lastColumn="0" w:noHBand="0" w:noVBand="1"/>
      </w:tblPr>
      <w:tblGrid>
        <w:gridCol w:w="374"/>
        <w:gridCol w:w="3803"/>
        <w:gridCol w:w="1384"/>
        <w:gridCol w:w="1404"/>
        <w:gridCol w:w="1387"/>
        <w:gridCol w:w="993"/>
      </w:tblGrid>
      <w:tr w:rsidR="00650C72" w:rsidRPr="00650C72" w14:paraId="6753C73F"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E443EE"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610ED8D3"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11A10EEA"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6AC5EEF0"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387" w:type="dxa"/>
            <w:vAlign w:val="center"/>
            <w:hideMark/>
          </w:tcPr>
          <w:p w14:paraId="466C556A"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993" w:type="dxa"/>
            <w:vAlign w:val="center"/>
            <w:hideMark/>
          </w:tcPr>
          <w:p w14:paraId="45159076"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1679401B"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0FA790"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79BF377"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تُقدّم أنظمة دعم القرار الذكية توصيات محددة مصحوبة بتقييم للمخاطر</w:t>
            </w:r>
          </w:p>
        </w:tc>
        <w:tc>
          <w:tcPr>
            <w:tcW w:w="0" w:type="auto"/>
            <w:vAlign w:val="center"/>
            <w:hideMark/>
          </w:tcPr>
          <w:p w14:paraId="74D7DFE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4.14</w:t>
            </w:r>
          </w:p>
        </w:tc>
        <w:tc>
          <w:tcPr>
            <w:tcW w:w="0" w:type="auto"/>
            <w:vAlign w:val="center"/>
            <w:hideMark/>
          </w:tcPr>
          <w:p w14:paraId="18B5087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0.681</w:t>
            </w:r>
          </w:p>
        </w:tc>
        <w:tc>
          <w:tcPr>
            <w:tcW w:w="1387" w:type="dxa"/>
            <w:vAlign w:val="center"/>
            <w:hideMark/>
          </w:tcPr>
          <w:p w14:paraId="74139B8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2F421DAD"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2CBE86D7"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9CFF82"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560304C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الأنظمة الذكية مقارنة البدائل الاستثمارية وفق معايير متعددة</w:t>
            </w:r>
          </w:p>
        </w:tc>
        <w:tc>
          <w:tcPr>
            <w:tcW w:w="0" w:type="auto"/>
            <w:vAlign w:val="center"/>
            <w:hideMark/>
          </w:tcPr>
          <w:p w14:paraId="4CDC1FD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4.21</w:t>
            </w:r>
          </w:p>
        </w:tc>
        <w:tc>
          <w:tcPr>
            <w:tcW w:w="0" w:type="auto"/>
            <w:vAlign w:val="center"/>
            <w:hideMark/>
          </w:tcPr>
          <w:p w14:paraId="33BF30A3"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0.667</w:t>
            </w:r>
          </w:p>
        </w:tc>
        <w:tc>
          <w:tcPr>
            <w:tcW w:w="1387" w:type="dxa"/>
            <w:vAlign w:val="center"/>
            <w:hideMark/>
          </w:tcPr>
          <w:p w14:paraId="48B99E6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c>
          <w:tcPr>
            <w:tcW w:w="993" w:type="dxa"/>
            <w:vAlign w:val="center"/>
            <w:hideMark/>
          </w:tcPr>
          <w:p w14:paraId="13FEB04F"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2CDC06C1"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7AC2A"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6CA49AB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تُوفّر الأنظمة الذكية سيناريوهات مستقبلية بديلة تدعم صناعة القرار</w:t>
            </w:r>
          </w:p>
        </w:tc>
        <w:tc>
          <w:tcPr>
            <w:tcW w:w="0" w:type="auto"/>
            <w:vAlign w:val="center"/>
            <w:hideMark/>
          </w:tcPr>
          <w:p w14:paraId="01D0B8C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4.03</w:t>
            </w:r>
          </w:p>
        </w:tc>
        <w:tc>
          <w:tcPr>
            <w:tcW w:w="0" w:type="auto"/>
            <w:vAlign w:val="center"/>
            <w:hideMark/>
          </w:tcPr>
          <w:p w14:paraId="3F4C55DF"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0.738</w:t>
            </w:r>
          </w:p>
        </w:tc>
        <w:tc>
          <w:tcPr>
            <w:tcW w:w="1387" w:type="dxa"/>
            <w:vAlign w:val="center"/>
            <w:hideMark/>
          </w:tcPr>
          <w:p w14:paraId="6E8727B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93" w:type="dxa"/>
            <w:vAlign w:val="center"/>
            <w:hideMark/>
          </w:tcPr>
          <w:p w14:paraId="520BE1A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407125DC"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FBDA1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BEAF5E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أنظمة دعم القرار في هيكلة عملية اتخاذ القرار وتوثيقها</w:t>
            </w:r>
          </w:p>
        </w:tc>
        <w:tc>
          <w:tcPr>
            <w:tcW w:w="0" w:type="auto"/>
            <w:vAlign w:val="center"/>
            <w:hideMark/>
          </w:tcPr>
          <w:p w14:paraId="0FE9872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4.26</w:t>
            </w:r>
          </w:p>
        </w:tc>
        <w:tc>
          <w:tcPr>
            <w:tcW w:w="0" w:type="auto"/>
            <w:vAlign w:val="center"/>
            <w:hideMark/>
          </w:tcPr>
          <w:p w14:paraId="0CF3896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0.652</w:t>
            </w:r>
          </w:p>
        </w:tc>
        <w:tc>
          <w:tcPr>
            <w:tcW w:w="1387" w:type="dxa"/>
            <w:vAlign w:val="center"/>
            <w:hideMark/>
          </w:tcPr>
          <w:p w14:paraId="75EB669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c>
          <w:tcPr>
            <w:tcW w:w="993" w:type="dxa"/>
            <w:vAlign w:val="center"/>
            <w:hideMark/>
          </w:tcPr>
          <w:p w14:paraId="62CBD32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4307DC56" w14:textId="77777777" w:rsidTr="002E4B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63DCA85"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المتوسط العام للبُعد</w:t>
            </w:r>
          </w:p>
        </w:tc>
        <w:tc>
          <w:tcPr>
            <w:tcW w:w="0" w:type="auto"/>
            <w:vAlign w:val="center"/>
            <w:hideMark/>
          </w:tcPr>
          <w:p w14:paraId="0B8F1302"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4.16</w:t>
            </w:r>
          </w:p>
        </w:tc>
        <w:tc>
          <w:tcPr>
            <w:tcW w:w="0" w:type="auto"/>
            <w:vAlign w:val="center"/>
            <w:hideMark/>
          </w:tcPr>
          <w:p w14:paraId="0AD8DA2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0.685</w:t>
            </w:r>
          </w:p>
        </w:tc>
        <w:tc>
          <w:tcPr>
            <w:tcW w:w="2380" w:type="dxa"/>
            <w:gridSpan w:val="2"/>
            <w:vAlign w:val="center"/>
            <w:hideMark/>
          </w:tcPr>
          <w:p w14:paraId="0CC37FBB" w14:textId="5590E392"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1F9C99F3"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المتوسط العام لبُعد أنظمة دعم القرار الذكية بلغ (4.16) بانحراف معياري (0.685)، وهو مستوى موافقة مرتفع. وقد جاءت العبارة الرابعة المتعلقة بهيكلة عملية اتخاذ القرار وتوثيقها في المرتبة الأولى بمتوسط (4.26)، مما يعكس إدراك أفراد العينة للقيمة التنظيمية لهذه الأنظمة</w:t>
      </w:r>
      <w:r w:rsidRPr="00650C72">
        <w:rPr>
          <w:rFonts w:ascii="Simplified Arabic" w:eastAsia="Times New Roman" w:hAnsi="Simplified Arabic" w:cs="Simplified Arabic"/>
          <w:color w:val="000000" w:themeColor="text1"/>
          <w:kern w:val="0"/>
          <w:sz w:val="28"/>
          <w:szCs w:val="28"/>
          <w14:ligatures w14:val="none"/>
        </w:rPr>
        <w:t>.</w:t>
      </w:r>
    </w:p>
    <w:p w14:paraId="55CAB66C"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هـ. الترتيب العام لأبعاد المتغير المستقل</w:t>
      </w:r>
    </w:p>
    <w:p w14:paraId="5CC54172" w14:textId="689B64AC"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4 - 6</w:t>
      </w:r>
      <w:r w:rsidRPr="00650C72">
        <w:rPr>
          <w:rFonts w:ascii="Simplified Arabic" w:eastAsia="Times New Roman" w:hAnsi="Simplified Arabic" w:cs="Simplified Arabic"/>
          <w:b/>
          <w:bCs/>
          <w:color w:val="000000" w:themeColor="text1"/>
          <w:kern w:val="0"/>
          <w:sz w:val="28"/>
          <w:szCs w:val="28"/>
          <w:rtl/>
          <w14:ligatures w14:val="none"/>
        </w:rPr>
        <w:t>): الترتيب العام لأبعاد أدوات الذكاء الاصطناعي في التقييم العقاري</w:t>
      </w:r>
    </w:p>
    <w:tbl>
      <w:tblPr>
        <w:tblStyle w:val="GridTable6Colorful-Accent1"/>
        <w:bidiVisual/>
        <w:tblW w:w="9345" w:type="dxa"/>
        <w:jc w:val="center"/>
        <w:tblLook w:val="04A0" w:firstRow="1" w:lastRow="0" w:firstColumn="1" w:lastColumn="0" w:noHBand="0" w:noVBand="1"/>
      </w:tblPr>
      <w:tblGrid>
        <w:gridCol w:w="374"/>
        <w:gridCol w:w="2812"/>
        <w:gridCol w:w="1730"/>
        <w:gridCol w:w="1750"/>
        <w:gridCol w:w="1693"/>
        <w:gridCol w:w="986"/>
      </w:tblGrid>
      <w:tr w:rsidR="00650C72" w:rsidRPr="00650C72" w14:paraId="17390F83"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6CA80E"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6177DB4E"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4E251E58"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0109FC1A"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693" w:type="dxa"/>
            <w:vAlign w:val="center"/>
            <w:hideMark/>
          </w:tcPr>
          <w:p w14:paraId="771914A9"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986" w:type="dxa"/>
            <w:vAlign w:val="center"/>
            <w:hideMark/>
          </w:tcPr>
          <w:p w14:paraId="183A7F79"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18270A14"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14E42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5381F55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0" w:type="auto"/>
            <w:vAlign w:val="center"/>
            <w:hideMark/>
          </w:tcPr>
          <w:p w14:paraId="3BAE4C3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4.08</w:t>
            </w:r>
          </w:p>
        </w:tc>
        <w:tc>
          <w:tcPr>
            <w:tcW w:w="0" w:type="auto"/>
            <w:vAlign w:val="center"/>
            <w:hideMark/>
          </w:tcPr>
          <w:p w14:paraId="28AEFEF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0.708</w:t>
            </w:r>
          </w:p>
        </w:tc>
        <w:tc>
          <w:tcPr>
            <w:tcW w:w="1693" w:type="dxa"/>
            <w:vAlign w:val="center"/>
            <w:hideMark/>
          </w:tcPr>
          <w:p w14:paraId="5C786F3F"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86" w:type="dxa"/>
            <w:vAlign w:val="center"/>
            <w:hideMark/>
          </w:tcPr>
          <w:p w14:paraId="1350A718"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59D91B21"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A6A3F"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068AC99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0" w:type="auto"/>
            <w:vAlign w:val="center"/>
            <w:hideMark/>
          </w:tcPr>
          <w:p w14:paraId="156412A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4.09</w:t>
            </w:r>
          </w:p>
        </w:tc>
        <w:tc>
          <w:tcPr>
            <w:tcW w:w="0" w:type="auto"/>
            <w:vAlign w:val="center"/>
            <w:hideMark/>
          </w:tcPr>
          <w:p w14:paraId="3B2D3D81"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0.717</w:t>
            </w:r>
          </w:p>
        </w:tc>
        <w:tc>
          <w:tcPr>
            <w:tcW w:w="1693" w:type="dxa"/>
            <w:vAlign w:val="center"/>
            <w:hideMark/>
          </w:tcPr>
          <w:p w14:paraId="519D62B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86" w:type="dxa"/>
            <w:vAlign w:val="center"/>
            <w:hideMark/>
          </w:tcPr>
          <w:p w14:paraId="1DE0F30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38392031"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29FE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0EEDFFE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0" w:type="auto"/>
            <w:vAlign w:val="center"/>
            <w:hideMark/>
          </w:tcPr>
          <w:p w14:paraId="5B7EC20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28E6EF4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0.759</w:t>
            </w:r>
          </w:p>
        </w:tc>
        <w:tc>
          <w:tcPr>
            <w:tcW w:w="1693" w:type="dxa"/>
            <w:vAlign w:val="center"/>
            <w:hideMark/>
          </w:tcPr>
          <w:p w14:paraId="3E760AA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86" w:type="dxa"/>
            <w:vAlign w:val="center"/>
            <w:hideMark/>
          </w:tcPr>
          <w:p w14:paraId="5183615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10D20DFF"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94C162"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1FCB8E51"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أنظمة دعم القرار الذكية</w:t>
            </w:r>
          </w:p>
        </w:tc>
        <w:tc>
          <w:tcPr>
            <w:tcW w:w="0" w:type="auto"/>
            <w:vAlign w:val="center"/>
            <w:hideMark/>
          </w:tcPr>
          <w:p w14:paraId="5F1F785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4.16</w:t>
            </w:r>
          </w:p>
        </w:tc>
        <w:tc>
          <w:tcPr>
            <w:tcW w:w="0" w:type="auto"/>
            <w:vAlign w:val="center"/>
            <w:hideMark/>
          </w:tcPr>
          <w:p w14:paraId="55598ECE"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0.685</w:t>
            </w:r>
          </w:p>
        </w:tc>
        <w:tc>
          <w:tcPr>
            <w:tcW w:w="1693" w:type="dxa"/>
            <w:vAlign w:val="center"/>
            <w:hideMark/>
          </w:tcPr>
          <w:p w14:paraId="67C85AD0"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986" w:type="dxa"/>
            <w:vAlign w:val="center"/>
            <w:hideMark/>
          </w:tcPr>
          <w:p w14:paraId="0C50BF92"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62E9DC2A"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86C6EB8"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المتغير المستقل ككل</w:t>
            </w:r>
          </w:p>
        </w:tc>
        <w:tc>
          <w:tcPr>
            <w:tcW w:w="0" w:type="auto"/>
            <w:vAlign w:val="center"/>
            <w:hideMark/>
          </w:tcPr>
          <w:p w14:paraId="42E02E02"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4.07</w:t>
            </w:r>
          </w:p>
        </w:tc>
        <w:tc>
          <w:tcPr>
            <w:tcW w:w="0" w:type="auto"/>
            <w:vAlign w:val="center"/>
            <w:hideMark/>
          </w:tcPr>
          <w:p w14:paraId="2D51E02A"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0.717</w:t>
            </w:r>
          </w:p>
        </w:tc>
        <w:tc>
          <w:tcPr>
            <w:tcW w:w="2679" w:type="dxa"/>
            <w:gridSpan w:val="2"/>
            <w:vAlign w:val="center"/>
            <w:hideMark/>
          </w:tcPr>
          <w:p w14:paraId="6D54A279" w14:textId="19F95C28"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40B019CA"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أن المتوسط العام للمتغير المستقل بلغ (4.07) بانحراف معياري (0.717)، وهو ما يعكس مستوى مرتفعاً من توظيف أدوات الذكاء الاصطناعي في التقييم العقاري داخل شركات التطوير العقاري السعودية. وقد تصدّر بُعد أنظمة دعم القرار الذكية الترتيب، بينما جاء بُعد تحليل البيانات الضخمة في المرتبة الأخيرة</w:t>
      </w:r>
      <w:r w:rsidRPr="00650C72">
        <w:rPr>
          <w:rFonts w:ascii="Simplified Arabic" w:eastAsia="Times New Roman" w:hAnsi="Simplified Arabic" w:cs="Simplified Arabic"/>
          <w:color w:val="000000" w:themeColor="text1"/>
          <w:kern w:val="0"/>
          <w:sz w:val="28"/>
          <w:szCs w:val="28"/>
          <w14:ligatures w14:val="none"/>
        </w:rPr>
        <w:t>.</w:t>
      </w:r>
    </w:p>
    <w:p w14:paraId="3EDA2EC1" w14:textId="1089D654" w:rsidR="00197384" w:rsidRPr="00650C72" w:rsidRDefault="0027585B" w:rsidP="0027585B">
      <w:pPr>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14:ligatures w14:val="none"/>
        </w:rPr>
        <w:br w:type="page"/>
      </w:r>
      <w:r w:rsidR="00197384" w:rsidRPr="00650C72">
        <w:rPr>
          <w:rFonts w:ascii="Simplified Arabic" w:eastAsia="Times New Roman" w:hAnsi="Simplified Arabic" w:cs="Simplified Arabic"/>
          <w:b/>
          <w:bCs/>
          <w:color w:val="000000" w:themeColor="text1"/>
          <w:kern w:val="0"/>
          <w:sz w:val="32"/>
          <w:szCs w:val="32"/>
          <w:rtl/>
          <w14:ligatures w14:val="none"/>
        </w:rPr>
        <w:lastRenderedPageBreak/>
        <w:t>التحليل الوصفي للمتغير التابع (جودة القرار الاستثماري)</w:t>
      </w:r>
    </w:p>
    <w:p w14:paraId="534069D2" w14:textId="4CE137E0"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4 - 7</w:t>
      </w:r>
      <w:r w:rsidRPr="00650C72">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لعبارات جودة القرار الاستثماري</w:t>
      </w:r>
    </w:p>
    <w:tbl>
      <w:tblPr>
        <w:tblStyle w:val="GridTable6Colorful-Accent1"/>
        <w:bidiVisual/>
        <w:tblW w:w="9203" w:type="dxa"/>
        <w:jc w:val="center"/>
        <w:tblLook w:val="04A0" w:firstRow="1" w:lastRow="0" w:firstColumn="1" w:lastColumn="0" w:noHBand="0" w:noVBand="1"/>
      </w:tblPr>
      <w:tblGrid>
        <w:gridCol w:w="531"/>
        <w:gridCol w:w="3837"/>
        <w:gridCol w:w="1317"/>
        <w:gridCol w:w="1337"/>
        <w:gridCol w:w="1330"/>
        <w:gridCol w:w="851"/>
      </w:tblGrid>
      <w:tr w:rsidR="00650C72" w:rsidRPr="00650C72" w14:paraId="2DA92D08"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28709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4F74E9E9"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533E764C"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1E4D159B"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الانحراف المعياري</w:t>
            </w:r>
          </w:p>
        </w:tc>
        <w:tc>
          <w:tcPr>
            <w:tcW w:w="1330" w:type="dxa"/>
            <w:vAlign w:val="center"/>
            <w:hideMark/>
          </w:tcPr>
          <w:p w14:paraId="0E42A68A"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الموافقة</w:t>
            </w:r>
          </w:p>
        </w:tc>
        <w:tc>
          <w:tcPr>
            <w:tcW w:w="851" w:type="dxa"/>
            <w:vAlign w:val="center"/>
            <w:hideMark/>
          </w:tcPr>
          <w:p w14:paraId="2DFBBDB2"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الترتيب</w:t>
            </w:r>
          </w:p>
        </w:tc>
      </w:tr>
      <w:tr w:rsidR="00650C72" w:rsidRPr="00650C72" w14:paraId="0AF49787"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315DCD"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56E86FC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تتّسم القرارات الاستثمارية العقارية في الشركة بالدقة العالية في تقدير القيم</w:t>
            </w:r>
          </w:p>
        </w:tc>
        <w:tc>
          <w:tcPr>
            <w:tcW w:w="0" w:type="auto"/>
            <w:vAlign w:val="center"/>
            <w:hideMark/>
          </w:tcPr>
          <w:p w14:paraId="2E149A6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4.11</w:t>
            </w:r>
          </w:p>
        </w:tc>
        <w:tc>
          <w:tcPr>
            <w:tcW w:w="0" w:type="auto"/>
            <w:vAlign w:val="center"/>
            <w:hideMark/>
          </w:tcPr>
          <w:p w14:paraId="67753AD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0.694</w:t>
            </w:r>
          </w:p>
        </w:tc>
        <w:tc>
          <w:tcPr>
            <w:tcW w:w="1330" w:type="dxa"/>
            <w:vAlign w:val="center"/>
            <w:hideMark/>
          </w:tcPr>
          <w:p w14:paraId="175F0B85"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3449B6BF"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w:t>
            </w:r>
          </w:p>
        </w:tc>
      </w:tr>
      <w:tr w:rsidR="00650C72" w:rsidRPr="00650C72" w14:paraId="4DEA2EDB"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65DD39"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32E4C2F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تُتّخذ القرارات الاستثمارية في الشركة بسرعة تُتيح اقتناص الفرص السوقية</w:t>
            </w:r>
          </w:p>
        </w:tc>
        <w:tc>
          <w:tcPr>
            <w:tcW w:w="0" w:type="auto"/>
            <w:vAlign w:val="center"/>
            <w:hideMark/>
          </w:tcPr>
          <w:p w14:paraId="0D18C08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4.05</w:t>
            </w:r>
          </w:p>
        </w:tc>
        <w:tc>
          <w:tcPr>
            <w:tcW w:w="0" w:type="auto"/>
            <w:vAlign w:val="center"/>
            <w:hideMark/>
          </w:tcPr>
          <w:p w14:paraId="099F788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0.712</w:t>
            </w:r>
          </w:p>
        </w:tc>
        <w:tc>
          <w:tcPr>
            <w:tcW w:w="1330" w:type="dxa"/>
            <w:vAlign w:val="center"/>
            <w:hideMark/>
          </w:tcPr>
          <w:p w14:paraId="45DF9953"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2E09ED8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7</w:t>
            </w:r>
          </w:p>
        </w:tc>
      </w:tr>
      <w:tr w:rsidR="00650C72" w:rsidRPr="00650C72" w14:paraId="751A76F1"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46718"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25C3CDE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تراعي القرارات الاستثمارية في الشركة شمولية العوامل المؤثرة في المشروع</w:t>
            </w:r>
          </w:p>
        </w:tc>
        <w:tc>
          <w:tcPr>
            <w:tcW w:w="0" w:type="auto"/>
            <w:vAlign w:val="center"/>
            <w:hideMark/>
          </w:tcPr>
          <w:p w14:paraId="63BEC3A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4.18</w:t>
            </w:r>
          </w:p>
        </w:tc>
        <w:tc>
          <w:tcPr>
            <w:tcW w:w="0" w:type="auto"/>
            <w:vAlign w:val="center"/>
            <w:hideMark/>
          </w:tcPr>
          <w:p w14:paraId="2864A201"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0.673</w:t>
            </w:r>
          </w:p>
        </w:tc>
        <w:tc>
          <w:tcPr>
            <w:tcW w:w="1330" w:type="dxa"/>
            <w:vAlign w:val="center"/>
            <w:hideMark/>
          </w:tcPr>
          <w:p w14:paraId="37A7CD0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3B70E55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w:t>
            </w:r>
          </w:p>
        </w:tc>
      </w:tr>
      <w:tr w:rsidR="00650C72" w:rsidRPr="00650C72" w14:paraId="78C22C64"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51FAEF"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B144E3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القرارات الاستثمارية في الشركة في تقليل المخاطر المالية بفاعلية</w:t>
            </w:r>
          </w:p>
        </w:tc>
        <w:tc>
          <w:tcPr>
            <w:tcW w:w="0" w:type="auto"/>
            <w:vAlign w:val="center"/>
            <w:hideMark/>
          </w:tcPr>
          <w:p w14:paraId="6509279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4.09</w:t>
            </w:r>
          </w:p>
        </w:tc>
        <w:tc>
          <w:tcPr>
            <w:tcW w:w="0" w:type="auto"/>
            <w:vAlign w:val="center"/>
            <w:hideMark/>
          </w:tcPr>
          <w:p w14:paraId="2B417C24"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0.706</w:t>
            </w:r>
          </w:p>
        </w:tc>
        <w:tc>
          <w:tcPr>
            <w:tcW w:w="1330" w:type="dxa"/>
            <w:vAlign w:val="center"/>
            <w:hideMark/>
          </w:tcPr>
          <w:p w14:paraId="0A443D3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76ECE2B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w:t>
            </w:r>
          </w:p>
        </w:tc>
      </w:tr>
      <w:tr w:rsidR="00650C72" w:rsidRPr="00650C72" w14:paraId="15BC09A4"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2DF53C"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1A25D0D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تُحقّق القرارات الاستثمارية في الشركة ترشيداً واضحاً للموارد المالية والبشرية</w:t>
            </w:r>
          </w:p>
        </w:tc>
        <w:tc>
          <w:tcPr>
            <w:tcW w:w="0" w:type="auto"/>
            <w:vAlign w:val="center"/>
            <w:hideMark/>
          </w:tcPr>
          <w:p w14:paraId="37C9C45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4.02</w:t>
            </w:r>
          </w:p>
        </w:tc>
        <w:tc>
          <w:tcPr>
            <w:tcW w:w="0" w:type="auto"/>
            <w:vAlign w:val="center"/>
            <w:hideMark/>
          </w:tcPr>
          <w:p w14:paraId="527DF739"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0.731</w:t>
            </w:r>
          </w:p>
        </w:tc>
        <w:tc>
          <w:tcPr>
            <w:tcW w:w="1330" w:type="dxa"/>
            <w:vAlign w:val="center"/>
            <w:hideMark/>
          </w:tcPr>
          <w:p w14:paraId="458239B2"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2FEC426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w:t>
            </w:r>
          </w:p>
        </w:tc>
      </w:tr>
      <w:tr w:rsidR="00650C72" w:rsidRPr="00650C72" w14:paraId="509C519B"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CA9019"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1B06FFC7"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تتّسم القرارات الاستثمارية في الشركة بالموضوعية والتحرر من التحيّزات الشخصية</w:t>
            </w:r>
          </w:p>
        </w:tc>
        <w:tc>
          <w:tcPr>
            <w:tcW w:w="0" w:type="auto"/>
            <w:vAlign w:val="center"/>
            <w:hideMark/>
          </w:tcPr>
          <w:p w14:paraId="768F2FF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4.15</w:t>
            </w:r>
          </w:p>
        </w:tc>
        <w:tc>
          <w:tcPr>
            <w:tcW w:w="0" w:type="auto"/>
            <w:vAlign w:val="center"/>
            <w:hideMark/>
          </w:tcPr>
          <w:p w14:paraId="6E2FD2D2"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0.684</w:t>
            </w:r>
          </w:p>
        </w:tc>
        <w:tc>
          <w:tcPr>
            <w:tcW w:w="1330" w:type="dxa"/>
            <w:vAlign w:val="center"/>
            <w:hideMark/>
          </w:tcPr>
          <w:p w14:paraId="3BB7B634"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11D5C2B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4B5DBE1F"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F380B3"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739D214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تستند القرارات الاستثمارية في الشركة إلى بيانات موثّقة ومحلّلة علمياً</w:t>
            </w:r>
          </w:p>
        </w:tc>
        <w:tc>
          <w:tcPr>
            <w:tcW w:w="0" w:type="auto"/>
            <w:vAlign w:val="center"/>
            <w:hideMark/>
          </w:tcPr>
          <w:p w14:paraId="6E11865D"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4.22</w:t>
            </w:r>
          </w:p>
        </w:tc>
        <w:tc>
          <w:tcPr>
            <w:tcW w:w="0" w:type="auto"/>
            <w:vAlign w:val="center"/>
            <w:hideMark/>
          </w:tcPr>
          <w:p w14:paraId="315C903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0.659</w:t>
            </w:r>
          </w:p>
        </w:tc>
        <w:tc>
          <w:tcPr>
            <w:tcW w:w="1330" w:type="dxa"/>
            <w:vAlign w:val="center"/>
            <w:hideMark/>
          </w:tcPr>
          <w:p w14:paraId="4714DC74"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c>
          <w:tcPr>
            <w:tcW w:w="851" w:type="dxa"/>
            <w:vAlign w:val="center"/>
            <w:hideMark/>
          </w:tcPr>
          <w:p w14:paraId="065A258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2</w:t>
            </w:r>
          </w:p>
        </w:tc>
      </w:tr>
      <w:tr w:rsidR="00650C72" w:rsidRPr="00650C72" w14:paraId="25C31207"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53998E"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3036C4D0"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تنسجم القرارات الاستثمارية في الشركة مع التوجه الإستراتيجي طويل المدى</w:t>
            </w:r>
          </w:p>
        </w:tc>
        <w:tc>
          <w:tcPr>
            <w:tcW w:w="0" w:type="auto"/>
            <w:vAlign w:val="center"/>
            <w:hideMark/>
          </w:tcPr>
          <w:p w14:paraId="40292C70"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4.24</w:t>
            </w:r>
          </w:p>
        </w:tc>
        <w:tc>
          <w:tcPr>
            <w:tcW w:w="0" w:type="auto"/>
            <w:vAlign w:val="center"/>
            <w:hideMark/>
          </w:tcPr>
          <w:p w14:paraId="069AAC7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0.647</w:t>
            </w:r>
          </w:p>
        </w:tc>
        <w:tc>
          <w:tcPr>
            <w:tcW w:w="1330" w:type="dxa"/>
            <w:vAlign w:val="center"/>
            <w:hideMark/>
          </w:tcPr>
          <w:p w14:paraId="76D71AA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 جداً</w:t>
            </w:r>
          </w:p>
        </w:tc>
        <w:tc>
          <w:tcPr>
            <w:tcW w:w="851" w:type="dxa"/>
            <w:vAlign w:val="center"/>
            <w:hideMark/>
          </w:tcPr>
          <w:p w14:paraId="35269F89"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w:t>
            </w:r>
          </w:p>
        </w:tc>
      </w:tr>
      <w:tr w:rsidR="00650C72" w:rsidRPr="00650C72" w14:paraId="3E0ECD59"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97666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1640E27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القرارات الاستثمارية في الشركة استيعاب البدائل المتاحة قبل الاختيار</w:t>
            </w:r>
          </w:p>
        </w:tc>
        <w:tc>
          <w:tcPr>
            <w:tcW w:w="0" w:type="auto"/>
            <w:vAlign w:val="center"/>
            <w:hideMark/>
          </w:tcPr>
          <w:p w14:paraId="523D205C"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3.96</w:t>
            </w:r>
          </w:p>
        </w:tc>
        <w:tc>
          <w:tcPr>
            <w:tcW w:w="0" w:type="auto"/>
            <w:vAlign w:val="center"/>
            <w:hideMark/>
          </w:tcPr>
          <w:p w14:paraId="0E0F528D"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0.748</w:t>
            </w:r>
          </w:p>
        </w:tc>
        <w:tc>
          <w:tcPr>
            <w:tcW w:w="1330" w:type="dxa"/>
            <w:vAlign w:val="center"/>
            <w:hideMark/>
          </w:tcPr>
          <w:p w14:paraId="7CDE98A0"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0292352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9</w:t>
            </w:r>
          </w:p>
        </w:tc>
      </w:tr>
      <w:tr w:rsidR="00650C72" w:rsidRPr="00650C72" w14:paraId="506FA0F9"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8AC8B"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71303FD6"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تعزّز جودة القرارات الاستثمارية المركز التنافسي للشركة في السوق العقاري</w:t>
            </w:r>
          </w:p>
        </w:tc>
        <w:tc>
          <w:tcPr>
            <w:tcW w:w="0" w:type="auto"/>
            <w:vAlign w:val="center"/>
            <w:hideMark/>
          </w:tcPr>
          <w:p w14:paraId="630DF1CC"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4.19</w:t>
            </w:r>
          </w:p>
        </w:tc>
        <w:tc>
          <w:tcPr>
            <w:tcW w:w="0" w:type="auto"/>
            <w:vAlign w:val="center"/>
            <w:hideMark/>
          </w:tcPr>
          <w:p w14:paraId="2901FF1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0.671</w:t>
            </w:r>
          </w:p>
        </w:tc>
        <w:tc>
          <w:tcPr>
            <w:tcW w:w="1330" w:type="dxa"/>
            <w:vAlign w:val="center"/>
            <w:hideMark/>
          </w:tcPr>
          <w:p w14:paraId="4CA4095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c>
          <w:tcPr>
            <w:tcW w:w="851" w:type="dxa"/>
            <w:vAlign w:val="center"/>
            <w:hideMark/>
          </w:tcPr>
          <w:p w14:paraId="4C0755B3"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w:t>
            </w:r>
          </w:p>
        </w:tc>
      </w:tr>
      <w:tr w:rsidR="00650C72" w:rsidRPr="00650C72" w14:paraId="217B9203" w14:textId="77777777" w:rsidTr="007A2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FED504C"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المتوسط العام لجودة القرار الاستثماري</w:t>
            </w:r>
          </w:p>
        </w:tc>
        <w:tc>
          <w:tcPr>
            <w:tcW w:w="0" w:type="auto"/>
            <w:vAlign w:val="center"/>
            <w:hideMark/>
          </w:tcPr>
          <w:p w14:paraId="2E2E54A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4.12</w:t>
            </w:r>
          </w:p>
        </w:tc>
        <w:tc>
          <w:tcPr>
            <w:tcW w:w="0" w:type="auto"/>
            <w:vAlign w:val="center"/>
            <w:hideMark/>
          </w:tcPr>
          <w:p w14:paraId="4271FA09"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0.694</w:t>
            </w:r>
          </w:p>
        </w:tc>
        <w:tc>
          <w:tcPr>
            <w:tcW w:w="2181" w:type="dxa"/>
            <w:gridSpan w:val="2"/>
            <w:vAlign w:val="center"/>
            <w:hideMark/>
          </w:tcPr>
          <w:p w14:paraId="5FFDAA4F" w14:textId="402D9EE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مرتفع</w:t>
            </w:r>
          </w:p>
        </w:tc>
      </w:tr>
    </w:tbl>
    <w:p w14:paraId="1C9D337E"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يتّضح من الجدول أن المتوسط العام لجودة القرار الاستثماري بلغ (4.12) بانحراف معياري (0.694)، وهو مستوى موافقة مرتفع يعكس إدراك أفراد العينة لجودة القرارات الاستثمارية المتخذة في شركاتهم. وقد جاءت العبارة الثامنة المتعلقة بانسجام القرارات مع التوجه الإستراتيجي طويل المدى في المرتبة الأولى بمتوسط (4.24)، بينما جاءت العبارة التاسعة المتعلقة باستيعاب البدائل قبل الاختيار في المرتبة الأخيرة بمتوسط</w:t>
      </w:r>
      <w:r w:rsidRPr="00650C72">
        <w:rPr>
          <w:rFonts w:ascii="Simplified Arabic" w:eastAsia="Times New Roman" w:hAnsi="Simplified Arabic" w:cs="Simplified Arabic"/>
          <w:color w:val="000000" w:themeColor="text1"/>
          <w:kern w:val="0"/>
          <w:sz w:val="28"/>
          <w:szCs w:val="28"/>
          <w14:ligatures w14:val="none"/>
        </w:rPr>
        <w:t xml:space="preserve"> (3.96).</w:t>
      </w:r>
    </w:p>
    <w:p w14:paraId="55CD174E" w14:textId="1D989E91" w:rsidR="00197384" w:rsidRPr="00650C72" w:rsidRDefault="0027585B" w:rsidP="002758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6" w:name="_Toc234796464"/>
      <w:r w:rsidRPr="00650C72">
        <w:rPr>
          <w:rFonts w:ascii="Simplified Arabic" w:eastAsia="Times New Roman" w:hAnsi="Simplified Arabic" w:cs="Simplified Arabic" w:hint="cs"/>
          <w:b/>
          <w:bCs/>
          <w:color w:val="000000" w:themeColor="text1"/>
          <w:kern w:val="0"/>
          <w:sz w:val="36"/>
          <w:szCs w:val="36"/>
          <w:rtl/>
          <w14:ligatures w14:val="none"/>
        </w:rPr>
        <w:t>4.4</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اختبار فرضيات الدراسة</w:t>
      </w:r>
      <w:bookmarkEnd w:id="66"/>
    </w:p>
    <w:p w14:paraId="3803DD75"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الفرضية الرئيسية</w:t>
      </w:r>
    </w:p>
    <w:p w14:paraId="0753AE58"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أدوات الذكاء الاصطناعي في التقييم العقاري بأبعاده مجتمعةً (التحليلات التنبؤية للأسعار، نماذج التقييم الآلي، تحليل البيانات الضخمة العقارية، أنظمة دعم القرار الذكية) على جودة القرار الاستثماري في شركات التطوير والاستثمار العقاري بالمملكة العربية السعودية</w:t>
      </w:r>
      <w:r w:rsidRPr="00650C72">
        <w:rPr>
          <w:rFonts w:ascii="Simplified Arabic" w:eastAsia="Times New Roman" w:hAnsi="Simplified Arabic" w:cs="Simplified Arabic"/>
          <w:color w:val="000000" w:themeColor="text1"/>
          <w:kern w:val="0"/>
          <w:sz w:val="28"/>
          <w:szCs w:val="28"/>
          <w14:ligatures w14:val="none"/>
        </w:rPr>
        <w:t>.”</w:t>
      </w:r>
    </w:p>
    <w:p w14:paraId="30541B78"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المتعدد</w:t>
      </w:r>
      <w:r w:rsidRPr="00650C72">
        <w:rPr>
          <w:rFonts w:ascii="Simplified Arabic" w:eastAsia="Times New Roman" w:hAnsi="Simplified Arabic" w:cs="Simplified Arabic"/>
          <w:color w:val="000000" w:themeColor="text1"/>
          <w:kern w:val="0"/>
          <w:sz w:val="28"/>
          <w:szCs w:val="28"/>
          <w14:ligatures w14:val="none"/>
        </w:rPr>
        <w:t xml:space="preserve"> (Multiple Regression) </w:t>
      </w:r>
      <w:r w:rsidRPr="00650C72">
        <w:rPr>
          <w:rFonts w:ascii="Simplified Arabic" w:eastAsia="Times New Roman" w:hAnsi="Simplified Arabic" w:cs="Simplified Arabic"/>
          <w:color w:val="000000" w:themeColor="text1"/>
          <w:kern w:val="0"/>
          <w:sz w:val="28"/>
          <w:szCs w:val="28"/>
          <w:rtl/>
          <w14:ligatures w14:val="none"/>
        </w:rPr>
        <w:t>بهدف قياس تأثير أبعاد أدوات الذكاء الاصطناعي في التقييم العقاري (كعوامل مستقلة) على جودة القرار الاستثماري (كعامل تابع). وقد جاءت نتائج التحليل كما يلي</w:t>
      </w:r>
      <w:r w:rsidRPr="00650C72">
        <w:rPr>
          <w:rFonts w:ascii="Simplified Arabic" w:eastAsia="Times New Roman" w:hAnsi="Simplified Arabic" w:cs="Simplified Arabic"/>
          <w:color w:val="000000" w:themeColor="text1"/>
          <w:kern w:val="0"/>
          <w:sz w:val="28"/>
          <w:szCs w:val="28"/>
          <w14:ligatures w14:val="none"/>
        </w:rPr>
        <w:t>:</w:t>
      </w:r>
    </w:p>
    <w:p w14:paraId="25AE9899" w14:textId="055E96E3"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4 - 8</w:t>
      </w:r>
      <w:r w:rsidRPr="00650C72">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أدوات الذكاء الاصطناعي في التقييم العقاري على جودة القرار الاستثماري</w:t>
      </w:r>
    </w:p>
    <w:tbl>
      <w:tblPr>
        <w:tblStyle w:val="GridTable6Colorful-Accent1"/>
        <w:bidiVisual/>
        <w:tblW w:w="0" w:type="auto"/>
        <w:jc w:val="center"/>
        <w:tblLook w:val="04A0" w:firstRow="1" w:lastRow="0" w:firstColumn="1" w:lastColumn="0" w:noHBand="0" w:noVBand="1"/>
      </w:tblPr>
      <w:tblGrid>
        <w:gridCol w:w="3030"/>
        <w:gridCol w:w="2201"/>
        <w:gridCol w:w="1713"/>
        <w:gridCol w:w="1701"/>
      </w:tblGrid>
      <w:tr w:rsidR="00650C72" w:rsidRPr="00650C72" w14:paraId="4420688C"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20DC6E"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المتغيرات المستقلة</w:t>
            </w:r>
          </w:p>
        </w:tc>
        <w:tc>
          <w:tcPr>
            <w:tcW w:w="0" w:type="auto"/>
            <w:vAlign w:val="center"/>
            <w:hideMark/>
          </w:tcPr>
          <w:p w14:paraId="25B5404E"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معاملات الانحدار</w:t>
            </w:r>
            <w:r w:rsidRPr="00650C72">
              <w:rPr>
                <w:rFonts w:ascii="Simplified Arabic" w:eastAsia="Times New Roman" w:hAnsi="Simplified Arabic" w:cs="Simplified Arabic"/>
                <w:color w:val="000000" w:themeColor="text1"/>
                <w:kern w:val="0"/>
                <w:sz w:val="28"/>
                <w:szCs w:val="28"/>
                <w14:ligatures w14:val="none"/>
              </w:rPr>
              <w:t xml:space="preserve"> (B)</w:t>
            </w:r>
          </w:p>
        </w:tc>
        <w:tc>
          <w:tcPr>
            <w:tcW w:w="1713" w:type="dxa"/>
            <w:vAlign w:val="center"/>
            <w:hideMark/>
          </w:tcPr>
          <w:p w14:paraId="3570A9BB"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قيمة اختبار</w:t>
            </w:r>
            <w:r w:rsidRPr="00650C72">
              <w:rPr>
                <w:rFonts w:ascii="Simplified Arabic" w:eastAsia="Times New Roman" w:hAnsi="Simplified Arabic" w:cs="Simplified Arabic"/>
                <w:color w:val="000000" w:themeColor="text1"/>
                <w:kern w:val="0"/>
                <w:sz w:val="28"/>
                <w:szCs w:val="28"/>
                <w14:ligatures w14:val="none"/>
              </w:rPr>
              <w:t xml:space="preserve"> T</w:t>
            </w:r>
          </w:p>
        </w:tc>
        <w:tc>
          <w:tcPr>
            <w:tcW w:w="1701" w:type="dxa"/>
            <w:vAlign w:val="center"/>
            <w:hideMark/>
          </w:tcPr>
          <w:p w14:paraId="3E2C4A05" w14:textId="77777777" w:rsidR="00197384" w:rsidRPr="00650C72" w:rsidRDefault="00197384"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مستوى الدلالة</w:t>
            </w:r>
          </w:p>
        </w:tc>
      </w:tr>
      <w:tr w:rsidR="00650C72" w:rsidRPr="00650C72" w14:paraId="609135E5"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57AEAF"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 xml:space="preserve">(Constant) </w:t>
            </w:r>
            <w:r w:rsidRPr="00650C72">
              <w:rPr>
                <w:rFonts w:ascii="Simplified Arabic" w:eastAsia="Times New Roman" w:hAnsi="Simplified Arabic" w:cs="Simplified Arabic"/>
                <w:color w:val="000000" w:themeColor="text1"/>
                <w:kern w:val="0"/>
                <w:sz w:val="28"/>
                <w:szCs w:val="28"/>
                <w:rtl/>
                <w14:ligatures w14:val="none"/>
              </w:rPr>
              <w:t>المقدار الثابت</w:t>
            </w:r>
          </w:p>
        </w:tc>
        <w:tc>
          <w:tcPr>
            <w:tcW w:w="0" w:type="auto"/>
            <w:vAlign w:val="center"/>
            <w:hideMark/>
          </w:tcPr>
          <w:p w14:paraId="00D531A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0.487</w:t>
            </w:r>
          </w:p>
        </w:tc>
        <w:tc>
          <w:tcPr>
            <w:tcW w:w="1713" w:type="dxa"/>
            <w:vAlign w:val="center"/>
            <w:hideMark/>
          </w:tcPr>
          <w:p w14:paraId="0DDF022E"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3.246</w:t>
            </w:r>
          </w:p>
        </w:tc>
        <w:tc>
          <w:tcPr>
            <w:tcW w:w="1701" w:type="dxa"/>
            <w:vAlign w:val="center"/>
            <w:hideMark/>
          </w:tcPr>
          <w:p w14:paraId="3F6353C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0.001 **</w:t>
            </w:r>
          </w:p>
        </w:tc>
      </w:tr>
      <w:tr w:rsidR="00650C72" w:rsidRPr="00650C72" w14:paraId="07925C01"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CD7074"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التحليلات التنبؤية للأسعار</w:t>
            </w:r>
          </w:p>
        </w:tc>
        <w:tc>
          <w:tcPr>
            <w:tcW w:w="0" w:type="auto"/>
            <w:vAlign w:val="center"/>
            <w:hideMark/>
          </w:tcPr>
          <w:p w14:paraId="0D5FD8F4"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0.312</w:t>
            </w:r>
          </w:p>
        </w:tc>
        <w:tc>
          <w:tcPr>
            <w:tcW w:w="1713" w:type="dxa"/>
            <w:vAlign w:val="center"/>
            <w:hideMark/>
          </w:tcPr>
          <w:p w14:paraId="3112AEB5"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5.874</w:t>
            </w:r>
          </w:p>
        </w:tc>
        <w:tc>
          <w:tcPr>
            <w:tcW w:w="1701" w:type="dxa"/>
            <w:vAlign w:val="center"/>
            <w:hideMark/>
          </w:tcPr>
          <w:p w14:paraId="34C513B8"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0.000 **</w:t>
            </w:r>
          </w:p>
        </w:tc>
      </w:tr>
      <w:tr w:rsidR="00650C72" w:rsidRPr="00650C72" w14:paraId="0993D481"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E043E5"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w:t>
            </w:r>
          </w:p>
        </w:tc>
        <w:tc>
          <w:tcPr>
            <w:tcW w:w="0" w:type="auto"/>
            <w:vAlign w:val="center"/>
            <w:hideMark/>
          </w:tcPr>
          <w:p w14:paraId="7A995E23"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0.386</w:t>
            </w:r>
          </w:p>
        </w:tc>
        <w:tc>
          <w:tcPr>
            <w:tcW w:w="1713" w:type="dxa"/>
            <w:vAlign w:val="center"/>
            <w:hideMark/>
          </w:tcPr>
          <w:p w14:paraId="68BD5C86"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6.923</w:t>
            </w:r>
          </w:p>
        </w:tc>
        <w:tc>
          <w:tcPr>
            <w:tcW w:w="1701" w:type="dxa"/>
            <w:vAlign w:val="center"/>
            <w:hideMark/>
          </w:tcPr>
          <w:p w14:paraId="43936B9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0.000 **</w:t>
            </w:r>
          </w:p>
        </w:tc>
      </w:tr>
      <w:tr w:rsidR="00650C72" w:rsidRPr="00650C72" w14:paraId="20571274"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4C1F60"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تحليل البيانات الضخمة العقارية</w:t>
            </w:r>
          </w:p>
        </w:tc>
        <w:tc>
          <w:tcPr>
            <w:tcW w:w="0" w:type="auto"/>
            <w:vAlign w:val="center"/>
            <w:hideMark/>
          </w:tcPr>
          <w:p w14:paraId="0E5C566F"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0.267</w:t>
            </w:r>
          </w:p>
        </w:tc>
        <w:tc>
          <w:tcPr>
            <w:tcW w:w="1713" w:type="dxa"/>
            <w:vAlign w:val="center"/>
            <w:hideMark/>
          </w:tcPr>
          <w:p w14:paraId="076C886A"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4.518</w:t>
            </w:r>
          </w:p>
        </w:tc>
        <w:tc>
          <w:tcPr>
            <w:tcW w:w="1701" w:type="dxa"/>
            <w:vAlign w:val="center"/>
            <w:hideMark/>
          </w:tcPr>
          <w:p w14:paraId="69BA04CD" w14:textId="77777777" w:rsidR="00197384" w:rsidRPr="00650C72" w:rsidRDefault="00197384"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0.000 **</w:t>
            </w:r>
          </w:p>
        </w:tc>
      </w:tr>
      <w:tr w:rsidR="00650C72" w:rsidRPr="00650C72" w14:paraId="21A5E3FD"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6BA7C9" w14:textId="77777777" w:rsidR="00197384" w:rsidRPr="00650C72" w:rsidRDefault="00197384"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أنظمة دعم القرار الذكية</w:t>
            </w:r>
          </w:p>
        </w:tc>
        <w:tc>
          <w:tcPr>
            <w:tcW w:w="0" w:type="auto"/>
            <w:vAlign w:val="center"/>
            <w:hideMark/>
          </w:tcPr>
          <w:p w14:paraId="081093F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0.421</w:t>
            </w:r>
          </w:p>
        </w:tc>
        <w:tc>
          <w:tcPr>
            <w:tcW w:w="1713" w:type="dxa"/>
            <w:vAlign w:val="center"/>
            <w:hideMark/>
          </w:tcPr>
          <w:p w14:paraId="7F099C02"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7.294</w:t>
            </w:r>
          </w:p>
        </w:tc>
        <w:tc>
          <w:tcPr>
            <w:tcW w:w="1701" w:type="dxa"/>
            <w:vAlign w:val="center"/>
            <w:hideMark/>
          </w:tcPr>
          <w:p w14:paraId="2EB2EFCA" w14:textId="77777777" w:rsidR="00197384" w:rsidRPr="00650C72" w:rsidRDefault="00197384"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0.000 **</w:t>
            </w:r>
          </w:p>
        </w:tc>
      </w:tr>
      <w:tr w:rsidR="00650C72" w:rsidRPr="00650C72" w14:paraId="2FFDD172"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2383967" w14:textId="1A51D096"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الارتباط</w:t>
            </w:r>
            <w:r w:rsidRPr="00650C72">
              <w:rPr>
                <w:rFonts w:ascii="Simplified Arabic" w:eastAsia="Times New Roman" w:hAnsi="Simplified Arabic" w:cs="Simplified Arabic"/>
                <w:color w:val="000000" w:themeColor="text1"/>
                <w:kern w:val="0"/>
                <w:sz w:val="28"/>
                <w:szCs w:val="28"/>
                <w14:ligatures w14:val="none"/>
              </w:rPr>
              <w:t xml:space="preserve"> R = 0.883</w:t>
            </w:r>
          </w:p>
        </w:tc>
        <w:tc>
          <w:tcPr>
            <w:tcW w:w="3414" w:type="dxa"/>
            <w:gridSpan w:val="2"/>
            <w:vAlign w:val="center"/>
            <w:hideMark/>
          </w:tcPr>
          <w:p w14:paraId="2D8705FF" w14:textId="14D9A874"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 0.780</w:t>
            </w:r>
          </w:p>
        </w:tc>
      </w:tr>
      <w:tr w:rsidR="00650C72" w:rsidRPr="00650C72" w14:paraId="654DA340"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43D9B5B" w14:textId="1197C540"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قيمة الاختبار</w:t>
            </w:r>
            <w:r w:rsidRPr="00650C72">
              <w:rPr>
                <w:rFonts w:ascii="Simplified Arabic" w:eastAsia="Times New Roman" w:hAnsi="Simplified Arabic" w:cs="Simplified Arabic"/>
                <w:color w:val="000000" w:themeColor="text1"/>
                <w:kern w:val="0"/>
                <w:sz w:val="28"/>
                <w:szCs w:val="28"/>
                <w14:ligatures w14:val="none"/>
              </w:rPr>
              <w:t xml:space="preserve"> F = 152.638</w:t>
            </w:r>
          </w:p>
        </w:tc>
        <w:tc>
          <w:tcPr>
            <w:tcW w:w="3414" w:type="dxa"/>
            <w:gridSpan w:val="2"/>
            <w:vAlign w:val="center"/>
            <w:hideMark/>
          </w:tcPr>
          <w:p w14:paraId="3AA19E96" w14:textId="74259956"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القيمة الاحتمالية = 0.000</w:t>
            </w:r>
          </w:p>
        </w:tc>
      </w:tr>
    </w:tbl>
    <w:p w14:paraId="6E7CC861"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650C72">
        <w:rPr>
          <w:rFonts w:ascii="Simplified Arabic" w:eastAsia="Times New Roman" w:hAnsi="Simplified Arabic" w:cs="Simplified Arabic"/>
          <w:color w:val="000000" w:themeColor="text1"/>
          <w:kern w:val="0"/>
          <w:sz w:val="28"/>
          <w:szCs w:val="28"/>
          <w14:ligatures w14:val="none"/>
        </w:rPr>
        <w:t xml:space="preserve"> SPSS.</w:t>
      </w:r>
    </w:p>
    <w:p w14:paraId="4420344A"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(8) إلى وجود علاقة تأثيرية دالة إحصائياً بين أبعاد أدوات الذكاء الاصطناعي في التقييم العقاري كمتغيرات مستقلة، وجودة القرار الاستثماري كمتغير تابع. فقد بلغ 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w:t>
      </w:r>
      <w:r w:rsidRPr="00650C72">
        <w:rPr>
          <w:rFonts w:ascii="Simplified Arabic" w:eastAsia="Times New Roman" w:hAnsi="Simplified Arabic" w:cs="Simplified Arabic"/>
          <w:color w:val="000000" w:themeColor="text1"/>
          <w:kern w:val="0"/>
          <w:sz w:val="28"/>
          <w:szCs w:val="28"/>
          <w:rtl/>
          <w14:ligatures w14:val="none"/>
        </w:rPr>
        <w:t>قيمة قدرها (0.780)، وهي نسبة مرتفعة تدل على أن (78.0%) من التباين في جودة القرار الاستثماري في شركات التطوير والاستثمار العقاري السعودية يمكن تفسيره من خلال المتغيرات الأربعة المتعلقة بأدوات الذكاء الاصطناعي في التقييم العقاري، كما تُشير قيمة معامل الارتباط</w:t>
      </w:r>
      <w:r w:rsidRPr="00650C72">
        <w:rPr>
          <w:rFonts w:ascii="Simplified Arabic" w:eastAsia="Times New Roman" w:hAnsi="Simplified Arabic" w:cs="Simplified Arabic"/>
          <w:color w:val="000000" w:themeColor="text1"/>
          <w:kern w:val="0"/>
          <w:sz w:val="28"/>
          <w:szCs w:val="28"/>
          <w14:ligatures w14:val="none"/>
        </w:rPr>
        <w:t xml:space="preserve"> (R = 0.883) </w:t>
      </w:r>
      <w:r w:rsidRPr="00650C72">
        <w:rPr>
          <w:rFonts w:ascii="Simplified Arabic" w:eastAsia="Times New Roman" w:hAnsi="Simplified Arabic" w:cs="Simplified Arabic"/>
          <w:color w:val="000000" w:themeColor="text1"/>
          <w:kern w:val="0"/>
          <w:sz w:val="28"/>
          <w:szCs w:val="28"/>
          <w:rtl/>
          <w14:ligatures w14:val="none"/>
        </w:rPr>
        <w:t>إلى وجود ارتباط قوي جداً بين المتغيرات المدروسة. وبلغت قيمة اختبار</w:t>
      </w:r>
      <w:r w:rsidRPr="00650C72">
        <w:rPr>
          <w:rFonts w:ascii="Simplified Arabic" w:eastAsia="Times New Roman" w:hAnsi="Simplified Arabic" w:cs="Simplified Arabic"/>
          <w:color w:val="000000" w:themeColor="text1"/>
          <w:kern w:val="0"/>
          <w:sz w:val="28"/>
          <w:szCs w:val="28"/>
          <w14:ligatures w14:val="none"/>
        </w:rPr>
        <w:t xml:space="preserve"> F (152.638) </w:t>
      </w:r>
      <w:r w:rsidRPr="00650C72">
        <w:rPr>
          <w:rFonts w:ascii="Simplified Arabic" w:eastAsia="Times New Roman" w:hAnsi="Simplified Arabic" w:cs="Simplified Arabic"/>
          <w:color w:val="000000" w:themeColor="text1"/>
          <w:kern w:val="0"/>
          <w:sz w:val="28"/>
          <w:szCs w:val="28"/>
          <w:rtl/>
          <w14:ligatures w14:val="none"/>
        </w:rPr>
        <w:t>بمستوى دلالة (0.000)، مما يُؤكّد المعنوية الإحصائية للنموذج ككل</w:t>
      </w:r>
      <w:r w:rsidRPr="00650C72">
        <w:rPr>
          <w:rFonts w:ascii="Simplified Arabic" w:eastAsia="Times New Roman" w:hAnsi="Simplified Arabic" w:cs="Simplified Arabic"/>
          <w:color w:val="000000" w:themeColor="text1"/>
          <w:kern w:val="0"/>
          <w:sz w:val="28"/>
          <w:szCs w:val="28"/>
          <w14:ligatures w14:val="none"/>
        </w:rPr>
        <w:t>.</w:t>
      </w:r>
    </w:p>
    <w:p w14:paraId="2282C8E3"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وعلى مستوى الأبعاد الفردية، تبيّن أن بُعد “أنظمة دعم القرار الذكية” هو الأكثر تأثيراً على جودة القرار الاستثماري، حيث بلغ معامل الانحدار له</w:t>
      </w:r>
      <w:r w:rsidRPr="00650C72">
        <w:rPr>
          <w:rFonts w:ascii="Simplified Arabic" w:eastAsia="Times New Roman" w:hAnsi="Simplified Arabic" w:cs="Simplified Arabic"/>
          <w:color w:val="000000" w:themeColor="text1"/>
          <w:kern w:val="0"/>
          <w:sz w:val="28"/>
          <w:szCs w:val="28"/>
          <w14:ligatures w14:val="none"/>
        </w:rPr>
        <w:t xml:space="preserve"> (B = 0.421)</w:t>
      </w:r>
      <w:r w:rsidRPr="00650C72">
        <w:rPr>
          <w:rFonts w:ascii="Simplified Arabic" w:eastAsia="Times New Roman" w:hAnsi="Simplified Arabic" w:cs="Simplified Arabic"/>
          <w:color w:val="000000" w:themeColor="text1"/>
          <w:kern w:val="0"/>
          <w:sz w:val="28"/>
          <w:szCs w:val="28"/>
          <w:rtl/>
          <w14:ligatures w14:val="none"/>
        </w:rPr>
        <w:t>، وبلغت قيمة</w:t>
      </w:r>
      <w:r w:rsidRPr="00650C72">
        <w:rPr>
          <w:rFonts w:ascii="Simplified Arabic" w:eastAsia="Times New Roman" w:hAnsi="Simplified Arabic" w:cs="Simplified Arabic"/>
          <w:color w:val="000000" w:themeColor="text1"/>
          <w:kern w:val="0"/>
          <w:sz w:val="28"/>
          <w:szCs w:val="28"/>
          <w14:ligatures w14:val="none"/>
        </w:rPr>
        <w:t xml:space="preserve"> T (7.294) </w:t>
      </w:r>
      <w:r w:rsidRPr="00650C72">
        <w:rPr>
          <w:rFonts w:ascii="Simplified Arabic" w:eastAsia="Times New Roman" w:hAnsi="Simplified Arabic" w:cs="Simplified Arabic"/>
          <w:color w:val="000000" w:themeColor="text1"/>
          <w:kern w:val="0"/>
          <w:sz w:val="28"/>
          <w:szCs w:val="28"/>
          <w:rtl/>
          <w14:ligatures w14:val="none"/>
        </w:rPr>
        <w:t>بدلالة معنوية عالية</w:t>
      </w:r>
      <w:r w:rsidRPr="00650C72">
        <w:rPr>
          <w:rFonts w:ascii="Simplified Arabic" w:eastAsia="Times New Roman" w:hAnsi="Simplified Arabic" w:cs="Simplified Arabic"/>
          <w:color w:val="000000" w:themeColor="text1"/>
          <w:kern w:val="0"/>
          <w:sz w:val="28"/>
          <w:szCs w:val="28"/>
          <w14:ligatures w14:val="none"/>
        </w:rPr>
        <w:t xml:space="preserve"> (Sig. = 0.000). </w:t>
      </w:r>
      <w:r w:rsidRPr="00650C72">
        <w:rPr>
          <w:rFonts w:ascii="Simplified Arabic" w:eastAsia="Times New Roman" w:hAnsi="Simplified Arabic" w:cs="Simplified Arabic"/>
          <w:color w:val="000000" w:themeColor="text1"/>
          <w:kern w:val="0"/>
          <w:sz w:val="28"/>
          <w:szCs w:val="28"/>
          <w:rtl/>
          <w14:ligatures w14:val="none"/>
        </w:rPr>
        <w:t>ويُؤكّد ذلك الدور المحوري الذي تؤديه هذه الأنظمة في تكامل مخرجات الأدوات التحليلية وتحويلها إلى قرارات قابلة للتنفيذ داخل شركات التطوير العقاري. كما أظهرت النتائج أن بُعد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يأتي في المرتبة الثانية بمعامل انحدار</w:t>
      </w:r>
      <w:r w:rsidRPr="00650C72">
        <w:rPr>
          <w:rFonts w:ascii="Simplified Arabic" w:eastAsia="Times New Roman" w:hAnsi="Simplified Arabic" w:cs="Simplified Arabic"/>
          <w:color w:val="000000" w:themeColor="text1"/>
          <w:kern w:val="0"/>
          <w:sz w:val="28"/>
          <w:szCs w:val="28"/>
          <w14:ligatures w14:val="none"/>
        </w:rPr>
        <w:t xml:space="preserve"> (B = 0.386) </w:t>
      </w:r>
      <w:r w:rsidRPr="00650C72">
        <w:rPr>
          <w:rFonts w:ascii="Simplified Arabic" w:eastAsia="Times New Roman" w:hAnsi="Simplified Arabic" w:cs="Simplified Arabic"/>
          <w:color w:val="000000" w:themeColor="text1"/>
          <w:kern w:val="0"/>
          <w:sz w:val="28"/>
          <w:szCs w:val="28"/>
          <w:rtl/>
          <w14:ligatures w14:val="none"/>
        </w:rPr>
        <w:t>وقيمة</w:t>
      </w:r>
      <w:r w:rsidRPr="00650C72">
        <w:rPr>
          <w:rFonts w:ascii="Simplified Arabic" w:eastAsia="Times New Roman" w:hAnsi="Simplified Arabic" w:cs="Simplified Arabic"/>
          <w:color w:val="000000" w:themeColor="text1"/>
          <w:kern w:val="0"/>
          <w:sz w:val="28"/>
          <w:szCs w:val="28"/>
          <w14:ligatures w14:val="none"/>
        </w:rPr>
        <w:t xml:space="preserve"> T (6.923) </w:t>
      </w:r>
      <w:r w:rsidRPr="00650C72">
        <w:rPr>
          <w:rFonts w:ascii="Simplified Arabic" w:eastAsia="Times New Roman" w:hAnsi="Simplified Arabic" w:cs="Simplified Arabic"/>
          <w:color w:val="000000" w:themeColor="text1"/>
          <w:kern w:val="0"/>
          <w:sz w:val="28"/>
          <w:szCs w:val="28"/>
          <w:rtl/>
          <w14:ligatures w14:val="none"/>
        </w:rPr>
        <w:t>بمستوى دلالة (0.000)، مما يعكس أهمية النماذج الآلية في توفير قاعدة موضوعية للقرار الاستثماري</w:t>
      </w:r>
      <w:r w:rsidRPr="00650C72">
        <w:rPr>
          <w:rFonts w:ascii="Simplified Arabic" w:eastAsia="Times New Roman" w:hAnsi="Simplified Arabic" w:cs="Simplified Arabic"/>
          <w:color w:val="000000" w:themeColor="text1"/>
          <w:kern w:val="0"/>
          <w:sz w:val="28"/>
          <w:szCs w:val="28"/>
          <w14:ligatures w14:val="none"/>
        </w:rPr>
        <w:t>.</w:t>
      </w:r>
    </w:p>
    <w:p w14:paraId="492BCC67" w14:textId="2C22971B"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وجاءت التحليلات التنبؤية للأسعار في المرتبة الثالثة بمعامل انحدار</w:t>
      </w:r>
      <w:r w:rsidRPr="00650C72">
        <w:rPr>
          <w:rFonts w:ascii="Simplified Arabic" w:eastAsia="Times New Roman" w:hAnsi="Simplified Arabic" w:cs="Simplified Arabic"/>
          <w:color w:val="000000" w:themeColor="text1"/>
          <w:kern w:val="0"/>
          <w:sz w:val="28"/>
          <w:szCs w:val="28"/>
          <w14:ligatures w14:val="none"/>
        </w:rPr>
        <w:t xml:space="preserve"> (B = 0.312) </w:t>
      </w:r>
      <w:r w:rsidRPr="00650C72">
        <w:rPr>
          <w:rFonts w:ascii="Simplified Arabic" w:eastAsia="Times New Roman" w:hAnsi="Simplified Arabic" w:cs="Simplified Arabic"/>
          <w:color w:val="000000" w:themeColor="text1"/>
          <w:kern w:val="0"/>
          <w:sz w:val="28"/>
          <w:szCs w:val="28"/>
          <w:rtl/>
          <w14:ligatures w14:val="none"/>
        </w:rPr>
        <w:t>وقيمة</w:t>
      </w:r>
      <w:r w:rsidRPr="00650C72">
        <w:rPr>
          <w:rFonts w:ascii="Simplified Arabic" w:eastAsia="Times New Roman" w:hAnsi="Simplified Arabic" w:cs="Simplified Arabic"/>
          <w:color w:val="000000" w:themeColor="text1"/>
          <w:kern w:val="0"/>
          <w:sz w:val="28"/>
          <w:szCs w:val="28"/>
          <w14:ligatures w14:val="none"/>
        </w:rPr>
        <w:t xml:space="preserve"> T (5.874)</w:t>
      </w:r>
      <w:r w:rsidRPr="00650C72">
        <w:rPr>
          <w:rFonts w:ascii="Simplified Arabic" w:eastAsia="Times New Roman" w:hAnsi="Simplified Arabic" w:cs="Simplified Arabic"/>
          <w:color w:val="000000" w:themeColor="text1"/>
          <w:kern w:val="0"/>
          <w:sz w:val="28"/>
          <w:szCs w:val="28"/>
          <w:rtl/>
          <w14:ligatures w14:val="none"/>
        </w:rPr>
        <w:t>، تلاها بُعد تحليل البيانات الضخمة العقارية بمعامل انحدار</w:t>
      </w:r>
      <w:r w:rsidRPr="00650C72">
        <w:rPr>
          <w:rFonts w:ascii="Simplified Arabic" w:eastAsia="Times New Roman" w:hAnsi="Simplified Arabic" w:cs="Simplified Arabic"/>
          <w:color w:val="000000" w:themeColor="text1"/>
          <w:kern w:val="0"/>
          <w:sz w:val="28"/>
          <w:szCs w:val="28"/>
          <w14:ligatures w14:val="none"/>
        </w:rPr>
        <w:t xml:space="preserve"> (B = 0.267) </w:t>
      </w:r>
      <w:r w:rsidRPr="00650C72">
        <w:rPr>
          <w:rFonts w:ascii="Simplified Arabic" w:eastAsia="Times New Roman" w:hAnsi="Simplified Arabic" w:cs="Simplified Arabic"/>
          <w:color w:val="000000" w:themeColor="text1"/>
          <w:kern w:val="0"/>
          <w:sz w:val="28"/>
          <w:szCs w:val="28"/>
          <w:rtl/>
          <w14:ligatures w14:val="none"/>
        </w:rPr>
        <w:t>وقيمة</w:t>
      </w:r>
      <w:r w:rsidRPr="00650C72">
        <w:rPr>
          <w:rFonts w:ascii="Simplified Arabic" w:eastAsia="Times New Roman" w:hAnsi="Simplified Arabic" w:cs="Simplified Arabic"/>
          <w:color w:val="000000" w:themeColor="text1"/>
          <w:kern w:val="0"/>
          <w:sz w:val="28"/>
          <w:szCs w:val="28"/>
          <w14:ligatures w14:val="none"/>
        </w:rPr>
        <w:t xml:space="preserve"> T (4.518)</w:t>
      </w:r>
      <w:r w:rsidRPr="00650C72">
        <w:rPr>
          <w:rFonts w:ascii="Simplified Arabic" w:eastAsia="Times New Roman" w:hAnsi="Simplified Arabic" w:cs="Simplified Arabic"/>
          <w:color w:val="000000" w:themeColor="text1"/>
          <w:kern w:val="0"/>
          <w:sz w:val="28"/>
          <w:szCs w:val="28"/>
          <w:rtl/>
          <w14:ligatures w14:val="none"/>
        </w:rPr>
        <w:t>، وكلاهما دال إحصائياً عند مستوى (0.000)، مما يعكس إسهام هذين البُعدين في تفسير التباين في جودة القرار الاستثماري وإن جاءا في مرتبة تالية للبُعدين السابقين. وبناءً على ذلك، تُؤكّد هذه النتائج صحة الفرضية الرئيسية للدراسة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Simplified Arabic" w:eastAsia="Times New Roman" w:hAnsi="Simplified Arabic" w:cs="Simplified Arabic"/>
          <w:color w:val="000000" w:themeColor="text1"/>
          <w:kern w:val="0"/>
          <w:sz w:val="28"/>
          <w:szCs w:val="28"/>
          <w:rtl/>
          <w14:ligatures w14:val="none"/>
        </w:rPr>
        <w:t>ويتفرّع من هذه الفرضية الرئيسية الفرضيات الفرعية التالية</w:t>
      </w:r>
      <w:r w:rsidRPr="00650C72">
        <w:rPr>
          <w:rFonts w:ascii="Simplified Arabic" w:eastAsia="Times New Roman" w:hAnsi="Simplified Arabic" w:cs="Simplified Arabic"/>
          <w:color w:val="000000" w:themeColor="text1"/>
          <w:kern w:val="0"/>
          <w:sz w:val="28"/>
          <w:szCs w:val="28"/>
          <w14:ligatures w14:val="none"/>
        </w:rPr>
        <w:t>:</w:t>
      </w:r>
    </w:p>
    <w:p w14:paraId="304D6B2D"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الفرضية الفرعية الأولى</w:t>
      </w:r>
      <w:r w:rsidRPr="00650C72">
        <w:rPr>
          <w:rFonts w:ascii="Simplified Arabic" w:eastAsia="Times New Roman" w:hAnsi="Simplified Arabic" w:cs="Simplified Arabic"/>
          <w:b/>
          <w:bCs/>
          <w:color w:val="000000" w:themeColor="text1"/>
          <w:kern w:val="0"/>
          <w:sz w:val="32"/>
          <w:szCs w:val="32"/>
          <w14:ligatures w14:val="none"/>
        </w:rPr>
        <w:t xml:space="preserve"> (H</w:t>
      </w:r>
      <w:r w:rsidRPr="00650C72">
        <w:rPr>
          <w:rFonts w:ascii="Times New Roman" w:eastAsia="Times New Roman" w:hAnsi="Times New Roman" w:cs="Times New Roman"/>
          <w:b/>
          <w:bCs/>
          <w:color w:val="000000" w:themeColor="text1"/>
          <w:kern w:val="0"/>
          <w:sz w:val="32"/>
          <w:szCs w:val="32"/>
          <w14:ligatures w14:val="none"/>
        </w:rPr>
        <w:t>₁</w:t>
      </w:r>
      <w:r w:rsidRPr="00650C72">
        <w:rPr>
          <w:rFonts w:ascii="Simplified Arabic" w:eastAsia="Times New Roman" w:hAnsi="Simplified Arabic" w:cs="Simplified Arabic"/>
          <w:b/>
          <w:bCs/>
          <w:color w:val="000000" w:themeColor="text1"/>
          <w:kern w:val="0"/>
          <w:sz w:val="32"/>
          <w:szCs w:val="32"/>
          <w14:ligatures w14:val="none"/>
        </w:rPr>
        <w:t>)</w:t>
      </w:r>
    </w:p>
    <w:p w14:paraId="25157C6F"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lastRenderedPageBreak/>
        <w:t>“</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التحليلات التنبؤية للأسعار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4453750E"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(Linear Regression Test)</w:t>
      </w:r>
      <w:r w:rsidRPr="00650C72">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50BE85E8" w14:textId="06A42B87"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4 - 9</w:t>
      </w:r>
      <w:r w:rsidRPr="00650C72">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التحليلات التنبؤية للأسعار على جودة القرار الاستثماري</w:t>
      </w:r>
    </w:p>
    <w:tbl>
      <w:tblPr>
        <w:tblStyle w:val="GridTable6Colorful-Accent1"/>
        <w:bidiVisual/>
        <w:tblW w:w="9345" w:type="dxa"/>
        <w:jc w:val="center"/>
        <w:tblLook w:val="04A0" w:firstRow="1" w:lastRow="0" w:firstColumn="1" w:lastColumn="0" w:noHBand="0" w:noVBand="1"/>
      </w:tblPr>
      <w:tblGrid>
        <w:gridCol w:w="1022"/>
        <w:gridCol w:w="862"/>
        <w:gridCol w:w="798"/>
        <w:gridCol w:w="745"/>
        <w:gridCol w:w="1050"/>
        <w:gridCol w:w="798"/>
        <w:gridCol w:w="925"/>
        <w:gridCol w:w="798"/>
        <w:gridCol w:w="846"/>
        <w:gridCol w:w="924"/>
        <w:gridCol w:w="798"/>
      </w:tblGrid>
      <w:tr w:rsidR="00650C72" w:rsidRPr="00650C72" w14:paraId="2DDD1D9F"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3FDBB"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57C9D0B7"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4634EF55" w14:textId="1CDEBEA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تحليل التباين</w:t>
            </w:r>
            <w:r w:rsidRPr="00650C72">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77CE5A48"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المستقل</w:t>
            </w:r>
          </w:p>
        </w:tc>
        <w:tc>
          <w:tcPr>
            <w:tcW w:w="3474" w:type="dxa"/>
            <w:gridSpan w:val="4"/>
            <w:vAlign w:val="center"/>
            <w:hideMark/>
          </w:tcPr>
          <w:p w14:paraId="79F457E6" w14:textId="3BC84BD1"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المعاملات</w:t>
            </w:r>
            <w:r w:rsidRPr="00650C72">
              <w:rPr>
                <w:rFonts w:ascii="Simplified Arabic" w:eastAsia="Times New Roman" w:hAnsi="Simplified Arabic" w:cs="Simplified Arabic"/>
                <w:color w:val="000000" w:themeColor="text1"/>
                <w:kern w:val="0"/>
                <w:sz w:val="24"/>
                <w:szCs w:val="24"/>
                <w14:ligatures w14:val="none"/>
              </w:rPr>
              <w:t xml:space="preserve"> Coefficient</w:t>
            </w:r>
          </w:p>
        </w:tc>
      </w:tr>
      <w:tr w:rsidR="00650C72" w:rsidRPr="00650C72" w14:paraId="273CD9EA"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6C63B66" w14:textId="40B60DE9"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جودة القرار الاستثماري</w:t>
            </w:r>
          </w:p>
        </w:tc>
        <w:tc>
          <w:tcPr>
            <w:tcW w:w="0" w:type="auto"/>
            <w:vAlign w:val="center"/>
            <w:hideMark/>
          </w:tcPr>
          <w:p w14:paraId="4DE17B57"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الارتباط</w:t>
            </w:r>
            <w:r w:rsidRPr="00650C72">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5E4596CA"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التحديد</w:t>
            </w:r>
            <w:r w:rsidRPr="00650C72">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2EB6A99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درجة الحرية</w:t>
            </w:r>
            <w:r w:rsidRPr="00650C72">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3094B00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 xml:space="preserve">F </w:t>
            </w:r>
            <w:r w:rsidRPr="00650C72">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5332539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4CBD872B" w14:textId="0F024E1F"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التحليلات التنبؤية للأسعار</w:t>
            </w:r>
          </w:p>
        </w:tc>
        <w:tc>
          <w:tcPr>
            <w:tcW w:w="0" w:type="auto"/>
            <w:vAlign w:val="center"/>
            <w:hideMark/>
          </w:tcPr>
          <w:p w14:paraId="1DF7691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37887E5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0A638C4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T</w:t>
            </w:r>
          </w:p>
        </w:tc>
        <w:tc>
          <w:tcPr>
            <w:tcW w:w="1041" w:type="dxa"/>
            <w:vAlign w:val="center"/>
            <w:hideMark/>
          </w:tcPr>
          <w:p w14:paraId="280A1E6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t</w:t>
            </w:r>
          </w:p>
        </w:tc>
      </w:tr>
      <w:tr w:rsidR="00650C72" w:rsidRPr="00650C72" w14:paraId="58D8D07E"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80BBF3" w14:textId="5003E6B2"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39B7403B"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0.694</w:t>
            </w:r>
          </w:p>
        </w:tc>
        <w:tc>
          <w:tcPr>
            <w:tcW w:w="0" w:type="auto"/>
            <w:vAlign w:val="center"/>
            <w:hideMark/>
          </w:tcPr>
          <w:p w14:paraId="4627E0F0"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0.482</w:t>
            </w:r>
          </w:p>
        </w:tc>
        <w:tc>
          <w:tcPr>
            <w:tcW w:w="0" w:type="auto"/>
            <w:vAlign w:val="center"/>
            <w:hideMark/>
          </w:tcPr>
          <w:p w14:paraId="02ED384C"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61957EAB"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328.716</w:t>
            </w:r>
          </w:p>
        </w:tc>
        <w:tc>
          <w:tcPr>
            <w:tcW w:w="0" w:type="auto"/>
            <w:vAlign w:val="center"/>
            <w:hideMark/>
          </w:tcPr>
          <w:p w14:paraId="3F2955C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2FCC2369" w14:textId="466AEC91"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45773981"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0.617</w:t>
            </w:r>
          </w:p>
        </w:tc>
        <w:tc>
          <w:tcPr>
            <w:tcW w:w="0" w:type="auto"/>
            <w:vAlign w:val="center"/>
            <w:hideMark/>
          </w:tcPr>
          <w:p w14:paraId="09E5D2D9"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0.034</w:t>
            </w:r>
          </w:p>
        </w:tc>
        <w:tc>
          <w:tcPr>
            <w:tcW w:w="0" w:type="auto"/>
            <w:vAlign w:val="center"/>
            <w:hideMark/>
          </w:tcPr>
          <w:p w14:paraId="50D67F29"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18.131</w:t>
            </w:r>
          </w:p>
        </w:tc>
        <w:tc>
          <w:tcPr>
            <w:tcW w:w="1041" w:type="dxa"/>
            <w:vAlign w:val="center"/>
            <w:hideMark/>
          </w:tcPr>
          <w:p w14:paraId="4FD927CD"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r>
    </w:tbl>
    <w:p w14:paraId="10C356A1"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(Simple Linear Regression) </w:t>
      </w:r>
      <w:r w:rsidRPr="00650C72">
        <w:rPr>
          <w:rFonts w:ascii="Simplified Arabic" w:eastAsia="Times New Roman" w:hAnsi="Simplified Arabic" w:cs="Simplified Arabic"/>
          <w:color w:val="000000" w:themeColor="text1"/>
          <w:kern w:val="0"/>
          <w:sz w:val="28"/>
          <w:szCs w:val="28"/>
          <w:rtl/>
          <w14:ligatures w14:val="none"/>
        </w:rPr>
        <w:t>لقياس تأثير “التحليلات التنبؤية للأسعار” باعتبارها أحد أبعاد أدوات الذكاء الاصطناعي في التقييم العقاري على “جودة القرار الاستثماري”. وقد جاءت النتائج الإحصائية كما هو موضّح في الجدول (9)، حيث بلغ معامل الارتباط ® = (0.694)، وهو ما يعكس وجود علاقة ارتباط موجبة قوية بين المتغيرين، كما بلغت قيمة 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 (0.482)</w:t>
      </w:r>
      <w:r w:rsidRPr="00650C72">
        <w:rPr>
          <w:rFonts w:ascii="Simplified Arabic" w:eastAsia="Times New Roman" w:hAnsi="Simplified Arabic" w:cs="Simplified Arabic"/>
          <w:color w:val="000000" w:themeColor="text1"/>
          <w:kern w:val="0"/>
          <w:sz w:val="28"/>
          <w:szCs w:val="28"/>
          <w:rtl/>
          <w14:ligatures w14:val="none"/>
        </w:rPr>
        <w:t>، مما يُشير إلى أن (48.2%) من التباين في جودة القرار الاستثماري يمكن تفسيره من خلال متغير التحليلات التنبؤية للأسعار وحده دون تدخل بقية الأبعاد الأخرى</w:t>
      </w:r>
      <w:r w:rsidRPr="00650C72">
        <w:rPr>
          <w:rFonts w:ascii="Simplified Arabic" w:eastAsia="Times New Roman" w:hAnsi="Simplified Arabic" w:cs="Simplified Arabic"/>
          <w:color w:val="000000" w:themeColor="text1"/>
          <w:kern w:val="0"/>
          <w:sz w:val="28"/>
          <w:szCs w:val="28"/>
          <w14:ligatures w14:val="none"/>
        </w:rPr>
        <w:t>.</w:t>
      </w:r>
    </w:p>
    <w:p w14:paraId="7B8FA211" w14:textId="30E22E29"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650C72">
        <w:rPr>
          <w:rFonts w:ascii="Simplified Arabic" w:eastAsia="Times New Roman" w:hAnsi="Simplified Arabic" w:cs="Simplified Arabic"/>
          <w:color w:val="000000" w:themeColor="text1"/>
          <w:kern w:val="0"/>
          <w:sz w:val="28"/>
          <w:szCs w:val="28"/>
          <w14:ligatures w14:val="none"/>
        </w:rPr>
        <w:t xml:space="preserve"> (ANOVA)</w:t>
      </w:r>
      <w:r w:rsidRPr="00650C72">
        <w:rPr>
          <w:rFonts w:ascii="Simplified Arabic" w:eastAsia="Times New Roman" w:hAnsi="Simplified Arabic" w:cs="Simplified Arabic"/>
          <w:color w:val="000000" w:themeColor="text1"/>
          <w:kern w:val="0"/>
          <w:sz w:val="28"/>
          <w:szCs w:val="28"/>
          <w:rtl/>
          <w14:ligatures w14:val="none"/>
        </w:rPr>
        <w:t>، يتّضح أن قيمة</w:t>
      </w:r>
      <w:r w:rsidRPr="00650C72">
        <w:rPr>
          <w:rFonts w:ascii="Simplified Arabic" w:eastAsia="Times New Roman" w:hAnsi="Simplified Arabic" w:cs="Simplified Arabic"/>
          <w:color w:val="000000" w:themeColor="text1"/>
          <w:kern w:val="0"/>
          <w:sz w:val="28"/>
          <w:szCs w:val="28"/>
          <w14:ligatures w14:val="none"/>
        </w:rPr>
        <w:t xml:space="preserve"> F </w:t>
      </w:r>
      <w:r w:rsidRPr="00650C72">
        <w:rPr>
          <w:rFonts w:ascii="Simplified Arabic" w:eastAsia="Times New Roman" w:hAnsi="Simplified Arabic" w:cs="Simplified Arabic"/>
          <w:color w:val="000000" w:themeColor="text1"/>
          <w:kern w:val="0"/>
          <w:sz w:val="28"/>
          <w:szCs w:val="28"/>
          <w:rtl/>
          <w14:ligatures w14:val="none"/>
        </w:rPr>
        <w:t>المحسوبة بلغت (328.716) بمستوى دلالة</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وهي قيمة دالة إحصائياً عند مستوى (0.01)، مما يعزّز من دلالة النموذج ككل في تفسير الفرضية. أما على مستوى معاملات الانحدار، فقد بلغ معامل التأثير</w:t>
      </w:r>
      <w:r w:rsidRPr="00650C72">
        <w:rPr>
          <w:rFonts w:ascii="Simplified Arabic" w:eastAsia="Times New Roman" w:hAnsi="Simplified Arabic" w:cs="Simplified Arabic"/>
          <w:color w:val="000000" w:themeColor="text1"/>
          <w:kern w:val="0"/>
          <w:sz w:val="28"/>
          <w:szCs w:val="28"/>
          <w14:ligatures w14:val="none"/>
        </w:rPr>
        <w:t xml:space="preserve"> B = (0.617) </w:t>
      </w:r>
      <w:r w:rsidRPr="00650C72">
        <w:rPr>
          <w:rFonts w:ascii="Simplified Arabic" w:eastAsia="Times New Roman" w:hAnsi="Simplified Arabic" w:cs="Simplified Arabic"/>
          <w:color w:val="000000" w:themeColor="text1"/>
          <w:kern w:val="0"/>
          <w:sz w:val="28"/>
          <w:szCs w:val="28"/>
          <w:rtl/>
          <w14:ligatures w14:val="none"/>
        </w:rPr>
        <w:t>بقيمة</w:t>
      </w:r>
      <w:r w:rsidRPr="00650C72">
        <w:rPr>
          <w:rFonts w:ascii="Simplified Arabic" w:eastAsia="Times New Roman" w:hAnsi="Simplified Arabic" w:cs="Simplified Arabic"/>
          <w:color w:val="000000" w:themeColor="text1"/>
          <w:kern w:val="0"/>
          <w:sz w:val="28"/>
          <w:szCs w:val="28"/>
          <w14:ligatures w14:val="none"/>
        </w:rPr>
        <w:t xml:space="preserve"> T = (18.131)</w:t>
      </w:r>
      <w:r w:rsidRPr="00650C72">
        <w:rPr>
          <w:rFonts w:ascii="Simplified Arabic" w:eastAsia="Times New Roman" w:hAnsi="Simplified Arabic" w:cs="Simplified Arabic"/>
          <w:color w:val="000000" w:themeColor="text1"/>
          <w:kern w:val="0"/>
          <w:sz w:val="28"/>
          <w:szCs w:val="28"/>
          <w:rtl/>
          <w14:ligatures w14:val="none"/>
        </w:rPr>
        <w:t>، وهي دالة عند مستوى</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مما يدل على أن أي زيادة بمقدار وحدة واحدة في التحليلات التنبؤية للأسعار تؤدي إلى زيادة بمقدار (0.617) في مستوى جودة القرار الاستثماري، ضمن شروط النموذج. وبناءً على ذلك، تُقبل الفرضية الفرعية الأولى</w:t>
      </w:r>
      <w:r w:rsidRPr="00650C72">
        <w:rPr>
          <w:rFonts w:ascii="Simplified Arabic" w:eastAsia="Times New Roman" w:hAnsi="Simplified Arabic" w:cs="Simplified Arabic"/>
          <w:color w:val="000000" w:themeColor="text1"/>
          <w:kern w:val="0"/>
          <w:sz w:val="28"/>
          <w:szCs w:val="28"/>
          <w14:ligatures w14:val="none"/>
        </w:rPr>
        <w:t>.</w:t>
      </w:r>
    </w:p>
    <w:p w14:paraId="50496B79"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lastRenderedPageBreak/>
        <w:t>الفرضية الفرعية الثانية</w:t>
      </w:r>
      <w:r w:rsidRPr="00650C72">
        <w:rPr>
          <w:rFonts w:ascii="Simplified Arabic" w:eastAsia="Times New Roman" w:hAnsi="Simplified Arabic" w:cs="Simplified Arabic"/>
          <w:b/>
          <w:bCs/>
          <w:color w:val="000000" w:themeColor="text1"/>
          <w:kern w:val="0"/>
          <w:sz w:val="32"/>
          <w:szCs w:val="32"/>
          <w14:ligatures w14:val="none"/>
        </w:rPr>
        <w:t xml:space="preserve"> (H</w:t>
      </w:r>
      <w:r w:rsidRPr="00650C72">
        <w:rPr>
          <w:rFonts w:ascii="Times New Roman" w:eastAsia="Times New Roman" w:hAnsi="Times New Roman" w:cs="Times New Roman"/>
          <w:b/>
          <w:bCs/>
          <w:color w:val="000000" w:themeColor="text1"/>
          <w:kern w:val="0"/>
          <w:sz w:val="32"/>
          <w:szCs w:val="32"/>
          <w14:ligatures w14:val="none"/>
        </w:rPr>
        <w:t>₂</w:t>
      </w:r>
      <w:r w:rsidRPr="00650C72">
        <w:rPr>
          <w:rFonts w:ascii="Simplified Arabic" w:eastAsia="Times New Roman" w:hAnsi="Simplified Arabic" w:cs="Simplified Arabic"/>
          <w:b/>
          <w:bCs/>
          <w:color w:val="000000" w:themeColor="text1"/>
          <w:kern w:val="0"/>
          <w:sz w:val="32"/>
          <w:szCs w:val="32"/>
          <w14:ligatures w14:val="none"/>
        </w:rPr>
        <w:t>)</w:t>
      </w:r>
    </w:p>
    <w:p w14:paraId="2BACE031"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22218C79"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(Linear Regression Test)</w:t>
      </w:r>
      <w:r w:rsidRPr="00650C72">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7C16BB2C" w14:textId="6C793416"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4 - 10</w:t>
      </w:r>
      <w:r w:rsidRPr="00650C72">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نماذج التقييم الآلي على جودة القرار الاستثماري</w:t>
      </w:r>
    </w:p>
    <w:tbl>
      <w:tblPr>
        <w:tblStyle w:val="GridTable6Colorful-Accent1"/>
        <w:bidiVisual/>
        <w:tblW w:w="9345" w:type="dxa"/>
        <w:jc w:val="center"/>
        <w:tblLook w:val="04A0" w:firstRow="1" w:lastRow="0" w:firstColumn="1" w:lastColumn="0" w:noHBand="0" w:noVBand="1"/>
      </w:tblPr>
      <w:tblGrid>
        <w:gridCol w:w="1022"/>
        <w:gridCol w:w="862"/>
        <w:gridCol w:w="798"/>
        <w:gridCol w:w="745"/>
        <w:gridCol w:w="1050"/>
        <w:gridCol w:w="798"/>
        <w:gridCol w:w="837"/>
        <w:gridCol w:w="798"/>
        <w:gridCol w:w="846"/>
        <w:gridCol w:w="924"/>
        <w:gridCol w:w="798"/>
      </w:tblGrid>
      <w:tr w:rsidR="00650C72" w:rsidRPr="00650C72" w14:paraId="7E87EBCA"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77030"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113795D1"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5D69202A" w14:textId="48CDAB7E"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تحليل التباين</w:t>
            </w:r>
            <w:r w:rsidRPr="00650C72">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2503CC97"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المستقل</w:t>
            </w:r>
          </w:p>
        </w:tc>
        <w:tc>
          <w:tcPr>
            <w:tcW w:w="3503" w:type="dxa"/>
            <w:gridSpan w:val="4"/>
            <w:vAlign w:val="center"/>
            <w:hideMark/>
          </w:tcPr>
          <w:p w14:paraId="7B296801" w14:textId="6D0197A9"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المعاملات</w:t>
            </w:r>
            <w:r w:rsidRPr="00650C72">
              <w:rPr>
                <w:rFonts w:ascii="Simplified Arabic" w:eastAsia="Times New Roman" w:hAnsi="Simplified Arabic" w:cs="Simplified Arabic"/>
                <w:color w:val="000000" w:themeColor="text1"/>
                <w:kern w:val="0"/>
                <w:sz w:val="24"/>
                <w:szCs w:val="24"/>
                <w14:ligatures w14:val="none"/>
              </w:rPr>
              <w:t xml:space="preserve"> Coefficient</w:t>
            </w:r>
          </w:p>
        </w:tc>
      </w:tr>
      <w:tr w:rsidR="00650C72" w:rsidRPr="00650C72" w14:paraId="0EA5D2EE"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F6DA748" w14:textId="5473B005"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جودة القرار الاستثماري</w:t>
            </w:r>
          </w:p>
        </w:tc>
        <w:tc>
          <w:tcPr>
            <w:tcW w:w="0" w:type="auto"/>
            <w:vAlign w:val="center"/>
            <w:hideMark/>
          </w:tcPr>
          <w:p w14:paraId="6CB75B9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الارتباط</w:t>
            </w:r>
            <w:r w:rsidRPr="00650C72">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5141489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التحديد</w:t>
            </w:r>
            <w:r w:rsidRPr="00650C72">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508A53D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درجة الحرية</w:t>
            </w:r>
            <w:r w:rsidRPr="00650C72">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65C06062"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 xml:space="preserve">F </w:t>
            </w:r>
            <w:r w:rsidRPr="00650C72">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203E8FA8"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1B19E3C5" w14:textId="6959AF42"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نماذج التقييم الآلي</w:t>
            </w:r>
            <w:r w:rsidRPr="00650C72">
              <w:rPr>
                <w:rFonts w:ascii="Simplified Arabic" w:eastAsia="Times New Roman" w:hAnsi="Simplified Arabic" w:cs="Simplified Arabic"/>
                <w:color w:val="000000" w:themeColor="text1"/>
                <w:kern w:val="0"/>
                <w:sz w:val="24"/>
                <w:szCs w:val="24"/>
                <w14:ligatures w14:val="none"/>
              </w:rPr>
              <w:t xml:space="preserve"> (AVM)</w:t>
            </w:r>
          </w:p>
        </w:tc>
        <w:tc>
          <w:tcPr>
            <w:tcW w:w="0" w:type="auto"/>
            <w:vAlign w:val="center"/>
            <w:hideMark/>
          </w:tcPr>
          <w:p w14:paraId="4B43B7D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7FF05A37"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42C1E92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T</w:t>
            </w:r>
          </w:p>
        </w:tc>
        <w:tc>
          <w:tcPr>
            <w:tcW w:w="1048" w:type="dxa"/>
            <w:vAlign w:val="center"/>
            <w:hideMark/>
          </w:tcPr>
          <w:p w14:paraId="2419D8F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t</w:t>
            </w:r>
          </w:p>
        </w:tc>
      </w:tr>
      <w:tr w:rsidR="00650C72" w:rsidRPr="00650C72" w14:paraId="48208BBD"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999B5A" w14:textId="6556F7F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41E98996"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0.721</w:t>
            </w:r>
          </w:p>
        </w:tc>
        <w:tc>
          <w:tcPr>
            <w:tcW w:w="0" w:type="auto"/>
            <w:vAlign w:val="center"/>
            <w:hideMark/>
          </w:tcPr>
          <w:p w14:paraId="37501AA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0.520</w:t>
            </w:r>
          </w:p>
        </w:tc>
        <w:tc>
          <w:tcPr>
            <w:tcW w:w="0" w:type="auto"/>
            <w:vAlign w:val="center"/>
            <w:hideMark/>
          </w:tcPr>
          <w:p w14:paraId="171C613A"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36CAA3A5"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382.457</w:t>
            </w:r>
          </w:p>
        </w:tc>
        <w:tc>
          <w:tcPr>
            <w:tcW w:w="0" w:type="auto"/>
            <w:vAlign w:val="center"/>
            <w:hideMark/>
          </w:tcPr>
          <w:p w14:paraId="16F4C5EA"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475954BC" w14:textId="7941B8C1"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49148903"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0.653</w:t>
            </w:r>
          </w:p>
        </w:tc>
        <w:tc>
          <w:tcPr>
            <w:tcW w:w="0" w:type="auto"/>
            <w:vAlign w:val="center"/>
            <w:hideMark/>
          </w:tcPr>
          <w:p w14:paraId="33D9145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0.033</w:t>
            </w:r>
          </w:p>
        </w:tc>
        <w:tc>
          <w:tcPr>
            <w:tcW w:w="0" w:type="auto"/>
            <w:vAlign w:val="center"/>
            <w:hideMark/>
          </w:tcPr>
          <w:p w14:paraId="29EDA4FF"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19.556</w:t>
            </w:r>
          </w:p>
        </w:tc>
        <w:tc>
          <w:tcPr>
            <w:tcW w:w="1048" w:type="dxa"/>
            <w:vAlign w:val="center"/>
            <w:hideMark/>
          </w:tcPr>
          <w:p w14:paraId="1CDF933F"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r>
    </w:tbl>
    <w:p w14:paraId="239D9FD0"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على “جودة القرار الاستثماري”. وقد أظهرت النتائج الإحصائية الموضّحة في الجدول (10) أن معامل الارتباط ® بلغ (0.721)، وهو ما يعكس وجود علاقة ارتباط موجبة قوية بين المتغيرين، وبلغت قيمة 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 (0.520)</w:t>
      </w:r>
      <w:r w:rsidRPr="00650C72">
        <w:rPr>
          <w:rFonts w:ascii="Simplified Arabic" w:eastAsia="Times New Roman" w:hAnsi="Simplified Arabic" w:cs="Simplified Arabic"/>
          <w:color w:val="000000" w:themeColor="text1"/>
          <w:kern w:val="0"/>
          <w:sz w:val="28"/>
          <w:szCs w:val="28"/>
          <w:rtl/>
          <w14:ligatures w14:val="none"/>
        </w:rPr>
        <w:t>، مما يُشير إلى أن (52.0%) من التباين في جودة القرار الاستثماري يمكن تفسيره من خلال متغير نماذج التقييم الآلي وحده</w:t>
      </w:r>
      <w:r w:rsidRPr="00650C72">
        <w:rPr>
          <w:rFonts w:ascii="Simplified Arabic" w:eastAsia="Times New Roman" w:hAnsi="Simplified Arabic" w:cs="Simplified Arabic"/>
          <w:color w:val="000000" w:themeColor="text1"/>
          <w:kern w:val="0"/>
          <w:sz w:val="28"/>
          <w:szCs w:val="28"/>
          <w14:ligatures w14:val="none"/>
        </w:rPr>
        <w:t>.</w:t>
      </w:r>
    </w:p>
    <w:p w14:paraId="7108B358"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650C72">
        <w:rPr>
          <w:rFonts w:ascii="Simplified Arabic" w:eastAsia="Times New Roman" w:hAnsi="Simplified Arabic" w:cs="Simplified Arabic"/>
          <w:color w:val="000000" w:themeColor="text1"/>
          <w:kern w:val="0"/>
          <w:sz w:val="28"/>
          <w:szCs w:val="28"/>
          <w14:ligatures w14:val="none"/>
        </w:rPr>
        <w:t xml:space="preserve"> (ANOVA) </w:t>
      </w:r>
      <w:r w:rsidRPr="00650C72">
        <w:rPr>
          <w:rFonts w:ascii="Simplified Arabic" w:eastAsia="Times New Roman" w:hAnsi="Simplified Arabic" w:cs="Simplified Arabic"/>
          <w:color w:val="000000" w:themeColor="text1"/>
          <w:kern w:val="0"/>
          <w:sz w:val="28"/>
          <w:szCs w:val="28"/>
          <w:rtl/>
          <w14:ligatures w14:val="none"/>
        </w:rPr>
        <w:t>أن قيمة</w:t>
      </w:r>
      <w:r w:rsidRPr="00650C72">
        <w:rPr>
          <w:rFonts w:ascii="Simplified Arabic" w:eastAsia="Times New Roman" w:hAnsi="Simplified Arabic" w:cs="Simplified Arabic"/>
          <w:color w:val="000000" w:themeColor="text1"/>
          <w:kern w:val="0"/>
          <w:sz w:val="28"/>
          <w:szCs w:val="28"/>
          <w14:ligatures w14:val="none"/>
        </w:rPr>
        <w:t xml:space="preserve"> F </w:t>
      </w:r>
      <w:r w:rsidRPr="00650C72">
        <w:rPr>
          <w:rFonts w:ascii="Simplified Arabic" w:eastAsia="Times New Roman" w:hAnsi="Simplified Arabic" w:cs="Simplified Arabic"/>
          <w:color w:val="000000" w:themeColor="text1"/>
          <w:kern w:val="0"/>
          <w:sz w:val="28"/>
          <w:szCs w:val="28"/>
          <w:rtl/>
          <w14:ligatures w14:val="none"/>
        </w:rPr>
        <w:t>المحسوبة بلغت (382.457) بمستوى دلالة</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وهي قيمة دالة إحصائياً عند مستوى (0.01)، مما يُعزّز دلالة النموذج ككل. وعلى مستوى معاملات الانحدار، بلغ معامل التأثير</w:t>
      </w:r>
      <w:r w:rsidRPr="00650C72">
        <w:rPr>
          <w:rFonts w:ascii="Simplified Arabic" w:eastAsia="Times New Roman" w:hAnsi="Simplified Arabic" w:cs="Simplified Arabic"/>
          <w:color w:val="000000" w:themeColor="text1"/>
          <w:kern w:val="0"/>
          <w:sz w:val="28"/>
          <w:szCs w:val="28"/>
          <w14:ligatures w14:val="none"/>
        </w:rPr>
        <w:t xml:space="preserve"> B = (0.653) </w:t>
      </w:r>
      <w:r w:rsidRPr="00650C72">
        <w:rPr>
          <w:rFonts w:ascii="Simplified Arabic" w:eastAsia="Times New Roman" w:hAnsi="Simplified Arabic" w:cs="Simplified Arabic"/>
          <w:color w:val="000000" w:themeColor="text1"/>
          <w:kern w:val="0"/>
          <w:sz w:val="28"/>
          <w:szCs w:val="28"/>
          <w:rtl/>
          <w14:ligatures w14:val="none"/>
        </w:rPr>
        <w:t>بقيمة</w:t>
      </w:r>
      <w:r w:rsidRPr="00650C72">
        <w:rPr>
          <w:rFonts w:ascii="Simplified Arabic" w:eastAsia="Times New Roman" w:hAnsi="Simplified Arabic" w:cs="Simplified Arabic"/>
          <w:color w:val="000000" w:themeColor="text1"/>
          <w:kern w:val="0"/>
          <w:sz w:val="28"/>
          <w:szCs w:val="28"/>
          <w14:ligatures w14:val="none"/>
        </w:rPr>
        <w:t xml:space="preserve"> T = (19.556)</w:t>
      </w:r>
      <w:r w:rsidRPr="00650C72">
        <w:rPr>
          <w:rFonts w:ascii="Simplified Arabic" w:eastAsia="Times New Roman" w:hAnsi="Simplified Arabic" w:cs="Simplified Arabic"/>
          <w:color w:val="000000" w:themeColor="text1"/>
          <w:kern w:val="0"/>
          <w:sz w:val="28"/>
          <w:szCs w:val="28"/>
          <w:rtl/>
          <w14:ligatures w14:val="none"/>
        </w:rPr>
        <w:t>، وهي دالة عند مستوى</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مما يدل على أن أي زيادة بمقدار وحدة واحدة في نماذج التقييم الآلي تؤدي </w:t>
      </w:r>
      <w:r w:rsidRPr="00650C72">
        <w:rPr>
          <w:rFonts w:ascii="Simplified Arabic" w:eastAsia="Times New Roman" w:hAnsi="Simplified Arabic" w:cs="Simplified Arabic"/>
          <w:color w:val="000000" w:themeColor="text1"/>
          <w:kern w:val="0"/>
          <w:sz w:val="28"/>
          <w:szCs w:val="28"/>
          <w:rtl/>
          <w14:ligatures w14:val="none"/>
        </w:rPr>
        <w:lastRenderedPageBreak/>
        <w:t>إلى زيادة بمقدار (0.653) في مستوى جودة القرار الاستثماري. وبناءً على ذلك، تُقبل الفرضية الفرعية الثانية</w:t>
      </w:r>
      <w:r w:rsidRPr="00650C72">
        <w:rPr>
          <w:rFonts w:ascii="Simplified Arabic" w:eastAsia="Times New Roman" w:hAnsi="Simplified Arabic" w:cs="Simplified Arabic"/>
          <w:color w:val="000000" w:themeColor="text1"/>
          <w:kern w:val="0"/>
          <w:sz w:val="28"/>
          <w:szCs w:val="28"/>
          <w14:ligatures w14:val="none"/>
        </w:rPr>
        <w:t>.</w:t>
      </w:r>
    </w:p>
    <w:p w14:paraId="0E3CB58C"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الفرضية الفرعية الثالثة</w:t>
      </w:r>
      <w:r w:rsidRPr="00650C72">
        <w:rPr>
          <w:rFonts w:ascii="Simplified Arabic" w:eastAsia="Times New Roman" w:hAnsi="Simplified Arabic" w:cs="Simplified Arabic"/>
          <w:b/>
          <w:bCs/>
          <w:color w:val="000000" w:themeColor="text1"/>
          <w:kern w:val="0"/>
          <w:sz w:val="32"/>
          <w:szCs w:val="32"/>
          <w14:ligatures w14:val="none"/>
        </w:rPr>
        <w:t xml:space="preserve"> (H</w:t>
      </w:r>
      <w:r w:rsidRPr="00650C72">
        <w:rPr>
          <w:rFonts w:ascii="Times New Roman" w:eastAsia="Times New Roman" w:hAnsi="Times New Roman" w:cs="Times New Roman"/>
          <w:b/>
          <w:bCs/>
          <w:color w:val="000000" w:themeColor="text1"/>
          <w:kern w:val="0"/>
          <w:sz w:val="32"/>
          <w:szCs w:val="32"/>
          <w14:ligatures w14:val="none"/>
        </w:rPr>
        <w:t>₃</w:t>
      </w:r>
      <w:r w:rsidRPr="00650C72">
        <w:rPr>
          <w:rFonts w:ascii="Simplified Arabic" w:eastAsia="Times New Roman" w:hAnsi="Simplified Arabic" w:cs="Simplified Arabic"/>
          <w:b/>
          <w:bCs/>
          <w:color w:val="000000" w:themeColor="text1"/>
          <w:kern w:val="0"/>
          <w:sz w:val="32"/>
          <w:szCs w:val="32"/>
          <w14:ligatures w14:val="none"/>
        </w:rPr>
        <w:t>)</w:t>
      </w:r>
    </w:p>
    <w:p w14:paraId="4A0D7494"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أدوات تحليل البيانات الضخمة العقارية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013E3EDE"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(Linear Regression Test)</w:t>
      </w:r>
      <w:r w:rsidRPr="00650C72">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4BFE69BE" w14:textId="2057508C"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4 - 11</w:t>
      </w:r>
      <w:r w:rsidRPr="00650C72">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تحليل البيانات الضخمة العقارية على جودة القرار الاستثماري</w:t>
      </w:r>
    </w:p>
    <w:tbl>
      <w:tblPr>
        <w:tblStyle w:val="GridTable6Colorful-Accent1"/>
        <w:bidiVisual/>
        <w:tblW w:w="9345" w:type="dxa"/>
        <w:jc w:val="center"/>
        <w:tblLook w:val="04A0" w:firstRow="1" w:lastRow="0" w:firstColumn="1" w:lastColumn="0" w:noHBand="0" w:noVBand="1"/>
      </w:tblPr>
      <w:tblGrid>
        <w:gridCol w:w="1022"/>
        <w:gridCol w:w="862"/>
        <w:gridCol w:w="798"/>
        <w:gridCol w:w="745"/>
        <w:gridCol w:w="1050"/>
        <w:gridCol w:w="798"/>
        <w:gridCol w:w="831"/>
        <w:gridCol w:w="798"/>
        <w:gridCol w:w="846"/>
        <w:gridCol w:w="924"/>
        <w:gridCol w:w="798"/>
      </w:tblGrid>
      <w:tr w:rsidR="00650C72" w:rsidRPr="00650C72" w14:paraId="76EBF2A0"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2B8679"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72D2BD33"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09BAF11D" w14:textId="5C43979A"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تحليل التباين</w:t>
            </w:r>
            <w:r w:rsidRPr="00650C72">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63C0A692"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المستقل</w:t>
            </w:r>
          </w:p>
        </w:tc>
        <w:tc>
          <w:tcPr>
            <w:tcW w:w="3505" w:type="dxa"/>
            <w:gridSpan w:val="4"/>
            <w:vAlign w:val="center"/>
            <w:hideMark/>
          </w:tcPr>
          <w:p w14:paraId="27BF74AE" w14:textId="330DEC6F"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المعاملات</w:t>
            </w:r>
            <w:r w:rsidRPr="00650C72">
              <w:rPr>
                <w:rFonts w:ascii="Simplified Arabic" w:eastAsia="Times New Roman" w:hAnsi="Simplified Arabic" w:cs="Simplified Arabic"/>
                <w:color w:val="000000" w:themeColor="text1"/>
                <w:kern w:val="0"/>
                <w:sz w:val="24"/>
                <w:szCs w:val="24"/>
                <w14:ligatures w14:val="none"/>
              </w:rPr>
              <w:t xml:space="preserve"> Coefficient</w:t>
            </w:r>
          </w:p>
        </w:tc>
      </w:tr>
      <w:tr w:rsidR="00650C72" w:rsidRPr="00650C72" w14:paraId="70A39B19"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4C7E5E6" w14:textId="6A88A374"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جودة القرار الاستثماري</w:t>
            </w:r>
          </w:p>
        </w:tc>
        <w:tc>
          <w:tcPr>
            <w:tcW w:w="0" w:type="auto"/>
            <w:vAlign w:val="center"/>
            <w:hideMark/>
          </w:tcPr>
          <w:p w14:paraId="13CB997A"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الارتباط</w:t>
            </w:r>
            <w:r w:rsidRPr="00650C72">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04CB8689"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التحديد</w:t>
            </w:r>
            <w:r w:rsidRPr="00650C72">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0EF4E58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درجة الحرية</w:t>
            </w:r>
            <w:r w:rsidRPr="00650C72">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64152E0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 xml:space="preserve">F </w:t>
            </w:r>
            <w:r w:rsidRPr="00650C72">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1B9383C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053457B2" w14:textId="17E1C86C"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تحليل البيانات الضخمة العقارية</w:t>
            </w:r>
          </w:p>
        </w:tc>
        <w:tc>
          <w:tcPr>
            <w:tcW w:w="0" w:type="auto"/>
            <w:vAlign w:val="center"/>
            <w:hideMark/>
          </w:tcPr>
          <w:p w14:paraId="441503A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753B170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76EE77AC"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T</w:t>
            </w:r>
          </w:p>
        </w:tc>
        <w:tc>
          <w:tcPr>
            <w:tcW w:w="1048" w:type="dxa"/>
            <w:vAlign w:val="center"/>
            <w:hideMark/>
          </w:tcPr>
          <w:p w14:paraId="3571FA7F"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t</w:t>
            </w:r>
          </w:p>
        </w:tc>
      </w:tr>
      <w:tr w:rsidR="00650C72" w:rsidRPr="00650C72" w14:paraId="353F03D7"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F81FA6D" w14:textId="0B08C560"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48711A9D"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0.708</w:t>
            </w:r>
          </w:p>
        </w:tc>
        <w:tc>
          <w:tcPr>
            <w:tcW w:w="0" w:type="auto"/>
            <w:vAlign w:val="center"/>
            <w:hideMark/>
          </w:tcPr>
          <w:p w14:paraId="3616CBE8"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0.501</w:t>
            </w:r>
          </w:p>
        </w:tc>
        <w:tc>
          <w:tcPr>
            <w:tcW w:w="0" w:type="auto"/>
            <w:vAlign w:val="center"/>
            <w:hideMark/>
          </w:tcPr>
          <w:p w14:paraId="2399591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4CFB06EB"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354.892</w:t>
            </w:r>
          </w:p>
        </w:tc>
        <w:tc>
          <w:tcPr>
            <w:tcW w:w="0" w:type="auto"/>
            <w:vAlign w:val="center"/>
            <w:hideMark/>
          </w:tcPr>
          <w:p w14:paraId="5545371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5B605A41" w14:textId="054735A6"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1A736015"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0.629</w:t>
            </w:r>
          </w:p>
        </w:tc>
        <w:tc>
          <w:tcPr>
            <w:tcW w:w="0" w:type="auto"/>
            <w:vAlign w:val="center"/>
            <w:hideMark/>
          </w:tcPr>
          <w:p w14:paraId="5739D1C1"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0.033</w:t>
            </w:r>
          </w:p>
        </w:tc>
        <w:tc>
          <w:tcPr>
            <w:tcW w:w="0" w:type="auto"/>
            <w:vAlign w:val="center"/>
            <w:hideMark/>
          </w:tcPr>
          <w:p w14:paraId="6030C7E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18.838</w:t>
            </w:r>
          </w:p>
        </w:tc>
        <w:tc>
          <w:tcPr>
            <w:tcW w:w="1048" w:type="dxa"/>
            <w:vAlign w:val="center"/>
            <w:hideMark/>
          </w:tcPr>
          <w:p w14:paraId="4A72E81A"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r>
    </w:tbl>
    <w:p w14:paraId="4D831324"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“تحليل البيانات الضخمة العقارية” على “جودة القرار الاستثماري”. وقد أظهرت النتائج الموضّحة في الجدول (11) أن معامل الارتباط ® بلغ (0.708)، مما يعكس وجود علاقة ارتباط موجبة قوية بين المتغيرين، وبلغت قيمة 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 (0.501)</w:t>
      </w:r>
      <w:r w:rsidRPr="00650C72">
        <w:rPr>
          <w:rFonts w:ascii="Simplified Arabic" w:eastAsia="Times New Roman" w:hAnsi="Simplified Arabic" w:cs="Simplified Arabic"/>
          <w:color w:val="000000" w:themeColor="text1"/>
          <w:kern w:val="0"/>
          <w:sz w:val="28"/>
          <w:szCs w:val="28"/>
          <w:rtl/>
          <w14:ligatures w14:val="none"/>
        </w:rPr>
        <w:t>، مما يُشير إلى أن (50.1%) من التباين في جودة القرار الاستثماري يمكن تفسيره من خلال متغير تحليل البيانات الضخمة العقارية وحده</w:t>
      </w:r>
      <w:r w:rsidRPr="00650C72">
        <w:rPr>
          <w:rFonts w:ascii="Simplified Arabic" w:eastAsia="Times New Roman" w:hAnsi="Simplified Arabic" w:cs="Simplified Arabic"/>
          <w:color w:val="000000" w:themeColor="text1"/>
          <w:kern w:val="0"/>
          <w:sz w:val="28"/>
          <w:szCs w:val="28"/>
          <w14:ligatures w14:val="none"/>
        </w:rPr>
        <w:t>.</w:t>
      </w:r>
    </w:p>
    <w:p w14:paraId="738DFEB2" w14:textId="4FDEAE3C"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650C72">
        <w:rPr>
          <w:rFonts w:ascii="Simplified Arabic" w:eastAsia="Times New Roman" w:hAnsi="Simplified Arabic" w:cs="Simplified Arabic"/>
          <w:color w:val="000000" w:themeColor="text1"/>
          <w:kern w:val="0"/>
          <w:sz w:val="28"/>
          <w:szCs w:val="28"/>
          <w14:ligatures w14:val="none"/>
        </w:rPr>
        <w:t xml:space="preserve"> (ANOVA) </w:t>
      </w:r>
      <w:r w:rsidRPr="00650C72">
        <w:rPr>
          <w:rFonts w:ascii="Simplified Arabic" w:eastAsia="Times New Roman" w:hAnsi="Simplified Arabic" w:cs="Simplified Arabic"/>
          <w:color w:val="000000" w:themeColor="text1"/>
          <w:kern w:val="0"/>
          <w:sz w:val="28"/>
          <w:szCs w:val="28"/>
          <w:rtl/>
          <w14:ligatures w14:val="none"/>
        </w:rPr>
        <w:t>أن قيمة</w:t>
      </w:r>
      <w:r w:rsidRPr="00650C72">
        <w:rPr>
          <w:rFonts w:ascii="Simplified Arabic" w:eastAsia="Times New Roman" w:hAnsi="Simplified Arabic" w:cs="Simplified Arabic"/>
          <w:color w:val="000000" w:themeColor="text1"/>
          <w:kern w:val="0"/>
          <w:sz w:val="28"/>
          <w:szCs w:val="28"/>
          <w14:ligatures w14:val="none"/>
        </w:rPr>
        <w:t xml:space="preserve"> F </w:t>
      </w:r>
      <w:r w:rsidRPr="00650C72">
        <w:rPr>
          <w:rFonts w:ascii="Simplified Arabic" w:eastAsia="Times New Roman" w:hAnsi="Simplified Arabic" w:cs="Simplified Arabic"/>
          <w:color w:val="000000" w:themeColor="text1"/>
          <w:kern w:val="0"/>
          <w:sz w:val="28"/>
          <w:szCs w:val="28"/>
          <w:rtl/>
          <w14:ligatures w14:val="none"/>
        </w:rPr>
        <w:t>المحسوبة بلغت (354.892) بمستوى دلالة</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وهي قيمة دالة إحصائياً عند مستوى (0.01)، مما يُعزّز دلالة النموذج ككل. وعلى مستوى معاملات الانحدار، بلغ معامل التأثير</w:t>
      </w:r>
      <w:r w:rsidRPr="00650C72">
        <w:rPr>
          <w:rFonts w:ascii="Simplified Arabic" w:eastAsia="Times New Roman" w:hAnsi="Simplified Arabic" w:cs="Simplified Arabic"/>
          <w:color w:val="000000" w:themeColor="text1"/>
          <w:kern w:val="0"/>
          <w:sz w:val="28"/>
          <w:szCs w:val="28"/>
          <w14:ligatures w14:val="none"/>
        </w:rPr>
        <w:t xml:space="preserve"> B = (0.629) </w:t>
      </w:r>
      <w:r w:rsidRPr="00650C72">
        <w:rPr>
          <w:rFonts w:ascii="Simplified Arabic" w:eastAsia="Times New Roman" w:hAnsi="Simplified Arabic" w:cs="Simplified Arabic"/>
          <w:color w:val="000000" w:themeColor="text1"/>
          <w:kern w:val="0"/>
          <w:sz w:val="28"/>
          <w:szCs w:val="28"/>
          <w:rtl/>
          <w14:ligatures w14:val="none"/>
        </w:rPr>
        <w:t>بقيمة</w:t>
      </w:r>
      <w:r w:rsidRPr="00650C72">
        <w:rPr>
          <w:rFonts w:ascii="Simplified Arabic" w:eastAsia="Times New Roman" w:hAnsi="Simplified Arabic" w:cs="Simplified Arabic"/>
          <w:color w:val="000000" w:themeColor="text1"/>
          <w:kern w:val="0"/>
          <w:sz w:val="28"/>
          <w:szCs w:val="28"/>
          <w14:ligatures w14:val="none"/>
        </w:rPr>
        <w:t xml:space="preserve"> T = (18.838)</w:t>
      </w:r>
      <w:r w:rsidRPr="00650C72">
        <w:rPr>
          <w:rFonts w:ascii="Simplified Arabic" w:eastAsia="Times New Roman" w:hAnsi="Simplified Arabic" w:cs="Simplified Arabic"/>
          <w:color w:val="000000" w:themeColor="text1"/>
          <w:kern w:val="0"/>
          <w:sz w:val="28"/>
          <w:szCs w:val="28"/>
          <w:rtl/>
          <w14:ligatures w14:val="none"/>
        </w:rPr>
        <w:t xml:space="preserve">، وهي دالة عند </w:t>
      </w:r>
      <w:r w:rsidRPr="00650C72">
        <w:rPr>
          <w:rFonts w:ascii="Simplified Arabic" w:eastAsia="Times New Roman" w:hAnsi="Simplified Arabic" w:cs="Simplified Arabic"/>
          <w:color w:val="000000" w:themeColor="text1"/>
          <w:kern w:val="0"/>
          <w:sz w:val="28"/>
          <w:szCs w:val="28"/>
          <w:rtl/>
          <w14:ligatures w14:val="none"/>
        </w:rPr>
        <w:lastRenderedPageBreak/>
        <w:t>مستوى</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مما يدل على أن أي زيادة بمقدار وحدة واحدة في تحليل البيانات الضخمة العقارية تؤدي إلى زيادة بمقدار (0.629) في مستوى جودة القرار الاستثماري. وبناءً على ذلك، تُقبل الفرضية الفرعية الثالثة</w:t>
      </w:r>
      <w:r w:rsidRPr="00650C72">
        <w:rPr>
          <w:rFonts w:ascii="Simplified Arabic" w:eastAsia="Times New Roman" w:hAnsi="Simplified Arabic" w:cs="Simplified Arabic"/>
          <w:color w:val="000000" w:themeColor="text1"/>
          <w:kern w:val="0"/>
          <w:sz w:val="28"/>
          <w:szCs w:val="28"/>
          <w14:ligatures w14:val="none"/>
        </w:rPr>
        <w:t>.</w:t>
      </w:r>
    </w:p>
    <w:p w14:paraId="2970ED53" w14:textId="77777777" w:rsidR="00197384" w:rsidRPr="00650C72" w:rsidRDefault="00197384" w:rsidP="0007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50C72">
        <w:rPr>
          <w:rFonts w:ascii="Simplified Arabic" w:eastAsia="Times New Roman" w:hAnsi="Simplified Arabic" w:cs="Simplified Arabic"/>
          <w:b/>
          <w:bCs/>
          <w:color w:val="000000" w:themeColor="text1"/>
          <w:kern w:val="0"/>
          <w:sz w:val="32"/>
          <w:szCs w:val="32"/>
          <w:rtl/>
          <w14:ligatures w14:val="none"/>
        </w:rPr>
        <w:t>الفرضية الفرعية الرابعة</w:t>
      </w:r>
      <w:r w:rsidRPr="00650C72">
        <w:rPr>
          <w:rFonts w:ascii="Simplified Arabic" w:eastAsia="Times New Roman" w:hAnsi="Simplified Arabic" w:cs="Simplified Arabic"/>
          <w:b/>
          <w:bCs/>
          <w:color w:val="000000" w:themeColor="text1"/>
          <w:kern w:val="0"/>
          <w:sz w:val="32"/>
          <w:szCs w:val="32"/>
          <w14:ligatures w14:val="none"/>
        </w:rPr>
        <w:t xml:space="preserve"> (H</w:t>
      </w:r>
      <w:r w:rsidRPr="00650C72">
        <w:rPr>
          <w:rFonts w:ascii="Times New Roman" w:eastAsia="Times New Roman" w:hAnsi="Times New Roman" w:cs="Times New Roman"/>
          <w:b/>
          <w:bCs/>
          <w:color w:val="000000" w:themeColor="text1"/>
          <w:kern w:val="0"/>
          <w:sz w:val="32"/>
          <w:szCs w:val="32"/>
          <w14:ligatures w14:val="none"/>
        </w:rPr>
        <w:t>₄</w:t>
      </w:r>
      <w:r w:rsidRPr="00650C72">
        <w:rPr>
          <w:rFonts w:ascii="Simplified Arabic" w:eastAsia="Times New Roman" w:hAnsi="Simplified Arabic" w:cs="Simplified Arabic"/>
          <w:b/>
          <w:bCs/>
          <w:color w:val="000000" w:themeColor="text1"/>
          <w:kern w:val="0"/>
          <w:sz w:val="32"/>
          <w:szCs w:val="32"/>
          <w14:ligatures w14:val="none"/>
        </w:rPr>
        <w:t>)</w:t>
      </w:r>
    </w:p>
    <w:p w14:paraId="6C4D49F7"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50C72">
        <w:rPr>
          <w:rFonts w:ascii="Simplified Arabic" w:eastAsia="Times New Roman" w:hAnsi="Simplified Arabic" w:cs="Simplified Arabic"/>
          <w:color w:val="000000" w:themeColor="text1"/>
          <w:kern w:val="0"/>
          <w:sz w:val="28"/>
          <w:szCs w:val="28"/>
          <w14:ligatures w14:val="none"/>
        </w:rPr>
        <w:t xml:space="preserve"> (</w:t>
      </w:r>
      <w:r w:rsidRPr="00650C72">
        <w:rPr>
          <w:rFonts w:ascii="Cambria" w:eastAsia="Times New Roman" w:hAnsi="Cambria" w:cs="Cambria"/>
          <w:color w:val="000000" w:themeColor="text1"/>
          <w:kern w:val="0"/>
          <w:sz w:val="28"/>
          <w:szCs w:val="28"/>
          <w14:ligatures w14:val="none"/>
        </w:rPr>
        <w:t>α≤</w:t>
      </w:r>
      <w:r w:rsidRPr="00650C72">
        <w:rPr>
          <w:rFonts w:ascii="Simplified Arabic" w:eastAsia="Times New Roman" w:hAnsi="Simplified Arabic" w:cs="Simplified Arabic"/>
          <w:color w:val="000000" w:themeColor="text1"/>
          <w:kern w:val="0"/>
          <w:sz w:val="28"/>
          <w:szCs w:val="28"/>
          <w14:ligatures w14:val="none"/>
        </w:rPr>
        <w:t xml:space="preserve">0.05) </w:t>
      </w:r>
      <w:r w:rsidRPr="00650C72">
        <w:rPr>
          <w:rFonts w:ascii="Simplified Arabic" w:eastAsia="Times New Roman" w:hAnsi="Simplified Arabic" w:cs="Simplified Arabic"/>
          <w:color w:val="000000" w:themeColor="text1"/>
          <w:kern w:val="0"/>
          <w:sz w:val="28"/>
          <w:szCs w:val="28"/>
          <w:rtl/>
          <w14:ligatures w14:val="none"/>
        </w:rPr>
        <w:t>لاستخدام أنظمة دعم القرار الذكية القائمة على الذكاء الاصطناعي على جودة القرار الاستثماري في شركات التطوير والاستثمار العقاري السعودية</w:t>
      </w:r>
      <w:r w:rsidRPr="00650C72">
        <w:rPr>
          <w:rFonts w:ascii="Simplified Arabic" w:eastAsia="Times New Roman" w:hAnsi="Simplified Arabic" w:cs="Simplified Arabic"/>
          <w:color w:val="000000" w:themeColor="text1"/>
          <w:kern w:val="0"/>
          <w:sz w:val="28"/>
          <w:szCs w:val="28"/>
          <w14:ligatures w14:val="none"/>
        </w:rPr>
        <w:t>.”</w:t>
      </w:r>
    </w:p>
    <w:p w14:paraId="6C1B6723"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650C72">
        <w:rPr>
          <w:rFonts w:ascii="Simplified Arabic" w:eastAsia="Times New Roman" w:hAnsi="Simplified Arabic" w:cs="Simplified Arabic"/>
          <w:color w:val="000000" w:themeColor="text1"/>
          <w:kern w:val="0"/>
          <w:sz w:val="28"/>
          <w:szCs w:val="28"/>
          <w14:ligatures w14:val="none"/>
        </w:rPr>
        <w:t xml:space="preserve"> (Linear Regression Test)</w:t>
      </w:r>
      <w:r w:rsidRPr="00650C72">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650C72">
        <w:rPr>
          <w:rFonts w:ascii="Simplified Arabic" w:eastAsia="Times New Roman" w:hAnsi="Simplified Arabic" w:cs="Simplified Arabic"/>
          <w:color w:val="000000" w:themeColor="text1"/>
          <w:kern w:val="0"/>
          <w:sz w:val="28"/>
          <w:szCs w:val="28"/>
          <w14:ligatures w14:val="none"/>
        </w:rPr>
        <w:t>:</w:t>
      </w:r>
    </w:p>
    <w:p w14:paraId="7250A4D2" w14:textId="0F303EA6" w:rsidR="00197384" w:rsidRPr="00650C72" w:rsidRDefault="00197384" w:rsidP="002758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50C72">
        <w:rPr>
          <w:rFonts w:ascii="Simplified Arabic" w:eastAsia="Times New Roman" w:hAnsi="Simplified Arabic" w:cs="Simplified Arabic"/>
          <w:b/>
          <w:bCs/>
          <w:color w:val="000000" w:themeColor="text1"/>
          <w:kern w:val="0"/>
          <w:sz w:val="28"/>
          <w:szCs w:val="28"/>
          <w:rtl/>
          <w14:ligatures w14:val="none"/>
        </w:rPr>
        <w:t>جدول (</w:t>
      </w:r>
      <w:r w:rsidR="0027585B" w:rsidRPr="00650C72">
        <w:rPr>
          <w:rFonts w:ascii="Simplified Arabic" w:eastAsia="Times New Roman" w:hAnsi="Simplified Arabic" w:cs="Simplified Arabic" w:hint="cs"/>
          <w:b/>
          <w:bCs/>
          <w:color w:val="000000" w:themeColor="text1"/>
          <w:kern w:val="0"/>
          <w:sz w:val="28"/>
          <w:szCs w:val="28"/>
          <w:rtl/>
          <w14:ligatures w14:val="none"/>
        </w:rPr>
        <w:t>4 - 12</w:t>
      </w:r>
      <w:r w:rsidRPr="00650C72">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أنظمة دعم القرار الذكية على جودة القرار الاستثماري</w:t>
      </w:r>
    </w:p>
    <w:tbl>
      <w:tblPr>
        <w:tblStyle w:val="GridTable6Colorful-Accent1"/>
        <w:bidiVisual/>
        <w:tblW w:w="9345" w:type="dxa"/>
        <w:jc w:val="center"/>
        <w:tblLook w:val="04A0" w:firstRow="1" w:lastRow="0" w:firstColumn="1" w:lastColumn="0" w:noHBand="0" w:noVBand="1"/>
      </w:tblPr>
      <w:tblGrid>
        <w:gridCol w:w="1022"/>
        <w:gridCol w:w="862"/>
        <w:gridCol w:w="798"/>
        <w:gridCol w:w="745"/>
        <w:gridCol w:w="1050"/>
        <w:gridCol w:w="798"/>
        <w:gridCol w:w="822"/>
        <w:gridCol w:w="798"/>
        <w:gridCol w:w="846"/>
        <w:gridCol w:w="924"/>
        <w:gridCol w:w="798"/>
      </w:tblGrid>
      <w:tr w:rsidR="00650C72" w:rsidRPr="00650C72" w14:paraId="613DF931" w14:textId="77777777" w:rsidTr="002758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FF6EA" w14:textId="77777777"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374034C4"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085D9FF9" w14:textId="5BE0DD3B"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تحليل التباين</w:t>
            </w:r>
            <w:r w:rsidRPr="00650C72">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0ACEB6FA"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المتغير المستقل</w:t>
            </w:r>
          </w:p>
        </w:tc>
        <w:tc>
          <w:tcPr>
            <w:tcW w:w="3508" w:type="dxa"/>
            <w:gridSpan w:val="4"/>
            <w:vAlign w:val="center"/>
            <w:hideMark/>
          </w:tcPr>
          <w:p w14:paraId="5EBBAF39" w14:textId="412C3075"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المعاملات</w:t>
            </w:r>
            <w:r w:rsidRPr="00650C72">
              <w:rPr>
                <w:rFonts w:ascii="Simplified Arabic" w:eastAsia="Times New Roman" w:hAnsi="Simplified Arabic" w:cs="Simplified Arabic"/>
                <w:color w:val="000000" w:themeColor="text1"/>
                <w:kern w:val="0"/>
                <w:sz w:val="24"/>
                <w:szCs w:val="24"/>
                <w14:ligatures w14:val="none"/>
              </w:rPr>
              <w:t xml:space="preserve"> Coefficient</w:t>
            </w:r>
          </w:p>
        </w:tc>
      </w:tr>
      <w:tr w:rsidR="00650C72" w:rsidRPr="00650C72" w14:paraId="65B001F2" w14:textId="77777777" w:rsidTr="002758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18DC4B0" w14:textId="7910E269"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جودة القرار الاستثماري</w:t>
            </w:r>
          </w:p>
        </w:tc>
        <w:tc>
          <w:tcPr>
            <w:tcW w:w="0" w:type="auto"/>
            <w:vAlign w:val="center"/>
            <w:hideMark/>
          </w:tcPr>
          <w:p w14:paraId="56BF5F6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الارتباط</w:t>
            </w:r>
            <w:r w:rsidRPr="00650C72">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06BB55C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معامل التحديد</w:t>
            </w:r>
            <w:r w:rsidRPr="00650C72">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5BD73E1C"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درجة الحرية</w:t>
            </w:r>
            <w:r w:rsidRPr="00650C72">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6B76B18E"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 xml:space="preserve">F </w:t>
            </w:r>
            <w:r w:rsidRPr="00650C72">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4386785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18C28C47" w14:textId="24321A44"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أنظمة دعم القرار الذكية</w:t>
            </w:r>
          </w:p>
        </w:tc>
        <w:tc>
          <w:tcPr>
            <w:tcW w:w="0" w:type="auto"/>
            <w:vAlign w:val="center"/>
            <w:hideMark/>
          </w:tcPr>
          <w:p w14:paraId="7A8C32E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6F895062"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01DDADA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T</w:t>
            </w:r>
          </w:p>
        </w:tc>
        <w:tc>
          <w:tcPr>
            <w:tcW w:w="1049" w:type="dxa"/>
            <w:vAlign w:val="center"/>
            <w:hideMark/>
          </w:tcPr>
          <w:p w14:paraId="305C72E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Sig. t</w:t>
            </w:r>
          </w:p>
        </w:tc>
      </w:tr>
      <w:tr w:rsidR="00650C72" w:rsidRPr="00650C72" w14:paraId="4389C5F2" w14:textId="77777777" w:rsidTr="0027585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479A73" w14:textId="5B9EE054" w:rsidR="0027585B" w:rsidRPr="00650C72" w:rsidRDefault="0027585B" w:rsidP="0027585B">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51FCF91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0.752</w:t>
            </w:r>
          </w:p>
        </w:tc>
        <w:tc>
          <w:tcPr>
            <w:tcW w:w="0" w:type="auto"/>
            <w:vAlign w:val="center"/>
            <w:hideMark/>
          </w:tcPr>
          <w:p w14:paraId="70EC6328"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0.566</w:t>
            </w:r>
          </w:p>
        </w:tc>
        <w:tc>
          <w:tcPr>
            <w:tcW w:w="0" w:type="auto"/>
            <w:vAlign w:val="center"/>
            <w:hideMark/>
          </w:tcPr>
          <w:p w14:paraId="37A4EF2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4D770A6C"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460.213</w:t>
            </w:r>
          </w:p>
        </w:tc>
        <w:tc>
          <w:tcPr>
            <w:tcW w:w="0" w:type="auto"/>
            <w:vAlign w:val="center"/>
            <w:hideMark/>
          </w:tcPr>
          <w:p w14:paraId="6AD7C2F9"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725FC051" w14:textId="784C5A53"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5E61D8FD"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0.694</w:t>
            </w:r>
          </w:p>
        </w:tc>
        <w:tc>
          <w:tcPr>
            <w:tcW w:w="0" w:type="auto"/>
            <w:vAlign w:val="center"/>
            <w:hideMark/>
          </w:tcPr>
          <w:p w14:paraId="6ACE3B99"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0.032</w:t>
            </w:r>
          </w:p>
        </w:tc>
        <w:tc>
          <w:tcPr>
            <w:tcW w:w="0" w:type="auto"/>
            <w:vAlign w:val="center"/>
            <w:hideMark/>
          </w:tcPr>
          <w:p w14:paraId="04D146AF"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21.453</w:t>
            </w:r>
          </w:p>
        </w:tc>
        <w:tc>
          <w:tcPr>
            <w:tcW w:w="1049" w:type="dxa"/>
            <w:vAlign w:val="center"/>
            <w:hideMark/>
          </w:tcPr>
          <w:p w14:paraId="6B9162D7"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650C72">
              <w:rPr>
                <w:rFonts w:ascii="Simplified Arabic" w:eastAsia="Times New Roman" w:hAnsi="Simplified Arabic" w:cs="Simplified Arabic"/>
                <w:color w:val="000000" w:themeColor="text1"/>
                <w:kern w:val="0"/>
                <w:sz w:val="24"/>
                <w:szCs w:val="24"/>
                <w14:ligatures w14:val="none"/>
              </w:rPr>
              <w:t>0.000</w:t>
            </w:r>
          </w:p>
        </w:tc>
      </w:tr>
    </w:tbl>
    <w:p w14:paraId="177BA7DD"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“أنظمة دعم القرار الذكية” على “جودة القرار الاستثماري”. وقد أظهرت النتائج الإحصائية الموضّحة في الجدول (12) أن معامل الارتباط ® بلغ (0.752)، وهو ما يعكس وجود علاقة ارتباط موجبة قوية جداً بين المتغيرين، وهي الأقوى مقارنةً ببقية الأبعاد. كما بلغت قيمة معامل التحديد</w:t>
      </w:r>
      <w:r w:rsidRPr="00650C72">
        <w:rPr>
          <w:rFonts w:ascii="Simplified Arabic" w:eastAsia="Times New Roman" w:hAnsi="Simplified Arabic" w:cs="Simplified Arabic"/>
          <w:color w:val="000000" w:themeColor="text1"/>
          <w:kern w:val="0"/>
          <w:sz w:val="28"/>
          <w:szCs w:val="28"/>
          <w14:ligatures w14:val="none"/>
        </w:rPr>
        <w:t xml:space="preserve"> (R²) = (0.566)</w:t>
      </w:r>
      <w:r w:rsidRPr="00650C72">
        <w:rPr>
          <w:rFonts w:ascii="Simplified Arabic" w:eastAsia="Times New Roman" w:hAnsi="Simplified Arabic" w:cs="Simplified Arabic"/>
          <w:color w:val="000000" w:themeColor="text1"/>
          <w:kern w:val="0"/>
          <w:sz w:val="28"/>
          <w:szCs w:val="28"/>
          <w:rtl/>
          <w14:ligatures w14:val="none"/>
        </w:rPr>
        <w:t>، مما يُشير إلى أن (56.6%) من التباين في جودة القرار الاستثماري يمكن تفسيره من خلال متغير أنظمة دعم القرار الذكية وحده</w:t>
      </w:r>
      <w:r w:rsidRPr="00650C72">
        <w:rPr>
          <w:rFonts w:ascii="Simplified Arabic" w:eastAsia="Times New Roman" w:hAnsi="Simplified Arabic" w:cs="Simplified Arabic"/>
          <w:color w:val="000000" w:themeColor="text1"/>
          <w:kern w:val="0"/>
          <w:sz w:val="28"/>
          <w:szCs w:val="28"/>
          <w14:ligatures w14:val="none"/>
        </w:rPr>
        <w:t>.</w:t>
      </w:r>
    </w:p>
    <w:p w14:paraId="7DE37FAE" w14:textId="77777777" w:rsidR="00197384" w:rsidRPr="00650C72" w:rsidRDefault="00197384" w:rsidP="002758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650C72">
        <w:rPr>
          <w:rFonts w:ascii="Simplified Arabic" w:eastAsia="Times New Roman" w:hAnsi="Simplified Arabic" w:cs="Simplified Arabic"/>
          <w:color w:val="000000" w:themeColor="text1"/>
          <w:kern w:val="0"/>
          <w:sz w:val="28"/>
          <w:szCs w:val="28"/>
          <w14:ligatures w14:val="none"/>
        </w:rPr>
        <w:t xml:space="preserve"> (ANOVA) </w:t>
      </w:r>
      <w:r w:rsidRPr="00650C72">
        <w:rPr>
          <w:rFonts w:ascii="Simplified Arabic" w:eastAsia="Times New Roman" w:hAnsi="Simplified Arabic" w:cs="Simplified Arabic"/>
          <w:color w:val="000000" w:themeColor="text1"/>
          <w:kern w:val="0"/>
          <w:sz w:val="28"/>
          <w:szCs w:val="28"/>
          <w:rtl/>
          <w14:ligatures w14:val="none"/>
        </w:rPr>
        <w:t>أن قيمة</w:t>
      </w:r>
      <w:r w:rsidRPr="00650C72">
        <w:rPr>
          <w:rFonts w:ascii="Simplified Arabic" w:eastAsia="Times New Roman" w:hAnsi="Simplified Arabic" w:cs="Simplified Arabic"/>
          <w:color w:val="000000" w:themeColor="text1"/>
          <w:kern w:val="0"/>
          <w:sz w:val="28"/>
          <w:szCs w:val="28"/>
          <w14:ligatures w14:val="none"/>
        </w:rPr>
        <w:t xml:space="preserve"> F </w:t>
      </w:r>
      <w:r w:rsidRPr="00650C72">
        <w:rPr>
          <w:rFonts w:ascii="Simplified Arabic" w:eastAsia="Times New Roman" w:hAnsi="Simplified Arabic" w:cs="Simplified Arabic"/>
          <w:color w:val="000000" w:themeColor="text1"/>
          <w:kern w:val="0"/>
          <w:sz w:val="28"/>
          <w:szCs w:val="28"/>
          <w:rtl/>
          <w14:ligatures w14:val="none"/>
        </w:rPr>
        <w:t>المحسوبة بلغت (460.213) بمستوى دلالة</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وهي قيمة دالة إحصائياً عند مستوى (0.01)، مما يُعزّز دلالة النموذج ككل. وعلى </w:t>
      </w:r>
      <w:r w:rsidRPr="00650C72">
        <w:rPr>
          <w:rFonts w:ascii="Simplified Arabic" w:eastAsia="Times New Roman" w:hAnsi="Simplified Arabic" w:cs="Simplified Arabic"/>
          <w:color w:val="000000" w:themeColor="text1"/>
          <w:kern w:val="0"/>
          <w:sz w:val="28"/>
          <w:szCs w:val="28"/>
          <w:rtl/>
          <w14:ligatures w14:val="none"/>
        </w:rPr>
        <w:lastRenderedPageBreak/>
        <w:t>مستوى معاملات الانحدار، بلغ معامل التأثير</w:t>
      </w:r>
      <w:r w:rsidRPr="00650C72">
        <w:rPr>
          <w:rFonts w:ascii="Simplified Arabic" w:eastAsia="Times New Roman" w:hAnsi="Simplified Arabic" w:cs="Simplified Arabic"/>
          <w:color w:val="000000" w:themeColor="text1"/>
          <w:kern w:val="0"/>
          <w:sz w:val="28"/>
          <w:szCs w:val="28"/>
          <w14:ligatures w14:val="none"/>
        </w:rPr>
        <w:t xml:space="preserve"> B = (0.694) </w:t>
      </w:r>
      <w:r w:rsidRPr="00650C72">
        <w:rPr>
          <w:rFonts w:ascii="Simplified Arabic" w:eastAsia="Times New Roman" w:hAnsi="Simplified Arabic" w:cs="Simplified Arabic"/>
          <w:color w:val="000000" w:themeColor="text1"/>
          <w:kern w:val="0"/>
          <w:sz w:val="28"/>
          <w:szCs w:val="28"/>
          <w:rtl/>
          <w14:ligatures w14:val="none"/>
        </w:rPr>
        <w:t>بقيمة</w:t>
      </w:r>
      <w:r w:rsidRPr="00650C72">
        <w:rPr>
          <w:rFonts w:ascii="Simplified Arabic" w:eastAsia="Times New Roman" w:hAnsi="Simplified Arabic" w:cs="Simplified Arabic"/>
          <w:color w:val="000000" w:themeColor="text1"/>
          <w:kern w:val="0"/>
          <w:sz w:val="28"/>
          <w:szCs w:val="28"/>
          <w14:ligatures w14:val="none"/>
        </w:rPr>
        <w:t xml:space="preserve"> T = (21.453)</w:t>
      </w:r>
      <w:r w:rsidRPr="00650C72">
        <w:rPr>
          <w:rFonts w:ascii="Simplified Arabic" w:eastAsia="Times New Roman" w:hAnsi="Simplified Arabic" w:cs="Simplified Arabic"/>
          <w:color w:val="000000" w:themeColor="text1"/>
          <w:kern w:val="0"/>
          <w:sz w:val="28"/>
          <w:szCs w:val="28"/>
          <w:rtl/>
          <w14:ligatures w14:val="none"/>
        </w:rPr>
        <w:t>، وهي دالة عند مستوى</w:t>
      </w:r>
      <w:r w:rsidRPr="00650C72">
        <w:rPr>
          <w:rFonts w:ascii="Simplified Arabic" w:eastAsia="Times New Roman" w:hAnsi="Simplified Arabic" w:cs="Simplified Arabic"/>
          <w:color w:val="000000" w:themeColor="text1"/>
          <w:kern w:val="0"/>
          <w:sz w:val="28"/>
          <w:szCs w:val="28"/>
          <w14:ligatures w14:val="none"/>
        </w:rPr>
        <w:t xml:space="preserve"> (Sig. = 0.000</w:t>
      </w:r>
      <w:proofErr w:type="gramStart"/>
      <w:r w:rsidRPr="00650C72">
        <w:rPr>
          <w:rFonts w:ascii="Simplified Arabic" w:eastAsia="Times New Roman" w:hAnsi="Simplified Arabic" w:cs="Simplified Arabic"/>
          <w:color w:val="000000" w:themeColor="text1"/>
          <w:kern w:val="0"/>
          <w:sz w:val="28"/>
          <w:szCs w:val="28"/>
          <w14:ligatures w14:val="none"/>
        </w:rPr>
        <w:t>)</w:t>
      </w:r>
      <w:r w:rsidRPr="00650C72">
        <w:rPr>
          <w:rFonts w:ascii="Simplified Arabic" w:eastAsia="Times New Roman" w:hAnsi="Simplified Arabic" w:cs="Simplified Arabic"/>
          <w:color w:val="000000" w:themeColor="text1"/>
          <w:kern w:val="0"/>
          <w:sz w:val="28"/>
          <w:szCs w:val="28"/>
          <w:rtl/>
          <w14:ligatures w14:val="none"/>
        </w:rPr>
        <w:t>،</w:t>
      </w:r>
      <w:proofErr w:type="gramEnd"/>
      <w:r w:rsidRPr="00650C72">
        <w:rPr>
          <w:rFonts w:ascii="Simplified Arabic" w:eastAsia="Times New Roman" w:hAnsi="Simplified Arabic" w:cs="Simplified Arabic"/>
          <w:color w:val="000000" w:themeColor="text1"/>
          <w:kern w:val="0"/>
          <w:sz w:val="28"/>
          <w:szCs w:val="28"/>
          <w:rtl/>
          <w14:ligatures w14:val="none"/>
        </w:rPr>
        <w:t xml:space="preserve"> مما يدل على أن أي زيادة بمقدار وحدة واحدة في أنظمة دعم القرار الذكية تؤدي إلى زيادة بمقدار (0.694) في مستوى جودة القرار الاستثماري. وبناءً على ذلك، تُقبل الفرضية الفرعية الرابعة</w:t>
      </w:r>
      <w:r w:rsidRPr="00650C72">
        <w:rPr>
          <w:rFonts w:ascii="Simplified Arabic" w:eastAsia="Times New Roman" w:hAnsi="Simplified Arabic" w:cs="Simplified Arabic"/>
          <w:color w:val="000000" w:themeColor="text1"/>
          <w:kern w:val="0"/>
          <w:sz w:val="28"/>
          <w:szCs w:val="28"/>
          <w14:ligatures w14:val="none"/>
        </w:rPr>
        <w:t>.</w:t>
      </w:r>
    </w:p>
    <w:p w14:paraId="499EE0E6" w14:textId="0F57ADC9" w:rsidR="00197384" w:rsidRPr="00650C72" w:rsidRDefault="00073937" w:rsidP="00073937">
      <w:pPr>
        <w:jc w:val="center"/>
        <w:outlineLvl w:val="0"/>
        <w:rPr>
          <w:rFonts w:ascii="Simplified Arabic" w:eastAsia="Times New Roman" w:hAnsi="Simplified Arabic" w:cs="Simplified Arabic"/>
          <w:b/>
          <w:bCs/>
          <w:color w:val="000000" w:themeColor="text1"/>
          <w:kern w:val="0"/>
          <w:sz w:val="40"/>
          <w:szCs w:val="40"/>
          <w14:ligatures w14:val="none"/>
        </w:rPr>
      </w:pPr>
      <w:r w:rsidRPr="00650C72">
        <w:rPr>
          <w:rFonts w:ascii="Simplified Arabic" w:eastAsia="Times New Roman" w:hAnsi="Simplified Arabic" w:cs="Simplified Arabic"/>
          <w:b/>
          <w:bCs/>
          <w:color w:val="000000" w:themeColor="text1"/>
          <w:kern w:val="0"/>
          <w:sz w:val="40"/>
          <w:szCs w:val="40"/>
          <w:rtl/>
          <w14:ligatures w14:val="none"/>
        </w:rPr>
        <w:br w:type="page"/>
      </w:r>
      <w:bookmarkStart w:id="67" w:name="_Toc234796465"/>
      <w:r w:rsidR="00197384" w:rsidRPr="00650C72">
        <w:rPr>
          <w:rFonts w:ascii="Simplified Arabic" w:eastAsia="Times New Roman" w:hAnsi="Simplified Arabic" w:cs="Simplified Arabic"/>
          <w:b/>
          <w:bCs/>
          <w:color w:val="000000" w:themeColor="text1"/>
          <w:kern w:val="0"/>
          <w:sz w:val="40"/>
          <w:szCs w:val="40"/>
          <w:rtl/>
          <w14:ligatures w14:val="none"/>
        </w:rPr>
        <w:lastRenderedPageBreak/>
        <w:t>الفصل الخامس: النتائج والتوصيات</w:t>
      </w:r>
      <w:bookmarkEnd w:id="67"/>
    </w:p>
    <w:p w14:paraId="6F26AB66" w14:textId="542290D3" w:rsidR="00197384" w:rsidRPr="00650C72" w:rsidRDefault="00073937" w:rsidP="0007393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8" w:name="_Toc234796466"/>
      <w:r w:rsidRPr="00650C72">
        <w:rPr>
          <w:rFonts w:ascii="Simplified Arabic" w:eastAsia="Times New Roman" w:hAnsi="Simplified Arabic" w:cs="Simplified Arabic" w:hint="cs"/>
          <w:b/>
          <w:bCs/>
          <w:color w:val="000000" w:themeColor="text1"/>
          <w:kern w:val="0"/>
          <w:sz w:val="36"/>
          <w:szCs w:val="36"/>
          <w:rtl/>
          <w14:ligatures w14:val="none"/>
        </w:rPr>
        <w:t xml:space="preserve">1.5 </w:t>
      </w:r>
      <w:r w:rsidR="00197384" w:rsidRPr="00650C72">
        <w:rPr>
          <w:rFonts w:ascii="Simplified Arabic" w:eastAsia="Times New Roman" w:hAnsi="Simplified Arabic" w:cs="Simplified Arabic"/>
          <w:b/>
          <w:bCs/>
          <w:color w:val="000000" w:themeColor="text1"/>
          <w:kern w:val="0"/>
          <w:sz w:val="36"/>
          <w:szCs w:val="36"/>
          <w:rtl/>
          <w14:ligatures w14:val="none"/>
        </w:rPr>
        <w:t>تمهيد</w:t>
      </w:r>
      <w:bookmarkEnd w:id="68"/>
    </w:p>
    <w:p w14:paraId="398A4BB6"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يتناول هذا الفصل عرض أبرز النتائج التي توصّلت إليها الدراسة في ضوء التحليل الإحصائي لبيانات العينة الميدانية، مع تفسير هذه النتائج وربطها بالإطار النظري وبالتوجهات التي طرحتها الأدبيات السابقة، ثم تقديم مجموعة من التوصيات العملية الموجّهة إلى شركات التطوير والاستثمار العقاري في المملكة العربية السعودية بهدف تعزيز الاستفادة من أدوات الذكاء الاصطناعي في التقييم العقاري بما ينعكس على جودة القرارات الاستثمارية</w:t>
      </w:r>
      <w:r w:rsidRPr="00650C72">
        <w:rPr>
          <w:rFonts w:ascii="Simplified Arabic" w:eastAsia="Times New Roman" w:hAnsi="Simplified Arabic" w:cs="Simplified Arabic"/>
          <w:color w:val="000000" w:themeColor="text1"/>
          <w:kern w:val="0"/>
          <w:sz w:val="28"/>
          <w:szCs w:val="28"/>
          <w14:ligatures w14:val="none"/>
        </w:rPr>
        <w:t>.</w:t>
      </w:r>
    </w:p>
    <w:p w14:paraId="09874F13" w14:textId="2440E983" w:rsidR="00197384" w:rsidRPr="00650C72" w:rsidRDefault="00073937" w:rsidP="0007393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9" w:name="_Toc234796467"/>
      <w:r w:rsidRPr="00650C72">
        <w:rPr>
          <w:rFonts w:ascii="Simplified Arabic" w:eastAsia="Times New Roman" w:hAnsi="Simplified Arabic" w:cs="Simplified Arabic" w:hint="cs"/>
          <w:b/>
          <w:bCs/>
          <w:color w:val="000000" w:themeColor="text1"/>
          <w:kern w:val="0"/>
          <w:sz w:val="36"/>
          <w:szCs w:val="36"/>
          <w:rtl/>
          <w14:ligatures w14:val="none"/>
        </w:rPr>
        <w:t>2.5</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نتائج الدراسة</w:t>
      </w:r>
      <w:bookmarkEnd w:id="69"/>
    </w:p>
    <w:p w14:paraId="26F14A18"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كشفت نتائج التحليل الإحصائي عن وجود مستوى مرتفع من توظيف أدوات الذكاء الاصطناعي في التقييم العقاري داخل شركات التطوير والاستثمار العقاري السعودية، إذ بلغ المتوسط العام للمتغير المستقل (4.07) بمستوى موافقة مرتفع. ويُمكن تفسير هذه النتيجة في ضوء التحولات الرقمية التي تشهدها البيئة الاقتصادية السعودية في إطار رؤية 2030، والتي جعلت التقنيات الذكية جزءاً أصيلاً من منظومة العمل في القطاع العقاري، فضلاً عن الوعي المتنامي لدى شركات التطوير بأهمية هذه الأدوات في مواكبة تعقيدات السوق العقاري. وتتقاطع هذه النتيجة مع ما طرحه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من أن دخول الذكاء الاصطناعي إلى القطاع العقاري لم يعد ترفاً تقنياً بل ضرورة إستراتيجية تفرضها طبيعة الأسواق الحديثة، كما تنسجم مع ما أشار إليه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بشأن اتساع نطاق تبنّي التقنيات الذكية في العمليات العقارية على المستوى العالمي</w:t>
      </w:r>
      <w:r w:rsidRPr="00650C72">
        <w:rPr>
          <w:rFonts w:ascii="Simplified Arabic" w:eastAsia="Times New Roman" w:hAnsi="Simplified Arabic" w:cs="Simplified Arabic"/>
          <w:color w:val="000000" w:themeColor="text1"/>
          <w:kern w:val="0"/>
          <w:sz w:val="28"/>
          <w:szCs w:val="28"/>
          <w14:ligatures w14:val="none"/>
        </w:rPr>
        <w:t>.</w:t>
      </w:r>
    </w:p>
    <w:p w14:paraId="11B44B6B"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وقد جاء بُعد أنظمة دعم القرار الذكية في المرتبة الأولى بين أبعاد المتغير المستقل بمتوسط (4.16)، ويُعزى ذلك إلى الطبيعة التكاملية لهذه الأنظمة التي تجمع مخرجات الأبعاد الأخرى في منصة موحّدة تُيسّر على صانع القرار المقارنة بين البدائل واختيار الأنسب منها، مما يجعلها الأكثر وضوحاً في حياة الممارس اليومية داخل الشركة. وتتّسق هذه النتيجة مع الطرح الذي قدّمته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بشأن الدور المحوري لأنظمة دعم القرار الذكية في هيكلة عملية اتخاذ القرار داخل شركات العقارات، وتوثيقها بصورة تُعزّز قابلية التتبع والمساءلة</w:t>
      </w:r>
      <w:r w:rsidRPr="00650C72">
        <w:rPr>
          <w:rFonts w:ascii="Simplified Arabic" w:eastAsia="Times New Roman" w:hAnsi="Simplified Arabic" w:cs="Simplified Arabic"/>
          <w:color w:val="000000" w:themeColor="text1"/>
          <w:kern w:val="0"/>
          <w:sz w:val="28"/>
          <w:szCs w:val="28"/>
          <w14:ligatures w14:val="none"/>
        </w:rPr>
        <w:t>.</w:t>
      </w:r>
    </w:p>
    <w:p w14:paraId="4CBE1366"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وفي المقابل، جاء بُعد تحليل البيانات الضخمة العقارية في المرتبة الأخيرة بمتوسط (3.97)، ويُعزى ذلك إلى التحديات المرتبطة بجمع البيانات العقارية من مصادر متعددة وتنظيفها وتوحيد بنيتها، فضلاً عن محدودية توفّر قواعد بيانات عقارية متكاملة ومفتوحة تُلبّي احتياجات التحليل المتقدم في السوق السعودي. وتتقاطع هذه النتيجة مع ما طرحه باشانِك وليشتشينسكي</w:t>
      </w:r>
      <w:r w:rsidRPr="00650C72">
        <w:rPr>
          <w:rFonts w:ascii="Simplified Arabic" w:eastAsia="Times New Roman" w:hAnsi="Simplified Arabic" w:cs="Simplified Arabic"/>
          <w:color w:val="000000" w:themeColor="text1"/>
          <w:kern w:val="0"/>
          <w:sz w:val="28"/>
          <w:szCs w:val="28"/>
          <w14:ligatures w14:val="none"/>
        </w:rPr>
        <w:t xml:space="preserve"> (Bachanek &amp; Leszczynski, 2025) </w:t>
      </w:r>
      <w:r w:rsidRPr="00650C72">
        <w:rPr>
          <w:rFonts w:ascii="Simplified Arabic" w:eastAsia="Times New Roman" w:hAnsi="Simplified Arabic" w:cs="Simplified Arabic"/>
          <w:color w:val="000000" w:themeColor="text1"/>
          <w:kern w:val="0"/>
          <w:sz w:val="28"/>
          <w:szCs w:val="28"/>
          <w:rtl/>
          <w14:ligatures w14:val="none"/>
        </w:rPr>
        <w:t>بشأن التحديات البنيوية التي تواجه توظيف البيانات الضخمة في القطاع العقاري، وضرورة الاستثمار في البنية المعلوماتية الداعمة قبل جني الثمار الكاملة لهذه التقنيات</w:t>
      </w:r>
      <w:r w:rsidRPr="00650C72">
        <w:rPr>
          <w:rFonts w:ascii="Simplified Arabic" w:eastAsia="Times New Roman" w:hAnsi="Simplified Arabic" w:cs="Simplified Arabic"/>
          <w:color w:val="000000" w:themeColor="text1"/>
          <w:kern w:val="0"/>
          <w:sz w:val="28"/>
          <w:szCs w:val="28"/>
          <w14:ligatures w14:val="none"/>
        </w:rPr>
        <w:t>.</w:t>
      </w:r>
    </w:p>
    <w:p w14:paraId="32FB0D7E"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كما كشفت النتائج عن مستوى مرتفع من جودة القرار الاستثماري في شركات التطوير العقاري السعودية، إذ بلغ المتوسط العام للمتغير التابع (4.12)، ويُفسَّر ذلك بأن هذه الشركات تعمل في بيئة استثمارية تنافسية تفرض عليها معايير عالية في صناعة القرار، فضلاً عن أن حجم رؤوس الأموال الموظّفة في القطاع يجعل جودة القرار مسألة وجودية للشركة. وتتّسق هذه النتيجة مع ما ذهب إليه عبدالعزيز وآخرون (2025) من أن الشركات العاملة في القطاعات المالية والاستثمارية باتت تُولي اهتماماً متزايداً بمعايير جودة القرار الاستثماري بوصفها انعكاساً لفاعلية آليات الحوكمة داخلها، كما تنسجم مع ما طرحه عبدالرحمن وآخرون (2024) بشأن تنامي الوعي المؤسسي بأهمية بناء منظومة تقييمية موضوعية للقرارات الاستثمارية</w:t>
      </w:r>
      <w:r w:rsidRPr="00650C72">
        <w:rPr>
          <w:rFonts w:ascii="Simplified Arabic" w:eastAsia="Times New Roman" w:hAnsi="Simplified Arabic" w:cs="Simplified Arabic"/>
          <w:color w:val="000000" w:themeColor="text1"/>
          <w:kern w:val="0"/>
          <w:sz w:val="28"/>
          <w:szCs w:val="28"/>
          <w14:ligatures w14:val="none"/>
        </w:rPr>
        <w:t>.</w:t>
      </w:r>
    </w:p>
    <w:p w14:paraId="644161A7"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نتائج الفرضية الرئيسية وجود أثر ذي دلالة إحصائية لأدوات الذكاء الاصطناعي في التقييم العقاري بأبعادها مجتمعة على جودة القرار الاستثماري، إذ بلغ معامل التحديد (0.780)، مما يعني أن هذه الأبعاد تُفسّر (78%) من التباين في جودة القرار الاستثماري. ويُعزى ذلك إلى الطبيعة التكاملية للأدوات الأربعة التي تعمل معاً على تعزيز القدرة المعرفية لصانع القرار عبر توفير معلومات أشمل وأدق ومعالجات أعمق وسيناريوهات متنوعة، مما ينعكس مباشرةً على جودة المخرج القراري. وتتقاطع هذه النتيجة مع الطرح الذي قدّمه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بشأن الأثر التراكمي لأدوات الذكاء الاصطناعي في تعزيز جودة القرارات الاستثمارية العقارية، كما تنسجم مع ما ذهب إليه هوانج ويو</w:t>
      </w:r>
      <w:r w:rsidRPr="00650C72">
        <w:rPr>
          <w:rFonts w:ascii="Simplified Arabic" w:eastAsia="Times New Roman" w:hAnsi="Simplified Arabic" w:cs="Simplified Arabic"/>
          <w:color w:val="000000" w:themeColor="text1"/>
          <w:kern w:val="0"/>
          <w:sz w:val="28"/>
          <w:szCs w:val="28"/>
          <w14:ligatures w14:val="none"/>
        </w:rPr>
        <w:t xml:space="preserve"> (Huang &amp; You, 2023) </w:t>
      </w:r>
      <w:r w:rsidRPr="00650C72">
        <w:rPr>
          <w:rFonts w:ascii="Simplified Arabic" w:eastAsia="Times New Roman" w:hAnsi="Simplified Arabic" w:cs="Simplified Arabic"/>
          <w:color w:val="000000" w:themeColor="text1"/>
          <w:kern w:val="0"/>
          <w:sz w:val="28"/>
          <w:szCs w:val="28"/>
          <w:rtl/>
          <w14:ligatures w14:val="none"/>
        </w:rPr>
        <w:t>بشأن دور هذه الأدوات في رفع كفاءة القرارات المالية عبر تجاوز محدودية النماذج التقليدية</w:t>
      </w:r>
      <w:r w:rsidRPr="00650C72">
        <w:rPr>
          <w:rFonts w:ascii="Simplified Arabic" w:eastAsia="Times New Roman" w:hAnsi="Simplified Arabic" w:cs="Simplified Arabic"/>
          <w:color w:val="000000" w:themeColor="text1"/>
          <w:kern w:val="0"/>
          <w:sz w:val="28"/>
          <w:szCs w:val="28"/>
          <w14:ligatures w14:val="none"/>
        </w:rPr>
        <w:t>.</w:t>
      </w:r>
    </w:p>
    <w:p w14:paraId="3B4C3D6D"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وفيما يخص الفرضية الفرعية الأولى، فقد ثبت وجود أثر دال إحصائياً للتحليلات التنبؤية للأسعار على جودة القرار الاستثماري بمعامل تحديد بلغ (0.482)، ويُفسَّر ذلك بأن هذه التحليلات تُتيح لصانع القرار العقاري قراءة اتجاهات السوق قبل تجسّدها في تحوّلات فعلية، مما يُعزّز قدرته على اتخاذ قرارات استثمارية موقوتة وذات جدوى عالية. وتتسق هذه النتيجة مع ما طرحه ستانج</w:t>
      </w:r>
      <w:r w:rsidRPr="00650C72">
        <w:rPr>
          <w:rFonts w:ascii="Simplified Arabic" w:eastAsia="Times New Roman" w:hAnsi="Simplified Arabic" w:cs="Simplified Arabic"/>
          <w:color w:val="000000" w:themeColor="text1"/>
          <w:kern w:val="0"/>
          <w:sz w:val="28"/>
          <w:szCs w:val="28"/>
          <w14:ligatures w14:val="none"/>
        </w:rPr>
        <w:t xml:space="preserve"> (Stang, 2023) </w:t>
      </w:r>
      <w:r w:rsidRPr="00650C72">
        <w:rPr>
          <w:rFonts w:ascii="Simplified Arabic" w:eastAsia="Times New Roman" w:hAnsi="Simplified Arabic" w:cs="Simplified Arabic"/>
          <w:color w:val="000000" w:themeColor="text1"/>
          <w:kern w:val="0"/>
          <w:sz w:val="28"/>
          <w:szCs w:val="28"/>
          <w:rtl/>
          <w14:ligatures w14:val="none"/>
        </w:rPr>
        <w:t xml:space="preserve">بشأن </w:t>
      </w:r>
      <w:r w:rsidRPr="00650C72">
        <w:rPr>
          <w:rFonts w:ascii="Simplified Arabic" w:eastAsia="Times New Roman" w:hAnsi="Simplified Arabic" w:cs="Simplified Arabic"/>
          <w:color w:val="000000" w:themeColor="text1"/>
          <w:kern w:val="0"/>
          <w:sz w:val="28"/>
          <w:szCs w:val="28"/>
          <w:rtl/>
          <w14:ligatures w14:val="none"/>
        </w:rPr>
        <w:lastRenderedPageBreak/>
        <w:t>قدرة النماذج التنبؤية الحديثة على استيعاب العلاقات المعقدة بين متغيرات السوق العقاري، وتقديم تقديرات سعرية تعكس التفاعل الديناميكي بين هذه المتغيرات، كما تتقاطع مع الطرح الذي قدّمه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بشأن تميّز التحليلات التنبؤية عن النماذج الإحصائية التقليدية في قدرتها على التعلم الذاتي والتكيّف مع البيانات الجديدة</w:t>
      </w:r>
      <w:r w:rsidRPr="00650C72">
        <w:rPr>
          <w:rFonts w:ascii="Simplified Arabic" w:eastAsia="Times New Roman" w:hAnsi="Simplified Arabic" w:cs="Simplified Arabic"/>
          <w:color w:val="000000" w:themeColor="text1"/>
          <w:kern w:val="0"/>
          <w:sz w:val="28"/>
          <w:szCs w:val="28"/>
          <w14:ligatures w14:val="none"/>
        </w:rPr>
        <w:t>.</w:t>
      </w:r>
    </w:p>
    <w:p w14:paraId="76DD5ECD"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الفرضية الفرعية الثانية وجود أثر دال إحصائياً لنماذج التقييم الآلي</w:t>
      </w:r>
      <w:r w:rsidRPr="00650C72">
        <w:rPr>
          <w:rFonts w:ascii="Simplified Arabic" w:eastAsia="Times New Roman" w:hAnsi="Simplified Arabic" w:cs="Simplified Arabic"/>
          <w:color w:val="000000" w:themeColor="text1"/>
          <w:kern w:val="0"/>
          <w:sz w:val="28"/>
          <w:szCs w:val="28"/>
          <w14:ligatures w14:val="none"/>
        </w:rPr>
        <w:t xml:space="preserve"> (AVM) </w:t>
      </w:r>
      <w:r w:rsidRPr="00650C72">
        <w:rPr>
          <w:rFonts w:ascii="Simplified Arabic" w:eastAsia="Times New Roman" w:hAnsi="Simplified Arabic" w:cs="Simplified Arabic"/>
          <w:color w:val="000000" w:themeColor="text1"/>
          <w:kern w:val="0"/>
          <w:sz w:val="28"/>
          <w:szCs w:val="28"/>
          <w:rtl/>
          <w14:ligatures w14:val="none"/>
        </w:rPr>
        <w:t>على جودة القرار الاستثماري بمعامل تحديد بلغ (0.520)، ويُعزى ذلك إلى قدرة هذه النماذج على إنتاج تقديرات موضوعية للقيمة العقارية تتّسم بالاتساق المنهجي وقابلية التحقق، مما يُقلّل من الاعتماد على الحكم الشخصي للمقيّم ويُوفّر أساساً موضوعياً للقرار الاستثماري. وتتّسق هذه النتيجة مع الطرح الذي قدّمه شميليفسكا وآخرون</w:t>
      </w:r>
      <w:r w:rsidRPr="00650C72">
        <w:rPr>
          <w:rFonts w:ascii="Simplified Arabic" w:eastAsia="Times New Roman" w:hAnsi="Simplified Arabic" w:cs="Simplified Arabic"/>
          <w:color w:val="000000" w:themeColor="text1"/>
          <w:kern w:val="0"/>
          <w:sz w:val="28"/>
          <w:szCs w:val="28"/>
          <w14:ligatures w14:val="none"/>
        </w:rPr>
        <w:t xml:space="preserve"> (Chmielewska et al., 2020) </w:t>
      </w:r>
      <w:r w:rsidRPr="00650C72">
        <w:rPr>
          <w:rFonts w:ascii="Simplified Arabic" w:eastAsia="Times New Roman" w:hAnsi="Simplified Arabic" w:cs="Simplified Arabic"/>
          <w:color w:val="000000" w:themeColor="text1"/>
          <w:kern w:val="0"/>
          <w:sz w:val="28"/>
          <w:szCs w:val="28"/>
          <w:rtl/>
          <w14:ligatures w14:val="none"/>
        </w:rPr>
        <w:t>بشأن دور النماذج الآلية القائمة على الخوارزميات المتقدمة في تحقيق التوازن بين الدقة التقديرية والاتساق المنهجي، كما تتقاطع مع ما طرحه كارانيكولاس وآخرون</w:t>
      </w:r>
      <w:r w:rsidRPr="00650C72">
        <w:rPr>
          <w:rFonts w:ascii="Simplified Arabic" w:eastAsia="Times New Roman" w:hAnsi="Simplified Arabic" w:cs="Simplified Arabic"/>
          <w:color w:val="000000" w:themeColor="text1"/>
          <w:kern w:val="0"/>
          <w:sz w:val="28"/>
          <w:szCs w:val="28"/>
          <w14:ligatures w14:val="none"/>
        </w:rPr>
        <w:t xml:space="preserve"> (Karanikolas et al., 2025) </w:t>
      </w:r>
      <w:r w:rsidRPr="00650C72">
        <w:rPr>
          <w:rFonts w:ascii="Simplified Arabic" w:eastAsia="Times New Roman" w:hAnsi="Simplified Arabic" w:cs="Simplified Arabic"/>
          <w:color w:val="000000" w:themeColor="text1"/>
          <w:kern w:val="0"/>
          <w:sz w:val="28"/>
          <w:szCs w:val="28"/>
          <w:rtl/>
          <w14:ligatures w14:val="none"/>
        </w:rPr>
        <w:t>بشأن تطوّر الجيل الأحدث من هذه النماذج نحو المعالجة متعددة الوسائط التي تُثري القاعدة المعرفية للقرار</w:t>
      </w:r>
      <w:r w:rsidRPr="00650C72">
        <w:rPr>
          <w:rFonts w:ascii="Simplified Arabic" w:eastAsia="Times New Roman" w:hAnsi="Simplified Arabic" w:cs="Simplified Arabic"/>
          <w:color w:val="000000" w:themeColor="text1"/>
          <w:kern w:val="0"/>
          <w:sz w:val="28"/>
          <w:szCs w:val="28"/>
          <w14:ligatures w14:val="none"/>
        </w:rPr>
        <w:t>.</w:t>
      </w:r>
    </w:p>
    <w:p w14:paraId="258AE75E"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وكشفت الفرضية الفرعية الثالثة عن وجود أثر دال إحصائياً لتحليل البيانات الضخمة العقارية على جودة القرار الاستثماري بمعامل تحديد بلغ (0.501)، ويُفسَّر ذلك بأن البيانات الضخمة توفّر لصانع القرار العقاري قاعدة معلوماتية غنية ومتنوعة تُتيح له رصد الأنماط الخفية في سلوك السوق وتحديد المناطق ذات الإمكانات التنموية بدقة أعلى، مما يُعزّز شمولية القرار الاستثماري وموضوعيته. وتتقاطع هذه النتيجة مع الطرح الذي قدّمه كاندي‌باتي</w:t>
      </w:r>
      <w:r w:rsidRPr="00650C72">
        <w:rPr>
          <w:rFonts w:ascii="Simplified Arabic" w:eastAsia="Times New Roman" w:hAnsi="Simplified Arabic" w:cs="Simplified Arabic"/>
          <w:color w:val="000000" w:themeColor="text1"/>
          <w:kern w:val="0"/>
          <w:sz w:val="28"/>
          <w:szCs w:val="28"/>
          <w14:ligatures w14:val="none"/>
        </w:rPr>
        <w:t xml:space="preserve"> (Kandipati, 2025) </w:t>
      </w:r>
      <w:r w:rsidRPr="00650C72">
        <w:rPr>
          <w:rFonts w:ascii="Simplified Arabic" w:eastAsia="Times New Roman" w:hAnsi="Simplified Arabic" w:cs="Simplified Arabic"/>
          <w:color w:val="000000" w:themeColor="text1"/>
          <w:kern w:val="0"/>
          <w:sz w:val="28"/>
          <w:szCs w:val="28"/>
          <w:rtl/>
          <w14:ligatures w14:val="none"/>
        </w:rPr>
        <w:t>بشأن الدور المحوري للبيانات الضخمة في إثراء التحليل العقاري، كما تنسجم مع ما ذهب إليه باشانِك وليشتشينسكي</w:t>
      </w:r>
      <w:r w:rsidRPr="00650C72">
        <w:rPr>
          <w:rFonts w:ascii="Simplified Arabic" w:eastAsia="Times New Roman" w:hAnsi="Simplified Arabic" w:cs="Simplified Arabic"/>
          <w:color w:val="000000" w:themeColor="text1"/>
          <w:kern w:val="0"/>
          <w:sz w:val="28"/>
          <w:szCs w:val="28"/>
          <w14:ligatures w14:val="none"/>
        </w:rPr>
        <w:t xml:space="preserve"> (Bachanek &amp; Leszczynski, 2025) </w:t>
      </w:r>
      <w:r w:rsidRPr="00650C72">
        <w:rPr>
          <w:rFonts w:ascii="Simplified Arabic" w:eastAsia="Times New Roman" w:hAnsi="Simplified Arabic" w:cs="Simplified Arabic"/>
          <w:color w:val="000000" w:themeColor="text1"/>
          <w:kern w:val="0"/>
          <w:sz w:val="28"/>
          <w:szCs w:val="28"/>
          <w:rtl/>
          <w14:ligatures w14:val="none"/>
        </w:rPr>
        <w:t>بشأن الأهمية الإستراتيجية للبيانات الضخمة في تمكين الشركات العقارية من قراءة المشهد السوقي بصورة متكاملة</w:t>
      </w:r>
      <w:r w:rsidRPr="00650C72">
        <w:rPr>
          <w:rFonts w:ascii="Simplified Arabic" w:eastAsia="Times New Roman" w:hAnsi="Simplified Arabic" w:cs="Simplified Arabic"/>
          <w:color w:val="000000" w:themeColor="text1"/>
          <w:kern w:val="0"/>
          <w:sz w:val="28"/>
          <w:szCs w:val="28"/>
          <w14:ligatures w14:val="none"/>
        </w:rPr>
        <w:t>.</w:t>
      </w:r>
    </w:p>
    <w:p w14:paraId="5CDAD597"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وأظهرت الفرضية الفرعية الرابعة أن أنظمة دعم القرار الذكية كانت الأقوى تأثيراً على جودة القرار الاستثماري بمعامل تحديد بلغ (0.566)، ويُعزى تفوّق هذا البُعد إلى طبيعته التكاملية التي تجعله يستوعب مخرجات الأبعاد الأخرى ويُحوّلها إلى قرارات قابلة للتنفيذ داخل المنظمة، فضلاً عن أنه يعمل بوصفه واجهة تفاعلية بين صانع القرار والمنظومة التحليلية، مما يجعل أثره مباشراً وملموساً في مسار القرار. وتتّسق هذه النتيجة مع الطرح الذي قدّمته أوكس</w:t>
      </w:r>
      <w:r w:rsidRPr="00650C72">
        <w:rPr>
          <w:rFonts w:ascii="Simplified Arabic" w:eastAsia="Times New Roman" w:hAnsi="Simplified Arabic" w:cs="Simplified Arabic"/>
          <w:color w:val="000000" w:themeColor="text1"/>
          <w:kern w:val="0"/>
          <w:sz w:val="28"/>
          <w:szCs w:val="28"/>
          <w14:ligatures w14:val="none"/>
        </w:rPr>
        <w:t xml:space="preserve"> (Ochs, 2022) </w:t>
      </w:r>
      <w:r w:rsidRPr="00650C72">
        <w:rPr>
          <w:rFonts w:ascii="Simplified Arabic" w:eastAsia="Times New Roman" w:hAnsi="Simplified Arabic" w:cs="Simplified Arabic"/>
          <w:color w:val="000000" w:themeColor="text1"/>
          <w:kern w:val="0"/>
          <w:sz w:val="28"/>
          <w:szCs w:val="28"/>
          <w:rtl/>
          <w14:ligatures w14:val="none"/>
        </w:rPr>
        <w:t xml:space="preserve">بشأن الدور التحويلي لأنظمة دعم القرار </w:t>
      </w:r>
      <w:r w:rsidRPr="00650C72">
        <w:rPr>
          <w:rFonts w:ascii="Simplified Arabic" w:eastAsia="Times New Roman" w:hAnsi="Simplified Arabic" w:cs="Simplified Arabic"/>
          <w:color w:val="000000" w:themeColor="text1"/>
          <w:kern w:val="0"/>
          <w:sz w:val="28"/>
          <w:szCs w:val="28"/>
          <w:rtl/>
          <w14:ligatures w14:val="none"/>
        </w:rPr>
        <w:lastRenderedPageBreak/>
        <w:t>الذكية في شركات العقارات، إذ تُعيد هيكلة عملية صنع القرار من نشاط فردي قائم على الحدس إلى ممارسة مؤسسية مدعومة بالبيانات، كما تتقاطع مع ما طرحه أحمد</w:t>
      </w:r>
      <w:r w:rsidRPr="00650C72">
        <w:rPr>
          <w:rFonts w:ascii="Simplified Arabic" w:eastAsia="Times New Roman" w:hAnsi="Simplified Arabic" w:cs="Simplified Arabic"/>
          <w:color w:val="000000" w:themeColor="text1"/>
          <w:kern w:val="0"/>
          <w:sz w:val="28"/>
          <w:szCs w:val="28"/>
          <w14:ligatures w14:val="none"/>
        </w:rPr>
        <w:t xml:space="preserve"> (Ahmed, 2025) </w:t>
      </w:r>
      <w:r w:rsidRPr="00650C72">
        <w:rPr>
          <w:rFonts w:ascii="Simplified Arabic" w:eastAsia="Times New Roman" w:hAnsi="Simplified Arabic" w:cs="Simplified Arabic"/>
          <w:color w:val="000000" w:themeColor="text1"/>
          <w:kern w:val="0"/>
          <w:sz w:val="28"/>
          <w:szCs w:val="28"/>
          <w:rtl/>
          <w14:ligatures w14:val="none"/>
        </w:rPr>
        <w:t>بشأن قدرة هذه الأنظمة على تقديم توصيات محددة مصحوبة بتقييم للمخاطر وسيناريوهات مستقبلية بديلة</w:t>
      </w:r>
      <w:r w:rsidRPr="00650C72">
        <w:rPr>
          <w:rFonts w:ascii="Simplified Arabic" w:eastAsia="Times New Roman" w:hAnsi="Simplified Arabic" w:cs="Simplified Arabic"/>
          <w:color w:val="000000" w:themeColor="text1"/>
          <w:kern w:val="0"/>
          <w:sz w:val="28"/>
          <w:szCs w:val="28"/>
          <w14:ligatures w14:val="none"/>
        </w:rPr>
        <w:t>.</w:t>
      </w:r>
    </w:p>
    <w:p w14:paraId="5240F6E5"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وقد كشف التحليل عن ترتيب دقيق لأبعاد المتغير المستقل من حيث قوة التأثير على جودة القرار الاستثماري، حيث جاءت أنظمة دعم القرار الذكية في المرتبة الأولى، ثم نماذج التقييم الآلي، فتحليل البيانات الضخمة العقارية، وأخيراً التحليلات التنبؤية للأسعار. ويُفسَّر هذا الترتيب بأن الأبعاد الأقرب إلى لحظة صناعة القرار (أنظمة الدعم ونماذج التقييم) تُنتج أثراً مباشراً وملموساً على المخرج القراري، بينما الأبعاد الأبعد نسبياً (البيانات الضخمة والتحليلات التنبؤية) تُنتج أثرها بصورة غير مباشرة عبر إثراء القاعدة المعرفية التي تعمل عليها الأبعاد الأخرى. وتتّسق هذه القراءة مع ما طرحه كور وكور</w:t>
      </w:r>
      <w:r w:rsidRPr="00650C72">
        <w:rPr>
          <w:rFonts w:ascii="Simplified Arabic" w:eastAsia="Times New Roman" w:hAnsi="Simplified Arabic" w:cs="Simplified Arabic"/>
          <w:color w:val="000000" w:themeColor="text1"/>
          <w:kern w:val="0"/>
          <w:sz w:val="28"/>
          <w:szCs w:val="28"/>
          <w14:ligatures w14:val="none"/>
        </w:rPr>
        <w:t xml:space="preserve"> (Kaur &amp; Kour, 2025) </w:t>
      </w:r>
      <w:r w:rsidRPr="00650C72">
        <w:rPr>
          <w:rFonts w:ascii="Simplified Arabic" w:eastAsia="Times New Roman" w:hAnsi="Simplified Arabic" w:cs="Simplified Arabic"/>
          <w:color w:val="000000" w:themeColor="text1"/>
          <w:kern w:val="0"/>
          <w:sz w:val="28"/>
          <w:szCs w:val="28"/>
          <w:rtl/>
          <w14:ligatures w14:val="none"/>
        </w:rPr>
        <w:t>بشأن التدرّج في أثر أدوات الذكاء الاصطناعي على القرارات الاستثمارية، إذ تعمل بعض الأدوات بصورة تشغيلية مباشرة بينما تعمل أخرى بصورة إستراتيجية غير مباشرة</w:t>
      </w:r>
      <w:r w:rsidRPr="00650C72">
        <w:rPr>
          <w:rFonts w:ascii="Simplified Arabic" w:eastAsia="Times New Roman" w:hAnsi="Simplified Arabic" w:cs="Simplified Arabic"/>
          <w:color w:val="000000" w:themeColor="text1"/>
          <w:kern w:val="0"/>
          <w:sz w:val="28"/>
          <w:szCs w:val="28"/>
          <w14:ligatures w14:val="none"/>
        </w:rPr>
        <w:t>.</w:t>
      </w:r>
    </w:p>
    <w:p w14:paraId="214C7E65"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كما تُشير النتائج إلى أن الارتباطات بين أبعاد المتغير المستقل مع بعضها جاءت في مستوى متوسط إلى قوي دون أن تصل إلى مستوى الارتباط الخطي التام، مما يعكس تمايز هذه الأبعاد وقدرة كل منها على قياس جانب مستقل من جوانب توظيف الذكاء الاصطناعي في التقييم العقاري. ويُدعّم ذلك ما ذهب إليه الصحان والزيدان</w:t>
      </w:r>
      <w:r w:rsidRPr="00650C72">
        <w:rPr>
          <w:rFonts w:ascii="Simplified Arabic" w:eastAsia="Times New Roman" w:hAnsi="Simplified Arabic" w:cs="Simplified Arabic"/>
          <w:color w:val="000000" w:themeColor="text1"/>
          <w:kern w:val="0"/>
          <w:sz w:val="28"/>
          <w:szCs w:val="28"/>
          <w14:ligatures w14:val="none"/>
        </w:rPr>
        <w:t xml:space="preserve"> (Alsahan &amp; AlZaidan, 2024) </w:t>
      </w:r>
      <w:r w:rsidRPr="00650C72">
        <w:rPr>
          <w:rFonts w:ascii="Simplified Arabic" w:eastAsia="Times New Roman" w:hAnsi="Simplified Arabic" w:cs="Simplified Arabic"/>
          <w:color w:val="000000" w:themeColor="text1"/>
          <w:kern w:val="0"/>
          <w:sz w:val="28"/>
          <w:szCs w:val="28"/>
          <w:rtl/>
          <w14:ligatures w14:val="none"/>
        </w:rPr>
        <w:t>من أن أدوات الذكاء الاصطناعي في التقييم العقاري تُشكّل منظومة متكاملة لا تتطابق مكوّناتها بل تتكامل فيما بينها لخدمة الغاية الكلية من التوظيف</w:t>
      </w:r>
      <w:r w:rsidRPr="00650C72">
        <w:rPr>
          <w:rFonts w:ascii="Simplified Arabic" w:eastAsia="Times New Roman" w:hAnsi="Simplified Arabic" w:cs="Simplified Arabic"/>
          <w:color w:val="000000" w:themeColor="text1"/>
          <w:kern w:val="0"/>
          <w:sz w:val="28"/>
          <w:szCs w:val="28"/>
          <w14:ligatures w14:val="none"/>
        </w:rPr>
        <w:t>.</w:t>
      </w:r>
    </w:p>
    <w:p w14:paraId="0E999BF2" w14:textId="54855EC7" w:rsidR="00197384" w:rsidRPr="00650C72" w:rsidRDefault="0088241C" w:rsidP="008824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0" w:name="_Toc234796468"/>
      <w:r w:rsidRPr="00650C72">
        <w:rPr>
          <w:rFonts w:ascii="Simplified Arabic" w:eastAsia="Times New Roman" w:hAnsi="Simplified Arabic" w:cs="Simplified Arabic" w:hint="cs"/>
          <w:b/>
          <w:bCs/>
          <w:color w:val="000000" w:themeColor="text1"/>
          <w:kern w:val="0"/>
          <w:sz w:val="36"/>
          <w:szCs w:val="36"/>
          <w:rtl/>
          <w14:ligatures w14:val="none"/>
        </w:rPr>
        <w:t>3.5</w:t>
      </w:r>
      <w:r w:rsidR="00197384" w:rsidRPr="00650C72">
        <w:rPr>
          <w:rFonts w:ascii="Simplified Arabic" w:eastAsia="Times New Roman" w:hAnsi="Simplified Arabic" w:cs="Simplified Arabic"/>
          <w:b/>
          <w:bCs/>
          <w:color w:val="000000" w:themeColor="text1"/>
          <w:kern w:val="0"/>
          <w:sz w:val="36"/>
          <w:szCs w:val="36"/>
          <w:rtl/>
          <w14:ligatures w14:val="none"/>
        </w:rPr>
        <w:t xml:space="preserve"> توصيات الدراسة</w:t>
      </w:r>
      <w:bookmarkEnd w:id="70"/>
    </w:p>
    <w:p w14:paraId="36004FAF" w14:textId="77777777" w:rsidR="00197384" w:rsidRPr="00650C72" w:rsidRDefault="00197384" w:rsidP="0007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في ضوء ما تقدّم، يتقدّم الباحث بجملة من التوصيات الموجّهة إلى شركات التطوير والاستثمار العقاري بالمملكة العربية السعودية والجهات ذات الصلة، على النحو التالي</w:t>
      </w:r>
      <w:r w:rsidRPr="00650C72">
        <w:rPr>
          <w:rFonts w:ascii="Simplified Arabic" w:eastAsia="Times New Roman" w:hAnsi="Simplified Arabic" w:cs="Simplified Arabic"/>
          <w:color w:val="000000" w:themeColor="text1"/>
          <w:kern w:val="0"/>
          <w:sz w:val="28"/>
          <w:szCs w:val="28"/>
          <w14:ligatures w14:val="none"/>
        </w:rPr>
        <w:t>:</w:t>
      </w:r>
    </w:p>
    <w:p w14:paraId="44FDABF7"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تعزيز الاستثمار في بناء بنية تحتية متكاملة للبيانات العقارية داخل شركات التطوير، تشمل إنشاء قواعد بيانات موحّدة تجمع البيانات السوقية والحكومية والجغرافية والديموغرافية في منصة تحليلية واحدة، مع تخصيص ميزانيات مناسبة لعمليات جمع البيانات وتنظيفها وتحديثها الدوري</w:t>
      </w:r>
      <w:r w:rsidRPr="00650C72">
        <w:rPr>
          <w:rFonts w:ascii="Simplified Arabic" w:eastAsia="Times New Roman" w:hAnsi="Simplified Arabic" w:cs="Simplified Arabic"/>
          <w:color w:val="000000" w:themeColor="text1"/>
          <w:kern w:val="0"/>
          <w:sz w:val="28"/>
          <w:szCs w:val="28"/>
          <w14:ligatures w14:val="none"/>
        </w:rPr>
        <w:t>.</w:t>
      </w:r>
    </w:p>
    <w:p w14:paraId="52BAEFD5"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تطوير أنظمة دعم القرار الذكية داخل شركات التطوير العقاري لتصبح واجهة تفاعلية متكاملة تعرض مخرجات الأدوات التحليلية المختلفة بصورة تُيسّر على المديرين التنفيذيين ومحللي الاستثمار المقارنة بين البدائل واتخاذ القرار في الوقت المناسب</w:t>
      </w:r>
      <w:r w:rsidRPr="00650C72">
        <w:rPr>
          <w:rFonts w:ascii="Simplified Arabic" w:eastAsia="Times New Roman" w:hAnsi="Simplified Arabic" w:cs="Simplified Arabic"/>
          <w:color w:val="000000" w:themeColor="text1"/>
          <w:kern w:val="0"/>
          <w:sz w:val="28"/>
          <w:szCs w:val="28"/>
          <w14:ligatures w14:val="none"/>
        </w:rPr>
        <w:t>.</w:t>
      </w:r>
    </w:p>
    <w:p w14:paraId="688F94B2"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إنشاء وحدات تنظيمية متخصصة داخل شركات التطوير العقاري تُعنى بإدارة توظيف الذكاء الاصطناعي في العمليات التقييمية والاستثمارية، بحيث تتكامل مع الوحدات التقليدية للتقييم العقاري وتُشكّل معها منظومة متكاملة تجمع بين الخبرة البشرية والقدرات الآلية</w:t>
      </w:r>
      <w:r w:rsidRPr="00650C72">
        <w:rPr>
          <w:rFonts w:ascii="Simplified Arabic" w:eastAsia="Times New Roman" w:hAnsi="Simplified Arabic" w:cs="Simplified Arabic"/>
          <w:color w:val="000000" w:themeColor="text1"/>
          <w:kern w:val="0"/>
          <w:sz w:val="28"/>
          <w:szCs w:val="28"/>
          <w14:ligatures w14:val="none"/>
        </w:rPr>
        <w:t>.</w:t>
      </w:r>
    </w:p>
    <w:p w14:paraId="67485418"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تصميم برامج تدريبية متخصصة للكوادر البشرية العاملة في المستويات الإدارية العليا والوسطى، تُركّز على مهارات التعامل مع الأدوات التحليلية المتقدمة وقراءة مخرجاتها وتوظيفها في صناعة القرار، مع مراعاة تدرّج المحتوى التدريبي بحسب المستوى الوظيفي</w:t>
      </w:r>
      <w:r w:rsidRPr="00650C72">
        <w:rPr>
          <w:rFonts w:ascii="Simplified Arabic" w:eastAsia="Times New Roman" w:hAnsi="Simplified Arabic" w:cs="Simplified Arabic"/>
          <w:color w:val="000000" w:themeColor="text1"/>
          <w:kern w:val="0"/>
          <w:sz w:val="28"/>
          <w:szCs w:val="28"/>
          <w14:ligatures w14:val="none"/>
        </w:rPr>
        <w:t>.</w:t>
      </w:r>
    </w:p>
    <w:p w14:paraId="5CCEF7FB"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تبنّي نهج تدريجي في توظيف أدوات الذكاء الاصطناعي داخل الشركات العقارية، يبدأ بمشروعات تجريبية محدودة النطاق، ويتوسّع تدريجياً مع تراكم الخبرة وبناء الثقة داخل المنظمة، بما يُقلّل من مخاطر التحوّل الرقمي المتسرّع</w:t>
      </w:r>
      <w:r w:rsidRPr="00650C72">
        <w:rPr>
          <w:rFonts w:ascii="Simplified Arabic" w:eastAsia="Times New Roman" w:hAnsi="Simplified Arabic" w:cs="Simplified Arabic"/>
          <w:color w:val="000000" w:themeColor="text1"/>
          <w:kern w:val="0"/>
          <w:sz w:val="28"/>
          <w:szCs w:val="28"/>
          <w14:ligatures w14:val="none"/>
        </w:rPr>
        <w:t>.</w:t>
      </w:r>
    </w:p>
    <w:p w14:paraId="0B0C3B2B"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تعزيز التعاون بين شركات التطوير العقاري السعودية والجهات التنظيمية كالهيئة العامة للعقار والهيئة السعودية للمقيّمين المعتمدين، بهدف وضع معايير موحّدة لتوظيف أدوات الذكاء الاصطناعي في التقييم العقاري تكفل الجودة والشفافية والاتساق بين تقارير التقييم الصادرة عن مختلف الشركات</w:t>
      </w:r>
      <w:r w:rsidRPr="00650C72">
        <w:rPr>
          <w:rFonts w:ascii="Simplified Arabic" w:eastAsia="Times New Roman" w:hAnsi="Simplified Arabic" w:cs="Simplified Arabic"/>
          <w:color w:val="000000" w:themeColor="text1"/>
          <w:kern w:val="0"/>
          <w:sz w:val="28"/>
          <w:szCs w:val="28"/>
          <w14:ligatures w14:val="none"/>
        </w:rPr>
        <w:t>.</w:t>
      </w:r>
    </w:p>
    <w:p w14:paraId="6F469212"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تشجيع الشركات العقارية على تبنّي منهجية التقييم متعدد الوسائط الذي يدمج البيانات الرقمية بالبيانات النصية والبصرية والمكانية في نموذج تقييمي متكامل، بما يُثري القاعدة المعرفية للقرار الاستثماري ويُتيح مراعاة العوامل النوعية التي يصعب تقديرها بالطرق التقليدية</w:t>
      </w:r>
      <w:r w:rsidRPr="00650C72">
        <w:rPr>
          <w:rFonts w:ascii="Simplified Arabic" w:eastAsia="Times New Roman" w:hAnsi="Simplified Arabic" w:cs="Simplified Arabic"/>
          <w:color w:val="000000" w:themeColor="text1"/>
          <w:kern w:val="0"/>
          <w:sz w:val="28"/>
          <w:szCs w:val="28"/>
          <w14:ligatures w14:val="none"/>
        </w:rPr>
        <w:t>.</w:t>
      </w:r>
    </w:p>
    <w:p w14:paraId="015EB840"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بناء آليات مؤسسية للحوكمة الرقمية داخل شركات التطوير العقاري تكفل الشفافية في القرارات المدعومة بالذكاء الاصطناعي، وتُوفّر مسارات واضحة للمساءلة، وتضمن الاتساق بين المخرجات الآلية والاعتبارات الأخلاقية والقانونية</w:t>
      </w:r>
      <w:r w:rsidRPr="00650C72">
        <w:rPr>
          <w:rFonts w:ascii="Simplified Arabic" w:eastAsia="Times New Roman" w:hAnsi="Simplified Arabic" w:cs="Simplified Arabic"/>
          <w:color w:val="000000" w:themeColor="text1"/>
          <w:kern w:val="0"/>
          <w:sz w:val="28"/>
          <w:szCs w:val="28"/>
          <w14:ligatures w14:val="none"/>
        </w:rPr>
        <w:t>.</w:t>
      </w:r>
    </w:p>
    <w:p w14:paraId="29CF1E88"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الاستثمار في تطوير قدرات التحليل التنبؤي داخل الشركات العقارية عبر بناء نماذج متخصصة تُراعي خصوصية السوق العقاري السعودي، وتستوعب المتغيرات المحلية كالمشروعات العملاقة والتحولات الديموغرافية والتوجهات التنظيمية المرتبطة برؤية 2030</w:t>
      </w:r>
      <w:r w:rsidRPr="00650C72">
        <w:rPr>
          <w:rFonts w:ascii="Simplified Arabic" w:eastAsia="Times New Roman" w:hAnsi="Simplified Arabic" w:cs="Simplified Arabic"/>
          <w:color w:val="000000" w:themeColor="text1"/>
          <w:kern w:val="0"/>
          <w:sz w:val="28"/>
          <w:szCs w:val="28"/>
          <w14:ligatures w14:val="none"/>
        </w:rPr>
        <w:t>.</w:t>
      </w:r>
    </w:p>
    <w:p w14:paraId="09D3127D"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تعزيز التكامل بين الحكم البشري ومخرجات الأنظمة الذكية داخل عملية صناعة القرار الاستثماري، بحيث لا يُختزل دور صانع القرار في تنفيذ توصيات النظام، بل يبقى المرجع النهائي الذي يُوظّف مخرجات النظام في سياق أوسع يستوعب الاعتبارات الإستراتيجية والقيمية للشركة</w:t>
      </w:r>
      <w:r w:rsidRPr="00650C72">
        <w:rPr>
          <w:rFonts w:ascii="Simplified Arabic" w:eastAsia="Times New Roman" w:hAnsi="Simplified Arabic" w:cs="Simplified Arabic"/>
          <w:color w:val="000000" w:themeColor="text1"/>
          <w:kern w:val="0"/>
          <w:sz w:val="28"/>
          <w:szCs w:val="28"/>
          <w14:ligatures w14:val="none"/>
        </w:rPr>
        <w:t>.</w:t>
      </w:r>
    </w:p>
    <w:p w14:paraId="0179048B"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إجراء مراجعات دورية لمنظومة توظيف الذكاء الاصطناعي داخل الشركات العقارية بهدف قياس أثرها على جودة القرارات وتحديد جوانب التطوير المطلوبة، مع بناء مؤشرات أداء رئيسية تُتيح التقييم الموضوعي لمستوى الاستفادة من هذه الأدوات</w:t>
      </w:r>
      <w:r w:rsidRPr="00650C72">
        <w:rPr>
          <w:rFonts w:ascii="Simplified Arabic" w:eastAsia="Times New Roman" w:hAnsi="Simplified Arabic" w:cs="Simplified Arabic"/>
          <w:color w:val="000000" w:themeColor="text1"/>
          <w:kern w:val="0"/>
          <w:sz w:val="28"/>
          <w:szCs w:val="28"/>
          <w14:ligatures w14:val="none"/>
        </w:rPr>
        <w:t>.</w:t>
      </w:r>
    </w:p>
    <w:p w14:paraId="1AAFEA07" w14:textId="77777777" w:rsidR="00197384"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تشجيع الجامعات ومراكز البحث السعودية على تطوير برامج أكاديمية متخصصة تجمع بين علوم العقار وعلوم البيانات والذكاء الاصطناعي، بهدف رفد سوق العمل العقاري بكوادر مؤهّلة قادرة على قيادة التحوّل الرقمي في هذا القطاع الحيوي</w:t>
      </w:r>
      <w:r w:rsidRPr="00650C72">
        <w:rPr>
          <w:rFonts w:ascii="Simplified Arabic" w:eastAsia="Times New Roman" w:hAnsi="Simplified Arabic" w:cs="Simplified Arabic"/>
          <w:color w:val="000000" w:themeColor="text1"/>
          <w:kern w:val="0"/>
          <w:sz w:val="28"/>
          <w:szCs w:val="28"/>
          <w14:ligatures w14:val="none"/>
        </w:rPr>
        <w:t>.</w:t>
      </w:r>
    </w:p>
    <w:p w14:paraId="49C91A53" w14:textId="130002CB" w:rsidR="000D339D" w:rsidRPr="00650C72" w:rsidRDefault="00197384" w:rsidP="0088241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rtl/>
          <w14:ligatures w14:val="none"/>
        </w:rPr>
        <w:t>توسيع نطاق البحث العلمي في مجال توظيف أدوات الذكاء الاصطناعي في القطاع العقاري السعودي عبر إجراء دراسات مستقبلية تتناول متغيرات وسيطة ومعدّلة كالثقافة التنظيمية وحجم الشركة ومستوى النضج الرقمي، بما يُثري القاعدة المعرفية العربية في هذا الحقل ويُقدّم توصيات أكثر تخصصاً للممارسين</w:t>
      </w:r>
      <w:r w:rsidRPr="00650C72">
        <w:rPr>
          <w:rFonts w:ascii="Simplified Arabic" w:eastAsia="Times New Roman" w:hAnsi="Simplified Arabic" w:cs="Simplified Arabic"/>
          <w:color w:val="000000" w:themeColor="text1"/>
          <w:kern w:val="0"/>
          <w:sz w:val="28"/>
          <w:szCs w:val="28"/>
          <w14:ligatures w14:val="none"/>
        </w:rPr>
        <w:t>.</w:t>
      </w:r>
    </w:p>
    <w:p w14:paraId="4303C881" w14:textId="0AD1FFD9" w:rsidR="000D339D" w:rsidRPr="00650C72" w:rsidRDefault="0088241C" w:rsidP="0088241C">
      <w:pPr>
        <w:bidi w:val="0"/>
        <w:jc w:val="center"/>
        <w:outlineLvl w:val="0"/>
        <w:rPr>
          <w:rFonts w:asciiTheme="majorBidi" w:eastAsia="Times New Roman" w:hAnsiTheme="majorBidi" w:cstheme="majorBidi"/>
          <w:b/>
          <w:bCs/>
          <w:color w:val="000000" w:themeColor="text1"/>
          <w:kern w:val="0"/>
          <w:sz w:val="28"/>
          <w:szCs w:val="28"/>
          <w14:ligatures w14:val="none"/>
        </w:rPr>
      </w:pPr>
      <w:r w:rsidRPr="00650C72">
        <w:rPr>
          <w:rFonts w:ascii="Simplified Arabic" w:eastAsia="Times New Roman" w:hAnsi="Simplified Arabic" w:cs="Simplified Arabic"/>
          <w:color w:val="000000" w:themeColor="text1"/>
          <w:kern w:val="0"/>
          <w:sz w:val="28"/>
          <w:szCs w:val="28"/>
          <w14:ligatures w14:val="none"/>
        </w:rPr>
        <w:br w:type="page"/>
      </w:r>
      <w:bookmarkStart w:id="71" w:name="_Toc234796469"/>
      <w:r w:rsidR="000D339D" w:rsidRPr="00650C72">
        <w:rPr>
          <w:rFonts w:asciiTheme="majorBidi" w:eastAsia="Times New Roman" w:hAnsiTheme="majorBidi" w:cstheme="majorBidi"/>
          <w:b/>
          <w:bCs/>
          <w:color w:val="000000" w:themeColor="text1"/>
          <w:kern w:val="0"/>
          <w:sz w:val="40"/>
          <w:szCs w:val="40"/>
          <w14:ligatures w14:val="none"/>
        </w:rPr>
        <w:lastRenderedPageBreak/>
        <w:t>Abstract</w:t>
      </w:r>
      <w:bookmarkEnd w:id="71"/>
    </w:p>
    <w:p w14:paraId="032FDB5A" w14:textId="77777777" w:rsidR="000D339D" w:rsidRPr="00650C72" w:rsidRDefault="000D339D" w:rsidP="0088241C">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650C72">
        <w:rPr>
          <w:rFonts w:asciiTheme="majorBidi" w:eastAsia="Times New Roman" w:hAnsiTheme="majorBidi" w:cstheme="majorBidi"/>
          <w:color w:val="000000" w:themeColor="text1"/>
          <w:kern w:val="0"/>
          <w:sz w:val="24"/>
          <w:szCs w:val="24"/>
          <w14:ligatures w14:val="none"/>
        </w:rPr>
        <w:t>This study aimed to measure the impact of using artificial intelligence tools in real estate valuation, through its four dimensions (predictive price analytics, automated valuation models, real estate big data analysis, and intelligent decision support systems), on the quality of investment decisions in real estate development and investment companies in the Kingdom of Saudi Arabia. The study adopted the descriptive-analytical approach and used a questionnaire as a data collection instrument, administered to a proportional stratified random sample of (355) respondents comprising executive managers, investment managers, real estate valuation managers, investment analysts, and certified real estate appraisers working in real estate development companies in the city of Riyadh. The validity and reliability of the instrument were verified through face validity, internal consistency validity, the correlation matrix, and Cronbach’s Alpha coefficient, which reached (0.927) for the entire instrument. Data were analyzed using SPSS through means, standard deviations, and simple and multiple regression analyses. The study concluded that there is a high level of adoption of artificial intelligence tools in real estate valuation, and a statistically significant impact at the significance level (α≤0.05) of the combined dimensions of the independent variable on the quality of investment decisions, with a determination coefficient of (0.780). Intelligent decision support systems ranked first in terms of impact strength, followed by automated valuation models, big data analysis, and predictive price analytics. The study recommended enhancing investment in real estate data infrastructure, developing decision support systems within companies, building specialized training programs, adopting a multimodal valuation methodology, and strengthening the integration between human judgment and intelligent system outputs.</w:t>
      </w:r>
    </w:p>
    <w:p w14:paraId="5DFEC10B" w14:textId="77777777" w:rsidR="000D339D" w:rsidRPr="00650C72" w:rsidRDefault="000D339D" w:rsidP="0088241C">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650C72">
        <w:rPr>
          <w:rFonts w:asciiTheme="majorBidi" w:eastAsia="Times New Roman" w:hAnsiTheme="majorBidi" w:cstheme="majorBidi"/>
          <w:color w:val="000000" w:themeColor="text1"/>
          <w:kern w:val="0"/>
          <w:sz w:val="24"/>
          <w:szCs w:val="24"/>
          <w14:ligatures w14:val="none"/>
        </w:rPr>
        <w:t>Keywords: Artificial Intelligence, Real Estate Valuation, Investment Decision Quality, Predictive Analytics, Automated Valuation Models, Big Data, Decision Support Systems, Kingdom of Saudi Arabia.</w:t>
      </w:r>
    </w:p>
    <w:bookmarkEnd w:id="29"/>
    <w:p w14:paraId="09B7F262" w14:textId="2C858787" w:rsidR="0088241C" w:rsidRPr="00650C72" w:rsidRDefault="0088241C" w:rsidP="0088241C">
      <w:pPr>
        <w:jc w:val="center"/>
        <w:outlineLvl w:val="0"/>
        <w:rPr>
          <w:rFonts w:ascii="Simplified Arabic" w:eastAsia="Calibri" w:hAnsi="Simplified Arabic" w:cs="Simplified Arabic"/>
          <w:b/>
          <w:bCs/>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14:ligatures w14:val="none"/>
        </w:rPr>
        <w:br w:type="page"/>
      </w:r>
      <w:bookmarkStart w:id="72" w:name="_Toc234796470"/>
      <w:r w:rsidRPr="00650C72">
        <w:rPr>
          <w:rFonts w:ascii="Simplified Arabic" w:eastAsia="Calibri" w:hAnsi="Simplified Arabic" w:cs="Simplified Arabic" w:hint="cs"/>
          <w:b/>
          <w:bCs/>
          <w:color w:val="000000" w:themeColor="text1"/>
          <w:kern w:val="0"/>
          <w:sz w:val="40"/>
          <w:szCs w:val="40"/>
          <w:rtl/>
          <w14:ligatures w14:val="none"/>
        </w:rPr>
        <w:lastRenderedPageBreak/>
        <w:t>المراجع</w:t>
      </w:r>
      <w:bookmarkEnd w:id="72"/>
    </w:p>
    <w:p w14:paraId="6A21C5B0" w14:textId="77777777" w:rsidR="004B118D" w:rsidRPr="00650C72" w:rsidRDefault="004B118D" w:rsidP="00073937">
      <w:pPr>
        <w:spacing w:before="100" w:beforeAutospacing="1" w:after="100" w:afterAutospacing="1" w:line="276" w:lineRule="auto"/>
        <w:jc w:val="both"/>
        <w:rPr>
          <w:rFonts w:ascii="Simplified Arabic" w:eastAsia="Calibri" w:hAnsi="Simplified Arabic" w:cs="Simplified Arabic"/>
          <w:b/>
          <w:bCs/>
          <w:color w:val="000000" w:themeColor="text1"/>
          <w:kern w:val="0"/>
          <w:sz w:val="36"/>
          <w:szCs w:val="36"/>
          <w:lang w:bidi="ar-EG"/>
          <w14:ligatures w14:val="none"/>
        </w:rPr>
      </w:pPr>
      <w:r w:rsidRPr="00650C72">
        <w:rPr>
          <w:rFonts w:ascii="Simplified Arabic" w:eastAsia="Calibri" w:hAnsi="Simplified Arabic" w:cs="Simplified Arabic"/>
          <w:b/>
          <w:bCs/>
          <w:color w:val="000000" w:themeColor="text1"/>
          <w:kern w:val="0"/>
          <w:sz w:val="36"/>
          <w:szCs w:val="36"/>
          <w:rtl/>
          <w14:ligatures w14:val="none"/>
        </w:rPr>
        <w:t>أولاً: المراجع العربية</w:t>
      </w:r>
    </w:p>
    <w:p w14:paraId="78160AFA"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آل عزام، سعد بن ناصر، و ابن ظفرة، فايز عوض سعد. (2023). أثر تطبيق الذكاء الاصطناعي على جودة اتخاذ القرارات في إمارة منطقة عسير خلال وباء كوفيد 19. المجلة العربية للإدارة، مج43, ع4 ، 347 - 360. مسترجع من </w:t>
      </w:r>
      <w:hyperlink r:id="rId14"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http://search.mandumah.com/Record/1505530</w:t>
        </w:r>
      </w:hyperlink>
    </w:p>
    <w:p w14:paraId="00B00C5D"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بامردوف، عمر عبدالرحمن، و مجلد، أسامة عبدالرحمن. (2025). أثر استخدام الذكاء الاصطناعي على الرضا الوظيفي: دراسة ميدانية على الموظفين الإداريين بجامعة الملك عبدالعزيز. المجلة العربية للإدارة، مج45, ع6 ، 333 - 348. مسترجع من </w:t>
      </w:r>
      <w:hyperlink r:id="rId15"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http://search.mandumah.com/Record/1635568</w:t>
        </w:r>
      </w:hyperlink>
    </w:p>
    <w:p w14:paraId="7CD702DB"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البزايعه، شادن أيمن عبد ربه. (2025). تطبيقات الذكاء الاصطناعي في دعم اتخاذ القرار داخل المؤسسات التعليمية الحديثة. جرش للبحوث والدراسات، مج25, عدد خاص ، 1 - 17. مسترجع من </w:t>
      </w:r>
      <w:hyperlink r:id="rId16"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http://search.mandumah.com/Record/1653964</w:t>
        </w:r>
      </w:hyperlink>
    </w:p>
    <w:p w14:paraId="5F9578CE"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بوبكر، ياسين، و قرفي، يمينة. (2025). أثر استخدام أدوات الذكاء الاصطناعي في تحسين العملية المحاسبية: دراسة ميدانية على عينة من أساتذة المحاسبة والمحاسبين. مجلة المنهل الإقتصادي، مج8, ع1 ، 611 - 631. مسترجع من </w:t>
      </w:r>
      <w:hyperlink r:id="rId17"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http://search.mandumah.com/Record/1590918</w:t>
        </w:r>
      </w:hyperlink>
    </w:p>
    <w:p w14:paraId="044855C6"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الثبيتي، عايشة بنت خضران بن محمد المنصوري، و السواط، حمد بن حمود. (2024). استخدام أدوات الذكاء الاصطناعي التوليدي في تطوير الأداء التدريسي لمعلمات العلوم الإدارية بالمرحلة الثانوية. دراسات عربية في التربية وعلم النفس، ع152 ، 23 - 68. مسترجع من </w:t>
      </w:r>
      <w:hyperlink r:id="rId18"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http://search.mandumah.com/Record/1515936</w:t>
        </w:r>
      </w:hyperlink>
    </w:p>
    <w:p w14:paraId="660F45B9"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الجعافرة، جميل محمد جميل، الشعلان، معن أحمد محمود، و الجعافرة، عمر جميل مفلح. (2025). أثر استخدام أدوات الذكاء الاصطناعي "</w:t>
      </w:r>
      <w:r w:rsidRPr="00650C72">
        <w:rPr>
          <w:rFonts w:ascii="Simplified Arabic" w:eastAsia="Calibri" w:hAnsi="Simplified Arabic" w:cs="Simplified Arabic"/>
          <w:color w:val="000000" w:themeColor="text1"/>
          <w:kern w:val="0"/>
          <w:sz w:val="28"/>
          <w:szCs w:val="28"/>
          <w:lang w:bidi="ar-EG"/>
          <w14:ligatures w14:val="none"/>
        </w:rPr>
        <w:t>Thing Link</w:t>
      </w:r>
      <w:r w:rsidRPr="00650C72">
        <w:rPr>
          <w:rFonts w:ascii="Simplified Arabic" w:eastAsia="Calibri" w:hAnsi="Simplified Arabic" w:cs="Simplified Arabic"/>
          <w:color w:val="000000" w:themeColor="text1"/>
          <w:kern w:val="0"/>
          <w:sz w:val="28"/>
          <w:szCs w:val="28"/>
          <w:rtl/>
          <w:lang w:bidi="ar-EG"/>
          <w14:ligatures w14:val="none"/>
        </w:rPr>
        <w:t xml:space="preserve">" على تطوير بعض المهارات الهجومية في كرة الطاولة (رسالة ماجستير غير منشورة). جامعة مؤتة، مؤتة. مسترجع من </w:t>
      </w:r>
      <w:hyperlink r:id="rId19"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http://search.mandumah.com/Record/1706365</w:t>
        </w:r>
      </w:hyperlink>
    </w:p>
    <w:p w14:paraId="72F2BE45"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lastRenderedPageBreak/>
        <w:t xml:space="preserve">حمزة، منال. (2026). أثر استخدام أدوات الذكاء الاصطناعي على الأداء الأكاديمي وسلوكيات التعلم لدى طلبة الجامعات في لبنان. أوراق ثقافية: مجلة الآداب والعلوم الإنسانية، مج7, ع41 ، 133 - 156. مسترجع من </w:t>
      </w:r>
      <w:hyperlink r:id="rId20"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http://search.mandumah.com/Record/1651040</w:t>
        </w:r>
      </w:hyperlink>
    </w:p>
    <w:p w14:paraId="657A44C4"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الخلايلة، قصي محمد، و الصمادي، زياد محمد علي. (2021). أثر تطبيقات الذكاء الاصطناعي على جودة الرعاية الصحية: دراسة تطبيقية على مستشفيات وزارة الصحة الأردنية (رسالة ماجستير غير منشورة). جامعة آل البيت، المفرق. مسترجع من </w:t>
      </w:r>
      <w:hyperlink r:id="rId21"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http://search.mandumah.com/Record/1253311</w:t>
        </w:r>
      </w:hyperlink>
    </w:p>
    <w:p w14:paraId="1EACFC08"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زيتوني، صابرين، و كلاخي، لطيفة. (2026). انعكاسات توظيف تقنيات الذكاء الاصطناعي على جودة وصناعة القرار الإداري: دراسة حالة لعينة من البنوك بولاية تيارت. مجلة الاقتصاد والمالية، مج12, ع2 ، 31 - 44. مسترجع من </w:t>
      </w:r>
      <w:hyperlink r:id="rId22"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http://search.mandumah.com/Record/1700389</w:t>
        </w:r>
      </w:hyperlink>
    </w:p>
    <w:p w14:paraId="6D4D76CD"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الشراري، جمال بن صبيح الهملان. (2021). أثر الذكاء الاصطناعي على جودة القرار الإداري من وجهة نظر قادة مدارس المرحلة الثانوية بمنطقة الجوف التعليمية. مجلة سلوك، مج8, ع1 ، 14 - 37. مسترجع من </w:t>
      </w:r>
      <w:hyperlink r:id="rId23"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http://search.mandumah.com/Record/1250072</w:t>
        </w:r>
      </w:hyperlink>
    </w:p>
    <w:p w14:paraId="4FD383A4"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طوالبة، نقاء أحمد عبدالرحمن، و عبابنة، هايل طلاق محمود. (2025). أثر استخدام أدوات التوظيف المعززة بالذكاء الاصطناعي على استقطاب الكفاءات (رسالة ماجستير غير منشورة). جامعة آل البيت، المفرق. مسترجع من </w:t>
      </w:r>
      <w:hyperlink r:id="rId24"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http://search.mandumah.com/Record/1692439</w:t>
        </w:r>
      </w:hyperlink>
    </w:p>
    <w:p w14:paraId="006E1D73"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عبدالرحمن، نسرين محمود، زريقا، ولاء حسين، و عرنوس، عبير عبدالكريم. (2024). تقييم واقع جودة صنع القرار الاستثماري: دراسة مسحية على الشركات في المدينة الصناعية بحسياء. مجلة جامعة البعث سلسلة العلوم الاقتصادية، مج46, ع9 ، 123 - 160. مسترجع من </w:t>
      </w:r>
      <w:hyperlink r:id="rId25"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http://search.mandumah.com/Record/1495803</w:t>
        </w:r>
      </w:hyperlink>
    </w:p>
    <w:p w14:paraId="1B6C635A"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Times New Roman" w:hAnsi="Simplified Arabic" w:cs="Simplified Arabic"/>
          <w:color w:val="000000" w:themeColor="text1"/>
          <w:kern w:val="0"/>
          <w:sz w:val="28"/>
          <w:szCs w:val="28"/>
          <w:rtl/>
          <w14:ligatures w14:val="none"/>
        </w:rPr>
        <w:t>عبدالعزيز، نادي جمال، وهدان، محمد أحمد لطفي محمد، و زيدان، بشري. (2025). تأثير آليات حوكمة الشركات على جودة القرار الاستثماري: دراسة ميدانية على البنك الأهلي المصري. المجلة العلمية للدراسات التجارية والبيئية، مج16, ع3 ، 3573 - 3612. مسترجع من</w:t>
      </w:r>
      <w:r w:rsidRPr="00650C72">
        <w:rPr>
          <w:rFonts w:ascii="Simplified Arabic" w:eastAsia="Times New Roman" w:hAnsi="Simplified Arabic" w:cs="Simplified Arabic"/>
          <w:color w:val="000000" w:themeColor="text1"/>
          <w:kern w:val="0"/>
          <w:sz w:val="28"/>
          <w:szCs w:val="28"/>
          <w14:ligatures w14:val="none"/>
        </w:rPr>
        <w:t xml:space="preserve"> </w:t>
      </w:r>
      <w:hyperlink r:id="rId26" w:history="1">
        <w:r w:rsidRPr="00650C72">
          <w:rPr>
            <w:rStyle w:val="Hyperlink"/>
            <w:rFonts w:ascii="Simplified Arabic" w:eastAsia="Times New Roman" w:hAnsi="Simplified Arabic" w:cs="Simplified Arabic"/>
            <w:color w:val="000000" w:themeColor="text1"/>
            <w:kern w:val="0"/>
            <w:sz w:val="28"/>
            <w:szCs w:val="28"/>
            <w14:ligatures w14:val="none"/>
          </w:rPr>
          <w:t>http://search.mandumah.com/Record/1625133</w:t>
        </w:r>
        <w:r w:rsidRPr="00650C72">
          <w:rPr>
            <w:rStyle w:val="Hyperlink"/>
            <w:rFonts w:ascii="Simplified Arabic" w:eastAsia="Calibri" w:hAnsi="Simplified Arabic" w:cs="Simplified Arabic"/>
            <w:color w:val="000000" w:themeColor="text1"/>
            <w:kern w:val="0"/>
            <w:sz w:val="28"/>
            <w:szCs w:val="28"/>
            <w:lang w:bidi="ar-EG"/>
            <w14:ligatures w14:val="none"/>
          </w:rPr>
          <w:t>4</w:t>
        </w:r>
      </w:hyperlink>
    </w:p>
    <w:p w14:paraId="282C2B5F"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العريمي، بندر عوض بخيت، و الحلالمة، محمد عزات كريم. (2024). أثر الذكاء الاصطناعي على جودة اتخاذ القرار: الدور الوسيط للتمكين الإداري: دراسة تطبيقية على شركات الاتصالات وتكنولوجيا </w:t>
      </w:r>
      <w:r w:rsidRPr="00650C72">
        <w:rPr>
          <w:rFonts w:ascii="Simplified Arabic" w:eastAsia="Calibri" w:hAnsi="Simplified Arabic" w:cs="Simplified Arabic"/>
          <w:color w:val="000000" w:themeColor="text1"/>
          <w:kern w:val="0"/>
          <w:sz w:val="28"/>
          <w:szCs w:val="28"/>
          <w:rtl/>
          <w:lang w:bidi="ar-EG"/>
          <w14:ligatures w14:val="none"/>
        </w:rPr>
        <w:lastRenderedPageBreak/>
        <w:t xml:space="preserve">المعلومات الأردنية (رسالة ماجستير غير منشورة). جامعة البلقاء التطبيقية، السلط. مسترجع من </w:t>
      </w:r>
      <w:hyperlink r:id="rId27"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http://search.mandumah.com/Record/1497879</w:t>
        </w:r>
      </w:hyperlink>
    </w:p>
    <w:p w14:paraId="418898EA"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فهيم، نيفين عزت ليفه، البنا، طلعت أسعد عبدالحميد، و عامر، أحمد محمد سليمان. (2023). أثر توظيف أدوات الذكاء الاصطناعي على فاعلية التسويق الرقمي بالتطبيق على شركة أمازون. المجلة العلمية للدراسات التجارية والبيئية، مج14, ع4 ، 43 - 74. مسترجع من </w:t>
      </w:r>
      <w:hyperlink r:id="rId28"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http://search.mandumah.com/Record/1504616</w:t>
        </w:r>
      </w:hyperlink>
    </w:p>
    <w:p w14:paraId="305F3073"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محسن، فاتن عبد. (2025). أثر تطبيق الذكاء الاصطناعي على جودة اتخاذ القرار لدى موظفين مديرية تربية البصرة. المجلة العراقية للبحوث الإنسانية والاجتماعية والعلمية، مج5, ع17 ، 874 - 893. مسترجع من </w:t>
      </w:r>
      <w:hyperlink r:id="rId29"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http://search.mandumah.com/Record/1694091</w:t>
        </w:r>
      </w:hyperlink>
    </w:p>
    <w:p w14:paraId="4ED26911"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محمود، أميرة علي عبدالعاطي. (2024). تأثير أبعاد الذكاء الاصطناعي على جودة اتخاذ القرار في القطاع الصحي في محافظة القاهرة والجيزة، مصر. مجلة المعهد العالي للدراسات النوعية، مج4, ع15 ، 1881 - 1921. مسترجع من </w:t>
      </w:r>
      <w:hyperlink r:id="rId30"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http://search.mandumah.com/Record/1519942</w:t>
        </w:r>
      </w:hyperlink>
    </w:p>
    <w:p w14:paraId="7915A157"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مدلول، سلوى رزاق، و العنزي، أسعد منشد محمد. (2025). دور أدوات الذكاء الاصطناعي في تحسين كفاءة العمليات المصرفية. مجلة كلية الإدارة والاقتصاد للدراسات الاقتصادية والإدارية والمالية، مج17, ع4 ، 222 - 246. مسترجع من</w:t>
      </w:r>
      <w:r w:rsidRPr="00650C72">
        <w:rPr>
          <w:rFonts w:ascii="Simplified Arabic" w:eastAsia="Calibri" w:hAnsi="Simplified Arabic" w:cs="Simplified Arabic"/>
          <w:color w:val="000000" w:themeColor="text1"/>
          <w:kern w:val="0"/>
          <w:sz w:val="28"/>
          <w:szCs w:val="28"/>
          <w:lang w:bidi="ar-EG"/>
          <w14:ligatures w14:val="none"/>
        </w:rPr>
        <w:t xml:space="preserve"> </w:t>
      </w:r>
      <w:hyperlink r:id="rId31"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http://search.mandumah.com/Record/1649779</w:t>
        </w:r>
      </w:hyperlink>
    </w:p>
    <w:p w14:paraId="4DDB8396"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مقلد، هالة كمال الدين حسن. (2025). نمذجة العلاقات السببية بين الاعتمادية وتقبل تطبيقات الذكاء الاصطناعي وجودة اتخاذ القرار. مجلة كلية التربية، مج36, ع143 ، 553 - 619. مسترجع من </w:t>
      </w:r>
      <w:hyperlink r:id="rId32"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http://search.mandumah.com/Record/1621641</w:t>
        </w:r>
      </w:hyperlink>
    </w:p>
    <w:p w14:paraId="7953EA6E" w14:textId="77777777" w:rsidR="0088241C" w:rsidRPr="00650C72" w:rsidRDefault="0088241C" w:rsidP="0088241C">
      <w:pPr>
        <w:pStyle w:val="ListParagraph"/>
        <w:numPr>
          <w:ilvl w:val="0"/>
          <w:numId w:val="33"/>
        </w:numPr>
        <w:spacing w:before="100" w:beforeAutospacing="1" w:after="100" w:afterAutospacing="1" w:line="276" w:lineRule="auto"/>
        <w:ind w:left="424"/>
        <w:jc w:val="both"/>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t xml:space="preserve">المهباش، حسين حامد، و العزكي، زيد أحمد محمد. (2024). أثر تطبيق أدوات الذكاء الاصطناعي في تقييم أداء الموظفين في البنوك الإسلامية. مجلة المعهد العالي للدراسات النوعية، مج4, ع13 ، 801 - 843. مسترجع من </w:t>
      </w:r>
      <w:hyperlink r:id="rId33" w:history="1">
        <w:r w:rsidRPr="00650C72">
          <w:rPr>
            <w:rStyle w:val="Hyperlink"/>
            <w:rFonts w:ascii="Simplified Arabic" w:eastAsia="Calibri" w:hAnsi="Simplified Arabic" w:cs="Simplified Arabic"/>
            <w:color w:val="000000" w:themeColor="text1"/>
            <w:kern w:val="0"/>
            <w:sz w:val="28"/>
            <w:szCs w:val="28"/>
            <w:lang w:bidi="ar-EG"/>
            <w14:ligatures w14:val="none"/>
          </w:rPr>
          <w:t>http://search.mandumah.com/Record/1514126</w:t>
        </w:r>
      </w:hyperlink>
    </w:p>
    <w:p w14:paraId="7F167AAB" w14:textId="14D02174" w:rsidR="00C265DB" w:rsidRPr="00650C72" w:rsidRDefault="0088241C" w:rsidP="0088241C">
      <w:pPr>
        <w:spacing w:before="100" w:beforeAutospacing="1" w:after="100" w:afterAutospacing="1" w:line="276" w:lineRule="auto"/>
        <w:jc w:val="both"/>
        <w:rPr>
          <w:rFonts w:ascii="Simplified Arabic" w:eastAsia="Calibri" w:hAnsi="Simplified Arabic" w:cs="Simplified Arabic"/>
          <w:b/>
          <w:bCs/>
          <w:color w:val="000000" w:themeColor="text1"/>
          <w:kern w:val="0"/>
          <w:sz w:val="36"/>
          <w:szCs w:val="36"/>
          <w:lang w:bidi="ar-EG"/>
          <w14:ligatures w14:val="none"/>
        </w:rPr>
      </w:pPr>
      <w:r w:rsidRPr="00650C72">
        <w:rPr>
          <w:rFonts w:ascii="Simplified Arabic" w:eastAsia="Calibri" w:hAnsi="Simplified Arabic" w:cs="Simplified Arabic" w:hint="cs"/>
          <w:b/>
          <w:bCs/>
          <w:color w:val="000000" w:themeColor="text1"/>
          <w:kern w:val="0"/>
          <w:sz w:val="36"/>
          <w:szCs w:val="36"/>
          <w:rtl/>
          <w:lang w:bidi="ar-EG"/>
          <w14:ligatures w14:val="none"/>
        </w:rPr>
        <w:t>المراجع الأجنبية</w:t>
      </w:r>
    </w:p>
    <w:p w14:paraId="47C5A010"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 xml:space="preserve">Ahmed, A. M. (2025). Innovating the Real Estate Industry </w:t>
      </w:r>
      <w:proofErr w:type="gramStart"/>
      <w:r w:rsidRPr="00650C72">
        <w:rPr>
          <w:rFonts w:asciiTheme="majorBidi" w:eastAsia="Calibri" w:hAnsiTheme="majorBidi" w:cstheme="majorBidi"/>
          <w:color w:val="000000" w:themeColor="text1"/>
          <w:kern w:val="0"/>
          <w:sz w:val="24"/>
          <w:szCs w:val="24"/>
          <w:lang w:bidi="ar-EG"/>
          <w14:ligatures w14:val="none"/>
        </w:rPr>
        <w:t>Through</w:t>
      </w:r>
      <w:proofErr w:type="gramEnd"/>
      <w:r w:rsidRPr="00650C72">
        <w:rPr>
          <w:rFonts w:asciiTheme="majorBidi" w:eastAsia="Calibri" w:hAnsiTheme="majorBidi" w:cstheme="majorBidi"/>
          <w:color w:val="000000" w:themeColor="text1"/>
          <w:kern w:val="0"/>
          <w:sz w:val="24"/>
          <w:szCs w:val="24"/>
          <w:lang w:bidi="ar-EG"/>
          <w14:ligatures w14:val="none"/>
        </w:rPr>
        <w:t xml:space="preserve"> Artificial Intelligence: Investigating the Role of Rapidly-Changing Technologies in Real Estate Investment Decisions in the UK (Doctoral dissertation, Westcliff University).</w:t>
      </w:r>
    </w:p>
    <w:p w14:paraId="039A70F7"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lastRenderedPageBreak/>
        <w:t xml:space="preserve">Ahmed, A. M. (2025). Innovating the Real Estate Industry </w:t>
      </w:r>
      <w:proofErr w:type="gramStart"/>
      <w:r w:rsidRPr="00650C72">
        <w:rPr>
          <w:rFonts w:asciiTheme="majorBidi" w:eastAsia="Calibri" w:hAnsiTheme="majorBidi" w:cstheme="majorBidi"/>
          <w:color w:val="000000" w:themeColor="text1"/>
          <w:kern w:val="0"/>
          <w:sz w:val="24"/>
          <w:szCs w:val="24"/>
          <w:lang w:bidi="ar-EG"/>
          <w14:ligatures w14:val="none"/>
        </w:rPr>
        <w:t>Through</w:t>
      </w:r>
      <w:proofErr w:type="gramEnd"/>
      <w:r w:rsidRPr="00650C72">
        <w:rPr>
          <w:rFonts w:asciiTheme="majorBidi" w:eastAsia="Calibri" w:hAnsiTheme="majorBidi" w:cstheme="majorBidi"/>
          <w:color w:val="000000" w:themeColor="text1"/>
          <w:kern w:val="0"/>
          <w:sz w:val="24"/>
          <w:szCs w:val="24"/>
          <w:lang w:bidi="ar-EG"/>
          <w14:ligatures w14:val="none"/>
        </w:rPr>
        <w:t xml:space="preserve"> Artificial Intelligence: Investigating the Role of Rapidly-Changing Technologies in Real Estate Investment Decisions in the UK (Doctoral dissertation, Westcliff University).</w:t>
      </w:r>
      <w:r w:rsidRPr="00650C72">
        <w:rPr>
          <w:rFonts w:asciiTheme="majorBidi" w:eastAsia="Calibri" w:hAnsiTheme="majorBidi" w:cstheme="majorBidi"/>
          <w:color w:val="000000" w:themeColor="text1"/>
          <w:kern w:val="0"/>
          <w:sz w:val="24"/>
          <w:szCs w:val="24"/>
          <w:rtl/>
          <w:lang w:bidi="ar-EG"/>
          <w14:ligatures w14:val="none"/>
        </w:rPr>
        <w:t>‏</w:t>
      </w:r>
    </w:p>
    <w:p w14:paraId="56EC5D77"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Alsahan, I. M., &amp; AlZaidan, Z. I. (2024). Unleashing the power of artificial intelligence in real estate valuation: opportunities and challenges ahead. Journal of Knowledge Learning and Science Technology ISSN: 2959-6386 (online), 3(2), 1-10.</w:t>
      </w:r>
      <w:r w:rsidRPr="00650C72">
        <w:rPr>
          <w:rFonts w:asciiTheme="majorBidi" w:eastAsia="Calibri" w:hAnsiTheme="majorBidi" w:cstheme="majorBidi"/>
          <w:color w:val="000000" w:themeColor="text1"/>
          <w:kern w:val="0"/>
          <w:sz w:val="24"/>
          <w:szCs w:val="24"/>
          <w:rtl/>
          <w:lang w:bidi="ar-EG"/>
          <w14:ligatures w14:val="none"/>
        </w:rPr>
        <w:t>‏</w:t>
      </w:r>
    </w:p>
    <w:p w14:paraId="44CA7EBD"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Alsahan, I. M., &amp; AlZaidan, Z. I. (2024). Unleashing the power of artificial intelligence in real estate valuation: opportunities and challenges ahead. Journal of Knowledge Learning and Science Technology ISSN: 2959-6386 (online), 3(2), 1-10.</w:t>
      </w:r>
      <w:r w:rsidRPr="00650C72">
        <w:rPr>
          <w:rFonts w:asciiTheme="majorBidi" w:eastAsia="Calibri" w:hAnsiTheme="majorBidi" w:cstheme="majorBidi"/>
          <w:color w:val="000000" w:themeColor="text1"/>
          <w:kern w:val="0"/>
          <w:sz w:val="24"/>
          <w:szCs w:val="24"/>
          <w:rtl/>
          <w:lang w:bidi="ar-EG"/>
          <w14:ligatures w14:val="none"/>
        </w:rPr>
        <w:t>‏</w:t>
      </w:r>
    </w:p>
    <w:p w14:paraId="276CF0B4"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val="pl-PL" w:bidi="ar-EG"/>
          <w14:ligatures w14:val="none"/>
        </w:rPr>
        <w:t xml:space="preserve">Bachanek, K. H., &amp; Leszczynski, D. (2025). </w:t>
      </w:r>
      <w:r w:rsidRPr="00650C72">
        <w:rPr>
          <w:rFonts w:asciiTheme="majorBidi" w:eastAsia="Calibri" w:hAnsiTheme="majorBidi" w:cstheme="majorBidi"/>
          <w:color w:val="000000" w:themeColor="text1"/>
          <w:kern w:val="0"/>
          <w:sz w:val="24"/>
          <w:szCs w:val="24"/>
          <w:lang w:bidi="ar-EG"/>
          <w14:ligatures w14:val="none"/>
        </w:rPr>
        <w:t>The Role of Artificial Intelligence in Logistics Real Estate Investment Management for Sustainable Development and Strategic Decision-Making. European Research Studies Journal, 28(2), 1207-1219.</w:t>
      </w:r>
      <w:r w:rsidRPr="00650C72">
        <w:rPr>
          <w:rFonts w:asciiTheme="majorBidi" w:eastAsia="Calibri" w:hAnsiTheme="majorBidi" w:cstheme="majorBidi"/>
          <w:color w:val="000000" w:themeColor="text1"/>
          <w:kern w:val="0"/>
          <w:sz w:val="24"/>
          <w:szCs w:val="24"/>
          <w:rtl/>
          <w:lang w:bidi="ar-EG"/>
          <w14:ligatures w14:val="none"/>
        </w:rPr>
        <w:t>‏</w:t>
      </w:r>
    </w:p>
    <w:p w14:paraId="195AED47"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val="pl-PL" w:bidi="ar-EG"/>
          <w14:ligatures w14:val="none"/>
        </w:rPr>
        <w:t xml:space="preserve">Chmielewska, A., Adamiczka, J., &amp; Romanowski, M. (2020). </w:t>
      </w:r>
      <w:r w:rsidRPr="00650C72">
        <w:rPr>
          <w:rFonts w:asciiTheme="majorBidi" w:eastAsia="Calibri" w:hAnsiTheme="majorBidi" w:cstheme="majorBidi"/>
          <w:color w:val="000000" w:themeColor="text1"/>
          <w:kern w:val="0"/>
          <w:sz w:val="24"/>
          <w:szCs w:val="24"/>
          <w:lang w:bidi="ar-EG"/>
          <w14:ligatures w14:val="none"/>
        </w:rPr>
        <w:t>Genetic algorithm as automated valuation model component in real estate investment decisions system. Real Estate Management and Valuation, 28(4), 1-14.</w:t>
      </w:r>
      <w:r w:rsidRPr="00650C72">
        <w:rPr>
          <w:rFonts w:asciiTheme="majorBidi" w:eastAsia="Calibri" w:hAnsiTheme="majorBidi" w:cstheme="majorBidi"/>
          <w:color w:val="000000" w:themeColor="text1"/>
          <w:kern w:val="0"/>
          <w:sz w:val="24"/>
          <w:szCs w:val="24"/>
          <w:rtl/>
          <w:lang w:bidi="ar-EG"/>
          <w14:ligatures w14:val="none"/>
        </w:rPr>
        <w:t>‏</w:t>
      </w:r>
    </w:p>
    <w:p w14:paraId="504D85FF"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El-Emary, I., Al Otaibi, S., &amp; Al Amri, W. (2020). The effect of using artificial intelligence on the quality of decision-making in various organizations: A critical survey study. Bioscience Biotechnology Research Communications, 13(4), 2042-2049.</w:t>
      </w:r>
      <w:r w:rsidRPr="00650C72">
        <w:rPr>
          <w:rFonts w:asciiTheme="majorBidi" w:eastAsia="Calibri" w:hAnsiTheme="majorBidi" w:cstheme="majorBidi"/>
          <w:color w:val="000000" w:themeColor="text1"/>
          <w:kern w:val="0"/>
          <w:sz w:val="24"/>
          <w:szCs w:val="24"/>
          <w:rtl/>
          <w:lang w:bidi="ar-EG"/>
          <w14:ligatures w14:val="none"/>
        </w:rPr>
        <w:t>‏</w:t>
      </w:r>
    </w:p>
    <w:p w14:paraId="491A733C"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Huang, A. H., &amp; You, H. (2023). Artificial intelligence in financial decision-making. In Handbook of financial decision making (pp. 315-335). Edward Elgar Publishing.</w:t>
      </w:r>
      <w:r w:rsidRPr="00650C72">
        <w:rPr>
          <w:rFonts w:asciiTheme="majorBidi" w:eastAsia="Calibri" w:hAnsiTheme="majorBidi" w:cstheme="majorBidi"/>
          <w:color w:val="000000" w:themeColor="text1"/>
          <w:kern w:val="0"/>
          <w:sz w:val="24"/>
          <w:szCs w:val="24"/>
          <w:rtl/>
          <w:lang w:bidi="ar-EG"/>
          <w14:ligatures w14:val="none"/>
        </w:rPr>
        <w:t>‏</w:t>
      </w:r>
      <w:r w:rsidRPr="00650C72">
        <w:rPr>
          <w:rFonts w:asciiTheme="majorBidi" w:eastAsia="Calibri" w:hAnsiTheme="majorBidi" w:cstheme="majorBidi"/>
          <w:color w:val="000000" w:themeColor="text1"/>
          <w:kern w:val="0"/>
          <w:sz w:val="24"/>
          <w:szCs w:val="24"/>
          <w:lang w:bidi="ar-EG"/>
          <w14:ligatures w14:val="none"/>
        </w:rPr>
        <w:t>.</w:t>
      </w:r>
    </w:p>
    <w:p w14:paraId="16C39858"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Kandipati, A. (2025). A systematic literature review on artificial intelligence based techniques for nurturing operations in real estate sector. Journal of Real Estate Literature, 33(2), 61-86.</w:t>
      </w:r>
    </w:p>
    <w:p w14:paraId="68B82FBF"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val="pl-PL" w:bidi="ar-EG"/>
          <w14:ligatures w14:val="none"/>
        </w:rPr>
        <w:t xml:space="preserve">Karanikolas, N., Kyriakidou, E., &amp; Athanasouli, E. (2025). </w:t>
      </w:r>
      <w:r w:rsidRPr="00650C72">
        <w:rPr>
          <w:rFonts w:asciiTheme="majorBidi" w:eastAsia="Calibri" w:hAnsiTheme="majorBidi" w:cstheme="majorBidi"/>
          <w:color w:val="000000" w:themeColor="text1"/>
          <w:kern w:val="0"/>
          <w:sz w:val="24"/>
          <w:szCs w:val="24"/>
          <w:lang w:bidi="ar-EG"/>
          <w14:ligatures w14:val="none"/>
        </w:rPr>
        <w:t>Artificial Intelligence and Real Estate Valuation: The Design and Implementation of a Multimodal Model. Information, 16(12), 1049</w:t>
      </w:r>
    </w:p>
    <w:p w14:paraId="7D0CB309"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Kaur, B., &amp; Kour, M. (2025). Impact of Artificial Intelligence on Investment Decision-Making. In AI, Economic Perspectives, and Firm Business Management (pp. 1-12). IGI Global Scientific Publishing</w:t>
      </w:r>
    </w:p>
    <w:p w14:paraId="6B3D5BC0"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Khanna, P. (2021). Evaluating the impact of artificial intelligence on investment decision: Making in Finance. International Journal of Research in Finance and Management, 4(1), 78.</w:t>
      </w:r>
      <w:r w:rsidRPr="00650C72">
        <w:rPr>
          <w:rFonts w:asciiTheme="majorBidi" w:eastAsia="Calibri" w:hAnsiTheme="majorBidi" w:cstheme="majorBidi"/>
          <w:color w:val="000000" w:themeColor="text1"/>
          <w:kern w:val="0"/>
          <w:sz w:val="24"/>
          <w:szCs w:val="24"/>
          <w:rtl/>
          <w:lang w:bidi="ar-EG"/>
          <w14:ligatures w14:val="none"/>
        </w:rPr>
        <w:t>‏</w:t>
      </w:r>
    </w:p>
    <w:p w14:paraId="2BF5BBC7"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Ochs, M. (2022). The Impact of Artificial Intelligence on the Decision-Making Process of a Real Estate Company (Master's thesis, Universidade Catolica Portuguesa (Portugal))</w:t>
      </w:r>
    </w:p>
    <w:p w14:paraId="0D3191D8"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val="pl-PL" w:bidi="ar-EG"/>
          <w14:ligatures w14:val="none"/>
        </w:rPr>
        <w:t xml:space="preserve">Onyenahazi, O. B., &amp; Antwi, B. O. (2024). </w:t>
      </w:r>
      <w:r w:rsidRPr="00650C72">
        <w:rPr>
          <w:rFonts w:asciiTheme="majorBidi" w:eastAsia="Calibri" w:hAnsiTheme="majorBidi" w:cstheme="majorBidi"/>
          <w:color w:val="000000" w:themeColor="text1"/>
          <w:kern w:val="0"/>
          <w:sz w:val="24"/>
          <w:szCs w:val="24"/>
          <w:lang w:bidi="ar-EG"/>
          <w14:ligatures w14:val="none"/>
        </w:rPr>
        <w:t>The role of artificial intelligence in investment decision-making: Opportunities and risks for financial institutions. International Journal of Research and Publications Review, 2582, 7421</w:t>
      </w:r>
    </w:p>
    <w:p w14:paraId="41B4C90F" w14:textId="77777777" w:rsidR="0088241C" w:rsidRPr="00650C72" w:rsidRDefault="0088241C" w:rsidP="0088241C">
      <w:pPr>
        <w:pStyle w:val="ListParagraph"/>
        <w:numPr>
          <w:ilvl w:val="0"/>
          <w:numId w:val="35"/>
        </w:numPr>
        <w:bidi w:val="0"/>
        <w:spacing w:before="100" w:beforeAutospacing="1" w:after="100" w:afterAutospacing="1" w:line="276" w:lineRule="auto"/>
        <w:ind w:left="284"/>
        <w:jc w:val="both"/>
        <w:rPr>
          <w:rFonts w:asciiTheme="majorBidi" w:eastAsia="Calibri" w:hAnsiTheme="majorBidi" w:cstheme="majorBidi"/>
          <w:color w:val="000000" w:themeColor="text1"/>
          <w:kern w:val="0"/>
          <w:sz w:val="24"/>
          <w:szCs w:val="24"/>
          <w:lang w:bidi="ar-EG"/>
          <w14:ligatures w14:val="none"/>
        </w:rPr>
      </w:pPr>
      <w:r w:rsidRPr="00650C72">
        <w:rPr>
          <w:rFonts w:asciiTheme="majorBidi" w:eastAsia="Calibri" w:hAnsiTheme="majorBidi" w:cstheme="majorBidi"/>
          <w:color w:val="000000" w:themeColor="text1"/>
          <w:kern w:val="0"/>
          <w:sz w:val="24"/>
          <w:szCs w:val="24"/>
          <w:lang w:bidi="ar-EG"/>
          <w14:ligatures w14:val="none"/>
        </w:rPr>
        <w:t>Stang, M. (2023). Real estate valuation in the age of artificial intelligence–modern machine learning algorithms and their application in property appraisal (Doctoral dissertation).</w:t>
      </w:r>
      <w:r w:rsidRPr="00650C72">
        <w:rPr>
          <w:rFonts w:asciiTheme="majorBidi" w:eastAsia="Calibri" w:hAnsiTheme="majorBidi" w:cstheme="majorBidi"/>
          <w:color w:val="000000" w:themeColor="text1"/>
          <w:kern w:val="0"/>
          <w:sz w:val="24"/>
          <w:szCs w:val="24"/>
          <w:rtl/>
          <w:lang w:bidi="ar-EG"/>
          <w14:ligatures w14:val="none"/>
        </w:rPr>
        <w:t>‏</w:t>
      </w:r>
    </w:p>
    <w:p w14:paraId="76A869F4" w14:textId="6549A2BA" w:rsidR="0088241C" w:rsidRPr="00650C72" w:rsidRDefault="0088241C">
      <w:pPr>
        <w:bidi w:val="0"/>
        <w:rPr>
          <w:rFonts w:ascii="Simplified Arabic" w:eastAsia="Calibri" w:hAnsi="Simplified Arabic" w:cs="Simplified Arabic"/>
          <w:color w:val="000000" w:themeColor="text1"/>
          <w:kern w:val="0"/>
          <w:sz w:val="28"/>
          <w:szCs w:val="28"/>
          <w:lang w:bidi="ar-EG"/>
          <w14:ligatures w14:val="none"/>
        </w:rPr>
      </w:pPr>
      <w:r w:rsidRPr="00650C72">
        <w:rPr>
          <w:rFonts w:ascii="Simplified Arabic" w:eastAsia="Calibri" w:hAnsi="Simplified Arabic" w:cs="Simplified Arabic"/>
          <w:color w:val="000000" w:themeColor="text1"/>
          <w:kern w:val="0"/>
          <w:sz w:val="28"/>
          <w:szCs w:val="28"/>
          <w:lang w:bidi="ar-EG"/>
          <w14:ligatures w14:val="none"/>
        </w:rPr>
        <w:br w:type="page"/>
      </w:r>
    </w:p>
    <w:p w14:paraId="54F4B5E0" w14:textId="77777777" w:rsidR="00C265DB" w:rsidRPr="00650C72" w:rsidRDefault="00C265DB" w:rsidP="0088241C">
      <w:pPr>
        <w:spacing w:before="100" w:beforeAutospacing="1" w:after="100" w:afterAutospacing="1" w:line="276" w:lineRule="auto"/>
        <w:jc w:val="center"/>
        <w:rPr>
          <w:rFonts w:ascii="Simplified Arabic" w:eastAsia="Calibri" w:hAnsi="Simplified Arabic" w:cs="Simplified Arabic"/>
          <w:color w:val="000000" w:themeColor="text1"/>
          <w:kern w:val="0"/>
          <w:sz w:val="28"/>
          <w:szCs w:val="28"/>
          <w:rtl/>
          <w:lang w:bidi="ar-EG"/>
          <w14:ligatures w14:val="none"/>
        </w:rPr>
      </w:pPr>
    </w:p>
    <w:p w14:paraId="4AF23953" w14:textId="77777777" w:rsidR="0088241C" w:rsidRPr="00650C72" w:rsidRDefault="0088241C" w:rsidP="0088241C">
      <w:pPr>
        <w:spacing w:before="100" w:beforeAutospacing="1" w:after="100" w:afterAutospacing="1" w:line="276" w:lineRule="auto"/>
        <w:jc w:val="center"/>
        <w:rPr>
          <w:rFonts w:ascii="Simplified Arabic" w:eastAsia="Calibri" w:hAnsi="Simplified Arabic" w:cs="Simplified Arabic"/>
          <w:color w:val="000000" w:themeColor="text1"/>
          <w:kern w:val="0"/>
          <w:sz w:val="28"/>
          <w:szCs w:val="28"/>
          <w:rtl/>
          <w:lang w:bidi="ar-EG"/>
          <w14:ligatures w14:val="none"/>
        </w:rPr>
      </w:pPr>
    </w:p>
    <w:p w14:paraId="498E1505" w14:textId="77777777" w:rsidR="0088241C" w:rsidRPr="00650C72" w:rsidRDefault="0088241C" w:rsidP="0088241C">
      <w:pPr>
        <w:spacing w:before="100" w:beforeAutospacing="1" w:after="100" w:afterAutospacing="1" w:line="276" w:lineRule="auto"/>
        <w:jc w:val="center"/>
        <w:rPr>
          <w:rFonts w:ascii="Simplified Arabic" w:eastAsia="Calibri" w:hAnsi="Simplified Arabic" w:cs="Simplified Arabic"/>
          <w:color w:val="000000" w:themeColor="text1"/>
          <w:kern w:val="0"/>
          <w:sz w:val="28"/>
          <w:szCs w:val="28"/>
          <w:rtl/>
          <w:lang w:bidi="ar-EG"/>
          <w14:ligatures w14:val="none"/>
        </w:rPr>
      </w:pPr>
    </w:p>
    <w:p w14:paraId="6AC941EC" w14:textId="77777777" w:rsidR="0088241C" w:rsidRPr="00650C72" w:rsidRDefault="0088241C" w:rsidP="0088241C">
      <w:pPr>
        <w:spacing w:before="100" w:beforeAutospacing="1" w:after="100" w:afterAutospacing="1" w:line="276" w:lineRule="auto"/>
        <w:jc w:val="center"/>
        <w:rPr>
          <w:rFonts w:ascii="Simplified Arabic" w:eastAsia="Calibri" w:hAnsi="Simplified Arabic" w:cs="Simplified Arabic"/>
          <w:color w:val="000000" w:themeColor="text1"/>
          <w:kern w:val="0"/>
          <w:sz w:val="28"/>
          <w:szCs w:val="28"/>
          <w:rtl/>
          <w:lang w:bidi="ar-EG"/>
          <w14:ligatures w14:val="none"/>
        </w:rPr>
      </w:pPr>
    </w:p>
    <w:p w14:paraId="45F2E429" w14:textId="5D80F940" w:rsidR="0088241C" w:rsidRPr="00650C72" w:rsidRDefault="0088241C" w:rsidP="0088241C">
      <w:pPr>
        <w:spacing w:before="100" w:beforeAutospacing="1" w:after="100" w:afterAutospacing="1" w:line="276" w:lineRule="auto"/>
        <w:jc w:val="center"/>
        <w:outlineLvl w:val="0"/>
        <w:rPr>
          <w:rFonts w:ascii="Simplified Arabic" w:eastAsia="Calibri" w:hAnsi="Simplified Arabic" w:cs="Simplified Arabic"/>
          <w:b/>
          <w:bCs/>
          <w:color w:val="000000" w:themeColor="text1"/>
          <w:kern w:val="0"/>
          <w:sz w:val="170"/>
          <w:szCs w:val="170"/>
          <w:rtl/>
          <w:lang w:bidi="ar-EG"/>
          <w14:ligatures w14:val="none"/>
        </w:rPr>
      </w:pPr>
      <w:bookmarkStart w:id="73" w:name="_Toc234796471"/>
      <w:r w:rsidRPr="00650C72">
        <w:rPr>
          <w:rFonts w:ascii="Simplified Arabic" w:eastAsia="Calibri" w:hAnsi="Simplified Arabic" w:cs="Simplified Arabic" w:hint="cs"/>
          <w:b/>
          <w:bCs/>
          <w:color w:val="000000" w:themeColor="text1"/>
          <w:kern w:val="0"/>
          <w:sz w:val="170"/>
          <w:szCs w:val="170"/>
          <w:rtl/>
          <w:lang w:bidi="ar-EG"/>
          <w14:ligatures w14:val="none"/>
        </w:rPr>
        <w:t>الملاحق</w:t>
      </w:r>
      <w:bookmarkEnd w:id="73"/>
    </w:p>
    <w:p w14:paraId="37E6F381" w14:textId="77777777" w:rsidR="0088241C" w:rsidRPr="00650C72" w:rsidRDefault="0088241C">
      <w:pPr>
        <w:bidi w:val="0"/>
        <w:rPr>
          <w:rFonts w:ascii="Simplified Arabic" w:eastAsia="Calibri" w:hAnsi="Simplified Arabic" w:cs="Simplified Arabic"/>
          <w:color w:val="000000" w:themeColor="text1"/>
          <w:kern w:val="0"/>
          <w:sz w:val="28"/>
          <w:szCs w:val="28"/>
          <w:rtl/>
          <w:lang w:bidi="ar-EG"/>
          <w14:ligatures w14:val="none"/>
        </w:rPr>
      </w:pPr>
      <w:r w:rsidRPr="00650C72">
        <w:rPr>
          <w:rFonts w:ascii="Simplified Arabic" w:eastAsia="Calibri" w:hAnsi="Simplified Arabic" w:cs="Simplified Arabic"/>
          <w:color w:val="000000" w:themeColor="text1"/>
          <w:kern w:val="0"/>
          <w:sz w:val="28"/>
          <w:szCs w:val="28"/>
          <w:rtl/>
          <w:lang w:bidi="ar-EG"/>
          <w14:ligatures w14:val="none"/>
        </w:rPr>
        <w:br w:type="page"/>
      </w:r>
    </w:p>
    <w:p w14:paraId="7E6F8478" w14:textId="77777777" w:rsidR="0027585B" w:rsidRPr="00650C72" w:rsidRDefault="0027585B" w:rsidP="0027585B">
      <w:pPr>
        <w:spacing w:before="100" w:beforeAutospacing="1" w:after="100" w:afterAutospacing="1"/>
        <w:rPr>
          <w:rFonts w:ascii="Simplified Arabic" w:hAnsi="Simplified Arabic" w:cs="Simplified Arabic"/>
          <w:b/>
          <w:bCs/>
          <w:color w:val="000000" w:themeColor="text1"/>
          <w:szCs w:val="28"/>
          <w:rtl/>
          <w:lang w:bidi="ar-EG"/>
        </w:rPr>
      </w:pPr>
      <w:bookmarkStart w:id="74" w:name="_Hlk161862590"/>
      <w:bookmarkStart w:id="75" w:name="_Hlk161872857"/>
      <w:bookmarkStart w:id="76" w:name="_Hlk162329489"/>
      <w:r w:rsidRPr="00650C72">
        <w:rPr>
          <w:rFonts w:ascii="Simplified Arabic" w:hAnsi="Simplified Arabic" w:cs="Simplified Arabic"/>
          <w:b/>
          <w:bCs/>
          <w:noProof/>
          <w:color w:val="000000" w:themeColor="text1"/>
          <w:szCs w:val="28"/>
        </w:rPr>
        <w:lastRenderedPageBreak/>
        <w:drawing>
          <wp:anchor distT="0" distB="0" distL="114300" distR="114300" simplePos="0" relativeHeight="251695104" behindDoc="0" locked="0" layoutInCell="1" allowOverlap="1" wp14:anchorId="4396424A" wp14:editId="51DAA4F2">
            <wp:simplePos x="0" y="0"/>
            <wp:positionH relativeFrom="column">
              <wp:posOffset>25400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50C72">
        <w:rPr>
          <w:rFonts w:ascii="Simplified Arabic" w:hAnsi="Simplified Arabic" w:cs="Simplified Arabic"/>
          <w:b/>
          <w:bCs/>
          <w:color w:val="000000" w:themeColor="text1"/>
          <w:szCs w:val="28"/>
          <w:lang w:bidi="ar-EG"/>
        </w:rPr>
        <w:t xml:space="preserve"> </w:t>
      </w:r>
    </w:p>
    <w:p w14:paraId="1739F305" w14:textId="77777777" w:rsidR="0027585B" w:rsidRPr="00650C72" w:rsidRDefault="0027585B" w:rsidP="0027585B">
      <w:pPr>
        <w:spacing w:before="100" w:beforeAutospacing="1" w:after="100" w:afterAutospacing="1"/>
        <w:jc w:val="center"/>
        <w:rPr>
          <w:rFonts w:ascii="Simplified Arabic" w:hAnsi="Simplified Arabic" w:cs="Simplified Arabic"/>
          <w:b/>
          <w:bCs/>
          <w:color w:val="000000" w:themeColor="text1"/>
          <w:szCs w:val="28"/>
          <w:rtl/>
        </w:rPr>
      </w:pPr>
    </w:p>
    <w:p w14:paraId="252CD15F" w14:textId="77777777" w:rsidR="0027585B" w:rsidRPr="00650C72" w:rsidRDefault="0027585B" w:rsidP="0027585B">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77" w:name="_Toc161199474"/>
      <w:bookmarkStart w:id="78" w:name="_Toc223618839"/>
      <w:bookmarkStart w:id="79" w:name="_Toc234796472"/>
      <w:r w:rsidRPr="00650C72">
        <w:rPr>
          <w:rFonts w:ascii="Simplified Arabic" w:hAnsi="Simplified Arabic" w:cs="Simplified Arabic"/>
          <w:b/>
          <w:bCs/>
          <w:color w:val="000000" w:themeColor="text1"/>
          <w:sz w:val="32"/>
          <w:szCs w:val="40"/>
          <w:rtl/>
        </w:rPr>
        <w:t>استمارة استبيان</w:t>
      </w:r>
      <w:bookmarkEnd w:id="77"/>
      <w:bookmarkEnd w:id="78"/>
      <w:bookmarkEnd w:id="79"/>
    </w:p>
    <w:p w14:paraId="4368F916" w14:textId="77777777" w:rsidR="0027585B" w:rsidRPr="00650C72" w:rsidRDefault="0027585B" w:rsidP="0027585B">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650C72">
        <w:rPr>
          <w:rFonts w:ascii="Simplified Arabic" w:hAnsi="Simplified Arabic" w:cs="Simplified Arabic"/>
          <w:b/>
          <w:bCs/>
          <w:color w:val="000000" w:themeColor="text1"/>
          <w:szCs w:val="36"/>
          <w:rtl/>
          <w:lang w:bidi="ar-EG"/>
        </w:rPr>
        <w:t>السلام عليكم ورحمة الله وبركاته</w:t>
      </w:r>
    </w:p>
    <w:p w14:paraId="2D289716" w14:textId="77777777" w:rsidR="0027585B" w:rsidRPr="00650C72" w:rsidRDefault="0027585B" w:rsidP="0027585B">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650C72">
        <w:rPr>
          <w:rFonts w:ascii="Simplified Arabic" w:hAnsi="Simplified Arabic" w:cs="Simplified Arabic"/>
          <w:b/>
          <w:bCs/>
          <w:color w:val="000000" w:themeColor="text1"/>
          <w:sz w:val="24"/>
          <w:szCs w:val="32"/>
          <w:rtl/>
        </w:rPr>
        <w:t>أخي الكريم / أختي الكريمة</w:t>
      </w:r>
    </w:p>
    <w:p w14:paraId="0938F585" w14:textId="77777777" w:rsidR="0027585B" w:rsidRPr="00650C72" w:rsidRDefault="0027585B" w:rsidP="0027585B">
      <w:pPr>
        <w:spacing w:before="100" w:beforeAutospacing="1" w:after="100" w:afterAutospacing="1" w:line="276" w:lineRule="auto"/>
        <w:ind w:left="-2"/>
        <w:rPr>
          <w:rFonts w:ascii="Simplified Arabic" w:hAnsi="Simplified Arabic" w:cs="Simplified Arabic"/>
          <w:color w:val="000000" w:themeColor="text1"/>
          <w:szCs w:val="28"/>
          <w:rtl/>
        </w:rPr>
      </w:pPr>
      <w:r w:rsidRPr="00650C72">
        <w:rPr>
          <w:rFonts w:ascii="Simplified Arabic" w:hAnsi="Simplified Arabic" w:cs="Simplified Arabic"/>
          <w:color w:val="000000" w:themeColor="text1"/>
          <w:szCs w:val="28"/>
          <w:rtl/>
        </w:rPr>
        <w:t>تحية طيبة وبعد،</w:t>
      </w:r>
    </w:p>
    <w:p w14:paraId="692FB094" w14:textId="185B7FE5" w:rsidR="0027585B" w:rsidRPr="00650C72" w:rsidRDefault="0027585B" w:rsidP="000851CB">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650C72">
        <w:rPr>
          <w:rFonts w:ascii="Simplified Arabic" w:hAnsi="Simplified Arabic" w:cs="Simplified Arabic"/>
          <w:color w:val="000000" w:themeColor="text1"/>
          <w:szCs w:val="28"/>
          <w:rtl/>
        </w:rPr>
        <w:t xml:space="preserve">يقوم الباحثين بإجراء دراسة حول </w:t>
      </w:r>
      <w:bookmarkStart w:id="80" w:name="_Hlk159288273"/>
      <w:bookmarkStart w:id="81" w:name="_Hlk161813773"/>
      <w:r w:rsidRPr="00650C72">
        <w:rPr>
          <w:rFonts w:ascii="Simplified Arabic" w:hAnsi="Simplified Arabic" w:cs="Simplified Arabic"/>
          <w:color w:val="000000" w:themeColor="text1"/>
          <w:szCs w:val="28"/>
          <w:rtl/>
        </w:rPr>
        <w:t xml:space="preserve">قياس </w:t>
      </w:r>
      <w:bookmarkEnd w:id="80"/>
      <w:bookmarkEnd w:id="81"/>
      <w:r w:rsidR="000851CB" w:rsidRPr="00650C72">
        <w:rPr>
          <w:rFonts w:ascii="Simplified Arabic" w:hAnsi="Simplified Arabic" w:cs="Simplified Arabic"/>
          <w:b/>
          <w:bCs/>
          <w:color w:val="000000" w:themeColor="text1"/>
          <w:szCs w:val="28"/>
          <w:rtl/>
        </w:rPr>
        <w:t>أثر استخدام أدوات الذكاء الاصطناعي في التقييم العقاري على جودة القرار الاستثماري: دراسة ميدانية على المستثمرين العقاريين في مدينة الرياض، المملكة العربية السعودية.</w:t>
      </w:r>
    </w:p>
    <w:p w14:paraId="6595FF9F" w14:textId="77777777" w:rsidR="0027585B" w:rsidRPr="00650C72" w:rsidRDefault="0027585B" w:rsidP="000851CB">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650C72">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67C5924" w14:textId="77777777" w:rsidR="0027585B" w:rsidRPr="00650C72" w:rsidRDefault="0027585B" w:rsidP="000851CB">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650C72">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B74A6E0" w14:textId="77777777" w:rsidR="0027585B" w:rsidRPr="00650C72" w:rsidRDefault="0027585B" w:rsidP="0027585B">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650C72">
        <w:rPr>
          <w:rFonts w:ascii="Simplified Arabic" w:hAnsi="Simplified Arabic" w:cs="Simplified Arabic"/>
          <w:b/>
          <w:bCs/>
          <w:color w:val="000000" w:themeColor="text1"/>
          <w:szCs w:val="28"/>
          <w:rtl/>
        </w:rPr>
        <w:t xml:space="preserve">وتفضلوا بقبول فائق التقدير والاحترام </w:t>
      </w:r>
    </w:p>
    <w:p w14:paraId="3532AF53" w14:textId="77777777" w:rsidR="0027585B" w:rsidRPr="00650C72" w:rsidRDefault="0027585B" w:rsidP="0027585B">
      <w:pPr>
        <w:spacing w:before="100" w:beforeAutospacing="1" w:after="100" w:afterAutospacing="1"/>
        <w:rPr>
          <w:rFonts w:ascii="Simplified Arabic" w:hAnsi="Simplified Arabic" w:cs="Simplified Arabic"/>
          <w:color w:val="000000" w:themeColor="text1"/>
          <w:szCs w:val="28"/>
          <w:rtl/>
        </w:rPr>
      </w:pPr>
      <w:r w:rsidRPr="00650C72">
        <w:rPr>
          <w:rFonts w:ascii="Simplified Arabic" w:hAnsi="Simplified Arabic" w:cs="Simplified Arabic"/>
          <w:color w:val="000000" w:themeColor="text1"/>
          <w:szCs w:val="28"/>
          <w:rtl/>
        </w:rPr>
        <w:br w:type="page"/>
      </w:r>
    </w:p>
    <w:p w14:paraId="747CD5B8" w14:textId="77777777" w:rsidR="0027585B" w:rsidRPr="00650C72" w:rsidRDefault="0027585B" w:rsidP="0027585B">
      <w:pPr>
        <w:spacing w:before="100" w:beforeAutospacing="1" w:after="100" w:afterAutospacing="1"/>
        <w:ind w:left="-2" w:hanging="14"/>
        <w:rPr>
          <w:rFonts w:ascii="Simplified Arabic" w:hAnsi="Simplified Arabic" w:cs="Simplified Arabic"/>
          <w:b/>
          <w:bCs/>
          <w:color w:val="000000" w:themeColor="text1"/>
          <w:sz w:val="36"/>
          <w:szCs w:val="36"/>
          <w:rtl/>
        </w:rPr>
      </w:pPr>
      <w:r w:rsidRPr="00650C72">
        <w:rPr>
          <w:rFonts w:ascii="Simplified Arabic" w:hAnsi="Simplified Arabic" w:cs="Simplified Arabic"/>
          <w:b/>
          <w:bCs/>
          <w:color w:val="000000" w:themeColor="text1"/>
          <w:sz w:val="36"/>
          <w:szCs w:val="36"/>
          <w:rtl/>
        </w:rPr>
        <w:lastRenderedPageBreak/>
        <w:t xml:space="preserve">أولا: البيــانــات الشخصية  </w:t>
      </w:r>
    </w:p>
    <w:p w14:paraId="741FFA7D" w14:textId="77777777"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hAnsi="Simplified Arabic" w:cs="Simplified Arabic"/>
          <w:b/>
          <w:bCs/>
          <w:color w:val="000000" w:themeColor="text1"/>
          <w:sz w:val="28"/>
          <w:szCs w:val="28"/>
          <w:rtl/>
        </w:rPr>
        <w:t>النوع الاجتماعي</w:t>
      </w:r>
      <w:r w:rsidRPr="00650C72">
        <w:rPr>
          <w:rFonts w:ascii="Simplified Arabic" w:hAnsi="Simplified Arabic" w:cs="Simplified Arabic"/>
          <w:color w:val="000000" w:themeColor="text1"/>
          <w:sz w:val="28"/>
          <w:szCs w:val="28"/>
          <w:rtl/>
        </w:rPr>
        <w:t xml:space="preserve"> </w:t>
      </w:r>
      <w:r w:rsidRPr="00650C72">
        <w:rPr>
          <w:rFonts w:ascii="Simplified Arabic" w:hAnsi="Simplified Arabic" w:cs="Simplified Arabic"/>
          <w:color w:val="000000" w:themeColor="text1"/>
          <w:sz w:val="28"/>
          <w:szCs w:val="28"/>
          <w:rtl/>
        </w:rPr>
        <w:tab/>
        <w:t xml:space="preserve"> </w:t>
      </w:r>
      <w:r w:rsidRPr="00650C72">
        <w:rPr>
          <w:rFonts w:ascii="Simplified Arabic" w:hAnsi="Simplified Arabic" w:cs="Simplified Arabic"/>
          <w:color w:val="000000" w:themeColor="text1"/>
          <w:sz w:val="28"/>
          <w:szCs w:val="28"/>
          <w:rtl/>
        </w:rPr>
        <w:t xml:space="preserve">ذكر         </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أنثي</w:t>
      </w:r>
    </w:p>
    <w:p w14:paraId="09D976FD" w14:textId="77777777" w:rsidR="0027585B" w:rsidRPr="00650C72" w:rsidRDefault="0027585B" w:rsidP="0027585B">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6B678D6" w14:textId="77777777"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eastAsia="Times New Roman" w:hAnsi="Simplified Arabic" w:cs="Simplified Arabic"/>
          <w:color w:val="000000" w:themeColor="text1"/>
          <w:sz w:val="28"/>
          <w:szCs w:val="28"/>
          <w:rtl/>
          <w14:ligatures w14:val="none"/>
        </w:rPr>
        <w:t>العمر</w:t>
      </w:r>
      <w:r w:rsidRPr="00650C72">
        <w:rPr>
          <w:rFonts w:ascii="Simplified Arabic" w:eastAsia="Times New Roman" w:hAnsi="Simplified Arabic" w:cs="Simplified Arabic"/>
          <w:color w:val="000000" w:themeColor="text1"/>
          <w:sz w:val="28"/>
          <w:szCs w:val="28"/>
          <w:rtl/>
          <w14:ligatures w14:val="none"/>
        </w:rPr>
        <w:tab/>
        <w:t xml:space="preserve">  </w:t>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w:t>
      </w:r>
      <w:r w:rsidRPr="00650C72">
        <w:rPr>
          <w:rFonts w:ascii="Simplified Arabic" w:eastAsia="Times New Roman" w:hAnsi="Simplified Arabic" w:cs="Simplified Arabic"/>
          <w:color w:val="000000" w:themeColor="text1"/>
          <w:sz w:val="28"/>
          <w:szCs w:val="28"/>
          <w14:ligatures w14:val="none"/>
        </w:rPr>
        <w:t xml:space="preserve"> 30 </w:t>
      </w:r>
      <w:r w:rsidRPr="00650C72">
        <w:rPr>
          <w:rFonts w:ascii="Simplified Arabic" w:eastAsia="Times New Roman" w:hAnsi="Simplified Arabic" w:cs="Simplified Arabic"/>
          <w:color w:val="000000" w:themeColor="text1"/>
          <w:sz w:val="28"/>
          <w:szCs w:val="28"/>
          <w:rtl/>
          <w14:ligatures w14:val="none"/>
        </w:rPr>
        <w:t>سنة فأقل</w:t>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 xml:space="preserve">من </w:t>
      </w:r>
      <w:r w:rsidRPr="00650C72">
        <w:rPr>
          <w:rFonts w:ascii="Simplified Arabic" w:eastAsia="Times New Roman" w:hAnsi="Simplified Arabic" w:cs="Simplified Arabic"/>
          <w:color w:val="000000" w:themeColor="text1"/>
          <w:sz w:val="28"/>
          <w:szCs w:val="28"/>
          <w14:ligatures w14:val="none"/>
        </w:rPr>
        <w:t xml:space="preserve">30 – 40 </w:t>
      </w:r>
      <w:r w:rsidRPr="00650C72">
        <w:rPr>
          <w:rFonts w:ascii="Simplified Arabic" w:eastAsia="Times New Roman" w:hAnsi="Simplified Arabic" w:cs="Simplified Arabic"/>
          <w:color w:val="000000" w:themeColor="text1"/>
          <w:sz w:val="28"/>
          <w:szCs w:val="28"/>
          <w:rtl/>
          <w14:ligatures w14:val="none"/>
        </w:rPr>
        <w:t>سنة</w:t>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Pr>
        <w:tab/>
      </w:r>
      <w:r w:rsidRPr="00650C72">
        <w:rPr>
          <w:rFonts w:ascii="Simplified Arabic" w:hAnsi="Simplified Arabic" w:cs="Simplified Arabic"/>
          <w:color w:val="000000" w:themeColor="text1"/>
          <w:sz w:val="28"/>
          <w:szCs w:val="28"/>
        </w:rPr>
        <w:tab/>
      </w:r>
      <w:r w:rsidRPr="00650C72">
        <w:rPr>
          <w:rFonts w:ascii="Simplified Arabic" w:hAnsi="Simplified Arabic" w:cs="Simplified Arabic"/>
          <w:color w:val="000000" w:themeColor="text1"/>
          <w:sz w:val="28"/>
          <w:szCs w:val="28"/>
          <w:rtl/>
        </w:rPr>
        <w:t xml:space="preserve"> </w:t>
      </w:r>
      <w:r w:rsidRPr="00650C72">
        <w:rPr>
          <w:rFonts w:ascii="Simplified Arabic" w:eastAsia="Times New Roman" w:hAnsi="Simplified Arabic" w:cs="Simplified Arabic"/>
          <w:color w:val="000000" w:themeColor="text1"/>
          <w:sz w:val="28"/>
          <w:szCs w:val="28"/>
          <w14:ligatures w14:val="none"/>
        </w:rPr>
        <w:t xml:space="preserve">40 – 50 </w:t>
      </w:r>
      <w:r w:rsidRPr="00650C72">
        <w:rPr>
          <w:rFonts w:ascii="Simplified Arabic" w:eastAsia="Times New Roman" w:hAnsi="Simplified Arabic" w:cs="Simplified Arabic"/>
          <w:color w:val="000000" w:themeColor="text1"/>
          <w:sz w:val="28"/>
          <w:szCs w:val="28"/>
          <w:rtl/>
          <w14:ligatures w14:val="none"/>
        </w:rPr>
        <w:t>سنة</w:t>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xml:space="preserve"> </w:t>
      </w:r>
      <w:r w:rsidRPr="00650C72">
        <w:rPr>
          <w:rFonts w:ascii="Simplified Arabic" w:eastAsia="Times New Roman" w:hAnsi="Simplified Arabic" w:cs="Simplified Arabic"/>
          <w:color w:val="000000" w:themeColor="text1"/>
          <w:sz w:val="28"/>
          <w:szCs w:val="28"/>
          <w:rtl/>
        </w:rPr>
        <w:t xml:space="preserve">من </w:t>
      </w:r>
      <w:r w:rsidRPr="00650C72">
        <w:rPr>
          <w:rFonts w:ascii="Simplified Arabic" w:eastAsia="Times New Roman" w:hAnsi="Simplified Arabic" w:cs="Simplified Arabic"/>
          <w:color w:val="000000" w:themeColor="text1"/>
          <w:sz w:val="28"/>
          <w:szCs w:val="28"/>
          <w:lang w:eastAsia="ar-SA" w:bidi="ar-EG"/>
          <w14:ligatures w14:val="none"/>
        </w:rPr>
        <w:t>50</w:t>
      </w:r>
      <w:r w:rsidRPr="00650C72">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51469B08" w14:textId="77777777" w:rsidR="0027585B" w:rsidRPr="00650C72" w:rsidRDefault="0027585B" w:rsidP="0027585B">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1CB67453" w14:textId="7E9F6531"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hAnsi="Simplified Arabic" w:cs="Simplified Arabic"/>
          <w:b/>
          <w:bCs/>
          <w:color w:val="000000" w:themeColor="text1"/>
          <w:sz w:val="28"/>
          <w:szCs w:val="28"/>
          <w:rtl/>
        </w:rPr>
        <w:t xml:space="preserve">المؤهل العلمي </w:t>
      </w:r>
      <w:r w:rsidRPr="00650C72">
        <w:rPr>
          <w:rFonts w:ascii="Simplified Arabic" w:hAnsi="Simplified Arabic" w:cs="Simplified Arabic"/>
          <w:b/>
          <w:bCs/>
          <w:color w:val="000000" w:themeColor="text1"/>
          <w:sz w:val="28"/>
          <w:szCs w:val="28"/>
          <w:rtl/>
        </w:rPr>
        <w:tab/>
      </w:r>
      <w:r w:rsidRPr="00650C72">
        <w:rPr>
          <w:rFonts w:ascii="Simplified Arabic" w:hAnsi="Simplified Arabic" w:cs="Simplified Arabic"/>
          <w:color w:val="000000" w:themeColor="text1"/>
          <w:sz w:val="28"/>
          <w:szCs w:val="28"/>
          <w:rtl/>
        </w:rPr>
        <w:t> دبلوم</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xml:space="preserve"> </w:t>
      </w:r>
      <w:r w:rsidRPr="00650C72">
        <w:rPr>
          <w:rFonts w:ascii="Simplified Arabic" w:hAnsi="Simplified Arabic" w:cs="Simplified Arabic"/>
          <w:color w:val="000000" w:themeColor="text1"/>
          <w:sz w:val="28"/>
          <w:szCs w:val="28"/>
          <w:rtl/>
          <w:lang w:bidi="ar-EG"/>
        </w:rPr>
        <w:t>بكالوريوس</w:t>
      </w:r>
      <w:r w:rsidR="00650C72" w:rsidRPr="00650C72">
        <w:rPr>
          <w:rFonts w:ascii="Simplified Arabic" w:hAnsi="Simplified Arabic" w:cs="Simplified Arabic"/>
          <w:color w:val="000000" w:themeColor="text1"/>
          <w:sz w:val="28"/>
          <w:szCs w:val="28"/>
          <w:rtl/>
        </w:rPr>
        <w:t xml:space="preserve">  </w:t>
      </w:r>
      <w:r w:rsidR="00650C72" w:rsidRPr="00650C72">
        <w:rPr>
          <w:rFonts w:ascii="Simplified Arabic" w:hAnsi="Simplified Arabic" w:cs="Simplified Arabic"/>
          <w:color w:val="000000" w:themeColor="text1"/>
          <w:sz w:val="28"/>
          <w:szCs w:val="28"/>
          <w:rtl/>
        </w:rPr>
        <w:tab/>
      </w:r>
      <w:r w:rsidR="00650C72" w:rsidRPr="00650C72">
        <w:rPr>
          <w:rFonts w:ascii="Simplified Arabic" w:hAnsi="Simplified Arabic" w:cs="Simplified Arabic"/>
          <w:color w:val="000000" w:themeColor="text1"/>
          <w:sz w:val="28"/>
          <w:szCs w:val="28"/>
          <w:rtl/>
        </w:rPr>
        <w:tab/>
      </w:r>
      <w:r w:rsidR="00650C72" w:rsidRPr="00650C72">
        <w:rPr>
          <w:rFonts w:ascii="Simplified Arabic" w:hAnsi="Simplified Arabic" w:cs="Simplified Arabic"/>
          <w:color w:val="000000" w:themeColor="text1"/>
          <w:sz w:val="28"/>
          <w:szCs w:val="28"/>
          <w:rtl/>
        </w:rPr>
        <w:tab/>
      </w:r>
      <w:r w:rsidR="00650C72"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00AF423C">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ماجستير</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xml:space="preserve"> </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دكتوراه</w:t>
      </w:r>
    </w:p>
    <w:p w14:paraId="1E9955A4" w14:textId="77777777" w:rsidR="0027585B" w:rsidRPr="00650C72" w:rsidRDefault="0027585B" w:rsidP="0027585B">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B7744F9" w14:textId="2EFDEEA6"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hAnsi="Simplified Arabic" w:cs="Simplified Arabic"/>
          <w:b/>
          <w:bCs/>
          <w:color w:val="000000" w:themeColor="text1"/>
          <w:sz w:val="28"/>
          <w:szCs w:val="28"/>
          <w:rtl/>
          <w:lang w:bidi="ar-EG"/>
        </w:rPr>
        <w:t>سنوات الخبرة</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eastAsia="Calibri" w:hAnsi="Simplified Arabic" w:cs="Simplified Arabic"/>
          <w:color w:val="000000" w:themeColor="text1"/>
          <w:sz w:val="28"/>
          <w:szCs w:val="28"/>
          <w:rtl/>
        </w:rPr>
        <w:t xml:space="preserve"> </w:t>
      </w:r>
      <w:r w:rsidRPr="00650C72">
        <w:rPr>
          <w:rFonts w:ascii="Simplified Arabic" w:eastAsia="Times New Roman" w:hAnsi="Simplified Arabic" w:cs="Simplified Arabic"/>
          <w:color w:val="000000" w:themeColor="text1"/>
          <w:sz w:val="28"/>
          <w:szCs w:val="28"/>
          <w14:ligatures w14:val="none"/>
        </w:rPr>
        <w:t xml:space="preserve">5 </w:t>
      </w:r>
      <w:r w:rsidRPr="00650C72">
        <w:rPr>
          <w:rFonts w:ascii="Simplified Arabic" w:eastAsia="Times New Roman" w:hAnsi="Simplified Arabic" w:cs="Simplified Arabic"/>
          <w:color w:val="000000" w:themeColor="text1"/>
          <w:sz w:val="28"/>
          <w:szCs w:val="28"/>
          <w:rtl/>
          <w14:ligatures w14:val="none"/>
        </w:rPr>
        <w:t>سنوات فأقل</w:t>
      </w:r>
      <w:r w:rsidRPr="00650C72">
        <w:rPr>
          <w:rFonts w:ascii="Simplified Arabic" w:hAnsi="Simplified Arabic" w:cs="Simplified Arabic"/>
          <w:color w:val="000000" w:themeColor="text1"/>
          <w:sz w:val="28"/>
          <w:szCs w:val="28"/>
          <w:rtl/>
          <w:lang w:bidi="ar-EG"/>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 xml:space="preserve"> </w:t>
      </w:r>
      <w:r w:rsidRPr="00650C72">
        <w:rPr>
          <w:rFonts w:ascii="Simplified Arabic" w:eastAsia="Calibri" w:hAnsi="Simplified Arabic" w:cs="Simplified Arabic"/>
          <w:color w:val="000000" w:themeColor="text1"/>
          <w:sz w:val="28"/>
          <w:szCs w:val="28"/>
          <w:rtl/>
          <w14:ligatures w14:val="none"/>
        </w:rPr>
        <w:t xml:space="preserve">من </w:t>
      </w:r>
      <w:r w:rsidR="00650C72" w:rsidRPr="00650C72">
        <w:rPr>
          <w:rFonts w:ascii="Simplified Arabic" w:eastAsia="Times New Roman" w:hAnsi="Simplified Arabic" w:cs="Simplified Arabic"/>
          <w:color w:val="000000" w:themeColor="text1"/>
          <w:sz w:val="28"/>
          <w:szCs w:val="28"/>
          <w:rtl/>
          <w14:ligatures w14:val="none"/>
        </w:rPr>
        <w:t xml:space="preserve">5 – 10 سنوات </w:t>
      </w:r>
      <w:r w:rsidR="00650C72" w:rsidRPr="00650C72">
        <w:rPr>
          <w:rFonts w:ascii="Simplified Arabic" w:eastAsia="Times New Roman" w:hAnsi="Simplified Arabic" w:cs="Simplified Arabic"/>
          <w:color w:val="000000" w:themeColor="text1"/>
          <w:sz w:val="28"/>
          <w:szCs w:val="28"/>
          <w:rtl/>
          <w14:ligatures w14:val="none"/>
        </w:rPr>
        <w:tab/>
      </w:r>
      <w:r w:rsidR="00650C72" w:rsidRPr="00650C72">
        <w:rPr>
          <w:rFonts w:ascii="Simplified Arabic" w:eastAsia="Times New Roman" w:hAnsi="Simplified Arabic" w:cs="Simplified Arabic"/>
          <w:color w:val="000000" w:themeColor="text1"/>
          <w:sz w:val="28"/>
          <w:szCs w:val="28"/>
          <w:rtl/>
          <w14:ligatures w14:val="none"/>
        </w:rPr>
        <w:tab/>
      </w:r>
      <w:r w:rsidR="00650C72"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Times New Roman" w:hAnsi="Simplified Arabic" w:cs="Simplified Arabic"/>
          <w:color w:val="000000" w:themeColor="text1"/>
          <w:sz w:val="28"/>
          <w:szCs w:val="28"/>
          <w:rtl/>
          <w14:ligatures w14:val="none"/>
        </w:rPr>
        <w:tab/>
      </w:r>
      <w:r w:rsidR="00AF423C">
        <w:rPr>
          <w:rFonts w:ascii="Simplified Arabic" w:eastAsia="Times New Roman" w:hAnsi="Simplified Arabic" w:cs="Simplified Arabic"/>
          <w:color w:val="000000" w:themeColor="text1"/>
          <w:sz w:val="28"/>
          <w:szCs w:val="28"/>
          <w:rtl/>
          <w14:ligatures w14:val="none"/>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w:t>
      </w:r>
      <w:r w:rsidRPr="00650C72">
        <w:rPr>
          <w:rFonts w:ascii="Simplified Arabic" w:eastAsia="Calibri" w:hAnsi="Simplified Arabic" w:cs="Simplified Arabic"/>
          <w:color w:val="000000" w:themeColor="text1"/>
          <w:sz w:val="28"/>
          <w:szCs w:val="28"/>
          <w:rtl/>
          <w14:ligatures w14:val="none"/>
        </w:rPr>
        <w:t xml:space="preserve">من </w:t>
      </w:r>
      <w:r w:rsidRPr="00650C72">
        <w:rPr>
          <w:rFonts w:ascii="Simplified Arabic" w:eastAsia="Times New Roman" w:hAnsi="Simplified Arabic" w:cs="Simplified Arabic"/>
          <w:color w:val="000000" w:themeColor="text1"/>
          <w:sz w:val="28"/>
          <w:szCs w:val="28"/>
          <w:rtl/>
          <w14:ligatures w14:val="none"/>
        </w:rPr>
        <w:t>10 – 15 سنة</w:t>
      </w:r>
      <w:r w:rsidRPr="00650C72">
        <w:rPr>
          <w:rFonts w:ascii="Simplified Arabic" w:eastAsia="Times New Roman" w:hAnsi="Simplified Arabic" w:cs="Simplified Arabic"/>
          <w:color w:val="000000" w:themeColor="text1"/>
          <w:sz w:val="28"/>
          <w:szCs w:val="28"/>
          <w:rtl/>
          <w14:ligatures w14:val="none"/>
        </w:rPr>
        <w:tab/>
      </w:r>
      <w:r w:rsidRPr="00650C72">
        <w:rPr>
          <w:rFonts w:ascii="Simplified Arabic" w:eastAsia="Calibri" w:hAnsi="Simplified Arabic" w:cs="Simplified Arabic"/>
          <w:color w:val="000000" w:themeColor="text1"/>
          <w:sz w:val="28"/>
          <w:szCs w:val="28"/>
          <w:rtl/>
        </w:rPr>
        <w:tab/>
      </w:r>
      <w:r w:rsidRPr="00650C72">
        <w:rPr>
          <w:rFonts w:ascii="Simplified Arabic" w:eastAsia="Calibri"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eastAsia="Times New Roman" w:hAnsi="Simplified Arabic" w:cs="Simplified Arabic"/>
          <w:color w:val="000000" w:themeColor="text1"/>
          <w:sz w:val="28"/>
          <w:szCs w:val="28"/>
          <w:rtl/>
          <w14:ligatures w14:val="none"/>
        </w:rPr>
        <w:t>أكثر من 15 سنة</w:t>
      </w:r>
    </w:p>
    <w:p w14:paraId="100014E4" w14:textId="77777777" w:rsidR="0027585B" w:rsidRPr="00650C72" w:rsidRDefault="0027585B" w:rsidP="0027585B">
      <w:pPr>
        <w:spacing w:before="100" w:beforeAutospacing="1" w:after="100" w:afterAutospacing="1" w:line="276" w:lineRule="auto"/>
        <w:ind w:left="49"/>
        <w:rPr>
          <w:rFonts w:ascii="Simplified Arabic" w:hAnsi="Simplified Arabic" w:cs="Simplified Arabic"/>
          <w:color w:val="000000" w:themeColor="text1"/>
          <w:sz w:val="28"/>
          <w:szCs w:val="28"/>
        </w:rPr>
      </w:pPr>
    </w:p>
    <w:p w14:paraId="04C36B96" w14:textId="04EFCB79"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hAnsi="Simplified Arabic" w:cs="Simplified Arabic" w:hint="cs"/>
          <w:b/>
          <w:bCs/>
          <w:color w:val="000000" w:themeColor="text1"/>
          <w:sz w:val="28"/>
          <w:szCs w:val="28"/>
          <w:rtl/>
          <w:lang w:bidi="ar-EG"/>
        </w:rPr>
        <w:t>المسمى الوظيفي</w:t>
      </w:r>
      <w:r w:rsidRPr="00650C72">
        <w:rPr>
          <w:rFonts w:ascii="Simplified Arabic" w:hAnsi="Simplified Arabic" w:cs="Simplified Arabic"/>
          <w:b/>
          <w:bCs/>
          <w:color w:val="000000" w:themeColor="text1"/>
          <w:sz w:val="28"/>
          <w:szCs w:val="28"/>
          <w:rtl/>
          <w:lang w:bidi="ar-EG"/>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مدير تنفيذي</w:t>
      </w:r>
      <w:r w:rsidRPr="00650C72">
        <w:rPr>
          <w:rFonts w:ascii="Simplified Arabic" w:hAnsi="Simplified Arabic" w:cs="Simplified Arabic"/>
          <w:color w:val="000000" w:themeColor="text1"/>
          <w:sz w:val="28"/>
          <w:szCs w:val="28"/>
          <w:rtl/>
        </w:rPr>
        <w:tab/>
      </w:r>
      <w:r w:rsidR="00AF423C">
        <w:rPr>
          <w:rFonts w:ascii="Simplified Arabic" w:hAnsi="Simplified Arabic" w:cs="Simplified Arabic"/>
          <w:color w:val="000000" w:themeColor="text1"/>
          <w:sz w:val="28"/>
          <w:szCs w:val="28"/>
          <w:rtl/>
        </w:rPr>
        <w:tab/>
      </w:r>
      <w:r w:rsidR="00AF423C">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مدير استثمار</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00650C72"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مديرر تقييم عقاري </w:t>
      </w:r>
      <w:r w:rsidR="00AF423C">
        <w:rPr>
          <w:rFonts w:ascii="Simplified Arabic" w:hAnsi="Simplified Arabic" w:cs="Simplified Arabic"/>
          <w:color w:val="000000" w:themeColor="text1"/>
          <w:sz w:val="28"/>
          <w:szCs w:val="28"/>
          <w:rtl/>
        </w:rPr>
        <w:tab/>
      </w:r>
      <w:r w:rsidR="00AF423C">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محلل استثمار</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00650C72"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مقي</w:t>
      </w:r>
      <w:r w:rsidR="00650C72" w:rsidRPr="00650C72">
        <w:rPr>
          <w:rFonts w:ascii="Simplified Arabic" w:hAnsi="Simplified Arabic" w:cs="Simplified Arabic" w:hint="cs"/>
          <w:color w:val="000000" w:themeColor="text1"/>
          <w:sz w:val="28"/>
          <w:szCs w:val="28"/>
          <w:rtl/>
        </w:rPr>
        <w:t>م</w:t>
      </w:r>
      <w:r w:rsidRPr="00650C72">
        <w:rPr>
          <w:rFonts w:ascii="Simplified Arabic" w:hAnsi="Simplified Arabic" w:cs="Simplified Arabic" w:hint="cs"/>
          <w:color w:val="000000" w:themeColor="text1"/>
          <w:sz w:val="28"/>
          <w:szCs w:val="28"/>
          <w:rtl/>
        </w:rPr>
        <w:t xml:space="preserve"> عقاري معتمد</w:t>
      </w:r>
    </w:p>
    <w:p w14:paraId="422511CC" w14:textId="77777777" w:rsidR="0027585B" w:rsidRPr="00650C72" w:rsidRDefault="0027585B" w:rsidP="0027585B">
      <w:pPr>
        <w:spacing w:before="100" w:beforeAutospacing="1" w:after="100" w:afterAutospacing="1" w:line="276" w:lineRule="auto"/>
        <w:ind w:left="49"/>
        <w:rPr>
          <w:rFonts w:ascii="Simplified Arabic" w:hAnsi="Simplified Arabic" w:cs="Simplified Arabic"/>
          <w:color w:val="000000" w:themeColor="text1"/>
          <w:sz w:val="28"/>
          <w:szCs w:val="28"/>
        </w:rPr>
      </w:pPr>
    </w:p>
    <w:p w14:paraId="2789E198" w14:textId="759D6562" w:rsidR="0027585B" w:rsidRPr="00650C72" w:rsidRDefault="0027585B" w:rsidP="0027585B">
      <w:pPr>
        <w:pStyle w:val="ListParagraph"/>
        <w:numPr>
          <w:ilvl w:val="0"/>
          <w:numId w:val="46"/>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650C72">
        <w:rPr>
          <w:rFonts w:ascii="Simplified Arabic" w:hAnsi="Simplified Arabic" w:cs="Simplified Arabic" w:hint="cs"/>
          <w:b/>
          <w:bCs/>
          <w:color w:val="000000" w:themeColor="text1"/>
          <w:sz w:val="28"/>
          <w:szCs w:val="28"/>
          <w:rtl/>
          <w:lang w:bidi="ar-EG"/>
        </w:rPr>
        <w:t>حجم الشركة</w:t>
      </w:r>
      <w:r w:rsidRPr="00650C72">
        <w:rPr>
          <w:rFonts w:ascii="Simplified Arabic" w:hAnsi="Simplified Arabic" w:cs="Simplified Arabic"/>
          <w:b/>
          <w:bCs/>
          <w:color w:val="000000" w:themeColor="text1"/>
          <w:sz w:val="28"/>
          <w:szCs w:val="28"/>
          <w:rtl/>
          <w:lang w:bidi="ar-EG"/>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كبيرة</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صغيرة</w:t>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00AF423C">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ab/>
      </w:r>
      <w:r w:rsidRPr="00650C72">
        <w:rPr>
          <w:rFonts w:ascii="Simplified Arabic" w:hAnsi="Simplified Arabic" w:cs="Simplified Arabic"/>
          <w:color w:val="000000" w:themeColor="text1"/>
          <w:sz w:val="28"/>
          <w:szCs w:val="28"/>
          <w:rtl/>
        </w:rPr>
        <w:t></w:t>
      </w:r>
      <w:r w:rsidRPr="00650C72">
        <w:rPr>
          <w:rFonts w:ascii="Simplified Arabic" w:hAnsi="Simplified Arabic" w:cs="Simplified Arabic" w:hint="cs"/>
          <w:color w:val="000000" w:themeColor="text1"/>
          <w:sz w:val="28"/>
          <w:szCs w:val="28"/>
          <w:rtl/>
        </w:rPr>
        <w:t xml:space="preserve"> مت</w:t>
      </w:r>
      <w:r w:rsidR="00AF423C">
        <w:rPr>
          <w:rFonts w:ascii="Simplified Arabic" w:hAnsi="Simplified Arabic" w:cs="Simplified Arabic" w:hint="cs"/>
          <w:color w:val="000000" w:themeColor="text1"/>
          <w:sz w:val="28"/>
          <w:szCs w:val="28"/>
          <w:rtl/>
        </w:rPr>
        <w:t>وسطة</w:t>
      </w:r>
      <w:bookmarkStart w:id="82" w:name="_GoBack"/>
      <w:bookmarkEnd w:id="82"/>
    </w:p>
    <w:p w14:paraId="299E00D7" w14:textId="77777777" w:rsidR="0027585B" w:rsidRPr="00650C72" w:rsidRDefault="0027585B" w:rsidP="0027585B">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7B66E223" w14:textId="77777777" w:rsidR="0027585B" w:rsidRPr="00650C72" w:rsidRDefault="0027585B" w:rsidP="0027585B">
      <w:pPr>
        <w:pStyle w:val="ListParagraph"/>
        <w:spacing w:before="100" w:beforeAutospacing="1" w:after="100" w:afterAutospacing="1"/>
        <w:ind w:left="2880"/>
        <w:contextualSpacing w:val="0"/>
        <w:rPr>
          <w:rFonts w:ascii="Simplified Arabic" w:hAnsi="Simplified Arabic" w:cs="Simplified Arabic"/>
          <w:b/>
          <w:bCs/>
          <w:color w:val="000000" w:themeColor="text1"/>
          <w:szCs w:val="28"/>
          <w:rtl/>
        </w:rPr>
      </w:pPr>
    </w:p>
    <w:p w14:paraId="1DCB33EE" w14:textId="6CCC69FD" w:rsidR="0027585B" w:rsidRPr="00650C72" w:rsidRDefault="0027585B" w:rsidP="0027585B">
      <w:pPr>
        <w:spacing w:before="100" w:beforeAutospacing="1" w:after="100" w:afterAutospacing="1" w:line="276" w:lineRule="auto"/>
        <w:rPr>
          <w:rFonts w:ascii="Simplified Arabic" w:hAnsi="Simplified Arabic" w:cs="Simplified Arabic"/>
          <w:color w:val="000000" w:themeColor="text1"/>
          <w:szCs w:val="28"/>
          <w:rtl/>
        </w:rPr>
      </w:pPr>
      <w:r w:rsidRPr="00650C72">
        <w:rPr>
          <w:rFonts w:ascii="Simplified Arabic" w:hAnsi="Simplified Arabic" w:cs="Simplified Arabic"/>
          <w:color w:val="000000" w:themeColor="text1"/>
          <w:szCs w:val="28"/>
          <w:rtl/>
        </w:rPr>
        <w:br w:type="page"/>
      </w:r>
      <w:r w:rsidRPr="00650C72">
        <w:rPr>
          <w:rFonts w:ascii="Simplified Arabic" w:hAnsi="Simplified Arabic" w:cs="Simplified Arabic"/>
          <w:b/>
          <w:bCs/>
          <w:color w:val="000000" w:themeColor="text1"/>
          <w:sz w:val="36"/>
          <w:szCs w:val="36"/>
          <w:rtl/>
        </w:rPr>
        <w:lastRenderedPageBreak/>
        <w:t xml:space="preserve">ثانيا محاور الاستبيان  </w:t>
      </w:r>
    </w:p>
    <w:p w14:paraId="1793ED1B" w14:textId="30DA659B" w:rsidR="0027585B" w:rsidRPr="00650C72" w:rsidRDefault="0027585B" w:rsidP="0027585B">
      <w:pPr>
        <w:pStyle w:val="ListParagraph"/>
        <w:numPr>
          <w:ilvl w:val="0"/>
          <w:numId w:val="47"/>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650C72">
        <w:rPr>
          <w:rFonts w:ascii="Simplified Arabic" w:hAnsi="Simplified Arabic" w:cs="Simplified Arabic"/>
          <w:b/>
          <w:bCs/>
          <w:color w:val="000000" w:themeColor="text1"/>
          <w:sz w:val="32"/>
          <w:szCs w:val="32"/>
          <w:rtl/>
        </w:rPr>
        <w:t xml:space="preserve">المحور الأول: </w:t>
      </w:r>
      <w:r w:rsidRPr="00650C72">
        <w:rPr>
          <w:rFonts w:ascii="Simplified Arabic" w:eastAsia="Times New Roman" w:hAnsi="Simplified Arabic" w:cs="Simplified Arabic" w:hint="cs"/>
          <w:b/>
          <w:bCs/>
          <w:color w:val="000000" w:themeColor="text1"/>
          <w:sz w:val="32"/>
          <w:szCs w:val="32"/>
          <w:rtl/>
          <w:lang w:bidi="ar-JO"/>
          <w14:ligatures w14:val="none"/>
        </w:rPr>
        <w:t>أدوات الذكاء الاصطناعي</w:t>
      </w:r>
      <w:r w:rsidR="00650C72" w:rsidRPr="00650C72">
        <w:rPr>
          <w:rFonts w:ascii="Simplified Arabic" w:eastAsia="Times New Roman" w:hAnsi="Simplified Arabic" w:cs="Simplified Arabic" w:hint="cs"/>
          <w:b/>
          <w:bCs/>
          <w:color w:val="000000" w:themeColor="text1"/>
          <w:sz w:val="32"/>
          <w:szCs w:val="32"/>
          <w:rtl/>
          <w:lang w:bidi="ar-JO"/>
          <w14:ligatures w14:val="none"/>
        </w:rPr>
        <w:t xml:space="preserve"> في التقييم العقاري</w:t>
      </w:r>
      <w:r w:rsidRPr="00650C72">
        <w:rPr>
          <w:rFonts w:ascii="Simplified Arabic" w:hAnsi="Simplified Arabic" w:cs="Simplified Arabic"/>
          <w:b/>
          <w:bCs/>
          <w:color w:val="000000" w:themeColor="text1"/>
          <w:sz w:val="32"/>
          <w:szCs w:val="32"/>
          <w:rtl/>
        </w:rPr>
        <w:t>، ضع إشارة (</w:t>
      </w:r>
      <w:r w:rsidRPr="00650C72">
        <w:rPr>
          <w:rFonts w:ascii="Simplified Arabic" w:hAnsi="Simplified Arabic" w:cs="Simplified Arabic"/>
          <w:b/>
          <w:bCs/>
          <w:color w:val="000000" w:themeColor="text1"/>
          <w:sz w:val="32"/>
          <w:szCs w:val="32"/>
        </w:rPr>
        <w:sym w:font="Symbol" w:char="F0D6"/>
      </w:r>
      <w:r w:rsidRPr="00650C72">
        <w:rPr>
          <w:rFonts w:ascii="Simplified Arabic" w:hAnsi="Simplified Arabic" w:cs="Simplified Arabic"/>
          <w:b/>
          <w:bCs/>
          <w:color w:val="000000" w:themeColor="text1"/>
          <w:sz w:val="32"/>
          <w:szCs w:val="32"/>
          <w:rtl/>
        </w:rPr>
        <w:t>) في المربع المناسب لاختيارك:</w:t>
      </w:r>
    </w:p>
    <w:tbl>
      <w:tblPr>
        <w:tblStyle w:val="GridTable6Colorful-Accent1"/>
        <w:bidiVisual/>
        <w:tblW w:w="0" w:type="auto"/>
        <w:tblLook w:val="04A0" w:firstRow="1" w:lastRow="0" w:firstColumn="1" w:lastColumn="0" w:noHBand="0" w:noVBand="1"/>
      </w:tblPr>
      <w:tblGrid>
        <w:gridCol w:w="4716"/>
        <w:gridCol w:w="934"/>
        <w:gridCol w:w="680"/>
        <w:gridCol w:w="717"/>
        <w:gridCol w:w="880"/>
        <w:gridCol w:w="1134"/>
      </w:tblGrid>
      <w:tr w:rsidR="00650C72" w:rsidRPr="00650C72" w14:paraId="4DB0F5EA" w14:textId="77777777" w:rsidTr="00650C7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FBEEC4" w14:textId="77777777"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Calibri" w:hAnsi="Simplified Arabic" w:cs="Simplified Arabic"/>
                <w:color w:val="000000" w:themeColor="text1"/>
                <w:szCs w:val="28"/>
                <w:rtl/>
                <w14:ligatures w14:val="none"/>
              </w:rPr>
              <w:t>البعد</w:t>
            </w:r>
          </w:p>
        </w:tc>
        <w:tc>
          <w:tcPr>
            <w:tcW w:w="0" w:type="auto"/>
            <w:vAlign w:val="center"/>
          </w:tcPr>
          <w:p w14:paraId="7C039364"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أوافق بشدة</w:t>
            </w:r>
          </w:p>
        </w:tc>
        <w:tc>
          <w:tcPr>
            <w:tcW w:w="0" w:type="auto"/>
            <w:vAlign w:val="center"/>
          </w:tcPr>
          <w:p w14:paraId="303A5A64"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أوافق</w:t>
            </w:r>
          </w:p>
        </w:tc>
        <w:tc>
          <w:tcPr>
            <w:tcW w:w="0" w:type="auto"/>
            <w:vAlign w:val="center"/>
          </w:tcPr>
          <w:p w14:paraId="49AA79EE"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محايد</w:t>
            </w:r>
          </w:p>
        </w:tc>
        <w:tc>
          <w:tcPr>
            <w:tcW w:w="0" w:type="auto"/>
            <w:vAlign w:val="center"/>
          </w:tcPr>
          <w:p w14:paraId="2C1483DE"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معارض</w:t>
            </w:r>
          </w:p>
        </w:tc>
        <w:tc>
          <w:tcPr>
            <w:tcW w:w="0" w:type="auto"/>
            <w:vAlign w:val="center"/>
          </w:tcPr>
          <w:p w14:paraId="2A139E69"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650C72">
              <w:rPr>
                <w:rFonts w:ascii="Simplified Arabic" w:hAnsi="Simplified Arabic" w:cs="Simplified Arabic"/>
                <w:color w:val="000000" w:themeColor="text1"/>
                <w:szCs w:val="28"/>
                <w:rtl/>
              </w:rPr>
              <w:t>معارض بشدة</w:t>
            </w:r>
          </w:p>
        </w:tc>
      </w:tr>
      <w:tr w:rsidR="00650C72" w:rsidRPr="00650C72" w14:paraId="24FEC6C8"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D01B161" w14:textId="64473D72" w:rsidR="0027585B" w:rsidRPr="00650C72" w:rsidRDefault="00650C72" w:rsidP="0027585B">
            <w:pPr>
              <w:spacing w:before="100" w:beforeAutospacing="1" w:after="100" w:afterAutospacing="1" w:line="276" w:lineRule="auto"/>
              <w:jc w:val="center"/>
              <w:rPr>
                <w:rFonts w:ascii="Simplified Arabic" w:hAnsi="Simplified Arabic" w:cs="Simplified Arabic"/>
                <w:color w:val="000000" w:themeColor="text1"/>
                <w:szCs w:val="28"/>
                <w:rtl/>
              </w:rPr>
            </w:pPr>
            <w:r w:rsidRPr="00650C72">
              <w:rPr>
                <w:rFonts w:ascii="Simplified Arabic" w:hAnsi="Simplified Arabic" w:cs="Simplified Arabic" w:hint="cs"/>
                <w:color w:val="000000" w:themeColor="text1"/>
                <w:szCs w:val="28"/>
                <w:rtl/>
              </w:rPr>
              <w:t>التحليلات التنبؤية للأسسعار</w:t>
            </w:r>
          </w:p>
        </w:tc>
      </w:tr>
      <w:tr w:rsidR="00650C72" w:rsidRPr="00650C72" w14:paraId="67F15BB5"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1271B2E6" w14:textId="7C57EE40"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توظّف الشركة خوارزميات التعلم الآلي في التنبؤ بأسعار العقارات المستقبلية</w:t>
            </w:r>
          </w:p>
        </w:tc>
        <w:tc>
          <w:tcPr>
            <w:tcW w:w="0" w:type="auto"/>
            <w:vAlign w:val="center"/>
          </w:tcPr>
          <w:p w14:paraId="2EE8DC00"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4CB98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772FF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F78C79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8EAF8B"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3EB1D495"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71D864" w14:textId="545C0788"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التحليلات التنبؤية في استشراف اتجاهات السوق العقاري السعودي بدقة</w:t>
            </w:r>
          </w:p>
        </w:tc>
        <w:tc>
          <w:tcPr>
            <w:tcW w:w="0" w:type="auto"/>
            <w:vAlign w:val="center"/>
          </w:tcPr>
          <w:p w14:paraId="7C876458"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1217316"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48FB38"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DA604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9AD0BFE"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1D9D95F4"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63F1529C" w14:textId="6999D707"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تعتمد الشركة على نماذج تنبؤية تدمج المتغيرات الاقتصادية والديموغرافية في تقدير الأسعار</w:t>
            </w:r>
          </w:p>
        </w:tc>
        <w:tc>
          <w:tcPr>
            <w:tcW w:w="0" w:type="auto"/>
            <w:vAlign w:val="center"/>
          </w:tcPr>
          <w:p w14:paraId="3BFB100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A39359"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5881E5"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57BE962"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B54179"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214C5693"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B0FF23" w14:textId="4DDB1397"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التحليلات التنبؤية للأسعار قراءة إشارات السوق قبل تجسّدها فعلياً</w:t>
            </w:r>
          </w:p>
        </w:tc>
        <w:tc>
          <w:tcPr>
            <w:tcW w:w="0" w:type="auto"/>
            <w:vAlign w:val="center"/>
          </w:tcPr>
          <w:p w14:paraId="3C38C046"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835201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91DB47A"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A1922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708FE0"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013AA10B" w14:textId="77777777" w:rsidTr="00BE259B">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EC330F9" w14:textId="0AAE9788" w:rsidR="00650C72" w:rsidRPr="00650C72" w:rsidRDefault="00650C72" w:rsidP="0027585B">
            <w:pPr>
              <w:spacing w:before="100" w:beforeAutospacing="1" w:after="100" w:afterAutospacing="1" w:line="276" w:lineRule="auto"/>
              <w:jc w:val="center"/>
              <w:rPr>
                <w:rFonts w:ascii="Simplified Arabic" w:hAnsi="Simplified Arabic" w:cs="Simplified Arabic"/>
                <w:color w:val="000000" w:themeColor="text1"/>
                <w:szCs w:val="28"/>
                <w:rtl/>
              </w:rPr>
            </w:pPr>
            <w:r w:rsidRPr="00650C72">
              <w:rPr>
                <w:rFonts w:ascii="Simplified Arabic" w:hAnsi="Simplified Arabic" w:cs="Simplified Arabic" w:hint="cs"/>
                <w:color w:val="000000" w:themeColor="text1"/>
                <w:szCs w:val="28"/>
                <w:rtl/>
              </w:rPr>
              <w:t>نماذج التقييم الآلي</w:t>
            </w:r>
          </w:p>
        </w:tc>
      </w:tr>
      <w:tr w:rsidR="00650C72" w:rsidRPr="00650C72" w14:paraId="1045A657"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4C1C61" w14:textId="61DAD268"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تعتمد الشركة على نماذج التقييم الآلي في إنتاج تقديرات موضوعية للقيمة العقارية</w:t>
            </w:r>
          </w:p>
        </w:tc>
        <w:tc>
          <w:tcPr>
            <w:tcW w:w="0" w:type="auto"/>
            <w:vAlign w:val="center"/>
          </w:tcPr>
          <w:p w14:paraId="5AE98C14"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CAFC91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EC31BF4"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E141EE1"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F1834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4F3AD562"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5627F064" w14:textId="22C6BBF2"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تُوفّر نماذج التقييم الآلي اتساقاً منهجياً في تقارير التقييم داخل الشركة</w:t>
            </w:r>
          </w:p>
        </w:tc>
        <w:tc>
          <w:tcPr>
            <w:tcW w:w="0" w:type="auto"/>
            <w:vAlign w:val="center"/>
          </w:tcPr>
          <w:p w14:paraId="553E166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EF353B"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8D9E5E8"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A55EE70"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A933F4"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1067DFA9"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D4A356" w14:textId="3D24F66D"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تُعالج نماذج التقييم الآلي العقارات ذات الخصائص غير النمطية بكفاءة</w:t>
            </w:r>
          </w:p>
        </w:tc>
        <w:tc>
          <w:tcPr>
            <w:tcW w:w="0" w:type="auto"/>
            <w:vAlign w:val="center"/>
          </w:tcPr>
          <w:p w14:paraId="268ACCA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DA9F54"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F1F1FE0"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169D5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9F82C0"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39CE47B9"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0652054E" w14:textId="4E0E8053"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تُقلّص نماذج التقييم الآلي زمن إعداد تقارير التقييم مقارنة بالطرق التقليدية</w:t>
            </w:r>
          </w:p>
        </w:tc>
        <w:tc>
          <w:tcPr>
            <w:tcW w:w="0" w:type="auto"/>
            <w:vAlign w:val="center"/>
          </w:tcPr>
          <w:p w14:paraId="13A23FE7"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7A4E18"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912CC01"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2921A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FD9F1F"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5541B347" w14:textId="77777777" w:rsidTr="00890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BD6A9EC" w14:textId="5A9C0BF3" w:rsidR="00650C72" w:rsidRPr="00650C72" w:rsidRDefault="00650C72" w:rsidP="0027585B">
            <w:pPr>
              <w:spacing w:before="100" w:beforeAutospacing="1" w:after="100" w:afterAutospacing="1" w:line="276" w:lineRule="auto"/>
              <w:jc w:val="center"/>
              <w:rPr>
                <w:rFonts w:ascii="Simplified Arabic" w:hAnsi="Simplified Arabic" w:cs="Simplified Arabic"/>
                <w:color w:val="000000" w:themeColor="text1"/>
                <w:szCs w:val="28"/>
                <w:rtl/>
              </w:rPr>
            </w:pPr>
            <w:r w:rsidRPr="00650C72">
              <w:rPr>
                <w:rFonts w:ascii="Simplified Arabic" w:hAnsi="Simplified Arabic" w:cs="Simplified Arabic" w:hint="cs"/>
                <w:color w:val="000000" w:themeColor="text1"/>
                <w:szCs w:val="28"/>
                <w:rtl/>
              </w:rPr>
              <w:t>تحليل البيانات الضخمة العقارية</w:t>
            </w:r>
          </w:p>
        </w:tc>
      </w:tr>
      <w:tr w:rsidR="00650C72" w:rsidRPr="00650C72" w14:paraId="5402B9E8"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1710220E" w14:textId="45B7A1EC"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lastRenderedPageBreak/>
              <w:t>تُوظّف الشركة تقنيات معالجة البيانات الضخمة في تحليل السوق العقاري</w:t>
            </w:r>
          </w:p>
        </w:tc>
        <w:tc>
          <w:tcPr>
            <w:tcW w:w="0" w:type="auto"/>
            <w:vAlign w:val="center"/>
          </w:tcPr>
          <w:p w14:paraId="60F7213D"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C31D2C"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F42C5B2"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FA73E03"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02FF22"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4E850E4B"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E1231" w14:textId="30CBB71F"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البيانات الضخمة رصد الأنماط الخفية في سلوك السوق العقاري</w:t>
            </w:r>
          </w:p>
        </w:tc>
        <w:tc>
          <w:tcPr>
            <w:tcW w:w="0" w:type="auto"/>
            <w:vAlign w:val="center"/>
          </w:tcPr>
          <w:p w14:paraId="138C9F3F"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C5E544"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F9301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B648F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C19A2BE"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1643BB5F"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047FF6CE" w14:textId="123CF8AE"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تدمج الشركة مصادر بيانات متعددة (حكومية، سوقية، جغرافية) في منظومتها التحليلية</w:t>
            </w:r>
          </w:p>
        </w:tc>
        <w:tc>
          <w:tcPr>
            <w:tcW w:w="0" w:type="auto"/>
            <w:vAlign w:val="center"/>
          </w:tcPr>
          <w:p w14:paraId="3C2BFE66"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CB666B"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C250F21"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C2535C"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04B940"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2168F464"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02CCD1" w14:textId="481CEB93" w:rsidR="00650C72" w:rsidRPr="00650C72" w:rsidRDefault="00650C72" w:rsidP="00650C7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البيانات الضخمة في تحديد المناطق ذات الإمكانات الاستثمارية العالية</w:t>
            </w:r>
          </w:p>
        </w:tc>
        <w:tc>
          <w:tcPr>
            <w:tcW w:w="0" w:type="auto"/>
            <w:vAlign w:val="center"/>
          </w:tcPr>
          <w:p w14:paraId="627813C3"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39B15A1"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9989A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4255B6"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DEE7A2"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211E419A" w14:textId="77777777" w:rsidTr="006052C6">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DBA5A11" w14:textId="4B09C64D" w:rsidR="00650C72" w:rsidRPr="00650C72" w:rsidRDefault="00650C72" w:rsidP="00650C72">
            <w:pPr>
              <w:spacing w:before="100" w:beforeAutospacing="1" w:after="100" w:afterAutospacing="1" w:line="276" w:lineRule="auto"/>
              <w:jc w:val="center"/>
              <w:rPr>
                <w:rFonts w:ascii="Simplified Arabic" w:hAnsi="Simplified Arabic" w:cs="Simplified Arabic"/>
                <w:color w:val="000000" w:themeColor="text1"/>
                <w:szCs w:val="28"/>
                <w:rtl/>
              </w:rPr>
            </w:pPr>
            <w:r w:rsidRPr="00650C72">
              <w:rPr>
                <w:rFonts w:ascii="Simplified Arabic" w:hAnsi="Simplified Arabic" w:cs="Simplified Arabic" w:hint="cs"/>
                <w:color w:val="000000" w:themeColor="text1"/>
                <w:szCs w:val="28"/>
                <w:rtl/>
              </w:rPr>
              <w:t>أنظمة دعم القرار الذكية</w:t>
            </w:r>
          </w:p>
        </w:tc>
      </w:tr>
      <w:tr w:rsidR="00650C72" w:rsidRPr="00650C72" w14:paraId="45D9C091"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F6C684" w14:textId="359BA8DC" w:rsidR="00650C72" w:rsidRPr="00650C72" w:rsidRDefault="00650C72" w:rsidP="00650C72">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تُقدّم أنظمة دعم القرار الذكية توصيات محددة مصحوبة بتقييم للمخاطر</w:t>
            </w:r>
          </w:p>
        </w:tc>
        <w:tc>
          <w:tcPr>
            <w:tcW w:w="0" w:type="auto"/>
            <w:vAlign w:val="center"/>
          </w:tcPr>
          <w:p w14:paraId="632A8A6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20C39BA"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A0F8A22"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33140B"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F94ADBB"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578959A9"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5C356F64" w14:textId="2FA9D27F" w:rsidR="00650C72" w:rsidRPr="00650C72" w:rsidRDefault="00650C72" w:rsidP="00650C72">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الأنظمة الذكية مقارنة البدائل الاستثمارية وفق معايير متعددة</w:t>
            </w:r>
          </w:p>
        </w:tc>
        <w:tc>
          <w:tcPr>
            <w:tcW w:w="0" w:type="auto"/>
            <w:vAlign w:val="center"/>
          </w:tcPr>
          <w:p w14:paraId="08FF37B5"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208CF34"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01DD6C"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D9868C7"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F86D63"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63004800" w14:textId="77777777" w:rsidTr="00650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7493E0" w14:textId="20FD0C0F" w:rsidR="00650C72" w:rsidRPr="00650C72" w:rsidRDefault="00650C72" w:rsidP="00650C72">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تُوفّر الأنظمة الذكية سيناريوهات مستقبلية بديلة تدعم صناعة القرار</w:t>
            </w:r>
          </w:p>
        </w:tc>
        <w:tc>
          <w:tcPr>
            <w:tcW w:w="0" w:type="auto"/>
            <w:vAlign w:val="center"/>
          </w:tcPr>
          <w:p w14:paraId="6A59C087"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03BF82D"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AC96DC"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245ED2"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5568385" w14:textId="77777777" w:rsidR="00650C72" w:rsidRPr="00650C72" w:rsidRDefault="00650C72" w:rsidP="00650C7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75CE94F8" w14:textId="77777777" w:rsidTr="00650C72">
        <w:tc>
          <w:tcPr>
            <w:cnfStyle w:val="001000000000" w:firstRow="0" w:lastRow="0" w:firstColumn="1" w:lastColumn="0" w:oddVBand="0" w:evenVBand="0" w:oddHBand="0" w:evenHBand="0" w:firstRowFirstColumn="0" w:firstRowLastColumn="0" w:lastRowFirstColumn="0" w:lastRowLastColumn="0"/>
            <w:tcW w:w="0" w:type="auto"/>
            <w:vAlign w:val="center"/>
          </w:tcPr>
          <w:p w14:paraId="6BE81483" w14:textId="26C45E96" w:rsidR="00650C72" w:rsidRPr="00650C72" w:rsidRDefault="00650C72" w:rsidP="00650C72">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تُسهم أنظمة دعم القرار في هيكلة عملية اتخاذ القرار وتوثيقها</w:t>
            </w:r>
          </w:p>
        </w:tc>
        <w:tc>
          <w:tcPr>
            <w:tcW w:w="0" w:type="auto"/>
            <w:vAlign w:val="center"/>
          </w:tcPr>
          <w:p w14:paraId="4167D934"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048438"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0513A7F"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3E1863"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43A90B7" w14:textId="77777777" w:rsidR="00650C72" w:rsidRPr="00650C72" w:rsidRDefault="00650C72" w:rsidP="00650C7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18D6EEB2" w14:textId="77777777" w:rsidR="0027585B" w:rsidRPr="00650C72" w:rsidRDefault="0027585B" w:rsidP="0027585B">
      <w:pPr>
        <w:tabs>
          <w:tab w:val="right" w:pos="2266"/>
        </w:tabs>
        <w:spacing w:before="100" w:beforeAutospacing="1" w:after="100" w:afterAutospacing="1"/>
        <w:rPr>
          <w:rFonts w:ascii="Simplified Arabic" w:hAnsi="Simplified Arabic" w:cs="Simplified Arabic"/>
          <w:b/>
          <w:bCs/>
          <w:color w:val="000000" w:themeColor="text1"/>
          <w:szCs w:val="28"/>
          <w:rtl/>
        </w:rPr>
      </w:pPr>
    </w:p>
    <w:p w14:paraId="088FF098" w14:textId="77777777" w:rsidR="0027585B" w:rsidRPr="00650C72" w:rsidRDefault="0027585B" w:rsidP="0027585B">
      <w:pPr>
        <w:tabs>
          <w:tab w:val="right" w:pos="2266"/>
        </w:tabs>
        <w:spacing w:before="100" w:beforeAutospacing="1" w:after="100" w:afterAutospacing="1"/>
        <w:rPr>
          <w:rFonts w:ascii="Simplified Arabic" w:hAnsi="Simplified Arabic" w:cs="Simplified Arabic"/>
          <w:b/>
          <w:bCs/>
          <w:color w:val="000000" w:themeColor="text1"/>
          <w:szCs w:val="28"/>
          <w:rtl/>
        </w:rPr>
      </w:pPr>
      <w:r w:rsidRPr="00650C72">
        <w:rPr>
          <w:rFonts w:ascii="Simplified Arabic" w:hAnsi="Simplified Arabic" w:cs="Simplified Arabic"/>
          <w:b/>
          <w:bCs/>
          <w:color w:val="000000" w:themeColor="text1"/>
          <w:szCs w:val="28"/>
          <w:rtl/>
        </w:rPr>
        <w:br w:type="page"/>
      </w:r>
    </w:p>
    <w:p w14:paraId="150DA71A" w14:textId="0C6A29CD" w:rsidR="0027585B" w:rsidRPr="00650C72" w:rsidRDefault="0027585B" w:rsidP="0027585B">
      <w:pPr>
        <w:pStyle w:val="ListParagraph"/>
        <w:numPr>
          <w:ilvl w:val="0"/>
          <w:numId w:val="47"/>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650C72">
        <w:rPr>
          <w:rFonts w:ascii="Simplified Arabic" w:hAnsi="Simplified Arabic" w:cs="Simplified Arabic"/>
          <w:b/>
          <w:bCs/>
          <w:color w:val="000000" w:themeColor="text1"/>
          <w:sz w:val="32"/>
          <w:szCs w:val="32"/>
          <w:rtl/>
        </w:rPr>
        <w:lastRenderedPageBreak/>
        <w:t xml:space="preserve">المحور الثاني: </w:t>
      </w:r>
      <w:r w:rsidRPr="00650C72">
        <w:rPr>
          <w:rFonts w:ascii="Simplified Arabic" w:hAnsi="Simplified Arabic" w:cs="Simplified Arabic" w:hint="cs"/>
          <w:b/>
          <w:bCs/>
          <w:color w:val="000000" w:themeColor="text1"/>
          <w:sz w:val="32"/>
          <w:szCs w:val="32"/>
          <w:rtl/>
        </w:rPr>
        <w:t>جودة القرار الاستثماري</w:t>
      </w:r>
      <w:r w:rsidRPr="00650C72">
        <w:rPr>
          <w:rFonts w:ascii="Simplified Arabic" w:hAnsi="Simplified Arabic" w:cs="Simplified Arabic"/>
          <w:b/>
          <w:bCs/>
          <w:color w:val="000000" w:themeColor="text1"/>
          <w:sz w:val="32"/>
          <w:szCs w:val="32"/>
          <w:rtl/>
        </w:rPr>
        <w:t>، ضع إشارة (</w:t>
      </w:r>
      <w:r w:rsidRPr="00650C72">
        <w:rPr>
          <w:rFonts w:ascii="Simplified Arabic" w:hAnsi="Simplified Arabic" w:cs="Simplified Arabic"/>
          <w:b/>
          <w:bCs/>
          <w:color w:val="000000" w:themeColor="text1"/>
          <w:sz w:val="32"/>
          <w:szCs w:val="32"/>
        </w:rPr>
        <w:sym w:font="Symbol" w:char="F0D6"/>
      </w:r>
      <w:r w:rsidRPr="00650C72">
        <w:rPr>
          <w:rFonts w:ascii="Simplified Arabic" w:hAnsi="Simplified Arabic" w:cs="Simplified Arabic"/>
          <w:b/>
          <w:bCs/>
          <w:color w:val="000000" w:themeColor="text1"/>
          <w:sz w:val="32"/>
          <w:szCs w:val="32"/>
          <w:rtl/>
        </w:rPr>
        <w:t>) في المربع المناسب لاختيارك:</w:t>
      </w:r>
    </w:p>
    <w:tbl>
      <w:tblPr>
        <w:tblStyle w:val="GridTable6Colorful-Accent1"/>
        <w:bidiVisual/>
        <w:tblW w:w="0" w:type="auto"/>
        <w:tblLook w:val="04A0" w:firstRow="1" w:lastRow="0" w:firstColumn="1" w:lastColumn="0" w:noHBand="0" w:noVBand="1"/>
      </w:tblPr>
      <w:tblGrid>
        <w:gridCol w:w="4656"/>
        <w:gridCol w:w="964"/>
        <w:gridCol w:w="680"/>
        <w:gridCol w:w="717"/>
        <w:gridCol w:w="880"/>
        <w:gridCol w:w="1164"/>
      </w:tblGrid>
      <w:tr w:rsidR="00650C72" w:rsidRPr="00650C72" w14:paraId="13D16F71" w14:textId="77777777" w:rsidTr="002758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D0468B" w14:textId="77777777"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Calibri" w:hAnsi="Simplified Arabic" w:cs="Simplified Arabic"/>
                <w:color w:val="000000" w:themeColor="text1"/>
                <w:szCs w:val="28"/>
                <w:rtl/>
                <w14:ligatures w14:val="none"/>
              </w:rPr>
              <w:t>البعد</w:t>
            </w:r>
          </w:p>
        </w:tc>
        <w:tc>
          <w:tcPr>
            <w:tcW w:w="0" w:type="auto"/>
            <w:vAlign w:val="center"/>
          </w:tcPr>
          <w:p w14:paraId="1C2F21E2"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أوافق بشدة</w:t>
            </w:r>
          </w:p>
        </w:tc>
        <w:tc>
          <w:tcPr>
            <w:tcW w:w="0" w:type="auto"/>
            <w:vAlign w:val="center"/>
          </w:tcPr>
          <w:p w14:paraId="57339758"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أوافق</w:t>
            </w:r>
          </w:p>
        </w:tc>
        <w:tc>
          <w:tcPr>
            <w:tcW w:w="0" w:type="auto"/>
            <w:vAlign w:val="center"/>
          </w:tcPr>
          <w:p w14:paraId="7141E64E"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محايد</w:t>
            </w:r>
          </w:p>
        </w:tc>
        <w:tc>
          <w:tcPr>
            <w:tcW w:w="0" w:type="auto"/>
            <w:vAlign w:val="center"/>
          </w:tcPr>
          <w:p w14:paraId="082D284A"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50C72">
              <w:rPr>
                <w:rFonts w:ascii="Simplified Arabic" w:hAnsi="Simplified Arabic" w:cs="Simplified Arabic"/>
                <w:color w:val="000000" w:themeColor="text1"/>
                <w:szCs w:val="28"/>
                <w:rtl/>
              </w:rPr>
              <w:t>معارض</w:t>
            </w:r>
          </w:p>
        </w:tc>
        <w:tc>
          <w:tcPr>
            <w:tcW w:w="0" w:type="auto"/>
            <w:vAlign w:val="center"/>
          </w:tcPr>
          <w:p w14:paraId="476F4C5D" w14:textId="77777777" w:rsidR="0027585B" w:rsidRPr="00650C72" w:rsidRDefault="0027585B" w:rsidP="0027585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650C72">
              <w:rPr>
                <w:rFonts w:ascii="Simplified Arabic" w:hAnsi="Simplified Arabic" w:cs="Simplified Arabic"/>
                <w:color w:val="000000" w:themeColor="text1"/>
                <w:szCs w:val="28"/>
                <w:rtl/>
              </w:rPr>
              <w:t>معارض بشدة</w:t>
            </w:r>
          </w:p>
        </w:tc>
      </w:tr>
      <w:tr w:rsidR="00650C72" w:rsidRPr="00650C72" w14:paraId="41D9830C" w14:textId="77777777" w:rsidTr="00275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7102ED" w14:textId="2F10AE1A"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تتّسم القرارات الاستثمارية العقارية في الشركة بالدقة العالية في تقدير القيم</w:t>
            </w:r>
          </w:p>
        </w:tc>
        <w:tc>
          <w:tcPr>
            <w:tcW w:w="0" w:type="auto"/>
            <w:vAlign w:val="center"/>
          </w:tcPr>
          <w:p w14:paraId="778A11D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DC4E57"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CB6073E"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40B2B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315AEA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51D81B99" w14:textId="77777777" w:rsidTr="0027585B">
        <w:tc>
          <w:tcPr>
            <w:cnfStyle w:val="001000000000" w:firstRow="0" w:lastRow="0" w:firstColumn="1" w:lastColumn="0" w:oddVBand="0" w:evenVBand="0" w:oddHBand="0" w:evenHBand="0" w:firstRowFirstColumn="0" w:firstRowLastColumn="0" w:lastRowFirstColumn="0" w:lastRowLastColumn="0"/>
            <w:tcW w:w="0" w:type="auto"/>
            <w:vAlign w:val="center"/>
          </w:tcPr>
          <w:p w14:paraId="184A8B26" w14:textId="2DF3E494"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تُتّخذ القرارات الاستثمارية في الشركة بسرعة تُتيح اقتناص الفرص السوقية</w:t>
            </w:r>
          </w:p>
        </w:tc>
        <w:tc>
          <w:tcPr>
            <w:tcW w:w="0" w:type="auto"/>
            <w:vAlign w:val="center"/>
          </w:tcPr>
          <w:p w14:paraId="7EC8DDD5"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F33AF2"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0295EC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26FFA5"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2A2B9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4B08B7F2" w14:textId="77777777" w:rsidTr="00275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463855" w14:textId="0094C009"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تراعي القرارات الاستثمارية في الشركة شمولية العوامل المؤثرة في المشروع</w:t>
            </w:r>
          </w:p>
        </w:tc>
        <w:tc>
          <w:tcPr>
            <w:tcW w:w="0" w:type="auto"/>
            <w:vAlign w:val="center"/>
          </w:tcPr>
          <w:p w14:paraId="71EBD1A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D68CB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7E055E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44CD65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C78366"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7A5A797E" w14:textId="77777777" w:rsidTr="0027585B">
        <w:tc>
          <w:tcPr>
            <w:cnfStyle w:val="001000000000" w:firstRow="0" w:lastRow="0" w:firstColumn="1" w:lastColumn="0" w:oddVBand="0" w:evenVBand="0" w:oddHBand="0" w:evenHBand="0" w:firstRowFirstColumn="0" w:firstRowLastColumn="0" w:lastRowFirstColumn="0" w:lastRowLastColumn="0"/>
            <w:tcW w:w="0" w:type="auto"/>
            <w:vAlign w:val="center"/>
          </w:tcPr>
          <w:p w14:paraId="32ED8831" w14:textId="6597CA92"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تُسهم القرارات الاستثمارية في الشركة في تقليل المخاطر المالية بفاعلية</w:t>
            </w:r>
          </w:p>
        </w:tc>
        <w:tc>
          <w:tcPr>
            <w:tcW w:w="0" w:type="auto"/>
            <w:vAlign w:val="center"/>
          </w:tcPr>
          <w:p w14:paraId="5D8E8EB3"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054D22"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6CDE9B"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2A49E34"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055E5B8"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3C14313A" w14:textId="77777777" w:rsidTr="00275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A9DECD" w14:textId="0B4330D0"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تُحقّق القرارات الاستثمارية في الشركة ترشيداً واضحاً للموارد المالية والبشرية</w:t>
            </w:r>
          </w:p>
        </w:tc>
        <w:tc>
          <w:tcPr>
            <w:tcW w:w="0" w:type="auto"/>
            <w:vAlign w:val="center"/>
          </w:tcPr>
          <w:p w14:paraId="2AD538FD"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F80592"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5FA8CB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7F4A6FE"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FB70A5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76E24670" w14:textId="77777777" w:rsidTr="0027585B">
        <w:tc>
          <w:tcPr>
            <w:cnfStyle w:val="001000000000" w:firstRow="0" w:lastRow="0" w:firstColumn="1" w:lastColumn="0" w:oddVBand="0" w:evenVBand="0" w:oddHBand="0" w:evenHBand="0" w:firstRowFirstColumn="0" w:firstRowLastColumn="0" w:lastRowFirstColumn="0" w:lastRowLastColumn="0"/>
            <w:tcW w:w="0" w:type="auto"/>
            <w:vAlign w:val="center"/>
          </w:tcPr>
          <w:p w14:paraId="0D9DC76F" w14:textId="2BB45E7A"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تتّسم القرارات الاستثمارية في الشركة بالموضوعية والتحرر من التحيّزات الشخصية</w:t>
            </w:r>
          </w:p>
        </w:tc>
        <w:tc>
          <w:tcPr>
            <w:tcW w:w="0" w:type="auto"/>
            <w:vAlign w:val="center"/>
          </w:tcPr>
          <w:p w14:paraId="78F8994E"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41E3713"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633C9EA"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D5F325"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9DDA3D0"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45FE237B" w14:textId="77777777" w:rsidTr="00275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ECB7D2" w14:textId="419929AA"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تستند القرارات الاستثمارية في الشركة إلى بيانات موثّقة ومحلّلة علمياً</w:t>
            </w:r>
          </w:p>
        </w:tc>
        <w:tc>
          <w:tcPr>
            <w:tcW w:w="0" w:type="auto"/>
            <w:vAlign w:val="center"/>
          </w:tcPr>
          <w:p w14:paraId="4754E13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E509A01"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30D37C"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D2DFB97"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198488"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0178762F" w14:textId="77777777" w:rsidTr="0027585B">
        <w:tc>
          <w:tcPr>
            <w:cnfStyle w:val="001000000000" w:firstRow="0" w:lastRow="0" w:firstColumn="1" w:lastColumn="0" w:oddVBand="0" w:evenVBand="0" w:oddHBand="0" w:evenHBand="0" w:firstRowFirstColumn="0" w:firstRowLastColumn="0" w:lastRowFirstColumn="0" w:lastRowLastColumn="0"/>
            <w:tcW w:w="0" w:type="auto"/>
            <w:vAlign w:val="center"/>
          </w:tcPr>
          <w:p w14:paraId="364171A6" w14:textId="2BE03334"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تنسجم القرارات الاستثمارية في الشركة مع التوجه الإستراتيجي طويل المدى</w:t>
            </w:r>
          </w:p>
        </w:tc>
        <w:tc>
          <w:tcPr>
            <w:tcW w:w="0" w:type="auto"/>
            <w:vAlign w:val="center"/>
          </w:tcPr>
          <w:p w14:paraId="07B1B4CA"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77167CC"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A7E2B6"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7B145A6"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C9A981"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0C6C1DA1" w14:textId="77777777" w:rsidTr="00275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6E1DEB" w14:textId="53192091"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تُتيح القرارات الاستثمارية في الشركة استيعاب البدائل المتاحة قبل الاختيار</w:t>
            </w:r>
          </w:p>
        </w:tc>
        <w:tc>
          <w:tcPr>
            <w:tcW w:w="0" w:type="auto"/>
            <w:vAlign w:val="center"/>
          </w:tcPr>
          <w:p w14:paraId="2C7EA753"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1E5E4A9"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81E224"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0CD4225"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D6F285B" w14:textId="77777777" w:rsidR="0027585B" w:rsidRPr="00650C72" w:rsidRDefault="0027585B" w:rsidP="0027585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650C72" w:rsidRPr="00650C72" w14:paraId="0616F3F8" w14:textId="77777777" w:rsidTr="0027585B">
        <w:tc>
          <w:tcPr>
            <w:cnfStyle w:val="001000000000" w:firstRow="0" w:lastRow="0" w:firstColumn="1" w:lastColumn="0" w:oddVBand="0" w:evenVBand="0" w:oddHBand="0" w:evenHBand="0" w:firstRowFirstColumn="0" w:firstRowLastColumn="0" w:lastRowFirstColumn="0" w:lastRowLastColumn="0"/>
            <w:tcW w:w="0" w:type="auto"/>
            <w:vAlign w:val="center"/>
          </w:tcPr>
          <w:p w14:paraId="2B782250" w14:textId="060329E1" w:rsidR="0027585B" w:rsidRPr="00650C72" w:rsidRDefault="0027585B" w:rsidP="0027585B">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50C72">
              <w:rPr>
                <w:rFonts w:ascii="Simplified Arabic" w:eastAsia="Times New Roman" w:hAnsi="Simplified Arabic" w:cs="Simplified Arabic"/>
                <w:color w:val="000000" w:themeColor="text1"/>
                <w:kern w:val="0"/>
                <w:sz w:val="28"/>
                <w:szCs w:val="28"/>
                <w:rtl/>
                <w14:ligatures w14:val="none"/>
              </w:rPr>
              <w:t>تعزّز جودة القرارات الاستثمارية المركز التنافسي للشركة في السوق العقاري</w:t>
            </w:r>
          </w:p>
        </w:tc>
        <w:tc>
          <w:tcPr>
            <w:tcW w:w="0" w:type="auto"/>
            <w:vAlign w:val="center"/>
          </w:tcPr>
          <w:p w14:paraId="3AC91BFF"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43E3AC"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8215C0"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893F8B"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0577457" w14:textId="77777777" w:rsidR="0027585B" w:rsidRPr="00650C72" w:rsidRDefault="0027585B" w:rsidP="0027585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bookmarkEnd w:id="74"/>
    <w:bookmarkEnd w:id="75"/>
    <w:p w14:paraId="585BD411" w14:textId="77777777" w:rsidR="0027585B" w:rsidRPr="00650C72" w:rsidRDefault="0027585B" w:rsidP="0027585B">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27585B" w:rsidRPr="00650C72" w:rsidSect="0088241C">
          <w:footerReference w:type="default" r:id="rId35"/>
          <w:pgSz w:w="11906" w:h="16838" w:code="9"/>
          <w:pgMar w:top="1134" w:right="1701" w:bottom="1134" w:left="1134" w:header="720" w:footer="720" w:gutter="0"/>
          <w:pgNumType w:start="1"/>
          <w:cols w:space="708"/>
          <w:bidi/>
          <w:rtlGutter/>
          <w:docGrid w:linePitch="360"/>
        </w:sectPr>
      </w:pPr>
      <w:r w:rsidRPr="00650C72">
        <w:rPr>
          <w:rFonts w:ascii="Simplified Arabic" w:hAnsi="Simplified Arabic" w:cs="Simplified Arabic"/>
          <w:b/>
          <w:bCs/>
          <w:color w:val="000000" w:themeColor="text1"/>
          <w:szCs w:val="28"/>
          <w:rtl/>
        </w:rPr>
        <w:t>مع خالص التقدير والاحترام</w:t>
      </w:r>
      <w:bookmarkEnd w:id="76"/>
    </w:p>
    <w:p w14:paraId="3712FD51" w14:textId="6E8CDDA5" w:rsidR="006E6BDA" w:rsidRPr="00650C72" w:rsidRDefault="006E6BDA" w:rsidP="0007393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50C72">
        <w:rPr>
          <w:rFonts w:asciiTheme="majorBidi" w:hAnsiTheme="majorBidi" w:cstheme="majorBidi"/>
          <w:b/>
          <w:bCs/>
          <w:noProof/>
          <w:color w:val="000000" w:themeColor="text1"/>
          <w:sz w:val="32"/>
          <w:szCs w:val="32"/>
        </w:rPr>
        <w:lastRenderedPageBreak/>
        <w:drawing>
          <wp:anchor distT="0" distB="0" distL="114300" distR="114300" simplePos="0" relativeHeight="251686912" behindDoc="1" locked="0" layoutInCell="1" allowOverlap="1" wp14:anchorId="179D81A2" wp14:editId="00E1DE55">
            <wp:simplePos x="0" y="0"/>
            <wp:positionH relativeFrom="column">
              <wp:posOffset>4194810</wp:posOffset>
            </wp:positionH>
            <wp:positionV relativeFrom="paragraph">
              <wp:posOffset>0</wp:posOffset>
            </wp:positionV>
            <wp:extent cx="1445895" cy="1339215"/>
            <wp:effectExtent l="0" t="0" r="1905" b="0"/>
            <wp:wrapTight wrapText="bothSides">
              <wp:wrapPolygon edited="0">
                <wp:start x="0" y="0"/>
                <wp:lineTo x="0" y="21201"/>
                <wp:lineTo x="21344" y="21201"/>
                <wp:lineTo x="213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45895" cy="1339215"/>
                    </a:xfrm>
                    <a:prstGeom prst="rect">
                      <a:avLst/>
                    </a:prstGeom>
                    <a:noFill/>
                  </pic:spPr>
                </pic:pic>
              </a:graphicData>
            </a:graphic>
            <wp14:sizeRelH relativeFrom="margin">
              <wp14:pctWidth>0</wp14:pctWidth>
            </wp14:sizeRelH>
            <wp14:sizeRelV relativeFrom="margin">
              <wp14:pctHeight>0</wp14:pctHeight>
            </wp14:sizeRelV>
          </wp:anchor>
        </w:drawing>
      </w:r>
      <w:r w:rsidRPr="00650C72">
        <w:rPr>
          <w:rFonts w:asciiTheme="majorBidi" w:eastAsia="Calibri" w:hAnsiTheme="majorBidi" w:cstheme="majorBidi"/>
          <w:b/>
          <w:bCs/>
          <w:color w:val="000000" w:themeColor="text1"/>
          <w:kern w:val="0"/>
          <w:sz w:val="32"/>
          <w:szCs w:val="32"/>
          <w:lang w:bidi="ar-EG"/>
          <w14:ligatures w14:val="none"/>
        </w:rPr>
        <w:t>Mid Ocean University</w:t>
      </w:r>
    </w:p>
    <w:p w14:paraId="4A539B4C" w14:textId="235118D1" w:rsidR="0081623B" w:rsidRPr="00650C72" w:rsidRDefault="0081623B" w:rsidP="0007393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650C72">
        <w:rPr>
          <w:rFonts w:asciiTheme="majorBidi" w:eastAsia="Calibri" w:hAnsiTheme="majorBidi" w:cstheme="majorBidi"/>
          <w:b/>
          <w:bCs/>
          <w:color w:val="000000" w:themeColor="text1"/>
          <w:kern w:val="0"/>
          <w:sz w:val="32"/>
          <w:szCs w:val="32"/>
          <w:lang w:bidi="ar-EG"/>
          <w14:ligatures w14:val="none"/>
        </w:rPr>
        <w:t>College of Management</w:t>
      </w:r>
    </w:p>
    <w:p w14:paraId="04411127" w14:textId="4C300A03" w:rsidR="00E27D3B" w:rsidRPr="00650C72" w:rsidRDefault="006E6BDA" w:rsidP="0027585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50C72">
        <w:rPr>
          <w:rFonts w:asciiTheme="majorBidi" w:eastAsia="Calibri" w:hAnsiTheme="majorBidi" w:cstheme="majorBidi"/>
          <w:b/>
          <w:bCs/>
          <w:color w:val="000000" w:themeColor="text1"/>
          <w:kern w:val="0"/>
          <w:sz w:val="32"/>
          <w:szCs w:val="32"/>
          <w:lang w:bidi="ar-EG"/>
          <w14:ligatures w14:val="none"/>
        </w:rPr>
        <w:t>M</w:t>
      </w:r>
      <w:r w:rsidR="0027585B" w:rsidRPr="00650C72">
        <w:rPr>
          <w:rFonts w:asciiTheme="majorBidi" w:eastAsia="Calibri" w:hAnsiTheme="majorBidi" w:cstheme="majorBidi"/>
          <w:b/>
          <w:bCs/>
          <w:color w:val="000000" w:themeColor="text1"/>
          <w:kern w:val="0"/>
          <w:sz w:val="32"/>
          <w:szCs w:val="32"/>
          <w:lang w:bidi="ar-EG"/>
          <w14:ligatures w14:val="none"/>
        </w:rPr>
        <w:t>aster of Real Estate Management</w:t>
      </w:r>
    </w:p>
    <w:p w14:paraId="7F1106F3" w14:textId="77777777" w:rsidR="00E27D3B" w:rsidRPr="00650C72" w:rsidRDefault="00E27D3B" w:rsidP="0007393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257B0E3C" w14:textId="77777777" w:rsidR="006E6BDA" w:rsidRPr="00650C72" w:rsidRDefault="006E6BDA" w:rsidP="002758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650C72">
        <w:rPr>
          <w:rFonts w:asciiTheme="majorBidi" w:eastAsia="Calibri" w:hAnsiTheme="majorBidi" w:cstheme="majorBidi"/>
          <w:b/>
          <w:bCs/>
          <w:color w:val="000000" w:themeColor="text1"/>
          <w:kern w:val="0"/>
          <w:sz w:val="40"/>
          <w:szCs w:val="40"/>
          <w:lang w:bidi="ar-EG"/>
          <w14:ligatures w14:val="none"/>
        </w:rPr>
        <w:t>The Impact of Using Artificial Intelligence Tools in Real Estate Appraisal on Investment Decision Quality: A Field Study on Real Estate Investors in Riyadh, Kingdom of Saudi Arabia</w:t>
      </w:r>
    </w:p>
    <w:p w14:paraId="0777DAEB" w14:textId="77777777" w:rsidR="0027585B" w:rsidRPr="00650C72" w:rsidRDefault="0027585B" w:rsidP="0027585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4532F5F" w14:textId="57076D83" w:rsidR="000D353F" w:rsidRPr="00650C72" w:rsidRDefault="000D353F" w:rsidP="002758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50C72">
        <w:rPr>
          <w:rFonts w:asciiTheme="majorBidi" w:eastAsia="Calibri" w:hAnsiTheme="majorBidi" w:cstheme="majorBidi"/>
          <w:b/>
          <w:bCs/>
          <w:color w:val="000000" w:themeColor="text1"/>
          <w:kern w:val="0"/>
          <w:sz w:val="36"/>
          <w:szCs w:val="36"/>
          <w:lang w:bidi="ar-EG"/>
          <w14:ligatures w14:val="none"/>
        </w:rPr>
        <w:t>Prepared by:</w:t>
      </w:r>
    </w:p>
    <w:p w14:paraId="038D0A4A" w14:textId="77777777" w:rsidR="006E6BDA" w:rsidRPr="00650C72" w:rsidRDefault="006E6BDA" w:rsidP="0027585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650C72">
        <w:rPr>
          <w:rFonts w:asciiTheme="majorBidi" w:eastAsia="Calibri" w:hAnsiTheme="majorBidi" w:cstheme="majorBidi"/>
          <w:color w:val="000000" w:themeColor="text1"/>
          <w:kern w:val="0"/>
          <w:sz w:val="36"/>
          <w:szCs w:val="36"/>
          <w:lang w:bidi="ar-EG"/>
          <w14:ligatures w14:val="none"/>
        </w:rPr>
        <w:t>Abdulrahman Al-Anzi</w:t>
      </w:r>
    </w:p>
    <w:p w14:paraId="3E81A162" w14:textId="77777777" w:rsidR="0027585B" w:rsidRPr="00650C72" w:rsidRDefault="0027585B" w:rsidP="0027585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0E1910A2" w14:textId="77777777" w:rsidR="0027585B" w:rsidRPr="00650C72" w:rsidRDefault="0027585B" w:rsidP="0027585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50C72" w:rsidRPr="00650C72" w14:paraId="586F5214" w14:textId="77777777" w:rsidTr="00254040">
        <w:tc>
          <w:tcPr>
            <w:tcW w:w="4530" w:type="dxa"/>
          </w:tcPr>
          <w:p w14:paraId="79F349B9" w14:textId="77777777" w:rsidR="0027585B" w:rsidRPr="00650C72" w:rsidRDefault="0027585B" w:rsidP="002540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50C72">
              <w:rPr>
                <w:rFonts w:asciiTheme="majorBidi" w:eastAsia="Calibri" w:hAnsiTheme="majorBidi" w:cstheme="majorBidi"/>
                <w:b/>
                <w:bCs/>
                <w:color w:val="000000" w:themeColor="text1"/>
                <w:kern w:val="0"/>
                <w:sz w:val="36"/>
                <w:szCs w:val="36"/>
                <w:lang w:bidi="ar-EG"/>
                <w14:ligatures w14:val="none"/>
              </w:rPr>
              <w:t>Main supervisor</w:t>
            </w:r>
            <w:r w:rsidRPr="00650C7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5603F76" w14:textId="77777777" w:rsidR="0027585B" w:rsidRPr="00650C72" w:rsidRDefault="0027585B" w:rsidP="002540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50C72">
              <w:rPr>
                <w:rFonts w:asciiTheme="majorBidi" w:eastAsia="Calibri" w:hAnsiTheme="majorBidi" w:cstheme="majorBidi"/>
                <w:b/>
                <w:bCs/>
                <w:color w:val="000000" w:themeColor="text1"/>
                <w:kern w:val="0"/>
                <w:sz w:val="36"/>
                <w:szCs w:val="36"/>
                <w:lang w:bidi="ar-EG"/>
                <w14:ligatures w14:val="none"/>
              </w:rPr>
              <w:t>Second supervisor</w:t>
            </w:r>
            <w:r w:rsidRPr="00650C72">
              <w:rPr>
                <w:rFonts w:asciiTheme="majorBidi" w:eastAsia="Calibri" w:hAnsiTheme="majorBidi" w:cstheme="majorBidi"/>
                <w:b/>
                <w:bCs/>
                <w:color w:val="000000" w:themeColor="text1"/>
                <w:kern w:val="0"/>
                <w:sz w:val="36"/>
                <w:szCs w:val="36"/>
                <w:rtl/>
                <w:lang w:bidi="ar-EG"/>
                <w14:ligatures w14:val="none"/>
              </w:rPr>
              <w:t>/</w:t>
            </w:r>
          </w:p>
        </w:tc>
      </w:tr>
      <w:tr w:rsidR="00650C72" w:rsidRPr="00650C72" w14:paraId="76BB98C9" w14:textId="77777777" w:rsidTr="00254040">
        <w:tc>
          <w:tcPr>
            <w:tcW w:w="4530" w:type="dxa"/>
          </w:tcPr>
          <w:p w14:paraId="41ACBCA8" w14:textId="77777777" w:rsidR="0027585B" w:rsidRPr="00650C72" w:rsidRDefault="0027585B" w:rsidP="002540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50C7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ACE4862" w14:textId="77777777" w:rsidR="0027585B" w:rsidRPr="00650C72" w:rsidRDefault="0027585B" w:rsidP="002540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50C72">
              <w:rPr>
                <w:rFonts w:asciiTheme="majorBidi" w:eastAsia="Calibri" w:hAnsiTheme="majorBidi" w:cstheme="majorBidi"/>
                <w:color w:val="000000" w:themeColor="text1"/>
                <w:kern w:val="0"/>
                <w:sz w:val="36"/>
                <w:szCs w:val="36"/>
                <w:lang w:bidi="ar-EG"/>
                <w14:ligatures w14:val="none"/>
              </w:rPr>
              <w:t>Dr. Fayez Jarad</w:t>
            </w:r>
          </w:p>
        </w:tc>
      </w:tr>
    </w:tbl>
    <w:p w14:paraId="15E15846" w14:textId="77777777" w:rsidR="0027585B" w:rsidRPr="00650C72" w:rsidRDefault="0027585B" w:rsidP="0027585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50C72">
        <w:rPr>
          <w:rFonts w:asciiTheme="majorBidi" w:eastAsia="Calibri" w:hAnsiTheme="majorBidi" w:cstheme="majorBidi"/>
          <w:color w:val="000000" w:themeColor="text1"/>
          <w:kern w:val="0"/>
          <w:sz w:val="36"/>
          <w:szCs w:val="36"/>
          <w:rtl/>
          <w:lang w:bidi="ar-EG"/>
          <w14:ligatures w14:val="none"/>
        </w:rPr>
        <w:t>1448 – 2026</w:t>
      </w:r>
    </w:p>
    <w:p w14:paraId="729FDD22" w14:textId="77777777" w:rsidR="0027585B" w:rsidRPr="00650C72" w:rsidRDefault="0027585B" w:rsidP="0027585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58C511A" w14:textId="344380EE" w:rsidR="00F7243B" w:rsidRPr="00650C72" w:rsidRDefault="00F7243B" w:rsidP="0007393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9A27FC2" w14:textId="77777777" w:rsidR="00927467" w:rsidRPr="00650C72" w:rsidRDefault="00927467" w:rsidP="0007393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1BD9FD6" w:rsidR="009125CE" w:rsidRPr="00650C72" w:rsidRDefault="009125CE" w:rsidP="0007393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50C72" w:rsidSect="0088241C">
      <w:footerReference w:type="default" r:id="rId36"/>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D4C683" w14:textId="77777777" w:rsidR="00144F00" w:rsidRDefault="00144F00" w:rsidP="009125CE">
      <w:pPr>
        <w:spacing w:after="0" w:line="240" w:lineRule="auto"/>
      </w:pPr>
      <w:r>
        <w:separator/>
      </w:r>
    </w:p>
  </w:endnote>
  <w:endnote w:type="continuationSeparator" w:id="0">
    <w:p w14:paraId="23AF1D92" w14:textId="77777777" w:rsidR="00144F00" w:rsidRDefault="00144F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ecoType Naskh Variants">
    <w:altName w:val="Times New Roman"/>
    <w:charset w:val="B2"/>
    <w:family w:val="auto"/>
    <w:pitch w:val="variable"/>
    <w:sig w:usb0="00002000" w:usb1="00000000" w:usb2="00000000" w:usb3="00000000" w:csb0="00000040" w:csb1="00000000"/>
  </w:font>
  <w:font w:name="Amiri">
    <w:panose1 w:val="00000500000000000000"/>
    <w:charset w:val="00"/>
    <w:family w:val="auto"/>
    <w:pitch w:val="variable"/>
    <w:sig w:usb0="A000206F" w:usb1="80002042" w:usb2="00000008" w:usb3="00000000" w:csb0="000000D3" w:csb1="00000000"/>
  </w:font>
  <w:font w:name="Aref Ruqaa">
    <w:altName w:val="Dubai"/>
    <w:charset w:val="00"/>
    <w:family w:val="auto"/>
    <w:pitch w:val="variable"/>
    <w:sig w:usb0="00000000" w:usb1="8000004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400AC22E" w:rsidR="006C0F6B" w:rsidRDefault="006C0F6B" w:rsidP="00073937">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7872987"/>
      <w:docPartObj>
        <w:docPartGallery w:val="Page Numbers (Bottom of Page)"/>
        <w:docPartUnique/>
      </w:docPartObj>
    </w:sdtPr>
    <w:sdtEndPr>
      <w:rPr>
        <w:noProof/>
      </w:rPr>
    </w:sdtEndPr>
    <w:sdtContent>
      <w:p w14:paraId="61BCC239" w14:textId="77777777" w:rsidR="006C0F6B" w:rsidRDefault="006C0F6B" w:rsidP="00073937">
        <w:pPr>
          <w:pStyle w:val="Footer"/>
          <w:jc w:val="center"/>
        </w:pPr>
        <w:r w:rsidRPr="00073937">
          <w:rPr>
            <w:rFonts w:ascii="Simplified Arabic" w:hAnsi="Simplified Arabic" w:cs="Simplified Arabic"/>
            <w:b/>
            <w:bCs/>
            <w:sz w:val="24"/>
            <w:szCs w:val="24"/>
          </w:rPr>
          <w:fldChar w:fldCharType="begin"/>
        </w:r>
        <w:r w:rsidRPr="00073937">
          <w:rPr>
            <w:rFonts w:ascii="Simplified Arabic" w:hAnsi="Simplified Arabic" w:cs="Simplified Arabic"/>
            <w:b/>
            <w:bCs/>
            <w:sz w:val="24"/>
            <w:szCs w:val="24"/>
          </w:rPr>
          <w:instrText xml:space="preserve"> PAGE   \* MERGEFORMAT </w:instrText>
        </w:r>
        <w:r w:rsidRPr="00073937">
          <w:rPr>
            <w:rFonts w:ascii="Simplified Arabic" w:hAnsi="Simplified Arabic" w:cs="Simplified Arabic"/>
            <w:b/>
            <w:bCs/>
            <w:sz w:val="24"/>
            <w:szCs w:val="24"/>
          </w:rPr>
          <w:fldChar w:fldCharType="separate"/>
        </w:r>
        <w:r w:rsidR="00AF423C">
          <w:rPr>
            <w:rFonts w:ascii="Simplified Arabic" w:hAnsi="Simplified Arabic" w:cs="Simplified Arabic" w:hint="eastAsia"/>
            <w:b/>
            <w:bCs/>
            <w:noProof/>
            <w:sz w:val="24"/>
            <w:szCs w:val="24"/>
            <w:rtl/>
          </w:rPr>
          <w:t>‌ز</w:t>
        </w:r>
        <w:r w:rsidRPr="00073937">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2151339"/>
      <w:docPartObj>
        <w:docPartGallery w:val="Page Numbers (Bottom of Page)"/>
        <w:docPartUnique/>
      </w:docPartObj>
    </w:sdtPr>
    <w:sdtEndPr>
      <w:rPr>
        <w:noProof/>
      </w:rPr>
    </w:sdtEndPr>
    <w:sdtContent>
      <w:p w14:paraId="43AA04AE" w14:textId="77777777" w:rsidR="006C0F6B" w:rsidRDefault="006C0F6B" w:rsidP="00073937">
        <w:pPr>
          <w:pStyle w:val="Footer"/>
          <w:jc w:val="center"/>
        </w:pPr>
        <w:r w:rsidRPr="00073937">
          <w:rPr>
            <w:rFonts w:ascii="Simplified Arabic" w:hAnsi="Simplified Arabic" w:cs="Simplified Arabic"/>
            <w:b/>
            <w:bCs/>
            <w:sz w:val="24"/>
            <w:szCs w:val="24"/>
          </w:rPr>
          <w:fldChar w:fldCharType="begin"/>
        </w:r>
        <w:r w:rsidRPr="00073937">
          <w:rPr>
            <w:rFonts w:ascii="Simplified Arabic" w:hAnsi="Simplified Arabic" w:cs="Simplified Arabic"/>
            <w:b/>
            <w:bCs/>
            <w:sz w:val="24"/>
            <w:szCs w:val="24"/>
          </w:rPr>
          <w:instrText xml:space="preserve"> PAGE   \* MERGEFORMAT </w:instrText>
        </w:r>
        <w:r w:rsidRPr="00073937">
          <w:rPr>
            <w:rFonts w:ascii="Simplified Arabic" w:hAnsi="Simplified Arabic" w:cs="Simplified Arabic"/>
            <w:b/>
            <w:bCs/>
            <w:sz w:val="24"/>
            <w:szCs w:val="24"/>
          </w:rPr>
          <w:fldChar w:fldCharType="separate"/>
        </w:r>
        <w:r w:rsidR="00AF423C">
          <w:rPr>
            <w:rFonts w:ascii="Simplified Arabic" w:hAnsi="Simplified Arabic" w:cs="Simplified Arabic"/>
            <w:b/>
            <w:bCs/>
            <w:noProof/>
            <w:sz w:val="24"/>
            <w:szCs w:val="24"/>
            <w:rtl/>
          </w:rPr>
          <w:t>79</w:t>
        </w:r>
        <w:r w:rsidRPr="00073937">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610F1" w14:textId="18336BE3" w:rsidR="0027585B" w:rsidRDefault="0027585B" w:rsidP="0027585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7CC9A" w14:textId="77777777" w:rsidR="00144F00" w:rsidRDefault="00144F00" w:rsidP="009125CE">
      <w:pPr>
        <w:spacing w:after="0" w:line="240" w:lineRule="auto"/>
      </w:pPr>
      <w:r>
        <w:separator/>
      </w:r>
    </w:p>
  </w:footnote>
  <w:footnote w:type="continuationSeparator" w:id="0">
    <w:p w14:paraId="22F6B34B" w14:textId="77777777" w:rsidR="00144F00" w:rsidRDefault="00144F0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2165"/>
    <w:multiLevelType w:val="multilevel"/>
    <w:tmpl w:val="9DFE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A54DA"/>
    <w:multiLevelType w:val="hybridMultilevel"/>
    <w:tmpl w:val="FA82D0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33895"/>
    <w:multiLevelType w:val="hybridMultilevel"/>
    <w:tmpl w:val="EB70A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2628E"/>
    <w:multiLevelType w:val="hybridMultilevel"/>
    <w:tmpl w:val="E99A7ECE"/>
    <w:lvl w:ilvl="0" w:tplc="05C6F04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nsid w:val="057B63D9"/>
    <w:multiLevelType w:val="multilevel"/>
    <w:tmpl w:val="B5B0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761FAE"/>
    <w:multiLevelType w:val="multilevel"/>
    <w:tmpl w:val="0BEA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7D2172"/>
    <w:multiLevelType w:val="hybridMultilevel"/>
    <w:tmpl w:val="9084BB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DE820E8"/>
    <w:multiLevelType w:val="hybridMultilevel"/>
    <w:tmpl w:val="20E8B6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7B64D17"/>
    <w:multiLevelType w:val="hybridMultilevel"/>
    <w:tmpl w:val="4FD65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521C3A"/>
    <w:multiLevelType w:val="hybridMultilevel"/>
    <w:tmpl w:val="4262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7D2D82"/>
    <w:multiLevelType w:val="multilevel"/>
    <w:tmpl w:val="FCB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0E4D5E"/>
    <w:multiLevelType w:val="multilevel"/>
    <w:tmpl w:val="A92E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EF4790"/>
    <w:multiLevelType w:val="multilevel"/>
    <w:tmpl w:val="58D45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DE453C"/>
    <w:multiLevelType w:val="hybridMultilevel"/>
    <w:tmpl w:val="B60C8AF6"/>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384111"/>
    <w:multiLevelType w:val="hybridMultilevel"/>
    <w:tmpl w:val="D25EE3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5D86AFA"/>
    <w:multiLevelType w:val="multilevel"/>
    <w:tmpl w:val="7BC6F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9355E0"/>
    <w:multiLevelType w:val="multilevel"/>
    <w:tmpl w:val="7A4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8B096C"/>
    <w:multiLevelType w:val="hybridMultilevel"/>
    <w:tmpl w:val="42B69F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B531E8"/>
    <w:multiLevelType w:val="hybridMultilevel"/>
    <w:tmpl w:val="E2CA0762"/>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54640B"/>
    <w:multiLevelType w:val="hybridMultilevel"/>
    <w:tmpl w:val="6720A3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2131554"/>
    <w:multiLevelType w:val="hybridMultilevel"/>
    <w:tmpl w:val="FC9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28A6B12"/>
    <w:multiLevelType w:val="hybridMultilevel"/>
    <w:tmpl w:val="5142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9FC1F62"/>
    <w:multiLevelType w:val="multilevel"/>
    <w:tmpl w:val="51A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0A1ECD"/>
    <w:multiLevelType w:val="hybridMultilevel"/>
    <w:tmpl w:val="C06ECA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E3B731C"/>
    <w:multiLevelType w:val="hybridMultilevel"/>
    <w:tmpl w:val="952051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066AD3"/>
    <w:multiLevelType w:val="hybridMultilevel"/>
    <w:tmpl w:val="706E9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53768B7"/>
    <w:multiLevelType w:val="multilevel"/>
    <w:tmpl w:val="224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B33A4B"/>
    <w:multiLevelType w:val="multilevel"/>
    <w:tmpl w:val="3C84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3F124F"/>
    <w:multiLevelType w:val="hybridMultilevel"/>
    <w:tmpl w:val="2490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597966"/>
    <w:multiLevelType w:val="hybridMultilevel"/>
    <w:tmpl w:val="2EC21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B71108"/>
    <w:multiLevelType w:val="multilevel"/>
    <w:tmpl w:val="3456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434521"/>
    <w:multiLevelType w:val="multilevel"/>
    <w:tmpl w:val="8686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D64ED7"/>
    <w:multiLevelType w:val="hybridMultilevel"/>
    <w:tmpl w:val="BA387B6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9064F8"/>
    <w:multiLevelType w:val="multilevel"/>
    <w:tmpl w:val="7D9C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174524"/>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CD1617"/>
    <w:multiLevelType w:val="multilevel"/>
    <w:tmpl w:val="59E2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nsid w:val="67020F02"/>
    <w:multiLevelType w:val="multilevel"/>
    <w:tmpl w:val="DE48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100C6A"/>
    <w:multiLevelType w:val="multilevel"/>
    <w:tmpl w:val="F316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E6244E"/>
    <w:multiLevelType w:val="multilevel"/>
    <w:tmpl w:val="E508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71705F0"/>
    <w:multiLevelType w:val="multilevel"/>
    <w:tmpl w:val="F2E2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7EC5897"/>
    <w:multiLevelType w:val="hybridMultilevel"/>
    <w:tmpl w:val="C3DC58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B73BE0"/>
    <w:multiLevelType w:val="multilevel"/>
    <w:tmpl w:val="9D44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ED44DCB"/>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9"/>
  </w:num>
  <w:num w:numId="3">
    <w:abstractNumId w:val="38"/>
  </w:num>
  <w:num w:numId="4">
    <w:abstractNumId w:val="36"/>
  </w:num>
  <w:num w:numId="5">
    <w:abstractNumId w:val="42"/>
  </w:num>
  <w:num w:numId="6">
    <w:abstractNumId w:val="37"/>
  </w:num>
  <w:num w:numId="7">
    <w:abstractNumId w:val="23"/>
  </w:num>
  <w:num w:numId="8">
    <w:abstractNumId w:val="31"/>
  </w:num>
  <w:num w:numId="9">
    <w:abstractNumId w:val="0"/>
  </w:num>
  <w:num w:numId="10">
    <w:abstractNumId w:val="45"/>
  </w:num>
  <w:num w:numId="11">
    <w:abstractNumId w:val="41"/>
  </w:num>
  <w:num w:numId="12">
    <w:abstractNumId w:val="10"/>
  </w:num>
  <w:num w:numId="13">
    <w:abstractNumId w:val="40"/>
  </w:num>
  <w:num w:numId="14">
    <w:abstractNumId w:val="24"/>
  </w:num>
  <w:num w:numId="15">
    <w:abstractNumId w:val="46"/>
  </w:num>
  <w:num w:numId="16">
    <w:abstractNumId w:val="43"/>
  </w:num>
  <w:num w:numId="17">
    <w:abstractNumId w:val="5"/>
  </w:num>
  <w:num w:numId="18">
    <w:abstractNumId w:val="18"/>
  </w:num>
  <w:num w:numId="19">
    <w:abstractNumId w:val="33"/>
  </w:num>
  <w:num w:numId="20">
    <w:abstractNumId w:val="27"/>
  </w:num>
  <w:num w:numId="21">
    <w:abstractNumId w:val="28"/>
  </w:num>
  <w:num w:numId="22">
    <w:abstractNumId w:val="11"/>
  </w:num>
  <w:num w:numId="23">
    <w:abstractNumId w:val="17"/>
  </w:num>
  <w:num w:numId="24">
    <w:abstractNumId w:val="13"/>
  </w:num>
  <w:num w:numId="25">
    <w:abstractNumId w:val="30"/>
  </w:num>
  <w:num w:numId="26">
    <w:abstractNumId w:val="22"/>
  </w:num>
  <w:num w:numId="27">
    <w:abstractNumId w:val="3"/>
  </w:num>
  <w:num w:numId="28">
    <w:abstractNumId w:val="35"/>
  </w:num>
  <w:num w:numId="29">
    <w:abstractNumId w:val="4"/>
  </w:num>
  <w:num w:numId="30">
    <w:abstractNumId w:val="34"/>
  </w:num>
  <w:num w:numId="31">
    <w:abstractNumId w:val="25"/>
  </w:num>
  <w:num w:numId="32">
    <w:abstractNumId w:val="9"/>
  </w:num>
  <w:num w:numId="33">
    <w:abstractNumId w:val="7"/>
  </w:num>
  <w:num w:numId="34">
    <w:abstractNumId w:val="15"/>
  </w:num>
  <w:num w:numId="35">
    <w:abstractNumId w:val="32"/>
  </w:num>
  <w:num w:numId="36">
    <w:abstractNumId w:val="8"/>
  </w:num>
  <w:num w:numId="37">
    <w:abstractNumId w:val="26"/>
  </w:num>
  <w:num w:numId="38">
    <w:abstractNumId w:val="6"/>
  </w:num>
  <w:num w:numId="39">
    <w:abstractNumId w:val="20"/>
  </w:num>
  <w:num w:numId="40">
    <w:abstractNumId w:val="19"/>
  </w:num>
  <w:num w:numId="41">
    <w:abstractNumId w:val="21"/>
  </w:num>
  <w:num w:numId="42">
    <w:abstractNumId w:val="2"/>
  </w:num>
  <w:num w:numId="43">
    <w:abstractNumId w:val="44"/>
  </w:num>
  <w:num w:numId="44">
    <w:abstractNumId w:val="1"/>
  </w:num>
  <w:num w:numId="45">
    <w:abstractNumId w:val="16"/>
  </w:num>
  <w:num w:numId="46">
    <w:abstractNumId w:val="12"/>
  </w:num>
  <w:num w:numId="47">
    <w:abstractNumId w:val="3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6561"/>
    <w:rsid w:val="00067938"/>
    <w:rsid w:val="0007370A"/>
    <w:rsid w:val="00073937"/>
    <w:rsid w:val="000769E1"/>
    <w:rsid w:val="000842EB"/>
    <w:rsid w:val="000851CB"/>
    <w:rsid w:val="00092C10"/>
    <w:rsid w:val="00093973"/>
    <w:rsid w:val="00094E98"/>
    <w:rsid w:val="000A06E6"/>
    <w:rsid w:val="000A2ED4"/>
    <w:rsid w:val="000A4AC3"/>
    <w:rsid w:val="000A4DAE"/>
    <w:rsid w:val="000A6930"/>
    <w:rsid w:val="000C4130"/>
    <w:rsid w:val="000C46EE"/>
    <w:rsid w:val="000D03ED"/>
    <w:rsid w:val="000D2E22"/>
    <w:rsid w:val="000D339D"/>
    <w:rsid w:val="000D353F"/>
    <w:rsid w:val="000D7A52"/>
    <w:rsid w:val="000E0212"/>
    <w:rsid w:val="000E2A00"/>
    <w:rsid w:val="000E3680"/>
    <w:rsid w:val="000E503B"/>
    <w:rsid w:val="000F0CB3"/>
    <w:rsid w:val="000F44B4"/>
    <w:rsid w:val="00110487"/>
    <w:rsid w:val="0012342D"/>
    <w:rsid w:val="001306F3"/>
    <w:rsid w:val="00131E44"/>
    <w:rsid w:val="00143989"/>
    <w:rsid w:val="00144F00"/>
    <w:rsid w:val="00146CE4"/>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97384"/>
    <w:rsid w:val="001A1039"/>
    <w:rsid w:val="001A1758"/>
    <w:rsid w:val="001A41B9"/>
    <w:rsid w:val="001A5094"/>
    <w:rsid w:val="001B0D06"/>
    <w:rsid w:val="001B6D18"/>
    <w:rsid w:val="001B7151"/>
    <w:rsid w:val="001C2162"/>
    <w:rsid w:val="001C42F9"/>
    <w:rsid w:val="001D4406"/>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4BDE"/>
    <w:rsid w:val="0027585B"/>
    <w:rsid w:val="002766BC"/>
    <w:rsid w:val="00280068"/>
    <w:rsid w:val="002828EF"/>
    <w:rsid w:val="00286958"/>
    <w:rsid w:val="0029680E"/>
    <w:rsid w:val="002A32D6"/>
    <w:rsid w:val="002A365A"/>
    <w:rsid w:val="002A76B5"/>
    <w:rsid w:val="002B1274"/>
    <w:rsid w:val="002B4975"/>
    <w:rsid w:val="002C205F"/>
    <w:rsid w:val="002C21BB"/>
    <w:rsid w:val="002C5EE0"/>
    <w:rsid w:val="002D0190"/>
    <w:rsid w:val="002D30A7"/>
    <w:rsid w:val="002D3120"/>
    <w:rsid w:val="002D5C0C"/>
    <w:rsid w:val="002E36BC"/>
    <w:rsid w:val="002E4629"/>
    <w:rsid w:val="002F3238"/>
    <w:rsid w:val="002F54F4"/>
    <w:rsid w:val="002F5FA3"/>
    <w:rsid w:val="00301731"/>
    <w:rsid w:val="00303BF8"/>
    <w:rsid w:val="00304304"/>
    <w:rsid w:val="0031075C"/>
    <w:rsid w:val="00310B47"/>
    <w:rsid w:val="00311651"/>
    <w:rsid w:val="00314324"/>
    <w:rsid w:val="00323FD3"/>
    <w:rsid w:val="00333A26"/>
    <w:rsid w:val="0033775D"/>
    <w:rsid w:val="003412E2"/>
    <w:rsid w:val="00341565"/>
    <w:rsid w:val="0034173E"/>
    <w:rsid w:val="00341900"/>
    <w:rsid w:val="00342AE5"/>
    <w:rsid w:val="00343EE8"/>
    <w:rsid w:val="00351D87"/>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53DA"/>
    <w:rsid w:val="00396510"/>
    <w:rsid w:val="003A5312"/>
    <w:rsid w:val="003A757C"/>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66730"/>
    <w:rsid w:val="004708AB"/>
    <w:rsid w:val="00470A2D"/>
    <w:rsid w:val="00473631"/>
    <w:rsid w:val="00474A1C"/>
    <w:rsid w:val="00475C10"/>
    <w:rsid w:val="00476ADB"/>
    <w:rsid w:val="0047707D"/>
    <w:rsid w:val="00482056"/>
    <w:rsid w:val="00482616"/>
    <w:rsid w:val="00491EAB"/>
    <w:rsid w:val="004A035D"/>
    <w:rsid w:val="004A09C4"/>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26B"/>
    <w:rsid w:val="005146DA"/>
    <w:rsid w:val="0051585E"/>
    <w:rsid w:val="00522010"/>
    <w:rsid w:val="0052581D"/>
    <w:rsid w:val="0053435E"/>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E7EAB"/>
    <w:rsid w:val="005F2722"/>
    <w:rsid w:val="006020A6"/>
    <w:rsid w:val="006044AD"/>
    <w:rsid w:val="00604B20"/>
    <w:rsid w:val="006112DD"/>
    <w:rsid w:val="0061146E"/>
    <w:rsid w:val="00617C5B"/>
    <w:rsid w:val="00625CAD"/>
    <w:rsid w:val="0062761F"/>
    <w:rsid w:val="00633F50"/>
    <w:rsid w:val="006344B4"/>
    <w:rsid w:val="006352B0"/>
    <w:rsid w:val="00636F27"/>
    <w:rsid w:val="00642229"/>
    <w:rsid w:val="006450DB"/>
    <w:rsid w:val="00647482"/>
    <w:rsid w:val="00650C72"/>
    <w:rsid w:val="0066191A"/>
    <w:rsid w:val="00663FD3"/>
    <w:rsid w:val="00666183"/>
    <w:rsid w:val="00667140"/>
    <w:rsid w:val="006716C2"/>
    <w:rsid w:val="00677D98"/>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0F6B"/>
    <w:rsid w:val="006D0A16"/>
    <w:rsid w:val="006D4C88"/>
    <w:rsid w:val="006E4126"/>
    <w:rsid w:val="006E41F3"/>
    <w:rsid w:val="006E65A3"/>
    <w:rsid w:val="006E6BDA"/>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41C"/>
    <w:rsid w:val="00882D37"/>
    <w:rsid w:val="00882D53"/>
    <w:rsid w:val="00887133"/>
    <w:rsid w:val="008904CF"/>
    <w:rsid w:val="00891FC0"/>
    <w:rsid w:val="008932EB"/>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467"/>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2C59"/>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03A2"/>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0B36"/>
    <w:rsid w:val="00A65828"/>
    <w:rsid w:val="00A71BCE"/>
    <w:rsid w:val="00A74A00"/>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23C"/>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5E07"/>
    <w:rsid w:val="00C1175F"/>
    <w:rsid w:val="00C14286"/>
    <w:rsid w:val="00C16713"/>
    <w:rsid w:val="00C16D65"/>
    <w:rsid w:val="00C20A1C"/>
    <w:rsid w:val="00C223BF"/>
    <w:rsid w:val="00C23616"/>
    <w:rsid w:val="00C23A70"/>
    <w:rsid w:val="00C265DB"/>
    <w:rsid w:val="00C32E49"/>
    <w:rsid w:val="00C35B07"/>
    <w:rsid w:val="00C35BBA"/>
    <w:rsid w:val="00C425A3"/>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2C6E"/>
    <w:rsid w:val="00CF1F0B"/>
    <w:rsid w:val="00CF4901"/>
    <w:rsid w:val="00CF552E"/>
    <w:rsid w:val="00CF6CEC"/>
    <w:rsid w:val="00D043D4"/>
    <w:rsid w:val="00D04E0A"/>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0CB7"/>
    <w:rsid w:val="00EC10F6"/>
    <w:rsid w:val="00EC5DCF"/>
    <w:rsid w:val="00ED11D0"/>
    <w:rsid w:val="00ED1910"/>
    <w:rsid w:val="00ED1918"/>
    <w:rsid w:val="00ED24E8"/>
    <w:rsid w:val="00ED2B59"/>
    <w:rsid w:val="00ED2F10"/>
    <w:rsid w:val="00ED5DB0"/>
    <w:rsid w:val="00EE0BB8"/>
    <w:rsid w:val="00EE0BD0"/>
    <w:rsid w:val="00EE7B86"/>
    <w:rsid w:val="00EF118F"/>
    <w:rsid w:val="00EF2B26"/>
    <w:rsid w:val="00EF5F43"/>
    <w:rsid w:val="00F00FB8"/>
    <w:rsid w:val="00F0561F"/>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66BE"/>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87D75B0-533C-48BB-A1F8-26A28F1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paragraph" w:customStyle="1" w:styleId="msonormal0">
    <w:name w:val="msonormal"/>
    <w:basedOn w:val="Normal"/>
    <w:rsid w:val="0019738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1">
    <w:name w:val="Grid Table 6 Colorful Accent 1"/>
    <w:basedOn w:val="TableNormal"/>
    <w:uiPriority w:val="51"/>
    <w:rsid w:val="0088241C"/>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27585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478091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76972">
      <w:bodyDiv w:val="1"/>
      <w:marLeft w:val="0"/>
      <w:marRight w:val="0"/>
      <w:marTop w:val="0"/>
      <w:marBottom w:val="0"/>
      <w:divBdr>
        <w:top w:val="none" w:sz="0" w:space="0" w:color="auto"/>
        <w:left w:val="none" w:sz="0" w:space="0" w:color="auto"/>
        <w:bottom w:val="none" w:sz="0" w:space="0" w:color="auto"/>
        <w:right w:val="none" w:sz="0" w:space="0" w:color="auto"/>
      </w:divBdr>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3204125">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16711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143785">
      <w:bodyDiv w:val="1"/>
      <w:marLeft w:val="0"/>
      <w:marRight w:val="0"/>
      <w:marTop w:val="0"/>
      <w:marBottom w:val="0"/>
      <w:divBdr>
        <w:top w:val="none" w:sz="0" w:space="0" w:color="auto"/>
        <w:left w:val="none" w:sz="0" w:space="0" w:color="auto"/>
        <w:bottom w:val="none" w:sz="0" w:space="0" w:color="auto"/>
        <w:right w:val="none" w:sz="0" w:space="0" w:color="auto"/>
      </w:divBdr>
    </w:div>
    <w:div w:id="395862140">
      <w:bodyDiv w:val="1"/>
      <w:marLeft w:val="0"/>
      <w:marRight w:val="0"/>
      <w:marTop w:val="0"/>
      <w:marBottom w:val="0"/>
      <w:divBdr>
        <w:top w:val="none" w:sz="0" w:space="0" w:color="auto"/>
        <w:left w:val="none" w:sz="0" w:space="0" w:color="auto"/>
        <w:bottom w:val="none" w:sz="0" w:space="0" w:color="auto"/>
        <w:right w:val="none" w:sz="0" w:space="0" w:color="auto"/>
      </w:divBdr>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882246">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7641309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644034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8858222">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437380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835955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087291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73198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286888286">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635175">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233291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55141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895879">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7291073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7181389">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85187">
      <w:bodyDiv w:val="1"/>
      <w:marLeft w:val="0"/>
      <w:marRight w:val="0"/>
      <w:marTop w:val="0"/>
      <w:marBottom w:val="0"/>
      <w:divBdr>
        <w:top w:val="none" w:sz="0" w:space="0" w:color="auto"/>
        <w:left w:val="none" w:sz="0" w:space="0" w:color="auto"/>
        <w:bottom w:val="none" w:sz="0" w:space="0" w:color="auto"/>
        <w:right w:val="none" w:sz="0" w:space="0" w:color="auto"/>
      </w:divBdr>
    </w:div>
    <w:div w:id="2085754804">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274790">
      <w:bodyDiv w:val="1"/>
      <w:marLeft w:val="0"/>
      <w:marRight w:val="0"/>
      <w:marTop w:val="0"/>
      <w:marBottom w:val="0"/>
      <w:divBdr>
        <w:top w:val="none" w:sz="0" w:space="0" w:color="auto"/>
        <w:left w:val="none" w:sz="0" w:space="0" w:color="auto"/>
        <w:bottom w:val="none" w:sz="0" w:space="0" w:color="auto"/>
        <w:right w:val="none" w:sz="0" w:space="0" w:color="auto"/>
      </w:divBdr>
      <w:divsChild>
        <w:div w:id="1250042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47729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2674455">
      <w:bodyDiv w:val="1"/>
      <w:marLeft w:val="0"/>
      <w:marRight w:val="0"/>
      <w:marTop w:val="0"/>
      <w:marBottom w:val="0"/>
      <w:divBdr>
        <w:top w:val="none" w:sz="0" w:space="0" w:color="auto"/>
        <w:left w:val="none" w:sz="0" w:space="0" w:color="auto"/>
        <w:bottom w:val="none" w:sz="0" w:space="0" w:color="auto"/>
        <w:right w:val="none" w:sz="0" w:space="0" w:color="auto"/>
      </w:divBdr>
      <w:divsChild>
        <w:div w:id="16860516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arch.mandumah.com/Record/1515936" TargetMode="External"/><Relationship Id="rId26" Type="http://schemas.openxmlformats.org/officeDocument/2006/relationships/hyperlink" Target="http://search.mandumah.com/Record/16251334" TargetMode="External"/><Relationship Id="rId21" Type="http://schemas.openxmlformats.org/officeDocument/2006/relationships/hyperlink" Target="http://search.mandumah.com/Record/1253311"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590918" TargetMode="External"/><Relationship Id="rId25" Type="http://schemas.openxmlformats.org/officeDocument/2006/relationships/hyperlink" Target="http://search.mandumah.com/Record/1495803" TargetMode="External"/><Relationship Id="rId33" Type="http://schemas.openxmlformats.org/officeDocument/2006/relationships/hyperlink" Target="http://search.mandumah.com/Record/151412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653964" TargetMode="External"/><Relationship Id="rId20" Type="http://schemas.openxmlformats.org/officeDocument/2006/relationships/hyperlink" Target="http://search.mandumah.com/Record/1651040" TargetMode="External"/><Relationship Id="rId29" Type="http://schemas.openxmlformats.org/officeDocument/2006/relationships/hyperlink" Target="http://search.mandumah.com/Record/16940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692439" TargetMode="External"/><Relationship Id="rId32" Type="http://schemas.openxmlformats.org/officeDocument/2006/relationships/hyperlink" Target="http://search.mandumah.com/Record/162164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635568" TargetMode="External"/><Relationship Id="rId23" Type="http://schemas.openxmlformats.org/officeDocument/2006/relationships/hyperlink" Target="http://search.mandumah.com/Record/1250072" TargetMode="External"/><Relationship Id="rId28" Type="http://schemas.openxmlformats.org/officeDocument/2006/relationships/hyperlink" Target="http://search.mandumah.com/Record/1504616" TargetMode="External"/><Relationship Id="rId36"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hyperlink" Target="http://search.mandumah.com/Record/1706365" TargetMode="External"/><Relationship Id="rId31" Type="http://schemas.openxmlformats.org/officeDocument/2006/relationships/hyperlink" Target="http://search.mandumah.com/Record/164977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505530" TargetMode="External"/><Relationship Id="rId22" Type="http://schemas.openxmlformats.org/officeDocument/2006/relationships/hyperlink" Target="http://search.mandumah.com/Record/1700389" TargetMode="External"/><Relationship Id="rId27" Type="http://schemas.openxmlformats.org/officeDocument/2006/relationships/hyperlink" Target="http://search.mandumah.com/Record/1497879" TargetMode="External"/><Relationship Id="rId30" Type="http://schemas.openxmlformats.org/officeDocument/2006/relationships/hyperlink" Target="http://search.mandumah.com/Record/1519942"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B0ECCD-601F-4373-8DF8-796F43091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90</Pages>
  <Words>20992</Words>
  <Characters>119661</Characters>
  <Application>Microsoft Office Word</Application>
  <DocSecurity>0</DocSecurity>
  <Lines>997</Lines>
  <Paragraphs>280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2026-07-12T22:00:00Z</cp:lastPrinted>
  <dcterms:created xsi:type="dcterms:W3CDTF">2026-07-12T21:57:00Z</dcterms:created>
  <dcterms:modified xsi:type="dcterms:W3CDTF">2026-07-12T22:00:00Z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