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B4A30"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2"/>
          <w:szCs w:val="32"/>
        </w:rPr>
      </w:pPr>
      <w:bookmarkStart w:id="0" w:name="_Toc224413004"/>
      <w:r w:rsidRPr="00734B7C">
        <w:rPr>
          <w:rFonts w:ascii="Simplified Arabic" w:eastAsia="Simplified Arabic" w:hAnsi="Simplified Arabic" w:cs="Simplified Arabic"/>
          <w:b/>
          <w:color w:val="2D74B5"/>
          <w:sz w:val="32"/>
          <w:szCs w:val="32"/>
          <w:rtl/>
        </w:rPr>
        <w:t xml:space="preserve">الفصل </w:t>
      </w:r>
      <w:r w:rsidRPr="00734B7C">
        <w:rPr>
          <w:rFonts w:ascii="Simplified Arabic" w:eastAsia="Simplified Arabic" w:hAnsi="Simplified Arabic" w:cs="Simplified Arabic" w:hint="cs"/>
          <w:b/>
          <w:color w:val="2D74B5"/>
          <w:sz w:val="32"/>
          <w:szCs w:val="32"/>
          <w:rtl/>
        </w:rPr>
        <w:t>الأول:</w:t>
      </w:r>
      <w:bookmarkEnd w:id="0"/>
      <w:r w:rsidRPr="00734B7C">
        <w:rPr>
          <w:rFonts w:ascii="Simplified Arabic" w:eastAsia="Simplified Arabic" w:hAnsi="Simplified Arabic" w:cs="Simplified Arabic"/>
          <w:b/>
          <w:color w:val="2D74B5"/>
          <w:sz w:val="32"/>
          <w:szCs w:val="32"/>
          <w:rtl/>
        </w:rPr>
        <w:t xml:space="preserve">  </w:t>
      </w:r>
    </w:p>
    <w:p w14:paraId="12F9FDEA" w14:textId="77777777" w:rsidR="00734B7C" w:rsidRPr="00734B7C" w:rsidRDefault="00734B7C" w:rsidP="001A6444">
      <w:pPr>
        <w:keepNext/>
        <w:keepLines/>
        <w:spacing w:after="0" w:line="259" w:lineRule="auto"/>
        <w:ind w:left="10" w:hanging="10"/>
        <w:jc w:val="center"/>
        <w:outlineLvl w:val="3"/>
        <w:rPr>
          <w:rFonts w:ascii="Simplified Arabic" w:eastAsia="Simplified Arabic" w:hAnsi="Simplified Arabic" w:cs="Simplified Arabic"/>
          <w:b/>
          <w:color w:val="2D74B5"/>
          <w:sz w:val="32"/>
          <w:szCs w:val="32"/>
        </w:rPr>
      </w:pPr>
      <w:r w:rsidRPr="00734B7C">
        <w:rPr>
          <w:rFonts w:ascii="Simplified Arabic" w:eastAsia="Simplified Arabic" w:hAnsi="Simplified Arabic" w:cs="Simplified Arabic"/>
          <w:b/>
          <w:color w:val="2D74B5"/>
          <w:sz w:val="32"/>
          <w:szCs w:val="32"/>
          <w:rtl/>
        </w:rPr>
        <w:t>الإطار العام للدراسة</w:t>
      </w:r>
    </w:p>
    <w:p w14:paraId="1B8EB1C2" w14:textId="77777777" w:rsidR="00734B7C" w:rsidRPr="00734B7C" w:rsidRDefault="00734B7C" w:rsidP="001A6444">
      <w:pPr>
        <w:spacing w:after="0" w:line="259" w:lineRule="auto"/>
        <w:ind w:right="49"/>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Pr>
        <w:t xml:space="preserve">  </w:t>
      </w:r>
    </w:p>
    <w:p w14:paraId="4C461859" w14:textId="77777777" w:rsidR="00734B7C" w:rsidRPr="00734B7C" w:rsidRDefault="00734B7C" w:rsidP="001A6444">
      <w:pPr>
        <w:keepNext/>
        <w:keepLines/>
        <w:spacing w:after="5" w:line="259" w:lineRule="auto"/>
        <w:ind w:left="10" w:right="-11" w:hanging="10"/>
        <w:jc w:val="right"/>
        <w:outlineLvl w:val="2"/>
        <w:rPr>
          <w:rFonts w:ascii="Times New Roman" w:eastAsia="Times New Roman" w:hAnsi="Times New Roman" w:cs="Times New Roman"/>
          <w:b/>
          <w:color w:val="2D74B5"/>
          <w:sz w:val="28"/>
          <w:szCs w:val="28"/>
        </w:rPr>
      </w:pPr>
      <w:r w:rsidRPr="00734B7C">
        <w:rPr>
          <w:rFonts w:ascii="Times New Roman" w:eastAsia="Times New Roman" w:hAnsi="Times New Roman" w:cs="Times New Roman"/>
          <w:b/>
          <w:color w:val="2D74B5"/>
          <w:sz w:val="28"/>
          <w:szCs w:val="28"/>
        </w:rPr>
        <w:t xml:space="preserve"> </w:t>
      </w:r>
      <w:r w:rsidRPr="00734B7C">
        <w:rPr>
          <w:rFonts w:ascii="Times New Roman" w:eastAsia="Times New Roman" w:hAnsi="Times New Roman" w:cs="Times New Roman"/>
          <w:b/>
          <w:color w:val="2D74B5"/>
          <w:sz w:val="28"/>
          <w:szCs w:val="28"/>
          <w:vertAlign w:val="subscript"/>
        </w:rPr>
        <w:t xml:space="preserve"> </w:t>
      </w:r>
      <w:bookmarkStart w:id="1" w:name="_Toc224413005"/>
      <w:r w:rsidRPr="00734B7C">
        <w:rPr>
          <w:rFonts w:ascii="Times New Roman" w:eastAsia="Times New Roman" w:hAnsi="Times New Roman" w:cs="Times New Roman"/>
          <w:b/>
          <w:color w:val="2D74B5"/>
          <w:sz w:val="28"/>
          <w:szCs w:val="28"/>
          <w:vertAlign w:val="subscript"/>
        </w:rPr>
        <w:t xml:space="preserve">: </w:t>
      </w:r>
      <w:r w:rsidRPr="00734B7C">
        <w:rPr>
          <w:rFonts w:ascii="Times New Roman" w:eastAsia="Times New Roman" w:hAnsi="Times New Roman" w:cs="Times New Roman"/>
          <w:b/>
          <w:color w:val="2D74B5"/>
          <w:sz w:val="28"/>
          <w:szCs w:val="28"/>
        </w:rPr>
        <w:t xml:space="preserve">introduction </w:t>
      </w:r>
      <w:r w:rsidRPr="00734B7C">
        <w:rPr>
          <w:rFonts w:ascii="Times New Roman" w:eastAsia="Times New Roman" w:hAnsi="Times New Roman" w:cs="Times New Roman"/>
          <w:b/>
          <w:color w:val="2D74B5"/>
          <w:sz w:val="28"/>
          <w:szCs w:val="28"/>
          <w:rtl/>
        </w:rPr>
        <w:t>مقدمة</w:t>
      </w:r>
      <w:r w:rsidRPr="00734B7C">
        <w:rPr>
          <w:rFonts w:ascii="Times New Roman" w:eastAsia="Times New Roman" w:hAnsi="Times New Roman" w:cs="Times New Roman"/>
          <w:b/>
          <w:color w:val="2D74B5"/>
          <w:sz w:val="28"/>
          <w:szCs w:val="28"/>
        </w:rPr>
        <w:t xml:space="preserve"> </w:t>
      </w:r>
      <w:r w:rsidRPr="00734B7C">
        <w:rPr>
          <w:rFonts w:ascii="Times New Roman" w:eastAsia="Calibri" w:hAnsi="Times New Roman" w:cs="Times New Roman"/>
          <w:color w:val="2D74B5"/>
          <w:sz w:val="28"/>
          <w:szCs w:val="28"/>
        </w:rPr>
        <w:t>1.1</w:t>
      </w:r>
      <w:bookmarkEnd w:id="1"/>
      <w:r w:rsidRPr="00734B7C">
        <w:rPr>
          <w:rFonts w:ascii="Times New Roman" w:eastAsia="Calibri" w:hAnsi="Times New Roman" w:cs="Times New Roman"/>
          <w:b/>
          <w:color w:val="2D74B5"/>
          <w:sz w:val="28"/>
          <w:szCs w:val="28"/>
        </w:rPr>
        <w:t xml:space="preserve"> </w:t>
      </w:r>
    </w:p>
    <w:p w14:paraId="3820E300" w14:textId="77777777" w:rsidR="00734B7C" w:rsidRPr="00734B7C" w:rsidRDefault="00734B7C" w:rsidP="001A6444">
      <w:pPr>
        <w:spacing w:after="12" w:line="250" w:lineRule="auto"/>
        <w:ind w:left="360" w:right="201"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تُعد الجمارك أحد المكونات الرئيسة في المنظومة الاقتصادية والأمنية للدول، إذ تضطلع بدور محوري في تنظيم حركة التجارة الدولية، وحماية الاقتصاد الوطني، وتعزيز الأمن الوطني من خلال الرقابة على السلع والبضائع العابرة للحدود</w:t>
      </w:r>
      <w:r w:rsidRPr="00734B7C">
        <w:rPr>
          <w:rFonts w:ascii="Times New Roman" w:eastAsia="Simplified Arabic" w:hAnsi="Times New Roman" w:cs="Times New Roman" w:hint="cs"/>
          <w:color w:val="000000"/>
          <w:sz w:val="28"/>
          <w:szCs w:val="28"/>
          <w:rtl/>
        </w:rPr>
        <w:t xml:space="preserve"> ، </w:t>
      </w:r>
      <w:r w:rsidRPr="00734B7C">
        <w:rPr>
          <w:rFonts w:ascii="Times New Roman" w:eastAsia="Simplified Arabic" w:hAnsi="Times New Roman" w:cs="Times New Roman"/>
          <w:color w:val="000000"/>
          <w:sz w:val="28"/>
          <w:szCs w:val="28"/>
          <w:rtl/>
        </w:rPr>
        <w:t>وفي المملكة العربية السعودية تتولى هيئة الزكاة والضريبة والجمارك مسؤولية تنظيم العمليات الجمركية، وتحصيل الرسوم والضرائب، إضافة إلى ضمان سلامة السلع الواردة إلى السوق المحلي ومنع دخول المواد الممنوعة أو الضارة</w:t>
      </w:r>
      <w:r w:rsidRPr="00734B7C">
        <w:rPr>
          <w:rFonts w:ascii="Times New Roman" w:eastAsia="Simplified Arabic" w:hAnsi="Times New Roman" w:cs="Times New Roman" w:hint="cs"/>
          <w:color w:val="000000"/>
          <w:sz w:val="28"/>
          <w:szCs w:val="28"/>
          <w:rtl/>
        </w:rPr>
        <w:t xml:space="preserve"> ، </w:t>
      </w:r>
      <w:r w:rsidRPr="00734B7C">
        <w:rPr>
          <w:rFonts w:ascii="Times New Roman" w:eastAsia="Simplified Arabic" w:hAnsi="Times New Roman" w:cs="Times New Roman"/>
          <w:color w:val="000000"/>
          <w:sz w:val="28"/>
          <w:szCs w:val="28"/>
          <w:rtl/>
        </w:rPr>
        <w:t>ومع تسارع وتيرة التجارة العالمية وتزايد حجم التبادل التجاري، أصبحت الإدارات الجمركية تواجه تحديات متزايدة تتعلق بتعقّد المخاطر المرتبطة بعمليات الاستيراد والتصدير، مثل مخاطر التهريب والغش التجاري والمواد الممنوعة. </w:t>
      </w:r>
    </w:p>
    <w:p w14:paraId="60B15A94" w14:textId="77777777" w:rsidR="00734B7C" w:rsidRPr="00734B7C" w:rsidRDefault="00734B7C" w:rsidP="001A6444">
      <w:pPr>
        <w:spacing w:after="12" w:line="250" w:lineRule="auto"/>
        <w:ind w:left="360" w:right="201" w:hanging="1"/>
        <w:rPr>
          <w:rFonts w:ascii="Times New Roman" w:eastAsia="Simplified Arabic" w:hAnsi="Times New Roman" w:cs="Times New Roman"/>
          <w:color w:val="000000"/>
          <w:sz w:val="28"/>
          <w:szCs w:val="28"/>
          <w:rtl/>
        </w:rPr>
      </w:pPr>
    </w:p>
    <w:p w14:paraId="0EECC8F8" w14:textId="77777777" w:rsidR="00734B7C" w:rsidRPr="00734B7C" w:rsidRDefault="00734B7C" w:rsidP="001A6444">
      <w:pPr>
        <w:spacing w:after="12" w:line="250" w:lineRule="auto"/>
        <w:ind w:left="360" w:right="201"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وفي هذا السياق برز مفهوم إدارة المخاطر كأحد الأساليب الإدارية الحديثة التي تعتمد عليها الإدارات الجمركية لرفع كفاءة الرقابة الجمركية، وتحقيق التوازن بين تسهيل حركة التجارة المشروعة وتعزيز متطلبات الأمن الجمركي</w:t>
      </w:r>
      <w:r w:rsidRPr="00734B7C">
        <w:rPr>
          <w:rFonts w:ascii="Times New Roman" w:eastAsia="Simplified Arabic" w:hAnsi="Times New Roman" w:cs="Times New Roman" w:hint="cs"/>
          <w:color w:val="000000"/>
          <w:sz w:val="28"/>
          <w:szCs w:val="28"/>
          <w:rtl/>
        </w:rPr>
        <w:t xml:space="preserve"> ، </w:t>
      </w:r>
      <w:r w:rsidRPr="00734B7C">
        <w:rPr>
          <w:rFonts w:ascii="Times New Roman" w:eastAsia="Simplified Arabic" w:hAnsi="Times New Roman" w:cs="Times New Roman"/>
          <w:color w:val="000000"/>
          <w:sz w:val="28"/>
          <w:szCs w:val="28"/>
          <w:rtl/>
        </w:rPr>
        <w:t>وقد تناولت العديد من الدراسات السابقة موضوع إدارة المخاطر في العمل الجمركي، حيث أشارت بعض الدراسات إلى أن تطبيق أنظمة إدارة المخاطر يسهم في تحسين كفاءة الإجراءات الجمركية وتقليل زمن التخليص الجمركي، كما بينت دراسات أخرى أن تبني منهجية علمية لإدارة المخاطر يعزز قدرة الأجهزة الجمركية على اكتشاف محاولات التهريب والحد منها، إضافة إلى دعم عملية اتخاذ القرار من خلال تحليل البيانات وتحديد الشحنات عالية الخطورة.</w:t>
      </w:r>
    </w:p>
    <w:p w14:paraId="2CE68678" w14:textId="77777777" w:rsidR="00734B7C" w:rsidRPr="00734B7C" w:rsidRDefault="00734B7C" w:rsidP="001A6444">
      <w:pPr>
        <w:spacing w:after="12" w:line="250" w:lineRule="auto"/>
        <w:ind w:left="360" w:right="201" w:hanging="1"/>
        <w:rPr>
          <w:rFonts w:ascii="Times New Roman" w:eastAsia="Simplified Arabic" w:hAnsi="Times New Roman" w:cs="Times New Roman"/>
          <w:color w:val="000000"/>
          <w:sz w:val="28"/>
          <w:szCs w:val="28"/>
          <w:rtl/>
        </w:rPr>
      </w:pPr>
    </w:p>
    <w:p w14:paraId="22C18229" w14:textId="04ACB608" w:rsidR="00734B7C" w:rsidRPr="00734B7C" w:rsidRDefault="00734B7C" w:rsidP="001A6444">
      <w:pPr>
        <w:spacing w:after="12" w:line="250" w:lineRule="auto"/>
        <w:ind w:left="360" w:right="201"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وانطلاقًا من ذلك، تهدف هذه الدراسة إلى تحليل أثر إدارة المخاطر في تعزيز الأمن الجمركي ومكافحة التهريب في هيئة الزكاة والضريبة والجمارك في المملكة العربية السعودية، وذلك من خلال دراسة آليات تطبيق إدارة المخاطر في العمليات الجمركية، وتقييم فاعلية الأنظمة والإجراءات المعتمدة، إضافة إلى تحديد أبرز التحديات التي قد تواجه تطبيق هذا النهج الإداري</w:t>
      </w:r>
      <w:r w:rsidRPr="00734B7C">
        <w:rPr>
          <w:rFonts w:ascii="Times New Roman" w:eastAsia="Simplified Arabic" w:hAnsi="Times New Roman" w:cs="Times New Roman" w:hint="cs"/>
          <w:color w:val="000000"/>
          <w:sz w:val="28"/>
          <w:szCs w:val="28"/>
          <w:rtl/>
        </w:rPr>
        <w:t xml:space="preserve"> ،</w:t>
      </w:r>
      <w:r w:rsidRPr="00734B7C">
        <w:rPr>
          <w:rFonts w:ascii="Times New Roman" w:eastAsia="Simplified Arabic" w:hAnsi="Times New Roman" w:cs="Times New Roman"/>
          <w:color w:val="000000"/>
          <w:sz w:val="28"/>
          <w:szCs w:val="28"/>
          <w:rtl/>
        </w:rPr>
        <w:t xml:space="preserve">وتكمن أهمية هذه الدراسة في إبراز الدور الاستراتيجي لإدارة المخاطر في تطوير منظومة الأمن الجمركي، والمساهمة في تحسين كفاءة الأداء المؤسسي في هيئة الزكاة والضريبة والجمارك. كما تسعى الدراسة إلى تقديم إطار علمي يمكن أن يسهم في دعم جهود مكافحة التهريب وتعزيز قدرة الإدارة الجمركية على التعامل مع المخاطر المحتملة، بما يحقق التوازن بين متطلبات الأمن وتسهيل حركة التجارة </w:t>
      </w:r>
      <w:r w:rsidR="00663CD9" w:rsidRPr="00734B7C">
        <w:rPr>
          <w:rFonts w:ascii="Times New Roman" w:eastAsia="Simplified Arabic" w:hAnsi="Times New Roman" w:cs="Times New Roman" w:hint="cs"/>
          <w:color w:val="000000"/>
          <w:sz w:val="28"/>
          <w:szCs w:val="28"/>
          <w:rtl/>
        </w:rPr>
        <w:t>الدولية،</w:t>
      </w:r>
      <w:r w:rsidRPr="00734B7C">
        <w:rPr>
          <w:rFonts w:ascii="Times New Roman" w:eastAsia="Simplified Arabic" w:hAnsi="Times New Roman" w:cs="Times New Roman" w:hint="cs"/>
          <w:color w:val="000000"/>
          <w:sz w:val="28"/>
          <w:szCs w:val="28"/>
          <w:rtl/>
        </w:rPr>
        <w:t xml:space="preserve"> </w:t>
      </w:r>
      <w:r w:rsidRPr="00734B7C">
        <w:rPr>
          <w:rFonts w:ascii="Times New Roman" w:eastAsia="Simplified Arabic" w:hAnsi="Times New Roman" w:cs="Times New Roman"/>
          <w:color w:val="000000"/>
          <w:sz w:val="28"/>
          <w:szCs w:val="28"/>
          <w:rtl/>
        </w:rPr>
        <w:t>كما يتطلب تطوير منظومة إدارة المخاطر في العمل الجمركي تكاملًا بين الأنظمة التقنية الحديثة، وتنمية القدرات البشرية، والتخطيط الاستراتيجي الفعّال. وعلى الرغم من الجهود المبذولة في هذا المجال، إلا أن الحاجة ما تزال قائمة لدراسة وتقييم الأساليب الحالية وتحديد فرص تطويرها بما يتناسب مع المتغيرات المتسارعة في البيئة التجارية. </w:t>
      </w:r>
    </w:p>
    <w:p w14:paraId="74AB2D31" w14:textId="77777777" w:rsidR="00734B7C" w:rsidRPr="00734B7C" w:rsidRDefault="00734B7C" w:rsidP="001A6444">
      <w:pPr>
        <w:keepNext/>
        <w:keepLines/>
        <w:spacing w:after="2" w:line="259" w:lineRule="auto"/>
        <w:ind w:right="1"/>
        <w:jc w:val="right"/>
        <w:outlineLvl w:val="1"/>
        <w:rPr>
          <w:rFonts w:ascii="Times New Roman" w:eastAsia="Calibri" w:hAnsi="Times New Roman" w:cs="Times New Roman"/>
          <w:color w:val="2D74B5"/>
          <w:sz w:val="28"/>
          <w:szCs w:val="28"/>
        </w:rPr>
      </w:pPr>
    </w:p>
    <w:p w14:paraId="65F1A9E2"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Pr>
      </w:pPr>
      <w:r w:rsidRPr="00734B7C">
        <w:rPr>
          <w:rFonts w:ascii="Simplified Arabic" w:eastAsia="Simplified Arabic" w:hAnsi="Simplified Arabic" w:cs="Simplified Arabic"/>
          <w:b/>
          <w:color w:val="2D74B5"/>
          <w:sz w:val="36"/>
        </w:rPr>
        <w:t xml:space="preserve">  </w:t>
      </w:r>
      <w:bookmarkStart w:id="2" w:name="_Toc224413006"/>
      <w:r w:rsidRPr="00734B7C">
        <w:rPr>
          <w:rFonts w:ascii="Simplified Arabic" w:eastAsia="Simplified Arabic" w:hAnsi="Simplified Arabic" w:cs="Simplified Arabic"/>
          <w:b/>
          <w:color w:val="2D74B5"/>
          <w:sz w:val="36"/>
        </w:rPr>
        <w:t xml:space="preserve">: research problem </w:t>
      </w:r>
      <w:r w:rsidRPr="00734B7C">
        <w:rPr>
          <w:rFonts w:ascii="Simplified Arabic" w:eastAsia="Simplified Arabic" w:hAnsi="Simplified Arabic" w:cs="Simplified Arabic"/>
          <w:b/>
          <w:color w:val="2D74B5"/>
          <w:sz w:val="36"/>
          <w:szCs w:val="36"/>
          <w:rtl/>
        </w:rPr>
        <w:t>مشكلة البحث</w:t>
      </w:r>
      <w:r w:rsidRPr="00734B7C">
        <w:rPr>
          <w:rFonts w:ascii="Simplified Arabic" w:eastAsia="Simplified Arabic" w:hAnsi="Simplified Arabic" w:cs="Simplified Arabic"/>
          <w:b/>
          <w:color w:val="2D74B5"/>
          <w:sz w:val="36"/>
        </w:rPr>
        <w:t xml:space="preserve"> 1.2</w:t>
      </w:r>
      <w:bookmarkEnd w:id="2"/>
    </w:p>
    <w:p w14:paraId="030F3153" w14:textId="77777777" w:rsidR="00734B7C" w:rsidRPr="00734B7C" w:rsidRDefault="00734B7C" w:rsidP="001A6444">
      <w:pPr>
        <w:spacing w:after="0" w:line="259" w:lineRule="auto"/>
        <w:ind w:right="409"/>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Pr>
        <w:t xml:space="preserve"> </w:t>
      </w:r>
    </w:p>
    <w:p w14:paraId="78E3F80B" w14:textId="2DEE0A64" w:rsidR="00734B7C" w:rsidRPr="00734B7C" w:rsidRDefault="00734B7C" w:rsidP="001A6444">
      <w:pPr>
        <w:spacing w:after="0" w:line="259" w:lineRule="auto"/>
        <w:ind w:right="414"/>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 xml:space="preserve">مع التطور المتسارع في حركة التجارة الدولية وزيادة حجم التبادل التجاري بين الدول، أصبحت الإدارات الجمركية تواجه تحديات متزايدة تتعلق بضرورة تحقيق التوازن بين تسهيل حركة التجارة الدولية وتعزيز الأمن الجمركي ومكافحة التهريب. ويُعد تطبيق إدارة المخاطر من الأساليب الإدارية الحديثة التي تعتمد عليها المؤسسات الجمركية لتحديد المخاطر المحتملة وتوجيه الموارد والإجراءات الرقابية نحو الشحنات والأنشطة ذات الخطورة المرتفعة، بما يسهم في رفع كفاءة العمليات الجمركية وتحسين فعالية </w:t>
      </w:r>
      <w:r w:rsidR="00663CD9" w:rsidRPr="00734B7C">
        <w:rPr>
          <w:rFonts w:ascii="Times New Roman" w:eastAsia="Simplified Arabic" w:hAnsi="Times New Roman" w:cs="Times New Roman" w:hint="cs"/>
          <w:color w:val="000000"/>
          <w:sz w:val="28"/>
          <w:szCs w:val="28"/>
          <w:rtl/>
        </w:rPr>
        <w:t>الرقابة، وقد</w:t>
      </w:r>
      <w:r w:rsidRPr="00734B7C">
        <w:rPr>
          <w:rFonts w:ascii="Times New Roman" w:eastAsia="Simplified Arabic" w:hAnsi="Times New Roman" w:cs="Times New Roman"/>
          <w:color w:val="000000"/>
          <w:sz w:val="28"/>
          <w:szCs w:val="28"/>
          <w:rtl/>
        </w:rPr>
        <w:t xml:space="preserve"> أشارت العديد من الدراسات السابقة إلى أهمية إدارة المخاطر في تحسين كفاءة الأداء الجمركي وتعزيز القدرة على الكشف المبكر عن عمليات التهريب. فقد بينت بعض الدراسات أن تطبيق استراتيجيات إدارة المخاطر يسهم في تقليل المخاطر الاقتصادية وتحسين سرعة الإجراءات الجمركية، كما أوضحت دراسات أخرى أن توظيف التقنيات الحديثة مثل الذكاء الاصطناعي وتحليل البيانات الضخمة يعزز قدرة الأجهزة الجمركية على التنبؤ بالمخاطر وتحليلها بشكل أكثر دقة. كما أكدت بعض الدراسات الأجنبية أن استخدام التقنيات الحديثة مثل التعلم الآلي والحوسبة السحابية يسهم في تحسين كفاءة أنظمة إدارة المخاطر وتعزيز قدرة الإدارات الجمركية على التعامل مع التهديدات الأمنية </w:t>
      </w:r>
      <w:r w:rsidRPr="00734B7C">
        <w:rPr>
          <w:rFonts w:ascii="Times New Roman" w:eastAsia="Simplified Arabic" w:hAnsi="Times New Roman" w:cs="Times New Roman" w:hint="cs"/>
          <w:color w:val="000000"/>
          <w:sz w:val="28"/>
          <w:szCs w:val="28"/>
          <w:rtl/>
        </w:rPr>
        <w:t xml:space="preserve">والاقتصادية، </w:t>
      </w:r>
      <w:r w:rsidRPr="00734B7C">
        <w:rPr>
          <w:rFonts w:ascii="Times New Roman" w:eastAsia="Simplified Arabic" w:hAnsi="Times New Roman" w:cs="Times New Roman"/>
          <w:color w:val="000000"/>
          <w:sz w:val="28"/>
          <w:szCs w:val="28"/>
          <w:rtl/>
        </w:rPr>
        <w:t>وعلى الرغم من هذه النتائج، إلا أن بعض الدراسات أشارت إلى وجود تحديات ومعوقات قد تحد من فعالية تطبيق إدارة المخاطر في المؤسسات الجمركية، مثل ضعف التكامل بين الأنظمة التقنية والإدارية، وقصور برامج التدريب المتخصصة، إضافة إلى التحديات المرتبطة بتبني التقنيات الحديثة في تحليل المخاطر.</w:t>
      </w:r>
    </w:p>
    <w:p w14:paraId="5CAFB55C"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tl/>
        </w:rPr>
      </w:pPr>
    </w:p>
    <w:p w14:paraId="5BCD6276"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وفي ضوء ذلك، تتمثل مشكلة الدراسة في الحاجة إلى التعرف على مدى فاعلية تطبيق استراتيجيات إدارة المخاطر في تعزيز الأمن الجمركي ومكافحة التهريب في هيئة الزكاة والضريبة والجمارك في المملكة العربية السعودية، وكذلك تحديد التحديات التي قد تواجه الموظفين العاملين في الهيئة عند تطبيق هذه الاستراتيجيات في بيئة العمل الجمركي.</w:t>
      </w:r>
    </w:p>
    <w:p w14:paraId="7147331D"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tl/>
        </w:rPr>
      </w:pPr>
    </w:p>
    <w:p w14:paraId="5380CF1A"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وتسعى هذه الدراسة إلى الإسهام في إثراء المعرفة العلمية في مجال إدارة المخاطر الجمركية من خلال دراسة تطبيقية على موظفي هيئة الزكاة والضريبة والجمارك، وذلك بهدف تقديم نتائج علمية وتوصيات عملية يمكن أن تسهم في تطوير آليات إدارة المخاطر، وتعزيز الأمن الجمركي، والحد من عمليات التهريب، بما يدعم كفاءة الأداء المؤسسي ويتماشى مع التوجهات التنموية للمملكة العربية السعودية.</w:t>
      </w:r>
    </w:p>
    <w:p w14:paraId="0F96041F"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tl/>
        </w:rPr>
      </w:pPr>
    </w:p>
    <w:p w14:paraId="0928CD6A"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سؤال الدراسة الرئيسي:</w:t>
      </w:r>
    </w:p>
    <w:p w14:paraId="7D5D1F2A"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tl/>
        </w:rPr>
      </w:pPr>
    </w:p>
    <w:p w14:paraId="78818F48" w14:textId="77777777" w:rsidR="00734B7C" w:rsidRPr="00734B7C" w:rsidRDefault="00734B7C" w:rsidP="001A6444">
      <w:pPr>
        <w:spacing w:after="0" w:line="259" w:lineRule="auto"/>
        <w:ind w:right="414"/>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ما أثر تطبيق استراتيجيات إدارة المخاطر في تعزيز الأمن الجمركي والحد من عمليات التهريب في هيئة الزكاة والضريبة والجمارك في المملكة العربية السعودية من وجهة نظر الموظفين العاملين فيها؟</w:t>
      </w:r>
    </w:p>
    <w:p w14:paraId="1D62B545" w14:textId="77777777" w:rsidR="00734B7C" w:rsidRPr="00734B7C" w:rsidRDefault="00734B7C" w:rsidP="001A6444">
      <w:pPr>
        <w:spacing w:after="0" w:line="259" w:lineRule="auto"/>
        <w:ind w:right="414"/>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b/>
          <w:color w:val="000000"/>
          <w:sz w:val="28"/>
          <w:szCs w:val="28"/>
        </w:rPr>
        <w:lastRenderedPageBreak/>
        <w:t xml:space="preserve">   </w:t>
      </w:r>
    </w:p>
    <w:p w14:paraId="6ED0D222"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2"/>
          <w:szCs w:val="32"/>
        </w:rPr>
      </w:pPr>
      <w:r w:rsidRPr="00734B7C">
        <w:rPr>
          <w:rFonts w:ascii="Simplified Arabic" w:eastAsia="Simplified Arabic" w:hAnsi="Simplified Arabic" w:cs="Simplified Arabic"/>
          <w:b/>
          <w:color w:val="2D74B5"/>
          <w:sz w:val="32"/>
          <w:szCs w:val="32"/>
        </w:rPr>
        <w:t xml:space="preserve"> </w:t>
      </w:r>
      <w:r w:rsidRPr="00734B7C">
        <w:rPr>
          <w:rFonts w:ascii="Simplified Arabic" w:eastAsia="Simplified Arabic" w:hAnsi="Simplified Arabic" w:cs="Simplified Arabic"/>
          <w:b/>
          <w:color w:val="2D74B5"/>
          <w:sz w:val="32"/>
          <w:szCs w:val="32"/>
          <w:vertAlign w:val="subscript"/>
        </w:rPr>
        <w:t xml:space="preserve"> </w:t>
      </w:r>
      <w:bookmarkStart w:id="3" w:name="_Toc224413007"/>
      <w:r w:rsidRPr="00734B7C">
        <w:rPr>
          <w:rFonts w:ascii="Simplified Arabic" w:eastAsia="Simplified Arabic" w:hAnsi="Simplified Arabic" w:cs="Simplified Arabic"/>
          <w:b/>
          <w:color w:val="2D74B5"/>
          <w:sz w:val="32"/>
          <w:szCs w:val="32"/>
          <w:vertAlign w:val="subscript"/>
        </w:rPr>
        <w:t>:</w:t>
      </w:r>
      <w:r w:rsidRPr="00734B7C">
        <w:rPr>
          <w:rFonts w:ascii="Simplified Arabic" w:eastAsia="Simplified Arabic" w:hAnsi="Simplified Arabic" w:cs="Simplified Arabic"/>
          <w:b/>
          <w:color w:val="2D74B5"/>
          <w:sz w:val="32"/>
          <w:szCs w:val="32"/>
        </w:rPr>
        <w:t xml:space="preserve"> research importance</w:t>
      </w:r>
      <w:r w:rsidRPr="00734B7C">
        <w:rPr>
          <w:rFonts w:ascii="Simplified Arabic" w:eastAsia="Simplified Arabic" w:hAnsi="Simplified Arabic" w:cs="Simplified Arabic"/>
          <w:b/>
          <w:color w:val="2D74B5"/>
          <w:sz w:val="32"/>
          <w:szCs w:val="32"/>
          <w:vertAlign w:val="subscript"/>
        </w:rPr>
        <w:t xml:space="preserve"> </w:t>
      </w:r>
      <w:r w:rsidRPr="00734B7C">
        <w:rPr>
          <w:rFonts w:ascii="Simplified Arabic" w:eastAsia="Simplified Arabic" w:hAnsi="Simplified Arabic" w:cs="Simplified Arabic"/>
          <w:b/>
          <w:bCs/>
          <w:color w:val="2D74B5"/>
          <w:sz w:val="32"/>
          <w:szCs w:val="32"/>
          <w:rtl/>
        </w:rPr>
        <w:t>أهمية البحث</w:t>
      </w:r>
      <w:r w:rsidRPr="00734B7C">
        <w:rPr>
          <w:rFonts w:ascii="Simplified Arabic" w:eastAsia="Simplified Arabic" w:hAnsi="Simplified Arabic" w:cs="Simplified Arabic"/>
          <w:b/>
          <w:color w:val="2D74B5"/>
          <w:sz w:val="32"/>
          <w:szCs w:val="32"/>
        </w:rPr>
        <w:t xml:space="preserve"> </w:t>
      </w:r>
      <w:r w:rsidRPr="00734B7C">
        <w:rPr>
          <w:rFonts w:ascii="Simplified Arabic" w:eastAsia="Calibri" w:hAnsi="Simplified Arabic" w:cs="Simplified Arabic"/>
          <w:b/>
          <w:color w:val="2D74B5"/>
          <w:sz w:val="32"/>
          <w:szCs w:val="32"/>
        </w:rPr>
        <w:t>1.3</w:t>
      </w:r>
      <w:bookmarkEnd w:id="3"/>
    </w:p>
    <w:p w14:paraId="5C1A59C9" w14:textId="77777777" w:rsidR="00734B7C" w:rsidRPr="00734B7C" w:rsidRDefault="00734B7C" w:rsidP="001A6444">
      <w:pPr>
        <w:spacing w:after="0" w:line="259" w:lineRule="auto"/>
        <w:ind w:right="409"/>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Pr>
        <w:t xml:space="preserve"> </w:t>
      </w:r>
    </w:p>
    <w:p w14:paraId="79F36289"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يشكل الأمن الجمركي أحد الركائز الأساسية للحفاظ على سلامة الاقتصاد الوطني وتعزيز الاستقرار الاقتصادي والاجتماعي في المملكة العربية السعودية. ومع تزايد حركة التجارة العالمية وتعقيد سلاسل الإمداد، تواجه الهيئات الجمركية مجموعة متنوعة من التحديات التي قد تهدد الأمن الاقتصادي والاجتماعي، مثل تهريب البضائع، تداول السلع المقلدة، أو دخول منتجات غير قانونية قد تؤثر على الأسواق المحلية وسلامة المستهلكين.</w:t>
      </w:r>
    </w:p>
    <w:p w14:paraId="09181EE7"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7D664494"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في هذا السياق، تعتبر إدارة المخاطر أداة استراتيجية أساسية لتعزيز قدرة الهيئات الجمركية على مواجهة هذه التحديات بفعالية، ورفع مستوى الأمن الجمركي من خلال تقليل المخاطر المحتملة، ووضع خطط للتعامل مع التهديدات، بما يحقق التوازن بين تسهيل حركة التجارة وحماية الاقتصاد الوطني ومنع دخول البضائع المهربة أو الضارة.</w:t>
      </w:r>
    </w:p>
    <w:p w14:paraId="5761D89A" w14:textId="77777777" w:rsidR="00734B7C" w:rsidRPr="00734B7C" w:rsidRDefault="00734B7C" w:rsidP="001A6444">
      <w:pPr>
        <w:spacing w:after="3" w:line="261" w:lineRule="auto"/>
        <w:ind w:left="1" w:right="139" w:hanging="1"/>
        <w:rPr>
          <w:rFonts w:ascii="Times New Roman" w:eastAsia="Simplified Arabic" w:hAnsi="Times New Roman" w:cs="Times New Roman"/>
          <w:color w:val="000000"/>
          <w:sz w:val="28"/>
          <w:szCs w:val="28"/>
          <w:rtl/>
        </w:rPr>
      </w:pPr>
    </w:p>
    <w:p w14:paraId="5FBF6914" w14:textId="77777777" w:rsidR="00734B7C" w:rsidRPr="00734B7C" w:rsidRDefault="00734B7C" w:rsidP="001A6444">
      <w:pPr>
        <w:spacing w:after="3" w:line="261" w:lineRule="auto"/>
        <w:ind w:left="353" w:right="139" w:hanging="2"/>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1. أهمية الدراسة من الناحية العلمية</w:t>
      </w:r>
    </w:p>
    <w:p w14:paraId="4D2F1C00"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توسيع المعرفة الأكاديمية: تقدم الدراسة منظورًا جديدًا لإدارة المخاطر في القطاع الجمركي، مع التركيز على الدور الحيوي لهذه الإدارة في تعزيز الأمن الجمركي ومكافحة التهريب، والاستفادة من التقنيات الحديثة مثل الذكاء الاصطناعي وتحليل البيانات الكبيرة.</w:t>
      </w:r>
    </w:p>
    <w:p w14:paraId="23520FE2"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ربط النظرية بالتطبيق: توفر الدراسة فهمًا معمقًا لكيفية دمج أساليب إدارة المخاطر مع العمليات الجمركية اليومية، بما يدعم تطوير أطر نظرية قابلة للتطبيق العملي لتعزيز الأمن ومكافحة التهريب.</w:t>
      </w:r>
    </w:p>
    <w:p w14:paraId="1E380973"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سد الفجوات البحثية: تهدف الدراسة إلى معالجة القصور في الدراسات السابقة التي اقتصرت على الأساليب التقليدية دون الأخذ في الاعتبار دور التكنولوجيا والابتكار في الحد من المخاطر وتعزيز مكافحة التهريب.</w:t>
      </w:r>
    </w:p>
    <w:p w14:paraId="66CF4B07"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تعزيز الثقافة المؤسسية: تركز الدراسة على أهمية غرس ثقافة إدارة المخاطر بين موظفي الهيئات الجمركية، بما يشمل التدريب المستمر وزيادة الوعي بأهمية التخطيط الاستباقي لمواجهة التهريب وضمان الأمن الجمركي.</w:t>
      </w:r>
    </w:p>
    <w:p w14:paraId="397E4BF9"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3D354FAC" w14:textId="77777777" w:rsidR="00734B7C" w:rsidRPr="00734B7C" w:rsidRDefault="00734B7C" w:rsidP="001A6444">
      <w:pPr>
        <w:spacing w:after="3" w:line="261" w:lineRule="auto"/>
        <w:ind w:left="353" w:right="139" w:hanging="2"/>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2. أهمية الدراسة من الناحية العملية</w:t>
      </w:r>
    </w:p>
    <w:p w14:paraId="413E4683"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رفع كفاءة الإجراءات الجمركية: تساعد إدارة المخاطر على توجيه الموارد نحو أولويات محددة، مما يقلل الأخطاء ويسرّع الإجراءات، ويخفض التكاليف المرتبطة بالعمليات الجمركية التقليدية، ويسهم في تعزيز الأمن الجمركي.</w:t>
      </w:r>
    </w:p>
    <w:p w14:paraId="0D23DEF1"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تحسين الامتثال والشفافية: من خلال دمج أدوات التكنولوجيا الحديثة، يمكن تعزيز الرقابة على حركة البضائع، ضمان الالتزام بالقوانين، وتقليل فرص التهريب والممارسات غير القانونية.</w:t>
      </w:r>
    </w:p>
    <w:p w14:paraId="342C84BD"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تقديم حلول مبتكرة للتحديات الواقعية: توفر الدراسة أدوات عملية لتقليل المخاطر المحتملة، تحديد الأولويات، والتعامل مع التهديدات الجديدة بسرعة وفعالية.</w:t>
      </w:r>
    </w:p>
    <w:p w14:paraId="2AED218D"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دعم الاقتصاد الوطني وتعزيز التنافسية الدولية: من خلال تحسين الإجراءات وإدارة المخاطر، تسهم الهيئات الجمركية في خلق بيئة تجارية أكثر أمانًا، وتعزيز القدرة التنافسية للمملكة، ومنع دخول البضائع المهربة أو الضارة إلى الأسواق.</w:t>
      </w:r>
    </w:p>
    <w:p w14:paraId="662CDE5C"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625B5BD7" w14:textId="77777777" w:rsidR="00734B7C" w:rsidRPr="00734B7C" w:rsidRDefault="00734B7C" w:rsidP="001A6444">
      <w:pPr>
        <w:spacing w:after="3" w:line="261" w:lineRule="auto"/>
        <w:ind w:left="353" w:right="139" w:hanging="2"/>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3. مكان الدراسة بين الدراسات السابقة</w:t>
      </w:r>
    </w:p>
    <w:p w14:paraId="65DF40F0"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40CB1E5D"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على الرغم من أن الدراسات السابقة تناولت إدارة المخاطر في القطاع الجمركي وعدة قطاعات حكومية، إلا أن معظمها ركز على الأساليب التقليدية ولم يأخذ في الاعتبار تأثير الأدوات التكنولوجية الحديثة مثل الذكاء الاصطناعي وتحليل البيانات الكبيرة والتعلم الآلي. مع تطور هذه التقنيات، أصبح من الضروري دمجها لتعزيز فعالية إدارة المخاطر، زيادة قدرة الهيئات الجمركية على مكافحة التهريب، والحفاظ على الأمن الجمركي.</w:t>
      </w:r>
    </w:p>
    <w:p w14:paraId="4B58B432"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2505B6E9"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تسعى الدراسة الحالية إلى سد هذه الفجوة البحثية من خلال تقديم إطار متكامل يوضح كيفية الاستفادة من التكنولوجيا الحديثة في إدارة المخاطر الجمركية، مع اقتراح حلول عملية للتحديات اليومية التي تواجه الهيئات الجمركية بالمملكة لتعزيز الأمن ومكافحة التهريب.</w:t>
      </w:r>
    </w:p>
    <w:p w14:paraId="6746CCD4"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222CC619" w14:textId="77777777" w:rsidR="00734B7C" w:rsidRPr="00734B7C" w:rsidRDefault="00734B7C" w:rsidP="001A6444">
      <w:pPr>
        <w:spacing w:after="3" w:line="261" w:lineRule="auto"/>
        <w:ind w:left="353" w:right="139" w:hanging="2"/>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4. الجديد والابتكار في الدراسة</w:t>
      </w:r>
    </w:p>
    <w:p w14:paraId="2AB861D5"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7E8DFD6B"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تتميز الدراسة بأنها تقدم نهجًا مبتكرًا لإدارة المخاطر، يعتمد على دمج أحدث التقنيات التكنولوجية في العمليات الجمركية، بما في ذلك:</w:t>
      </w:r>
    </w:p>
    <w:p w14:paraId="283FF84B"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الذكاء الاصطناعي والتعلم الآلي لتوقع المخاطر وتحليل البيانات الكبيرة بسرعة ودقة، بما يعزز مكافحة التهريب.</w:t>
      </w:r>
    </w:p>
    <w:p w14:paraId="392529FE"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تحسين نظام اتخاذ القرار داخل الهيئات الجمركية من خلال نماذج تقييم المخاطر الحديثة لضمان الأمن الجمركي.</w:t>
      </w:r>
    </w:p>
    <w:p w14:paraId="61C8B975"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زيادة الشفافية والامتثال عبر أدوات الرقابة الذكية، التي تقلل من احتمالية حدوث مخالفات أو التهريب.</w:t>
      </w:r>
    </w:p>
    <w:p w14:paraId="6C7FA294"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تعزيز ثقافة إدارة المخاطر بين الموظفين عبر برامج تدريبية وتوعوية مستمرة، لرفع كفاءة مواجهة التهريب وتعزيز الأمن.</w:t>
      </w:r>
    </w:p>
    <w:p w14:paraId="778D093D"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خلق بيئة عمل آمنة وفعالة تدعم الأداء العالي للهيئات الجمركية وتحسن القدرة على منع التهريب وحماية الأسواق المحلية.</w:t>
      </w:r>
    </w:p>
    <w:p w14:paraId="78A86490"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tl/>
        </w:rPr>
      </w:pPr>
    </w:p>
    <w:p w14:paraId="6F26EECE" w14:textId="77777777" w:rsidR="00734B7C" w:rsidRPr="00734B7C" w:rsidRDefault="00734B7C" w:rsidP="001A6444">
      <w:pPr>
        <w:spacing w:after="3" w:line="261" w:lineRule="auto"/>
        <w:ind w:left="353" w:right="139" w:hanging="2"/>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بهذا الإطار، تسعى الدراسة إلى تقديم حلول عملية ومبتكرة لتعزيز كفاءة الأداء الجمركي، زيادة الثقة في النظام الجمركي، وتحقيق الأمن ومكافحة التهريب بشكل فعّال ومستدام في المملكة العربية</w:t>
      </w:r>
      <w:r w:rsidRPr="00734B7C">
        <w:rPr>
          <w:rFonts w:ascii="Times New Roman" w:eastAsia="Simplified Arabic" w:hAnsi="Times New Roman" w:cs="Times New Roman" w:hint="cs"/>
          <w:color w:val="000000"/>
          <w:sz w:val="28"/>
          <w:szCs w:val="28"/>
          <w:rtl/>
        </w:rPr>
        <w:t xml:space="preserve"> السعودية</w:t>
      </w:r>
      <w:r w:rsidRPr="00734B7C">
        <w:rPr>
          <w:rFonts w:ascii="Simplified Arabic" w:eastAsia="Simplified Arabic" w:hAnsi="Simplified Arabic" w:cs="Simplified Arabic"/>
          <w:color w:val="000000"/>
          <w:sz w:val="28"/>
          <w:szCs w:val="28"/>
        </w:rPr>
        <w:t xml:space="preserve"> </w:t>
      </w:r>
      <w:r w:rsidRPr="00734B7C">
        <w:rPr>
          <w:rFonts w:ascii="Simplified Arabic" w:eastAsia="Simplified Arabic" w:hAnsi="Simplified Arabic" w:cs="Simplified Arabic"/>
          <w:b/>
          <w:color w:val="000000"/>
          <w:sz w:val="28"/>
          <w:szCs w:val="28"/>
        </w:rPr>
        <w:t xml:space="preserve">  </w:t>
      </w:r>
    </w:p>
    <w:p w14:paraId="43A456D6" w14:textId="77777777" w:rsidR="00734B7C" w:rsidRPr="00734B7C" w:rsidRDefault="00734B7C" w:rsidP="001A6444">
      <w:pPr>
        <w:keepNext/>
        <w:keepLines/>
        <w:spacing w:after="5" w:line="259" w:lineRule="auto"/>
        <w:ind w:left="10" w:right="-11" w:hanging="10"/>
        <w:jc w:val="right"/>
        <w:outlineLvl w:val="2"/>
        <w:rPr>
          <w:rFonts w:ascii="Times New Roman" w:eastAsia="Times New Roman" w:hAnsi="Times New Roman" w:cs="Times New Roman"/>
          <w:b/>
          <w:color w:val="2D74B5"/>
          <w:sz w:val="28"/>
          <w:szCs w:val="28"/>
          <w:rtl/>
        </w:rPr>
      </w:pPr>
      <w:r w:rsidRPr="00734B7C">
        <w:rPr>
          <w:rFonts w:ascii="Times New Roman" w:eastAsia="Times New Roman" w:hAnsi="Times New Roman" w:cs="Times New Roman"/>
          <w:b/>
          <w:color w:val="2D74B5"/>
          <w:sz w:val="28"/>
          <w:szCs w:val="28"/>
        </w:rPr>
        <w:t xml:space="preserve"> </w:t>
      </w:r>
      <w:bookmarkStart w:id="4" w:name="_Toc224413008"/>
      <w:r w:rsidRPr="00734B7C">
        <w:rPr>
          <w:rFonts w:ascii="Times New Roman" w:eastAsia="Times New Roman" w:hAnsi="Times New Roman" w:cs="Times New Roman"/>
          <w:b/>
          <w:color w:val="2D74B5"/>
          <w:sz w:val="28"/>
          <w:szCs w:val="28"/>
        </w:rPr>
        <w:t>:  research objectives</w:t>
      </w:r>
      <w:r w:rsidRPr="00734B7C">
        <w:rPr>
          <w:rFonts w:ascii="Times New Roman" w:eastAsia="Calibri" w:hAnsi="Times New Roman" w:cs="Times New Roman"/>
          <w:color w:val="2D74B5"/>
          <w:sz w:val="28"/>
          <w:szCs w:val="28"/>
        </w:rPr>
        <w:t xml:space="preserve"> </w:t>
      </w:r>
      <w:r w:rsidRPr="00734B7C">
        <w:rPr>
          <w:rFonts w:ascii="Times New Roman" w:eastAsia="Times New Roman" w:hAnsi="Times New Roman" w:cs="Times New Roman"/>
          <w:b/>
          <w:bCs/>
          <w:color w:val="2D74B5"/>
          <w:sz w:val="28"/>
          <w:szCs w:val="28"/>
          <w:rtl/>
        </w:rPr>
        <w:t>أهداف البحث</w:t>
      </w:r>
      <w:r w:rsidRPr="00734B7C">
        <w:rPr>
          <w:rFonts w:ascii="Times New Roman" w:eastAsia="Times New Roman" w:hAnsi="Times New Roman" w:cs="Times New Roman"/>
          <w:b/>
          <w:color w:val="2D74B5"/>
          <w:sz w:val="28"/>
          <w:szCs w:val="28"/>
        </w:rPr>
        <w:t xml:space="preserve"> </w:t>
      </w:r>
      <w:r w:rsidRPr="00734B7C">
        <w:rPr>
          <w:rFonts w:ascii="Times New Roman" w:eastAsia="Calibri" w:hAnsi="Times New Roman" w:cs="Times New Roman"/>
          <w:color w:val="2D74B5"/>
          <w:sz w:val="28"/>
          <w:szCs w:val="28"/>
        </w:rPr>
        <w:t>1.4</w:t>
      </w:r>
      <w:bookmarkEnd w:id="4"/>
    </w:p>
    <w:p w14:paraId="12A42F47"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Pr>
      </w:pPr>
    </w:p>
    <w:p w14:paraId="3FB680F9"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تهدف هذه الدراسة إلى تحليل أثر إدارة المخاطر في تعزيز الأمن الجمركي ورفع كفاءة الإجراءات ومكافحة التهريب داخل هيئة الزكاة والضريبة والجمارك في المملكة العربية السعودية، وذلك من خلال</w:t>
      </w:r>
      <w:r w:rsidRPr="00734B7C">
        <w:rPr>
          <w:rFonts w:ascii="Times New Roman" w:eastAsia="Simplified Arabic" w:hAnsi="Times New Roman" w:cs="Times New Roman" w:hint="cs"/>
          <w:color w:val="000000"/>
          <w:sz w:val="28"/>
          <w:szCs w:val="28"/>
          <w:rtl/>
        </w:rPr>
        <w:t xml:space="preserve"> </w:t>
      </w:r>
      <w:r w:rsidRPr="00734B7C">
        <w:rPr>
          <w:rFonts w:ascii="Times New Roman" w:eastAsia="Simplified Arabic" w:hAnsi="Times New Roman" w:cs="Times New Roman"/>
          <w:color w:val="000000"/>
          <w:sz w:val="28"/>
          <w:szCs w:val="28"/>
          <w:rtl/>
        </w:rPr>
        <w:t>الهدف الرئيسي للدراسة</w:t>
      </w:r>
      <w:r w:rsidRPr="00734B7C">
        <w:rPr>
          <w:rFonts w:ascii="Times New Roman" w:eastAsia="Simplified Arabic" w:hAnsi="Times New Roman" w:cs="Times New Roman" w:hint="cs"/>
          <w:color w:val="000000"/>
          <w:sz w:val="28"/>
          <w:szCs w:val="28"/>
          <w:rtl/>
        </w:rPr>
        <w:t xml:space="preserve"> وهو:</w:t>
      </w:r>
    </w:p>
    <w:p w14:paraId="577EA38D"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p>
    <w:p w14:paraId="305542EC"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تحليل أثر تطبيق إدارة المخاطر في تعزيز الأمن الجمركي ومكافحة التهريب ورفع كفاءة الإجراءات الجمركية في هيئة الزكاة والضريبة والجمارك في المملكة العربية السعودية.</w:t>
      </w:r>
    </w:p>
    <w:p w14:paraId="51F52463"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وينبثق من هذا الهدف عدة أهداف فرعية وهي: </w:t>
      </w:r>
    </w:p>
    <w:p w14:paraId="4481BCD6"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التعرف على دور إدارة المخاطر في تحسين كفاءة العمليات والإجراءات الجمركية.</w:t>
      </w:r>
    </w:p>
    <w:p w14:paraId="40363389"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تحديد أثر تحديد المخاطر وتقييمها ووضع استراتيجيات التخفيف منها في تحسين الأداء الجمركي.</w:t>
      </w:r>
    </w:p>
    <w:p w14:paraId="7A63E7C8"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استكشاف دور التقنيات الحديثة وتحليل البيانات الرقمية في دعم أنظمة إدارة المخاطر والكشف المبكر عن التهريب.</w:t>
      </w:r>
    </w:p>
    <w:p w14:paraId="65BFDBC4"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تحليل دور التدريب والوعي المؤسسي في تعزيز تطبيق إدارة المخاطر لدى موظفي الهيئة.</w:t>
      </w:r>
    </w:p>
    <w:p w14:paraId="0C5ECEA4"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بيان أثر إدارة المخاطر في تعزيز الأمن الاقتصادي والحد من دخول السلع غير النظامية أو الضارة.</w:t>
      </w:r>
    </w:p>
    <w:p w14:paraId="2C2A144A"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6. توضيح العلاقة بين إدارة المخاطر وتحقيق التوازن بين سرعة الإجراءات الجمركية ودقتها</w:t>
      </w:r>
    </w:p>
    <w:p w14:paraId="2A714A26" w14:textId="60E8967F" w:rsidR="00663CD9" w:rsidRPr="00734B7C" w:rsidRDefault="00734B7C" w:rsidP="001A6444">
      <w:pPr>
        <w:spacing w:after="0" w:line="259"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7. تقديم مقترحات وتوصيات عملية لتطوير نظام إدارة المخاطر بما يدعم كفاءة الأداء المؤسسي ويتماشى مع مستهدفات رؤية المملكة العربية السعودية 2030.</w:t>
      </w:r>
    </w:p>
    <w:p w14:paraId="4A9F4006" w14:textId="77777777" w:rsidR="00734B7C" w:rsidRPr="00734B7C" w:rsidRDefault="00734B7C" w:rsidP="001A6444">
      <w:pPr>
        <w:spacing w:after="0" w:line="259" w:lineRule="auto"/>
        <w:ind w:right="409"/>
        <w:rPr>
          <w:rFonts w:ascii="Simplified Arabic" w:eastAsia="Simplified Arabic" w:hAnsi="Simplified Arabic" w:cs="Simplified Arabic"/>
          <w:color w:val="000000"/>
          <w:sz w:val="28"/>
          <w:szCs w:val="28"/>
        </w:rPr>
      </w:pPr>
    </w:p>
    <w:p w14:paraId="5A67F454"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Pr>
      </w:pPr>
      <w:r w:rsidRPr="00734B7C">
        <w:rPr>
          <w:rFonts w:ascii="Simplified Arabic" w:eastAsia="Simplified Arabic" w:hAnsi="Simplified Arabic" w:cs="Simplified Arabic"/>
          <w:b/>
          <w:color w:val="2D74B5"/>
          <w:sz w:val="36"/>
        </w:rPr>
        <w:t xml:space="preserve"> </w:t>
      </w:r>
      <w:bookmarkStart w:id="5" w:name="_Toc224413009"/>
      <w:r w:rsidRPr="00734B7C">
        <w:rPr>
          <w:rFonts w:ascii="Simplified Arabic" w:eastAsia="Simplified Arabic" w:hAnsi="Simplified Arabic" w:cs="Simplified Arabic"/>
          <w:b/>
          <w:color w:val="2D74B5"/>
          <w:sz w:val="36"/>
        </w:rPr>
        <w:t xml:space="preserve">: Research questions </w:t>
      </w:r>
      <w:r w:rsidRPr="00734B7C">
        <w:rPr>
          <w:rFonts w:ascii="Simplified Arabic" w:eastAsia="Simplified Arabic" w:hAnsi="Simplified Arabic" w:cs="Simplified Arabic"/>
          <w:b/>
          <w:bCs/>
          <w:color w:val="2D74B5"/>
          <w:sz w:val="36"/>
          <w:rtl/>
        </w:rPr>
        <w:t>تساؤلات البحث</w:t>
      </w:r>
      <w:r w:rsidRPr="00734B7C">
        <w:rPr>
          <w:rFonts w:ascii="Simplified Arabic" w:eastAsia="Simplified Arabic" w:hAnsi="Simplified Arabic" w:cs="Simplified Arabic"/>
          <w:b/>
          <w:color w:val="2D74B5"/>
          <w:sz w:val="36"/>
        </w:rPr>
        <w:t xml:space="preserve"> 1.5</w:t>
      </w:r>
      <w:bookmarkEnd w:id="5"/>
    </w:p>
    <w:p w14:paraId="61153120" w14:textId="77777777" w:rsidR="00734B7C" w:rsidRPr="00734B7C" w:rsidRDefault="00734B7C" w:rsidP="001A6444">
      <w:pPr>
        <w:spacing w:after="0" w:line="259" w:lineRule="auto"/>
        <w:ind w:right="774"/>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b/>
          <w:color w:val="000000"/>
          <w:sz w:val="28"/>
          <w:szCs w:val="28"/>
        </w:rPr>
        <w:t xml:space="preserve"> </w:t>
      </w:r>
    </w:p>
    <w:p w14:paraId="050A8713"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تنطلق الدراسة من التساؤل الرئيس الآتي:</w:t>
      </w:r>
    </w:p>
    <w:p w14:paraId="7FEC8D56"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p>
    <w:p w14:paraId="30F7073E"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ما أثر إدارة المخاطر بأبعادها المختلفة في تعزيز الأمن الجمركي ورفع كفاءة الإجراءات ومكافحة التهريب في هيئة الزكاة والضريبة والجمارك؟</w:t>
      </w:r>
    </w:p>
    <w:p w14:paraId="0FDD97B0" w14:textId="77777777" w:rsidR="00734B7C" w:rsidRPr="00734B7C" w:rsidRDefault="00734B7C" w:rsidP="001A6444">
      <w:pPr>
        <w:spacing w:after="0" w:line="259" w:lineRule="auto"/>
        <w:ind w:right="409"/>
        <w:rPr>
          <w:rFonts w:ascii="Times New Roman" w:eastAsia="Simplified Arabic" w:hAnsi="Times New Roman" w:cs="Times New Roman"/>
          <w:color w:val="000000"/>
          <w:sz w:val="28"/>
          <w:szCs w:val="28"/>
          <w:rtl/>
        </w:rPr>
      </w:pPr>
    </w:p>
    <w:p w14:paraId="4310FD53" w14:textId="77777777" w:rsidR="00734B7C" w:rsidRPr="00734B7C" w:rsidRDefault="00734B7C" w:rsidP="001A6444">
      <w:pPr>
        <w:spacing w:after="0" w:line="480" w:lineRule="auto"/>
        <w:ind w:right="409"/>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ويتفرع عنه التساؤلات الآتية:</w:t>
      </w:r>
    </w:p>
    <w:p w14:paraId="7DD33071"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ما أثر تحديد المخاطر في تحسين كفاءة الأداء الجمركي؟</w:t>
      </w:r>
    </w:p>
    <w:p w14:paraId="29F65058"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ما أثر تقييم المخاطر في تعزيز الأمن الجمركي والحد من التهريب؟</w:t>
      </w:r>
    </w:p>
    <w:p w14:paraId="69750C05"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ما أثر استراتيجيات التخفيف من المخاطر في تقليل المخاطر الجمركية؟</w:t>
      </w:r>
    </w:p>
    <w:p w14:paraId="4A5B03AB"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ما دور الأنظمة والتقنيات الحديثة في دعم إدارة المخاطر داخل الهيئة؟</w:t>
      </w:r>
    </w:p>
    <w:p w14:paraId="20A88785"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ما أثر التدريب والوعي المؤسسي في تحسين تطبيق إدارة المخاطر؟</w:t>
      </w:r>
    </w:p>
    <w:p w14:paraId="7C63CF55" w14:textId="77777777"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كيف تسهم إدارة المخاطر في تحقيق التوازن بين سرعة الإجراءات الجمركية ودقتها؟</w:t>
      </w:r>
    </w:p>
    <w:p w14:paraId="5A3AC74F" w14:textId="35D4BFB3" w:rsidR="00734B7C" w:rsidRPr="00734B7C" w:rsidRDefault="00734B7C" w:rsidP="001A6444">
      <w:pPr>
        <w:numPr>
          <w:ilvl w:val="0"/>
          <w:numId w:val="42"/>
        </w:numPr>
        <w:spacing w:after="0" w:line="480" w:lineRule="auto"/>
        <w:ind w:right="409"/>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كيف تدعم إدارة المخاطر تحقيق الأهداف الاستراتيجية للهيئة ورؤية المملكة 2030؟</w:t>
      </w:r>
    </w:p>
    <w:p w14:paraId="1BFCF925" w14:textId="77777777" w:rsidR="00734B7C" w:rsidRPr="00734B7C" w:rsidRDefault="00734B7C" w:rsidP="001A6444">
      <w:pPr>
        <w:spacing w:after="0" w:line="259" w:lineRule="auto"/>
        <w:ind w:right="49"/>
        <w:jc w:val="both"/>
        <w:rPr>
          <w:rFonts w:ascii="Times New Roman" w:eastAsia="Simplified Arabic" w:hAnsi="Times New Roman" w:cs="Times New Roman"/>
          <w:color w:val="000000"/>
          <w:sz w:val="28"/>
          <w:szCs w:val="28"/>
          <w:rtl/>
        </w:rPr>
      </w:pPr>
    </w:p>
    <w:p w14:paraId="52EEB2F1"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Pr>
      </w:pPr>
      <w:r w:rsidRPr="00734B7C">
        <w:rPr>
          <w:rFonts w:ascii="Simplified Arabic" w:eastAsia="Simplified Arabic" w:hAnsi="Simplified Arabic" w:cs="Simplified Arabic"/>
          <w:b/>
          <w:color w:val="2D74B5"/>
          <w:sz w:val="36"/>
        </w:rPr>
        <w:t xml:space="preserve"> </w:t>
      </w:r>
      <w:bookmarkStart w:id="6" w:name="_Toc224413010"/>
      <w:r w:rsidRPr="00734B7C">
        <w:rPr>
          <w:rFonts w:ascii="Simplified Arabic" w:eastAsia="Calibri" w:hAnsi="Simplified Arabic" w:cs="Simplified Arabic"/>
          <w:b/>
          <w:color w:val="2D74B5"/>
          <w:sz w:val="36"/>
        </w:rPr>
        <w:t>:</w:t>
      </w:r>
      <w:r w:rsidRPr="00734B7C">
        <w:rPr>
          <w:rFonts w:ascii="Simplified Arabic" w:eastAsia="Simplified Arabic" w:hAnsi="Simplified Arabic" w:cs="Simplified Arabic"/>
          <w:b/>
          <w:color w:val="2D74B5"/>
          <w:sz w:val="36"/>
          <w:vertAlign w:val="subscript"/>
        </w:rPr>
        <w:t xml:space="preserve"> </w:t>
      </w:r>
      <w:r w:rsidRPr="00734B7C">
        <w:rPr>
          <w:rFonts w:ascii="Simplified Arabic" w:eastAsia="Simplified Arabic" w:hAnsi="Simplified Arabic" w:cs="Simplified Arabic"/>
          <w:b/>
          <w:color w:val="2D74B5"/>
          <w:sz w:val="36"/>
        </w:rPr>
        <w:t xml:space="preserve">research hypotheses </w:t>
      </w:r>
      <w:r w:rsidRPr="00734B7C">
        <w:rPr>
          <w:rFonts w:ascii="Simplified Arabic" w:eastAsia="Simplified Arabic" w:hAnsi="Simplified Arabic" w:cs="Simplified Arabic"/>
          <w:b/>
          <w:bCs/>
          <w:color w:val="2D74B5"/>
          <w:sz w:val="36"/>
          <w:rtl/>
        </w:rPr>
        <w:t>فرضيات البحث</w:t>
      </w:r>
      <w:r w:rsidRPr="00734B7C">
        <w:rPr>
          <w:rFonts w:ascii="Simplified Arabic" w:eastAsia="Simplified Arabic" w:hAnsi="Simplified Arabic" w:cs="Simplified Arabic"/>
          <w:b/>
          <w:color w:val="2D74B5"/>
          <w:sz w:val="36"/>
        </w:rPr>
        <w:t xml:space="preserve"> </w:t>
      </w:r>
      <w:r w:rsidRPr="00734B7C">
        <w:rPr>
          <w:rFonts w:ascii="Simplified Arabic" w:eastAsia="Calibri" w:hAnsi="Simplified Arabic" w:cs="Simplified Arabic"/>
          <w:b/>
          <w:color w:val="2D74B5"/>
          <w:sz w:val="36"/>
        </w:rPr>
        <w:t>6.1</w:t>
      </w:r>
      <w:bookmarkEnd w:id="6"/>
      <w:r w:rsidRPr="00734B7C">
        <w:rPr>
          <w:rFonts w:ascii="Simplified Arabic" w:eastAsia="Simplified Arabic" w:hAnsi="Simplified Arabic" w:cs="Simplified Arabic"/>
          <w:b/>
          <w:color w:val="2D74B5"/>
          <w:sz w:val="36"/>
        </w:rPr>
        <w:t xml:space="preserve"> </w:t>
      </w:r>
      <w:r w:rsidRPr="00734B7C">
        <w:rPr>
          <w:rFonts w:ascii="Simplified Arabic" w:eastAsia="Simplified Arabic" w:hAnsi="Simplified Arabic" w:cs="Simplified Arabic"/>
          <w:b/>
          <w:color w:val="2D74B5"/>
          <w:sz w:val="36"/>
          <w:vertAlign w:val="subscript"/>
        </w:rPr>
        <w:t xml:space="preserve">   </w:t>
      </w:r>
    </w:p>
    <w:p w14:paraId="2A53B1BA"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tl/>
        </w:rPr>
        <w:t>تشكل فرضيات الدراسة جزءًا أساسيًا من منهجيتها، إذ تهدف إلى اختبار العلاقة بين أبعاد إدارة المخاطر المختلفة وتعزيز الأمن الجمركي ومكافحة التهريب في هيئة الزكاة والضريبة والجمارك بالمملكة العربية السعودية، كما يلي:</w:t>
      </w:r>
    </w:p>
    <w:p w14:paraId="67D5EECE"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tl/>
        </w:rPr>
        <w:t xml:space="preserve">الفرض </w:t>
      </w:r>
      <w:r w:rsidRPr="00734B7C">
        <w:rPr>
          <w:rFonts w:ascii="Times New Roman" w:eastAsia="Arial" w:hAnsi="Times New Roman" w:cs="Times New Roman" w:hint="cs"/>
          <w:color w:val="000000"/>
          <w:sz w:val="28"/>
          <w:szCs w:val="28"/>
          <w:rtl/>
        </w:rPr>
        <w:t xml:space="preserve">الرئيس: </w:t>
      </w:r>
      <w:r w:rsidRPr="00734B7C">
        <w:rPr>
          <w:rFonts w:ascii="Times New Roman" w:eastAsia="Arial" w:hAnsi="Times New Roman" w:cs="Times New Roman" w:hint="cs"/>
          <w:color w:val="000000"/>
          <w:sz w:val="28"/>
          <w:szCs w:val="28"/>
        </w:rPr>
        <w:t>Ho</w:t>
      </w:r>
      <w:r w:rsidRPr="00734B7C">
        <w:rPr>
          <w:rFonts w:ascii="Times New Roman" w:eastAsia="Arial" w:hAnsi="Times New Roman" w:cs="Times New Roman"/>
          <w:color w:val="000000"/>
          <w:sz w:val="28"/>
          <w:szCs w:val="28"/>
        </w:rPr>
        <w:t>1</w:t>
      </w:r>
    </w:p>
    <w:p w14:paraId="1537448F"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tl/>
        </w:rPr>
      </w:pPr>
      <w:r w:rsidRPr="00734B7C">
        <w:rPr>
          <w:rFonts w:ascii="Times New Roman" w:eastAsia="Arial" w:hAnsi="Times New Roman" w:cs="Times New Roman"/>
          <w:color w:val="000000"/>
          <w:sz w:val="28"/>
          <w:szCs w:val="28"/>
          <w:rtl/>
        </w:rPr>
        <w:t>لا توجد علاقة ذات دلالة إحصائية بين أبعاد إدارة المخاطر (تحديد المخاطر، تقييم المخاطر، استراتيجيات التخفيف من المخاطر، المراقبة والتحكم في المخاطر) وتعزيز الأمن الجمركي ومكافحة التهريب في هيئة الزكاة والضريبة والجمارك بالمملكة العربية السعودية.</w:t>
      </w:r>
    </w:p>
    <w:p w14:paraId="044DCEC3"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tl/>
        </w:rPr>
        <w:t>الفروض الفرعية المنبثقة عن الفرض الرئيس:</w:t>
      </w:r>
    </w:p>
    <w:p w14:paraId="3801B3C8" w14:textId="77777777" w:rsidR="00734B7C" w:rsidRPr="00734B7C" w:rsidRDefault="00734B7C" w:rsidP="001A6444">
      <w:pPr>
        <w:spacing w:after="0" w:line="360" w:lineRule="auto"/>
        <w:ind w:right="49"/>
        <w:jc w:val="right"/>
        <w:rPr>
          <w:rFonts w:ascii="Times New Roman" w:eastAsia="Arial" w:hAnsi="Times New Roman" w:cs="Times New Roman"/>
          <w:color w:val="000000"/>
          <w:sz w:val="28"/>
          <w:szCs w:val="28"/>
          <w:rtl/>
        </w:rPr>
      </w:pPr>
    </w:p>
    <w:p w14:paraId="345AC830"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Pr>
        <w:t xml:space="preserve">• Ho1.1: </w:t>
      </w:r>
      <w:r w:rsidRPr="00734B7C">
        <w:rPr>
          <w:rFonts w:ascii="Times New Roman" w:eastAsia="Arial" w:hAnsi="Times New Roman" w:cs="Times New Roman"/>
          <w:color w:val="000000"/>
          <w:sz w:val="28"/>
          <w:szCs w:val="28"/>
          <w:rtl/>
        </w:rPr>
        <w:t>لا توجد علاقة ذات دلالة إحصائية بين تحديد المخاطر وتعزيز الأمن الجمركي ومكافحة التهريب</w:t>
      </w:r>
      <w:r w:rsidRPr="00734B7C">
        <w:rPr>
          <w:rFonts w:ascii="Times New Roman" w:eastAsia="Arial" w:hAnsi="Times New Roman" w:cs="Times New Roman"/>
          <w:color w:val="000000"/>
          <w:sz w:val="28"/>
          <w:szCs w:val="28"/>
        </w:rPr>
        <w:t>.</w:t>
      </w:r>
    </w:p>
    <w:p w14:paraId="19BEACAF"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Pr>
        <w:t xml:space="preserve">• Ho1.2: </w:t>
      </w:r>
      <w:r w:rsidRPr="00734B7C">
        <w:rPr>
          <w:rFonts w:ascii="Times New Roman" w:eastAsia="Arial" w:hAnsi="Times New Roman" w:cs="Times New Roman"/>
          <w:color w:val="000000"/>
          <w:sz w:val="28"/>
          <w:szCs w:val="28"/>
          <w:rtl/>
        </w:rPr>
        <w:t>لا توجد علاقة ذات دلالة إحصائية بين تقييم المخاطر وتعزيز الأمن الجمركي ومكافحة التهريب</w:t>
      </w:r>
      <w:r w:rsidRPr="00734B7C">
        <w:rPr>
          <w:rFonts w:ascii="Times New Roman" w:eastAsia="Arial" w:hAnsi="Times New Roman" w:cs="Times New Roman"/>
          <w:color w:val="000000"/>
          <w:sz w:val="28"/>
          <w:szCs w:val="28"/>
        </w:rPr>
        <w:t>.</w:t>
      </w:r>
    </w:p>
    <w:p w14:paraId="42F387D8"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Pr>
        <w:t xml:space="preserve">• Ho1.3: </w:t>
      </w:r>
      <w:r w:rsidRPr="00734B7C">
        <w:rPr>
          <w:rFonts w:ascii="Times New Roman" w:eastAsia="Arial" w:hAnsi="Times New Roman" w:cs="Times New Roman"/>
          <w:color w:val="000000"/>
          <w:sz w:val="28"/>
          <w:szCs w:val="28"/>
          <w:rtl/>
        </w:rPr>
        <w:t>لا توجد علاقة ذات دلالة إحصائية بين استراتيجيات التخفيف من المخاطر وتعزيز الأمن الجمركي ومكافحة التهريب</w:t>
      </w:r>
      <w:r w:rsidRPr="00734B7C">
        <w:rPr>
          <w:rFonts w:ascii="Times New Roman" w:eastAsia="Arial" w:hAnsi="Times New Roman" w:cs="Times New Roman"/>
          <w:color w:val="000000"/>
          <w:sz w:val="28"/>
          <w:szCs w:val="28"/>
        </w:rPr>
        <w:t>.</w:t>
      </w:r>
    </w:p>
    <w:p w14:paraId="13AF543F" w14:textId="77777777" w:rsidR="00734B7C" w:rsidRPr="00734B7C" w:rsidRDefault="00734B7C" w:rsidP="001A6444">
      <w:pPr>
        <w:spacing w:after="0" w:line="360" w:lineRule="auto"/>
        <w:ind w:right="49"/>
        <w:rPr>
          <w:rFonts w:ascii="Times New Roman" w:eastAsia="Arial" w:hAnsi="Times New Roman" w:cs="Times New Roman"/>
          <w:color w:val="000000"/>
          <w:sz w:val="28"/>
          <w:szCs w:val="28"/>
        </w:rPr>
      </w:pPr>
      <w:r w:rsidRPr="00734B7C">
        <w:rPr>
          <w:rFonts w:ascii="Times New Roman" w:eastAsia="Arial" w:hAnsi="Times New Roman" w:cs="Times New Roman"/>
          <w:color w:val="000000"/>
          <w:sz w:val="28"/>
          <w:szCs w:val="28"/>
        </w:rPr>
        <w:t xml:space="preserve">• Ho1.4: </w:t>
      </w:r>
      <w:r w:rsidRPr="00734B7C">
        <w:rPr>
          <w:rFonts w:ascii="Times New Roman" w:eastAsia="Arial" w:hAnsi="Times New Roman" w:cs="Times New Roman"/>
          <w:color w:val="000000"/>
          <w:sz w:val="28"/>
          <w:szCs w:val="28"/>
          <w:rtl/>
        </w:rPr>
        <w:t xml:space="preserve">لا توجد علاقة ذات دلالة إحصائية بين المراقبة والتحكم في المخاطر وتعزيز الأمن الجمركي ومكافحة </w:t>
      </w:r>
      <w:r w:rsidRPr="00734B7C">
        <w:rPr>
          <w:rFonts w:ascii="Times New Roman" w:eastAsia="Arial" w:hAnsi="Times New Roman" w:cs="Times New Roman" w:hint="cs"/>
          <w:color w:val="000000"/>
          <w:sz w:val="28"/>
          <w:szCs w:val="28"/>
          <w:rtl/>
        </w:rPr>
        <w:t>التهريب</w:t>
      </w:r>
      <w:r w:rsidRPr="00734B7C">
        <w:rPr>
          <w:rFonts w:ascii="Times New Roman" w:eastAsia="Arial" w:hAnsi="Times New Roman" w:cs="Times New Roman"/>
          <w:color w:val="000000"/>
          <w:sz w:val="28"/>
          <w:szCs w:val="28"/>
        </w:rPr>
        <w:t xml:space="preserve">. </w:t>
      </w:r>
    </w:p>
    <w:p w14:paraId="483FA225" w14:textId="77777777" w:rsidR="00734B7C" w:rsidRPr="00734B7C" w:rsidRDefault="00734B7C" w:rsidP="001A6444">
      <w:pPr>
        <w:spacing w:after="0" w:line="360" w:lineRule="auto"/>
        <w:ind w:right="49"/>
        <w:jc w:val="right"/>
        <w:rPr>
          <w:rFonts w:ascii="Simplified Arabic" w:eastAsia="Simplified Arabic" w:hAnsi="Simplified Arabic" w:cs="Simplified Arabic"/>
          <w:color w:val="000000"/>
          <w:sz w:val="28"/>
          <w:szCs w:val="28"/>
        </w:rPr>
      </w:pPr>
    </w:p>
    <w:p w14:paraId="4C3C3431" w14:textId="77777777" w:rsidR="00734B7C" w:rsidRPr="00734B7C" w:rsidRDefault="00734B7C" w:rsidP="001A6444">
      <w:pPr>
        <w:spacing w:after="0" w:line="360" w:lineRule="auto"/>
        <w:ind w:right="49"/>
        <w:jc w:val="right"/>
        <w:rPr>
          <w:rFonts w:ascii="Simplified Arabic" w:eastAsia="Simplified Arabic" w:hAnsi="Simplified Arabic" w:cs="Simplified Arabic"/>
          <w:color w:val="000000"/>
          <w:sz w:val="28"/>
          <w:szCs w:val="28"/>
        </w:rPr>
      </w:pPr>
    </w:p>
    <w:p w14:paraId="3CAB11F8" w14:textId="77777777" w:rsidR="00734B7C" w:rsidRPr="00734B7C" w:rsidRDefault="00734B7C" w:rsidP="001A6444">
      <w:pPr>
        <w:spacing w:after="0" w:line="360" w:lineRule="auto"/>
        <w:ind w:right="49"/>
        <w:jc w:val="right"/>
        <w:rPr>
          <w:rFonts w:ascii="Simplified Arabic" w:eastAsia="Simplified Arabic" w:hAnsi="Simplified Arabic" w:cs="Simplified Arabic"/>
          <w:color w:val="000000"/>
          <w:sz w:val="28"/>
          <w:szCs w:val="28"/>
        </w:rPr>
      </w:pPr>
    </w:p>
    <w:p w14:paraId="09DD2C97" w14:textId="77777777" w:rsidR="00734B7C" w:rsidRPr="00734B7C" w:rsidRDefault="00734B7C" w:rsidP="001A6444">
      <w:pPr>
        <w:spacing w:after="0" w:line="360" w:lineRule="auto"/>
        <w:ind w:right="49"/>
        <w:jc w:val="right"/>
        <w:rPr>
          <w:rFonts w:ascii="Simplified Arabic" w:eastAsia="Simplified Arabic" w:hAnsi="Simplified Arabic" w:cs="Simplified Arabic"/>
          <w:color w:val="000000"/>
          <w:sz w:val="28"/>
          <w:szCs w:val="28"/>
        </w:rPr>
      </w:pPr>
    </w:p>
    <w:p w14:paraId="05045A00" w14:textId="77777777" w:rsidR="00734B7C" w:rsidRPr="00734B7C" w:rsidRDefault="00734B7C" w:rsidP="001A6444">
      <w:pPr>
        <w:spacing w:after="0" w:line="360" w:lineRule="auto"/>
        <w:ind w:right="49"/>
        <w:jc w:val="right"/>
        <w:rPr>
          <w:rFonts w:ascii="Times New Roman" w:eastAsia="Arial" w:hAnsi="Times New Roman" w:cs="Times New Roman"/>
          <w:color w:val="000000"/>
          <w:sz w:val="28"/>
          <w:szCs w:val="28"/>
        </w:rPr>
      </w:pPr>
      <w:r w:rsidRPr="00734B7C">
        <w:rPr>
          <w:rFonts w:ascii="Simplified Arabic" w:eastAsia="Simplified Arabic" w:hAnsi="Simplified Arabic" w:cs="Simplified Arabic"/>
          <w:color w:val="000000"/>
          <w:sz w:val="28"/>
          <w:szCs w:val="28"/>
        </w:rPr>
        <w:t xml:space="preserve"> </w:t>
      </w:r>
    </w:p>
    <w:p w14:paraId="12FD6DDF"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Pr>
      </w:pPr>
      <w:r w:rsidRPr="00734B7C">
        <w:rPr>
          <w:rFonts w:ascii="Simplified Arabic" w:eastAsia="Simplified Arabic" w:hAnsi="Simplified Arabic" w:cs="Simplified Arabic"/>
          <w:b/>
          <w:color w:val="2D74B5"/>
          <w:sz w:val="36"/>
        </w:rPr>
        <w:t xml:space="preserve"> </w:t>
      </w:r>
      <w:bookmarkStart w:id="7" w:name="_Toc224413011"/>
      <w:r w:rsidRPr="00734B7C">
        <w:rPr>
          <w:rFonts w:ascii="Simplified Arabic" w:eastAsia="Simplified Arabic" w:hAnsi="Simplified Arabic" w:cs="Simplified Arabic"/>
          <w:b/>
          <w:color w:val="2D74B5"/>
          <w:sz w:val="36"/>
        </w:rPr>
        <w:t xml:space="preserve">Research form </w:t>
      </w:r>
      <w:r w:rsidRPr="00734B7C">
        <w:rPr>
          <w:rFonts w:ascii="Simplified Arabic" w:eastAsia="Simplified Arabic" w:hAnsi="Simplified Arabic" w:cs="Simplified Arabic"/>
          <w:b/>
          <w:bCs/>
          <w:color w:val="2D74B5"/>
          <w:sz w:val="36"/>
          <w:rtl/>
        </w:rPr>
        <w:t>نموذج البحث</w:t>
      </w:r>
      <w:r w:rsidRPr="00734B7C">
        <w:rPr>
          <w:rFonts w:ascii="Simplified Arabic" w:eastAsia="Calibri" w:hAnsi="Simplified Arabic" w:cs="Simplified Arabic"/>
          <w:b/>
          <w:color w:val="2D74B5"/>
          <w:sz w:val="36"/>
        </w:rPr>
        <w:t>7.1</w:t>
      </w:r>
      <w:bookmarkEnd w:id="7"/>
    </w:p>
    <w:p w14:paraId="1F6CBC83" w14:textId="77777777" w:rsidR="00734B7C" w:rsidRPr="00734B7C" w:rsidRDefault="00734B7C" w:rsidP="001A6444">
      <w:pPr>
        <w:spacing w:after="0" w:line="259" w:lineRule="auto"/>
        <w:ind w:right="54"/>
        <w:jc w:val="right"/>
        <w:rPr>
          <w:rFonts w:ascii="Simplified Arabic" w:eastAsia="Simplified Arabic" w:hAnsi="Simplified Arabic" w:cs="Simplified Arabic"/>
          <w:color w:val="000000"/>
          <w:sz w:val="28"/>
          <w:szCs w:val="28"/>
          <w:rtl/>
        </w:rPr>
      </w:pPr>
    </w:p>
    <w:p w14:paraId="29889F6B"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يهدف هذا النموذج إلى دراسة أثر تطبيق إدارة المخاطر في تحسين كفاءة العمليات الجمركية يرتكز هذا البحث على دراسة أثر تطبيق إدارة المخاطر في تحسين كفاءة العمليات الجمركية وتعزيز الأمن الجمركي ومكافحة التهريب في هيئة الزكاة والضريبة والجمارك بالمملكة العربية السعودية.</w:t>
      </w:r>
    </w:p>
    <w:p w14:paraId="79589DB1"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وقد تم تحديد المتغيرات وفق الآتي:</w:t>
      </w:r>
    </w:p>
    <w:p w14:paraId="57A676A0"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2821C48C"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أولًا: المتغير المستقل — إدارة المخاطر</w:t>
      </w:r>
    </w:p>
    <w:p w14:paraId="327E0255"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272C37B2"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ويمثل مجموعة من الأبعاد التي تعكس قدرة الهيئة على التعامل مع المخاطر، وتشمل:</w:t>
      </w:r>
    </w:p>
    <w:p w14:paraId="66615FB5"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40A19DDD"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1. تحديد المخاطر: التعرف على التهديدات المحتملة للعمليات الجمركية والاقتصاد الوطني.</w:t>
      </w:r>
    </w:p>
    <w:p w14:paraId="1331EB79"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تقييم المخاطر: تحليل المخاطر المحتملة وتقدير احتمالية حدوثها وتأثيرها.</w:t>
      </w:r>
    </w:p>
    <w:p w14:paraId="7D233FAB"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استراتيجيات التخفيف: تطوير خطط وإجراءات للحد من احتمالية وقوع المخاطر أو تقليل آثارها.</w:t>
      </w:r>
    </w:p>
    <w:p w14:paraId="4C4E8499"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المراقبة والتحكم: متابعة تنفيذ الخطط وتقييم فعاليتها بشكل مستمر.</w:t>
      </w:r>
    </w:p>
    <w:p w14:paraId="7B41B69F"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2307F82F"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p>
    <w:p w14:paraId="03C8F7D2"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ثانيًا: المتغير التابع — كفاءة العمليات الجمركية / الأمن الجمركي</w:t>
      </w:r>
    </w:p>
    <w:p w14:paraId="4FD7F779"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2B3DC209"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ويتضمن أربعة أبعاد رئيسة:</w:t>
      </w:r>
    </w:p>
    <w:p w14:paraId="7B49AE61"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54B3BAA5"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1. دقة الإجراءات الجمركية</w:t>
      </w:r>
    </w:p>
    <w:p w14:paraId="0E0C2C14"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سرعة الإنجاز</w:t>
      </w:r>
    </w:p>
    <w:p w14:paraId="0403B078"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تقليل الأخطاء البشرية</w:t>
      </w:r>
    </w:p>
    <w:p w14:paraId="1C959DB9"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تحسين الأداء العام للهيئة</w:t>
      </w:r>
    </w:p>
    <w:p w14:paraId="32D0898A"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ثالثًا: المتغير الوسيط — التكنولوجيا والابتكار</w:t>
      </w:r>
    </w:p>
    <w:p w14:paraId="053949FB"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01D7C34E"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ويشمل:</w:t>
      </w:r>
    </w:p>
    <w:p w14:paraId="4D6C45C0"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p>
    <w:p w14:paraId="4DBCBC5B"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 الذكاء الاصطناعي</w:t>
      </w:r>
    </w:p>
    <w:p w14:paraId="5C92C53A"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تحليل البيانات الضخمة</w:t>
      </w:r>
    </w:p>
    <w:p w14:paraId="05A51791"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التعلم الآلي</w:t>
      </w:r>
    </w:p>
    <w:p w14:paraId="2985D2D2" w14:textId="77777777" w:rsidR="00734B7C" w:rsidRPr="00734B7C" w:rsidRDefault="00734B7C" w:rsidP="001A6444">
      <w:pPr>
        <w:spacing w:after="12" w:line="250" w:lineRule="auto"/>
        <w:ind w:left="1" w:right="526"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 الأنظمة الذكية</w:t>
      </w:r>
    </w:p>
    <w:p w14:paraId="0DF57E29" w14:textId="77777777" w:rsidR="00734B7C" w:rsidRPr="00734B7C" w:rsidRDefault="00734B7C" w:rsidP="001A6444">
      <w:pPr>
        <w:spacing w:after="12" w:line="250" w:lineRule="auto"/>
        <w:ind w:left="1" w:right="526" w:hanging="1"/>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Pr>
        <w:t xml:space="preserve"> </w:t>
      </w:r>
    </w:p>
    <w:p w14:paraId="1DF5A365" w14:textId="77777777" w:rsidR="00734B7C" w:rsidRPr="00734B7C" w:rsidRDefault="00734B7C" w:rsidP="001A6444">
      <w:pPr>
        <w:keepNext/>
        <w:keepLines/>
        <w:spacing w:after="5" w:line="259" w:lineRule="auto"/>
        <w:ind w:left="10" w:right="67" w:hanging="10"/>
        <w:jc w:val="center"/>
        <w:outlineLvl w:val="2"/>
        <w:rPr>
          <w:rFonts w:ascii="Times New Roman" w:eastAsia="Times New Roman" w:hAnsi="Times New Roman" w:cs="Times New Roman"/>
          <w:b/>
          <w:iCs/>
          <w:color w:val="2D74B5"/>
          <w:sz w:val="32"/>
          <w:rtl/>
        </w:rPr>
      </w:pPr>
      <w:bookmarkStart w:id="8" w:name="_Toc224413012"/>
      <w:r w:rsidRPr="00734B7C">
        <w:rPr>
          <w:rFonts w:ascii="Calibri" w:eastAsia="Calibri" w:hAnsi="Calibri" w:cs="Calibri"/>
          <w:b/>
          <w:noProof/>
          <w:color w:val="2D74B5"/>
          <w:sz w:val="32"/>
        </w:rPr>
        <mc:AlternateContent>
          <mc:Choice Requires="wpg">
            <w:drawing>
              <wp:anchor distT="0" distB="0" distL="114300" distR="114300" simplePos="0" relativeHeight="251659264" behindDoc="0" locked="0" layoutInCell="1" allowOverlap="1" wp14:anchorId="72CDE32F" wp14:editId="5F917935">
                <wp:simplePos x="0" y="0"/>
                <wp:positionH relativeFrom="margin">
                  <wp:posOffset>-36195</wp:posOffset>
                </wp:positionH>
                <wp:positionV relativeFrom="paragraph">
                  <wp:posOffset>294640</wp:posOffset>
                </wp:positionV>
                <wp:extent cx="5514975" cy="2304415"/>
                <wp:effectExtent l="0" t="0" r="28575" b="19685"/>
                <wp:wrapSquare wrapText="bothSides"/>
                <wp:docPr id="304077" name="Group 304077"/>
                <wp:cNvGraphicFramePr/>
                <a:graphic xmlns:a="http://schemas.openxmlformats.org/drawingml/2006/main">
                  <a:graphicData uri="http://schemas.microsoft.com/office/word/2010/wordprocessingGroup">
                    <wpg:wgp>
                      <wpg:cNvGrpSpPr/>
                      <wpg:grpSpPr>
                        <a:xfrm>
                          <a:off x="0" y="0"/>
                          <a:ext cx="5514975" cy="2304415"/>
                          <a:chOff x="-22718" y="0"/>
                          <a:chExt cx="3321679" cy="3058313"/>
                        </a:xfrm>
                      </wpg:grpSpPr>
                      <wps:wsp>
                        <wps:cNvPr id="27707" name="Rectangle 27707"/>
                        <wps:cNvSpPr/>
                        <wps:spPr>
                          <a:xfrm>
                            <a:off x="1207300" y="2224331"/>
                            <a:ext cx="75171" cy="393097"/>
                          </a:xfrm>
                          <a:prstGeom prst="rect">
                            <a:avLst/>
                          </a:prstGeom>
                          <a:ln>
                            <a:noFill/>
                          </a:ln>
                        </wps:spPr>
                        <wps:txbx>
                          <w:txbxContent>
                            <w:p w14:paraId="3485CB54" w14:textId="77777777" w:rsidR="00734B7C" w:rsidRDefault="00734B7C" w:rsidP="00734B7C">
                              <w:pPr>
                                <w:bidi w:val="0"/>
                                <w:spacing w:line="259" w:lineRule="auto"/>
                              </w:pPr>
                              <w:r>
                                <w:t xml:space="preserve"> </w:t>
                              </w:r>
                            </w:p>
                          </w:txbxContent>
                        </wps:txbx>
                        <wps:bodyPr horzOverflow="overflow" vert="horz" lIns="0" tIns="0" rIns="0" bIns="0" rtlCol="0">
                          <a:noAutofit/>
                        </wps:bodyPr>
                      </wps:wsp>
                      <wps:wsp>
                        <wps:cNvPr id="27708" name="Rectangle 27708"/>
                        <wps:cNvSpPr/>
                        <wps:spPr>
                          <a:xfrm>
                            <a:off x="1152440" y="2224331"/>
                            <a:ext cx="75645" cy="393097"/>
                          </a:xfrm>
                          <a:prstGeom prst="rect">
                            <a:avLst/>
                          </a:prstGeom>
                          <a:ln>
                            <a:noFill/>
                          </a:ln>
                        </wps:spPr>
                        <wps:txbx>
                          <w:txbxContent>
                            <w:p w14:paraId="3250EE54" w14:textId="77777777" w:rsidR="00734B7C" w:rsidRDefault="00734B7C" w:rsidP="00734B7C">
                              <w:pPr>
                                <w:bidi w:val="0"/>
                                <w:spacing w:line="259" w:lineRule="auto"/>
                              </w:pPr>
                              <w:r>
                                <w:t>:</w:t>
                              </w:r>
                            </w:p>
                          </w:txbxContent>
                        </wps:txbx>
                        <wps:bodyPr horzOverflow="overflow" vert="horz" lIns="0" tIns="0" rIns="0" bIns="0" rtlCol="0">
                          <a:noAutofit/>
                        </wps:bodyPr>
                      </wps:wsp>
                      <wps:wsp>
                        <wps:cNvPr id="27709" name="Rectangle 27709"/>
                        <wps:cNvSpPr/>
                        <wps:spPr>
                          <a:xfrm>
                            <a:off x="1065578" y="2224331"/>
                            <a:ext cx="75171" cy="393097"/>
                          </a:xfrm>
                          <a:prstGeom prst="rect">
                            <a:avLst/>
                          </a:prstGeom>
                          <a:ln>
                            <a:noFill/>
                          </a:ln>
                        </wps:spPr>
                        <wps:txbx>
                          <w:txbxContent>
                            <w:p w14:paraId="0A28460A" w14:textId="77777777" w:rsidR="00734B7C" w:rsidRDefault="00734B7C" w:rsidP="00734B7C">
                              <w:pPr>
                                <w:bidi w:val="0"/>
                                <w:spacing w:line="259" w:lineRule="auto"/>
                              </w:pPr>
                              <w:r>
                                <w:t xml:space="preserve"> </w:t>
                              </w:r>
                            </w:p>
                          </w:txbxContent>
                        </wps:txbx>
                        <wps:bodyPr horzOverflow="overflow" vert="horz" lIns="0" tIns="0" rIns="0" bIns="0" rtlCol="0">
                          <a:noAutofit/>
                        </wps:bodyPr>
                      </wps:wsp>
                      <wps:wsp>
                        <wps:cNvPr id="27714" name="Shape 27714"/>
                        <wps:cNvSpPr/>
                        <wps:spPr>
                          <a:xfrm>
                            <a:off x="-22718" y="1198241"/>
                            <a:ext cx="1392713" cy="687273"/>
                          </a:xfrm>
                          <a:custGeom>
                            <a:avLst/>
                            <a:gdLst/>
                            <a:ahLst/>
                            <a:cxnLst/>
                            <a:rect l="0" t="0" r="0" b="0"/>
                            <a:pathLst>
                              <a:path w="1374546" h="687273">
                                <a:moveTo>
                                  <a:pt x="68702" y="0"/>
                                </a:moveTo>
                                <a:lnTo>
                                  <a:pt x="1305844" y="0"/>
                                </a:lnTo>
                                <a:cubicBezTo>
                                  <a:pt x="1343815" y="0"/>
                                  <a:pt x="1374546" y="30860"/>
                                  <a:pt x="1374546" y="68828"/>
                                </a:cubicBezTo>
                                <a:lnTo>
                                  <a:pt x="1374546" y="618572"/>
                                </a:lnTo>
                                <a:cubicBezTo>
                                  <a:pt x="1374546" y="656541"/>
                                  <a:pt x="1343815" y="687273"/>
                                  <a:pt x="1305844" y="687273"/>
                                </a:cubicBezTo>
                                <a:lnTo>
                                  <a:pt x="68702" y="687273"/>
                                </a:lnTo>
                                <a:cubicBezTo>
                                  <a:pt x="30860" y="687273"/>
                                  <a:pt x="0" y="656541"/>
                                  <a:pt x="0" y="618572"/>
                                </a:cubicBezTo>
                                <a:lnTo>
                                  <a:pt x="0" y="68828"/>
                                </a:lnTo>
                                <a:cubicBezTo>
                                  <a:pt x="0" y="30860"/>
                                  <a:pt x="30860" y="0"/>
                                  <a:pt x="68702" y="0"/>
                                </a:cubicBezTo>
                                <a:close/>
                              </a:path>
                            </a:pathLst>
                          </a:custGeom>
                          <a:solidFill>
                            <a:srgbClr val="5B9BD4"/>
                          </a:solidFill>
                          <a:ln w="0" cap="flat">
                            <a:noFill/>
                            <a:miter lim="127000"/>
                          </a:ln>
                          <a:effectLst/>
                        </wps:spPr>
                        <wps:bodyPr/>
                      </wps:wsp>
                      <wps:wsp>
                        <wps:cNvPr id="27715" name="Shape 27715"/>
                        <wps:cNvSpPr/>
                        <wps:spPr>
                          <a:xfrm>
                            <a:off x="1" y="1185456"/>
                            <a:ext cx="1374547" cy="700058"/>
                          </a:xfrm>
                          <a:custGeom>
                            <a:avLst/>
                            <a:gdLst/>
                            <a:ahLst/>
                            <a:cxnLst/>
                            <a:rect l="0" t="0" r="0" b="0"/>
                            <a:pathLst>
                              <a:path w="1374546" h="687273">
                                <a:moveTo>
                                  <a:pt x="0" y="68829"/>
                                </a:moveTo>
                                <a:cubicBezTo>
                                  <a:pt x="0" y="30859"/>
                                  <a:pt x="30859" y="0"/>
                                  <a:pt x="68702" y="0"/>
                                </a:cubicBezTo>
                                <a:lnTo>
                                  <a:pt x="1305844" y="0"/>
                                </a:lnTo>
                                <a:cubicBezTo>
                                  <a:pt x="1343814" y="0"/>
                                  <a:pt x="1374546" y="30859"/>
                                  <a:pt x="1374546" y="68829"/>
                                </a:cubicBezTo>
                                <a:lnTo>
                                  <a:pt x="1374546" y="618572"/>
                                </a:lnTo>
                                <a:cubicBezTo>
                                  <a:pt x="1374546" y="656541"/>
                                  <a:pt x="1343814" y="687273"/>
                                  <a:pt x="1305844" y="687273"/>
                                </a:cubicBezTo>
                                <a:lnTo>
                                  <a:pt x="68702" y="687273"/>
                                </a:lnTo>
                                <a:cubicBezTo>
                                  <a:pt x="30859" y="687273"/>
                                  <a:pt x="0" y="656541"/>
                                  <a:pt x="0" y="618572"/>
                                </a:cubicBezTo>
                                <a:close/>
                              </a:path>
                            </a:pathLst>
                          </a:custGeom>
                          <a:noFill/>
                          <a:ln w="12699" cap="flat" cmpd="sng" algn="ctr">
                            <a:solidFill>
                              <a:srgbClr val="FFFFFF"/>
                            </a:solidFill>
                            <a:prstDash val="solid"/>
                            <a:miter lim="127000"/>
                          </a:ln>
                          <a:effectLst/>
                        </wps:spPr>
                        <wps:bodyPr/>
                      </wps:wsp>
                      <wps:wsp>
                        <wps:cNvPr id="27718" name="Rectangle 27718"/>
                        <wps:cNvSpPr/>
                        <wps:spPr>
                          <a:xfrm>
                            <a:off x="803952" y="1270079"/>
                            <a:ext cx="56344" cy="190504"/>
                          </a:xfrm>
                          <a:prstGeom prst="rect">
                            <a:avLst/>
                          </a:prstGeom>
                          <a:ln>
                            <a:noFill/>
                          </a:ln>
                        </wps:spPr>
                        <wps:txbx>
                          <w:txbxContent>
                            <w:p w14:paraId="7BE74C05"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20" name="Rectangle 27720"/>
                        <wps:cNvSpPr/>
                        <wps:spPr>
                          <a:xfrm>
                            <a:off x="520662" y="1270079"/>
                            <a:ext cx="56344" cy="190504"/>
                          </a:xfrm>
                          <a:prstGeom prst="rect">
                            <a:avLst/>
                          </a:prstGeom>
                          <a:ln>
                            <a:noFill/>
                          </a:ln>
                        </wps:spPr>
                        <wps:txbx>
                          <w:txbxContent>
                            <w:p w14:paraId="377FB1F1"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21" name="Rectangle 27721"/>
                        <wps:cNvSpPr/>
                        <wps:spPr>
                          <a:xfrm>
                            <a:off x="436848" y="1270079"/>
                            <a:ext cx="113094" cy="190504"/>
                          </a:xfrm>
                          <a:prstGeom prst="rect">
                            <a:avLst/>
                          </a:prstGeom>
                          <a:ln>
                            <a:noFill/>
                          </a:ln>
                        </wps:spPr>
                        <wps:txbx>
                          <w:txbxContent>
                            <w:p w14:paraId="29C07384"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27" name="Rectangle 27727"/>
                        <wps:cNvSpPr/>
                        <wps:spPr>
                          <a:xfrm>
                            <a:off x="932492" y="1430088"/>
                            <a:ext cx="56344" cy="190504"/>
                          </a:xfrm>
                          <a:prstGeom prst="rect">
                            <a:avLst/>
                          </a:prstGeom>
                          <a:ln>
                            <a:noFill/>
                          </a:ln>
                        </wps:spPr>
                        <wps:txbx>
                          <w:txbxContent>
                            <w:p w14:paraId="77ADC843"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29" name="Rectangle 27729"/>
                        <wps:cNvSpPr/>
                        <wps:spPr>
                          <a:xfrm>
                            <a:off x="461306" y="1430088"/>
                            <a:ext cx="56344" cy="190504"/>
                          </a:xfrm>
                          <a:prstGeom prst="rect">
                            <a:avLst/>
                          </a:prstGeom>
                          <a:ln>
                            <a:noFill/>
                          </a:ln>
                        </wps:spPr>
                        <wps:txbx>
                          <w:txbxContent>
                            <w:p w14:paraId="565BFB2E"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34" name="Shape 27734"/>
                        <wps:cNvSpPr/>
                        <wps:spPr>
                          <a:xfrm>
                            <a:off x="1374546" y="343636"/>
                            <a:ext cx="549869" cy="1185456"/>
                          </a:xfrm>
                          <a:custGeom>
                            <a:avLst/>
                            <a:gdLst/>
                            <a:ahLst/>
                            <a:cxnLst/>
                            <a:rect l="0" t="0" r="0" b="0"/>
                            <a:pathLst>
                              <a:path w="549869" h="1185456">
                                <a:moveTo>
                                  <a:pt x="0" y="1185456"/>
                                </a:moveTo>
                                <a:lnTo>
                                  <a:pt x="549869" y="0"/>
                                </a:lnTo>
                              </a:path>
                            </a:pathLst>
                          </a:custGeom>
                          <a:noFill/>
                          <a:ln w="12699" cap="flat" cmpd="sng" algn="ctr">
                            <a:solidFill>
                              <a:srgbClr val="467AA9"/>
                            </a:solidFill>
                            <a:prstDash val="solid"/>
                            <a:miter lim="127000"/>
                          </a:ln>
                          <a:effectLst/>
                        </wps:spPr>
                        <wps:bodyPr/>
                      </wps:wsp>
                      <wps:wsp>
                        <wps:cNvPr id="27735" name="Shape 27735"/>
                        <wps:cNvSpPr/>
                        <wps:spPr>
                          <a:xfrm>
                            <a:off x="1924414" y="0"/>
                            <a:ext cx="1374546" cy="687273"/>
                          </a:xfrm>
                          <a:custGeom>
                            <a:avLst/>
                            <a:gdLst/>
                            <a:ahLst/>
                            <a:cxnLst/>
                            <a:rect l="0" t="0" r="0" b="0"/>
                            <a:pathLst>
                              <a:path w="1374546" h="687273">
                                <a:moveTo>
                                  <a:pt x="68702" y="0"/>
                                </a:moveTo>
                                <a:lnTo>
                                  <a:pt x="1305845" y="0"/>
                                </a:lnTo>
                                <a:cubicBezTo>
                                  <a:pt x="1343688" y="0"/>
                                  <a:pt x="1374546" y="30731"/>
                                  <a:pt x="1374546" y="68702"/>
                                </a:cubicBezTo>
                                <a:lnTo>
                                  <a:pt x="1374546" y="618572"/>
                                </a:lnTo>
                                <a:cubicBezTo>
                                  <a:pt x="1374546" y="656415"/>
                                  <a:pt x="1343688" y="687273"/>
                                  <a:pt x="1305845" y="687273"/>
                                </a:cubicBezTo>
                                <a:lnTo>
                                  <a:pt x="68702" y="687273"/>
                                </a:lnTo>
                                <a:cubicBezTo>
                                  <a:pt x="30733" y="687273"/>
                                  <a:pt x="0" y="656415"/>
                                  <a:pt x="0" y="618572"/>
                                </a:cubicBezTo>
                                <a:lnTo>
                                  <a:pt x="0" y="68702"/>
                                </a:lnTo>
                                <a:cubicBezTo>
                                  <a:pt x="0" y="30731"/>
                                  <a:pt x="30733" y="0"/>
                                  <a:pt x="68702" y="0"/>
                                </a:cubicBezTo>
                                <a:close/>
                              </a:path>
                            </a:pathLst>
                          </a:custGeom>
                          <a:solidFill>
                            <a:srgbClr val="5B9BD4"/>
                          </a:solidFill>
                          <a:ln w="0" cap="flat">
                            <a:noFill/>
                            <a:miter lim="127000"/>
                          </a:ln>
                          <a:effectLst/>
                        </wps:spPr>
                        <wps:bodyPr/>
                      </wps:wsp>
                      <wps:wsp>
                        <wps:cNvPr id="27736" name="Shape 27736"/>
                        <wps:cNvSpPr/>
                        <wps:spPr>
                          <a:xfrm>
                            <a:off x="1924415" y="0"/>
                            <a:ext cx="1374546" cy="687272"/>
                          </a:xfrm>
                          <a:custGeom>
                            <a:avLst/>
                            <a:gdLst/>
                            <a:ahLst/>
                            <a:cxnLst/>
                            <a:rect l="0" t="0" r="0" b="0"/>
                            <a:pathLst>
                              <a:path w="1374546" h="687272">
                                <a:moveTo>
                                  <a:pt x="0" y="68702"/>
                                </a:moveTo>
                                <a:cubicBezTo>
                                  <a:pt x="0" y="30732"/>
                                  <a:pt x="30732" y="0"/>
                                  <a:pt x="68702" y="0"/>
                                </a:cubicBezTo>
                                <a:lnTo>
                                  <a:pt x="1305844" y="0"/>
                                </a:lnTo>
                                <a:cubicBezTo>
                                  <a:pt x="1343687" y="0"/>
                                  <a:pt x="1374546" y="30732"/>
                                  <a:pt x="1374546" y="68702"/>
                                </a:cubicBezTo>
                                <a:lnTo>
                                  <a:pt x="1374546" y="618571"/>
                                </a:lnTo>
                                <a:cubicBezTo>
                                  <a:pt x="1374546" y="656414"/>
                                  <a:pt x="1343687" y="687272"/>
                                  <a:pt x="1305844" y="687272"/>
                                </a:cubicBezTo>
                                <a:lnTo>
                                  <a:pt x="68702" y="687272"/>
                                </a:lnTo>
                                <a:cubicBezTo>
                                  <a:pt x="30732" y="687272"/>
                                  <a:pt x="0" y="656414"/>
                                  <a:pt x="0" y="618571"/>
                                </a:cubicBezTo>
                                <a:close/>
                              </a:path>
                            </a:pathLst>
                          </a:custGeom>
                          <a:noFill/>
                          <a:ln w="12699" cap="flat" cmpd="sng" algn="ctr">
                            <a:solidFill>
                              <a:srgbClr val="FFFFFF"/>
                            </a:solidFill>
                            <a:prstDash val="solid"/>
                            <a:miter lim="127000"/>
                          </a:ln>
                          <a:effectLst/>
                        </wps:spPr>
                        <wps:bodyPr/>
                      </wps:wsp>
                      <wps:wsp>
                        <wps:cNvPr id="27744" name="Rectangle 27744"/>
                        <wps:cNvSpPr/>
                        <wps:spPr>
                          <a:xfrm>
                            <a:off x="2086836" y="279553"/>
                            <a:ext cx="260237" cy="190505"/>
                          </a:xfrm>
                          <a:prstGeom prst="rect">
                            <a:avLst/>
                          </a:prstGeom>
                          <a:ln>
                            <a:noFill/>
                          </a:ln>
                        </wps:spPr>
                        <wps:txbx>
                          <w:txbxContent>
                            <w:p w14:paraId="5A14B6E3" w14:textId="77777777" w:rsidR="00734B7C" w:rsidRDefault="00734B7C" w:rsidP="00734B7C">
                              <w:pPr>
                                <w:bidi w:val="0"/>
                                <w:spacing w:line="259" w:lineRule="auto"/>
                              </w:pPr>
                            </w:p>
                          </w:txbxContent>
                        </wps:txbx>
                        <wps:bodyPr horzOverflow="overflow" vert="horz" lIns="0" tIns="0" rIns="0" bIns="0" rtlCol="0">
                          <a:noAutofit/>
                        </wps:bodyPr>
                      </wps:wsp>
                      <wps:wsp>
                        <wps:cNvPr id="27741" name="Rectangle 27741"/>
                        <wps:cNvSpPr/>
                        <wps:spPr>
                          <a:xfrm>
                            <a:off x="2534554" y="279553"/>
                            <a:ext cx="56344" cy="190505"/>
                          </a:xfrm>
                          <a:prstGeom prst="rect">
                            <a:avLst/>
                          </a:prstGeom>
                          <a:ln>
                            <a:noFill/>
                          </a:ln>
                        </wps:spPr>
                        <wps:txbx>
                          <w:txbxContent>
                            <w:p w14:paraId="3F63661F"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39" name="Rectangle 27739"/>
                        <wps:cNvSpPr/>
                        <wps:spPr>
                          <a:xfrm>
                            <a:off x="2837197" y="279553"/>
                            <a:ext cx="56344" cy="190505"/>
                          </a:xfrm>
                          <a:prstGeom prst="rect">
                            <a:avLst/>
                          </a:prstGeom>
                          <a:ln>
                            <a:noFill/>
                          </a:ln>
                        </wps:spPr>
                        <wps:txbx>
                          <w:txbxContent>
                            <w:p w14:paraId="4760357E"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47" name="Shape 27747"/>
                        <wps:cNvSpPr/>
                        <wps:spPr>
                          <a:xfrm>
                            <a:off x="1374546" y="1134025"/>
                            <a:ext cx="549869" cy="395067"/>
                          </a:xfrm>
                          <a:custGeom>
                            <a:avLst/>
                            <a:gdLst/>
                            <a:ahLst/>
                            <a:cxnLst/>
                            <a:rect l="0" t="0" r="0" b="0"/>
                            <a:pathLst>
                              <a:path w="549869" h="395067">
                                <a:moveTo>
                                  <a:pt x="0" y="395067"/>
                                </a:moveTo>
                                <a:lnTo>
                                  <a:pt x="549869" y="0"/>
                                </a:lnTo>
                              </a:path>
                            </a:pathLst>
                          </a:custGeom>
                          <a:noFill/>
                          <a:ln w="12699" cap="flat" cmpd="sng" algn="ctr">
                            <a:solidFill>
                              <a:srgbClr val="467AA9"/>
                            </a:solidFill>
                            <a:prstDash val="solid"/>
                            <a:miter lim="127000"/>
                          </a:ln>
                          <a:effectLst/>
                        </wps:spPr>
                        <wps:bodyPr/>
                      </wps:wsp>
                      <wps:wsp>
                        <wps:cNvPr id="27748" name="Shape 27748"/>
                        <wps:cNvSpPr/>
                        <wps:spPr>
                          <a:xfrm>
                            <a:off x="1924414" y="790390"/>
                            <a:ext cx="1374546" cy="687272"/>
                          </a:xfrm>
                          <a:custGeom>
                            <a:avLst/>
                            <a:gdLst/>
                            <a:ahLst/>
                            <a:cxnLst/>
                            <a:rect l="0" t="0" r="0" b="0"/>
                            <a:pathLst>
                              <a:path w="1374546" h="687272">
                                <a:moveTo>
                                  <a:pt x="68702" y="0"/>
                                </a:moveTo>
                                <a:lnTo>
                                  <a:pt x="1305845" y="0"/>
                                </a:lnTo>
                                <a:cubicBezTo>
                                  <a:pt x="1343688" y="0"/>
                                  <a:pt x="1374546" y="30731"/>
                                  <a:pt x="1374546" y="68702"/>
                                </a:cubicBezTo>
                                <a:lnTo>
                                  <a:pt x="1374546" y="618443"/>
                                </a:lnTo>
                                <a:cubicBezTo>
                                  <a:pt x="1374546" y="656413"/>
                                  <a:pt x="1343688" y="687272"/>
                                  <a:pt x="1305845" y="687272"/>
                                </a:cubicBezTo>
                                <a:lnTo>
                                  <a:pt x="68702" y="687272"/>
                                </a:lnTo>
                                <a:cubicBezTo>
                                  <a:pt x="30733" y="687272"/>
                                  <a:pt x="0" y="656413"/>
                                  <a:pt x="0" y="618443"/>
                                </a:cubicBezTo>
                                <a:lnTo>
                                  <a:pt x="0" y="68702"/>
                                </a:lnTo>
                                <a:cubicBezTo>
                                  <a:pt x="0" y="30731"/>
                                  <a:pt x="30733" y="0"/>
                                  <a:pt x="68702" y="0"/>
                                </a:cubicBezTo>
                                <a:close/>
                              </a:path>
                            </a:pathLst>
                          </a:custGeom>
                          <a:solidFill>
                            <a:srgbClr val="5B9BD4"/>
                          </a:solidFill>
                          <a:ln w="0" cap="flat">
                            <a:noFill/>
                            <a:miter lim="127000"/>
                          </a:ln>
                          <a:effectLst/>
                        </wps:spPr>
                        <wps:bodyPr/>
                      </wps:wsp>
                      <wps:wsp>
                        <wps:cNvPr id="27749" name="Shape 27749"/>
                        <wps:cNvSpPr/>
                        <wps:spPr>
                          <a:xfrm>
                            <a:off x="1924415" y="790389"/>
                            <a:ext cx="1374546" cy="687273"/>
                          </a:xfrm>
                          <a:custGeom>
                            <a:avLst/>
                            <a:gdLst/>
                            <a:ahLst/>
                            <a:cxnLst/>
                            <a:rect l="0" t="0" r="0" b="0"/>
                            <a:pathLst>
                              <a:path w="1374546" h="687273">
                                <a:moveTo>
                                  <a:pt x="0" y="68702"/>
                                </a:moveTo>
                                <a:cubicBezTo>
                                  <a:pt x="0" y="30732"/>
                                  <a:pt x="30732" y="0"/>
                                  <a:pt x="68702" y="0"/>
                                </a:cubicBezTo>
                                <a:lnTo>
                                  <a:pt x="1305844" y="0"/>
                                </a:lnTo>
                                <a:cubicBezTo>
                                  <a:pt x="1343687" y="0"/>
                                  <a:pt x="1374546" y="30732"/>
                                  <a:pt x="1374546" y="68702"/>
                                </a:cubicBezTo>
                                <a:lnTo>
                                  <a:pt x="1374546" y="618444"/>
                                </a:lnTo>
                                <a:cubicBezTo>
                                  <a:pt x="1374546" y="656414"/>
                                  <a:pt x="1343687" y="687273"/>
                                  <a:pt x="1305844" y="687273"/>
                                </a:cubicBezTo>
                                <a:lnTo>
                                  <a:pt x="68702" y="687273"/>
                                </a:lnTo>
                                <a:cubicBezTo>
                                  <a:pt x="30732" y="687273"/>
                                  <a:pt x="0" y="656414"/>
                                  <a:pt x="0" y="618444"/>
                                </a:cubicBezTo>
                                <a:close/>
                              </a:path>
                            </a:pathLst>
                          </a:custGeom>
                          <a:noFill/>
                          <a:ln w="12699" cap="flat" cmpd="sng" algn="ctr">
                            <a:solidFill>
                              <a:srgbClr val="FFFFFF"/>
                            </a:solidFill>
                            <a:prstDash val="solid"/>
                            <a:miter lim="127000"/>
                          </a:ln>
                          <a:effectLst/>
                        </wps:spPr>
                        <wps:bodyPr/>
                      </wps:wsp>
                      <wps:wsp>
                        <wps:cNvPr id="27752" name="Rectangle 27752"/>
                        <wps:cNvSpPr/>
                        <wps:spPr>
                          <a:xfrm>
                            <a:off x="2866304" y="1070069"/>
                            <a:ext cx="56344" cy="190505"/>
                          </a:xfrm>
                          <a:prstGeom prst="rect">
                            <a:avLst/>
                          </a:prstGeom>
                          <a:ln>
                            <a:noFill/>
                          </a:ln>
                        </wps:spPr>
                        <wps:txbx>
                          <w:txbxContent>
                            <w:p w14:paraId="4848C282"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54" name="Rectangle 27754"/>
                        <wps:cNvSpPr/>
                        <wps:spPr>
                          <a:xfrm>
                            <a:off x="2443121" y="1070069"/>
                            <a:ext cx="56344" cy="190505"/>
                          </a:xfrm>
                          <a:prstGeom prst="rect">
                            <a:avLst/>
                          </a:prstGeom>
                          <a:ln>
                            <a:noFill/>
                          </a:ln>
                        </wps:spPr>
                        <wps:txbx>
                          <w:txbxContent>
                            <w:p w14:paraId="79B5261C"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57" name="Shape 27757"/>
                        <wps:cNvSpPr/>
                        <wps:spPr>
                          <a:xfrm>
                            <a:off x="1374546" y="1529093"/>
                            <a:ext cx="549869" cy="395194"/>
                          </a:xfrm>
                          <a:custGeom>
                            <a:avLst/>
                            <a:gdLst/>
                            <a:ahLst/>
                            <a:cxnLst/>
                            <a:rect l="0" t="0" r="0" b="0"/>
                            <a:pathLst>
                              <a:path w="549869" h="395194">
                                <a:moveTo>
                                  <a:pt x="0" y="0"/>
                                </a:moveTo>
                                <a:lnTo>
                                  <a:pt x="549869" y="395194"/>
                                </a:lnTo>
                              </a:path>
                            </a:pathLst>
                          </a:custGeom>
                          <a:noFill/>
                          <a:ln w="12699" cap="flat" cmpd="sng" algn="ctr">
                            <a:solidFill>
                              <a:srgbClr val="467AA9"/>
                            </a:solidFill>
                            <a:prstDash val="solid"/>
                            <a:miter lim="127000"/>
                          </a:ln>
                          <a:effectLst/>
                        </wps:spPr>
                        <wps:bodyPr/>
                      </wps:wsp>
                      <wps:wsp>
                        <wps:cNvPr id="27758" name="Shape 27758"/>
                        <wps:cNvSpPr/>
                        <wps:spPr>
                          <a:xfrm>
                            <a:off x="1924414" y="1580651"/>
                            <a:ext cx="1374546" cy="687274"/>
                          </a:xfrm>
                          <a:custGeom>
                            <a:avLst/>
                            <a:gdLst/>
                            <a:ahLst/>
                            <a:cxnLst/>
                            <a:rect l="0" t="0" r="0" b="0"/>
                            <a:pathLst>
                              <a:path w="1374546" h="687274">
                                <a:moveTo>
                                  <a:pt x="68702" y="0"/>
                                </a:moveTo>
                                <a:lnTo>
                                  <a:pt x="1305845" y="0"/>
                                </a:lnTo>
                                <a:cubicBezTo>
                                  <a:pt x="1343688" y="0"/>
                                  <a:pt x="1374546" y="30859"/>
                                  <a:pt x="1374546" y="68829"/>
                                </a:cubicBezTo>
                                <a:lnTo>
                                  <a:pt x="1374546" y="618572"/>
                                </a:lnTo>
                                <a:cubicBezTo>
                                  <a:pt x="1374546" y="656542"/>
                                  <a:pt x="1343688" y="687274"/>
                                  <a:pt x="1305845" y="687274"/>
                                </a:cubicBezTo>
                                <a:lnTo>
                                  <a:pt x="68702" y="687274"/>
                                </a:lnTo>
                                <a:cubicBezTo>
                                  <a:pt x="30733" y="687274"/>
                                  <a:pt x="0" y="656542"/>
                                  <a:pt x="0" y="618572"/>
                                </a:cubicBezTo>
                                <a:lnTo>
                                  <a:pt x="0" y="68829"/>
                                </a:lnTo>
                                <a:cubicBezTo>
                                  <a:pt x="0" y="30859"/>
                                  <a:pt x="30733" y="0"/>
                                  <a:pt x="68702" y="0"/>
                                </a:cubicBezTo>
                                <a:close/>
                              </a:path>
                            </a:pathLst>
                          </a:custGeom>
                          <a:solidFill>
                            <a:srgbClr val="5B9BD4"/>
                          </a:solidFill>
                          <a:ln w="0" cap="flat">
                            <a:noFill/>
                            <a:miter lim="127000"/>
                          </a:ln>
                          <a:effectLst/>
                        </wps:spPr>
                        <wps:bodyPr/>
                      </wps:wsp>
                      <wps:wsp>
                        <wps:cNvPr id="27759" name="Shape 27759"/>
                        <wps:cNvSpPr/>
                        <wps:spPr>
                          <a:xfrm>
                            <a:off x="1924415" y="1580652"/>
                            <a:ext cx="1374546" cy="687272"/>
                          </a:xfrm>
                          <a:custGeom>
                            <a:avLst/>
                            <a:gdLst/>
                            <a:ahLst/>
                            <a:cxnLst/>
                            <a:rect l="0" t="0" r="0" b="0"/>
                            <a:pathLst>
                              <a:path w="1374546" h="687272">
                                <a:moveTo>
                                  <a:pt x="0" y="68828"/>
                                </a:moveTo>
                                <a:cubicBezTo>
                                  <a:pt x="0" y="30859"/>
                                  <a:pt x="30732" y="0"/>
                                  <a:pt x="68702" y="0"/>
                                </a:cubicBezTo>
                                <a:lnTo>
                                  <a:pt x="1305844" y="0"/>
                                </a:lnTo>
                                <a:cubicBezTo>
                                  <a:pt x="1343687" y="0"/>
                                  <a:pt x="1374546" y="30859"/>
                                  <a:pt x="1374546" y="68828"/>
                                </a:cubicBezTo>
                                <a:lnTo>
                                  <a:pt x="1374546" y="618571"/>
                                </a:lnTo>
                                <a:cubicBezTo>
                                  <a:pt x="1374546" y="656541"/>
                                  <a:pt x="1343687" y="687272"/>
                                  <a:pt x="1305844" y="687272"/>
                                </a:cubicBezTo>
                                <a:lnTo>
                                  <a:pt x="68702" y="687272"/>
                                </a:lnTo>
                                <a:cubicBezTo>
                                  <a:pt x="30732" y="687272"/>
                                  <a:pt x="0" y="656541"/>
                                  <a:pt x="0" y="618571"/>
                                </a:cubicBezTo>
                                <a:close/>
                              </a:path>
                            </a:pathLst>
                          </a:custGeom>
                          <a:noFill/>
                          <a:ln w="12699" cap="flat" cmpd="sng" algn="ctr">
                            <a:solidFill>
                              <a:srgbClr val="FFFFFF"/>
                            </a:solidFill>
                            <a:prstDash val="solid"/>
                            <a:miter lim="127000"/>
                          </a:ln>
                          <a:effectLst/>
                        </wps:spPr>
                        <wps:bodyPr/>
                      </wps:wsp>
                      <wps:wsp>
                        <wps:cNvPr id="27764" name="Rectangle 27764"/>
                        <wps:cNvSpPr/>
                        <wps:spPr>
                          <a:xfrm>
                            <a:off x="2388261" y="1857411"/>
                            <a:ext cx="56344" cy="190504"/>
                          </a:xfrm>
                          <a:prstGeom prst="rect">
                            <a:avLst/>
                          </a:prstGeom>
                          <a:ln>
                            <a:noFill/>
                          </a:ln>
                        </wps:spPr>
                        <wps:txbx>
                          <w:txbxContent>
                            <w:p w14:paraId="24798FC4"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62" name="Rectangle 27762"/>
                        <wps:cNvSpPr/>
                        <wps:spPr>
                          <a:xfrm>
                            <a:off x="2934726" y="1857411"/>
                            <a:ext cx="56344" cy="190504"/>
                          </a:xfrm>
                          <a:prstGeom prst="rect">
                            <a:avLst/>
                          </a:prstGeom>
                          <a:ln>
                            <a:noFill/>
                          </a:ln>
                        </wps:spPr>
                        <wps:txbx>
                          <w:txbxContent>
                            <w:p w14:paraId="4B33D4FA"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67" name="Shape 27767"/>
                        <wps:cNvSpPr/>
                        <wps:spPr>
                          <a:xfrm>
                            <a:off x="1374546" y="1529093"/>
                            <a:ext cx="549869" cy="1185584"/>
                          </a:xfrm>
                          <a:custGeom>
                            <a:avLst/>
                            <a:gdLst/>
                            <a:ahLst/>
                            <a:cxnLst/>
                            <a:rect l="0" t="0" r="0" b="0"/>
                            <a:pathLst>
                              <a:path w="549869" h="1185584">
                                <a:moveTo>
                                  <a:pt x="0" y="0"/>
                                </a:moveTo>
                                <a:lnTo>
                                  <a:pt x="549869" y="1185584"/>
                                </a:lnTo>
                              </a:path>
                            </a:pathLst>
                          </a:custGeom>
                          <a:noFill/>
                          <a:ln w="12699" cap="flat" cmpd="sng" algn="ctr">
                            <a:solidFill>
                              <a:srgbClr val="467AA9"/>
                            </a:solidFill>
                            <a:prstDash val="solid"/>
                            <a:miter lim="127000"/>
                          </a:ln>
                          <a:effectLst/>
                        </wps:spPr>
                        <wps:bodyPr/>
                      </wps:wsp>
                      <wps:wsp>
                        <wps:cNvPr id="27768" name="Shape 27768"/>
                        <wps:cNvSpPr/>
                        <wps:spPr>
                          <a:xfrm>
                            <a:off x="1924414" y="2371041"/>
                            <a:ext cx="1374546" cy="687272"/>
                          </a:xfrm>
                          <a:custGeom>
                            <a:avLst/>
                            <a:gdLst/>
                            <a:ahLst/>
                            <a:cxnLst/>
                            <a:rect l="0" t="0" r="0" b="0"/>
                            <a:pathLst>
                              <a:path w="1374546" h="687272">
                                <a:moveTo>
                                  <a:pt x="68702" y="0"/>
                                </a:moveTo>
                                <a:lnTo>
                                  <a:pt x="1305845" y="0"/>
                                </a:lnTo>
                                <a:cubicBezTo>
                                  <a:pt x="1343688" y="0"/>
                                  <a:pt x="1374546" y="30731"/>
                                  <a:pt x="1374546" y="68702"/>
                                </a:cubicBezTo>
                                <a:lnTo>
                                  <a:pt x="1374546" y="618572"/>
                                </a:lnTo>
                                <a:cubicBezTo>
                                  <a:pt x="1374546" y="656541"/>
                                  <a:pt x="1343688" y="687272"/>
                                  <a:pt x="1305845" y="687272"/>
                                </a:cubicBezTo>
                                <a:lnTo>
                                  <a:pt x="68702" y="687272"/>
                                </a:lnTo>
                                <a:cubicBezTo>
                                  <a:pt x="30733" y="687272"/>
                                  <a:pt x="0" y="656541"/>
                                  <a:pt x="0" y="618572"/>
                                </a:cubicBezTo>
                                <a:lnTo>
                                  <a:pt x="0" y="68702"/>
                                </a:lnTo>
                                <a:cubicBezTo>
                                  <a:pt x="0" y="30731"/>
                                  <a:pt x="30733" y="0"/>
                                  <a:pt x="68702" y="0"/>
                                </a:cubicBezTo>
                                <a:close/>
                              </a:path>
                            </a:pathLst>
                          </a:custGeom>
                          <a:solidFill>
                            <a:srgbClr val="5B9BD4"/>
                          </a:solidFill>
                          <a:ln w="0" cap="flat">
                            <a:noFill/>
                            <a:miter lim="127000"/>
                          </a:ln>
                          <a:effectLst/>
                        </wps:spPr>
                        <wps:bodyPr/>
                      </wps:wsp>
                      <wps:wsp>
                        <wps:cNvPr id="27769" name="Shape 27769"/>
                        <wps:cNvSpPr/>
                        <wps:spPr>
                          <a:xfrm>
                            <a:off x="1924415" y="2371041"/>
                            <a:ext cx="1374546" cy="687272"/>
                          </a:xfrm>
                          <a:custGeom>
                            <a:avLst/>
                            <a:gdLst/>
                            <a:ahLst/>
                            <a:cxnLst/>
                            <a:rect l="0" t="0" r="0" b="0"/>
                            <a:pathLst>
                              <a:path w="1374546" h="687272">
                                <a:moveTo>
                                  <a:pt x="0" y="68702"/>
                                </a:moveTo>
                                <a:cubicBezTo>
                                  <a:pt x="0" y="30731"/>
                                  <a:pt x="30732" y="0"/>
                                  <a:pt x="68702" y="0"/>
                                </a:cubicBezTo>
                                <a:lnTo>
                                  <a:pt x="1305844" y="0"/>
                                </a:lnTo>
                                <a:cubicBezTo>
                                  <a:pt x="1343687" y="0"/>
                                  <a:pt x="1374546" y="30731"/>
                                  <a:pt x="1374546" y="68702"/>
                                </a:cubicBezTo>
                                <a:lnTo>
                                  <a:pt x="1374546" y="618571"/>
                                </a:lnTo>
                                <a:cubicBezTo>
                                  <a:pt x="1374546" y="656541"/>
                                  <a:pt x="1343687" y="687272"/>
                                  <a:pt x="1305844" y="687272"/>
                                </a:cubicBezTo>
                                <a:lnTo>
                                  <a:pt x="68702" y="687272"/>
                                </a:lnTo>
                                <a:cubicBezTo>
                                  <a:pt x="30732" y="687272"/>
                                  <a:pt x="0" y="656541"/>
                                  <a:pt x="0" y="618571"/>
                                </a:cubicBezTo>
                                <a:close/>
                              </a:path>
                            </a:pathLst>
                          </a:custGeom>
                          <a:noFill/>
                          <a:ln w="12699" cap="flat" cmpd="sng" algn="ctr">
                            <a:solidFill>
                              <a:srgbClr val="FFFFFF"/>
                            </a:solidFill>
                            <a:prstDash val="solid"/>
                            <a:miter lim="127000"/>
                          </a:ln>
                          <a:effectLst/>
                        </wps:spPr>
                        <wps:bodyPr/>
                      </wps:wsp>
                      <wps:wsp>
                        <wps:cNvPr id="27774" name="Rectangle 27774"/>
                        <wps:cNvSpPr/>
                        <wps:spPr>
                          <a:xfrm>
                            <a:off x="2489294" y="2647673"/>
                            <a:ext cx="56344" cy="190504"/>
                          </a:xfrm>
                          <a:prstGeom prst="rect">
                            <a:avLst/>
                          </a:prstGeom>
                          <a:ln>
                            <a:noFill/>
                          </a:ln>
                        </wps:spPr>
                        <wps:txbx>
                          <w:txbxContent>
                            <w:p w14:paraId="70DE796A"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72" name="Rectangle 27772"/>
                        <wps:cNvSpPr/>
                        <wps:spPr>
                          <a:xfrm>
                            <a:off x="2884743" y="2647673"/>
                            <a:ext cx="56344" cy="190504"/>
                          </a:xfrm>
                          <a:prstGeom prst="rect">
                            <a:avLst/>
                          </a:prstGeom>
                          <a:ln>
                            <a:noFill/>
                          </a:ln>
                        </wps:spPr>
                        <wps:txbx>
                          <w:txbxContent>
                            <w:p w14:paraId="6325D395"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76" name="Shape 27776"/>
                        <wps:cNvSpPr/>
                        <wps:spPr>
                          <a:xfrm>
                            <a:off x="-17924" y="453934"/>
                            <a:ext cx="1392469" cy="687272"/>
                          </a:xfrm>
                          <a:custGeom>
                            <a:avLst/>
                            <a:gdLst/>
                            <a:ahLst/>
                            <a:cxnLst/>
                            <a:rect l="0" t="0" r="0" b="0"/>
                            <a:pathLst>
                              <a:path w="1374545" h="687272">
                                <a:moveTo>
                                  <a:pt x="68702" y="0"/>
                                </a:moveTo>
                                <a:lnTo>
                                  <a:pt x="1305843" y="0"/>
                                </a:lnTo>
                                <a:cubicBezTo>
                                  <a:pt x="1343814" y="0"/>
                                  <a:pt x="1374545" y="30859"/>
                                  <a:pt x="1374545" y="68829"/>
                                </a:cubicBezTo>
                                <a:lnTo>
                                  <a:pt x="1374545" y="618570"/>
                                </a:lnTo>
                                <a:cubicBezTo>
                                  <a:pt x="1374545" y="656541"/>
                                  <a:pt x="1343814" y="687272"/>
                                  <a:pt x="1305843" y="687272"/>
                                </a:cubicBezTo>
                                <a:lnTo>
                                  <a:pt x="68702" y="687272"/>
                                </a:lnTo>
                                <a:cubicBezTo>
                                  <a:pt x="30731" y="687272"/>
                                  <a:pt x="0" y="656541"/>
                                  <a:pt x="0" y="618570"/>
                                </a:cubicBezTo>
                                <a:lnTo>
                                  <a:pt x="0" y="68829"/>
                                </a:lnTo>
                                <a:cubicBezTo>
                                  <a:pt x="0" y="30859"/>
                                  <a:pt x="30731" y="0"/>
                                  <a:pt x="68702" y="0"/>
                                </a:cubicBezTo>
                                <a:close/>
                              </a:path>
                            </a:pathLst>
                          </a:custGeom>
                          <a:solidFill>
                            <a:srgbClr val="5B9BD4"/>
                          </a:solidFill>
                          <a:ln w="0" cap="flat">
                            <a:noFill/>
                            <a:miter lim="127000"/>
                          </a:ln>
                          <a:effectLst/>
                        </wps:spPr>
                        <wps:txbx>
                          <w:txbxContent>
                            <w:p w14:paraId="673CE4EC" w14:textId="77777777" w:rsidR="00734B7C" w:rsidRDefault="00734B7C" w:rsidP="00734B7C">
                              <w:pPr>
                                <w:jc w:val="center"/>
                              </w:pPr>
                              <w:proofErr w:type="spellStart"/>
                              <w:r>
                                <w:t>kkk</w:t>
                              </w:r>
                              <w:proofErr w:type="spellEnd"/>
                            </w:p>
                          </w:txbxContent>
                        </wps:txbx>
                        <wps:bodyPr/>
                      </wps:wsp>
                      <wps:wsp>
                        <wps:cNvPr id="27780" name="Rectangle 27780"/>
                        <wps:cNvSpPr/>
                        <wps:spPr>
                          <a:xfrm>
                            <a:off x="704747" y="601346"/>
                            <a:ext cx="56344" cy="190505"/>
                          </a:xfrm>
                          <a:prstGeom prst="rect">
                            <a:avLst/>
                          </a:prstGeom>
                          <a:ln>
                            <a:noFill/>
                          </a:ln>
                        </wps:spPr>
                        <wps:txbx>
                          <w:txbxContent>
                            <w:p w14:paraId="4397B0B4"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s:wsp>
                        <wps:cNvPr id="27782" name="Rectangle 27782"/>
                        <wps:cNvSpPr/>
                        <wps:spPr>
                          <a:xfrm>
                            <a:off x="305794" y="601346"/>
                            <a:ext cx="56344" cy="190505"/>
                          </a:xfrm>
                          <a:prstGeom prst="rect">
                            <a:avLst/>
                          </a:prstGeom>
                          <a:ln>
                            <a:noFill/>
                          </a:ln>
                        </wps:spPr>
                        <wps:txbx>
                          <w:txbxContent>
                            <w:p w14:paraId="40222907" w14:textId="77777777" w:rsidR="00734B7C" w:rsidRDefault="00734B7C" w:rsidP="00734B7C">
                              <w:pPr>
                                <w:bidi w:val="0"/>
                                <w:spacing w:line="259" w:lineRule="auto"/>
                              </w:pPr>
                            </w:p>
                          </w:txbxContent>
                        </wps:txbx>
                        <wps:bodyPr horzOverflow="overflow" vert="horz" lIns="0" tIns="0" rIns="0" bIns="0" rtlCol="0">
                          <a:noAutofit/>
                        </wps:bodyPr>
                      </wps:wsp>
                      <wps:wsp>
                        <wps:cNvPr id="27785" name="Rectangle 27785"/>
                        <wps:cNvSpPr/>
                        <wps:spPr>
                          <a:xfrm>
                            <a:off x="756712" y="820786"/>
                            <a:ext cx="56344" cy="190505"/>
                          </a:xfrm>
                          <a:prstGeom prst="rect">
                            <a:avLst/>
                          </a:prstGeom>
                          <a:ln>
                            <a:noFill/>
                          </a:ln>
                        </wps:spPr>
                        <wps:txbx>
                          <w:txbxContent>
                            <w:p w14:paraId="2BB085C3" w14:textId="77777777" w:rsidR="00734B7C" w:rsidRDefault="00734B7C" w:rsidP="00734B7C">
                              <w:pPr>
                                <w:bidi w:val="0"/>
                                <w:spacing w:line="259" w:lineRule="auto"/>
                              </w:pPr>
                              <w:r>
                                <w:rPr>
                                  <w:rFonts w:ascii="Arial" w:eastAsia="Arial" w:hAnsi="Arial" w:cs="Arial"/>
                                  <w:color w:val="FFFFFF"/>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2CDE32F" id="Group 304077" o:spid="_x0000_s1026" style="position:absolute;left:0;text-align:left;margin-left:-2.85pt;margin-top:23.2pt;width:434.25pt;height:181.45pt;z-index:251659264;mso-position-horizontal-relative:margin;mso-width-relative:margin;mso-height-relative:margin" coordorigin="-227" coordsize="33216,3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">
                <v:rect id="Rectangle 27707" o:spid="_x0000_s1027" style="position:absolute;left:12073;top:22243;width:751;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" filled="f" stroked="f">
                  <v:textbox inset="0,0,0,0">
                    <w:txbxContent>
                      <w:p w14:paraId="3485CB54" w14:textId="77777777" w:rsidR="00734B7C" w:rsidRDefault="00734B7C" w:rsidP="00734B7C">
                        <w:pPr>
                          <w:bidi w:val="0"/>
                          <w:spacing w:line="259" w:lineRule="auto"/>
                        </w:pPr>
                        <w:r>
                          <w:t xml:space="preserve"> </w:t>
                        </w:r>
                      </w:p>
                    </w:txbxContent>
                  </v:textbox>
                </v:rect>
                <v:rect id="Rectangle 27708" o:spid="_x0000_s1028" style="position:absolute;left:11524;top:22243;width:756;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" filled="f" stroked="f">
                  <v:textbox inset="0,0,0,0">
                    <w:txbxContent>
                      <w:p w14:paraId="3250EE54" w14:textId="77777777" w:rsidR="00734B7C" w:rsidRDefault="00734B7C" w:rsidP="00734B7C">
                        <w:pPr>
                          <w:bidi w:val="0"/>
                          <w:spacing w:line="259" w:lineRule="auto"/>
                        </w:pPr>
                        <w:r>
                          <w:t>:</w:t>
                        </w:r>
                      </w:p>
                    </w:txbxContent>
                  </v:textbox>
                </v:rect>
                <v:rect id="Rectangle 27709" o:spid="_x0000_s1029" style="position:absolute;left:10655;top:22243;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" filled="f" stroked="f">
                  <v:textbox inset="0,0,0,0">
                    <w:txbxContent>
                      <w:p w14:paraId="0A28460A" w14:textId="77777777" w:rsidR="00734B7C" w:rsidRDefault="00734B7C" w:rsidP="00734B7C">
                        <w:pPr>
                          <w:bidi w:val="0"/>
                          <w:spacing w:line="259" w:lineRule="auto"/>
                        </w:pPr>
                        <w:r>
                          <w:t xml:space="preserve"> </w:t>
                        </w:r>
                      </w:p>
                    </w:txbxContent>
                  </v:textbox>
                </v:rect>
                <v:shape id="Shape 27714" o:spid="_x0000_s1030" style="position:absolute;left:-227;top:11982;width:13926;height:6873;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" path="m68702,l1305844,v37971,,68702,30860,68702,68828l1374546,618572v,37969,-30731,68701,-68702,68701l68702,687273c30860,687273,,656541,,618572l,68828c,30860,30860,,68702,xe" fillcolor="#5b9bd4" stroked="f" strokeweight="0">
                  <v:stroke miterlimit="83231f" joinstyle="miter"/>
                  <v:path arrowok="t" textboxrect="0,0,1374546,687273"/>
                </v:shape>
                <v:shape id="Shape 27715" o:spid="_x0000_s1031" style="position:absolute;top:11854;width:13745;height:7001;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" path="m,68829c,30859,30859,,68702,l1305844,v37970,,68702,30859,68702,68829l1374546,618572v,37969,-30732,68701,-68702,68701l68702,687273c30859,687273,,656541,,618572l,68829xe" filled="f" strokecolor="white" strokeweight=".35275mm">
                  <v:stroke miterlimit="83231f" joinstyle="miter"/>
                  <v:path arrowok="t" textboxrect="0,0,1374546,687273"/>
                </v:shape>
                <v:rect id="Rectangle 27718" o:spid="_x0000_s1032" style="position:absolute;left:8039;top:12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" filled="f" stroked="f">
                  <v:textbox inset="0,0,0,0">
                    <w:txbxContent>
                      <w:p w14:paraId="7BE74C05" w14:textId="77777777" w:rsidR="00734B7C" w:rsidRDefault="00734B7C" w:rsidP="00734B7C">
                        <w:pPr>
                          <w:bidi w:val="0"/>
                          <w:spacing w:line="259" w:lineRule="auto"/>
                        </w:pPr>
                        <w:r>
                          <w:rPr>
                            <w:rFonts w:ascii="Arial" w:eastAsia="Arial" w:hAnsi="Arial" w:cs="Arial"/>
                            <w:color w:val="FFFFFF"/>
                          </w:rPr>
                          <w:t>‌</w:t>
                        </w:r>
                      </w:p>
                    </w:txbxContent>
                  </v:textbox>
                </v:rect>
                <v:rect id="Rectangle 27720" o:spid="_x0000_s1033" style="position:absolute;left:5206;top:1270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" filled="f" stroked="f">
                  <v:textbox inset="0,0,0,0">
                    <w:txbxContent>
                      <w:p w14:paraId="377FB1F1" w14:textId="77777777" w:rsidR="00734B7C" w:rsidRDefault="00734B7C" w:rsidP="00734B7C">
                        <w:pPr>
                          <w:bidi w:val="0"/>
                          <w:spacing w:line="259" w:lineRule="auto"/>
                        </w:pPr>
                        <w:r>
                          <w:rPr>
                            <w:rFonts w:ascii="Arial" w:eastAsia="Arial" w:hAnsi="Arial" w:cs="Arial"/>
                            <w:color w:val="FFFFFF"/>
                          </w:rPr>
                          <w:t>‌</w:t>
                        </w:r>
                      </w:p>
                    </w:txbxContent>
                  </v:textbox>
                </v:rect>
                <v:rect id="Rectangle 27721" o:spid="_x0000_s1034" style="position:absolute;left:4368;top:12700;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" filled="f" stroked="f">
                  <v:textbox inset="0,0,0,0">
                    <w:txbxContent>
                      <w:p w14:paraId="29C07384" w14:textId="77777777" w:rsidR="00734B7C" w:rsidRDefault="00734B7C" w:rsidP="00734B7C">
                        <w:pPr>
                          <w:bidi w:val="0"/>
                          <w:spacing w:line="259" w:lineRule="auto"/>
                        </w:pPr>
                        <w:r>
                          <w:rPr>
                            <w:rFonts w:ascii="Arial" w:eastAsia="Arial" w:hAnsi="Arial" w:cs="Arial"/>
                            <w:color w:val="FFFFFF"/>
                          </w:rPr>
                          <w:t>‌</w:t>
                        </w:r>
                      </w:p>
                    </w:txbxContent>
                  </v:textbox>
                </v:rect>
                <v:rect id="Rectangle 27727" o:spid="_x0000_s1035" style="position:absolute;left:9324;top:1430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" filled="f" stroked="f">
                  <v:textbox inset="0,0,0,0">
                    <w:txbxContent>
                      <w:p w14:paraId="77ADC843" w14:textId="77777777" w:rsidR="00734B7C" w:rsidRDefault="00734B7C" w:rsidP="00734B7C">
                        <w:pPr>
                          <w:bidi w:val="0"/>
                          <w:spacing w:line="259" w:lineRule="auto"/>
                        </w:pPr>
                        <w:r>
                          <w:rPr>
                            <w:rFonts w:ascii="Arial" w:eastAsia="Arial" w:hAnsi="Arial" w:cs="Arial"/>
                            <w:color w:val="FFFFFF"/>
                          </w:rPr>
                          <w:t>‌</w:t>
                        </w:r>
                      </w:p>
                    </w:txbxContent>
                  </v:textbox>
                </v:rect>
                <v:rect id="Rectangle 27729" o:spid="_x0000_s1036" style="position:absolute;left:4613;top:143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" filled="f" stroked="f">
                  <v:textbox inset="0,0,0,0">
                    <w:txbxContent>
                      <w:p w14:paraId="565BFB2E" w14:textId="77777777" w:rsidR="00734B7C" w:rsidRDefault="00734B7C" w:rsidP="00734B7C">
                        <w:pPr>
                          <w:bidi w:val="0"/>
                          <w:spacing w:line="259" w:lineRule="auto"/>
                        </w:pPr>
                        <w:r>
                          <w:rPr>
                            <w:rFonts w:ascii="Arial" w:eastAsia="Arial" w:hAnsi="Arial" w:cs="Arial"/>
                            <w:color w:val="FFFFFF"/>
                          </w:rPr>
                          <w:t>‌</w:t>
                        </w:r>
                      </w:p>
                    </w:txbxContent>
                  </v:textbox>
                </v:rect>
                <v:shape id="Shape 27734" o:spid="_x0000_s1037" style="position:absolute;left:13745;top:3436;width:5499;height:11854;visibility:visible;mso-wrap-style:square;v-text-anchor:top" coordsize="549869,118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" path="m,1185456l549869,e" filled="f" strokecolor="#467aa9" strokeweight=".35275mm">
                  <v:stroke miterlimit="83231f" joinstyle="miter"/>
                  <v:path arrowok="t" textboxrect="0,0,549869,1185456"/>
                </v:shape>
                <v:shape id="Shape 27735" o:spid="_x0000_s1038" style="position:absolute;left:19244;width:13745;height:6872;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" path="m68702,l1305845,v37843,,68701,30731,68701,68702l1374546,618572v,37843,-30858,68701,-68701,68701l68702,687273c30733,687273,,656415,,618572l,68702c,30731,30733,,68702,xe" fillcolor="#5b9bd4" stroked="f" strokeweight="0">
                  <v:stroke miterlimit="83231f" joinstyle="miter"/>
                  <v:path arrowok="t" textboxrect="0,0,1374546,687273"/>
                </v:shape>
                <v:shape id="Shape 27736" o:spid="_x0000_s1039" style="position:absolute;left:19244;width:13745;height:6872;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" path="m,68702c,30732,30732,,68702,l1305844,v37843,,68702,30732,68702,68702l1374546,618571v,37843,-30859,68701,-68702,68701l68702,687272c30732,687272,,656414,,618571l,68702xe" filled="f" strokecolor="white" strokeweight=".35275mm">
                  <v:stroke miterlimit="83231f" joinstyle="miter"/>
                  <v:path arrowok="t" textboxrect="0,0,1374546,687272"/>
                </v:shape>
                <v:rect id="Rectangle 27744" o:spid="_x0000_s1040" style="position:absolute;left:20868;top:2795;width:26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" filled="f" stroked="f">
                  <v:textbox inset="0,0,0,0">
                    <w:txbxContent>
                      <w:p w14:paraId="5A14B6E3" w14:textId="77777777" w:rsidR="00734B7C" w:rsidRDefault="00734B7C" w:rsidP="00734B7C">
                        <w:pPr>
                          <w:bidi w:val="0"/>
                          <w:spacing w:line="259" w:lineRule="auto"/>
                        </w:pPr>
                      </w:p>
                    </w:txbxContent>
                  </v:textbox>
                </v:rect>
                <v:rect id="Rectangle 27741" o:spid="_x0000_s1041" style="position:absolute;left:25345;top:279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" filled="f" stroked="f">
                  <v:textbox inset="0,0,0,0">
                    <w:txbxContent>
                      <w:p w14:paraId="3F63661F" w14:textId="77777777" w:rsidR="00734B7C" w:rsidRDefault="00734B7C" w:rsidP="00734B7C">
                        <w:pPr>
                          <w:bidi w:val="0"/>
                          <w:spacing w:line="259" w:lineRule="auto"/>
                        </w:pPr>
                        <w:r>
                          <w:rPr>
                            <w:rFonts w:ascii="Arial" w:eastAsia="Arial" w:hAnsi="Arial" w:cs="Arial"/>
                            <w:color w:val="FFFFFF"/>
                          </w:rPr>
                          <w:t>‌</w:t>
                        </w:r>
                      </w:p>
                    </w:txbxContent>
                  </v:textbox>
                </v:rect>
                <v:rect id="Rectangle 27739" o:spid="_x0000_s1042" style="position:absolute;left:28371;top:279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" filled="f" stroked="f">
                  <v:textbox inset="0,0,0,0">
                    <w:txbxContent>
                      <w:p w14:paraId="4760357E" w14:textId="77777777" w:rsidR="00734B7C" w:rsidRDefault="00734B7C" w:rsidP="00734B7C">
                        <w:pPr>
                          <w:bidi w:val="0"/>
                          <w:spacing w:line="259" w:lineRule="auto"/>
                        </w:pPr>
                        <w:r>
                          <w:rPr>
                            <w:rFonts w:ascii="Arial" w:eastAsia="Arial" w:hAnsi="Arial" w:cs="Arial"/>
                            <w:color w:val="FFFFFF"/>
                          </w:rPr>
                          <w:t>‌</w:t>
                        </w:r>
                      </w:p>
                    </w:txbxContent>
                  </v:textbox>
                </v:rect>
                <v:shape id="Shape 27747" o:spid="_x0000_s1043" style="position:absolute;left:13745;top:11340;width:5499;height:3950;visibility:visible;mso-wrap-style:square;v-text-anchor:top" coordsize="549869,39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" path="m,395067l549869,e" filled="f" strokecolor="#467aa9" strokeweight=".35275mm">
                  <v:stroke miterlimit="83231f" joinstyle="miter"/>
                  <v:path arrowok="t" textboxrect="0,0,549869,395067"/>
                </v:shape>
                <v:shape id="Shape 27748" o:spid="_x0000_s1044" style="position:absolute;left:19244;top:7903;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" path="m68702,l1305845,v37843,,68701,30731,68701,68702l1374546,618443v,37970,-30858,68829,-68701,68829l68702,687272c30733,687272,,656413,,618443l,68702c,30731,30733,,68702,xe" fillcolor="#5b9bd4" stroked="f" strokeweight="0">
                  <v:stroke miterlimit="83231f" joinstyle="miter"/>
                  <v:path arrowok="t" textboxrect="0,0,1374546,687272"/>
                </v:shape>
                <v:shape id="Shape 27749" o:spid="_x0000_s1045" style="position:absolute;left:19244;top:7903;width:13745;height:6873;visibility:visible;mso-wrap-style:square;v-text-anchor:top" coordsize="1374546,68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" path="m,68702c,30732,30732,,68702,l1305844,v37843,,68702,30732,68702,68702l1374546,618444v,37970,-30859,68829,-68702,68829l68702,687273c30732,687273,,656414,,618444l,68702xe" filled="f" strokecolor="white" strokeweight=".35275mm">
                  <v:stroke miterlimit="83231f" joinstyle="miter"/>
                  <v:path arrowok="t" textboxrect="0,0,1374546,687273"/>
                </v:shape>
                <v:rect id="Rectangle 27752" o:spid="_x0000_s1046" style="position:absolute;left:28663;top:10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" filled="f" stroked="f">
                  <v:textbox inset="0,0,0,0">
                    <w:txbxContent>
                      <w:p w14:paraId="4848C282" w14:textId="77777777" w:rsidR="00734B7C" w:rsidRDefault="00734B7C" w:rsidP="00734B7C">
                        <w:pPr>
                          <w:bidi w:val="0"/>
                          <w:spacing w:line="259" w:lineRule="auto"/>
                        </w:pPr>
                        <w:r>
                          <w:rPr>
                            <w:rFonts w:ascii="Arial" w:eastAsia="Arial" w:hAnsi="Arial" w:cs="Arial"/>
                            <w:color w:val="FFFFFF"/>
                          </w:rPr>
                          <w:t>‌</w:t>
                        </w:r>
                      </w:p>
                    </w:txbxContent>
                  </v:textbox>
                </v:rect>
                <v:rect id="Rectangle 27754" o:spid="_x0000_s1047" style="position:absolute;left:24431;top:1070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" filled="f" stroked="f">
                  <v:textbox inset="0,0,0,0">
                    <w:txbxContent>
                      <w:p w14:paraId="79B5261C" w14:textId="77777777" w:rsidR="00734B7C" w:rsidRDefault="00734B7C" w:rsidP="00734B7C">
                        <w:pPr>
                          <w:bidi w:val="0"/>
                          <w:spacing w:line="259" w:lineRule="auto"/>
                        </w:pPr>
                        <w:r>
                          <w:rPr>
                            <w:rFonts w:ascii="Arial" w:eastAsia="Arial" w:hAnsi="Arial" w:cs="Arial"/>
                            <w:color w:val="FFFFFF"/>
                          </w:rPr>
                          <w:t>‌</w:t>
                        </w:r>
                      </w:p>
                    </w:txbxContent>
                  </v:textbox>
                </v:rect>
                <v:shape id="Shape 27757" o:spid="_x0000_s1048" style="position:absolute;left:13745;top:15290;width:5499;height:3952;visibility:visible;mso-wrap-style:square;v-text-anchor:top" coordsize="549869,39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" path="m,l549869,395194e" filled="f" strokecolor="#467aa9" strokeweight=".35275mm">
                  <v:stroke miterlimit="83231f" joinstyle="miter"/>
                  <v:path arrowok="t" textboxrect="0,0,549869,395194"/>
                </v:shape>
                <v:shape id="Shape 27758" o:spid="_x0000_s1049" style="position:absolute;left:19244;top:15806;width:13745;height:6873;visibility:visible;mso-wrap-style:square;v-text-anchor:top" coordsize="1374546,687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" path="m68702,l1305845,v37843,,68701,30859,68701,68829l1374546,618572v,37970,-30858,68702,-68701,68702l68702,687274c30733,687274,,656542,,618572l,68829c,30859,30733,,68702,xe" fillcolor="#5b9bd4" stroked="f" strokeweight="0">
                  <v:stroke miterlimit="83231f" joinstyle="miter"/>
                  <v:path arrowok="t" textboxrect="0,0,1374546,687274"/>
                </v:shape>
                <v:shape id="Shape 27759" o:spid="_x0000_s1050" style="position:absolute;left:19244;top:15806;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" path="m,68828c,30859,30732,,68702,l1305844,v37843,,68702,30859,68702,68828l1374546,618571v,37970,-30859,68701,-68702,68701l68702,687272c30732,687272,,656541,,618571l,68828xe" filled="f" strokecolor="white" strokeweight=".35275mm">
                  <v:stroke miterlimit="83231f" joinstyle="miter"/>
                  <v:path arrowok="t" textboxrect="0,0,1374546,687272"/>
                </v:shape>
                <v:rect id="Rectangle 27764" o:spid="_x0000_s1051" style="position:absolute;left:23882;top:1857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" filled="f" stroked="f">
                  <v:textbox inset="0,0,0,0">
                    <w:txbxContent>
                      <w:p w14:paraId="24798FC4" w14:textId="77777777" w:rsidR="00734B7C" w:rsidRDefault="00734B7C" w:rsidP="00734B7C">
                        <w:pPr>
                          <w:bidi w:val="0"/>
                          <w:spacing w:line="259" w:lineRule="auto"/>
                        </w:pPr>
                        <w:r>
                          <w:rPr>
                            <w:rFonts w:ascii="Arial" w:eastAsia="Arial" w:hAnsi="Arial" w:cs="Arial"/>
                            <w:color w:val="FFFFFF"/>
                          </w:rPr>
                          <w:t>‌</w:t>
                        </w:r>
                      </w:p>
                    </w:txbxContent>
                  </v:textbox>
                </v:rect>
                <v:rect id="Rectangle 27762" o:spid="_x0000_s1052" style="position:absolute;left:29347;top:18574;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" filled="f" stroked="f">
                  <v:textbox inset="0,0,0,0">
                    <w:txbxContent>
                      <w:p w14:paraId="4B33D4FA" w14:textId="77777777" w:rsidR="00734B7C" w:rsidRDefault="00734B7C" w:rsidP="00734B7C">
                        <w:pPr>
                          <w:bidi w:val="0"/>
                          <w:spacing w:line="259" w:lineRule="auto"/>
                        </w:pPr>
                        <w:r>
                          <w:rPr>
                            <w:rFonts w:ascii="Arial" w:eastAsia="Arial" w:hAnsi="Arial" w:cs="Arial"/>
                            <w:color w:val="FFFFFF"/>
                          </w:rPr>
                          <w:t>‌</w:t>
                        </w:r>
                      </w:p>
                    </w:txbxContent>
                  </v:textbox>
                </v:rect>
                <v:shape id="Shape 27767" o:spid="_x0000_s1053" style="position:absolute;left:13745;top:15290;width:5499;height:11856;visibility:visible;mso-wrap-style:square;v-text-anchor:top" coordsize="549869,1185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" path="m,l549869,1185584e" filled="f" strokecolor="#467aa9" strokeweight=".35275mm">
                  <v:stroke miterlimit="83231f" joinstyle="miter"/>
                  <v:path arrowok="t" textboxrect="0,0,549869,1185584"/>
                </v:shape>
                <v:shape id="Shape 27768" o:spid="_x0000_s1054" style="position:absolute;left:19244;top:23710;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" path="m68702,l1305845,v37843,,68701,30731,68701,68702l1374546,618572v,37969,-30858,68700,-68701,68700l68702,687272c30733,687272,,656541,,618572l,68702c,30731,30733,,68702,xe" fillcolor="#5b9bd4" stroked="f" strokeweight="0">
                  <v:stroke miterlimit="83231f" joinstyle="miter"/>
                  <v:path arrowok="t" textboxrect="0,0,1374546,687272"/>
                </v:shape>
                <v:shape id="Shape 27769" o:spid="_x0000_s1055" style="position:absolute;left:19244;top:23710;width:13745;height:6873;visibility:visible;mso-wrap-style:square;v-text-anchor:top" coordsize="1374546,68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" path="m,68702c,30731,30732,,68702,l1305844,v37843,,68702,30731,68702,68702l1374546,618571v,37970,-30859,68701,-68702,68701l68702,687272c30732,687272,,656541,,618571l,68702xe" filled="f" strokecolor="white" strokeweight=".35275mm">
                  <v:stroke miterlimit="83231f" joinstyle="miter"/>
                  <v:path arrowok="t" textboxrect="0,0,1374546,687272"/>
                </v:shape>
                <v:rect id="Rectangle 27774" o:spid="_x0000_s1056" style="position:absolute;left:24892;top:264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" filled="f" stroked="f">
                  <v:textbox inset="0,0,0,0">
                    <w:txbxContent>
                      <w:p w14:paraId="70DE796A" w14:textId="77777777" w:rsidR="00734B7C" w:rsidRDefault="00734B7C" w:rsidP="00734B7C">
                        <w:pPr>
                          <w:bidi w:val="0"/>
                          <w:spacing w:line="259" w:lineRule="auto"/>
                        </w:pPr>
                        <w:r>
                          <w:rPr>
                            <w:rFonts w:ascii="Arial" w:eastAsia="Arial" w:hAnsi="Arial" w:cs="Arial"/>
                            <w:color w:val="FFFFFF"/>
                          </w:rPr>
                          <w:t>‌</w:t>
                        </w:r>
                      </w:p>
                    </w:txbxContent>
                  </v:textbox>
                </v:rect>
                <v:rect id="Rectangle 27772" o:spid="_x0000_s1057" style="position:absolute;left:28847;top:264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" filled="f" stroked="f">
                  <v:textbox inset="0,0,0,0">
                    <w:txbxContent>
                      <w:p w14:paraId="6325D395" w14:textId="77777777" w:rsidR="00734B7C" w:rsidRDefault="00734B7C" w:rsidP="00734B7C">
                        <w:pPr>
                          <w:bidi w:val="0"/>
                          <w:spacing w:line="259" w:lineRule="auto"/>
                        </w:pPr>
                        <w:r>
                          <w:rPr>
                            <w:rFonts w:ascii="Arial" w:eastAsia="Arial" w:hAnsi="Arial" w:cs="Arial"/>
                            <w:color w:val="FFFFFF"/>
                          </w:rPr>
                          <w:t>‌</w:t>
                        </w:r>
                      </w:p>
                    </w:txbxContent>
                  </v:textbox>
                </v:rect>
                <v:shape id="Shape 27776" o:spid="_x0000_s1058" style="position:absolute;left:-179;top:4539;width:13924;height:6873;visibility:visible;mso-wrap-style:square;v-text-anchor:top" coordsize="1374545,68727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" adj="-11796480,,5400" path="m68702,l1305843,v37971,,68702,30859,68702,68829l1374545,618570v,37971,-30731,68702,-68702,68702l68702,687272c30731,687272,,656541,,618570l,68829c,30859,30731,,68702,xe" fillcolor="#5b9bd4" stroked="f" strokeweight="0">
                  <v:stroke miterlimit="83231f" joinstyle="miter"/>
                  <v:formulas/>
                  <v:path arrowok="t" o:connecttype="custom" textboxrect="0,0,1374545,687272"/>
                  <v:textbox>
                    <w:txbxContent>
                      <w:p w14:paraId="673CE4EC" w14:textId="77777777" w:rsidR="00734B7C" w:rsidRDefault="00734B7C" w:rsidP="00734B7C">
                        <w:pPr>
                          <w:jc w:val="center"/>
                        </w:pPr>
                        <w:proofErr w:type="spellStart"/>
                        <w:r>
                          <w:t>kkk</w:t>
                        </w:r>
                        <w:proofErr w:type="spellEnd"/>
                      </w:p>
                    </w:txbxContent>
                  </v:textbox>
                </v:shape>
                <v:rect id="Rectangle 27780" o:spid="_x0000_s1059" style="position:absolute;left:7047;top:6013;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" filled="f" stroked="f">
                  <v:textbox inset="0,0,0,0">
                    <w:txbxContent>
                      <w:p w14:paraId="4397B0B4" w14:textId="77777777" w:rsidR="00734B7C" w:rsidRDefault="00734B7C" w:rsidP="00734B7C">
                        <w:pPr>
                          <w:bidi w:val="0"/>
                          <w:spacing w:line="259" w:lineRule="auto"/>
                        </w:pPr>
                        <w:r>
                          <w:rPr>
                            <w:rFonts w:ascii="Arial" w:eastAsia="Arial" w:hAnsi="Arial" w:cs="Arial"/>
                            <w:color w:val="FFFFFF"/>
                          </w:rPr>
                          <w:t>‌</w:t>
                        </w:r>
                      </w:p>
                    </w:txbxContent>
                  </v:textbox>
                </v:rect>
                <v:rect id="Rectangle 27782" o:spid="_x0000_s1060" style="position:absolute;left:3057;top:6013;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" filled="f" stroked="f">
                  <v:textbox inset="0,0,0,0">
                    <w:txbxContent>
                      <w:p w14:paraId="40222907" w14:textId="77777777" w:rsidR="00734B7C" w:rsidRDefault="00734B7C" w:rsidP="00734B7C">
                        <w:pPr>
                          <w:bidi w:val="0"/>
                          <w:spacing w:line="259" w:lineRule="auto"/>
                        </w:pPr>
                      </w:p>
                    </w:txbxContent>
                  </v:textbox>
                </v:rect>
                <v:rect id="Rectangle 27785" o:spid="_x0000_s1061" style="position:absolute;left:7567;top:8207;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" filled="f" stroked="f">
                  <v:textbox inset="0,0,0,0">
                    <w:txbxContent>
                      <w:p w14:paraId="2BB085C3" w14:textId="77777777" w:rsidR="00734B7C" w:rsidRDefault="00734B7C" w:rsidP="00734B7C">
                        <w:pPr>
                          <w:bidi w:val="0"/>
                          <w:spacing w:line="259" w:lineRule="auto"/>
                        </w:pPr>
                        <w:r>
                          <w:rPr>
                            <w:rFonts w:ascii="Arial" w:eastAsia="Arial" w:hAnsi="Arial" w:cs="Arial"/>
                            <w:color w:val="FFFFFF"/>
                          </w:rPr>
                          <w:t>‌</w:t>
                        </w:r>
                      </w:p>
                    </w:txbxContent>
                  </v:textbox>
                </v:rect>
                <w10:wrap type="square" anchorx="margin"/>
              </v:group>
            </w:pict>
          </mc:Fallback>
        </mc:AlternateContent>
      </w:r>
      <w:r w:rsidRPr="00734B7C">
        <w:rPr>
          <w:rFonts w:ascii="Calibri" w:eastAsia="Calibri" w:hAnsi="Calibri" w:cs="Calibri"/>
          <w:b/>
          <w:noProof/>
          <w:color w:val="2D74B5"/>
          <w:sz w:val="32"/>
        </w:rPr>
        <mc:AlternateContent>
          <mc:Choice Requires="wps">
            <w:drawing>
              <wp:anchor distT="0" distB="0" distL="114300" distR="114300" simplePos="0" relativeHeight="251662336" behindDoc="0" locked="0" layoutInCell="1" allowOverlap="1" wp14:anchorId="6AE3DF43" wp14:editId="42F8F497">
                <wp:simplePos x="0" y="0"/>
                <wp:positionH relativeFrom="column">
                  <wp:posOffset>3413329</wp:posOffset>
                </wp:positionH>
                <wp:positionV relativeFrom="paragraph">
                  <wp:posOffset>407733</wp:posOffset>
                </wp:positionV>
                <wp:extent cx="1779753" cy="369983"/>
                <wp:effectExtent l="0" t="0" r="0" b="0"/>
                <wp:wrapNone/>
                <wp:docPr id="1607340547" name="مربع نص 436"/>
                <wp:cNvGraphicFramePr/>
                <a:graphic xmlns:a="http://schemas.openxmlformats.org/drawingml/2006/main">
                  <a:graphicData uri="http://schemas.microsoft.com/office/word/2010/wordprocessingShape">
                    <wps:wsp>
                      <wps:cNvSpPr txBox="1"/>
                      <wps:spPr>
                        <a:xfrm>
                          <a:off x="0" y="0"/>
                          <a:ext cx="1779753" cy="369983"/>
                        </a:xfrm>
                        <a:prstGeom prst="rect">
                          <a:avLst/>
                        </a:prstGeom>
                        <a:solidFill>
                          <a:srgbClr val="5B9BD5"/>
                        </a:solidFill>
                        <a:ln>
                          <a:noFill/>
                        </a:ln>
                        <a:effectLst/>
                      </wps:spPr>
                      <wps:txbx>
                        <w:txbxContent>
                          <w:p w14:paraId="12B6DDF5"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b/>
                                <w:bCs/>
                                <w:sz w:val="22"/>
                                <w:szCs w:val="20"/>
                                <w:rtl/>
                              </w:rPr>
                              <w:t>دقة الإجراءات الجمركية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AE3DF43" id="_x0000_t202" coordsize="21600,21600" o:spt="202" path="m,l,21600r21600,l21600,xe">
                <v:stroke joinstyle="miter"/>
                <v:path gradientshapeok="t" o:connecttype="rect"/>
              </v:shapetype>
              <v:shape id="مربع نص 436" o:spid="_x0000_s1062" type="#_x0000_t202" style="position:absolute;left:0;text-align:left;margin-left:268.75pt;margin-top:32.1pt;width:140.15pt;height:29.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" fillcolor="#5b9bd5" stroked="f">
                <v:textbox>
                  <w:txbxContent>
                    <w:p w14:paraId="12B6DDF5"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b/>
                          <w:bCs/>
                          <w:sz w:val="22"/>
                          <w:szCs w:val="20"/>
                          <w:rtl/>
                        </w:rPr>
                        <w:t>دقة الإجراءات الجمركية</w:t>
                      </w:r>
                    </w:p>
                  </w:txbxContent>
                </v:textbox>
              </v:shape>
            </w:pict>
          </mc:Fallback>
        </mc:AlternateContent>
      </w:r>
      <w:r w:rsidRPr="00734B7C">
        <w:rPr>
          <w:rFonts w:ascii="Calibri" w:eastAsia="Calibri" w:hAnsi="Calibri" w:cs="Calibri"/>
          <w:b/>
          <w:noProof/>
          <w:color w:val="2D74B5"/>
          <w:sz w:val="32"/>
        </w:rPr>
        <mc:AlternateContent>
          <mc:Choice Requires="wps">
            <w:drawing>
              <wp:anchor distT="0" distB="0" distL="114300" distR="114300" simplePos="0" relativeHeight="251664384" behindDoc="0" locked="0" layoutInCell="1" allowOverlap="1" wp14:anchorId="63CC2A62" wp14:editId="2A82D02A">
                <wp:simplePos x="0" y="0"/>
                <wp:positionH relativeFrom="column">
                  <wp:posOffset>3250943</wp:posOffset>
                </wp:positionH>
                <wp:positionV relativeFrom="paragraph">
                  <wp:posOffset>1588696</wp:posOffset>
                </wp:positionV>
                <wp:extent cx="2078182" cy="415032"/>
                <wp:effectExtent l="0" t="0" r="0" b="4445"/>
                <wp:wrapNone/>
                <wp:docPr id="131017302"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rgbClr val="5B9BD5"/>
                        </a:solidFill>
                        <a:ln>
                          <a:noFill/>
                        </a:ln>
                        <a:effectLst/>
                      </wps:spPr>
                      <wps:txbx>
                        <w:txbxContent>
                          <w:p w14:paraId="65DC1AC1"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b/>
                                <w:bCs/>
                                <w:sz w:val="20"/>
                                <w:szCs w:val="20"/>
                                <w:rtl/>
                              </w:rPr>
                              <w:t>تقليل الأخطاء البشرية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C2A62" id="مربع نص 435" o:spid="_x0000_s1063" type="#_x0000_t202" style="position:absolute;left:0;text-align:left;margin-left:256pt;margin-top:125.1pt;width:163.65pt;height:3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" fillcolor="#5b9bd5" stroked="f">
                <v:textbox>
                  <w:txbxContent>
                    <w:p w14:paraId="65DC1AC1"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b/>
                          <w:bCs/>
                          <w:sz w:val="20"/>
                          <w:szCs w:val="20"/>
                          <w:rtl/>
                        </w:rPr>
                        <w:t>تقليل الأخطاء البشرية</w:t>
                      </w:r>
                    </w:p>
                  </w:txbxContent>
                </v:textbox>
              </v:shape>
            </w:pict>
          </mc:Fallback>
        </mc:AlternateContent>
      </w:r>
      <w:r w:rsidRPr="00734B7C">
        <w:rPr>
          <w:rFonts w:ascii="Calibri" w:eastAsia="Calibri" w:hAnsi="Calibri" w:cs="Calibri"/>
          <w:b/>
          <w:noProof/>
          <w:color w:val="2D74B5"/>
          <w:sz w:val="32"/>
        </w:rPr>
        <mc:AlternateContent>
          <mc:Choice Requires="wps">
            <w:drawing>
              <wp:anchor distT="0" distB="0" distL="114300" distR="114300" simplePos="0" relativeHeight="251665408" behindDoc="0" locked="0" layoutInCell="1" allowOverlap="1" wp14:anchorId="77789792" wp14:editId="685BC4B5">
                <wp:simplePos x="0" y="0"/>
                <wp:positionH relativeFrom="column">
                  <wp:posOffset>3273803</wp:posOffset>
                </wp:positionH>
                <wp:positionV relativeFrom="paragraph">
                  <wp:posOffset>2175830</wp:posOffset>
                </wp:positionV>
                <wp:extent cx="2078182" cy="415032"/>
                <wp:effectExtent l="0" t="0" r="0" b="4445"/>
                <wp:wrapNone/>
                <wp:docPr id="1677756175"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rgbClr val="5B9BD5"/>
                        </a:solidFill>
                        <a:ln>
                          <a:noFill/>
                        </a:ln>
                        <a:effectLst/>
                      </wps:spPr>
                      <wps:txbx>
                        <w:txbxContent>
                          <w:p w14:paraId="0C33D697"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b/>
                                <w:bCs/>
                                <w:sz w:val="22"/>
                                <w:szCs w:val="20"/>
                                <w:rtl/>
                              </w:rPr>
                              <w:t>تحسين الأداء العام للهيئة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89792" id="_x0000_s1064" type="#_x0000_t202" style="position:absolute;left:0;text-align:left;margin-left:257.8pt;margin-top:171.35pt;width:163.65pt;height:3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" fillcolor="#5b9bd5" stroked="f">
                <v:textbox>
                  <w:txbxContent>
                    <w:p w14:paraId="0C33D697"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b/>
                          <w:bCs/>
                          <w:sz w:val="22"/>
                          <w:szCs w:val="20"/>
                          <w:rtl/>
                        </w:rPr>
                        <w:t>تحسين الأداء العام للهيئة</w:t>
                      </w:r>
                    </w:p>
                  </w:txbxContent>
                </v:textbox>
              </v:shape>
            </w:pict>
          </mc:Fallback>
        </mc:AlternateContent>
      </w:r>
      <w:r w:rsidRPr="00734B7C">
        <w:rPr>
          <w:rFonts w:ascii="Times New Roman" w:eastAsia="Times New Roman" w:hAnsi="Times New Roman" w:cs="Times New Roman"/>
          <w:b/>
          <w:noProof/>
          <w:color w:val="2D74B5"/>
          <w:sz w:val="32"/>
        </w:rPr>
        <mc:AlternateContent>
          <mc:Choice Requires="wps">
            <w:drawing>
              <wp:anchor distT="0" distB="0" distL="114300" distR="114300" simplePos="0" relativeHeight="251663360" behindDoc="0" locked="0" layoutInCell="1" allowOverlap="1" wp14:anchorId="23963995" wp14:editId="552BDD33">
                <wp:simplePos x="0" y="0"/>
                <wp:positionH relativeFrom="column">
                  <wp:posOffset>3463914</wp:posOffset>
                </wp:positionH>
                <wp:positionV relativeFrom="paragraph">
                  <wp:posOffset>968533</wp:posOffset>
                </wp:positionV>
                <wp:extent cx="1779270" cy="369570"/>
                <wp:effectExtent l="0" t="0" r="0" b="0"/>
                <wp:wrapNone/>
                <wp:docPr id="527562226" name="مربع نص 1"/>
                <wp:cNvGraphicFramePr/>
                <a:graphic xmlns:a="http://schemas.openxmlformats.org/drawingml/2006/main">
                  <a:graphicData uri="http://schemas.microsoft.com/office/word/2010/wordprocessingShape">
                    <wps:wsp>
                      <wps:cNvSpPr txBox="1"/>
                      <wps:spPr>
                        <a:xfrm>
                          <a:off x="0" y="0"/>
                          <a:ext cx="1779270" cy="369570"/>
                        </a:xfrm>
                        <a:prstGeom prst="rect">
                          <a:avLst/>
                        </a:prstGeom>
                        <a:noFill/>
                        <a:ln w="6350">
                          <a:noFill/>
                        </a:ln>
                      </wps:spPr>
                      <wps:txbx>
                        <w:txbxContent>
                          <w:p w14:paraId="3B683DE9" w14:textId="77777777" w:rsidR="00734B7C" w:rsidRDefault="00734B7C" w:rsidP="00734B7C">
                            <w:r w:rsidRPr="0045766E">
                              <w:rPr>
                                <w:rtl/>
                              </w:rPr>
                              <w:t>سرعة الإنجاز</w:t>
                            </w:r>
                            <w:r w:rsidRPr="0045766E">
                              <w:rPr>
                                <w:b/>
                                <w:bCs/>
                                <w:rtl/>
                              </w:rPr>
                              <w:t xml:space="preserve"> </w:t>
                            </w:r>
                            <w:r w:rsidRPr="00734B7C">
                              <w:rPr>
                                <w:rFonts w:ascii="Times New Roman" w:hAnsi="Times New Roman" w:cs="Times New Roman"/>
                                <w:b/>
                                <w:bCs/>
                                <w:sz w:val="22"/>
                                <w:szCs w:val="20"/>
                                <w:rtl/>
                              </w:rPr>
                              <w:t>دقة الإجراءات الجمركية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23963995" id="مربع نص 1" o:spid="_x0000_s1065" type="#_x0000_t202" style="position:absolute;left:0;text-align:left;margin-left:272.75pt;margin-top:76.25pt;width:140.1pt;height:29.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" filled="f" stroked="f" strokeweight=".5pt">
                <v:textbox>
                  <w:txbxContent>
                    <w:p w14:paraId="3B683DE9" w14:textId="77777777" w:rsidR="00734B7C" w:rsidRDefault="00734B7C" w:rsidP="00734B7C">
                      <w:r w:rsidRPr="0045766E">
                        <w:rPr>
                          <w:rtl/>
                        </w:rPr>
                        <w:t>سرعة الإنجاز</w:t>
                      </w:r>
                      <w:r w:rsidRPr="0045766E">
                        <w:rPr>
                          <w:b/>
                          <w:bCs/>
                          <w:rtl/>
                        </w:rPr>
                        <w:t xml:space="preserve"> </w:t>
                      </w:r>
                      <w:r w:rsidRPr="00734B7C">
                        <w:rPr>
                          <w:rFonts w:ascii="Times New Roman" w:hAnsi="Times New Roman" w:cs="Times New Roman"/>
                          <w:b/>
                          <w:bCs/>
                          <w:sz w:val="22"/>
                          <w:szCs w:val="20"/>
                          <w:rtl/>
                        </w:rPr>
                        <w:t>دقة الإجراءات الجمركية</w:t>
                      </w:r>
                    </w:p>
                  </w:txbxContent>
                </v:textbox>
              </v:shape>
            </w:pict>
          </mc:Fallback>
        </mc:AlternateContent>
      </w:r>
      <w:r w:rsidRPr="00734B7C">
        <w:rPr>
          <w:rFonts w:ascii="Calibri" w:eastAsia="Calibri" w:hAnsi="Calibri" w:cs="Calibri"/>
          <w:b/>
          <w:noProof/>
          <w:color w:val="2D74B5"/>
          <w:sz w:val="32"/>
        </w:rPr>
        <mc:AlternateContent>
          <mc:Choice Requires="wps">
            <w:drawing>
              <wp:anchor distT="0" distB="0" distL="114300" distR="114300" simplePos="0" relativeHeight="251661312" behindDoc="0" locked="0" layoutInCell="1" allowOverlap="1" wp14:anchorId="0ED1BFBA" wp14:editId="1FB50004">
                <wp:simplePos x="0" y="0"/>
                <wp:positionH relativeFrom="column">
                  <wp:posOffset>107761</wp:posOffset>
                </wp:positionH>
                <wp:positionV relativeFrom="paragraph">
                  <wp:posOffset>1232273</wp:posOffset>
                </wp:positionV>
                <wp:extent cx="2078182" cy="415032"/>
                <wp:effectExtent l="0" t="0" r="0" b="4445"/>
                <wp:wrapNone/>
                <wp:docPr id="648214122" name="مربع نص 435"/>
                <wp:cNvGraphicFramePr/>
                <a:graphic xmlns:a="http://schemas.openxmlformats.org/drawingml/2006/main">
                  <a:graphicData uri="http://schemas.microsoft.com/office/word/2010/wordprocessingShape">
                    <wps:wsp>
                      <wps:cNvSpPr txBox="1"/>
                      <wps:spPr>
                        <a:xfrm>
                          <a:off x="0" y="0"/>
                          <a:ext cx="2078182" cy="415032"/>
                        </a:xfrm>
                        <a:prstGeom prst="rect">
                          <a:avLst/>
                        </a:prstGeom>
                        <a:solidFill>
                          <a:srgbClr val="5B9BD5"/>
                        </a:solidFill>
                        <a:ln>
                          <a:noFill/>
                        </a:ln>
                        <a:effectLst/>
                      </wps:spPr>
                      <wps:txbx>
                        <w:txbxContent>
                          <w:p w14:paraId="2EA38908"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w:t>
                            </w:r>
                            <w:r w:rsidRPr="00734B7C">
                              <w:rPr>
                                <w:rFonts w:ascii="Times New Roman" w:hAnsi="Times New Roman" w:cs="Times New Roman"/>
                                <w:b/>
                                <w:bCs/>
                                <w:sz w:val="22"/>
                                <w:szCs w:val="20"/>
                                <w:rtl/>
                              </w:rPr>
                              <w:t>المتغير التابع</w:t>
                            </w:r>
                          </w:p>
                          <w:p w14:paraId="52CCC71B"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hint="cs"/>
                                <w:b/>
                                <w:bCs/>
                                <w:sz w:val="20"/>
                                <w:szCs w:val="20"/>
                                <w:rtl/>
                              </w:rPr>
                              <w:t xml:space="preserve">        </w:t>
                            </w:r>
                            <w:r w:rsidRPr="00734B7C">
                              <w:rPr>
                                <w:rFonts w:ascii="Times New Roman" w:hAnsi="Times New Roman" w:cs="Times New Roman"/>
                                <w:b/>
                                <w:bCs/>
                                <w:sz w:val="20"/>
                                <w:szCs w:val="20"/>
                                <w:rtl/>
                              </w:rPr>
                              <w:t>كفاءة العمليات الجمركية وأبعادها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1BFBA" id="_x0000_s1066" type="#_x0000_t202" style="position:absolute;left:0;text-align:left;margin-left:8.5pt;margin-top:97.05pt;width:163.65pt;height:3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" fillcolor="#5b9bd5" stroked="f">
                <v:textbox>
                  <w:txbxContent>
                    <w:p w14:paraId="2EA38908"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w:t>
                      </w:r>
                      <w:r w:rsidRPr="00734B7C">
                        <w:rPr>
                          <w:rFonts w:ascii="Times New Roman" w:hAnsi="Times New Roman" w:cs="Times New Roman"/>
                          <w:b/>
                          <w:bCs/>
                          <w:sz w:val="22"/>
                          <w:szCs w:val="20"/>
                          <w:rtl/>
                        </w:rPr>
                        <w:t>المتغير التابع</w:t>
                      </w:r>
                    </w:p>
                    <w:p w14:paraId="52CCC71B" w14:textId="77777777" w:rsidR="00734B7C" w:rsidRPr="00734B7C" w:rsidRDefault="00734B7C" w:rsidP="00734B7C">
                      <w:pPr>
                        <w:jc w:val="center"/>
                        <w:rPr>
                          <w:rFonts w:ascii="Times New Roman" w:hAnsi="Times New Roman" w:cs="Times New Roman"/>
                          <w:b/>
                          <w:bCs/>
                          <w:sz w:val="20"/>
                          <w:szCs w:val="20"/>
                        </w:rPr>
                      </w:pPr>
                      <w:r w:rsidRPr="00734B7C">
                        <w:rPr>
                          <w:rFonts w:ascii="Times New Roman" w:hAnsi="Times New Roman" w:cs="Times New Roman" w:hint="cs"/>
                          <w:b/>
                          <w:bCs/>
                          <w:sz w:val="20"/>
                          <w:szCs w:val="20"/>
                          <w:rtl/>
                        </w:rPr>
                        <w:t xml:space="preserve">        </w:t>
                      </w:r>
                      <w:r w:rsidRPr="00734B7C">
                        <w:rPr>
                          <w:rFonts w:ascii="Times New Roman" w:hAnsi="Times New Roman" w:cs="Times New Roman"/>
                          <w:b/>
                          <w:bCs/>
                          <w:sz w:val="20"/>
                          <w:szCs w:val="20"/>
                          <w:rtl/>
                        </w:rPr>
                        <w:t>كفاءة العمليات الجمركية وأبعادها</w:t>
                      </w:r>
                    </w:p>
                  </w:txbxContent>
                </v:textbox>
              </v:shape>
            </w:pict>
          </mc:Fallback>
        </mc:AlternateContent>
      </w:r>
      <w:r w:rsidRPr="00734B7C">
        <w:rPr>
          <w:rFonts w:ascii="Calibri" w:eastAsia="Calibri" w:hAnsi="Calibri" w:cs="Calibri"/>
          <w:b/>
          <w:noProof/>
          <w:color w:val="2D74B5"/>
          <w:sz w:val="32"/>
        </w:rPr>
        <mc:AlternateContent>
          <mc:Choice Requires="wps">
            <w:drawing>
              <wp:anchor distT="0" distB="0" distL="114300" distR="114300" simplePos="0" relativeHeight="251660288" behindDoc="0" locked="0" layoutInCell="1" allowOverlap="1" wp14:anchorId="7DCE4AD4" wp14:editId="6E199BC0">
                <wp:simplePos x="0" y="0"/>
                <wp:positionH relativeFrom="margin">
                  <wp:align>left</wp:align>
                </wp:positionH>
                <wp:positionV relativeFrom="paragraph">
                  <wp:posOffset>649387</wp:posOffset>
                </wp:positionV>
                <wp:extent cx="2229171" cy="421181"/>
                <wp:effectExtent l="0" t="0" r="0" b="0"/>
                <wp:wrapNone/>
                <wp:docPr id="1230329807" name="مربع نص 434"/>
                <wp:cNvGraphicFramePr/>
                <a:graphic xmlns:a="http://schemas.openxmlformats.org/drawingml/2006/main">
                  <a:graphicData uri="http://schemas.microsoft.com/office/word/2010/wordprocessingShape">
                    <wps:wsp>
                      <wps:cNvSpPr txBox="1"/>
                      <wps:spPr>
                        <a:xfrm>
                          <a:off x="0" y="0"/>
                          <a:ext cx="2229171" cy="421181"/>
                        </a:xfrm>
                        <a:prstGeom prst="rect">
                          <a:avLst/>
                        </a:prstGeom>
                        <a:solidFill>
                          <a:srgbClr val="5B9BD5"/>
                        </a:solidFill>
                        <a:ln w="12700" cap="flat" cmpd="sng" algn="ctr">
                          <a:noFill/>
                          <a:prstDash val="solid"/>
                          <a:miter lim="800000"/>
                        </a:ln>
                        <a:effectLst/>
                      </wps:spPr>
                      <wps:txbx>
                        <w:txbxContent>
                          <w:p w14:paraId="1CF1825E"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المتغير المستقل </w:t>
                            </w:r>
                          </w:p>
                          <w:p w14:paraId="78230F89"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إدارة المخاطر وأبعادها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E4AD4" id="مربع نص 434" o:spid="_x0000_s1067" type="#_x0000_t202" style="position:absolute;left:0;text-align:left;margin-left:0;margin-top:51.15pt;width:175.55pt;height:33.1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" fillcolor="#5b9bd5" stroked="f" strokeweight="1pt">
                <v:textbox>
                  <w:txbxContent>
                    <w:p w14:paraId="1CF1825E"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المتغير المستقل </w:t>
                      </w:r>
                    </w:p>
                    <w:p w14:paraId="78230F89" w14:textId="77777777" w:rsidR="00734B7C" w:rsidRPr="00734B7C" w:rsidRDefault="00734B7C" w:rsidP="00734B7C">
                      <w:pPr>
                        <w:jc w:val="center"/>
                        <w:rPr>
                          <w:rFonts w:ascii="Times New Roman" w:hAnsi="Times New Roman" w:cs="Times New Roman"/>
                          <w:b/>
                          <w:bCs/>
                          <w:sz w:val="22"/>
                          <w:szCs w:val="20"/>
                          <w:rtl/>
                        </w:rPr>
                      </w:pPr>
                      <w:r w:rsidRPr="00734B7C">
                        <w:rPr>
                          <w:rFonts w:ascii="Times New Roman" w:hAnsi="Times New Roman" w:cs="Times New Roman" w:hint="cs"/>
                          <w:b/>
                          <w:bCs/>
                          <w:sz w:val="22"/>
                          <w:szCs w:val="20"/>
                          <w:rtl/>
                        </w:rPr>
                        <w:t xml:space="preserve">      إدارة المخاطر وأبعادها</w:t>
                      </w:r>
                    </w:p>
                  </w:txbxContent>
                </v:textbox>
                <w10:wrap anchorx="margin"/>
              </v:shape>
            </w:pict>
          </mc:Fallback>
        </mc:AlternateContent>
      </w:r>
      <w:r w:rsidRPr="00734B7C">
        <w:rPr>
          <w:rFonts w:ascii="Times New Roman" w:eastAsia="Calibri" w:hAnsi="Times New Roman" w:cs="Times New Roman"/>
          <w:b/>
          <w:iCs/>
          <w:color w:val="2D74B5"/>
          <w:sz w:val="32"/>
        </w:rPr>
        <w:t xml:space="preserve">Figure </w:t>
      </w:r>
      <w:r w:rsidRPr="00734B7C">
        <w:rPr>
          <w:rFonts w:ascii="Times New Roman" w:eastAsia="Arial" w:hAnsi="Times New Roman" w:cs="Times New Roman"/>
          <w:b/>
          <w:iCs/>
          <w:color w:val="2D74B5"/>
          <w:sz w:val="32"/>
          <w:rtl/>
        </w:rPr>
        <w:t>‌</w:t>
      </w:r>
      <w:r w:rsidRPr="00734B7C">
        <w:rPr>
          <w:rFonts w:ascii="Times New Roman" w:eastAsia="Calibri" w:hAnsi="Times New Roman" w:cs="Times New Roman"/>
          <w:b/>
          <w:iCs/>
          <w:color w:val="2D74B5"/>
          <w:sz w:val="32"/>
        </w:rPr>
        <w:t>1</w:t>
      </w:r>
      <w:r w:rsidRPr="00734B7C">
        <w:rPr>
          <w:rFonts w:ascii="Times New Roman" w:eastAsia="Arial" w:hAnsi="Times New Roman" w:cs="Times New Roman"/>
          <w:b/>
          <w:iCs/>
          <w:color w:val="2D74B5"/>
          <w:sz w:val="32"/>
          <w:rtl/>
        </w:rPr>
        <w:t>-</w:t>
      </w:r>
      <w:r w:rsidRPr="00734B7C">
        <w:rPr>
          <w:rFonts w:ascii="Times New Roman" w:eastAsia="Calibri" w:hAnsi="Times New Roman" w:cs="Times New Roman"/>
          <w:b/>
          <w:iCs/>
          <w:color w:val="2D74B5"/>
          <w:sz w:val="32"/>
        </w:rPr>
        <w:t>0</w:t>
      </w:r>
      <w:r w:rsidRPr="00734B7C">
        <w:rPr>
          <w:rFonts w:ascii="Times New Roman" w:eastAsia="Arial" w:hAnsi="Times New Roman" w:cs="Times New Roman"/>
          <w:b/>
          <w:iCs/>
          <w:color w:val="2D74B5"/>
          <w:sz w:val="32"/>
          <w:rtl/>
        </w:rPr>
        <w:t xml:space="preserve">‌ </w:t>
      </w:r>
      <w:r w:rsidRPr="00734B7C">
        <w:rPr>
          <w:rFonts w:ascii="Times New Roman" w:eastAsia="Arial" w:hAnsi="Times New Roman" w:cs="Times New Roman"/>
          <w:b/>
          <w:i/>
          <w:color w:val="2D74B5"/>
          <w:sz w:val="32"/>
          <w:rtl/>
        </w:rPr>
        <w:t>متغيرات‌ الدراسة</w:t>
      </w:r>
      <w:bookmarkEnd w:id="8"/>
    </w:p>
    <w:p w14:paraId="738A0B84" w14:textId="77777777" w:rsidR="00734B7C" w:rsidRPr="00734B7C" w:rsidRDefault="00734B7C" w:rsidP="001A6444">
      <w:pPr>
        <w:tabs>
          <w:tab w:val="center" w:pos="5724"/>
        </w:tabs>
        <w:spacing w:after="0" w:line="259" w:lineRule="auto"/>
        <w:rPr>
          <w:rFonts w:ascii="Simplified Arabic" w:eastAsia="Simplified Arabic" w:hAnsi="Simplified Arabic" w:cs="Simplified Arabic"/>
          <w:color w:val="000000"/>
          <w:sz w:val="28"/>
          <w:szCs w:val="28"/>
          <w:rtl/>
        </w:rPr>
      </w:pPr>
    </w:p>
    <w:p w14:paraId="11E8BF24" w14:textId="77777777" w:rsidR="00734B7C" w:rsidRPr="00734B7C" w:rsidRDefault="00734B7C" w:rsidP="001A6444">
      <w:pPr>
        <w:keepNext/>
        <w:keepLines/>
        <w:spacing w:after="0" w:line="259" w:lineRule="auto"/>
        <w:ind w:left="10" w:right="-13" w:hanging="10"/>
        <w:outlineLvl w:val="2"/>
        <w:rPr>
          <w:rFonts w:ascii="Times New Roman" w:eastAsia="Simplified Arabic" w:hAnsi="Times New Roman" w:cs="Times New Roman"/>
          <w:b/>
          <w:bCs/>
          <w:color w:val="2D74B5"/>
          <w:sz w:val="28"/>
          <w:szCs w:val="28"/>
        </w:rPr>
      </w:pPr>
      <w:r w:rsidRPr="00734B7C">
        <w:rPr>
          <w:rFonts w:ascii="Times New Roman" w:eastAsia="Simplified Arabic" w:hAnsi="Times New Roman" w:cs="Times New Roman"/>
          <w:b/>
          <w:color w:val="2D74B5"/>
          <w:sz w:val="28"/>
          <w:szCs w:val="28"/>
        </w:rPr>
        <w:t xml:space="preserve">  </w:t>
      </w:r>
      <w:bookmarkStart w:id="9" w:name="_Toc224413013"/>
      <w:r w:rsidRPr="00734B7C">
        <w:rPr>
          <w:rFonts w:ascii="Times New Roman" w:eastAsia="Simplified Arabic" w:hAnsi="Times New Roman" w:cs="Times New Roman"/>
          <w:b/>
          <w:color w:val="2D74B5"/>
          <w:sz w:val="28"/>
          <w:szCs w:val="28"/>
        </w:rPr>
        <w:t xml:space="preserve">: Previous studies </w:t>
      </w:r>
      <w:r w:rsidRPr="00734B7C">
        <w:rPr>
          <w:rFonts w:ascii="Times New Roman" w:eastAsia="Simplified Arabic" w:hAnsi="Times New Roman" w:cs="Times New Roman"/>
          <w:b/>
          <w:bCs/>
          <w:color w:val="2D74B5"/>
          <w:sz w:val="28"/>
          <w:szCs w:val="28"/>
          <w:rtl/>
        </w:rPr>
        <w:t>الدارسات السابقة</w:t>
      </w:r>
      <w:r w:rsidRPr="00734B7C">
        <w:rPr>
          <w:rFonts w:ascii="Times New Roman" w:eastAsia="Simplified Arabic" w:hAnsi="Times New Roman" w:cs="Times New Roman"/>
          <w:b/>
          <w:bCs/>
          <w:color w:val="2D74B5"/>
          <w:sz w:val="28"/>
          <w:szCs w:val="28"/>
        </w:rPr>
        <w:t xml:space="preserve"> 8.1</w:t>
      </w:r>
      <w:bookmarkEnd w:id="9"/>
    </w:p>
    <w:p w14:paraId="28F9890B" w14:textId="77777777" w:rsidR="00734B7C" w:rsidRPr="00734B7C" w:rsidRDefault="00734B7C" w:rsidP="001A6444">
      <w:pPr>
        <w:keepNext/>
        <w:keepLines/>
        <w:spacing w:after="0" w:line="259" w:lineRule="auto"/>
        <w:ind w:right="-13"/>
        <w:outlineLvl w:val="2"/>
        <w:rPr>
          <w:rFonts w:ascii="Times New Roman" w:eastAsia="Times New Roman" w:hAnsi="Times New Roman" w:cs="Times New Roman"/>
          <w:b/>
          <w:color w:val="2D74B5"/>
          <w:sz w:val="28"/>
          <w:szCs w:val="28"/>
        </w:rPr>
      </w:pPr>
      <w:r w:rsidRPr="00734B7C">
        <w:rPr>
          <w:rFonts w:ascii="Times New Roman" w:eastAsia="Times New Roman" w:hAnsi="Times New Roman" w:cs="Times New Roman"/>
          <w:b/>
          <w:color w:val="1F4D78"/>
          <w:sz w:val="28"/>
          <w:szCs w:val="28"/>
        </w:rPr>
        <w:t xml:space="preserve"> </w:t>
      </w:r>
    </w:p>
    <w:p w14:paraId="080B30FC" w14:textId="77777777" w:rsidR="00734B7C" w:rsidRPr="00734B7C" w:rsidRDefault="00734B7C" w:rsidP="001A6444">
      <w:pPr>
        <w:spacing w:after="3" w:line="353" w:lineRule="auto"/>
        <w:ind w:right="1334"/>
        <w:rPr>
          <w:rFonts w:ascii="Times New Roman" w:eastAsia="Simplified Arabic" w:hAnsi="Times New Roman" w:cs="Times New Roman"/>
          <w:b/>
          <w:bCs/>
          <w:color w:val="1F4D78"/>
          <w:sz w:val="28"/>
          <w:szCs w:val="28"/>
        </w:rPr>
      </w:pPr>
      <w:r w:rsidRPr="00734B7C">
        <w:rPr>
          <w:rFonts w:ascii="Times New Roman" w:eastAsia="Simplified Arabic" w:hAnsi="Times New Roman" w:cs="Times New Roman"/>
          <w:b/>
          <w:bCs/>
          <w:color w:val="1F4D78"/>
          <w:sz w:val="28"/>
          <w:szCs w:val="28"/>
        </w:rPr>
        <w:t>1</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8</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1</w:t>
      </w:r>
      <w:r w:rsidRPr="00734B7C">
        <w:rPr>
          <w:rFonts w:ascii="Times New Roman" w:eastAsia="Simplified Arabic" w:hAnsi="Times New Roman" w:cs="Times New Roman"/>
          <w:b/>
          <w:bCs/>
          <w:color w:val="1F4D78"/>
          <w:sz w:val="28"/>
          <w:szCs w:val="28"/>
          <w:rtl/>
        </w:rPr>
        <w:t xml:space="preserve"> دارسات </w:t>
      </w:r>
      <w:r w:rsidRPr="00734B7C">
        <w:rPr>
          <w:rFonts w:ascii="Times New Roman" w:eastAsia="Simplified Arabic" w:hAnsi="Times New Roman" w:cs="Times New Roman" w:hint="cs"/>
          <w:b/>
          <w:bCs/>
          <w:color w:val="1F4D78"/>
          <w:sz w:val="28"/>
          <w:szCs w:val="28"/>
          <w:rtl/>
        </w:rPr>
        <w:t>عربية</w:t>
      </w:r>
      <w:r w:rsidRPr="00734B7C">
        <w:rPr>
          <w:rFonts w:ascii="Times New Roman" w:eastAsia="Simplified Arabic" w:hAnsi="Times New Roman" w:cs="Times New Roman"/>
          <w:b/>
          <w:bCs/>
          <w:color w:val="1F4D78"/>
          <w:sz w:val="28"/>
          <w:szCs w:val="28"/>
          <w:rtl/>
        </w:rPr>
        <w:t xml:space="preserve">  </w:t>
      </w:r>
    </w:p>
    <w:p w14:paraId="3062D9B0"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1-</w:t>
      </w:r>
      <w:r w:rsidRPr="00734B7C">
        <w:rPr>
          <w:rFonts w:ascii="Times New Roman" w:eastAsia="Simplified Arabic" w:hAnsi="Times New Roman" w:cs="Times New Roman"/>
          <w:color w:val="000000"/>
          <w:sz w:val="28"/>
          <w:szCs w:val="28"/>
          <w:rtl/>
        </w:rPr>
        <w:t xml:space="preserve"> العنوان: الاستراتيجيات المتقدمة للحد من التهديدات الاقتصادية في الوكالات الجمركية</w:t>
      </w:r>
    </w:p>
    <w:p w14:paraId="5B45F9DF"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المؤلفون: رحمن وتشين</w:t>
      </w:r>
    </w:p>
    <w:p w14:paraId="268FBE0C"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الإمارات العربية المتحدة</w:t>
      </w:r>
    </w:p>
    <w:p w14:paraId="737AAA9F"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تقييم أثر تبني استراتيجيات إدارة المخاطر المتقدمة على الحد من التهديدات الاقتصادية للوكالات الجمركية.</w:t>
      </w:r>
    </w:p>
    <w:p w14:paraId="43F094EA"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المنهج: كمي، تحليل الانحدار الإحصائي باستخدام </w:t>
      </w:r>
      <w:proofErr w:type="gramStart"/>
      <w:r w:rsidRPr="00734B7C">
        <w:rPr>
          <w:rFonts w:ascii="Times New Roman" w:eastAsia="Simplified Arabic" w:hAnsi="Times New Roman" w:cs="Times New Roman"/>
          <w:color w:val="000000"/>
          <w:sz w:val="28"/>
          <w:szCs w:val="28"/>
          <w:rtl/>
        </w:rPr>
        <w:t>استبيان</w:t>
      </w:r>
      <w:proofErr w:type="gramEnd"/>
      <w:r w:rsidRPr="00734B7C">
        <w:rPr>
          <w:rFonts w:ascii="Times New Roman" w:eastAsia="Simplified Arabic" w:hAnsi="Times New Roman" w:cs="Times New Roman"/>
          <w:color w:val="000000"/>
          <w:sz w:val="28"/>
          <w:szCs w:val="28"/>
          <w:rtl/>
        </w:rPr>
        <w:t xml:space="preserve"> شمل 250 موظفًا.</w:t>
      </w:r>
    </w:p>
    <w:p w14:paraId="7F8DB849"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علاقة إيجابية بين تطبيق الاستراتيجيات المتقدمة وانخفاض معدلات المخاطر الاقتصادية.</w:t>
      </w:r>
    </w:p>
    <w:p w14:paraId="7AE3BC35" w14:textId="77777777" w:rsidR="00734B7C" w:rsidRPr="00734B7C" w:rsidRDefault="00734B7C" w:rsidP="001A6444">
      <w:pPr>
        <w:numPr>
          <w:ilvl w:val="0"/>
          <w:numId w:val="3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تبني هذه الاستراتيجيات ضمن إطار إصلاحي شامل لتعزيز كفاءة الأداء الجمركي.</w:t>
      </w:r>
    </w:p>
    <w:p w14:paraId="0DB8287B"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6CF5A776"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2- </w:t>
      </w:r>
      <w:r w:rsidRPr="00734B7C">
        <w:rPr>
          <w:rFonts w:ascii="Times New Roman" w:eastAsia="Simplified Arabic" w:hAnsi="Times New Roman" w:cs="Times New Roman"/>
          <w:color w:val="000000"/>
          <w:sz w:val="28"/>
          <w:szCs w:val="28"/>
          <w:rtl/>
        </w:rPr>
        <w:t>العنوان: التحليل الاستراتيجي لإدارة المخاطر في المؤسسات الجمركية السعودية</w:t>
      </w:r>
    </w:p>
    <w:p w14:paraId="27263D39"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 xml:space="preserve">المؤلف: سعد </w:t>
      </w:r>
      <w:r w:rsidRPr="00734B7C">
        <w:rPr>
          <w:rFonts w:ascii="Times New Roman" w:eastAsia="Simplified Arabic" w:hAnsi="Times New Roman" w:cs="Times New Roman" w:hint="cs"/>
          <w:color w:val="000000"/>
          <w:sz w:val="28"/>
          <w:szCs w:val="28"/>
          <w:rtl/>
        </w:rPr>
        <w:t>عبد الرحم</w:t>
      </w:r>
      <w:r w:rsidRPr="00734B7C">
        <w:rPr>
          <w:rFonts w:ascii="Times New Roman" w:eastAsia="Simplified Arabic" w:hAnsi="Times New Roman" w:cs="Times New Roman" w:hint="eastAsia"/>
          <w:color w:val="000000"/>
          <w:sz w:val="28"/>
          <w:szCs w:val="28"/>
          <w:rtl/>
        </w:rPr>
        <w:t>ن</w:t>
      </w:r>
      <w:r w:rsidRPr="00734B7C">
        <w:rPr>
          <w:rFonts w:ascii="Times New Roman" w:eastAsia="Simplified Arabic" w:hAnsi="Times New Roman" w:cs="Times New Roman" w:hint="cs"/>
          <w:color w:val="000000"/>
          <w:sz w:val="28"/>
          <w:szCs w:val="28"/>
          <w:rtl/>
        </w:rPr>
        <w:t xml:space="preserve"> الزهراني</w:t>
      </w:r>
    </w:p>
    <w:p w14:paraId="01078828"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18FF0ED8"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تحليل استراتيجيات إدارة المخاطر داخل المؤسسات الجمركية وتقييم الفجوات في استخدام التقنيات الحديثة.</w:t>
      </w:r>
    </w:p>
    <w:p w14:paraId="0BE943AC"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نوعي، مقابلات عميقة مع 30 خبيرًا.</w:t>
      </w:r>
    </w:p>
    <w:p w14:paraId="0ED5DC3D"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وجود قصور في تكامل النظم الإدارية مع التقنيات الرقمية الحديثة.</w:t>
      </w:r>
    </w:p>
    <w:p w14:paraId="3D6EDB93" w14:textId="77777777" w:rsidR="00734B7C" w:rsidRPr="00734B7C" w:rsidRDefault="00734B7C" w:rsidP="001A6444">
      <w:pPr>
        <w:numPr>
          <w:ilvl w:val="0"/>
          <w:numId w:val="31"/>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تحديث النظم وإدخال أساليب التحول الرقمي لتعزيز كفاءة إدارة المخاطر.</w:t>
      </w:r>
    </w:p>
    <w:p w14:paraId="60EA7C91"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1EB9A6E3"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3- </w:t>
      </w:r>
      <w:r w:rsidRPr="00734B7C">
        <w:rPr>
          <w:rFonts w:ascii="Times New Roman" w:eastAsia="Simplified Arabic" w:hAnsi="Times New Roman" w:cs="Times New Roman"/>
          <w:color w:val="000000"/>
          <w:sz w:val="28"/>
          <w:szCs w:val="28"/>
          <w:rtl/>
        </w:rPr>
        <w:t>العنوان: التحديات والمعوقات التي تواجه التحول الرقمي في الإدارة الجمركية وأثرها على إدارة المخاطر</w:t>
      </w:r>
    </w:p>
    <w:p w14:paraId="53440EA2"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w:t>
      </w:r>
      <w:r w:rsidRPr="00734B7C">
        <w:rPr>
          <w:rFonts w:ascii="Times New Roman" w:eastAsia="Simplified Arabic" w:hAnsi="Times New Roman" w:cs="Times New Roman" w:hint="cs"/>
          <w:color w:val="000000"/>
          <w:sz w:val="28"/>
          <w:szCs w:val="28"/>
          <w:rtl/>
        </w:rPr>
        <w:t>عبد الل</w:t>
      </w:r>
      <w:r w:rsidRPr="00734B7C">
        <w:rPr>
          <w:rFonts w:ascii="Times New Roman" w:eastAsia="Simplified Arabic" w:hAnsi="Times New Roman" w:cs="Times New Roman" w:hint="eastAsia"/>
          <w:color w:val="000000"/>
          <w:sz w:val="28"/>
          <w:szCs w:val="28"/>
          <w:rtl/>
        </w:rPr>
        <w:t>ه</w:t>
      </w:r>
      <w:r w:rsidRPr="00734B7C">
        <w:rPr>
          <w:rFonts w:ascii="Times New Roman" w:eastAsia="Simplified Arabic" w:hAnsi="Times New Roman" w:cs="Times New Roman"/>
          <w:color w:val="000000"/>
          <w:sz w:val="28"/>
          <w:szCs w:val="28"/>
          <w:rtl/>
        </w:rPr>
        <w:t xml:space="preserve"> اليامي وماجد الغامدي</w:t>
      </w:r>
    </w:p>
    <w:p w14:paraId="74F23138"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سلطنة عمان</w:t>
      </w:r>
    </w:p>
    <w:p w14:paraId="0A571F6B"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تحديد التحديات والمعوقات التي تواجه التحول الرقمي في الإدارات الجمركية الخليجية وتحليل أثرها على فعالية إدارة المخاطر.</w:t>
      </w:r>
    </w:p>
    <w:p w14:paraId="4B5CF8E7"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مختلط، استبيانات ومقابلات مع 70 مسؤول وخبير جمركي.</w:t>
      </w:r>
    </w:p>
    <w:p w14:paraId="48C59620"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نقص البنية التحتية الرقمية، مقاومة التغيير، والتحديات التشريعية تؤثر على القدرة على إدارة المخاطر بكفاءة.</w:t>
      </w:r>
    </w:p>
    <w:p w14:paraId="5F1D2C27" w14:textId="77777777" w:rsidR="00734B7C" w:rsidRPr="00734B7C" w:rsidRDefault="00734B7C" w:rsidP="001A6444">
      <w:pPr>
        <w:numPr>
          <w:ilvl w:val="0"/>
          <w:numId w:val="32"/>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وضع خطط استراتيجية متكاملة للتحول الرقمي تشمل تطوير البنية التحتية، التدريب المستمر، وتحديث الأطر التشريعية.</w:t>
      </w:r>
    </w:p>
    <w:p w14:paraId="7D33CEE6"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47953BA0"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4- </w:t>
      </w:r>
      <w:r w:rsidRPr="00734B7C">
        <w:rPr>
          <w:rFonts w:ascii="Times New Roman" w:eastAsia="Simplified Arabic" w:hAnsi="Times New Roman" w:cs="Times New Roman"/>
          <w:color w:val="000000"/>
          <w:sz w:val="28"/>
          <w:szCs w:val="28"/>
          <w:rtl/>
        </w:rPr>
        <w:t>العنوان: تقييم تأثير تطبيق استراتيجيات إدارة المخاطر المتقدمة على الأمن المؤسسي</w:t>
      </w:r>
    </w:p>
    <w:p w14:paraId="431D3C85"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المؤلفون: السالم والحربي</w:t>
      </w:r>
    </w:p>
    <w:p w14:paraId="53A79A86"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5FDFE935"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تقييم تأثير استراتيجيات إدارة المخاطر المتقدمة على تحسين الأمن المؤسسي في الجهات الجمركية.</w:t>
      </w:r>
    </w:p>
    <w:p w14:paraId="2C0290FD"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مختلط، استبيانات ومقابلات شبه منظمة شملت 200 موظف.</w:t>
      </w:r>
    </w:p>
    <w:p w14:paraId="7981019D"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النتائج: رفع مستويات الأمان وتحسين استجابة الجهات الجمركية للتحديات الأمنية.</w:t>
      </w:r>
    </w:p>
    <w:p w14:paraId="6527DDB7" w14:textId="77777777" w:rsidR="00734B7C" w:rsidRPr="00734B7C" w:rsidRDefault="00734B7C" w:rsidP="001A6444">
      <w:pPr>
        <w:numPr>
          <w:ilvl w:val="0"/>
          <w:numId w:val="33"/>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توسيع تطبيق هذه الاستراتيجيات في كافة مؤسسات القطاع.</w:t>
      </w:r>
    </w:p>
    <w:p w14:paraId="4571B515"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363CCD48"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5- </w:t>
      </w:r>
      <w:r w:rsidRPr="00734B7C">
        <w:rPr>
          <w:rFonts w:ascii="Times New Roman" w:eastAsia="Simplified Arabic" w:hAnsi="Times New Roman" w:cs="Times New Roman"/>
          <w:color w:val="000000"/>
          <w:sz w:val="28"/>
          <w:szCs w:val="28"/>
          <w:rtl/>
        </w:rPr>
        <w:t>العنوان: التحول الرقمي وإدارة المخاطر في القطاع الجمركي: دراسة مقارنة</w:t>
      </w:r>
    </w:p>
    <w:p w14:paraId="559C1726"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 محمود سامي رضا </w:t>
      </w:r>
    </w:p>
    <w:p w14:paraId="6030FE65"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الكويت</w:t>
      </w:r>
    </w:p>
    <w:p w14:paraId="529C509E"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مقارنة تأثير التحول الرقمي على إدارة المخاطر في القطاع الجمركي بين دول الخليج.</w:t>
      </w:r>
    </w:p>
    <w:p w14:paraId="51CD94C4"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المنهج: وصفي تحليلي، </w:t>
      </w:r>
      <w:proofErr w:type="gramStart"/>
      <w:r w:rsidRPr="00734B7C">
        <w:rPr>
          <w:rFonts w:ascii="Times New Roman" w:eastAsia="Simplified Arabic" w:hAnsi="Times New Roman" w:cs="Times New Roman"/>
          <w:color w:val="000000"/>
          <w:sz w:val="28"/>
          <w:szCs w:val="28"/>
          <w:rtl/>
        </w:rPr>
        <w:t>استبيان</w:t>
      </w:r>
      <w:proofErr w:type="gramEnd"/>
      <w:r w:rsidRPr="00734B7C">
        <w:rPr>
          <w:rFonts w:ascii="Times New Roman" w:eastAsia="Simplified Arabic" w:hAnsi="Times New Roman" w:cs="Times New Roman"/>
          <w:color w:val="000000"/>
          <w:sz w:val="28"/>
          <w:szCs w:val="28"/>
          <w:rtl/>
        </w:rPr>
        <w:t xml:space="preserve"> شمل 150 موظفًا.</w:t>
      </w:r>
    </w:p>
    <w:p w14:paraId="56D0F519"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فروق واضحة في مستوى تبني التقنيات الرقمية بين دول الخليج، مما أبرز الحاجة لسياسات متكاملة للتحول الرقمي.</w:t>
      </w:r>
    </w:p>
    <w:p w14:paraId="2957AE61" w14:textId="77777777" w:rsidR="00734B7C" w:rsidRPr="00734B7C" w:rsidRDefault="00734B7C" w:rsidP="001A6444">
      <w:pPr>
        <w:numPr>
          <w:ilvl w:val="0"/>
          <w:numId w:val="34"/>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تعزيز الاستثمارات في التقنيات الحديثة وتطوير برامج تدريبية مستمرة.</w:t>
      </w:r>
    </w:p>
    <w:p w14:paraId="23C9811A"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046A8F53"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07092492"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6- </w:t>
      </w:r>
      <w:r w:rsidRPr="00734B7C">
        <w:rPr>
          <w:rFonts w:ascii="Times New Roman" w:eastAsia="Simplified Arabic" w:hAnsi="Times New Roman" w:cs="Times New Roman"/>
          <w:color w:val="000000"/>
          <w:sz w:val="28"/>
          <w:szCs w:val="28"/>
          <w:rtl/>
        </w:rPr>
        <w:t>العنوان: الاتجاهات الناشئة في إدارة المخاطر ضمن الجمارك السعودية</w:t>
      </w:r>
    </w:p>
    <w:p w14:paraId="04CC981C"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احمد محمد إبراهيم وناصر </w:t>
      </w:r>
      <w:r w:rsidRPr="00734B7C">
        <w:rPr>
          <w:rFonts w:ascii="Times New Roman" w:eastAsia="Simplified Arabic" w:hAnsi="Times New Roman" w:cs="Times New Roman" w:hint="cs"/>
          <w:color w:val="000000"/>
          <w:sz w:val="28"/>
          <w:szCs w:val="28"/>
          <w:rtl/>
        </w:rPr>
        <w:t>عبد الل</w:t>
      </w:r>
      <w:r w:rsidRPr="00734B7C">
        <w:rPr>
          <w:rFonts w:ascii="Times New Roman" w:eastAsia="Simplified Arabic" w:hAnsi="Times New Roman" w:cs="Times New Roman" w:hint="eastAsia"/>
          <w:color w:val="000000"/>
          <w:sz w:val="28"/>
          <w:szCs w:val="28"/>
          <w:rtl/>
        </w:rPr>
        <w:t>ه</w:t>
      </w:r>
      <w:r w:rsidRPr="00734B7C">
        <w:rPr>
          <w:rFonts w:ascii="Times New Roman" w:eastAsia="Simplified Arabic" w:hAnsi="Times New Roman" w:cs="Times New Roman"/>
          <w:color w:val="000000"/>
          <w:sz w:val="28"/>
          <w:szCs w:val="28"/>
          <w:rtl/>
        </w:rPr>
        <w:t xml:space="preserve"> القحطاني</w:t>
      </w:r>
    </w:p>
    <w:p w14:paraId="37F41DF3"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2B2DBA76"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استكشاف الفجوة في تطبيق النماذج الحديثة لإدارة المخاطر مقارنة بالأساليب التقليدية.</w:t>
      </w:r>
    </w:p>
    <w:p w14:paraId="145709C7"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وصفي تحليلي، مقابلات مع 100 موظف جمركي.</w:t>
      </w:r>
    </w:p>
    <w:p w14:paraId="6A1EC0A7"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نقص التجديد أثر سلبًا على قدرة المؤسسات الجمركية في مواجهة التهديدات الأمنية والاقتصادية.</w:t>
      </w:r>
    </w:p>
    <w:p w14:paraId="38D1AAB3" w14:textId="77777777" w:rsidR="00734B7C" w:rsidRPr="00734B7C" w:rsidRDefault="00734B7C" w:rsidP="001A6444">
      <w:pPr>
        <w:numPr>
          <w:ilvl w:val="0"/>
          <w:numId w:val="35"/>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تحديث النظم الإدارية وبرامج تدريبية متخصصة لتعزيز كفاءة الموظفين.</w:t>
      </w:r>
    </w:p>
    <w:p w14:paraId="5E8E5B4F"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1651CE14"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7- </w:t>
      </w:r>
      <w:r w:rsidRPr="00734B7C">
        <w:rPr>
          <w:rFonts w:ascii="Times New Roman" w:eastAsia="Simplified Arabic" w:hAnsi="Times New Roman" w:cs="Times New Roman"/>
          <w:color w:val="000000"/>
          <w:sz w:val="28"/>
          <w:szCs w:val="28"/>
          <w:rtl/>
        </w:rPr>
        <w:t>العنوان: تأثير تطبيق تقنيات الذكاء الاصطناعي في إدارة المخاطر الجمركية</w:t>
      </w:r>
    </w:p>
    <w:p w14:paraId="5B5B89B7"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w:t>
      </w:r>
      <w:proofErr w:type="gramStart"/>
      <w:r w:rsidRPr="00734B7C">
        <w:rPr>
          <w:rFonts w:ascii="Times New Roman" w:eastAsia="Simplified Arabic" w:hAnsi="Times New Roman" w:cs="Times New Roman"/>
          <w:color w:val="000000"/>
          <w:sz w:val="28"/>
          <w:szCs w:val="28"/>
          <w:rtl/>
        </w:rPr>
        <w:t>عبدالله</w:t>
      </w:r>
      <w:proofErr w:type="gramEnd"/>
      <w:r w:rsidRPr="00734B7C">
        <w:rPr>
          <w:rFonts w:ascii="Times New Roman" w:eastAsia="Simplified Arabic" w:hAnsi="Times New Roman" w:cs="Times New Roman"/>
          <w:color w:val="000000"/>
          <w:sz w:val="28"/>
          <w:szCs w:val="28"/>
          <w:rtl/>
        </w:rPr>
        <w:t xml:space="preserve"> ناصر الشمري واحمد علي موسى</w:t>
      </w:r>
    </w:p>
    <w:p w14:paraId="61BF1103"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مكان الدراسة: المملكة العربية السعودية</w:t>
      </w:r>
    </w:p>
    <w:p w14:paraId="79FC90A1"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تقييم تأثير دمج تقنيات الذكاء الاصطناعي على كفاءة نظم إدارة المخاطر الجمركية.</w:t>
      </w:r>
    </w:p>
    <w:p w14:paraId="694569F2"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المنهج: كمي، </w:t>
      </w:r>
      <w:proofErr w:type="gramStart"/>
      <w:r w:rsidRPr="00734B7C">
        <w:rPr>
          <w:rFonts w:ascii="Times New Roman" w:eastAsia="Simplified Arabic" w:hAnsi="Times New Roman" w:cs="Times New Roman"/>
          <w:color w:val="000000"/>
          <w:sz w:val="28"/>
          <w:szCs w:val="28"/>
          <w:rtl/>
        </w:rPr>
        <w:t>استبيان</w:t>
      </w:r>
      <w:proofErr w:type="gramEnd"/>
      <w:r w:rsidRPr="00734B7C">
        <w:rPr>
          <w:rFonts w:ascii="Times New Roman" w:eastAsia="Simplified Arabic" w:hAnsi="Times New Roman" w:cs="Times New Roman"/>
          <w:color w:val="000000"/>
          <w:sz w:val="28"/>
          <w:szCs w:val="28"/>
          <w:rtl/>
        </w:rPr>
        <w:t xml:space="preserve"> شمل 300 موظف جمركي.</w:t>
      </w:r>
    </w:p>
    <w:p w14:paraId="26FE53B0"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استخدام تقنيات الذكاء الاصطناعي أسهم في الكشف المبكر عن المخاطر وتقليل معدل الحوادث الأمنية والاقتصادية.</w:t>
      </w:r>
    </w:p>
    <w:p w14:paraId="05DD5A90" w14:textId="77777777" w:rsidR="00734B7C" w:rsidRPr="00734B7C" w:rsidRDefault="00734B7C" w:rsidP="001A6444">
      <w:pPr>
        <w:numPr>
          <w:ilvl w:val="0"/>
          <w:numId w:val="36"/>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تعزيز البنية التحتية الرقمية واستثمار المزيد في التقنيات الحديثة.</w:t>
      </w:r>
    </w:p>
    <w:p w14:paraId="17E7EEB4"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37BD1F32"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8- </w:t>
      </w:r>
      <w:r w:rsidRPr="00734B7C">
        <w:rPr>
          <w:rFonts w:ascii="Times New Roman" w:eastAsia="Simplified Arabic" w:hAnsi="Times New Roman" w:cs="Times New Roman"/>
          <w:color w:val="000000"/>
          <w:sz w:val="28"/>
          <w:szCs w:val="28"/>
          <w:rtl/>
        </w:rPr>
        <w:t>العنوان: تطوير نماذج التنبؤ بالمخاطر الأمنية في الجمارك السعودية</w:t>
      </w:r>
    </w:p>
    <w:p w14:paraId="6D6296A8"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احمد </w:t>
      </w:r>
      <w:proofErr w:type="gramStart"/>
      <w:r w:rsidRPr="00734B7C">
        <w:rPr>
          <w:rFonts w:ascii="Times New Roman" w:eastAsia="Simplified Arabic" w:hAnsi="Times New Roman" w:cs="Times New Roman"/>
          <w:color w:val="000000"/>
          <w:sz w:val="28"/>
          <w:szCs w:val="28"/>
          <w:rtl/>
        </w:rPr>
        <w:t>عبدالمجيد</w:t>
      </w:r>
      <w:proofErr w:type="gramEnd"/>
      <w:r w:rsidRPr="00734B7C">
        <w:rPr>
          <w:rFonts w:ascii="Times New Roman" w:eastAsia="Simplified Arabic" w:hAnsi="Times New Roman" w:cs="Times New Roman"/>
          <w:color w:val="000000"/>
          <w:sz w:val="28"/>
          <w:szCs w:val="28"/>
          <w:rtl/>
        </w:rPr>
        <w:t xml:space="preserve"> الخطيب وماجد </w:t>
      </w:r>
      <w:proofErr w:type="gramStart"/>
      <w:r w:rsidRPr="00734B7C">
        <w:rPr>
          <w:rFonts w:ascii="Times New Roman" w:eastAsia="Simplified Arabic" w:hAnsi="Times New Roman" w:cs="Times New Roman"/>
          <w:color w:val="000000"/>
          <w:sz w:val="28"/>
          <w:szCs w:val="28"/>
          <w:rtl/>
        </w:rPr>
        <w:t>عبدالعزيز</w:t>
      </w:r>
      <w:proofErr w:type="gramEnd"/>
      <w:r w:rsidRPr="00734B7C">
        <w:rPr>
          <w:rFonts w:ascii="Times New Roman" w:eastAsia="Simplified Arabic" w:hAnsi="Times New Roman" w:cs="Times New Roman"/>
          <w:color w:val="000000"/>
          <w:sz w:val="28"/>
          <w:szCs w:val="28"/>
          <w:rtl/>
        </w:rPr>
        <w:t xml:space="preserve"> الحربي</w:t>
      </w:r>
    </w:p>
    <w:p w14:paraId="7A3A8E88"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337B0000"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استقصاء مدى فعالية نماذج التنبؤ القائمة على التحليل الرقمي في تحسين أداء الجهات الجمركية من خلال تقليل المخاطر الأمنية.</w:t>
      </w:r>
    </w:p>
    <w:p w14:paraId="10BBDEF0"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مختلط، 220 موظفًا جمركيًا + مقابلات مع خبراء.</w:t>
      </w:r>
    </w:p>
    <w:p w14:paraId="126455FC"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النماذج التنبؤية تعزز سرعة الاستجابة للتحديات الأمنية.</w:t>
      </w:r>
    </w:p>
    <w:p w14:paraId="2E437240" w14:textId="77777777" w:rsidR="00734B7C" w:rsidRPr="00734B7C" w:rsidRDefault="00734B7C" w:rsidP="001A6444">
      <w:pPr>
        <w:numPr>
          <w:ilvl w:val="0"/>
          <w:numId w:val="37"/>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تبني النماذج التنبؤية بصورة موسعة في النظام الجمركي.</w:t>
      </w:r>
    </w:p>
    <w:p w14:paraId="6C82C296"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9- </w:t>
      </w:r>
      <w:r w:rsidRPr="00734B7C">
        <w:rPr>
          <w:rFonts w:ascii="Times New Roman" w:eastAsia="Simplified Arabic" w:hAnsi="Times New Roman" w:cs="Times New Roman"/>
          <w:color w:val="000000"/>
          <w:sz w:val="28"/>
          <w:szCs w:val="28"/>
          <w:rtl/>
        </w:rPr>
        <w:t>الع</w:t>
      </w:r>
      <w:r w:rsidRPr="00734B7C">
        <w:rPr>
          <w:rFonts w:ascii="Times New Roman" w:eastAsia="Simplified Arabic" w:hAnsi="Times New Roman" w:cs="Times New Roman" w:hint="cs"/>
          <w:color w:val="000000"/>
          <w:sz w:val="28"/>
          <w:szCs w:val="28"/>
          <w:rtl/>
        </w:rPr>
        <w:t>ن</w:t>
      </w:r>
      <w:r w:rsidRPr="00734B7C">
        <w:rPr>
          <w:rFonts w:ascii="Times New Roman" w:eastAsia="Simplified Arabic" w:hAnsi="Times New Roman" w:cs="Times New Roman"/>
          <w:color w:val="000000"/>
          <w:sz w:val="28"/>
          <w:szCs w:val="28"/>
          <w:rtl/>
        </w:rPr>
        <w:t>وان: دور التحول الرقمي في تعزيز قدرات إدارة المخاطر الجمركية</w:t>
      </w:r>
    </w:p>
    <w:p w14:paraId="6F6FDD50"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سالم محمد الأنصاري وناصر </w:t>
      </w:r>
      <w:proofErr w:type="gramStart"/>
      <w:r w:rsidRPr="00734B7C">
        <w:rPr>
          <w:rFonts w:ascii="Times New Roman" w:eastAsia="Simplified Arabic" w:hAnsi="Times New Roman" w:cs="Times New Roman"/>
          <w:color w:val="000000"/>
          <w:sz w:val="28"/>
          <w:szCs w:val="28"/>
          <w:rtl/>
        </w:rPr>
        <w:t>عبدالله</w:t>
      </w:r>
      <w:proofErr w:type="gramEnd"/>
      <w:r w:rsidRPr="00734B7C">
        <w:rPr>
          <w:rFonts w:ascii="Times New Roman" w:eastAsia="Simplified Arabic" w:hAnsi="Times New Roman" w:cs="Times New Roman"/>
          <w:color w:val="000000"/>
          <w:sz w:val="28"/>
          <w:szCs w:val="28"/>
          <w:rtl/>
        </w:rPr>
        <w:t xml:space="preserve"> الزيد</w:t>
      </w:r>
    </w:p>
    <w:p w14:paraId="318A4AC3"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سلطنة عمان</w:t>
      </w:r>
    </w:p>
    <w:p w14:paraId="2162E8B1"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مقارنة مستوى تبني التحول الرقمي في إدارة المخاطر بين مؤسسات الجمارك في دول الخليج.</w:t>
      </w:r>
    </w:p>
    <w:p w14:paraId="6A859D93"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المنهج: كمي، </w:t>
      </w:r>
      <w:proofErr w:type="gramStart"/>
      <w:r w:rsidRPr="00734B7C">
        <w:rPr>
          <w:rFonts w:ascii="Times New Roman" w:eastAsia="Simplified Arabic" w:hAnsi="Times New Roman" w:cs="Times New Roman"/>
          <w:color w:val="000000"/>
          <w:sz w:val="28"/>
          <w:szCs w:val="28"/>
          <w:rtl/>
        </w:rPr>
        <w:t>استبيان</w:t>
      </w:r>
      <w:proofErr w:type="gramEnd"/>
      <w:r w:rsidRPr="00734B7C">
        <w:rPr>
          <w:rFonts w:ascii="Times New Roman" w:eastAsia="Simplified Arabic" w:hAnsi="Times New Roman" w:cs="Times New Roman"/>
          <w:color w:val="000000"/>
          <w:sz w:val="28"/>
          <w:szCs w:val="28"/>
          <w:rtl/>
        </w:rPr>
        <w:t xml:space="preserve"> شمل 250 موظف جمركي.</w:t>
      </w:r>
    </w:p>
    <w:p w14:paraId="22FAF0FD"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التحول الرقمي يحسن آليات الكشف والتعامل مع المخاطر، ويقلل التهديدات الأمنية والاقتصادية.</w:t>
      </w:r>
    </w:p>
    <w:p w14:paraId="0FFBD28F" w14:textId="77777777" w:rsidR="00734B7C" w:rsidRPr="00734B7C" w:rsidRDefault="00734B7C" w:rsidP="001A6444">
      <w:pPr>
        <w:numPr>
          <w:ilvl w:val="0"/>
          <w:numId w:val="38"/>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تبني سياسات تحفيزية لتعزيز التكامل بين الأنظمة الإدارية والرقمية.</w:t>
      </w:r>
    </w:p>
    <w:p w14:paraId="4AC977B6"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2E027110"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10 - </w:t>
      </w:r>
      <w:r w:rsidRPr="00734B7C">
        <w:rPr>
          <w:rFonts w:ascii="Times New Roman" w:eastAsia="Simplified Arabic" w:hAnsi="Times New Roman" w:cs="Times New Roman"/>
          <w:color w:val="000000"/>
          <w:sz w:val="28"/>
          <w:szCs w:val="28"/>
          <w:rtl/>
        </w:rPr>
        <w:t>العنوان: استراتيجيات مبتكرة لإدارة المخاطر في الجمارك: دراسة مقارنة بين النماذج التقليدية والمتقدمة</w:t>
      </w:r>
    </w:p>
    <w:p w14:paraId="2EB83487"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 xml:space="preserve">المؤلفون: فهد </w:t>
      </w:r>
      <w:proofErr w:type="gramStart"/>
      <w:r w:rsidRPr="00734B7C">
        <w:rPr>
          <w:rFonts w:ascii="Times New Roman" w:eastAsia="Simplified Arabic" w:hAnsi="Times New Roman" w:cs="Times New Roman"/>
          <w:color w:val="000000"/>
          <w:sz w:val="28"/>
          <w:szCs w:val="28"/>
          <w:rtl/>
        </w:rPr>
        <w:t>عبدالله</w:t>
      </w:r>
      <w:proofErr w:type="gramEnd"/>
      <w:r w:rsidRPr="00734B7C">
        <w:rPr>
          <w:rFonts w:ascii="Times New Roman" w:eastAsia="Simplified Arabic" w:hAnsi="Times New Roman" w:cs="Times New Roman"/>
          <w:color w:val="000000"/>
          <w:sz w:val="28"/>
          <w:szCs w:val="28"/>
          <w:rtl/>
        </w:rPr>
        <w:t xml:space="preserve"> العتيبي وخالد ناصر </w:t>
      </w:r>
      <w:proofErr w:type="spellStart"/>
      <w:r w:rsidRPr="00734B7C">
        <w:rPr>
          <w:rFonts w:ascii="Times New Roman" w:eastAsia="Simplified Arabic" w:hAnsi="Times New Roman" w:cs="Times New Roman"/>
          <w:color w:val="000000"/>
          <w:sz w:val="28"/>
          <w:szCs w:val="28"/>
          <w:rtl/>
        </w:rPr>
        <w:t>الروان</w:t>
      </w:r>
      <w:proofErr w:type="spellEnd"/>
    </w:p>
    <w:p w14:paraId="6BC3DDFB"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5427D633"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تحليل الفوارق بين النماذج الإدارية التقليدية وتلك المستندة إلى تقنيات متقدمة في إدارة المخاطر.</w:t>
      </w:r>
    </w:p>
    <w:p w14:paraId="175151A6"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المنهج: نوعي، مقابلات متعمقة مع 40 موظفًا وخبيرًا جمركيًا.</w:t>
      </w:r>
    </w:p>
    <w:p w14:paraId="25B60F18"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النماذج المبتكرة أفضل في التنبؤ بالمخاطر والتعامل مع التحديات الأمنية والاقتصادية.</w:t>
      </w:r>
    </w:p>
    <w:p w14:paraId="546DD1A0" w14:textId="77777777" w:rsidR="00734B7C" w:rsidRPr="00734B7C" w:rsidRDefault="00734B7C" w:rsidP="001A6444">
      <w:pPr>
        <w:numPr>
          <w:ilvl w:val="0"/>
          <w:numId w:val="39"/>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التوصيات: إعادة هيكلة النظم الإدارية واعتماد أساليب حديثة في إدارة المخاطر.</w:t>
      </w:r>
    </w:p>
    <w:p w14:paraId="140FD306"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p>
    <w:p w14:paraId="3E1F563C" w14:textId="77777777" w:rsidR="00734B7C" w:rsidRPr="00734B7C" w:rsidRDefault="00734B7C" w:rsidP="001A6444">
      <w:pPr>
        <w:spacing w:after="3" w:line="353" w:lineRule="auto"/>
        <w:ind w:right="1334"/>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hint="cs"/>
          <w:color w:val="000000"/>
          <w:sz w:val="28"/>
          <w:szCs w:val="28"/>
          <w:rtl/>
        </w:rPr>
        <w:t xml:space="preserve">11- </w:t>
      </w:r>
      <w:r w:rsidRPr="00734B7C">
        <w:rPr>
          <w:rFonts w:ascii="Times New Roman" w:eastAsia="Simplified Arabic" w:hAnsi="Times New Roman" w:cs="Times New Roman"/>
          <w:color w:val="000000"/>
          <w:sz w:val="28"/>
          <w:szCs w:val="28"/>
          <w:rtl/>
        </w:rPr>
        <w:t>العنوان: تأثير التكامل بين الأنظمة الإدارية والرقمية في تحسين إدارة المخاطر الجمركية</w:t>
      </w:r>
    </w:p>
    <w:p w14:paraId="533C1975"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المؤلفون: </w:t>
      </w:r>
      <w:proofErr w:type="gramStart"/>
      <w:r w:rsidRPr="00734B7C">
        <w:rPr>
          <w:rFonts w:ascii="Times New Roman" w:eastAsia="Simplified Arabic" w:hAnsi="Times New Roman" w:cs="Times New Roman"/>
          <w:color w:val="000000"/>
          <w:sz w:val="28"/>
          <w:szCs w:val="28"/>
          <w:rtl/>
        </w:rPr>
        <w:t>عبدالله</w:t>
      </w:r>
      <w:proofErr w:type="gramEnd"/>
      <w:r w:rsidRPr="00734B7C">
        <w:rPr>
          <w:rFonts w:ascii="Times New Roman" w:eastAsia="Simplified Arabic" w:hAnsi="Times New Roman" w:cs="Times New Roman"/>
          <w:color w:val="000000"/>
          <w:sz w:val="28"/>
          <w:szCs w:val="28"/>
          <w:rtl/>
        </w:rPr>
        <w:t xml:space="preserve"> حسين المهدي وسامي محمد السلمي</w:t>
      </w:r>
    </w:p>
    <w:p w14:paraId="43A9794B"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مكان الدراسة: المملكة العربية السعودية</w:t>
      </w:r>
    </w:p>
    <w:p w14:paraId="579EF947"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الهدف: تقييم أثر دمج الأنظمة الإدارية التقليدية مع التقنيات الرقمية على كفاءة إدارة المخاطر في الجهات الجمركية.</w:t>
      </w:r>
    </w:p>
    <w:p w14:paraId="08CDFA21"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المنهج: كمي، </w:t>
      </w:r>
      <w:proofErr w:type="gramStart"/>
      <w:r w:rsidRPr="00734B7C">
        <w:rPr>
          <w:rFonts w:ascii="Times New Roman" w:eastAsia="Simplified Arabic" w:hAnsi="Times New Roman" w:cs="Times New Roman"/>
          <w:color w:val="000000"/>
          <w:sz w:val="28"/>
          <w:szCs w:val="28"/>
          <w:rtl/>
        </w:rPr>
        <w:t>استبيان</w:t>
      </w:r>
      <w:proofErr w:type="gramEnd"/>
      <w:r w:rsidRPr="00734B7C">
        <w:rPr>
          <w:rFonts w:ascii="Times New Roman" w:eastAsia="Simplified Arabic" w:hAnsi="Times New Roman" w:cs="Times New Roman"/>
          <w:color w:val="000000"/>
          <w:sz w:val="28"/>
          <w:szCs w:val="28"/>
          <w:rtl/>
        </w:rPr>
        <w:t xml:space="preserve"> شمل 180 موظف جمركي.</w:t>
      </w:r>
    </w:p>
    <w:p w14:paraId="61017597"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النتائج: التكامل يسهم بشكل ملحوظ في تحسين عمليات الكشف عن المخاطر وتقليل التهديدات الأمنية والاقتصادية.</w:t>
      </w:r>
    </w:p>
    <w:p w14:paraId="10090524" w14:textId="77777777" w:rsidR="00734B7C" w:rsidRPr="00734B7C" w:rsidRDefault="00734B7C" w:rsidP="001A6444">
      <w:pPr>
        <w:numPr>
          <w:ilvl w:val="0"/>
          <w:numId w:val="40"/>
        </w:numPr>
        <w:spacing w:after="3" w:line="353" w:lineRule="auto"/>
        <w:ind w:right="1334"/>
        <w:contextualSpacing/>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التوصيات: تبني نهج تكاملي يشمل تحديث البنية التحتية الرقمية وتطوير برامج تدريبية متخصصة للكوادر العاملة.</w:t>
      </w:r>
    </w:p>
    <w:p w14:paraId="4516DD0A" w14:textId="77777777" w:rsidR="00734B7C" w:rsidRPr="00734B7C" w:rsidRDefault="00734B7C" w:rsidP="001A6444">
      <w:pPr>
        <w:spacing w:after="3" w:line="353" w:lineRule="auto"/>
        <w:ind w:left="1" w:right="1334" w:hanging="1"/>
        <w:rPr>
          <w:rFonts w:ascii="Times New Roman" w:eastAsia="Simplified Arabic" w:hAnsi="Times New Roman" w:cs="Times New Roman"/>
          <w:color w:val="000000"/>
          <w:sz w:val="28"/>
          <w:szCs w:val="28"/>
          <w:rtl/>
        </w:rPr>
      </w:pPr>
    </w:p>
    <w:p w14:paraId="192AB3DC" w14:textId="77777777" w:rsidR="00734B7C" w:rsidRPr="00734B7C" w:rsidRDefault="00734B7C" w:rsidP="001A6444">
      <w:pPr>
        <w:spacing w:after="3" w:line="353" w:lineRule="auto"/>
        <w:ind w:left="1" w:right="1334" w:hanging="1"/>
        <w:rPr>
          <w:rFonts w:ascii="Times New Roman" w:eastAsia="Simplified Arabic" w:hAnsi="Times New Roman" w:cs="Times New Roman"/>
          <w:color w:val="000000"/>
          <w:sz w:val="28"/>
          <w:szCs w:val="28"/>
        </w:rPr>
      </w:pPr>
    </w:p>
    <w:p w14:paraId="1642AFA1" w14:textId="77777777" w:rsidR="00734B7C" w:rsidRPr="00734B7C" w:rsidRDefault="00734B7C" w:rsidP="001A6444">
      <w:pPr>
        <w:spacing w:after="0" w:line="259" w:lineRule="auto"/>
        <w:ind w:left="-4" w:hanging="10"/>
        <w:rPr>
          <w:rFonts w:ascii="Times New Roman" w:eastAsia="Simplified Arabic" w:hAnsi="Times New Roman" w:cs="Times New Roman"/>
          <w:color w:val="000000"/>
          <w:sz w:val="28"/>
          <w:szCs w:val="28"/>
          <w:rtl/>
        </w:rPr>
      </w:pPr>
      <w:bookmarkStart w:id="10" w:name="_Hlk214126919"/>
      <w:r w:rsidRPr="00734B7C">
        <w:rPr>
          <w:rFonts w:ascii="Times New Roman" w:eastAsia="Simplified Arabic" w:hAnsi="Times New Roman" w:cs="Times New Roman"/>
          <w:b/>
          <w:bCs/>
          <w:color w:val="1F4D78"/>
          <w:sz w:val="28"/>
          <w:szCs w:val="28"/>
        </w:rPr>
        <w:t>2</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8</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1</w:t>
      </w:r>
      <w:r w:rsidRPr="00734B7C">
        <w:rPr>
          <w:rFonts w:ascii="Times New Roman" w:eastAsia="Simplified Arabic" w:hAnsi="Times New Roman" w:cs="Times New Roman"/>
          <w:b/>
          <w:bCs/>
          <w:color w:val="1F4D78"/>
          <w:sz w:val="28"/>
          <w:szCs w:val="28"/>
          <w:rtl/>
        </w:rPr>
        <w:t xml:space="preserve"> دارسات أجنبية  </w:t>
      </w:r>
      <w:bookmarkEnd w:id="10"/>
      <w:r w:rsidRPr="00734B7C">
        <w:rPr>
          <w:rFonts w:ascii="Times New Roman" w:eastAsia="Calibri" w:hAnsi="Times New Roman" w:cs="Times New Roman"/>
          <w:color w:val="000000"/>
          <w:sz w:val="28"/>
          <w:szCs w:val="28"/>
        </w:rPr>
        <w:t xml:space="preserve"> </w:t>
      </w:r>
    </w:p>
    <w:p w14:paraId="17586984" w14:textId="77777777" w:rsidR="00734B7C" w:rsidRPr="00734B7C" w:rsidRDefault="00734B7C" w:rsidP="001A6444">
      <w:pPr>
        <w:spacing w:after="281" w:line="259" w:lineRule="auto"/>
        <w:ind w:right="83"/>
        <w:rPr>
          <w:rFonts w:ascii="Times New Roman" w:eastAsia="Simplified Arabic" w:hAnsi="Times New Roman" w:cs="Times New Roman"/>
          <w:color w:val="000000"/>
          <w:sz w:val="28"/>
          <w:szCs w:val="28"/>
          <w:rtl/>
        </w:rPr>
      </w:pPr>
      <w:r w:rsidRPr="00734B7C">
        <w:rPr>
          <w:rFonts w:ascii="Simplified Arabic" w:eastAsia="Simplified Arabic" w:hAnsi="Simplified Arabic" w:cs="Simplified Arabic" w:hint="cs"/>
          <w:color w:val="000000"/>
          <w:sz w:val="28"/>
          <w:szCs w:val="28"/>
          <w:rtl/>
        </w:rPr>
        <w:t>1</w:t>
      </w:r>
      <w:r w:rsidRPr="00734B7C">
        <w:rPr>
          <w:rFonts w:ascii="Times New Roman" w:eastAsia="Simplified Arabic" w:hAnsi="Times New Roman" w:cs="Times New Roman" w:hint="cs"/>
          <w:color w:val="000000"/>
          <w:sz w:val="28"/>
          <w:szCs w:val="28"/>
          <w:rtl/>
        </w:rPr>
        <w:t>.</w:t>
      </w:r>
      <w:r w:rsidRPr="00734B7C">
        <w:rPr>
          <w:rFonts w:ascii="Times New Roman" w:eastAsia="Simplified Arabic" w:hAnsi="Times New Roman" w:cs="Times New Roman"/>
          <w:color w:val="000000"/>
          <w:sz w:val="28"/>
          <w:szCs w:val="28"/>
          <w:rtl/>
        </w:rPr>
        <w:t xml:space="preserve"> ا</w:t>
      </w:r>
      <w:r w:rsidRPr="00734B7C">
        <w:rPr>
          <w:rFonts w:ascii="Times New Roman" w:eastAsia="Times New Roman" w:hAnsi="Times New Roman" w:cs="Times New Roman"/>
          <w:kern w:val="0"/>
          <w:sz w:val="28"/>
          <w:szCs w:val="28"/>
          <w:rtl/>
          <w14:ligatures w14:val="none"/>
        </w:rPr>
        <w:t>لعنوان: تأث</w:t>
      </w:r>
      <w:r w:rsidRPr="00734B7C">
        <w:rPr>
          <w:rFonts w:ascii="Times New Roman" w:eastAsia="Times New Roman" w:hAnsi="Times New Roman" w:cs="Times New Roman" w:hint="cs"/>
          <w:kern w:val="0"/>
          <w:sz w:val="28"/>
          <w:szCs w:val="28"/>
          <w:rtl/>
          <w14:ligatures w14:val="none"/>
        </w:rPr>
        <w:t>ي</w:t>
      </w:r>
      <w:r w:rsidRPr="00734B7C">
        <w:rPr>
          <w:rFonts w:ascii="Times New Roman" w:eastAsia="Times New Roman" w:hAnsi="Times New Roman" w:cs="Times New Roman"/>
          <w:kern w:val="0"/>
          <w:sz w:val="28"/>
          <w:szCs w:val="28"/>
          <w:rtl/>
          <w14:ligatures w14:val="none"/>
        </w:rPr>
        <w:t>ر تكنولوجيا الحوسبة السحابية على مرونة إدارة المخاطر الجمركية وسرعة الاستجابة</w:t>
      </w:r>
      <w:r w:rsidRPr="00734B7C">
        <w:rPr>
          <w:rFonts w:ascii="Times New Roman" w:eastAsia="Simplified Arabic" w:hAnsi="Times New Roman" w:cs="Times New Roman"/>
          <w:color w:val="000000"/>
          <w:sz w:val="28"/>
          <w:szCs w:val="28"/>
        </w:rPr>
        <w:t xml:space="preserve"> </w:t>
      </w:r>
    </w:p>
    <w:p w14:paraId="35D49F02"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Johnson</w:t>
      </w:r>
      <w:r w:rsidRPr="00734B7C">
        <w:rPr>
          <w:rFonts w:ascii="Times New Roman" w:eastAsia="Times New Roman" w:hAnsi="Times New Roman" w:cs="Times New Roman"/>
          <w:kern w:val="0"/>
          <w:sz w:val="28"/>
          <w:szCs w:val="28"/>
          <w:rtl/>
          <w14:ligatures w14:val="none"/>
        </w:rPr>
        <w:t xml:space="preserve"> و</w:t>
      </w:r>
      <w:r w:rsidRPr="00734B7C">
        <w:rPr>
          <w:rFonts w:ascii="Times New Roman" w:eastAsia="Times New Roman" w:hAnsi="Times New Roman" w:cs="Times New Roman"/>
          <w:kern w:val="0"/>
          <w:sz w:val="28"/>
          <w:szCs w:val="28"/>
          <w14:ligatures w14:val="none"/>
        </w:rPr>
        <w:t>Brown</w:t>
      </w:r>
    </w:p>
    <w:p w14:paraId="38E4D017"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كندا</w:t>
      </w:r>
    </w:p>
    <w:p w14:paraId="3D0FDD52"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تقييم مدى مساهمة الحوسبة السحابية في تعزيز مرونة الأنظمة الجمركية وقدرتها على الاستجابة السريعة للمخاطر الناشئة.</w:t>
      </w:r>
    </w:p>
    <w:p w14:paraId="24AA59E6"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lastRenderedPageBreak/>
        <w:t>المنهج: دراسة حالة وتحليل نوعي.</w:t>
      </w:r>
    </w:p>
    <w:p w14:paraId="36478E7E"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الحوسبة السحابية توفر مرونة عالية في تخزين ومعالجة البيانات، مما يسمح بتحليل المخاطر بسرعة وتحديث قواعد البيانات الأمنية بفاعلية.</w:t>
      </w:r>
    </w:p>
    <w:p w14:paraId="72324B9E" w14:textId="77777777" w:rsidR="00734B7C" w:rsidRPr="00734B7C" w:rsidRDefault="00734B7C" w:rsidP="001A6444">
      <w:pPr>
        <w:numPr>
          <w:ilvl w:val="0"/>
          <w:numId w:val="13"/>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التوصيات: الاستفادة من منصات الحوسبة السحابية المؤمنة لتعزيز البنية التحتية الرقمية للجمارك وتحسين القدرة على التعامل مع تدفق البيانات والمخاطر المتغيرة.</w:t>
      </w:r>
    </w:p>
    <w:p w14:paraId="0E8BD00E" w14:textId="77777777" w:rsidR="00734B7C" w:rsidRPr="00734B7C" w:rsidRDefault="00734B7C" w:rsidP="001A6444">
      <w:pPr>
        <w:spacing w:before="100" w:beforeAutospacing="1" w:after="100" w:afterAutospacing="1" w:line="240" w:lineRule="auto"/>
        <w:jc w:val="both"/>
        <w:rPr>
          <w:rFonts w:ascii="Times New Roman" w:eastAsia="Times New Roman" w:hAnsi="Times New Roman" w:cs="Times New Roman"/>
          <w:kern w:val="0"/>
          <w:sz w:val="28"/>
          <w:szCs w:val="28"/>
          <w:rtl/>
          <w14:ligatures w14:val="none"/>
        </w:rPr>
      </w:pPr>
    </w:p>
    <w:p w14:paraId="24B9730B" w14:textId="77777777" w:rsidR="00734B7C" w:rsidRPr="00734B7C" w:rsidRDefault="00734B7C" w:rsidP="001A6444">
      <w:pPr>
        <w:numPr>
          <w:ilvl w:val="0"/>
          <w:numId w:val="14"/>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الاستخدام الأمثل للتعلم الآلي في التنبؤ بالمخاطر الأمنية في التجارة الدولية</w:t>
      </w:r>
    </w:p>
    <w:p w14:paraId="797F2B2F"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Müller</w:t>
      </w:r>
      <w:r w:rsidRPr="00734B7C">
        <w:rPr>
          <w:rFonts w:ascii="Times New Roman" w:eastAsia="Times New Roman" w:hAnsi="Times New Roman" w:cs="Times New Roman"/>
          <w:kern w:val="0"/>
          <w:sz w:val="28"/>
          <w:szCs w:val="28"/>
          <w:rtl/>
          <w14:ligatures w14:val="none"/>
        </w:rPr>
        <w:t xml:space="preserve"> و</w:t>
      </w:r>
      <w:r w:rsidRPr="00734B7C">
        <w:rPr>
          <w:rFonts w:ascii="Times New Roman" w:eastAsia="Times New Roman" w:hAnsi="Times New Roman" w:cs="Times New Roman"/>
          <w:kern w:val="0"/>
          <w:sz w:val="28"/>
          <w:szCs w:val="28"/>
          <w14:ligatures w14:val="none"/>
        </w:rPr>
        <w:t>Schneider</w:t>
      </w:r>
    </w:p>
    <w:p w14:paraId="1EA8A123"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ألمانيا</w:t>
      </w:r>
    </w:p>
    <w:p w14:paraId="463A8751"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تطوير نماذج تعلم آلي متقدمة للتنبؤ بالمخاطر الأمنية في سلسلة التوريد العالمية.</w:t>
      </w:r>
    </w:p>
    <w:p w14:paraId="4E6612D4"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كمي، بناء واختبار نماذج تعلم آلي على بيانات تجارية دولية ضخمة.</w:t>
      </w:r>
    </w:p>
    <w:p w14:paraId="3CED3824"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النماذج قادرة على التعرف على مؤشرات المخاطر بسرعة ودقة أكبر من الأساليب التقليدية.</w:t>
      </w:r>
    </w:p>
    <w:p w14:paraId="738F90D8" w14:textId="77777777" w:rsidR="00734B7C" w:rsidRPr="00734B7C" w:rsidRDefault="00734B7C" w:rsidP="001A6444">
      <w:pPr>
        <w:numPr>
          <w:ilvl w:val="0"/>
          <w:numId w:val="15"/>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التوصيات: دمج تقنيات التعلم الآلي في أنظمة إدارة المخاطر الجمركية لتعزيز القدرة على التنبؤ واتخاذ قرارات مستنيرة.</w:t>
      </w:r>
    </w:p>
    <w:p w14:paraId="65B4B184" w14:textId="77777777" w:rsidR="00734B7C" w:rsidRPr="00734B7C" w:rsidRDefault="00734B7C" w:rsidP="001A6444">
      <w:pPr>
        <w:spacing w:before="100" w:beforeAutospacing="1" w:after="100" w:afterAutospacing="1" w:line="240" w:lineRule="auto"/>
        <w:ind w:left="1" w:hanging="1"/>
        <w:jc w:val="both"/>
        <w:rPr>
          <w:rFonts w:ascii="Times New Roman" w:eastAsia="Times New Roman" w:hAnsi="Times New Roman" w:cs="Times New Roman"/>
          <w:kern w:val="0"/>
          <w:sz w:val="28"/>
          <w:szCs w:val="28"/>
          <w:rtl/>
          <w14:ligatures w14:val="none"/>
        </w:rPr>
      </w:pPr>
    </w:p>
    <w:p w14:paraId="600B0951" w14:textId="77777777" w:rsidR="00734B7C" w:rsidRPr="00734B7C" w:rsidRDefault="00734B7C" w:rsidP="001A6444">
      <w:pPr>
        <w:numPr>
          <w:ilvl w:val="0"/>
          <w:numId w:val="16"/>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تطوير إطار عمل للتعلم العميق للكشف عن التهريب باستخدام صور الأشعة السينية</w:t>
      </w:r>
    </w:p>
    <w:p w14:paraId="227145A4"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Kim</w:t>
      </w:r>
      <w:r w:rsidRPr="00734B7C">
        <w:rPr>
          <w:rFonts w:ascii="Times New Roman" w:eastAsia="Times New Roman" w:hAnsi="Times New Roman" w:cs="Times New Roman"/>
          <w:kern w:val="0"/>
          <w:sz w:val="28"/>
          <w:szCs w:val="28"/>
          <w:rtl/>
          <w14:ligatures w14:val="none"/>
        </w:rPr>
        <w:t xml:space="preserve"> و</w:t>
      </w:r>
      <w:r w:rsidRPr="00734B7C">
        <w:rPr>
          <w:rFonts w:ascii="Times New Roman" w:eastAsia="Times New Roman" w:hAnsi="Times New Roman" w:cs="Times New Roman"/>
          <w:kern w:val="0"/>
          <w:sz w:val="28"/>
          <w:szCs w:val="28"/>
          <w14:ligatures w14:val="none"/>
        </w:rPr>
        <w:t>Para</w:t>
      </w:r>
    </w:p>
    <w:p w14:paraId="6E89568E"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كوريا الجنوبية</w:t>
      </w:r>
    </w:p>
    <w:p w14:paraId="25CA6559"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تطوير نموذج تعلم عميق لتحليل صور الأشعة السينية للشحنات للكشف عن البضائع المهربة والمحظورة بدقة وسرعة عالية.</w:t>
      </w:r>
    </w:p>
    <w:p w14:paraId="609EC033"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تصميم تجريبي كمي، تحليل مجموعات بيانات ضخمة من صور الأشعة السينية للشحنات الجمركية.</w:t>
      </w:r>
    </w:p>
    <w:p w14:paraId="45405F8F"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نموذج التعلم العميق أظهر دقة فائقة في تحديد المواد المهربة، يقلل الحاجة للتفتيش اليدوي، ويزيد كفاءة العمليات الأمنية.</w:t>
      </w:r>
    </w:p>
    <w:p w14:paraId="519ED487" w14:textId="77777777" w:rsidR="00734B7C" w:rsidRPr="00734B7C" w:rsidRDefault="00734B7C" w:rsidP="001A6444">
      <w:pPr>
        <w:numPr>
          <w:ilvl w:val="0"/>
          <w:numId w:val="17"/>
        </w:numPr>
        <w:tabs>
          <w:tab w:val="num" w:pos="720"/>
        </w:tabs>
        <w:spacing w:before="100" w:beforeAutospacing="1" w:after="100" w:afterAutospacing="1" w:line="240" w:lineRule="auto"/>
        <w:ind w:left="720"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التوصيات: دمج أنظمة التعلم العميق في أجهزة فحص الأشعة السينية لتعزيز الكشف الآلي عن التهريب وتقليل الأخطاء البشرية.</w:t>
      </w:r>
    </w:p>
    <w:p w14:paraId="554C283E" w14:textId="77777777" w:rsidR="00734B7C" w:rsidRPr="00734B7C" w:rsidRDefault="00734B7C" w:rsidP="001A6444">
      <w:pPr>
        <w:spacing w:before="100" w:beforeAutospacing="1" w:after="100" w:afterAutospacing="1" w:line="240" w:lineRule="auto"/>
        <w:ind w:left="1" w:hanging="1"/>
        <w:jc w:val="both"/>
        <w:rPr>
          <w:rFonts w:ascii="Times New Roman" w:eastAsia="Times New Roman" w:hAnsi="Times New Roman" w:cs="Times New Roman"/>
          <w:kern w:val="0"/>
          <w:sz w:val="28"/>
          <w:szCs w:val="28"/>
          <w:rtl/>
          <w14:ligatures w14:val="none"/>
        </w:rPr>
      </w:pPr>
    </w:p>
    <w:p w14:paraId="65B0AD42" w14:textId="77777777" w:rsidR="00734B7C" w:rsidRPr="00734B7C" w:rsidRDefault="00734B7C" w:rsidP="001A6444">
      <w:pPr>
        <w:numPr>
          <w:ilvl w:val="0"/>
          <w:numId w:val="18"/>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تطبيق الذكاء الاصطناعي في تحليل المخاطر الجمركية وتعزيز الأمن التجاري</w:t>
      </w:r>
    </w:p>
    <w:p w14:paraId="45F3BBE8"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Smith</w:t>
      </w:r>
      <w:r w:rsidRPr="00734B7C">
        <w:rPr>
          <w:rFonts w:ascii="Times New Roman" w:eastAsia="Times New Roman" w:hAnsi="Times New Roman" w:cs="Times New Roman"/>
          <w:kern w:val="0"/>
          <w:sz w:val="28"/>
          <w:szCs w:val="28"/>
          <w:rtl/>
          <w14:ligatures w14:val="none"/>
        </w:rPr>
        <w:t xml:space="preserve"> وآخرون</w:t>
      </w:r>
    </w:p>
    <w:p w14:paraId="327C8195"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الولايات المتحدة الأمريكية</w:t>
      </w:r>
    </w:p>
    <w:p w14:paraId="6D8403D9"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lastRenderedPageBreak/>
        <w:t>الهدف: تقييم فعالية خوارزميات الذكاء الاصطناعي في تحديد الأنماط غير الاعتيادية وتحليل البيانات الضخمة للمساهمة في الكشف المبكر عن المخاطر الجمركية.</w:t>
      </w:r>
    </w:p>
    <w:p w14:paraId="7C948A0C"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كمي، تحليل مجموعات بيانات كبيرة من المعاملات الجمركية السابقة.</w:t>
      </w:r>
    </w:p>
    <w:p w14:paraId="6980F60D"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استخدام الذكاء الاصطناعي يعزز دقة التنبؤ بالمخاطر، يقلل الحاجة للتفتيش اليدوي، ويسرع الإجراءات الجمركية.</w:t>
      </w:r>
    </w:p>
    <w:p w14:paraId="136C4F21" w14:textId="77777777" w:rsidR="00734B7C" w:rsidRPr="00734B7C" w:rsidRDefault="00734B7C" w:rsidP="001A6444">
      <w:pPr>
        <w:numPr>
          <w:ilvl w:val="0"/>
          <w:numId w:val="19"/>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التوصيات: تبني تقنيات الذكاء الاصطناعي على نطاق واسع لتحسين كفاءة تحديد المخاطر وتقليل الأخطاء البشرية</w:t>
      </w:r>
    </w:p>
    <w:p w14:paraId="3D2468E0" w14:textId="77777777" w:rsidR="00734B7C" w:rsidRPr="00734B7C" w:rsidRDefault="00734B7C" w:rsidP="001A6444">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38D82295" w14:textId="77777777" w:rsidR="00734B7C" w:rsidRPr="00734B7C" w:rsidRDefault="00734B7C" w:rsidP="001A6444">
      <w:pPr>
        <w:numPr>
          <w:ilvl w:val="0"/>
          <w:numId w:val="20"/>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دور تقنية البلوك تشين في تعزيز الشفافية وتتبع الشحنات في إدارة المخاطر الجمركية</w:t>
      </w:r>
    </w:p>
    <w:p w14:paraId="56B3735D"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Chen</w:t>
      </w:r>
      <w:r w:rsidRPr="00734B7C">
        <w:rPr>
          <w:rFonts w:ascii="Times New Roman" w:eastAsia="Times New Roman" w:hAnsi="Times New Roman" w:cs="Times New Roman"/>
          <w:kern w:val="0"/>
          <w:sz w:val="28"/>
          <w:szCs w:val="28"/>
          <w:rtl/>
          <w14:ligatures w14:val="none"/>
        </w:rPr>
        <w:t xml:space="preserve"> و</w:t>
      </w:r>
      <w:r w:rsidRPr="00734B7C">
        <w:rPr>
          <w:rFonts w:ascii="Times New Roman" w:eastAsia="Times New Roman" w:hAnsi="Times New Roman" w:cs="Times New Roman"/>
          <w:kern w:val="0"/>
          <w:sz w:val="28"/>
          <w:szCs w:val="28"/>
          <w14:ligatures w14:val="none"/>
        </w:rPr>
        <w:t>Wang</w:t>
      </w:r>
    </w:p>
    <w:p w14:paraId="3D5D8A55"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سنغافورة</w:t>
      </w:r>
    </w:p>
    <w:p w14:paraId="4890A6A9"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استكشاف إمكانات تقنية البلوك تشين في بناء نظام جمركي أكثر أمانًا وشفافية.</w:t>
      </w:r>
    </w:p>
    <w:p w14:paraId="70567BAE"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نوعي، مقابلات متعمقة مع خبراء الجمارك، وتقييم دراسات حالة لتطبيقات البلوك تشين التجريبية.</w:t>
      </w:r>
    </w:p>
    <w:p w14:paraId="40D3BDB1"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البلوك تشين يوفر سجلاً غير قابل للتغيير للمعاملات، يحسن تتبع البضائع ويقلل فرص الاحتيال والتهريب.</w:t>
      </w:r>
    </w:p>
    <w:p w14:paraId="16211654" w14:textId="77777777" w:rsidR="00734B7C" w:rsidRPr="00734B7C" w:rsidRDefault="00734B7C" w:rsidP="001A6444">
      <w:pPr>
        <w:numPr>
          <w:ilvl w:val="0"/>
          <w:numId w:val="21"/>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التوصيات: استكشاف وتطبيق البلوك تشين في سلاسل التوريد الجمركية لزيادة الشفافية والمساءلة.</w:t>
      </w:r>
    </w:p>
    <w:p w14:paraId="0E6264FE" w14:textId="77777777" w:rsidR="00734B7C" w:rsidRPr="00734B7C" w:rsidRDefault="00734B7C" w:rsidP="001A6444">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6FC91AE5" w14:textId="77777777" w:rsidR="00734B7C" w:rsidRPr="00734B7C" w:rsidRDefault="00734B7C" w:rsidP="001A6444">
      <w:pPr>
        <w:numPr>
          <w:ilvl w:val="0"/>
          <w:numId w:val="22"/>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تأثير استخدام التوائم الرقمية (</w:t>
      </w:r>
      <w:r w:rsidRPr="00734B7C">
        <w:rPr>
          <w:rFonts w:ascii="Times New Roman" w:eastAsia="Times New Roman" w:hAnsi="Times New Roman" w:cs="Times New Roman"/>
          <w:kern w:val="0"/>
          <w:sz w:val="28"/>
          <w:szCs w:val="28"/>
          <w14:ligatures w14:val="none"/>
        </w:rPr>
        <w:t>Digital Twins</w:t>
      </w:r>
      <w:r w:rsidRPr="00734B7C">
        <w:rPr>
          <w:rFonts w:ascii="Times New Roman" w:eastAsia="Times New Roman" w:hAnsi="Times New Roman" w:cs="Times New Roman"/>
          <w:kern w:val="0"/>
          <w:sz w:val="28"/>
          <w:szCs w:val="28"/>
          <w:rtl/>
          <w14:ligatures w14:val="none"/>
        </w:rPr>
        <w:t>) في محاكاة سيناريوهات المخاطر وتحسين إدارة العمليات الجمركية</w:t>
      </w:r>
    </w:p>
    <w:p w14:paraId="1119ACFE"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Wang</w:t>
      </w:r>
    </w:p>
    <w:p w14:paraId="210E5209"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الصين</w:t>
      </w:r>
    </w:p>
    <w:p w14:paraId="3D6DDADE"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استكشاف كيفية استخدام تقنية التوائم الرقمية لإنشاء نماذج افتراضية للعمليات الجمركية ومحاكاة سيناريوهات المخاطر المختلفة.</w:t>
      </w:r>
    </w:p>
    <w:p w14:paraId="3A7247F2"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دراسة حالة ومحاكاة كمية باستخدام بيانات تشغيلية من ميناء جمركي صيني.</w:t>
      </w:r>
    </w:p>
    <w:p w14:paraId="4D3EEBD3"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التوائم الرقمية توفر بيئة آمنة لاختبار استراتيجيات إدارة المخاطر قبل التطبيق الفعلي، تقلل المخاطر التشغيلية، وتحسن كفاءة التخطيط والاستجابة للأزمات.</w:t>
      </w:r>
    </w:p>
    <w:p w14:paraId="01E9E07D" w14:textId="77777777" w:rsidR="00734B7C" w:rsidRPr="00734B7C" w:rsidRDefault="00734B7C" w:rsidP="001A6444">
      <w:pPr>
        <w:numPr>
          <w:ilvl w:val="0"/>
          <w:numId w:val="23"/>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التوصيات: تبني تقنية التوائم الرقمية في التخطيط الاستراتيجي وإدارة المخاطر لتحسين المحاكاة واختبار السياسات.</w:t>
      </w:r>
    </w:p>
    <w:p w14:paraId="0455BEEE" w14:textId="77777777" w:rsidR="00734B7C" w:rsidRPr="00734B7C" w:rsidRDefault="00734B7C" w:rsidP="001A6444">
      <w:pPr>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688A67AF" w14:textId="77777777" w:rsidR="00734B7C" w:rsidRPr="00734B7C" w:rsidRDefault="00734B7C" w:rsidP="001A6444">
      <w:pPr>
        <w:numPr>
          <w:ilvl w:val="0"/>
          <w:numId w:val="24"/>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تأثير إنترنت الأشياء (</w:t>
      </w:r>
      <w:r w:rsidRPr="00734B7C">
        <w:rPr>
          <w:rFonts w:ascii="Times New Roman" w:eastAsia="Times New Roman" w:hAnsi="Times New Roman" w:cs="Times New Roman"/>
          <w:kern w:val="0"/>
          <w:sz w:val="28"/>
          <w:szCs w:val="28"/>
          <w14:ligatures w14:val="none"/>
        </w:rPr>
        <w:t>IoT</w:t>
      </w:r>
      <w:r w:rsidRPr="00734B7C">
        <w:rPr>
          <w:rFonts w:ascii="Times New Roman" w:eastAsia="Times New Roman" w:hAnsi="Times New Roman" w:cs="Times New Roman"/>
          <w:kern w:val="0"/>
          <w:sz w:val="28"/>
          <w:szCs w:val="28"/>
          <w:rtl/>
          <w14:ligatures w14:val="none"/>
        </w:rPr>
        <w:t>) على كفاءة إدارة المخاطر في الموانئ الجمركية الذكية</w:t>
      </w:r>
    </w:p>
    <w:p w14:paraId="20B89064"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Lee</w:t>
      </w:r>
      <w:r w:rsidRPr="00734B7C">
        <w:rPr>
          <w:rFonts w:ascii="Times New Roman" w:eastAsia="Times New Roman" w:hAnsi="Times New Roman" w:cs="Times New Roman"/>
          <w:kern w:val="0"/>
          <w:sz w:val="28"/>
          <w:szCs w:val="28"/>
          <w:rtl/>
          <w14:ligatures w14:val="none"/>
        </w:rPr>
        <w:t xml:space="preserve"> و</w:t>
      </w:r>
      <w:r w:rsidRPr="00734B7C">
        <w:rPr>
          <w:rFonts w:ascii="Times New Roman" w:eastAsia="Times New Roman" w:hAnsi="Times New Roman" w:cs="Times New Roman"/>
          <w:kern w:val="0"/>
          <w:sz w:val="28"/>
          <w:szCs w:val="28"/>
          <w14:ligatures w14:val="none"/>
        </w:rPr>
        <w:t>Kim</w:t>
      </w:r>
    </w:p>
    <w:p w14:paraId="6387FF21"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lastRenderedPageBreak/>
        <w:t>مكان الدراسة: كوريا الجنوبية</w:t>
      </w:r>
    </w:p>
    <w:p w14:paraId="735374AB"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تحليل كيفية مساهمة أجهزة إنترنت الأشياء في جمع البيانات في الوقت الفعلي لتحسين عمليات تقييم المخاطر.</w:t>
      </w:r>
    </w:p>
    <w:p w14:paraId="63AFC299"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مختلط، تحليل البيانات الكمية من أجهزة الاستشعار والمقابلات النوعية مع موظفي الموانئ.</w:t>
      </w:r>
    </w:p>
    <w:p w14:paraId="68C958CC"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النتائج: تكامل </w:t>
      </w:r>
      <w:r w:rsidRPr="00734B7C">
        <w:rPr>
          <w:rFonts w:ascii="Times New Roman" w:eastAsia="Times New Roman" w:hAnsi="Times New Roman" w:cs="Times New Roman"/>
          <w:kern w:val="0"/>
          <w:sz w:val="28"/>
          <w:szCs w:val="28"/>
          <w14:ligatures w14:val="none"/>
        </w:rPr>
        <w:t>IoT</w:t>
      </w:r>
      <w:r w:rsidRPr="00734B7C">
        <w:rPr>
          <w:rFonts w:ascii="Times New Roman" w:eastAsia="Times New Roman" w:hAnsi="Times New Roman" w:cs="Times New Roman"/>
          <w:kern w:val="0"/>
          <w:sz w:val="28"/>
          <w:szCs w:val="28"/>
          <w:rtl/>
          <w14:ligatures w14:val="none"/>
        </w:rPr>
        <w:t xml:space="preserve"> في الموانئ يتيح رصدًا دقيقًا للشحنات والبيئة المحيطة بها، يعزز قدرة الجمارك على اكتشاف المخاطر المحتملة استباقيًا.</w:t>
      </w:r>
    </w:p>
    <w:p w14:paraId="0F60758F" w14:textId="77777777" w:rsidR="00734B7C" w:rsidRPr="00734B7C" w:rsidRDefault="00734B7C" w:rsidP="001A6444">
      <w:pPr>
        <w:numPr>
          <w:ilvl w:val="0"/>
          <w:numId w:val="25"/>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التوصيات: الاستثمار في البنية التحتية </w:t>
      </w:r>
      <w:proofErr w:type="gramStart"/>
      <w:r w:rsidRPr="00734B7C">
        <w:rPr>
          <w:rFonts w:ascii="Times New Roman" w:eastAsia="Times New Roman" w:hAnsi="Times New Roman" w:cs="Times New Roman"/>
          <w:kern w:val="0"/>
          <w:sz w:val="28"/>
          <w:szCs w:val="28"/>
          <w:rtl/>
          <w14:ligatures w14:val="none"/>
        </w:rPr>
        <w:t>لـ</w:t>
      </w:r>
      <w:r w:rsidRPr="00734B7C">
        <w:rPr>
          <w:rFonts w:ascii="Times New Roman" w:eastAsia="Times New Roman" w:hAnsi="Times New Roman" w:cs="Times New Roman"/>
          <w:kern w:val="0"/>
          <w:sz w:val="28"/>
          <w:szCs w:val="28"/>
          <w14:ligatures w14:val="none"/>
        </w:rPr>
        <w:t>IoT</w:t>
      </w:r>
      <w:proofErr w:type="gramEnd"/>
      <w:r w:rsidRPr="00734B7C">
        <w:rPr>
          <w:rFonts w:ascii="Times New Roman" w:eastAsia="Times New Roman" w:hAnsi="Times New Roman" w:cs="Times New Roman"/>
          <w:kern w:val="0"/>
          <w:sz w:val="28"/>
          <w:szCs w:val="28"/>
          <w:rtl/>
          <w14:ligatures w14:val="none"/>
        </w:rPr>
        <w:t xml:space="preserve"> في الموانئ الجمركية لتمكين الرصد الفوري للمخاطر وتحسين الاستجابة.</w:t>
      </w:r>
    </w:p>
    <w:p w14:paraId="028AB490" w14:textId="77777777" w:rsidR="00734B7C" w:rsidRPr="00734B7C" w:rsidRDefault="00734B7C" w:rsidP="001A6444">
      <w:pPr>
        <w:numPr>
          <w:ilvl w:val="0"/>
          <w:numId w:val="26"/>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العنوان: تحليل البيانات الضخمة لتحسين استهداف المخاطر في العمليات الجمركية</w:t>
      </w:r>
    </w:p>
    <w:p w14:paraId="1E3DA1FA"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المؤلفون: </w:t>
      </w:r>
      <w:r w:rsidRPr="00734B7C">
        <w:rPr>
          <w:rFonts w:ascii="Times New Roman" w:eastAsia="Times New Roman" w:hAnsi="Times New Roman" w:cs="Times New Roman"/>
          <w:kern w:val="0"/>
          <w:sz w:val="28"/>
          <w:szCs w:val="28"/>
          <w14:ligatures w14:val="none"/>
        </w:rPr>
        <w:t>Rodriguez Garcia</w:t>
      </w:r>
    </w:p>
    <w:p w14:paraId="3D7BA700"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مكان الدراسة: إسبانيا</w:t>
      </w:r>
    </w:p>
    <w:p w14:paraId="4BC277CD"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الهدف: تقييم استخدام تحليلات البيانات الضخمة لتحديد الشحنات عالية المخاطر بدقة أكبر.</w:t>
      </w:r>
    </w:p>
    <w:p w14:paraId="7E7AD447"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المنهج: كمي، تحليل البيانات الإحصائية لملايين المعاملات الجمركية.</w:t>
      </w:r>
    </w:p>
    <w:p w14:paraId="492E9BB5"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النتائج: أدوات تحليل البيانات الضخمة تحسن قدرة الجمارك على تحديد المخاطر الخفية والأنماط الاحتيالية، تقلل الوقت والموارد في التفتيش العشوائي.</w:t>
      </w:r>
    </w:p>
    <w:p w14:paraId="1C184898" w14:textId="77777777" w:rsidR="00734B7C" w:rsidRPr="00734B7C" w:rsidRDefault="00734B7C" w:rsidP="001A6444">
      <w:pPr>
        <w:numPr>
          <w:ilvl w:val="0"/>
          <w:numId w:val="27"/>
        </w:numPr>
        <w:spacing w:before="100" w:beforeAutospacing="1" w:after="100" w:afterAutospacing="1" w:line="240" w:lineRule="auto"/>
        <w:ind w:right="331"/>
        <w:jc w:val="both"/>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التوصيات: تطوير قدرات تحليل البيانات الضخمة في الأجهزة الجمركية لتحسين استهداف المخاطر وتخصيص الموارد بكفاءة.</w:t>
      </w:r>
    </w:p>
    <w:p w14:paraId="6AA5C0E3" w14:textId="77777777" w:rsidR="00734B7C" w:rsidRPr="00734B7C" w:rsidRDefault="00734B7C" w:rsidP="001A6444">
      <w:pPr>
        <w:spacing w:after="0" w:line="259" w:lineRule="auto"/>
        <w:ind w:left="-4"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b/>
          <w:bCs/>
          <w:color w:val="1F4D78"/>
          <w:sz w:val="28"/>
          <w:szCs w:val="28"/>
        </w:rPr>
        <w:t>3</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8</w:t>
      </w:r>
      <w:r w:rsidRPr="00734B7C">
        <w:rPr>
          <w:rFonts w:ascii="Times New Roman" w:eastAsia="Simplified Arabic" w:hAnsi="Times New Roman" w:cs="Times New Roman"/>
          <w:b/>
          <w:bCs/>
          <w:color w:val="1F4D78"/>
          <w:sz w:val="28"/>
          <w:szCs w:val="28"/>
          <w:rtl/>
        </w:rPr>
        <w:t>.</w:t>
      </w:r>
      <w:r w:rsidRPr="00734B7C">
        <w:rPr>
          <w:rFonts w:ascii="Times New Roman" w:eastAsia="Simplified Arabic" w:hAnsi="Times New Roman" w:cs="Times New Roman"/>
          <w:b/>
          <w:bCs/>
          <w:color w:val="1F4D78"/>
          <w:sz w:val="28"/>
          <w:szCs w:val="28"/>
        </w:rPr>
        <w:t>1</w:t>
      </w:r>
      <w:r w:rsidRPr="00734B7C">
        <w:rPr>
          <w:rFonts w:ascii="Times New Roman" w:eastAsia="Simplified Arabic" w:hAnsi="Times New Roman" w:cs="Times New Roman"/>
          <w:b/>
          <w:bCs/>
          <w:color w:val="1F4D78"/>
          <w:sz w:val="28"/>
          <w:szCs w:val="28"/>
          <w:rtl/>
        </w:rPr>
        <w:t xml:space="preserve"> أوجه الاستفادة من الدارسات السابقة: </w:t>
      </w:r>
      <w:r w:rsidRPr="00734B7C">
        <w:rPr>
          <w:rFonts w:ascii="Times New Roman" w:eastAsia="Calibri" w:hAnsi="Times New Roman" w:cs="Times New Roman"/>
          <w:color w:val="000000"/>
          <w:sz w:val="28"/>
          <w:szCs w:val="28"/>
        </w:rPr>
        <w:t xml:space="preserve"> </w:t>
      </w:r>
    </w:p>
    <w:p w14:paraId="73E5C437"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تم الاستفادة من الدراسات السابقة العربية والأجنبية في بناء البحث الحالي بعنوان: أثر إدارة المخاطر في تعزيز الأمن الجمركي ومكافحة التهريب: دراسة تطبيقية على هيئة الزكاة والضريبة والجمارك في المملكة العربية السعودية، وذلك من خلال عدة محاور رئيسية:</w:t>
      </w:r>
    </w:p>
    <w:p w14:paraId="50A56691"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45CBACA" w14:textId="77777777" w:rsidR="00734B7C" w:rsidRPr="00734B7C" w:rsidRDefault="00734B7C" w:rsidP="001A644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1" w:name="_Toc224413014"/>
      <w:r w:rsidRPr="00734B7C">
        <w:rPr>
          <w:rFonts w:ascii="Times New Roman" w:eastAsia="Times New Roman" w:hAnsi="Times New Roman" w:cs="Times New Roman"/>
          <w:b/>
          <w:bCs/>
          <w:kern w:val="0"/>
          <w:sz w:val="28"/>
          <w:szCs w:val="28"/>
          <w:rtl/>
          <w14:ligatures w14:val="none"/>
        </w:rPr>
        <w:t>1. تحديد الفجوات البحثية وبناء مشكلة البحث</w:t>
      </w:r>
      <w:bookmarkEnd w:id="11"/>
    </w:p>
    <w:p w14:paraId="2476C9BA"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أظهرت الدراسات السابقة، مثل إدارة المخاطر في قطاع الجمارك: دراسة حالة من المملكة العربية السعودية</w:t>
      </w:r>
      <w:r w:rsidRPr="00734B7C">
        <w:rPr>
          <w:rFonts w:ascii="Times New Roman" w:eastAsia="Times New Roman" w:hAnsi="Times New Roman" w:cs="Times New Roman" w:hint="cs"/>
          <w:kern w:val="0"/>
          <w:sz w:val="28"/>
          <w:szCs w:val="28"/>
          <w:rtl/>
          <w14:ligatures w14:val="none"/>
        </w:rPr>
        <w:t xml:space="preserve"> و</w:t>
      </w:r>
      <w:r w:rsidRPr="00734B7C">
        <w:rPr>
          <w:rFonts w:ascii="Times New Roman" w:eastAsia="Times New Roman" w:hAnsi="Times New Roman" w:cs="Times New Roman" w:hint="cs"/>
          <w:kern w:val="0"/>
          <w:sz w:val="28"/>
          <w:szCs w:val="28"/>
          <w14:ligatures w14:val="none"/>
        </w:rPr>
        <w:t>Advanced</w:t>
      </w:r>
      <w:r w:rsidRPr="00734B7C">
        <w:rPr>
          <w:rFonts w:ascii="Times New Roman" w:eastAsia="Times New Roman" w:hAnsi="Times New Roman" w:cs="Times New Roman"/>
          <w:kern w:val="0"/>
          <w:sz w:val="28"/>
          <w:szCs w:val="28"/>
          <w14:ligatures w14:val="none"/>
        </w:rPr>
        <w:t xml:space="preserve"> Strategies for Mitigating Economic Threats in Customs Agencies</w:t>
      </w:r>
      <w:r w:rsidRPr="00734B7C">
        <w:rPr>
          <w:rFonts w:ascii="Times New Roman" w:eastAsia="Times New Roman" w:hAnsi="Times New Roman" w:cs="Times New Roman"/>
          <w:kern w:val="0"/>
          <w:sz w:val="28"/>
          <w:szCs w:val="28"/>
          <w:rtl/>
          <w14:ligatures w14:val="none"/>
        </w:rPr>
        <w:t>، وجود فجوات واضحة فيما يتعلق بتطبيق التقنيات الحديثة في إدارة المخاطر لتعزيز الأمن ومكافحة التهريب.</w:t>
      </w:r>
    </w:p>
    <w:p w14:paraId="7C259F3C"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لذلك، ستركز الدراسة الحالية على دمج الذكاء الاصطناعي، البيانات الكبيرة، والتعلم الآلي في العمليات الجمركية لتعزيز القدرة على كشف ومنع التهريب وتحسين الأمن الجمركي، بهدف سد هذه الفجوات.</w:t>
      </w:r>
    </w:p>
    <w:p w14:paraId="4A5AC99E"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7F57FF4" w14:textId="77777777" w:rsidR="00734B7C" w:rsidRPr="00734B7C" w:rsidRDefault="00734B7C" w:rsidP="001A644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2" w:name="_Toc224413015"/>
      <w:r w:rsidRPr="00734B7C">
        <w:rPr>
          <w:rFonts w:ascii="Times New Roman" w:eastAsia="Times New Roman" w:hAnsi="Times New Roman" w:cs="Times New Roman"/>
          <w:b/>
          <w:bCs/>
          <w:kern w:val="0"/>
          <w:sz w:val="28"/>
          <w:szCs w:val="28"/>
          <w:rtl/>
          <w14:ligatures w14:val="none"/>
        </w:rPr>
        <w:t>2. الاستفادة من الإطار النظري للدراسات السابقة</w:t>
      </w:r>
      <w:bookmarkEnd w:id="12"/>
    </w:p>
    <w:p w14:paraId="403A670B"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lastRenderedPageBreak/>
        <w:t>تستند الدراسة الحالية إلى المفاهيم والنظريات التي تم تناولها في دراسات مثل التحليل الاستراتيجي لإدارة المخاطر في المؤسسات الجمركية السعودية</w:t>
      </w:r>
      <w:r w:rsidRPr="00734B7C">
        <w:rPr>
          <w:rFonts w:ascii="Times New Roman" w:eastAsia="Times New Roman" w:hAnsi="Times New Roman" w:cs="Times New Roman" w:hint="cs"/>
          <w:kern w:val="0"/>
          <w:sz w:val="28"/>
          <w:szCs w:val="28"/>
          <w:rtl/>
          <w14:ligatures w14:val="none"/>
        </w:rPr>
        <w:t xml:space="preserve"> </w:t>
      </w:r>
      <w:r w:rsidRPr="00734B7C">
        <w:rPr>
          <w:rFonts w:ascii="Times New Roman" w:eastAsia="Times New Roman" w:hAnsi="Times New Roman" w:cs="Times New Roman"/>
          <w:kern w:val="0"/>
          <w:sz w:val="28"/>
          <w:szCs w:val="28"/>
          <w:rtl/>
          <w14:ligatures w14:val="none"/>
        </w:rPr>
        <w:t>التحديات والمعوقات التي تواجه التحول الرقمي في الإدارة الجمركية وأثرها على إدارة المخاطر لفهم الأساليب التقليدية والحديثة لإدارة المخاطر.</w:t>
      </w:r>
    </w:p>
    <w:p w14:paraId="1B8FDBB4"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سيتم استخدام هذه الدراسات كأساس لبناء الإطار النظري الذي سيساعد في توضيح كيفية تطبيق التقنيات الحديثة لتعزيز الرقابة الجمركية وتحسين الأمن ومكافحة التهريب.</w:t>
      </w:r>
    </w:p>
    <w:p w14:paraId="78EC3F89" w14:textId="77777777" w:rsidR="00734B7C" w:rsidRPr="00734B7C" w:rsidRDefault="00734B7C" w:rsidP="001A644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3" w:name="_Toc224413016"/>
      <w:r w:rsidRPr="00734B7C">
        <w:rPr>
          <w:rFonts w:ascii="Times New Roman" w:eastAsia="Times New Roman" w:hAnsi="Times New Roman" w:cs="Times New Roman"/>
          <w:b/>
          <w:bCs/>
          <w:kern w:val="0"/>
          <w:sz w:val="28"/>
          <w:szCs w:val="28"/>
          <w:rtl/>
          <w14:ligatures w14:val="none"/>
        </w:rPr>
        <w:t>3. تحديد منهج البحث وأدوات جمع البيانات</w:t>
      </w:r>
      <w:bookmarkEnd w:id="13"/>
    </w:p>
    <w:p w14:paraId="1A4E5EFC"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أظهرت الدراسات السابقة مثل تأثير تطبيق استراتيجيات إدارة المخاطر المتقدمة على الأمن المؤسسي في الجهات الجمركية</w:t>
      </w:r>
      <w:r w:rsidRPr="00734B7C">
        <w:rPr>
          <w:rFonts w:ascii="Times New Roman" w:eastAsia="Times New Roman" w:hAnsi="Times New Roman" w:cs="Times New Roman" w:hint="cs"/>
          <w:kern w:val="0"/>
          <w:sz w:val="28"/>
          <w:szCs w:val="28"/>
          <w:rtl/>
          <w14:ligatures w14:val="none"/>
        </w:rPr>
        <w:t xml:space="preserve"> </w:t>
      </w:r>
      <w:r w:rsidRPr="00734B7C">
        <w:rPr>
          <w:rFonts w:ascii="Times New Roman" w:eastAsia="Times New Roman" w:hAnsi="Times New Roman" w:cs="Times New Roman"/>
          <w:kern w:val="0"/>
          <w:sz w:val="28"/>
          <w:szCs w:val="28"/>
          <w:rtl/>
          <w14:ligatures w14:val="none"/>
        </w:rPr>
        <w:t xml:space="preserve">التحول الرقمي وإدارة المخاطر في القطاع الجمركي: دراسة </w:t>
      </w:r>
      <w:r w:rsidRPr="00734B7C">
        <w:rPr>
          <w:rFonts w:ascii="Times New Roman" w:eastAsia="Times New Roman" w:hAnsi="Times New Roman" w:cs="Times New Roman" w:hint="cs"/>
          <w:kern w:val="0"/>
          <w:sz w:val="28"/>
          <w:szCs w:val="28"/>
          <w:rtl/>
          <w14:ligatures w14:val="none"/>
        </w:rPr>
        <w:t>مقارنة فعالية</w:t>
      </w:r>
      <w:r w:rsidRPr="00734B7C">
        <w:rPr>
          <w:rFonts w:ascii="Times New Roman" w:eastAsia="Times New Roman" w:hAnsi="Times New Roman" w:cs="Times New Roman"/>
          <w:kern w:val="0"/>
          <w:sz w:val="28"/>
          <w:szCs w:val="28"/>
          <w:rtl/>
          <w14:ligatures w14:val="none"/>
        </w:rPr>
        <w:t xml:space="preserve"> المنهج الوصفي التحليلي وأدوات الاستبيانات والمقابلات.</w:t>
      </w:r>
    </w:p>
    <w:p w14:paraId="4B9EB8E5"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بناءً على ذلك، سيتم اعتماد هذا المنهج لجمع بيانات دقيقة حول أثر تطبيق استراتيجيات إدارة المخاطر على تعزيز الأمن الجمركي ومكافحة التهريب في المملكة.</w:t>
      </w:r>
    </w:p>
    <w:p w14:paraId="232810BF"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31723E9" w14:textId="77777777" w:rsidR="00734B7C" w:rsidRPr="00734B7C" w:rsidRDefault="00734B7C" w:rsidP="001A644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4" w:name="_Toc224413017"/>
      <w:r w:rsidRPr="00734B7C">
        <w:rPr>
          <w:rFonts w:ascii="Times New Roman" w:eastAsia="Times New Roman" w:hAnsi="Times New Roman" w:cs="Times New Roman"/>
          <w:b/>
          <w:bCs/>
          <w:kern w:val="0"/>
          <w:sz w:val="28"/>
          <w:szCs w:val="28"/>
          <w:rtl/>
          <w14:ligatures w14:val="none"/>
        </w:rPr>
        <w:t>4. إبراز الأهمية النظرية والتطبيقية</w:t>
      </w:r>
      <w:bookmarkEnd w:id="14"/>
    </w:p>
    <w:p w14:paraId="39C98826"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أكدت الدراسات السابقة، مثل تأثير التكامل بين الأنظمة الإدارية والرقمية في تحسين إدارة المخاطر الجمركية” واستراتيجيات مبتكرة لإدارة المخاطر في </w:t>
      </w:r>
      <w:r w:rsidRPr="00734B7C">
        <w:rPr>
          <w:rFonts w:ascii="Times New Roman" w:eastAsia="Times New Roman" w:hAnsi="Times New Roman" w:cs="Times New Roman" w:hint="cs"/>
          <w:kern w:val="0"/>
          <w:sz w:val="28"/>
          <w:szCs w:val="28"/>
          <w:rtl/>
          <w14:ligatures w14:val="none"/>
        </w:rPr>
        <w:t>الجمارك،</w:t>
      </w:r>
      <w:r w:rsidRPr="00734B7C">
        <w:rPr>
          <w:rFonts w:ascii="Times New Roman" w:eastAsia="Times New Roman" w:hAnsi="Times New Roman" w:cs="Times New Roman"/>
          <w:kern w:val="0"/>
          <w:sz w:val="28"/>
          <w:szCs w:val="28"/>
          <w:rtl/>
          <w14:ligatures w14:val="none"/>
        </w:rPr>
        <w:t xml:space="preserve"> على ضرورة تطوير آليات إدارة المخاطر لتعزيز الأمن الجمركي وتقليل التهريب.</w:t>
      </w:r>
    </w:p>
    <w:p w14:paraId="0378DFDE"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ستستفيد الدراسة الحالية من هذه النتائج لتقديم حلول عملية لتطبيق التقنيات الحديثة في تعزيز الأمن وتحسين الكفاءة داخل هيئة الزكاة والضريبة والجمارك.</w:t>
      </w:r>
    </w:p>
    <w:p w14:paraId="4F30F4C1"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42A774B" w14:textId="77777777" w:rsidR="00734B7C" w:rsidRPr="00734B7C" w:rsidRDefault="00734B7C" w:rsidP="001A6444">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5" w:name="_Toc224413018"/>
      <w:r w:rsidRPr="00734B7C">
        <w:rPr>
          <w:rFonts w:ascii="Times New Roman" w:eastAsia="Times New Roman" w:hAnsi="Times New Roman" w:cs="Times New Roman"/>
          <w:b/>
          <w:bCs/>
          <w:kern w:val="0"/>
          <w:sz w:val="28"/>
          <w:szCs w:val="28"/>
          <w:rtl/>
          <w14:ligatures w14:val="none"/>
        </w:rPr>
        <w:t>5. الاستفادة من أساليب تحديد حجم العينة</w:t>
      </w:r>
      <w:bookmarkEnd w:id="15"/>
    </w:p>
    <w:p w14:paraId="0C2F304C"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اعتمدت الدراسات السابقة مثل تأثير تطبيق تقنيات الذكاء الاصطناعي في إدارة المخاطر </w:t>
      </w:r>
      <w:r w:rsidRPr="00734B7C">
        <w:rPr>
          <w:rFonts w:ascii="Times New Roman" w:eastAsia="Times New Roman" w:hAnsi="Times New Roman" w:cs="Times New Roman" w:hint="cs"/>
          <w:kern w:val="0"/>
          <w:sz w:val="28"/>
          <w:szCs w:val="28"/>
          <w:rtl/>
          <w14:ligatures w14:val="none"/>
        </w:rPr>
        <w:t>الجمركية</w:t>
      </w:r>
      <w:r w:rsidRPr="00734B7C">
        <w:rPr>
          <w:rFonts w:ascii="Times New Roman" w:eastAsia="Times New Roman" w:hAnsi="Times New Roman" w:cs="Times New Roman"/>
          <w:kern w:val="0"/>
          <w:sz w:val="28"/>
          <w:szCs w:val="28"/>
          <w:rtl/>
          <w14:ligatures w14:val="none"/>
        </w:rPr>
        <w:t xml:space="preserve"> </w:t>
      </w:r>
      <w:r w:rsidRPr="00734B7C">
        <w:rPr>
          <w:rFonts w:ascii="Times New Roman" w:eastAsia="Times New Roman" w:hAnsi="Times New Roman" w:cs="Times New Roman" w:hint="cs"/>
          <w:kern w:val="0"/>
          <w:sz w:val="28"/>
          <w:szCs w:val="28"/>
          <w:rtl/>
          <w14:ligatures w14:val="none"/>
        </w:rPr>
        <w:t>و</w:t>
      </w:r>
      <w:r w:rsidRPr="00734B7C">
        <w:rPr>
          <w:rFonts w:ascii="Times New Roman" w:eastAsia="Times New Roman" w:hAnsi="Times New Roman" w:cs="Times New Roman"/>
          <w:kern w:val="0"/>
          <w:sz w:val="28"/>
          <w:szCs w:val="28"/>
          <w:rtl/>
          <w14:ligatures w14:val="none"/>
        </w:rPr>
        <w:t>تطوير نماذج التنبؤ بالمخاطر الأمنية في الجمارك السعودية</w:t>
      </w:r>
      <w:r w:rsidRPr="00734B7C">
        <w:rPr>
          <w:rFonts w:ascii="Times New Roman" w:eastAsia="Times New Roman" w:hAnsi="Times New Roman" w:cs="Times New Roman" w:hint="cs"/>
          <w:kern w:val="0"/>
          <w:sz w:val="28"/>
          <w:szCs w:val="28"/>
          <w:rtl/>
          <w14:ligatures w14:val="none"/>
        </w:rPr>
        <w:t xml:space="preserve"> </w:t>
      </w:r>
      <w:r w:rsidRPr="00734B7C">
        <w:rPr>
          <w:rFonts w:ascii="Times New Roman" w:eastAsia="Times New Roman" w:hAnsi="Times New Roman" w:cs="Times New Roman"/>
          <w:kern w:val="0"/>
          <w:sz w:val="28"/>
          <w:szCs w:val="28"/>
          <w:rtl/>
          <w14:ligatures w14:val="none"/>
        </w:rPr>
        <w:t>أساليب منهجية دقيقة لتحديد حجم العينة.</w:t>
      </w:r>
    </w:p>
    <w:p w14:paraId="095C81FE"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لذلك، سيتم تطبيق هذه الأساليب في الدراسة الحالية لتحديد حجم العينة المناسب وجمع بيانات دقيقة تعكس أثر استراتيجيات إدارة المخاطر على الأمن الجمركي ومكافحة التهريب.</w:t>
      </w:r>
    </w:p>
    <w:p w14:paraId="3CF3B175" w14:textId="77777777" w:rsidR="00734B7C" w:rsidRPr="00734B7C" w:rsidRDefault="00734B7C" w:rsidP="001A6444">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16" w:name="_Toc224413019"/>
      <w:r w:rsidRPr="00734B7C">
        <w:rPr>
          <w:rFonts w:ascii="Times New Roman" w:eastAsia="Times New Roman" w:hAnsi="Times New Roman" w:cs="Times New Roman"/>
          <w:b/>
          <w:bCs/>
          <w:kern w:val="0"/>
          <w:sz w:val="28"/>
          <w:szCs w:val="28"/>
          <w:rtl/>
          <w14:ligatures w14:val="none"/>
        </w:rPr>
        <w:t xml:space="preserve">ما يميز هذه الدراسة عن الدراسات </w:t>
      </w:r>
      <w:r w:rsidRPr="00734B7C">
        <w:rPr>
          <w:rFonts w:ascii="Times New Roman" w:eastAsia="Times New Roman" w:hAnsi="Times New Roman" w:cs="Times New Roman" w:hint="cs"/>
          <w:b/>
          <w:bCs/>
          <w:kern w:val="0"/>
          <w:sz w:val="28"/>
          <w:szCs w:val="28"/>
          <w:rtl/>
          <w14:ligatures w14:val="none"/>
        </w:rPr>
        <w:t>السابقة:</w:t>
      </w:r>
      <w:bookmarkEnd w:id="16"/>
    </w:p>
    <w:p w14:paraId="6BEBBA94" w14:textId="77777777" w:rsidR="00734B7C" w:rsidRPr="00734B7C" w:rsidRDefault="00734B7C" w:rsidP="001A6444">
      <w:pPr>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التركيز المحلي على الأمن الجمركي ومكافحة التهريب في المملكة:</w:t>
      </w:r>
    </w:p>
    <w:p w14:paraId="4D61C13E"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lastRenderedPageBreak/>
        <w:t>على عكس الدراسات السابقة التي ركزت على إدارة المخاطر بشكل عام، تركز الدراسة الحالية على تعزيز الأمن ومكافحة التهريب داخل المملكة العربية السعودية، مما يمنحها قيمة تطبيقية واضحة.</w:t>
      </w:r>
    </w:p>
    <w:p w14:paraId="3A3F3C91" w14:textId="77777777" w:rsidR="00734B7C" w:rsidRPr="00734B7C" w:rsidRDefault="00734B7C" w:rsidP="001A6444">
      <w:pPr>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الاعتماد على التقنيات الحديثة في إدارة المخاطر:</w:t>
      </w:r>
    </w:p>
    <w:p w14:paraId="270366BC" w14:textId="77777777" w:rsidR="00734B7C" w:rsidRPr="00734B7C" w:rsidRDefault="00734B7C" w:rsidP="001A6444">
      <w:pPr>
        <w:spacing w:before="100" w:beforeAutospacing="1" w:after="100" w:afterAutospacing="1" w:line="240" w:lineRule="auto"/>
        <w:ind w:left="14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في حين تناولت الدراسات السابقة الأساليب التقليدية، تهدف الدراسة الحالية إلى دمج الذكاء الاصطناعي، البيانات الكبيرة، والتعلم الآلي لتحسين قدرة الهيئة على كشف ومنع التهريب وتعزيز الأمن الجمركي.</w:t>
      </w:r>
    </w:p>
    <w:p w14:paraId="48890EE4" w14:textId="77777777" w:rsidR="00734B7C" w:rsidRPr="00734B7C" w:rsidRDefault="00734B7C" w:rsidP="001A6444">
      <w:pPr>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تحليل شامل لتأثير إدارة المخاطر على العمليات الجمركية:</w:t>
      </w:r>
    </w:p>
    <w:p w14:paraId="4D0D1D70" w14:textId="77777777" w:rsidR="00734B7C" w:rsidRPr="00734B7C" w:rsidRDefault="00734B7C" w:rsidP="001A6444">
      <w:pPr>
        <w:spacing w:before="100" w:beforeAutospacing="1" w:after="100" w:afterAutospacing="1" w:line="240" w:lineRule="auto"/>
        <w:ind w:left="14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تقدم الدراسة تقييمًا متكاملًا لتأثير إدارة المخاطر الحديثة على كفاءة الإجراءات، الحد من المخاطر، وتعزيز الرقابة الجمركية، وهو ما يمثل تطويرًا عن الدراسات السابقة التي ركزت على جوانب محددة فقط.</w:t>
      </w:r>
    </w:p>
    <w:p w14:paraId="0B2F3F03" w14:textId="77777777" w:rsidR="00734B7C" w:rsidRPr="00734B7C" w:rsidRDefault="00734B7C" w:rsidP="001A6444">
      <w:pPr>
        <w:spacing w:before="100" w:beforeAutospacing="1" w:after="100" w:afterAutospacing="1" w:line="240" w:lineRule="auto"/>
        <w:ind w:left="141"/>
        <w:rPr>
          <w:rFonts w:ascii="Times New Roman" w:eastAsia="Times New Roman" w:hAnsi="Times New Roman" w:cs="Times New Roman"/>
          <w:kern w:val="0"/>
          <w:sz w:val="28"/>
          <w:szCs w:val="28"/>
          <w:rtl/>
          <w14:ligatures w14:val="none"/>
        </w:rPr>
      </w:pPr>
    </w:p>
    <w:p w14:paraId="2E910A17" w14:textId="77777777" w:rsidR="00734B7C" w:rsidRPr="00734B7C" w:rsidRDefault="00734B7C" w:rsidP="001A6444">
      <w:pPr>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proofErr w:type="spellStart"/>
      <w:r w:rsidRPr="00734B7C">
        <w:rPr>
          <w:rFonts w:ascii="Times New Roman" w:eastAsia="Times New Roman" w:hAnsi="Times New Roman" w:cs="Times New Roman"/>
          <w:kern w:val="0"/>
          <w:sz w:val="28"/>
          <w:szCs w:val="28"/>
          <w:rtl/>
          <w14:ligatures w14:val="none"/>
        </w:rPr>
        <w:t>التماشي</w:t>
      </w:r>
      <w:proofErr w:type="spellEnd"/>
      <w:r w:rsidRPr="00734B7C">
        <w:rPr>
          <w:rFonts w:ascii="Times New Roman" w:eastAsia="Times New Roman" w:hAnsi="Times New Roman" w:cs="Times New Roman"/>
          <w:kern w:val="0"/>
          <w:sz w:val="28"/>
          <w:szCs w:val="28"/>
          <w:rtl/>
          <w14:ligatures w14:val="none"/>
        </w:rPr>
        <w:t xml:space="preserve"> مع رؤية المملكة 2030:</w:t>
      </w:r>
    </w:p>
    <w:p w14:paraId="0D3CF072" w14:textId="77777777" w:rsidR="00734B7C" w:rsidRPr="00734B7C" w:rsidRDefault="00734B7C" w:rsidP="001A6444">
      <w:pPr>
        <w:spacing w:before="100" w:beforeAutospacing="1" w:after="100" w:afterAutospacing="1" w:line="240" w:lineRule="auto"/>
        <w:ind w:left="14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ستستفيد الدراسة الحالية من التحولات التكنولوجية والإدارية التي تشهدها المملكة ضمن رؤية 2030، لتوجيه تطوير الأمن الجمركي ورفع كفاءة مكافحة التهريب.</w:t>
      </w:r>
    </w:p>
    <w:p w14:paraId="75E101F4" w14:textId="77777777" w:rsidR="00734B7C" w:rsidRPr="00734B7C" w:rsidRDefault="00734B7C" w:rsidP="001A6444">
      <w:pPr>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تقديم توصيات عملية ومبتكرة:</w:t>
      </w:r>
    </w:p>
    <w:p w14:paraId="3190E698" w14:textId="224A13FF" w:rsidR="00734B7C" w:rsidRPr="00734B7C" w:rsidRDefault="00734B7C" w:rsidP="001A6444">
      <w:pPr>
        <w:spacing w:before="100" w:beforeAutospacing="1" w:after="100" w:afterAutospacing="1" w:line="240" w:lineRule="auto"/>
        <w:ind w:left="141"/>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تهدف الدراسة إلى تقديم حلول عملية لتعزيز الأمن الجمركي وتقليل التهريب، مثل تحسين استراتيجيات الرقابة، استخدام التقنيات الحديثة للكشف عن المخاطر، وتطوير برامج تدريبية متخصصة للكوادر الجمركية.</w:t>
      </w:r>
    </w:p>
    <w:p w14:paraId="1EEB14B9" w14:textId="77777777" w:rsidR="00734B7C" w:rsidRPr="00734B7C" w:rsidRDefault="00734B7C" w:rsidP="001A6444">
      <w:pPr>
        <w:spacing w:after="0" w:line="259" w:lineRule="auto"/>
        <w:ind w:left="3"/>
        <w:rPr>
          <w:rFonts w:ascii="Times New Roman" w:eastAsia="Simplified Arabic" w:hAnsi="Times New Roman" w:cs="Times New Roman"/>
          <w:color w:val="000000"/>
          <w:sz w:val="28"/>
          <w:szCs w:val="28"/>
        </w:rPr>
      </w:pPr>
      <w:r w:rsidRPr="00734B7C">
        <w:rPr>
          <w:rFonts w:ascii="Times New Roman" w:eastAsia="Calibri" w:hAnsi="Times New Roman" w:cs="Times New Roman"/>
          <w:color w:val="2D74B5"/>
          <w:sz w:val="28"/>
          <w:szCs w:val="28"/>
        </w:rPr>
        <w:t>1</w:t>
      </w:r>
      <w:r w:rsidRPr="00734B7C">
        <w:rPr>
          <w:rFonts w:ascii="Times New Roman" w:eastAsia="Calibri" w:hAnsi="Times New Roman" w:cs="Times New Roman"/>
          <w:color w:val="2D74B5"/>
          <w:sz w:val="28"/>
          <w:szCs w:val="28"/>
          <w:rtl/>
        </w:rPr>
        <w:t>.</w:t>
      </w:r>
      <w:r w:rsidRPr="00734B7C">
        <w:rPr>
          <w:rFonts w:ascii="Times New Roman" w:eastAsia="Calibri" w:hAnsi="Times New Roman" w:cs="Times New Roman"/>
          <w:color w:val="2D74B5"/>
          <w:sz w:val="28"/>
          <w:szCs w:val="28"/>
        </w:rPr>
        <w:t>9</w:t>
      </w:r>
      <w:r w:rsidRPr="00734B7C">
        <w:rPr>
          <w:rFonts w:ascii="Times New Roman" w:eastAsia="Times New Roman" w:hAnsi="Times New Roman" w:cs="Times New Roman"/>
          <w:b/>
          <w:bCs/>
          <w:color w:val="2D74B5"/>
          <w:sz w:val="28"/>
          <w:szCs w:val="28"/>
          <w:rtl/>
        </w:rPr>
        <w:t xml:space="preserve"> المنطلقات النظرية للدراسة:  </w:t>
      </w:r>
    </w:p>
    <w:p w14:paraId="3B86C194" w14:textId="77777777" w:rsidR="00734B7C" w:rsidRPr="00734B7C" w:rsidRDefault="00734B7C" w:rsidP="001A6444">
      <w:pPr>
        <w:spacing w:after="280" w:line="259" w:lineRule="auto"/>
        <w:ind w:right="83"/>
        <w:jc w:val="right"/>
        <w:rPr>
          <w:rFonts w:ascii="Simplified Arabic" w:eastAsia="Simplified Arabic" w:hAnsi="Simplified Arabic" w:cs="Simplified Arabic"/>
          <w:color w:val="000000"/>
          <w:sz w:val="28"/>
          <w:szCs w:val="28"/>
        </w:rPr>
      </w:pPr>
      <w:r w:rsidRPr="00734B7C">
        <w:rPr>
          <w:rFonts w:ascii="Calibri" w:eastAsia="Calibri" w:hAnsi="Calibri" w:cs="Calibri"/>
          <w:color w:val="000000"/>
          <w:sz w:val="28"/>
          <w:szCs w:val="28"/>
        </w:rPr>
        <w:t xml:space="preserve"> </w:t>
      </w:r>
    </w:p>
    <w:p w14:paraId="3BBD2E15" w14:textId="77777777" w:rsid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يتناول هذا الجزء الإطار النظري الذي تستند إليه الدراسة لتفسير دور إدارة المخاطر في تعزيز كفاءة العمليات الجمركية داخل هيئة الزكاة والضريبة والجمارك بالمملكة العربية السعودية. يهدف هذا الإطار إلى تقديم فهم متكامل لكيفية تأثير إدارة المخاطر على تحسين الأداء الجمركي، وحماية الأمن الوطني، ومكافحة التهريب، من خلال مجموعة من المفاهيم والممارسات المرتبطة بالإدارة العامة، التنظيم الجمركي، إدارة المخاطر، وعلم البيانات.</w:t>
      </w:r>
    </w:p>
    <w:p w14:paraId="582DCCA8" w14:textId="77777777" w:rsidR="001A6444" w:rsidRDefault="001A6444" w:rsidP="001A6444">
      <w:pPr>
        <w:spacing w:after="168" w:line="250" w:lineRule="auto"/>
        <w:ind w:left="1" w:right="201" w:hanging="1"/>
        <w:rPr>
          <w:rFonts w:ascii="Times New Roman" w:eastAsia="Simplified Arabic" w:hAnsi="Times New Roman" w:cs="Times New Roman"/>
          <w:color w:val="000000"/>
          <w:sz w:val="28"/>
          <w:szCs w:val="28"/>
          <w:rtl/>
        </w:rPr>
      </w:pPr>
    </w:p>
    <w:p w14:paraId="602B0BE0" w14:textId="77777777" w:rsidR="001A6444" w:rsidRDefault="001A6444" w:rsidP="001A6444">
      <w:pPr>
        <w:spacing w:after="168" w:line="250" w:lineRule="auto"/>
        <w:ind w:left="1" w:right="201" w:hanging="1"/>
        <w:rPr>
          <w:rFonts w:ascii="Times New Roman" w:eastAsia="Simplified Arabic" w:hAnsi="Times New Roman" w:cs="Times New Roman"/>
          <w:color w:val="000000"/>
          <w:sz w:val="28"/>
          <w:szCs w:val="28"/>
          <w:rtl/>
        </w:rPr>
      </w:pPr>
    </w:p>
    <w:p w14:paraId="5F3CB4F1" w14:textId="77777777" w:rsidR="001A6444" w:rsidRPr="00734B7C" w:rsidRDefault="001A6444" w:rsidP="001A6444">
      <w:pPr>
        <w:spacing w:after="168" w:line="250" w:lineRule="auto"/>
        <w:ind w:left="1" w:right="201" w:hanging="1"/>
        <w:rPr>
          <w:rFonts w:ascii="Times New Roman" w:eastAsia="Simplified Arabic" w:hAnsi="Times New Roman" w:cs="Times New Roman" w:hint="cs"/>
          <w:color w:val="000000"/>
          <w:sz w:val="28"/>
          <w:szCs w:val="28"/>
          <w:rtl/>
        </w:rPr>
      </w:pPr>
    </w:p>
    <w:p w14:paraId="639DBF95" w14:textId="77777777" w:rsidR="00734B7C" w:rsidRPr="00734B7C" w:rsidRDefault="00734B7C" w:rsidP="001A6444">
      <w:pPr>
        <w:spacing w:after="168" w:line="250" w:lineRule="auto"/>
        <w:ind w:right="201"/>
        <w:rPr>
          <w:rFonts w:ascii="Times New Roman" w:eastAsia="Simplified Arabic" w:hAnsi="Times New Roman" w:cs="Times New Roman"/>
          <w:color w:val="000000"/>
          <w:sz w:val="28"/>
          <w:szCs w:val="28"/>
          <w:rtl/>
        </w:rPr>
      </w:pPr>
    </w:p>
    <w:p w14:paraId="35CB9CCF" w14:textId="77777777" w:rsidR="00734B7C" w:rsidRPr="00734B7C" w:rsidRDefault="00734B7C" w:rsidP="001A6444">
      <w:pPr>
        <w:spacing w:after="168" w:line="250" w:lineRule="auto"/>
        <w:ind w:left="1" w:right="201" w:hanging="1"/>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lastRenderedPageBreak/>
        <w:t>1.1 نظرية إدارة المخاطر</w:t>
      </w:r>
    </w:p>
    <w:p w14:paraId="5F4B7755"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6D2DD251"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تعتبر إدارة المخاطر الركيزة الأساسية للدراسة، إذ تُعرّف بأنها عملية تحديد المخاطر، تقييمها، ووضع استراتيجيات للحد من تأثيرها السلبي على الأداء المؤسسي. هذه النظرية تؤكد على أن المخاطر لا يمكن القضاء عليها بشكل كامل، ولكن يمكن التحكم فيها والحد من تأثيرها عبر أساليب وقائية واحترازية.</w:t>
      </w:r>
    </w:p>
    <w:p w14:paraId="11EA507C"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في السياق الجمركي، تسهم إدارة المخاطر في وضع خطط تشغيلية لضمان سلامة العمليات الجمركية، بما يشمل مكافحة التهريب، ضبط السلع غير القانونية، وتقليل الأخطاء البشرية. على سبيل المثال، استخدام نظم معلومات متقدمة وتقنيات التحليل البياني يساعد على التعرف على المخاطر مبكرًا، ما يعزز من قدرة الهيئة على حماية الاقتصاد الوطني.</w:t>
      </w:r>
    </w:p>
    <w:p w14:paraId="651E5D9E"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58FA558E" w14:textId="77777777" w:rsidR="00734B7C" w:rsidRPr="00734B7C" w:rsidRDefault="00734B7C" w:rsidP="001A6444">
      <w:pPr>
        <w:spacing w:after="168" w:line="250" w:lineRule="auto"/>
        <w:ind w:left="1" w:right="201" w:hanging="1"/>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1.2 نظرية الأمن الجمركي ومكافحة التهريب</w:t>
      </w:r>
    </w:p>
    <w:p w14:paraId="16B11CA7"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23A4F402"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تركز هذه النظرية على حماية الحدود الوطنية وضمان سلامة البضائع المتداولة. تعتمد على الفرضية القائلة بأن سلامة العمليات الجمركية ترتبط مباشرة بالأمن الوطني والاقتصادي. تكمن أهمية إدارة المخاطر في التنبؤ بالمخاطر، الكشف المبكر عن التهريب، والحد من دخول السلع غير القانونية إلى الأسواق، بما يعزز قدرة الهيئة على الحفاظ على الأمن الجمركي واستقرار الاقتصاد.</w:t>
      </w:r>
    </w:p>
    <w:p w14:paraId="0A31B331"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2FB416B3" w14:textId="77777777" w:rsidR="00734B7C" w:rsidRPr="00734B7C" w:rsidRDefault="00734B7C" w:rsidP="001A6444">
      <w:pPr>
        <w:spacing w:after="168" w:line="250" w:lineRule="auto"/>
        <w:ind w:left="1" w:right="201" w:hanging="1"/>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1.3 نظرية تحسين الأداء المؤسسي</w:t>
      </w:r>
    </w:p>
    <w:p w14:paraId="2AD797D6"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2BE8B92C"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تسلط هذه النظرية الضوء على أهمية رفع كفاءة المؤسسات من خلال منهجيات علمية وأدوات عملية. وفقًا لها، يمكن للهيئات الجمركية تحسين أدائها عبر دمج استراتيجيات إدارة المخاطر، مما يعزز قدرات الموظفين على التعامل مع التهديدات والتهريب. على سبيل المثال، تبني تقنيات تحليل البيانات الضخمة وأدوات التنبؤ بالمخاطر يساهم في تسريع الإجراءات وتقليل الأخطاء، وبالتالي تحسين جودة وكفاءة العمليات الجمركية.</w:t>
      </w:r>
    </w:p>
    <w:p w14:paraId="1A148AF4"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21236E70" w14:textId="77777777" w:rsidR="00734B7C" w:rsidRPr="00734B7C" w:rsidRDefault="00734B7C" w:rsidP="001A6444">
      <w:pPr>
        <w:spacing w:after="168" w:line="250" w:lineRule="auto"/>
        <w:ind w:left="1" w:right="201" w:hanging="1"/>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1.4 نظرية أنظمة المعلومات المتكاملة</w:t>
      </w:r>
    </w:p>
    <w:p w14:paraId="67507037"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13EDCA4C"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تلعب أنظمة المعلومات المتكاملة دورًا جوهريًا في تعزيز إدارة المخاطر داخل الهيئات الجمركية. فهي تمكن من أتمتة معالجة البيانات واتخاذ القرارات المبنية على تحليل دقيق، ما يقلل الأخطاء البشرية ويسرع الإجراءات. كما تعزز قدرة الهيئة على مراقبة حركة البضائع عبر المنافذ، وتحديد المخاطر المحتملة قبل أن تؤثر على العمليات الجمركية، بما يدعم الأمن الجمركي ومكافحة التهريب.</w:t>
      </w:r>
    </w:p>
    <w:p w14:paraId="247670B2"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6ECE2125" w14:textId="77777777" w:rsidR="00734B7C" w:rsidRPr="00734B7C" w:rsidRDefault="00734B7C" w:rsidP="001A6444">
      <w:pPr>
        <w:spacing w:after="168" w:line="250" w:lineRule="auto"/>
        <w:ind w:left="1" w:right="201" w:hanging="1"/>
        <w:rPr>
          <w:rFonts w:ascii="Times New Roman" w:eastAsia="Simplified Arabic" w:hAnsi="Times New Roman" w:cs="Times New Roman"/>
          <w:b/>
          <w:bCs/>
          <w:color w:val="000000"/>
          <w:sz w:val="28"/>
          <w:szCs w:val="28"/>
          <w:rtl/>
        </w:rPr>
      </w:pPr>
      <w:r w:rsidRPr="00734B7C">
        <w:rPr>
          <w:rFonts w:ascii="Times New Roman" w:eastAsia="Simplified Arabic" w:hAnsi="Times New Roman" w:cs="Times New Roman"/>
          <w:b/>
          <w:bCs/>
          <w:color w:val="000000"/>
          <w:sz w:val="28"/>
          <w:szCs w:val="28"/>
          <w:rtl/>
        </w:rPr>
        <w:t>1.5 نظرية الإبداع التنظيمي</w:t>
      </w:r>
    </w:p>
    <w:p w14:paraId="74DA8964"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p>
    <w:p w14:paraId="7ED5B264" w14:textId="77777777" w:rsidR="00734B7C" w:rsidRPr="00734B7C" w:rsidRDefault="00734B7C" w:rsidP="001A6444">
      <w:pPr>
        <w:spacing w:after="168" w:line="250" w:lineRule="auto"/>
        <w:ind w:left="1" w:right="201" w:hanging="1"/>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تؤكد هذه النظرية على أهمية الابتكار في مواجهة التحديات المستجدة، خصوصًا في بيئة التجارة الدولية والتهريب. ويعد الابتكار جزءًا أساسيًا من إدارة المخاطر، حيث يمكن من خلاله تطوير أدوات وأساليب جديدة لتحسين الكفاءة الجمركية والكشف المبكر عن المخاطر. على سبيل المثال، استخدام الذكاء الاصطناعي وتحليل البيانات الضخمة يسهم في تحسين الأداء وتقليل الأخطاء بشكل كبير</w:t>
      </w:r>
    </w:p>
    <w:p w14:paraId="6729AA46" w14:textId="77777777" w:rsidR="00734B7C" w:rsidRPr="00734B7C" w:rsidRDefault="00734B7C" w:rsidP="001A6444">
      <w:pPr>
        <w:spacing w:after="168" w:line="250" w:lineRule="auto"/>
        <w:ind w:left="1" w:right="201" w:hanging="1"/>
        <w:jc w:val="right"/>
        <w:rPr>
          <w:rFonts w:ascii="Simplified Arabic" w:eastAsia="Simplified Arabic" w:hAnsi="Simplified Arabic" w:cs="Simplified Arabic"/>
          <w:color w:val="000000"/>
          <w:sz w:val="28"/>
          <w:szCs w:val="28"/>
          <w:rtl/>
        </w:rPr>
      </w:pPr>
    </w:p>
    <w:p w14:paraId="44763AB0" w14:textId="77777777" w:rsidR="00734B7C" w:rsidRPr="00734B7C" w:rsidRDefault="00734B7C" w:rsidP="001A6444">
      <w:pPr>
        <w:spacing w:after="168" w:line="250" w:lineRule="auto"/>
        <w:ind w:left="1" w:right="201" w:hanging="1"/>
        <w:rPr>
          <w:rFonts w:ascii="Simplified Arabic" w:eastAsia="Simplified Arabic" w:hAnsi="Simplified Arabic" w:cs="Simplified Arabic"/>
          <w:b/>
          <w:bCs/>
          <w:color w:val="000000"/>
          <w:sz w:val="28"/>
          <w:szCs w:val="28"/>
          <w:rtl/>
        </w:rPr>
      </w:pPr>
      <w:r w:rsidRPr="00734B7C">
        <w:rPr>
          <w:rFonts w:ascii="Simplified Arabic" w:eastAsia="Simplified Arabic" w:hAnsi="Simplified Arabic" w:cs="Simplified Arabic"/>
          <w:b/>
          <w:bCs/>
          <w:color w:val="000000"/>
          <w:sz w:val="28"/>
          <w:szCs w:val="28"/>
          <w:rtl/>
        </w:rPr>
        <w:t>الخاتمة</w:t>
      </w:r>
    </w:p>
    <w:p w14:paraId="06B64410" w14:textId="77777777" w:rsidR="00734B7C" w:rsidRPr="00734B7C" w:rsidRDefault="00734B7C" w:rsidP="001A6444">
      <w:pPr>
        <w:spacing w:after="168" w:line="250" w:lineRule="auto"/>
        <w:ind w:left="1" w:right="201" w:hanging="1"/>
        <w:rPr>
          <w:rFonts w:ascii="Simplified Arabic" w:eastAsia="Simplified Arabic" w:hAnsi="Simplified Arabic" w:cs="Simplified Arabic"/>
          <w:color w:val="000000"/>
          <w:sz w:val="28"/>
          <w:szCs w:val="28"/>
          <w:rtl/>
        </w:rPr>
      </w:pPr>
    </w:p>
    <w:p w14:paraId="195DD04A" w14:textId="77777777" w:rsidR="00734B7C" w:rsidRPr="00734B7C" w:rsidRDefault="00734B7C" w:rsidP="001A6444">
      <w:pPr>
        <w:spacing w:after="168" w:line="250" w:lineRule="auto"/>
        <w:ind w:left="1" w:right="201"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 xml:space="preserve">تشير المنطلقات النظرية السابقة إلى أن دمج إدارة المخاطر مع العمليات الجمركية يعزز من كفاءة الأداء، ويسهم في حماية الأمن الجمركي ومكافحة التهريب. </w:t>
      </w:r>
    </w:p>
    <w:p w14:paraId="3F0C5C62" w14:textId="77777777" w:rsidR="00734B7C" w:rsidRPr="00734B7C" w:rsidRDefault="00734B7C" w:rsidP="001A6444">
      <w:pPr>
        <w:spacing w:after="168" w:line="250" w:lineRule="auto"/>
        <w:ind w:left="1" w:right="201" w:hanging="1"/>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tl/>
        </w:rPr>
        <w:t>كما أن تبني التقنيات الحديثة والابتكار التنظيمي يعزز قدرة الهيئة على التكيف مع التحديات المعاصرة، وتحقيق الأهداف المؤسسية بكفاءة وفعالية</w:t>
      </w:r>
      <w:r w:rsidRPr="00734B7C">
        <w:rPr>
          <w:rFonts w:ascii="Simplified Arabic" w:eastAsia="Simplified Arabic" w:hAnsi="Simplified Arabic" w:cs="Simplified Arabic" w:hint="cs"/>
          <w:color w:val="000000"/>
          <w:sz w:val="28"/>
          <w:szCs w:val="28"/>
          <w:rtl/>
        </w:rPr>
        <w:t>.</w:t>
      </w:r>
    </w:p>
    <w:p w14:paraId="5840E99A" w14:textId="77777777" w:rsidR="00734B7C" w:rsidRPr="00734B7C" w:rsidRDefault="00734B7C" w:rsidP="001A6444">
      <w:pPr>
        <w:keepNext/>
        <w:keepLines/>
        <w:spacing w:after="0" w:line="259" w:lineRule="auto"/>
        <w:ind w:left="173"/>
        <w:jc w:val="right"/>
        <w:outlineLvl w:val="2"/>
        <w:rPr>
          <w:rFonts w:ascii="Times New Roman" w:eastAsia="Simplified Arabic" w:hAnsi="Times New Roman" w:cs="Times New Roman"/>
          <w:b/>
          <w:color w:val="2D74B5"/>
          <w:sz w:val="28"/>
          <w:szCs w:val="28"/>
        </w:rPr>
      </w:pPr>
    </w:p>
    <w:p w14:paraId="4D4E9628" w14:textId="77777777" w:rsidR="00734B7C" w:rsidRPr="00734B7C" w:rsidRDefault="00734B7C" w:rsidP="001A6444">
      <w:pPr>
        <w:keepNext/>
        <w:keepLines/>
        <w:spacing w:after="0" w:line="259" w:lineRule="auto"/>
        <w:ind w:left="173"/>
        <w:jc w:val="right"/>
        <w:outlineLvl w:val="2"/>
        <w:rPr>
          <w:rFonts w:ascii="Times New Roman" w:eastAsia="Simplified Arabic" w:hAnsi="Times New Roman" w:cs="Times New Roman"/>
          <w:b/>
          <w:color w:val="2D74B5"/>
          <w:sz w:val="28"/>
          <w:szCs w:val="28"/>
        </w:rPr>
      </w:pPr>
    </w:p>
    <w:p w14:paraId="5AE354DF"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Pr>
      </w:pPr>
      <w:r w:rsidRPr="00734B7C">
        <w:rPr>
          <w:rFonts w:ascii="Simplified Arabic" w:eastAsia="Simplified Arabic" w:hAnsi="Simplified Arabic" w:cs="Simplified Arabic"/>
          <w:b/>
          <w:color w:val="2D74B5"/>
          <w:sz w:val="36"/>
        </w:rPr>
        <w:t xml:space="preserve"> </w:t>
      </w:r>
      <w:bookmarkStart w:id="17" w:name="_Toc224413020"/>
      <w:r w:rsidRPr="00734B7C">
        <w:rPr>
          <w:rFonts w:ascii="Simplified Arabic" w:eastAsia="Simplified Arabic" w:hAnsi="Simplified Arabic" w:cs="Simplified Arabic"/>
          <w:b/>
          <w:color w:val="2D74B5"/>
          <w:sz w:val="36"/>
        </w:rPr>
        <w:t xml:space="preserve">: Methodology and research methods </w:t>
      </w:r>
      <w:r w:rsidRPr="00734B7C">
        <w:rPr>
          <w:rFonts w:ascii="Simplified Arabic" w:eastAsia="Simplified Arabic" w:hAnsi="Simplified Arabic" w:cs="Simplified Arabic"/>
          <w:b/>
          <w:bCs/>
          <w:color w:val="2D74B5"/>
          <w:sz w:val="36"/>
          <w:rtl/>
        </w:rPr>
        <w:t>المنهجية وطرق البحث</w:t>
      </w:r>
      <w:r w:rsidRPr="00734B7C">
        <w:rPr>
          <w:rFonts w:ascii="Simplified Arabic" w:eastAsia="Simplified Arabic" w:hAnsi="Simplified Arabic" w:cs="Simplified Arabic"/>
          <w:b/>
          <w:color w:val="2D74B5"/>
          <w:sz w:val="36"/>
        </w:rPr>
        <w:t xml:space="preserve"> 10</w:t>
      </w:r>
      <w:bookmarkStart w:id="18" w:name="_Hlk214128002"/>
      <w:r w:rsidRPr="00734B7C">
        <w:rPr>
          <w:rFonts w:ascii="Simplified Arabic" w:eastAsia="Simplified Arabic" w:hAnsi="Simplified Arabic" w:cs="Simplified Arabic"/>
          <w:b/>
          <w:color w:val="2D74B5"/>
          <w:sz w:val="36"/>
        </w:rPr>
        <w:t>.1</w:t>
      </w:r>
      <w:bookmarkEnd w:id="17"/>
      <w:bookmarkEnd w:id="18"/>
    </w:p>
    <w:p w14:paraId="5E3BCEC5" w14:textId="77777777" w:rsidR="00734B7C" w:rsidRPr="00734B7C" w:rsidRDefault="00734B7C" w:rsidP="001A6444">
      <w:pPr>
        <w:spacing w:after="230" w:line="259" w:lineRule="auto"/>
        <w:ind w:right="39"/>
        <w:jc w:val="right"/>
        <w:rPr>
          <w:rFonts w:ascii="Simplified Arabic" w:eastAsia="Simplified Arabic" w:hAnsi="Simplified Arabic" w:cs="Simplified Arabic"/>
          <w:color w:val="000000"/>
          <w:sz w:val="28"/>
          <w:szCs w:val="28"/>
        </w:rPr>
      </w:pPr>
      <w:r w:rsidRPr="00734B7C">
        <w:rPr>
          <w:rFonts w:ascii="Simplified Arabic" w:eastAsia="Simplified Arabic" w:hAnsi="Simplified Arabic" w:cs="Simplified Arabic"/>
          <w:color w:val="000000"/>
          <w:sz w:val="28"/>
          <w:szCs w:val="28"/>
        </w:rPr>
        <w:t xml:space="preserve"> </w:t>
      </w:r>
    </w:p>
    <w:p w14:paraId="37783AA7" w14:textId="77777777" w:rsidR="00734B7C" w:rsidRPr="00734B7C" w:rsidRDefault="00734B7C" w:rsidP="001A6444">
      <w:pPr>
        <w:spacing w:after="171" w:line="250" w:lineRule="auto"/>
        <w:ind w:left="1" w:right="319"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نظرًا لطبيعة هذه الدراسة التي تهدف إلى التعرف على دور إدارة المخاطر في تحسين كفاءة العمليات الجمركية داخل هيئة الزكاة والضريبة والجمارك في المملكة العربية السعودية، سيتم اعتماد المنهج الوصفي التحليلي كأساس للعمل البحثي.</w:t>
      </w:r>
    </w:p>
    <w:p w14:paraId="1A6EDF67" w14:textId="77777777" w:rsidR="00734B7C" w:rsidRPr="00734B7C" w:rsidRDefault="00734B7C" w:rsidP="001A6444">
      <w:pPr>
        <w:spacing w:after="171" w:line="250" w:lineRule="auto"/>
        <w:ind w:left="1" w:right="319"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 xml:space="preserve">في الجانب النظري، سيتم استخدام المنهج الوصفي لاستعراض مفاهيم إدارة المخاطر وأبعادها المختلفة، ودراسة تأثيرها المتوقع على تحسين الأداء الجمركي، وتعزيز الأمن الجمركي، ومكافحة التهريب. وسيتم من خلال هذا المنهج تحليل النظريات والممارسات </w:t>
      </w:r>
      <w:r w:rsidRPr="00734B7C">
        <w:rPr>
          <w:rFonts w:ascii="Simplified Arabic" w:eastAsia="Simplified Arabic" w:hAnsi="Simplified Arabic" w:cs="Simplified Arabic"/>
          <w:color w:val="000000"/>
          <w:sz w:val="28"/>
          <w:szCs w:val="28"/>
          <w:rtl/>
        </w:rPr>
        <w:lastRenderedPageBreak/>
        <w:t>المعتمدة عالميًا ومحليًا في هذا المجال، لتوفير قاعدة علمية لفهم العلاقة بين إدارة المخاطر وكفاءة العمليات داخل الهيئة.</w:t>
      </w:r>
    </w:p>
    <w:p w14:paraId="2A7D37E1" w14:textId="77777777" w:rsidR="00734B7C" w:rsidRPr="00734B7C" w:rsidRDefault="00734B7C" w:rsidP="001A6444">
      <w:pPr>
        <w:spacing w:after="171" w:line="250" w:lineRule="auto"/>
        <w:ind w:left="1" w:right="319"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أما في الجانب الميداني، فسيتم استخدام المنهج التحليلي لتحليل البيانات التي سيتم جمعها من خلال أدوات البحث المتنوعة، مثل الاستبيانات والمقابلات. وسيتيح هذا الجانب تفسير النتائج واستنتاج العلاقة بين تطبيق استراتيجيات إدارة المخاطر وتحسين كفاءة العمليات الجمركية، بالإضافة إلى تحديد التحديات العملية، تقييم فاعلية الأنظمة الحالية، واقتراح توصيات عملية لتعزيز الأداء، وحماية الأمن الجمركي، ومكافحة التهريب بشكل أكثر فعالية.</w:t>
      </w:r>
    </w:p>
    <w:p w14:paraId="20D574D4" w14:textId="77777777" w:rsidR="00734B7C" w:rsidRPr="00734B7C" w:rsidRDefault="00734B7C" w:rsidP="001A6444">
      <w:pPr>
        <w:spacing w:after="0" w:line="259" w:lineRule="auto"/>
        <w:ind w:left="-3"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b/>
          <w:bCs/>
          <w:color w:val="2D74B5"/>
          <w:sz w:val="28"/>
          <w:szCs w:val="28"/>
        </w:rPr>
        <w:t>11.1</w:t>
      </w:r>
      <w:r w:rsidRPr="00734B7C">
        <w:rPr>
          <w:rFonts w:ascii="Times New Roman" w:eastAsia="Simplified Arabic" w:hAnsi="Times New Roman" w:cs="Times New Roman"/>
          <w:b/>
          <w:bCs/>
          <w:color w:val="2D74B5"/>
          <w:sz w:val="28"/>
          <w:szCs w:val="28"/>
          <w:rtl/>
        </w:rPr>
        <w:t xml:space="preserve"> مصادر البيانات </w:t>
      </w:r>
      <w:r w:rsidRPr="00734B7C">
        <w:rPr>
          <w:rFonts w:ascii="Times New Roman" w:eastAsia="Simplified Arabic" w:hAnsi="Times New Roman" w:cs="Times New Roman"/>
          <w:b/>
          <w:color w:val="2D74B5"/>
          <w:sz w:val="28"/>
          <w:szCs w:val="28"/>
        </w:rPr>
        <w:t>Data sources</w:t>
      </w:r>
      <w:r w:rsidRPr="00734B7C">
        <w:rPr>
          <w:rFonts w:ascii="Times New Roman" w:eastAsia="Simplified Arabic" w:hAnsi="Times New Roman" w:cs="Times New Roman" w:hint="cs"/>
          <w:b/>
          <w:bCs/>
          <w:color w:val="2D74B5"/>
          <w:sz w:val="28"/>
          <w:szCs w:val="28"/>
          <w:rtl/>
        </w:rPr>
        <w:t>:</w:t>
      </w:r>
      <w:r w:rsidRPr="00734B7C">
        <w:rPr>
          <w:rFonts w:ascii="Times New Roman" w:eastAsia="Simplified Arabic" w:hAnsi="Times New Roman" w:cs="Times New Roman"/>
          <w:b/>
          <w:bCs/>
          <w:color w:val="2D74B5"/>
          <w:sz w:val="28"/>
          <w:szCs w:val="28"/>
          <w:rtl/>
        </w:rPr>
        <w:t xml:space="preserve">  </w:t>
      </w:r>
    </w:p>
    <w:p w14:paraId="37EFA46F" w14:textId="77777777" w:rsidR="00734B7C" w:rsidRPr="00734B7C" w:rsidRDefault="00734B7C" w:rsidP="001A6444">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في هذه الدراسة، سيتم الاعتماد على مصادر بيانات متنوعة لضمان الحصول على معلومات دقيقة وموثوقة حول موضوع البحث. وسيتم جمع البيانات من خلال المصادر الأولية والثانوية على النحو التالي:</w:t>
      </w:r>
    </w:p>
    <w:p w14:paraId="7F8411BC" w14:textId="77777777" w:rsidR="00734B7C" w:rsidRPr="00734B7C" w:rsidRDefault="00734B7C" w:rsidP="001A6444">
      <w:pPr>
        <w:spacing w:after="182" w:line="250" w:lineRule="auto"/>
        <w:ind w:left="1" w:right="422" w:hanging="1"/>
        <w:rPr>
          <w:rFonts w:ascii="Simplified Arabic" w:eastAsia="Simplified Arabic" w:hAnsi="Simplified Arabic" w:cs="Simplified Arabic"/>
          <w:b/>
          <w:bCs/>
          <w:color w:val="000000"/>
          <w:sz w:val="28"/>
          <w:szCs w:val="28"/>
          <w:rtl/>
        </w:rPr>
      </w:pPr>
      <w:r w:rsidRPr="00734B7C">
        <w:rPr>
          <w:rFonts w:ascii="Simplified Arabic" w:eastAsia="Simplified Arabic" w:hAnsi="Simplified Arabic" w:cs="Simplified Arabic"/>
          <w:b/>
          <w:bCs/>
          <w:color w:val="000000"/>
          <w:sz w:val="28"/>
          <w:szCs w:val="28"/>
          <w:rtl/>
        </w:rPr>
        <w:t>1. المصادر الأولية:</w:t>
      </w:r>
    </w:p>
    <w:p w14:paraId="08A94A38" w14:textId="77777777" w:rsidR="00734B7C" w:rsidRPr="00734B7C" w:rsidRDefault="00734B7C" w:rsidP="001A6444">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سيتم استخدام الاستبيانات كأداة رئيسية لجمع البيانات من أفراد العينة المستهدفة في هيئة الزكاة والضريبة والجمارك. ستركز الاستبيانات على قياس تأثير استراتيجيات إدارة المخاطر على تحسين كفاءة العمليات الجمركية، وتعزيز الأمن الجمركي، والمساهمة في مكافحة التهريب.</w:t>
      </w:r>
    </w:p>
    <w:p w14:paraId="6190EFA1" w14:textId="77777777" w:rsidR="00734B7C" w:rsidRPr="00734B7C" w:rsidRDefault="00734B7C" w:rsidP="001A6444">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 xml:space="preserve">سيتم تصميم </w:t>
      </w:r>
      <w:proofErr w:type="gramStart"/>
      <w:r w:rsidRPr="00734B7C">
        <w:rPr>
          <w:rFonts w:ascii="Simplified Arabic" w:eastAsia="Simplified Arabic" w:hAnsi="Simplified Arabic" w:cs="Simplified Arabic"/>
          <w:color w:val="000000"/>
          <w:sz w:val="28"/>
          <w:szCs w:val="28"/>
          <w:rtl/>
        </w:rPr>
        <w:t>الاستبيان</w:t>
      </w:r>
      <w:proofErr w:type="gramEnd"/>
      <w:r w:rsidRPr="00734B7C">
        <w:rPr>
          <w:rFonts w:ascii="Simplified Arabic" w:eastAsia="Simplified Arabic" w:hAnsi="Simplified Arabic" w:cs="Simplified Arabic"/>
          <w:color w:val="000000"/>
          <w:sz w:val="28"/>
          <w:szCs w:val="28"/>
          <w:rtl/>
        </w:rPr>
        <w:t xml:space="preserve"> بعناية ليغطي جميع الجوانب المتعلقة بالدراسة، وسيتضمن قسمين رئيسيين:</w:t>
      </w:r>
    </w:p>
    <w:p w14:paraId="1045D08D" w14:textId="77777777" w:rsidR="00734B7C" w:rsidRPr="00734B7C" w:rsidRDefault="00734B7C" w:rsidP="001A6444">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القسم الأول: سيختص بالمتغيرات الديمغرافية لأفراد العينة مثل الجنس، العمر، المؤهل العلمي، والمستوى الوظيفي.</w:t>
      </w:r>
    </w:p>
    <w:p w14:paraId="615E7BA0" w14:textId="77777777" w:rsidR="00734B7C" w:rsidRPr="00734B7C" w:rsidRDefault="00734B7C" w:rsidP="001A6444">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القسم الثاني: سيحتوي على أسئلة تتعلق بالمتغيرات الرئيسية في الدراسة، بهدف تقييم تأثير استراتيجيات إدارة المخاطر على كفاءة العمليات الجمركية، تقليل المخاطر، وزيادة فعالية الإجراءات الجمركية.</w:t>
      </w:r>
    </w:p>
    <w:p w14:paraId="00B99121" w14:textId="77777777" w:rsidR="00734B7C" w:rsidRPr="00734B7C" w:rsidRDefault="00734B7C" w:rsidP="001A6444">
      <w:pPr>
        <w:spacing w:after="182" w:line="250" w:lineRule="auto"/>
        <w:ind w:left="1" w:right="422" w:hanging="1"/>
        <w:rPr>
          <w:rFonts w:ascii="Simplified Arabic" w:eastAsia="Simplified Arabic" w:hAnsi="Simplified Arabic" w:cs="Simplified Arabic"/>
          <w:b/>
          <w:bCs/>
          <w:color w:val="000000"/>
          <w:sz w:val="28"/>
          <w:szCs w:val="28"/>
          <w:rtl/>
        </w:rPr>
      </w:pPr>
      <w:r w:rsidRPr="00734B7C">
        <w:rPr>
          <w:rFonts w:ascii="Simplified Arabic" w:eastAsia="Simplified Arabic" w:hAnsi="Simplified Arabic" w:cs="Simplified Arabic"/>
          <w:b/>
          <w:bCs/>
          <w:color w:val="000000"/>
          <w:sz w:val="28"/>
          <w:szCs w:val="28"/>
          <w:rtl/>
        </w:rPr>
        <w:t>2. المصادر الثانوية:</w:t>
      </w:r>
    </w:p>
    <w:p w14:paraId="6A0156F5"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p>
    <w:p w14:paraId="5071E925"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lastRenderedPageBreak/>
        <w:t>سيتم الاعتماد على المصادر الثانوية لتقديم الإطار النظري والدعم العلمي للبحث. وستشمل هذه المصادر:</w:t>
      </w:r>
    </w:p>
    <w:p w14:paraId="3D0A0436"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الكتب والمراجع العلمية العربية والأجنبية التي تتناول إدارة المخاطر، كفاءة العمليات الجمركية، الأمن الجمركي، ومكافحة التهريب.</w:t>
      </w:r>
    </w:p>
    <w:p w14:paraId="4450684E"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الدراسات السابقة والأبحاث المنشورة في المجلات العلمية المتخصصة.</w:t>
      </w:r>
    </w:p>
    <w:p w14:paraId="5BBE4643"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التقارير والدراسات الإلكترونية المتاحة على الإنترنت والمتعلقة بإدارة المخاطر في القطاع الجمركي.</w:t>
      </w:r>
    </w:p>
    <w:p w14:paraId="2D9A4E95" w14:textId="77777777"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p>
    <w:p w14:paraId="60F9868A" w14:textId="7CD835E1" w:rsidR="00734B7C" w:rsidRPr="00734B7C" w:rsidRDefault="00734B7C" w:rsidP="00DB3CDE">
      <w:pPr>
        <w:spacing w:after="182" w:line="250" w:lineRule="auto"/>
        <w:ind w:left="1" w:right="422" w:hanging="1"/>
        <w:rPr>
          <w:rFonts w:ascii="Simplified Arabic" w:eastAsia="Simplified Arabic" w:hAnsi="Simplified Arabic" w:cs="Simplified Arabic"/>
          <w:color w:val="000000"/>
          <w:sz w:val="28"/>
          <w:szCs w:val="28"/>
          <w:rtl/>
        </w:rPr>
      </w:pPr>
      <w:r w:rsidRPr="00734B7C">
        <w:rPr>
          <w:rFonts w:ascii="Simplified Arabic" w:eastAsia="Simplified Arabic" w:hAnsi="Simplified Arabic" w:cs="Simplified Arabic"/>
          <w:color w:val="000000"/>
          <w:sz w:val="28"/>
          <w:szCs w:val="28"/>
          <w:rtl/>
        </w:rPr>
        <w:t>ستساعد هذه المصادر في بناء الأسس النظرية للبحث، وتوسيع الفهم حول كيفية تأثير إدارة المخاطر على تحسين الأداء الجمركي وتعزيز حماية الاقتصاد الوطني، بالإضافة إلى دعم التوصيات المستقبلية لتعزيز الأمن الجمركي ومكافحة التهريب بشكل أكثر فعالية.</w:t>
      </w:r>
    </w:p>
    <w:p w14:paraId="5FAB4614" w14:textId="77777777" w:rsidR="00734B7C" w:rsidRPr="00734B7C" w:rsidRDefault="00734B7C" w:rsidP="00DB3CDE">
      <w:pPr>
        <w:keepNext/>
        <w:keepLines/>
        <w:spacing w:after="0" w:line="259" w:lineRule="auto"/>
        <w:ind w:right="122"/>
        <w:jc w:val="center"/>
        <w:outlineLvl w:val="0"/>
        <w:rPr>
          <w:rFonts w:ascii="Simplified Arabic" w:eastAsia="Times New Roman" w:hAnsi="Simplified Arabic" w:cs="Simplified Arabic"/>
          <w:b/>
          <w:color w:val="2D74B5"/>
          <w:sz w:val="36"/>
          <w:rtl/>
        </w:rPr>
      </w:pPr>
      <w:bookmarkStart w:id="19" w:name="_Toc224413021"/>
      <w:r w:rsidRPr="00734B7C">
        <w:rPr>
          <w:rFonts w:ascii="Simplified Arabic" w:eastAsia="Simplified Arabic" w:hAnsi="Simplified Arabic" w:cs="Simplified Arabic"/>
          <w:b/>
          <w:color w:val="2D74B5"/>
          <w:sz w:val="36"/>
        </w:rPr>
        <w:t>12.1</w:t>
      </w:r>
      <w:r w:rsidRPr="00734B7C">
        <w:rPr>
          <w:rFonts w:ascii="Simplified Arabic" w:eastAsia="Simplified Arabic" w:hAnsi="Simplified Arabic" w:cs="Simplified Arabic"/>
          <w:b/>
          <w:color w:val="2D74B5"/>
          <w:sz w:val="36"/>
          <w:rtl/>
        </w:rPr>
        <w:t xml:space="preserve"> أدوات الدراسة </w:t>
      </w:r>
      <w:r w:rsidRPr="00734B7C">
        <w:rPr>
          <w:rFonts w:ascii="Simplified Arabic" w:eastAsia="Simplified Arabic" w:hAnsi="Simplified Arabic" w:cs="Simplified Arabic"/>
          <w:b/>
          <w:color w:val="2D74B5"/>
          <w:sz w:val="36"/>
        </w:rPr>
        <w:t xml:space="preserve">Study </w:t>
      </w:r>
      <w:proofErr w:type="gramStart"/>
      <w:r w:rsidRPr="00734B7C">
        <w:rPr>
          <w:rFonts w:ascii="Simplified Arabic" w:eastAsia="Simplified Arabic" w:hAnsi="Simplified Arabic" w:cs="Simplified Arabic"/>
          <w:b/>
          <w:color w:val="2D74B5"/>
          <w:sz w:val="36"/>
        </w:rPr>
        <w:t>Tools</w:t>
      </w:r>
      <w:r w:rsidRPr="00734B7C">
        <w:rPr>
          <w:rFonts w:ascii="Simplified Arabic" w:eastAsia="Simplified Arabic" w:hAnsi="Simplified Arabic" w:cs="Simplified Arabic" w:hint="cs"/>
          <w:b/>
          <w:color w:val="2D74B5"/>
          <w:sz w:val="36"/>
          <w:rtl/>
        </w:rPr>
        <w:t xml:space="preserve"> :</w:t>
      </w:r>
      <w:bookmarkEnd w:id="19"/>
      <w:proofErr w:type="gramEnd"/>
    </w:p>
    <w:p w14:paraId="48AC6753"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 xml:space="preserve">اعتمدت في </w:t>
      </w:r>
      <w:r w:rsidRPr="00734B7C">
        <w:rPr>
          <w:rFonts w:ascii="Times New Roman" w:eastAsia="Times New Roman" w:hAnsi="Times New Roman" w:cs="Times New Roman" w:hint="cs"/>
          <w:kern w:val="0"/>
          <w:sz w:val="28"/>
          <w:szCs w:val="28"/>
          <w:rtl/>
          <w14:ligatures w14:val="none"/>
        </w:rPr>
        <w:t>دراستي</w:t>
      </w:r>
      <w:r w:rsidRPr="00734B7C">
        <w:rPr>
          <w:rFonts w:ascii="Times New Roman" w:eastAsia="Times New Roman" w:hAnsi="Times New Roman" w:cs="Times New Roman"/>
          <w:kern w:val="0"/>
          <w:sz w:val="28"/>
          <w:szCs w:val="28"/>
          <w:rtl/>
          <w14:ligatures w14:val="none"/>
        </w:rPr>
        <w:t xml:space="preserve"> على مصادر بيانات متنوعة لضمان الحصول على معلومات دقيقة وموثوقة حول موضوع البحث</w:t>
      </w:r>
      <w:r w:rsidRPr="00734B7C">
        <w:rPr>
          <w:rFonts w:ascii="Times New Roman" w:eastAsia="Times New Roman" w:hAnsi="Times New Roman" w:cs="Times New Roman" w:hint="cs"/>
          <w:kern w:val="0"/>
          <w:sz w:val="28"/>
          <w:szCs w:val="28"/>
          <w:rtl/>
          <w14:ligatures w14:val="none"/>
        </w:rPr>
        <w:t>، وسوف ب</w:t>
      </w:r>
      <w:r w:rsidRPr="00734B7C">
        <w:rPr>
          <w:rFonts w:ascii="Times New Roman" w:eastAsia="Times New Roman" w:hAnsi="Times New Roman" w:cs="Times New Roman"/>
          <w:kern w:val="0"/>
          <w:sz w:val="28"/>
          <w:szCs w:val="28"/>
          <w:rtl/>
          <w14:ligatures w14:val="none"/>
        </w:rPr>
        <w:t xml:space="preserve">تم تصميم </w:t>
      </w:r>
      <w:proofErr w:type="gramStart"/>
      <w:r w:rsidRPr="00734B7C">
        <w:rPr>
          <w:rFonts w:ascii="Times New Roman" w:eastAsia="Times New Roman" w:hAnsi="Times New Roman" w:cs="Times New Roman"/>
          <w:kern w:val="0"/>
          <w:sz w:val="28"/>
          <w:szCs w:val="28"/>
          <w:rtl/>
          <w14:ligatures w14:val="none"/>
        </w:rPr>
        <w:t>الاستبيان</w:t>
      </w:r>
      <w:proofErr w:type="gramEnd"/>
      <w:r w:rsidRPr="00734B7C">
        <w:rPr>
          <w:rFonts w:ascii="Times New Roman" w:eastAsia="Times New Roman" w:hAnsi="Times New Roman" w:cs="Times New Roman"/>
          <w:kern w:val="0"/>
          <w:sz w:val="28"/>
          <w:szCs w:val="28"/>
          <w:rtl/>
          <w14:ligatures w14:val="none"/>
        </w:rPr>
        <w:t xml:space="preserve"> ليكون متوافقًا مع متغيرات الدراسة المحددة بناءً على مراجعة الأدبيات والدراسات السابقة. ويتكون </w:t>
      </w:r>
      <w:proofErr w:type="gramStart"/>
      <w:r w:rsidRPr="00734B7C">
        <w:rPr>
          <w:rFonts w:ascii="Times New Roman" w:eastAsia="Times New Roman" w:hAnsi="Times New Roman" w:cs="Times New Roman"/>
          <w:kern w:val="0"/>
          <w:sz w:val="28"/>
          <w:szCs w:val="28"/>
          <w:rtl/>
          <w14:ligatures w14:val="none"/>
        </w:rPr>
        <w:t>الاستبيان</w:t>
      </w:r>
      <w:proofErr w:type="gramEnd"/>
      <w:r w:rsidRPr="00734B7C">
        <w:rPr>
          <w:rFonts w:ascii="Times New Roman" w:eastAsia="Times New Roman" w:hAnsi="Times New Roman" w:cs="Times New Roman"/>
          <w:kern w:val="0"/>
          <w:sz w:val="28"/>
          <w:szCs w:val="28"/>
          <w:rtl/>
          <w14:ligatures w14:val="none"/>
        </w:rPr>
        <w:t xml:space="preserve"> من قسمين رئيسيين:</w:t>
      </w:r>
    </w:p>
    <w:p w14:paraId="1904B0DF" w14:textId="77777777" w:rsidR="00734B7C" w:rsidRPr="00DB3CDE" w:rsidRDefault="00734B7C" w:rsidP="00DB3CDE">
      <w:pPr>
        <w:pStyle w:val="a6"/>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DB3CDE">
        <w:rPr>
          <w:rFonts w:ascii="Times New Roman" w:eastAsia="Times New Roman" w:hAnsi="Times New Roman" w:cs="Times New Roman"/>
          <w:kern w:val="0"/>
          <w:sz w:val="28"/>
          <w:szCs w:val="28"/>
          <w:rtl/>
          <w14:ligatures w14:val="none"/>
        </w:rPr>
        <w:t>القسم الأول: يركز على المتغيرات الديموغرافية لأفراد العينة، مثل الجنس، العمر، المؤهل العلمي، والمستوى الوظيفي، وذلك لفهم الخصائص الأساسية للمشاركين وتأثيرها على تقييمهم لتطبيق إدارة المخاطر في العمليات الجمركية.</w:t>
      </w:r>
    </w:p>
    <w:p w14:paraId="64022D0E" w14:textId="77777777" w:rsidR="00734B7C" w:rsidRPr="00DB3CDE" w:rsidRDefault="00734B7C" w:rsidP="00DB3CDE">
      <w:pPr>
        <w:pStyle w:val="a6"/>
        <w:numPr>
          <w:ilvl w:val="0"/>
          <w:numId w:val="2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DB3CDE">
        <w:rPr>
          <w:rFonts w:ascii="Times New Roman" w:eastAsia="Times New Roman" w:hAnsi="Times New Roman" w:cs="Times New Roman"/>
          <w:kern w:val="0"/>
          <w:sz w:val="28"/>
          <w:szCs w:val="28"/>
          <w:rtl/>
          <w14:ligatures w14:val="none"/>
        </w:rPr>
        <w:t>القسم الثاني: يركز على الأسئلة المتعلقة بالمتغيرات الرئيسية، مثل:</w:t>
      </w:r>
    </w:p>
    <w:p w14:paraId="42876E51" w14:textId="77777777" w:rsidR="00734B7C" w:rsidRPr="00DB3CDE" w:rsidRDefault="00734B7C" w:rsidP="00DB3CDE">
      <w:pPr>
        <w:pStyle w:val="a6"/>
        <w:numPr>
          <w:ilvl w:val="1"/>
          <w:numId w:val="45"/>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DB3CDE">
        <w:rPr>
          <w:rFonts w:ascii="Times New Roman" w:eastAsia="Times New Roman" w:hAnsi="Times New Roman" w:cs="Times New Roman"/>
          <w:kern w:val="0"/>
          <w:sz w:val="28"/>
          <w:szCs w:val="28"/>
          <w:rtl/>
          <w14:ligatures w14:val="none"/>
        </w:rPr>
        <w:t>استراتيجيات إدارة المخاطر وتأثيرها على تحسين كفاءة العمليات الجمركية.</w:t>
      </w:r>
    </w:p>
    <w:p w14:paraId="609FF968" w14:textId="77777777" w:rsidR="00734B7C" w:rsidRPr="00DB3CDE" w:rsidRDefault="00734B7C" w:rsidP="00DB3CDE">
      <w:pPr>
        <w:pStyle w:val="a6"/>
        <w:numPr>
          <w:ilvl w:val="1"/>
          <w:numId w:val="45"/>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DB3CDE">
        <w:rPr>
          <w:rFonts w:ascii="Times New Roman" w:eastAsia="Times New Roman" w:hAnsi="Times New Roman" w:cs="Times New Roman"/>
          <w:kern w:val="0"/>
          <w:sz w:val="28"/>
          <w:szCs w:val="28"/>
          <w:rtl/>
          <w14:ligatures w14:val="none"/>
        </w:rPr>
        <w:t>دور إدارة المخاطر في تعزيز الأمن الجمركي وكشف ومنع التهريب.</w:t>
      </w:r>
    </w:p>
    <w:p w14:paraId="742FFEC4" w14:textId="77777777" w:rsidR="00734B7C" w:rsidRPr="00734B7C" w:rsidRDefault="00734B7C" w:rsidP="00DB3CDE">
      <w:pPr>
        <w:numPr>
          <w:ilvl w:val="1"/>
          <w:numId w:val="45"/>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التحديات التي قد تواجه الهيئة في تطبيق هذه الاستراتيجيات.</w:t>
      </w:r>
    </w:p>
    <w:p w14:paraId="704DAC4C"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ED7CCA1" w14:textId="77777777" w:rsidR="00734B7C" w:rsidRPr="00734B7C" w:rsidRDefault="00734B7C" w:rsidP="00DB3CDE">
      <w:pPr>
        <w:spacing w:after="0" w:line="240" w:lineRule="auto"/>
        <w:rPr>
          <w:rFonts w:ascii=".AppleSystemUIFont" w:eastAsia="Times New Roman" w:hAnsi=".AppleSystemUIFont" w:cs="Times New Roman" w:hint="cs"/>
          <w:color w:val="FFFFFF"/>
          <w:kern w:val="0"/>
          <w:sz w:val="28"/>
          <w:szCs w:val="28"/>
          <w:rtl/>
          <w14:ligatures w14:val="none"/>
        </w:rPr>
      </w:pPr>
      <w:r w:rsidRPr="00734B7C">
        <w:rPr>
          <w:rFonts w:ascii=".AppleSystemUIFont" w:eastAsia="Times New Roman" w:hAnsi=".AppleSystemUIFont" w:cs="Times New Roman"/>
          <w:color w:val="FFFFFF"/>
          <w:kern w:val="0"/>
          <w:sz w:val="28"/>
          <w:szCs w:val="28"/>
          <w:rtl/>
          <w14:ligatures w14:val="none"/>
        </w:rPr>
        <w:t>سيتم است</w:t>
      </w:r>
    </w:p>
    <w:p w14:paraId="67D2216A" w14:textId="77777777" w:rsidR="00734B7C" w:rsidRPr="00734B7C" w:rsidRDefault="00734B7C" w:rsidP="00DB3CDE">
      <w:pPr>
        <w:keepNext/>
        <w:keepLines/>
        <w:spacing w:after="0" w:line="259" w:lineRule="auto"/>
        <w:ind w:right="122"/>
        <w:outlineLvl w:val="0"/>
        <w:rPr>
          <w:rFonts w:ascii="Simplified Arabic" w:eastAsia="Times New Roman" w:hAnsi="Simplified Arabic" w:cs="Simplified Arabic"/>
          <w:b/>
          <w:color w:val="2D74B5"/>
          <w:sz w:val="36"/>
          <w:rtl/>
        </w:rPr>
      </w:pPr>
      <w:bookmarkStart w:id="20" w:name="_Toc224413022"/>
      <w:r w:rsidRPr="00734B7C">
        <w:rPr>
          <w:rFonts w:ascii="Simplified Arabic" w:eastAsia="Simplified Arabic" w:hAnsi="Simplified Arabic" w:cs="Simplified Arabic"/>
          <w:b/>
          <w:color w:val="2D74B5"/>
          <w:sz w:val="36"/>
        </w:rPr>
        <w:t>13.1</w:t>
      </w:r>
      <w:r w:rsidRPr="00734B7C">
        <w:rPr>
          <w:rFonts w:ascii="Simplified Arabic" w:eastAsia="Simplified Arabic" w:hAnsi="Simplified Arabic" w:cs="Simplified Arabic"/>
          <w:b/>
          <w:color w:val="2D74B5"/>
          <w:sz w:val="36"/>
          <w:rtl/>
        </w:rPr>
        <w:t>الأساليب الإحص</w:t>
      </w:r>
      <w:r w:rsidRPr="00734B7C">
        <w:rPr>
          <w:rFonts w:ascii="Simplified Arabic" w:eastAsia="Simplified Arabic" w:hAnsi="Simplified Arabic" w:cs="Simplified Arabic" w:hint="cs"/>
          <w:b/>
          <w:color w:val="2D74B5"/>
          <w:sz w:val="36"/>
          <w:rtl/>
        </w:rPr>
        <w:t>ا</w:t>
      </w:r>
      <w:r w:rsidRPr="00734B7C">
        <w:rPr>
          <w:rFonts w:ascii="Simplified Arabic" w:eastAsia="Simplified Arabic" w:hAnsi="Simplified Arabic" w:cs="Simplified Arabic"/>
          <w:b/>
          <w:color w:val="2D74B5"/>
          <w:sz w:val="36"/>
          <w:rtl/>
        </w:rPr>
        <w:t xml:space="preserve">ئية المستخدمة </w:t>
      </w:r>
      <w:r w:rsidRPr="00734B7C">
        <w:rPr>
          <w:rFonts w:ascii="Simplified Arabic" w:eastAsia="Simplified Arabic" w:hAnsi="Simplified Arabic" w:cs="Simplified Arabic"/>
          <w:b/>
          <w:color w:val="2D74B5"/>
          <w:sz w:val="36"/>
        </w:rPr>
        <w:t xml:space="preserve">Statistical Methods </w:t>
      </w:r>
      <w:proofErr w:type="gramStart"/>
      <w:r w:rsidRPr="00734B7C">
        <w:rPr>
          <w:rFonts w:ascii="Simplified Arabic" w:eastAsia="Simplified Arabic" w:hAnsi="Simplified Arabic" w:cs="Simplified Arabic"/>
          <w:b/>
          <w:color w:val="2D74B5"/>
          <w:sz w:val="36"/>
        </w:rPr>
        <w:t>Used</w:t>
      </w:r>
      <w:r w:rsidRPr="00734B7C">
        <w:rPr>
          <w:rFonts w:ascii="Simplified Arabic" w:eastAsia="Simplified Arabic" w:hAnsi="Simplified Arabic" w:cs="Simplified Arabic" w:hint="cs"/>
          <w:b/>
          <w:color w:val="2D74B5"/>
          <w:sz w:val="36"/>
          <w:rtl/>
        </w:rPr>
        <w:t xml:space="preserve"> :</w:t>
      </w:r>
      <w:bookmarkEnd w:id="20"/>
      <w:proofErr w:type="gramEnd"/>
    </w:p>
    <w:p w14:paraId="0358D320"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لاختبار فرضيات الدراسة والإجابة عن تساؤلاتها، سيتم استخدام تقنيات إحصائية متنوعة:</w:t>
      </w:r>
    </w:p>
    <w:p w14:paraId="01A83085" w14:textId="77777777" w:rsidR="00734B7C" w:rsidRPr="00734B7C" w:rsidRDefault="00734B7C" w:rsidP="00DB3CDE">
      <w:pPr>
        <w:spacing w:before="100" w:beforeAutospacing="1" w:after="100" w:afterAutospacing="1" w:line="240" w:lineRule="auto"/>
        <w:outlineLvl w:val="2"/>
        <w:rPr>
          <w:rFonts w:ascii="Times New Roman" w:eastAsia="Times New Roman" w:hAnsi="Times New Roman" w:cs="Times New Roman"/>
          <w:b/>
          <w:bCs/>
          <w:kern w:val="0"/>
          <w:sz w:val="28"/>
          <w:szCs w:val="28"/>
          <w:rtl/>
          <w14:ligatures w14:val="none"/>
        </w:rPr>
      </w:pPr>
      <w:bookmarkStart w:id="21" w:name="_Toc224413023"/>
      <w:r w:rsidRPr="00734B7C">
        <w:rPr>
          <w:rFonts w:ascii="Times New Roman" w:eastAsia="Times New Roman" w:hAnsi="Times New Roman" w:cs="Times New Roman"/>
          <w:b/>
          <w:bCs/>
          <w:kern w:val="0"/>
          <w:sz w:val="28"/>
          <w:szCs w:val="28"/>
          <w:rtl/>
          <w14:ligatures w14:val="none"/>
        </w:rPr>
        <w:t xml:space="preserve">أولاً: الإحصاء الوصفي </w:t>
      </w:r>
      <w:r w:rsidRPr="00734B7C">
        <w:rPr>
          <w:rFonts w:ascii="Times New Roman" w:eastAsia="Times New Roman" w:hAnsi="Times New Roman" w:cs="Times New Roman"/>
          <w:b/>
          <w:bCs/>
          <w:kern w:val="0"/>
          <w:sz w:val="28"/>
          <w:szCs w:val="28"/>
          <w14:ligatures w14:val="none"/>
        </w:rPr>
        <w:t>Descriptive Statistics)</w:t>
      </w:r>
      <w:r w:rsidRPr="00734B7C">
        <w:rPr>
          <w:rFonts w:ascii="Times New Roman" w:eastAsia="Times New Roman" w:hAnsi="Times New Roman" w:cs="Times New Roman" w:hint="cs"/>
          <w:b/>
          <w:bCs/>
          <w:kern w:val="0"/>
          <w:sz w:val="28"/>
          <w:szCs w:val="28"/>
          <w:rtl/>
          <w14:ligatures w14:val="none"/>
        </w:rPr>
        <w:t>)</w:t>
      </w:r>
      <w:bookmarkEnd w:id="21"/>
    </w:p>
    <w:p w14:paraId="2C5A1324"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hint="cs"/>
          <w:kern w:val="0"/>
          <w:sz w:val="28"/>
          <w:szCs w:val="28"/>
          <w:rtl/>
          <w14:ligatures w14:val="none"/>
        </w:rPr>
        <w:lastRenderedPageBreak/>
        <w:t>س</w:t>
      </w:r>
      <w:r w:rsidRPr="00734B7C">
        <w:rPr>
          <w:rFonts w:ascii="Times New Roman" w:eastAsia="Times New Roman" w:hAnsi="Times New Roman" w:cs="Times New Roman"/>
          <w:kern w:val="0"/>
          <w:sz w:val="28"/>
          <w:szCs w:val="28"/>
          <w:rtl/>
          <w14:ligatures w14:val="none"/>
        </w:rPr>
        <w:t xml:space="preserve">يتم استخدام الإحصاء الوصفي لتحليل خصائص المشاركين ونتائج </w:t>
      </w:r>
      <w:proofErr w:type="gramStart"/>
      <w:r w:rsidRPr="00734B7C">
        <w:rPr>
          <w:rFonts w:ascii="Times New Roman" w:eastAsia="Times New Roman" w:hAnsi="Times New Roman" w:cs="Times New Roman"/>
          <w:kern w:val="0"/>
          <w:sz w:val="28"/>
          <w:szCs w:val="28"/>
          <w:rtl/>
          <w14:ligatures w14:val="none"/>
        </w:rPr>
        <w:t>الاستبيان</w:t>
      </w:r>
      <w:proofErr w:type="gramEnd"/>
      <w:r w:rsidRPr="00734B7C">
        <w:rPr>
          <w:rFonts w:ascii="Times New Roman" w:eastAsia="Times New Roman" w:hAnsi="Times New Roman" w:cs="Times New Roman"/>
          <w:kern w:val="0"/>
          <w:sz w:val="28"/>
          <w:szCs w:val="28"/>
          <w:rtl/>
          <w14:ligatures w14:val="none"/>
        </w:rPr>
        <w:t>، ويشمل:</w:t>
      </w:r>
    </w:p>
    <w:p w14:paraId="169D2818" w14:textId="77777777" w:rsidR="00734B7C" w:rsidRPr="00734B7C" w:rsidRDefault="00734B7C" w:rsidP="00DB3CDE">
      <w:pPr>
        <w:numPr>
          <w:ilvl w:val="0"/>
          <w:numId w:val="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التكرارات والنسب المئوية: لتحديد توزيع المشاركين في الفئات المختلفة.</w:t>
      </w:r>
    </w:p>
    <w:p w14:paraId="2617E1CC" w14:textId="77777777" w:rsidR="00734B7C" w:rsidRPr="00734B7C" w:rsidRDefault="00734B7C" w:rsidP="00DB3CDE">
      <w:pPr>
        <w:numPr>
          <w:ilvl w:val="0"/>
          <w:numId w:val="8"/>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المتوسط الحسابي والانحراف المعياري: لقياس متوسط الاستجابات وتشتت البيانات حول المتوسط، خاصة فيما يتعلق بتأثير إدارة المخاطر على كفاءة العمليات الجمركية والأمن الجمركي ومكافحة التهريب.</w:t>
      </w:r>
    </w:p>
    <w:p w14:paraId="7D3E0C5C"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06D2549" w14:textId="77777777" w:rsidR="00734B7C" w:rsidRPr="00734B7C" w:rsidRDefault="00734B7C" w:rsidP="00DB3CDE">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22" w:name="_Toc224413024"/>
      <w:r w:rsidRPr="00734B7C">
        <w:rPr>
          <w:rFonts w:ascii="Times New Roman" w:eastAsia="Times New Roman" w:hAnsi="Times New Roman" w:cs="Times New Roman"/>
          <w:b/>
          <w:bCs/>
          <w:kern w:val="0"/>
          <w:sz w:val="28"/>
          <w:szCs w:val="28"/>
          <w:rtl/>
          <w14:ligatures w14:val="none"/>
        </w:rPr>
        <w:t>ثانياً: الإحصاء التحليلي (</w:t>
      </w:r>
      <w:r w:rsidRPr="00734B7C">
        <w:rPr>
          <w:rFonts w:ascii="Times New Roman" w:eastAsia="Times New Roman" w:hAnsi="Times New Roman" w:cs="Times New Roman"/>
          <w:b/>
          <w:bCs/>
          <w:kern w:val="0"/>
          <w:sz w:val="28"/>
          <w:szCs w:val="28"/>
          <w14:ligatures w14:val="none"/>
        </w:rPr>
        <w:t>Analytical Statistics</w:t>
      </w:r>
      <w:r w:rsidRPr="00734B7C">
        <w:rPr>
          <w:rFonts w:ascii="Times New Roman" w:eastAsia="Times New Roman" w:hAnsi="Times New Roman" w:cs="Times New Roman" w:hint="cs"/>
          <w:b/>
          <w:bCs/>
          <w:kern w:val="0"/>
          <w:sz w:val="28"/>
          <w:szCs w:val="28"/>
          <w:rtl/>
          <w14:ligatures w14:val="none"/>
        </w:rPr>
        <w:t>)</w:t>
      </w:r>
      <w:bookmarkEnd w:id="22"/>
    </w:p>
    <w:p w14:paraId="063C4D7F"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سيتم استخدام تقنيات متقدمة لتحليل العلاقة بين المتغيرات:</w:t>
      </w:r>
    </w:p>
    <w:p w14:paraId="5275AACC" w14:textId="77777777" w:rsidR="00734B7C" w:rsidRPr="00734B7C" w:rsidRDefault="00734B7C" w:rsidP="00DB3CDE">
      <w:pPr>
        <w:numPr>
          <w:ilvl w:val="0"/>
          <w:numId w:val="9"/>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معامل الثبات (</w:t>
      </w:r>
      <w:r w:rsidRPr="00734B7C">
        <w:rPr>
          <w:rFonts w:ascii="Times New Roman" w:eastAsia="Times New Roman" w:hAnsi="Times New Roman" w:cs="Times New Roman"/>
          <w:kern w:val="0"/>
          <w:sz w:val="28"/>
          <w:szCs w:val="28"/>
          <w14:ligatures w14:val="none"/>
        </w:rPr>
        <w:t>Cronbach’s Alpha</w:t>
      </w:r>
      <w:r w:rsidRPr="00734B7C">
        <w:rPr>
          <w:rFonts w:ascii="Times New Roman" w:eastAsia="Times New Roman" w:hAnsi="Times New Roman" w:cs="Times New Roman"/>
          <w:kern w:val="0"/>
          <w:sz w:val="28"/>
          <w:szCs w:val="28"/>
          <w:rtl/>
          <w14:ligatures w14:val="none"/>
        </w:rPr>
        <w:t xml:space="preserve">): لقياس اتساق فقرات </w:t>
      </w:r>
      <w:proofErr w:type="gramStart"/>
      <w:r w:rsidRPr="00734B7C">
        <w:rPr>
          <w:rFonts w:ascii="Times New Roman" w:eastAsia="Times New Roman" w:hAnsi="Times New Roman" w:cs="Times New Roman"/>
          <w:kern w:val="0"/>
          <w:sz w:val="28"/>
          <w:szCs w:val="28"/>
          <w:rtl/>
          <w14:ligatures w14:val="none"/>
        </w:rPr>
        <w:t>الاستبيان</w:t>
      </w:r>
      <w:proofErr w:type="gramEnd"/>
      <w:r w:rsidRPr="00734B7C">
        <w:rPr>
          <w:rFonts w:ascii="Times New Roman" w:eastAsia="Times New Roman" w:hAnsi="Times New Roman" w:cs="Times New Roman"/>
          <w:kern w:val="0"/>
          <w:sz w:val="28"/>
          <w:szCs w:val="28"/>
          <w:rtl/>
          <w14:ligatures w14:val="none"/>
        </w:rPr>
        <w:t xml:space="preserve"> في قياس أبعاد المتغيرات المختلفة.</w:t>
      </w:r>
    </w:p>
    <w:p w14:paraId="07262DA7" w14:textId="77777777" w:rsidR="00734B7C" w:rsidRPr="00734B7C" w:rsidRDefault="00734B7C" w:rsidP="00DB3CDE">
      <w:pPr>
        <w:numPr>
          <w:ilvl w:val="0"/>
          <w:numId w:val="9"/>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الانحدار المتعدد (</w:t>
      </w:r>
      <w:r w:rsidRPr="00734B7C">
        <w:rPr>
          <w:rFonts w:ascii="Times New Roman" w:eastAsia="Times New Roman" w:hAnsi="Times New Roman" w:cs="Times New Roman"/>
          <w:kern w:val="0"/>
          <w:sz w:val="28"/>
          <w:szCs w:val="28"/>
          <w14:ligatures w14:val="none"/>
        </w:rPr>
        <w:t>Multiple Regression</w:t>
      </w:r>
      <w:r w:rsidRPr="00734B7C">
        <w:rPr>
          <w:rFonts w:ascii="Times New Roman" w:eastAsia="Times New Roman" w:hAnsi="Times New Roman" w:cs="Times New Roman"/>
          <w:kern w:val="0"/>
          <w:sz w:val="28"/>
          <w:szCs w:val="28"/>
          <w:rtl/>
          <w14:ligatures w14:val="none"/>
        </w:rPr>
        <w:t>): لاختبار تأثير إدارة المخاطر على كفاءة العمليات الجمركية، تعزيز الأمن الجمركي، ومكافحة التهريب.</w:t>
      </w:r>
    </w:p>
    <w:p w14:paraId="5EB21577" w14:textId="77777777" w:rsidR="00734B7C" w:rsidRPr="00734B7C" w:rsidRDefault="00734B7C" w:rsidP="00DB3CDE">
      <w:pPr>
        <w:numPr>
          <w:ilvl w:val="0"/>
          <w:numId w:val="9"/>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ارتباط بيرسون (</w:t>
      </w:r>
      <w:r w:rsidRPr="00734B7C">
        <w:rPr>
          <w:rFonts w:ascii="Times New Roman" w:eastAsia="Times New Roman" w:hAnsi="Times New Roman" w:cs="Times New Roman"/>
          <w:kern w:val="0"/>
          <w:sz w:val="28"/>
          <w:szCs w:val="28"/>
          <w14:ligatures w14:val="none"/>
        </w:rPr>
        <w:t>Pearson Correlation</w:t>
      </w:r>
      <w:r w:rsidRPr="00734B7C">
        <w:rPr>
          <w:rFonts w:ascii="Times New Roman" w:eastAsia="Times New Roman" w:hAnsi="Times New Roman" w:cs="Times New Roman"/>
          <w:kern w:val="0"/>
          <w:sz w:val="28"/>
          <w:szCs w:val="28"/>
          <w:rtl/>
          <w14:ligatures w14:val="none"/>
        </w:rPr>
        <w:t>): لاختبار وجود علاقة قوية بين أبعاد إدارة المخاطر المختلفة.</w:t>
      </w:r>
    </w:p>
    <w:p w14:paraId="70EE601A" w14:textId="77777777" w:rsidR="00734B7C" w:rsidRPr="00734B7C" w:rsidRDefault="00734B7C" w:rsidP="00DB3CDE">
      <w:pPr>
        <w:numPr>
          <w:ilvl w:val="0"/>
          <w:numId w:val="9"/>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اختبار </w:t>
      </w:r>
      <w:r w:rsidRPr="00734B7C">
        <w:rPr>
          <w:rFonts w:ascii="Times New Roman" w:eastAsia="Times New Roman" w:hAnsi="Times New Roman" w:cs="Times New Roman"/>
          <w:kern w:val="0"/>
          <w:sz w:val="28"/>
          <w:szCs w:val="28"/>
          <w14:ligatures w14:val="none"/>
        </w:rPr>
        <w:t>Kolmogorov-Smirnov</w:t>
      </w:r>
      <w:r w:rsidRPr="00734B7C">
        <w:rPr>
          <w:rFonts w:ascii="Times New Roman" w:eastAsia="Times New Roman" w:hAnsi="Times New Roman" w:cs="Times New Roman"/>
          <w:kern w:val="0"/>
          <w:sz w:val="28"/>
          <w:szCs w:val="28"/>
          <w:rtl/>
          <w14:ligatures w14:val="none"/>
        </w:rPr>
        <w:t>: للتحقق من طبيعة توزيع البيانات.</w:t>
      </w:r>
    </w:p>
    <w:p w14:paraId="03E9B88A" w14:textId="77777777" w:rsidR="00734B7C" w:rsidRPr="00734B7C" w:rsidRDefault="00734B7C" w:rsidP="00DB3CDE">
      <w:pPr>
        <w:numPr>
          <w:ilvl w:val="0"/>
          <w:numId w:val="9"/>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تحليل الانحدار الهرمي (</w:t>
      </w:r>
      <w:r w:rsidRPr="00734B7C">
        <w:rPr>
          <w:rFonts w:ascii="Times New Roman" w:eastAsia="Times New Roman" w:hAnsi="Times New Roman" w:cs="Times New Roman"/>
          <w:kern w:val="0"/>
          <w:sz w:val="28"/>
          <w:szCs w:val="28"/>
          <w14:ligatures w14:val="none"/>
        </w:rPr>
        <w:t>Hierarchical Regression Analysis</w:t>
      </w:r>
      <w:r w:rsidRPr="00734B7C">
        <w:rPr>
          <w:rFonts w:ascii="Times New Roman" w:eastAsia="Times New Roman" w:hAnsi="Times New Roman" w:cs="Times New Roman"/>
          <w:kern w:val="0"/>
          <w:sz w:val="28"/>
          <w:szCs w:val="28"/>
          <w:rtl/>
          <w14:ligatures w14:val="none"/>
        </w:rPr>
        <w:t>): لقياس دور المتغيرات الوسيطة مثل التكنولوجيا والابتكار في تحسين تأثير إدارة المخاطر على الأمن الجمركي وكفاءة العمليات ومكافحة التهريب.</w:t>
      </w:r>
    </w:p>
    <w:p w14:paraId="3859399C"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203E758" w14:textId="77777777" w:rsidR="00734B7C" w:rsidRPr="00734B7C" w:rsidRDefault="00734B7C" w:rsidP="001A6444">
      <w:pPr>
        <w:keepNext/>
        <w:keepLines/>
        <w:spacing w:after="0" w:line="259" w:lineRule="auto"/>
        <w:ind w:right="122"/>
        <w:jc w:val="center"/>
        <w:outlineLvl w:val="0"/>
        <w:rPr>
          <w:rFonts w:ascii=".AppleSystemUIFont" w:eastAsia="Simplified Arabic" w:hAnsi=".AppleSystemUIFont" w:cs="Simplified Arabic"/>
          <w:b/>
          <w:color w:val="FFFFFF"/>
          <w:sz w:val="36"/>
          <w:rtl/>
        </w:rPr>
      </w:pPr>
      <w:bookmarkStart w:id="23" w:name="_Toc224413025"/>
      <w:r w:rsidRPr="00734B7C">
        <w:rPr>
          <w:rFonts w:ascii=".AppleSystemUIFont" w:eastAsia="Simplified Arabic" w:hAnsi=".AppleSystemUIFont" w:cs="Simplified Arabic"/>
          <w:b/>
          <w:color w:val="FFFFFF"/>
          <w:sz w:val="36"/>
        </w:rPr>
        <w:t>.</w:t>
      </w:r>
      <w:r w:rsidRPr="00734B7C">
        <w:rPr>
          <w:rFonts w:ascii="Simplified Arabic" w:eastAsia="Simplified Arabic" w:hAnsi="Simplified Arabic" w:cs="Simplified Arabic"/>
          <w:b/>
          <w:color w:val="2D74B5"/>
          <w:sz w:val="36"/>
        </w:rPr>
        <w:t>14.1</w:t>
      </w:r>
      <w:r w:rsidRPr="00734B7C">
        <w:rPr>
          <w:rFonts w:ascii="Simplified Arabic" w:eastAsia="Simplified Arabic" w:hAnsi="Simplified Arabic" w:cs="Simplified Arabic"/>
          <w:b/>
          <w:color w:val="2D74B5"/>
          <w:sz w:val="36"/>
          <w:rtl/>
        </w:rPr>
        <w:t xml:space="preserve">حدود البحث </w:t>
      </w:r>
      <w:r w:rsidRPr="00734B7C">
        <w:rPr>
          <w:rFonts w:ascii="Simplified Arabic" w:eastAsia="Simplified Arabic" w:hAnsi="Simplified Arabic" w:cs="Simplified Arabic"/>
          <w:b/>
          <w:color w:val="2D74B5"/>
          <w:sz w:val="36"/>
        </w:rPr>
        <w:t xml:space="preserve">Research </w:t>
      </w:r>
      <w:proofErr w:type="gramStart"/>
      <w:r w:rsidRPr="00734B7C">
        <w:rPr>
          <w:rFonts w:ascii="Simplified Arabic" w:eastAsia="Simplified Arabic" w:hAnsi="Simplified Arabic" w:cs="Simplified Arabic"/>
          <w:b/>
          <w:color w:val="2D74B5"/>
          <w:sz w:val="36"/>
        </w:rPr>
        <w:t>Limits</w:t>
      </w:r>
      <w:r w:rsidRPr="00734B7C">
        <w:rPr>
          <w:rFonts w:ascii="Simplified Arabic" w:eastAsia="Simplified Arabic" w:hAnsi="Simplified Arabic" w:cs="Simplified Arabic" w:hint="cs"/>
          <w:b/>
          <w:color w:val="2D74B5"/>
          <w:sz w:val="36"/>
          <w:rtl/>
        </w:rPr>
        <w:t xml:space="preserve"> :</w:t>
      </w:r>
      <w:bookmarkEnd w:id="23"/>
      <w:proofErr w:type="gramEnd"/>
    </w:p>
    <w:p w14:paraId="7ACEF45B" w14:textId="77777777" w:rsidR="00734B7C" w:rsidRPr="00734B7C" w:rsidRDefault="00734B7C" w:rsidP="00DB3CDE">
      <w:pPr>
        <w:numPr>
          <w:ilvl w:val="0"/>
          <w:numId w:val="10"/>
        </w:numPr>
        <w:spacing w:before="100" w:beforeAutospacing="1" w:after="100" w:afterAutospacing="1" w:line="240" w:lineRule="auto"/>
        <w:ind w:right="331"/>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الحد الزماني:</w:t>
      </w:r>
    </w:p>
    <w:p w14:paraId="70813BA5"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تقتصر الدراسة على الفترة الحالية، وستتم عملية جمع البيانات وتحليلها خلال عام </w:t>
      </w:r>
      <w:r w:rsidRPr="00734B7C">
        <w:rPr>
          <w:rFonts w:ascii="Times New Roman" w:eastAsia="Times New Roman" w:hAnsi="Times New Roman" w:cs="Times New Roman" w:hint="cs"/>
          <w:kern w:val="0"/>
          <w:sz w:val="28"/>
          <w:szCs w:val="28"/>
          <w:rtl/>
          <w14:ligatures w14:val="none"/>
        </w:rPr>
        <w:t>2025</w:t>
      </w:r>
      <w:r w:rsidRPr="00734B7C">
        <w:rPr>
          <w:rFonts w:ascii="Times New Roman" w:eastAsia="Times New Roman" w:hAnsi="Times New Roman" w:cs="Times New Roman"/>
          <w:kern w:val="0"/>
          <w:sz w:val="28"/>
          <w:szCs w:val="28"/>
          <w:rtl/>
          <w14:ligatures w14:val="none"/>
        </w:rPr>
        <w:t>. وستركز الدراسة على أثر إدارة المخاطر على كفاءة العمليات الجمركية، تعزيز الأمن الجمركي، ومكافحة التهريب.</w:t>
      </w:r>
    </w:p>
    <w:p w14:paraId="28DA1B0F" w14:textId="77777777" w:rsidR="00734B7C" w:rsidRPr="00734B7C" w:rsidRDefault="00734B7C" w:rsidP="00DB3CDE">
      <w:pPr>
        <w:numPr>
          <w:ilvl w:val="0"/>
          <w:numId w:val="10"/>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الحد المكاني:</w:t>
      </w:r>
    </w:p>
    <w:p w14:paraId="524CDA80"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تقتصر الدراسة على هيئة الزكاة والضريبة والجمارك بالمملكة العربية السعودية، وتشمل موظفي الإدارات والفروع والمراكز المسؤولة عن العمليات الجمركية.</w:t>
      </w:r>
    </w:p>
    <w:p w14:paraId="69674859" w14:textId="77777777" w:rsidR="00734B7C" w:rsidRPr="00734B7C" w:rsidRDefault="00734B7C" w:rsidP="00DB3CDE">
      <w:pPr>
        <w:numPr>
          <w:ilvl w:val="0"/>
          <w:numId w:val="10"/>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الحد الموضوعي:</w:t>
      </w:r>
    </w:p>
    <w:p w14:paraId="3A4F7518"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تركز الدراسة على دور إدارة المخاطر في تحسين كفاءة العمليات الجمركية وتعزيز الأمن الجمركي ومكافحة التهريب، دون تناول التغيرات الاقتصادية العامة أو السياسات الحكومية غير المتعلقة بالقطاع الجمركي.</w:t>
      </w:r>
    </w:p>
    <w:p w14:paraId="154BEFBD" w14:textId="77777777" w:rsidR="00734B7C" w:rsidRPr="00734B7C" w:rsidRDefault="00734B7C" w:rsidP="00DB3CDE">
      <w:pPr>
        <w:numPr>
          <w:ilvl w:val="0"/>
          <w:numId w:val="10"/>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lastRenderedPageBreak/>
        <w:t>الحد البشري:</w:t>
      </w:r>
    </w:p>
    <w:p w14:paraId="1D38ED38"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تقتصر الدراسة على الموظفين العاملين في إدارات إدارة المخاطر والعمليات الجمركية، ولن تشمل الإدارات الأخرى التي قد يكون لها دور غير مباشر في العمليات.</w:t>
      </w:r>
    </w:p>
    <w:p w14:paraId="2BF142BB" w14:textId="77777777" w:rsidR="00734B7C" w:rsidRPr="00734B7C" w:rsidRDefault="00734B7C" w:rsidP="00DB3CDE">
      <w:pPr>
        <w:numPr>
          <w:ilvl w:val="0"/>
          <w:numId w:val="10"/>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الحد المفاهيمي:</w:t>
      </w:r>
    </w:p>
    <w:p w14:paraId="6199BB0D"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تتناول الدراسة إدارة المخاطر ضمن سياق العمليات الجمركية </w:t>
      </w:r>
      <w:r w:rsidRPr="00734B7C">
        <w:rPr>
          <w:rFonts w:ascii="Times New Roman" w:eastAsia="Times New Roman" w:hAnsi="Times New Roman" w:cs="Times New Roman" w:hint="cs"/>
          <w:kern w:val="0"/>
          <w:sz w:val="28"/>
          <w:szCs w:val="28"/>
          <w:rtl/>
          <w14:ligatures w14:val="none"/>
        </w:rPr>
        <w:t>والامن الجمركي ومكافحة التهريب،</w:t>
      </w:r>
      <w:r w:rsidRPr="00734B7C">
        <w:rPr>
          <w:rFonts w:ascii="Times New Roman" w:eastAsia="Times New Roman" w:hAnsi="Times New Roman" w:cs="Times New Roman"/>
          <w:kern w:val="0"/>
          <w:sz w:val="28"/>
          <w:szCs w:val="28"/>
          <w:rtl/>
          <w14:ligatures w14:val="none"/>
        </w:rPr>
        <w:t xml:space="preserve"> مع التركيز على الأساليب والأنظمة المعتمدة حاليًا</w:t>
      </w:r>
      <w:r w:rsidRPr="00734B7C">
        <w:rPr>
          <w:rFonts w:ascii="Times New Roman" w:eastAsia="Times New Roman" w:hAnsi="Times New Roman" w:cs="Times New Roman" w:hint="cs"/>
          <w:kern w:val="0"/>
          <w:sz w:val="28"/>
          <w:szCs w:val="28"/>
          <w:rtl/>
          <w14:ligatures w14:val="none"/>
        </w:rPr>
        <w:t xml:space="preserve">. </w:t>
      </w:r>
    </w:p>
    <w:p w14:paraId="61A9C7A0"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495C202A" w14:textId="77777777" w:rsidR="00734B7C" w:rsidRPr="00734B7C" w:rsidRDefault="00734B7C" w:rsidP="00DB3CDE">
      <w:pPr>
        <w:spacing w:before="100" w:beforeAutospacing="1" w:after="100" w:afterAutospacing="1" w:line="240" w:lineRule="auto"/>
        <w:ind w:left="720"/>
        <w:rPr>
          <w:rFonts w:ascii="Times New Roman" w:eastAsia="Times New Roman" w:hAnsi="Times New Roman" w:cs="Times New Roman"/>
          <w:kern w:val="0"/>
          <w:sz w:val="28"/>
          <w:szCs w:val="28"/>
          <w:rtl/>
          <w14:ligatures w14:val="none"/>
        </w:rPr>
      </w:pPr>
    </w:p>
    <w:p w14:paraId="6E4AB955"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36"/>
          <w:rtl/>
        </w:rPr>
      </w:pPr>
      <w:bookmarkStart w:id="24" w:name="_Toc224413026"/>
      <w:r w:rsidRPr="00734B7C">
        <w:rPr>
          <w:rFonts w:ascii="Simplified Arabic" w:eastAsia="Times New Roman" w:hAnsi="Simplified Arabic" w:cs="Simplified Arabic"/>
          <w:b/>
          <w:color w:val="2D74B5"/>
          <w:sz w:val="36"/>
        </w:rPr>
        <w:t>15.1</w:t>
      </w:r>
      <w:r w:rsidRPr="00734B7C">
        <w:rPr>
          <w:rFonts w:ascii="Simplified Arabic" w:eastAsia="Times New Roman" w:hAnsi="Simplified Arabic" w:cs="Simplified Arabic"/>
          <w:b/>
          <w:color w:val="2D74B5"/>
          <w:sz w:val="36"/>
          <w:rtl/>
        </w:rPr>
        <w:t>خاتمة الفصل</w:t>
      </w:r>
      <w:r w:rsidRPr="00734B7C">
        <w:rPr>
          <w:rFonts w:ascii="Simplified Arabic" w:eastAsia="Simplified Arabic" w:hAnsi="Simplified Arabic" w:cs="Simplified Arabic" w:hint="cs"/>
          <w:b/>
          <w:color w:val="2D74B5"/>
          <w:sz w:val="36"/>
          <w:rtl/>
        </w:rPr>
        <w:t xml:space="preserve"> </w:t>
      </w:r>
      <w:r w:rsidRPr="00734B7C">
        <w:rPr>
          <w:rFonts w:ascii="Simplified Arabic" w:eastAsia="Simplified Arabic" w:hAnsi="Simplified Arabic" w:cs="Simplified Arabic"/>
          <w:b/>
          <w:color w:val="2D74B5"/>
          <w:sz w:val="36"/>
        </w:rPr>
        <w:t>chapter conclusion</w:t>
      </w:r>
      <w:r w:rsidRPr="00734B7C">
        <w:rPr>
          <w:rFonts w:ascii="Simplified Arabic" w:eastAsia="Simplified Arabic" w:hAnsi="Simplified Arabic" w:cs="Simplified Arabic" w:hint="cs"/>
          <w:b/>
          <w:color w:val="2D74B5"/>
          <w:sz w:val="36"/>
          <w:rtl/>
        </w:rPr>
        <w:t>:</w:t>
      </w:r>
      <w:bookmarkEnd w:id="24"/>
    </w:p>
    <w:p w14:paraId="43B4D60F" w14:textId="77777777" w:rsidR="00734B7C" w:rsidRPr="00734B7C" w:rsidRDefault="00734B7C" w:rsidP="00DB3CD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في هذا الفصل تم تقديم عرض شامل للبحث، شمل:</w:t>
      </w:r>
    </w:p>
    <w:p w14:paraId="0B84D1BF" w14:textId="77777777" w:rsidR="00734B7C" w:rsidRPr="00734B7C" w:rsidRDefault="00734B7C" w:rsidP="00DB3CDE">
      <w:pPr>
        <w:numPr>
          <w:ilvl w:val="0"/>
          <w:numId w:val="11"/>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 xml:space="preserve">استعراض فكرة </w:t>
      </w:r>
      <w:r w:rsidRPr="00734B7C">
        <w:rPr>
          <w:rFonts w:ascii="Times New Roman" w:eastAsia="Times New Roman" w:hAnsi="Times New Roman" w:cs="Times New Roman" w:hint="cs"/>
          <w:kern w:val="0"/>
          <w:sz w:val="28"/>
          <w:szCs w:val="28"/>
          <w:rtl/>
          <w14:ligatures w14:val="none"/>
        </w:rPr>
        <w:t>الدراسة.</w:t>
      </w:r>
    </w:p>
    <w:p w14:paraId="016F4D21" w14:textId="77777777" w:rsidR="00734B7C" w:rsidRPr="00734B7C" w:rsidRDefault="00734B7C" w:rsidP="00DB3CDE">
      <w:pPr>
        <w:numPr>
          <w:ilvl w:val="0"/>
          <w:numId w:val="11"/>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تحديد مشكلة البحث وتساؤلاته، مع التركيز على دور إدارة المخاطر في تحسين كفاءة العمليات الجمركية، تعزيز الأمن الجمركي، ومكافحة التهريب.</w:t>
      </w:r>
    </w:p>
    <w:p w14:paraId="25EE9C11" w14:textId="77777777" w:rsidR="00734B7C" w:rsidRPr="00734B7C" w:rsidRDefault="00734B7C" w:rsidP="00DB3CDE">
      <w:pPr>
        <w:numPr>
          <w:ilvl w:val="0"/>
          <w:numId w:val="11"/>
        </w:numPr>
        <w:spacing w:before="100" w:beforeAutospacing="1" w:after="100" w:afterAutospacing="1" w:line="240" w:lineRule="auto"/>
        <w:ind w:right="331"/>
        <w:rPr>
          <w:rFonts w:ascii="Times New Roman" w:eastAsia="Times New Roman" w:hAnsi="Times New Roman" w:cs="Times New Roman"/>
          <w:kern w:val="0"/>
          <w:sz w:val="28"/>
          <w:szCs w:val="28"/>
          <w:rtl/>
          <w14:ligatures w14:val="none"/>
        </w:rPr>
      </w:pPr>
      <w:r w:rsidRPr="00734B7C">
        <w:rPr>
          <w:rFonts w:ascii="Times New Roman" w:eastAsia="Times New Roman" w:hAnsi="Times New Roman" w:cs="Times New Roman"/>
          <w:kern w:val="0"/>
          <w:sz w:val="28"/>
          <w:szCs w:val="28"/>
          <w:rtl/>
          <w14:ligatures w14:val="none"/>
        </w:rPr>
        <w:t>توضيح أهمية البحث والأهداف التي سيسعى لتحقيقها.</w:t>
      </w:r>
    </w:p>
    <w:p w14:paraId="4DE6110B" w14:textId="77777777" w:rsidR="00734B7C" w:rsidRPr="00734B7C" w:rsidRDefault="00734B7C" w:rsidP="00DB3CDE">
      <w:pPr>
        <w:numPr>
          <w:ilvl w:val="0"/>
          <w:numId w:val="11"/>
        </w:numPr>
        <w:spacing w:before="100" w:beforeAutospacing="1" w:after="100" w:afterAutospacing="1" w:line="240" w:lineRule="auto"/>
        <w:ind w:right="331"/>
        <w:rPr>
          <w:rFonts w:ascii="Times New Roman" w:eastAsia="Times New Roman" w:hAnsi="Times New Roman" w:cs="Times New Roman"/>
          <w:kern w:val="0"/>
          <w:sz w:val="28"/>
          <w:szCs w:val="28"/>
          <w14:ligatures w14:val="none"/>
        </w:rPr>
      </w:pPr>
      <w:r w:rsidRPr="00734B7C">
        <w:rPr>
          <w:rFonts w:ascii="Times New Roman" w:eastAsia="Times New Roman" w:hAnsi="Times New Roman" w:cs="Times New Roman"/>
          <w:kern w:val="0"/>
          <w:sz w:val="28"/>
          <w:szCs w:val="28"/>
          <w:rtl/>
          <w14:ligatures w14:val="none"/>
        </w:rPr>
        <w:t>عرض الفرضيات التي سيتم اختبارها في المراحل القادمة من الدراسة.</w:t>
      </w:r>
    </w:p>
    <w:p w14:paraId="0E28A250"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47E7819F"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17649132"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0822FC3D"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4133782B"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6E95D273"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04B774E6"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0D0C5D6C"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2E689EC0" w14:textId="77777777" w:rsidR="00734B7C" w:rsidRPr="00734B7C" w:rsidRDefault="00734B7C" w:rsidP="001A6444">
      <w:pPr>
        <w:spacing w:before="100" w:beforeAutospacing="1" w:after="100" w:afterAutospacing="1" w:line="240" w:lineRule="auto"/>
        <w:ind w:left="1" w:hanging="1"/>
        <w:rPr>
          <w:rFonts w:ascii="Times New Roman" w:eastAsia="Times New Roman" w:hAnsi="Times New Roman" w:cs="Times New Roman"/>
          <w:kern w:val="0"/>
          <w:sz w:val="28"/>
          <w:szCs w:val="28"/>
          <w:rtl/>
          <w14:ligatures w14:val="none"/>
        </w:rPr>
      </w:pPr>
    </w:p>
    <w:p w14:paraId="07ED2D74" w14:textId="77777777" w:rsidR="00734B7C" w:rsidRPr="00734B7C" w:rsidRDefault="00734B7C" w:rsidP="001A6444">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0F55DAF"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44"/>
          <w:szCs w:val="32"/>
        </w:rPr>
      </w:pPr>
      <w:bookmarkStart w:id="25" w:name="_Toc224413027"/>
      <w:r w:rsidRPr="00734B7C">
        <w:rPr>
          <w:rFonts w:ascii="Simplified Arabic" w:eastAsia="Simplified Arabic" w:hAnsi="Simplified Arabic" w:cs="Simplified Arabic"/>
          <w:b/>
          <w:color w:val="2D74B5"/>
          <w:sz w:val="44"/>
          <w:szCs w:val="32"/>
          <w:rtl/>
        </w:rPr>
        <w:lastRenderedPageBreak/>
        <w:t>الفصل الثاني</w:t>
      </w:r>
      <w:bookmarkEnd w:id="25"/>
    </w:p>
    <w:p w14:paraId="5017D24C"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44"/>
          <w:szCs w:val="32"/>
          <w:rtl/>
        </w:rPr>
      </w:pPr>
      <w:bookmarkStart w:id="26" w:name="_Toc224413028"/>
      <w:r w:rsidRPr="00734B7C">
        <w:rPr>
          <w:rFonts w:ascii="Simplified Arabic" w:eastAsia="Simplified Arabic" w:hAnsi="Simplified Arabic" w:cs="Simplified Arabic"/>
          <w:b/>
          <w:color w:val="2D74B5"/>
          <w:sz w:val="44"/>
          <w:szCs w:val="32"/>
          <w:rtl/>
        </w:rPr>
        <w:t>الإطار النظري</w:t>
      </w:r>
      <w:bookmarkEnd w:id="26"/>
    </w:p>
    <w:p w14:paraId="3CEB91A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roofErr w:type="gramStart"/>
      <w:r w:rsidRPr="00734B7C">
        <w:rPr>
          <w:rFonts w:ascii="Times New Roman" w:eastAsia="Simplified Arabic" w:hAnsi="Times New Roman" w:cs="Times New Roman" w:hint="cs"/>
          <w:color w:val="000000"/>
          <w:sz w:val="28"/>
          <w:szCs w:val="28"/>
          <w:rtl/>
        </w:rPr>
        <w:t>المقدمة :</w:t>
      </w:r>
      <w:proofErr w:type="gramEnd"/>
    </w:p>
    <w:p w14:paraId="343F06D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يُعدّ الأمن الجمركي أحد الركائز الأساسية في حماية الحدود وصون الاقتصاد الوطني، لاسيما في ظل تنامي حركة التجارة الدولية وتطور أساليب التهريب وتعقّدها. </w:t>
      </w:r>
    </w:p>
    <w:p w14:paraId="70F70E4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وتواجه الأنظمة الجمركية جملةً من المخاطر التي قد تؤثر في مستوى كفاءتها وفاعليتها، من أبرزها المخاطر الأمنية المرتبطة بتهريب الأسلحة والمخدرات والمواد المحظورة، والمخاطر الاقتصادية الناجمة عن التهريب التجاري أو التلاعب بالقيم الجمركية بقصد التهرب من الرسوم، إضافة إلى المخاطر الصحية الناتجة عن دخول سلع غير مطابقة للمواصفات كالأغذية الملوثة والأدوية المقلدة، والمخاطر البيئية المرتبطة بتهريب المواد الكيميائية أو النفايات الخطرة.</w:t>
      </w:r>
    </w:p>
    <w:p w14:paraId="50EC546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وفي هذا السياق، برزت إدارة المخاطر كمنهج إداري حديث يهدف إلى التعرف على المخاطر الجمركية وتحليلها وتقييمها، ثم وضع الآليات الكفيلة بالحد منها أو السيطرة عليها بكفاءة وفعالية. </w:t>
      </w:r>
    </w:p>
    <w:p w14:paraId="156F92C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ولم يعد العمل الجمركي مقتصرًا على الإجراءات التقليدية في التفتيش والمعاينة، بل أصبح يعتمد على أدوات تقنية متقدمة وأنظمة معلومات ذكية تسهم في رفع مستوى الجاهزية وتعزيز القدرة على الكشف المبكر عن محاولات التهريب.</w:t>
      </w:r>
    </w:p>
    <w:p w14:paraId="745E59B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وتأتي هذه الدراسة الموسومة بـ أثر إدارة المخاطر في تعزيز الأمن الجمركي ومكافحة التهريب: دراسة تطبيقية على هيئة الزكاة والضريبة والجمارك في المملكة العربية السعودية لبحث الدور الذي تؤديه إدارة المخاطر في دعم منظومة الأمن الجمركي، وبيان مدى إسهامها في رفع كفاءة العمل الجمركي والحد من جرائم التهريب بمختلف صورها. كما تسعى الدراسة إلى تحليل التجربة التطبيقية للهيئة في تبني استراتيجيات إدارة المخاطر، وقياس أثرها في تعزيز حماية المنافذ، وتيسير حركة التجارة المشروعة، وتحقيق التوازن بين متطلبات الأمن ومتطلبات التنمية الاقتصادية.</w:t>
      </w:r>
    </w:p>
    <w:p w14:paraId="62A5C77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المبحث </w:t>
      </w:r>
      <w:proofErr w:type="gramStart"/>
      <w:r w:rsidRPr="00734B7C">
        <w:rPr>
          <w:rFonts w:ascii="Times New Roman" w:eastAsia="Simplified Arabic" w:hAnsi="Times New Roman" w:cs="Times New Roman"/>
          <w:color w:val="000000"/>
          <w:sz w:val="28"/>
          <w:szCs w:val="28"/>
          <w:rtl/>
        </w:rPr>
        <w:t>الاول :</w:t>
      </w:r>
      <w:proofErr w:type="gramEnd"/>
      <w:r w:rsidRPr="00734B7C">
        <w:rPr>
          <w:rFonts w:ascii="Times New Roman" w:eastAsia="Simplified Arabic" w:hAnsi="Times New Roman" w:cs="Times New Roman"/>
          <w:color w:val="000000"/>
          <w:sz w:val="28"/>
          <w:szCs w:val="28"/>
          <w:rtl/>
        </w:rPr>
        <w:t xml:space="preserve"> الامن الجمركي وتعزيز جاهزية المنافذ </w:t>
      </w:r>
    </w:p>
    <w:p w14:paraId="0CE2A47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المبحث </w:t>
      </w:r>
      <w:proofErr w:type="gramStart"/>
      <w:r w:rsidRPr="00734B7C">
        <w:rPr>
          <w:rFonts w:ascii="Times New Roman" w:eastAsia="Simplified Arabic" w:hAnsi="Times New Roman" w:cs="Times New Roman"/>
          <w:color w:val="000000"/>
          <w:sz w:val="28"/>
          <w:szCs w:val="28"/>
          <w:rtl/>
        </w:rPr>
        <w:t>الثاني :</w:t>
      </w:r>
      <w:proofErr w:type="gramEnd"/>
      <w:r w:rsidRPr="00734B7C">
        <w:rPr>
          <w:rFonts w:ascii="Times New Roman" w:eastAsia="Simplified Arabic" w:hAnsi="Times New Roman" w:cs="Times New Roman"/>
          <w:color w:val="000000"/>
          <w:sz w:val="28"/>
          <w:szCs w:val="28"/>
          <w:rtl/>
        </w:rPr>
        <w:t xml:space="preserve"> ادارة المخاطر في البيئة الجمركية </w:t>
      </w:r>
    </w:p>
    <w:p w14:paraId="6DCBF01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المبحث </w:t>
      </w:r>
      <w:proofErr w:type="gramStart"/>
      <w:r w:rsidRPr="00734B7C">
        <w:rPr>
          <w:rFonts w:ascii="Times New Roman" w:eastAsia="Simplified Arabic" w:hAnsi="Times New Roman" w:cs="Times New Roman"/>
          <w:color w:val="000000"/>
          <w:sz w:val="28"/>
          <w:szCs w:val="28"/>
          <w:rtl/>
        </w:rPr>
        <w:t>الثالث :</w:t>
      </w:r>
      <w:proofErr w:type="gramEnd"/>
      <w:r w:rsidRPr="00734B7C">
        <w:rPr>
          <w:rFonts w:ascii="Times New Roman" w:eastAsia="Simplified Arabic" w:hAnsi="Times New Roman" w:cs="Times New Roman"/>
          <w:color w:val="000000"/>
          <w:sz w:val="28"/>
          <w:szCs w:val="28"/>
          <w:rtl/>
        </w:rPr>
        <w:t xml:space="preserve"> العلاقة بين ادارة المخاطر وتعزيز الامن الجمركي ومكافحة التهريب </w:t>
      </w:r>
    </w:p>
    <w:p w14:paraId="43C7CA6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2AB9B1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C6AAA5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3166AC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E0C438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7870142"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44"/>
          <w:szCs w:val="32"/>
        </w:rPr>
      </w:pPr>
      <w:bookmarkStart w:id="27" w:name="_Toc224413029"/>
      <w:r w:rsidRPr="00734B7C">
        <w:rPr>
          <w:rFonts w:ascii="Simplified Arabic" w:eastAsia="Simplified Arabic" w:hAnsi="Simplified Arabic" w:cs="Simplified Arabic"/>
          <w:b/>
          <w:color w:val="2D74B5"/>
          <w:sz w:val="44"/>
          <w:szCs w:val="32"/>
          <w:rtl/>
        </w:rPr>
        <w:lastRenderedPageBreak/>
        <w:t xml:space="preserve">المبحث </w:t>
      </w:r>
      <w:proofErr w:type="gramStart"/>
      <w:r w:rsidRPr="00734B7C">
        <w:rPr>
          <w:rFonts w:ascii="Simplified Arabic" w:eastAsia="Simplified Arabic" w:hAnsi="Simplified Arabic" w:cs="Simplified Arabic"/>
          <w:b/>
          <w:color w:val="2D74B5"/>
          <w:sz w:val="44"/>
          <w:szCs w:val="32"/>
          <w:rtl/>
        </w:rPr>
        <w:t>الاول :</w:t>
      </w:r>
      <w:proofErr w:type="gramEnd"/>
      <w:r w:rsidRPr="00734B7C">
        <w:rPr>
          <w:rFonts w:ascii="Simplified Arabic" w:eastAsia="Simplified Arabic" w:hAnsi="Simplified Arabic" w:cs="Simplified Arabic"/>
          <w:b/>
          <w:color w:val="2D74B5"/>
          <w:sz w:val="44"/>
          <w:szCs w:val="32"/>
          <w:rtl/>
        </w:rPr>
        <w:t xml:space="preserve"> الامن الجمركي وتعزيز جاهزية المنافذ</w:t>
      </w:r>
      <w:bookmarkEnd w:id="27"/>
    </w:p>
    <w:p w14:paraId="714826CD" w14:textId="77777777" w:rsidR="00734B7C" w:rsidRPr="00734B7C" w:rsidRDefault="00734B7C" w:rsidP="001A6444">
      <w:pPr>
        <w:spacing w:after="158" w:line="259" w:lineRule="auto"/>
        <w:ind w:left="10" w:right="62" w:hanging="10"/>
        <w:jc w:val="center"/>
        <w:rPr>
          <w:rFonts w:ascii="Times New Roman" w:eastAsia="Simplified Arabic" w:hAnsi="Times New Roman" w:cs="Times New Roman"/>
          <w:color w:val="4472C4"/>
          <w:sz w:val="28"/>
          <w:szCs w:val="28"/>
          <w:rtl/>
        </w:rPr>
      </w:pPr>
      <w:r w:rsidRPr="00734B7C">
        <w:rPr>
          <w:rFonts w:ascii="Times New Roman" w:eastAsia="Simplified Arabic" w:hAnsi="Times New Roman" w:cs="Times New Roman"/>
          <w:color w:val="4472C4"/>
          <w:sz w:val="28"/>
          <w:szCs w:val="28"/>
          <w:rtl/>
        </w:rPr>
        <w:t>مقدمة</w:t>
      </w:r>
    </w:p>
    <w:p w14:paraId="780580E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يُعدّ الأمن الجمركي أحد المرتكزات الأساسية لحماية الحدود وصون المصالح الاقتصادية للدولة، ويزداد دوره أهمية في ظل الانفتاح التجاري وتسارع حركة التجارة الدولية وتطور أساليب التهريب. وفي هذا الإطار، برزت إدارة المخاطر كمنهج استراتيجي حديث يسهم في دعم منظومة العمل الجمركي من خلال تحديد مصادر الخطر وتحليلها وتقييم احتمالية وقوعها وآثارها، ثم وضع التدابير الملائمة للحد منها أو السيطرة عليها بكفاءة وفعالية.</w:t>
      </w:r>
    </w:p>
    <w:p w14:paraId="062F16A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إن فاعلية الإدارة الجمركية لم تعد تقاس فقط بقدرتها على ضبط المخالفات، بل بمدى نجاحها في تبني أساليب علمية لإدارة المخاطر تُمكّنها من تحقيق التوازن بين تعزيز الأمن الجمركي ومكافحة التهريب من جهة، وتيسير حركة التجارة المشروعة من جهة أخرى. فإدارة المخاطر تتيح توجيه الموارد نحو الأنشطة أو الشحنات أو العمليات ذات الخطورة المرتفعة، مما يرفع من كفاءة الأداء ويحد من الهدر في الوقت والجهد.</w:t>
      </w:r>
    </w:p>
    <w:p w14:paraId="5783E9F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وتتزايد أهمية هذا التوجه في ظل التحديات المعقدة التي تواجه البيئة الجمركية، كتنوع أنماط التهريب، وتنامي الجرائم المنظمة العابرة للحدود، وتطور الوسائل التقنية المستخدمة في إخفاء السلع المحظورة أو التلاعب بالبيانات. ومن ثمّ، أصبح من الضروري اعتماد أنظمة معلومات متقدمة، وقواعد بيانات مترابطة، وتحليلات ذكية تدعم عملية اتخاذ القرار المبني على تقييم المخاطر.</w:t>
      </w:r>
    </w:p>
    <w:p w14:paraId="7AB2990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وفي هذا السياق، تبرز تجربة هيئة الزكاة والضريبة والجمارك في المملكة العربية السعودية كنموذج تطبيقي يعكس التحول نحو تبني إدارة المخاطر كأداة رئيسية لتعزيز الأمن الجمركي ومكافحة التهريب، من خلال تطوير الأطر التنظيمية، وتوظيف التقنيات الحديثة، ورفع مستوى التنسيق مع الجهات ذات العلاقة.</w:t>
      </w:r>
    </w:p>
    <w:p w14:paraId="30A51FD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وعليه، يهدف هذا الجزء إلى تحليل مفهوم إدارة المخاطر في البيئة الجمركية، وبيان أثرها في تعزيز الأمن الجمركي ومكافحة التهريب، مع إبراز الأبعاد التطبيقية ذات الصلة بالتجربة السعودية، بما يسهم في توضيح الدور المحوري لإدارة المخاطر في دعم كفاءة العمل الجمركي وتحقيق مستهدفاته الأمنية والاقتصادية.</w:t>
      </w:r>
    </w:p>
    <w:p w14:paraId="49C28E62"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مفهوم الامن الجمركي </w:t>
      </w:r>
    </w:p>
    <w:p w14:paraId="47DD304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تشير إدارة المخاطر في البيئة الجمركية إلى القدرة على تحديد مصادر الخطر المحتملة، وتحليلها وتقييمها وفق أسس علمية، ثم اتخاذ التدابير المناسبة للتعامل معها بما يحقق الامتثال للأنظمة ويعزز مكافحة التهريب بكفاءة وفعالية. وتقوم هذه الإدارة على تحقيق توازن دقيق بين تعزيز الأمن الجمركي وحماية الاقتصاد الوطني من جهة، وتيسير حركة التجارة المشروعة من جهة أخرى، بحيث تُوجَّه الجهود والموارد نحو الأنشطة أو العمليات ذات الخطورة الأعلى دون إعاقة غير مبررة للتدفقات التجارية.</w:t>
      </w:r>
    </w:p>
    <w:p w14:paraId="0B92C6A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ولا تقتصر إدارة المخاطر على مجرد رصد المخالفات، بل تشمل بناء منظومة متكاملة تعتمد على تحليل البيانات، وتقييم احتمالية وقوع المخاطر وآثارها، ووضع آليات استجابة مناسبة تقلل من آثارها السلبية. كما تستلزم تنسيقًا فعالًا بين الجهات ذات العلاقة، وتطبيق أفضل الممارسات </w:t>
      </w:r>
      <w:r w:rsidRPr="00734B7C">
        <w:rPr>
          <w:rFonts w:ascii="Times New Roman" w:eastAsia="Simplified Arabic" w:hAnsi="Times New Roman" w:cs="Times New Roman"/>
          <w:color w:val="000000"/>
          <w:sz w:val="28"/>
          <w:szCs w:val="28"/>
          <w:rtl/>
        </w:rPr>
        <w:lastRenderedPageBreak/>
        <w:t>والمعايير الدولية في مجال إدارة المخاطر الجمركية، بما يسهم في رفع مستوى الكفاءة المؤسسية وتعزيز القدرة على مواجهة التحديات المستجدة.</w:t>
      </w:r>
    </w:p>
    <w:p w14:paraId="18DABB0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علاوة على ذلك، تتطلب إدارة المخاطر تصنيف العمليات والشحنات وفق مستويات خطورة محددة بناءً على طبيعة البضائع، ومصدرها، وسجل المتعاملين، وأنماط السلوك السابقة، الأمر الذي يسهم في استهداف الحالات ذات الخطورة المرتفعة بصورة أدق وأكثر فاعلية. ويعزز هذا التوجه من كفاءة استخدام الموارد، ويدعم اتخاذ قرارات مبنية على معلومات وتحليلات دقيقة.</w:t>
      </w:r>
    </w:p>
    <w:p w14:paraId="1A449E6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وفي هذا السياق، تمثل التجربة التطبيقية لـ هيئة الزكاة والضريبة والجمارك في المملكة العربية السعودية نموذجًا متقدمًا في توظيف إدارة المخاطر ضمن منظومة العمل الجمركي، من خلال تبني أنظمة تقنية متطورة، وتطوير قواعد بيانات مترابطة، ورفع كفاءة الكوادر البشرية عبر التدريب المستمر، بما يسهم في تعزيز الأمن الجمركي ومكافحة التهريب وتحقيق مستهدفات التنمية الاقتصادية.</w:t>
      </w:r>
    </w:p>
    <w:p w14:paraId="557EBAF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وعليه، فإن إدارة المخاطر تمثل إطارًا متكاملاً يجمع بين التنظيم المؤسسي الفعّال، والتقنيات الحديثة، والكفاءة البشرية في تحليل المعلومات واتخاذ القرارات الرشيدة، بما يحقق حماية الحدود، ويعزز الأمن الاقتصادي، ويدعم انسيابية التجارة في آنٍ واحد.</w:t>
      </w:r>
    </w:p>
    <w:p w14:paraId="79D7DA9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4472C4"/>
          <w:sz w:val="28"/>
          <w:szCs w:val="28"/>
          <w:rtl/>
        </w:rPr>
      </w:pPr>
      <w:r w:rsidRPr="00734B7C">
        <w:rPr>
          <w:rFonts w:ascii="Times New Roman" w:eastAsia="Simplified Arabic" w:hAnsi="Times New Roman" w:cs="Times New Roman"/>
          <w:color w:val="4472C4"/>
          <w:sz w:val="28"/>
          <w:szCs w:val="28"/>
          <w:rtl/>
        </w:rPr>
        <w:t xml:space="preserve">اهمية الامن </w:t>
      </w:r>
      <w:proofErr w:type="gramStart"/>
      <w:r w:rsidRPr="00734B7C">
        <w:rPr>
          <w:rFonts w:ascii="Times New Roman" w:eastAsia="Simplified Arabic" w:hAnsi="Times New Roman" w:cs="Times New Roman"/>
          <w:color w:val="4472C4"/>
          <w:sz w:val="28"/>
          <w:szCs w:val="28"/>
          <w:rtl/>
        </w:rPr>
        <w:t>الجمركي </w:t>
      </w:r>
      <w:r w:rsidRPr="00734B7C">
        <w:rPr>
          <w:rFonts w:ascii="Times New Roman" w:eastAsia="Simplified Arabic" w:hAnsi="Times New Roman" w:cs="Times New Roman" w:hint="cs"/>
          <w:color w:val="4472C4"/>
          <w:sz w:val="28"/>
          <w:szCs w:val="28"/>
          <w:rtl/>
        </w:rPr>
        <w:t>:</w:t>
      </w:r>
      <w:proofErr w:type="gramEnd"/>
    </w:p>
    <w:p w14:paraId="68E8CD0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حماية الاقتصاد الوطني</w:t>
      </w:r>
    </w:p>
    <w:p w14:paraId="460E9C8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تُسهم إدارة المخاطر في دعم الاقتصاد الوطني من خلال توجيه الجهود نحو العمليات ذات الاحتمالية الأعلى للمخالفة، مما يعزز كفاءة تحصيل الرسوم والضرائب المستحقة ويحد من محاولات التهرب. كما تساعد في حماية السوق المحلي من الممارسات غير المشروعة، كالإغراق أو إدخال السلع المخالفة، بما يضمن بيئة تنافسية عادلة ويدعم استقرار الأنشطة الاقتصادية المشروعة.</w:t>
      </w:r>
    </w:p>
    <w:p w14:paraId="39979AB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تعزيز الأمن والسلامة</w:t>
      </w:r>
    </w:p>
    <w:p w14:paraId="0818519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تؤدي إدارة المخاطر دورًا محوريًا في دعم الأمن الجمركي عبر تحليل الأنماط والمؤشرات المرتبطة بالتهريب والأنشطة غير النظامية، مما يمكّن من الكشف المبكر عن الشحنات أو العمليات ذات الخطورة المرتفعة، مثل المواد المحظورة أو الخطرة. ويسهم ذلك في تقليل التهديدات الأمنية، والحد من الجرائم العابرة للحدود، وتعزيز مستوى الحماية داخل الدولة.</w:t>
      </w:r>
    </w:p>
    <w:p w14:paraId="27FF4DF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تحقيق الامتثال للاتفاقيات الدولية</w:t>
      </w:r>
    </w:p>
    <w:p w14:paraId="085F18C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تدعم إدارة المخاطر التزام الدولة بالاتفاقيات الدولية ذات الصلة بالتجارة ومكافحة التهريب، من خلال تطبيق منهجيات علمية تتوافق مع المعايير العالمية في إدارة العمل الجمركي. ويسهم ذلك في تعزيز الثقة الدولية، وتحسين تصنيف الدولة في مؤشرات تسهيل التجارة، ودعم التعاون مع الإدارات الجمركية في الدول الأخرى.</w:t>
      </w:r>
    </w:p>
    <w:p w14:paraId="43477E6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رفع كفاءة الإجراءات وتعزيز انسيابية التجارة</w:t>
      </w:r>
    </w:p>
    <w:p w14:paraId="28C876D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من خلال تبني أساليب تقييم المخاطر والتحليل المسبق للبيانات، يتم تسريع إنجاز العمليات المرتبطة بالأنشطة منخفضة المخاطر، مع تركيز الجهود على الحالات ذات الأولوية. ويحقق </w:t>
      </w:r>
      <w:r w:rsidRPr="00734B7C">
        <w:rPr>
          <w:rFonts w:ascii="Times New Roman" w:eastAsia="Simplified Arabic" w:hAnsi="Times New Roman" w:cs="Times New Roman"/>
          <w:color w:val="000000"/>
          <w:sz w:val="28"/>
          <w:szCs w:val="28"/>
          <w:rtl/>
        </w:rPr>
        <w:lastRenderedPageBreak/>
        <w:t>هذا النهج توازنًا بين متطلبات الأمن ومتطلبات تسهيل التجارة، ويقلل من التأخير والتكاليف التشغيلية، ويعزز من كفاءة سلاسل الإمداد.</w:t>
      </w:r>
    </w:p>
    <w:p w14:paraId="2D846FB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حماية الصحة العامة والبيئة</w:t>
      </w:r>
    </w:p>
    <w:p w14:paraId="4CBDEC1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تُسهم إدارة المخاطر في الحد من دخول السلع التي قد تشكل خطرًا على الصحة العامة أو البيئة، من خلال تحليل البيانات المتعلقة بطبيعة المنتجات ومصادرها وسجل المتعاملين بها. ويعزز هذا النهج من قدرة الجهات المختصة على التعامل الاستباقي مع المخاطر المحتملة، بما يدعم سلامة المجتمع ويحافظ على الاستدامة البيئية.</w:t>
      </w:r>
    </w:p>
    <w:p w14:paraId="2D16DB7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وبذلك يتضح أن إدارة المخاطر تمثل أداة استراتيجية متكاملة لتعزيز الأمن الجمركي ومكافحة التهريب، ودعم الاقتصاد الوطني، وتحقيق التوازن بين حماية الحدود وتيسير حركة التجارة المشروعة، لا سيما في إطار التطبيق العملي لدى هيئة الزكاة والضريبة والجمارك في المملكة العربية السعودية.</w:t>
      </w:r>
    </w:p>
    <w:p w14:paraId="60EE250B"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2B0FF568"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اهمية الامن الجمركي في حماية الحدود </w:t>
      </w:r>
    </w:p>
    <w:p w14:paraId="1E466B87"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حماية السيادة وتعزيز السيطرة على المنافذ</w:t>
      </w:r>
    </w:p>
    <w:p w14:paraId="0E97DE3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يُعدّ الأمن الجمركي أحد أهم أدوات الدولة في بسط سيادتها على حدودها البرية والبحرية والجوية، من خلال إحكام الرقابة على حركة السلع والبضائع، وضمان خضوعها للأنظمة والتعليمات المعمول بها، بما يمنع استغلال المنافذ في أنشطة غير مشروعة</w:t>
      </w:r>
    </w:p>
    <w:p w14:paraId="73353C2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الحد من التهريب والجرائم العابرة للحدود</w:t>
      </w:r>
    </w:p>
    <w:p w14:paraId="5C5158E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يسهم الأمن الجمركي في مكافحة تهريب السلع المحظورة والمقيدة، مثل المخدرات والأسلحة والمنتجات المقلدة، عبر تبني أساليب قائمة على إدارة المخاطر وتحليل البيانات، مما يعزز القدرة على كشف الأنماط غير النظامية والتصدي لها بكفاءة وفعالية.</w:t>
      </w:r>
    </w:p>
    <w:p w14:paraId="37CD046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حماية الاقتصاد الوطني</w:t>
      </w:r>
    </w:p>
    <w:p w14:paraId="4F2F369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يؤدي الأمن الجمركي دورًا محوريًا في منع التهرب الجمركي وضمان تحصيل الرسوم المستحقة، مما يدعم الإيرادات العامة للدولة. كما يحمي السوق المحلي من المنافسة غير العادلة الناتجة عن دخول سلع مهربة أو غير مطابقة للمواصفات، ويسهم في دعم الصناعات الوطنية وتعزيز تنافسيتها.</w:t>
      </w:r>
    </w:p>
    <w:p w14:paraId="614D2D4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تعزيز الأمن الوطني والسلامة العامة:</w:t>
      </w:r>
    </w:p>
    <w:p w14:paraId="68CE8CA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من خلال منع دخول المواد الخطرة أو المحظورة، يساهم الأمن الجمركي في تقليل المخاطر التي قد تمس أمن المجتمع واستقراره، ويحد من انتشار الأنشطة الإجرامية المرتبطة بالشبكات المنظمة العابرة للحدود.</w:t>
      </w:r>
    </w:p>
    <w:p w14:paraId="56F7B62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5. حماية الصحة العامة </w:t>
      </w:r>
      <w:proofErr w:type="gramStart"/>
      <w:r w:rsidRPr="00734B7C">
        <w:rPr>
          <w:rFonts w:ascii="Times New Roman" w:eastAsia="Simplified Arabic" w:hAnsi="Times New Roman" w:cs="Times New Roman"/>
          <w:color w:val="000000"/>
          <w:sz w:val="28"/>
          <w:szCs w:val="28"/>
          <w:rtl/>
        </w:rPr>
        <w:t>والبيئة :</w:t>
      </w:r>
      <w:proofErr w:type="gramEnd"/>
    </w:p>
    <w:p w14:paraId="781469F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يساعد الأمن الجمركي في منع دخول السلع التي قد تشكل تهديدًا للصحة أو البيئة، كالأغذية الفاسدة أو المواد الكيميائية الخطرة، عبر تطبيق إجراءات رقابية تستند إلى تقييم المخاطر، بما يحافظ على سلامة المجتمع ويعزز الاستدامة البيئية.</w:t>
      </w:r>
    </w:p>
    <w:p w14:paraId="4232C4A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6. تحقيق التنمية الاقتصادية </w:t>
      </w:r>
      <w:proofErr w:type="gramStart"/>
      <w:r w:rsidRPr="00734B7C">
        <w:rPr>
          <w:rFonts w:ascii="Times New Roman" w:eastAsia="Simplified Arabic" w:hAnsi="Times New Roman" w:cs="Times New Roman"/>
          <w:color w:val="000000"/>
          <w:sz w:val="28"/>
          <w:szCs w:val="28"/>
          <w:rtl/>
        </w:rPr>
        <w:t>المستدامة :</w:t>
      </w:r>
      <w:proofErr w:type="gramEnd"/>
    </w:p>
    <w:p w14:paraId="30AE5DD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يسهم الأمن الجمركي في إيجاد بيئة تجارية مستقرة تقوم على الامتثال والشفافية، مما يعزز ثقة المستثمرين ويشجع على تدفق الاستثمارات، ويدعم أهداف التنمية طويلة المدى من خلال تحقيق التوازن بين حماية الحدود وتيسير التجارة المشروعة.</w:t>
      </w:r>
    </w:p>
    <w:p w14:paraId="2C528C3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7. تعزيز الشفافية </w:t>
      </w:r>
      <w:proofErr w:type="gramStart"/>
      <w:r w:rsidRPr="00734B7C">
        <w:rPr>
          <w:rFonts w:ascii="Times New Roman" w:eastAsia="Simplified Arabic" w:hAnsi="Times New Roman" w:cs="Times New Roman"/>
          <w:color w:val="000000"/>
          <w:sz w:val="28"/>
          <w:szCs w:val="28"/>
          <w:rtl/>
        </w:rPr>
        <w:t>والحوكمة :</w:t>
      </w:r>
      <w:proofErr w:type="gramEnd"/>
      <w:r w:rsidRPr="00734B7C">
        <w:rPr>
          <w:rFonts w:ascii="Times New Roman" w:eastAsia="Simplified Arabic" w:hAnsi="Times New Roman" w:cs="Times New Roman"/>
          <w:color w:val="000000"/>
          <w:sz w:val="28"/>
          <w:szCs w:val="28"/>
          <w:rtl/>
        </w:rPr>
        <w:t> </w:t>
      </w:r>
    </w:p>
    <w:p w14:paraId="75D92F8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يعتمد الأمن الجمركي الحديث على معايير واضحة وإجراءات قائمة على تحليل المخاطر، الأمر الذي يقلل من الاجتهادات الفردية ويعزز النزاهة المؤسسية، ويسهم في بناء الثقة بين الجهات الحكومية والقطاع الخاص.</w:t>
      </w:r>
    </w:p>
    <w:p w14:paraId="280063C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8. دعم الالتزامات والتعاون الدولي:</w:t>
      </w:r>
    </w:p>
    <w:p w14:paraId="32014D5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يساعد الأمن الجمركي في الوفاء بالاتفاقيات الدولية ذات الصلة بالتجارة ومكافحة التهريب، ويعزز من التعاون وتبادل المعلومات مع الإدارات الجمركية في الدول الأخرى، بما يرفع من كفاءة التصدي للمخاطر المشتركة.</w:t>
      </w:r>
    </w:p>
    <w:p w14:paraId="7701FB3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9. رفع كفاءة إدارة الموارد:</w:t>
      </w:r>
    </w:p>
    <w:p w14:paraId="220E842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من خلال توجيه الجهود نحو الأنشطة الأعلى خطورة وفق منهجية إدارة المخاطر، يتم استخدام الموارد البشرية والتقنية بصورة أكثر كفاءة، مما يزيد من فعالية العمل الجمركي ويحد من الهدر.</w:t>
      </w:r>
    </w:p>
    <w:p w14:paraId="21F0C80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10. تعزيز الثقة في البيئة التجارية:</w:t>
      </w:r>
    </w:p>
    <w:p w14:paraId="2D3671B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عندما تتسم المنظومة الجمركية بالكفاءة والوضوح والعدالة، فإن ذلك يعزز ثقة المتعاملين والمستثمرين في الإجراءات المعتمدة، ويدعم سمعة الدولة كمركز تجاري آمن ومنظم.</w:t>
      </w:r>
    </w:p>
    <w:p w14:paraId="1CB428C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وتبرز هذه الأهمية في الإطار التطبيقي الذي تنتهجه هيئة الزكاة والضريبة والجمارك في المملكة العربية السعودية، حيث يشكل الأمن الجمركي وإدارة المخاطر محورين أساسيين في حماية الحدود وتعزيز كفاءة العمل الجمركي بما يتوافق مع مستهدفات التنمية الوطنية.</w:t>
      </w:r>
    </w:p>
    <w:p w14:paraId="468E45B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B1495D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4472C4"/>
          <w:sz w:val="28"/>
          <w:szCs w:val="28"/>
          <w:rtl/>
        </w:rPr>
      </w:pPr>
      <w:r w:rsidRPr="00734B7C">
        <w:rPr>
          <w:rFonts w:ascii="Times New Roman" w:eastAsia="Simplified Arabic" w:hAnsi="Times New Roman" w:cs="Times New Roman"/>
          <w:color w:val="4472C4"/>
          <w:sz w:val="28"/>
          <w:szCs w:val="28"/>
          <w:rtl/>
        </w:rPr>
        <w:t>ادوات اجراءات دعم الامن الجمركي</w:t>
      </w:r>
      <w:r w:rsidRPr="00734B7C">
        <w:rPr>
          <w:rFonts w:ascii="Times New Roman" w:eastAsia="Simplified Arabic" w:hAnsi="Times New Roman" w:cs="Times New Roman" w:hint="cs"/>
          <w:color w:val="4472C4"/>
          <w:sz w:val="28"/>
          <w:szCs w:val="28"/>
          <w:rtl/>
        </w:rPr>
        <w:t>:</w:t>
      </w:r>
    </w:p>
    <w:p w14:paraId="3FC5C46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أدوات وإجراءات دعم الأمن الجمركي عنصرًا أساسيًا في تفعيل منهج إدارة المخاطر وتعزيز القدرة على مكافحة التهريب، حيث لم يعد العمل الجمركي يعتمد على الوسائل التقليدية فقط، بل أصبح يرتكز على منظومة متكاملة تجمع بين التقنيات الحديثة، وتحليل البيانات، ورفع كفاءة العنصر البشري، بما يحقق حماية الحدود دون الإخلال بانسيابية التجارة المشروعة.</w:t>
      </w:r>
    </w:p>
    <w:p w14:paraId="210BA49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وفيما يلي أبرز الأدوات والإجراءات الداعمة للأمن الجمركي في هذا الإطار:</w:t>
      </w:r>
    </w:p>
    <w:p w14:paraId="56B514A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 xml:space="preserve">1. منهجية إدارة المخاطر والتصنيف </w:t>
      </w:r>
      <w:proofErr w:type="gramStart"/>
      <w:r w:rsidRPr="00734B7C">
        <w:rPr>
          <w:rFonts w:ascii="Times New Roman" w:eastAsia="Simplified Arabic" w:hAnsi="Times New Roman" w:cs="Times New Roman"/>
          <w:color w:val="000000"/>
          <w:sz w:val="28"/>
          <w:szCs w:val="28"/>
          <w:rtl/>
        </w:rPr>
        <w:t>المسبق :</w:t>
      </w:r>
      <w:proofErr w:type="gramEnd"/>
      <w:r w:rsidRPr="00734B7C">
        <w:rPr>
          <w:rFonts w:ascii="Times New Roman" w:eastAsia="Simplified Arabic" w:hAnsi="Times New Roman" w:cs="Times New Roman"/>
          <w:color w:val="000000"/>
          <w:sz w:val="28"/>
          <w:szCs w:val="28"/>
          <w:rtl/>
        </w:rPr>
        <w:t> </w:t>
      </w:r>
    </w:p>
    <w:p w14:paraId="7BE663E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تعتمد الإدارات الجمركية الحديثة على أنظمة متقدمة لتقييم المخاطر وتصنيف العمليات أو الشحنات وفق مستويات خطورة محددة، استنادًا إلى طبيعة البضائع، ومصدرها، وسجل المتعاملين، وأنماط المخالفات السابقة. ويسهم هذا الإجراء في توجيه الموارد نحو الحالات ذات الأولوية، ورفع كفاءة الأداء الأمني.</w:t>
      </w:r>
    </w:p>
    <w:p w14:paraId="5093337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أنظمة الفحص غير التدميري (الأشعة السينية والماسحات المتقدمة</w:t>
      </w:r>
      <w:proofErr w:type="gramStart"/>
      <w:r w:rsidRPr="00734B7C">
        <w:rPr>
          <w:rFonts w:ascii="Times New Roman" w:eastAsia="Simplified Arabic" w:hAnsi="Times New Roman" w:cs="Times New Roman"/>
          <w:color w:val="000000"/>
          <w:sz w:val="28"/>
          <w:szCs w:val="28"/>
          <w:rtl/>
        </w:rPr>
        <w:t>) :</w:t>
      </w:r>
      <w:proofErr w:type="gramEnd"/>
      <w:r w:rsidRPr="00734B7C">
        <w:rPr>
          <w:rFonts w:ascii="Times New Roman" w:eastAsia="Simplified Arabic" w:hAnsi="Times New Roman" w:cs="Times New Roman"/>
          <w:color w:val="000000"/>
          <w:sz w:val="28"/>
          <w:szCs w:val="28"/>
          <w:rtl/>
        </w:rPr>
        <w:t> </w:t>
      </w:r>
    </w:p>
    <w:p w14:paraId="3A2B207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تُستخدم تقنيات الفحص الإشعاعي والماسحات المتطورة لتحليل محتويات الشحنات والحاويات دون الحاجة إلى فتحها، مما يتيح الكشف السريع عن المواد المحظورة أو المخفية بطرق احترافية. وتدعم هذه التقنيات تعزيز الأمن الجمركي مع تقليل زمن الإجراءات.</w:t>
      </w:r>
    </w:p>
    <w:p w14:paraId="23888DA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تحليل البيانات والذكاء الاصطناعي:</w:t>
      </w:r>
    </w:p>
    <w:p w14:paraId="48B0250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تمثل تقنيات تحليل البيانات الضخمة والذكاء الاصطناعي أداة استراتيجية في دعم اتخاذ القرار، حيث يتم تحليل السجلات الجمركية والأنماط التجارية لاكتشاف المؤشرات غير الاعتيادية، والتنبؤ بالمخاطر المحتملة، بما يعزز من فعالية مكافحة التهريب ويُحسن استهداف الحالات عالية الخطورة.</w:t>
      </w:r>
    </w:p>
    <w:p w14:paraId="2888543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التكامل الإلكتروني وتبادل المعلومات:</w:t>
      </w:r>
    </w:p>
    <w:p w14:paraId="11133B9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يسهم الربط الإلكتروني بين الجهات ذات العلاقة محليًا ودوليًا في تعزيز كفاءة الأمن الجمركي، من خلال تبادل المعلومات والبيانات ذات الصلة بالسلع أو المتعاملين أو المخاطر المحتملة، مما يدعم الاستجابة السريعة والتنسيق الفعّال.</w:t>
      </w:r>
    </w:p>
    <w:p w14:paraId="29E2BF0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التحليل الفني والمختبرات المتخصصة:</w:t>
      </w:r>
    </w:p>
    <w:p w14:paraId="7AC6D32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تُستخدم المختبرات الفنية لإجراء تحاليل دقيقة للمواد المشتبه بها، سواء تعلّق الأمر بالمواد الكيميائية أو المنتجات المقلدة أو السلع غير المطابقة للمواصفات، بما يضمن اتخاذ قرارات مبنية على أسس علمية دقيقة.</w:t>
      </w:r>
    </w:p>
    <w:p w14:paraId="389F125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6. الوسائل المساندة للكشف الأمني:</w:t>
      </w:r>
    </w:p>
    <w:p w14:paraId="498FCD5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تشمل استخدام الوسائل التقنية المتخصصة للكشف عن المواد المتفجرة أو الخطرة، إضافة إلى الاستعانة بوسائل داعمة للكشف عن المواد المحظورة، بما يعزز من مستوى الحماية الأمنية في المنافذ الجمركية.</w:t>
      </w:r>
    </w:p>
    <w:p w14:paraId="2CC5DA8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7. تأهيل الكوادر البشرية والتدريب المستمر:</w:t>
      </w:r>
    </w:p>
    <w:p w14:paraId="3D5E196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يمثل العنصر البشري حجر الأساس في منظومة الأمن الجمركي، إذ تتطلب إدارة المخاطر كفاءات قادرة على تحليل البيانات وتفسير المؤشرات واتخاذ القرارات المناسبة. </w:t>
      </w:r>
    </w:p>
    <w:p w14:paraId="5E02725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لذلك يُعد التدريب المستمر ورفع القدرات المهنية من أهم الإجراءات الداعمة لتعزيز الأمن الجمركي.</w:t>
      </w:r>
    </w:p>
    <w:p w14:paraId="1EEA5F1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8. الحوكمة والرقابة الداخلية:</w:t>
      </w:r>
    </w:p>
    <w:p w14:paraId="204E87C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تسهم الإجراءات الرقابية الداخلية وتطبيق معايير الحوكمة في ضمان نزاهة العمل الجمركي وشفافيته، وتقليل فرص الفساد أو إساءة استخدام السلطة، مما يعزز الثقة في المنظومة الجمركية ويرفع من فعاليتها.</w:t>
      </w:r>
    </w:p>
    <w:p w14:paraId="7FBC1E1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وتجسّد هذه الأدوات والإجراءات التطبيق العملي لمنهج إدارة المخاطر في دعم الأمن الجمركي ومكافحة التهريب، كما يظهر في التجربة التنظيمية والتقنية حيث تم توظيف التقنيات الحديثة والأنظمة الذكية لرفع كفاءة حماية المنافذ وتعزيز أمن الحدود بما يتوافق مع مستهدفات التنمية الوطنية</w:t>
      </w:r>
    </w:p>
    <w:p w14:paraId="6EDAF35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4472C4"/>
          <w:sz w:val="28"/>
          <w:szCs w:val="28"/>
        </w:rPr>
      </w:pPr>
      <w:r w:rsidRPr="00734B7C">
        <w:rPr>
          <w:rFonts w:ascii="Times New Roman" w:eastAsia="Simplified Arabic" w:hAnsi="Times New Roman" w:cs="Times New Roman"/>
          <w:color w:val="4472C4"/>
          <w:sz w:val="28"/>
          <w:szCs w:val="28"/>
          <w:rtl/>
        </w:rPr>
        <w:t>معايير تعزيز كفاءة الامن الجمركي </w:t>
      </w:r>
    </w:p>
    <w:p w14:paraId="60B5C65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السرعة وانسيابية الإجراءات:</w:t>
      </w:r>
    </w:p>
    <w:p w14:paraId="3886D5F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يتطلب الأمن الجمركي الفعّال إنجاز العمليات المرتبطة بحركة السلع في وقت مناسب دون الإخلال بمتطلبات الحماية، بحيث لا يؤدي التأخير إلى تعطيل سلاسل الإمداد أو زيادة التكاليف على المتعاملين. ويتحقق ذلك عبر تطبيق منهج إدارة المخاطر الذي يسمح بتمييز العمليات منخفضة الخطورة وتسريعها، مع تركيز الجهود على الحالات ذات الأولوية.</w:t>
      </w:r>
    </w:p>
    <w:p w14:paraId="27CA4C5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الدقة في تقييم المخاطر واتخاذ القرار:</w:t>
      </w:r>
    </w:p>
    <w:p w14:paraId="16DEFAD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الدقة معيارًا جوهريًا في تعزيز كفاءة الأمن الجمركي، إذ ينبغي أن تستند القرارات إلى تحليل علمي للبيانات والمؤشرات، بما يضمن كشف المخالفات المحتملة دون تعميم الاشتباه. ويتطلب ذلك توظيف أنظمة تحليل متقدمة تدعم القرار الإداري وتقلل من الأخطاء.</w:t>
      </w:r>
    </w:p>
    <w:p w14:paraId="03492EF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الشفافية والحوكمة:</w:t>
      </w:r>
    </w:p>
    <w:p w14:paraId="299CA4E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تعزيز الشفافية في الإجراءات الجمركية يرفع مستوى الثقة بين الجهات الحكومية والقطاع الخاص، ويحد من فرص إساءة استخدام السلطة. ويتحقق ذلك من خلال وضوح الأنظمة، وتوحيد الإجراءات، وإخضاع العمليات لرقابة داخلية فعّالة.</w:t>
      </w:r>
    </w:p>
    <w:p w14:paraId="796F41E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الامتثال للمعايير الوطنية والدولية:</w:t>
      </w:r>
    </w:p>
    <w:p w14:paraId="3C413CA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يجب أن تتوافق ممارسات الأمن الجمركي مع الاتفاقيات الدولية ذات الصلة بالتجارة ومكافحة التهريب، إضافة إلى الالتزام بالتشريعات الوطنية، بما يعزز مصداقية الدولة ويقوي مكانتها في البيئة التجارية العالمية.</w:t>
      </w:r>
    </w:p>
    <w:p w14:paraId="2DC0897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الكفاءة في تخصيص الموارد:</w:t>
      </w:r>
    </w:p>
    <w:p w14:paraId="4E65856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يقوم الأمن الجمركي الحديث على توجيه الموارد البشرية والتقنية والمالية وفقًا لنتائج تقييم المخاطر، بما يضمن الاستخدام الأمثل للإمكانات المتاحة، ويرفع من فعالية الأداء دون هدر.</w:t>
      </w:r>
    </w:p>
    <w:p w14:paraId="27BC641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6. الجاهزية التقنية والبشرية:</w:t>
      </w:r>
    </w:p>
    <w:p w14:paraId="01598B4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يتطلب تعزيز الكفاءة وجود بنية تقنية متقدمة، إلى جانب كوادر مؤهلة قادرة على تحليل البيانات وفهم الأنماط غير النظامية، واتخاذ قرارات مدروسة تسهم في حماية الحدود.</w:t>
      </w:r>
    </w:p>
    <w:p w14:paraId="633FBA24"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1ED4D125"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44"/>
          <w:szCs w:val="32"/>
          <w:rtl/>
        </w:rPr>
      </w:pPr>
      <w:bookmarkStart w:id="28" w:name="_Toc224413030"/>
      <w:r w:rsidRPr="00734B7C">
        <w:rPr>
          <w:rFonts w:ascii="Simplified Arabic" w:eastAsia="Simplified Arabic" w:hAnsi="Simplified Arabic" w:cs="Simplified Arabic"/>
          <w:b/>
          <w:color w:val="2D74B5"/>
          <w:sz w:val="44"/>
          <w:szCs w:val="32"/>
          <w:rtl/>
        </w:rPr>
        <w:lastRenderedPageBreak/>
        <w:t xml:space="preserve">المبحث </w:t>
      </w:r>
      <w:proofErr w:type="gramStart"/>
      <w:r w:rsidRPr="00734B7C">
        <w:rPr>
          <w:rFonts w:ascii="Simplified Arabic" w:eastAsia="Simplified Arabic" w:hAnsi="Simplified Arabic" w:cs="Simplified Arabic"/>
          <w:b/>
          <w:color w:val="2D74B5"/>
          <w:sz w:val="44"/>
          <w:szCs w:val="32"/>
          <w:rtl/>
        </w:rPr>
        <w:t>الثاني :</w:t>
      </w:r>
      <w:proofErr w:type="gramEnd"/>
      <w:r w:rsidRPr="00734B7C">
        <w:rPr>
          <w:rFonts w:ascii="Simplified Arabic" w:eastAsia="Simplified Arabic" w:hAnsi="Simplified Arabic" w:cs="Simplified Arabic"/>
          <w:b/>
          <w:color w:val="2D74B5"/>
          <w:sz w:val="44"/>
          <w:szCs w:val="32"/>
          <w:rtl/>
        </w:rPr>
        <w:t xml:space="preserve"> ادارة المخاطر في البيئة الجمركية</w:t>
      </w:r>
      <w:bookmarkEnd w:id="28"/>
      <w:r w:rsidRPr="00734B7C">
        <w:rPr>
          <w:rFonts w:ascii="Simplified Arabic" w:eastAsia="Simplified Arabic" w:hAnsi="Simplified Arabic" w:cs="Simplified Arabic"/>
          <w:b/>
          <w:color w:val="2D74B5"/>
          <w:sz w:val="44"/>
          <w:szCs w:val="32"/>
          <w:rtl/>
        </w:rPr>
        <w:t> </w:t>
      </w:r>
    </w:p>
    <w:p w14:paraId="6568441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مقدمة:</w:t>
      </w:r>
    </w:p>
    <w:p w14:paraId="6C0A1E4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إدارة المخاطر في البيئة الجمركية إحدى الركائز الأساسية التي تقوم عليها المنظومات الجمركية الحديثة، لاسيما في ظل التحولات المتسارعة في حركة التجارة الدولية وتنامي التحديات الأمنية والاقتصادية المرتبطة بها. فلم يعد العمل الجمركي يعتمد على الإجراءات التقليدية، بل أصبح يرتكز على منهج استراتيجي يقوم على التنبؤ بالمخاطر قبل وقوعها، وتحليلها، ووضع التدابير المناسبة للتعامل معها بكفاءة وفعالية.</w:t>
      </w:r>
    </w:p>
    <w:p w14:paraId="5B38221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وتتنوع المخاطر التي تواجه البيئة الجمركية بين </w:t>
      </w:r>
      <w:proofErr w:type="gramStart"/>
      <w:r w:rsidRPr="00734B7C">
        <w:rPr>
          <w:rFonts w:ascii="Times New Roman" w:eastAsia="Simplified Arabic" w:hAnsi="Times New Roman" w:cs="Times New Roman"/>
          <w:color w:val="000000"/>
          <w:sz w:val="28"/>
          <w:szCs w:val="28"/>
          <w:rtl/>
        </w:rPr>
        <w:t>مخاطر</w:t>
      </w:r>
      <w:proofErr w:type="gramEnd"/>
      <w:r w:rsidRPr="00734B7C">
        <w:rPr>
          <w:rFonts w:ascii="Times New Roman" w:eastAsia="Simplified Arabic" w:hAnsi="Times New Roman" w:cs="Times New Roman"/>
          <w:color w:val="000000"/>
          <w:sz w:val="28"/>
          <w:szCs w:val="28"/>
          <w:rtl/>
        </w:rPr>
        <w:t xml:space="preserve"> أمنية تتصل بتهريب المواد المحظورة أو الخطرة، ومخاطر اقتصادية تتمثل في التهرب من الرسوم أو إدخال سلع مقلدة تضر بالأسواق المحلية، إضافة إلى </w:t>
      </w:r>
      <w:proofErr w:type="gramStart"/>
      <w:r w:rsidRPr="00734B7C">
        <w:rPr>
          <w:rFonts w:ascii="Times New Roman" w:eastAsia="Simplified Arabic" w:hAnsi="Times New Roman" w:cs="Times New Roman"/>
          <w:color w:val="000000"/>
          <w:sz w:val="28"/>
          <w:szCs w:val="28"/>
          <w:rtl/>
        </w:rPr>
        <w:t>مخاطر</w:t>
      </w:r>
      <w:proofErr w:type="gramEnd"/>
      <w:r w:rsidRPr="00734B7C">
        <w:rPr>
          <w:rFonts w:ascii="Times New Roman" w:eastAsia="Simplified Arabic" w:hAnsi="Times New Roman" w:cs="Times New Roman"/>
          <w:color w:val="000000"/>
          <w:sz w:val="28"/>
          <w:szCs w:val="28"/>
          <w:rtl/>
        </w:rPr>
        <w:t xml:space="preserve"> صحية وبيئية ناتجة عن تداول سلع غير مطابقة للمواصفات أو مواد قد تهدد السلامة العامة. ومن هنا تبرز أهمية إدارة المخاطر كآلية علمية تسهم في حماية الحدود، وتعزيز الأمن الجمركي، ومكافحة التهريب، مع الحفاظ في الوقت ذاته على انسيابية التجارة المشروعة.</w:t>
      </w:r>
    </w:p>
    <w:p w14:paraId="137FE0B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وتتطلب إدارة المخاطر تكاملاً بين البنية التقنية المتقدمة، وتحليل البيانات، وبناء قدرات الكوادر البشرية، إلى جانب تطوير الأطر التنظيمية والتشريعية بما </w:t>
      </w:r>
      <w:proofErr w:type="spellStart"/>
      <w:r w:rsidRPr="00734B7C">
        <w:rPr>
          <w:rFonts w:ascii="Times New Roman" w:eastAsia="Simplified Arabic" w:hAnsi="Times New Roman" w:cs="Times New Roman"/>
          <w:color w:val="000000"/>
          <w:sz w:val="28"/>
          <w:szCs w:val="28"/>
          <w:rtl/>
        </w:rPr>
        <w:t>يتواءم</w:t>
      </w:r>
      <w:proofErr w:type="spellEnd"/>
      <w:r w:rsidRPr="00734B7C">
        <w:rPr>
          <w:rFonts w:ascii="Times New Roman" w:eastAsia="Simplified Arabic" w:hAnsi="Times New Roman" w:cs="Times New Roman"/>
          <w:color w:val="000000"/>
          <w:sz w:val="28"/>
          <w:szCs w:val="28"/>
          <w:rtl/>
        </w:rPr>
        <w:t xml:space="preserve"> مع المستجدات العالمية. كما تقوم على استراتيجيات استباقية تعتمد على تقييم احتمالية وقوع المخاطر وآثارها، وتحديد أولويات المعالجة وفق منهجية واضحة تضمن الاستخدام الأمثل للموارد.</w:t>
      </w:r>
    </w:p>
    <w:p w14:paraId="2BDB72B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وفي هذا السياق، تمثل التجربة التطبيقية لـ هيئة الزكاة والضريبة والجمارك في المملكة العربية السعودية نموذجًا يعكس التحول نحو تبني إدارة المخاطر كأداة رئيسية لتعزيز الأمن الجمركي ومكافحة التهريب، من خلال توظيف الأنظمة التقنية الحديثة وتطوير آليات تحليل المخاطر بما يتفق مع أفضل الممارسات الدولية.</w:t>
      </w:r>
    </w:p>
    <w:p w14:paraId="1CCD9C5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6F3B416"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مفهوم إدارة المخاطر:</w:t>
      </w:r>
    </w:p>
    <w:p w14:paraId="1E507AD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إدارة المخاطر هي عملية منهجية متكاملة تهدف إلى تحديد المخاطر المحتملة في البيئة الجمركية، وتحليلها، وتقييم درجة خطورتها، ثم اتخاذ التدابير المناسبة للحد من آثارها أو منع وقوعها. وتستند هذه العملية إلى أسس علمية تعتمد على جمع البيانات وتحليلها، وبناء نماذج تقييم تساعد في توجيه القرارات نحو الأنشطة أو العمليات ذات الخطورة المرتفعة.</w:t>
      </w:r>
    </w:p>
    <w:p w14:paraId="10859BE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وتشمل المخاطر الجمركية طيفًا واسعًا من التهديدات، كالمخاطر الأمنية المرتبطة بالمواد المحظورة، والمخاطر الاقتصادية الناتجة عن التهرب الجمركي أو الغش التجاري، إضافة إلى المخاطر الصحية والبيئية المرتبطة بالسلع غير المطابقة للمواصفات. ومن خلال تطبيق إدارة المخاطر، يتم تصنيف العمليات وفق مستويات محددة، بما يحقق التوازن بين تعزيز الأمن الجمركي وتيسير التجارة.</w:t>
      </w:r>
    </w:p>
    <w:p w14:paraId="70BB4BF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وتتنوع أدوات إدارة المخاطر لتشمل أنظمة تحليل البيانات، والذكاء الاصطناعي، وقواعد المعلومات المتكاملة، إضافة إلى التقنيات المساندة التي تدعم اتخاذ القرار المبني على تقييم دقيق </w:t>
      </w:r>
      <w:r w:rsidRPr="00734B7C">
        <w:rPr>
          <w:rFonts w:ascii="Times New Roman" w:eastAsia="Simplified Arabic" w:hAnsi="Times New Roman" w:cs="Times New Roman"/>
          <w:color w:val="000000"/>
          <w:sz w:val="28"/>
          <w:szCs w:val="28"/>
          <w:rtl/>
        </w:rPr>
        <w:lastRenderedPageBreak/>
        <w:t>للمؤشرات. ويهدف هذا النهج إلى رفع كفاءة العمل الجمركي، وتحسين القدرة على الاستجابة للتحديات المستجدة، وتقليل الآثار السلبية المحتملة على الاقتصاد الوطني.</w:t>
      </w:r>
    </w:p>
    <w:p w14:paraId="5C5EAC3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وعليه، تمثل إدارة المخاطر إطارًا استراتيجيًا يعزز فاعلية الأمن الجمركي، ويسهم في مكافحة التهريب بأسلوب علمي قائم على الاستباقية والكفاءة، بما يدعم تحقيق أهداف الدولة في حماية حدودها وصون مصالحها الاقتصادية.</w:t>
      </w:r>
    </w:p>
    <w:p w14:paraId="370146C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4705B5E8"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أهمية إدارة المخاطر في العمل الجمركي</w:t>
      </w:r>
    </w:p>
    <w:p w14:paraId="41206F28"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14551E4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تتجسد أهمية إدارة المخاطر في البيئة الجمركية في دورها المحوري في تعزيز الأمن الجمركي ومكافحة التهريب، وتحقيق الحماية المتكاملة للحدود والاقتصاد الوطني، ويتضح ذلك من خلال الجوانب الآتية:</w:t>
      </w:r>
    </w:p>
    <w:p w14:paraId="2076A3D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تعزيز حماية الحدود والأمن الوطني:</w:t>
      </w:r>
    </w:p>
    <w:p w14:paraId="02775A9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تسهم إدارة المخاطر في الكشف المبكر عن الأنشطة غير المشروعة، من خلال تحليل المؤشرات والأنماط المرتبطة بمحاولات تهريب المواد المحظورة أو الخطرة. ويُمكّن هذا النهج الجهات المختصة من التعامل الاستباقي مع التهديدات الأمنية، بما يحافظ على استقرار الدولة ويحد من الجرائم العابرة للحدود.</w:t>
      </w:r>
    </w:p>
    <w:p w14:paraId="37DB78F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حماية الاقتصاد الوطني ودعم تنافسيته:</w:t>
      </w:r>
    </w:p>
    <w:p w14:paraId="79BCB6A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تساعد إدارة المخاطر في الحد من دخول السلع المقلدة أو المخالفة للأنظمة، والتي قد تُلحق ضررًا بالصناعات المحلية أو تؤثر في عدالة المنافسة داخل السوق. كما تعزز من كفاءة تحصيل الرسوم والالتزام بالأنظمة، مما يدعم الإيرادات العامة ويحافظ على سلامة البيئة التجارية.</w:t>
      </w:r>
    </w:p>
    <w:p w14:paraId="57B93A5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رفع كفاءة الإجراءات وتعزيز انسيابية التجارة:</w:t>
      </w:r>
    </w:p>
    <w:p w14:paraId="77FF91F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من خلال توجيه الاهتمام نحو العمليات ذات الخطورة الأعلى، يتم تقليل الاعتماد على المعالجة الشاملة لجميع العمليات بنفس المستوى من التدقيق، الأمر الذي يسهم في تسريع الإجراءات المرتبطة بالأنشطة منخفضة المخاطر، ويعزز من تدفق التجارة المشروعة دون الإخلال بمتطلبات الأمن.</w:t>
      </w:r>
    </w:p>
    <w:p w14:paraId="228E93D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الاستخدام الأمثل للموارد:</w:t>
      </w:r>
    </w:p>
    <w:p w14:paraId="52CA1EB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تمكّن إدارة المخاطر الجهات الجمركية من تخصيص الموارد البشرية والتقنية والمالية وفقًا لنتائج تقييم المخاطر، مما يقلل من الهدر ويرفع من كفاءة الأداء المؤسسي، ويضمن التركيز على المخاطر ذات الأثر الأكبر.</w:t>
      </w:r>
    </w:p>
    <w:p w14:paraId="2F09C94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257C2886"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272B7433"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491581FF"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خصائص إدارة المخاطر في السياق الجمركي</w:t>
      </w:r>
    </w:p>
    <w:p w14:paraId="5928F9B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3FFBDE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تتسم إدارة المخاطر بعدد من الخصائص التي تجعلها أداة فعالة في مواجهة التحديات المتغيرة، ومن أبرزها:</w:t>
      </w:r>
    </w:p>
    <w:p w14:paraId="55257FD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الاستباقية:</w:t>
      </w:r>
    </w:p>
    <w:p w14:paraId="1AA6400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تعتمد إدارة المخاطر على التنبؤ بالمخاطر قبل وقوعها من خلال تحليل البيانات والمؤشرات المستقبلية، واستخدام التقنيات الحديثة في رصد الأنماط غير الاعتيادية. ويسهم هذا التوجه في تقليل احتمالية وقوع المخاطر أو الحد من آثارها في مراحل مبكرة.</w:t>
      </w:r>
    </w:p>
    <w:p w14:paraId="76F3667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الاستمرارية والتحديث المستمر:</w:t>
      </w:r>
    </w:p>
    <w:p w14:paraId="72AE00B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إدارة المخاطر عملية ديناميكية تتطلب مراجعة دورية للنماذج والمعايير المعتمدة، وتحديثها بما يتوافق مع المستجدات في أنماط التهريب والتغيرات في البيئة الاقتصادية أو التنظيمية.</w:t>
      </w:r>
    </w:p>
    <w:p w14:paraId="185DB26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المرونة والقدرة على التكيف:</w:t>
      </w:r>
    </w:p>
    <w:p w14:paraId="5D9248D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ينبغي أن تتسم إدارة المخاطر بالمرونة الكافية لمواجهة المتغيرات المفاجئة، سواء كانت سياسية أو اقتصادية أو أمنية، بما يضمن سرعة الاستجابة للتحديات الجديدة، والتعامل الفعال مع حالات الطوارئ.</w:t>
      </w:r>
    </w:p>
    <w:p w14:paraId="5000A8F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الاعتماد على البيانات والتحليل العلمي:</w:t>
      </w:r>
    </w:p>
    <w:p w14:paraId="445EA4D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ترتكز إدارة المخاطر على جمع البيانات وتحليلها باستخدام أدوات تقنية متقدمة، بما يضمن اتخاذ قرارات موضوعية تستند إلى مؤشرات واضحة، بعيدًا عن العشوائية أو الاجتهاد الفردي.</w:t>
      </w:r>
    </w:p>
    <w:p w14:paraId="7DE6537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التكامل المؤسسي:</w:t>
      </w:r>
    </w:p>
    <w:p w14:paraId="081C34F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تتطلب إدارة المخاطر تعاونًا وتنسيقًا بين مختلف الجهات ذات العلاقة، محليًا ودوليًا، بما يعزز من تبادل المعلومات ويدعم فعالية الإجراءات المتخذة في حماية الحدود.</w:t>
      </w:r>
    </w:p>
    <w:p w14:paraId="3D29185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وتتجلى هذه الأهمية والخصائص في التطبيق العملي الذي تعتمده هيئة الزكاة والضريبة والجمارك في المملكة العربية السعودية، حيث تمثل إدارة المخاطر ركيزة أساسية في تعزيز الأمن الجمركي ومكافحة التهريب، ضمن إطار مؤسسي وتقني متكامل يدعم حماية الحدود وصون الاقتصاد الوطني.</w:t>
      </w:r>
    </w:p>
    <w:p w14:paraId="6C9779F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0A2E4FE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2DBBDE5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B4D2A1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7A5370B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E181291"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lastRenderedPageBreak/>
        <w:t>مكونات إدارة المخاطر في الأمن الجمركي</w:t>
      </w:r>
    </w:p>
    <w:p w14:paraId="2C8D28B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E5F6E1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تعتمد إدارة المخاطر في التفتيش الجمركي على مجموعة من المكونات الأساسية التي تضمن تعزيز كفاءة النظام الجمركي وفعاليته في حماية الحدود والاقتصاد الوطني، وتشمل هذه المكونات ما يلي: </w:t>
      </w:r>
    </w:p>
    <w:p w14:paraId="6E10178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تحديد المخاطر:</w:t>
      </w:r>
    </w:p>
    <w:p w14:paraId="7A62F9A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هذه المرحلة الخطوة الأولى في إدارة المخاطر، حيث يتم التعرف على جميع التهديدات المحتملة التي قد تؤثر على الأمن الجمركي أو الاقتصاد الوطني. </w:t>
      </w:r>
    </w:p>
    <w:p w14:paraId="42100EE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وتشمل المخاطر الأمنية، مثل تهريب الأسلحة والمواد الكيميائية والمخدرات؛ المخاطر الاقتصادية المرتبطة بالتهريب أو الغش التجاري؛ المخاطر الصحية المتعلقة بالمنتجات غير المطابقة للمواصفات؛ والمخاطر البيئية الناتجة عن المواد الضارة بالبيئة. وتُستخدم في هذه المرحلة تقنيات تحليل البيانات التاريخية ونماذج التنبؤ لتحديد الأنماط والأنشطة المشبوهة.</w:t>
      </w:r>
    </w:p>
    <w:p w14:paraId="7D1967C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تقييم المخاطر:</w:t>
      </w:r>
    </w:p>
    <w:p w14:paraId="52AFE4C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بعد تحديد المخاطر، يتم تقييم تأثيرها واحتمالية حدوثها. وتشمل هذه المرحلة تصنيف المخاطر حسب شدتها وأولوية التعامل معها، باستخدام أدوات علمية مثل النمذجة الإحصائية، وتحليل البيانات، وتقنيات الذكاء الاصطناعي. ويُعطى الأولوية للمخاطر ذات التأثير الكبير على الأمن الوطني أو الاقتصاد، ويتم تحديد الاستراتيجيات والإجراءات المناسبة للتعامل معها.</w:t>
      </w:r>
    </w:p>
    <w:p w14:paraId="40E9C20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التحليل المستمر والمراجعة:</w:t>
      </w:r>
    </w:p>
    <w:p w14:paraId="62C53E7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تتغير المخاطر بمرور الوقت نتيجة للتطورات التكنولوجية والتغيرات في الأسواق أو السياسات الدولية. لذلك، تُعد المراجعة المستمرة والتحليل الدوري من المكونات الجوهرية لإدارة المخاطر، بما يضمن تحديث الإجراءات والتقنيات المستخدمة باستمرار لمواكبة التحديات الجديدة.</w:t>
      </w:r>
    </w:p>
    <w:p w14:paraId="43F93BD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اتخاذ التدابير الوقائية:</w:t>
      </w:r>
    </w:p>
    <w:p w14:paraId="4B7A335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استنادًا إلى نتائج تقييم المخاطر، تُطبق تدابير وقائية تقلل من أثر المخاطر أو تمنع وقوعها. </w:t>
      </w:r>
    </w:p>
    <w:p w14:paraId="2A10C1A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وتشمل هذه الإجراءات استخدام أدوات فحص متقدمة مثل الماسحات الضوئية وأجهزة الأشعة السينية، إضافة إلى الفحص اليدوي عند الحاجة، وتحليل العينات باستخدام تقنيات متطورة مثل التحليل الكيميائي. </w:t>
      </w:r>
    </w:p>
    <w:p w14:paraId="5FE2528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كما يشمل هذا البند تدريب الكوادر الجمركية على التعامل مع المخاطر بفعالية، وضمان الالتزام بالمعايير الوطنية والدولية.</w:t>
      </w:r>
    </w:p>
    <w:p w14:paraId="0885C31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0E9B0BD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D225547"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592E6FA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57DC150"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أنواع المخاطر المرتبطة بمكافحة التهريب</w:t>
      </w:r>
    </w:p>
    <w:p w14:paraId="246E18F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2EC1969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تواجه الأنظمة الجمركية مجموعة واسعة من المخاطر التي يمكن تصنيفها وفقًا للأبعاد التي تؤثر عليها:</w:t>
      </w:r>
    </w:p>
    <w:p w14:paraId="53BA581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المخاطر الأمنية:</w:t>
      </w:r>
    </w:p>
    <w:p w14:paraId="2ED38B7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تشمل جميع التهديدات التي قد تمس الأمن القومي والسلامة العامة، مثل:</w:t>
      </w:r>
    </w:p>
    <w:p w14:paraId="049ACEF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تهريب الأسلحة: بما في ذلك الأسلحة النارية والذخائر التي قد تُستخدم في الأعمال الإرهابية أو الجرائم المنظمة.</w:t>
      </w:r>
    </w:p>
    <w:p w14:paraId="4201C48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المواد النووية والبيولوجية: التي قد تُستغل لأغراض غير قانونية مثل تصنيع أسلحة محرمة دوليًا.</w:t>
      </w:r>
    </w:p>
    <w:p w14:paraId="58DE164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المخدرات: بما في ذلك المخدرات الصلبة والمواد الممنوعة الأخرى التي تشكل تهديدًا للأمن المجتمعي.</w:t>
      </w:r>
    </w:p>
    <w:p w14:paraId="5B08D54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تتطلب هذه المخاطر اعتماد تقنيات تفتيش متقدمة وأدوات متخصصة لضمان عدم دخول المواد الخطرة عبر الحدود.</w:t>
      </w:r>
    </w:p>
    <w:p w14:paraId="7CEB66A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المخاطر الاقتصادية:</w:t>
      </w:r>
    </w:p>
    <w:p w14:paraId="6DCCF3C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تتمثل في تهريب السلع المقلدة أو التهرب من الرسوم الجمركية، مما يؤثر على الإيرادات العامة والقدرة التنافسية للأسواق المحلية.</w:t>
      </w:r>
    </w:p>
    <w:p w14:paraId="6AB1B3B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المخاطر الصحية:</w:t>
      </w:r>
    </w:p>
    <w:p w14:paraId="3E47A4B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تشمل تداول المنتجات غير المطابقة للمواصفات، مثل المواد الغذائية الفاسدة أو الأدوية المزيفة، والتي قد تهدد صحة المستهلكين.</w:t>
      </w:r>
    </w:p>
    <w:p w14:paraId="5D87777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المخاطر البيئية:</w:t>
      </w:r>
    </w:p>
    <w:p w14:paraId="30FE1E4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تتعلق بالسلع أو المواد التي قد تضر بالبيئة، مثل المواد الكيميائية السامة أو المواد التي تلوث المياه والتربة، مما يستدعي رقابة دقيقة لضمان حماية النظام البيئي.</w:t>
      </w:r>
    </w:p>
    <w:p w14:paraId="1FDBE5F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212886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يمكن دمج هذه المكونات وأنواع المخاطر ضمن إطار متكامل لإدارة المخاطر الجمركية كما تطبقه هيئة الزكاة والضريبة والجمارك في المملكة العربية السعودية، لتعزيز كفاءة الأمن الجمركي، والقدرة على مكافحة التهريب، وضمان حماية الاقتصاد الوطني والمجتمع من المخاطر المحتملة.</w:t>
      </w:r>
    </w:p>
    <w:p w14:paraId="2C07B66E" w14:textId="77777777" w:rsid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1F02C2C9" w14:textId="77777777" w:rsidR="00DB3CDE" w:rsidRPr="00734B7C" w:rsidRDefault="00DB3CDE" w:rsidP="001A6444">
      <w:pPr>
        <w:spacing w:after="158" w:line="259" w:lineRule="auto"/>
        <w:ind w:right="62"/>
        <w:rPr>
          <w:rFonts w:ascii="Times New Roman" w:eastAsia="Simplified Arabic" w:hAnsi="Times New Roman" w:cs="Times New Roman"/>
          <w:color w:val="000000"/>
          <w:sz w:val="28"/>
          <w:szCs w:val="28"/>
          <w:rtl/>
        </w:rPr>
      </w:pPr>
    </w:p>
    <w:p w14:paraId="3EEE59BA"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lastRenderedPageBreak/>
        <w:t>أبعاد إدارة المخاطر في تعزيز الأمن الجمركي</w:t>
      </w:r>
    </w:p>
    <w:p w14:paraId="58F4FE2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تتعامل إدارة المخاطر في إطار الأمن الجمركي مع عدة أبعاد رئيسية لضمان فعالية مكافحة التهريب وحماية الحدود والاقتصاد الوطني، ومن أبرز هذه الأبعاد:</w:t>
      </w:r>
    </w:p>
    <w:p w14:paraId="49C6DFE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البعد التكنولوجي:</w:t>
      </w:r>
    </w:p>
    <w:p w14:paraId="6D87A00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تلعب التقنيات الحديثة دورًا محوريًا في كشف التهريب والمخاطر الجمركية. وتشمل الأدوات المستخدمة الماسحات الضوئية، أجهزة الأشعة السينية، وبرمجيات الذكاء الاصطناعي لتحليل البيانات وتحديد الشحنات المشبوهة بدقة وسرعة، بما يدعم حماية الحدود وتعزيز فعالية الرقابة الجمركية.</w:t>
      </w:r>
    </w:p>
    <w:p w14:paraId="07138FA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البعد البشري:</w:t>
      </w:r>
    </w:p>
    <w:p w14:paraId="147AC26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يتطلب الأمن الجمركي كوادر مدربة على استخدام التقنيات الحديثة وفهم إجراءات التفتيش الجمركي المتقدمة، مع القدرة على التعامل مع المخاطر الأمنية والاقتصادية والصحية، بما يضمن الاستجابة السريعة للمخاطر وتقليل فرص التهريب.</w:t>
      </w:r>
    </w:p>
    <w:p w14:paraId="4481916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البعد التشريعي:</w:t>
      </w:r>
    </w:p>
    <w:p w14:paraId="39B348E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يشمل القوانين واللوائح التي تنظم العمل الجمركي وتعزز قدرة الهيئة على التعامل مع المخاطر بكفاءة. ويهدف هذا البعد إلى ضمان الامتثال للمعايير الوطنية والدولية، بما يرفع من مصداقية الهيئة ويقوي دورها في مكافحة التهريب وحماية الاقتصاد الوطني.</w:t>
      </w:r>
    </w:p>
    <w:p w14:paraId="2DFF7EE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DB479B3"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استراتيجيات إدارة المخاطر في مكافحة التهريب</w:t>
      </w:r>
    </w:p>
    <w:p w14:paraId="4FADA5B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تسعى الاستراتيجيات المعتمدة في إدارة المخاطر إلى تعزيز الأمن الجمركي وتحسين فعالية مكافحة التهريب، وتشمل أبرز هذه الاستراتيجيات:</w:t>
      </w:r>
    </w:p>
    <w:p w14:paraId="53BA2CB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استخدام تقنيات التحليل المتقدم:</w:t>
      </w:r>
    </w:p>
    <w:p w14:paraId="2852A29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الذكاء الاصطناعي (</w:t>
      </w:r>
      <w:r w:rsidRPr="00734B7C">
        <w:rPr>
          <w:rFonts w:ascii="Times New Roman" w:eastAsia="Simplified Arabic" w:hAnsi="Times New Roman" w:cs="Times New Roman"/>
          <w:color w:val="000000"/>
          <w:sz w:val="28"/>
          <w:szCs w:val="28"/>
        </w:rPr>
        <w:t>AI</w:t>
      </w:r>
      <w:r w:rsidRPr="00734B7C">
        <w:rPr>
          <w:rFonts w:ascii="Times New Roman" w:eastAsia="Simplified Arabic" w:hAnsi="Times New Roman" w:cs="Times New Roman"/>
          <w:color w:val="000000"/>
          <w:sz w:val="28"/>
          <w:szCs w:val="28"/>
          <w:rtl/>
        </w:rPr>
        <w:t>): تحليل البيانات الجمركية الضخمة للكشف عن الأنماط المشبوهة والتنبؤ بالتهريب المحتمل، ما يعزز قدرة الهيئة على رصد الأنشطة غير القانونية بسرعة ودقة عالية.</w:t>
      </w:r>
    </w:p>
    <w:p w14:paraId="0534CF4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التحليل التنبؤي: دراسة الاتجاهات المستقبلية للشحنات المشبوهة واتخاذ إجراءات استباقية قبل حدوث أي تهديد، مما يدعم حماية الحدود وتحقيق الأمن الاقتصادي.</w:t>
      </w:r>
    </w:p>
    <w:p w14:paraId="5600AEC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التعاون بين المؤسسات الحكومية:</w:t>
      </w:r>
    </w:p>
    <w:p w14:paraId="733D2BC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التنسيق المحلي: بين الجمارك والأجهزة الأمنية ووزارات الصحة والبيئة لتبادل المعلومات واتخاذ قرارات موحدة وفعالة في مواجهة المخاطر الجمركية.</w:t>
      </w:r>
    </w:p>
    <w:p w14:paraId="0CC47EC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التعاون الدولي: تبادل المعلومات بين الجمارك في مختلف الدول حول أساليب التهريب وأفضل الممارسات لتعزيز قدرات مكافحة التهريب عبر الحدود.</w:t>
      </w:r>
    </w:p>
    <w:p w14:paraId="694169B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 الاتفاقيات والمبادرات الدولية: مثل التعاون ضمن منظمة الجمارك العالمية لدعم جهود مكافحة التهريب وتعزيز كفاءة التفتيش الجمركي.</w:t>
      </w:r>
    </w:p>
    <w:p w14:paraId="0D80A8B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تدريب العاملين وتعزيز الكفاءة البشرية:</w:t>
      </w:r>
    </w:p>
    <w:p w14:paraId="1BD5EA5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البرامج التدريبية المستمرة: تزويد موظفي الجمارك بأحدث المعارف والتقنيات في التفتيش الجمركي، بما يشمل التعامل مع الماسحات الضوئية وأجهزة الأشعة السينية.</w:t>
      </w:r>
    </w:p>
    <w:p w14:paraId="788B243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تعزيز المهارات التحليلية: تدريب العاملين على استخدام الذكاء الاصطناعي وأدوات تحليل البيانات للكشف المبكر عن المخاطر والتهريب المحتمل، مما يرفع من فعالية الأمن الجمركي وقدرة الهيئة على اتخاذ القرارات الاستراتيجية.</w:t>
      </w:r>
    </w:p>
    <w:p w14:paraId="0CF8C59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تجسد هذه الأبعاد والاستراتيجيات الإطار التطبيقي لإدارة المخاطر الذي تعتمده هيئة الزكاة والضريبة والجمارك في المملكة العربية السعودية لتعزيز الأمن الجمركي ومكافحة التهريب، وحماية الاقتصاد الوطني، وضمان كفاءة أداء المنظومة الجمركية بما يتوافق مع أفضل الممارسات الدولية.</w:t>
      </w:r>
    </w:p>
    <w:p w14:paraId="3EC2197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756ABC3"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التحديات التي تواجه إدارة المخاطر في المنافذ الجمركية</w:t>
      </w:r>
    </w:p>
    <w:p w14:paraId="13083C0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تواجه إدارة المخاطر في إطار الأمن الجمركي مجموعة من التحديات التي قد تؤثر على كفاءتها وفاعليتها في مكافحة التهريب وحماية الاقتصاد الوطني. تشمل هذه التحديات الجوانب التقنية، البشرية، والقانونية، وتتطلب استراتيجيات مرنة ومتكاملة لمواجهتها، وتشمل أبرزها ما يلي:</w:t>
      </w:r>
    </w:p>
    <w:p w14:paraId="3DF3600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CB8196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1. التحديات التقنية</w:t>
      </w:r>
    </w:p>
    <w:p w14:paraId="7DB35FF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ضرورة تحديث الأنظمة والبرمجيات:</w:t>
      </w:r>
    </w:p>
    <w:p w14:paraId="6575F8A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تلعب التكنولوجيا دورًا أساسيًا في تعزيز الأمن الجمركي، من خلال أدوات مثل الذكاء الاصطناعي، الماسحات الضوئية، وأجهزة الأشعة السينية. ومع التطورات المستمرة في أساليب التهريب، تحتاج هذه الأنظمة إلى تحديث دوري لضمان كشف المخاطر الحديثة والتصدي للهجمات الإلكترونية والتهريب المعقد.</w:t>
      </w:r>
    </w:p>
    <w:p w14:paraId="79D1CC4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التعامل مع كميات ضخمة من البيانات:</w:t>
      </w:r>
    </w:p>
    <w:p w14:paraId="0095B76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تعتمد إدارة المخاطر على تحليل بيانات جمركية ضخمة من مصادر متعددة. وقد تشكل هذه الكميات تحديًا في معالجتها بسرعة ودقة باستخدام الأنظمة الحالية، مما يتطلب تقنيات تحليل متقدمة لدعم اتخاذ القرار بشكل فعال وفي الوقت المناسب.</w:t>
      </w:r>
    </w:p>
    <w:p w14:paraId="0AAA93F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2. التحديات البشرية</w:t>
      </w:r>
    </w:p>
    <w:p w14:paraId="4CFB032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نقص الخبرات والتدريب:</w:t>
      </w:r>
    </w:p>
    <w:p w14:paraId="54B5031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يواجه بعض موظفي الجمارك نقصًا في الخبرات أو التدريب الكافي للتعامل مع التقنيات الحديثة وتحليل البيانات بدقة. وقد يؤدي ذلك إلى اتخاذ قرارات غير دقيقة أثناء عمليات التفتيش، وزيادة </w:t>
      </w:r>
      <w:r w:rsidRPr="00734B7C">
        <w:rPr>
          <w:rFonts w:ascii="Times New Roman" w:eastAsia="Simplified Arabic" w:hAnsi="Times New Roman" w:cs="Times New Roman"/>
          <w:color w:val="000000"/>
          <w:sz w:val="28"/>
          <w:szCs w:val="28"/>
          <w:rtl/>
        </w:rPr>
        <w:lastRenderedPageBreak/>
        <w:t>احتمالية مرور سلع مهربة أو محظورة، ما يستدعي استثمارًا مستمرًا في برامج تدريبية متطورة.</w:t>
      </w:r>
    </w:p>
    <w:p w14:paraId="3F454F2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الضغط الزمني:</w:t>
      </w:r>
    </w:p>
    <w:p w14:paraId="60FA0F9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تتطلب عمليات التفتيش الدقة والوقت الكافي لتجنب التسرع، لكن الضغط الزمني قد يؤثر على جودة اتخاذ القرار. لذا، يعد التدريب على التحليل الدقيق وتخصيص الوقت المناسب لكل حالة أمرًا أساسيًا لتعزيز كفاءة الأمن الجمركي.</w:t>
      </w:r>
    </w:p>
    <w:p w14:paraId="7434E2D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2BEECA1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3. التحديات القانونية</w:t>
      </w:r>
    </w:p>
    <w:p w14:paraId="02CB9D9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التغير المستمر في التشريعات:</w:t>
      </w:r>
    </w:p>
    <w:p w14:paraId="5868628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تتعرض القوانين الجمركية لتغيرات مستمرة على الصعيدين المحلي والدولي، بما يتوافق مع التطورات التجارية والتهديدات الأمنية. ويتطلب ذلك متابعة دقيقة للتحديثات القانونية لضمان اتخاذ قرارات سريعة وموثوقة وفقًا للأطر القانونية الصحيحة.</w:t>
      </w:r>
    </w:p>
    <w:p w14:paraId="3799686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التنسيق بين الدول:</w:t>
      </w:r>
    </w:p>
    <w:p w14:paraId="13473C9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اختلاف اللوائح والسياسات الجمركية بين الدول يشكل تحديًا في التعاون الدولي لمكافحة التهريب. بعض الدول قد تعتمد معايير فحص مختلفة، مما يعرقل التنسيق السلس. </w:t>
      </w:r>
    </w:p>
    <w:p w14:paraId="2EEB57E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تسعى المنظمات الدولية مثل منظمة الجمارك العالمية إلى توحيد المعايير، إلا أن ذلك يتطلب وقتًا وجهودًا مشتركة من جميع الأطراف المعنية.</w:t>
      </w:r>
    </w:p>
    <w:p w14:paraId="1597E88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7FBF371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5B136D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A92771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FF010D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77C2CD4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0749764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284B743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71B5FD1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DBBC534"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57895858"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4B0F1CEE" w14:textId="77777777" w:rsidR="00734B7C" w:rsidRPr="00734B7C" w:rsidRDefault="00734B7C" w:rsidP="001A6444">
      <w:pPr>
        <w:keepNext/>
        <w:keepLines/>
        <w:spacing w:after="0" w:line="259" w:lineRule="auto"/>
        <w:ind w:right="122"/>
        <w:jc w:val="center"/>
        <w:outlineLvl w:val="0"/>
        <w:rPr>
          <w:rFonts w:ascii="Simplified Arabic" w:eastAsia="Simplified Arabic" w:hAnsi="Simplified Arabic" w:cs="Simplified Arabic"/>
          <w:b/>
          <w:color w:val="2D74B5"/>
          <w:sz w:val="44"/>
          <w:szCs w:val="32"/>
        </w:rPr>
      </w:pPr>
      <w:bookmarkStart w:id="29" w:name="_Toc224413031"/>
      <w:r w:rsidRPr="00734B7C">
        <w:rPr>
          <w:rFonts w:ascii="Simplified Arabic" w:eastAsia="Simplified Arabic" w:hAnsi="Simplified Arabic" w:cs="Simplified Arabic"/>
          <w:b/>
          <w:color w:val="2D74B5"/>
          <w:sz w:val="44"/>
          <w:szCs w:val="32"/>
          <w:rtl/>
        </w:rPr>
        <w:lastRenderedPageBreak/>
        <w:t xml:space="preserve">المبحث </w:t>
      </w:r>
      <w:proofErr w:type="gramStart"/>
      <w:r w:rsidRPr="00734B7C">
        <w:rPr>
          <w:rFonts w:ascii="Simplified Arabic" w:eastAsia="Simplified Arabic" w:hAnsi="Simplified Arabic" w:cs="Simplified Arabic"/>
          <w:b/>
          <w:color w:val="2D74B5"/>
          <w:sz w:val="44"/>
          <w:szCs w:val="32"/>
          <w:rtl/>
        </w:rPr>
        <w:t>الثالث :</w:t>
      </w:r>
      <w:proofErr w:type="gramEnd"/>
      <w:r w:rsidRPr="00734B7C">
        <w:rPr>
          <w:rFonts w:ascii="Simplified Arabic" w:eastAsia="Simplified Arabic" w:hAnsi="Simplified Arabic" w:cs="Simplified Arabic"/>
          <w:b/>
          <w:color w:val="2D74B5"/>
          <w:sz w:val="44"/>
          <w:szCs w:val="32"/>
          <w:rtl/>
        </w:rPr>
        <w:t xml:space="preserve"> العلاقة بين ادارة المخاطر وتعزيز الامن الجمركي ومكافحة التهريب</w:t>
      </w:r>
      <w:bookmarkEnd w:id="29"/>
      <w:r w:rsidRPr="00734B7C">
        <w:rPr>
          <w:rFonts w:ascii="Simplified Arabic" w:eastAsia="Simplified Arabic" w:hAnsi="Simplified Arabic" w:cs="Simplified Arabic"/>
          <w:b/>
          <w:color w:val="2D74B5"/>
          <w:sz w:val="44"/>
          <w:szCs w:val="32"/>
          <w:rtl/>
        </w:rPr>
        <w:t> </w:t>
      </w:r>
    </w:p>
    <w:p w14:paraId="1DD5C50F"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مقدمة</w:t>
      </w:r>
    </w:p>
    <w:p w14:paraId="2CF587D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تعد إدارة المخاطر عنصرًا محوريًا في تعزيز الأمن الجمركي، إذ تمكّن الهيئات المختصة من مواجهة التهديدات المحتملة على الحدود الوطنية وحماية الاقتصاد الوطني من الأنشطة غير القانونية. </w:t>
      </w:r>
    </w:p>
    <w:p w14:paraId="6268660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يهدف هذا التكامل إلى توجيه الموارد والإجراءات نحو مواجهة المخاطر الأكثر تأثيرًا، ما يسهم في تعزيز كفاءة الإجراءات الأمنية والقدرة على مواجهة التهريب بشكل استباقي.</w:t>
      </w:r>
    </w:p>
    <w:p w14:paraId="5A1F9D4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الأمن الجمركي لا يقتصر على ضبط السلع غير القانونية، بل يشمل حماية الدولة من التهديدات الاقتصادية والأمنية والصحية والبيئية التي قد تنشأ من التجارة العابرة للحدود. إدارة المخاطر الفعالة تساعد على توقع هذه التهديدات وتقليل آثارها، ما يعزز استقرار النظام الجمركي ويضمن حماية المصالح الوطنية.</w:t>
      </w:r>
    </w:p>
    <w:p w14:paraId="09E141C7"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tl/>
        </w:rPr>
      </w:pPr>
      <w:r w:rsidRPr="00734B7C">
        <w:rPr>
          <w:rFonts w:ascii="Times New Roman" w:eastAsia="Simplified Arabic" w:hAnsi="Times New Roman" w:cs="Times New Roman"/>
          <w:b/>
          <w:bCs/>
          <w:color w:val="4472C4"/>
          <w:sz w:val="28"/>
          <w:szCs w:val="28"/>
          <w:rtl/>
        </w:rPr>
        <w:t>مفهوم إدارة المخاطر في الأمن الجمركي</w:t>
      </w:r>
    </w:p>
    <w:p w14:paraId="21A51D6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إدارة المخاطر في هذا السياق هي عملية منهجية تتضمن:</w:t>
      </w:r>
    </w:p>
    <w:p w14:paraId="5664BA8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تحديد المخاطر: التعرف على التهديدات المحتملة التي قد تؤثر على الأمن الاقتصادي والاجتماعي، مثل تهريب السلع المقلدة أو المواد المحظورة أو المخاطر البيئية والصحية.</w:t>
      </w:r>
    </w:p>
    <w:p w14:paraId="7155826B"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تقييم المخاطر: تحليل المخاطر من حيث درجة الخطورة واحتمالية وقوعها لتحديد أولويات التعامل معها بما يحقق أقصى تأثير إيجابي على حماية الأمن الجمركي.</w:t>
      </w:r>
    </w:p>
    <w:p w14:paraId="787942D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معالجة المخاطر: وضع استراتيجيات وقائية واستباقية للتقليل من آثار المخاطر المحتملة على الدولة والمجتمع، بما في ذلك توجيه السياسات والإجراءات الوقائية وتعزيز التنسيق بين الجهات المعنية.</w:t>
      </w:r>
    </w:p>
    <w:p w14:paraId="5F0661F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2E90033"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مفهوم الأمن الجمركي</w:t>
      </w:r>
    </w:p>
    <w:p w14:paraId="0FB9523D"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 xml:space="preserve">الأمن الجمركي هو القدرة على حماية الحدود والمصالح الاقتصادية والاجتماعية من المخاطر العابرة للحدود، سواء كانت تهديدات أمنية مثل تهريب المواد المحظورة والأسلحة والمخدرات، أو تهديدات اقتصادية مثل التهرب الجمركي والسلع المزيفة، أو </w:t>
      </w:r>
      <w:proofErr w:type="gramStart"/>
      <w:r w:rsidRPr="00734B7C">
        <w:rPr>
          <w:rFonts w:ascii="Times New Roman" w:eastAsia="Simplified Arabic" w:hAnsi="Times New Roman" w:cs="Times New Roman"/>
          <w:color w:val="000000"/>
          <w:sz w:val="28"/>
          <w:szCs w:val="28"/>
          <w:rtl/>
        </w:rPr>
        <w:t>مخاطر</w:t>
      </w:r>
      <w:proofErr w:type="gramEnd"/>
      <w:r w:rsidRPr="00734B7C">
        <w:rPr>
          <w:rFonts w:ascii="Times New Roman" w:eastAsia="Simplified Arabic" w:hAnsi="Times New Roman" w:cs="Times New Roman"/>
          <w:color w:val="000000"/>
          <w:sz w:val="28"/>
          <w:szCs w:val="28"/>
          <w:rtl/>
        </w:rPr>
        <w:t xml:space="preserve"> صحية وبيئية ناجمة عن منتجات غير مطابقة للمعايير.</w:t>
      </w:r>
    </w:p>
    <w:p w14:paraId="539499F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يعتمد الأمن الجمركي على إطار تنظيمي وإداري متكامل يشمل السياسات والقوانين والكوادر المدربة، إضافة إلى استراتيجيات الوقاية وإدارة المخاطر، بهدف الحد من أي تهديد محتمل قبل أن يتحول إلى خطر فعلي على الدولة والمجتمع.</w:t>
      </w:r>
    </w:p>
    <w:p w14:paraId="06E48915"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086B9C03"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234CC71B" w14:textId="77777777" w:rsidR="00734B7C" w:rsidRPr="00734B7C" w:rsidRDefault="00734B7C" w:rsidP="001A6444">
      <w:pPr>
        <w:spacing w:after="158" w:line="259" w:lineRule="auto"/>
        <w:ind w:right="62"/>
        <w:rPr>
          <w:rFonts w:ascii="Times New Roman" w:eastAsia="Simplified Arabic" w:hAnsi="Times New Roman" w:cs="Times New Roman"/>
          <w:color w:val="000000"/>
          <w:sz w:val="28"/>
          <w:szCs w:val="28"/>
          <w:rtl/>
        </w:rPr>
      </w:pPr>
    </w:p>
    <w:p w14:paraId="537F0A22"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أهمية العلاقة بين إدارة المخاطر والأمن الجمركي</w:t>
      </w:r>
    </w:p>
    <w:p w14:paraId="4BB4A47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6C15B16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تعتبر إدارة المخاطر أداة استراتيجية لتعزيز الأمن الجمركي، حيث تسهم في تحديد الأولويات الوطنية وتأمين الحدود من التهديدات المحتملة. </w:t>
      </w:r>
    </w:p>
    <w:p w14:paraId="1743D6A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ويمكن تلخيص أهميتها في النقاط التالية:</w:t>
      </w:r>
    </w:p>
    <w:p w14:paraId="208D64B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تحقيق الاستخدام الأمثل للموارد: من خلال تطبيق إدارة المخاطر بشكل منهجي، يتم توجيه الموارد البشرية والإدارية إلى المجالات والمخاطر الأكثر أهمية. هذا التوجيه يقلل الهدر، ويضمن استثمار الجهود في حماية الأمن الوطني والاقتصاد الوطني بشكل فعّال.</w:t>
      </w:r>
    </w:p>
    <w:p w14:paraId="6B5D508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زيادة فعالية الإجراءات الأمنية: تمكن إدارة المخاطر من التركيز على الأنشطة والسلع التي تشكل تهديدًا محتملًا للأمن الجمركي، ما يزيد من القدرة على الكشف المبكر عن المخاطر والتعامل معها قبل أن تتحول إلى تهديدات فعلية.</w:t>
      </w:r>
    </w:p>
    <w:p w14:paraId="75E6ACD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الحد من التهريب: يساهم التكامل بين إدارة المخاطر والاستراتيجيات الأمنية في تقليل دخول السلع غير القانونية أو المحظورة، بما يعزز استقرار الأسواق المحلية ويحمي الاقتصاد الوطني.</w:t>
      </w:r>
    </w:p>
    <w:p w14:paraId="2D81D308"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تعزيز سمعة النظام الجمركي وكفاءته: تطبيق إدارة المخاطر بشكل فعّال يرفع من مستوى الثقة بالمؤسسة الجمركية على المستوى الوطني والدولي، مما يعزز التبادل التجاري ويشجع المستثمرين على الالتزام بالقوانين والمعايير.</w:t>
      </w:r>
    </w:p>
    <w:p w14:paraId="6889976C"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تعزيز الامتثال للقوانين والأنظمة: من خلال التنبؤ بالمخاطر المحتملة واتخاذ الإجراءات الاستباقية، تضمن إدارة المخاطر امتثال جميع الأنشطة التجارية للوائح الوطنية والدولية، بما يسهم في تقوية الأمن الاقتصادي والاجتماعي للدولة.</w:t>
      </w:r>
    </w:p>
    <w:p w14:paraId="0182E8F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162F562C"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أدوات وتقنيات تعزيز العلاقة بين إدارة المخاطر والأمن الجمركي</w:t>
      </w:r>
    </w:p>
    <w:p w14:paraId="310989B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5F3F0A7"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يمكن للهيئات الجمركية تعزيز الأمن الوطني من خلال دمج إدارة المخاطر في استراتيجياتها التنظيمية والتشغيلية، وذلك عبر عدة ادوات وتقنيات رئيسية:</w:t>
      </w:r>
    </w:p>
    <w:p w14:paraId="0A64125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تحليل البيانات والمعلومات: استخدام المعلومات المجمعة من المصادر المختلفة مثل سجلات التجارة والبيانات الاقتصادية لتحديد الأنماط والتهديدات المحتملة، مما يدعم اتخاذ قرارات أمنية استراتيجية دقيقة.</w:t>
      </w:r>
    </w:p>
    <w:p w14:paraId="3C2089B1"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تطوير أنظمة الذكاء التحليلي: اعتماد أدوات تحليل البيانات المتقدمة للتنبؤ بالمخاطر المحتملة وتمكين الجهات الجمركية من توجيه جهودها نحو التهديدات الأكثر تأثيرًا.</w:t>
      </w:r>
    </w:p>
    <w:p w14:paraId="474F2F5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تحديد أولويات المخاطر: من خلال إدارة المخاطر، يمكن تصنيف الأنشطة والسلع حسب درجة المخاطر المحتملة، ما يتيح التركيز على المجالات الأكثر تهديدًا للأمن الجمركي.</w:t>
      </w:r>
    </w:p>
    <w:p w14:paraId="43D79629"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lastRenderedPageBreak/>
        <w:t>4. التدريب وبناء القدرات: تعزيز مهارات الكوادر العاملة في الجمارك على تقييم المخاطر واتخاذ القرارات الوقائية والاستراتيجية يسهم في رفع فعالية الأمن الجمركي.</w:t>
      </w:r>
    </w:p>
    <w:p w14:paraId="40A88B4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5. التعاون والتنسيق الوطني والدولي: تعزيز التعاون بين الهيئات الحكومية المختلفة وبين الدول يتيح تبادل المعلومات حول التهديدات المحتملة، ويؤدي إلى تطوير استراتيجيات مشتركة لمكافحة التهريب وحماية الحدود.</w:t>
      </w:r>
    </w:p>
    <w:p w14:paraId="1CF3B0E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6. استخدام التحليل الجغرافي للمخاطر: تحديد المناطق والمنافذ التي تشهد أعلى مستويات من المخاطر يتيح وضع استراتيجيات وقائية دقيقة، وتحسين استجابة الهيئات الجمركية للتهديدات.</w:t>
      </w:r>
    </w:p>
    <w:p w14:paraId="4BD58745"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9B3529C"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التحديات التي قد تواجه تطبيق إدارة المخاطر في مكافحة التهريب</w:t>
      </w:r>
    </w:p>
    <w:p w14:paraId="4F74FDC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1. التهديدات الأمنية المتطورة: مع تطور أساليب التهريب والأنشطة غير القانونية، قد تواجه إدارة المخاطر تحديات في التنبؤ بشكل دقيق بجميع أشكال التهديدات التي قد تظهر في المستقبل.</w:t>
      </w:r>
    </w:p>
    <w:p w14:paraId="563832E6"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2. نقص في تدريب الموارد البشرية: يعتبر نقص التدريب المستمر للعاملين في الجمارك من أكبر التحديات التي قد تؤثر على فعالية تطبيق استراتيجيات إدارة المخاطر وتعزيز الأمن الجمركي.</w:t>
      </w:r>
    </w:p>
    <w:p w14:paraId="45059492"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3. التكنولوجيا المتقدمة والتكلفة: بالرغم من فعالية استخدام التقنيات الحديثة في دعم الأمن الجمركي، إلا أن تكاليف تبني هذه الأنظمة يمكن أن تكون مرتفعة، مما يشكل تحديًا للمؤسسات الجمركية ذات الميزانيات المحدودة.</w:t>
      </w:r>
    </w:p>
    <w:p w14:paraId="022177E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4. التحقق من الامتثال القانوني: الحفاظ على التوازن بين تطبيق إجراءات أمنية مشددة وحماية التجارة الشرعية يعد تحديًا مستمرًا في سياق إدارة المخاطر الجمركية.</w:t>
      </w:r>
    </w:p>
    <w:p w14:paraId="5901FB70"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3C17D0B5" w14:textId="77777777" w:rsidR="00734B7C" w:rsidRPr="00734B7C" w:rsidRDefault="00734B7C" w:rsidP="001A6444">
      <w:pPr>
        <w:spacing w:after="158" w:line="259" w:lineRule="auto"/>
        <w:ind w:left="10" w:right="62" w:hanging="10"/>
        <w:rPr>
          <w:rFonts w:ascii="Times New Roman" w:eastAsia="Simplified Arabic" w:hAnsi="Times New Roman" w:cs="Times New Roman"/>
          <w:b/>
          <w:bCs/>
          <w:color w:val="4472C4"/>
          <w:sz w:val="28"/>
          <w:szCs w:val="28"/>
        </w:rPr>
      </w:pPr>
      <w:r w:rsidRPr="00734B7C">
        <w:rPr>
          <w:rFonts w:ascii="Times New Roman" w:eastAsia="Simplified Arabic" w:hAnsi="Times New Roman" w:cs="Times New Roman"/>
          <w:b/>
          <w:bCs/>
          <w:color w:val="4472C4"/>
          <w:sz w:val="28"/>
          <w:szCs w:val="28"/>
          <w:rtl/>
        </w:rPr>
        <w:t>الخاتمة</w:t>
      </w:r>
    </w:p>
    <w:p w14:paraId="78AE7223"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p>
    <w:p w14:paraId="575DA65E"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Pr>
      </w:pPr>
      <w:r w:rsidRPr="00734B7C">
        <w:rPr>
          <w:rFonts w:ascii="Times New Roman" w:eastAsia="Simplified Arabic" w:hAnsi="Times New Roman" w:cs="Times New Roman"/>
          <w:color w:val="000000"/>
          <w:sz w:val="28"/>
          <w:szCs w:val="28"/>
          <w:rtl/>
        </w:rPr>
        <w:t>إن العلاقة بين إدارة المخاطر وكفاءة الأمن الجمركي تعد أحد العوامل الحيوية التي تؤثر بشكل كبير في تعزيز الأمان التجاري وحماية الحدود من الأنشطة غير القانونية. </w:t>
      </w:r>
    </w:p>
    <w:p w14:paraId="3EC45584"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من خلال تطبيق استراتيجيات فعالة لإدارة المخاطر، يمكن للهيئات الجمركية تحسين استخدام الموارد وتوجيه الجهود بما يتماشى مع الأولويات الأمنية. </w:t>
      </w:r>
    </w:p>
    <w:p w14:paraId="0D117BFA" w14:textId="77777777" w:rsidR="00734B7C" w:rsidRPr="00734B7C" w:rsidRDefault="00734B7C" w:rsidP="001A6444">
      <w:pPr>
        <w:spacing w:after="158" w:line="259" w:lineRule="auto"/>
        <w:ind w:left="10" w:right="62" w:hanging="10"/>
        <w:rPr>
          <w:rFonts w:ascii="Times New Roman" w:eastAsia="Simplified Arabic" w:hAnsi="Times New Roman" w:cs="Times New Roman"/>
          <w:color w:val="000000"/>
          <w:sz w:val="28"/>
          <w:szCs w:val="28"/>
          <w:rtl/>
        </w:rPr>
      </w:pPr>
      <w:r w:rsidRPr="00734B7C">
        <w:rPr>
          <w:rFonts w:ascii="Times New Roman" w:eastAsia="Simplified Arabic" w:hAnsi="Times New Roman" w:cs="Times New Roman"/>
          <w:color w:val="000000"/>
          <w:sz w:val="28"/>
          <w:szCs w:val="28"/>
          <w:rtl/>
        </w:rPr>
        <w:t>هذا التكامل يساهم في تحقيق توازن بين تسريع الإجراءات الجمركية وضمان الأمان الكامل، مما يعزز فعالية النظام الجمركي ويقلل من المخاطر المرتبطة بالتجارة العابرة للحدود</w:t>
      </w:r>
    </w:p>
    <w:p w14:paraId="1FEAAFB5" w14:textId="77777777" w:rsidR="00634909" w:rsidRDefault="00634909" w:rsidP="001A6444">
      <w:pPr>
        <w:rPr>
          <w:rFonts w:hint="cs"/>
        </w:rPr>
      </w:pPr>
    </w:p>
    <w:sectPr w:rsidR="00634909" w:rsidSect="0097702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pleSystemUIFont">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3980"/>
    <w:multiLevelType w:val="multilevel"/>
    <w:tmpl w:val="FFFFFFFF"/>
    <w:lvl w:ilvl="0">
      <w:start w:val="1"/>
      <w:numFmt w:val="bullet"/>
      <w:lvlText w:val=""/>
      <w:lvlJc w:val="left"/>
      <w:pPr>
        <w:tabs>
          <w:tab w:val="num" w:pos="6958"/>
        </w:tabs>
        <w:ind w:left="6958" w:hanging="360"/>
      </w:pPr>
      <w:rPr>
        <w:rFonts w:ascii="Symbol" w:hAnsi="Symbol" w:hint="default"/>
        <w:sz w:val="20"/>
      </w:rPr>
    </w:lvl>
    <w:lvl w:ilvl="1" w:tentative="1">
      <w:start w:val="1"/>
      <w:numFmt w:val="bullet"/>
      <w:lvlText w:val="o"/>
      <w:lvlJc w:val="left"/>
      <w:pPr>
        <w:tabs>
          <w:tab w:val="num" w:pos="7678"/>
        </w:tabs>
        <w:ind w:left="7678" w:hanging="360"/>
      </w:pPr>
      <w:rPr>
        <w:rFonts w:ascii="Courier New" w:hAnsi="Courier New" w:hint="default"/>
        <w:sz w:val="20"/>
      </w:rPr>
    </w:lvl>
    <w:lvl w:ilvl="2" w:tentative="1">
      <w:start w:val="1"/>
      <w:numFmt w:val="bullet"/>
      <w:lvlText w:val=""/>
      <w:lvlJc w:val="left"/>
      <w:pPr>
        <w:tabs>
          <w:tab w:val="num" w:pos="8398"/>
        </w:tabs>
        <w:ind w:left="8398" w:hanging="360"/>
      </w:pPr>
      <w:rPr>
        <w:rFonts w:ascii="Wingdings" w:hAnsi="Wingdings" w:hint="default"/>
        <w:sz w:val="20"/>
      </w:rPr>
    </w:lvl>
    <w:lvl w:ilvl="3" w:tentative="1">
      <w:start w:val="1"/>
      <w:numFmt w:val="bullet"/>
      <w:lvlText w:val=""/>
      <w:lvlJc w:val="left"/>
      <w:pPr>
        <w:tabs>
          <w:tab w:val="num" w:pos="9118"/>
        </w:tabs>
        <w:ind w:left="9118" w:hanging="360"/>
      </w:pPr>
      <w:rPr>
        <w:rFonts w:ascii="Wingdings" w:hAnsi="Wingdings" w:hint="default"/>
        <w:sz w:val="20"/>
      </w:rPr>
    </w:lvl>
    <w:lvl w:ilvl="4" w:tentative="1">
      <w:start w:val="1"/>
      <w:numFmt w:val="bullet"/>
      <w:lvlText w:val=""/>
      <w:lvlJc w:val="left"/>
      <w:pPr>
        <w:tabs>
          <w:tab w:val="num" w:pos="9838"/>
        </w:tabs>
        <w:ind w:left="9838" w:hanging="360"/>
      </w:pPr>
      <w:rPr>
        <w:rFonts w:ascii="Wingdings" w:hAnsi="Wingdings" w:hint="default"/>
        <w:sz w:val="20"/>
      </w:rPr>
    </w:lvl>
    <w:lvl w:ilvl="5" w:tentative="1">
      <w:start w:val="1"/>
      <w:numFmt w:val="bullet"/>
      <w:lvlText w:val=""/>
      <w:lvlJc w:val="left"/>
      <w:pPr>
        <w:tabs>
          <w:tab w:val="num" w:pos="10558"/>
        </w:tabs>
        <w:ind w:left="10558" w:hanging="360"/>
      </w:pPr>
      <w:rPr>
        <w:rFonts w:ascii="Wingdings" w:hAnsi="Wingdings" w:hint="default"/>
        <w:sz w:val="20"/>
      </w:rPr>
    </w:lvl>
    <w:lvl w:ilvl="6" w:tentative="1">
      <w:start w:val="1"/>
      <w:numFmt w:val="bullet"/>
      <w:lvlText w:val=""/>
      <w:lvlJc w:val="left"/>
      <w:pPr>
        <w:tabs>
          <w:tab w:val="num" w:pos="11278"/>
        </w:tabs>
        <w:ind w:left="11278" w:hanging="360"/>
      </w:pPr>
      <w:rPr>
        <w:rFonts w:ascii="Wingdings" w:hAnsi="Wingdings" w:hint="default"/>
        <w:sz w:val="20"/>
      </w:rPr>
    </w:lvl>
    <w:lvl w:ilvl="7" w:tentative="1">
      <w:start w:val="1"/>
      <w:numFmt w:val="bullet"/>
      <w:lvlText w:val=""/>
      <w:lvlJc w:val="left"/>
      <w:pPr>
        <w:tabs>
          <w:tab w:val="num" w:pos="11998"/>
        </w:tabs>
        <w:ind w:left="11998" w:hanging="360"/>
      </w:pPr>
      <w:rPr>
        <w:rFonts w:ascii="Wingdings" w:hAnsi="Wingdings" w:hint="default"/>
        <w:sz w:val="20"/>
      </w:rPr>
    </w:lvl>
    <w:lvl w:ilvl="8" w:tentative="1">
      <w:start w:val="1"/>
      <w:numFmt w:val="bullet"/>
      <w:lvlText w:val=""/>
      <w:lvlJc w:val="left"/>
      <w:pPr>
        <w:tabs>
          <w:tab w:val="num" w:pos="12718"/>
        </w:tabs>
        <w:ind w:left="12718" w:hanging="360"/>
      </w:pPr>
      <w:rPr>
        <w:rFonts w:ascii="Wingdings" w:hAnsi="Wingdings" w:hint="default"/>
        <w:sz w:val="20"/>
      </w:rPr>
    </w:lvl>
  </w:abstractNum>
  <w:abstractNum w:abstractNumId="1" w15:restartNumberingAfterBreak="0">
    <w:nsid w:val="0A5D559F"/>
    <w:multiLevelType w:val="hybridMultilevel"/>
    <w:tmpl w:val="FFFFFFFF"/>
    <w:lvl w:ilvl="0" w:tplc="FF1C85D8">
      <w:start w:val="1"/>
      <w:numFmt w:val="decimal"/>
      <w:lvlText w:val="%1."/>
      <w:lvlJc w:val="left"/>
      <w:pPr>
        <w:ind w:left="7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4D0C51A">
      <w:start w:val="1"/>
      <w:numFmt w:val="lowerLetter"/>
      <w:lvlText w:val="%2"/>
      <w:lvlJc w:val="left"/>
      <w:pPr>
        <w:ind w:left="14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1132E684">
      <w:start w:val="1"/>
      <w:numFmt w:val="lowerRoman"/>
      <w:lvlText w:val="%3"/>
      <w:lvlJc w:val="left"/>
      <w:pPr>
        <w:ind w:left="21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1214EDB4">
      <w:start w:val="1"/>
      <w:numFmt w:val="decimal"/>
      <w:lvlText w:val="%4"/>
      <w:lvlJc w:val="left"/>
      <w:pPr>
        <w:ind w:left="28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E7EE198">
      <w:start w:val="1"/>
      <w:numFmt w:val="lowerLetter"/>
      <w:lvlText w:val="%5"/>
      <w:lvlJc w:val="left"/>
      <w:pPr>
        <w:ind w:left="35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3FAAA6BA">
      <w:start w:val="1"/>
      <w:numFmt w:val="lowerRoman"/>
      <w:lvlText w:val="%6"/>
      <w:lvlJc w:val="left"/>
      <w:pPr>
        <w:ind w:left="43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9D6CC34E">
      <w:start w:val="1"/>
      <w:numFmt w:val="decimal"/>
      <w:lvlText w:val="%7"/>
      <w:lvlJc w:val="left"/>
      <w:pPr>
        <w:ind w:left="50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F86E1F44">
      <w:start w:val="1"/>
      <w:numFmt w:val="lowerLetter"/>
      <w:lvlText w:val="%8"/>
      <w:lvlJc w:val="left"/>
      <w:pPr>
        <w:ind w:left="57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CB09876">
      <w:start w:val="1"/>
      <w:numFmt w:val="lowerRoman"/>
      <w:lvlText w:val="%9"/>
      <w:lvlJc w:val="left"/>
      <w:pPr>
        <w:ind w:left="64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3940CB"/>
    <w:multiLevelType w:val="multilevel"/>
    <w:tmpl w:val="FFFFFFFF"/>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3" w15:restartNumberingAfterBreak="0">
    <w:nsid w:val="0C7172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10F79"/>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16E5331"/>
    <w:multiLevelType w:val="multilevel"/>
    <w:tmpl w:val="2362C098"/>
    <w:lvl w:ilvl="0">
      <w:start w:val="1"/>
      <w:numFmt w:val="bullet"/>
      <w:lvlText w:val=""/>
      <w:lvlJc w:val="left"/>
      <w:pPr>
        <w:tabs>
          <w:tab w:val="num" w:pos="501"/>
        </w:tabs>
        <w:ind w:left="501" w:hanging="360"/>
      </w:pPr>
      <w:rPr>
        <w:rFonts w:ascii="Symbol" w:hAnsi="Symbol" w:hint="default"/>
        <w:sz w:val="20"/>
      </w:rPr>
    </w:lvl>
    <w:lvl w:ilvl="1">
      <w:start w:val="1"/>
      <w:numFmt w:val="bullet"/>
      <w:lvlText w:val=""/>
      <w:lvlJc w:val="left"/>
      <w:pPr>
        <w:ind w:left="1221" w:hanging="360"/>
      </w:pPr>
      <w:rPr>
        <w:rFonts w:ascii="Symbol" w:hAnsi="Symbol" w:hint="default"/>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6" w15:restartNumberingAfterBreak="0">
    <w:nsid w:val="18775346"/>
    <w:multiLevelType w:val="multilevel"/>
    <w:tmpl w:val="FFFFFFFF"/>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7" w15:restartNumberingAfterBreak="0">
    <w:nsid w:val="189549FC"/>
    <w:multiLevelType w:val="hybridMultilevel"/>
    <w:tmpl w:val="FFFFFFFF"/>
    <w:lvl w:ilvl="0" w:tplc="3EF8FD38">
      <w:start w:val="1"/>
      <w:numFmt w:val="decimal"/>
      <w:lvlText w:val="%1."/>
      <w:lvlJc w:val="left"/>
      <w:pPr>
        <w:ind w:left="625"/>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F56A7CA2">
      <w:start w:val="1"/>
      <w:numFmt w:val="bullet"/>
      <w:lvlText w:val="o"/>
      <w:lvlJc w:val="left"/>
      <w:pPr>
        <w:ind w:left="71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D11A7B92">
      <w:start w:val="1"/>
      <w:numFmt w:val="bullet"/>
      <w:lvlText w:val="▪"/>
      <w:lvlJc w:val="left"/>
      <w:pPr>
        <w:ind w:left="18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36084B6A">
      <w:start w:val="1"/>
      <w:numFmt w:val="bullet"/>
      <w:lvlText w:val="•"/>
      <w:lvlJc w:val="left"/>
      <w:pPr>
        <w:ind w:left="25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AD74D07E">
      <w:start w:val="1"/>
      <w:numFmt w:val="bullet"/>
      <w:lvlText w:val="o"/>
      <w:lvlJc w:val="left"/>
      <w:pPr>
        <w:ind w:left="324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2CDE964A">
      <w:start w:val="1"/>
      <w:numFmt w:val="bullet"/>
      <w:lvlText w:val="▪"/>
      <w:lvlJc w:val="left"/>
      <w:pPr>
        <w:ind w:left="39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40BE3B82">
      <w:start w:val="1"/>
      <w:numFmt w:val="bullet"/>
      <w:lvlText w:val="•"/>
      <w:lvlJc w:val="left"/>
      <w:pPr>
        <w:ind w:left="46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6A86F418">
      <w:start w:val="1"/>
      <w:numFmt w:val="bullet"/>
      <w:lvlText w:val="o"/>
      <w:lvlJc w:val="left"/>
      <w:pPr>
        <w:ind w:left="54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F54C2830">
      <w:start w:val="1"/>
      <w:numFmt w:val="bullet"/>
      <w:lvlText w:val="▪"/>
      <w:lvlJc w:val="left"/>
      <w:pPr>
        <w:ind w:left="61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8" w15:restartNumberingAfterBreak="0">
    <w:nsid w:val="1AA3059B"/>
    <w:multiLevelType w:val="hybridMultilevel"/>
    <w:tmpl w:val="715C44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201264"/>
    <w:multiLevelType w:val="multilevel"/>
    <w:tmpl w:val="98A2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30251"/>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D82254"/>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E22EFC"/>
    <w:multiLevelType w:val="hybridMultilevel"/>
    <w:tmpl w:val="FFFFFFFF"/>
    <w:lvl w:ilvl="0" w:tplc="4B3813B8">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E6F85B96">
      <w:start w:val="1"/>
      <w:numFmt w:val="bullet"/>
      <w:lvlText w:val="o"/>
      <w:lvlJc w:val="left"/>
      <w:pPr>
        <w:ind w:left="7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0030A2E2">
      <w:start w:val="1"/>
      <w:numFmt w:val="bullet"/>
      <w:lvlText w:val="▪"/>
      <w:lvlJc w:val="left"/>
      <w:pPr>
        <w:ind w:left="10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4DFC3970">
      <w:start w:val="1"/>
      <w:numFmt w:val="bullet"/>
      <w:lvlRestart w:val="0"/>
      <w:lvlText w:val="o"/>
      <w:lvlJc w:val="left"/>
      <w:pPr>
        <w:ind w:left="17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E36E9630">
      <w:start w:val="1"/>
      <w:numFmt w:val="bullet"/>
      <w:lvlText w:val="o"/>
      <w:lvlJc w:val="left"/>
      <w:pPr>
        <w:ind w:left="211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48648582">
      <w:start w:val="1"/>
      <w:numFmt w:val="bullet"/>
      <w:lvlText w:val="▪"/>
      <w:lvlJc w:val="left"/>
      <w:pPr>
        <w:ind w:left="283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32462BDC">
      <w:start w:val="1"/>
      <w:numFmt w:val="bullet"/>
      <w:lvlText w:val="•"/>
      <w:lvlJc w:val="left"/>
      <w:pPr>
        <w:ind w:left="355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2696D65A">
      <w:start w:val="1"/>
      <w:numFmt w:val="bullet"/>
      <w:lvlText w:val="o"/>
      <w:lvlJc w:val="left"/>
      <w:pPr>
        <w:ind w:left="427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D6B20794">
      <w:start w:val="1"/>
      <w:numFmt w:val="bullet"/>
      <w:lvlText w:val="▪"/>
      <w:lvlJc w:val="left"/>
      <w:pPr>
        <w:ind w:left="499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3" w15:restartNumberingAfterBreak="0">
    <w:nsid w:val="235233B8"/>
    <w:multiLevelType w:val="hybridMultilevel"/>
    <w:tmpl w:val="B3E26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CC1A76"/>
    <w:multiLevelType w:val="hybridMultilevel"/>
    <w:tmpl w:val="FFFFFFFF"/>
    <w:lvl w:ilvl="0" w:tplc="CEB471BC">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CC4AD12A">
      <w:start w:val="1"/>
      <w:numFmt w:val="bullet"/>
      <w:lvlText w:val="o"/>
      <w:lvlJc w:val="left"/>
      <w:pPr>
        <w:ind w:left="7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D2D84E2C">
      <w:start w:val="1"/>
      <w:numFmt w:val="bullet"/>
      <w:lvlText w:val="▪"/>
      <w:lvlJc w:val="left"/>
      <w:pPr>
        <w:ind w:left="10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821A87C6">
      <w:start w:val="1"/>
      <w:numFmt w:val="bullet"/>
      <w:lvlRestart w:val="0"/>
      <w:lvlText w:val="o"/>
      <w:lvlJc w:val="left"/>
      <w:pPr>
        <w:ind w:left="18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5E9840CE">
      <w:start w:val="1"/>
      <w:numFmt w:val="bullet"/>
      <w:lvlText w:val="o"/>
      <w:lvlJc w:val="left"/>
      <w:pPr>
        <w:ind w:left="21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68A032CE">
      <w:start w:val="1"/>
      <w:numFmt w:val="bullet"/>
      <w:lvlText w:val="▪"/>
      <w:lvlJc w:val="left"/>
      <w:pPr>
        <w:ind w:left="28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84E4907C">
      <w:start w:val="1"/>
      <w:numFmt w:val="bullet"/>
      <w:lvlText w:val="•"/>
      <w:lvlJc w:val="left"/>
      <w:pPr>
        <w:ind w:left="36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481CAA48">
      <w:start w:val="1"/>
      <w:numFmt w:val="bullet"/>
      <w:lvlText w:val="o"/>
      <w:lvlJc w:val="left"/>
      <w:pPr>
        <w:ind w:left="43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39249164">
      <w:start w:val="1"/>
      <w:numFmt w:val="bullet"/>
      <w:lvlText w:val="▪"/>
      <w:lvlJc w:val="left"/>
      <w:pPr>
        <w:ind w:left="50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5" w15:restartNumberingAfterBreak="0">
    <w:nsid w:val="2EB20D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92F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7E7CCE"/>
    <w:multiLevelType w:val="hybridMultilevel"/>
    <w:tmpl w:val="FFFFFFFF"/>
    <w:lvl w:ilvl="0" w:tplc="6D862EB8">
      <w:start w:val="1"/>
      <w:numFmt w:val="decimal"/>
      <w:lvlText w:val="%1."/>
      <w:lvlJc w:val="left"/>
      <w:pPr>
        <w:ind w:left="72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A7247CC4">
      <w:start w:val="1"/>
      <w:numFmt w:val="lowerLetter"/>
      <w:lvlText w:val="%2"/>
      <w:lvlJc w:val="left"/>
      <w:pPr>
        <w:ind w:left="14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C8BA3FD6">
      <w:start w:val="1"/>
      <w:numFmt w:val="lowerRoman"/>
      <w:lvlText w:val="%3"/>
      <w:lvlJc w:val="left"/>
      <w:pPr>
        <w:ind w:left="21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C66322C">
      <w:start w:val="1"/>
      <w:numFmt w:val="decimal"/>
      <w:lvlText w:val="%4"/>
      <w:lvlJc w:val="left"/>
      <w:pPr>
        <w:ind w:left="28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37029DAC">
      <w:start w:val="1"/>
      <w:numFmt w:val="lowerLetter"/>
      <w:lvlText w:val="%5"/>
      <w:lvlJc w:val="left"/>
      <w:pPr>
        <w:ind w:left="359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6D8C0C7E">
      <w:start w:val="1"/>
      <w:numFmt w:val="lowerRoman"/>
      <w:lvlText w:val="%6"/>
      <w:lvlJc w:val="left"/>
      <w:pPr>
        <w:ind w:left="431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A762FA68">
      <w:start w:val="1"/>
      <w:numFmt w:val="decimal"/>
      <w:lvlText w:val="%7"/>
      <w:lvlJc w:val="left"/>
      <w:pPr>
        <w:ind w:left="50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D8E1CD2">
      <w:start w:val="1"/>
      <w:numFmt w:val="lowerLetter"/>
      <w:lvlText w:val="%8"/>
      <w:lvlJc w:val="left"/>
      <w:pPr>
        <w:ind w:left="57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C14A480">
      <w:start w:val="1"/>
      <w:numFmt w:val="lowerRoman"/>
      <w:lvlText w:val="%9"/>
      <w:lvlJc w:val="left"/>
      <w:pPr>
        <w:ind w:left="64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ED10D57"/>
    <w:multiLevelType w:val="multilevel"/>
    <w:tmpl w:val="2E3C0F02"/>
    <w:lvl w:ilvl="0">
      <w:start w:val="1"/>
      <w:numFmt w:val="bullet"/>
      <w:lvlText w:val=""/>
      <w:lvlJc w:val="left"/>
      <w:pPr>
        <w:tabs>
          <w:tab w:val="num" w:pos="501"/>
        </w:tabs>
        <w:ind w:left="501" w:hanging="360"/>
      </w:pPr>
      <w:rPr>
        <w:rFonts w:ascii="Symbol" w:hAnsi="Symbol" w:hint="default"/>
        <w:sz w:val="20"/>
      </w:rPr>
    </w:lvl>
    <w:lvl w:ilvl="1">
      <w:start w:val="4"/>
      <w:numFmt w:val="bullet"/>
      <w:lvlText w:val="-"/>
      <w:lvlJc w:val="left"/>
      <w:pPr>
        <w:ind w:left="1221" w:hanging="360"/>
      </w:pPr>
      <w:rPr>
        <w:rFonts w:ascii="Times New Roman" w:eastAsia="Simplified Arabic" w:hAnsi="Times New Roman" w:cs="Times New Roman" w:hint="default"/>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9" w15:restartNumberingAfterBreak="0">
    <w:nsid w:val="3F153E2C"/>
    <w:multiLevelType w:val="hybridMultilevel"/>
    <w:tmpl w:val="FFFFFFFF"/>
    <w:lvl w:ilvl="0" w:tplc="A588058C">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1" w:tplc="35461D12">
      <w:start w:val="1"/>
      <w:numFmt w:val="bullet"/>
      <w:lvlText w:val="o"/>
      <w:lvlJc w:val="left"/>
      <w:pPr>
        <w:ind w:left="71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C7127DC2">
      <w:start w:val="1"/>
      <w:numFmt w:val="bullet"/>
      <w:lvlText w:val="▪"/>
      <w:lvlJc w:val="left"/>
      <w:pPr>
        <w:ind w:left="10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163451F8">
      <w:start w:val="1"/>
      <w:numFmt w:val="bullet"/>
      <w:lvlRestart w:val="0"/>
      <w:lvlText w:val="o"/>
      <w:lvlJc w:val="left"/>
      <w:pPr>
        <w:ind w:left="17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0AB05946">
      <w:start w:val="1"/>
      <w:numFmt w:val="bullet"/>
      <w:lvlText w:val="o"/>
      <w:lvlJc w:val="left"/>
      <w:pPr>
        <w:ind w:left="213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63228D9C">
      <w:start w:val="1"/>
      <w:numFmt w:val="bullet"/>
      <w:lvlText w:val="▪"/>
      <w:lvlJc w:val="left"/>
      <w:pPr>
        <w:ind w:left="285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1C404DB6">
      <w:start w:val="1"/>
      <w:numFmt w:val="bullet"/>
      <w:lvlText w:val="•"/>
      <w:lvlJc w:val="left"/>
      <w:pPr>
        <w:ind w:left="357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C7721A22">
      <w:start w:val="1"/>
      <w:numFmt w:val="bullet"/>
      <w:lvlText w:val="o"/>
      <w:lvlJc w:val="left"/>
      <w:pPr>
        <w:ind w:left="429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E12840F6">
      <w:start w:val="1"/>
      <w:numFmt w:val="bullet"/>
      <w:lvlText w:val="▪"/>
      <w:lvlJc w:val="left"/>
      <w:pPr>
        <w:ind w:left="501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20" w15:restartNumberingAfterBreak="0">
    <w:nsid w:val="42946259"/>
    <w:multiLevelType w:val="multilevel"/>
    <w:tmpl w:val="7D849C2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1" w15:restartNumberingAfterBreak="0">
    <w:nsid w:val="437D461E"/>
    <w:multiLevelType w:val="multilevel"/>
    <w:tmpl w:val="FFFFFFFF"/>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2" w15:restartNumberingAfterBreak="0">
    <w:nsid w:val="43EF66E3"/>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265DED"/>
    <w:multiLevelType w:val="hybridMultilevel"/>
    <w:tmpl w:val="8A764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7AE316E"/>
    <w:multiLevelType w:val="hybridMultilevel"/>
    <w:tmpl w:val="01961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8331F0E"/>
    <w:multiLevelType w:val="multilevel"/>
    <w:tmpl w:val="30C6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633D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508F0"/>
    <w:multiLevelType w:val="multilevel"/>
    <w:tmpl w:val="3B628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913F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B5A19"/>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6310D1"/>
    <w:multiLevelType w:val="multilevel"/>
    <w:tmpl w:val="FFFFFFFF"/>
    <w:lvl w:ilvl="0">
      <w:start w:val="2"/>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31" w15:restartNumberingAfterBreak="0">
    <w:nsid w:val="589D4C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C24F2"/>
    <w:multiLevelType w:val="hybridMultilevel"/>
    <w:tmpl w:val="39C0C3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D282483"/>
    <w:multiLevelType w:val="hybridMultilevel"/>
    <w:tmpl w:val="FB429E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3F0C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52ACE"/>
    <w:multiLevelType w:val="hybridMultilevel"/>
    <w:tmpl w:val="D95652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4C3993"/>
    <w:multiLevelType w:val="hybridMultilevel"/>
    <w:tmpl w:val="E31C4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6883868"/>
    <w:multiLevelType w:val="hybridMultilevel"/>
    <w:tmpl w:val="4B86D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A27776"/>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C92B17"/>
    <w:multiLevelType w:val="hybridMultilevel"/>
    <w:tmpl w:val="A3D23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F1E2378"/>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7121CD"/>
    <w:multiLevelType w:val="hybridMultilevel"/>
    <w:tmpl w:val="DA20A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3431249"/>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73570E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7A5926"/>
    <w:multiLevelType w:val="hybridMultilevel"/>
    <w:tmpl w:val="82BE4D28"/>
    <w:lvl w:ilvl="0" w:tplc="617A1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5185532">
    <w:abstractNumId w:val="7"/>
  </w:num>
  <w:num w:numId="2" w16cid:durableId="1784229380">
    <w:abstractNumId w:val="19"/>
  </w:num>
  <w:num w:numId="3" w16cid:durableId="854271000">
    <w:abstractNumId w:val="14"/>
  </w:num>
  <w:num w:numId="4" w16cid:durableId="1975134520">
    <w:abstractNumId w:val="12"/>
  </w:num>
  <w:num w:numId="5" w16cid:durableId="1487475872">
    <w:abstractNumId w:val="17"/>
  </w:num>
  <w:num w:numId="6" w16cid:durableId="1303582555">
    <w:abstractNumId w:val="1"/>
  </w:num>
  <w:num w:numId="7" w16cid:durableId="1016661255">
    <w:abstractNumId w:val="21"/>
  </w:num>
  <w:num w:numId="8" w16cid:durableId="1007944114">
    <w:abstractNumId w:val="4"/>
  </w:num>
  <w:num w:numId="9" w16cid:durableId="2022389636">
    <w:abstractNumId w:val="18"/>
  </w:num>
  <w:num w:numId="10" w16cid:durableId="1657371345">
    <w:abstractNumId w:val="2"/>
  </w:num>
  <w:num w:numId="11" w16cid:durableId="658533905">
    <w:abstractNumId w:val="42"/>
  </w:num>
  <w:num w:numId="12" w16cid:durableId="2120373349">
    <w:abstractNumId w:val="16"/>
  </w:num>
  <w:num w:numId="13" w16cid:durableId="1512715789">
    <w:abstractNumId w:val="43"/>
  </w:num>
  <w:num w:numId="14" w16cid:durableId="1350719351">
    <w:abstractNumId w:val="30"/>
  </w:num>
  <w:num w:numId="15" w16cid:durableId="222446070">
    <w:abstractNumId w:val="15"/>
  </w:num>
  <w:num w:numId="16" w16cid:durableId="1787041429">
    <w:abstractNumId w:val="22"/>
  </w:num>
  <w:num w:numId="17" w16cid:durableId="740177801">
    <w:abstractNumId w:val="0"/>
  </w:num>
  <w:num w:numId="18" w16cid:durableId="1073161150">
    <w:abstractNumId w:val="29"/>
  </w:num>
  <w:num w:numId="19" w16cid:durableId="1169756835">
    <w:abstractNumId w:val="31"/>
  </w:num>
  <w:num w:numId="20" w16cid:durableId="890044987">
    <w:abstractNumId w:val="11"/>
  </w:num>
  <w:num w:numId="21" w16cid:durableId="735470153">
    <w:abstractNumId w:val="26"/>
  </w:num>
  <w:num w:numId="22" w16cid:durableId="751969869">
    <w:abstractNumId w:val="38"/>
  </w:num>
  <w:num w:numId="23" w16cid:durableId="1032801675">
    <w:abstractNumId w:val="3"/>
  </w:num>
  <w:num w:numId="24" w16cid:durableId="2066174322">
    <w:abstractNumId w:val="10"/>
  </w:num>
  <w:num w:numId="25" w16cid:durableId="1933275779">
    <w:abstractNumId w:val="28"/>
  </w:num>
  <w:num w:numId="26" w16cid:durableId="1973903348">
    <w:abstractNumId w:val="40"/>
  </w:num>
  <w:num w:numId="27" w16cid:durableId="761529532">
    <w:abstractNumId w:val="34"/>
  </w:num>
  <w:num w:numId="28" w16cid:durableId="2106026723">
    <w:abstractNumId w:val="6"/>
  </w:num>
  <w:num w:numId="29" w16cid:durableId="365178189">
    <w:abstractNumId w:val="44"/>
  </w:num>
  <w:num w:numId="30" w16cid:durableId="1288122606">
    <w:abstractNumId w:val="39"/>
  </w:num>
  <w:num w:numId="31" w16cid:durableId="589975088">
    <w:abstractNumId w:val="33"/>
  </w:num>
  <w:num w:numId="32" w16cid:durableId="1523326494">
    <w:abstractNumId w:val="8"/>
  </w:num>
  <w:num w:numId="33" w16cid:durableId="408423770">
    <w:abstractNumId w:val="36"/>
  </w:num>
  <w:num w:numId="34" w16cid:durableId="1314218178">
    <w:abstractNumId w:val="23"/>
  </w:num>
  <w:num w:numId="35" w16cid:durableId="1553494472">
    <w:abstractNumId w:val="37"/>
  </w:num>
  <w:num w:numId="36" w16cid:durableId="1208371539">
    <w:abstractNumId w:val="24"/>
  </w:num>
  <w:num w:numId="37" w16cid:durableId="406615520">
    <w:abstractNumId w:val="32"/>
  </w:num>
  <w:num w:numId="38" w16cid:durableId="1956979214">
    <w:abstractNumId w:val="13"/>
  </w:num>
  <w:num w:numId="39" w16cid:durableId="1964575763">
    <w:abstractNumId w:val="41"/>
  </w:num>
  <w:num w:numId="40" w16cid:durableId="747582969">
    <w:abstractNumId w:val="35"/>
  </w:num>
  <w:num w:numId="41" w16cid:durableId="301814737">
    <w:abstractNumId w:val="20"/>
  </w:num>
  <w:num w:numId="42" w16cid:durableId="2044283343">
    <w:abstractNumId w:val="27"/>
  </w:num>
  <w:num w:numId="43" w16cid:durableId="1227379948">
    <w:abstractNumId w:val="9"/>
  </w:num>
  <w:num w:numId="44" w16cid:durableId="1951626960">
    <w:abstractNumId w:val="25"/>
  </w:num>
  <w:num w:numId="45" w16cid:durableId="1024943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909"/>
    <w:rsid w:val="0003061E"/>
    <w:rsid w:val="001A6444"/>
    <w:rsid w:val="002273FB"/>
    <w:rsid w:val="00634909"/>
    <w:rsid w:val="00663CD9"/>
    <w:rsid w:val="00734B7C"/>
    <w:rsid w:val="0097702D"/>
    <w:rsid w:val="00DB3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221A2"/>
  <w15:chartTrackingRefBased/>
  <w15:docId w15:val="{29A36A69-29DC-489C-B57E-1F6D4127A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34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34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3490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63490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3490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3490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3490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3490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3490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3490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3490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34909"/>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63490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34909"/>
    <w:rPr>
      <w:rFonts w:eastAsiaTheme="majorEastAsia" w:cstheme="majorBidi"/>
      <w:color w:val="0F4761" w:themeColor="accent1" w:themeShade="BF"/>
    </w:rPr>
  </w:style>
  <w:style w:type="character" w:customStyle="1" w:styleId="6Char">
    <w:name w:val="عنوان 6 Char"/>
    <w:basedOn w:val="a0"/>
    <w:link w:val="6"/>
    <w:uiPriority w:val="9"/>
    <w:semiHidden/>
    <w:rsid w:val="00634909"/>
    <w:rPr>
      <w:rFonts w:eastAsiaTheme="majorEastAsia" w:cstheme="majorBidi"/>
      <w:i/>
      <w:iCs/>
      <w:color w:val="595959" w:themeColor="text1" w:themeTint="A6"/>
    </w:rPr>
  </w:style>
  <w:style w:type="character" w:customStyle="1" w:styleId="7Char">
    <w:name w:val="عنوان 7 Char"/>
    <w:basedOn w:val="a0"/>
    <w:link w:val="7"/>
    <w:uiPriority w:val="9"/>
    <w:semiHidden/>
    <w:rsid w:val="00634909"/>
    <w:rPr>
      <w:rFonts w:eastAsiaTheme="majorEastAsia" w:cstheme="majorBidi"/>
      <w:color w:val="595959" w:themeColor="text1" w:themeTint="A6"/>
    </w:rPr>
  </w:style>
  <w:style w:type="character" w:customStyle="1" w:styleId="8Char">
    <w:name w:val="عنوان 8 Char"/>
    <w:basedOn w:val="a0"/>
    <w:link w:val="8"/>
    <w:uiPriority w:val="9"/>
    <w:semiHidden/>
    <w:rsid w:val="00634909"/>
    <w:rPr>
      <w:rFonts w:eastAsiaTheme="majorEastAsia" w:cstheme="majorBidi"/>
      <w:i/>
      <w:iCs/>
      <w:color w:val="272727" w:themeColor="text1" w:themeTint="D8"/>
    </w:rPr>
  </w:style>
  <w:style w:type="character" w:customStyle="1" w:styleId="9Char">
    <w:name w:val="عنوان 9 Char"/>
    <w:basedOn w:val="a0"/>
    <w:link w:val="9"/>
    <w:uiPriority w:val="9"/>
    <w:semiHidden/>
    <w:rsid w:val="00634909"/>
    <w:rPr>
      <w:rFonts w:eastAsiaTheme="majorEastAsia" w:cstheme="majorBidi"/>
      <w:color w:val="272727" w:themeColor="text1" w:themeTint="D8"/>
    </w:rPr>
  </w:style>
  <w:style w:type="paragraph" w:styleId="a3">
    <w:name w:val="Title"/>
    <w:basedOn w:val="a"/>
    <w:next w:val="a"/>
    <w:link w:val="Char"/>
    <w:uiPriority w:val="10"/>
    <w:qFormat/>
    <w:rsid w:val="00634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3490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3490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3490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34909"/>
    <w:pPr>
      <w:spacing w:before="160"/>
      <w:jc w:val="center"/>
    </w:pPr>
    <w:rPr>
      <w:i/>
      <w:iCs/>
      <w:color w:val="404040" w:themeColor="text1" w:themeTint="BF"/>
    </w:rPr>
  </w:style>
  <w:style w:type="character" w:customStyle="1" w:styleId="Char1">
    <w:name w:val="اقتباس Char"/>
    <w:basedOn w:val="a0"/>
    <w:link w:val="a5"/>
    <w:uiPriority w:val="29"/>
    <w:rsid w:val="00634909"/>
    <w:rPr>
      <w:i/>
      <w:iCs/>
      <w:color w:val="404040" w:themeColor="text1" w:themeTint="BF"/>
    </w:rPr>
  </w:style>
  <w:style w:type="paragraph" w:styleId="a6">
    <w:name w:val="List Paragraph"/>
    <w:basedOn w:val="a"/>
    <w:uiPriority w:val="34"/>
    <w:qFormat/>
    <w:rsid w:val="00634909"/>
    <w:pPr>
      <w:ind w:left="720"/>
      <w:contextualSpacing/>
    </w:pPr>
  </w:style>
  <w:style w:type="character" w:styleId="a7">
    <w:name w:val="Intense Emphasis"/>
    <w:basedOn w:val="a0"/>
    <w:uiPriority w:val="21"/>
    <w:qFormat/>
    <w:rsid w:val="00634909"/>
    <w:rPr>
      <w:i/>
      <w:iCs/>
      <w:color w:val="0F4761" w:themeColor="accent1" w:themeShade="BF"/>
    </w:rPr>
  </w:style>
  <w:style w:type="paragraph" w:styleId="a8">
    <w:name w:val="Intense Quote"/>
    <w:basedOn w:val="a"/>
    <w:next w:val="a"/>
    <w:link w:val="Char2"/>
    <w:uiPriority w:val="30"/>
    <w:qFormat/>
    <w:rsid w:val="00634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34909"/>
    <w:rPr>
      <w:i/>
      <w:iCs/>
      <w:color w:val="0F4761" w:themeColor="accent1" w:themeShade="BF"/>
    </w:rPr>
  </w:style>
  <w:style w:type="character" w:styleId="a9">
    <w:name w:val="Intense Reference"/>
    <w:basedOn w:val="a0"/>
    <w:uiPriority w:val="32"/>
    <w:qFormat/>
    <w:rsid w:val="00634909"/>
    <w:rPr>
      <w:b/>
      <w:bCs/>
      <w:smallCaps/>
      <w:color w:val="0F4761" w:themeColor="accent1" w:themeShade="BF"/>
      <w:spacing w:val="5"/>
    </w:rPr>
  </w:style>
  <w:style w:type="numbering" w:customStyle="1" w:styleId="10">
    <w:name w:val="بلا قائمة1"/>
    <w:next w:val="a2"/>
    <w:uiPriority w:val="99"/>
    <w:semiHidden/>
    <w:unhideWhenUsed/>
    <w:rsid w:val="00734B7C"/>
  </w:style>
  <w:style w:type="paragraph" w:customStyle="1" w:styleId="p1">
    <w:name w:val="p1"/>
    <w:basedOn w:val="a"/>
    <w:rsid w:val="00734B7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a0"/>
    <w:rsid w:val="00734B7C"/>
  </w:style>
  <w:style w:type="paragraph" w:customStyle="1" w:styleId="p2">
    <w:name w:val="p2"/>
    <w:basedOn w:val="a"/>
    <w:rsid w:val="00734B7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a0"/>
    <w:rsid w:val="00734B7C"/>
  </w:style>
  <w:style w:type="character" w:customStyle="1" w:styleId="s3">
    <w:name w:val="s3"/>
    <w:basedOn w:val="a0"/>
    <w:rsid w:val="00734B7C"/>
  </w:style>
  <w:style w:type="paragraph" w:customStyle="1" w:styleId="p3">
    <w:name w:val="p3"/>
    <w:basedOn w:val="a"/>
    <w:rsid w:val="00734B7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yperlink1">
    <w:name w:val="Hyperlink1"/>
    <w:basedOn w:val="a0"/>
    <w:uiPriority w:val="99"/>
    <w:unhideWhenUsed/>
    <w:rsid w:val="00734B7C"/>
    <w:rPr>
      <w:color w:val="0563C1"/>
      <w:u w:val="single"/>
    </w:rPr>
  </w:style>
  <w:style w:type="character" w:styleId="aa">
    <w:name w:val="Unresolved Mention"/>
    <w:basedOn w:val="a0"/>
    <w:uiPriority w:val="99"/>
    <w:semiHidden/>
    <w:unhideWhenUsed/>
    <w:rsid w:val="00734B7C"/>
    <w:rPr>
      <w:color w:val="605E5C"/>
      <w:shd w:val="clear" w:color="auto" w:fill="E1DFDD"/>
    </w:rPr>
  </w:style>
  <w:style w:type="table" w:customStyle="1" w:styleId="TableNormal">
    <w:name w:val="Table Normal"/>
    <w:uiPriority w:val="2"/>
    <w:semiHidden/>
    <w:unhideWhenUsed/>
    <w:qFormat/>
    <w:rsid w:val="00734B7C"/>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styleId="ab">
    <w:name w:val="Body Text"/>
    <w:basedOn w:val="a"/>
    <w:link w:val="Char3"/>
    <w:uiPriority w:val="1"/>
    <w:qFormat/>
    <w:rsid w:val="00734B7C"/>
    <w:pPr>
      <w:widowControl w:val="0"/>
      <w:autoSpaceDE w:val="0"/>
      <w:autoSpaceDN w:val="0"/>
      <w:bidi w:val="0"/>
      <w:spacing w:after="0" w:line="240" w:lineRule="auto"/>
    </w:pPr>
    <w:rPr>
      <w:rFonts w:ascii="Microsoft Sans Serif" w:eastAsia="Microsoft Sans Serif" w:hAnsi="Microsoft Sans Serif" w:cs="Microsoft Sans Serif"/>
      <w:kern w:val="0"/>
      <w:sz w:val="28"/>
      <w:szCs w:val="28"/>
      <w14:ligatures w14:val="none"/>
    </w:rPr>
  </w:style>
  <w:style w:type="character" w:customStyle="1" w:styleId="Char3">
    <w:name w:val="نص أساسي Char"/>
    <w:basedOn w:val="a0"/>
    <w:link w:val="ab"/>
    <w:uiPriority w:val="1"/>
    <w:rsid w:val="00734B7C"/>
    <w:rPr>
      <w:rFonts w:ascii="Microsoft Sans Serif" w:eastAsia="Microsoft Sans Serif" w:hAnsi="Microsoft Sans Serif" w:cs="Microsoft Sans Serif"/>
      <w:kern w:val="0"/>
      <w:sz w:val="28"/>
      <w:szCs w:val="28"/>
      <w14:ligatures w14:val="none"/>
    </w:rPr>
  </w:style>
  <w:style w:type="paragraph" w:customStyle="1" w:styleId="TableParagraph">
    <w:name w:val="Table Paragraph"/>
    <w:basedOn w:val="a"/>
    <w:uiPriority w:val="1"/>
    <w:qFormat/>
    <w:rsid w:val="00734B7C"/>
    <w:pPr>
      <w:widowControl w:val="0"/>
      <w:autoSpaceDE w:val="0"/>
      <w:autoSpaceDN w:val="0"/>
      <w:bidi w:val="0"/>
      <w:spacing w:after="0" w:line="240" w:lineRule="auto"/>
      <w:jc w:val="right"/>
    </w:pPr>
    <w:rPr>
      <w:rFonts w:ascii="Microsoft Sans Serif" w:eastAsia="Microsoft Sans Serif" w:hAnsi="Microsoft Sans Serif" w:cs="Microsoft Sans Serif"/>
      <w:kern w:val="0"/>
      <w:sz w:val="22"/>
      <w:szCs w:val="22"/>
      <w14:ligatures w14:val="none"/>
    </w:rPr>
  </w:style>
  <w:style w:type="paragraph" w:styleId="ac">
    <w:name w:val="footer"/>
    <w:basedOn w:val="a"/>
    <w:link w:val="Char4"/>
    <w:uiPriority w:val="99"/>
    <w:unhideWhenUsed/>
    <w:rsid w:val="00734B7C"/>
    <w:pPr>
      <w:tabs>
        <w:tab w:val="center" w:pos="4153"/>
        <w:tab w:val="right" w:pos="8306"/>
      </w:tabs>
      <w:spacing w:after="0" w:line="240" w:lineRule="auto"/>
      <w:ind w:left="1" w:right="331" w:hanging="1"/>
      <w:jc w:val="right"/>
    </w:pPr>
    <w:rPr>
      <w:rFonts w:ascii="Simplified Arabic" w:eastAsia="Simplified Arabic" w:hAnsi="Simplified Arabic" w:cs="Simplified Arabic"/>
      <w:color w:val="000000"/>
      <w:sz w:val="28"/>
    </w:rPr>
  </w:style>
  <w:style w:type="character" w:customStyle="1" w:styleId="Char4">
    <w:name w:val="تذييل الصفحة Char"/>
    <w:basedOn w:val="a0"/>
    <w:link w:val="ac"/>
    <w:uiPriority w:val="99"/>
    <w:rsid w:val="00734B7C"/>
    <w:rPr>
      <w:rFonts w:ascii="Simplified Arabic" w:eastAsia="Simplified Arabic" w:hAnsi="Simplified Arabic" w:cs="Simplified Arabic"/>
      <w:color w:val="000000"/>
      <w:sz w:val="28"/>
    </w:rPr>
  </w:style>
  <w:style w:type="paragraph" w:styleId="ad">
    <w:name w:val="header"/>
    <w:basedOn w:val="a"/>
    <w:link w:val="Char5"/>
    <w:uiPriority w:val="99"/>
    <w:unhideWhenUsed/>
    <w:rsid w:val="00734B7C"/>
    <w:pPr>
      <w:tabs>
        <w:tab w:val="center" w:pos="4153"/>
        <w:tab w:val="right" w:pos="8306"/>
      </w:tabs>
      <w:spacing w:after="0" w:line="240" w:lineRule="auto"/>
      <w:ind w:left="1" w:right="331" w:hanging="1"/>
      <w:jc w:val="right"/>
    </w:pPr>
    <w:rPr>
      <w:rFonts w:ascii="Simplified Arabic" w:eastAsia="Simplified Arabic" w:hAnsi="Simplified Arabic" w:cs="Simplified Arabic"/>
      <w:color w:val="000000"/>
      <w:sz w:val="28"/>
    </w:rPr>
  </w:style>
  <w:style w:type="character" w:customStyle="1" w:styleId="Char5">
    <w:name w:val="رأس الصفحة Char"/>
    <w:basedOn w:val="a0"/>
    <w:link w:val="ad"/>
    <w:uiPriority w:val="99"/>
    <w:rsid w:val="00734B7C"/>
    <w:rPr>
      <w:rFonts w:ascii="Simplified Arabic" w:eastAsia="Simplified Arabic" w:hAnsi="Simplified Arabic" w:cs="Simplified Arabic"/>
      <w:color w:val="000000"/>
      <w:sz w:val="28"/>
    </w:rPr>
  </w:style>
  <w:style w:type="paragraph" w:styleId="ae">
    <w:name w:val="Normal (Web)"/>
    <w:basedOn w:val="a"/>
    <w:uiPriority w:val="99"/>
    <w:semiHidden/>
    <w:unhideWhenUsed/>
    <w:rsid w:val="00734B7C"/>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11">
    <w:name w:val="عنوان جدول المحتويات1"/>
    <w:basedOn w:val="1"/>
    <w:next w:val="a"/>
    <w:uiPriority w:val="39"/>
    <w:unhideWhenUsed/>
    <w:qFormat/>
    <w:rsid w:val="00734B7C"/>
    <w:pPr>
      <w:spacing w:before="240" w:after="0" w:line="259" w:lineRule="auto"/>
      <w:outlineLvl w:val="9"/>
    </w:pPr>
    <w:rPr>
      <w:kern w:val="0"/>
      <w:sz w:val="32"/>
      <w:szCs w:val="32"/>
      <w:rtl/>
      <w14:ligatures w14:val="none"/>
    </w:rPr>
  </w:style>
  <w:style w:type="paragraph" w:styleId="12">
    <w:name w:val="toc 1"/>
    <w:basedOn w:val="a"/>
    <w:next w:val="a"/>
    <w:autoRedefine/>
    <w:uiPriority w:val="39"/>
    <w:unhideWhenUsed/>
    <w:rsid w:val="00734B7C"/>
    <w:pPr>
      <w:spacing w:after="100" w:line="250" w:lineRule="auto"/>
      <w:ind w:right="331" w:hanging="1"/>
      <w:jc w:val="right"/>
    </w:pPr>
    <w:rPr>
      <w:rFonts w:ascii="Simplified Arabic" w:eastAsia="Simplified Arabic" w:hAnsi="Simplified Arabic" w:cs="Simplified Arabic"/>
      <w:color w:val="000000"/>
      <w:sz w:val="28"/>
    </w:rPr>
  </w:style>
  <w:style w:type="paragraph" w:styleId="30">
    <w:name w:val="toc 3"/>
    <w:basedOn w:val="a"/>
    <w:next w:val="a"/>
    <w:autoRedefine/>
    <w:uiPriority w:val="39"/>
    <w:unhideWhenUsed/>
    <w:rsid w:val="00734B7C"/>
    <w:pPr>
      <w:spacing w:after="100" w:line="250" w:lineRule="auto"/>
      <w:ind w:left="560" w:right="331" w:hanging="1"/>
      <w:jc w:val="right"/>
    </w:pPr>
    <w:rPr>
      <w:rFonts w:ascii="Simplified Arabic" w:eastAsia="Simplified Arabic" w:hAnsi="Simplified Arabic" w:cs="Simplified Arabic"/>
      <w:color w:val="000000"/>
      <w:sz w:val="28"/>
    </w:rPr>
  </w:style>
  <w:style w:type="paragraph" w:styleId="20">
    <w:name w:val="toc 2"/>
    <w:basedOn w:val="a"/>
    <w:next w:val="a"/>
    <w:autoRedefine/>
    <w:uiPriority w:val="39"/>
    <w:unhideWhenUsed/>
    <w:rsid w:val="00734B7C"/>
    <w:pPr>
      <w:spacing w:after="100" w:line="250" w:lineRule="auto"/>
      <w:ind w:left="280" w:right="331" w:hanging="1"/>
      <w:jc w:val="right"/>
    </w:pPr>
    <w:rPr>
      <w:rFonts w:ascii="Simplified Arabic" w:eastAsia="Simplified Arabic" w:hAnsi="Simplified Arabic" w:cs="Simplified Arabic"/>
      <w:color w:val="000000"/>
      <w:sz w:val="28"/>
    </w:rPr>
  </w:style>
  <w:style w:type="character" w:styleId="Hyperlink">
    <w:name w:val="Hyperlink"/>
    <w:basedOn w:val="a0"/>
    <w:uiPriority w:val="99"/>
    <w:semiHidden/>
    <w:unhideWhenUsed/>
    <w:rsid w:val="00734B7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10229</Words>
  <Characters>58308</Characters>
  <Application>Microsoft Office Word</Application>
  <DocSecurity>0</DocSecurity>
  <Lines>485</Lines>
  <Paragraphs>136</Paragraphs>
  <ScaleCrop>false</ScaleCrop>
  <Company/>
  <LinksUpToDate>false</LinksUpToDate>
  <CharactersWithSpaces>68401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زياد .</dc:creator>
  <cp:keywords/>
  <dc:description/>
  <cp:lastModifiedBy>زياد .</cp:lastModifiedBy>
  <cp:revision>2</cp:revision>
  <dcterms:created xsi:type="dcterms:W3CDTF">2026-03-16T17:18:00Z</dcterms:created>
  <dcterms:modified xsi:type="dcterms:W3CDTF">2026-03-16T17:18:00Z</dcterms:modified>
</cp:coreProperties>
</file>