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75924831" w:rsidR="009125CE" w:rsidRPr="00F65DF5" w:rsidRDefault="009125CE" w:rsidP="00AA6FC2">
      <w:pPr>
        <w:tabs>
          <w:tab w:val="left" w:pos="1962"/>
        </w:tabs>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AA6FC2">
        <w:rPr>
          <w:rFonts w:ascii="Simplified Arabic" w:hAnsi="Simplified Arabic" w:cs="Simplified Arabic" w:hint="cs"/>
          <w:b/>
          <w:bCs/>
          <w:rtl/>
          <w:lang w:bidi="ar-EG"/>
        </w:rPr>
        <w:t>موارد بشرية</w:t>
      </w:r>
      <w:r w:rsidR="00AA6FC2">
        <w:rPr>
          <w:rFonts w:ascii="Simplified Arabic" w:hAnsi="Simplified Arabic" w:cs="Simplified Arabic"/>
          <w:b/>
          <w:bCs/>
          <w:rtl/>
          <w:lang w:bidi="ar-EG"/>
        </w:rPr>
        <w:tab/>
      </w:r>
      <w:r w:rsidR="00AA6FC2">
        <w:rPr>
          <w:rFonts w:ascii="Simplified Arabic" w:hAnsi="Simplified Arabic" w:cs="Simplified Arabic"/>
          <w:b/>
          <w:bCs/>
          <w:rtl/>
          <w:lang w:bidi="ar-EG"/>
        </w:rPr>
        <w:tab/>
      </w:r>
      <w:r w:rsidR="00AA6FC2">
        <w:rPr>
          <w:rFonts w:ascii="Simplified Arabic" w:hAnsi="Simplified Arabic" w:cs="Simplified Arabic"/>
          <w:b/>
          <w:bCs/>
          <w:rtl/>
          <w:lang w:bidi="ar-EG"/>
        </w:rPr>
        <w:tab/>
      </w:r>
      <w:r w:rsidR="00AA6FC2">
        <w:rPr>
          <w:rFonts w:ascii="Simplified Arabic" w:hAnsi="Simplified Arabic" w:cs="Simplified Arabic"/>
          <w:b/>
          <w:bCs/>
          <w:rtl/>
          <w:lang w:bidi="ar-EG"/>
        </w:rPr>
        <w:tab/>
      </w:r>
      <w:r w:rsidR="00AA6FC2">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1B4D1936" w14:textId="6EDF2FCF" w:rsidR="00AA6FC2" w:rsidRDefault="00AA6FC2" w:rsidP="003F4980">
      <w:pPr>
        <w:bidi/>
        <w:jc w:val="center"/>
        <w:rPr>
          <w:rFonts w:ascii="Simplified Arabic" w:hAnsi="Simplified Arabic" w:cs="Simplified Arabic"/>
          <w:b/>
          <w:bCs/>
          <w:sz w:val="36"/>
          <w:szCs w:val="36"/>
          <w:rtl/>
          <w:lang w:bidi="ar-EG"/>
        </w:rPr>
      </w:pPr>
      <w:r w:rsidRPr="00AA6FC2">
        <w:rPr>
          <w:rFonts w:ascii="Simplified Arabic" w:hAnsi="Simplified Arabic" w:cs="Simplified Arabic"/>
          <w:b/>
          <w:bCs/>
          <w:sz w:val="36"/>
          <w:szCs w:val="36"/>
          <w:rtl/>
          <w:lang w:bidi="ar-EG"/>
        </w:rPr>
        <w:t xml:space="preserve">أثر التوازن بين الحياة والعمل على مستوى الرضا الوظيفي: دراسة ميدانية في </w:t>
      </w:r>
      <w:r>
        <w:rPr>
          <w:rFonts w:ascii="Simplified Arabic" w:hAnsi="Simplified Arabic" w:cs="Simplified Arabic" w:hint="cs"/>
          <w:b/>
          <w:bCs/>
          <w:sz w:val="36"/>
          <w:szCs w:val="36"/>
          <w:rtl/>
          <w:lang w:bidi="ar-EG"/>
        </w:rPr>
        <w:t>وزارة</w:t>
      </w:r>
      <w:r w:rsidRPr="00AA6FC2">
        <w:rPr>
          <w:rFonts w:ascii="Simplified Arabic" w:hAnsi="Simplified Arabic" w:cs="Simplified Arabic"/>
          <w:b/>
          <w:bCs/>
          <w:sz w:val="36"/>
          <w:szCs w:val="36"/>
          <w:rtl/>
          <w:lang w:bidi="ar-EG"/>
        </w:rPr>
        <w:t xml:space="preserve"> الصح</w:t>
      </w:r>
      <w:r>
        <w:rPr>
          <w:rFonts w:ascii="Simplified Arabic" w:hAnsi="Simplified Arabic" w:cs="Simplified Arabic" w:hint="cs"/>
          <w:b/>
          <w:bCs/>
          <w:sz w:val="36"/>
          <w:szCs w:val="36"/>
          <w:rtl/>
          <w:lang w:bidi="ar-EG"/>
        </w:rPr>
        <w:t>ة</w:t>
      </w:r>
      <w:r w:rsidRPr="00AA6FC2">
        <w:rPr>
          <w:rFonts w:ascii="Simplified Arabic" w:hAnsi="Simplified Arabic" w:cs="Simplified Arabic"/>
          <w:b/>
          <w:bCs/>
          <w:sz w:val="36"/>
          <w:szCs w:val="36"/>
          <w:rtl/>
          <w:lang w:bidi="ar-EG"/>
        </w:rPr>
        <w:t xml:space="preserve"> السعود</w:t>
      </w:r>
      <w:r>
        <w:rPr>
          <w:rFonts w:ascii="Simplified Arabic" w:hAnsi="Simplified Arabic" w:cs="Simplified Arabic" w:hint="cs"/>
          <w:b/>
          <w:bCs/>
          <w:sz w:val="36"/>
          <w:szCs w:val="36"/>
          <w:rtl/>
          <w:lang w:bidi="ar-EG"/>
        </w:rPr>
        <w:t>ية بمدينة جدة</w:t>
      </w: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3FC08B47"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إعداد الطالب</w:t>
      </w:r>
      <w:r w:rsidR="005B48F9" w:rsidRPr="00F65DF5">
        <w:rPr>
          <w:rFonts w:ascii="Simplified Arabic" w:hAnsi="Simplified Arabic" w:cs="Simplified Arabic" w:hint="cs"/>
          <w:b/>
          <w:bCs/>
          <w:sz w:val="32"/>
          <w:szCs w:val="32"/>
          <w:rtl/>
          <w:lang w:bidi="ar-EG"/>
        </w:rPr>
        <w:t>ة</w:t>
      </w:r>
      <w:r w:rsidRPr="00F65DF5">
        <w:rPr>
          <w:rFonts w:ascii="Simplified Arabic" w:hAnsi="Simplified Arabic" w:cs="Simplified Arabic" w:hint="cs"/>
          <w:b/>
          <w:bCs/>
          <w:sz w:val="32"/>
          <w:szCs w:val="32"/>
          <w:rtl/>
          <w:lang w:bidi="ar-EG"/>
        </w:rPr>
        <w:t xml:space="preserve">/ </w:t>
      </w:r>
      <w:r w:rsidR="00AA6FC2" w:rsidRPr="00AA6FC2">
        <w:rPr>
          <w:rFonts w:ascii="Simplified Arabic" w:hAnsi="Simplified Arabic" w:cs="Simplified Arabic"/>
          <w:b/>
          <w:bCs/>
          <w:sz w:val="32"/>
          <w:szCs w:val="32"/>
          <w:rtl/>
          <w:lang w:bidi="ar-EG"/>
        </w:rPr>
        <w:t>/ لمى سعود المطيري</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359251A3" w14:textId="77777777" w:rsidR="00C31545" w:rsidRDefault="00C31545" w:rsidP="00C31545">
      <w:pPr>
        <w:bidi/>
        <w:spacing w:line="480" w:lineRule="auto"/>
        <w:jc w:val="center"/>
        <w:rPr>
          <w:rFonts w:ascii="Sakkal Majalla" w:hAnsi="Sakkal Majalla" w:cs="Sakkal Majalla"/>
          <w:b/>
          <w:bCs/>
          <w:sz w:val="52"/>
          <w:szCs w:val="52"/>
          <w:rtl/>
          <w:lang w:bidi="ar-EG"/>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2218BC7A" w14:textId="77777777" w:rsidR="00DA39D0" w:rsidRDefault="00DA39D0" w:rsidP="00B55B37">
      <w:pPr>
        <w:pStyle w:val="Heading1"/>
        <w:rPr>
          <w:rtl/>
        </w:rPr>
      </w:pPr>
      <w:bookmarkStart w:id="0" w:name="_Toc213626783"/>
    </w:p>
    <w:p w14:paraId="5FA8F7F2" w14:textId="77777777" w:rsidR="00DA39D0" w:rsidRDefault="00DA39D0" w:rsidP="00B55B37">
      <w:pPr>
        <w:pStyle w:val="Heading1"/>
        <w:rPr>
          <w:rtl/>
        </w:rPr>
      </w:pPr>
    </w:p>
    <w:p w14:paraId="6BDDD88E" w14:textId="77777777" w:rsidR="00DA39D0" w:rsidRDefault="00DA39D0" w:rsidP="00B55B37">
      <w:pPr>
        <w:pStyle w:val="Heading1"/>
        <w:rPr>
          <w:rtl/>
        </w:rPr>
      </w:pPr>
    </w:p>
    <w:p w14:paraId="2D260D45" w14:textId="77777777" w:rsidR="00DA39D0" w:rsidRDefault="00DA39D0" w:rsidP="00B55B37">
      <w:pPr>
        <w:pStyle w:val="Heading1"/>
        <w:rPr>
          <w:rtl/>
        </w:rPr>
      </w:pPr>
    </w:p>
    <w:p w14:paraId="700D5866" w14:textId="38C9B4B3" w:rsidR="009125CE" w:rsidRPr="006D0D86" w:rsidRDefault="009125CE" w:rsidP="00B55B37">
      <w:pPr>
        <w:pStyle w:val="Heading1"/>
        <w:rPr>
          <w:rtl/>
        </w:rPr>
      </w:pPr>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13626784"/>
      <w:r w:rsidRPr="006D0D86">
        <w:rPr>
          <w:rFonts w:hint="cs"/>
          <w:rtl/>
        </w:rPr>
        <w:t>المقدمة:</w:t>
      </w:r>
      <w:bookmarkEnd w:id="1"/>
    </w:p>
    <w:p w14:paraId="3D3D80AB" w14:textId="77777777" w:rsidR="00B94227" w:rsidRPr="00D96411" w:rsidRDefault="00B94227" w:rsidP="00B94227">
      <w:pPr>
        <w:pStyle w:val="NoSpacing"/>
        <w:bidi/>
        <w:rPr>
          <w:rFonts w:eastAsia="Calibri"/>
          <w:lang w:bidi="ar-EG"/>
        </w:rPr>
      </w:pPr>
      <w:r w:rsidRPr="00D96411">
        <w:rPr>
          <w:rFonts w:eastAsia="Calibri"/>
          <w:rtl/>
        </w:rPr>
        <w:t>يشهد العالم المعاصر تحولات متسارعة في بيئة العمل نتيجة التطورات التقنية والاقتصادية والاجتماعية، وهو ما انعكس بصورة مباشرة على طبيعة الأدوار المهنية ومتطلبات التكيف مع الضغوط اليومية</w:t>
      </w:r>
      <w:r>
        <w:rPr>
          <w:rFonts w:eastAsia="Calibri" w:hint="cs"/>
          <w:rtl/>
        </w:rPr>
        <w:t>،و</w:t>
      </w:r>
      <w:r w:rsidRPr="00D96411">
        <w:rPr>
          <w:rFonts w:eastAsia="Calibri"/>
          <w:rtl/>
        </w:rPr>
        <w:t>في ظل هذه التغيرات برزت قضية التوازن بين الحياة والعمل كأحد المحاور الرئيسة التي تشغل اهتمام الباحثين والممارسين في إدارة الموارد البشرية</w:t>
      </w:r>
      <w:r>
        <w:rPr>
          <w:rFonts w:eastAsia="Calibri" w:hint="cs"/>
          <w:rtl/>
        </w:rPr>
        <w:t xml:space="preserve">، </w:t>
      </w:r>
      <w:r w:rsidRPr="00D96411">
        <w:rPr>
          <w:rFonts w:eastAsia="Calibri"/>
          <w:rtl/>
        </w:rPr>
        <w:t>فالأفراد أصبحوا يواجهون تحديات معقدة في التوفيق بين متطلبات وظائفهم ومسؤولياتهم الشخصية والعائلية، خاصة مع ازدياد حدة الضغوط المهنية وارتفاع توقعات المؤسسات من موظفيها</w:t>
      </w:r>
      <w:r w:rsidRPr="00D96411">
        <w:rPr>
          <w:rFonts w:eastAsia="Calibri"/>
          <w:lang w:bidi="ar-EG"/>
        </w:rPr>
        <w:t>(Weerarathna et al., 2022).</w:t>
      </w:r>
    </w:p>
    <w:p w14:paraId="7B7DFA08" w14:textId="77777777" w:rsidR="00B94227" w:rsidRPr="00D96411" w:rsidRDefault="00B94227" w:rsidP="00B94227">
      <w:pPr>
        <w:pStyle w:val="NoSpacing"/>
        <w:bidi/>
        <w:rPr>
          <w:rFonts w:eastAsia="Calibri"/>
          <w:lang w:bidi="ar-EG"/>
        </w:rPr>
      </w:pPr>
      <w:r w:rsidRPr="00D96411">
        <w:rPr>
          <w:rFonts w:eastAsia="Calibri"/>
          <w:rtl/>
        </w:rPr>
        <w:t>أصبح التوازن بين متطلبات العمل والحياة الشخصية محورًا أساسيًا في النقاشات المعاصرة حول جودة الحياة المهنية. فالتطورات الحديثة في طبيعة العمل، مثل زيادة معدلات العمل عن بُعد وتنامي الأعباء الوظيفية، دفعت الأفراد إلى البحث عن مسارات أكثر مرونة لإدارة أدوارهم المتعددة</w:t>
      </w:r>
      <w:r>
        <w:rPr>
          <w:rFonts w:eastAsia="Calibri" w:hint="cs"/>
          <w:rtl/>
        </w:rPr>
        <w:t>،</w:t>
      </w:r>
      <w:r w:rsidRPr="00D96411">
        <w:rPr>
          <w:rFonts w:eastAsia="Calibri"/>
          <w:rtl/>
        </w:rPr>
        <w:t xml:space="preserve"> ومع توسّع نطاق المسؤوليات المهنية وتزايد المنافسة في بيئات العمل، أضحى تحقيق هذا التوازن هدفًا استراتيجيًا للمؤسسات التي تسعى لاستدامة مواردها البشرية وتعزيز ولاء الموظفين وانتمائهم</w:t>
      </w:r>
      <w:r w:rsidRPr="00D96411">
        <w:rPr>
          <w:rFonts w:eastAsia="Calibri"/>
          <w:lang w:bidi="ar-EG"/>
        </w:rPr>
        <w:t>.</w:t>
      </w:r>
      <w:r w:rsidRPr="00D96411">
        <w:t xml:space="preserve"> </w:t>
      </w:r>
      <w:r>
        <w:rPr>
          <w:rFonts w:eastAsia="Calibri"/>
          <w:lang w:bidi="ar-EG"/>
        </w:rPr>
        <w:t>(</w:t>
      </w:r>
      <w:r w:rsidRPr="00D96411">
        <w:rPr>
          <w:rFonts w:eastAsia="Calibri"/>
          <w:lang w:bidi="ar-EG"/>
        </w:rPr>
        <w:t xml:space="preserve">Weerarathna et al. </w:t>
      </w:r>
      <w:r>
        <w:rPr>
          <w:rFonts w:eastAsia="Calibri"/>
          <w:lang w:bidi="ar-EG"/>
        </w:rPr>
        <w:t>,</w:t>
      </w:r>
      <w:r w:rsidRPr="00D96411">
        <w:rPr>
          <w:rFonts w:eastAsia="Calibri"/>
          <w:lang w:bidi="ar-EG"/>
        </w:rPr>
        <w:t>2022)</w:t>
      </w:r>
    </w:p>
    <w:p w14:paraId="2AEE03E9" w14:textId="77777777" w:rsidR="00B94227" w:rsidRPr="00D96411" w:rsidRDefault="00B94227" w:rsidP="00B94227">
      <w:pPr>
        <w:pStyle w:val="NoSpacing"/>
        <w:bidi/>
        <w:rPr>
          <w:rFonts w:eastAsia="Calibri"/>
          <w:lang w:bidi="ar-EG"/>
        </w:rPr>
      </w:pPr>
      <w:r w:rsidRPr="00D96411">
        <w:rPr>
          <w:rFonts w:eastAsia="Calibri"/>
          <w:rtl/>
        </w:rPr>
        <w:t>يُعتبر الرضا الوظيفي من أبرز المؤشرات التي تعكس جودة بيئة العمل ومدى ملاءمتها لتطلعات الأفراد واحتياجاتهم. إذ ترتبط مشاعر الرضا بمستويات الراحة النفسية والاستقرار الوظيفي، وهو ما يؤثر بشكل غير مباشر على الأداء المهني والمخرجات التنظيمية</w:t>
      </w:r>
      <w:r>
        <w:rPr>
          <w:rFonts w:eastAsia="Calibri" w:hint="cs"/>
          <w:rtl/>
        </w:rPr>
        <w:t>، ف</w:t>
      </w:r>
      <w:r w:rsidRPr="00D96411">
        <w:rPr>
          <w:rFonts w:eastAsia="Calibri"/>
          <w:rtl/>
        </w:rPr>
        <w:t>في بيئات العمل التي تتسم بتنوع التحديات وتعقّد الأدوار، يكتسب الرضا الوظيفي أهمية خاصة، كونه يُسهم في رفع مستوى الالتزام الوظيفي والاندماج في العمل، ويحد من معدلات الغياب والدوران الوظيفي، مما يعزز استدامة المؤسسات وقدرتها التنافسية</w:t>
      </w:r>
      <w:r w:rsidRPr="00D96411">
        <w:rPr>
          <w:rFonts w:eastAsia="Calibri"/>
        </w:rPr>
        <w:t>.</w:t>
      </w:r>
      <w:r>
        <w:rPr>
          <w:rFonts w:eastAsia="Calibri"/>
          <w:lang w:bidi="ar-EG"/>
        </w:rPr>
        <w:t>(</w:t>
      </w:r>
      <w:r w:rsidRPr="00D96411">
        <w:t xml:space="preserve"> </w:t>
      </w:r>
      <w:r w:rsidRPr="00D96411">
        <w:rPr>
          <w:rFonts w:eastAsia="Calibri"/>
          <w:lang w:bidi="ar-EG"/>
        </w:rPr>
        <w:t xml:space="preserve">Isa &amp; Indrayati </w:t>
      </w:r>
      <w:r>
        <w:rPr>
          <w:rFonts w:eastAsia="Calibri"/>
          <w:lang w:bidi="ar-EG"/>
        </w:rPr>
        <w:t>,</w:t>
      </w:r>
      <w:r w:rsidRPr="00D96411">
        <w:rPr>
          <w:rFonts w:eastAsia="Calibri"/>
          <w:lang w:bidi="ar-EG"/>
        </w:rPr>
        <w:t>2023)</w:t>
      </w:r>
    </w:p>
    <w:p w14:paraId="0818D6FE" w14:textId="77777777" w:rsidR="00B94227" w:rsidRPr="00D96411" w:rsidRDefault="00B94227" w:rsidP="00B94227">
      <w:pPr>
        <w:pStyle w:val="NoSpacing"/>
        <w:bidi/>
        <w:rPr>
          <w:rFonts w:eastAsia="Calibri"/>
          <w:rtl/>
          <w:lang w:bidi="ar-EG"/>
        </w:rPr>
      </w:pPr>
      <w:r w:rsidRPr="00D96411">
        <w:rPr>
          <w:rFonts w:eastAsia="Calibri"/>
          <w:rtl/>
        </w:rPr>
        <w:t>تزايد الاهتمام بدراسة العلاقة بين التوازن بين الحياة والعمل والرضا الوظيفي في ظل التحديات المعاصرة التي تواجه الأفراد والمؤسسات على حد سواء. إذ يُنظر إلى قدرة الموظف على التوفيق بين مسؤولياته المهنية وحياته الشخصية باعتبارها أحد المحددات الرئيسة لمستوى رضاه الوظيفي</w:t>
      </w:r>
      <w:r w:rsidRPr="00D96411">
        <w:rPr>
          <w:rFonts w:eastAsia="Calibri"/>
        </w:rPr>
        <w:t>Hoque et al.</w:t>
      </w:r>
      <w:r>
        <w:rPr>
          <w:rFonts w:eastAsia="Calibri"/>
        </w:rPr>
        <w:t>,</w:t>
      </w:r>
      <w:r w:rsidRPr="00D96411">
        <w:rPr>
          <w:rFonts w:eastAsia="Calibri"/>
        </w:rPr>
        <w:t>2023)</w:t>
      </w:r>
      <w:r w:rsidRPr="00D96411">
        <w:rPr>
          <w:rFonts w:eastAsia="Calibri"/>
          <w:lang w:bidi="ar-EG"/>
        </w:rPr>
        <w:t>.</w:t>
      </w:r>
      <w:r>
        <w:rPr>
          <w:rFonts w:eastAsia="Calibri" w:hint="cs"/>
          <w:rtl/>
          <w:lang w:bidi="ar-EG"/>
        </w:rPr>
        <w:t>)</w:t>
      </w:r>
    </w:p>
    <w:p w14:paraId="3BFC7D7B" w14:textId="77777777" w:rsidR="00B94227" w:rsidRPr="00D96411" w:rsidRDefault="00B94227" w:rsidP="00B94227">
      <w:pPr>
        <w:pStyle w:val="NoSpacing"/>
        <w:bidi/>
        <w:rPr>
          <w:rFonts w:eastAsia="Calibri"/>
          <w:lang w:bidi="ar-EG"/>
        </w:rPr>
      </w:pPr>
      <w:r>
        <w:rPr>
          <w:rFonts w:eastAsia="Calibri" w:hint="cs"/>
          <w:rtl/>
          <w:lang w:bidi="ar-EG"/>
        </w:rPr>
        <w:t>و</w:t>
      </w:r>
      <w:r w:rsidRPr="00D96411">
        <w:rPr>
          <w:rFonts w:eastAsia="Calibri"/>
          <w:rtl/>
        </w:rPr>
        <w:t>في ضوء ما سبق، يكتسب موضوع التوازن بين الحياة والعمل وأثره على مستوى الرضا الوظيفي أهمية متزايدة، خصوصًا في القطاع الصحي السعودي الذي يُعد من أكثر القطاعات حيوية وحساسية، نظرًا لتأثيره المباشر على جودة حياة الأفراد والمجتمع ككل</w:t>
      </w:r>
      <w:r>
        <w:rPr>
          <w:rFonts w:eastAsia="Calibri" w:hint="cs"/>
          <w:rtl/>
        </w:rPr>
        <w:t>.</w:t>
      </w:r>
    </w:p>
    <w:p w14:paraId="6F596FD6" w14:textId="77777777" w:rsidR="00B94227" w:rsidRPr="00D22171" w:rsidRDefault="00B94227" w:rsidP="00B94227">
      <w:pPr>
        <w:pStyle w:val="Heading2"/>
        <w:rPr>
          <w:rtl/>
        </w:rPr>
      </w:pPr>
      <w:bookmarkStart w:id="2" w:name="_Toc213626785"/>
      <w:r w:rsidRPr="00D22171">
        <w:rPr>
          <w:rtl/>
        </w:rPr>
        <w:t>مشكلة الدراسة</w:t>
      </w:r>
      <w:r>
        <w:rPr>
          <w:rFonts w:hint="cs"/>
          <w:rtl/>
        </w:rPr>
        <w:t>:</w:t>
      </w:r>
      <w:bookmarkEnd w:id="2"/>
    </w:p>
    <w:p w14:paraId="5F085B95" w14:textId="09CCCC9F" w:rsidR="003F4980" w:rsidRPr="00B94227" w:rsidRDefault="00B94227" w:rsidP="00B94227">
      <w:pPr>
        <w:pStyle w:val="NoSpacing"/>
        <w:bidi/>
        <w:rPr>
          <w:rFonts w:eastAsia="Calibri"/>
          <w:rtl/>
          <w:lang w:bidi="ar-EG"/>
        </w:rPr>
      </w:pPr>
      <w:r w:rsidRPr="00E74049">
        <w:rPr>
          <w:rFonts w:eastAsia="Calibri"/>
          <w:rtl/>
          <w:lang w:bidi="ar-EG"/>
        </w:rPr>
        <w:t>تشكل قضية التوازن بين الحياة والعمل واحدة من أبرز التحديات التي تواجه المؤسسات الحديثة في ظل التغيرات المتسارعة في بيئة العمل، والتطورات التكنولوجية، وتنامي متطلبات الأداء الوظيفي. فمع ازدياد ضغوط العمل، وساعات الدوام الطويلة، وتداخل الحدود بين الحياة المهنية والشخصية، بدأ الموظفون يعانون من صعوبة في الفصل بين التزاماتهم الوظيفية واحتياجاتهم الحياتية، مما أدى إلى تداعيات سلبية على حالتهم النفسية والمجتمعية. وقد انعكست هذه التحولات على مستوى الرضا الوظيفي، الذي يُعد أحد أهم المحددات لسلوكيات الموظفين، واستقرارهم المهني، وولائهم التنظيمي</w:t>
      </w:r>
      <w:r>
        <w:rPr>
          <w:rFonts w:eastAsia="Calibri" w:hint="cs"/>
          <w:rtl/>
          <w:lang w:bidi="ar-EG"/>
        </w:rPr>
        <w:t xml:space="preserve">، </w:t>
      </w:r>
      <w:r w:rsidRPr="00E74049">
        <w:rPr>
          <w:rFonts w:eastAsia="Calibri"/>
          <w:rtl/>
          <w:lang w:bidi="ar-EG"/>
        </w:rPr>
        <w:t>وتكمن المشكلة في أن كثيرًا من المؤسسات، وخصوصًا في بيئات العمل التقليدية أو ذات الطابع الإنتاجي المكثف، لا تزال تتعامل مع التوازن بين العمل والحياة الشخصية على أنه ترف تنظيمي أو رفاهية اختيارية، وليست ضرورة استراتيجية لرفع الأداء الوظيفي. كما أن غياب السياسات المرنة، مثل العمل عن بُعد، أو ساعات العمل المرنة، أو الدعم النفسي والاجتماعي، يجعل الموظف في حالة دائمة من الصراع بين متطلبات الوظيفة واحتياجاته الشخصية، ما يؤدي في كثير من الأحيان إلى انخفاض درجة الرضا عن العمل، وتراجع مستويات الإنتاجية، وزيادة معدلات الغياب والتسرب الوظيفي</w:t>
      </w:r>
      <w:r w:rsidRPr="00E74049">
        <w:rPr>
          <w:rFonts w:eastAsia="Calibri"/>
          <w:lang w:bidi="ar-EG"/>
        </w:rPr>
        <w:t>.</w:t>
      </w:r>
    </w:p>
    <w:p w14:paraId="0CD972EE" w14:textId="27237FEF" w:rsidR="00D22171" w:rsidRPr="006D0D86" w:rsidRDefault="00D22171" w:rsidP="00B21F97">
      <w:pPr>
        <w:pStyle w:val="Heading2"/>
        <w:rPr>
          <w:rtl/>
        </w:rPr>
      </w:pPr>
      <w:bookmarkStart w:id="3" w:name="_Toc213626786"/>
      <w:r w:rsidRPr="006D0D86">
        <w:rPr>
          <w:rtl/>
        </w:rPr>
        <w:t>أهمية الدراسة</w:t>
      </w:r>
      <w:bookmarkEnd w:id="3"/>
    </w:p>
    <w:p w14:paraId="2EDF165F" w14:textId="77777777" w:rsidR="00B94227" w:rsidRPr="002079FE" w:rsidRDefault="00B94227" w:rsidP="00B94227">
      <w:pPr>
        <w:pStyle w:val="NoSpacing"/>
        <w:bidi/>
        <w:rPr>
          <w:rFonts w:eastAsia="Calibri"/>
          <w:rtl/>
          <w:lang w:bidi="ar-EG"/>
        </w:rPr>
      </w:pPr>
      <w:r w:rsidRPr="002079FE">
        <w:rPr>
          <w:rFonts w:eastAsia="Calibri"/>
          <w:rtl/>
          <w:lang w:bidi="ar-EG"/>
        </w:rPr>
        <w:t>تُعد دراسة أثر التوازن بين الحياة والعمل على مستوى الرضا الوظيفي من المواضيع الجوهرية في بيئة العمل الحديثة، حيث بات التوازن بين الجانبين المهني والشخصي أحد المتطلبات الأساسية للموظفين. ومع ازدياد الضغوط المهنية وتسارع وتيرة الحياة، أصبح من الضروري فهم كيف يؤثر هذا التوازن على رضا الموظف، وبالتالي على أدائه العام واستمراريته في العمل</w:t>
      </w:r>
      <w:r w:rsidRPr="002079FE">
        <w:rPr>
          <w:rFonts w:eastAsia="Calibri"/>
          <w:lang w:bidi="ar-EG"/>
        </w:rPr>
        <w:t>.</w:t>
      </w:r>
    </w:p>
    <w:p w14:paraId="3F6A116E" w14:textId="77777777" w:rsidR="00B94227" w:rsidRPr="002079FE" w:rsidRDefault="00B94227" w:rsidP="00B94227">
      <w:pPr>
        <w:pStyle w:val="NoSpacing"/>
        <w:bidi/>
        <w:rPr>
          <w:rFonts w:eastAsia="Calibri"/>
          <w:rtl/>
          <w:lang w:bidi="ar-EG"/>
        </w:rPr>
      </w:pPr>
      <w:r w:rsidRPr="002079FE">
        <w:rPr>
          <w:rFonts w:eastAsia="Calibri"/>
          <w:rtl/>
          <w:lang w:bidi="ar-EG"/>
        </w:rPr>
        <w:t>إن تحقيق التوازن بين الحياة الشخصية والوظيفية يساهم في تعزيز الصحة النفسية للموظف، وتقليل مستويات التوتر والإجهاد، مما ينعكس إيجاباً على سلوكه داخل بيئة العمل. هذا النوع من التوازن يمنح الموظفين الشعور بالسيطرة على حياتهم، ويعزز من دافعيتهم ويزيد من شعورهم بالانتماء للمؤسسة، وهو ما يرفع من مستويات الرضا الوظيفي بشكل مباشر</w:t>
      </w:r>
      <w:r w:rsidRPr="002079FE">
        <w:rPr>
          <w:rFonts w:eastAsia="Calibri"/>
          <w:lang w:bidi="ar-EG"/>
        </w:rPr>
        <w:t>.</w:t>
      </w:r>
    </w:p>
    <w:p w14:paraId="632B7769" w14:textId="77777777" w:rsidR="00B94227" w:rsidRPr="002079FE" w:rsidRDefault="00B94227" w:rsidP="00B94227">
      <w:pPr>
        <w:pStyle w:val="NoSpacing"/>
        <w:bidi/>
        <w:rPr>
          <w:rFonts w:eastAsia="Calibri"/>
          <w:rtl/>
          <w:lang w:bidi="ar-EG"/>
        </w:rPr>
      </w:pPr>
      <w:r w:rsidRPr="002079FE">
        <w:rPr>
          <w:rFonts w:eastAsia="Calibri"/>
          <w:rtl/>
          <w:lang w:bidi="ar-EG"/>
        </w:rPr>
        <w:t>تنبع أهمية هذه الدراسة من كونها تساعد المؤسسات على تطوير سياسات مرنة تتوافق مع احتياجات الموظفين، مثل العمل عن بعد، ساعات العمل المرنة، أو برامج الدعم الأسري. مثل هذه السياسات تُظهر اهتمام المؤسسة بموظفيها، مما يعزز من ولائهم ويقلل من معدلات الدوران الوظيفي والغياب</w:t>
      </w:r>
      <w:r w:rsidRPr="002079FE">
        <w:rPr>
          <w:rFonts w:eastAsia="Calibri"/>
          <w:lang w:bidi="ar-EG"/>
        </w:rPr>
        <w:t>.</w:t>
      </w:r>
    </w:p>
    <w:p w14:paraId="1590D7CE" w14:textId="77777777" w:rsidR="00B94227" w:rsidRPr="00903CF9" w:rsidRDefault="00B94227" w:rsidP="00B94227">
      <w:pPr>
        <w:pStyle w:val="NoSpacing"/>
        <w:bidi/>
        <w:rPr>
          <w:rFonts w:eastAsia="Calibri"/>
          <w:rtl/>
          <w:lang w:bidi="ar-EG"/>
        </w:rPr>
      </w:pPr>
      <w:r w:rsidRPr="002079FE">
        <w:rPr>
          <w:rFonts w:eastAsia="Calibri"/>
          <w:rtl/>
          <w:lang w:bidi="ar-EG"/>
        </w:rPr>
        <w:t>كما أن هذه الدراسة تُسهم في بناء بيئة عمل صحية ومستدامة تدعم النمو الوظيفي للموظفين وتحسن الأداء المؤسسي العام. فكلما شعر الموظف بأن هناك توازناً بين حياته الشخصية والمهنية، زاد التزامه، وتحسنت إنتاجيته، وارتفع مستوى الرضا الوظيفي، مما يُعد عنصراً حاسماً في نجاح أي منظمة</w:t>
      </w:r>
      <w:r>
        <w:rPr>
          <w:rFonts w:eastAsia="Calibri" w:hint="cs"/>
          <w:rtl/>
          <w:lang w:bidi="ar-EG"/>
        </w:rPr>
        <w:t>.</w:t>
      </w:r>
    </w:p>
    <w:p w14:paraId="70B3B973" w14:textId="77777777" w:rsidR="00B94227" w:rsidRDefault="00B94227" w:rsidP="00B94227">
      <w:pPr>
        <w:pStyle w:val="NoSpacing"/>
        <w:bidi/>
        <w:rPr>
          <w:rFonts w:eastAsia="Calibri"/>
          <w:rtl/>
          <w:lang w:bidi="ar-EG"/>
        </w:rPr>
      </w:pPr>
      <w:r w:rsidRPr="00A94E52">
        <w:rPr>
          <w:rFonts w:eastAsia="Calibri"/>
          <w:rtl/>
          <w:lang w:bidi="ar-EG"/>
        </w:rPr>
        <w:t>تعتمد أهمية هذه الدراسة على إسهاماتها النظرية والتطبيقية فيما يلي:</w:t>
      </w:r>
    </w:p>
    <w:p w14:paraId="39DE52C9" w14:textId="77777777" w:rsidR="00B94227" w:rsidRPr="00A94E52" w:rsidRDefault="00B94227" w:rsidP="00B94227">
      <w:pPr>
        <w:bidi/>
        <w:spacing w:line="360" w:lineRule="auto"/>
        <w:jc w:val="both"/>
        <w:rPr>
          <w:rFonts w:ascii="Simplified Arabic" w:eastAsia="Calibri" w:hAnsi="Simplified Arabic" w:cs="Simplified Arabic"/>
          <w:b/>
          <w:bCs/>
          <w:sz w:val="28"/>
          <w:szCs w:val="28"/>
          <w:u w:val="single"/>
          <w:rtl/>
          <w:lang w:bidi="ar-EG"/>
        </w:rPr>
      </w:pPr>
      <w:r w:rsidRPr="00A94E52">
        <w:rPr>
          <w:rFonts w:ascii="Simplified Arabic" w:eastAsia="Calibri" w:hAnsi="Simplified Arabic" w:cs="Simplified Arabic" w:hint="cs"/>
          <w:b/>
          <w:bCs/>
          <w:sz w:val="28"/>
          <w:szCs w:val="28"/>
          <w:u w:val="single"/>
          <w:rtl/>
          <w:lang w:bidi="ar-EG"/>
        </w:rPr>
        <w:t>الأهمية النظرية</w:t>
      </w:r>
    </w:p>
    <w:p w14:paraId="211AB2FA" w14:textId="77777777" w:rsidR="00B94227" w:rsidRPr="002079FE" w:rsidRDefault="00B94227" w:rsidP="00B94227">
      <w:pPr>
        <w:pStyle w:val="NoSpacing"/>
        <w:numPr>
          <w:ilvl w:val="0"/>
          <w:numId w:val="9"/>
        </w:numPr>
        <w:bidi/>
        <w:rPr>
          <w:rFonts w:eastAsia="Calibri"/>
          <w:lang w:bidi="ar-EG"/>
        </w:rPr>
      </w:pPr>
      <w:r w:rsidRPr="002079FE">
        <w:rPr>
          <w:rFonts w:eastAsia="Calibri"/>
          <w:rtl/>
          <w:lang w:bidi="ar-EG"/>
        </w:rPr>
        <w:t>توضح المفاهيم الأساسية المرتبطة بالتوازن بين الحياة والعمل والرضا الوظيفي.</w:t>
      </w:r>
    </w:p>
    <w:p w14:paraId="1850DF03" w14:textId="77777777" w:rsidR="00B94227" w:rsidRPr="002079FE" w:rsidRDefault="00B94227" w:rsidP="00B94227">
      <w:pPr>
        <w:pStyle w:val="NoSpacing"/>
        <w:numPr>
          <w:ilvl w:val="0"/>
          <w:numId w:val="9"/>
        </w:numPr>
        <w:bidi/>
        <w:rPr>
          <w:rFonts w:eastAsia="Calibri"/>
          <w:lang w:bidi="ar-EG"/>
        </w:rPr>
      </w:pPr>
      <w:r w:rsidRPr="002079FE">
        <w:rPr>
          <w:rFonts w:eastAsia="Calibri"/>
          <w:rtl/>
          <w:lang w:bidi="ar-EG"/>
        </w:rPr>
        <w:t>تساهم في بناء إطار علمي لفهم العلاقات بين المتغيرات المختلفة.</w:t>
      </w:r>
    </w:p>
    <w:p w14:paraId="718846C9" w14:textId="77777777" w:rsidR="00B94227" w:rsidRPr="002079FE" w:rsidRDefault="00B94227" w:rsidP="00B94227">
      <w:pPr>
        <w:pStyle w:val="NoSpacing"/>
        <w:numPr>
          <w:ilvl w:val="0"/>
          <w:numId w:val="9"/>
        </w:numPr>
        <w:bidi/>
        <w:rPr>
          <w:rFonts w:eastAsia="Calibri"/>
          <w:lang w:bidi="ar-EG"/>
        </w:rPr>
      </w:pPr>
      <w:r w:rsidRPr="002079FE">
        <w:rPr>
          <w:rFonts w:eastAsia="Calibri"/>
          <w:rtl/>
          <w:lang w:bidi="ar-EG"/>
        </w:rPr>
        <w:t>تُمكن الباحثين من استعراض الأدبيات والدراسات السابقة بشكل منهجي.</w:t>
      </w:r>
    </w:p>
    <w:p w14:paraId="14107EEA" w14:textId="77777777" w:rsidR="00B94227" w:rsidRPr="002079FE" w:rsidRDefault="00B94227" w:rsidP="00B94227">
      <w:pPr>
        <w:pStyle w:val="NoSpacing"/>
        <w:numPr>
          <w:ilvl w:val="0"/>
          <w:numId w:val="9"/>
        </w:numPr>
        <w:bidi/>
        <w:rPr>
          <w:rFonts w:eastAsia="Calibri"/>
          <w:lang w:bidi="ar-EG"/>
        </w:rPr>
      </w:pPr>
      <w:r w:rsidRPr="002079FE">
        <w:rPr>
          <w:rFonts w:eastAsia="Calibri"/>
          <w:rtl/>
          <w:lang w:bidi="ar-EG"/>
        </w:rPr>
        <w:t>تساعد على تحديد الفجوات المعرفية التي لم تُدرس بعد.</w:t>
      </w:r>
    </w:p>
    <w:p w14:paraId="57E18E14" w14:textId="77777777" w:rsidR="00B94227" w:rsidRPr="002B3AFE" w:rsidRDefault="00B94227" w:rsidP="00B94227">
      <w:pPr>
        <w:pStyle w:val="NoSpacing"/>
        <w:numPr>
          <w:ilvl w:val="0"/>
          <w:numId w:val="9"/>
        </w:numPr>
        <w:bidi/>
        <w:rPr>
          <w:rFonts w:eastAsia="Calibri"/>
          <w:rtl/>
          <w:lang w:bidi="ar-EG"/>
        </w:rPr>
      </w:pPr>
      <w:r w:rsidRPr="002079FE">
        <w:rPr>
          <w:rFonts w:eastAsia="Calibri"/>
          <w:rtl/>
          <w:lang w:bidi="ar-EG"/>
        </w:rPr>
        <w:t>توفر أسساً لتطوير الفرضيات ونماذج التحليل المستقبلي</w:t>
      </w:r>
      <w:r w:rsidRPr="002B1C6E">
        <w:rPr>
          <w:rFonts w:eastAsia="Calibri"/>
          <w:rtl/>
          <w:lang w:bidi="ar-EG"/>
        </w:rPr>
        <w:t>.</w:t>
      </w:r>
    </w:p>
    <w:p w14:paraId="03148284" w14:textId="77777777" w:rsidR="00B94227" w:rsidRPr="002B3AFE" w:rsidRDefault="00B94227" w:rsidP="00B94227">
      <w:pPr>
        <w:bidi/>
        <w:spacing w:line="360" w:lineRule="auto"/>
        <w:jc w:val="both"/>
        <w:rPr>
          <w:rFonts w:ascii="Simplified Arabic" w:eastAsia="Calibri" w:hAnsi="Simplified Arabic" w:cs="Simplified Arabic"/>
          <w:b/>
          <w:bCs/>
          <w:sz w:val="28"/>
          <w:szCs w:val="28"/>
          <w:u w:val="single"/>
          <w:rtl/>
          <w:lang w:bidi="ar-EG"/>
        </w:rPr>
      </w:pPr>
      <w:r w:rsidRPr="002B3AFE">
        <w:rPr>
          <w:rFonts w:ascii="Simplified Arabic" w:eastAsia="Calibri" w:hAnsi="Simplified Arabic" w:cs="Simplified Arabic"/>
          <w:b/>
          <w:bCs/>
          <w:sz w:val="28"/>
          <w:szCs w:val="28"/>
          <w:u w:val="single"/>
          <w:rtl/>
          <w:lang w:bidi="ar-EG"/>
        </w:rPr>
        <w:t>الأهمية العملية</w:t>
      </w:r>
    </w:p>
    <w:p w14:paraId="44DFAEFC" w14:textId="77777777" w:rsidR="00B94227" w:rsidRPr="002079FE" w:rsidRDefault="00B94227" w:rsidP="00B94227">
      <w:pPr>
        <w:pStyle w:val="NoSpacing"/>
        <w:numPr>
          <w:ilvl w:val="0"/>
          <w:numId w:val="8"/>
        </w:numPr>
        <w:bidi/>
        <w:rPr>
          <w:rFonts w:eastAsia="Calibri"/>
          <w:lang w:bidi="ar-EG"/>
        </w:rPr>
      </w:pPr>
      <w:r w:rsidRPr="002079FE">
        <w:rPr>
          <w:rFonts w:eastAsia="Calibri"/>
          <w:rtl/>
          <w:lang w:bidi="ar-EG"/>
        </w:rPr>
        <w:t>تقيس الأثر الفعلي للتوازن بين الحياة والعمل على رضا الموظفين في بيئات عمل محددة.</w:t>
      </w:r>
    </w:p>
    <w:p w14:paraId="5448D9C2" w14:textId="77777777" w:rsidR="00B94227" w:rsidRPr="002079FE" w:rsidRDefault="00B94227" w:rsidP="00B94227">
      <w:pPr>
        <w:pStyle w:val="NoSpacing"/>
        <w:numPr>
          <w:ilvl w:val="0"/>
          <w:numId w:val="8"/>
        </w:numPr>
        <w:bidi/>
        <w:rPr>
          <w:rFonts w:eastAsia="Calibri"/>
          <w:lang w:bidi="ar-EG"/>
        </w:rPr>
      </w:pPr>
      <w:r w:rsidRPr="002079FE">
        <w:rPr>
          <w:rFonts w:eastAsia="Calibri"/>
          <w:rtl/>
          <w:lang w:bidi="ar-EG"/>
        </w:rPr>
        <w:t>تزود المؤسسات بنتائج قابلة للتنفيذ في تطوير السياسات والبرامج.</w:t>
      </w:r>
    </w:p>
    <w:p w14:paraId="09D6BAA7" w14:textId="77777777" w:rsidR="00B94227" w:rsidRPr="002079FE" w:rsidRDefault="00B94227" w:rsidP="00B94227">
      <w:pPr>
        <w:pStyle w:val="NoSpacing"/>
        <w:numPr>
          <w:ilvl w:val="0"/>
          <w:numId w:val="8"/>
        </w:numPr>
        <w:bidi/>
        <w:rPr>
          <w:rFonts w:eastAsia="Calibri"/>
          <w:lang w:bidi="ar-EG"/>
        </w:rPr>
      </w:pPr>
      <w:r w:rsidRPr="002079FE">
        <w:rPr>
          <w:rFonts w:eastAsia="Calibri"/>
          <w:rtl/>
          <w:lang w:bidi="ar-EG"/>
        </w:rPr>
        <w:t>تساعد في تقييم فعالية المبادرات الحالية مثل العمل المرن أو الدعم النفسي.</w:t>
      </w:r>
    </w:p>
    <w:p w14:paraId="0DC33D9C" w14:textId="77777777" w:rsidR="00B94227" w:rsidRPr="002079FE" w:rsidRDefault="00B94227" w:rsidP="00B94227">
      <w:pPr>
        <w:pStyle w:val="NoSpacing"/>
        <w:numPr>
          <w:ilvl w:val="0"/>
          <w:numId w:val="8"/>
        </w:numPr>
        <w:bidi/>
        <w:rPr>
          <w:rFonts w:eastAsia="Calibri"/>
          <w:lang w:bidi="ar-EG"/>
        </w:rPr>
      </w:pPr>
      <w:r w:rsidRPr="002079FE">
        <w:rPr>
          <w:rFonts w:eastAsia="Calibri"/>
          <w:rtl/>
          <w:lang w:bidi="ar-EG"/>
        </w:rPr>
        <w:t>تدعم عملية اتخاذ القرار الإداري المبني على بيانات واقعية.</w:t>
      </w:r>
    </w:p>
    <w:p w14:paraId="605C637C" w14:textId="7DF4BA2E" w:rsidR="003F4980" w:rsidRPr="00B94227" w:rsidRDefault="00B94227" w:rsidP="00B94227">
      <w:pPr>
        <w:pStyle w:val="NoSpacing"/>
        <w:numPr>
          <w:ilvl w:val="0"/>
          <w:numId w:val="8"/>
        </w:numPr>
        <w:bidi/>
        <w:rPr>
          <w:rFonts w:eastAsia="Calibri"/>
          <w:rtl/>
          <w:lang w:bidi="ar-EG"/>
        </w:rPr>
      </w:pPr>
      <w:r w:rsidRPr="002079FE">
        <w:rPr>
          <w:rFonts w:eastAsia="Calibri"/>
          <w:rtl/>
          <w:lang w:bidi="ar-EG"/>
        </w:rPr>
        <w:t>تُظهر الفروقات حسب القطاع أو الفئة الوظيفية أو الظروف المحلية</w:t>
      </w:r>
      <w:r w:rsidRPr="002B1C6E">
        <w:rPr>
          <w:rFonts w:eastAsia="Calibri"/>
          <w:rtl/>
          <w:lang w:bidi="ar-EG"/>
        </w:rPr>
        <w:t>.</w:t>
      </w:r>
    </w:p>
    <w:p w14:paraId="0D1AC2D8" w14:textId="16EC083F" w:rsidR="00D22171" w:rsidRDefault="00D22171" w:rsidP="0079488B">
      <w:pPr>
        <w:pStyle w:val="Heading2"/>
        <w:rPr>
          <w:rtl/>
        </w:rPr>
      </w:pPr>
      <w:bookmarkStart w:id="4" w:name="_Toc213626787"/>
      <w:r w:rsidRPr="00D22171">
        <w:rPr>
          <w:rtl/>
        </w:rPr>
        <w:t>أهداف الدراسة</w:t>
      </w:r>
      <w:r w:rsidR="001C0BD9">
        <w:rPr>
          <w:rFonts w:hint="cs"/>
          <w:rtl/>
        </w:rPr>
        <w:t>:</w:t>
      </w:r>
      <w:bookmarkEnd w:id="4"/>
    </w:p>
    <w:p w14:paraId="42CA67F5" w14:textId="42C4AD93" w:rsidR="00B94227" w:rsidRDefault="00B94227" w:rsidP="00B94227">
      <w:pPr>
        <w:bidi/>
        <w:spacing w:line="360" w:lineRule="auto"/>
        <w:jc w:val="both"/>
        <w:rPr>
          <w:rFonts w:ascii="Simplified Arabic" w:eastAsia="Calibri" w:hAnsi="Simplified Arabic" w:cs="Simplified Arabic"/>
          <w:sz w:val="28"/>
          <w:szCs w:val="28"/>
          <w:rtl/>
          <w:lang w:bidi="ar-EG"/>
        </w:rPr>
      </w:pPr>
      <w:r w:rsidRPr="002B3AFE">
        <w:rPr>
          <w:rFonts w:ascii="Simplified Arabic" w:eastAsia="Calibri" w:hAnsi="Simplified Arabic" w:cs="Simplified Arabic"/>
          <w:sz w:val="28"/>
          <w:szCs w:val="28"/>
          <w:rtl/>
          <w:lang w:bidi="ar-EG"/>
        </w:rPr>
        <w:t xml:space="preserve">تهدف الدراسة إلى </w:t>
      </w:r>
      <w:r w:rsidRPr="002079FE">
        <w:rPr>
          <w:rFonts w:ascii="Simplified Arabic" w:eastAsia="Calibri" w:hAnsi="Simplified Arabic" w:cs="Simplified Arabic"/>
          <w:sz w:val="28"/>
          <w:szCs w:val="28"/>
          <w:rtl/>
          <w:lang w:bidi="ar-EG"/>
        </w:rPr>
        <w:t>أثر التوازن بين الحياة والعمل بأبعاده المختلفة (توازن الوقت، توزان المشاركة، توازن الرضا) على مستوى الرضا الوظيفي: دراسة ميدانية في القطاع الصحي السعودي</w:t>
      </w:r>
      <w:r w:rsidR="00F575B0">
        <w:rPr>
          <w:rFonts w:ascii="Simplified Arabic" w:eastAsia="Calibri" w:hAnsi="Simplified Arabic" w:cs="Simplified Arabic" w:hint="cs"/>
          <w:sz w:val="28"/>
          <w:szCs w:val="28"/>
          <w:rtl/>
          <w:lang w:bidi="ar-EG"/>
        </w:rPr>
        <w:t xml:space="preserve"> في وزارة الصحة السعودية</w:t>
      </w:r>
      <w:r w:rsidRPr="002B3AFE">
        <w:rPr>
          <w:rFonts w:ascii="Simplified Arabic" w:eastAsia="Calibri" w:hAnsi="Simplified Arabic" w:cs="Simplified Arabic"/>
          <w:sz w:val="28"/>
          <w:szCs w:val="28"/>
          <w:rtl/>
          <w:lang w:bidi="ar-EG"/>
        </w:rPr>
        <w:t>، ويتفرع منه مجموعة من الأهداف الفرعية:</w:t>
      </w:r>
    </w:p>
    <w:p w14:paraId="6A03049B" w14:textId="77777777" w:rsidR="00B94227" w:rsidRPr="002079FE"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rtl/>
          <w:lang w:bidi="ar-EG"/>
        </w:rPr>
      </w:pPr>
      <w:bookmarkStart w:id="5" w:name="_Hlk202366562"/>
      <w:r w:rsidRPr="002079FE">
        <w:rPr>
          <w:rFonts w:ascii="Simplified Arabic" w:eastAsia="Calibri" w:hAnsi="Simplified Arabic" w:cs="Simplified Arabic"/>
          <w:sz w:val="28"/>
          <w:szCs w:val="28"/>
          <w:rtl/>
          <w:lang w:bidi="ar-EG"/>
        </w:rPr>
        <w:t>التعرف على توازن الوقت ومدى انعكاسه على مستوى الرضا الوظيفي</w:t>
      </w:r>
      <w:r w:rsidRPr="002079FE">
        <w:rPr>
          <w:rFonts w:ascii="Simplified Arabic" w:eastAsia="Calibri" w:hAnsi="Simplified Arabic" w:cs="Simplified Arabic"/>
          <w:sz w:val="28"/>
          <w:szCs w:val="28"/>
          <w:lang w:bidi="ar-EG"/>
        </w:rPr>
        <w:t>.</w:t>
      </w:r>
    </w:p>
    <w:p w14:paraId="10D4B003" w14:textId="77777777" w:rsidR="00B94227" w:rsidRPr="002079FE"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rtl/>
          <w:lang w:bidi="ar-EG"/>
        </w:rPr>
      </w:pPr>
      <w:r w:rsidRPr="002079FE">
        <w:rPr>
          <w:rFonts w:ascii="Simplified Arabic" w:eastAsia="Calibri" w:hAnsi="Simplified Arabic" w:cs="Simplified Arabic"/>
          <w:sz w:val="28"/>
          <w:szCs w:val="28"/>
          <w:rtl/>
          <w:lang w:bidi="ar-EG"/>
        </w:rPr>
        <w:t>التعرف على توزان المشاركة ومدى انعكاسها على مستوى الرضا الوظيفي</w:t>
      </w:r>
      <w:r w:rsidRPr="002079FE">
        <w:rPr>
          <w:rFonts w:ascii="Simplified Arabic" w:eastAsia="Calibri" w:hAnsi="Simplified Arabic" w:cs="Simplified Arabic"/>
          <w:sz w:val="28"/>
          <w:szCs w:val="28"/>
          <w:lang w:bidi="ar-EG"/>
        </w:rPr>
        <w:t>.</w:t>
      </w:r>
    </w:p>
    <w:p w14:paraId="4A7126AD" w14:textId="77777777" w:rsidR="00B94227" w:rsidRPr="002079FE"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rtl/>
          <w:lang w:bidi="ar-EG"/>
        </w:rPr>
      </w:pPr>
      <w:r w:rsidRPr="002079FE">
        <w:rPr>
          <w:rFonts w:ascii="Simplified Arabic" w:eastAsia="Calibri" w:hAnsi="Simplified Arabic" w:cs="Simplified Arabic"/>
          <w:sz w:val="28"/>
          <w:szCs w:val="28"/>
          <w:rtl/>
          <w:lang w:bidi="ar-EG"/>
        </w:rPr>
        <w:t>التعرف على توازن الرضا ومدى انعكاسه على مستوى الرضا الوظيفي</w:t>
      </w:r>
      <w:r w:rsidRPr="002079FE">
        <w:rPr>
          <w:rFonts w:ascii="Simplified Arabic" w:eastAsia="Calibri" w:hAnsi="Simplified Arabic" w:cs="Simplified Arabic"/>
          <w:sz w:val="28"/>
          <w:szCs w:val="28"/>
          <w:lang w:bidi="ar-EG"/>
        </w:rPr>
        <w:t>.</w:t>
      </w:r>
    </w:p>
    <w:p w14:paraId="56B19CA7" w14:textId="2A72114F" w:rsidR="00D22171" w:rsidRDefault="00D22171" w:rsidP="0079488B">
      <w:pPr>
        <w:pStyle w:val="Heading2"/>
        <w:rPr>
          <w:rtl/>
        </w:rPr>
      </w:pPr>
      <w:bookmarkStart w:id="6" w:name="_Toc213626788"/>
      <w:bookmarkEnd w:id="5"/>
      <w:r w:rsidRPr="00D22171">
        <w:rPr>
          <w:rtl/>
        </w:rPr>
        <w:t>تساؤلات الدراسة</w:t>
      </w:r>
      <w:r w:rsidR="001C0BD9">
        <w:rPr>
          <w:rFonts w:hint="cs"/>
          <w:rtl/>
        </w:rPr>
        <w:t>:</w:t>
      </w:r>
      <w:bookmarkEnd w:id="6"/>
    </w:p>
    <w:p w14:paraId="4D5C9103" w14:textId="1B3ABAA9" w:rsidR="00B94227" w:rsidRDefault="00B94227" w:rsidP="00B94227">
      <w:pPr>
        <w:bidi/>
        <w:spacing w:line="360" w:lineRule="auto"/>
        <w:jc w:val="both"/>
        <w:rPr>
          <w:rFonts w:ascii="Simplified Arabic" w:eastAsia="Calibri" w:hAnsi="Simplified Arabic" w:cs="Simplified Arabic"/>
          <w:sz w:val="28"/>
          <w:szCs w:val="28"/>
          <w:rtl/>
          <w:lang w:bidi="ar-EG"/>
        </w:rPr>
      </w:pPr>
      <w:r w:rsidRPr="00953064">
        <w:rPr>
          <w:rFonts w:ascii="Simplified Arabic" w:eastAsia="Calibri" w:hAnsi="Simplified Arabic" w:cs="Simplified Arabic"/>
          <w:b/>
          <w:bCs/>
          <w:sz w:val="28"/>
          <w:szCs w:val="28"/>
          <w:u w:val="single"/>
          <w:rtl/>
          <w:lang w:bidi="ar-EG"/>
        </w:rPr>
        <w:t>السؤال الرئيسي الأول:</w:t>
      </w:r>
      <w:r w:rsidRPr="00953064">
        <w:rPr>
          <w:rFonts w:ascii="Simplified Arabic" w:eastAsia="Calibri" w:hAnsi="Simplified Arabic" w:cs="Simplified Arabic"/>
          <w:sz w:val="28"/>
          <w:szCs w:val="28"/>
          <w:rtl/>
          <w:lang w:bidi="ar-EG"/>
        </w:rPr>
        <w:t xml:space="preserve"> ما </w:t>
      </w:r>
      <w:r w:rsidRPr="00CF16B1">
        <w:rPr>
          <w:rFonts w:ascii="Simplified Arabic" w:eastAsia="Calibri" w:hAnsi="Simplified Arabic" w:cs="Simplified Arabic"/>
          <w:sz w:val="28"/>
          <w:szCs w:val="28"/>
          <w:rtl/>
          <w:lang w:bidi="ar-EG"/>
        </w:rPr>
        <w:t xml:space="preserve">أثر </w:t>
      </w:r>
      <w:r w:rsidRPr="002079FE">
        <w:rPr>
          <w:rFonts w:ascii="Simplified Arabic" w:eastAsia="Calibri" w:hAnsi="Simplified Arabic" w:cs="Simplified Arabic"/>
          <w:sz w:val="28"/>
          <w:szCs w:val="28"/>
          <w:rtl/>
          <w:lang w:bidi="ar-EG"/>
        </w:rPr>
        <w:t>التوازن بين الحياة والعمل بأبعاده المختلفة (توازن الوقت، توزان المشاركة، توازن الرضا) على مستوى الرضا الوظيفي: دراسة ميدانية في القطاع الصحي السعودي</w:t>
      </w:r>
      <w:r w:rsidRPr="00953064">
        <w:rPr>
          <w:rFonts w:ascii="Simplified Arabic" w:eastAsia="Calibri" w:hAnsi="Simplified Arabic" w:cs="Simplified Arabic"/>
          <w:sz w:val="28"/>
          <w:szCs w:val="28"/>
          <w:rtl/>
          <w:lang w:bidi="ar-EG"/>
        </w:rPr>
        <w:t>، وتتفرع منه عدة أسئلة فرعية كالتالي:</w:t>
      </w:r>
    </w:p>
    <w:p w14:paraId="73340B4F" w14:textId="77777777" w:rsidR="00B94227" w:rsidRPr="00AC31BF"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lang w:bidi="ar-EG"/>
        </w:rPr>
      </w:pPr>
      <w:bookmarkStart w:id="7" w:name="_Hlk202366688"/>
      <w:r>
        <w:rPr>
          <w:rFonts w:ascii="Simplified Arabic" w:eastAsia="Calibri" w:hAnsi="Simplified Arabic" w:cs="Simplified Arabic" w:hint="cs"/>
          <w:sz w:val="28"/>
          <w:szCs w:val="28"/>
          <w:rtl/>
          <w:lang w:bidi="ar-EG"/>
        </w:rPr>
        <w:t xml:space="preserve">ما أثر </w:t>
      </w:r>
      <w:r w:rsidRPr="00AC31BF">
        <w:rPr>
          <w:rFonts w:ascii="Simplified Arabic" w:eastAsia="Calibri" w:hAnsi="Simplified Arabic" w:cs="Simplified Arabic"/>
          <w:sz w:val="28"/>
          <w:szCs w:val="28"/>
          <w:rtl/>
          <w:lang w:bidi="ar-EG"/>
        </w:rPr>
        <w:t xml:space="preserve">التعرف على </w:t>
      </w:r>
      <w:r w:rsidRPr="002079FE">
        <w:rPr>
          <w:rFonts w:ascii="Simplified Arabic" w:eastAsia="Calibri" w:hAnsi="Simplified Arabic" w:cs="Simplified Arabic"/>
          <w:sz w:val="28"/>
          <w:szCs w:val="28"/>
          <w:rtl/>
          <w:lang w:bidi="ar-EG"/>
        </w:rPr>
        <w:t>توازن الوقت ومدى انعكاسه على مستوى الرضا الوظيفي</w:t>
      </w:r>
      <w:r>
        <w:rPr>
          <w:rFonts w:ascii="Simplified Arabic" w:eastAsia="Calibri" w:hAnsi="Simplified Arabic" w:cs="Simplified Arabic" w:hint="cs"/>
          <w:sz w:val="28"/>
          <w:szCs w:val="28"/>
          <w:rtl/>
          <w:lang w:bidi="ar-EG"/>
        </w:rPr>
        <w:t>؟</w:t>
      </w:r>
    </w:p>
    <w:p w14:paraId="2EA2D321" w14:textId="77777777" w:rsidR="00B94227" w:rsidRPr="00AC31BF"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lang w:bidi="ar-EG"/>
        </w:rPr>
      </w:pPr>
      <w:r w:rsidRPr="00AC31BF">
        <w:rPr>
          <w:rFonts w:ascii="Simplified Arabic" w:eastAsia="Calibri" w:hAnsi="Simplified Arabic" w:cs="Simplified Arabic"/>
          <w:sz w:val="28"/>
          <w:szCs w:val="28"/>
          <w:rtl/>
          <w:lang w:bidi="ar-EG"/>
        </w:rPr>
        <w:t xml:space="preserve">ما أثر التعرف على </w:t>
      </w:r>
      <w:r w:rsidRPr="002079FE">
        <w:rPr>
          <w:rFonts w:ascii="Simplified Arabic" w:eastAsia="Calibri" w:hAnsi="Simplified Arabic" w:cs="Simplified Arabic"/>
          <w:sz w:val="28"/>
          <w:szCs w:val="28"/>
          <w:rtl/>
          <w:lang w:bidi="ar-EG"/>
        </w:rPr>
        <w:t>توزان المشاركة ومدى انعكاسها على مستوى الرضا الوظيفي</w:t>
      </w:r>
      <w:r>
        <w:rPr>
          <w:rFonts w:ascii="Simplified Arabic" w:eastAsia="Calibri" w:hAnsi="Simplified Arabic" w:cs="Simplified Arabic" w:hint="cs"/>
          <w:sz w:val="28"/>
          <w:szCs w:val="28"/>
          <w:rtl/>
          <w:lang w:bidi="ar-EG"/>
        </w:rPr>
        <w:t>؟</w:t>
      </w:r>
    </w:p>
    <w:p w14:paraId="378A7587" w14:textId="77777777" w:rsidR="00B94227" w:rsidRPr="00AC31BF" w:rsidRDefault="00B94227" w:rsidP="00B94227">
      <w:pPr>
        <w:pStyle w:val="ListParagraph"/>
        <w:numPr>
          <w:ilvl w:val="0"/>
          <w:numId w:val="10"/>
        </w:numPr>
        <w:bidi/>
        <w:spacing w:after="160" w:line="360" w:lineRule="auto"/>
        <w:jc w:val="both"/>
        <w:rPr>
          <w:rFonts w:ascii="Simplified Arabic" w:eastAsia="Calibri" w:hAnsi="Simplified Arabic" w:cs="Simplified Arabic"/>
          <w:sz w:val="28"/>
          <w:szCs w:val="28"/>
          <w:lang w:bidi="ar-EG"/>
        </w:rPr>
      </w:pPr>
      <w:r w:rsidRPr="00AC31BF">
        <w:rPr>
          <w:rFonts w:ascii="Simplified Arabic" w:eastAsia="Calibri" w:hAnsi="Simplified Arabic" w:cs="Simplified Arabic"/>
          <w:sz w:val="28"/>
          <w:szCs w:val="28"/>
          <w:rtl/>
          <w:lang w:bidi="ar-EG"/>
        </w:rPr>
        <w:t xml:space="preserve">ما أثر التعرف على </w:t>
      </w:r>
      <w:r w:rsidRPr="002079FE">
        <w:rPr>
          <w:rFonts w:ascii="Simplified Arabic" w:eastAsia="Calibri" w:hAnsi="Simplified Arabic" w:cs="Simplified Arabic"/>
          <w:sz w:val="28"/>
          <w:szCs w:val="28"/>
          <w:rtl/>
          <w:lang w:bidi="ar-EG"/>
        </w:rPr>
        <w:t>توازن الرضا ومدى انعكاسه على مستوى الرضا الوظيفي</w:t>
      </w:r>
      <w:r>
        <w:rPr>
          <w:rFonts w:ascii="Simplified Arabic" w:eastAsia="Calibri" w:hAnsi="Simplified Arabic" w:cs="Simplified Arabic" w:hint="cs"/>
          <w:sz w:val="28"/>
          <w:szCs w:val="28"/>
          <w:rtl/>
          <w:lang w:bidi="ar-EG"/>
        </w:rPr>
        <w:t>؟</w:t>
      </w:r>
    </w:p>
    <w:p w14:paraId="7ABDDD95" w14:textId="1951DA88" w:rsidR="00D52480" w:rsidRPr="00D22171" w:rsidRDefault="00D52480" w:rsidP="0079488B">
      <w:pPr>
        <w:pStyle w:val="Heading2"/>
        <w:rPr>
          <w:rtl/>
        </w:rPr>
      </w:pPr>
      <w:bookmarkStart w:id="8" w:name="_Toc213626789"/>
      <w:bookmarkEnd w:id="7"/>
      <w:r>
        <w:rPr>
          <w:rFonts w:hint="cs"/>
          <w:rtl/>
        </w:rPr>
        <w:t>فروض الدراسة</w:t>
      </w:r>
      <w:bookmarkEnd w:id="8"/>
    </w:p>
    <w:p w14:paraId="186972F2" w14:textId="77777777" w:rsidR="00B94227" w:rsidRPr="002F60B8" w:rsidRDefault="00B94227" w:rsidP="00B94227">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2F60B8">
        <w:rPr>
          <w:rFonts w:ascii="Simplified Arabic" w:eastAsia="Calibri" w:hAnsi="Simplified Arabic" w:cs="Simplified Arabic"/>
          <w:sz w:val="28"/>
          <w:szCs w:val="28"/>
          <w:lang w:bidi="ar-EG"/>
        </w:rPr>
        <w:t>:</w:t>
      </w:r>
    </w:p>
    <w:p w14:paraId="206B7F5D" w14:textId="1A71CFB9" w:rsidR="00B94227" w:rsidRDefault="00B94227" w:rsidP="00B94227">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b/>
          <w:bCs/>
          <w:sz w:val="28"/>
          <w:szCs w:val="28"/>
          <w:rtl/>
          <w:lang w:bidi="ar-EG"/>
        </w:rPr>
        <w:t>الفرضية الرئيسة الأول:</w:t>
      </w:r>
      <w:r w:rsidRPr="002F60B8">
        <w:rPr>
          <w:rFonts w:ascii="Simplified Arabic" w:eastAsia="Calibri" w:hAnsi="Simplified Arabic" w:cs="Simplified Arabic"/>
          <w:sz w:val="28"/>
          <w:szCs w:val="28"/>
          <w:rtl/>
          <w:lang w:bidi="ar-EG"/>
        </w:rPr>
        <w:t xml:space="preserve"> لا يوجد أثر ذو دلالة إحصائية</w:t>
      </w:r>
      <w:r>
        <w:rPr>
          <w:rFonts w:ascii="Simplified Arabic" w:eastAsia="Calibri" w:hAnsi="Simplified Arabic" w:cs="Simplified Arabic" w:hint="cs"/>
          <w:sz w:val="28"/>
          <w:szCs w:val="28"/>
          <w:rtl/>
          <w:lang w:bidi="ar-EG"/>
        </w:rPr>
        <w:t xml:space="preserve"> ل</w:t>
      </w:r>
      <w:r w:rsidRPr="00694BD8">
        <w:rPr>
          <w:rFonts w:ascii="Simplified Arabic" w:eastAsia="Calibri" w:hAnsi="Simplified Arabic" w:cs="Simplified Arabic"/>
          <w:sz w:val="28"/>
          <w:szCs w:val="28"/>
          <w:rtl/>
          <w:lang w:bidi="ar-EG"/>
        </w:rPr>
        <w:t xml:space="preserve">أثر </w:t>
      </w:r>
      <w:r w:rsidRPr="002079FE">
        <w:rPr>
          <w:rFonts w:ascii="Simplified Arabic" w:eastAsia="Calibri" w:hAnsi="Simplified Arabic" w:cs="Simplified Arabic"/>
          <w:sz w:val="28"/>
          <w:szCs w:val="28"/>
          <w:rtl/>
          <w:lang w:bidi="ar-EG"/>
        </w:rPr>
        <w:t>التوازن بين الحياة والعمل بأبعاده المختلفة (توازن الوقت، توزان المشاركة، توازن الرضا) على مستوى الرضا الوظيفي: دراسة ميدانية في القطاع الصحي السعودي</w:t>
      </w:r>
    </w:p>
    <w:p w14:paraId="5701D745" w14:textId="77777777" w:rsidR="00B94227" w:rsidRPr="002F60B8" w:rsidRDefault="00B94227" w:rsidP="00B94227">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وينبثق من هذه الفرضية الفرضيات الفرعية ال</w:t>
      </w:r>
      <w:r>
        <w:rPr>
          <w:rFonts w:ascii="Simplified Arabic" w:eastAsia="Calibri" w:hAnsi="Simplified Arabic" w:cs="Simplified Arabic" w:hint="cs"/>
          <w:sz w:val="28"/>
          <w:szCs w:val="28"/>
          <w:rtl/>
          <w:lang w:bidi="ar-EG"/>
        </w:rPr>
        <w:t>اربعة</w:t>
      </w:r>
      <w:r w:rsidRPr="002F60B8">
        <w:rPr>
          <w:rFonts w:ascii="Simplified Arabic" w:eastAsia="Calibri" w:hAnsi="Simplified Arabic" w:cs="Simplified Arabic"/>
          <w:sz w:val="28"/>
          <w:szCs w:val="28"/>
          <w:rtl/>
          <w:lang w:bidi="ar-EG"/>
        </w:rPr>
        <w:t xml:space="preserve"> التالية</w:t>
      </w:r>
      <w:r w:rsidRPr="002F60B8">
        <w:rPr>
          <w:rFonts w:ascii="Simplified Arabic" w:eastAsia="Calibri" w:hAnsi="Simplified Arabic" w:cs="Simplified Arabic"/>
          <w:sz w:val="28"/>
          <w:szCs w:val="28"/>
          <w:lang w:bidi="ar-EG"/>
        </w:rPr>
        <w:t>:</w:t>
      </w:r>
    </w:p>
    <w:p w14:paraId="7CAC4CA7" w14:textId="77777777" w:rsidR="00B94227" w:rsidRDefault="00B94227" w:rsidP="00B94227">
      <w:pPr>
        <w:pStyle w:val="ListParagraph"/>
        <w:numPr>
          <w:ilvl w:val="0"/>
          <w:numId w:val="11"/>
        </w:numPr>
        <w:bidi/>
        <w:spacing w:after="160" w:line="360" w:lineRule="auto"/>
        <w:jc w:val="both"/>
        <w:rPr>
          <w:rFonts w:ascii="Simplified Arabic" w:eastAsia="Calibri" w:hAnsi="Simplified Arabic" w:cs="Simplified Arabic"/>
          <w:sz w:val="28"/>
          <w:szCs w:val="28"/>
          <w:lang w:bidi="ar-EG"/>
        </w:rPr>
      </w:pPr>
      <w:r w:rsidRPr="002F60B8">
        <w:rPr>
          <w:rFonts w:ascii="Simplified Arabic" w:eastAsia="Calibri" w:hAnsi="Simplified Arabic" w:cs="Simplified Arabic"/>
          <w:sz w:val="28"/>
          <w:szCs w:val="28"/>
          <w:rtl/>
          <w:lang w:bidi="ar-EG"/>
        </w:rPr>
        <w:t>لا يوجد أثر ذو دلالة إحصائية</w:t>
      </w:r>
      <w:r>
        <w:rPr>
          <w:rFonts w:ascii="Simplified Arabic" w:eastAsia="Calibri" w:hAnsi="Simplified Arabic" w:cs="Simplified Arabic" w:hint="cs"/>
          <w:sz w:val="28"/>
          <w:szCs w:val="28"/>
          <w:rtl/>
          <w:lang w:bidi="ar-EG"/>
        </w:rPr>
        <w:t xml:space="preserve"> ل</w:t>
      </w:r>
      <w:r w:rsidRPr="002079FE">
        <w:rPr>
          <w:rFonts w:ascii="Simplified Arabic" w:eastAsia="Calibri" w:hAnsi="Simplified Arabic" w:cs="Simplified Arabic"/>
          <w:sz w:val="28"/>
          <w:szCs w:val="28"/>
          <w:rtl/>
          <w:lang w:bidi="ar-EG"/>
        </w:rPr>
        <w:t>توازن الوقت ومدى انعكاسه على مستوى الرضا الوظيفي</w:t>
      </w:r>
      <w:r>
        <w:rPr>
          <w:rFonts w:ascii="Simplified Arabic" w:eastAsia="Calibri" w:hAnsi="Simplified Arabic" w:cs="Simplified Arabic" w:hint="cs"/>
          <w:sz w:val="28"/>
          <w:szCs w:val="28"/>
          <w:rtl/>
          <w:lang w:bidi="ar-EG"/>
        </w:rPr>
        <w:t>.</w:t>
      </w:r>
      <w:r w:rsidRPr="002F60B8">
        <w:rPr>
          <w:rFonts w:ascii="Simplified Arabic" w:eastAsia="Calibri" w:hAnsi="Simplified Arabic" w:cs="Simplified Arabic"/>
          <w:sz w:val="28"/>
          <w:szCs w:val="28"/>
          <w:rtl/>
          <w:lang w:bidi="ar-EG"/>
        </w:rPr>
        <w:t xml:space="preserve"> </w:t>
      </w:r>
    </w:p>
    <w:p w14:paraId="790593A8" w14:textId="77777777" w:rsidR="00B94227" w:rsidRDefault="00B94227" w:rsidP="00B94227">
      <w:pPr>
        <w:pStyle w:val="ListParagraph"/>
        <w:numPr>
          <w:ilvl w:val="0"/>
          <w:numId w:val="11"/>
        </w:numPr>
        <w:bidi/>
        <w:spacing w:after="160" w:line="360" w:lineRule="auto"/>
        <w:jc w:val="both"/>
        <w:rPr>
          <w:rFonts w:ascii="Simplified Arabic" w:eastAsia="Calibri" w:hAnsi="Simplified Arabic" w:cs="Simplified Arabic"/>
          <w:sz w:val="28"/>
          <w:szCs w:val="28"/>
          <w:lang w:bidi="ar-EG"/>
        </w:rPr>
      </w:pPr>
      <w:r w:rsidRPr="002F60B8">
        <w:rPr>
          <w:rFonts w:ascii="Simplified Arabic" w:eastAsia="Calibri" w:hAnsi="Simplified Arabic" w:cs="Simplified Arabic"/>
          <w:sz w:val="28"/>
          <w:szCs w:val="28"/>
          <w:rtl/>
          <w:lang w:bidi="ar-EG"/>
        </w:rPr>
        <w:t xml:space="preserve">لا يوجد أثر ذو دلالة إحصائية </w:t>
      </w:r>
      <w:r>
        <w:rPr>
          <w:rFonts w:ascii="Simplified Arabic" w:eastAsia="Calibri" w:hAnsi="Simplified Arabic" w:cs="Simplified Arabic" w:hint="cs"/>
          <w:sz w:val="28"/>
          <w:szCs w:val="28"/>
          <w:rtl/>
          <w:lang w:bidi="ar-EG"/>
        </w:rPr>
        <w:t>ل</w:t>
      </w:r>
      <w:r w:rsidRPr="002079FE">
        <w:rPr>
          <w:rFonts w:ascii="Simplified Arabic" w:eastAsia="Calibri" w:hAnsi="Simplified Arabic" w:cs="Simplified Arabic"/>
          <w:sz w:val="28"/>
          <w:szCs w:val="28"/>
          <w:rtl/>
          <w:lang w:bidi="ar-EG"/>
        </w:rPr>
        <w:t>توزان المشاركة ومدى انعكاسها على مستوى الرضا الوظيفي</w:t>
      </w:r>
      <w:r>
        <w:rPr>
          <w:rFonts w:ascii="Simplified Arabic" w:eastAsia="Calibri" w:hAnsi="Simplified Arabic" w:cs="Simplified Arabic" w:hint="cs"/>
          <w:sz w:val="28"/>
          <w:szCs w:val="28"/>
          <w:rtl/>
          <w:lang w:bidi="ar-EG"/>
        </w:rPr>
        <w:t>.</w:t>
      </w:r>
    </w:p>
    <w:p w14:paraId="65FE90EF" w14:textId="77777777" w:rsidR="00B94227" w:rsidRDefault="00B94227" w:rsidP="00B94227">
      <w:pPr>
        <w:pStyle w:val="ListParagraph"/>
        <w:numPr>
          <w:ilvl w:val="0"/>
          <w:numId w:val="11"/>
        </w:numPr>
        <w:bidi/>
        <w:spacing w:after="160" w:line="360" w:lineRule="auto"/>
        <w:jc w:val="both"/>
        <w:rPr>
          <w:rFonts w:ascii="Simplified Arabic" w:eastAsia="Calibri" w:hAnsi="Simplified Arabic" w:cs="Simplified Arabic"/>
          <w:sz w:val="28"/>
          <w:szCs w:val="28"/>
          <w:lang w:bidi="ar-EG"/>
        </w:rPr>
      </w:pPr>
      <w:r w:rsidRPr="002F60B8">
        <w:rPr>
          <w:rFonts w:ascii="Simplified Arabic" w:eastAsia="Calibri" w:hAnsi="Simplified Arabic" w:cs="Simplified Arabic"/>
          <w:sz w:val="28"/>
          <w:szCs w:val="28"/>
          <w:rtl/>
          <w:lang w:bidi="ar-EG"/>
        </w:rPr>
        <w:t xml:space="preserve">لا يوجد أثر ذو دلالة إحصائية </w:t>
      </w:r>
      <w:r>
        <w:rPr>
          <w:rFonts w:ascii="Simplified Arabic" w:eastAsia="Calibri" w:hAnsi="Simplified Arabic" w:cs="Simplified Arabic" w:hint="cs"/>
          <w:sz w:val="28"/>
          <w:szCs w:val="28"/>
          <w:rtl/>
          <w:lang w:bidi="ar-EG"/>
        </w:rPr>
        <w:t>ل</w:t>
      </w:r>
      <w:r w:rsidRPr="002079FE">
        <w:rPr>
          <w:rFonts w:ascii="Simplified Arabic" w:eastAsia="Calibri" w:hAnsi="Simplified Arabic" w:cs="Simplified Arabic"/>
          <w:sz w:val="28"/>
          <w:szCs w:val="28"/>
          <w:rtl/>
          <w:lang w:bidi="ar-EG"/>
        </w:rPr>
        <w:t>توازن الرضا ومدى انعكاسه على مستوى الرضا الوظيفي</w:t>
      </w:r>
      <w:r>
        <w:rPr>
          <w:rFonts w:ascii="Simplified Arabic" w:eastAsia="Calibri" w:hAnsi="Simplified Arabic" w:cs="Simplified Arabic" w:hint="cs"/>
          <w:sz w:val="28"/>
          <w:szCs w:val="28"/>
          <w:rtl/>
          <w:lang w:bidi="ar-EG"/>
        </w:rPr>
        <w:t>.</w:t>
      </w:r>
    </w:p>
    <w:p w14:paraId="0BDDA49D" w14:textId="77777777" w:rsidR="00F575B0" w:rsidRDefault="00F575B0" w:rsidP="0079488B">
      <w:pPr>
        <w:pStyle w:val="Heading2"/>
        <w:rPr>
          <w:rtl/>
        </w:rPr>
      </w:pPr>
    </w:p>
    <w:p w14:paraId="25643BC2" w14:textId="77777777" w:rsidR="00F575B0" w:rsidRDefault="00F575B0" w:rsidP="0079488B">
      <w:pPr>
        <w:pStyle w:val="Heading2"/>
        <w:rPr>
          <w:rtl/>
        </w:rPr>
      </w:pPr>
    </w:p>
    <w:p w14:paraId="693808E8" w14:textId="5100C3CC" w:rsidR="00F925D0" w:rsidRDefault="00F925D0" w:rsidP="0079488B">
      <w:pPr>
        <w:pStyle w:val="Heading2"/>
        <w:rPr>
          <w:rtl/>
        </w:rPr>
      </w:pPr>
      <w:bookmarkStart w:id="9" w:name="_Toc213626790"/>
      <w:r>
        <w:rPr>
          <w:rFonts w:hint="cs"/>
          <w:rtl/>
        </w:rPr>
        <w:t xml:space="preserve">النظرية العلمية </w:t>
      </w:r>
      <w:r w:rsidR="008328F7">
        <w:rPr>
          <w:rFonts w:hint="cs"/>
          <w:rtl/>
        </w:rPr>
        <w:t>المتبعة لإعداد</w:t>
      </w:r>
      <w:r>
        <w:rPr>
          <w:rFonts w:hint="cs"/>
          <w:rtl/>
        </w:rPr>
        <w:t xml:space="preserve"> البحث</w:t>
      </w:r>
      <w:bookmarkEnd w:id="9"/>
    </w:p>
    <w:p w14:paraId="24A01806" w14:textId="77777777" w:rsidR="00B94227" w:rsidRPr="00584051" w:rsidRDefault="00B94227" w:rsidP="00B94227">
      <w:pPr>
        <w:pStyle w:val="NoSpacing"/>
        <w:bidi/>
        <w:rPr>
          <w:rFonts w:eastAsia="Calibri"/>
          <w:rtl/>
          <w:lang w:bidi="ar-EG"/>
        </w:rPr>
      </w:pPr>
      <w:r w:rsidRPr="00584051">
        <w:rPr>
          <w:rFonts w:eastAsia="Calibri"/>
          <w:rtl/>
          <w:lang w:bidi="ar-EG"/>
        </w:rPr>
        <w:t>تنطلق هذه الدراسة من الحاجة المتزايدة لفهم العلاقة المتبادلة بين الحياة المهنية والحياة الشخصية، وما ينجم عنها من آثار مباشرة وغير مباشرة على الحالة النفسية والسلوكية للموظفين، لا سيما في ظل التغيرات المتسارعة التي تشهدها بيئة العمل الحديثة. فقد أصبحت ضغوط العمل، والمطالب التنظيمية، وسرعة الإنجاز عوامل تُهدد قدرة الموظف على تحقيق توازن صحي بين حياته العملية وحياته الخاصة، ما يؤدي إلى انخفاض مستويات الرضا الوظيفي، وارتفاع مستويات التوتر والاحتراق النفسي، ومعدلات ترك العمل</w:t>
      </w:r>
      <w:r w:rsidRPr="00584051">
        <w:rPr>
          <w:rFonts w:eastAsia="Calibri"/>
          <w:lang w:bidi="ar-EG"/>
        </w:rPr>
        <w:t>.</w:t>
      </w:r>
    </w:p>
    <w:p w14:paraId="2CC66750" w14:textId="77777777" w:rsidR="00B94227" w:rsidRPr="00584051" w:rsidRDefault="00B94227" w:rsidP="00B94227">
      <w:pPr>
        <w:pStyle w:val="NoSpacing"/>
        <w:bidi/>
        <w:rPr>
          <w:rFonts w:eastAsia="Calibri"/>
          <w:rtl/>
          <w:lang w:bidi="ar-EG"/>
        </w:rPr>
      </w:pPr>
      <w:r w:rsidRPr="00584051">
        <w:rPr>
          <w:rFonts w:eastAsia="Calibri"/>
          <w:rtl/>
          <w:lang w:bidi="ar-EG"/>
        </w:rPr>
        <w:t>وترتكز الدراسة على النظرية القائلة بأن الرضا الوظيفي ليس ناتجاً فقط عن عوامل داخل العمل مثل الأجر والترقية والبيئة، وإنما يتأثر أيضاً بعوامل خارج نطاق الوظيفة تتعلق بالاستقرار الشخصي، والأسرة، والوقت المتاح للراحة والاهتمام بالذات. فغياب التوازن بين متطلبات العمل والحياة يؤدي إلى صراع الأدوار لدى الفرد، ويفرض عليه حالة من التنازع النفسي بين الالتزامات المهنية والأسرية، مما ينعكس سلبًا على دافعيته وولائه وجودة أدائه الوظيفي</w:t>
      </w:r>
      <w:r w:rsidRPr="00584051">
        <w:rPr>
          <w:rFonts w:eastAsia="Calibri"/>
          <w:lang w:bidi="ar-EG"/>
        </w:rPr>
        <w:t>.</w:t>
      </w:r>
    </w:p>
    <w:p w14:paraId="52763D55" w14:textId="77777777" w:rsidR="00B94227" w:rsidRPr="00584051" w:rsidRDefault="00B94227" w:rsidP="00B94227">
      <w:pPr>
        <w:pStyle w:val="NoSpacing"/>
        <w:bidi/>
        <w:rPr>
          <w:rFonts w:eastAsia="Calibri"/>
          <w:rtl/>
          <w:lang w:bidi="ar-EG"/>
        </w:rPr>
      </w:pPr>
      <w:r w:rsidRPr="00584051">
        <w:rPr>
          <w:rFonts w:eastAsia="Calibri"/>
          <w:rtl/>
          <w:lang w:bidi="ar-EG"/>
        </w:rPr>
        <w:t>كما تنطلق الدراسة من مدخل العلاقات الإنسانية في العمل الذي يرى أن تحسين رضا الموظف يعتمد بشكل كبير على مراعاة احتياجاته الشمولية، سواء المادية أو الاجتماعية أو النفسية. وتفترض الدراسة أن وجود سياسات مؤسسية تدعم هذا التوازن – مثل العمل المرن، والإجازات المدروسة، والدعم النفسي – يُعد عاملاً حاسماً في تعزيز الانتماء، وتحسين جودة حياة العمل، وبالتالي زيادة الرضا الوظيفي</w:t>
      </w:r>
      <w:r w:rsidRPr="00584051">
        <w:rPr>
          <w:rFonts w:eastAsia="Calibri"/>
          <w:lang w:bidi="ar-EG"/>
        </w:rPr>
        <w:t>.</w:t>
      </w:r>
    </w:p>
    <w:p w14:paraId="1D1BB47B" w14:textId="77777777" w:rsidR="00B94227" w:rsidRPr="00584051" w:rsidRDefault="00B94227" w:rsidP="00B94227">
      <w:pPr>
        <w:pStyle w:val="NoSpacing"/>
        <w:bidi/>
        <w:rPr>
          <w:rFonts w:eastAsia="Calibri"/>
          <w:rtl/>
          <w:lang w:bidi="ar-EG"/>
        </w:rPr>
      </w:pPr>
      <w:r w:rsidRPr="00584051">
        <w:rPr>
          <w:rFonts w:eastAsia="Calibri"/>
          <w:rtl/>
          <w:lang w:bidi="ar-EG"/>
        </w:rPr>
        <w:t>وترتكز الدراسة كذلك على الفرضية النظرية التي ترى أن تحقيق التوازن بين الحياة والعمل لا يحقق الرضا الوظيفي بشكل مباشر فقط، بل قد يكون له أثر تراكمي واستراتيجي على مستوى الأداء العام للمؤسسة، من خلال تخفيض معدلات الغياب والإجهاد الوظيفي، وتحفيز الابتكار والإنتاجية، ورفع معدلات الاحتفاظ بالكفاءات</w:t>
      </w:r>
      <w:r w:rsidRPr="00584051">
        <w:rPr>
          <w:rFonts w:eastAsia="Calibri"/>
          <w:lang w:bidi="ar-EG"/>
        </w:rPr>
        <w:t>.</w:t>
      </w:r>
    </w:p>
    <w:p w14:paraId="4AE79AEA" w14:textId="77777777" w:rsidR="00B94227" w:rsidRPr="00BC5922" w:rsidRDefault="00B94227" w:rsidP="00B94227">
      <w:pPr>
        <w:pStyle w:val="NoSpacing"/>
        <w:bidi/>
        <w:rPr>
          <w:rFonts w:eastAsia="Calibri"/>
          <w:rtl/>
          <w:lang w:bidi="ar-EG"/>
        </w:rPr>
      </w:pPr>
      <w:r w:rsidRPr="00584051">
        <w:rPr>
          <w:rFonts w:eastAsia="Calibri"/>
          <w:rtl/>
          <w:lang w:bidi="ar-EG"/>
        </w:rPr>
        <w:t>لذلك، تنبع أهمية هذه الدراسة من كونها تسعى لفهم هذا الأثر من منظور علمي وميداني دقيق، باستخدام أطر نظرية ومنهجية تدمج بين البُعد الفردي (الموظف) والبُعد التنظيمي (بيئة العمل وسياساتها)، بما يتيح التوصل إلى نتائج عملية يمكن البناء عليها في تطوير السياسات الإدارية وتحسين بيئة العمل</w:t>
      </w:r>
    </w:p>
    <w:p w14:paraId="5E15F0AC" w14:textId="77777777" w:rsidR="003F4980" w:rsidRDefault="003F4980" w:rsidP="00372D4A">
      <w:pPr>
        <w:pStyle w:val="NoSpacing"/>
        <w:rPr>
          <w:b/>
          <w:bCs/>
          <w:rtl/>
          <w:lang w:bidi="ar-EG"/>
        </w:rPr>
      </w:pPr>
    </w:p>
    <w:p w14:paraId="49154267" w14:textId="5D631C68" w:rsidR="00372D4A" w:rsidRDefault="00372D4A" w:rsidP="00B94227">
      <w:pPr>
        <w:pStyle w:val="NoSpacing"/>
        <w:ind w:firstLine="0"/>
        <w:rPr>
          <w:rtl/>
        </w:rPr>
      </w:pP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10" w:name="_Toc213626791"/>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11" w:name="_Toc213626792"/>
      <w:r>
        <w:rPr>
          <w:rFonts w:hint="cs"/>
          <w:rtl/>
        </w:rPr>
        <w:t>ال</w:t>
      </w:r>
      <w:r w:rsidR="00F925D0">
        <w:rPr>
          <w:rFonts w:hint="cs"/>
          <w:rtl/>
        </w:rPr>
        <w:t>مقدمة</w:t>
      </w:r>
      <w:r>
        <w:rPr>
          <w:rFonts w:hint="cs"/>
          <w:rtl/>
        </w:rPr>
        <w:t>:</w:t>
      </w:r>
      <w:bookmarkEnd w:id="11"/>
    </w:p>
    <w:p w14:paraId="59E4D96A" w14:textId="7D8F819C" w:rsidR="006A2745" w:rsidRDefault="00235611" w:rsidP="00235611">
      <w:pPr>
        <w:pStyle w:val="NoSpacing"/>
        <w:bidi/>
        <w:rPr>
          <w:rtl/>
          <w:lang w:bidi="ar-EG"/>
        </w:rPr>
      </w:pPr>
      <w:r w:rsidRPr="00235611">
        <w:rPr>
          <w:rtl/>
          <w:lang w:bidi="ar-EG"/>
        </w:rPr>
        <w:t>في ضوء أهمية التوازن بين الحياة والعمل كأحد المرتكزات الرئيسة لتحقيق الرضا الوظيفي والاستقرار المهني، يأتي هذا الفصل ليعرض الإطار النظري والدراسات السابقة ذات الصلة بموضوع البحث. ويهدف إلى توضيح المفاهيم الأساسية والعلاقات المتبادلة بين المتغيرات موضع الدراسة، واستعراض أبرز الجهود البحثية التي تناولت هذا المجال نظريًا وميدانيًا. كما يسعى الفصل إلى بناء أساس علمي متين يربط بين النظرية والتطبيق، من خلال تحليل الاتجاهات الفكرية التي تناولت التوازن بين متطلبات الحياة الشخصية والمهنية وآثاره المتعددة على أداء الأفراد والمنظمات. ويتضمن الفصل قسمين رئيسين: القسم الأول يوضح الإطار النظري الذي يحدد المفاهيم والمصطلحات والأسس التفسيرية للموضوع، في حين يستعرض القسم الثاني الدراسات العربية والأجنبية السابقة التي تناولت العلاقة بين التوازن بين الحياة والعمل والرضا الوظيفي والمتغيرات ذات الصلة، تمهيدًا لاستخلاص أوجه التشابه والاختلاف بينها والاستفادة منها في بناء الفرضيات والإطار التحليلي للبحث الحالي.</w:t>
      </w:r>
    </w:p>
    <w:p w14:paraId="6F8A6CA3" w14:textId="396E5CA4" w:rsidR="00F925D0" w:rsidRDefault="00372D4A" w:rsidP="008160B2">
      <w:pPr>
        <w:pStyle w:val="Heading2"/>
        <w:rPr>
          <w:rtl/>
        </w:rPr>
      </w:pPr>
      <w:bookmarkStart w:id="12" w:name="_Toc213626793"/>
      <w:r>
        <w:rPr>
          <w:rFonts w:hint="cs"/>
          <w:rtl/>
        </w:rPr>
        <w:t xml:space="preserve">أولا: </w:t>
      </w:r>
      <w:r w:rsidR="00A038A9">
        <w:rPr>
          <w:rFonts w:hint="cs"/>
          <w:rtl/>
        </w:rPr>
        <w:t xml:space="preserve"> </w:t>
      </w:r>
      <w:r w:rsidR="00F925D0">
        <w:rPr>
          <w:rFonts w:hint="cs"/>
          <w:rtl/>
        </w:rPr>
        <w:t>الدراسات السابقة</w:t>
      </w:r>
      <w:bookmarkEnd w:id="12"/>
    </w:p>
    <w:p w14:paraId="0FF27E54" w14:textId="45EC7797" w:rsidR="00CD66FD" w:rsidRDefault="00372D4A" w:rsidP="008160B2">
      <w:pPr>
        <w:pStyle w:val="Heading3"/>
        <w:rPr>
          <w:rtl/>
        </w:rPr>
      </w:pPr>
      <w:bookmarkStart w:id="13" w:name="_Toc213626794"/>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6C940A04" w14:textId="3252FCF5" w:rsidR="00B94227" w:rsidRPr="00B94227" w:rsidRDefault="00B94227" w:rsidP="00B94227">
      <w:pPr>
        <w:pStyle w:val="NoSpacing"/>
        <w:bidi/>
        <w:ind w:firstLine="0"/>
        <w:rPr>
          <w:rFonts w:eastAsia="Calibri"/>
          <w:b/>
          <w:bCs/>
          <w:rtl/>
          <w:lang w:bidi="ar-EG"/>
        </w:rPr>
      </w:pPr>
      <w:r w:rsidRPr="00B94227">
        <w:rPr>
          <w:rFonts w:eastAsia="Calibri" w:hint="cs"/>
          <w:b/>
          <w:bCs/>
          <w:rtl/>
          <w:lang w:bidi="ar-EG"/>
        </w:rPr>
        <w:t>دراسة (محمود، 2021) بعنوان:</w:t>
      </w:r>
      <w:r>
        <w:rPr>
          <w:rFonts w:eastAsia="Calibri" w:hint="cs"/>
          <w:b/>
          <w:bCs/>
          <w:rtl/>
          <w:lang w:bidi="ar-EG"/>
        </w:rPr>
        <w:t xml:space="preserve"> </w:t>
      </w:r>
      <w:r w:rsidRPr="002079FE">
        <w:rPr>
          <w:rFonts w:eastAsia="Calibri"/>
          <w:rtl/>
          <w:lang w:bidi="ar-EG"/>
        </w:rPr>
        <w:t>أثر التوازن بين الحياة والعمل على نية ترك العمل: دراسة حالة على مجموعة المناصير</w:t>
      </w:r>
    </w:p>
    <w:p w14:paraId="06512867" w14:textId="77777777" w:rsidR="00B94227" w:rsidRDefault="00B94227" w:rsidP="00B94227">
      <w:pPr>
        <w:pStyle w:val="NoSpacing"/>
        <w:bidi/>
        <w:rPr>
          <w:rFonts w:eastAsia="Calibri"/>
          <w:rtl/>
          <w:lang w:bidi="ar-EG"/>
        </w:rPr>
      </w:pPr>
      <w:r w:rsidRPr="00584051">
        <w:rPr>
          <w:rFonts w:eastAsia="Calibri"/>
          <w:rtl/>
          <w:lang w:bidi="ar-EG"/>
        </w:rPr>
        <w:t>هدفت الدراسة إلى معرفة أثر التوازن بين العمل والحياة على نية ترك الوظيفة من خلال إزالة توازن الوقت، وتوازن المشاركة، وتوازن الرضا على نية ترك الوظيفة في مجموعة المناصير، من وجهة نظر العاملين في الشركة، حيث تم استخدام المنهج الوصفي التحليلي لمعالجة البيانات وتصنيفها، وكانت أداة الدراسة هي الاستبيان لجمع البيانات من عينة الدراسة ومن ثم تحليلها من خلال برنامج الحزمة الإحصائية (</w:t>
      </w:r>
      <w:r w:rsidRPr="00584051">
        <w:rPr>
          <w:rFonts w:eastAsia="Calibri"/>
          <w:lang w:bidi="ar-EG"/>
        </w:rPr>
        <w:t>SPSS</w:t>
      </w:r>
      <w:r w:rsidRPr="00584051">
        <w:rPr>
          <w:rFonts w:eastAsia="Calibri"/>
          <w:rtl/>
          <w:lang w:bidi="ar-EG"/>
        </w:rPr>
        <w:t xml:space="preserve">). تم تحديد مجتمع الدراسة من قبل مجموعة المناصير ومثلت وحدة المعاينة جميع الإدارة العليا والإدارة الوسطى والإدارة التنفيذية في الشركة، والبالغ عددهم (1601) فردًا. وتم استخدام عينة عشوائية بسيطة لسحب عينة من (300) فردًا. توصلت الدراسة إلى مجموعة من النتائج أهمها وجود تأثير متوسط </w:t>
      </w:r>
      <w:r w:rsidRPr="00584051">
        <w:rPr>
          <w:rFonts w:ascii="Times New Roman" w:eastAsia="Calibri" w:hAnsi="Times New Roman" w:cs="Times New Roman" w:hint="cs"/>
          <w:rtl/>
          <w:lang w:bidi="ar-EG"/>
        </w:rPr>
        <w:t>​​</w:t>
      </w:r>
      <w:r w:rsidRPr="00584051">
        <w:rPr>
          <w:rFonts w:eastAsia="Calibri" w:hint="cs"/>
          <w:rtl/>
          <w:lang w:bidi="ar-EG"/>
        </w:rPr>
        <w:t>ضعيف</w:t>
      </w:r>
      <w:r w:rsidRPr="00584051">
        <w:rPr>
          <w:rFonts w:eastAsia="Calibri"/>
          <w:rtl/>
          <w:lang w:bidi="ar-EG"/>
        </w:rPr>
        <w:t xml:space="preserve"> </w:t>
      </w:r>
      <w:r w:rsidRPr="00584051">
        <w:rPr>
          <w:rFonts w:eastAsia="Calibri" w:hint="cs"/>
          <w:rtl/>
          <w:lang w:bidi="ar-EG"/>
        </w:rPr>
        <w:t>على</w:t>
      </w:r>
      <w:r w:rsidRPr="00584051">
        <w:rPr>
          <w:rFonts w:eastAsia="Calibri"/>
          <w:rtl/>
          <w:lang w:bidi="ar-EG"/>
        </w:rPr>
        <w:t xml:space="preserve"> </w:t>
      </w:r>
      <w:r w:rsidRPr="00584051">
        <w:rPr>
          <w:rFonts w:eastAsia="Calibri" w:hint="cs"/>
          <w:rtl/>
          <w:lang w:bidi="ar-EG"/>
        </w:rPr>
        <w:t>استجابات</w:t>
      </w:r>
      <w:r w:rsidRPr="00584051">
        <w:rPr>
          <w:rFonts w:eastAsia="Calibri"/>
          <w:rtl/>
          <w:lang w:bidi="ar-EG"/>
        </w:rPr>
        <w:t xml:space="preserve"> </w:t>
      </w:r>
      <w:r w:rsidRPr="00584051">
        <w:rPr>
          <w:rFonts w:eastAsia="Calibri" w:hint="cs"/>
          <w:rtl/>
          <w:lang w:bidi="ar-EG"/>
        </w:rPr>
        <w:t>أفراد</w:t>
      </w:r>
      <w:r w:rsidRPr="00584051">
        <w:rPr>
          <w:rFonts w:eastAsia="Calibri"/>
          <w:rtl/>
          <w:lang w:bidi="ar-EG"/>
        </w:rPr>
        <w:t xml:space="preserve"> </w:t>
      </w:r>
      <w:r w:rsidRPr="00584051">
        <w:rPr>
          <w:rFonts w:eastAsia="Calibri" w:hint="cs"/>
          <w:rtl/>
          <w:lang w:bidi="ar-EG"/>
        </w:rPr>
        <w:t>العينة</w:t>
      </w:r>
      <w:r w:rsidRPr="00584051">
        <w:rPr>
          <w:rFonts w:eastAsia="Calibri"/>
          <w:rtl/>
          <w:lang w:bidi="ar-EG"/>
        </w:rPr>
        <w:t xml:space="preserve"> </w:t>
      </w:r>
      <w:r w:rsidRPr="00584051">
        <w:rPr>
          <w:rFonts w:eastAsia="Calibri" w:hint="cs"/>
          <w:rtl/>
          <w:lang w:bidi="ar-EG"/>
        </w:rPr>
        <w:t>لنية</w:t>
      </w:r>
      <w:r w:rsidRPr="00584051">
        <w:rPr>
          <w:rFonts w:eastAsia="Calibri"/>
          <w:rtl/>
          <w:lang w:bidi="ar-EG"/>
        </w:rPr>
        <w:t xml:space="preserve"> </w:t>
      </w:r>
      <w:r w:rsidRPr="00584051">
        <w:rPr>
          <w:rFonts w:eastAsia="Calibri" w:hint="cs"/>
          <w:rtl/>
          <w:lang w:bidi="ar-EG"/>
        </w:rPr>
        <w:t>ترك</w:t>
      </w:r>
      <w:r w:rsidRPr="00584051">
        <w:rPr>
          <w:rFonts w:eastAsia="Calibri"/>
          <w:rtl/>
          <w:lang w:bidi="ar-EG"/>
        </w:rPr>
        <w:t xml:space="preserve"> </w:t>
      </w:r>
      <w:r w:rsidRPr="00584051">
        <w:rPr>
          <w:rFonts w:eastAsia="Calibri" w:hint="cs"/>
          <w:rtl/>
          <w:lang w:bidi="ar-EG"/>
        </w:rPr>
        <w:t>العمل</w:t>
      </w:r>
      <w:r w:rsidRPr="00584051">
        <w:rPr>
          <w:rFonts w:eastAsia="Calibri"/>
          <w:rtl/>
          <w:lang w:bidi="ar-EG"/>
        </w:rPr>
        <w:t xml:space="preserve"> </w:t>
      </w:r>
      <w:r w:rsidRPr="00584051">
        <w:rPr>
          <w:rFonts w:eastAsia="Calibri" w:hint="cs"/>
          <w:rtl/>
          <w:lang w:bidi="ar-EG"/>
        </w:rPr>
        <w:t>بأبعاده</w:t>
      </w:r>
      <w:r w:rsidRPr="00584051">
        <w:rPr>
          <w:rFonts w:eastAsia="Calibri"/>
          <w:rtl/>
          <w:lang w:bidi="ar-EG"/>
        </w:rPr>
        <w:t xml:space="preserve"> (</w:t>
      </w:r>
      <w:r w:rsidRPr="00584051">
        <w:rPr>
          <w:rFonts w:eastAsia="Calibri" w:hint="cs"/>
          <w:rtl/>
          <w:lang w:bidi="ar-EG"/>
        </w:rPr>
        <w:t>قلة</w:t>
      </w:r>
      <w:r w:rsidRPr="00584051">
        <w:rPr>
          <w:rFonts w:eastAsia="Calibri"/>
          <w:rtl/>
          <w:lang w:bidi="ar-EG"/>
        </w:rPr>
        <w:t xml:space="preserve"> </w:t>
      </w:r>
      <w:r w:rsidRPr="00584051">
        <w:rPr>
          <w:rFonts w:eastAsia="Calibri" w:hint="cs"/>
          <w:rtl/>
          <w:lang w:bidi="ar-EG"/>
        </w:rPr>
        <w:t>الانضباط،</w:t>
      </w:r>
      <w:r w:rsidRPr="00584051">
        <w:rPr>
          <w:rFonts w:eastAsia="Calibri"/>
          <w:rtl/>
          <w:lang w:bidi="ar-EG"/>
        </w:rPr>
        <w:t xml:space="preserve"> </w:t>
      </w:r>
      <w:r w:rsidRPr="00584051">
        <w:rPr>
          <w:rFonts w:eastAsia="Calibri" w:hint="cs"/>
          <w:rtl/>
          <w:lang w:bidi="ar-EG"/>
        </w:rPr>
        <w:t>قلة</w:t>
      </w:r>
      <w:r w:rsidRPr="00584051">
        <w:rPr>
          <w:rFonts w:eastAsia="Calibri"/>
          <w:rtl/>
          <w:lang w:bidi="ar-EG"/>
        </w:rPr>
        <w:t xml:space="preserve"> </w:t>
      </w:r>
      <w:r w:rsidRPr="00584051">
        <w:rPr>
          <w:rFonts w:eastAsia="Calibri" w:hint="cs"/>
          <w:rtl/>
          <w:lang w:bidi="ar-EG"/>
        </w:rPr>
        <w:t>المشاركة،</w:t>
      </w:r>
      <w:r w:rsidRPr="00584051">
        <w:rPr>
          <w:rFonts w:eastAsia="Calibri"/>
          <w:rtl/>
          <w:lang w:bidi="ar-EG"/>
        </w:rPr>
        <w:t xml:space="preserve"> </w:t>
      </w:r>
      <w:r w:rsidRPr="00584051">
        <w:rPr>
          <w:rFonts w:eastAsia="Calibri" w:hint="cs"/>
          <w:rtl/>
          <w:lang w:bidi="ar-EG"/>
        </w:rPr>
        <w:t>قلة</w:t>
      </w:r>
      <w:r w:rsidRPr="00584051">
        <w:rPr>
          <w:rFonts w:eastAsia="Calibri"/>
          <w:rtl/>
          <w:lang w:bidi="ar-EG"/>
        </w:rPr>
        <w:t xml:space="preserve"> </w:t>
      </w:r>
      <w:r w:rsidRPr="00584051">
        <w:rPr>
          <w:rFonts w:eastAsia="Calibri" w:hint="cs"/>
          <w:rtl/>
          <w:lang w:bidi="ar-EG"/>
        </w:rPr>
        <w:t>الاهتمام</w:t>
      </w:r>
      <w:r w:rsidRPr="00584051">
        <w:rPr>
          <w:rFonts w:eastAsia="Calibri"/>
          <w:rtl/>
          <w:lang w:bidi="ar-EG"/>
        </w:rPr>
        <w:t xml:space="preserve">) </w:t>
      </w:r>
      <w:r w:rsidRPr="00584051">
        <w:rPr>
          <w:rFonts w:eastAsia="Calibri" w:hint="cs"/>
          <w:rtl/>
          <w:lang w:bidi="ar-EG"/>
        </w:rPr>
        <w:t>وجميعها</w:t>
      </w:r>
      <w:r w:rsidRPr="00584051">
        <w:rPr>
          <w:rFonts w:eastAsia="Calibri"/>
          <w:rtl/>
          <w:lang w:bidi="ar-EG"/>
        </w:rPr>
        <w:t xml:space="preserve"> </w:t>
      </w:r>
      <w:r w:rsidRPr="00584051">
        <w:rPr>
          <w:rFonts w:eastAsia="Calibri" w:hint="cs"/>
          <w:rtl/>
          <w:lang w:bidi="ar-EG"/>
        </w:rPr>
        <w:t>جاءت</w:t>
      </w:r>
      <w:r w:rsidRPr="00584051">
        <w:rPr>
          <w:rFonts w:eastAsia="Calibri"/>
          <w:rtl/>
          <w:lang w:bidi="ar-EG"/>
        </w:rPr>
        <w:t xml:space="preserve"> </w:t>
      </w:r>
      <w:r w:rsidRPr="00584051">
        <w:rPr>
          <w:rFonts w:eastAsia="Calibri" w:hint="cs"/>
          <w:rtl/>
          <w:lang w:bidi="ar-EG"/>
        </w:rPr>
        <w:t>دون</w:t>
      </w:r>
      <w:r w:rsidRPr="00584051">
        <w:rPr>
          <w:rFonts w:eastAsia="Calibri"/>
          <w:rtl/>
          <w:lang w:bidi="ar-EG"/>
        </w:rPr>
        <w:t xml:space="preserve"> </w:t>
      </w:r>
      <w:r w:rsidRPr="00584051">
        <w:rPr>
          <w:rFonts w:eastAsia="Calibri" w:hint="cs"/>
          <w:rtl/>
          <w:lang w:bidi="ar-EG"/>
        </w:rPr>
        <w:t>المستوى</w:t>
      </w:r>
      <w:r w:rsidRPr="00584051">
        <w:rPr>
          <w:rFonts w:eastAsia="Calibri"/>
          <w:rtl/>
          <w:lang w:bidi="ar-EG"/>
        </w:rPr>
        <w:t xml:space="preserve"> </w:t>
      </w:r>
      <w:r w:rsidRPr="00584051">
        <w:rPr>
          <w:rFonts w:eastAsia="Calibri" w:hint="cs"/>
          <w:rtl/>
          <w:lang w:bidi="ar-EG"/>
        </w:rPr>
        <w:t>المرتفع،</w:t>
      </w:r>
      <w:r w:rsidRPr="00584051">
        <w:rPr>
          <w:rFonts w:eastAsia="Calibri"/>
          <w:rtl/>
          <w:lang w:bidi="ar-EG"/>
        </w:rPr>
        <w:t xml:space="preserve"> </w:t>
      </w:r>
      <w:r w:rsidRPr="00584051">
        <w:rPr>
          <w:rFonts w:eastAsia="Calibri" w:hint="cs"/>
          <w:rtl/>
          <w:lang w:bidi="ar-EG"/>
        </w:rPr>
        <w:t>حيث</w:t>
      </w:r>
      <w:r w:rsidRPr="00584051">
        <w:rPr>
          <w:rFonts w:eastAsia="Calibri"/>
          <w:rtl/>
          <w:lang w:bidi="ar-EG"/>
        </w:rPr>
        <w:t xml:space="preserve"> </w:t>
      </w:r>
      <w:r w:rsidRPr="00584051">
        <w:rPr>
          <w:rFonts w:eastAsia="Calibri" w:hint="cs"/>
          <w:rtl/>
          <w:lang w:bidi="ar-EG"/>
        </w:rPr>
        <w:t>جاء</w:t>
      </w:r>
      <w:r w:rsidRPr="00584051">
        <w:rPr>
          <w:rFonts w:eastAsia="Calibri"/>
          <w:rtl/>
          <w:lang w:bidi="ar-EG"/>
        </w:rPr>
        <w:t xml:space="preserve"> </w:t>
      </w:r>
      <w:r w:rsidRPr="00584051">
        <w:rPr>
          <w:rFonts w:eastAsia="Calibri" w:hint="cs"/>
          <w:rtl/>
          <w:lang w:bidi="ar-EG"/>
        </w:rPr>
        <w:t>مجال</w:t>
      </w:r>
      <w:r w:rsidRPr="00584051">
        <w:rPr>
          <w:rFonts w:eastAsia="Calibri"/>
          <w:rtl/>
          <w:lang w:bidi="ar-EG"/>
        </w:rPr>
        <w:t xml:space="preserve"> </w:t>
      </w:r>
      <w:r w:rsidRPr="00584051">
        <w:rPr>
          <w:rFonts w:eastAsia="Calibri" w:hint="cs"/>
          <w:rtl/>
          <w:lang w:bidi="ar-EG"/>
        </w:rPr>
        <w:t>علم</w:t>
      </w:r>
      <w:r w:rsidRPr="00584051">
        <w:rPr>
          <w:rFonts w:eastAsia="Calibri"/>
          <w:rtl/>
          <w:lang w:bidi="ar-EG"/>
        </w:rPr>
        <w:t xml:space="preserve"> </w:t>
      </w:r>
      <w:r w:rsidRPr="00584051">
        <w:rPr>
          <w:rFonts w:eastAsia="Calibri" w:hint="cs"/>
          <w:rtl/>
          <w:lang w:bidi="ar-EG"/>
        </w:rPr>
        <w:t>الانضباط</w:t>
      </w:r>
      <w:r w:rsidRPr="00584051">
        <w:rPr>
          <w:rFonts w:eastAsia="Calibri"/>
          <w:rtl/>
          <w:lang w:bidi="ar-EG"/>
        </w:rPr>
        <w:t xml:space="preserve"> </w:t>
      </w:r>
      <w:r w:rsidRPr="00584051">
        <w:rPr>
          <w:rFonts w:eastAsia="Calibri" w:hint="cs"/>
          <w:rtl/>
          <w:lang w:bidi="ar-EG"/>
        </w:rPr>
        <w:t>في</w:t>
      </w:r>
      <w:r w:rsidRPr="00584051">
        <w:rPr>
          <w:rFonts w:eastAsia="Calibri"/>
          <w:rtl/>
          <w:lang w:bidi="ar-EG"/>
        </w:rPr>
        <w:t xml:space="preserve"> </w:t>
      </w:r>
      <w:r w:rsidRPr="00584051">
        <w:rPr>
          <w:rFonts w:eastAsia="Calibri" w:hint="cs"/>
          <w:rtl/>
          <w:lang w:bidi="ar-EG"/>
        </w:rPr>
        <w:t>المستوى</w:t>
      </w:r>
      <w:r w:rsidRPr="00584051">
        <w:rPr>
          <w:rFonts w:eastAsia="Calibri"/>
          <w:rtl/>
          <w:lang w:bidi="ar-EG"/>
        </w:rPr>
        <w:t xml:space="preserve"> </w:t>
      </w:r>
      <w:r w:rsidRPr="00584051">
        <w:rPr>
          <w:rFonts w:eastAsia="Calibri" w:hint="cs"/>
          <w:rtl/>
          <w:lang w:bidi="ar-EG"/>
        </w:rPr>
        <w:t>المتوسط،</w:t>
      </w:r>
      <w:r w:rsidRPr="00584051">
        <w:rPr>
          <w:rFonts w:eastAsia="Calibri"/>
          <w:rtl/>
          <w:lang w:bidi="ar-EG"/>
        </w:rPr>
        <w:t xml:space="preserve"> </w:t>
      </w:r>
      <w:r w:rsidRPr="00584051">
        <w:rPr>
          <w:rFonts w:eastAsia="Calibri" w:hint="cs"/>
          <w:rtl/>
          <w:lang w:bidi="ar-EG"/>
        </w:rPr>
        <w:t>بينما</w:t>
      </w:r>
      <w:r w:rsidRPr="00584051">
        <w:rPr>
          <w:rFonts w:eastAsia="Calibri"/>
          <w:rtl/>
          <w:lang w:bidi="ar-EG"/>
        </w:rPr>
        <w:t xml:space="preserve"> </w:t>
      </w:r>
      <w:r w:rsidRPr="00584051">
        <w:rPr>
          <w:rFonts w:eastAsia="Calibri" w:hint="cs"/>
          <w:rtl/>
          <w:lang w:bidi="ar-EG"/>
        </w:rPr>
        <w:t>جاء</w:t>
      </w:r>
      <w:r w:rsidRPr="00584051">
        <w:rPr>
          <w:rFonts w:eastAsia="Calibri"/>
          <w:rtl/>
          <w:lang w:bidi="ar-EG"/>
        </w:rPr>
        <w:t xml:space="preserve"> </w:t>
      </w:r>
      <w:r w:rsidRPr="00584051">
        <w:rPr>
          <w:rFonts w:eastAsia="Calibri" w:hint="cs"/>
          <w:rtl/>
          <w:lang w:bidi="ar-EG"/>
        </w:rPr>
        <w:t>مجال</w:t>
      </w:r>
      <w:r w:rsidRPr="00584051">
        <w:rPr>
          <w:rFonts w:eastAsia="Calibri"/>
          <w:rtl/>
          <w:lang w:bidi="ar-EG"/>
        </w:rPr>
        <w:t xml:space="preserve"> </w:t>
      </w:r>
      <w:r w:rsidRPr="00584051">
        <w:rPr>
          <w:rFonts w:eastAsia="Calibri" w:hint="cs"/>
          <w:rtl/>
          <w:lang w:bidi="ar-EG"/>
        </w:rPr>
        <w:t>قلة</w:t>
      </w:r>
      <w:r w:rsidRPr="00584051">
        <w:rPr>
          <w:rFonts w:eastAsia="Calibri"/>
          <w:rtl/>
          <w:lang w:bidi="ar-EG"/>
        </w:rPr>
        <w:t xml:space="preserve"> </w:t>
      </w:r>
      <w:r w:rsidRPr="00584051">
        <w:rPr>
          <w:rFonts w:eastAsia="Calibri" w:hint="cs"/>
          <w:rtl/>
          <w:lang w:bidi="ar-EG"/>
        </w:rPr>
        <w:t>الاهتمام</w:t>
      </w:r>
      <w:r w:rsidRPr="00584051">
        <w:rPr>
          <w:rFonts w:eastAsia="Calibri"/>
          <w:rtl/>
          <w:lang w:bidi="ar-EG"/>
        </w:rPr>
        <w:t xml:space="preserve"> </w:t>
      </w:r>
      <w:r w:rsidRPr="00584051">
        <w:rPr>
          <w:rFonts w:eastAsia="Calibri" w:hint="cs"/>
          <w:rtl/>
          <w:lang w:bidi="ar-EG"/>
        </w:rPr>
        <w:t>والمشاركة</w:t>
      </w:r>
      <w:r w:rsidRPr="00584051">
        <w:rPr>
          <w:rFonts w:eastAsia="Calibri"/>
          <w:rtl/>
          <w:lang w:bidi="ar-EG"/>
        </w:rPr>
        <w:t xml:space="preserve"> </w:t>
      </w:r>
      <w:r w:rsidRPr="00584051">
        <w:rPr>
          <w:rFonts w:eastAsia="Calibri" w:hint="cs"/>
          <w:rtl/>
          <w:lang w:bidi="ar-EG"/>
        </w:rPr>
        <w:t>الفعالة</w:t>
      </w:r>
      <w:r w:rsidRPr="00584051">
        <w:rPr>
          <w:rFonts w:eastAsia="Calibri"/>
          <w:rtl/>
          <w:lang w:bidi="ar-EG"/>
        </w:rPr>
        <w:t xml:space="preserve"> </w:t>
      </w:r>
      <w:r w:rsidRPr="00584051">
        <w:rPr>
          <w:rFonts w:eastAsia="Calibri" w:hint="cs"/>
          <w:rtl/>
          <w:lang w:bidi="ar-EG"/>
        </w:rPr>
        <w:t>في</w:t>
      </w:r>
      <w:r w:rsidRPr="00584051">
        <w:rPr>
          <w:rFonts w:eastAsia="Calibri"/>
          <w:rtl/>
          <w:lang w:bidi="ar-EG"/>
        </w:rPr>
        <w:t xml:space="preserve"> </w:t>
      </w:r>
      <w:r w:rsidRPr="00584051">
        <w:rPr>
          <w:rFonts w:eastAsia="Calibri" w:hint="cs"/>
          <w:rtl/>
          <w:lang w:bidi="ar-EG"/>
        </w:rPr>
        <w:t>المست</w:t>
      </w:r>
      <w:r w:rsidRPr="00584051">
        <w:rPr>
          <w:rFonts w:eastAsia="Calibri"/>
          <w:rtl/>
          <w:lang w:bidi="ar-EG"/>
        </w:rPr>
        <w:t>وى الضعيف. يوجد تأثير ذو دلالة إحصائية للتوازن بين الحياة والعمل بأبعاده (موازنة الوقت، موازنة المشاركة، موازنة الرضا) على نية ترك العمل بأبعاده (قلة الانضباط، قلة المشاركة الفعالة، قلة الاهتمام) لدى جماعة المناصير. وتوصي الدراسة بضرورة تعزيز دور المشاركة ورفع مستوى الرضا لدى الموظفين مما يعزز الانضباط والالتزام بمواعيد العمل مما ينعكس على مستوى الأداء. وضرورة فتح قنوات الحوار بين المديرين والمرؤوسين وتفعيل دور المشاركة في اتخاذ القرارات مما ينعكس إيجابًا على مستوى أداء الموظفين وتعزيز دور المشاركة الفعالة. - زيادة الاهتمام بالموظفين من خلال وضع أهداف ذكية وخطط مفصلة ومتابعة تنفيذها بشكل سليم لإجراء التعديلات اللازمة لزيادة ولاء وانتماء الموظفين للشركة.</w:t>
      </w:r>
    </w:p>
    <w:p w14:paraId="7287AF16" w14:textId="03DA4E93" w:rsidR="00B94227" w:rsidRPr="00B94227" w:rsidRDefault="00B94227" w:rsidP="00B94227">
      <w:pPr>
        <w:pStyle w:val="NoSpacing"/>
        <w:bidi/>
        <w:ind w:firstLine="0"/>
        <w:rPr>
          <w:rFonts w:eastAsia="Calibri"/>
          <w:b/>
          <w:bCs/>
          <w:lang w:bidi="ar-EG"/>
        </w:rPr>
      </w:pPr>
      <w:r w:rsidRPr="00B94227">
        <w:rPr>
          <w:rFonts w:eastAsia="Calibri" w:hint="cs"/>
          <w:b/>
          <w:bCs/>
          <w:rtl/>
          <w:lang w:bidi="ar-EG"/>
        </w:rPr>
        <w:t>دراسة (أبو نجم، 2021) بعنوان:</w:t>
      </w:r>
    </w:p>
    <w:p w14:paraId="5A54DD9F" w14:textId="77777777" w:rsidR="00B94227" w:rsidRPr="002079FE" w:rsidRDefault="00B94227" w:rsidP="00B94227">
      <w:pPr>
        <w:pStyle w:val="NoSpacing"/>
        <w:bidi/>
        <w:ind w:firstLine="0"/>
        <w:rPr>
          <w:rFonts w:eastAsia="Calibri"/>
          <w:rtl/>
          <w:lang w:bidi="ar-EG"/>
        </w:rPr>
      </w:pPr>
      <w:r w:rsidRPr="002079FE">
        <w:rPr>
          <w:rFonts w:eastAsia="Calibri"/>
          <w:rtl/>
          <w:lang w:bidi="ar-EG"/>
        </w:rPr>
        <w:t>أثر التوازن بين الحياة والعمل في ارتباط العاملين: ضغط العمل كمتغير وسيط في شركة أمنية للهواتف المتنقلة في الأردن</w:t>
      </w:r>
    </w:p>
    <w:p w14:paraId="04C6F5B5" w14:textId="77777777" w:rsidR="00B94227" w:rsidRDefault="00B94227" w:rsidP="00B94227">
      <w:pPr>
        <w:pStyle w:val="NoSpacing"/>
        <w:bidi/>
        <w:rPr>
          <w:rFonts w:eastAsia="Calibri"/>
          <w:rtl/>
          <w:lang w:bidi="ar-EG"/>
        </w:rPr>
      </w:pPr>
      <w:r w:rsidRPr="00584051">
        <w:rPr>
          <w:rFonts w:eastAsia="Calibri"/>
          <w:rtl/>
          <w:lang w:bidi="ar-EG"/>
        </w:rPr>
        <w:t>هدفت هذه الدراسة إلى تحديد أثر التوازن بين العمل والحياة على مشاركة الموظفين: ضغوط العمل كمتغير وسيط في شركة أمنية للهواتف النقالة. اعتمد الباحث على المنهج التحليلي الكمي، وذلك بجمع البيانات باستخدام استبانة أُعدّت لهذا الغرض، ووُزّعت على عينة عشوائية طبقية قوامها 180 موظفًا. تم استرداد 174 استبانة، جميعها صالحة للتحليل، باستخدام أداة جمع البيانات (الاستبانة) المُطوّرة خصيصًا للدراسة الحالية بناءً على دراسات سابقة (جوجل درايف) عبر موقع الاستبيان الإلكتروني. وُزّع الاستبانة إلكترونيًا في شركة أمنية للهواتف النقالة، ومن ثمّ حُللت البيانات إحصائيًا باستخدام برنامج الحزمة الإحصائية للعلوم الاجتماعية (</w:t>
      </w:r>
      <w:r w:rsidRPr="00584051">
        <w:rPr>
          <w:rFonts w:eastAsia="Calibri"/>
          <w:lang w:bidi="ar-EG"/>
        </w:rPr>
        <w:t>SPSS</w:t>
      </w:r>
      <w:r w:rsidRPr="00584051">
        <w:rPr>
          <w:rFonts w:eastAsia="Calibri"/>
          <w:rtl/>
          <w:lang w:bidi="ar-EG"/>
        </w:rPr>
        <w:t xml:space="preserve">) بما يتوافق مع أسئلة الدراسة وفرضياتها لاستخراج النتائج، بالإضافة إلى برنامج </w:t>
      </w:r>
      <w:r w:rsidRPr="00584051">
        <w:rPr>
          <w:rFonts w:eastAsia="Calibri"/>
          <w:lang w:bidi="ar-EG"/>
        </w:rPr>
        <w:t>AMOS</w:t>
      </w:r>
      <w:r w:rsidRPr="00584051">
        <w:rPr>
          <w:rFonts w:eastAsia="Calibri"/>
          <w:rtl/>
          <w:lang w:bidi="ar-EG"/>
        </w:rPr>
        <w:t>، وتفسيرها. كانت أبرز النتائج: يوجد تأثير ذو دلالة إحصائية عند مستوى (0.05) لتأثير التوازن بين العمل والحياة بأبعاده المتمثلة في الصراعات الأسرية والعملية والأجور والمرونة في العمل على مشاركة الموظفين بأبعادها مجتمعة (المشاركة في العمل ورضا الموظفين والحماس للعمل) في قطاع الشركة. شركة أمنية موبايل في الأردن، يوجد تأثير ذو دلالة إحصائية عند مستوى (0.05) لتأثير التوازن بين العمل والحياة بأبعاده المتمثلة في الصراعات بين العمل والأسرة والأجور والمرونة في العمل على ضغوط العمل في شركة أمنية موبايل في الأردن. يوجد تأثير ذو دلالة إحصائية عند مستوى (0.05) للتأثير الوسيط لضغوط العمل على مشاركة الموظفين وانخراطهم في العمل ورضا الموظفين وحماسهم في شركة أمنية موبايل، ولكن لا يوجد تأثير وسيط أو دلالة إحصائية لضغوط العمل على التوازن بين العمل والحياة والصراعات بين العمل والأسرة والأجور. مرونة العمل على تفاعل الموظفين، وانخراطهم في العمل، ورضاهم، وحماسهم عند مستوى دلالة (0.05 أ) في شركة أمنية موبايل في الأردن. وكانت أبرز التوصيات: تحسين أجور الموظفين لتتناسب مع طبيعة العمل وتكاليف المعيشة، وتحسين الإجراءات الإدارية لزيادة تفاعلهم، وتحسين أدائهم من خلال توفير إرشادات لتحقيق التوازن بين العمل والحياة.</w:t>
      </w:r>
    </w:p>
    <w:p w14:paraId="5FCCC52B" w14:textId="77777777" w:rsidR="00B94227" w:rsidRPr="00B94227" w:rsidRDefault="00B94227" w:rsidP="00B94227">
      <w:pPr>
        <w:pStyle w:val="NoSpacing"/>
        <w:bidi/>
        <w:ind w:firstLine="0"/>
        <w:rPr>
          <w:rFonts w:eastAsia="Calibri"/>
          <w:b/>
          <w:bCs/>
          <w:lang w:bidi="ar-EG"/>
        </w:rPr>
      </w:pPr>
      <w:r w:rsidRPr="00B94227">
        <w:rPr>
          <w:rFonts w:eastAsia="Calibri" w:hint="cs"/>
          <w:b/>
          <w:bCs/>
          <w:rtl/>
          <w:lang w:bidi="ar-EG"/>
        </w:rPr>
        <w:t>دراسة (منصور، 2024) بعنوان:</w:t>
      </w:r>
    </w:p>
    <w:p w14:paraId="4DB4E719" w14:textId="77777777" w:rsidR="00B94227" w:rsidRPr="002079FE" w:rsidRDefault="00B94227" w:rsidP="00B94227">
      <w:pPr>
        <w:pStyle w:val="NoSpacing"/>
        <w:bidi/>
        <w:ind w:firstLine="0"/>
        <w:rPr>
          <w:rFonts w:eastAsia="Calibri"/>
          <w:rtl/>
          <w:lang w:bidi="ar-EG"/>
        </w:rPr>
      </w:pPr>
      <w:r w:rsidRPr="002079FE">
        <w:rPr>
          <w:rFonts w:eastAsia="Calibri"/>
          <w:rtl/>
          <w:lang w:bidi="ar-EG"/>
        </w:rPr>
        <w:t>أثر تصميم الوظيفة على التوازن بين العمل والحياة في البنك العربي الإسلامي الدولي</w:t>
      </w:r>
    </w:p>
    <w:p w14:paraId="30129A2D" w14:textId="77777777" w:rsidR="00B94227" w:rsidRDefault="00B94227" w:rsidP="00B94227">
      <w:pPr>
        <w:pStyle w:val="NoSpacing"/>
        <w:bidi/>
        <w:rPr>
          <w:rFonts w:eastAsia="Calibri"/>
          <w:rtl/>
          <w:lang w:bidi="ar-EG"/>
        </w:rPr>
      </w:pPr>
      <w:r w:rsidRPr="00584051">
        <w:rPr>
          <w:rFonts w:eastAsia="Calibri"/>
          <w:rtl/>
          <w:lang w:bidi="ar-EG"/>
        </w:rPr>
        <w:t xml:space="preserve">هدفت هذه الدراسة إلى التعرف على أثر تصميم الوظيفة على التوازن بين العمل والحياة في البنك العربي الإسلامي الدولي. افترضت الدراسة وجود أثر إيجابي لتصميم الوظيفة بأبعاده: الاستقلال الوظيفي، والهوية الوظيفية، والتغذية الراجعة، وتنوع المهارات، وأهمية الوظيفة على التوازن بين العمل والحياة، وتوازن الوقت، وتوازن الرضا الوظيفي، وتوازن الانخراط الوظيفي. وقد استخدم المنهج الوصفي التحليلي لتحقيق أهداف الدراسة. وشمل مجتمع الدراسة جميع الموظفين بمختلف مستوياتهم الوظيفية. وقد تم اختيار الكادر الإداري في البنك العربي الإسلامي الدولي والبالغ عددهم (1072) موظفًا، كعينة عشوائية بسيطة مكونة من (231) موظفًا. وتوصلت الدراسة إلى مجموعة من النتائج، أهمها وجود أثر ذي دلالة إحصائية عند مستوى دلالة (2005) لتصميم الوظيفة بأبعاده: الاستقلال الوظيفي، والهوية الوظيفية، والتغذية الراجعة، وتنوع المهارات، وأهمية الوظيفة على التوازن بين الحياة والعمل في البنك العربي الإسلامي الدولي. وجاء مستوى تطبيق تصميم الوظيفة بأبعاده ضمن المستوى المتوسط، وجاء مستوى التوازن بين الحياة والعمل بأبعاده ضمن المستوى المتوسط </w:t>
      </w:r>
      <w:r w:rsidRPr="00584051">
        <w:rPr>
          <w:rFonts w:ascii="Times New Roman" w:eastAsia="Calibri" w:hAnsi="Times New Roman" w:cs="Times New Roman" w:hint="cs"/>
          <w:rtl/>
          <w:lang w:bidi="ar-EG"/>
        </w:rPr>
        <w:t>​​</w:t>
      </w:r>
      <w:r w:rsidRPr="00584051">
        <w:rPr>
          <w:rFonts w:eastAsia="Calibri" w:hint="cs"/>
          <w:rtl/>
          <w:lang w:bidi="ar-EG"/>
        </w:rPr>
        <w:t>في</w:t>
      </w:r>
      <w:r w:rsidRPr="00584051">
        <w:rPr>
          <w:rFonts w:eastAsia="Calibri"/>
          <w:rtl/>
          <w:lang w:bidi="ar-EG"/>
        </w:rPr>
        <w:t xml:space="preserve"> </w:t>
      </w:r>
      <w:r w:rsidRPr="00584051">
        <w:rPr>
          <w:rFonts w:eastAsia="Calibri" w:hint="cs"/>
          <w:rtl/>
          <w:lang w:bidi="ar-EG"/>
        </w:rPr>
        <w:t>البنك</w:t>
      </w:r>
      <w:r w:rsidRPr="00584051">
        <w:rPr>
          <w:rFonts w:eastAsia="Calibri"/>
          <w:rtl/>
          <w:lang w:bidi="ar-EG"/>
        </w:rPr>
        <w:t xml:space="preserve"> </w:t>
      </w:r>
      <w:r w:rsidRPr="00584051">
        <w:rPr>
          <w:rFonts w:eastAsia="Calibri" w:hint="cs"/>
          <w:rtl/>
          <w:lang w:bidi="ar-EG"/>
        </w:rPr>
        <w:t>العربي</w:t>
      </w:r>
      <w:r w:rsidRPr="00584051">
        <w:rPr>
          <w:rFonts w:eastAsia="Calibri"/>
          <w:rtl/>
          <w:lang w:bidi="ar-EG"/>
        </w:rPr>
        <w:t xml:space="preserve"> </w:t>
      </w:r>
      <w:r w:rsidRPr="00584051">
        <w:rPr>
          <w:rFonts w:eastAsia="Calibri" w:hint="cs"/>
          <w:rtl/>
          <w:lang w:bidi="ar-EG"/>
        </w:rPr>
        <w:t>الإسلامي</w:t>
      </w:r>
      <w:r w:rsidRPr="00584051">
        <w:rPr>
          <w:rFonts w:eastAsia="Calibri"/>
          <w:rtl/>
          <w:lang w:bidi="ar-EG"/>
        </w:rPr>
        <w:t xml:space="preserve"> </w:t>
      </w:r>
      <w:r w:rsidRPr="00584051">
        <w:rPr>
          <w:rFonts w:eastAsia="Calibri" w:hint="cs"/>
          <w:rtl/>
          <w:lang w:bidi="ar-EG"/>
        </w:rPr>
        <w:t>الدولي</w:t>
      </w:r>
      <w:r w:rsidRPr="00584051">
        <w:rPr>
          <w:rFonts w:eastAsia="Calibri"/>
          <w:rtl/>
          <w:lang w:bidi="ar-EG"/>
        </w:rPr>
        <w:t xml:space="preserve">. </w:t>
      </w:r>
      <w:r w:rsidRPr="00584051">
        <w:rPr>
          <w:rFonts w:eastAsia="Calibri" w:hint="cs"/>
          <w:rtl/>
          <w:lang w:bidi="ar-EG"/>
        </w:rPr>
        <w:t>أظه</w:t>
      </w:r>
      <w:r w:rsidRPr="00584051">
        <w:rPr>
          <w:rFonts w:eastAsia="Calibri"/>
          <w:rtl/>
          <w:lang w:bidi="ar-EG"/>
        </w:rPr>
        <w:t>رت النتائج وجود أثر إيجابي ذي دلالة إحصائية لتصميم الوظيفة على التوازن بين الحياة والعمل. وأوصت الدراسة بضرورة اهتمام متخذي القرار في البنك العربي الإسلامي الدولي بتحسين تصميم أبعاد الوظيفة لدورها في تحقيق التوازن بين الحياة والعمل.</w:t>
      </w:r>
    </w:p>
    <w:p w14:paraId="54B17FFF" w14:textId="77777777" w:rsidR="00B94227" w:rsidRPr="00B94227" w:rsidRDefault="00B94227" w:rsidP="00B94227">
      <w:pPr>
        <w:pStyle w:val="NoSpacing"/>
        <w:bidi/>
        <w:ind w:firstLine="0"/>
        <w:rPr>
          <w:rFonts w:eastAsia="Calibri"/>
          <w:b/>
          <w:bCs/>
          <w:lang w:bidi="ar-EG"/>
        </w:rPr>
      </w:pPr>
      <w:r w:rsidRPr="00B94227">
        <w:rPr>
          <w:rFonts w:eastAsia="Calibri" w:hint="cs"/>
          <w:b/>
          <w:bCs/>
          <w:rtl/>
          <w:lang w:bidi="ar-EG"/>
        </w:rPr>
        <w:t>دراسة (العرمان، 2021) بعنوان:</w:t>
      </w:r>
    </w:p>
    <w:p w14:paraId="388836B3" w14:textId="77777777" w:rsidR="00B94227" w:rsidRPr="002079FE" w:rsidRDefault="00B94227" w:rsidP="00B94227">
      <w:pPr>
        <w:pStyle w:val="NoSpacing"/>
        <w:bidi/>
        <w:ind w:firstLine="0"/>
        <w:rPr>
          <w:rFonts w:eastAsia="Calibri"/>
          <w:rtl/>
          <w:lang w:bidi="ar-EG"/>
        </w:rPr>
      </w:pPr>
      <w:r w:rsidRPr="002079FE">
        <w:rPr>
          <w:rFonts w:eastAsia="Calibri"/>
          <w:rtl/>
          <w:lang w:bidi="ar-EG"/>
        </w:rPr>
        <w:t>أثر التوازن بين العمل والحياة على النجاح الوظيفي في مؤسسة المواصفات والمقاييس الأردنية</w:t>
      </w:r>
    </w:p>
    <w:p w14:paraId="5CA73B6E" w14:textId="77777777" w:rsidR="00B94227" w:rsidRDefault="00B94227" w:rsidP="00B94227">
      <w:pPr>
        <w:pStyle w:val="NoSpacing"/>
        <w:bidi/>
        <w:rPr>
          <w:rFonts w:eastAsia="Calibri"/>
          <w:rtl/>
          <w:lang w:bidi="ar-EG"/>
        </w:rPr>
      </w:pPr>
      <w:r w:rsidRPr="00584051">
        <w:rPr>
          <w:rFonts w:eastAsia="Calibri"/>
          <w:rtl/>
          <w:lang w:bidi="ar-EG"/>
        </w:rPr>
        <w:t>هدفت الدراسة إلى تحليل أثر التوازن بين العمل والحياة على النجاح المهني في مؤسسة المواصفات والمقاييس الأردنية. واعتمدت الدراسة على المنهج الكمي (الوصفي التحليلي). ولتحقيق هدف الدراسة، طور الباحث استبانة لجمع البيانات وتحليلها باستخدام برنامج الحزمة الإحصائية للعلوم الاجتماعية (</w:t>
      </w:r>
      <w:r w:rsidRPr="00584051">
        <w:rPr>
          <w:rFonts w:eastAsia="Calibri"/>
          <w:lang w:bidi="ar-EG"/>
        </w:rPr>
        <w:t>SPSS</w:t>
      </w:r>
      <w:r w:rsidRPr="00584051">
        <w:rPr>
          <w:rFonts w:eastAsia="Calibri"/>
          <w:rtl/>
          <w:lang w:bidi="ar-EG"/>
        </w:rPr>
        <w:t>). ولاختبار فرضيات الدراسة، استخدمت الدراسة أسلوب المسح الشامل في توزيع الاستبانات على مجتمع الدراسة، والذي شمل (499) عاملاً في مؤسسة المواصفات والمقاييس الأردنية. وبلغ عدد المستجيبين (223) بنسبة استجابة بلغت 45%. وأظهرت نتائج الدراسة وجود أثر ذي دلالة إحصائية للتوازن بين العمل والحياة بأبعاده (التوازن الزمني، والتوازن الاستيعابي، والتوازن الرضا) على النجاح المهني وأبعاده (النجاح المهني الموضوعي والنجاح المهني الذاتي) في مؤسسة المواصفات والمقاييس الأردنية، حيث يفسر متغير التوازن بين العمل والحياة التباين في متغير النجاح المهني بنسبة (45.3%). وبناء على هذه النتائج تم تقديم مجموعة من التوصيات لصناع القرار في مؤسسة المواصفات والمقاييس الأردنية أهمها أهمية تصميم وتنفيذ برامج واستراتيجيات تدعم تحقيق التوازن بين العمل والحياة لدى الموظفين وتنعكس على أدائهم ونجاحهم الوظيفي، ونشر الوعي لدى الموظفين بأهمية تحقيق التوازن والانسجام بين العمل والحياة الخاصة، بالإضافة إلى دورات إرشادية لتعريفهم بطبيعة النجاح الوظيفي وكيفية التخطيط له.</w:t>
      </w:r>
    </w:p>
    <w:p w14:paraId="169FD2F7" w14:textId="77777777" w:rsidR="00B94227" w:rsidRPr="00B94227" w:rsidRDefault="00B94227" w:rsidP="00B94227">
      <w:pPr>
        <w:pStyle w:val="NoSpacing"/>
        <w:bidi/>
        <w:ind w:firstLine="0"/>
        <w:rPr>
          <w:rFonts w:eastAsia="Calibri"/>
          <w:b/>
          <w:bCs/>
          <w:lang w:bidi="ar-EG"/>
        </w:rPr>
      </w:pPr>
      <w:r w:rsidRPr="00B94227">
        <w:rPr>
          <w:rFonts w:eastAsia="Calibri" w:hint="cs"/>
          <w:b/>
          <w:bCs/>
          <w:rtl/>
          <w:lang w:bidi="ar-EG"/>
        </w:rPr>
        <w:t>دراسة (السليمان، 2021) بعنوان:</w:t>
      </w:r>
    </w:p>
    <w:p w14:paraId="0C6D05B5" w14:textId="77777777" w:rsidR="00B94227" w:rsidRPr="00584051" w:rsidRDefault="00B94227" w:rsidP="00B94227">
      <w:pPr>
        <w:pStyle w:val="NoSpacing"/>
        <w:bidi/>
        <w:ind w:firstLine="0"/>
        <w:rPr>
          <w:rFonts w:eastAsia="Calibri"/>
          <w:rtl/>
          <w:lang w:bidi="ar-EG"/>
        </w:rPr>
      </w:pPr>
      <w:r w:rsidRPr="00584051">
        <w:rPr>
          <w:rFonts w:eastAsia="Calibri"/>
          <w:rtl/>
          <w:lang w:bidi="ar-EG"/>
        </w:rPr>
        <w:t>أثر القيادة التحويلية في الرضا الوظيفي: الدور الوسيط لتشاركية المعرفة في شركات الأدوية الأردنية</w:t>
      </w:r>
    </w:p>
    <w:p w14:paraId="1C6A33B3" w14:textId="408FF55A" w:rsidR="006A2745" w:rsidRPr="009D28A7" w:rsidRDefault="00B94227" w:rsidP="009D28A7">
      <w:pPr>
        <w:pStyle w:val="NoSpacing"/>
        <w:bidi/>
        <w:rPr>
          <w:rFonts w:eastAsia="Calibri"/>
          <w:rtl/>
          <w:lang w:bidi="ar-EG"/>
        </w:rPr>
      </w:pPr>
      <w:r w:rsidRPr="00584051">
        <w:rPr>
          <w:rFonts w:eastAsia="Calibri"/>
          <w:rtl/>
          <w:lang w:bidi="ar-EG"/>
        </w:rPr>
        <w:t>هدفت هذه الدراسة إلى التعرف على أثر القيادة التحويلية بأبعادها (التأثير المثالي، والدافعية الملهمة، والتحفيز الفكري، والاعتبارات الفردية) على الرضا الوظيفي بأبعاده (العدالة في الأجر، والعدالة في الترقية، وبيئة العمل الداخلية) مع وجود التشارك في المعرفة كمتغير وسيط في شركات الأدوية الأردنية. ولتحقيق أهداف الدراسة، تم اعتماد المنهج الوصفي التحليلي، حيث طور الباحث استبانة مكونة من (55) فقرة. تم توزيع (300) استبانة على عينة عشوائية طبقية متساوية تمثل العاملين في المناصب القيادية والإشرافية في شركات تصنيع الأدوية الأردنية والبالغ عددها (15) شركة، ضمن المسميات الوظيفية التالية (مدير، مساعد/نائب مدير، مدير قسم، رئيس قسم). بلغ عدد الاستبانات المستردة الصالحة للتحليل (282) استبانة، تمثل (94%) من عينة الدراسة. توصلت الدراسة الحالية إلى عدد من النتائج، أهمها: وجود أثر ذي دلالة إحصائية عند مستوى الدلالة (</w:t>
      </w:r>
      <w:r w:rsidRPr="00584051">
        <w:rPr>
          <w:rFonts w:ascii="Cambria" w:eastAsia="Calibri" w:hAnsi="Cambria" w:cs="Cambria"/>
          <w:lang w:bidi="ar-EG"/>
        </w:rPr>
        <w:t>α</w:t>
      </w:r>
      <w:r w:rsidRPr="00584051">
        <w:rPr>
          <w:rFonts w:eastAsia="Calibri"/>
          <w:lang w:bidi="ar-EG"/>
        </w:rPr>
        <w:t xml:space="preserve"> </w:t>
      </w:r>
      <w:r w:rsidRPr="00584051">
        <w:rPr>
          <w:rFonts w:ascii="Cambria Math" w:eastAsia="Calibri" w:hAnsi="Cambria Math" w:cs="Cambria Math"/>
          <w:lang w:bidi="ar-EG"/>
        </w:rPr>
        <w:t>≤</w:t>
      </w:r>
      <w:r w:rsidRPr="00584051">
        <w:rPr>
          <w:rFonts w:eastAsia="Calibri"/>
          <w:lang w:bidi="ar-EG"/>
        </w:rPr>
        <w:t xml:space="preserve"> 0.05</w:t>
      </w:r>
      <w:r w:rsidRPr="00584051">
        <w:rPr>
          <w:rFonts w:eastAsia="Calibri"/>
          <w:rtl/>
          <w:lang w:bidi="ar-EG"/>
        </w:rPr>
        <w:t xml:space="preserve">) للقيادة التحويلية بأبعادها المركبة على الرضا الوظيفي ككل، وعلى أبعاده الفردية (العدالة في الأجر، والعدالة في الترقية، وبيئة العمل الداخلية) في شركات الأدوية الأردنية. كما أظهرت النتائج أن وجود المتغير الوسيط (مشاركة المعرفة) ساهم في زيادة تأثير المتغير المستقل (القيادة التحويلية) على المتغير التابع (الرضا الوظيفي) ككل بنسبة (13.5%) في شركات الأدوية الأردنية. كما أظهرت النتائج أن القيادة التحويلية، والرضا الوظيفي، ومشاركة المعرفة كان لكل منها مستوى أهمية متوسط </w:t>
      </w:r>
      <w:r w:rsidRPr="00584051">
        <w:rPr>
          <w:rFonts w:ascii="Times New Roman" w:eastAsia="Calibri" w:hAnsi="Times New Roman" w:cs="Times New Roman" w:hint="cs"/>
          <w:rtl/>
          <w:lang w:bidi="ar-EG"/>
        </w:rPr>
        <w:t>​​</w:t>
      </w:r>
      <w:r w:rsidRPr="00584051">
        <w:rPr>
          <w:rFonts w:eastAsia="Calibri" w:hint="cs"/>
          <w:rtl/>
          <w:lang w:bidi="ar-EG"/>
        </w:rPr>
        <w:t>في</w:t>
      </w:r>
      <w:r w:rsidRPr="00584051">
        <w:rPr>
          <w:rFonts w:eastAsia="Calibri"/>
          <w:rtl/>
          <w:lang w:bidi="ar-EG"/>
        </w:rPr>
        <w:t xml:space="preserve"> </w:t>
      </w:r>
      <w:r w:rsidRPr="00584051">
        <w:rPr>
          <w:rFonts w:eastAsia="Calibri" w:hint="cs"/>
          <w:rtl/>
          <w:lang w:bidi="ar-EG"/>
        </w:rPr>
        <w:t>شركات</w:t>
      </w:r>
      <w:r w:rsidRPr="00584051">
        <w:rPr>
          <w:rFonts w:eastAsia="Calibri"/>
          <w:rtl/>
          <w:lang w:bidi="ar-EG"/>
        </w:rPr>
        <w:t xml:space="preserve"> </w:t>
      </w:r>
      <w:r w:rsidRPr="00584051">
        <w:rPr>
          <w:rFonts w:eastAsia="Calibri" w:hint="cs"/>
          <w:rtl/>
          <w:lang w:bidi="ar-EG"/>
        </w:rPr>
        <w:t>الأدوية</w:t>
      </w:r>
      <w:r w:rsidRPr="00584051">
        <w:rPr>
          <w:rFonts w:eastAsia="Calibri"/>
          <w:rtl/>
          <w:lang w:bidi="ar-EG"/>
        </w:rPr>
        <w:t xml:space="preserve"> </w:t>
      </w:r>
      <w:r w:rsidRPr="00584051">
        <w:rPr>
          <w:rFonts w:eastAsia="Calibri" w:hint="cs"/>
          <w:rtl/>
          <w:lang w:bidi="ar-EG"/>
        </w:rPr>
        <w:t>الأردنية</w:t>
      </w:r>
      <w:r w:rsidRPr="00584051">
        <w:rPr>
          <w:rFonts w:eastAsia="Calibri"/>
          <w:rtl/>
          <w:lang w:bidi="ar-EG"/>
        </w:rPr>
        <w:t xml:space="preserve">. </w:t>
      </w:r>
      <w:r w:rsidRPr="00584051">
        <w:rPr>
          <w:rFonts w:eastAsia="Calibri" w:hint="cs"/>
          <w:rtl/>
          <w:lang w:bidi="ar-EG"/>
        </w:rPr>
        <w:t>وفي</w:t>
      </w:r>
      <w:r w:rsidRPr="00584051">
        <w:rPr>
          <w:rFonts w:eastAsia="Calibri"/>
          <w:rtl/>
          <w:lang w:bidi="ar-EG"/>
        </w:rPr>
        <w:t xml:space="preserve"> </w:t>
      </w:r>
      <w:r w:rsidRPr="00584051">
        <w:rPr>
          <w:rFonts w:eastAsia="Calibri" w:hint="cs"/>
          <w:rtl/>
          <w:lang w:bidi="ar-EG"/>
        </w:rPr>
        <w:t>ضوء</w:t>
      </w:r>
      <w:r w:rsidRPr="00584051">
        <w:rPr>
          <w:rFonts w:eastAsia="Calibri"/>
          <w:rtl/>
          <w:lang w:bidi="ar-EG"/>
        </w:rPr>
        <w:t xml:space="preserve"> </w:t>
      </w:r>
      <w:r w:rsidRPr="00584051">
        <w:rPr>
          <w:rFonts w:eastAsia="Calibri" w:hint="cs"/>
          <w:rtl/>
          <w:lang w:bidi="ar-EG"/>
        </w:rPr>
        <w:t>نتائج</w:t>
      </w:r>
      <w:r w:rsidRPr="00584051">
        <w:rPr>
          <w:rFonts w:eastAsia="Calibri"/>
          <w:rtl/>
          <w:lang w:bidi="ar-EG"/>
        </w:rPr>
        <w:t xml:space="preserve"> </w:t>
      </w:r>
      <w:r w:rsidRPr="00584051">
        <w:rPr>
          <w:rFonts w:eastAsia="Calibri" w:hint="cs"/>
          <w:rtl/>
          <w:lang w:bidi="ar-EG"/>
        </w:rPr>
        <w:t>الد</w:t>
      </w:r>
      <w:r w:rsidRPr="00584051">
        <w:rPr>
          <w:rFonts w:eastAsia="Calibri"/>
          <w:rtl/>
          <w:lang w:bidi="ar-EG"/>
        </w:rPr>
        <w:t>راسة الحالية يوصي الباحث بعدد من التوصيات أهمها: ضرورة قيام شركات الأدوية الأردنية باستقطاب مدراء يمتلكون صفات قيادية وشخصية جذابة ورؤية مستقبلية قادرة على تحفيز وتحفيز الموظفين، ومراعاة توافر خصائص القيادة التحويلية المتنوعة عند العمل على ترقيتهم وتفويض الصلاحيات لهم، بالإضافة إلى إشراك الموارد البشرية في شركات الأدوية الأردنية في عملية صنع القرارات وخاصة تلك المتعلقة بحياتهم المهنية والاجتماعية لما لذلك من أثر إيجابي على تحسين رضاهم الوظيفي.</w:t>
      </w:r>
    </w:p>
    <w:p w14:paraId="1D0F4104" w14:textId="017CDF6E" w:rsidR="006A2745" w:rsidRDefault="00372D4A" w:rsidP="006A2745">
      <w:pPr>
        <w:pStyle w:val="Heading3"/>
        <w:rPr>
          <w:sz w:val="28"/>
          <w:szCs w:val="28"/>
          <w:rtl/>
          <w:lang w:bidi="ar-SA"/>
        </w:rPr>
      </w:pPr>
      <w:bookmarkStart w:id="14" w:name="_Toc213626795"/>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4"/>
    </w:p>
    <w:p w14:paraId="3A99FF87" w14:textId="4EC6E58B" w:rsidR="00F575B0" w:rsidRPr="00652E67" w:rsidRDefault="00F575B0" w:rsidP="00652E67">
      <w:pPr>
        <w:pStyle w:val="NoSpacing"/>
        <w:rPr>
          <w:b/>
          <w:bCs/>
        </w:rPr>
      </w:pPr>
      <w:r w:rsidRPr="00652E67">
        <w:rPr>
          <w:b/>
          <w:bCs/>
        </w:rPr>
        <w:t>Haar, J. M., Russo, M., Su</w:t>
      </w:r>
      <w:r w:rsidRPr="00652E67">
        <w:rPr>
          <w:rFonts w:ascii="Cambria" w:hAnsi="Cambria" w:cs="Cambria"/>
          <w:b/>
          <w:bCs/>
        </w:rPr>
        <w:t>ñ</w:t>
      </w:r>
      <w:r w:rsidRPr="00652E67">
        <w:rPr>
          <w:b/>
          <w:bCs/>
        </w:rPr>
        <w:t xml:space="preserve">é, A., &amp; Ollier-Malaterre, A. (2014). “Outcomes of work–life balance on job satisfaction, life satisfaction and mental health: A study across seven cultures.” </w:t>
      </w:r>
    </w:p>
    <w:p w14:paraId="40ECC046" w14:textId="77777777" w:rsidR="00F575B0" w:rsidRDefault="00F575B0" w:rsidP="00652E67">
      <w:pPr>
        <w:pStyle w:val="NoSpacing"/>
        <w:bidi/>
        <w:rPr>
          <w:rtl/>
        </w:rPr>
      </w:pPr>
      <w:r>
        <w:rPr>
          <w:rtl/>
        </w:rPr>
        <w:t>هدفت هذه الدراسة إلى استكشاف أثر التوازن بين العمل والحياة</w:t>
      </w:r>
      <w:r>
        <w:t xml:space="preserve"> (Work-Life Balance, WLB) </w:t>
      </w:r>
      <w:r>
        <w:rPr>
          <w:rtl/>
        </w:rPr>
        <w:t>على الرضا الوظيفي ورضا الحياة والصحة النفسية (القلق والاكتئاب) عبر سبع ثقافات مختلفة. استخدمت المنهج الكمي التحليلي لتحليل بيانات 1,416 موظفاً من سبع دول/ثقافات (ماليزيا، الصين، ماوري نيوزيلندا، أوروبي نيوزيلندا، إسبانيا، فرنسا، وإيطاليا) لتحديد العلاقات بين التوازن وأبعاد النتائج. واعتمدت أدوات قياس التوازن بين العمل والحياة، والرضا الوظيفي، ورضا الحياة، ومقاييس القلق والاكتئاب، مع تحليل نمذجة المعادلات البنائية</w:t>
      </w:r>
      <w:r>
        <w:t xml:space="preserve"> (SEM).</w:t>
      </w:r>
    </w:p>
    <w:p w14:paraId="6DDF1B12" w14:textId="3F60E794" w:rsidR="00F575B0" w:rsidRDefault="00F575B0" w:rsidP="00652E67">
      <w:pPr>
        <w:pStyle w:val="NoSpacing"/>
        <w:bidi/>
        <w:rPr>
          <w:rtl/>
        </w:rPr>
      </w:pPr>
      <w:r>
        <w:rPr>
          <w:rtl/>
        </w:rPr>
        <w:t>أظهرت النتائج أن التوازن بين العمل والحياة يرتبط إيجابياً بالرضا الوظيفي ورضا الحياة، ويترابط سلباً مع القلق والاكتئاب عبر الثقافات. كما وجدت الدراسة أن الثقافة (كالبُعد بين الفردي والجماعي، والمساواة بين الجنسين) تعدّل هذه العلاقات. أوصت الدراسة بأن تُعزّز المؤسسات سياسات مرنة وداعمة للتوازن بين العمل-الحياة، مع الأخذ باختلاف السياقات الثقافية، وترى أن تحسين التوازن قد ينعكس إيجابياً على الصحة النفسية والرضا العام للموظف</w:t>
      </w:r>
      <w:r>
        <w:t>.</w:t>
      </w:r>
    </w:p>
    <w:p w14:paraId="231E79BA" w14:textId="4F31E55F" w:rsidR="00F575B0" w:rsidRPr="00652E67" w:rsidRDefault="00F575B0" w:rsidP="00652E67">
      <w:pPr>
        <w:pStyle w:val="NoSpacing"/>
        <w:rPr>
          <w:b/>
          <w:bCs/>
        </w:rPr>
      </w:pPr>
      <w:r w:rsidRPr="00652E67">
        <w:rPr>
          <w:b/>
          <w:bCs/>
        </w:rPr>
        <w:t xml:space="preserve">Ferguson, M., Carlson, D. S., Zivnuska, S., &amp; Whitten, D. (2012). “Support at work and home: The path to satisfaction through balance.” </w:t>
      </w:r>
    </w:p>
    <w:p w14:paraId="63309588" w14:textId="77777777" w:rsidR="00F575B0" w:rsidRDefault="00F575B0" w:rsidP="00652E67">
      <w:pPr>
        <w:pStyle w:val="NoSpacing"/>
        <w:bidi/>
        <w:rPr>
          <w:rtl/>
        </w:rPr>
      </w:pPr>
      <w:r>
        <w:rPr>
          <w:rtl/>
        </w:rPr>
        <w:t>هدف البحث إلى دراسة كيف يؤثر الدعم الاجتماعي في مكان العمل (من الزملاء والمشرفين) ومن المنزل (من الشريك/الزوج/ة) في تحقيق التوازن بين العمل والحياة، وبالتالي وصولاً إلى الرضا الوظيفي ورضا العائلة. استخدمت الدراسة منهجاً كمياً، وعمل الباحثون تحليل السبب والنتيجة</w:t>
      </w:r>
      <w:r>
        <w:t xml:space="preserve"> (mediation) </w:t>
      </w:r>
      <w:r>
        <w:rPr>
          <w:rtl/>
        </w:rPr>
        <w:t>عبر بيانات جمعت من موظفين (لم يُذكر عددهم بدقة في الملخص) لتقصي تأثير دعم العمل والمنزل على التوازن، ثم على الرضا. أُستخدمت مقاييس للدعم الزميل/العمل، الدعم الزوجي/المنزلي، التوازن بين العمل والحياة، والرضا الوظيفي/العائلي</w:t>
      </w:r>
      <w:r>
        <w:t>.</w:t>
      </w:r>
    </w:p>
    <w:p w14:paraId="2E942E3E" w14:textId="4141C346" w:rsidR="006A2745" w:rsidRDefault="00F575B0" w:rsidP="00652E67">
      <w:pPr>
        <w:pStyle w:val="NoSpacing"/>
        <w:bidi/>
        <w:rPr>
          <w:rtl/>
        </w:rPr>
      </w:pPr>
      <w:r>
        <w:rPr>
          <w:rtl/>
        </w:rPr>
        <w:t xml:space="preserve">أظهرت النتائج أن الدعم في كل من مكان العمل والمنزل يساهم في تحسين التوازن بين العمل والحياة، وأن هذا التوازن بدوره ي </w:t>
      </w:r>
      <w:r>
        <w:t>mediates</w:t>
      </w:r>
      <w:r>
        <w:rPr>
          <w:rtl/>
        </w:rPr>
        <w:t xml:space="preserve"> (يتوسط) العلاقة بين الدعم والرضا الوظيفي أو العائلي. كما وجدت أن هناك تأثيرات عبر المجالات (</w:t>
      </w:r>
      <w:r>
        <w:t>cross-domain</w:t>
      </w:r>
      <w:r>
        <w:rPr>
          <w:rtl/>
        </w:rPr>
        <w:t>) فمثلاً دعم الزوج/ة قد يؤثر على رضا الوظيفة عندما يكون هناك توازن جيد. أوصت الدراسة بأن تشجع المؤسسات ثقافة الدعم المتبادل في العمل، وتعمل السياسات على تعزيز تفاعل الأسرة والدعم المنزلي، إذ إن التوازن ليس مسؤولية الموظف وحده بل للدعم المتعدد المصادر.</w:t>
      </w:r>
    </w:p>
    <w:p w14:paraId="40D8BB8C" w14:textId="5722C87F" w:rsidR="00F575B0" w:rsidRPr="00652E67" w:rsidRDefault="00F575B0" w:rsidP="00652E67">
      <w:pPr>
        <w:pStyle w:val="NoSpacing"/>
        <w:rPr>
          <w:b/>
          <w:bCs/>
        </w:rPr>
      </w:pPr>
      <w:r w:rsidRPr="00652E67">
        <w:rPr>
          <w:b/>
          <w:bCs/>
        </w:rPr>
        <w:t xml:space="preserve">Mas-Machuca, M., Berbegal-Mirabent, J., &amp; Alegre, I. (2016). “Work–life balance and its relationship with organizational pride and job satisfaction.” </w:t>
      </w:r>
    </w:p>
    <w:p w14:paraId="559FB47D" w14:textId="77777777" w:rsidR="00F575B0" w:rsidRDefault="00F575B0" w:rsidP="00652E67">
      <w:pPr>
        <w:pStyle w:val="NoSpacing"/>
        <w:bidi/>
        <w:rPr>
          <w:rtl/>
        </w:rPr>
      </w:pPr>
      <w:r>
        <w:rPr>
          <w:rtl/>
        </w:rPr>
        <w:t>هدفت هذه الدراسة إلى توضيح العلاقة بين التوازن بين الحياة والعمل ومستوى الرضا الوظيفي والشعور بالفخر التنظيمي لدى العاملين في المؤسسات التعليمية. استخدم الباحثون المنهج الكمي من خلال تصميم استبانة إلكترونية وزعت على مجموعة من العاملين في الجامعات الإسبانية بلغ عددهم (393) موظفًا من الجنسين، وتم تحليل البيانات باستخدام برنامج التحليل الإحصائي</w:t>
      </w:r>
      <w:r>
        <w:t xml:space="preserve"> (SPSS) </w:t>
      </w:r>
      <w:r>
        <w:rPr>
          <w:rtl/>
        </w:rPr>
        <w:t>وتقنية تحليل الانحدار المتعدد لفحص أثر التوازن على المتغيرات التابعة. تضمنت أدوات الدراسة مقاييس معيارية معتمدة لقياس التوازن بين الحياة والعمل، والرضا الوظيفي، والفخر التنظيمي، وتم التحقق من صدقها وثباتها قبل التحليل النهائي</w:t>
      </w:r>
      <w:r>
        <w:t>.</w:t>
      </w:r>
    </w:p>
    <w:p w14:paraId="1377639E" w14:textId="6C729F54" w:rsidR="00F575B0" w:rsidRDefault="00F575B0" w:rsidP="00652E67">
      <w:pPr>
        <w:pStyle w:val="NoSpacing"/>
        <w:bidi/>
        <w:rPr>
          <w:rtl/>
        </w:rPr>
      </w:pPr>
      <w:r>
        <w:rPr>
          <w:rtl/>
        </w:rPr>
        <w:t>أظهرت النتائج أن هناك علاقة موجبة قوية بين التوازن بين الحياة والعمل وبين الرضا الوظيفي، كما أن الفخر التنظيمي لعب دور الوسيط بينهما، أي أن الموظفين الذين يشعرون بتوازن جيد بين حياتهم المهنية والشخصية يكون لديهم مستوى أعلى من الفخر بالمنظمة، مما يزيد رضاهم الوظيفي. وأوصت الدراسة بضرورة أن تدعم المؤسسات المرونة في ساعات العمل وتوفير سياسات تسمح للموظفين بإدارة وقتهم بما يحقق التوازن المطلوب، لأن ذلك ينعكس إيجابًا على الولاء المؤسسي والرضا العام. كما أكدت على أهمية بناء ثقافة تنظيمية تعترف بالحاجات الشخصية والاجتماعية للعاملين كوسيلة لتعزيز الرضا والإنتاجية</w:t>
      </w:r>
      <w:r>
        <w:t>.</w:t>
      </w:r>
    </w:p>
    <w:p w14:paraId="66354D15" w14:textId="238A5714" w:rsidR="00F575B0" w:rsidRPr="00652E67" w:rsidRDefault="00F575B0" w:rsidP="00652E67">
      <w:pPr>
        <w:pStyle w:val="NoSpacing"/>
        <w:rPr>
          <w:b/>
          <w:bCs/>
        </w:rPr>
      </w:pPr>
      <w:r w:rsidRPr="00652E67">
        <w:rPr>
          <w:b/>
          <w:bCs/>
        </w:rPr>
        <w:t xml:space="preserve">Saltzstein, A. L., Ting, Y., &amp; Hall, J. L. (2001). “Work–family balance and job satisfaction: The impact of family-friendly policies on attitudes of federal government employees.” </w:t>
      </w:r>
    </w:p>
    <w:p w14:paraId="25DB10AC" w14:textId="77777777" w:rsidR="00F575B0" w:rsidRDefault="00F575B0" w:rsidP="00652E67">
      <w:pPr>
        <w:pStyle w:val="NoSpacing"/>
        <w:bidi/>
        <w:rPr>
          <w:rtl/>
        </w:rPr>
      </w:pPr>
      <w:r>
        <w:rPr>
          <w:rtl/>
        </w:rPr>
        <w:t>استهدفت هذه الدراسة التعرف على تأثير سياسات المؤسسات الداعمة للأسرة على تحقيق التوازن بين العمل والأسرة ومستوى الرضا الوظيفي لدى موظفي الحكومة الفيدرالية في الولايات المتحدة الأمريكية. استخدم الباحثون منهج المسح التحليلي، وتم جمع البيانات من خلال استبيان وزع على عينة مكونة من أكثر من (1000) موظف في وكالات حكومية مختلفة. تضمنت أدوات الدراسة أسئلة حول نوع السياسات المتاحة (مثل إجازات الأمومة، جداول العمل المرنة، العمل الجزئي، والعمل عن بعد) ومدى استخدامها من قبل الموظفين، إضافة إلى مقاييس للرضا الوظيفي والتوازن بين العمل والأسرة</w:t>
      </w:r>
      <w:r>
        <w:t>.</w:t>
      </w:r>
    </w:p>
    <w:p w14:paraId="12ED2D5F" w14:textId="6A2286E0" w:rsidR="00F575B0" w:rsidRDefault="00F575B0" w:rsidP="00652E67">
      <w:pPr>
        <w:pStyle w:val="NoSpacing"/>
        <w:bidi/>
        <w:rPr>
          <w:rtl/>
        </w:rPr>
      </w:pPr>
      <w:r>
        <w:rPr>
          <w:rtl/>
        </w:rPr>
        <w:t>توصلت النتائج إلى أن المؤسسات التي توفر سياسات داعمة للأسرة تحقق معدلات أعلى من الرضا الوظيفي، خاصة عندما يشعر الموظفون بإمكانية الاستفادة الفعلية من تلك السياسات دون عقوبات غير رسمية. كما تبين أن التوازن بين العمل والأسرة يلعب دورًا وسيطًا بين توفر السياسات ومستوى الرضا الوظيفي. وأوصت الدراسة بضرورة تبني المؤسسات الحكومية والخاصة على حد سواء برامج وسياسات مرنة تسهل التوفيق بين متطلبات العمل والحياة الأسرية، وتشجع بيئة عمل أكثر إنسانية واستقرارًا، لما لذلك من أثر إيجابي على معنويات الموظفين وجودة أدائهم.</w:t>
      </w:r>
    </w:p>
    <w:p w14:paraId="2385A598" w14:textId="3AF0B7DB" w:rsidR="001161E9" w:rsidRPr="00652E67" w:rsidRDefault="001161E9" w:rsidP="00652E67">
      <w:pPr>
        <w:pStyle w:val="NoSpacing"/>
        <w:rPr>
          <w:b/>
          <w:bCs/>
        </w:rPr>
      </w:pPr>
      <w:r w:rsidRPr="00652E67">
        <w:rPr>
          <w:b/>
          <w:bCs/>
        </w:rPr>
        <w:t xml:space="preserve">Bruck, C. S., Allen, T. D., &amp; Spector, P. E. (2002). “The relation between work–family conflict and job satisfaction: A finer-grained analysis.” </w:t>
      </w:r>
    </w:p>
    <w:p w14:paraId="592E7582" w14:textId="77777777" w:rsidR="001161E9" w:rsidRDefault="001161E9" w:rsidP="00652E67">
      <w:pPr>
        <w:pStyle w:val="NoSpacing"/>
        <w:bidi/>
        <w:rPr>
          <w:rtl/>
        </w:rPr>
      </w:pPr>
      <w:r>
        <w:rPr>
          <w:rtl/>
        </w:rPr>
        <w:t>هدفت هذه الدراسة إلى تحليل العلاقة الدقيقة بين الصراع بين العمل والأسرة</w:t>
      </w:r>
      <w:r>
        <w:t xml:space="preserve"> (Work–Family Conflict) </w:t>
      </w:r>
      <w:r>
        <w:rPr>
          <w:rtl/>
        </w:rPr>
        <w:t>ومستوى الرضا الوظيفي، مع التركيز على تحديد أبعاد الصراع وأثر كل بُعد منها على الرضا. استخدم الباحثون المنهج الكمي الوصفي التحليلي من خلال استبانة وُزعت على عينة مكونة من (220) موظفًا وموظفة من قطاعات مختلفة في الولايات المتحدة. تضمنت أدوات الدراسة مقياسًا ثلاثي الأبعاد للصراع بين العمل والأسرة (الصراع من العمل إلى الأسرة، الصراع من الأسرة إلى العمل، والصراع المشترك)، ومقياس الرضا الوظيفي العام، وتم تحليل النتائج باستخدام تحليل الانحدار المتعدد ونمذجة العلاقات بين المتغيرات</w:t>
      </w:r>
      <w:r>
        <w:t>.</w:t>
      </w:r>
    </w:p>
    <w:p w14:paraId="665EEC64" w14:textId="77777777" w:rsidR="001161E9" w:rsidRDefault="001161E9" w:rsidP="00652E67">
      <w:pPr>
        <w:pStyle w:val="NoSpacing"/>
        <w:bidi/>
        <w:rPr>
          <w:rtl/>
        </w:rPr>
      </w:pPr>
      <w:r>
        <w:rPr>
          <w:rtl/>
        </w:rPr>
        <w:t>أظهرت النتائج أن الصراع بين العمل والأسرة يرتبط ارتباطًا سلبيًا كبيرًا بالرضا الوظيفي، وكلما زاد الضغط الناتج عن تداخل المسؤوليات المهنية مع الأسرية انخفضت درجة الرضا الوظيفي. كما تبين أن الصراع القادم من العمل نحو الأسرة له الأثر الأقوى في تقليل الرضا مقارنة بالعكس. وأوصت الدراسة بضرورة أن تتبنى المؤسسات سياسات واضحة لتقليل ساعات العمل الزائدة وتحسين الدعم التنظيمي للموظفين الذين يتحملون مسؤوليات أسرية، لما لذلك من دور في خفض مستويات التوتر وتعزيز الشعور بالرضا والاستقرار المهني</w:t>
      </w:r>
      <w:r>
        <w:t>.</w:t>
      </w:r>
    </w:p>
    <w:p w14:paraId="23FB70A4" w14:textId="387F1697" w:rsidR="001161E9" w:rsidRPr="009355DD" w:rsidRDefault="001161E9" w:rsidP="009355DD">
      <w:pPr>
        <w:pStyle w:val="NoSpacing"/>
        <w:rPr>
          <w:b/>
          <w:bCs/>
        </w:rPr>
      </w:pPr>
      <w:r w:rsidRPr="009355DD">
        <w:rPr>
          <w:b/>
          <w:bCs/>
        </w:rPr>
        <w:t xml:space="preserve">Susanto, P., Thoyib, A., Fatchan, A., Hadiwidjojo, D., &amp; Aisjah, S. (2022). “Work–life balance, job satisfaction, and job performance among employees of SMEs: The mediating role of job satisfaction.” </w:t>
      </w:r>
    </w:p>
    <w:p w14:paraId="001D0E5C" w14:textId="77777777" w:rsidR="001161E9" w:rsidRDefault="001161E9" w:rsidP="00652E67">
      <w:pPr>
        <w:pStyle w:val="NoSpacing"/>
        <w:bidi/>
        <w:rPr>
          <w:rtl/>
        </w:rPr>
      </w:pPr>
      <w:r>
        <w:rPr>
          <w:rtl/>
        </w:rPr>
        <w:t>تناولت هذه الدراسة العلاقة بين التوازن بين الحياة والعمل والأداء الوظيفي في المؤسسات الصغيرة والمتوسطة</w:t>
      </w:r>
      <w:r>
        <w:t xml:space="preserve"> (SMEs) </w:t>
      </w:r>
      <w:r>
        <w:rPr>
          <w:rtl/>
        </w:rPr>
        <w:t>في إندونيسيا، مع اختبار الدور الوسيط للرضا الوظيفي في هذه العلاقة. استخدم الباحثون المنهج الكمي الوصفي، وتم جمع البيانات من خلال استبانة إلكترونية شملت (310) موظفين من مؤسسات متعددة في قطاعات الخدمات والتصنيع، وتم تحليل البيانات باستخدام برنامج</w:t>
      </w:r>
      <w:r>
        <w:t xml:space="preserve"> (Smart PLS) </w:t>
      </w:r>
      <w:r>
        <w:rPr>
          <w:rtl/>
        </w:rPr>
        <w:t>للتحقق من العلاقات السببية بين المتغيرات. تضمنت أدوات الدراسة مقاييس معيارية للتوازن بين العمل والحياة، والرضا الوظيفي، والأداء المهني، وتم التأكد من صلاحيتها عبر تحليل الثبات والصدق</w:t>
      </w:r>
      <w:r>
        <w:t>.</w:t>
      </w:r>
    </w:p>
    <w:p w14:paraId="499D3DDB" w14:textId="6029A7E0" w:rsidR="00F575B0" w:rsidRDefault="001161E9" w:rsidP="00652E67">
      <w:pPr>
        <w:pStyle w:val="NoSpacing"/>
        <w:bidi/>
        <w:rPr>
          <w:rtl/>
        </w:rPr>
      </w:pPr>
      <w:r>
        <w:rPr>
          <w:rtl/>
        </w:rPr>
        <w:t>أظهرت النتائج أن التوازن بين الحياة والعمل يؤثر بشكل إيجابي ومباشر على الرضا الوظيفي، كما يؤثر بشكل غير مباشر على الأداء الوظيفي عبر هذا الرضا، أي أن الموظفين الذين يحققون توازنًا جيدًا يشعرون برضا أكبر، مما ينعكس إيجابًا على مستوى أدائهم. وأوصت الدراسة أصحاب المؤسسات الصغيرة والمتوسطة بتبني ممارسات مرنة في ساعات العمل وتقديم برامج دعم نفسي وتنظيمي للعاملين، مؤكدة أن الاستثمار في تحسين جودة الحياة الوظيفية يعد استراتيجية فعّالة لرفع الإنتاجية والاحتفاظ بالكفاءات في بيئة العمل التنافسية.</w:t>
      </w:r>
    </w:p>
    <w:p w14:paraId="1BE1A253" w14:textId="54F08D8A" w:rsidR="00EB22A0" w:rsidRPr="009355DD" w:rsidRDefault="00EB22A0" w:rsidP="009355DD">
      <w:pPr>
        <w:pStyle w:val="NoSpacing"/>
        <w:rPr>
          <w:b/>
          <w:bCs/>
        </w:rPr>
      </w:pPr>
      <w:r w:rsidRPr="009355DD">
        <w:rPr>
          <w:b/>
          <w:bCs/>
        </w:rPr>
        <w:t xml:space="preserve">Eileen Koekemoer, Christo Olckers &amp; Carla Nel (2020). “Work–family enrichment, job satisfaction, and work engagement: The mediating role of subjective career success.” </w:t>
      </w:r>
    </w:p>
    <w:p w14:paraId="3A1CFA68" w14:textId="77777777" w:rsidR="00EB22A0" w:rsidRDefault="00EB22A0" w:rsidP="00652E67">
      <w:pPr>
        <w:pStyle w:val="NoSpacing"/>
        <w:bidi/>
        <w:rPr>
          <w:rtl/>
        </w:rPr>
      </w:pPr>
      <w:r>
        <w:rPr>
          <w:rtl/>
        </w:rPr>
        <w:t>هدف هذه الدراسة إلى فحص كيف تؤثر عملية إثراء العمل-للحياة أو الحياة-للعمل</w:t>
      </w:r>
      <w:r>
        <w:t xml:space="preserve"> (Work–Family Enrichment) </w:t>
      </w:r>
      <w:r>
        <w:rPr>
          <w:rtl/>
        </w:rPr>
        <w:t>على مستوى الرضا الوظيفي والانخراط في العمل</w:t>
      </w:r>
      <w:r>
        <w:t xml:space="preserve"> (work engagement)</w:t>
      </w:r>
      <w:r>
        <w:rPr>
          <w:rtl/>
        </w:rPr>
        <w:t>، مع النظر في دور النجاح المهني الذاتي</w:t>
      </w:r>
      <w:r>
        <w:t xml:space="preserve"> (subjective career success) </w:t>
      </w:r>
      <w:r>
        <w:rPr>
          <w:rtl/>
        </w:rPr>
        <w:t>كوسيط بين هذه المتغيرات. استخدم الباحثون منهجاً كميّاً بأن حصلوا على بيانات من عيّنة مكونة من 334 موظفاً في جنوب أفريقيا، ثم طبقوا تحليل المسار</w:t>
      </w:r>
      <w:r>
        <w:t xml:space="preserve"> (path analysis) </w:t>
      </w:r>
      <w:r>
        <w:rPr>
          <w:rtl/>
        </w:rPr>
        <w:t>والنمذجة الإحصائية لفحص العلاقات المقترحة. واعتمدوا مقاييس معيارية مطوّرة لقياس الإثراء بين العمل والحياة، الرضا الوظيفي، الانخراط في العمل، والشعور بالنجاح المهني الذاتي</w:t>
      </w:r>
      <w:r>
        <w:t>.</w:t>
      </w:r>
    </w:p>
    <w:p w14:paraId="3822C3FC" w14:textId="2B72DB59" w:rsidR="00EB22A0" w:rsidRDefault="00EB22A0" w:rsidP="009355DD">
      <w:pPr>
        <w:pStyle w:val="NoSpacing"/>
        <w:bidi/>
        <w:rPr>
          <w:rtl/>
        </w:rPr>
      </w:pPr>
      <w:r>
        <w:rPr>
          <w:rtl/>
        </w:rPr>
        <w:t>وقد أظهرت النتائج أن الإثراء بين العمل والحياة له علاقة إيجابية وبسيطة مع الرضا الوظيفي والانخراط في العمل، وأن الشعور بالنجاح المهني الذاتي يلعب دوراً وسيطاً جزئياً في تلك العلاقة؛ أي أن الموظفين الذين يشعرون أن عملهم يُغني حياتهم أو حياتهم تُغني عملهم يكون لديهم رضا أعلى وانخراط أكبر، خصوصاً إذا شعروا بأنهم قد حققوا نجاحاً مهنياً بذاتهم. أوصت الدراسة بأن تركز المنظمات على تعزيز فرص الإثراء بين مجالات العمل والحياة عبر برامج التطوير المهني، وخلق بيئات تُنمّي الشعور بالنجاح المهني لدى الموظفين، إذ أن هذا ينعكس على رضاهم ومستوى مشاركتهم في العمل</w:t>
      </w:r>
      <w:r>
        <w:t>.</w:t>
      </w:r>
    </w:p>
    <w:p w14:paraId="28C57F07" w14:textId="22FE7EE5" w:rsidR="00EB22A0" w:rsidRPr="009355DD" w:rsidRDefault="00EB22A0" w:rsidP="009355DD">
      <w:pPr>
        <w:pStyle w:val="NoSpacing"/>
        <w:rPr>
          <w:b/>
          <w:bCs/>
        </w:rPr>
      </w:pPr>
      <w:r w:rsidRPr="009355DD">
        <w:rPr>
          <w:b/>
          <w:bCs/>
        </w:rPr>
        <w:t xml:space="preserve">Laurel A. McNall, Aline D. Masuda &amp; Jessica M. Nicklin (2010). “Flexible work arrangements, job satisfaction, and turnover intentions: The mediating role of work-to-family enrichment.” </w:t>
      </w:r>
    </w:p>
    <w:p w14:paraId="3BA6F946" w14:textId="77777777" w:rsidR="00EB22A0" w:rsidRDefault="00EB22A0" w:rsidP="00652E67">
      <w:pPr>
        <w:pStyle w:val="NoSpacing"/>
        <w:bidi/>
        <w:rPr>
          <w:rtl/>
        </w:rPr>
      </w:pPr>
      <w:r>
        <w:rPr>
          <w:rtl/>
        </w:rPr>
        <w:t>هدف البحث إلى استكشاف علاقة الترتيبات الوظيفية المرنة</w:t>
      </w:r>
      <w:r>
        <w:t xml:space="preserve"> (flexible work arrangements) </w:t>
      </w:r>
      <w:r>
        <w:rPr>
          <w:rtl/>
        </w:rPr>
        <w:t>مثل ساعات العمل المرنة أو أسبوع العمل المضغوط، مع الشعور بالإثراء من العمل إلى الحياة</w:t>
      </w:r>
      <w:r>
        <w:t xml:space="preserve"> (work-to-family enrichment)</w:t>
      </w:r>
      <w:r>
        <w:rPr>
          <w:rtl/>
        </w:rPr>
        <w:t>، ومن ثم مدى تأثير ذلك على الرضا الوظيفي ونوايا ترك العمل</w:t>
      </w:r>
      <w:r>
        <w:t xml:space="preserve"> (turnover intentions). </w:t>
      </w:r>
      <w:r>
        <w:rPr>
          <w:rtl/>
        </w:rPr>
        <w:t>اتبع الباحثون منهجاً كمياً عبر استبيان وزّع على عيّنة مكونة من 220 موظفاً بالغاً يعملون بدوام كامل، وتم تحليل البيانات باستخدام تحليل الانحدار المتعدد للتحقق من الوساطة</w:t>
      </w:r>
      <w:r>
        <w:t xml:space="preserve"> (Mediation) </w:t>
      </w:r>
      <w:r>
        <w:rPr>
          <w:rtl/>
        </w:rPr>
        <w:t>التي يمارسها الإثراء. وتضمنت أدوات الدراسة مقاييس للترتيبات المرنة، الإثراء من العمل إلى الحياة، الرضا الوظيفي، ونوايا المغادرة، مع التحكم في متغيّرات مثل الجنس، العمر، الحالة الزوجية، عدد الأطفال، وساعات العمل</w:t>
      </w:r>
      <w:r>
        <w:t>.</w:t>
      </w:r>
    </w:p>
    <w:p w14:paraId="55730ABD" w14:textId="1F4DE0BB" w:rsidR="009355DD" w:rsidRDefault="00EB22A0" w:rsidP="009D28A7">
      <w:pPr>
        <w:pStyle w:val="NoSpacing"/>
        <w:bidi/>
        <w:rPr>
          <w:rtl/>
        </w:rPr>
      </w:pPr>
      <w:r>
        <w:rPr>
          <w:rtl/>
        </w:rPr>
        <w:t>أظهرت النتائج أن الترتيبات الوظيفية المرنة تزيد من شعور الموظف بأن عمله يُغني حياته الأسرية، وأن هذا الشعور بالإثراء بدوره مرتبط إيجابياً بالرضا الوظيفي وسلبياً بنوايا ترك العمل. كما بينت أن الإثراء يعمل كوسيط بين الترتيبات المرنة والنتائج الوظيفية. أوصت الدراسة المنظمات بأن تمنح الموظفين تحكّماً أكبر على جداولهم وساعات العمل كي يزيدوا من فرص الإثراء بين العمل والحياة، مما يقلّل من نوايا ترك العمل ويعزز الرضا.</w:t>
      </w:r>
    </w:p>
    <w:p w14:paraId="5719B347" w14:textId="1403B723" w:rsidR="00652E67" w:rsidRPr="009355DD" w:rsidRDefault="00652E67" w:rsidP="009355DD">
      <w:pPr>
        <w:pStyle w:val="NoSpacing"/>
        <w:rPr>
          <w:b/>
          <w:bCs/>
        </w:rPr>
      </w:pPr>
      <w:r w:rsidRPr="009355DD">
        <w:rPr>
          <w:b/>
          <w:bCs/>
        </w:rPr>
        <w:t xml:space="preserve">Shockley, K. M., &amp; Singla, N. (2011). “Reconsidering work–family interactions and satisfaction: A meta-analysis.” </w:t>
      </w:r>
    </w:p>
    <w:p w14:paraId="0FFF9C3D" w14:textId="77777777" w:rsidR="00652E67" w:rsidRDefault="00652E67" w:rsidP="00652E67">
      <w:pPr>
        <w:pStyle w:val="NoSpacing"/>
        <w:bidi/>
        <w:rPr>
          <w:rtl/>
        </w:rPr>
      </w:pPr>
      <w:r>
        <w:rPr>
          <w:rtl/>
        </w:rPr>
        <w:t>هدفت هذه الدراسة إلى إعادة تحليل العلاقة بين التفاعل بين العمل والأسرة والرضا الوظيفي من خلال تحليل شمولي</w:t>
      </w:r>
      <w:r>
        <w:t xml:space="preserve"> (Meta-Analysis) </w:t>
      </w:r>
      <w:r>
        <w:rPr>
          <w:rtl/>
        </w:rPr>
        <w:t>يغطي نتائج أكثر من (190) دراسة منشورة في هذا المجال. سعى الباحثان إلى تحديد ما إذا كان الصراع بين العمل والأسرة</w:t>
      </w:r>
      <w:r>
        <w:t xml:space="preserve"> (Work–Family Conflict) </w:t>
      </w:r>
      <w:r>
        <w:rPr>
          <w:rtl/>
        </w:rPr>
        <w:t>والإثراء بين العمل والأسرة</w:t>
      </w:r>
      <w:r>
        <w:t xml:space="preserve"> (Work–Family Enrichment) </w:t>
      </w:r>
      <w:r>
        <w:rPr>
          <w:rtl/>
        </w:rPr>
        <w:t>يؤثران في الرضا الوظيفي والرضا عن الحياة بشكل متماثل أم متناقض، وكذلك اختبار مدى تأثير العوامل الوسيطة مثل الجنس ونوع المهنة والثقافة التنظيمية. استخدم الباحثان منهج التحليل الإحصائي المقارن لمجموعات البيانات المأخوذة من الدراسات السابقة، مع تطبيق النمذجة المعادلة الموزونة لتوحيد النتائج والتحقق من قوة الارتباط بين المتغيرات</w:t>
      </w:r>
      <w:r>
        <w:t>.</w:t>
      </w:r>
    </w:p>
    <w:p w14:paraId="59E195A0" w14:textId="6D957521" w:rsidR="00652E67" w:rsidRDefault="00652E67" w:rsidP="009355DD">
      <w:pPr>
        <w:pStyle w:val="NoSpacing"/>
        <w:bidi/>
        <w:rPr>
          <w:rtl/>
        </w:rPr>
      </w:pPr>
      <w:r>
        <w:rPr>
          <w:rtl/>
        </w:rPr>
        <w:t>أظهرت النتائج أن الصراع بين العمل والأسرة له ارتباط سلبي قوي بالرضا الوظيفي، بينما الإثراء بينهما يرتبط ارتباطًا إيجابيًا قويًا بالرضا، مما يدل على أن تحقيق التوازن بين المجالين يؤدي إلى تحسين مستوى السعادة العامة والرضا المهني. كما أظهرت التحليلات أن التأثيرات تختلف باختلاف الجنس، حيث كانت النساء أكثر تأثرًا بصراعات العمل والأسرة مقارنة بالرجال. وأوصت الدراسة بضرورة أن تضع المؤسسات سياسات عمل تراعي الخصوصية الأسرية والجندرية، وأن تعزز مناخًا تنظيميًا يسمح بالإثراء بين العمل والحياة، لأن هذا ينعكس إيجابًا على الأداء والولاء والاحتفاظ بالموظفين على المدى الطويل</w:t>
      </w:r>
      <w:r>
        <w:t>.</w:t>
      </w:r>
    </w:p>
    <w:p w14:paraId="3E3612A3" w14:textId="4A5D3542" w:rsidR="00652E67" w:rsidRPr="00E44EFC" w:rsidRDefault="00652E67" w:rsidP="009355DD">
      <w:pPr>
        <w:pStyle w:val="NoSpacing"/>
        <w:rPr>
          <w:b/>
          <w:bCs/>
        </w:rPr>
      </w:pPr>
      <w:r w:rsidRPr="00E44EFC">
        <w:rPr>
          <w:b/>
          <w:bCs/>
        </w:rPr>
        <w:t xml:space="preserve">Amstad, F. T., Meier, L. L., Fasel, U., Elfering, A., &amp; Semmer, N. K. (2011). “A meta-analysis of work–family conflict and various outcomes with a special emphasis on cross-domain versus matching-domain relations.” </w:t>
      </w:r>
    </w:p>
    <w:p w14:paraId="3B75C631" w14:textId="77777777" w:rsidR="00652E67" w:rsidRDefault="00652E67" w:rsidP="00652E67">
      <w:pPr>
        <w:pStyle w:val="NoSpacing"/>
        <w:bidi/>
        <w:rPr>
          <w:rtl/>
        </w:rPr>
      </w:pPr>
      <w:r>
        <w:rPr>
          <w:rtl/>
        </w:rPr>
        <w:t>هدفت هذه الدراسة التحليلية الشمولية إلى فحص العلاقة بين الصراع بين العمل والأسرة</w:t>
      </w:r>
      <w:r>
        <w:t xml:space="preserve"> (Work–Family Conflict) </w:t>
      </w:r>
      <w:r>
        <w:rPr>
          <w:rtl/>
        </w:rPr>
        <w:t>وعدد من النتائج النفسية والسلوكية مثل الرضا الوظيفي، الإرهاق المهني، والرضا عن الحياة، مع التركيز على المقارنة بين العلاقات داخل المجال الواحد</w:t>
      </w:r>
      <w:r>
        <w:t xml:space="preserve"> (Matching-Domain) </w:t>
      </w:r>
      <w:r>
        <w:rPr>
          <w:rtl/>
        </w:rPr>
        <w:t>والعلاقات بين المجالات المختلفة</w:t>
      </w:r>
      <w:r>
        <w:t xml:space="preserve"> (Cross-Domain). </w:t>
      </w:r>
      <w:r>
        <w:rPr>
          <w:rtl/>
        </w:rPr>
        <w:t>استخدم الباحثون منهج المراجعة المنهجية والتحليل الإحصائي المدمج</w:t>
      </w:r>
      <w:r>
        <w:t xml:space="preserve"> (Meta-Analysis) </w:t>
      </w:r>
      <w:r>
        <w:rPr>
          <w:rtl/>
        </w:rPr>
        <w:t>من خلال مراجعة (190) دراسة دولية تغطي عينات من ثقافات متعددة تشمل أوروبا وأمريكا الشمالية وآسيا. وقد استخدمت الدراسة معاملات الارتباط المجمعة وتحليل التباين لاختبار الفرضيات الخاصة باتجاه العلاقة بين المتغيرات</w:t>
      </w:r>
      <w:r>
        <w:t>.</w:t>
      </w:r>
    </w:p>
    <w:p w14:paraId="503F319B" w14:textId="30410A83" w:rsidR="00EB22A0" w:rsidRPr="006A2745" w:rsidRDefault="00652E67" w:rsidP="00652E67">
      <w:pPr>
        <w:pStyle w:val="NoSpacing"/>
        <w:bidi/>
        <w:rPr>
          <w:rtl/>
        </w:rPr>
      </w:pPr>
      <w:r>
        <w:rPr>
          <w:rtl/>
        </w:rPr>
        <w:t>أظهرت النتائج أن الصراع بين العمل والأسرة يرتبط ارتباطًا سلبيًا متوسطًا إلى قوي بالرضا الوظيفي وبالصحة النفسية بشكل عام، وأن هذه العلاقة تكون أقوى عندما يكون نوع الصراع من العمل إلى الأسرة وليس العكس. كما بينت أن العلاقة بين المجالين متبادلة، فالإجهاد الأسري يمكن أن يؤثر أيضًا في الأداء والرضا المهني. وأوصت الدراسة المؤسسات بتطبيق برامج لإدارة الضغط المهني، وتبني سياسات أكثر مرونة في الجداول الزمنية والإجازات، إضافة إلى تشجيع الحوار المفتوح حول متطلبات الحياة الشخصية للموظفين. كما أكدت أن معالجة صراعات العمل والحياة تسهم في تحسين الرفاه النفسي وتقليل الاحتراق الوظيفي وزيادة الرضا والاستقرار في بيئة العمل.</w:t>
      </w:r>
    </w:p>
    <w:p w14:paraId="79A5EDAF" w14:textId="6112AAA6" w:rsidR="006A2745" w:rsidRDefault="00472DB0" w:rsidP="00235611">
      <w:pPr>
        <w:pStyle w:val="Heading3"/>
        <w:rPr>
          <w:rtl/>
        </w:rPr>
      </w:pPr>
      <w:bookmarkStart w:id="15" w:name="_Toc213626796"/>
      <w:r>
        <w:rPr>
          <w:rFonts w:hint="cs"/>
          <w:rtl/>
        </w:rPr>
        <w:t xml:space="preserve">٣. </w:t>
      </w:r>
      <w:r w:rsidR="00786BD8">
        <w:rPr>
          <w:rFonts w:hint="cs"/>
          <w:rtl/>
        </w:rPr>
        <w:t>التعقيب على الدراسات السابقة</w:t>
      </w:r>
      <w:r w:rsidR="00190BBB">
        <w:rPr>
          <w:rFonts w:hint="cs"/>
          <w:rtl/>
        </w:rPr>
        <w:t>:</w:t>
      </w:r>
      <w:bookmarkEnd w:id="15"/>
    </w:p>
    <w:p w14:paraId="47E825C9" w14:textId="21D16895" w:rsidR="00BF6213" w:rsidRPr="00E33801" w:rsidRDefault="00BF6213" w:rsidP="00235611">
      <w:pPr>
        <w:pStyle w:val="Heading4"/>
        <w:rPr>
          <w:rtl/>
        </w:rPr>
      </w:pPr>
      <w:bookmarkStart w:id="16" w:name="_Toc213626797"/>
      <w:r w:rsidRPr="00E33801">
        <w:rPr>
          <w:rtl/>
        </w:rPr>
        <w:t>أوجه التشابه</w:t>
      </w:r>
      <w:r w:rsidR="00A038A9" w:rsidRPr="00E33801">
        <w:rPr>
          <w:rFonts w:hint="cs"/>
          <w:rtl/>
        </w:rPr>
        <w:t xml:space="preserve"> بين الدراسات</w:t>
      </w:r>
      <w:r w:rsidRPr="00E33801">
        <w:rPr>
          <w:rtl/>
        </w:rPr>
        <w:t>:</w:t>
      </w:r>
      <w:bookmarkEnd w:id="16"/>
    </w:p>
    <w:p w14:paraId="4E4D4D18" w14:textId="77777777" w:rsidR="00235611" w:rsidRDefault="00235611" w:rsidP="00235611">
      <w:pPr>
        <w:pStyle w:val="NoSpacing"/>
        <w:bidi/>
        <w:rPr>
          <w:rtl/>
        </w:rPr>
      </w:pPr>
      <w:r>
        <w:rPr>
          <w:rtl/>
        </w:rPr>
        <w:t>تشترك معظم الدراسات العربية والأجنبية — مثل دراسة (محمود،</w:t>
      </w:r>
      <w:r>
        <w:rPr>
          <w:rFonts w:ascii="Times New Roman" w:hAnsi="Times New Roman" w:cs="Times New Roman" w:hint="cs"/>
          <w:rtl/>
        </w:rPr>
        <w:t> </w:t>
      </w:r>
      <w:r>
        <w:rPr>
          <w:rtl/>
        </w:rPr>
        <w:t>2021)، ودراسة (أبو</w:t>
      </w:r>
      <w:r>
        <w:rPr>
          <w:rFonts w:ascii="Times New Roman" w:hAnsi="Times New Roman" w:cs="Times New Roman" w:hint="cs"/>
          <w:rtl/>
        </w:rPr>
        <w:t> </w:t>
      </w:r>
      <w:r>
        <w:rPr>
          <w:rtl/>
        </w:rPr>
        <w:t>نجم،</w:t>
      </w:r>
      <w:r>
        <w:rPr>
          <w:rFonts w:ascii="Times New Roman" w:hAnsi="Times New Roman" w:cs="Times New Roman" w:hint="cs"/>
          <w:rtl/>
        </w:rPr>
        <w:t> </w:t>
      </w:r>
      <w:r>
        <w:rPr>
          <w:rtl/>
        </w:rPr>
        <w:t>2021)، ودراسة (منصور،</w:t>
      </w:r>
      <w:r>
        <w:rPr>
          <w:rFonts w:ascii="Times New Roman" w:hAnsi="Times New Roman" w:cs="Times New Roman" w:hint="cs"/>
          <w:rtl/>
        </w:rPr>
        <w:t> </w:t>
      </w:r>
      <w:r>
        <w:rPr>
          <w:rtl/>
        </w:rPr>
        <w:t>2024)، وكذلك دراسة</w:t>
      </w:r>
      <w:r>
        <w:t xml:space="preserve"> (Haar</w:t>
      </w:r>
      <w:r>
        <w:rPr>
          <w:rFonts w:ascii="Times New Roman" w:hAnsi="Times New Roman" w:cs="Times New Roman"/>
        </w:rPr>
        <w:t> </w:t>
      </w:r>
      <w:r>
        <w:rPr>
          <w:rtl/>
        </w:rPr>
        <w:t>وآخرون،</w:t>
      </w:r>
      <w:r>
        <w:rPr>
          <w:rFonts w:ascii="Times New Roman" w:hAnsi="Times New Roman" w:cs="Times New Roman" w:hint="cs"/>
          <w:rtl/>
        </w:rPr>
        <w:t> </w:t>
      </w:r>
      <w:r>
        <w:rPr>
          <w:rtl/>
        </w:rPr>
        <w:t>2014) — في اهتمامها بتحليل أثر التوازن بين الحياة والعمل باعتباره متغيراً محورياً يؤثر في نتائج متعددة، سواء كانت الرضا الوظيفي أو نية ترك العمل أو نجاح الموظف وظيفياً. هذا التشابه يعكس اتجاهاً بحثياً مشتركاً يرى أنَّ التوازن بين الأدوار المهنية والشخصية أصبح أحد محددات بقاء العاملين ونجاحهم المهني في المؤسسات الحديثة. فكل هذه الدراسات ربطت بين جودة التوازن وجودة الأداء، مؤكدة أن الموظف المتوازن نفسياً وأسرياً يكون أكثر استقراراً في العمل وأعلى رضاً وإنتاجية</w:t>
      </w:r>
      <w:r>
        <w:t>.</w:t>
      </w:r>
    </w:p>
    <w:p w14:paraId="58575441" w14:textId="77777777" w:rsidR="00235611" w:rsidRDefault="00235611" w:rsidP="00235611">
      <w:pPr>
        <w:pStyle w:val="NoSpacing"/>
        <w:bidi/>
        <w:rPr>
          <w:rtl/>
        </w:rPr>
      </w:pPr>
      <w:r>
        <w:rPr>
          <w:rtl/>
        </w:rPr>
        <w:t>ومن نقاط التشابه الواضحة أن أغلب الدراسات — سواء العربية كدراسة (العرمان،</w:t>
      </w:r>
      <w:r>
        <w:rPr>
          <w:rFonts w:ascii="Times New Roman" w:hAnsi="Times New Roman" w:cs="Times New Roman" w:hint="cs"/>
          <w:rtl/>
        </w:rPr>
        <w:t> </w:t>
      </w:r>
      <w:r>
        <w:rPr>
          <w:rtl/>
        </w:rPr>
        <w:t>2021) أو الأجنبية مثل دراسة</w:t>
      </w:r>
      <w:r>
        <w:t xml:space="preserve"> (Mas</w:t>
      </w:r>
      <w:r>
        <w:rPr>
          <w:rFonts w:ascii="Cambria Math" w:hAnsi="Cambria Math" w:cs="Cambria Math"/>
        </w:rPr>
        <w:t>‑</w:t>
      </w:r>
      <w:r>
        <w:t>Machuca</w:t>
      </w:r>
      <w:r>
        <w:rPr>
          <w:rFonts w:ascii="Times New Roman" w:hAnsi="Times New Roman" w:cs="Times New Roman"/>
        </w:rPr>
        <w:t> </w:t>
      </w:r>
      <w:r>
        <w:rPr>
          <w:rtl/>
        </w:rPr>
        <w:t>وآخرون،</w:t>
      </w:r>
      <w:r>
        <w:rPr>
          <w:rFonts w:ascii="Times New Roman" w:hAnsi="Times New Roman" w:cs="Times New Roman" w:hint="cs"/>
          <w:rtl/>
        </w:rPr>
        <w:t> </w:t>
      </w:r>
      <w:r>
        <w:rPr>
          <w:rtl/>
        </w:rPr>
        <w:t>2016) ودراسة</w:t>
      </w:r>
      <w:r>
        <w:t xml:space="preserve"> (Saltzstein</w:t>
      </w:r>
      <w:r>
        <w:rPr>
          <w:rFonts w:ascii="Times New Roman" w:hAnsi="Times New Roman" w:cs="Times New Roman"/>
        </w:rPr>
        <w:t> </w:t>
      </w:r>
      <w:r>
        <w:rPr>
          <w:rtl/>
        </w:rPr>
        <w:t>وآخرون،</w:t>
      </w:r>
      <w:r>
        <w:rPr>
          <w:rFonts w:ascii="Times New Roman" w:hAnsi="Times New Roman" w:cs="Times New Roman" w:hint="cs"/>
          <w:rtl/>
        </w:rPr>
        <w:t> </w:t>
      </w:r>
      <w:r>
        <w:rPr>
          <w:rtl/>
        </w:rPr>
        <w:t>2001) — استخدمت المنهج الوصفي التحليلي الكمي القائم على الاستبانة وجمع البيانات الإحصائية من العينات الميدانية. هذا التقارب في المنهجية يدل على قناعة الباحثين بأنّ ظاهرة التوازن بين العمل والحياة يمكن قياسها من خلال مؤشرات كمية ملموسة، مثل درجات الرضا أو مستويات الانخراط، مما يعزز مصداقية المقارنات الإحصائية ويمكّن من اختبار العلاقات بين المتغيرات باستخدام أدوات مثل</w:t>
      </w:r>
      <w:r>
        <w:t xml:space="preserve"> (SPSS) </w:t>
      </w:r>
      <w:r>
        <w:rPr>
          <w:rtl/>
        </w:rPr>
        <w:t>أو</w:t>
      </w:r>
      <w:r>
        <w:t xml:space="preserve"> (AMOS) </w:t>
      </w:r>
      <w:r>
        <w:rPr>
          <w:rtl/>
        </w:rPr>
        <w:t>أو النمذجة المعادلة الهيكلية</w:t>
      </w:r>
      <w:r>
        <w:t xml:space="preserve"> (SEM).</w:t>
      </w:r>
    </w:p>
    <w:p w14:paraId="3349D760" w14:textId="77777777" w:rsidR="00235611" w:rsidRDefault="00235611" w:rsidP="00235611">
      <w:pPr>
        <w:pStyle w:val="NoSpacing"/>
        <w:bidi/>
        <w:rPr>
          <w:rtl/>
        </w:rPr>
      </w:pPr>
      <w:r>
        <w:rPr>
          <w:rtl/>
        </w:rPr>
        <w:t>كما التقت الدراسات في التأكيد على أهمية البيئة التنظيمية وثقافة المؤسسة في تحقيق التوازن. فقد أشارت دراسة (أبو</w:t>
      </w:r>
      <w:r>
        <w:rPr>
          <w:rFonts w:ascii="Times New Roman" w:hAnsi="Times New Roman" w:cs="Times New Roman" w:hint="cs"/>
          <w:rtl/>
        </w:rPr>
        <w:t> </w:t>
      </w:r>
      <w:r>
        <w:rPr>
          <w:rtl/>
        </w:rPr>
        <w:t>نجم،</w:t>
      </w:r>
      <w:r>
        <w:rPr>
          <w:rFonts w:ascii="Times New Roman" w:hAnsi="Times New Roman" w:cs="Times New Roman" w:hint="cs"/>
          <w:rtl/>
        </w:rPr>
        <w:t> </w:t>
      </w:r>
      <w:r>
        <w:rPr>
          <w:rtl/>
        </w:rPr>
        <w:t>2021) إلى أن الأجور والمرونة في ساعات العمل عوامل رئيسة في تمكين الموظف من التوفيق بين المجالين، فيما أكدت دراسة</w:t>
      </w:r>
      <w:r>
        <w:t xml:space="preserve"> (Ferguson</w:t>
      </w:r>
      <w:r>
        <w:rPr>
          <w:rFonts w:ascii="Times New Roman" w:hAnsi="Times New Roman" w:cs="Times New Roman"/>
        </w:rPr>
        <w:t> </w:t>
      </w:r>
      <w:r>
        <w:rPr>
          <w:rtl/>
        </w:rPr>
        <w:t>وآخرون،</w:t>
      </w:r>
      <w:r>
        <w:rPr>
          <w:rFonts w:ascii="Times New Roman" w:hAnsi="Times New Roman" w:cs="Times New Roman" w:hint="cs"/>
          <w:rtl/>
        </w:rPr>
        <w:t> </w:t>
      </w:r>
      <w:r>
        <w:rPr>
          <w:rtl/>
        </w:rPr>
        <w:t>2012) أن الدعم الاجتماعي من الزملاء والعائلة يُعدّ شرطاً مسبقاً للتوازن. وكذلك بيّنَت دراسة</w:t>
      </w:r>
      <w:r>
        <w:t xml:space="preserve"> (Saltzstein</w:t>
      </w:r>
      <w:r>
        <w:rPr>
          <w:rFonts w:ascii="Times New Roman" w:hAnsi="Times New Roman" w:cs="Times New Roman"/>
        </w:rPr>
        <w:t> </w:t>
      </w:r>
      <w:r>
        <w:rPr>
          <w:rtl/>
        </w:rPr>
        <w:t>وآخرون،</w:t>
      </w:r>
      <w:r>
        <w:rPr>
          <w:rFonts w:ascii="Times New Roman" w:hAnsi="Times New Roman" w:cs="Times New Roman" w:hint="cs"/>
          <w:rtl/>
        </w:rPr>
        <w:t> </w:t>
      </w:r>
      <w:r>
        <w:rPr>
          <w:rtl/>
        </w:rPr>
        <w:t>2001) أن فعالية سياسات العمل الصديقة للأسرة تُسهم في رفع الرضا. وهذا التلاقي في الطرح يوضح اتفاق الباحثين عبر الثقافات على أنّ السياسات التنظيمية المرنة تُشكل البنية التحتية للتوازن المنشود</w:t>
      </w:r>
      <w:r>
        <w:t>.</w:t>
      </w:r>
    </w:p>
    <w:p w14:paraId="127DE3A0" w14:textId="77777777" w:rsidR="00235611" w:rsidRDefault="00235611" w:rsidP="00235611">
      <w:pPr>
        <w:pStyle w:val="NoSpacing"/>
        <w:bidi/>
        <w:rPr>
          <w:rtl/>
        </w:rPr>
      </w:pPr>
      <w:r>
        <w:rPr>
          <w:rtl/>
        </w:rPr>
        <w:t>تتشابه أيضاً في النتيجة المركزية القائلة إنَّ تحقيق التوازن بين الحياة والعمل يرتبط إيجابياً بالرضا الوظيفي. فقد أظهرت نتائج دراسة (منصور،</w:t>
      </w:r>
      <w:r>
        <w:rPr>
          <w:rFonts w:ascii="Times New Roman" w:hAnsi="Times New Roman" w:cs="Times New Roman" w:hint="cs"/>
          <w:rtl/>
        </w:rPr>
        <w:t> </w:t>
      </w:r>
      <w:r>
        <w:rPr>
          <w:rtl/>
        </w:rPr>
        <w:t>2024) وجود أثر إيجابي دال لتصميم الوظيفة على التوازن وبالتالي على الرضا، وهو ما يتسق مع نتائج</w:t>
      </w:r>
      <w:r>
        <w:t xml:space="preserve"> (Mas</w:t>
      </w:r>
      <w:r>
        <w:rPr>
          <w:rFonts w:ascii="Cambria Math" w:hAnsi="Cambria Math" w:cs="Cambria Math"/>
        </w:rPr>
        <w:t>‑</w:t>
      </w:r>
      <w:r>
        <w:t>Machuca</w:t>
      </w:r>
      <w:r>
        <w:rPr>
          <w:rFonts w:ascii="Times New Roman" w:hAnsi="Times New Roman" w:cs="Times New Roman"/>
        </w:rPr>
        <w:t> </w:t>
      </w:r>
      <w:r>
        <w:rPr>
          <w:rtl/>
        </w:rPr>
        <w:t>وآخرون،</w:t>
      </w:r>
      <w:r>
        <w:rPr>
          <w:rFonts w:ascii="Times New Roman" w:hAnsi="Times New Roman" w:cs="Times New Roman" w:hint="cs"/>
          <w:rtl/>
        </w:rPr>
        <w:t> </w:t>
      </w:r>
      <w:r>
        <w:rPr>
          <w:rtl/>
        </w:rPr>
        <w:t>2016) التي كشفت علاقة موجبة بين التوازن والفخر التنظيمي الذي يقود إلى الرضا، وكذلك نتائج</w:t>
      </w:r>
      <w:r>
        <w:t xml:space="preserve"> (Susanto</w:t>
      </w:r>
      <w:r>
        <w:rPr>
          <w:rFonts w:ascii="Times New Roman" w:hAnsi="Times New Roman" w:cs="Times New Roman"/>
        </w:rPr>
        <w:t> </w:t>
      </w:r>
      <w:r>
        <w:rPr>
          <w:rtl/>
        </w:rPr>
        <w:t>وآخرون،</w:t>
      </w:r>
      <w:r>
        <w:rPr>
          <w:rFonts w:ascii="Times New Roman" w:hAnsi="Times New Roman" w:cs="Times New Roman" w:hint="cs"/>
          <w:rtl/>
        </w:rPr>
        <w:t> </w:t>
      </w:r>
      <w:r>
        <w:rPr>
          <w:rtl/>
        </w:rPr>
        <w:t>2022) التي بينت أن الرضا يتوسط العلاقة بين التوازن والأداء. هذا الإجماع العلمي بين دراسات من ثقافات وقطاعات مختلفة يبرز عالمية الظاهرة، ويوضح أن الشعور بالانسجام الشخصي والمهني يعزز الانتماء والولاء للمؤسسة</w:t>
      </w:r>
      <w:r>
        <w:t>.</w:t>
      </w:r>
    </w:p>
    <w:p w14:paraId="2D63B012" w14:textId="77777777" w:rsidR="00235611" w:rsidRDefault="00235611" w:rsidP="00235611">
      <w:pPr>
        <w:pStyle w:val="NoSpacing"/>
        <w:bidi/>
        <w:rPr>
          <w:rtl/>
        </w:rPr>
      </w:pPr>
      <w:r>
        <w:rPr>
          <w:rtl/>
        </w:rPr>
        <w:t>ويمكن ملاحظة تماثل في اعتماد العديد من الدراسات على متغيرات وسيطة أو معدلة لتفسير العلاقة بين التوازن والنتائج الوظيفية. على سبيل المثال، استخدمت دراسة (أبو</w:t>
      </w:r>
      <w:r>
        <w:rPr>
          <w:rFonts w:ascii="Times New Roman" w:hAnsi="Times New Roman" w:cs="Times New Roman" w:hint="cs"/>
          <w:rtl/>
        </w:rPr>
        <w:t> </w:t>
      </w:r>
      <w:r>
        <w:rPr>
          <w:rtl/>
        </w:rPr>
        <w:t>نجم،</w:t>
      </w:r>
      <w:r>
        <w:rPr>
          <w:rFonts w:ascii="Times New Roman" w:hAnsi="Times New Roman" w:cs="Times New Roman" w:hint="cs"/>
          <w:rtl/>
        </w:rPr>
        <w:t> </w:t>
      </w:r>
      <w:r>
        <w:rPr>
          <w:rtl/>
        </w:rPr>
        <w:t>2021) متغير ضغوط العمل كوسيط، ودراسة (السليمان،</w:t>
      </w:r>
      <w:r>
        <w:rPr>
          <w:rFonts w:ascii="Times New Roman" w:hAnsi="Times New Roman" w:cs="Times New Roman" w:hint="cs"/>
          <w:rtl/>
        </w:rPr>
        <w:t> </w:t>
      </w:r>
      <w:r>
        <w:rPr>
          <w:rtl/>
        </w:rPr>
        <w:t>2021) استعانت بـ تشاركية المعرفة، بينما استخدم</w:t>
      </w:r>
      <w:r>
        <w:t xml:space="preserve"> (Koekemoer</w:t>
      </w:r>
      <w:r>
        <w:rPr>
          <w:rFonts w:ascii="Times New Roman" w:hAnsi="Times New Roman" w:cs="Times New Roman"/>
        </w:rPr>
        <w:t> </w:t>
      </w:r>
      <w:r>
        <w:rPr>
          <w:rtl/>
        </w:rPr>
        <w:t>وآخرون،</w:t>
      </w:r>
      <w:r>
        <w:rPr>
          <w:rFonts w:ascii="Times New Roman" w:hAnsi="Times New Roman" w:cs="Times New Roman" w:hint="cs"/>
          <w:rtl/>
        </w:rPr>
        <w:t> </w:t>
      </w:r>
      <w:r>
        <w:rPr>
          <w:rtl/>
        </w:rPr>
        <w:t>2020) النجاح المهني الذاتي، و</w:t>
      </w:r>
      <w:r>
        <w:t>(McNall</w:t>
      </w:r>
      <w:r>
        <w:rPr>
          <w:rFonts w:ascii="Times New Roman" w:hAnsi="Times New Roman" w:cs="Times New Roman"/>
        </w:rPr>
        <w:t> </w:t>
      </w:r>
      <w:r>
        <w:rPr>
          <w:rtl/>
        </w:rPr>
        <w:t>وآخرون،</w:t>
      </w:r>
      <w:r>
        <w:rPr>
          <w:rFonts w:ascii="Times New Roman" w:hAnsi="Times New Roman" w:cs="Times New Roman" w:hint="cs"/>
          <w:rtl/>
        </w:rPr>
        <w:t> </w:t>
      </w:r>
      <w:r>
        <w:rPr>
          <w:rtl/>
        </w:rPr>
        <w:t>2010) الإثراء من العمل إلى الحياة كوسيط. تُظهر هذه المقاربة التفسيرية المشابهة اتجاه الباحثين إلى تجاوز العلاقة المباشرة واستكشاف المسارات غير المباشرة التي توضح كيفية تأثير التوازن على السلوك الإنساني داخل بيئة العمل</w:t>
      </w:r>
      <w:r>
        <w:t>.</w:t>
      </w:r>
    </w:p>
    <w:p w14:paraId="1181D1A7" w14:textId="7E821637" w:rsidR="006A2745" w:rsidRDefault="00235611" w:rsidP="00235611">
      <w:pPr>
        <w:pStyle w:val="NoSpacing"/>
        <w:bidi/>
        <w:rPr>
          <w:rtl/>
        </w:rPr>
      </w:pPr>
      <w:r>
        <w:rPr>
          <w:rtl/>
        </w:rPr>
        <w:t>تتقارب الدراسات كذلك في تركيزها على أهمية المرونة التنظيمية باعتبارها أداة لتحقيق التوازن. فقد دعت دراسة (محمود،</w:t>
      </w:r>
      <w:r>
        <w:rPr>
          <w:rFonts w:ascii="Times New Roman" w:hAnsi="Times New Roman" w:cs="Times New Roman" w:hint="cs"/>
          <w:rtl/>
        </w:rPr>
        <w:t> </w:t>
      </w:r>
      <w:r>
        <w:rPr>
          <w:rtl/>
        </w:rPr>
        <w:t>2021) إلى فتح قنوات الحوار وتمكين المشاركة في اتخاذ القرار بوصفها عوامل تضمن رضا الموظف، بينما أكدت دراسة</w:t>
      </w:r>
      <w:r>
        <w:t xml:space="preserve"> (McNall</w:t>
      </w:r>
      <w:r>
        <w:rPr>
          <w:rFonts w:ascii="Times New Roman" w:hAnsi="Times New Roman" w:cs="Times New Roman"/>
        </w:rPr>
        <w:t> </w:t>
      </w:r>
      <w:r>
        <w:rPr>
          <w:rtl/>
        </w:rPr>
        <w:t>وآخرون،</w:t>
      </w:r>
      <w:r>
        <w:rPr>
          <w:rFonts w:ascii="Times New Roman" w:hAnsi="Times New Roman" w:cs="Times New Roman" w:hint="cs"/>
          <w:rtl/>
        </w:rPr>
        <w:t> </w:t>
      </w:r>
      <w:r>
        <w:rPr>
          <w:rtl/>
        </w:rPr>
        <w:t>2010) أنّ الترتيبات الوظيفية المرنة تقلل نوايا ترك العمل. كما شددت دراسات الميتا</w:t>
      </w:r>
      <w:r>
        <w:rPr>
          <w:rFonts w:ascii="Cambria Math" w:hAnsi="Cambria Math" w:cs="Cambria Math" w:hint="cs"/>
          <w:rtl/>
        </w:rPr>
        <w:t>‑</w:t>
      </w:r>
      <w:r>
        <w:rPr>
          <w:rtl/>
        </w:rPr>
        <w:t>تحليل</w:t>
      </w:r>
      <w:r>
        <w:t xml:space="preserve"> (Shockley</w:t>
      </w:r>
      <w:r>
        <w:rPr>
          <w:rFonts w:ascii="Times New Roman" w:hAnsi="Times New Roman" w:cs="Times New Roman"/>
        </w:rPr>
        <w:t> </w:t>
      </w:r>
      <w:r>
        <w:rPr>
          <w:rtl/>
        </w:rPr>
        <w:t>و</w:t>
      </w:r>
      <w:r>
        <w:rPr>
          <w:rFonts w:ascii="Times New Roman" w:hAnsi="Times New Roman" w:cs="Times New Roman"/>
        </w:rPr>
        <w:t> </w:t>
      </w:r>
      <w:r>
        <w:t>Singla</w:t>
      </w:r>
      <w:r>
        <w:rPr>
          <w:rtl/>
        </w:rPr>
        <w:t>،</w:t>
      </w:r>
      <w:r>
        <w:rPr>
          <w:rFonts w:ascii="Times New Roman" w:hAnsi="Times New Roman" w:cs="Times New Roman" w:hint="cs"/>
          <w:rtl/>
        </w:rPr>
        <w:t> </w:t>
      </w:r>
      <w:r>
        <w:rPr>
          <w:rtl/>
        </w:rPr>
        <w:t>2011</w:t>
      </w:r>
      <w:r>
        <w:t xml:space="preserve">) </w:t>
      </w:r>
      <w:r>
        <w:rPr>
          <w:rtl/>
        </w:rPr>
        <w:t>و</w:t>
      </w:r>
      <w:r>
        <w:t>(Amstad</w:t>
      </w:r>
      <w:r>
        <w:rPr>
          <w:rFonts w:ascii="Times New Roman" w:hAnsi="Times New Roman" w:cs="Times New Roman"/>
        </w:rPr>
        <w:t> </w:t>
      </w:r>
      <w:r>
        <w:rPr>
          <w:rtl/>
        </w:rPr>
        <w:t>وآخرون،</w:t>
      </w:r>
      <w:r>
        <w:rPr>
          <w:rFonts w:ascii="Times New Roman" w:hAnsi="Times New Roman" w:cs="Times New Roman" w:hint="cs"/>
          <w:rtl/>
        </w:rPr>
        <w:t> </w:t>
      </w:r>
      <w:r>
        <w:rPr>
          <w:rtl/>
        </w:rPr>
        <w:t>2011) على ضرورة تبني المؤسسات سياسات مرنة تراعي أوقات العمل والحياة الخاصة. بالتالي، يظهر اتساق عام في الرؤية التي تعتبر المرونة في التوقيت والإجراءات والسياسات شرطاً لتحقيق التوازن والرضا والاستقرار المهني</w:t>
      </w:r>
      <w:r>
        <w:t>.</w:t>
      </w:r>
    </w:p>
    <w:p w14:paraId="7D4CA1FB" w14:textId="7CC9CF6C" w:rsidR="00BF6213" w:rsidRPr="00BF6213" w:rsidRDefault="00BF6213" w:rsidP="00571145">
      <w:pPr>
        <w:pStyle w:val="Heading4"/>
        <w:rPr>
          <w:rtl/>
        </w:rPr>
      </w:pPr>
      <w:bookmarkStart w:id="17" w:name="_Toc213626798"/>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7"/>
    </w:p>
    <w:p w14:paraId="5F9B49F8" w14:textId="77777777" w:rsidR="00235611" w:rsidRDefault="00235611" w:rsidP="00235611">
      <w:pPr>
        <w:pStyle w:val="NoSpacing"/>
        <w:bidi/>
        <w:rPr>
          <w:rtl/>
        </w:rPr>
      </w:pPr>
      <w:r>
        <w:rPr>
          <w:rtl/>
        </w:rPr>
        <w:t>رغم وحدانية الموضوع، إلا أن الدراسات اختلفت في المتغيرات التابعة التي تناولتها. فالدراسات العربية كدراسة (محمود،</w:t>
      </w:r>
      <w:r>
        <w:rPr>
          <w:rFonts w:ascii="Times New Roman" w:hAnsi="Times New Roman" w:cs="Times New Roman" w:hint="cs"/>
          <w:rtl/>
        </w:rPr>
        <w:t> </w:t>
      </w:r>
      <w:r>
        <w:rPr>
          <w:rtl/>
        </w:rPr>
        <w:t>2021) و(العرمان،</w:t>
      </w:r>
      <w:r>
        <w:rPr>
          <w:rFonts w:ascii="Times New Roman" w:hAnsi="Times New Roman" w:cs="Times New Roman" w:hint="cs"/>
          <w:rtl/>
        </w:rPr>
        <w:t> </w:t>
      </w:r>
      <w:r>
        <w:rPr>
          <w:rtl/>
        </w:rPr>
        <w:t>2021) ركزت على نية ترك العمل والنجاح الوظيفي، في حين أن (السليمان،</w:t>
      </w:r>
      <w:r>
        <w:rPr>
          <w:rFonts w:ascii="Times New Roman" w:hAnsi="Times New Roman" w:cs="Times New Roman" w:hint="cs"/>
          <w:rtl/>
        </w:rPr>
        <w:t> </w:t>
      </w:r>
      <w:r>
        <w:rPr>
          <w:rtl/>
        </w:rPr>
        <w:t>2021) انصبت على الرضا الوظيفي من منظور القيادة التحويلية. بالمقابل، ركزت الدراسات الأجنبية مثل</w:t>
      </w:r>
      <w:r>
        <w:t xml:space="preserve"> (Haar</w:t>
      </w:r>
      <w:r>
        <w:rPr>
          <w:rFonts w:ascii="Times New Roman" w:hAnsi="Times New Roman" w:cs="Times New Roman"/>
        </w:rPr>
        <w:t> </w:t>
      </w:r>
      <w:r>
        <w:rPr>
          <w:rtl/>
        </w:rPr>
        <w:t>وآخرون،</w:t>
      </w:r>
      <w:r>
        <w:rPr>
          <w:rFonts w:ascii="Times New Roman" w:hAnsi="Times New Roman" w:cs="Times New Roman" w:hint="cs"/>
          <w:rtl/>
        </w:rPr>
        <w:t> </w:t>
      </w:r>
      <w:r>
        <w:rPr>
          <w:rtl/>
        </w:rPr>
        <w:t>2014) و</w:t>
      </w:r>
      <w:r>
        <w:t>(Bruck</w:t>
      </w:r>
      <w:r>
        <w:rPr>
          <w:rFonts w:ascii="Times New Roman" w:hAnsi="Times New Roman" w:cs="Times New Roman"/>
        </w:rPr>
        <w:t> </w:t>
      </w:r>
      <w:r>
        <w:rPr>
          <w:rtl/>
        </w:rPr>
        <w:t>وآخرون،</w:t>
      </w:r>
      <w:r>
        <w:rPr>
          <w:rFonts w:ascii="Times New Roman" w:hAnsi="Times New Roman" w:cs="Times New Roman" w:hint="cs"/>
          <w:rtl/>
        </w:rPr>
        <w:t> </w:t>
      </w:r>
      <w:r>
        <w:rPr>
          <w:rtl/>
        </w:rPr>
        <w:t>2002) على الصحة النفسية، القلق والاكتئاب أو الإثراء بين العمل والحياة. هذا الاختلاف يُبرز تنوع الرؤية، حيث ركزت الأبحاث العربية على النتائج الإدارية والتنظيمية، بينما اهتمت الأجنبية بالأبعاد النفسية والاجتماعية الأعمق</w:t>
      </w:r>
      <w:r>
        <w:t>.</w:t>
      </w:r>
    </w:p>
    <w:p w14:paraId="63719106" w14:textId="77777777" w:rsidR="00235611" w:rsidRDefault="00235611" w:rsidP="00235611">
      <w:pPr>
        <w:pStyle w:val="NoSpacing"/>
        <w:bidi/>
        <w:rPr>
          <w:rtl/>
        </w:rPr>
      </w:pPr>
      <w:r>
        <w:rPr>
          <w:rtl/>
        </w:rPr>
        <w:t>ويظهر تباين في المستوى الثقافي والسياق الاجتماعي للعينة. فالدراسات المحلية أجريت في بيئة أردنية وعربية تميل إلى الطابع الجمعي والهرمي في تنظيم العمل، مثل (منصور،</w:t>
      </w:r>
      <w:r>
        <w:rPr>
          <w:rFonts w:ascii="Times New Roman" w:hAnsi="Times New Roman" w:cs="Times New Roman" w:hint="cs"/>
          <w:rtl/>
        </w:rPr>
        <w:t> </w:t>
      </w:r>
      <w:r>
        <w:rPr>
          <w:rtl/>
        </w:rPr>
        <w:t>2024) في البنك العربي الإسلامي و(أبو</w:t>
      </w:r>
      <w:r>
        <w:rPr>
          <w:rFonts w:ascii="Times New Roman" w:hAnsi="Times New Roman" w:cs="Times New Roman" w:hint="cs"/>
          <w:rtl/>
        </w:rPr>
        <w:t> </w:t>
      </w:r>
      <w:r>
        <w:rPr>
          <w:rtl/>
        </w:rPr>
        <w:t>نجم،</w:t>
      </w:r>
      <w:r>
        <w:rPr>
          <w:rFonts w:ascii="Times New Roman" w:hAnsi="Times New Roman" w:cs="Times New Roman" w:hint="cs"/>
          <w:rtl/>
        </w:rPr>
        <w:t> </w:t>
      </w:r>
      <w:r>
        <w:rPr>
          <w:rtl/>
        </w:rPr>
        <w:t>2021) في شركة أمنية، بينما الدراسات الأجنبية مثل</w:t>
      </w:r>
      <w:r>
        <w:t xml:space="preserve"> (Haar</w:t>
      </w:r>
      <w:r>
        <w:rPr>
          <w:rFonts w:ascii="Times New Roman" w:hAnsi="Times New Roman" w:cs="Times New Roman"/>
        </w:rPr>
        <w:t> </w:t>
      </w:r>
      <w:r>
        <w:rPr>
          <w:rtl/>
        </w:rPr>
        <w:t>وآخرون،</w:t>
      </w:r>
      <w:r>
        <w:rPr>
          <w:rFonts w:ascii="Times New Roman" w:hAnsi="Times New Roman" w:cs="Times New Roman" w:hint="cs"/>
          <w:rtl/>
        </w:rPr>
        <w:t> </w:t>
      </w:r>
      <w:r>
        <w:rPr>
          <w:rtl/>
        </w:rPr>
        <w:t>2014) أو</w:t>
      </w:r>
      <w:r>
        <w:t xml:space="preserve"> (Mas</w:t>
      </w:r>
      <w:r>
        <w:rPr>
          <w:rFonts w:ascii="Cambria Math" w:hAnsi="Cambria Math" w:cs="Cambria Math"/>
        </w:rPr>
        <w:t>‑</w:t>
      </w:r>
      <w:r>
        <w:t>Machuca</w:t>
      </w:r>
      <w:r>
        <w:rPr>
          <w:rFonts w:ascii="Times New Roman" w:hAnsi="Times New Roman" w:cs="Times New Roman"/>
        </w:rPr>
        <w:t> </w:t>
      </w:r>
      <w:r>
        <w:rPr>
          <w:rtl/>
        </w:rPr>
        <w:t>وآخرون،</w:t>
      </w:r>
      <w:r>
        <w:rPr>
          <w:rFonts w:ascii="Times New Roman" w:hAnsi="Times New Roman" w:cs="Times New Roman" w:hint="cs"/>
          <w:rtl/>
        </w:rPr>
        <w:t> </w:t>
      </w:r>
      <w:r>
        <w:rPr>
          <w:rtl/>
        </w:rPr>
        <w:t>2016) تمت في بيئات أوروبية أو آسيوية تتسم بثقافة مؤسسية أكثر تحرراً ولامركزية. ولذلك، فإن العوامل المؤثرة في التوازن تختلف: ففي المجتمعات العربية تبرز الأجور، ساعات العمل، وعدالة القيادة، أما في البيئات الغربية فيُنظر إلى الدعم الاجتماعي والمرونة المؤسسية كعناصر أساسية</w:t>
      </w:r>
      <w:r>
        <w:t>.</w:t>
      </w:r>
    </w:p>
    <w:p w14:paraId="16D57C88" w14:textId="77777777" w:rsidR="00235611" w:rsidRDefault="00235611" w:rsidP="00235611">
      <w:pPr>
        <w:pStyle w:val="NoSpacing"/>
        <w:bidi/>
        <w:rPr>
          <w:rtl/>
        </w:rPr>
      </w:pPr>
      <w:r>
        <w:rPr>
          <w:rtl/>
        </w:rPr>
        <w:t>اختلفت الدراسات أيضاً في حجم مجتمع الدراسة وتصميم العينة. فمثلاً، تناولت دراسة (محمود،</w:t>
      </w:r>
      <w:r>
        <w:rPr>
          <w:rFonts w:ascii="Times New Roman" w:hAnsi="Times New Roman" w:cs="Times New Roman" w:hint="cs"/>
          <w:rtl/>
        </w:rPr>
        <w:t> </w:t>
      </w:r>
      <w:r>
        <w:rPr>
          <w:rtl/>
        </w:rPr>
        <w:t>2021) مجتمعاً كبيراً بلغ (1601) موظف بعينة (300)، بينما اقتصرت</w:t>
      </w:r>
      <w:r>
        <w:t xml:space="preserve"> (Bruck</w:t>
      </w:r>
      <w:r>
        <w:rPr>
          <w:rFonts w:ascii="Times New Roman" w:hAnsi="Times New Roman" w:cs="Times New Roman"/>
        </w:rPr>
        <w:t> </w:t>
      </w:r>
      <w:r>
        <w:rPr>
          <w:rtl/>
        </w:rPr>
        <w:t>وآخرون،</w:t>
      </w:r>
      <w:r>
        <w:rPr>
          <w:rFonts w:ascii="Times New Roman" w:hAnsi="Times New Roman" w:cs="Times New Roman" w:hint="cs"/>
          <w:rtl/>
        </w:rPr>
        <w:t> </w:t>
      </w:r>
      <w:r>
        <w:rPr>
          <w:rtl/>
        </w:rPr>
        <w:t>2002) على (220) مشاركاً فقط، و</w:t>
      </w:r>
      <w:r>
        <w:t>(Haar</w:t>
      </w:r>
      <w:r>
        <w:rPr>
          <w:rFonts w:ascii="Times New Roman" w:hAnsi="Times New Roman" w:cs="Times New Roman"/>
        </w:rPr>
        <w:t> </w:t>
      </w:r>
      <w:r>
        <w:rPr>
          <w:rtl/>
        </w:rPr>
        <w:t>وآخرون،</w:t>
      </w:r>
      <w:r>
        <w:rPr>
          <w:rFonts w:ascii="Times New Roman" w:hAnsi="Times New Roman" w:cs="Times New Roman" w:hint="cs"/>
          <w:rtl/>
        </w:rPr>
        <w:t> </w:t>
      </w:r>
      <w:r>
        <w:rPr>
          <w:rtl/>
        </w:rPr>
        <w:t>2014) استخدمت عينة ضخمة من (1416) موظفاً من سبع ثقافات. هذا التفاوت في الحجم والتنوع الثقافي يؤثر على عمومية النتائج، إذ تمنح العينات الواسعة تحليلاً أكثر تمثيلاً، فيما تتيح العينات الصغيرة فهماً أعمق للسياق المؤسسي المحدد</w:t>
      </w:r>
      <w:r>
        <w:t>.</w:t>
      </w:r>
    </w:p>
    <w:p w14:paraId="17172FB8" w14:textId="77777777" w:rsidR="00235611" w:rsidRDefault="00235611" w:rsidP="00235611">
      <w:pPr>
        <w:pStyle w:val="NoSpacing"/>
        <w:bidi/>
        <w:rPr>
          <w:rtl/>
        </w:rPr>
      </w:pPr>
      <w:r>
        <w:rPr>
          <w:rtl/>
        </w:rPr>
        <w:t>ويُلاحظ اختلاف جوهري في استراتيجيات التحليل الإحصائي المستخدمة. فمعظم الدراسات العربية مثل (منصور،</w:t>
      </w:r>
      <w:r>
        <w:rPr>
          <w:rFonts w:ascii="Times New Roman" w:hAnsi="Times New Roman" w:cs="Times New Roman" w:hint="cs"/>
          <w:rtl/>
        </w:rPr>
        <w:t> </w:t>
      </w:r>
      <w:r>
        <w:rPr>
          <w:rtl/>
        </w:rPr>
        <w:t>2024) و(العرمان،</w:t>
      </w:r>
      <w:r>
        <w:rPr>
          <w:rFonts w:ascii="Times New Roman" w:hAnsi="Times New Roman" w:cs="Times New Roman" w:hint="cs"/>
          <w:rtl/>
        </w:rPr>
        <w:t> </w:t>
      </w:r>
      <w:r>
        <w:rPr>
          <w:rtl/>
        </w:rPr>
        <w:t>2021) استخدمت تحليل الانحدار المتعدد أو اختبار</w:t>
      </w:r>
      <w:r>
        <w:t xml:space="preserve"> (T) </w:t>
      </w:r>
      <w:r>
        <w:rPr>
          <w:rtl/>
        </w:rPr>
        <w:t>و</w:t>
      </w:r>
      <w:r>
        <w:t xml:space="preserve">(ANOVA) </w:t>
      </w:r>
      <w:r>
        <w:rPr>
          <w:rtl/>
        </w:rPr>
        <w:t>التقليدية، بينما اعتمدت الأجنبية الحديثة مثل</w:t>
      </w:r>
      <w:r>
        <w:t xml:space="preserve"> (Susanto</w:t>
      </w:r>
      <w:r>
        <w:rPr>
          <w:rFonts w:ascii="Times New Roman" w:hAnsi="Times New Roman" w:cs="Times New Roman"/>
        </w:rPr>
        <w:t> </w:t>
      </w:r>
      <w:r>
        <w:rPr>
          <w:rtl/>
        </w:rPr>
        <w:t>وآخرون،</w:t>
      </w:r>
      <w:r>
        <w:rPr>
          <w:rFonts w:ascii="Times New Roman" w:hAnsi="Times New Roman" w:cs="Times New Roman" w:hint="cs"/>
          <w:rtl/>
        </w:rPr>
        <w:t> </w:t>
      </w:r>
      <w:r>
        <w:rPr>
          <w:rtl/>
        </w:rPr>
        <w:t>2022) و</w:t>
      </w:r>
      <w:r>
        <w:t>(Koekemoer</w:t>
      </w:r>
      <w:r>
        <w:rPr>
          <w:rFonts w:ascii="Times New Roman" w:hAnsi="Times New Roman" w:cs="Times New Roman"/>
        </w:rPr>
        <w:t> </w:t>
      </w:r>
      <w:r>
        <w:rPr>
          <w:rtl/>
        </w:rPr>
        <w:t>وآخرون،</w:t>
      </w:r>
      <w:r>
        <w:rPr>
          <w:rFonts w:ascii="Times New Roman" w:hAnsi="Times New Roman" w:cs="Times New Roman" w:hint="cs"/>
          <w:rtl/>
        </w:rPr>
        <w:t> </w:t>
      </w:r>
      <w:r>
        <w:rPr>
          <w:rtl/>
        </w:rPr>
        <w:t>2020) على تقنيات أكثر تعقيداً مثل</w:t>
      </w:r>
      <w:r>
        <w:t xml:space="preserve"> Smart</w:t>
      </w:r>
      <w:r>
        <w:rPr>
          <w:rFonts w:ascii="Times New Roman" w:hAnsi="Times New Roman" w:cs="Times New Roman"/>
        </w:rPr>
        <w:t> </w:t>
      </w:r>
      <w:r>
        <w:t xml:space="preserve">PLS </w:t>
      </w:r>
      <w:r>
        <w:rPr>
          <w:rtl/>
        </w:rPr>
        <w:t>و</w:t>
      </w:r>
      <w:r>
        <w:t>Path</w:t>
      </w:r>
      <w:r>
        <w:rPr>
          <w:rFonts w:ascii="Times New Roman" w:hAnsi="Times New Roman" w:cs="Times New Roman"/>
        </w:rPr>
        <w:t> </w:t>
      </w:r>
      <w:r>
        <w:t xml:space="preserve">Analysis </w:t>
      </w:r>
      <w:r>
        <w:rPr>
          <w:rtl/>
        </w:rPr>
        <w:t>و</w:t>
      </w:r>
      <w:r>
        <w:t>SEM</w:t>
      </w:r>
      <w:r>
        <w:rPr>
          <w:rtl/>
        </w:rPr>
        <w:t>، بالإضافة إلى التحليل التلوي الشمولي في دراستي</w:t>
      </w:r>
      <w:r>
        <w:t xml:space="preserve"> (Shockley</w:t>
      </w:r>
      <w:r>
        <w:rPr>
          <w:rFonts w:ascii="Times New Roman" w:hAnsi="Times New Roman" w:cs="Times New Roman"/>
        </w:rPr>
        <w:t> </w:t>
      </w:r>
      <w:r>
        <w:rPr>
          <w:rtl/>
        </w:rPr>
        <w:t>و</w:t>
      </w:r>
      <w:r>
        <w:rPr>
          <w:rFonts w:ascii="Times New Roman" w:hAnsi="Times New Roman" w:cs="Times New Roman"/>
        </w:rPr>
        <w:t> </w:t>
      </w:r>
      <w:r>
        <w:t>Singla</w:t>
      </w:r>
      <w:r>
        <w:rPr>
          <w:rtl/>
        </w:rPr>
        <w:t>،</w:t>
      </w:r>
      <w:r>
        <w:rPr>
          <w:rFonts w:ascii="Times New Roman" w:hAnsi="Times New Roman" w:cs="Times New Roman" w:hint="cs"/>
          <w:rtl/>
        </w:rPr>
        <w:t> </w:t>
      </w:r>
      <w:r>
        <w:rPr>
          <w:rtl/>
        </w:rPr>
        <w:t>2011</w:t>
      </w:r>
      <w:r>
        <w:t xml:space="preserve">) </w:t>
      </w:r>
      <w:r>
        <w:rPr>
          <w:rtl/>
        </w:rPr>
        <w:t>و</w:t>
      </w:r>
      <w:r>
        <w:t>(Amstad</w:t>
      </w:r>
      <w:r>
        <w:rPr>
          <w:rFonts w:ascii="Times New Roman" w:hAnsi="Times New Roman" w:cs="Times New Roman"/>
        </w:rPr>
        <w:t> </w:t>
      </w:r>
      <w:r>
        <w:rPr>
          <w:rtl/>
        </w:rPr>
        <w:t>وآخرون،</w:t>
      </w:r>
      <w:r>
        <w:rPr>
          <w:rFonts w:ascii="Times New Roman" w:hAnsi="Times New Roman" w:cs="Times New Roman" w:hint="cs"/>
          <w:rtl/>
        </w:rPr>
        <w:t> </w:t>
      </w:r>
      <w:r>
        <w:rPr>
          <w:rtl/>
        </w:rPr>
        <w:t>2011). هذا الفارق المنهجي يبيّن تطوّر الأدوات التحليلية في البحوث الأجنبية مقارنة بنظيراتها العربية التي ما زالت تميل إلى الأساليب الوصفية التقليدية</w:t>
      </w:r>
      <w:r>
        <w:t>.</w:t>
      </w:r>
    </w:p>
    <w:p w14:paraId="6F8E762A" w14:textId="77777777" w:rsidR="00235611" w:rsidRDefault="00235611" w:rsidP="00235611">
      <w:pPr>
        <w:pStyle w:val="NoSpacing"/>
        <w:bidi/>
        <w:rPr>
          <w:rtl/>
        </w:rPr>
      </w:pPr>
      <w:r>
        <w:rPr>
          <w:rtl/>
        </w:rPr>
        <w:t>كما تختلف الدراسات في الأطر النظرية والمفاهيم المساندة التي اعتمدت عليها. فقد استندت دراسة (السليمان،</w:t>
      </w:r>
      <w:r>
        <w:rPr>
          <w:rFonts w:ascii="Times New Roman" w:hAnsi="Times New Roman" w:cs="Times New Roman" w:hint="cs"/>
          <w:rtl/>
        </w:rPr>
        <w:t> </w:t>
      </w:r>
      <w:r>
        <w:rPr>
          <w:rtl/>
        </w:rPr>
        <w:t>2021) إلى نظرية القيادة التحويلية ونموذج تبادل المعرفة، بينما اعتمدت</w:t>
      </w:r>
      <w:r>
        <w:t xml:space="preserve"> (McNall</w:t>
      </w:r>
      <w:r>
        <w:rPr>
          <w:rFonts w:ascii="Times New Roman" w:hAnsi="Times New Roman" w:cs="Times New Roman"/>
        </w:rPr>
        <w:t> </w:t>
      </w:r>
      <w:r>
        <w:rPr>
          <w:rtl/>
        </w:rPr>
        <w:t>وآخرون،</w:t>
      </w:r>
      <w:r>
        <w:rPr>
          <w:rFonts w:ascii="Times New Roman" w:hAnsi="Times New Roman" w:cs="Times New Roman" w:hint="cs"/>
          <w:rtl/>
        </w:rPr>
        <w:t> </w:t>
      </w:r>
      <w:r>
        <w:rPr>
          <w:rtl/>
        </w:rPr>
        <w:t>2010) على نظرية الإثراء بين العمل والحياة. في المقابل، ركزت دراسات مثل (محمود،</w:t>
      </w:r>
      <w:r>
        <w:rPr>
          <w:rFonts w:ascii="Times New Roman" w:hAnsi="Times New Roman" w:cs="Times New Roman" w:hint="cs"/>
          <w:rtl/>
        </w:rPr>
        <w:t> </w:t>
      </w:r>
      <w:r>
        <w:rPr>
          <w:rtl/>
        </w:rPr>
        <w:t>2021) و(منصور،</w:t>
      </w:r>
      <w:r>
        <w:rPr>
          <w:rFonts w:ascii="Times New Roman" w:hAnsi="Times New Roman" w:cs="Times New Roman" w:hint="cs"/>
          <w:rtl/>
        </w:rPr>
        <w:t> </w:t>
      </w:r>
      <w:r>
        <w:rPr>
          <w:rtl/>
        </w:rPr>
        <w:t>2024) على نماذج إدارة الموارد البشرية دون إطار نظري محدّد. هذه الفوارق النظرية تعكس تفاوت النضج المفاهيمي بين الباحثين، إذ تميل البحوث الغربية إلى البناء على نظريات سابقة لتفسير العلاقات، بينما تعتمد بعض البحوث العربية على التجريب الميداني المباشر</w:t>
      </w:r>
      <w:r>
        <w:t>.</w:t>
      </w:r>
    </w:p>
    <w:p w14:paraId="2DC1778C" w14:textId="1A9D783D" w:rsidR="006A2745" w:rsidRPr="001D6272" w:rsidRDefault="00235611" w:rsidP="00235611">
      <w:pPr>
        <w:pStyle w:val="NoSpacing"/>
        <w:bidi/>
        <w:rPr>
          <w:rtl/>
        </w:rPr>
      </w:pPr>
      <w:r>
        <w:rPr>
          <w:rtl/>
        </w:rPr>
        <w:t>وأخيراً، تتباين الدراسات في اتجاه النتائج والتوصيات وتناغمها مع الواقع التطبيقي. فالدراسات العربية أوصت غالباً بتطوير السياسات التنظيمية وتحسين الأجور وظروف العمل كما في (أبو</w:t>
      </w:r>
      <w:r>
        <w:rPr>
          <w:rFonts w:ascii="Times New Roman" w:hAnsi="Times New Roman" w:cs="Times New Roman" w:hint="cs"/>
          <w:rtl/>
        </w:rPr>
        <w:t> </w:t>
      </w:r>
      <w:r>
        <w:rPr>
          <w:rtl/>
        </w:rPr>
        <w:t>نجم،</w:t>
      </w:r>
      <w:r>
        <w:rPr>
          <w:rFonts w:ascii="Times New Roman" w:hAnsi="Times New Roman" w:cs="Times New Roman" w:hint="cs"/>
          <w:rtl/>
        </w:rPr>
        <w:t> </w:t>
      </w:r>
      <w:r>
        <w:rPr>
          <w:rtl/>
        </w:rPr>
        <w:t>2021) و(محمود،</w:t>
      </w:r>
      <w:r>
        <w:rPr>
          <w:rFonts w:ascii="Times New Roman" w:hAnsi="Times New Roman" w:cs="Times New Roman" w:hint="cs"/>
          <w:rtl/>
        </w:rPr>
        <w:t> </w:t>
      </w:r>
      <w:r>
        <w:rPr>
          <w:rtl/>
        </w:rPr>
        <w:t>2021)، بينما ذهبت الدراسات الأجنبية إلى بناء ثقافة مؤسسية دائمة للتوازن تشمل المرونة، تقليل التحيز ضد مستخدمي الإجازات، وتعزيز الدعم النفسي كما في</w:t>
      </w:r>
      <w:r>
        <w:t xml:space="preserve"> (Haar</w:t>
      </w:r>
      <w:r>
        <w:rPr>
          <w:rFonts w:ascii="Times New Roman" w:hAnsi="Times New Roman" w:cs="Times New Roman"/>
        </w:rPr>
        <w:t> </w:t>
      </w:r>
      <w:r>
        <w:rPr>
          <w:rtl/>
        </w:rPr>
        <w:t>وآخرون،</w:t>
      </w:r>
      <w:r>
        <w:rPr>
          <w:rFonts w:ascii="Times New Roman" w:hAnsi="Times New Roman" w:cs="Times New Roman" w:hint="cs"/>
          <w:rtl/>
        </w:rPr>
        <w:t> </w:t>
      </w:r>
      <w:r>
        <w:rPr>
          <w:rtl/>
        </w:rPr>
        <w:t>2014) و</w:t>
      </w:r>
      <w:r>
        <w:t>(Saltzstein</w:t>
      </w:r>
      <w:r>
        <w:rPr>
          <w:rFonts w:ascii="Times New Roman" w:hAnsi="Times New Roman" w:cs="Times New Roman"/>
        </w:rPr>
        <w:t> </w:t>
      </w:r>
      <w:r>
        <w:rPr>
          <w:rtl/>
        </w:rPr>
        <w:t>وآخرون،</w:t>
      </w:r>
      <w:r>
        <w:rPr>
          <w:rFonts w:ascii="Times New Roman" w:hAnsi="Times New Roman" w:cs="Times New Roman" w:hint="cs"/>
          <w:rtl/>
        </w:rPr>
        <w:t> </w:t>
      </w:r>
      <w:r>
        <w:rPr>
          <w:rtl/>
        </w:rPr>
        <w:t>2001). وبالتالي، فإن التوجه العربي يركز على الإجراءات الإدارية الملموسة قصيرة المدى، في حين يركّز الاتجاه الغربي على البنية الثقافية والسياسات الشمولية طويلة المدى</w:t>
      </w:r>
      <w:r>
        <w:t>.</w:t>
      </w:r>
    </w:p>
    <w:p w14:paraId="06427467" w14:textId="2C5CC23A" w:rsidR="00472DB0" w:rsidRDefault="00BF6213" w:rsidP="00235611">
      <w:pPr>
        <w:pStyle w:val="Heading4"/>
        <w:rPr>
          <w:rtl/>
        </w:rPr>
      </w:pPr>
      <w:bookmarkStart w:id="18" w:name="_Toc213626799"/>
      <w:r w:rsidRPr="00BF6213">
        <w:rPr>
          <w:rFonts w:hint="cs"/>
          <w:rtl/>
        </w:rPr>
        <w:t>الفجوة البحثية التي تميز البحث الحالي عن الدراسات السابقة:</w:t>
      </w:r>
      <w:bookmarkEnd w:id="18"/>
    </w:p>
    <w:p w14:paraId="55695D07" w14:textId="0BCA2D08" w:rsidR="00F575B0" w:rsidRDefault="00F575B0" w:rsidP="00235611">
      <w:pPr>
        <w:pStyle w:val="NoSpacing"/>
        <w:bidi/>
        <w:rPr>
          <w:rFonts w:eastAsia="Calibri"/>
          <w:rtl/>
          <w:lang w:bidi="ar-EG"/>
        </w:rPr>
      </w:pPr>
      <w:r w:rsidRPr="00584051">
        <w:rPr>
          <w:rFonts w:eastAsia="Calibri"/>
          <w:rtl/>
          <w:lang w:bidi="ar-EG"/>
        </w:rPr>
        <w:t>تختلف الدراسة الحالية عن الدراسات السابقة من حيث المجتمع المستهدف، إذ أنها تركز على العاملين في القطاع الصحي، وهم فئة غالبًا ما يتم استثناؤها في الدراسات المتعلقة بالرضا الوظيفي، رغم خصوصية عملهم. كما أن الضغوط التي يعاني منها العاملون في المجال الصحي — كالضغط النفسي، والمخاطر الصحية، وساعات العمل الطويلة — تجعل من التوازن بين الحياة والعمل لديهم قضية جوهرية، قد تؤثر بشكل مباشر على الرضا الوظيفي أكثر من أي قطاع آخر. وهذا يجعل الدراسة الحالية ذات أهمية تطبيقية عالية للمؤسسات الصحية. علاوة على ذلك، توظف الدراسة أداة ميدانية تعتمد على جمع البيانات المباشرة من الممارسين الصحيين في بيئة سعودية، مما يمنحها بعدًا موقعيًا وثقافيًا جديدًا لم تتم تغطيته في البحوث السابقة</w:t>
      </w:r>
      <w:r w:rsidRPr="00584051">
        <w:rPr>
          <w:rFonts w:eastAsia="Calibri"/>
          <w:lang w:bidi="ar-EG"/>
        </w:rPr>
        <w:t>.</w:t>
      </w:r>
    </w:p>
    <w:p w14:paraId="0639FB7E" w14:textId="4781B0D3" w:rsidR="00F575B0" w:rsidRPr="00C245EF" w:rsidRDefault="00F575B0" w:rsidP="00235611">
      <w:pPr>
        <w:pStyle w:val="NoSpacing"/>
        <w:bidi/>
        <w:rPr>
          <w:rFonts w:eastAsia="Calibri"/>
          <w:rtl/>
          <w:lang w:bidi="ar-EG"/>
        </w:rPr>
      </w:pPr>
      <w:r w:rsidRPr="00584051">
        <w:rPr>
          <w:rFonts w:eastAsia="Calibri"/>
          <w:rtl/>
          <w:lang w:bidi="ar-EG"/>
        </w:rPr>
        <w:t>يمكن القول إن الدراسة الحالية تُعد رائدة من حيث تناولها لموضوع التوازن بين الحياة والعمل في القطاع الصحي السعودي، وتركّز بشكل مباشر على مستوى الرضا الوظيفي، ما يمنحها تميزًا من حيث المجال، والبيئة، والمستهدفين، والهدف البحثي الأساسي. كما أن طبيعة البيئة الصحية تستدعي إجراء دراسة من هذا النوع لتقديم حلول عملية تُحسن من ظروف العمل وتدعم سياسات الاحتفاظ بالكوادر البشرية، خصوصًا في ظل التحديات العالمية التي تواجه نظم الرعاية الصحية</w:t>
      </w: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19" w:name="_Toc213626800"/>
      <w:r>
        <w:rPr>
          <w:rFonts w:hint="cs"/>
          <w:rtl/>
        </w:rPr>
        <w:t>ثانيا:</w:t>
      </w:r>
      <w:r w:rsidR="00A038A9">
        <w:rPr>
          <w:rFonts w:hint="cs"/>
          <w:rtl/>
        </w:rPr>
        <w:t xml:space="preserve"> </w:t>
      </w:r>
      <w:r w:rsidR="00F925D0">
        <w:rPr>
          <w:rFonts w:hint="cs"/>
          <w:rtl/>
        </w:rPr>
        <w:t>الإطار النظري</w:t>
      </w:r>
      <w:bookmarkEnd w:id="19"/>
    </w:p>
    <w:p w14:paraId="6A7C4305" w14:textId="38DD99CD" w:rsidR="001D35FE" w:rsidRDefault="001D35FE" w:rsidP="001D35FE">
      <w:pPr>
        <w:pStyle w:val="Heading3"/>
        <w:rPr>
          <w:rtl/>
        </w:rPr>
      </w:pPr>
      <w:bookmarkStart w:id="20" w:name="_Toc213626801"/>
      <w:r>
        <w:rPr>
          <w:rtl/>
        </w:rPr>
        <w:t xml:space="preserve">المبحث الأول: </w:t>
      </w:r>
      <w:r w:rsidR="00235611">
        <w:rPr>
          <w:rFonts w:hint="cs"/>
          <w:rtl/>
        </w:rPr>
        <w:t xml:space="preserve"> </w:t>
      </w:r>
      <w:r w:rsidR="00235611" w:rsidRPr="00235611">
        <w:rPr>
          <w:rtl/>
        </w:rPr>
        <w:t>التوازن بين الحياة والعمل</w:t>
      </w:r>
      <w:bookmarkEnd w:id="20"/>
    </w:p>
    <w:p w14:paraId="35F4884B" w14:textId="6D4A26D5" w:rsidR="006A2745" w:rsidRDefault="001D35FE" w:rsidP="00235611">
      <w:pPr>
        <w:pStyle w:val="Heading4"/>
        <w:rPr>
          <w:rtl/>
        </w:rPr>
      </w:pPr>
      <w:bookmarkStart w:id="21" w:name="_Toc213626802"/>
      <w:r>
        <w:rPr>
          <w:rtl/>
        </w:rPr>
        <w:t>مفهوم</w:t>
      </w:r>
      <w:r w:rsidR="00205B79">
        <w:rPr>
          <w:rFonts w:hint="cs"/>
          <w:rtl/>
        </w:rPr>
        <w:t xml:space="preserve"> </w:t>
      </w:r>
      <w:r w:rsidR="00205B79" w:rsidRPr="00205B79">
        <w:rPr>
          <w:rtl/>
        </w:rPr>
        <w:t>التوازن بين الحياة والعمل</w:t>
      </w:r>
      <w:r>
        <w:rPr>
          <w:rFonts w:hint="cs"/>
          <w:rtl/>
        </w:rPr>
        <w:t>:</w:t>
      </w:r>
      <w:bookmarkEnd w:id="21"/>
    </w:p>
    <w:p w14:paraId="5788A19D" w14:textId="77777777" w:rsidR="00E8720B" w:rsidRDefault="00E8720B" w:rsidP="00E8720B">
      <w:pPr>
        <w:pStyle w:val="NoSpacing"/>
        <w:bidi/>
        <w:rPr>
          <w:rtl/>
        </w:rPr>
      </w:pPr>
      <w:r>
        <w:rPr>
          <w:rtl/>
        </w:rPr>
        <w:t>يُعدّ مفهوم التوازن بين الحياة والعمل من المفاهيم الحديثة نسبيًا في أدبيات الإدارة والموارد البشرية، ويمثل الحالة التي يتمكن فيها الفرد من تحقيق انسجام نسبي بين مسؤولياته المهنية ومتطلباته الشخصية والاجتماعية. فهو لا يعني التساوي في الوقت أو الجهد بين الجانبين بقدر ما يعني إحساس الفرد بالرضا والتكامل بين أدواره المختلفة داخل وخارج المؤسسة. فحين يتمكن الموظف من الوفاء بالتزاماته المهنية دون أن تؤثر سلبًا في حياته الأسرية أو الاجتماعية، يكون قد حقق درجة من التوازن. هذا المفهوم اكتسب أهمية بالغة مع ازدياد ضغوط العمل الحديثة، وتعقّد بيئات العمل في ظل التطور التكنولوجي، مما فرض على المنظمات البحث عن وسائل تدعم رفاه الأفراد وتضمن استدامة الإنتاجية من خلال توفير بيئة عمل مرنة تدعم الجوانب الإنسانية والاجتماعية للعاملين (محمود</w:t>
      </w:r>
      <w:r>
        <w:rPr>
          <w:rFonts w:ascii="Times New Roman" w:hAnsi="Times New Roman" w:cs="Times New Roman" w:hint="cs"/>
          <w:rtl/>
        </w:rPr>
        <w:t> </w:t>
      </w:r>
      <w:r>
        <w:rPr>
          <w:rtl/>
        </w:rPr>
        <w:t>و</w:t>
      </w:r>
      <w:r>
        <w:rPr>
          <w:rFonts w:ascii="Times New Roman" w:hAnsi="Times New Roman" w:cs="Times New Roman" w:hint="cs"/>
          <w:rtl/>
        </w:rPr>
        <w:t> </w:t>
      </w:r>
      <w:r>
        <w:rPr>
          <w:rtl/>
        </w:rPr>
        <w:t>خريم،</w:t>
      </w:r>
      <w:r>
        <w:rPr>
          <w:rFonts w:ascii="Times New Roman" w:hAnsi="Times New Roman" w:cs="Times New Roman" w:hint="cs"/>
          <w:rtl/>
        </w:rPr>
        <w:t> </w:t>
      </w:r>
      <w:r>
        <w:rPr>
          <w:rtl/>
        </w:rPr>
        <w:t>2021).</w:t>
      </w:r>
    </w:p>
    <w:p w14:paraId="1749DAB8" w14:textId="77777777" w:rsidR="00E8720B" w:rsidRDefault="00E8720B" w:rsidP="00E8720B">
      <w:pPr>
        <w:pStyle w:val="Heading4"/>
        <w:rPr>
          <w:rtl/>
        </w:rPr>
      </w:pPr>
      <w:bookmarkStart w:id="22" w:name="_Toc213626803"/>
      <w:r>
        <w:rPr>
          <w:rtl/>
        </w:rPr>
        <w:t>أهمية التوازن بين الحياة والعمل:</w:t>
      </w:r>
      <w:bookmarkEnd w:id="22"/>
    </w:p>
    <w:p w14:paraId="07588F1A" w14:textId="0F96DBE5" w:rsidR="00E8720B" w:rsidRDefault="00E8720B" w:rsidP="00E8720B">
      <w:pPr>
        <w:pStyle w:val="NoSpacing"/>
        <w:bidi/>
        <w:rPr>
          <w:rtl/>
        </w:rPr>
      </w:pPr>
      <w:r>
        <w:rPr>
          <w:rtl/>
        </w:rPr>
        <w:t>تنبع أهمية تحقيق التوازن بين الحياة والعمل من كونه عاملاً أساسياً في تعزيز الصحة النفسية والجسدية للعاملين، وتقليل حالات الإرهاق الوظيفي والاحتراق المهني التي تؤدي إلى تراجع الأداء والرضا. كما يُعدّ عاملاً محورياً في رفع الولاء المؤسسي والالتزام التنظيمي، لأن الموظف المتوازن يشعر بتقدير المؤسسة لاحتياجاته الإنسانية مما يدفعه لبذل جهد أكبر. وتشير الأدلة الميدانية إلى أن غياب هذا التوازن يؤدي إلى تزايد نية ترك العمل، وارتفاع نسب الغياب، وتراجع مستوى الإبداع والابتكار، في حين أن وجوده يسهم في تحسين جودة الحياة الوظيفية. لذلك أصبحت المؤسسات الحديثة تنظر للتوازن بين العمل والحياة كاستثمار استراتيجي وليس مجرد ميزة اجتماعية (العرمان</w:t>
      </w:r>
      <w:r>
        <w:rPr>
          <w:rFonts w:ascii="Times New Roman" w:hAnsi="Times New Roman" w:cs="Times New Roman" w:hint="cs"/>
          <w:rtl/>
        </w:rPr>
        <w:t> </w:t>
      </w:r>
      <w:r>
        <w:rPr>
          <w:rtl/>
        </w:rPr>
        <w:t>و</w:t>
      </w:r>
      <w:r>
        <w:rPr>
          <w:rFonts w:ascii="Times New Roman" w:hAnsi="Times New Roman" w:cs="Times New Roman" w:hint="cs"/>
          <w:rtl/>
        </w:rPr>
        <w:t> </w:t>
      </w:r>
      <w:r>
        <w:rPr>
          <w:rtl/>
        </w:rPr>
        <w:t>القطاونة،</w:t>
      </w:r>
      <w:r>
        <w:rPr>
          <w:rFonts w:ascii="Times New Roman" w:hAnsi="Times New Roman" w:cs="Times New Roman" w:hint="cs"/>
          <w:rtl/>
        </w:rPr>
        <w:t> </w:t>
      </w:r>
      <w:r>
        <w:rPr>
          <w:rtl/>
        </w:rPr>
        <w:t>2021).</w:t>
      </w:r>
    </w:p>
    <w:p w14:paraId="297EA1C1" w14:textId="1F15B38C" w:rsidR="00E8720B" w:rsidRDefault="00E8720B" w:rsidP="00E8720B">
      <w:pPr>
        <w:pStyle w:val="NoSpacing"/>
        <w:bidi/>
        <w:rPr>
          <w:rtl/>
        </w:rPr>
      </w:pPr>
      <w:r>
        <w:rPr>
          <w:rtl/>
        </w:rPr>
        <w:t>يتطلب ترسيخ مفهوم التوازن بين الحياة والعمل وجود ثقافة تنظيمية تعترف بالبعد الإنساني للعاملين وتُقدّر حاجاتهم النفسية والاجتماعية إلى جانب الواجبات المهنية. فالثقافة التنظيمية التي تركّز فقط على الأداء والإنتاج دون اعتبار للجوانب الشخصية تؤدي إلى بيئة عمل مجهدة ومصدر ضغط مستمر. أما المؤسسات التي تنشر قيم المرونة، والثقة المتبادلة، والتفاهم حول الاحتياجات الأسرية فإنها تُسهم في بناء علاقة متوازنة ومستدامة بين الموظف وجهة العمل. كما أن تبنّي القيادة الإيجابية والسياسات العادلة في تقييم الأداء يمنح الأفراد شعورًا بالانتماء ويزيد من تمسكهم بالمؤسسة على المدى الطويل، مما يجعل من ثقافة التوازن ركيزة لنجاح استراتيجيات التنمية الإدارية والموارد البشرية (السرحان</w:t>
      </w:r>
      <w:r>
        <w:rPr>
          <w:rFonts w:ascii="Times New Roman" w:hAnsi="Times New Roman" w:cs="Times New Roman" w:hint="cs"/>
          <w:rtl/>
        </w:rPr>
        <w:t> </w:t>
      </w:r>
      <w:r>
        <w:rPr>
          <w:rtl/>
        </w:rPr>
        <w:t>و</w:t>
      </w:r>
      <w:r>
        <w:rPr>
          <w:rFonts w:ascii="Times New Roman" w:hAnsi="Times New Roman" w:cs="Times New Roman" w:hint="cs"/>
          <w:rtl/>
        </w:rPr>
        <w:t> </w:t>
      </w:r>
      <w:r>
        <w:rPr>
          <w:rtl/>
        </w:rPr>
        <w:t>العظامات،</w:t>
      </w:r>
      <w:r>
        <w:rPr>
          <w:rFonts w:ascii="Times New Roman" w:hAnsi="Times New Roman" w:cs="Times New Roman" w:hint="cs"/>
          <w:rtl/>
        </w:rPr>
        <w:t> </w:t>
      </w:r>
      <w:r>
        <w:rPr>
          <w:rtl/>
        </w:rPr>
        <w:t>2024).</w:t>
      </w:r>
    </w:p>
    <w:p w14:paraId="3DEB4E05" w14:textId="77777777" w:rsidR="00E8720B" w:rsidRDefault="00E8720B" w:rsidP="00E8720B">
      <w:pPr>
        <w:pStyle w:val="Heading4"/>
        <w:rPr>
          <w:rtl/>
        </w:rPr>
      </w:pPr>
      <w:bookmarkStart w:id="23" w:name="_Toc213626804"/>
      <w:r>
        <w:rPr>
          <w:rtl/>
        </w:rPr>
        <w:t>أبعاد التوازن بين الحياة والعمل:</w:t>
      </w:r>
      <w:bookmarkEnd w:id="23"/>
    </w:p>
    <w:p w14:paraId="071CE2EC" w14:textId="77777777" w:rsidR="00E8720B" w:rsidRDefault="00E8720B" w:rsidP="00E8720B">
      <w:pPr>
        <w:pStyle w:val="NoSpacing"/>
        <w:bidi/>
        <w:rPr>
          <w:rtl/>
        </w:rPr>
      </w:pPr>
      <w:r>
        <w:rPr>
          <w:rtl/>
        </w:rPr>
        <w:t>يتكون مفهوم التوازن بين الحياة والعمل من عدة أبعاد مترابطة تمثل جوانب التفاعل بين الدور المهني والدور الشخصي. فقد أشارت العديد من الدراسات إلى أن التوازن يشمل ثلاثة أبعاد رئيسة: توازن الوقت، توازن المشاركة، وتوازن الرضا. هذه الأبعاد تفسّر كيف يدير الفرد وقته وطاقته ومشاعره تجاه العمل والحياة الخاصة بطريقة متكاملة. فالخلل في أحدها ينعكس سلبًا على الجانبين الآخرين، لذلك يُنظر إلى التوازن بوصفه منظومة متكاملة تتأثر بالظروف التنظيمية والشخصية والاجتماعية للفرد (منصور</w:t>
      </w:r>
      <w:r>
        <w:rPr>
          <w:rFonts w:ascii="Times New Roman" w:hAnsi="Times New Roman" w:cs="Times New Roman" w:hint="cs"/>
          <w:rtl/>
        </w:rPr>
        <w:t> </w:t>
      </w:r>
      <w:r>
        <w:rPr>
          <w:rtl/>
        </w:rPr>
        <w:t>و</w:t>
      </w:r>
      <w:r>
        <w:rPr>
          <w:rFonts w:ascii="Times New Roman" w:hAnsi="Times New Roman" w:cs="Times New Roman" w:hint="cs"/>
          <w:rtl/>
        </w:rPr>
        <w:t> </w:t>
      </w:r>
      <w:r>
        <w:rPr>
          <w:rtl/>
        </w:rPr>
        <w:t>أبو</w:t>
      </w:r>
      <w:r>
        <w:rPr>
          <w:rFonts w:ascii="Times New Roman" w:hAnsi="Times New Roman" w:cs="Times New Roman" w:hint="cs"/>
          <w:rtl/>
        </w:rPr>
        <w:t> </w:t>
      </w:r>
      <w:r>
        <w:rPr>
          <w:rtl/>
        </w:rPr>
        <w:t>تايه،</w:t>
      </w:r>
      <w:r>
        <w:rPr>
          <w:rFonts w:ascii="Times New Roman" w:hAnsi="Times New Roman" w:cs="Times New Roman" w:hint="cs"/>
          <w:rtl/>
        </w:rPr>
        <w:t> </w:t>
      </w:r>
      <w:r>
        <w:rPr>
          <w:rtl/>
        </w:rPr>
        <w:t>2024).</w:t>
      </w:r>
    </w:p>
    <w:p w14:paraId="24116E5F" w14:textId="77777777" w:rsidR="00E8720B" w:rsidRPr="00E8720B" w:rsidRDefault="00E8720B" w:rsidP="00E8720B">
      <w:pPr>
        <w:pStyle w:val="NoSpacing"/>
        <w:bidi/>
        <w:ind w:firstLine="0"/>
        <w:rPr>
          <w:b/>
          <w:bCs/>
          <w:rtl/>
        </w:rPr>
      </w:pPr>
      <w:r w:rsidRPr="00E8720B">
        <w:rPr>
          <w:b/>
          <w:bCs/>
          <w:rtl/>
        </w:rPr>
        <w:t>توازن الوقت:</w:t>
      </w:r>
    </w:p>
    <w:p w14:paraId="4BC3E77C" w14:textId="77777777" w:rsidR="00E8720B" w:rsidRDefault="00E8720B" w:rsidP="00E8720B">
      <w:pPr>
        <w:pStyle w:val="NoSpacing"/>
        <w:bidi/>
        <w:rPr>
          <w:rtl/>
        </w:rPr>
      </w:pPr>
      <w:r>
        <w:rPr>
          <w:rtl/>
        </w:rPr>
        <w:t>يُقصد به قدرة الفرد على إدارة وقته بين الأنشطة المهنية والعائلية والاجتماعية من دون أن يطغى أحد الجانبين على الآخر. فالتوازن الزمني يعني أن يتمكن الموظف من أداء مهامه الوظيفية في إطار زمني واضح يتيح له قضاء وقت كافٍ مع أسرته والاهتمام بذاته. وعندما يفتقد العامل هذه القدرة، يبدأ الشعور بالتعب الذهني والتشتت والانفصال عن محيطه الأسري. وتشير التجارب إلى أن العمل لساعات طويلة دون فواصل زمنية للراحة أو الحياة الاجتماعية يؤدي إلى انخفاض الكفاءة والإنتاجية، مما يجعل من إدارة الوقت محورًا رئيسًا لتحقيق التوازن المستدام (أبو</w:t>
      </w:r>
      <w:r>
        <w:rPr>
          <w:rFonts w:ascii="Times New Roman" w:hAnsi="Times New Roman" w:cs="Times New Roman" w:hint="cs"/>
          <w:rtl/>
        </w:rPr>
        <w:t> </w:t>
      </w:r>
      <w:r>
        <w:rPr>
          <w:rtl/>
        </w:rPr>
        <w:t>نجم</w:t>
      </w:r>
      <w:r>
        <w:rPr>
          <w:rFonts w:ascii="Times New Roman" w:hAnsi="Times New Roman" w:cs="Times New Roman" w:hint="cs"/>
          <w:rtl/>
        </w:rPr>
        <w:t> </w:t>
      </w:r>
      <w:r>
        <w:rPr>
          <w:rtl/>
        </w:rPr>
        <w:t>و</w:t>
      </w:r>
      <w:r>
        <w:rPr>
          <w:rFonts w:ascii="Times New Roman" w:hAnsi="Times New Roman" w:cs="Times New Roman" w:hint="cs"/>
          <w:rtl/>
        </w:rPr>
        <w:t> </w:t>
      </w:r>
      <w:r>
        <w:rPr>
          <w:rtl/>
        </w:rPr>
        <w:t>الهناندة،</w:t>
      </w:r>
      <w:r>
        <w:rPr>
          <w:rFonts w:ascii="Times New Roman" w:hAnsi="Times New Roman" w:cs="Times New Roman" w:hint="cs"/>
          <w:rtl/>
        </w:rPr>
        <w:t> </w:t>
      </w:r>
      <w:r>
        <w:rPr>
          <w:rtl/>
        </w:rPr>
        <w:t>2021).</w:t>
      </w:r>
    </w:p>
    <w:p w14:paraId="19B32F56" w14:textId="77777777" w:rsidR="00E8720B" w:rsidRPr="00E8720B" w:rsidRDefault="00E8720B" w:rsidP="00E8720B">
      <w:pPr>
        <w:pStyle w:val="NoSpacing"/>
        <w:bidi/>
        <w:ind w:firstLine="0"/>
        <w:rPr>
          <w:b/>
          <w:bCs/>
          <w:rtl/>
        </w:rPr>
      </w:pPr>
      <w:r w:rsidRPr="00E8720B">
        <w:rPr>
          <w:b/>
          <w:bCs/>
          <w:rtl/>
        </w:rPr>
        <w:t>توازن المشاركة:</w:t>
      </w:r>
    </w:p>
    <w:p w14:paraId="0A2BA59A" w14:textId="77777777" w:rsidR="00E8720B" w:rsidRDefault="00E8720B" w:rsidP="00E8720B">
      <w:pPr>
        <w:pStyle w:val="NoSpacing"/>
        <w:bidi/>
        <w:rPr>
          <w:rtl/>
        </w:rPr>
      </w:pPr>
      <w:r>
        <w:rPr>
          <w:rtl/>
        </w:rPr>
        <w:t>يعني هذا البعد مدى مشاركة الفرد الفعّالة في كلٍّ من بيئة العمل والحياة الخاصة، بحيث لا يقتصر حضوره الذهني والعاطفي على أحد المجالين دون الآخر. فالموظف المتوازن يشارك بإيجابية في اتخاذ القرارات في العمل ويُظهر في الوقت ذاته تفاعلاً اجتماعيًا وأسريًا صحيًا. فضعف المشاركة في أحد المجالين يولّد شعورًا بالعزلة والإجهاد النفسي، كما قد يؤثر سلبًا على الرضا المهني والعلاقات العائلية. وتؤكد نتائج دراسات متعددة أنّ المنظمات التي تشجع الموظفين على التعبير والمبادرة والمشاركة داخل العمل تسهم في خلق بيئة أكثر توازناً وتكاملاً بين الأدوار المختلفة للفرد (محمود</w:t>
      </w:r>
      <w:r>
        <w:rPr>
          <w:rFonts w:ascii="Times New Roman" w:hAnsi="Times New Roman" w:cs="Times New Roman" w:hint="cs"/>
          <w:rtl/>
        </w:rPr>
        <w:t> </w:t>
      </w:r>
      <w:r>
        <w:rPr>
          <w:rtl/>
        </w:rPr>
        <w:t>و</w:t>
      </w:r>
      <w:r>
        <w:rPr>
          <w:rFonts w:ascii="Times New Roman" w:hAnsi="Times New Roman" w:cs="Times New Roman" w:hint="cs"/>
          <w:rtl/>
        </w:rPr>
        <w:t> </w:t>
      </w:r>
      <w:r>
        <w:rPr>
          <w:rtl/>
        </w:rPr>
        <w:t>خريم،</w:t>
      </w:r>
      <w:r>
        <w:rPr>
          <w:rFonts w:ascii="Times New Roman" w:hAnsi="Times New Roman" w:cs="Times New Roman" w:hint="cs"/>
          <w:rtl/>
        </w:rPr>
        <w:t> </w:t>
      </w:r>
      <w:r>
        <w:rPr>
          <w:rtl/>
        </w:rPr>
        <w:t>2021).</w:t>
      </w:r>
    </w:p>
    <w:p w14:paraId="1590E65C" w14:textId="77777777" w:rsidR="00E8720B" w:rsidRPr="00E8720B" w:rsidRDefault="00E8720B" w:rsidP="00E8720B">
      <w:pPr>
        <w:pStyle w:val="NoSpacing"/>
        <w:bidi/>
        <w:ind w:firstLine="0"/>
        <w:rPr>
          <w:b/>
          <w:bCs/>
          <w:rtl/>
        </w:rPr>
      </w:pPr>
      <w:r w:rsidRPr="00E8720B">
        <w:rPr>
          <w:b/>
          <w:bCs/>
          <w:rtl/>
        </w:rPr>
        <w:t>توازن الرضا:</w:t>
      </w:r>
    </w:p>
    <w:p w14:paraId="0AACB68A" w14:textId="1E95CA9E" w:rsidR="00E8720B" w:rsidRDefault="00E8720B" w:rsidP="00E8720B">
      <w:pPr>
        <w:pStyle w:val="NoSpacing"/>
        <w:bidi/>
        <w:rPr>
          <w:rtl/>
        </w:rPr>
      </w:pPr>
      <w:r>
        <w:rPr>
          <w:rtl/>
        </w:rPr>
        <w:t>يُعتبر توازن الرضا البعد الأهم لأنه يمثل الشعور العام بالقناعة والراحة تجاه التوفيق بين التزامات الحياة والعمل. فحتى لو امتلك الفرد وقتاً كافياً أو شارك في مجالات مختلفة، إلا أنه إن لم يشعر بالرضا الداخلي فلن يكون التوازن حقيقياً. ويُعبّر هذا النوع من التوازن عن التقييم الذاتي لمدى تحقق الأهداف في الجانبين دون تضارب أو شعور بالذنب بسبب التقصير في أحد الأدوار. ويحدث هذا الرضا عندما يشعر العامل بأن إنجازاته في العمل لا تأتي على حساب أسرته أو صحته النفسية، والعكس بالعكس. لذا يعد البعد الوجداني للتوازن أساساً لديمومة الأداء والرضا الوظيفي (السرحان</w:t>
      </w:r>
      <w:r>
        <w:rPr>
          <w:rFonts w:ascii="Times New Roman" w:hAnsi="Times New Roman" w:cs="Times New Roman" w:hint="cs"/>
          <w:rtl/>
        </w:rPr>
        <w:t> </w:t>
      </w:r>
      <w:r>
        <w:rPr>
          <w:rtl/>
        </w:rPr>
        <w:t>و</w:t>
      </w:r>
      <w:r>
        <w:rPr>
          <w:rFonts w:ascii="Times New Roman" w:hAnsi="Times New Roman" w:cs="Times New Roman" w:hint="cs"/>
          <w:rtl/>
        </w:rPr>
        <w:t> </w:t>
      </w:r>
      <w:r>
        <w:rPr>
          <w:rtl/>
        </w:rPr>
        <w:t>العظامات،</w:t>
      </w:r>
      <w:r>
        <w:rPr>
          <w:rFonts w:ascii="Times New Roman" w:hAnsi="Times New Roman" w:cs="Times New Roman" w:hint="cs"/>
          <w:rtl/>
        </w:rPr>
        <w:t> </w:t>
      </w:r>
      <w:r>
        <w:rPr>
          <w:rtl/>
        </w:rPr>
        <w:t>2024).</w:t>
      </w:r>
    </w:p>
    <w:p w14:paraId="5D82D47E" w14:textId="67C1A390" w:rsidR="00E8720B" w:rsidRDefault="00E8720B" w:rsidP="00E8720B">
      <w:pPr>
        <w:pStyle w:val="Heading4"/>
        <w:rPr>
          <w:rtl/>
        </w:rPr>
      </w:pPr>
      <w:bookmarkStart w:id="24" w:name="_Toc213626805"/>
      <w:r>
        <w:rPr>
          <w:rtl/>
        </w:rPr>
        <w:t>تأثير التوازن بين الحياة والعمل على العامل:</w:t>
      </w:r>
      <w:bookmarkEnd w:id="24"/>
    </w:p>
    <w:p w14:paraId="5C86BABA" w14:textId="6D43A204" w:rsidR="00E8720B" w:rsidRDefault="00E8720B" w:rsidP="00E8720B">
      <w:pPr>
        <w:pStyle w:val="NoSpacing"/>
        <w:bidi/>
        <w:rPr>
          <w:rtl/>
        </w:rPr>
      </w:pPr>
      <w:r>
        <w:rPr>
          <w:rtl/>
        </w:rPr>
        <w:t>يؤثر التوازن بين العمل والحياة على العامل بعدة مستويات؛ فهو يعزز صحته النفسية، ويرفع معنوياته، ويزيد من إحساسه بالسيطرة على حياته الشخصية والمهنية. كما يسهم في تحسين علاقاته الاجتماعية داخل وخارج بيئة العمل، مما يرفع مستوى الانتماء ويخفض معدلات التوتر والغياب. وتشير الأدبيات إلى أنّ الأفراد الذين يمتلكون توازناً جيداً هم أكثر قدرة على الإبداع واتخاذ القرارات واتزاناً في التعامل مع الضغوط اليومية. كذلك يؤثر هذا التوازن على السلوك التنظيمي الإيجابي كالالتزام والانتماء والولاء، ويقلل من السلوكيات السلبية مثل الانسحاب أو الاحتراق الوظيفي (رحماني</w:t>
      </w:r>
      <w:r>
        <w:rPr>
          <w:rFonts w:ascii="Times New Roman" w:hAnsi="Times New Roman" w:cs="Times New Roman" w:hint="cs"/>
          <w:rtl/>
        </w:rPr>
        <w:t> </w:t>
      </w:r>
      <w:r>
        <w:rPr>
          <w:rtl/>
        </w:rPr>
        <w:t>و</w:t>
      </w:r>
      <w:r>
        <w:rPr>
          <w:rFonts w:ascii="Times New Roman" w:hAnsi="Times New Roman" w:cs="Times New Roman" w:hint="cs"/>
          <w:rtl/>
        </w:rPr>
        <w:t> </w:t>
      </w:r>
      <w:r>
        <w:rPr>
          <w:rtl/>
        </w:rPr>
        <w:t>عريف،</w:t>
      </w:r>
      <w:r>
        <w:rPr>
          <w:rFonts w:ascii="Times New Roman" w:hAnsi="Times New Roman" w:cs="Times New Roman" w:hint="cs"/>
          <w:rtl/>
        </w:rPr>
        <w:t> </w:t>
      </w:r>
      <w:r>
        <w:rPr>
          <w:rtl/>
        </w:rPr>
        <w:t>2021).</w:t>
      </w:r>
    </w:p>
    <w:p w14:paraId="37B66257" w14:textId="77777777" w:rsidR="00E8720B" w:rsidRDefault="00E8720B" w:rsidP="00E8720B">
      <w:pPr>
        <w:pStyle w:val="Heading4"/>
        <w:rPr>
          <w:rtl/>
        </w:rPr>
      </w:pPr>
      <w:bookmarkStart w:id="25" w:name="_Toc213626806"/>
      <w:r>
        <w:rPr>
          <w:rtl/>
        </w:rPr>
        <w:t>كيفية تحقيق التوازن بين الحياة والعمل على العامل:</w:t>
      </w:r>
      <w:bookmarkEnd w:id="25"/>
    </w:p>
    <w:p w14:paraId="4A23D9DC" w14:textId="56AB6C29" w:rsidR="00E8720B" w:rsidRDefault="00E8720B" w:rsidP="00E8720B">
      <w:pPr>
        <w:pStyle w:val="NoSpacing"/>
        <w:bidi/>
        <w:rPr>
          <w:rtl/>
        </w:rPr>
      </w:pPr>
      <w:r>
        <w:rPr>
          <w:rtl/>
        </w:rPr>
        <w:t>يتحقق التوازن من خلال مجموعة من الممارسات الفردية والتنظيمية. فعلى المستوى الفردي، ينبغي للموظف أن يحدد أولوياته بوضوح، وينظم وقته بطريقة فعالة تتيح له أداء مهامه دون إرهاق، كما يمكنه تبني استراتيجيات للتعامل مع الضغوط مثل ممارسة الأنشطة الصحية والاستفادة من الإجازات. أما على المستوى المؤسسي، فينبغي للإدارة أن تضع سياسات مرنة تشمل ساعات عمل محددة، وإتاحة العمل الجزئي أو عن بعد عند الحاجة، إضافة إلى توفير برامج دعم نفسي واجتماعي للعاملين. كما أن وجود قيادة تحولية قادرة على تفهم احتياجات الأفراد يسهم في إيجاد ثقافة تنظيمية داعمة للتوازن والرفاه والاستقرار المهني (السليمان</w:t>
      </w:r>
      <w:r>
        <w:rPr>
          <w:rFonts w:ascii="Times New Roman" w:hAnsi="Times New Roman" w:cs="Times New Roman" w:hint="cs"/>
          <w:rtl/>
        </w:rPr>
        <w:t> </w:t>
      </w:r>
      <w:r>
        <w:rPr>
          <w:rtl/>
        </w:rPr>
        <w:t>و</w:t>
      </w:r>
      <w:r>
        <w:rPr>
          <w:rFonts w:ascii="Times New Roman" w:hAnsi="Times New Roman" w:cs="Times New Roman" w:hint="cs"/>
          <w:rtl/>
        </w:rPr>
        <w:t> </w:t>
      </w:r>
      <w:r>
        <w:rPr>
          <w:rtl/>
        </w:rPr>
        <w:t>الشعار،</w:t>
      </w:r>
      <w:r>
        <w:rPr>
          <w:rFonts w:ascii="Times New Roman" w:hAnsi="Times New Roman" w:cs="Times New Roman" w:hint="cs"/>
          <w:rtl/>
        </w:rPr>
        <w:t> </w:t>
      </w:r>
      <w:r>
        <w:rPr>
          <w:rtl/>
        </w:rPr>
        <w:t>2021).</w:t>
      </w:r>
    </w:p>
    <w:p w14:paraId="5C699AC5" w14:textId="77777777" w:rsidR="00E8720B" w:rsidRDefault="00E8720B" w:rsidP="00E8720B">
      <w:pPr>
        <w:pStyle w:val="Heading4"/>
        <w:rPr>
          <w:rtl/>
        </w:rPr>
      </w:pPr>
      <w:bookmarkStart w:id="26" w:name="_Toc213626807"/>
      <w:r>
        <w:rPr>
          <w:rtl/>
        </w:rPr>
        <w:t>أثر التكنولوجيا الحديثة على التوازن بين الحياة والعمل:</w:t>
      </w:r>
      <w:bookmarkEnd w:id="26"/>
    </w:p>
    <w:p w14:paraId="47BD6C22" w14:textId="738AD12F" w:rsidR="00E8720B" w:rsidRDefault="00E8720B" w:rsidP="00E8720B">
      <w:pPr>
        <w:pStyle w:val="NoSpacing"/>
        <w:bidi/>
        <w:rPr>
          <w:rtl/>
        </w:rPr>
      </w:pPr>
      <w:r>
        <w:rPr>
          <w:rtl/>
        </w:rPr>
        <w:t>أصبحت التكنولوجيا سيفًا ذا حدين في علاقة التوازن؛ فهي من جهة تسهل المرونة من خلال إمكانية العمل عن بُعد والتواصل الإلكتروني، لكنها من جهة أخرى جعلت الحدود بين الحياة الخاصة والعملية أكثر ضبابية. فالاتصال المستمر عبر البريد والهاتف جعل العامل متاحًا على مدار الساعة، مما أدى إلى زيادة الضغط الزمني. لذلك فإن الاستخدام الذكي للتكنولوجيا وتحديد أوقات العمل بوضوح أصبح ضرورة للحفاظ على هذا التوازن وضمان الانفصال النفسي المؤقت عن متطلبات الوظيفة وقت الراحة (منصور</w:t>
      </w:r>
      <w:r>
        <w:rPr>
          <w:rFonts w:ascii="Times New Roman" w:hAnsi="Times New Roman" w:cs="Times New Roman" w:hint="cs"/>
          <w:rtl/>
        </w:rPr>
        <w:t> </w:t>
      </w:r>
      <w:r>
        <w:rPr>
          <w:rtl/>
        </w:rPr>
        <w:t>و</w:t>
      </w:r>
      <w:r>
        <w:rPr>
          <w:rFonts w:ascii="Times New Roman" w:hAnsi="Times New Roman" w:cs="Times New Roman" w:hint="cs"/>
          <w:rtl/>
        </w:rPr>
        <w:t> </w:t>
      </w:r>
      <w:r>
        <w:rPr>
          <w:rtl/>
        </w:rPr>
        <w:t>أبو</w:t>
      </w:r>
      <w:r>
        <w:rPr>
          <w:rFonts w:ascii="Times New Roman" w:hAnsi="Times New Roman" w:cs="Times New Roman" w:hint="cs"/>
          <w:rtl/>
        </w:rPr>
        <w:t> </w:t>
      </w:r>
      <w:r>
        <w:rPr>
          <w:rtl/>
        </w:rPr>
        <w:t>تايه،</w:t>
      </w:r>
      <w:r>
        <w:rPr>
          <w:rFonts w:ascii="Times New Roman" w:hAnsi="Times New Roman" w:cs="Times New Roman" w:hint="cs"/>
          <w:rtl/>
        </w:rPr>
        <w:t> </w:t>
      </w:r>
      <w:r>
        <w:rPr>
          <w:rtl/>
        </w:rPr>
        <w:t>2024).</w:t>
      </w:r>
    </w:p>
    <w:p w14:paraId="358CB4F8" w14:textId="12685624" w:rsidR="00E8720B" w:rsidRDefault="00E8720B" w:rsidP="00E8720B">
      <w:pPr>
        <w:pStyle w:val="Heading4"/>
        <w:rPr>
          <w:rtl/>
        </w:rPr>
      </w:pPr>
      <w:bookmarkStart w:id="27" w:name="_Toc213626808"/>
      <w:r>
        <w:rPr>
          <w:rtl/>
        </w:rPr>
        <w:t>نتائج غياب التوازن وانعكاساته على المنظمة:</w:t>
      </w:r>
      <w:bookmarkEnd w:id="27"/>
    </w:p>
    <w:p w14:paraId="50C0BCCD" w14:textId="06EC0F90" w:rsidR="00E8720B" w:rsidRDefault="00E8720B" w:rsidP="00E8720B">
      <w:pPr>
        <w:pStyle w:val="NoSpacing"/>
        <w:bidi/>
        <w:rPr>
          <w:rtl/>
        </w:rPr>
      </w:pPr>
      <w:r>
        <w:rPr>
          <w:rtl/>
        </w:rPr>
        <w:t>يؤدي غياب التوازن إلى مجموعة من النتائج السلبية على مستوى الفرد والمؤسسة؛ كتراجع مستوى الرضا الوظيفي، وارتفاع معدل التوتر والاحتراق النفسي، وضعف الولاء والالتزام، وزيادة نية ترك العمل. أما على مستوى المنظمة، فينعكس ذلك انخفاضًا في الإنتاجية وارتفاعًا في التكلفة التشغيلية المرتبطة بتدوير العاملين وتدريبهم. لذا أصبح تحقيق التوازن بين العمل والحياة مكونًا أساسيًا ضمن استراتيجيات الاستدامة المؤسسية التي تضمن رفاه العاملين وفاعلية الأداء التنموي (عطية</w:t>
      </w:r>
      <w:r>
        <w:rPr>
          <w:rFonts w:ascii="Times New Roman" w:hAnsi="Times New Roman" w:cs="Times New Roman" w:hint="cs"/>
          <w:rtl/>
        </w:rPr>
        <w:t> </w:t>
      </w:r>
      <w:r>
        <w:rPr>
          <w:rtl/>
        </w:rPr>
        <w:t>و</w:t>
      </w:r>
      <w:r>
        <w:rPr>
          <w:rFonts w:ascii="Times New Roman" w:hAnsi="Times New Roman" w:cs="Times New Roman" w:hint="cs"/>
          <w:rtl/>
        </w:rPr>
        <w:t> </w:t>
      </w:r>
      <w:r>
        <w:rPr>
          <w:rtl/>
        </w:rPr>
        <w:t>السعداوي</w:t>
      </w:r>
      <w:r>
        <w:rPr>
          <w:rFonts w:ascii="Times New Roman" w:hAnsi="Times New Roman" w:cs="Times New Roman" w:hint="cs"/>
          <w:rtl/>
        </w:rPr>
        <w:t> </w:t>
      </w:r>
      <w:r>
        <w:rPr>
          <w:rtl/>
        </w:rPr>
        <w:t>و</w:t>
      </w:r>
      <w:r>
        <w:rPr>
          <w:rFonts w:ascii="Times New Roman" w:hAnsi="Times New Roman" w:cs="Times New Roman" w:hint="cs"/>
          <w:rtl/>
        </w:rPr>
        <w:t> </w:t>
      </w:r>
      <w:r>
        <w:rPr>
          <w:rtl/>
        </w:rPr>
        <w:t>المسدي،</w:t>
      </w:r>
      <w:r>
        <w:rPr>
          <w:rFonts w:ascii="Times New Roman" w:hAnsi="Times New Roman" w:cs="Times New Roman" w:hint="cs"/>
          <w:rtl/>
        </w:rPr>
        <w:t> </w:t>
      </w:r>
      <w:r>
        <w:rPr>
          <w:rtl/>
        </w:rPr>
        <w:t>2022).</w:t>
      </w:r>
    </w:p>
    <w:p w14:paraId="13B9BEE4" w14:textId="77777777" w:rsidR="00E8720B" w:rsidRDefault="00E8720B" w:rsidP="00E8720B">
      <w:pPr>
        <w:pStyle w:val="Heading4"/>
        <w:rPr>
          <w:rtl/>
        </w:rPr>
      </w:pPr>
      <w:bookmarkStart w:id="28" w:name="_Toc213626809"/>
      <w:r>
        <w:rPr>
          <w:rtl/>
        </w:rPr>
        <w:t>العلاقة بين التوازن بين الحياة والعمل والأداء الوظيفي</w:t>
      </w:r>
      <w:r>
        <w:t>:</w:t>
      </w:r>
      <w:bookmarkEnd w:id="28"/>
    </w:p>
    <w:p w14:paraId="57DCEA26" w14:textId="40800059" w:rsidR="00E8720B" w:rsidRDefault="00E8720B" w:rsidP="00E8720B">
      <w:pPr>
        <w:pStyle w:val="NoSpacing"/>
        <w:bidi/>
        <w:rPr>
          <w:rtl/>
        </w:rPr>
      </w:pPr>
      <w:r>
        <w:rPr>
          <w:rtl/>
        </w:rPr>
        <w:t>يرتبط التوازن بين الحياة والعمل ارتباطًا وثيقًا بمستوى الأداء الذي يقدمه الأفراد في بيئاتهم المهنية، فكلما استطاع الموظف تحقيق توازن صحي بين التزاماته الشخصية والعملية، انعكس ذلك إيجابًا على قدرته الإنتاجية وجودة عمله. فالعامل المطمئن داخلياً والمتفرغ نفسيًا يتميز بتركيز عالٍ وقدرة أكبر على الإبداع واتخاذ القرارات السليمة، بينما يؤدي غياب التوازن إلى الإرهاق، والتشتت الذهني، وتراجع جودة الأداء. وقد أكدت دراسات ميدانية عديدة أن المؤسسات التي توفر برامج لدعم الحياة الأسرية والمرونة في أوقات العمل، تحقق معدلات أعلى من الكفاءة الوظيفية والابتكار والرضا المهني، لأنها تخلق بيئة آمنة نفسيًا وهانئة اجتماعيًا، تمكّن الموظف من تقديم أفضل ما لديه دون خوف من التقصير في واجباته الحياتية (نوير</w:t>
      </w:r>
      <w:r>
        <w:rPr>
          <w:rFonts w:ascii="Times New Roman" w:hAnsi="Times New Roman" w:cs="Times New Roman" w:hint="cs"/>
          <w:rtl/>
        </w:rPr>
        <w:t> </w:t>
      </w:r>
      <w:r>
        <w:rPr>
          <w:rtl/>
        </w:rPr>
        <w:t>و</w:t>
      </w:r>
      <w:r>
        <w:rPr>
          <w:rFonts w:ascii="Times New Roman" w:hAnsi="Times New Roman" w:cs="Times New Roman" w:hint="cs"/>
          <w:rtl/>
        </w:rPr>
        <w:t> </w:t>
      </w:r>
      <w:r>
        <w:rPr>
          <w:rtl/>
        </w:rPr>
        <w:t>المسدي،</w:t>
      </w:r>
      <w:r>
        <w:rPr>
          <w:rFonts w:ascii="Times New Roman" w:hAnsi="Times New Roman" w:cs="Times New Roman" w:hint="cs"/>
          <w:rtl/>
        </w:rPr>
        <w:t> </w:t>
      </w:r>
      <w:r>
        <w:rPr>
          <w:rtl/>
        </w:rPr>
        <w:t>2023</w:t>
      </w:r>
      <w:r>
        <w:rPr>
          <w:rFonts w:hint="cs"/>
          <w:rtl/>
        </w:rPr>
        <w:t>)</w:t>
      </w:r>
    </w:p>
    <w:p w14:paraId="510F8BEB" w14:textId="77777777" w:rsidR="00E8720B" w:rsidRDefault="00E8720B" w:rsidP="00E8720B">
      <w:pPr>
        <w:pStyle w:val="NoSpacing"/>
        <w:bidi/>
        <w:rPr>
          <w:rtl/>
        </w:rPr>
      </w:pPr>
    </w:p>
    <w:p w14:paraId="0C74FA97" w14:textId="3A7FF6B9" w:rsidR="00DD4AA0" w:rsidRDefault="00DD4AA0" w:rsidP="00DD4AA0">
      <w:pPr>
        <w:rPr>
          <w:rtl/>
        </w:rPr>
      </w:pPr>
    </w:p>
    <w:p w14:paraId="5A28E0EF" w14:textId="77777777" w:rsidR="00E8720B" w:rsidRPr="00DD4AA0" w:rsidRDefault="00E8720B" w:rsidP="00E8720B"/>
    <w:p w14:paraId="425CE7AE" w14:textId="77777777" w:rsidR="00205B79" w:rsidRPr="00205B79" w:rsidRDefault="00205B79" w:rsidP="00205B79"/>
    <w:p w14:paraId="737B6B34" w14:textId="77777777" w:rsidR="00235611" w:rsidRPr="00235611" w:rsidRDefault="00235611" w:rsidP="00235611"/>
    <w:p w14:paraId="0D3EF171" w14:textId="77777777" w:rsidR="006A2745" w:rsidRDefault="006A2745">
      <w:pPr>
        <w:spacing w:after="160" w:line="259" w:lineRule="auto"/>
        <w:rPr>
          <w:rtl/>
        </w:rPr>
      </w:pP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6D7122D" w14:textId="71161C7D" w:rsidR="001D35FE" w:rsidRDefault="001D35FE" w:rsidP="001D35FE">
      <w:pPr>
        <w:pStyle w:val="Heading3"/>
        <w:rPr>
          <w:rtl/>
        </w:rPr>
      </w:pPr>
      <w:bookmarkStart w:id="29" w:name="_Toc213626810"/>
      <w:r>
        <w:rPr>
          <w:rtl/>
        </w:rPr>
        <w:t xml:space="preserve">المبحث الثاني: </w:t>
      </w:r>
      <w:r w:rsidR="00235611">
        <w:rPr>
          <w:rFonts w:hint="cs"/>
          <w:rtl/>
        </w:rPr>
        <w:t xml:space="preserve"> </w:t>
      </w:r>
      <w:r w:rsidR="00235611" w:rsidRPr="00235611">
        <w:rPr>
          <w:rtl/>
        </w:rPr>
        <w:t>الرضا الوظيفي</w:t>
      </w:r>
      <w:bookmarkEnd w:id="29"/>
    </w:p>
    <w:p w14:paraId="72179E94" w14:textId="791FB958" w:rsidR="00DD4AA0" w:rsidRDefault="00DD4AA0" w:rsidP="00DD4AA0">
      <w:pPr>
        <w:pStyle w:val="Heading4"/>
        <w:rPr>
          <w:rtl/>
        </w:rPr>
      </w:pPr>
      <w:bookmarkStart w:id="30" w:name="_Toc213626811"/>
      <w:r>
        <w:rPr>
          <w:rtl/>
        </w:rPr>
        <w:t>مفهوم</w:t>
      </w:r>
      <w:r>
        <w:rPr>
          <w:rFonts w:hint="cs"/>
          <w:rtl/>
        </w:rPr>
        <w:t xml:space="preserve"> </w:t>
      </w:r>
      <w:r w:rsidRPr="00DD4AA0">
        <w:rPr>
          <w:rtl/>
        </w:rPr>
        <w:t>الرضا الوظيفي</w:t>
      </w:r>
      <w:r>
        <w:rPr>
          <w:rFonts w:hint="cs"/>
          <w:rtl/>
        </w:rPr>
        <w:t>:</w:t>
      </w:r>
      <w:bookmarkEnd w:id="30"/>
    </w:p>
    <w:p w14:paraId="2E1CF651" w14:textId="620156F2" w:rsidR="00AD0F04" w:rsidRDefault="00AD0F04" w:rsidP="00AD0F04">
      <w:pPr>
        <w:pStyle w:val="NoSpacing"/>
        <w:bidi/>
        <w:rPr>
          <w:rtl/>
        </w:rPr>
      </w:pPr>
      <w:r>
        <w:rPr>
          <w:rtl/>
        </w:rPr>
        <w:t>يُعَدّ الرضا الوظيفي أحد المفاهيم المركزية في علم النفس التنظيمي وإدارة الموارد البشرية، لأنه يعبّر عن مشاعر الفرد واتجاهاته نحو عمله ومؤسسته وزملائه. ويُنظر إليه كحالة انفعالية إيجابية ناتجة عن التقييم الذاتي لتجربة العمل، ومدى قدرة الوظيفة على تلبية توقعات الفرد واحتياجاته المادية والمعنوية. فالرضا الوظيفي لا يتوقف عند حدود الرضا بالأجر أو ساعات العمل، بل يتوسع ليشمل الإحساس بالعدالة، والاعتراف، والأمان، والانتماء، والمشاركة في صنع القرار. وعندما يشعر الموظف بأن مهامه تنسجم مع قيمه وطموحاته وقدراته، فإنه يكون أكثر التزاماً، وأشدُّ تفانياً، وأقلُّ ميلاً لترك العمل، مما يجعل الرضا محوراً أساسياً في عملية استقرار القوى العاملة وتحسين الأداء المؤسسي</w:t>
      </w:r>
      <w:r>
        <w:rPr>
          <w:rFonts w:hint="cs"/>
          <w:rtl/>
        </w:rPr>
        <w:t>.</w:t>
      </w:r>
    </w:p>
    <w:p w14:paraId="482B3BDA" w14:textId="77777777" w:rsidR="00AD0F04" w:rsidRDefault="00AD0F04" w:rsidP="00AD0F04">
      <w:pPr>
        <w:pStyle w:val="NoSpacing"/>
        <w:bidi/>
        <w:rPr>
          <w:rtl/>
        </w:rPr>
      </w:pPr>
      <w:r>
        <w:rPr>
          <w:rtl/>
        </w:rPr>
        <w:t>كما يتضمن الرضا الوظيفي جوانب متعددة — عاطفية، ومعرفية، وسلوكية — تتفاعل فيما بينها لتؤثر في العلاقة بين الفرد والمنظمة. فهو نتاج مقارنة بين ما يحصل عليه الموظف فعلياً من مقابل مادي ومعنوي، وما كان يتطلع إليه مسبقاً عند انضمامه للمؤسسة. فإذا طابقت التوقعات الواقع نشأت مشاعر الرضا، أما إذا خابت التوقعات تولدت مشاعر الإحباط أو الاستياء. من هنا، يُعد الرضا الوظيفي مرآة تعكس جودة الممارسات الإدارية والثقافية داخل المنظمة. فالقيادات التي تهتم بتحقيق العدالة وتنمية الموارد البشرية تنجح غالباً في رفع مستوى الرضا لدى موظفيها، في حين تؤدي الإدارة السلطوية أو الإهمال إلى التذمر والانسحاب النفسي (الحازمي</w:t>
      </w:r>
      <w:r>
        <w:rPr>
          <w:rFonts w:ascii="Times New Roman" w:hAnsi="Times New Roman" w:cs="Times New Roman" w:hint="cs"/>
          <w:rtl/>
        </w:rPr>
        <w:t> </w:t>
      </w:r>
      <w:r>
        <w:rPr>
          <w:rtl/>
        </w:rPr>
        <w:t>و</w:t>
      </w:r>
      <w:r>
        <w:rPr>
          <w:rFonts w:ascii="Times New Roman" w:hAnsi="Times New Roman" w:cs="Times New Roman" w:hint="cs"/>
          <w:rtl/>
        </w:rPr>
        <w:t> </w:t>
      </w:r>
      <w:r>
        <w:rPr>
          <w:rtl/>
        </w:rPr>
        <w:t>جويلي،</w:t>
      </w:r>
      <w:r>
        <w:rPr>
          <w:rFonts w:ascii="Times New Roman" w:hAnsi="Times New Roman" w:cs="Times New Roman" w:hint="cs"/>
          <w:rtl/>
        </w:rPr>
        <w:t> </w:t>
      </w:r>
      <w:r>
        <w:rPr>
          <w:rtl/>
        </w:rPr>
        <w:t>2021).</w:t>
      </w:r>
    </w:p>
    <w:p w14:paraId="540CC381" w14:textId="77777777" w:rsidR="00AD0F04" w:rsidRDefault="00AD0F04" w:rsidP="00AD0F04">
      <w:pPr>
        <w:pStyle w:val="Heading4"/>
        <w:rPr>
          <w:rtl/>
        </w:rPr>
      </w:pPr>
      <w:bookmarkStart w:id="31" w:name="_Toc213626812"/>
      <w:r>
        <w:rPr>
          <w:rtl/>
        </w:rPr>
        <w:t>أهمية الرضا الوظيفي</w:t>
      </w:r>
      <w:bookmarkEnd w:id="31"/>
    </w:p>
    <w:p w14:paraId="08B50854" w14:textId="77777777" w:rsidR="00AD0F04" w:rsidRDefault="00AD0F04" w:rsidP="00AD0F04">
      <w:pPr>
        <w:pStyle w:val="NoSpacing"/>
        <w:bidi/>
        <w:rPr>
          <w:rtl/>
        </w:rPr>
      </w:pPr>
      <w:r>
        <w:rPr>
          <w:rtl/>
        </w:rPr>
        <w:t>يشكّل الرضا الوظيفي حجر الأساس لنجاح المنظمات واستدامتها، إذ يرتبط ارتباطاً وثيقاً بأداء العاملين وانتمائهم المؤسسي. فالرضا العالي يولّد دافعية قوية للعمل ويزيد من فاعلية الإنجاز، في حين أن انخفاضه يؤدي إلى ضعف الالتزام والتكاسل وتزايد نوايا ترك الوظيفة. ويُعدّ الرضا من أهم مؤشرات الصحة التنظيمية التي تُظهر مدى انسجام الأفراد مع بيئة العمل والقيم السائدة فيها، فكلما شعر الموظفون بأن مؤسستهم توفر لهم الأمان والاحترام والتقدير، انعكس ذلك على سلوكهم الإيجابي وإنتاجيتهم (رحماني</w:t>
      </w:r>
      <w:r>
        <w:rPr>
          <w:rFonts w:ascii="Times New Roman" w:hAnsi="Times New Roman" w:cs="Times New Roman" w:hint="cs"/>
          <w:rtl/>
        </w:rPr>
        <w:t> </w:t>
      </w:r>
      <w:r>
        <w:rPr>
          <w:rtl/>
        </w:rPr>
        <w:t>و</w:t>
      </w:r>
      <w:r>
        <w:rPr>
          <w:rFonts w:ascii="Times New Roman" w:hAnsi="Times New Roman" w:cs="Times New Roman" w:hint="cs"/>
          <w:rtl/>
        </w:rPr>
        <w:t> </w:t>
      </w:r>
      <w:r>
        <w:rPr>
          <w:rtl/>
        </w:rPr>
        <w:t>عريف،</w:t>
      </w:r>
      <w:r>
        <w:rPr>
          <w:rFonts w:ascii="Times New Roman" w:hAnsi="Times New Roman" w:cs="Times New Roman" w:hint="cs"/>
          <w:rtl/>
        </w:rPr>
        <w:t> </w:t>
      </w:r>
      <w:r>
        <w:rPr>
          <w:rtl/>
        </w:rPr>
        <w:t>2021).</w:t>
      </w:r>
    </w:p>
    <w:p w14:paraId="64409A16" w14:textId="77777777" w:rsidR="00AD0F04" w:rsidRDefault="00AD0F04" w:rsidP="00AD0F04">
      <w:pPr>
        <w:pStyle w:val="NoSpacing"/>
        <w:bidi/>
        <w:rPr>
          <w:rtl/>
        </w:rPr>
      </w:pPr>
    </w:p>
    <w:p w14:paraId="2A186560" w14:textId="6871791F" w:rsidR="00AD0F04" w:rsidRDefault="00AD0F04" w:rsidP="00AD0F04">
      <w:pPr>
        <w:pStyle w:val="NoSpacing"/>
        <w:bidi/>
        <w:rPr>
          <w:rtl/>
        </w:rPr>
      </w:pPr>
      <w:r>
        <w:rPr>
          <w:rtl/>
        </w:rPr>
        <w:t>إضافة إلى ذلك، يساهم الرضا الوظيفي في تحسين العلاقات الإنسانية داخل بيئة العمل، إذ يقلل من حدة الصراعات ويزيد من روح التعاون بين الموظفين. فعندما تسود مشاعر القبول والرضا، تتعزز الثقة والتفاعل الاجتماعي ويصبح العمل أكثر انسجاماً وسلاسة. كما أن الرضا يُسهم في تخفيف الضغوط النفسية والانفعالات السلبية الناتجة عن المطالب العالية أو الظروف الصعبة، مما يؤدي إلى تحسين المناخ التنظيمي العام للمؤسسة</w:t>
      </w:r>
      <w:r>
        <w:rPr>
          <w:rFonts w:hint="cs"/>
          <w:rtl/>
        </w:rPr>
        <w:t>.</w:t>
      </w:r>
    </w:p>
    <w:p w14:paraId="69E6D490" w14:textId="434A7E81" w:rsidR="00AD0F04" w:rsidRDefault="00AD0F04" w:rsidP="00AD0F04">
      <w:pPr>
        <w:pStyle w:val="NoSpacing"/>
        <w:bidi/>
        <w:rPr>
          <w:rtl/>
        </w:rPr>
      </w:pPr>
      <w:r>
        <w:rPr>
          <w:rtl/>
        </w:rPr>
        <w:t>كذلك يُعدّ الرضا الوظيفي شرطاً لاستقرار القوى العاملة وتقليل معدل دوران الموظفين. فالمنظمات التي توفر للعاملين بيئة مُرضية ومحققة لتطلعاتهم تجد أن عمالها أكثر ولاءً وأطول بقاءً. وهذا يقلل من تكاليف التوظيف والتدريب، ويتيح للمؤسسة توظيف خبرات تراكمية تسهم في تطوير الأداء واستدامة الجودة. ومن هذا المنطلق أصبح الرضا مؤشراً رئيساً في تقييم فعالية الموارد البشرية ودورها في التنمية المؤسسية</w:t>
      </w:r>
      <w:r>
        <w:rPr>
          <w:rFonts w:hint="cs"/>
          <w:rtl/>
        </w:rPr>
        <w:t>.</w:t>
      </w:r>
    </w:p>
    <w:p w14:paraId="547D1C3B" w14:textId="77777777" w:rsidR="00AD0F04" w:rsidRDefault="00AD0F04" w:rsidP="00AD0F04">
      <w:pPr>
        <w:pStyle w:val="NoSpacing"/>
        <w:bidi/>
        <w:rPr>
          <w:rtl/>
        </w:rPr>
      </w:pPr>
      <w:r>
        <w:rPr>
          <w:rtl/>
        </w:rPr>
        <w:t>من ناحية أخرى، يمثل الرضا الوظيفي منبعاً للإبداع والابتكار. فالعامل الراضي يشعر بحرية فكرية وأمان نفسي تدفعه إلى اقتراح الأفكار والمبادرات الجديدة دون خوف من اللوم أو الرفض. ومن ثمّ فإن المؤسسات التي تسعى لتكون بيئات محفزة للإبداع ينبغي أن تعمل على رفع رضا موظفيها من خلال بناء مناخ داعم للحوار والتجريب وتشجيع العمل الجماعي (السليمان</w:t>
      </w:r>
      <w:r>
        <w:rPr>
          <w:rFonts w:ascii="Times New Roman" w:hAnsi="Times New Roman" w:cs="Times New Roman" w:hint="cs"/>
          <w:rtl/>
        </w:rPr>
        <w:t> </w:t>
      </w:r>
      <w:r>
        <w:rPr>
          <w:rtl/>
        </w:rPr>
        <w:t>و</w:t>
      </w:r>
      <w:r>
        <w:rPr>
          <w:rFonts w:ascii="Times New Roman" w:hAnsi="Times New Roman" w:cs="Times New Roman" w:hint="cs"/>
          <w:rtl/>
        </w:rPr>
        <w:t> </w:t>
      </w:r>
      <w:r>
        <w:rPr>
          <w:rtl/>
        </w:rPr>
        <w:t>الشعار،</w:t>
      </w:r>
      <w:r>
        <w:rPr>
          <w:rFonts w:ascii="Times New Roman" w:hAnsi="Times New Roman" w:cs="Times New Roman" w:hint="cs"/>
          <w:rtl/>
        </w:rPr>
        <w:t> </w:t>
      </w:r>
      <w:r>
        <w:rPr>
          <w:rtl/>
        </w:rPr>
        <w:t>2021).</w:t>
      </w:r>
    </w:p>
    <w:p w14:paraId="40FAA58D" w14:textId="4E48399A" w:rsidR="00AD0F04" w:rsidRDefault="00AD0F04" w:rsidP="00AD0F04">
      <w:pPr>
        <w:pStyle w:val="NoSpacing"/>
        <w:bidi/>
        <w:rPr>
          <w:rtl/>
        </w:rPr>
      </w:pPr>
      <w:r>
        <w:rPr>
          <w:rtl/>
        </w:rPr>
        <w:t>أما على المستوى النفسي والاجتماعي، فإن الرضا الوظيفي يسهم في الحفاظ على الصحة النفسية للعاملين ويحد من ظواهر الضغط العصبي والاحتراق الوظيفي. فالشعور بالراحة والقبول تجاه العمل يقلل مستويات القلق ويزيد من المرونة في التعامل مع مشاكل البيئة المهنية. والعامل الذي يتمتع برضا مرتفع يكون أكثر قدرة على التوازن بين حياته الخاصة وعمله، وأكثر إيجابية في علاقاته بالزملاء والرؤساء</w:t>
      </w:r>
      <w:r>
        <w:rPr>
          <w:rFonts w:hint="cs"/>
          <w:rtl/>
        </w:rPr>
        <w:t>.</w:t>
      </w:r>
    </w:p>
    <w:p w14:paraId="2E31A8E2" w14:textId="77777777" w:rsidR="00AD0F04" w:rsidRDefault="00AD0F04" w:rsidP="00AD0F04">
      <w:pPr>
        <w:pStyle w:val="NoSpacing"/>
        <w:bidi/>
        <w:rPr>
          <w:rtl/>
        </w:rPr>
      </w:pPr>
      <w:r>
        <w:rPr>
          <w:rtl/>
        </w:rPr>
        <w:t>كذلك يؤثر الرضا إيجابياً على صورتهم المؤسسية وسمعتها أمام العملاء وأفراد المجتمع، لأن الموظفين الراضين يُمثلون المؤسسة تمثيلاً إيجابياً، ويقدِّمون خدمات بجودة أعلى، مما يعزز الثقة العامة في المنظمة. وهذا ما يفسر اهتمام المنظمات المعاصرة ببرامج قياس الرضا كأداة للتطوير المستمر وتحسين الأداء (المبيضين</w:t>
      </w:r>
      <w:r>
        <w:rPr>
          <w:rFonts w:ascii="Times New Roman" w:hAnsi="Times New Roman" w:cs="Times New Roman" w:hint="cs"/>
          <w:rtl/>
        </w:rPr>
        <w:t> </w:t>
      </w:r>
      <w:r>
        <w:rPr>
          <w:rtl/>
        </w:rPr>
        <w:t>و</w:t>
      </w:r>
      <w:r>
        <w:rPr>
          <w:rFonts w:ascii="Times New Roman" w:hAnsi="Times New Roman" w:cs="Times New Roman" w:hint="cs"/>
          <w:rtl/>
        </w:rPr>
        <w:t> </w:t>
      </w:r>
      <w:r>
        <w:rPr>
          <w:rtl/>
        </w:rPr>
        <w:t>السرحان،</w:t>
      </w:r>
      <w:r>
        <w:rPr>
          <w:rFonts w:ascii="Times New Roman" w:hAnsi="Times New Roman" w:cs="Times New Roman" w:hint="cs"/>
          <w:rtl/>
        </w:rPr>
        <w:t> </w:t>
      </w:r>
      <w:r>
        <w:rPr>
          <w:rtl/>
        </w:rPr>
        <w:t>2023).</w:t>
      </w:r>
    </w:p>
    <w:p w14:paraId="4228A079" w14:textId="77777777" w:rsidR="00AD0F04" w:rsidRDefault="00AD0F04" w:rsidP="00AD0F04">
      <w:pPr>
        <w:pStyle w:val="NoSpacing"/>
        <w:bidi/>
        <w:rPr>
          <w:rtl/>
        </w:rPr>
      </w:pPr>
    </w:p>
    <w:p w14:paraId="2D111B6D" w14:textId="77777777" w:rsidR="00F149DA" w:rsidRDefault="00F149DA" w:rsidP="00AD0F04">
      <w:pPr>
        <w:pStyle w:val="Heading4"/>
        <w:rPr>
          <w:rtl/>
        </w:rPr>
      </w:pPr>
    </w:p>
    <w:p w14:paraId="2BA1088B" w14:textId="0455FBBE" w:rsidR="00AD0F04" w:rsidRDefault="00AD0F04" w:rsidP="00F149DA">
      <w:pPr>
        <w:pStyle w:val="Heading4"/>
        <w:rPr>
          <w:rtl/>
        </w:rPr>
      </w:pPr>
      <w:bookmarkStart w:id="32" w:name="_Toc213626813"/>
      <w:r>
        <w:rPr>
          <w:rtl/>
        </w:rPr>
        <w:t>أبعاد الرضا الوظيفي</w:t>
      </w:r>
      <w:r w:rsidR="00F149DA">
        <w:rPr>
          <w:rFonts w:hint="cs"/>
          <w:rtl/>
        </w:rPr>
        <w:t>:</w:t>
      </w:r>
      <w:bookmarkEnd w:id="32"/>
    </w:p>
    <w:p w14:paraId="5BD17404" w14:textId="77777777" w:rsidR="00AD0F04" w:rsidRDefault="00AD0F04" w:rsidP="00AD0F04">
      <w:pPr>
        <w:pStyle w:val="NoSpacing"/>
        <w:bidi/>
        <w:ind w:firstLine="0"/>
        <w:rPr>
          <w:rtl/>
        </w:rPr>
      </w:pPr>
      <w:r>
        <w:rPr>
          <w:rtl/>
        </w:rPr>
        <w:t>البعد الأول: الرضا عن الأجر والمكافآت</w:t>
      </w:r>
    </w:p>
    <w:p w14:paraId="0D5CAE26" w14:textId="29B62A34" w:rsidR="00AD0F04" w:rsidRDefault="00AD0F04" w:rsidP="00AD0F04">
      <w:pPr>
        <w:pStyle w:val="NoSpacing"/>
        <w:bidi/>
        <w:rPr>
          <w:rtl/>
        </w:rPr>
      </w:pPr>
      <w:r>
        <w:rPr>
          <w:rtl/>
        </w:rPr>
        <w:t>يعدّ الأجر أحد أهم محددات الرضا الوظيفي لأنه يشكل المقابل الملموس لجهود العاملين. فكلما شعر الموظف بعدالة الأجر وتناسبه مع حجم المسؤوليات، زاد إحساسه بالرضا. الأجر هنا لا يمثل فقط تعويضاً مادياً بل رمزاً للتقدير والقيمة داخل المؤسسة. وتشير الدراسات إلى أن الفجوة بين الأجور أو غياب العدالة في المكافآت يؤدي إلى إحساس بالإجحاف وعدم المساواة، وهو ما يضعف الدافعية ويؤثر على الأداء. ومن ثمّ فإن السياسات العادلة في تحديد الرواتب والحوافز تخلق استقراراً نفسياً وأمناً وظيفياً ينعكسان على الرضا والإنتاجية</w:t>
      </w:r>
      <w:r>
        <w:rPr>
          <w:rFonts w:hint="cs"/>
          <w:rtl/>
        </w:rPr>
        <w:t>.</w:t>
      </w:r>
    </w:p>
    <w:p w14:paraId="6912DE69" w14:textId="77777777" w:rsidR="00AD0F04" w:rsidRDefault="00AD0F04" w:rsidP="00AD0F04">
      <w:pPr>
        <w:pStyle w:val="NoSpacing"/>
        <w:bidi/>
        <w:rPr>
          <w:rtl/>
        </w:rPr>
      </w:pPr>
      <w:r>
        <w:rPr>
          <w:rtl/>
        </w:rPr>
        <w:t>على الجانب الآخر، فإن الأجر وحده لا يكفي لضمان الرضا إذا لم يقترن بالتقدير المعنوي وفرص النمو. فالعاملون الذين يشعرون بأن جهودهم معترف بها علناً وأن مكافآتهم مرتبطة بإنجازاتهم يظهرون ولاءً أكبر للمؤسسة مقارنةً بمن يُتعامل معهم بأسلوب روتيني جامد. ولهذا، من الضروري أن ترتبط سياسات الحوافز بالجدارة والتميز لا بالأقدمية أو العلاقات الشخصية لضمان العدالة المهنية (خلف</w:t>
      </w:r>
      <w:r>
        <w:rPr>
          <w:rFonts w:ascii="Times New Roman" w:hAnsi="Times New Roman" w:cs="Times New Roman" w:hint="cs"/>
          <w:rtl/>
        </w:rPr>
        <w:t> </w:t>
      </w:r>
      <w:r>
        <w:rPr>
          <w:rtl/>
        </w:rPr>
        <w:t>و</w:t>
      </w:r>
      <w:r>
        <w:rPr>
          <w:rFonts w:ascii="Times New Roman" w:hAnsi="Times New Roman" w:cs="Times New Roman" w:hint="cs"/>
          <w:rtl/>
        </w:rPr>
        <w:t> </w:t>
      </w:r>
      <w:r>
        <w:rPr>
          <w:rtl/>
        </w:rPr>
        <w:t>عيد،</w:t>
      </w:r>
      <w:r>
        <w:rPr>
          <w:rFonts w:ascii="Times New Roman" w:hAnsi="Times New Roman" w:cs="Times New Roman" w:hint="cs"/>
          <w:rtl/>
        </w:rPr>
        <w:t> </w:t>
      </w:r>
      <w:r>
        <w:rPr>
          <w:rtl/>
        </w:rPr>
        <w:t>2021).</w:t>
      </w:r>
    </w:p>
    <w:p w14:paraId="464B9779" w14:textId="77777777" w:rsidR="00AD0F04" w:rsidRDefault="00AD0F04" w:rsidP="00AD0F04">
      <w:pPr>
        <w:pStyle w:val="NoSpacing"/>
        <w:bidi/>
        <w:ind w:firstLine="0"/>
        <w:rPr>
          <w:rtl/>
        </w:rPr>
      </w:pPr>
      <w:r>
        <w:rPr>
          <w:rtl/>
        </w:rPr>
        <w:t>البعد الثاني: الرضا عن بيئة العمل</w:t>
      </w:r>
    </w:p>
    <w:p w14:paraId="5CFECFE7" w14:textId="3911F00D" w:rsidR="00AD0F04" w:rsidRDefault="00AD0F04" w:rsidP="00AD0F04">
      <w:pPr>
        <w:pStyle w:val="NoSpacing"/>
        <w:bidi/>
        <w:rPr>
          <w:rtl/>
        </w:rPr>
      </w:pPr>
      <w:r>
        <w:rPr>
          <w:rtl/>
        </w:rPr>
        <w:t>تُعتبر بيئة العمل الفيزيقية والتنظيمية عاملًا حاسمًا في تشكيل مستوى الرضا، إذ إن المكاتب المريحة، والتهوية الجيدة، وتجهيزات السلامة، إضافة إلى وضوح المهام وتوافر الأدوات، كلها عناصر تؤثر في نظرة الفرد إلى وظيفته. البيئة الإيجابية تخلق إحساسًا بالراحة وتدعم الأداء المتوازن، بينما تؤدي بيئة العمل السيئة إلى التوتر وعدم الاستقرار. وتؤكد الأدلة الميدانية أن تهيئة مكان العمل وخلق مناخ تنظيمي يسوده الاحترام والتعاون يرفع من رضا الموظفين ويقلل النزاعات</w:t>
      </w:r>
      <w:r>
        <w:rPr>
          <w:rFonts w:hint="cs"/>
          <w:rtl/>
        </w:rPr>
        <w:t>.</w:t>
      </w:r>
    </w:p>
    <w:p w14:paraId="1B65C11B" w14:textId="77777777" w:rsidR="00AD0F04" w:rsidRDefault="00AD0F04" w:rsidP="00AD0F04">
      <w:pPr>
        <w:pStyle w:val="NoSpacing"/>
        <w:bidi/>
        <w:rPr>
          <w:rtl/>
        </w:rPr>
      </w:pPr>
      <w:r>
        <w:rPr>
          <w:rtl/>
        </w:rPr>
        <w:t>كما أن العامل الاجتماعي داخل البيئة التنظيمية — أي العلاقات مع الزملاء والرؤساء — يُعدّ محدداً جوهرياً للرضا. فالعلاقات القائمة على الثقة والدعم المتبادل تجعل الموظف أكثر انخراطاً في العمل وإقبالاً عليه، بينما التنافس السلبي أو الصراعات التنظيمية تضعف الولاء وتزيد الاحتقان. لذلك تُعد ثقافة التعاون وروح الفريق من أهم المؤشرات على بيئة عمل صحية داعمة للرضا (الحسيني</w:t>
      </w:r>
      <w:r>
        <w:rPr>
          <w:rFonts w:ascii="Times New Roman" w:hAnsi="Times New Roman" w:cs="Times New Roman" w:hint="cs"/>
          <w:rtl/>
        </w:rPr>
        <w:t> </w:t>
      </w:r>
      <w:r>
        <w:rPr>
          <w:rtl/>
        </w:rPr>
        <w:t>و</w:t>
      </w:r>
      <w:r>
        <w:rPr>
          <w:rFonts w:ascii="Times New Roman" w:hAnsi="Times New Roman" w:cs="Times New Roman" w:hint="cs"/>
          <w:rtl/>
        </w:rPr>
        <w:t> </w:t>
      </w:r>
      <w:r>
        <w:rPr>
          <w:rtl/>
        </w:rPr>
        <w:t>زايدي،</w:t>
      </w:r>
      <w:r>
        <w:rPr>
          <w:rFonts w:ascii="Times New Roman" w:hAnsi="Times New Roman" w:cs="Times New Roman" w:hint="cs"/>
          <w:rtl/>
        </w:rPr>
        <w:t> </w:t>
      </w:r>
      <w:r>
        <w:rPr>
          <w:rtl/>
        </w:rPr>
        <w:t>2020).</w:t>
      </w:r>
    </w:p>
    <w:p w14:paraId="29ADFAEF" w14:textId="77777777" w:rsidR="00AD0F04" w:rsidRDefault="00AD0F04" w:rsidP="00AD0F04">
      <w:pPr>
        <w:pStyle w:val="NoSpacing"/>
        <w:bidi/>
        <w:rPr>
          <w:rtl/>
        </w:rPr>
      </w:pPr>
    </w:p>
    <w:p w14:paraId="1280594D" w14:textId="77777777" w:rsidR="00AD0F04" w:rsidRDefault="00AD0F04" w:rsidP="00AD0F04">
      <w:pPr>
        <w:pStyle w:val="NoSpacing"/>
        <w:bidi/>
        <w:ind w:firstLine="0"/>
        <w:rPr>
          <w:rtl/>
        </w:rPr>
      </w:pPr>
      <w:r>
        <w:rPr>
          <w:rtl/>
        </w:rPr>
        <w:t>البعد الثالث: الرضا عن العدالة التنظيمية</w:t>
      </w:r>
    </w:p>
    <w:p w14:paraId="60EE9478" w14:textId="007834D0" w:rsidR="00AD0F04" w:rsidRDefault="00AD0F04" w:rsidP="00AD0F04">
      <w:pPr>
        <w:pStyle w:val="NoSpacing"/>
        <w:bidi/>
        <w:rPr>
          <w:rtl/>
        </w:rPr>
      </w:pPr>
      <w:r>
        <w:rPr>
          <w:rtl/>
        </w:rPr>
        <w:t>يمثل الإحساس بالعدالة أحد الأعمدة الرئيسة في بناء الرضا الوظيفي، فالعدالة تشمل الإنصاف في الأجور، وفي توزيع المهام والترقيات، وفي أسلوب المعاملة والتقييم. حينما يشعر الموظفون بمساواة في الفرص والمعاملة، يرتفع لديهم الإحساس بالولاء والثقة بالإدارة. أما غياب العدالة فيولّد شعورًا بالظلم يؤدي إلى الإحباط وفقدان الرغبة في العمل بجد، بل قد يُفضي إلى السلوكيات السلبية داخل بيئة العمل</w:t>
      </w:r>
      <w:r>
        <w:rPr>
          <w:rFonts w:hint="cs"/>
          <w:rtl/>
        </w:rPr>
        <w:t>.</w:t>
      </w:r>
    </w:p>
    <w:p w14:paraId="377E9B37" w14:textId="77777777" w:rsidR="00AD0F04" w:rsidRDefault="00AD0F04" w:rsidP="00AD0F04">
      <w:pPr>
        <w:pStyle w:val="NoSpacing"/>
        <w:bidi/>
        <w:rPr>
          <w:rtl/>
        </w:rPr>
      </w:pPr>
      <w:r>
        <w:rPr>
          <w:rtl/>
        </w:rPr>
        <w:t>كما أن العدالة الإدراكية — أي تصوّر العاملين للقرارات التنظيمية — تساهم بقوة في تكوين اتجاهاتهم نحو المؤسسة. فإذا كانت العمليات الإدارية تتسم بالشفافية ويتم إشراك العاملين فيها، يشعرون بالإنصاف والمشاركة، أما القرارات المفاجئة أو المتحيزة فتضعف الثقة بالقيادة وتخفض مستوى الرضا. لذلك يُعدّ الإنصاف في الإجراءات والعمليات الإدارية شرطاً أساسياً لتوفير بيئة عمل مرضية (السرحان</w:t>
      </w:r>
      <w:r>
        <w:rPr>
          <w:rFonts w:ascii="Times New Roman" w:hAnsi="Times New Roman" w:cs="Times New Roman" w:hint="cs"/>
          <w:rtl/>
        </w:rPr>
        <w:t> </w:t>
      </w:r>
      <w:r>
        <w:rPr>
          <w:rtl/>
        </w:rPr>
        <w:t>و</w:t>
      </w:r>
      <w:r>
        <w:rPr>
          <w:rFonts w:ascii="Times New Roman" w:hAnsi="Times New Roman" w:cs="Times New Roman" w:hint="cs"/>
          <w:rtl/>
        </w:rPr>
        <w:t> </w:t>
      </w:r>
      <w:r>
        <w:rPr>
          <w:rtl/>
        </w:rPr>
        <w:t>العظامات،</w:t>
      </w:r>
      <w:r>
        <w:rPr>
          <w:rFonts w:ascii="Times New Roman" w:hAnsi="Times New Roman" w:cs="Times New Roman" w:hint="cs"/>
          <w:rtl/>
        </w:rPr>
        <w:t> </w:t>
      </w:r>
      <w:r>
        <w:rPr>
          <w:rtl/>
        </w:rPr>
        <w:t>2024).</w:t>
      </w:r>
    </w:p>
    <w:p w14:paraId="42DCDA8C" w14:textId="77777777" w:rsidR="00AD0F04" w:rsidRDefault="00AD0F04" w:rsidP="00AD0F04">
      <w:pPr>
        <w:pStyle w:val="NoSpacing"/>
        <w:bidi/>
        <w:ind w:firstLine="0"/>
        <w:rPr>
          <w:rtl/>
        </w:rPr>
      </w:pPr>
      <w:r>
        <w:rPr>
          <w:rtl/>
        </w:rPr>
        <w:t>البعد الرابع: الرضا عن الإشراف والقيادة</w:t>
      </w:r>
    </w:p>
    <w:p w14:paraId="2DB90BF2" w14:textId="23B65E23" w:rsidR="00AD0F04" w:rsidRDefault="00AD0F04" w:rsidP="00AD0F04">
      <w:pPr>
        <w:pStyle w:val="NoSpacing"/>
        <w:bidi/>
        <w:rPr>
          <w:rtl/>
        </w:rPr>
      </w:pPr>
      <w:r>
        <w:rPr>
          <w:rtl/>
        </w:rPr>
        <w:t xml:space="preserve">يؤثر السلوك القيادي تأثيراً مباشراً في مشاعر الرضا لدى العاملين. فالقائد الذي يتسم بالعدل، ويشارك موظفيه القرارات، ويوفر الدعم والتوجيه، يُسهم في رفع معنوياتهم وإشباع حاجاتهم النفسية. بينما القائد المتسلط أو الغائب مواجهةً يقلل من روح المبادرة ويزيد من شعور الانعزال. ويُعد نمط القيادة التحويلية مثالاً إيجابياً لأنها تركز على الإلهام والتحفيز وبناء الثقة، وهي عوامل ترتبط مباشرة بمستويات رضا مرتفعة </w:t>
      </w:r>
      <w:r>
        <w:rPr>
          <w:rFonts w:hint="cs"/>
          <w:rtl/>
        </w:rPr>
        <w:t>.</w:t>
      </w:r>
    </w:p>
    <w:p w14:paraId="7BDAEAC3" w14:textId="77777777" w:rsidR="00AD0F04" w:rsidRDefault="00AD0F04" w:rsidP="00AD0F04">
      <w:pPr>
        <w:pStyle w:val="NoSpacing"/>
        <w:bidi/>
        <w:rPr>
          <w:rtl/>
        </w:rPr>
      </w:pPr>
      <w:r>
        <w:rPr>
          <w:rtl/>
        </w:rPr>
        <w:t>ومن جانب آخر، فإن الإشراف الفعّال يعني المتابعة البناءة دون إفراط في الرقابة. فالتوازن بين الحرية والمسؤولية يولّد بيئة إنتاجية قائمة على الثقة والاحترام المتبادل. كما أن تقدير الجهود والالتزام بالتغذية الراجعة الإيجابية يعزّزان الشعور بالقيمة الذاتية، مما يرفع مستوى الرضا الوظيفي ويقوي الولاء التنظيمي (الدوسري</w:t>
      </w:r>
      <w:r>
        <w:rPr>
          <w:rFonts w:ascii="Times New Roman" w:hAnsi="Times New Roman" w:cs="Times New Roman" w:hint="cs"/>
          <w:rtl/>
        </w:rPr>
        <w:t> </w:t>
      </w:r>
      <w:r>
        <w:rPr>
          <w:rtl/>
        </w:rPr>
        <w:t>و</w:t>
      </w:r>
      <w:r>
        <w:rPr>
          <w:rFonts w:ascii="Times New Roman" w:hAnsi="Times New Roman" w:cs="Times New Roman" w:hint="cs"/>
          <w:rtl/>
        </w:rPr>
        <w:t> </w:t>
      </w:r>
      <w:r>
        <w:rPr>
          <w:rtl/>
        </w:rPr>
        <w:t>عبدالقادر،</w:t>
      </w:r>
      <w:r>
        <w:rPr>
          <w:rFonts w:ascii="Times New Roman" w:hAnsi="Times New Roman" w:cs="Times New Roman" w:hint="cs"/>
          <w:rtl/>
        </w:rPr>
        <w:t> </w:t>
      </w:r>
      <w:r>
        <w:rPr>
          <w:rtl/>
        </w:rPr>
        <w:t>2020).</w:t>
      </w:r>
    </w:p>
    <w:p w14:paraId="2DEFAFD1" w14:textId="5B4CAEB9" w:rsidR="00AD0F04" w:rsidRDefault="00AD0F04" w:rsidP="00AD0F04">
      <w:pPr>
        <w:pStyle w:val="Heading4"/>
        <w:rPr>
          <w:rtl/>
        </w:rPr>
      </w:pPr>
      <w:bookmarkStart w:id="33" w:name="_Toc213626814"/>
      <w:r>
        <w:rPr>
          <w:rtl/>
        </w:rPr>
        <w:t>كيفية تحقيق الرضا الوظيفي</w:t>
      </w:r>
      <w:r w:rsidR="00F149DA">
        <w:rPr>
          <w:rFonts w:hint="cs"/>
          <w:rtl/>
        </w:rPr>
        <w:t>:</w:t>
      </w:r>
      <w:bookmarkEnd w:id="33"/>
    </w:p>
    <w:p w14:paraId="5F38A7E9" w14:textId="77777777" w:rsidR="00AD0F04" w:rsidRDefault="00AD0F04" w:rsidP="00AD0F04">
      <w:pPr>
        <w:pStyle w:val="NoSpacing"/>
        <w:bidi/>
        <w:rPr>
          <w:rtl/>
        </w:rPr>
      </w:pPr>
      <w:r>
        <w:rPr>
          <w:rtl/>
        </w:rPr>
        <w:t>يبدأ تحقيق الرضا الوظيفي بتهيئة بيئة عمل داعمة تراعي احتياجات الموظفين المختلفة. فالإدارة التي تضع سياسات مرنة في الأجور، وساعات العمل، والإجازات تسهم في تحسين التوازن النفسي والمهني للعاملين. كما أن توفير شروط الأمان والسلامة المهنية وخدمات الدعم الاجتماعي يخلق إحساساً بالرعاية والاهتمام من قبل المؤسسة، فيرفع مستوى الانسجام والالتزام (هلالي</w:t>
      </w:r>
      <w:r>
        <w:rPr>
          <w:rFonts w:ascii="Times New Roman" w:hAnsi="Times New Roman" w:cs="Times New Roman" w:hint="cs"/>
          <w:rtl/>
        </w:rPr>
        <w:t> </w:t>
      </w:r>
      <w:r>
        <w:rPr>
          <w:rtl/>
        </w:rPr>
        <w:t>و</w:t>
      </w:r>
      <w:r>
        <w:rPr>
          <w:rFonts w:ascii="Times New Roman" w:hAnsi="Times New Roman" w:cs="Times New Roman" w:hint="cs"/>
          <w:rtl/>
        </w:rPr>
        <w:t> </w:t>
      </w:r>
      <w:r>
        <w:rPr>
          <w:rtl/>
        </w:rPr>
        <w:t>إبراهيم،</w:t>
      </w:r>
      <w:r>
        <w:rPr>
          <w:rFonts w:ascii="Times New Roman" w:hAnsi="Times New Roman" w:cs="Times New Roman" w:hint="cs"/>
          <w:rtl/>
        </w:rPr>
        <w:t> </w:t>
      </w:r>
      <w:r>
        <w:rPr>
          <w:rtl/>
        </w:rPr>
        <w:t>2022).</w:t>
      </w:r>
    </w:p>
    <w:p w14:paraId="4490E01D" w14:textId="76A979FE" w:rsidR="00AD0F04" w:rsidRDefault="00AD0F04" w:rsidP="00AD0F04">
      <w:pPr>
        <w:pStyle w:val="NoSpacing"/>
        <w:bidi/>
        <w:rPr>
          <w:rtl/>
        </w:rPr>
      </w:pPr>
      <w:r>
        <w:rPr>
          <w:rtl/>
        </w:rPr>
        <w:t>وثانياً، يمكن تعزيز الرضا من خلال برامج التحفيز المادي والمعنوي، فالحوافز المتنوعة، والمكافآت التقديرية، والاعتراف العلني بجهود الموظفين تولّد شعورًا بالتقدير، وتحفّز على الاستمرار في الأداء المتميز. ولا يقتصر التحفيز على الجانب المادي؛ فالكلمة الطيبة، وشكر المدير، والتكليف بمسؤوليات أكبر تعدّ مصادر قوية للشعور بالرضا والإنجاز الشخصي</w:t>
      </w:r>
      <w:r>
        <w:rPr>
          <w:rFonts w:hint="cs"/>
          <w:rtl/>
        </w:rPr>
        <w:t>.</w:t>
      </w:r>
    </w:p>
    <w:p w14:paraId="6748512B" w14:textId="59969414" w:rsidR="00AD0F04" w:rsidRDefault="00AD0F04" w:rsidP="00AD0F04">
      <w:pPr>
        <w:pStyle w:val="NoSpacing"/>
        <w:bidi/>
        <w:rPr>
          <w:rtl/>
        </w:rPr>
      </w:pPr>
      <w:r>
        <w:rPr>
          <w:rtl/>
        </w:rPr>
        <w:t>وثالثاً، يتحقق الرضا عبر الفرص المتكافئة للنمو والتطور المهني. فكلما شعر الفرد بأن عمله يفتح له آفاقاً للتقدم والتعلم، زاد ارتباطه بالمؤسسة. ويمكن تحقيق ذلك من خلال الدورات التدريبية وخطط التطوير الوظيفي والترقيات العادلة. كما أن توفير بيئة تشجع على التعلم المستمر والتبادل المعرفي يجعل الموظف أكثر انخراطاً وانتماءً، مما يعزز الرضا الذاتي والمهني</w:t>
      </w:r>
      <w:r>
        <w:rPr>
          <w:rFonts w:hint="cs"/>
          <w:rtl/>
        </w:rPr>
        <w:t>.</w:t>
      </w:r>
    </w:p>
    <w:p w14:paraId="79F65C68" w14:textId="3B77FA47" w:rsidR="00AD0F04" w:rsidRDefault="00AD0F04" w:rsidP="00AD0F04">
      <w:pPr>
        <w:pStyle w:val="NoSpacing"/>
        <w:bidi/>
        <w:rPr>
          <w:rtl/>
        </w:rPr>
      </w:pPr>
      <w:r>
        <w:rPr>
          <w:rtl/>
        </w:rPr>
        <w:t>وأخيراً، لا يتحقق الرضا الوظيفي إلا في ظل ثقافة مؤسسية إيجابية تسودها القيم الأخلاقية والعدالة والتعاون. فهذه الثقافة تشكّل الإطار الذي ينمّي الشعور بالانتماء ويمنح الأفراد الثقة والأمان. كما أن القيادة الناجحة التي تتبنّى أسلوب الحوار والتواصل المستمر تسهم في بناء بيئة عمل ديمقراطية تحترم الإنسان قبل الوظيفة، الأمر الذي يرفع من رضا الموظفين ويجعلهم أكثر استعداداً للإبداع والعمل بروح الفريق الواحد (نوير</w:t>
      </w:r>
      <w:r>
        <w:rPr>
          <w:rFonts w:ascii="Times New Roman" w:hAnsi="Times New Roman" w:cs="Times New Roman" w:hint="cs"/>
          <w:rtl/>
        </w:rPr>
        <w:t> </w:t>
      </w:r>
      <w:r>
        <w:rPr>
          <w:rtl/>
        </w:rPr>
        <w:t>و</w:t>
      </w:r>
      <w:r>
        <w:rPr>
          <w:rFonts w:ascii="Times New Roman" w:hAnsi="Times New Roman" w:cs="Times New Roman" w:hint="cs"/>
          <w:rtl/>
        </w:rPr>
        <w:t> </w:t>
      </w:r>
      <w:r>
        <w:rPr>
          <w:rtl/>
        </w:rPr>
        <w:t>المسدي،</w:t>
      </w:r>
      <w:r>
        <w:rPr>
          <w:rFonts w:ascii="Times New Roman" w:hAnsi="Times New Roman" w:cs="Times New Roman" w:hint="cs"/>
          <w:rtl/>
        </w:rPr>
        <w:t> </w:t>
      </w:r>
      <w:r>
        <w:rPr>
          <w:rtl/>
        </w:rPr>
        <w:t>2023).</w:t>
      </w:r>
    </w:p>
    <w:p w14:paraId="19E54737" w14:textId="77777777" w:rsidR="006A2745" w:rsidRDefault="006A2745" w:rsidP="001D35FE">
      <w:pPr>
        <w:pStyle w:val="Heading3"/>
        <w:rPr>
          <w:rtl/>
          <w:lang w:bidi="ar-SA"/>
        </w:rPr>
      </w:pPr>
    </w:p>
    <w:p w14:paraId="251CF612" w14:textId="77777777" w:rsidR="006A2745" w:rsidRDefault="006A2745" w:rsidP="001D35FE">
      <w:pPr>
        <w:pStyle w:val="Heading3"/>
        <w:rPr>
          <w:rtl/>
        </w:rPr>
      </w:pPr>
    </w:p>
    <w:p w14:paraId="484CDD50" w14:textId="77777777" w:rsidR="006A2745" w:rsidRDefault="006A2745">
      <w:pPr>
        <w:spacing w:after="160" w:line="259" w:lineRule="auto"/>
        <w:rPr>
          <w:rFonts w:ascii="Simplified Arabic" w:hAnsi="Simplified Arabic" w:cs="Simplified Arabic"/>
          <w:b/>
          <w:bCs/>
          <w:sz w:val="32"/>
          <w:szCs w:val="32"/>
          <w:rtl/>
          <w:lang w:bidi="ar-EG"/>
        </w:rPr>
      </w:pPr>
      <w:r>
        <w:rPr>
          <w:rtl/>
        </w:rPr>
        <w:br w:type="page"/>
      </w:r>
    </w:p>
    <w:p w14:paraId="6A34570C" w14:textId="698958C9" w:rsidR="00E8720B" w:rsidRDefault="001D35FE" w:rsidP="00E8720B">
      <w:pPr>
        <w:pStyle w:val="Heading3"/>
        <w:rPr>
          <w:rtl/>
        </w:rPr>
      </w:pPr>
      <w:bookmarkStart w:id="34" w:name="_Toc213626815"/>
      <w:r>
        <w:rPr>
          <w:rtl/>
        </w:rPr>
        <w:t>المبحث الثالث: العلاقة بين</w:t>
      </w:r>
      <w:r w:rsidR="00235611" w:rsidRPr="00235611">
        <w:rPr>
          <w:rtl/>
        </w:rPr>
        <w:t xml:space="preserve"> التوازن بين الحياة والعمل على مستوى الرضا الوظيفي</w:t>
      </w:r>
      <w:bookmarkEnd w:id="34"/>
    </w:p>
    <w:p w14:paraId="0D1BCAAB" w14:textId="2A2F096D" w:rsidR="00E8720B" w:rsidRDefault="00E8720B" w:rsidP="00E8720B">
      <w:pPr>
        <w:pStyle w:val="NoSpacing"/>
        <w:bidi/>
        <w:rPr>
          <w:rtl/>
        </w:rPr>
      </w:pPr>
      <w:r>
        <w:rPr>
          <w:rtl/>
        </w:rPr>
        <w:t>تُعدّ العلاقة بين التوازن بين الحياة والعمل ومستوى الرضا الوظيفي من القضايا المحورية في الفكر الإداري المعاصر، إذ يُنظر إلى تحقيق التوازن كأحد المحددات الأساسية لرفاه الموظف النفسي والاجتماعي، ولضمان استدامة أدائه وجودة عطائه. فكلما شعر الموظف بالانسجام بين مسؤولياته العملية ومتطلباته الأسرية، ارتفع مستوى رضاه عن عمله، وهو ما أكدته العديد من الدراسات النظرية والميدانية في سياقات عربية وغربية متعددة (محمود</w:t>
      </w:r>
      <w:r>
        <w:rPr>
          <w:rFonts w:ascii="Times New Roman" w:hAnsi="Times New Roman" w:cs="Times New Roman" w:hint="cs"/>
          <w:rtl/>
        </w:rPr>
        <w:t> </w:t>
      </w:r>
      <w:r>
        <w:rPr>
          <w:rtl/>
        </w:rPr>
        <w:t>و</w:t>
      </w:r>
      <w:r>
        <w:rPr>
          <w:rFonts w:ascii="Times New Roman" w:hAnsi="Times New Roman" w:cs="Times New Roman" w:hint="cs"/>
          <w:rtl/>
        </w:rPr>
        <w:t> </w:t>
      </w:r>
      <w:r>
        <w:rPr>
          <w:rtl/>
        </w:rPr>
        <w:t>خريم،</w:t>
      </w:r>
      <w:r>
        <w:rPr>
          <w:rFonts w:ascii="Times New Roman" w:hAnsi="Times New Roman" w:cs="Times New Roman" w:hint="cs"/>
          <w:rtl/>
        </w:rPr>
        <w:t> </w:t>
      </w:r>
      <w:r>
        <w:rPr>
          <w:rtl/>
        </w:rPr>
        <w:t>2021).</w:t>
      </w:r>
    </w:p>
    <w:p w14:paraId="2CC006FB" w14:textId="3D0955D8" w:rsidR="00E8720B" w:rsidRDefault="00E8720B" w:rsidP="00E8720B">
      <w:pPr>
        <w:pStyle w:val="NoSpacing"/>
        <w:bidi/>
        <w:rPr>
          <w:rtl/>
        </w:rPr>
      </w:pPr>
      <w:r>
        <w:rPr>
          <w:rtl/>
        </w:rPr>
        <w:t>لقد أظهرت الأدبيات أن التوازن بين مجالي الحياة والعمل يسهم في خفض مستويات الإجهاد المرتبطة بضغوط الوظيفة، ويعزز الحالة الانفعالية الإيجابية لدى العاملين، مما ينعكس على رضاهم عن بيئة العمل. كما أن إدراك المنظمة لأهمية هذا التوازن من خلال سياسات مرنة وساعات عمل مناسبة يرسخ شعور الانتماء المؤسسي ويقلل من نية ترك العمل، وهو ما بينته دراسة (العرمان</w:t>
      </w:r>
      <w:r>
        <w:rPr>
          <w:rFonts w:ascii="Times New Roman" w:hAnsi="Times New Roman" w:cs="Times New Roman" w:hint="cs"/>
          <w:rtl/>
        </w:rPr>
        <w:t> </w:t>
      </w:r>
      <w:r>
        <w:rPr>
          <w:rtl/>
        </w:rPr>
        <w:t>و</w:t>
      </w:r>
      <w:r>
        <w:rPr>
          <w:rFonts w:ascii="Times New Roman" w:hAnsi="Times New Roman" w:cs="Times New Roman" w:hint="cs"/>
          <w:rtl/>
        </w:rPr>
        <w:t> </w:t>
      </w:r>
      <w:r>
        <w:rPr>
          <w:rtl/>
        </w:rPr>
        <w:t>القطاونة،</w:t>
      </w:r>
      <w:r>
        <w:rPr>
          <w:rFonts w:ascii="Times New Roman" w:hAnsi="Times New Roman" w:cs="Times New Roman" w:hint="cs"/>
          <w:rtl/>
        </w:rPr>
        <w:t> </w:t>
      </w:r>
      <w:r>
        <w:rPr>
          <w:rtl/>
        </w:rPr>
        <w:t>2021) التي ربطت بين تحقيق التوازن والنجاح الوظيفي بوصفه أحد مظاهر الرضا الوظيفي الذاتي.</w:t>
      </w:r>
    </w:p>
    <w:p w14:paraId="58D2C4C9" w14:textId="27B099CF" w:rsidR="00E8720B" w:rsidRDefault="00E8720B" w:rsidP="00E8720B">
      <w:pPr>
        <w:pStyle w:val="NoSpacing"/>
        <w:bidi/>
        <w:rPr>
          <w:rtl/>
        </w:rPr>
      </w:pPr>
      <w:r>
        <w:rPr>
          <w:rtl/>
        </w:rPr>
        <w:t>وفي هذا الإطار، يظهر أن الرضا الوظيفي يُشكل حلقة وصل بين الجوانب المهنية والشخصية في حياة الفرد، فهو ليس مجرد شعور لحظي بل نتاج تراكم من العدالة التنظيمية، والأمان الوظيفي، والاعتراف بالجهود. وقد أوضحت دراسة (السرحان</w:t>
      </w:r>
      <w:r>
        <w:rPr>
          <w:rFonts w:ascii="Times New Roman" w:hAnsi="Times New Roman" w:cs="Times New Roman" w:hint="cs"/>
          <w:rtl/>
        </w:rPr>
        <w:t> </w:t>
      </w:r>
      <w:r>
        <w:rPr>
          <w:rtl/>
        </w:rPr>
        <w:t>و</w:t>
      </w:r>
      <w:r>
        <w:rPr>
          <w:rFonts w:ascii="Times New Roman" w:hAnsi="Times New Roman" w:cs="Times New Roman" w:hint="cs"/>
          <w:rtl/>
        </w:rPr>
        <w:t> </w:t>
      </w:r>
      <w:r>
        <w:rPr>
          <w:rtl/>
        </w:rPr>
        <w:t>العظامات،</w:t>
      </w:r>
      <w:r>
        <w:rPr>
          <w:rFonts w:ascii="Times New Roman" w:hAnsi="Times New Roman" w:cs="Times New Roman" w:hint="cs"/>
          <w:rtl/>
        </w:rPr>
        <w:t> </w:t>
      </w:r>
      <w:r>
        <w:rPr>
          <w:rtl/>
        </w:rPr>
        <w:t>2024) أن الدعم التنظيمي المدرك لدى العاملين يعزز الرضا الوظيفي، لا سيما حينما يشعر الموظف بأن بيئته المهنية تراعي احتياجاته الاجتماعية والعائلية، بما يعكس اندماج مفهوم التوازن ضمن البنية الثقافية للمؤسسة الحديثة.</w:t>
      </w:r>
    </w:p>
    <w:p w14:paraId="6FE378EB" w14:textId="10E394BA" w:rsidR="00E8720B" w:rsidRDefault="00E8720B" w:rsidP="00E73C25">
      <w:pPr>
        <w:pStyle w:val="NoSpacing"/>
        <w:bidi/>
        <w:rPr>
          <w:rtl/>
        </w:rPr>
      </w:pPr>
      <w:r>
        <w:rPr>
          <w:rtl/>
        </w:rPr>
        <w:t>من جانب آخر، نجد أن بعض الباحثين مثل (الدوسري</w:t>
      </w:r>
      <w:r>
        <w:rPr>
          <w:rFonts w:ascii="Times New Roman" w:hAnsi="Times New Roman" w:cs="Times New Roman" w:hint="cs"/>
          <w:rtl/>
        </w:rPr>
        <w:t> </w:t>
      </w:r>
      <w:r>
        <w:rPr>
          <w:rtl/>
        </w:rPr>
        <w:t>و</w:t>
      </w:r>
      <w:r>
        <w:rPr>
          <w:rFonts w:ascii="Times New Roman" w:hAnsi="Times New Roman" w:cs="Times New Roman" w:hint="cs"/>
          <w:rtl/>
        </w:rPr>
        <w:t> </w:t>
      </w:r>
      <w:r>
        <w:rPr>
          <w:rtl/>
        </w:rPr>
        <w:t>عبدالقادر،</w:t>
      </w:r>
      <w:r>
        <w:rPr>
          <w:rFonts w:ascii="Times New Roman" w:hAnsi="Times New Roman" w:cs="Times New Roman" w:hint="cs"/>
          <w:rtl/>
        </w:rPr>
        <w:t> </w:t>
      </w:r>
      <w:r>
        <w:rPr>
          <w:rtl/>
        </w:rPr>
        <w:t>2020) ركزوا على الأنماط القيادية السائدة التي تؤثر على تحقيق الرضا الوظيفي، حيث تبين أن القيادة الديمقراطية والمرنة تُسهم في إتاحة مساحة أكبر للعاملين لإدارة أوقاتهم ومسؤولياتهم، مما يخلق حالة من التوازن الشخصي والمهني تؤدي بدورها إلى الإشباع الوظيفي ورفع معدلات الولاء للمنظمة.</w:t>
      </w:r>
    </w:p>
    <w:p w14:paraId="71E8AFD7" w14:textId="343D1DE5" w:rsidR="00E8720B" w:rsidRDefault="00E8720B" w:rsidP="00E8720B">
      <w:pPr>
        <w:pStyle w:val="NoSpacing"/>
        <w:bidi/>
        <w:rPr>
          <w:rtl/>
        </w:rPr>
      </w:pPr>
      <w:r>
        <w:rPr>
          <w:rtl/>
        </w:rPr>
        <w:t>كما أظهرت دراسات حديثة مثل (السليمان</w:t>
      </w:r>
      <w:r>
        <w:rPr>
          <w:rFonts w:ascii="Times New Roman" w:hAnsi="Times New Roman" w:cs="Times New Roman" w:hint="cs"/>
          <w:rtl/>
        </w:rPr>
        <w:t> </w:t>
      </w:r>
      <w:r>
        <w:rPr>
          <w:rtl/>
        </w:rPr>
        <w:t>و</w:t>
      </w:r>
      <w:r>
        <w:rPr>
          <w:rFonts w:ascii="Times New Roman" w:hAnsi="Times New Roman" w:cs="Times New Roman" w:hint="cs"/>
          <w:rtl/>
        </w:rPr>
        <w:t> </w:t>
      </w:r>
      <w:r>
        <w:rPr>
          <w:rtl/>
        </w:rPr>
        <w:t>الشعار،</w:t>
      </w:r>
      <w:r>
        <w:rPr>
          <w:rFonts w:ascii="Times New Roman" w:hAnsi="Times New Roman" w:cs="Times New Roman" w:hint="cs"/>
          <w:rtl/>
        </w:rPr>
        <w:t> </w:t>
      </w:r>
      <w:r>
        <w:rPr>
          <w:rtl/>
        </w:rPr>
        <w:t>2021) أن القيادة التحويلية تمثل مدخلاً مهماً لتحقيق الرضا عبر تشجيع الموظفين على التفاعل، وتقديم المحفزات المعنوية التي تتيح استقراراً نفسياً يخفف من حدة التوتر بين متطلبات العمل والحياة الخاصة. فالمدير الذي يمتلك مهارات تحفيزية وتعاطفية يمكنه احتواء ضغوط العمل وتهيئة بيئة داعمة للتوازن، وبالتالي يساعد العاملين على تحقيق الرضا عن مهنتهم بصورة مستدامة.</w:t>
      </w:r>
    </w:p>
    <w:p w14:paraId="79AF138C" w14:textId="05C3666D" w:rsidR="00E8720B" w:rsidRDefault="00E8720B" w:rsidP="00E8720B">
      <w:pPr>
        <w:pStyle w:val="NoSpacing"/>
        <w:bidi/>
        <w:rPr>
          <w:rtl/>
        </w:rPr>
      </w:pPr>
      <w:r>
        <w:rPr>
          <w:rtl/>
        </w:rPr>
        <w:t>ولا يمكن فصل مفهوم التوازن عن بنية تصميم الوظيفة نفسها، إذ أثبتت دراسة (منصور</w:t>
      </w:r>
      <w:r>
        <w:rPr>
          <w:rFonts w:ascii="Times New Roman" w:hAnsi="Times New Roman" w:cs="Times New Roman" w:hint="cs"/>
          <w:rtl/>
        </w:rPr>
        <w:t> </w:t>
      </w:r>
      <w:r>
        <w:rPr>
          <w:rtl/>
        </w:rPr>
        <w:t>و</w:t>
      </w:r>
      <w:r>
        <w:rPr>
          <w:rFonts w:ascii="Times New Roman" w:hAnsi="Times New Roman" w:cs="Times New Roman" w:hint="cs"/>
          <w:rtl/>
        </w:rPr>
        <w:t> </w:t>
      </w:r>
      <w:r>
        <w:rPr>
          <w:rtl/>
        </w:rPr>
        <w:t>أبو</w:t>
      </w:r>
      <w:r>
        <w:rPr>
          <w:rFonts w:ascii="Times New Roman" w:hAnsi="Times New Roman" w:cs="Times New Roman" w:hint="cs"/>
          <w:rtl/>
        </w:rPr>
        <w:t> </w:t>
      </w:r>
      <w:r>
        <w:rPr>
          <w:rtl/>
        </w:rPr>
        <w:t>تايه،</w:t>
      </w:r>
      <w:r>
        <w:rPr>
          <w:rFonts w:ascii="Times New Roman" w:hAnsi="Times New Roman" w:cs="Times New Roman" w:hint="cs"/>
          <w:rtl/>
        </w:rPr>
        <w:t> </w:t>
      </w:r>
      <w:r>
        <w:rPr>
          <w:rtl/>
        </w:rPr>
        <w:t>2024) أن التصميم الجيد للوظيفة، بما يتضمنه من الاستقلال والهوية الوظيفية وتنوع المهارات، يؤدي إلى تعزيز الإحساس بالسيطرة على الوقت والمسؤولية، مما يساعد الموظف على مواءمة حياته العملية مع الشخصية؛ وهو ما يعكس علاقة مباشرة بين طبيعة المهام ودرجة الرضا النفسي والمهني.</w:t>
      </w:r>
    </w:p>
    <w:p w14:paraId="765D9D37" w14:textId="0ECA664E" w:rsidR="00E8720B" w:rsidRDefault="00E8720B" w:rsidP="00E8720B">
      <w:pPr>
        <w:pStyle w:val="NoSpacing"/>
        <w:bidi/>
        <w:rPr>
          <w:rtl/>
        </w:rPr>
      </w:pPr>
      <w:r>
        <w:rPr>
          <w:rtl/>
        </w:rPr>
        <w:t>أما من منظور إدارة الموارد البشرية، فقد أكدت دراسات مثل (الصاروم</w:t>
      </w:r>
      <w:r>
        <w:rPr>
          <w:rFonts w:ascii="Times New Roman" w:hAnsi="Times New Roman" w:cs="Times New Roman" w:hint="cs"/>
          <w:rtl/>
        </w:rPr>
        <w:t> </w:t>
      </w:r>
      <w:r>
        <w:rPr>
          <w:rtl/>
        </w:rPr>
        <w:t>و</w:t>
      </w:r>
      <w:r>
        <w:rPr>
          <w:rFonts w:ascii="Times New Roman" w:hAnsi="Times New Roman" w:cs="Times New Roman" w:hint="cs"/>
          <w:rtl/>
        </w:rPr>
        <w:t> </w:t>
      </w:r>
      <w:r>
        <w:rPr>
          <w:rtl/>
        </w:rPr>
        <w:t>الحراحشة،</w:t>
      </w:r>
      <w:r>
        <w:rPr>
          <w:rFonts w:ascii="Times New Roman" w:hAnsi="Times New Roman" w:cs="Times New Roman" w:hint="cs"/>
          <w:rtl/>
        </w:rPr>
        <w:t> </w:t>
      </w:r>
      <w:r>
        <w:rPr>
          <w:rtl/>
        </w:rPr>
        <w:t>2022) و(هلالي</w:t>
      </w:r>
      <w:r>
        <w:rPr>
          <w:rFonts w:ascii="Times New Roman" w:hAnsi="Times New Roman" w:cs="Times New Roman" w:hint="cs"/>
          <w:rtl/>
        </w:rPr>
        <w:t> </w:t>
      </w:r>
      <w:r>
        <w:rPr>
          <w:rtl/>
        </w:rPr>
        <w:t>و</w:t>
      </w:r>
      <w:r>
        <w:rPr>
          <w:rFonts w:ascii="Times New Roman" w:hAnsi="Times New Roman" w:cs="Times New Roman" w:hint="cs"/>
          <w:rtl/>
        </w:rPr>
        <w:t> </w:t>
      </w:r>
      <w:r>
        <w:rPr>
          <w:rtl/>
        </w:rPr>
        <w:t>إبراهيم،</w:t>
      </w:r>
      <w:r>
        <w:rPr>
          <w:rFonts w:ascii="Times New Roman" w:hAnsi="Times New Roman" w:cs="Times New Roman" w:hint="cs"/>
          <w:rtl/>
        </w:rPr>
        <w:t> </w:t>
      </w:r>
      <w:r>
        <w:rPr>
          <w:rtl/>
        </w:rPr>
        <w:t>2022) أن تبني ممارسات متقدمة في إدارة الموارد البشرية — كالتقييم العادل، وتوزيع المهام المرن، والتحفيز — يسهم في تحقيق رضا مهني عالٍ، ويخفف من الصراعات الزمنية بين العمل والبيت. فالإدارة التي تطبق سياسات مراعية لإنسانية الموظف تخلق بيئة متوازنة تدعم الصحة النفسية والولاء التنظيمي.</w:t>
      </w:r>
    </w:p>
    <w:p w14:paraId="45D66583" w14:textId="3453D2CA" w:rsidR="00E8720B" w:rsidRDefault="00E8720B" w:rsidP="00E8720B">
      <w:pPr>
        <w:pStyle w:val="NoSpacing"/>
        <w:bidi/>
        <w:rPr>
          <w:rtl/>
        </w:rPr>
      </w:pPr>
      <w:r>
        <w:rPr>
          <w:rtl/>
        </w:rPr>
        <w:t>وفي سياق مشابه، وجد (نوير</w:t>
      </w:r>
      <w:r>
        <w:rPr>
          <w:rFonts w:ascii="Times New Roman" w:hAnsi="Times New Roman" w:cs="Times New Roman" w:hint="cs"/>
          <w:rtl/>
        </w:rPr>
        <w:t> </w:t>
      </w:r>
      <w:r>
        <w:rPr>
          <w:rtl/>
        </w:rPr>
        <w:t>و</w:t>
      </w:r>
      <w:r>
        <w:rPr>
          <w:rFonts w:ascii="Times New Roman" w:hAnsi="Times New Roman" w:cs="Times New Roman" w:hint="cs"/>
          <w:rtl/>
        </w:rPr>
        <w:t> </w:t>
      </w:r>
      <w:r>
        <w:rPr>
          <w:rtl/>
        </w:rPr>
        <w:t>المسدي،</w:t>
      </w:r>
      <w:r>
        <w:rPr>
          <w:rFonts w:ascii="Times New Roman" w:hAnsi="Times New Roman" w:cs="Times New Roman" w:hint="cs"/>
          <w:rtl/>
        </w:rPr>
        <w:t> </w:t>
      </w:r>
      <w:r>
        <w:rPr>
          <w:rtl/>
        </w:rPr>
        <w:t>2023) أن ثقافة المنظمة تلعب دوراً محورياً في بناء الرضا الوظيفي، فكلما كانت الثقافة قائمة على الثقة والمرونة والانفتاح زاد شعور الأفراد بتوازن حياتهم، والعكس صحيح؛ إذ إن الثقافة الصارمة التي تتجاهل الأبعاد الشخصية للعاملين عادة ما تؤدي إلى الاحتراق المهني وانخفاض الرضا عن الوظيفة. ومن هنا، يُعد إدماج قيم التوازن ضمن الثقافة المؤسسية توجهاً استراتيجياً لضمان استقرار القوى العاملة.</w:t>
      </w:r>
    </w:p>
    <w:p w14:paraId="40CA7B41" w14:textId="29E0E8E8" w:rsidR="00E8720B" w:rsidRDefault="00E8720B" w:rsidP="00E8720B">
      <w:pPr>
        <w:pStyle w:val="NoSpacing"/>
        <w:bidi/>
        <w:rPr>
          <w:rtl/>
        </w:rPr>
      </w:pPr>
      <w:r>
        <w:rPr>
          <w:rtl/>
        </w:rPr>
        <w:t>كذلك بيّنت دراسة (عطية</w:t>
      </w:r>
      <w:r>
        <w:rPr>
          <w:rFonts w:ascii="Times New Roman" w:hAnsi="Times New Roman" w:cs="Times New Roman" w:hint="cs"/>
          <w:rtl/>
        </w:rPr>
        <w:t> </w:t>
      </w:r>
      <w:r>
        <w:rPr>
          <w:rtl/>
        </w:rPr>
        <w:t>و</w:t>
      </w:r>
      <w:r>
        <w:rPr>
          <w:rFonts w:ascii="Times New Roman" w:hAnsi="Times New Roman" w:cs="Times New Roman" w:hint="cs"/>
          <w:rtl/>
        </w:rPr>
        <w:t> </w:t>
      </w:r>
      <w:r>
        <w:rPr>
          <w:rtl/>
        </w:rPr>
        <w:t>السعداوي</w:t>
      </w:r>
      <w:r>
        <w:rPr>
          <w:rFonts w:ascii="Times New Roman" w:hAnsi="Times New Roman" w:cs="Times New Roman" w:hint="cs"/>
          <w:rtl/>
        </w:rPr>
        <w:t> </w:t>
      </w:r>
      <w:r>
        <w:rPr>
          <w:rtl/>
        </w:rPr>
        <w:t>و</w:t>
      </w:r>
      <w:r>
        <w:rPr>
          <w:rFonts w:ascii="Times New Roman" w:hAnsi="Times New Roman" w:cs="Times New Roman" w:hint="cs"/>
          <w:rtl/>
        </w:rPr>
        <w:t> </w:t>
      </w:r>
      <w:r>
        <w:rPr>
          <w:rtl/>
        </w:rPr>
        <w:t>المسدي،</w:t>
      </w:r>
      <w:r>
        <w:rPr>
          <w:rFonts w:ascii="Times New Roman" w:hAnsi="Times New Roman" w:cs="Times New Roman" w:hint="cs"/>
          <w:rtl/>
        </w:rPr>
        <w:t> </w:t>
      </w:r>
      <w:r>
        <w:rPr>
          <w:rtl/>
        </w:rPr>
        <w:t>2022) أن العدالة التنظيمية تمثل مدخلاً جوهرياً لتحقيق الرضا، حيث تؤدي العدالة في التوزيع والمكافآت وفرص النمو إلى شعور الأفراد بالإنصاف، وهو ما ينعكس على قدرتهم في إدارة مسؤولياتهم الخاصة دون إحساس بالظلم أو الإرهاق. ومن ثمّ، فإن العدالة التنظيمية لا تؤثر فقط في الرضا، بل تهيّئ أرضية للتوازن الصحي بين مساري العمل والحياة.</w:t>
      </w:r>
    </w:p>
    <w:p w14:paraId="6AEE9FAF" w14:textId="0B7BDD2E" w:rsidR="00E8720B" w:rsidRDefault="00E8720B" w:rsidP="00E8720B">
      <w:pPr>
        <w:pStyle w:val="NoSpacing"/>
        <w:bidi/>
        <w:rPr>
          <w:rtl/>
        </w:rPr>
      </w:pPr>
      <w:r>
        <w:rPr>
          <w:rtl/>
        </w:rPr>
        <w:t>كما اهتمت بحوث أخرى مثل (بيرش</w:t>
      </w:r>
      <w:r>
        <w:rPr>
          <w:rFonts w:ascii="Times New Roman" w:hAnsi="Times New Roman" w:cs="Times New Roman" w:hint="cs"/>
          <w:rtl/>
        </w:rPr>
        <w:t> </w:t>
      </w:r>
      <w:r>
        <w:rPr>
          <w:rtl/>
        </w:rPr>
        <w:t>و</w:t>
      </w:r>
      <w:r>
        <w:rPr>
          <w:rFonts w:ascii="Times New Roman" w:hAnsi="Times New Roman" w:cs="Times New Roman" w:hint="cs"/>
          <w:rtl/>
        </w:rPr>
        <w:t> </w:t>
      </w:r>
      <w:r>
        <w:rPr>
          <w:rtl/>
        </w:rPr>
        <w:t>باعمر،</w:t>
      </w:r>
      <w:r>
        <w:rPr>
          <w:rFonts w:ascii="Times New Roman" w:hAnsi="Times New Roman" w:cs="Times New Roman" w:hint="cs"/>
          <w:rtl/>
        </w:rPr>
        <w:t> </w:t>
      </w:r>
      <w:r>
        <w:rPr>
          <w:rtl/>
        </w:rPr>
        <w:t>2021) و(الحسيني</w:t>
      </w:r>
      <w:r>
        <w:rPr>
          <w:rFonts w:ascii="Times New Roman" w:hAnsi="Times New Roman" w:cs="Times New Roman" w:hint="cs"/>
          <w:rtl/>
        </w:rPr>
        <w:t> </w:t>
      </w:r>
      <w:r>
        <w:rPr>
          <w:rtl/>
        </w:rPr>
        <w:t>و</w:t>
      </w:r>
      <w:r>
        <w:rPr>
          <w:rFonts w:ascii="Times New Roman" w:hAnsi="Times New Roman" w:cs="Times New Roman" w:hint="cs"/>
          <w:rtl/>
        </w:rPr>
        <w:t> </w:t>
      </w:r>
      <w:r>
        <w:rPr>
          <w:rtl/>
        </w:rPr>
        <w:t>زايدي،</w:t>
      </w:r>
      <w:r>
        <w:rPr>
          <w:rFonts w:ascii="Times New Roman" w:hAnsi="Times New Roman" w:cs="Times New Roman" w:hint="cs"/>
          <w:rtl/>
        </w:rPr>
        <w:t> </w:t>
      </w:r>
      <w:r>
        <w:rPr>
          <w:rtl/>
        </w:rPr>
        <w:t>2020) بالجانب النفسي والاجتماعي للرضا، مبرزةً أن الاستقرار النفسي والتوافق الاجتماعي مع الزملاء يقللان من احتكاك الصراعات المهنية بالحياة الشخصية. فالعلاقات الإيجابية في بيئة العمل تعمل كمخفضات طبيعية لضغط العمل وتمنح الموظف استقراراً عاطفياً ينعكس على جودة حياته الخاصة، ما يعزز الرضا العام عن الوظيفة.</w:t>
      </w:r>
    </w:p>
    <w:p w14:paraId="6E52896B" w14:textId="63D69F3E" w:rsidR="009125CE" w:rsidRPr="007819DE" w:rsidRDefault="00E8720B" w:rsidP="00BA26D6">
      <w:pPr>
        <w:pStyle w:val="NoSpacing"/>
        <w:bidi/>
        <w:rPr>
          <w:rFonts w:asciiTheme="majorBidi" w:hAnsiTheme="majorBidi" w:cstheme="majorBidi"/>
          <w:b/>
          <w:bCs/>
        </w:rPr>
      </w:pPr>
      <w:r>
        <w:rPr>
          <w:rtl/>
        </w:rPr>
        <w:t>وأخيراً، فإن تحقيق الرضا الوظيفي في ضوء التوازن بين الحياة والعمل لا يقتصر على تحسين ظروف المؤسسة فحسب، بل يعتمد أيضاً على وعي الموظف ذاته وتنمية قدراته في إدارة أولوياته، وتنظيم جهده ووقته. وقد أشارت دراسة (رحماني</w:t>
      </w:r>
      <w:r>
        <w:rPr>
          <w:rFonts w:ascii="Times New Roman" w:hAnsi="Times New Roman" w:cs="Times New Roman" w:hint="cs"/>
          <w:rtl/>
        </w:rPr>
        <w:t> </w:t>
      </w:r>
      <w:r>
        <w:rPr>
          <w:rtl/>
        </w:rPr>
        <w:t>و</w:t>
      </w:r>
      <w:r>
        <w:rPr>
          <w:rFonts w:ascii="Times New Roman" w:hAnsi="Times New Roman" w:cs="Times New Roman" w:hint="cs"/>
          <w:rtl/>
        </w:rPr>
        <w:t> </w:t>
      </w:r>
      <w:r>
        <w:rPr>
          <w:rtl/>
        </w:rPr>
        <w:t>عريف،</w:t>
      </w:r>
      <w:r>
        <w:rPr>
          <w:rFonts w:ascii="Times New Roman" w:hAnsi="Times New Roman" w:cs="Times New Roman" w:hint="cs"/>
          <w:rtl/>
        </w:rPr>
        <w:t> </w:t>
      </w:r>
      <w:r>
        <w:rPr>
          <w:rtl/>
        </w:rPr>
        <w:t>2021) إلى أن العاملين الذين يدركون أهمية الموازنة بين متطلبات العمل واحتياجاتهم الأسرية يكونون أكثر قدرة على مواجهة التوتر وأكثر رضاً عن بيئتهم العملية. وعليه، يمكن القول إن العلاقة بين التوازن والرضا علاقة تكاملية مزدوجة الاتجاه؛ فكل منهما يدعم الآخر لتحقيق الأداء الأمثل والرفاه الشامل للموظف.</w:t>
      </w:r>
    </w:p>
    <w:sectPr w:rsidR="009125CE" w:rsidRPr="007819DE"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031AE8"/>
    <w:multiLevelType w:val="hybridMultilevel"/>
    <w:tmpl w:val="EC90EB8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621305"/>
    <w:multiLevelType w:val="hybridMultilevel"/>
    <w:tmpl w:val="9F482D6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 w15:restartNumberingAfterBreak="0">
    <w:nsid w:val="42C8454F"/>
    <w:multiLevelType w:val="hybridMultilevel"/>
    <w:tmpl w:val="40E05AB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5" w15:restartNumberingAfterBreak="0">
    <w:nsid w:val="44453E55"/>
    <w:multiLevelType w:val="hybridMultilevel"/>
    <w:tmpl w:val="22CC6D2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2657EB"/>
    <w:multiLevelType w:val="hybridMultilevel"/>
    <w:tmpl w:val="22E4DFE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8" w15:restartNumberingAfterBreak="0">
    <w:nsid w:val="59462616"/>
    <w:multiLevelType w:val="hybridMultilevel"/>
    <w:tmpl w:val="F996997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2024D2"/>
    <w:multiLevelType w:val="hybridMultilevel"/>
    <w:tmpl w:val="7D80F5A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0"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3A4EB6"/>
    <w:multiLevelType w:val="hybridMultilevel"/>
    <w:tmpl w:val="A3F6866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2"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4800928">
    <w:abstractNumId w:val="8"/>
  </w:num>
  <w:num w:numId="2" w16cid:durableId="231475743">
    <w:abstractNumId w:val="11"/>
  </w:num>
  <w:num w:numId="3" w16cid:durableId="1370377203">
    <w:abstractNumId w:val="2"/>
  </w:num>
  <w:num w:numId="4" w16cid:durableId="301544452">
    <w:abstractNumId w:val="12"/>
  </w:num>
  <w:num w:numId="5" w16cid:durableId="1811165865">
    <w:abstractNumId w:val="4"/>
  </w:num>
  <w:num w:numId="6" w16cid:durableId="478770779">
    <w:abstractNumId w:val="9"/>
  </w:num>
  <w:num w:numId="7" w16cid:durableId="587465297">
    <w:abstractNumId w:val="6"/>
  </w:num>
  <w:num w:numId="8" w16cid:durableId="1546528404">
    <w:abstractNumId w:val="5"/>
  </w:num>
  <w:num w:numId="9" w16cid:durableId="539243634">
    <w:abstractNumId w:val="1"/>
  </w:num>
  <w:num w:numId="10" w16cid:durableId="1910724424">
    <w:abstractNumId w:val="10"/>
  </w:num>
  <w:num w:numId="11" w16cid:durableId="51514282">
    <w:abstractNumId w:val="0"/>
  </w:num>
  <w:num w:numId="12" w16cid:durableId="990519569">
    <w:abstractNumId w:val="7"/>
  </w:num>
  <w:num w:numId="13" w16cid:durableId="3292330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B1B"/>
    <w:rsid w:val="0003120E"/>
    <w:rsid w:val="00040506"/>
    <w:rsid w:val="00040787"/>
    <w:rsid w:val="00040BF6"/>
    <w:rsid w:val="00043E2B"/>
    <w:rsid w:val="000718CA"/>
    <w:rsid w:val="0007717C"/>
    <w:rsid w:val="00085787"/>
    <w:rsid w:val="00090F21"/>
    <w:rsid w:val="00091223"/>
    <w:rsid w:val="000913E8"/>
    <w:rsid w:val="000D3CFE"/>
    <w:rsid w:val="000F12AE"/>
    <w:rsid w:val="000F44B4"/>
    <w:rsid w:val="001161E9"/>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05B79"/>
    <w:rsid w:val="00235611"/>
    <w:rsid w:val="0023657A"/>
    <w:rsid w:val="0024399E"/>
    <w:rsid w:val="0024554D"/>
    <w:rsid w:val="002531A6"/>
    <w:rsid w:val="002821AD"/>
    <w:rsid w:val="00290556"/>
    <w:rsid w:val="00291561"/>
    <w:rsid w:val="002925DF"/>
    <w:rsid w:val="002A0BCE"/>
    <w:rsid w:val="002A31C5"/>
    <w:rsid w:val="002B1E97"/>
    <w:rsid w:val="002B6366"/>
    <w:rsid w:val="002C05BD"/>
    <w:rsid w:val="002C250B"/>
    <w:rsid w:val="002C6B63"/>
    <w:rsid w:val="002D11F5"/>
    <w:rsid w:val="002E4026"/>
    <w:rsid w:val="00300CFE"/>
    <w:rsid w:val="00303777"/>
    <w:rsid w:val="003069A4"/>
    <w:rsid w:val="00311011"/>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E2A75"/>
    <w:rsid w:val="003F2A42"/>
    <w:rsid w:val="003F4980"/>
    <w:rsid w:val="003F76EC"/>
    <w:rsid w:val="004045A2"/>
    <w:rsid w:val="004055DC"/>
    <w:rsid w:val="00406276"/>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2E67"/>
    <w:rsid w:val="00654412"/>
    <w:rsid w:val="006569A6"/>
    <w:rsid w:val="0066000D"/>
    <w:rsid w:val="006676ED"/>
    <w:rsid w:val="00667A6A"/>
    <w:rsid w:val="00667B2C"/>
    <w:rsid w:val="006834DA"/>
    <w:rsid w:val="006878B6"/>
    <w:rsid w:val="006948DE"/>
    <w:rsid w:val="00695E0C"/>
    <w:rsid w:val="006A2745"/>
    <w:rsid w:val="006A59B9"/>
    <w:rsid w:val="006A5EE1"/>
    <w:rsid w:val="006B0C56"/>
    <w:rsid w:val="006D0D86"/>
    <w:rsid w:val="006E2FC4"/>
    <w:rsid w:val="006F1238"/>
    <w:rsid w:val="006F13B1"/>
    <w:rsid w:val="00716C22"/>
    <w:rsid w:val="007212C3"/>
    <w:rsid w:val="00727F69"/>
    <w:rsid w:val="007520E5"/>
    <w:rsid w:val="00757849"/>
    <w:rsid w:val="00760B7A"/>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D34C4"/>
    <w:rsid w:val="007E0D7A"/>
    <w:rsid w:val="007E3A20"/>
    <w:rsid w:val="007E4DC8"/>
    <w:rsid w:val="0080121E"/>
    <w:rsid w:val="00801BC5"/>
    <w:rsid w:val="00803727"/>
    <w:rsid w:val="0080642C"/>
    <w:rsid w:val="00812E2F"/>
    <w:rsid w:val="008160B2"/>
    <w:rsid w:val="00822105"/>
    <w:rsid w:val="008328F7"/>
    <w:rsid w:val="00835637"/>
    <w:rsid w:val="00835D82"/>
    <w:rsid w:val="0084001F"/>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03227"/>
    <w:rsid w:val="009125CE"/>
    <w:rsid w:val="00914076"/>
    <w:rsid w:val="00916463"/>
    <w:rsid w:val="00916893"/>
    <w:rsid w:val="0092319F"/>
    <w:rsid w:val="009355DD"/>
    <w:rsid w:val="00936D43"/>
    <w:rsid w:val="00946860"/>
    <w:rsid w:val="00946F5F"/>
    <w:rsid w:val="00957EE1"/>
    <w:rsid w:val="00964B03"/>
    <w:rsid w:val="00985377"/>
    <w:rsid w:val="009916F7"/>
    <w:rsid w:val="009A730B"/>
    <w:rsid w:val="009B2311"/>
    <w:rsid w:val="009B2E4B"/>
    <w:rsid w:val="009B6888"/>
    <w:rsid w:val="009B6AA6"/>
    <w:rsid w:val="009C0161"/>
    <w:rsid w:val="009D108D"/>
    <w:rsid w:val="009D28A7"/>
    <w:rsid w:val="009D4571"/>
    <w:rsid w:val="009E1436"/>
    <w:rsid w:val="009E1F94"/>
    <w:rsid w:val="009E374E"/>
    <w:rsid w:val="009E4A05"/>
    <w:rsid w:val="009E5668"/>
    <w:rsid w:val="009F400F"/>
    <w:rsid w:val="00A038A9"/>
    <w:rsid w:val="00A1061D"/>
    <w:rsid w:val="00A13BB7"/>
    <w:rsid w:val="00A22795"/>
    <w:rsid w:val="00A227B3"/>
    <w:rsid w:val="00A37E3C"/>
    <w:rsid w:val="00A40AE9"/>
    <w:rsid w:val="00A622F3"/>
    <w:rsid w:val="00A64202"/>
    <w:rsid w:val="00A73C7B"/>
    <w:rsid w:val="00A86346"/>
    <w:rsid w:val="00AA6FC2"/>
    <w:rsid w:val="00AA79E9"/>
    <w:rsid w:val="00AB0A70"/>
    <w:rsid w:val="00AB149A"/>
    <w:rsid w:val="00AB5AF1"/>
    <w:rsid w:val="00AB6328"/>
    <w:rsid w:val="00AD0F04"/>
    <w:rsid w:val="00AD3D08"/>
    <w:rsid w:val="00AD5F22"/>
    <w:rsid w:val="00AE024A"/>
    <w:rsid w:val="00AE6ECA"/>
    <w:rsid w:val="00AF509F"/>
    <w:rsid w:val="00B21F97"/>
    <w:rsid w:val="00B2224F"/>
    <w:rsid w:val="00B351C0"/>
    <w:rsid w:val="00B36CD9"/>
    <w:rsid w:val="00B41498"/>
    <w:rsid w:val="00B43C76"/>
    <w:rsid w:val="00B46426"/>
    <w:rsid w:val="00B524AB"/>
    <w:rsid w:val="00B55B37"/>
    <w:rsid w:val="00B619F1"/>
    <w:rsid w:val="00B63B0F"/>
    <w:rsid w:val="00B647D2"/>
    <w:rsid w:val="00B64D7D"/>
    <w:rsid w:val="00B7214B"/>
    <w:rsid w:val="00B7678A"/>
    <w:rsid w:val="00B77162"/>
    <w:rsid w:val="00B81EC1"/>
    <w:rsid w:val="00B94227"/>
    <w:rsid w:val="00BA26D6"/>
    <w:rsid w:val="00BB1FC8"/>
    <w:rsid w:val="00BB209A"/>
    <w:rsid w:val="00BB7774"/>
    <w:rsid w:val="00BC094B"/>
    <w:rsid w:val="00BE1F53"/>
    <w:rsid w:val="00BE5C5E"/>
    <w:rsid w:val="00BE6731"/>
    <w:rsid w:val="00BF41CC"/>
    <w:rsid w:val="00BF5D4F"/>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0E35"/>
    <w:rsid w:val="00C95B99"/>
    <w:rsid w:val="00C95BB4"/>
    <w:rsid w:val="00CA0BBB"/>
    <w:rsid w:val="00CA4AF6"/>
    <w:rsid w:val="00CA5DF6"/>
    <w:rsid w:val="00CA6B0A"/>
    <w:rsid w:val="00CB1477"/>
    <w:rsid w:val="00CB2A44"/>
    <w:rsid w:val="00CB5CA0"/>
    <w:rsid w:val="00CC24B5"/>
    <w:rsid w:val="00CC4173"/>
    <w:rsid w:val="00CD1E85"/>
    <w:rsid w:val="00CD2000"/>
    <w:rsid w:val="00CD5527"/>
    <w:rsid w:val="00CD66FD"/>
    <w:rsid w:val="00CE0F4E"/>
    <w:rsid w:val="00CE73A4"/>
    <w:rsid w:val="00CF1170"/>
    <w:rsid w:val="00D009A0"/>
    <w:rsid w:val="00D03DC4"/>
    <w:rsid w:val="00D04860"/>
    <w:rsid w:val="00D04F62"/>
    <w:rsid w:val="00D073E3"/>
    <w:rsid w:val="00D1042E"/>
    <w:rsid w:val="00D114D9"/>
    <w:rsid w:val="00D22171"/>
    <w:rsid w:val="00D24977"/>
    <w:rsid w:val="00D327CE"/>
    <w:rsid w:val="00D353F5"/>
    <w:rsid w:val="00D35F7D"/>
    <w:rsid w:val="00D42A7A"/>
    <w:rsid w:val="00D45C32"/>
    <w:rsid w:val="00D5221A"/>
    <w:rsid w:val="00D52480"/>
    <w:rsid w:val="00D706A2"/>
    <w:rsid w:val="00D87492"/>
    <w:rsid w:val="00D90B3E"/>
    <w:rsid w:val="00D91233"/>
    <w:rsid w:val="00D91EE8"/>
    <w:rsid w:val="00D95E50"/>
    <w:rsid w:val="00D97C97"/>
    <w:rsid w:val="00DA39D0"/>
    <w:rsid w:val="00DB18A5"/>
    <w:rsid w:val="00DD45EB"/>
    <w:rsid w:val="00DD4AA0"/>
    <w:rsid w:val="00E26405"/>
    <w:rsid w:val="00E33801"/>
    <w:rsid w:val="00E3444B"/>
    <w:rsid w:val="00E44EFC"/>
    <w:rsid w:val="00E45D73"/>
    <w:rsid w:val="00E60F81"/>
    <w:rsid w:val="00E65018"/>
    <w:rsid w:val="00E67422"/>
    <w:rsid w:val="00E7097A"/>
    <w:rsid w:val="00E73C25"/>
    <w:rsid w:val="00E80FD9"/>
    <w:rsid w:val="00E8720B"/>
    <w:rsid w:val="00E9075B"/>
    <w:rsid w:val="00E90A6F"/>
    <w:rsid w:val="00EB22A0"/>
    <w:rsid w:val="00EB298D"/>
    <w:rsid w:val="00EE0D5E"/>
    <w:rsid w:val="00EE2912"/>
    <w:rsid w:val="00EE595A"/>
    <w:rsid w:val="00EF6819"/>
    <w:rsid w:val="00F04AB2"/>
    <w:rsid w:val="00F128BC"/>
    <w:rsid w:val="00F13607"/>
    <w:rsid w:val="00F149DA"/>
    <w:rsid w:val="00F14ACD"/>
    <w:rsid w:val="00F173F4"/>
    <w:rsid w:val="00F4409C"/>
    <w:rsid w:val="00F546CE"/>
    <w:rsid w:val="00F55834"/>
    <w:rsid w:val="00F575B0"/>
    <w:rsid w:val="00F65DF5"/>
    <w:rsid w:val="00F8136D"/>
    <w:rsid w:val="00F86C58"/>
    <w:rsid w:val="00F925D0"/>
    <w:rsid w:val="00FA1D85"/>
    <w:rsid w:val="00FA2F4D"/>
    <w:rsid w:val="00FA6A6A"/>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527"/>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94227"/>
    <w:rPr>
      <w:rFonts w:ascii="Times New Roman" w:eastAsia="Times New Roman" w:hAnsi="Times New Roman" w:cs="Times New Roman"/>
      <w:kern w:val="0"/>
      <w:sz w:val="24"/>
      <w:szCs w:val="24"/>
      <w:lang w:val="en-EG"/>
      <w14:ligatures w14:val="none"/>
    </w:rPr>
  </w:style>
  <w:style w:type="character" w:styleId="Emphasis">
    <w:name w:val="Emphasis"/>
    <w:basedOn w:val="DefaultParagraphFont"/>
    <w:uiPriority w:val="20"/>
    <w:qFormat/>
    <w:rsid w:val="00CD55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2424">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85994152">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164013">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79884815">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94777569">
      <w:bodyDiv w:val="1"/>
      <w:marLeft w:val="0"/>
      <w:marRight w:val="0"/>
      <w:marTop w:val="0"/>
      <w:marBottom w:val="0"/>
      <w:divBdr>
        <w:top w:val="none" w:sz="0" w:space="0" w:color="auto"/>
        <w:left w:val="none" w:sz="0" w:space="0" w:color="auto"/>
        <w:bottom w:val="none" w:sz="0" w:space="0" w:color="auto"/>
        <w:right w:val="none" w:sz="0" w:space="0" w:color="auto"/>
      </w:divBdr>
    </w:div>
    <w:div w:id="921913842">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268718">
      <w:bodyDiv w:val="1"/>
      <w:marLeft w:val="0"/>
      <w:marRight w:val="0"/>
      <w:marTop w:val="0"/>
      <w:marBottom w:val="0"/>
      <w:divBdr>
        <w:top w:val="none" w:sz="0" w:space="0" w:color="auto"/>
        <w:left w:val="none" w:sz="0" w:space="0" w:color="auto"/>
        <w:bottom w:val="none" w:sz="0" w:space="0" w:color="auto"/>
        <w:right w:val="none" w:sz="0" w:space="0" w:color="auto"/>
      </w:divBdr>
      <w:divsChild>
        <w:div w:id="585455949">
          <w:marLeft w:val="0"/>
          <w:marRight w:val="0"/>
          <w:marTop w:val="0"/>
          <w:marBottom w:val="0"/>
          <w:divBdr>
            <w:top w:val="none" w:sz="0" w:space="0" w:color="auto"/>
            <w:left w:val="none" w:sz="0" w:space="0" w:color="auto"/>
            <w:bottom w:val="none" w:sz="0" w:space="0" w:color="auto"/>
            <w:right w:val="none" w:sz="0" w:space="0" w:color="auto"/>
          </w:divBdr>
          <w:divsChild>
            <w:div w:id="623079606">
              <w:marLeft w:val="0"/>
              <w:marRight w:val="0"/>
              <w:marTop w:val="0"/>
              <w:marBottom w:val="0"/>
              <w:divBdr>
                <w:top w:val="none" w:sz="0" w:space="0" w:color="auto"/>
                <w:left w:val="none" w:sz="0" w:space="0" w:color="auto"/>
                <w:bottom w:val="none" w:sz="0" w:space="0" w:color="auto"/>
                <w:right w:val="none" w:sz="0" w:space="0" w:color="auto"/>
              </w:divBdr>
            </w:div>
          </w:divsChild>
        </w:div>
        <w:div w:id="968167249">
          <w:marLeft w:val="0"/>
          <w:marRight w:val="0"/>
          <w:marTop w:val="0"/>
          <w:marBottom w:val="0"/>
          <w:divBdr>
            <w:top w:val="none" w:sz="0" w:space="0" w:color="auto"/>
            <w:left w:val="none" w:sz="0" w:space="0" w:color="auto"/>
            <w:bottom w:val="none" w:sz="0" w:space="0" w:color="auto"/>
            <w:right w:val="none" w:sz="0" w:space="0" w:color="auto"/>
          </w:divBdr>
          <w:divsChild>
            <w:div w:id="1862469731">
              <w:marLeft w:val="0"/>
              <w:marRight w:val="0"/>
              <w:marTop w:val="0"/>
              <w:marBottom w:val="0"/>
              <w:divBdr>
                <w:top w:val="none" w:sz="0" w:space="0" w:color="auto"/>
                <w:left w:val="none" w:sz="0" w:space="0" w:color="auto"/>
                <w:bottom w:val="none" w:sz="0" w:space="0" w:color="auto"/>
                <w:right w:val="none" w:sz="0" w:space="0" w:color="auto"/>
              </w:divBdr>
            </w:div>
          </w:divsChild>
        </w:div>
        <w:div w:id="690570491">
          <w:marLeft w:val="0"/>
          <w:marRight w:val="0"/>
          <w:marTop w:val="0"/>
          <w:marBottom w:val="0"/>
          <w:divBdr>
            <w:top w:val="none" w:sz="0" w:space="0" w:color="auto"/>
            <w:left w:val="none" w:sz="0" w:space="0" w:color="auto"/>
            <w:bottom w:val="none" w:sz="0" w:space="0" w:color="auto"/>
            <w:right w:val="none" w:sz="0" w:space="0" w:color="auto"/>
          </w:divBdr>
          <w:divsChild>
            <w:div w:id="355619236">
              <w:marLeft w:val="0"/>
              <w:marRight w:val="0"/>
              <w:marTop w:val="0"/>
              <w:marBottom w:val="0"/>
              <w:divBdr>
                <w:top w:val="none" w:sz="0" w:space="0" w:color="auto"/>
                <w:left w:val="none" w:sz="0" w:space="0" w:color="auto"/>
                <w:bottom w:val="none" w:sz="0" w:space="0" w:color="auto"/>
                <w:right w:val="none" w:sz="0" w:space="0" w:color="auto"/>
              </w:divBdr>
            </w:div>
          </w:divsChild>
        </w:div>
        <w:div w:id="1793523966">
          <w:marLeft w:val="0"/>
          <w:marRight w:val="0"/>
          <w:marTop w:val="0"/>
          <w:marBottom w:val="0"/>
          <w:divBdr>
            <w:top w:val="none" w:sz="0" w:space="0" w:color="auto"/>
            <w:left w:val="none" w:sz="0" w:space="0" w:color="auto"/>
            <w:bottom w:val="none" w:sz="0" w:space="0" w:color="auto"/>
            <w:right w:val="none" w:sz="0" w:space="0" w:color="auto"/>
          </w:divBdr>
          <w:divsChild>
            <w:div w:id="1026715682">
              <w:marLeft w:val="0"/>
              <w:marRight w:val="0"/>
              <w:marTop w:val="0"/>
              <w:marBottom w:val="0"/>
              <w:divBdr>
                <w:top w:val="none" w:sz="0" w:space="0" w:color="auto"/>
                <w:left w:val="none" w:sz="0" w:space="0" w:color="auto"/>
                <w:bottom w:val="none" w:sz="0" w:space="0" w:color="auto"/>
                <w:right w:val="none" w:sz="0" w:space="0" w:color="auto"/>
              </w:divBdr>
            </w:div>
          </w:divsChild>
        </w:div>
        <w:div w:id="199173720">
          <w:marLeft w:val="0"/>
          <w:marRight w:val="0"/>
          <w:marTop w:val="0"/>
          <w:marBottom w:val="0"/>
          <w:divBdr>
            <w:top w:val="none" w:sz="0" w:space="0" w:color="auto"/>
            <w:left w:val="none" w:sz="0" w:space="0" w:color="auto"/>
            <w:bottom w:val="none" w:sz="0" w:space="0" w:color="auto"/>
            <w:right w:val="none" w:sz="0" w:space="0" w:color="auto"/>
          </w:divBdr>
          <w:divsChild>
            <w:div w:id="1432823624">
              <w:marLeft w:val="0"/>
              <w:marRight w:val="0"/>
              <w:marTop w:val="0"/>
              <w:marBottom w:val="0"/>
              <w:divBdr>
                <w:top w:val="none" w:sz="0" w:space="0" w:color="auto"/>
                <w:left w:val="none" w:sz="0" w:space="0" w:color="auto"/>
                <w:bottom w:val="none" w:sz="0" w:space="0" w:color="auto"/>
                <w:right w:val="none" w:sz="0" w:space="0" w:color="auto"/>
              </w:divBdr>
            </w:div>
          </w:divsChild>
        </w:div>
        <w:div w:id="749353187">
          <w:marLeft w:val="0"/>
          <w:marRight w:val="0"/>
          <w:marTop w:val="0"/>
          <w:marBottom w:val="0"/>
          <w:divBdr>
            <w:top w:val="none" w:sz="0" w:space="0" w:color="auto"/>
            <w:left w:val="none" w:sz="0" w:space="0" w:color="auto"/>
            <w:bottom w:val="none" w:sz="0" w:space="0" w:color="auto"/>
            <w:right w:val="none" w:sz="0" w:space="0" w:color="auto"/>
          </w:divBdr>
          <w:divsChild>
            <w:div w:id="1193151019">
              <w:marLeft w:val="0"/>
              <w:marRight w:val="0"/>
              <w:marTop w:val="0"/>
              <w:marBottom w:val="0"/>
              <w:divBdr>
                <w:top w:val="none" w:sz="0" w:space="0" w:color="auto"/>
                <w:left w:val="none" w:sz="0" w:space="0" w:color="auto"/>
                <w:bottom w:val="none" w:sz="0" w:space="0" w:color="auto"/>
                <w:right w:val="none" w:sz="0" w:space="0" w:color="auto"/>
              </w:divBdr>
            </w:div>
          </w:divsChild>
        </w:div>
        <w:div w:id="541014943">
          <w:marLeft w:val="0"/>
          <w:marRight w:val="0"/>
          <w:marTop w:val="0"/>
          <w:marBottom w:val="0"/>
          <w:divBdr>
            <w:top w:val="none" w:sz="0" w:space="0" w:color="auto"/>
            <w:left w:val="none" w:sz="0" w:space="0" w:color="auto"/>
            <w:bottom w:val="none" w:sz="0" w:space="0" w:color="auto"/>
            <w:right w:val="none" w:sz="0" w:space="0" w:color="auto"/>
          </w:divBdr>
          <w:divsChild>
            <w:div w:id="1833989496">
              <w:marLeft w:val="0"/>
              <w:marRight w:val="0"/>
              <w:marTop w:val="0"/>
              <w:marBottom w:val="0"/>
              <w:divBdr>
                <w:top w:val="none" w:sz="0" w:space="0" w:color="auto"/>
                <w:left w:val="none" w:sz="0" w:space="0" w:color="auto"/>
                <w:bottom w:val="none" w:sz="0" w:space="0" w:color="auto"/>
                <w:right w:val="none" w:sz="0" w:space="0" w:color="auto"/>
              </w:divBdr>
            </w:div>
          </w:divsChild>
        </w:div>
        <w:div w:id="599530416">
          <w:marLeft w:val="0"/>
          <w:marRight w:val="0"/>
          <w:marTop w:val="0"/>
          <w:marBottom w:val="0"/>
          <w:divBdr>
            <w:top w:val="none" w:sz="0" w:space="0" w:color="auto"/>
            <w:left w:val="none" w:sz="0" w:space="0" w:color="auto"/>
            <w:bottom w:val="none" w:sz="0" w:space="0" w:color="auto"/>
            <w:right w:val="none" w:sz="0" w:space="0" w:color="auto"/>
          </w:divBdr>
          <w:divsChild>
            <w:div w:id="2023239037">
              <w:marLeft w:val="0"/>
              <w:marRight w:val="0"/>
              <w:marTop w:val="0"/>
              <w:marBottom w:val="0"/>
              <w:divBdr>
                <w:top w:val="none" w:sz="0" w:space="0" w:color="auto"/>
                <w:left w:val="none" w:sz="0" w:space="0" w:color="auto"/>
                <w:bottom w:val="none" w:sz="0" w:space="0" w:color="auto"/>
                <w:right w:val="none" w:sz="0" w:space="0" w:color="auto"/>
              </w:divBdr>
            </w:div>
          </w:divsChild>
        </w:div>
        <w:div w:id="1083531623">
          <w:marLeft w:val="0"/>
          <w:marRight w:val="0"/>
          <w:marTop w:val="0"/>
          <w:marBottom w:val="0"/>
          <w:divBdr>
            <w:top w:val="none" w:sz="0" w:space="0" w:color="auto"/>
            <w:left w:val="none" w:sz="0" w:space="0" w:color="auto"/>
            <w:bottom w:val="none" w:sz="0" w:space="0" w:color="auto"/>
            <w:right w:val="none" w:sz="0" w:space="0" w:color="auto"/>
          </w:divBdr>
          <w:divsChild>
            <w:div w:id="1191138775">
              <w:marLeft w:val="0"/>
              <w:marRight w:val="0"/>
              <w:marTop w:val="0"/>
              <w:marBottom w:val="0"/>
              <w:divBdr>
                <w:top w:val="none" w:sz="0" w:space="0" w:color="auto"/>
                <w:left w:val="none" w:sz="0" w:space="0" w:color="auto"/>
                <w:bottom w:val="none" w:sz="0" w:space="0" w:color="auto"/>
                <w:right w:val="none" w:sz="0" w:space="0" w:color="auto"/>
              </w:divBdr>
            </w:div>
          </w:divsChild>
        </w:div>
        <w:div w:id="1154418560">
          <w:marLeft w:val="0"/>
          <w:marRight w:val="0"/>
          <w:marTop w:val="0"/>
          <w:marBottom w:val="0"/>
          <w:divBdr>
            <w:top w:val="none" w:sz="0" w:space="0" w:color="auto"/>
            <w:left w:val="none" w:sz="0" w:space="0" w:color="auto"/>
            <w:bottom w:val="none" w:sz="0" w:space="0" w:color="auto"/>
            <w:right w:val="none" w:sz="0" w:space="0" w:color="auto"/>
          </w:divBdr>
          <w:divsChild>
            <w:div w:id="13883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41563">
      <w:bodyDiv w:val="1"/>
      <w:marLeft w:val="0"/>
      <w:marRight w:val="0"/>
      <w:marTop w:val="0"/>
      <w:marBottom w:val="0"/>
      <w:divBdr>
        <w:top w:val="none" w:sz="0" w:space="0" w:color="auto"/>
        <w:left w:val="none" w:sz="0" w:space="0" w:color="auto"/>
        <w:bottom w:val="none" w:sz="0" w:space="0" w:color="auto"/>
        <w:right w:val="none" w:sz="0" w:space="0" w:color="auto"/>
      </w:divBdr>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1413">
      <w:bodyDiv w:val="1"/>
      <w:marLeft w:val="0"/>
      <w:marRight w:val="0"/>
      <w:marTop w:val="0"/>
      <w:marBottom w:val="0"/>
      <w:divBdr>
        <w:top w:val="none" w:sz="0" w:space="0" w:color="auto"/>
        <w:left w:val="none" w:sz="0" w:space="0" w:color="auto"/>
        <w:bottom w:val="none" w:sz="0" w:space="0" w:color="auto"/>
        <w:right w:val="none" w:sz="0" w:space="0" w:color="auto"/>
      </w:divBdr>
    </w:div>
    <w:div w:id="1356156458">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1523">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972289">
      <w:bodyDiv w:val="1"/>
      <w:marLeft w:val="0"/>
      <w:marRight w:val="0"/>
      <w:marTop w:val="0"/>
      <w:marBottom w:val="0"/>
      <w:divBdr>
        <w:top w:val="none" w:sz="0" w:space="0" w:color="auto"/>
        <w:left w:val="none" w:sz="0" w:space="0" w:color="auto"/>
        <w:bottom w:val="none" w:sz="0" w:space="0" w:color="auto"/>
        <w:right w:val="none" w:sz="0" w:space="0" w:color="auto"/>
      </w:divBdr>
    </w:div>
    <w:div w:id="1456288453">
      <w:bodyDiv w:val="1"/>
      <w:marLeft w:val="0"/>
      <w:marRight w:val="0"/>
      <w:marTop w:val="0"/>
      <w:marBottom w:val="0"/>
      <w:divBdr>
        <w:top w:val="none" w:sz="0" w:space="0" w:color="auto"/>
        <w:left w:val="none" w:sz="0" w:space="0" w:color="auto"/>
        <w:bottom w:val="none" w:sz="0" w:space="0" w:color="auto"/>
        <w:right w:val="none" w:sz="0" w:space="0" w:color="auto"/>
      </w:divBdr>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86568602">
      <w:bodyDiv w:val="1"/>
      <w:marLeft w:val="0"/>
      <w:marRight w:val="0"/>
      <w:marTop w:val="0"/>
      <w:marBottom w:val="0"/>
      <w:divBdr>
        <w:top w:val="none" w:sz="0" w:space="0" w:color="auto"/>
        <w:left w:val="none" w:sz="0" w:space="0" w:color="auto"/>
        <w:bottom w:val="none" w:sz="0" w:space="0" w:color="auto"/>
        <w:right w:val="none" w:sz="0" w:space="0" w:color="auto"/>
      </w:divBdr>
      <w:divsChild>
        <w:div w:id="515391824">
          <w:marLeft w:val="0"/>
          <w:marRight w:val="0"/>
          <w:marTop w:val="0"/>
          <w:marBottom w:val="0"/>
          <w:divBdr>
            <w:top w:val="none" w:sz="0" w:space="0" w:color="auto"/>
            <w:left w:val="none" w:sz="0" w:space="0" w:color="auto"/>
            <w:bottom w:val="none" w:sz="0" w:space="0" w:color="auto"/>
            <w:right w:val="none" w:sz="0" w:space="0" w:color="auto"/>
          </w:divBdr>
          <w:divsChild>
            <w:div w:id="1265457813">
              <w:marLeft w:val="0"/>
              <w:marRight w:val="0"/>
              <w:marTop w:val="0"/>
              <w:marBottom w:val="0"/>
              <w:divBdr>
                <w:top w:val="none" w:sz="0" w:space="0" w:color="auto"/>
                <w:left w:val="none" w:sz="0" w:space="0" w:color="auto"/>
                <w:bottom w:val="none" w:sz="0" w:space="0" w:color="auto"/>
                <w:right w:val="none" w:sz="0" w:space="0" w:color="auto"/>
              </w:divBdr>
            </w:div>
          </w:divsChild>
        </w:div>
        <w:div w:id="1883326211">
          <w:marLeft w:val="0"/>
          <w:marRight w:val="0"/>
          <w:marTop w:val="0"/>
          <w:marBottom w:val="0"/>
          <w:divBdr>
            <w:top w:val="none" w:sz="0" w:space="0" w:color="auto"/>
            <w:left w:val="none" w:sz="0" w:space="0" w:color="auto"/>
            <w:bottom w:val="none" w:sz="0" w:space="0" w:color="auto"/>
            <w:right w:val="none" w:sz="0" w:space="0" w:color="auto"/>
          </w:divBdr>
          <w:divsChild>
            <w:div w:id="192067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156433">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93811136">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871479">
      <w:bodyDiv w:val="1"/>
      <w:marLeft w:val="0"/>
      <w:marRight w:val="0"/>
      <w:marTop w:val="0"/>
      <w:marBottom w:val="0"/>
      <w:divBdr>
        <w:top w:val="none" w:sz="0" w:space="0" w:color="auto"/>
        <w:left w:val="none" w:sz="0" w:space="0" w:color="auto"/>
        <w:bottom w:val="none" w:sz="0" w:space="0" w:color="auto"/>
        <w:right w:val="none" w:sz="0" w:space="0" w:color="auto"/>
      </w:divBdr>
    </w:div>
    <w:div w:id="1982345229">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 w:id="2102598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8822</Words>
  <Characters>50288</Characters>
  <Application>Microsoft Office Word</Application>
  <DocSecurity>0</DocSecurity>
  <Lines>419</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58993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2025-11-09T22:29:00Z</cp:lastPrinted>
  <dcterms:created xsi:type="dcterms:W3CDTF">2025-11-09T22:29:00Z</dcterms:created>
  <dcterms:modified xsi:type="dcterms:W3CDTF">2025-11-10T20:16:00Z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