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FE9ED" w14:textId="6D252CD6" w:rsidR="00B14DB3" w:rsidRDefault="00B14DB3" w:rsidP="00B14DB3">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r w:rsidRPr="00B14DB3">
        <w:rPr>
          <w:rFonts w:ascii="Lato" w:eastAsia="Times New Roman" w:hAnsi="Lato" w:cs="Times New Roman"/>
          <w:b/>
          <w:bCs/>
          <w:color w:val="21242C"/>
          <w:kern w:val="36"/>
          <w:sz w:val="42"/>
          <w:szCs w:val="42"/>
          <w:lang w:val="en-US" w:eastAsia="fr-FR"/>
        </w:rPr>
        <w:t>Lesson summary: Supply and its determinants</w:t>
      </w:r>
    </w:p>
    <w:p w14:paraId="46360AB9" w14:textId="77777777" w:rsidR="00B14DB3" w:rsidRPr="00B14DB3" w:rsidRDefault="00B14DB3" w:rsidP="00B14DB3">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p>
    <w:tbl>
      <w:tblPr>
        <w:tblW w:w="1125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50"/>
      </w:tblGrid>
      <w:tr w:rsidR="00B14DB3" w14:paraId="1EA80FF7" w14:textId="77777777" w:rsidTr="00B14DB3">
        <w:tblPrEx>
          <w:tblCellMar>
            <w:top w:w="0" w:type="dxa"/>
            <w:bottom w:w="0" w:type="dxa"/>
          </w:tblCellMar>
        </w:tblPrEx>
        <w:trPr>
          <w:trHeight w:val="1764"/>
        </w:trPr>
        <w:tc>
          <w:tcPr>
            <w:tcW w:w="11250" w:type="dxa"/>
          </w:tcPr>
          <w:p w14:paraId="60DD2382" w14:textId="4AF32821" w:rsidR="00B14DB3" w:rsidRPr="00B14DB3" w:rsidRDefault="00B14DB3" w:rsidP="00B14DB3">
            <w:pPr>
              <w:jc w:val="both"/>
              <w:rPr>
                <w:rFonts w:ascii="Lato" w:hAnsi="Lato"/>
                <w:i/>
                <w:iCs/>
                <w:color w:val="444444"/>
                <w:sz w:val="36"/>
                <w:szCs w:val="36"/>
                <w:shd w:val="clear" w:color="auto" w:fill="FFFFFF"/>
                <w:lang w:val="en-US"/>
              </w:rPr>
            </w:pPr>
            <w:r w:rsidRPr="00B14DB3">
              <w:rPr>
                <w:rFonts w:ascii="Lato" w:hAnsi="Lato"/>
                <w:i/>
                <w:iCs/>
                <w:color w:val="444444"/>
                <w:sz w:val="36"/>
                <w:szCs w:val="36"/>
                <w:highlight w:val="cyan"/>
                <w:shd w:val="clear" w:color="auto" w:fill="FFFFFF"/>
                <w:lang w:val="en-US"/>
              </w:rPr>
              <w:t>In this lesson summary review and remind yourself of the key terms, graphs, and calculations used in the analysis of supply. Topics include the distinction between supply and quantity supplied, the law of supply, and the determinants of supply.</w:t>
            </w:r>
          </w:p>
        </w:tc>
      </w:tr>
    </w:tbl>
    <w:p w14:paraId="0F1F87CD" w14:textId="77777777" w:rsidR="00B14DB3" w:rsidRPr="00B14DB3" w:rsidRDefault="00B14DB3" w:rsidP="00B14DB3">
      <w:pPr>
        <w:shd w:val="clear" w:color="auto" w:fill="FFFFFF"/>
        <w:spacing w:after="240" w:line="240" w:lineRule="auto"/>
        <w:jc w:val="both"/>
        <w:textAlignment w:val="baseline"/>
        <w:outlineLvl w:val="2"/>
        <w:rPr>
          <w:rFonts w:ascii="inherit" w:eastAsia="Times New Roman" w:hAnsi="inherit" w:cs="Times New Roman"/>
          <w:b/>
          <w:bCs/>
          <w:color w:val="21242C"/>
          <w:sz w:val="39"/>
          <w:szCs w:val="39"/>
          <w:lang w:val="en-US" w:eastAsia="fr-FR"/>
        </w:rPr>
      </w:pPr>
      <w:r w:rsidRPr="00B14DB3">
        <w:rPr>
          <w:rFonts w:ascii="inherit" w:eastAsia="Times New Roman" w:hAnsi="inherit" w:cs="Times New Roman"/>
          <w:b/>
          <w:bCs/>
          <w:color w:val="21242C"/>
          <w:sz w:val="39"/>
          <w:szCs w:val="39"/>
          <w:lang w:val="en-US" w:eastAsia="fr-FR"/>
        </w:rPr>
        <w:t>The law of supply</w:t>
      </w:r>
    </w:p>
    <w:p w14:paraId="47A987BB" w14:textId="77777777" w:rsidR="00B14DB3" w:rsidRPr="00B14DB3" w:rsidRDefault="00B14DB3" w:rsidP="00B14DB3">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B14DB3">
        <w:rPr>
          <w:rFonts w:ascii="inherit" w:eastAsia="Times New Roman" w:hAnsi="inherit" w:cs="Times New Roman"/>
          <w:color w:val="21242C"/>
          <w:sz w:val="30"/>
          <w:szCs w:val="30"/>
          <w:lang w:val="en-US" w:eastAsia="fr-FR"/>
        </w:rPr>
        <w:t>The </w:t>
      </w:r>
      <w:r w:rsidRPr="00B14DB3">
        <w:rPr>
          <w:rFonts w:ascii="inherit" w:eastAsia="Times New Roman" w:hAnsi="inherit" w:cs="Times New Roman"/>
          <w:b/>
          <w:bCs/>
          <w:color w:val="21242C"/>
          <w:sz w:val="30"/>
          <w:szCs w:val="30"/>
          <w:bdr w:val="none" w:sz="0" w:space="0" w:color="auto" w:frame="1"/>
          <w:lang w:val="en-US" w:eastAsia="fr-FR"/>
        </w:rPr>
        <w:t>law of supply</w:t>
      </w:r>
      <w:r w:rsidRPr="00B14DB3">
        <w:rPr>
          <w:rFonts w:ascii="inherit" w:eastAsia="Times New Roman" w:hAnsi="inherit" w:cs="Times New Roman"/>
          <w:color w:val="21242C"/>
          <w:sz w:val="30"/>
          <w:szCs w:val="30"/>
          <w:lang w:val="en-US" w:eastAsia="fr-FR"/>
        </w:rPr>
        <w:t> states that there is a positive relationship between price and quantity supplied, leading to an upward-sloping supply curve. Sellers like to make money, and higher prices mean more money!</w:t>
      </w:r>
    </w:p>
    <w:p w14:paraId="4DC8FCFB" w14:textId="77777777" w:rsidR="00B14DB3" w:rsidRPr="00B14DB3" w:rsidRDefault="00B14DB3" w:rsidP="00B14DB3">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B14DB3">
        <w:rPr>
          <w:rFonts w:ascii="inherit" w:eastAsia="Times New Roman" w:hAnsi="inherit" w:cs="Times New Roman"/>
          <w:color w:val="21242C"/>
          <w:sz w:val="30"/>
          <w:szCs w:val="30"/>
          <w:lang w:val="en-US" w:eastAsia="fr-FR"/>
        </w:rPr>
        <w:t>For example, let’s say that fishermen notice the price of tuna rising. Because higher prices will make them more money, fishermen spend more time and effort catching tuna. As a result, as the price rises, the quantity of tuna supplied increases.</w:t>
      </w:r>
    </w:p>
    <w:p w14:paraId="329E002D" w14:textId="77777777" w:rsidR="00B14DB3" w:rsidRPr="00B14DB3" w:rsidRDefault="00B14DB3" w:rsidP="00B14DB3">
      <w:pPr>
        <w:shd w:val="clear" w:color="auto" w:fill="FFFFFF"/>
        <w:spacing w:before="480" w:after="240" w:line="240" w:lineRule="auto"/>
        <w:jc w:val="both"/>
        <w:textAlignment w:val="baseline"/>
        <w:outlineLvl w:val="2"/>
        <w:rPr>
          <w:rFonts w:ascii="inherit" w:eastAsia="Times New Roman" w:hAnsi="inherit" w:cs="Times New Roman"/>
          <w:b/>
          <w:bCs/>
          <w:color w:val="21242C"/>
          <w:sz w:val="39"/>
          <w:szCs w:val="39"/>
          <w:lang w:val="en-US" w:eastAsia="fr-FR"/>
        </w:rPr>
      </w:pPr>
      <w:r w:rsidRPr="00B14DB3">
        <w:rPr>
          <w:rFonts w:ascii="inherit" w:eastAsia="Times New Roman" w:hAnsi="inherit" w:cs="Times New Roman"/>
          <w:b/>
          <w:bCs/>
          <w:color w:val="21242C"/>
          <w:sz w:val="39"/>
          <w:szCs w:val="39"/>
          <w:lang w:val="en-US" w:eastAsia="fr-FR"/>
        </w:rPr>
        <w:t>The determinants of supply</w:t>
      </w:r>
    </w:p>
    <w:p w14:paraId="727993C3" w14:textId="77777777" w:rsidR="00B14DB3" w:rsidRPr="00B14DB3" w:rsidRDefault="00B14DB3" w:rsidP="00B14DB3">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B14DB3">
        <w:rPr>
          <w:rFonts w:ascii="inherit" w:eastAsia="Times New Roman" w:hAnsi="inherit" w:cs="Times New Roman"/>
          <w:color w:val="21242C"/>
          <w:sz w:val="30"/>
          <w:szCs w:val="30"/>
          <w:lang w:val="en-US" w:eastAsia="fr-FR"/>
        </w:rPr>
        <w:t>Factors that influence producer supply cause the market supply curve to shift. For example, one of the </w:t>
      </w:r>
      <w:r w:rsidRPr="00B14DB3">
        <w:rPr>
          <w:rFonts w:ascii="inherit" w:eastAsia="Times New Roman" w:hAnsi="inherit" w:cs="Times New Roman"/>
          <w:b/>
          <w:bCs/>
          <w:color w:val="21242C"/>
          <w:sz w:val="30"/>
          <w:szCs w:val="30"/>
          <w:bdr w:val="none" w:sz="0" w:space="0" w:color="auto" w:frame="1"/>
          <w:lang w:val="en-US" w:eastAsia="fr-FR"/>
        </w:rPr>
        <w:t>determinants of supply</w:t>
      </w:r>
      <w:r w:rsidRPr="00B14DB3">
        <w:rPr>
          <w:rFonts w:ascii="inherit" w:eastAsia="Times New Roman" w:hAnsi="inherit" w:cs="Times New Roman"/>
          <w:color w:val="21242C"/>
          <w:sz w:val="30"/>
          <w:szCs w:val="30"/>
          <w:lang w:val="en-US" w:eastAsia="fr-FR"/>
        </w:rPr>
        <w:t> in the market for tuna is the availability and the price of fishing permits. If more fishing permits are made available and the permit fee is lowered, we can expect more fisherman to enter the market; as a result, the supply of tuna will likely increase. Now, at every price, a greater quantity of tuna will be supplied to the market.</w:t>
      </w:r>
    </w:p>
    <w:p w14:paraId="38D9D2AD" w14:textId="75CFE61C" w:rsidR="00B14DB3" w:rsidRDefault="00B14DB3">
      <w:pPr>
        <w:rPr>
          <w:lang w:val="en-US"/>
        </w:rPr>
      </w:pPr>
      <w:r>
        <w:rPr>
          <w:noProof/>
          <w:lang w:val="en-US"/>
        </w:rPr>
        <w:lastRenderedPageBreak/>
        <w:drawing>
          <wp:inline distT="0" distB="0" distL="0" distR="0" wp14:anchorId="7DA344FA" wp14:editId="55A6DBEB">
            <wp:extent cx="5753100" cy="46634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3100" cy="4663440"/>
                    </a:xfrm>
                    <a:prstGeom prst="rect">
                      <a:avLst/>
                    </a:prstGeom>
                    <a:noFill/>
                    <a:ln>
                      <a:noFill/>
                    </a:ln>
                  </pic:spPr>
                </pic:pic>
              </a:graphicData>
            </a:graphic>
          </wp:inline>
        </w:drawing>
      </w:r>
    </w:p>
    <w:p w14:paraId="43BBB7AF" w14:textId="03C970CA" w:rsidR="00B14DB3" w:rsidRDefault="00B14DB3">
      <w:pPr>
        <w:rPr>
          <w:lang w:val="en-US"/>
        </w:rPr>
      </w:pPr>
      <w:r>
        <w:rPr>
          <w:noProof/>
          <w:lang w:val="en-US"/>
        </w:rPr>
        <w:drawing>
          <wp:inline distT="0" distB="0" distL="0" distR="0" wp14:anchorId="5E1CA8B9" wp14:editId="1C5953E1">
            <wp:extent cx="5753100" cy="37490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3749040"/>
                    </a:xfrm>
                    <a:prstGeom prst="rect">
                      <a:avLst/>
                    </a:prstGeom>
                    <a:noFill/>
                    <a:ln>
                      <a:noFill/>
                    </a:ln>
                  </pic:spPr>
                </pic:pic>
              </a:graphicData>
            </a:graphic>
          </wp:inline>
        </w:drawing>
      </w:r>
    </w:p>
    <w:p w14:paraId="61F8AA81" w14:textId="1BB20EC0" w:rsidR="00B14DB3" w:rsidRDefault="00B14DB3">
      <w:pPr>
        <w:rPr>
          <w:lang w:val="en-US"/>
        </w:rPr>
      </w:pPr>
    </w:p>
    <w:p w14:paraId="2F9E3568" w14:textId="77777777" w:rsidR="00B14DB3" w:rsidRPr="00B14DB3" w:rsidRDefault="00B14DB3" w:rsidP="00B14DB3">
      <w:pPr>
        <w:shd w:val="clear" w:color="auto" w:fill="FFFFFF"/>
        <w:spacing w:before="720" w:after="240" w:line="240" w:lineRule="auto"/>
        <w:textAlignment w:val="baseline"/>
        <w:outlineLvl w:val="1"/>
        <w:rPr>
          <w:rFonts w:ascii="inherit" w:eastAsia="Times New Roman" w:hAnsi="inherit" w:cs="Times New Roman"/>
          <w:b/>
          <w:bCs/>
          <w:color w:val="21242C"/>
          <w:sz w:val="45"/>
          <w:szCs w:val="45"/>
          <w:lang w:val="en-US" w:eastAsia="fr-FR"/>
        </w:rPr>
      </w:pPr>
      <w:r w:rsidRPr="00B14DB3">
        <w:rPr>
          <w:rFonts w:ascii="inherit" w:eastAsia="Times New Roman" w:hAnsi="inherit" w:cs="Times New Roman"/>
          <w:b/>
          <w:bCs/>
          <w:color w:val="21242C"/>
          <w:sz w:val="45"/>
          <w:szCs w:val="45"/>
          <w:lang w:val="en-US" w:eastAsia="fr-FR"/>
        </w:rPr>
        <w:lastRenderedPageBreak/>
        <w:t>Key Graphical Models</w:t>
      </w:r>
    </w:p>
    <w:p w14:paraId="6373A1DC" w14:textId="77777777" w:rsidR="00B14DB3" w:rsidRPr="00B14DB3" w:rsidRDefault="00B14DB3" w:rsidP="00B14DB3">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B14DB3">
        <w:rPr>
          <w:rFonts w:ascii="inherit" w:eastAsia="Times New Roman" w:hAnsi="inherit" w:cs="Times New Roman"/>
          <w:color w:val="21242C"/>
          <w:sz w:val="30"/>
          <w:szCs w:val="30"/>
          <w:lang w:val="en-US" w:eastAsia="fr-FR"/>
        </w:rPr>
        <w:t>The supply curve demonstrates the relationship between a good’s price and the quantity producers are willing and able to supply. The upward sloping line demonstrates this direct relationship: as the price rises, the quantity supplied increases; as price decreases, quantity supplied decreases.</w:t>
      </w:r>
    </w:p>
    <w:p w14:paraId="18ECA735" w14:textId="66154EE9" w:rsidR="00B14DB3" w:rsidRDefault="00B14DB3">
      <w:pPr>
        <w:rPr>
          <w:lang w:val="en-US"/>
        </w:rPr>
      </w:pPr>
    </w:p>
    <w:p w14:paraId="5A812040" w14:textId="4DA69963" w:rsidR="00B14DB3" w:rsidRDefault="00B14DB3">
      <w:pPr>
        <w:rPr>
          <w:lang w:val="en-US"/>
        </w:rPr>
      </w:pPr>
      <w:r>
        <w:rPr>
          <w:noProof/>
          <w:lang w:val="en-US"/>
        </w:rPr>
        <w:drawing>
          <wp:inline distT="0" distB="0" distL="0" distR="0" wp14:anchorId="5B9C20FB" wp14:editId="6377A66D">
            <wp:extent cx="4572000" cy="3101340"/>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101340"/>
                    </a:xfrm>
                    <a:prstGeom prst="rect">
                      <a:avLst/>
                    </a:prstGeom>
                    <a:noFill/>
                    <a:ln>
                      <a:noFill/>
                    </a:ln>
                  </pic:spPr>
                </pic:pic>
              </a:graphicData>
            </a:graphic>
          </wp:inline>
        </w:drawing>
      </w:r>
    </w:p>
    <w:p w14:paraId="0B575C8F" w14:textId="77777777" w:rsidR="00B14DB3" w:rsidRPr="00B14DB3" w:rsidRDefault="00B14DB3">
      <w:pPr>
        <w:rPr>
          <w:lang w:val="en-US"/>
        </w:rPr>
      </w:pPr>
    </w:p>
    <w:sectPr w:rsidR="00B14DB3" w:rsidRPr="00B14DB3">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DB3"/>
    <w:rsid w:val="00B14DB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6308"/>
  <w15:chartTrackingRefBased/>
  <w15:docId w15:val="{72EA7032-41A1-404D-ADE8-2F3088C84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140990">
      <w:bodyDiv w:val="1"/>
      <w:marLeft w:val="0"/>
      <w:marRight w:val="0"/>
      <w:marTop w:val="0"/>
      <w:marBottom w:val="0"/>
      <w:divBdr>
        <w:top w:val="none" w:sz="0" w:space="0" w:color="auto"/>
        <w:left w:val="none" w:sz="0" w:space="0" w:color="auto"/>
        <w:bottom w:val="none" w:sz="0" w:space="0" w:color="auto"/>
        <w:right w:val="none" w:sz="0" w:space="0" w:color="auto"/>
      </w:divBdr>
      <w:divsChild>
        <w:div w:id="115565667">
          <w:marLeft w:val="0"/>
          <w:marRight w:val="0"/>
          <w:marTop w:val="0"/>
          <w:marBottom w:val="0"/>
          <w:divBdr>
            <w:top w:val="none" w:sz="0" w:space="0" w:color="auto"/>
            <w:left w:val="none" w:sz="0" w:space="0" w:color="auto"/>
            <w:bottom w:val="none" w:sz="0" w:space="0" w:color="auto"/>
            <w:right w:val="none" w:sz="0" w:space="0" w:color="auto"/>
          </w:divBdr>
        </w:div>
        <w:div w:id="539130099">
          <w:marLeft w:val="0"/>
          <w:marRight w:val="0"/>
          <w:marTop w:val="0"/>
          <w:marBottom w:val="0"/>
          <w:divBdr>
            <w:top w:val="none" w:sz="0" w:space="0" w:color="auto"/>
            <w:left w:val="none" w:sz="0" w:space="0" w:color="auto"/>
            <w:bottom w:val="none" w:sz="0" w:space="0" w:color="auto"/>
            <w:right w:val="none" w:sz="0" w:space="0" w:color="auto"/>
          </w:divBdr>
          <w:divsChild>
            <w:div w:id="101989027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312828359">
      <w:bodyDiv w:val="1"/>
      <w:marLeft w:val="0"/>
      <w:marRight w:val="0"/>
      <w:marTop w:val="0"/>
      <w:marBottom w:val="0"/>
      <w:divBdr>
        <w:top w:val="none" w:sz="0" w:space="0" w:color="auto"/>
        <w:left w:val="none" w:sz="0" w:space="0" w:color="auto"/>
        <w:bottom w:val="none" w:sz="0" w:space="0" w:color="auto"/>
        <w:right w:val="none" w:sz="0" w:space="0" w:color="auto"/>
      </w:divBdr>
    </w:div>
    <w:div w:id="1977643380">
      <w:bodyDiv w:val="1"/>
      <w:marLeft w:val="0"/>
      <w:marRight w:val="0"/>
      <w:marTop w:val="0"/>
      <w:marBottom w:val="0"/>
      <w:divBdr>
        <w:top w:val="none" w:sz="0" w:space="0" w:color="auto"/>
        <w:left w:val="none" w:sz="0" w:space="0" w:color="auto"/>
        <w:bottom w:val="none" w:sz="0" w:space="0" w:color="auto"/>
        <w:right w:val="none" w:sz="0" w:space="0" w:color="auto"/>
      </w:divBdr>
      <w:divsChild>
        <w:div w:id="1950162064">
          <w:marLeft w:val="0"/>
          <w:marRight w:val="0"/>
          <w:marTop w:val="0"/>
          <w:marBottom w:val="0"/>
          <w:divBdr>
            <w:top w:val="none" w:sz="0" w:space="0" w:color="auto"/>
            <w:left w:val="none" w:sz="0" w:space="0" w:color="auto"/>
            <w:bottom w:val="none" w:sz="0" w:space="0" w:color="auto"/>
            <w:right w:val="none" w:sz="0" w:space="0" w:color="auto"/>
          </w:divBdr>
        </w:div>
        <w:div w:id="1568418333">
          <w:marLeft w:val="0"/>
          <w:marRight w:val="0"/>
          <w:marTop w:val="0"/>
          <w:marBottom w:val="0"/>
          <w:divBdr>
            <w:top w:val="none" w:sz="0" w:space="0" w:color="auto"/>
            <w:left w:val="none" w:sz="0" w:space="0" w:color="auto"/>
            <w:bottom w:val="none" w:sz="0" w:space="0" w:color="auto"/>
            <w:right w:val="none" w:sz="0" w:space="0" w:color="auto"/>
          </w:divBdr>
          <w:divsChild>
            <w:div w:id="1344438030">
              <w:marLeft w:val="0"/>
              <w:marRight w:val="0"/>
              <w:marTop w:val="0"/>
              <w:marBottom w:val="480"/>
              <w:divBdr>
                <w:top w:val="none" w:sz="0" w:space="0" w:color="auto"/>
                <w:left w:val="none" w:sz="0" w:space="0" w:color="auto"/>
                <w:bottom w:val="none" w:sz="0" w:space="0" w:color="auto"/>
                <w:right w:val="none" w:sz="0" w:space="0" w:color="auto"/>
              </w:divBdr>
            </w:div>
          </w:divsChild>
        </w:div>
        <w:div w:id="598290645">
          <w:marLeft w:val="0"/>
          <w:marRight w:val="0"/>
          <w:marTop w:val="0"/>
          <w:marBottom w:val="0"/>
          <w:divBdr>
            <w:top w:val="none" w:sz="0" w:space="0" w:color="auto"/>
            <w:left w:val="none" w:sz="0" w:space="0" w:color="auto"/>
            <w:bottom w:val="none" w:sz="0" w:space="0" w:color="auto"/>
            <w:right w:val="none" w:sz="0" w:space="0" w:color="auto"/>
          </w:divBdr>
          <w:divsChild>
            <w:div w:id="522867412">
              <w:marLeft w:val="0"/>
              <w:marRight w:val="0"/>
              <w:marTop w:val="0"/>
              <w:marBottom w:val="480"/>
              <w:divBdr>
                <w:top w:val="none" w:sz="0" w:space="0" w:color="auto"/>
                <w:left w:val="none" w:sz="0" w:space="0" w:color="auto"/>
                <w:bottom w:val="none" w:sz="0" w:space="0" w:color="auto"/>
                <w:right w:val="none" w:sz="0" w:space="0" w:color="auto"/>
              </w:divBdr>
            </w:div>
          </w:divsChild>
        </w:div>
        <w:div w:id="69738386">
          <w:marLeft w:val="0"/>
          <w:marRight w:val="0"/>
          <w:marTop w:val="0"/>
          <w:marBottom w:val="0"/>
          <w:divBdr>
            <w:top w:val="none" w:sz="0" w:space="0" w:color="auto"/>
            <w:left w:val="none" w:sz="0" w:space="0" w:color="auto"/>
            <w:bottom w:val="none" w:sz="0" w:space="0" w:color="auto"/>
            <w:right w:val="none" w:sz="0" w:space="0" w:color="auto"/>
          </w:divBdr>
        </w:div>
        <w:div w:id="148252351">
          <w:marLeft w:val="0"/>
          <w:marRight w:val="0"/>
          <w:marTop w:val="0"/>
          <w:marBottom w:val="0"/>
          <w:divBdr>
            <w:top w:val="none" w:sz="0" w:space="0" w:color="auto"/>
            <w:left w:val="none" w:sz="0" w:space="0" w:color="auto"/>
            <w:bottom w:val="none" w:sz="0" w:space="0" w:color="auto"/>
            <w:right w:val="none" w:sz="0" w:space="0" w:color="auto"/>
          </w:divBdr>
          <w:divsChild>
            <w:div w:id="107840294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242</Words>
  <Characters>1331</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cp:lastModifiedBy>
  <cp:revision>1</cp:revision>
  <dcterms:created xsi:type="dcterms:W3CDTF">2022-12-19T05:37:00Z</dcterms:created>
  <dcterms:modified xsi:type="dcterms:W3CDTF">2022-12-19T05:48:00Z</dcterms:modified>
</cp:coreProperties>
</file>