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321AA60" w14:textId="488E8E53" w:rsidR="00041BA2" w:rsidRPr="006F596D" w:rsidRDefault="0027240D" w:rsidP="00041BA2">
      <w:pPr>
        <w:rPr>
          <w:b/>
          <w:sz w:val="40"/>
        </w:rPr>
      </w:pPr>
      <w:r>
        <w:rPr>
          <w:rFonts w:ascii="Sakkal Majalla" w:hAnsi="Sakkal Majalla" w:cs="Sakkal Majalla"/>
          <w:b/>
          <w:bCs/>
          <w:noProof/>
          <w:sz w:val="28"/>
          <w:szCs w:val="28"/>
        </w:rPr>
        <mc:AlternateContent>
          <mc:Choice Requires="wps">
            <w:drawing>
              <wp:anchor distT="0" distB="0" distL="114300" distR="114300" simplePos="0" relativeHeight="251659776" behindDoc="0" locked="0" layoutInCell="1" allowOverlap="1" wp14:anchorId="19DB4014" wp14:editId="2E70F3E4">
                <wp:simplePos x="0" y="0"/>
                <wp:positionH relativeFrom="column">
                  <wp:posOffset>2361063</wp:posOffset>
                </wp:positionH>
                <wp:positionV relativeFrom="paragraph">
                  <wp:posOffset>-163773</wp:posOffset>
                </wp:positionV>
                <wp:extent cx="1816100" cy="1511300"/>
                <wp:effectExtent l="0" t="0" r="0" b="31750"/>
                <wp:wrapNone/>
                <wp:docPr id="2107157861" name="Rectangle 1"/>
                <wp:cNvGraphicFramePr/>
                <a:graphic xmlns:a="http://schemas.openxmlformats.org/drawingml/2006/main">
                  <a:graphicData uri="http://schemas.microsoft.com/office/word/2010/wordprocessingShape">
                    <wps:wsp>
                      <wps:cNvSpPr/>
                      <wps:spPr>
                        <a:xfrm>
                          <a:off x="0" y="0"/>
                          <a:ext cx="1816100" cy="1511300"/>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7BAF2F73" w14:textId="77777777" w:rsidR="0027240D" w:rsidRPr="008A4208" w:rsidRDefault="0027240D" w:rsidP="0027240D">
                            <w:pPr>
                              <w:jc w:val="right"/>
                              <w:rPr>
                                <w:rFonts w:ascii="Sakkal Majalla" w:hAnsi="Sakkal Majalla" w:cs="Sakkal Majalla"/>
                                <w:b/>
                                <w:bCs/>
                                <w:color w:val="000000" w:themeColor="text1"/>
                                <w:sz w:val="28"/>
                                <w:szCs w:val="28"/>
                                <w:lang w:bidi="ar-EG"/>
                              </w:rPr>
                            </w:pPr>
                            <w:r w:rsidRPr="008A4208">
                              <w:rPr>
                                <w:rFonts w:ascii="Sakkal Majalla" w:hAnsi="Sakkal Majalla" w:cs="Sakkal Majalla"/>
                                <w:b/>
                                <w:bCs/>
                                <w:color w:val="000000" w:themeColor="text1"/>
                                <w:sz w:val="28"/>
                                <w:szCs w:val="28"/>
                                <w:rtl/>
                                <w:lang w:bidi="ar-EG"/>
                              </w:rPr>
                              <w:t xml:space="preserve">جامعة ميدأوشن </w:t>
                            </w:r>
                          </w:p>
                          <w:p w14:paraId="0ABC37FB" w14:textId="77777777" w:rsidR="0027240D" w:rsidRPr="008A4208" w:rsidRDefault="0027240D" w:rsidP="0027240D">
                            <w:pPr>
                              <w:jc w:val="right"/>
                              <w:rPr>
                                <w:rFonts w:ascii="Sakkal Majalla" w:hAnsi="Sakkal Majalla" w:cs="Sakkal Majalla"/>
                                <w:b/>
                                <w:bCs/>
                                <w:color w:val="000000" w:themeColor="text1"/>
                                <w:sz w:val="28"/>
                                <w:szCs w:val="28"/>
                                <w:rtl/>
                                <w:lang w:bidi="ar-EG"/>
                              </w:rPr>
                            </w:pPr>
                            <w:r w:rsidRPr="008A4208">
                              <w:rPr>
                                <w:rFonts w:ascii="Sakkal Majalla" w:hAnsi="Sakkal Majalla" w:cs="Sakkal Majalla"/>
                                <w:b/>
                                <w:bCs/>
                                <w:color w:val="000000" w:themeColor="text1"/>
                                <w:sz w:val="28"/>
                                <w:szCs w:val="28"/>
                                <w:lang w:bidi="ar-EG"/>
                              </w:rPr>
                              <w:t xml:space="preserve">    </w:t>
                            </w:r>
                            <w:r w:rsidRPr="008A4208">
                              <w:rPr>
                                <w:rFonts w:ascii="Sakkal Majalla" w:hAnsi="Sakkal Majalla" w:cs="Sakkal Majalla"/>
                                <w:b/>
                                <w:bCs/>
                                <w:color w:val="000000" w:themeColor="text1"/>
                                <w:sz w:val="28"/>
                                <w:szCs w:val="28"/>
                                <w:rtl/>
                                <w:lang w:bidi="ar-EG"/>
                              </w:rPr>
                              <w:t xml:space="preserve">كلية الإدارة </w:t>
                            </w:r>
                          </w:p>
                          <w:p w14:paraId="71BC4C8E" w14:textId="77777777" w:rsidR="0027240D" w:rsidRPr="008A4208" w:rsidRDefault="0027240D" w:rsidP="0027240D">
                            <w:pPr>
                              <w:jc w:val="right"/>
                              <w:rPr>
                                <w:color w:val="000000" w:themeColor="text1"/>
                              </w:rPr>
                            </w:pPr>
                            <w:r w:rsidRPr="008A4208">
                              <w:rPr>
                                <w:rFonts w:ascii="Sakkal Majalla" w:hAnsi="Sakkal Majalla" w:cs="Sakkal Majalla"/>
                                <w:b/>
                                <w:bCs/>
                                <w:color w:val="000000" w:themeColor="text1"/>
                                <w:sz w:val="28"/>
                                <w:szCs w:val="28"/>
                                <w:rtl/>
                                <w:lang w:bidi="ar-EG"/>
                              </w:rPr>
                              <w:t>قسم / تخصص</w:t>
                            </w:r>
                            <w:r w:rsidRPr="008A4208">
                              <w:rPr>
                                <w:rFonts w:ascii="Sakkal Majalla" w:hAnsi="Sakkal Majalla" w:cs="Sakkal Majalla" w:hint="cs"/>
                                <w:b/>
                                <w:bCs/>
                                <w:color w:val="000000" w:themeColor="text1"/>
                                <w:sz w:val="28"/>
                                <w:szCs w:val="28"/>
                                <w:rtl/>
                                <w:lang w:bidi="ar-EG"/>
                              </w:rPr>
                              <w:t xml:space="preserve"> إدارة الاعمال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DB4014" id="Rectangle 1" o:spid="_x0000_s1026" style="position:absolute;margin-left:185.9pt;margin-top:-12.9pt;width:143pt;height:119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" filled="f" stroked="f">
                <v:shadow on="t" color="black" opacity="22937f" origin=",.5" offset="0,.63889mm"/>
                <v:textbox>
                  <w:txbxContent>
                    <w:p w14:paraId="7BAF2F73" w14:textId="77777777" w:rsidR="0027240D" w:rsidRPr="008A4208" w:rsidRDefault="0027240D" w:rsidP="0027240D">
                      <w:pPr>
                        <w:jc w:val="right"/>
                        <w:rPr>
                          <w:rFonts w:ascii="Sakkal Majalla" w:hAnsi="Sakkal Majalla" w:cs="Sakkal Majalla"/>
                          <w:b/>
                          <w:bCs/>
                          <w:color w:val="000000" w:themeColor="text1"/>
                          <w:sz w:val="28"/>
                          <w:szCs w:val="28"/>
                          <w:lang w:bidi="ar-EG"/>
                        </w:rPr>
                      </w:pPr>
                      <w:r w:rsidRPr="008A4208">
                        <w:rPr>
                          <w:rFonts w:ascii="Sakkal Majalla" w:hAnsi="Sakkal Majalla" w:cs="Sakkal Majalla"/>
                          <w:b/>
                          <w:bCs/>
                          <w:color w:val="000000" w:themeColor="text1"/>
                          <w:sz w:val="28"/>
                          <w:szCs w:val="28"/>
                          <w:rtl/>
                          <w:lang w:bidi="ar-EG"/>
                        </w:rPr>
                        <w:t xml:space="preserve">جامعة ميدأوشن </w:t>
                      </w:r>
                    </w:p>
                    <w:p w14:paraId="0ABC37FB" w14:textId="77777777" w:rsidR="0027240D" w:rsidRPr="008A4208" w:rsidRDefault="0027240D" w:rsidP="0027240D">
                      <w:pPr>
                        <w:jc w:val="right"/>
                        <w:rPr>
                          <w:rFonts w:ascii="Sakkal Majalla" w:hAnsi="Sakkal Majalla" w:cs="Sakkal Majalla"/>
                          <w:b/>
                          <w:bCs/>
                          <w:color w:val="000000" w:themeColor="text1"/>
                          <w:sz w:val="28"/>
                          <w:szCs w:val="28"/>
                          <w:rtl/>
                          <w:lang w:bidi="ar-EG"/>
                        </w:rPr>
                      </w:pPr>
                      <w:r w:rsidRPr="008A4208">
                        <w:rPr>
                          <w:rFonts w:ascii="Sakkal Majalla" w:hAnsi="Sakkal Majalla" w:cs="Sakkal Majalla"/>
                          <w:b/>
                          <w:bCs/>
                          <w:color w:val="000000" w:themeColor="text1"/>
                          <w:sz w:val="28"/>
                          <w:szCs w:val="28"/>
                          <w:lang w:bidi="ar-EG"/>
                        </w:rPr>
                        <w:t xml:space="preserve">    </w:t>
                      </w:r>
                      <w:r w:rsidRPr="008A4208">
                        <w:rPr>
                          <w:rFonts w:ascii="Sakkal Majalla" w:hAnsi="Sakkal Majalla" w:cs="Sakkal Majalla"/>
                          <w:b/>
                          <w:bCs/>
                          <w:color w:val="000000" w:themeColor="text1"/>
                          <w:sz w:val="28"/>
                          <w:szCs w:val="28"/>
                          <w:rtl/>
                          <w:lang w:bidi="ar-EG"/>
                        </w:rPr>
                        <w:t xml:space="preserve">كلية الإدارة </w:t>
                      </w:r>
                    </w:p>
                    <w:p w14:paraId="71BC4C8E" w14:textId="77777777" w:rsidR="0027240D" w:rsidRPr="008A4208" w:rsidRDefault="0027240D" w:rsidP="0027240D">
                      <w:pPr>
                        <w:jc w:val="right"/>
                        <w:rPr>
                          <w:color w:val="000000" w:themeColor="text1"/>
                        </w:rPr>
                      </w:pPr>
                      <w:r w:rsidRPr="008A4208">
                        <w:rPr>
                          <w:rFonts w:ascii="Sakkal Majalla" w:hAnsi="Sakkal Majalla" w:cs="Sakkal Majalla"/>
                          <w:b/>
                          <w:bCs/>
                          <w:color w:val="000000" w:themeColor="text1"/>
                          <w:sz w:val="28"/>
                          <w:szCs w:val="28"/>
                          <w:rtl/>
                          <w:lang w:bidi="ar-EG"/>
                        </w:rPr>
                        <w:t>قسم / تخصص</w:t>
                      </w:r>
                      <w:r w:rsidRPr="008A4208">
                        <w:rPr>
                          <w:rFonts w:ascii="Sakkal Majalla" w:hAnsi="Sakkal Majalla" w:cs="Sakkal Majalla" w:hint="cs"/>
                          <w:b/>
                          <w:bCs/>
                          <w:color w:val="000000" w:themeColor="text1"/>
                          <w:sz w:val="28"/>
                          <w:szCs w:val="28"/>
                          <w:rtl/>
                          <w:lang w:bidi="ar-EG"/>
                        </w:rPr>
                        <w:t xml:space="preserve"> إدارة الاعمال </w:t>
                      </w:r>
                    </w:p>
                  </w:txbxContent>
                </v:textbox>
              </v:rect>
            </w:pict>
          </mc:Fallback>
        </mc:AlternateContent>
      </w:r>
      <w:r w:rsidR="00041BA2" w:rsidRPr="001902DB">
        <w:rPr>
          <w:rFonts w:ascii="Sakkal Majalla" w:hAnsi="Sakkal Majalla" w:cs="Sakkal Majalla"/>
          <w:b/>
          <w:bCs/>
          <w:noProof/>
          <w:sz w:val="28"/>
          <w:szCs w:val="28"/>
        </w:rPr>
        <w:drawing>
          <wp:anchor distT="0" distB="0" distL="114300" distR="114300" simplePos="0" relativeHeight="251655680" behindDoc="0" locked="0" layoutInCell="1" allowOverlap="1" wp14:anchorId="3CFAD179" wp14:editId="7D42D0D1">
            <wp:simplePos x="0" y="0"/>
            <wp:positionH relativeFrom="margin">
              <wp:posOffset>-336550</wp:posOffset>
            </wp:positionH>
            <wp:positionV relativeFrom="margin">
              <wp:posOffset>-343535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041BA2">
        <w:rPr>
          <w:b/>
          <w:sz w:val="40"/>
        </w:rPr>
        <w:t xml:space="preserve">                                                         </w:t>
      </w:r>
    </w:p>
    <w:p w14:paraId="7D91FF9C" w14:textId="030EE4D1" w:rsidR="00041BA2" w:rsidRDefault="00041BA2" w:rsidP="00041BA2">
      <w:pPr>
        <w:jc w:val="center"/>
        <w:rPr>
          <w:b/>
          <w:sz w:val="40"/>
        </w:rPr>
      </w:pPr>
    </w:p>
    <w:p w14:paraId="65080299" w14:textId="750E59E5" w:rsidR="00041BA2" w:rsidRDefault="00041BA2" w:rsidP="00041BA2">
      <w:pPr>
        <w:jc w:val="center"/>
        <w:rPr>
          <w:b/>
          <w:sz w:val="40"/>
        </w:rPr>
      </w:pPr>
    </w:p>
    <w:p w14:paraId="7F589C64" w14:textId="77777777" w:rsidR="00041BA2" w:rsidRDefault="00041BA2" w:rsidP="00041BA2">
      <w:pPr>
        <w:jc w:val="center"/>
        <w:rPr>
          <w:b/>
          <w:sz w:val="40"/>
        </w:rPr>
      </w:pPr>
    </w:p>
    <w:p w14:paraId="0574AF5A" w14:textId="77777777" w:rsidR="00041BA2" w:rsidRDefault="00041BA2" w:rsidP="00041BA2">
      <w:pPr>
        <w:jc w:val="center"/>
        <w:rPr>
          <w:b/>
          <w:sz w:val="40"/>
        </w:rPr>
      </w:pPr>
    </w:p>
    <w:p w14:paraId="6877CF75" w14:textId="77777777" w:rsidR="00041BA2" w:rsidRDefault="00041BA2" w:rsidP="00041BA2">
      <w:pPr>
        <w:jc w:val="center"/>
        <w:rPr>
          <w:b/>
          <w:sz w:val="40"/>
        </w:rPr>
      </w:pPr>
    </w:p>
    <w:p w14:paraId="575EAB72" w14:textId="77777777" w:rsidR="00041BA2" w:rsidRDefault="00041BA2" w:rsidP="00041BA2">
      <w:pPr>
        <w:bidi/>
        <w:spacing w:after="0"/>
        <w:jc w:val="center"/>
        <w:rPr>
          <w:bCs/>
          <w:sz w:val="32"/>
          <w:szCs w:val="28"/>
        </w:rPr>
      </w:pPr>
      <w:r w:rsidRPr="001D5CC3">
        <w:rPr>
          <w:bCs/>
          <w:sz w:val="48"/>
          <w:szCs w:val="28"/>
          <w:rtl/>
        </w:rPr>
        <w:t>جامعة ميدأوشن</w:t>
      </w:r>
      <w:r w:rsidRPr="001D5CC3">
        <w:rPr>
          <w:bCs/>
          <w:sz w:val="48"/>
          <w:szCs w:val="28"/>
          <w:rtl/>
        </w:rPr>
        <w:br/>
      </w:r>
      <w:r w:rsidRPr="001D5CC3">
        <w:rPr>
          <w:bCs/>
          <w:sz w:val="40"/>
          <w:szCs w:val="28"/>
          <w:rtl/>
        </w:rPr>
        <w:t>كلية الإدارة</w:t>
      </w:r>
      <w:r w:rsidRPr="001D5CC3">
        <w:rPr>
          <w:bCs/>
          <w:sz w:val="40"/>
          <w:szCs w:val="28"/>
          <w:rtl/>
        </w:rPr>
        <w:br/>
      </w:r>
      <w:r w:rsidRPr="001D5CC3">
        <w:rPr>
          <w:bCs/>
          <w:sz w:val="32"/>
          <w:szCs w:val="28"/>
          <w:rtl/>
        </w:rPr>
        <w:t>القسم / التخصص: إدارة الأعمال</w:t>
      </w:r>
      <w:r w:rsidRPr="001D5CC3">
        <w:rPr>
          <w:bCs/>
          <w:sz w:val="32"/>
          <w:szCs w:val="28"/>
          <w:rtl/>
        </w:rPr>
        <w:br/>
      </w:r>
      <w:r w:rsidRPr="001D5CC3">
        <w:rPr>
          <w:bCs/>
          <w:sz w:val="18"/>
          <w:szCs w:val="28"/>
          <w:rtl/>
        </w:rPr>
        <w:br/>
      </w:r>
      <w:r w:rsidRPr="001D5CC3">
        <w:rPr>
          <w:bCs/>
          <w:sz w:val="44"/>
          <w:szCs w:val="28"/>
          <w:rtl/>
        </w:rPr>
        <w:t>رسالة ماجستير</w:t>
      </w:r>
      <w:r w:rsidRPr="001D5CC3">
        <w:rPr>
          <w:bCs/>
          <w:sz w:val="44"/>
          <w:szCs w:val="28"/>
          <w:rtl/>
        </w:rPr>
        <w:br/>
      </w:r>
      <w:r w:rsidRPr="001D5CC3">
        <w:rPr>
          <w:bCs/>
          <w:sz w:val="18"/>
          <w:szCs w:val="28"/>
          <w:rtl/>
        </w:rPr>
        <w:br/>
      </w:r>
      <w:r w:rsidRPr="001D5CC3">
        <w:rPr>
          <w:bCs/>
          <w:sz w:val="40"/>
          <w:szCs w:val="28"/>
          <w:rtl/>
        </w:rPr>
        <w:t>أثر استخدام التكنولوجيا المالية (FinTech) في تعزيز الشمول المالي</w:t>
      </w:r>
      <w:r w:rsidRPr="001D5CC3">
        <w:rPr>
          <w:bCs/>
          <w:sz w:val="40"/>
          <w:szCs w:val="28"/>
          <w:rtl/>
        </w:rPr>
        <w:br/>
        <w:t>في القطاع المصرفي بدولة الإمارات العربية المتحدة</w:t>
      </w:r>
      <w:r w:rsidRPr="001D5CC3">
        <w:rPr>
          <w:bCs/>
          <w:sz w:val="40"/>
          <w:szCs w:val="28"/>
          <w:rtl/>
        </w:rPr>
        <w:br/>
      </w:r>
      <w:r w:rsidRPr="001D5CC3">
        <w:rPr>
          <w:bCs/>
          <w:sz w:val="18"/>
          <w:szCs w:val="28"/>
          <w:rtl/>
        </w:rPr>
        <w:br/>
      </w:r>
      <w:r w:rsidRPr="001D5CC3">
        <w:rPr>
          <w:bCs/>
          <w:sz w:val="32"/>
          <w:szCs w:val="28"/>
          <w:rtl/>
        </w:rPr>
        <w:t>إعداد الطالب:</w:t>
      </w:r>
      <w:r w:rsidRPr="001D5CC3">
        <w:rPr>
          <w:bCs/>
          <w:sz w:val="32"/>
          <w:szCs w:val="28"/>
          <w:rtl/>
        </w:rPr>
        <w:br/>
      </w:r>
      <w:r w:rsidRPr="001D5CC3">
        <w:rPr>
          <w:bCs/>
          <w:sz w:val="36"/>
          <w:szCs w:val="28"/>
          <w:rtl/>
        </w:rPr>
        <w:t>محمد علي القحطاني</w:t>
      </w:r>
      <w:r w:rsidRPr="001D5CC3">
        <w:rPr>
          <w:bCs/>
          <w:sz w:val="36"/>
          <w:szCs w:val="28"/>
          <w:rtl/>
        </w:rPr>
        <w:br/>
      </w:r>
      <w:r w:rsidRPr="00A664A1">
        <w:rPr>
          <w:bCs/>
          <w:sz w:val="28"/>
          <w:szCs w:val="28"/>
          <w:rtl/>
        </w:rPr>
        <w:t>الرقم الأكاديمي</w:t>
      </w:r>
      <w:r w:rsidRPr="00A664A1">
        <w:rPr>
          <w:b/>
          <w:sz w:val="28"/>
          <w:szCs w:val="28"/>
          <w:rtl/>
        </w:rPr>
        <w:t xml:space="preserve">: </w:t>
      </w:r>
      <w:r w:rsidRPr="00A664A1">
        <w:rPr>
          <w:b/>
          <w:sz w:val="28"/>
          <w:szCs w:val="28"/>
        </w:rPr>
        <w:t>25300892</w:t>
      </w:r>
      <w:r w:rsidRPr="00A664A1">
        <w:rPr>
          <w:b/>
          <w:sz w:val="28"/>
          <w:szCs w:val="28"/>
          <w:rtl/>
        </w:rPr>
        <w:br/>
      </w:r>
      <w:r w:rsidRPr="001D5CC3">
        <w:rPr>
          <w:bCs/>
          <w:sz w:val="16"/>
          <w:szCs w:val="28"/>
          <w:rtl/>
        </w:rPr>
        <w:br/>
      </w:r>
      <w:r w:rsidRPr="001D5CC3">
        <w:rPr>
          <w:bCs/>
          <w:sz w:val="32"/>
          <w:szCs w:val="28"/>
          <w:rtl/>
        </w:rPr>
        <w:t>إشراف:</w:t>
      </w:r>
      <w:r w:rsidRPr="001D5CC3">
        <w:rPr>
          <w:bCs/>
          <w:sz w:val="32"/>
          <w:szCs w:val="28"/>
          <w:rtl/>
        </w:rPr>
        <w:br/>
      </w:r>
      <w:r w:rsidRPr="001D5CC3">
        <w:rPr>
          <w:bCs/>
          <w:sz w:val="28"/>
          <w:szCs w:val="28"/>
          <w:rtl/>
        </w:rPr>
        <w:t>الأستاذ الدكتور فايز علي جراد / الأستاذ الدكتور الفيصل عبد الحميد محمد</w:t>
      </w:r>
      <w:r w:rsidRPr="001D5CC3">
        <w:rPr>
          <w:bCs/>
          <w:sz w:val="28"/>
          <w:szCs w:val="28"/>
          <w:rtl/>
        </w:rPr>
        <w:br/>
      </w:r>
      <w:r w:rsidRPr="001D5CC3">
        <w:rPr>
          <w:bCs/>
          <w:sz w:val="16"/>
          <w:szCs w:val="28"/>
          <w:rtl/>
        </w:rPr>
        <w:br/>
      </w:r>
      <w:r w:rsidRPr="001D5CC3">
        <w:rPr>
          <w:bCs/>
          <w:sz w:val="32"/>
          <w:szCs w:val="28"/>
          <w:rtl/>
        </w:rPr>
        <w:t>العام الأكاديمي:</w:t>
      </w:r>
    </w:p>
    <w:p w14:paraId="62AF4B8C" w14:textId="23C63152" w:rsidR="008B1A04" w:rsidRPr="00002C91" w:rsidRDefault="00041BA2" w:rsidP="00002C91">
      <w:pPr>
        <w:bidi/>
        <w:spacing w:after="0"/>
        <w:jc w:val="center"/>
        <w:rPr>
          <w:bCs/>
          <w:sz w:val="32"/>
          <w:szCs w:val="28"/>
        </w:rPr>
      </w:pPr>
      <w:r w:rsidRPr="001D5CC3">
        <w:rPr>
          <w:bCs/>
          <w:sz w:val="32"/>
          <w:szCs w:val="28"/>
          <w:rtl/>
        </w:rPr>
        <w:t xml:space="preserve"> 2026</w:t>
      </w:r>
    </w:p>
    <w:p w14:paraId="5C3FEE45" w14:textId="77777777" w:rsidR="008B1A04" w:rsidRDefault="008B1A04">
      <w:pPr>
        <w:spacing w:after="200" w:line="276" w:lineRule="auto"/>
        <w:rPr>
          <w:b/>
          <w:bCs/>
          <w:color w:val="365F91" w:themeColor="accent1" w:themeShade="BF"/>
          <w:sz w:val="44"/>
          <w:szCs w:val="28"/>
          <w:u w:val="single"/>
          <w:rtl/>
        </w:rPr>
      </w:pPr>
      <w:r>
        <w:rPr>
          <w:sz w:val="44"/>
          <w:u w:val="single"/>
          <w:rtl/>
        </w:rPr>
        <w:br w:type="page"/>
      </w:r>
    </w:p>
    <w:p w14:paraId="051032FF" w14:textId="77777777" w:rsidR="00FC5D2A" w:rsidRDefault="00FC5D2A">
      <w:pPr>
        <w:pStyle w:val="Heading1"/>
        <w:bidi/>
        <w:jc w:val="center"/>
        <w:rPr>
          <w:rFonts w:ascii="Arial" w:eastAsia="Arial" w:hAnsi="Arial" w:cs="Arial"/>
          <w:sz w:val="44"/>
          <w:u w:val="single"/>
          <w:rtl/>
        </w:rPr>
      </w:pPr>
    </w:p>
    <w:p w14:paraId="45808A24" w14:textId="7129796B" w:rsidR="00FC5D2A" w:rsidRDefault="00CA0CAA">
      <w:pPr>
        <w:spacing w:after="200" w:line="276" w:lineRule="auto"/>
        <w:rPr>
          <w:b/>
          <w:bCs/>
          <w:color w:val="365F91" w:themeColor="accent1" w:themeShade="BF"/>
          <w:sz w:val="44"/>
          <w:szCs w:val="28"/>
          <w:u w:val="single"/>
          <w:rtl/>
        </w:rPr>
      </w:pPr>
      <w:r w:rsidRPr="00DE2D95">
        <w:rPr>
          <w:rFonts w:ascii="Calibri" w:eastAsia="Calibri" w:hAnsi="Calibri"/>
          <w:noProof/>
          <w:rtl/>
        </w:rPr>
        <mc:AlternateContent>
          <mc:Choice Requires="wps">
            <w:drawing>
              <wp:anchor distT="0" distB="0" distL="114300" distR="114300" simplePos="0" relativeHeight="251655168" behindDoc="0" locked="0" layoutInCell="1" allowOverlap="1" wp14:anchorId="401BA0D1" wp14:editId="462E4842">
                <wp:simplePos x="0" y="0"/>
                <wp:positionH relativeFrom="margin">
                  <wp:posOffset>1025525</wp:posOffset>
                </wp:positionH>
                <wp:positionV relativeFrom="paragraph">
                  <wp:posOffset>2301323</wp:posOffset>
                </wp:positionV>
                <wp:extent cx="3743325" cy="1924050"/>
                <wp:effectExtent l="0" t="0" r="28575" b="19050"/>
                <wp:wrapNone/>
                <wp:docPr id="145730541"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0C11D63" w14:textId="77777777" w:rsidR="00CA0CAA" w:rsidRDefault="00CA0CAA" w:rsidP="00CA0CAA">
                            <w:pPr>
                              <w:jc w:val="center"/>
                              <w:outlineLvl w:val="0"/>
                              <w:rPr>
                                <w:rFonts w:ascii="Sakkal Majalla" w:hAnsi="Sakkal Majalla" w:cs="Sakkal Majalla"/>
                                <w:b/>
                                <w:bCs/>
                                <w:sz w:val="40"/>
                                <w:szCs w:val="40"/>
                              </w:rPr>
                            </w:pPr>
                            <w:bookmarkStart w:id="0" w:name="_Toc234553096"/>
                            <w:r>
                              <w:rPr>
                                <w:rFonts w:ascii="Sakkal Majalla" w:hAnsi="Sakkal Majalla" w:cs="Sakkal Majalla"/>
                                <w:b/>
                                <w:bCs/>
                                <w:sz w:val="40"/>
                                <w:szCs w:val="40"/>
                                <w:rtl/>
                              </w:rPr>
                              <w:t xml:space="preserve">الفصل الاول: </w:t>
                            </w:r>
                            <w:r>
                              <w:rPr>
                                <w:rFonts w:ascii="Sakkal Majalla" w:hAnsi="Sakkal Majalla" w:cs="Sakkal Majalla" w:hint="cs"/>
                                <w:b/>
                                <w:bCs/>
                                <w:sz w:val="40"/>
                                <w:szCs w:val="40"/>
                                <w:rtl/>
                              </w:rPr>
                              <w:t>الإطار</w:t>
                            </w:r>
                            <w:r>
                              <w:rPr>
                                <w:rFonts w:ascii="Sakkal Majalla" w:hAnsi="Sakkal Majalla" w:cs="Sakkal Majalla"/>
                                <w:b/>
                                <w:bCs/>
                                <w:sz w:val="40"/>
                                <w:szCs w:val="40"/>
                                <w:rtl/>
                              </w:rPr>
                              <w:t xml:space="preserve"> العام للدراسة</w:t>
                            </w:r>
                            <w:bookmarkEnd w:id="0"/>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1BA0D1" id="Rectangle: Rounded Corners 1" o:spid="_x0000_s1027" style="position:absolute;margin-left:80.75pt;margin-top:181.2pt;width:294.75pt;height:151.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" fillcolor="window" strokecolor="windowText" strokeweight="1pt">
                <v:stroke joinstyle="miter"/>
                <v:textbox>
                  <w:txbxContent>
                    <w:p w14:paraId="20C11D63" w14:textId="77777777" w:rsidR="00CA0CAA" w:rsidRDefault="00CA0CAA" w:rsidP="00CA0CAA">
                      <w:pPr>
                        <w:jc w:val="center"/>
                        <w:outlineLvl w:val="0"/>
                        <w:rPr>
                          <w:rFonts w:ascii="Sakkal Majalla" w:hAnsi="Sakkal Majalla" w:cs="Sakkal Majalla"/>
                          <w:b/>
                          <w:bCs/>
                          <w:sz w:val="40"/>
                          <w:szCs w:val="40"/>
                        </w:rPr>
                      </w:pPr>
                      <w:bookmarkStart w:id="1" w:name="_Toc234553096"/>
                      <w:r>
                        <w:rPr>
                          <w:rFonts w:ascii="Sakkal Majalla" w:hAnsi="Sakkal Majalla" w:cs="Sakkal Majalla"/>
                          <w:b/>
                          <w:bCs/>
                          <w:sz w:val="40"/>
                          <w:szCs w:val="40"/>
                          <w:rtl/>
                        </w:rPr>
                        <w:t xml:space="preserve">الفصل الاول: </w:t>
                      </w:r>
                      <w:r>
                        <w:rPr>
                          <w:rFonts w:ascii="Sakkal Majalla" w:hAnsi="Sakkal Majalla" w:cs="Sakkal Majalla" w:hint="cs"/>
                          <w:b/>
                          <w:bCs/>
                          <w:sz w:val="40"/>
                          <w:szCs w:val="40"/>
                          <w:rtl/>
                        </w:rPr>
                        <w:t>الإطار</w:t>
                      </w:r>
                      <w:r>
                        <w:rPr>
                          <w:rFonts w:ascii="Sakkal Majalla" w:hAnsi="Sakkal Majalla" w:cs="Sakkal Majalla"/>
                          <w:b/>
                          <w:bCs/>
                          <w:sz w:val="40"/>
                          <w:szCs w:val="40"/>
                          <w:rtl/>
                        </w:rPr>
                        <w:t xml:space="preserve"> العام للدراسة</w:t>
                      </w:r>
                      <w:bookmarkEnd w:id="1"/>
                    </w:p>
                  </w:txbxContent>
                </v:textbox>
                <w10:wrap anchorx="margin"/>
              </v:roundrect>
            </w:pict>
          </mc:Fallback>
        </mc:AlternateContent>
      </w:r>
      <w:r w:rsidR="00FC5D2A">
        <w:rPr>
          <w:sz w:val="44"/>
          <w:u w:val="single"/>
          <w:rtl/>
        </w:rPr>
        <w:br w:type="page"/>
      </w:r>
    </w:p>
    <w:p w14:paraId="540CC68D" w14:textId="1AF62D03" w:rsidR="005D3C66" w:rsidRDefault="002D5DDE">
      <w:pPr>
        <w:pStyle w:val="Heading1"/>
        <w:bidi/>
        <w:jc w:val="center"/>
      </w:pPr>
      <w:r>
        <w:rPr>
          <w:rFonts w:ascii="Arial" w:eastAsia="Arial" w:hAnsi="Arial" w:cs="Arial"/>
          <w:sz w:val="44"/>
          <w:u w:val="single"/>
          <w:rtl/>
        </w:rPr>
        <w:lastRenderedPageBreak/>
        <w:t>الفصل الأول: الإطار العام للدراسة</w:t>
      </w:r>
    </w:p>
    <w:p w14:paraId="092A0430" w14:textId="3D0A2900" w:rsidR="005D3C66" w:rsidRDefault="002D5DDE">
      <w:pPr>
        <w:pStyle w:val="Heading2"/>
        <w:bidi/>
        <w:jc w:val="right"/>
      </w:pPr>
      <w:r>
        <w:rPr>
          <w:rFonts w:ascii="Arial" w:eastAsia="Arial" w:hAnsi="Arial" w:cs="Arial"/>
          <w:rtl/>
        </w:rPr>
        <w:t>1.1 مقدمة</w:t>
      </w:r>
    </w:p>
    <w:p w14:paraId="2BEF6DAC" w14:textId="77777777" w:rsidR="005D3C66" w:rsidRDefault="002D5DDE">
      <w:pPr>
        <w:bidi/>
        <w:jc w:val="both"/>
      </w:pPr>
      <w:r>
        <w:rPr>
          <w:rtl/>
        </w:rPr>
        <w:t>شهد القطاع المالي خلال العقدين الماضيين موجة متواصلة من التحول الرقمي. فالخدمات المصرفية التي كانت تعتمد سابقًا على الفروع المادية، والمستندات الورقية، والتحقق اليدوي، والتعامل المباشر وجهًا لوجه، تُقدَّم بصورة متزايدة عبر تطبيقات الهاتف المحمول، ومنصات الدفع الرقمي، والمحافظ الإلكترونية، وواجهات الخدمات المصرفية المفتوحة، والتقييم الائتماني الآلي، وغيرها من القنوات المدعومة بالتكنولوجيا. ولا يقتصر هذا التحول على تحقيق الراحة والسهولة، بل يغيّر الطريقة التي تستقطب بها المؤسسات المالية العملاء، وتدير المخاطر، وتعالج المعاملات، وتوسع خدماتها لتشمل شرائح كان من الصعب الوصول إليها عبر البنية المصرفية التقليدية.</w:t>
      </w:r>
    </w:p>
    <w:p w14:paraId="1B4F16DC" w14:textId="77777777" w:rsidR="005D3C66" w:rsidRDefault="002D5DDE">
      <w:pPr>
        <w:bidi/>
        <w:jc w:val="both"/>
      </w:pPr>
      <w:r>
        <w:rPr>
          <w:rtl/>
        </w:rPr>
        <w:t>تُعرَّف التكنولوجيا المالية، المعروفة اختصارًا باسم FinTech، بأنها استخدام التكنولوجيا لتحسين الخدمات المالية أو أتمتتها أو إعادة تصميمها. وفي القطاع المصرفي، تتجلى التكنولوجيا المالية في المدفوعات الأسرع، والوصول إلى الحسابات عبر الهاتف المحمول، والتحويلات الفورية، والتحقق الرقمي من الهوية، وإجراءات انضمام العملاء عن بُعد، والمعاملات القائمة على المحافظ الإلكترونية، وأدوات التمويل عبر الإنترنت. وقد حظيت هذه التطبيقات باهتمام واسع لأنها تقلل الوقت والتكلفة، وتعزز الشفافية، وتمكّن مقدمي الخدمات المالية من توفير خدمات منخفضة القيمة على نطاق واسع. وتكتسب آثارها أهمية خاصة بالنسبة إلى الشمول المالي؛ لأن الشمول لا يعتمد على وجود البنوك فحسب، بل يعتمد كذلك على قدرة الأفراد والمنشآت على الوصول إلى الخدمات المالية المناسبة، وتحمل تكلفتها، والثقة بها، واستخدامها بانتظام.</w:t>
      </w:r>
    </w:p>
    <w:p w14:paraId="442CB250" w14:textId="77777777" w:rsidR="005D3C66" w:rsidRDefault="002D5DDE">
      <w:pPr>
        <w:bidi/>
        <w:jc w:val="both"/>
      </w:pPr>
      <w:r>
        <w:rPr>
          <w:rtl/>
        </w:rPr>
        <w:t>أصبح مفهوم الشمول المالي هدفًا تنمويًا مهمًا للحكومات والجهات التنظيمية والمؤسسات الدولية والبنوك التجارية. ويشير الشمول المالي إلى قدرة الأفراد ومنشآت الأعمال على الوصول إلى منتجات مالية رسمية مفيدة وميسورة التكلفة ومسؤولة، واستخدامها، مثل الحسابات والمدفوعات والادخار والائتمان والتأمين والخدمات المالية الرقمية. وتنبع أهمية الشمول من أبعاده الاجتماعية والاقتصادية معًا. فعندما يتمكن الأفراد من حفظ أموالهم بأمان، ودفع الأموال وتلقيها رقميًا، والاقتراض بمسؤولية، والمشاركة في الأنظمة المالية الرسمية، يصبحون أكثر قدرة على مواجهة الصدمات، والتخطيط للاستهلاك، والاستثمار في التعليم أو الأعمال، والمشاركة في النشاط الاقتصادي.</w:t>
      </w:r>
    </w:p>
    <w:p w14:paraId="01C19057" w14:textId="77777777" w:rsidR="005D3C66" w:rsidRDefault="002D5DDE">
      <w:pPr>
        <w:bidi/>
        <w:jc w:val="both"/>
      </w:pPr>
      <w:r>
        <w:rPr>
          <w:rtl/>
        </w:rPr>
        <w:t>يعمل القطاع المصرفي في دولة الإمارات العربية المتحدة ضمن بيئة شديدة الرقمنة والتنافسية. وتتمتع الدولة ببنية متقدمة للاتصالات، وانتشار مرتفع للهواتف الذكية، ومبادرات حكومية رقمية نشطة، وبيئة تنظيمية تدعم الابتكار في الخدمات المالية بصورة متزايدة. وقد تبنت البنوك والمؤسسات المالية في دولة الإمارات تطبيقات الخدمات المصرفية عبر الهاتف المحمول، والمحافظ الرقمية، والمدفوعات الفورية، والخدمات غير المعتمدة على البطاقات، وفتح الحسابات عن بُعد، وغيرها من القنوات الرقمية. وتجعل هذه التطورات من دولة الإمارات سياقًا ملائمًا لدراسة العلاقة بين التكنولوجيا المالية والشمول المالي؛ إذ تجمع الدولة بين قدرات رقمية قوية وتنوع سكاني يضم المواطنين والمقيمين والعمال ورواد الأعمال والمنشآت الصغيرة.</w:t>
      </w:r>
    </w:p>
    <w:p w14:paraId="79CB14F2" w14:textId="77777777" w:rsidR="005D3C66" w:rsidRDefault="002D5DDE">
      <w:pPr>
        <w:bidi/>
        <w:jc w:val="both"/>
      </w:pPr>
      <w:r>
        <w:rPr>
          <w:rtl/>
        </w:rPr>
        <w:t>وعلى الرغم من التسارع في الرقمنة، لا يمكن افتراض أن أثر التكنولوجيا المالية في الشمول يتحقق تلقائيًا. فقد يطرح أحد البنوك تطبيقًا للهاتف المحمول، ومع ذلك قد يظل بعض المستخدمين يواجهون عوائق تتعلق بالثقافة الرقمية، أو الثقة، أو اللغة، أو المستندات، أو التكلفة، أو مستوى الدخل، أو تعقيد المنتجات، أو الوعي. وقد تكون المحفظة الرقمية متاحة على نطاق واسع، لكنها لا تعمّق الشمول المالي ما لم تُستخدم في أنشطة مالية ذات مغزى وترتبط بخدمات مصرفية أوسع. ومن ثم، لا تتمثل القضية المحورية في مجرد وجود التكنولوجيا المالية، بل في مدى إسهام استخدامها في تحسين الوصول، والاستخدام، والقدرة على تحمل التكلفة، والجودة، والمنفعة المتصورة للخدمات المالية.</w:t>
      </w:r>
    </w:p>
    <w:p w14:paraId="7EEF82B8" w14:textId="77777777" w:rsidR="005D3C66" w:rsidRDefault="002D5DDE">
      <w:pPr>
        <w:bidi/>
        <w:jc w:val="both"/>
      </w:pPr>
      <w:r>
        <w:rPr>
          <w:rtl/>
        </w:rPr>
        <w:lastRenderedPageBreak/>
        <w:t>تبحث هذه الرسالة أثر استخدام التكنولوجيا المالية في تعزيز الشمول المالي في القطاع المصرفي بدولة الإمارات العربية المتحدة. وتركز الدراسة على أربعة أبعاد للتكنولوجيا المالية، هي: المدفوعات الرقمية، والمحافظ الإلكترونية، والخدمات المصرفية عبر الهاتف المحمول، والتمويل الرقمي. وقد اختيرت هذه الأبعاد لأنها تمثل قنوات شائعة تتفاعل من خلالها البنوك والمؤسسات المالية مع المستخدمين، ولأنها ترتبط بمجالات عملية يمكن أن يسهم فيها التبني الرقمي في الحد من الإقصاء المالي. ويتمثل المتغير التابع في الشمول المالي، ويُقاس بمؤشرات تتعلق بالوصول إلى الخدمات، والاستخدام المنتظم، والقدرة المتصورة على تحمل التكلفة، والملاءمة، والجودة، والقدرة على المشاركة في النشاط المالي الرسمي.</w:t>
      </w:r>
    </w:p>
    <w:p w14:paraId="4576D8E2" w14:textId="77777777" w:rsidR="005D3C66" w:rsidRDefault="002D5DDE">
      <w:pPr>
        <w:bidi/>
        <w:jc w:val="both"/>
      </w:pPr>
      <w:r>
        <w:rPr>
          <w:rtl/>
        </w:rPr>
        <w:t>صُممت الرسالة بوصفها دراسة كمية وصفية تحليلية. وتُستخدم الاستبانة أداةً رئيسة للبحث، بينما يختبر النموذج التجريبي ما إذا كانت أبعاد التكنولوجيا المالية الأربعة تُحدث آثارًا ذات دلالة إحصائية في الشمول المالي. واتساقًا مع الممارسة الأكاديمية في البحث العلمي، تناقش الرسالة كذلك الأسس النظرية لتبني التكنولوجيا والشمول المالي، وتراجع الدراسات السابقة، وتحدد الفجوة البحثية، وتصف المنهجية، وتعرض التحليل الإحصائي، ثم تقدم الاستنتاجات والتوصيات للبنوك وصانعي السياسات والجهات التنظيمية والباحثين مستقبلًا.</w:t>
      </w:r>
    </w:p>
    <w:p w14:paraId="7B6B42AB" w14:textId="77777777" w:rsidR="005D3C66" w:rsidRDefault="002D5DDE">
      <w:pPr>
        <w:pStyle w:val="Heading2"/>
        <w:bidi/>
        <w:jc w:val="right"/>
      </w:pPr>
      <w:r>
        <w:rPr>
          <w:rFonts w:ascii="Arial" w:eastAsia="Arial" w:hAnsi="Arial" w:cs="Arial"/>
          <w:rtl/>
        </w:rPr>
        <w:t>1.2 مشكلة البحث</w:t>
      </w:r>
    </w:p>
    <w:p w14:paraId="5CE9A1E4" w14:textId="77777777" w:rsidR="005D3C66" w:rsidRDefault="002D5DDE">
      <w:pPr>
        <w:bidi/>
        <w:jc w:val="both"/>
      </w:pPr>
      <w:r>
        <w:rPr>
          <w:rtl/>
        </w:rPr>
        <w:t>تنبع مشكلة البحث من الفجوة بين الانتشار السريع للتقنيات المالية الرقمية والحاجة المستمرة إلى ضمان ترجمة هذه التقنيات إلى نتائج مالية أكثر شمولًا. فقد استثمرت بنوك كثيرة في القنوات الرقمية، غير أن التحول الرقمي لا يضمن تلقائيًا إدماج المستخدمين المحرومين من الخدمات أو الأقل نشاطًا ماليًا. وقد يؤدي وجود تطبيق للهاتف المحمول أو محفظة إلكترونية أو منصة تمويل عبر الإنترنت إلى تحسين جودة الخدمة للعملاء الحاليين، بينما تظل العوائق التي تواجه فئات أخرى دون معالجة. ومن هنا تبرز الحاجة إلى التحقق مما إذا كانت أدوات التكنولوجيا المالية تسهم بصورة قابلة للقياس في تعزيز الشمول المالي.</w:t>
      </w:r>
    </w:p>
    <w:p w14:paraId="09F486C4" w14:textId="77777777" w:rsidR="005D3C66" w:rsidRDefault="002D5DDE">
      <w:pPr>
        <w:bidi/>
        <w:jc w:val="both"/>
      </w:pPr>
      <w:r>
        <w:rPr>
          <w:rtl/>
        </w:rPr>
        <w:t>ويتمثل جانب ثانٍ من المشكلة في أن الدراسات السابقة غالبًا ما تتناول التكنولوجيا المالية من زوايا تقنية أو تشغيلية أو مرتبطة بالربحية أو رضا العملاء. ومع أهمية هذه الدراسات، فإنها قد لا تفسر بصورة مباشرة كيفية تأثير التكنولوجيا المالية في الشمول. إذ يستطيع البنك تحسين جودة الخدمة الرقمية، وتقليص زمن المعاملة، أو زيادة الربحية، من دون أن يعني ذلك بالضرورة توسيع نطاق الوصول إلى الأفراد والمنشآت التي كانت محرومة من الخدمات سابقًا. ولذلك يتطلب الشمول المالي تقييمًا أوسع يشمل الوصول، والاستخدام، والقدرة على تحمل التكلفة، والملاءمة، والفاعلية المتصورة للخدمات.</w:t>
      </w:r>
    </w:p>
    <w:p w14:paraId="04E2C601" w14:textId="77777777" w:rsidR="005D3C66" w:rsidRDefault="002D5DDE">
      <w:pPr>
        <w:bidi/>
        <w:jc w:val="both"/>
      </w:pPr>
      <w:r>
        <w:rPr>
          <w:rtl/>
        </w:rPr>
        <w:t>ويُضفي سياق دولة الإمارات أهمية إضافية على المشكلة؛ فالقطاع المصرفي متقدم تقنيًا ويعمل ضمن بيئة داعمة للرقمنة، إلا أن السكان يتنوعون من حيث مستويات الدخل، والمهن، والتعليم، والجنسية، واللغة، والاحتياجات المالية. وقد يستخدم بعض العملاء الخدمات الرقمية المتقدمة بكثرة، في حين يعتمد آخرون على خدمات محدودة أو يظلون خارج نطاق المشاركة الكاملة في العمل المصرفي الرسمي. ويجعل هذا التنوع من الضروري فحص أبعاد التكنولوجيا المالية الأكثر ارتباطًا بالشمول المالي.</w:t>
      </w:r>
    </w:p>
    <w:p w14:paraId="0AD2BBB4" w14:textId="77777777" w:rsidR="005D3C66" w:rsidRDefault="002D5DDE">
      <w:pPr>
        <w:bidi/>
        <w:jc w:val="both"/>
      </w:pPr>
      <w:r>
        <w:rPr>
          <w:rtl/>
        </w:rPr>
        <w:t>وبناءً على ذلك، تسعى الدراسة إلى الإجابة عن المشكلة المركزية الآتية: ما أثر استخدام التكنولوجيا المالية في تعزيز الشمول المالي في القطاع المصرفي بدولة الإمارات العربية المتحدة؟ وتُترجم هذه المشكلة إلى أسئلة وفرضيات بحثية تتناول المدفوعات الرقمية، والمحافظ الإلكترونية، والخدمات المصرفية عبر الهاتف المحمول، والتمويل الرقمي بوصفها أبعادًا مستقلة للتكنولوجيا المالية.</w:t>
      </w:r>
    </w:p>
    <w:p w14:paraId="5177A9BA" w14:textId="77777777" w:rsidR="005D3C66" w:rsidRDefault="002D5DDE">
      <w:pPr>
        <w:pStyle w:val="Heading2"/>
        <w:bidi/>
        <w:jc w:val="right"/>
      </w:pPr>
      <w:r>
        <w:rPr>
          <w:rFonts w:ascii="Arial" w:eastAsia="Arial" w:hAnsi="Arial" w:cs="Arial"/>
          <w:rtl/>
        </w:rPr>
        <w:t>1.3 أهداف البحث</w:t>
      </w:r>
    </w:p>
    <w:p w14:paraId="76B72D64" w14:textId="77777777" w:rsidR="005D3C66" w:rsidRDefault="002D5DDE">
      <w:pPr>
        <w:bidi/>
        <w:jc w:val="both"/>
      </w:pPr>
      <w:r>
        <w:rPr>
          <w:rtl/>
        </w:rPr>
        <w:t>يتمثل الهدف الرئيس لهذه الرسالة في تحديد أثر استخدام التكنولوجيا المالية بأبعادها المختلفة في تعزيز الشمول المالي في القطاع المصرفي بدولة الإمارات العربية المتحدة. وينقسم هذا الهدف إلى أربعة أهداف فرعية تتوافق مع أبعاد التكنولوجيا المالية المستخدمة في الدراسة.</w:t>
      </w:r>
    </w:p>
    <w:p w14:paraId="6C5559F3" w14:textId="77777777" w:rsidR="005D3C66" w:rsidRDefault="002D5DDE">
      <w:pPr>
        <w:bidi/>
        <w:jc w:val="both"/>
      </w:pPr>
      <w:r>
        <w:rPr>
          <w:rtl/>
        </w:rPr>
        <w:lastRenderedPageBreak/>
        <w:t>تحديد أثر المدفوعات الرقمية في الشمول المالي في القطاع المصرفي بدولة الإمارات العربية المتحدة.</w:t>
      </w:r>
    </w:p>
    <w:p w14:paraId="2168AC9A" w14:textId="77777777" w:rsidR="005D3C66" w:rsidRDefault="002D5DDE">
      <w:pPr>
        <w:bidi/>
        <w:jc w:val="both"/>
      </w:pPr>
      <w:r>
        <w:rPr>
          <w:rtl/>
        </w:rPr>
        <w:t>تحديد أثر المحافظ الإلكترونية في الشمول المالي في القطاع المصرفي بدولة الإمارات العربية المتحدة.</w:t>
      </w:r>
    </w:p>
    <w:p w14:paraId="47B24405" w14:textId="77777777" w:rsidR="005D3C66" w:rsidRDefault="002D5DDE">
      <w:pPr>
        <w:bidi/>
        <w:jc w:val="both"/>
      </w:pPr>
      <w:r>
        <w:rPr>
          <w:rtl/>
        </w:rPr>
        <w:t>تحديد أثر الخدمات المصرفية عبر الهاتف المحمول في الشمول المالي في القطاع المصرفي بدولة الإمارات العربية المتحدة.</w:t>
      </w:r>
    </w:p>
    <w:p w14:paraId="1CE856E0" w14:textId="77777777" w:rsidR="005D3C66" w:rsidRDefault="002D5DDE">
      <w:pPr>
        <w:bidi/>
        <w:jc w:val="both"/>
      </w:pPr>
      <w:r>
        <w:rPr>
          <w:rtl/>
        </w:rPr>
        <w:t>تحديد أثر التمويل الرقمي في الشمول المالي في القطاع المصرفي بدولة الإمارات العربية المتحدة.</w:t>
      </w:r>
    </w:p>
    <w:p w14:paraId="185987CC" w14:textId="77777777" w:rsidR="005D3C66" w:rsidRDefault="002D5DDE">
      <w:pPr>
        <w:bidi/>
        <w:jc w:val="both"/>
      </w:pPr>
      <w:r>
        <w:rPr>
          <w:rtl/>
        </w:rPr>
        <w:t>تقديم توصيات للبنوك وصانعي السياسات بشأن كيفية استخدام التكنولوجيا المالية بمسؤولية لدعم الشمول المالي.</w:t>
      </w:r>
    </w:p>
    <w:p w14:paraId="3DBB6E55" w14:textId="77777777" w:rsidR="005D3C66" w:rsidRDefault="002D5DDE">
      <w:pPr>
        <w:pStyle w:val="Heading2"/>
        <w:bidi/>
        <w:jc w:val="right"/>
      </w:pPr>
      <w:r>
        <w:rPr>
          <w:rFonts w:ascii="Arial" w:eastAsia="Arial" w:hAnsi="Arial" w:cs="Arial"/>
          <w:rtl/>
        </w:rPr>
        <w:t>1.4 أسئلة البحث</w:t>
      </w:r>
    </w:p>
    <w:p w14:paraId="5A8488D2" w14:textId="77777777" w:rsidR="005D3C66" w:rsidRDefault="002D5DDE">
      <w:pPr>
        <w:bidi/>
        <w:jc w:val="both"/>
      </w:pPr>
      <w:r>
        <w:rPr>
          <w:rtl/>
        </w:rPr>
        <w:t>يتمثل سؤال البحث الرئيس في الآتي: ما أثر استخدام التكنولوجيا المالية في تعزيز الشمول المالي في القطاع المصرفي بدولة الإمارات العربية المتحدة؟ ويتفرع من هذا السؤال أربعة أسئلة فرعية.</w:t>
      </w:r>
    </w:p>
    <w:p w14:paraId="2981C73E" w14:textId="77777777" w:rsidR="005D3C66" w:rsidRDefault="002D5DDE">
      <w:pPr>
        <w:bidi/>
        <w:jc w:val="both"/>
      </w:pPr>
      <w:r>
        <w:rPr>
          <w:rtl/>
        </w:rPr>
        <w:t>ما أثر المدفوعات الرقمية في الشمول المالي في القطاع المصرفي بدولة الإمارات العربية المتحدة؟</w:t>
      </w:r>
    </w:p>
    <w:p w14:paraId="72C55F06" w14:textId="77777777" w:rsidR="005D3C66" w:rsidRDefault="002D5DDE">
      <w:pPr>
        <w:bidi/>
        <w:jc w:val="both"/>
      </w:pPr>
      <w:r>
        <w:rPr>
          <w:rtl/>
        </w:rPr>
        <w:t>ما أثر المحافظ الإلكترونية في الشمول المالي في القطاع المصرفي بدولة الإمارات العربية المتحدة؟</w:t>
      </w:r>
    </w:p>
    <w:p w14:paraId="18DB70A7" w14:textId="77777777" w:rsidR="005D3C66" w:rsidRDefault="002D5DDE">
      <w:pPr>
        <w:bidi/>
        <w:jc w:val="both"/>
      </w:pPr>
      <w:r>
        <w:rPr>
          <w:rtl/>
        </w:rPr>
        <w:t>ما أثر الخدمات المصرفية عبر الهاتف المحمول في الشمول المالي في القطاع المصرفي بدولة الإمارات العربية المتحدة؟</w:t>
      </w:r>
    </w:p>
    <w:p w14:paraId="357D79BB" w14:textId="77777777" w:rsidR="005D3C66" w:rsidRDefault="002D5DDE">
      <w:pPr>
        <w:bidi/>
        <w:jc w:val="both"/>
      </w:pPr>
      <w:r>
        <w:rPr>
          <w:rtl/>
        </w:rPr>
        <w:t>ما أثر التمويل الرقمي في الشمول المالي في القطاع المصرفي بدولة الإمارات العربية المتحدة؟</w:t>
      </w:r>
    </w:p>
    <w:p w14:paraId="29B3C437" w14:textId="77777777" w:rsidR="005D3C66" w:rsidRDefault="002D5DDE">
      <w:pPr>
        <w:pStyle w:val="Heading2"/>
        <w:bidi/>
        <w:jc w:val="right"/>
      </w:pPr>
      <w:r>
        <w:rPr>
          <w:rFonts w:ascii="Arial" w:eastAsia="Arial" w:hAnsi="Arial" w:cs="Arial"/>
          <w:rtl/>
        </w:rPr>
        <w:t>1.5 فرضيات البحث</w:t>
      </w:r>
    </w:p>
    <w:p w14:paraId="707B3E2E" w14:textId="77777777" w:rsidR="005D3C66" w:rsidRDefault="002D5DDE">
      <w:pPr>
        <w:bidi/>
        <w:jc w:val="both"/>
      </w:pPr>
      <w:r>
        <w:rPr>
          <w:rtl/>
        </w:rPr>
        <w:t>صيغت الفرضيات لاختبار ما إذا كان لكل بُعد من أبعاد التكنولوجيا المالية أثر إيجابي ذو دلالة إحصائية في الشمول المالي. ويُستخدم في الصياغة التفسير الأكاديمي المتعارف عليه للدلالة الإحصائية عند مستوى 0.05.</w:t>
      </w:r>
    </w:p>
    <w:p w14:paraId="430D6080" w14:textId="77777777" w:rsidR="005D3C66" w:rsidRDefault="002D5DDE">
      <w:pPr>
        <w:bidi/>
        <w:jc w:val="both"/>
      </w:pPr>
      <w:r>
        <w:rPr>
          <w:rtl/>
        </w:rPr>
        <w:t>H1: للمدفوعات الرقمية أثر إيجابي ذو دلالة إحصائية في الشمول المالي في القطاع المصرفي بدولة الإمارات العربية المتحدة.</w:t>
      </w:r>
    </w:p>
    <w:p w14:paraId="733BD6A7" w14:textId="77777777" w:rsidR="005D3C66" w:rsidRDefault="002D5DDE">
      <w:pPr>
        <w:bidi/>
        <w:jc w:val="both"/>
      </w:pPr>
      <w:r>
        <w:rPr>
          <w:rtl/>
        </w:rPr>
        <w:t>H2: للمحافظ الإلكترونية أثر إيجابي ذو دلالة إحصائية في الشمول المالي في القطاع المصرفي بدولة الإمارات العربية المتحدة.</w:t>
      </w:r>
    </w:p>
    <w:p w14:paraId="59A6C1CC" w14:textId="77777777" w:rsidR="005D3C66" w:rsidRDefault="002D5DDE">
      <w:pPr>
        <w:bidi/>
        <w:jc w:val="both"/>
      </w:pPr>
      <w:r>
        <w:rPr>
          <w:rtl/>
        </w:rPr>
        <w:t>H3: للخدمات المصرفية عبر الهاتف المحمول أثر إيجابي ذو دلالة إحصائية في الشمول المالي في القطاع المصرفي بدولة الإمارات العربية المتحدة.</w:t>
      </w:r>
    </w:p>
    <w:p w14:paraId="6D659622" w14:textId="77777777" w:rsidR="005D3C66" w:rsidRDefault="002D5DDE">
      <w:pPr>
        <w:bidi/>
        <w:jc w:val="both"/>
      </w:pPr>
      <w:r>
        <w:rPr>
          <w:rtl/>
        </w:rPr>
        <w:t>H4: للتمويل الرقمي أثر إيجابي ذو دلالة إحصائية في الشمول المالي في القطاع المصرفي بدولة الإمارات العربية المتحدة.</w:t>
      </w:r>
    </w:p>
    <w:p w14:paraId="6D3D8D2F" w14:textId="77777777" w:rsidR="005D3C66" w:rsidRDefault="002D5DDE">
      <w:pPr>
        <w:bidi/>
        <w:jc w:val="both"/>
      </w:pPr>
      <w:r>
        <w:rPr>
          <w:rtl/>
        </w:rPr>
        <w:t>H5: توجد فروق ذات دلالة إحصائية في تصورات الشمول المالي تُعزى إلى المتغيرات الديموغرافية، مثل الجنس والعمر والمؤهل العلمي وسنوات الخدمة أو الخبرة.</w:t>
      </w:r>
    </w:p>
    <w:p w14:paraId="6D5E4792" w14:textId="77777777" w:rsidR="005D3C66" w:rsidRDefault="002D5DDE">
      <w:pPr>
        <w:bidi/>
        <w:spacing w:before="80" w:after="200"/>
        <w:jc w:val="center"/>
      </w:pPr>
      <w:r>
        <w:rPr>
          <w:rtl/>
        </w:rPr>
        <w:t>الجدول 1‑1: مواءمة أسئلة البحث والفرضيات</w:t>
      </w:r>
    </w:p>
    <w:tbl>
      <w:tblPr>
        <w:tblStyle w:val="TableGrid"/>
        <w:bidiVisual/>
        <w:tblW w:w="0" w:type="auto"/>
        <w:jc w:val="center"/>
        <w:tblLook w:val="04A0" w:firstRow="1" w:lastRow="0" w:firstColumn="1" w:lastColumn="0" w:noHBand="0" w:noVBand="1"/>
      </w:tblPr>
      <w:tblGrid>
        <w:gridCol w:w="3024"/>
        <w:gridCol w:w="3024"/>
        <w:gridCol w:w="3024"/>
      </w:tblGrid>
      <w:tr w:rsidR="005D3C66" w14:paraId="415A5BFE" w14:textId="77777777">
        <w:trPr>
          <w:jc w:val="center"/>
        </w:trPr>
        <w:tc>
          <w:tcPr>
            <w:tcW w:w="3024" w:type="dxa"/>
            <w:shd w:val="clear" w:color="auto" w:fill="D9E2F3"/>
            <w:tcMar>
              <w:top w:w="80" w:type="dxa"/>
              <w:left w:w="90" w:type="dxa"/>
              <w:bottom w:w="80" w:type="dxa"/>
              <w:right w:w="90" w:type="dxa"/>
            </w:tcMar>
            <w:vAlign w:val="center"/>
          </w:tcPr>
          <w:p w14:paraId="54ECA3D9" w14:textId="77777777" w:rsidR="005D3C66" w:rsidRDefault="002D5DDE">
            <w:pPr>
              <w:bidi/>
              <w:jc w:val="right"/>
            </w:pPr>
            <w:r>
              <w:rPr>
                <w:b/>
                <w:sz w:val="21"/>
                <w:rtl/>
              </w:rPr>
              <w:t>سؤال البحث</w:t>
            </w:r>
          </w:p>
        </w:tc>
        <w:tc>
          <w:tcPr>
            <w:tcW w:w="3024" w:type="dxa"/>
            <w:shd w:val="clear" w:color="auto" w:fill="D9E2F3"/>
            <w:tcMar>
              <w:top w:w="80" w:type="dxa"/>
              <w:left w:w="90" w:type="dxa"/>
              <w:bottom w:w="80" w:type="dxa"/>
              <w:right w:w="90" w:type="dxa"/>
            </w:tcMar>
            <w:vAlign w:val="center"/>
          </w:tcPr>
          <w:p w14:paraId="1556A6C2" w14:textId="77777777" w:rsidR="005D3C66" w:rsidRDefault="002D5DDE">
            <w:pPr>
              <w:bidi/>
              <w:jc w:val="right"/>
            </w:pPr>
            <w:r>
              <w:rPr>
                <w:b/>
                <w:sz w:val="21"/>
                <w:rtl/>
              </w:rPr>
              <w:t>الفرضية المرتبطة</w:t>
            </w:r>
          </w:p>
        </w:tc>
        <w:tc>
          <w:tcPr>
            <w:tcW w:w="3024" w:type="dxa"/>
            <w:shd w:val="clear" w:color="auto" w:fill="D9E2F3"/>
            <w:tcMar>
              <w:top w:w="80" w:type="dxa"/>
              <w:left w:w="90" w:type="dxa"/>
              <w:bottom w:w="80" w:type="dxa"/>
              <w:right w:w="90" w:type="dxa"/>
            </w:tcMar>
            <w:vAlign w:val="center"/>
          </w:tcPr>
          <w:p w14:paraId="38481BAC" w14:textId="77777777" w:rsidR="005D3C66" w:rsidRDefault="002D5DDE">
            <w:pPr>
              <w:bidi/>
              <w:jc w:val="right"/>
            </w:pPr>
            <w:r>
              <w:rPr>
                <w:b/>
                <w:sz w:val="21"/>
                <w:rtl/>
              </w:rPr>
              <w:t>الاختبار الإحصائي الرئيس</w:t>
            </w:r>
          </w:p>
        </w:tc>
      </w:tr>
      <w:tr w:rsidR="005D3C66" w14:paraId="0BBA8969" w14:textId="77777777">
        <w:trPr>
          <w:jc w:val="center"/>
        </w:trPr>
        <w:tc>
          <w:tcPr>
            <w:tcW w:w="3024" w:type="dxa"/>
            <w:tcMar>
              <w:top w:w="80" w:type="dxa"/>
              <w:left w:w="90" w:type="dxa"/>
              <w:bottom w:w="80" w:type="dxa"/>
              <w:right w:w="90" w:type="dxa"/>
            </w:tcMar>
            <w:vAlign w:val="center"/>
          </w:tcPr>
          <w:p w14:paraId="4287F631" w14:textId="77777777" w:rsidR="005D3C66" w:rsidRDefault="002D5DDE">
            <w:pPr>
              <w:bidi/>
              <w:jc w:val="right"/>
            </w:pPr>
            <w:r>
              <w:rPr>
                <w:sz w:val="21"/>
                <w:rtl/>
              </w:rPr>
              <w:t>أثر المدفوعات الرقمية في الشمول المالي</w:t>
            </w:r>
          </w:p>
        </w:tc>
        <w:tc>
          <w:tcPr>
            <w:tcW w:w="3024" w:type="dxa"/>
            <w:tcMar>
              <w:top w:w="80" w:type="dxa"/>
              <w:left w:w="90" w:type="dxa"/>
              <w:bottom w:w="80" w:type="dxa"/>
              <w:right w:w="90" w:type="dxa"/>
            </w:tcMar>
            <w:vAlign w:val="center"/>
          </w:tcPr>
          <w:p w14:paraId="74FC843F" w14:textId="77777777" w:rsidR="005D3C66" w:rsidRDefault="002D5DDE">
            <w:pPr>
              <w:bidi/>
              <w:jc w:val="right"/>
            </w:pPr>
            <w:r>
              <w:rPr>
                <w:sz w:val="21"/>
                <w:rtl/>
              </w:rPr>
              <w:t>H1</w:t>
            </w:r>
          </w:p>
        </w:tc>
        <w:tc>
          <w:tcPr>
            <w:tcW w:w="3024" w:type="dxa"/>
            <w:tcMar>
              <w:top w:w="80" w:type="dxa"/>
              <w:left w:w="90" w:type="dxa"/>
              <w:bottom w:w="80" w:type="dxa"/>
              <w:right w:w="90" w:type="dxa"/>
            </w:tcMar>
            <w:vAlign w:val="center"/>
          </w:tcPr>
          <w:p w14:paraId="166A6BE9" w14:textId="77777777" w:rsidR="005D3C66" w:rsidRDefault="002D5DDE">
            <w:pPr>
              <w:bidi/>
              <w:jc w:val="right"/>
            </w:pPr>
            <w:r>
              <w:rPr>
                <w:sz w:val="21"/>
                <w:rtl/>
              </w:rPr>
              <w:t>الارتباط والانحدار المتعدد</w:t>
            </w:r>
          </w:p>
        </w:tc>
      </w:tr>
      <w:tr w:rsidR="005D3C66" w14:paraId="1655E686" w14:textId="77777777">
        <w:trPr>
          <w:jc w:val="center"/>
        </w:trPr>
        <w:tc>
          <w:tcPr>
            <w:tcW w:w="3024" w:type="dxa"/>
            <w:tcMar>
              <w:top w:w="80" w:type="dxa"/>
              <w:left w:w="90" w:type="dxa"/>
              <w:bottom w:w="80" w:type="dxa"/>
              <w:right w:w="90" w:type="dxa"/>
            </w:tcMar>
            <w:vAlign w:val="center"/>
          </w:tcPr>
          <w:p w14:paraId="0E364ABA" w14:textId="77777777" w:rsidR="005D3C66" w:rsidRDefault="002D5DDE">
            <w:pPr>
              <w:bidi/>
              <w:jc w:val="right"/>
            </w:pPr>
            <w:r>
              <w:rPr>
                <w:sz w:val="21"/>
                <w:rtl/>
              </w:rPr>
              <w:t>أثر المحافظ الإلكترونية في الشمول المالي</w:t>
            </w:r>
          </w:p>
        </w:tc>
        <w:tc>
          <w:tcPr>
            <w:tcW w:w="3024" w:type="dxa"/>
            <w:tcMar>
              <w:top w:w="80" w:type="dxa"/>
              <w:left w:w="90" w:type="dxa"/>
              <w:bottom w:w="80" w:type="dxa"/>
              <w:right w:w="90" w:type="dxa"/>
            </w:tcMar>
            <w:vAlign w:val="center"/>
          </w:tcPr>
          <w:p w14:paraId="53DD8348" w14:textId="77777777" w:rsidR="005D3C66" w:rsidRDefault="002D5DDE">
            <w:pPr>
              <w:bidi/>
              <w:jc w:val="right"/>
            </w:pPr>
            <w:r>
              <w:rPr>
                <w:sz w:val="21"/>
                <w:rtl/>
              </w:rPr>
              <w:t>H2</w:t>
            </w:r>
          </w:p>
        </w:tc>
        <w:tc>
          <w:tcPr>
            <w:tcW w:w="3024" w:type="dxa"/>
            <w:tcMar>
              <w:top w:w="80" w:type="dxa"/>
              <w:left w:w="90" w:type="dxa"/>
              <w:bottom w:w="80" w:type="dxa"/>
              <w:right w:w="90" w:type="dxa"/>
            </w:tcMar>
            <w:vAlign w:val="center"/>
          </w:tcPr>
          <w:p w14:paraId="74024675" w14:textId="77777777" w:rsidR="005D3C66" w:rsidRDefault="002D5DDE">
            <w:pPr>
              <w:bidi/>
              <w:jc w:val="right"/>
            </w:pPr>
            <w:r>
              <w:rPr>
                <w:sz w:val="21"/>
                <w:rtl/>
              </w:rPr>
              <w:t>الارتباط والانحدار المتعدد</w:t>
            </w:r>
          </w:p>
        </w:tc>
      </w:tr>
      <w:tr w:rsidR="005D3C66" w14:paraId="0781E3B6" w14:textId="77777777">
        <w:trPr>
          <w:jc w:val="center"/>
        </w:trPr>
        <w:tc>
          <w:tcPr>
            <w:tcW w:w="3024" w:type="dxa"/>
            <w:tcMar>
              <w:top w:w="80" w:type="dxa"/>
              <w:left w:w="90" w:type="dxa"/>
              <w:bottom w:w="80" w:type="dxa"/>
              <w:right w:w="90" w:type="dxa"/>
            </w:tcMar>
            <w:vAlign w:val="center"/>
          </w:tcPr>
          <w:p w14:paraId="78796B6F" w14:textId="77777777" w:rsidR="005D3C66" w:rsidRDefault="002D5DDE">
            <w:pPr>
              <w:bidi/>
              <w:jc w:val="right"/>
            </w:pPr>
            <w:r>
              <w:rPr>
                <w:sz w:val="21"/>
                <w:rtl/>
              </w:rPr>
              <w:lastRenderedPageBreak/>
              <w:t>أثر الخدمات المصرفية عبر الهاتف المحمول في الشمول المالي</w:t>
            </w:r>
          </w:p>
        </w:tc>
        <w:tc>
          <w:tcPr>
            <w:tcW w:w="3024" w:type="dxa"/>
            <w:tcMar>
              <w:top w:w="80" w:type="dxa"/>
              <w:left w:w="90" w:type="dxa"/>
              <w:bottom w:w="80" w:type="dxa"/>
              <w:right w:w="90" w:type="dxa"/>
            </w:tcMar>
            <w:vAlign w:val="center"/>
          </w:tcPr>
          <w:p w14:paraId="651B6979" w14:textId="77777777" w:rsidR="005D3C66" w:rsidRDefault="002D5DDE">
            <w:pPr>
              <w:bidi/>
              <w:jc w:val="right"/>
            </w:pPr>
            <w:r>
              <w:rPr>
                <w:sz w:val="21"/>
                <w:rtl/>
              </w:rPr>
              <w:t>H3</w:t>
            </w:r>
          </w:p>
        </w:tc>
        <w:tc>
          <w:tcPr>
            <w:tcW w:w="3024" w:type="dxa"/>
            <w:tcMar>
              <w:top w:w="80" w:type="dxa"/>
              <w:left w:w="90" w:type="dxa"/>
              <w:bottom w:w="80" w:type="dxa"/>
              <w:right w:w="90" w:type="dxa"/>
            </w:tcMar>
            <w:vAlign w:val="center"/>
          </w:tcPr>
          <w:p w14:paraId="67AA3360" w14:textId="77777777" w:rsidR="005D3C66" w:rsidRDefault="002D5DDE">
            <w:pPr>
              <w:bidi/>
              <w:jc w:val="right"/>
            </w:pPr>
            <w:r>
              <w:rPr>
                <w:sz w:val="21"/>
                <w:rtl/>
              </w:rPr>
              <w:t>الارتباط والانحدار المتعدد</w:t>
            </w:r>
          </w:p>
        </w:tc>
      </w:tr>
      <w:tr w:rsidR="005D3C66" w14:paraId="7FAAF2A8" w14:textId="77777777">
        <w:trPr>
          <w:jc w:val="center"/>
        </w:trPr>
        <w:tc>
          <w:tcPr>
            <w:tcW w:w="3024" w:type="dxa"/>
            <w:tcMar>
              <w:top w:w="80" w:type="dxa"/>
              <w:left w:w="90" w:type="dxa"/>
              <w:bottom w:w="80" w:type="dxa"/>
              <w:right w:w="90" w:type="dxa"/>
            </w:tcMar>
            <w:vAlign w:val="center"/>
          </w:tcPr>
          <w:p w14:paraId="1D097DEF" w14:textId="77777777" w:rsidR="005D3C66" w:rsidRDefault="002D5DDE">
            <w:pPr>
              <w:bidi/>
              <w:jc w:val="right"/>
            </w:pPr>
            <w:r>
              <w:rPr>
                <w:sz w:val="21"/>
                <w:rtl/>
              </w:rPr>
              <w:t>أثر التمويل الرقمي في الشمول المالي</w:t>
            </w:r>
          </w:p>
        </w:tc>
        <w:tc>
          <w:tcPr>
            <w:tcW w:w="3024" w:type="dxa"/>
            <w:tcMar>
              <w:top w:w="80" w:type="dxa"/>
              <w:left w:w="90" w:type="dxa"/>
              <w:bottom w:w="80" w:type="dxa"/>
              <w:right w:w="90" w:type="dxa"/>
            </w:tcMar>
            <w:vAlign w:val="center"/>
          </w:tcPr>
          <w:p w14:paraId="1030F1E0" w14:textId="77777777" w:rsidR="005D3C66" w:rsidRDefault="002D5DDE">
            <w:pPr>
              <w:bidi/>
              <w:jc w:val="right"/>
            </w:pPr>
            <w:r>
              <w:rPr>
                <w:sz w:val="21"/>
                <w:rtl/>
              </w:rPr>
              <w:t>H4</w:t>
            </w:r>
          </w:p>
        </w:tc>
        <w:tc>
          <w:tcPr>
            <w:tcW w:w="3024" w:type="dxa"/>
            <w:tcMar>
              <w:top w:w="80" w:type="dxa"/>
              <w:left w:w="90" w:type="dxa"/>
              <w:bottom w:w="80" w:type="dxa"/>
              <w:right w:w="90" w:type="dxa"/>
            </w:tcMar>
            <w:vAlign w:val="center"/>
          </w:tcPr>
          <w:p w14:paraId="40BBCCC2" w14:textId="77777777" w:rsidR="005D3C66" w:rsidRDefault="002D5DDE">
            <w:pPr>
              <w:bidi/>
              <w:jc w:val="right"/>
            </w:pPr>
            <w:r>
              <w:rPr>
                <w:sz w:val="21"/>
                <w:rtl/>
              </w:rPr>
              <w:t>الارتباط والانحدار المتعدد</w:t>
            </w:r>
          </w:p>
        </w:tc>
      </w:tr>
      <w:tr w:rsidR="005D3C66" w14:paraId="68A1F813" w14:textId="77777777">
        <w:trPr>
          <w:jc w:val="center"/>
        </w:trPr>
        <w:tc>
          <w:tcPr>
            <w:tcW w:w="3024" w:type="dxa"/>
            <w:tcMar>
              <w:top w:w="80" w:type="dxa"/>
              <w:left w:w="90" w:type="dxa"/>
              <w:bottom w:w="80" w:type="dxa"/>
              <w:right w:w="90" w:type="dxa"/>
            </w:tcMar>
            <w:vAlign w:val="center"/>
          </w:tcPr>
          <w:p w14:paraId="5C2C2279" w14:textId="77777777" w:rsidR="005D3C66" w:rsidRDefault="002D5DDE">
            <w:pPr>
              <w:bidi/>
              <w:jc w:val="right"/>
            </w:pPr>
            <w:r>
              <w:rPr>
                <w:sz w:val="21"/>
                <w:rtl/>
              </w:rPr>
              <w:t>الفروق بحسب المتغيرات الديموغرافية</w:t>
            </w:r>
          </w:p>
        </w:tc>
        <w:tc>
          <w:tcPr>
            <w:tcW w:w="3024" w:type="dxa"/>
            <w:tcMar>
              <w:top w:w="80" w:type="dxa"/>
              <w:left w:w="90" w:type="dxa"/>
              <w:bottom w:w="80" w:type="dxa"/>
              <w:right w:w="90" w:type="dxa"/>
            </w:tcMar>
            <w:vAlign w:val="center"/>
          </w:tcPr>
          <w:p w14:paraId="24335726" w14:textId="77777777" w:rsidR="005D3C66" w:rsidRDefault="002D5DDE">
            <w:pPr>
              <w:bidi/>
              <w:jc w:val="right"/>
            </w:pPr>
            <w:r>
              <w:rPr>
                <w:sz w:val="21"/>
                <w:rtl/>
              </w:rPr>
              <w:t>H5</w:t>
            </w:r>
          </w:p>
        </w:tc>
        <w:tc>
          <w:tcPr>
            <w:tcW w:w="3024" w:type="dxa"/>
            <w:tcMar>
              <w:top w:w="80" w:type="dxa"/>
              <w:left w:w="90" w:type="dxa"/>
              <w:bottom w:w="80" w:type="dxa"/>
              <w:right w:w="90" w:type="dxa"/>
            </w:tcMar>
            <w:vAlign w:val="center"/>
          </w:tcPr>
          <w:p w14:paraId="60A30274" w14:textId="77777777" w:rsidR="005D3C66" w:rsidRDefault="002D5DDE">
            <w:pPr>
              <w:bidi/>
              <w:jc w:val="right"/>
            </w:pPr>
            <w:r>
              <w:rPr>
                <w:sz w:val="21"/>
                <w:rtl/>
              </w:rPr>
              <w:t>اختبار (t) وتحليل التباين</w:t>
            </w:r>
          </w:p>
        </w:tc>
      </w:tr>
    </w:tbl>
    <w:p w14:paraId="28B6EC3C" w14:textId="77777777" w:rsidR="005D3C66" w:rsidRDefault="005D3C66"/>
    <w:p w14:paraId="0C9192E4" w14:textId="77777777" w:rsidR="005D3C66" w:rsidRDefault="002D5DDE">
      <w:pPr>
        <w:pStyle w:val="Heading2"/>
        <w:bidi/>
        <w:jc w:val="right"/>
      </w:pPr>
      <w:r>
        <w:rPr>
          <w:rFonts w:ascii="Arial" w:eastAsia="Arial" w:hAnsi="Arial" w:cs="Arial"/>
          <w:rtl/>
        </w:rPr>
        <w:t>1.6 أهمية الدراسة</w:t>
      </w:r>
    </w:p>
    <w:p w14:paraId="47BCE72E" w14:textId="77777777" w:rsidR="005D3C66" w:rsidRDefault="002D5DDE">
      <w:pPr>
        <w:bidi/>
        <w:jc w:val="both"/>
      </w:pPr>
      <w:r>
        <w:rPr>
          <w:rtl/>
        </w:rPr>
        <w:t>تتمثل الأهمية العلمية لهذه الدراسة في محاولتها الربط بين أدبيات الابتكار المالي والتحول الرقمي من جهة، وأدبيات الشمول المالي من جهة أخرى. فكثير من المناقشات المتعلقة بالتكنولوجيا المالية تركز على السرعة والكفاءة والأتمتة والقدرة التنافسية. وتوسع هذه الرسالة نطاق النقاش من خلال بحث مدى إسهام هذه الأبعاد التقنية في دعم مشاركة أوسع في الأنظمة المالية الرسمية. ومن ثم، فهي تسهم في فهم التكنولوجيا المالية ليس بوصفها أداة تشغيلية مصرفية فحسب، بل كذلك بوصفها آلية يمكن أن تدعم الشمول الاجتماعي والاقتصادي.</w:t>
      </w:r>
    </w:p>
    <w:p w14:paraId="34FDABF3" w14:textId="77777777" w:rsidR="005D3C66" w:rsidRDefault="002D5DDE">
      <w:pPr>
        <w:bidi/>
        <w:jc w:val="both"/>
      </w:pPr>
      <w:r>
        <w:rPr>
          <w:rtl/>
        </w:rPr>
        <w:t>كما تعالج الدراسة فجوة بحثية مرتبطة بالسياق. فقد أُجريت الدراسات السابقة التي تراجعها هذه الرسالة في عدة بيئات عربية ودولية، من بينها الجزائر ومصر والعراق وبيئات مصرفية عربية أوسع. وعلى الرغم من أن هذه الدراسات تقدم نتائج مفيدة، فلا يمكن افتراض انطباقها على دولة الإمارات بالصورة نفسها، نظرًا لاختلاف البنية المالية، والتنظيم، ومستويات الدخل، وسلوك المستهلك، والجاهزية الرقمية، والمنافسة المصرفية من دولة إلى أخرى. وتركز الدراسة الحالية تحديدًا على القطاع المصرفي في دولة الإمارات، ومن ثم تقدم رؤية تحليلية مرتبطة بهذا السياق.</w:t>
      </w:r>
    </w:p>
    <w:p w14:paraId="02BA53C3" w14:textId="77777777" w:rsidR="005D3C66" w:rsidRDefault="002D5DDE">
      <w:pPr>
        <w:bidi/>
        <w:jc w:val="both"/>
      </w:pPr>
      <w:r>
        <w:rPr>
          <w:rtl/>
        </w:rPr>
        <w:t>وترتبط الأهمية العملية للدراسة بصنع القرار في البنوك والمؤسسات المالية. فإذا تبيّن أن بعض أبعاد التكنولوجيا المالية ترتبط بالشمول المالي بدرجة أقوى، استطاعت البنوك إعطاء الأولوية للاستثمار في هذه المجالات، وتصميم خدمات أكثر سهولة في الوصول، وتحسين استراتيجيات انضمام العملاء وإشراكهم. فعلى سبيل المثال، إذا كان للخدمات المصرفية عبر الهاتف المحمول الأثر الأقوى، فقد تركز البنوك على سهولة الاستخدام، والواجهات متعددة اللغات، والتواصل بشأن الأمان، وتثقيف العملاء. وإذا كان أثر التمويل الرقمي أضعف، فقد تراجع البنوك فرص الوصول إلى الائتمان، والمستندات الرقمية، ومدى ملاءمة المنتجات.</w:t>
      </w:r>
    </w:p>
    <w:p w14:paraId="412C0215" w14:textId="77777777" w:rsidR="005D3C66" w:rsidRDefault="002D5DDE">
      <w:pPr>
        <w:bidi/>
        <w:jc w:val="both"/>
      </w:pPr>
      <w:r>
        <w:rPr>
          <w:rtl/>
        </w:rPr>
        <w:t>وتكتسب الدراسة أهمية كذلك للجهات التنظيمية وصانعي السياسات. فالشمول المالي يتأثر بالتفاعل بين ابتكار السوق والدعم التنظيمي. ويمكن للخدمات المالية الرقمية توسيع الوصول، لكنها تتطلب الثقة، وحماية البيانات، والأمن السيبراني، وحماية المستهلك، وقابلية التشغيل البيني، وقواعد واضحة. وقد تساعد نتائج هذه الدراسة في إثراء المناقشات المتعلقة بكيفية تشجيع الابتكار مع حماية المستخدمين والحفاظ على الاستقرار.</w:t>
      </w:r>
    </w:p>
    <w:p w14:paraId="5058B9D8" w14:textId="77777777" w:rsidR="005D3C66" w:rsidRDefault="002D5DDE">
      <w:pPr>
        <w:pStyle w:val="Heading2"/>
        <w:bidi/>
        <w:jc w:val="right"/>
      </w:pPr>
      <w:r>
        <w:rPr>
          <w:rFonts w:ascii="Arial" w:eastAsia="Arial" w:hAnsi="Arial" w:cs="Arial"/>
          <w:rtl/>
        </w:rPr>
        <w:t>1.7 نطاق الدراسة وحدودها</w:t>
      </w:r>
    </w:p>
    <w:p w14:paraId="76DE789E" w14:textId="77777777" w:rsidR="005D3C66" w:rsidRDefault="002D5DDE">
      <w:pPr>
        <w:bidi/>
        <w:jc w:val="both"/>
      </w:pPr>
      <w:r>
        <w:rPr>
          <w:rtl/>
        </w:rPr>
        <w:t>يشمل النطاق البشري للدراسة موظفي وعملاء البنوك والمؤسسات المالية في دولة الإمارات العربية المتحدة. ويقتصر النطاق الجغرافي على القطاع المصرفي في دولة الإمارات. أما النطاق الزمني فهو العام الأكاديمي 2026، مع تركيز موضوع البحث على فترة تسارع تبني التكنولوجيا المالية من 2024 إلى 2026. ويقتصر النطاق الموضوعي على أربعة أبعاد للتكنولوجيا المالية، هي: المدفوعات الرقمية، والمحافظ الإلكترونية، والخدمات المصرفية عبر الهاتف المحمول، والتمويل الرقمي.</w:t>
      </w:r>
    </w:p>
    <w:p w14:paraId="4FC64DD8" w14:textId="77777777" w:rsidR="005D3C66" w:rsidRDefault="002D5DDE">
      <w:pPr>
        <w:bidi/>
        <w:jc w:val="both"/>
      </w:pPr>
      <w:r>
        <w:rPr>
          <w:rtl/>
        </w:rPr>
        <w:lastRenderedPageBreak/>
        <w:t>ترتبط القيود الرئيسة بتصميم الدراسة المسحية. فإجابات الاستبانة تعكس تصورات المشاركين، وقد تتأثر بخبراتهم الشخصية ووعيهم واستعدادهم للإجابة. إضافة إلى ذلك، فإن النسخة الاصطناعية من الفصل الرابع تمثل تحليلًا توضيحيًا ولا يمكن أن تحل محل البيانات الميدانية الفعلية. وينبغي للنسخة التجريبية النهائية من الرسالة جمع إجابات حقيقية على الاستبانة وإعادة حساب جميع المخرجات الإحصائية.</w:t>
      </w:r>
    </w:p>
    <w:p w14:paraId="05A52878" w14:textId="77777777" w:rsidR="005D3C66" w:rsidRDefault="002D5DDE">
      <w:pPr>
        <w:pStyle w:val="Heading2"/>
        <w:bidi/>
        <w:jc w:val="right"/>
      </w:pPr>
      <w:r>
        <w:rPr>
          <w:rFonts w:ascii="Arial" w:eastAsia="Arial" w:hAnsi="Arial" w:cs="Arial"/>
          <w:rtl/>
        </w:rPr>
        <w:t>1.8 تنظيم الرسالة</w:t>
      </w:r>
    </w:p>
    <w:p w14:paraId="2C0E44A2" w14:textId="68930D6D" w:rsidR="00CA0CAA" w:rsidRDefault="002D5DDE">
      <w:pPr>
        <w:bidi/>
        <w:jc w:val="both"/>
        <w:rPr>
          <w:rtl/>
        </w:rPr>
      </w:pPr>
      <w:r>
        <w:rPr>
          <w:rtl/>
        </w:rPr>
        <w:t>تتكون الرسالة من خمسة فصول. يعرض الفصل الأول الإطار العام للدراسة. ويراجع الفصل الثاني الأدبيات ويطور الإطار النظري. ويشرح الفصل الثالث المنهجية وتصميم البحث. ويعرض الفصل الرابع تحليل البيانات والنتائج. ويناقش الفصل الخامس النتائج والاستنتاجات والتوصيات ومقترحات البحوث المستقبلية. وترد قائمة المراجع والملاحق في نهاية الرسالة.</w:t>
      </w:r>
    </w:p>
    <w:p w14:paraId="6C770355" w14:textId="77777777" w:rsidR="00CA0CAA" w:rsidRDefault="00CA0CAA">
      <w:pPr>
        <w:spacing w:after="200" w:line="276" w:lineRule="auto"/>
        <w:rPr>
          <w:rtl/>
        </w:rPr>
      </w:pPr>
      <w:r>
        <w:rPr>
          <w:rtl/>
        </w:rPr>
        <w:br w:type="page"/>
      </w:r>
    </w:p>
    <w:p w14:paraId="4D7A5170" w14:textId="77777777" w:rsidR="005D3C66" w:rsidRDefault="005D3C66">
      <w:pPr>
        <w:bidi/>
        <w:jc w:val="both"/>
        <w:rPr>
          <w:rtl/>
        </w:rPr>
      </w:pPr>
    </w:p>
    <w:p w14:paraId="1A56524D" w14:textId="77777777" w:rsidR="00D529CD" w:rsidRPr="00D529CD" w:rsidRDefault="00D529CD" w:rsidP="00D529CD">
      <w:pPr>
        <w:bidi/>
      </w:pPr>
    </w:p>
    <w:p w14:paraId="21DD5D5E" w14:textId="77777777" w:rsidR="00D529CD" w:rsidRPr="00D529CD" w:rsidRDefault="00D529CD" w:rsidP="00D529CD">
      <w:pPr>
        <w:bidi/>
      </w:pPr>
    </w:p>
    <w:p w14:paraId="55945124" w14:textId="77777777" w:rsidR="00D529CD" w:rsidRPr="00D529CD" w:rsidRDefault="00D529CD" w:rsidP="00D529CD">
      <w:pPr>
        <w:bidi/>
      </w:pPr>
    </w:p>
    <w:p w14:paraId="46F76006" w14:textId="246520A6" w:rsidR="00D529CD" w:rsidRDefault="00D529CD" w:rsidP="00D529CD">
      <w:pPr>
        <w:bidi/>
      </w:pPr>
    </w:p>
    <w:p w14:paraId="75899BC2" w14:textId="65B37F4D" w:rsidR="00D529CD" w:rsidRDefault="00D529CD" w:rsidP="00D529CD">
      <w:pPr>
        <w:bidi/>
      </w:pPr>
    </w:p>
    <w:p w14:paraId="3D3EE5D7" w14:textId="56A24D68" w:rsidR="00D529CD" w:rsidRPr="00D529CD" w:rsidRDefault="00D529CD" w:rsidP="00D529CD">
      <w:pPr>
        <w:bidi/>
        <w:jc w:val="center"/>
      </w:pPr>
      <w:r w:rsidRPr="00DE2D95">
        <w:rPr>
          <w:rFonts w:ascii="Calibri" w:eastAsia="Calibri" w:hAnsi="Calibri"/>
          <w:noProof/>
          <w:rtl/>
        </w:rPr>
        <mc:AlternateContent>
          <mc:Choice Requires="wps">
            <w:drawing>
              <wp:anchor distT="0" distB="0" distL="114300" distR="114300" simplePos="0" relativeHeight="251660288" behindDoc="0" locked="0" layoutInCell="1" allowOverlap="1" wp14:anchorId="23502B45" wp14:editId="4BCC09C7">
                <wp:simplePos x="0" y="0"/>
                <wp:positionH relativeFrom="margin">
                  <wp:posOffset>888282</wp:posOffset>
                </wp:positionH>
                <wp:positionV relativeFrom="paragraph">
                  <wp:posOffset>834197</wp:posOffset>
                </wp:positionV>
                <wp:extent cx="3743325" cy="1924050"/>
                <wp:effectExtent l="0" t="0" r="28575" b="19050"/>
                <wp:wrapNone/>
                <wp:docPr id="1644169445"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1042BA5" w14:textId="77777777" w:rsidR="00D529CD" w:rsidRDefault="00D529CD" w:rsidP="00D529CD">
                            <w:pPr>
                              <w:jc w:val="center"/>
                              <w:outlineLvl w:val="0"/>
                              <w:rPr>
                                <w:rFonts w:ascii="Sakkal Majalla" w:hAnsi="Sakkal Majalla" w:cs="Sakkal Majalla"/>
                                <w:b/>
                                <w:bCs/>
                                <w:sz w:val="40"/>
                                <w:szCs w:val="40"/>
                              </w:rPr>
                            </w:pPr>
                            <w:bookmarkStart w:id="1" w:name="_Toc234553105"/>
                            <w:r>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الثاني</w:t>
                            </w:r>
                            <w:r>
                              <w:rPr>
                                <w:rFonts w:ascii="Sakkal Majalla" w:hAnsi="Sakkal Majalla" w:cs="Sakkal Majalla"/>
                                <w:b/>
                                <w:bCs/>
                                <w:sz w:val="40"/>
                                <w:szCs w:val="40"/>
                                <w:rtl/>
                              </w:rPr>
                              <w:t xml:space="preserve">: </w:t>
                            </w:r>
                            <w:r>
                              <w:rPr>
                                <w:rFonts w:ascii="Sakkal Majalla" w:hAnsi="Sakkal Majalla" w:cs="Sakkal Majalla" w:hint="cs"/>
                                <w:b/>
                                <w:bCs/>
                                <w:sz w:val="40"/>
                                <w:szCs w:val="40"/>
                                <w:rtl/>
                              </w:rPr>
                              <w:t>الدراسات السابقة والإطار النظري</w:t>
                            </w:r>
                            <w:bookmarkEnd w:id="1"/>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502B45" id="_x0000_s1028" style="position:absolute;left:0;text-align:left;margin-left:69.95pt;margin-top:65.7pt;width:294.75pt;height:151.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" fillcolor="window" strokecolor="windowText" strokeweight="1pt">
                <v:stroke joinstyle="miter"/>
                <v:textbox>
                  <w:txbxContent>
                    <w:p w14:paraId="31042BA5" w14:textId="77777777" w:rsidR="00D529CD" w:rsidRDefault="00D529CD" w:rsidP="00D529CD">
                      <w:pPr>
                        <w:jc w:val="center"/>
                        <w:outlineLvl w:val="0"/>
                        <w:rPr>
                          <w:rFonts w:ascii="Sakkal Majalla" w:hAnsi="Sakkal Majalla" w:cs="Sakkal Majalla"/>
                          <w:b/>
                          <w:bCs/>
                          <w:sz w:val="40"/>
                          <w:szCs w:val="40"/>
                        </w:rPr>
                      </w:pPr>
                      <w:bookmarkStart w:id="3" w:name="_Toc234553105"/>
                      <w:r>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الثاني</w:t>
                      </w:r>
                      <w:r>
                        <w:rPr>
                          <w:rFonts w:ascii="Sakkal Majalla" w:hAnsi="Sakkal Majalla" w:cs="Sakkal Majalla"/>
                          <w:b/>
                          <w:bCs/>
                          <w:sz w:val="40"/>
                          <w:szCs w:val="40"/>
                          <w:rtl/>
                        </w:rPr>
                        <w:t xml:space="preserve">: </w:t>
                      </w:r>
                      <w:r>
                        <w:rPr>
                          <w:rFonts w:ascii="Sakkal Majalla" w:hAnsi="Sakkal Majalla" w:cs="Sakkal Majalla" w:hint="cs"/>
                          <w:b/>
                          <w:bCs/>
                          <w:sz w:val="40"/>
                          <w:szCs w:val="40"/>
                          <w:rtl/>
                        </w:rPr>
                        <w:t>الدراسات السابقة والإطار النظري</w:t>
                      </w:r>
                      <w:bookmarkEnd w:id="3"/>
                    </w:p>
                  </w:txbxContent>
                </v:textbox>
                <w10:wrap anchorx="margin"/>
              </v:roundrect>
            </w:pict>
          </mc:Fallback>
        </mc:AlternateContent>
      </w:r>
    </w:p>
    <w:p w14:paraId="3A6BC7CE" w14:textId="77777777" w:rsidR="005D3C66" w:rsidRDefault="002D5DDE">
      <w:pPr>
        <w:pStyle w:val="Heading1"/>
        <w:pageBreakBefore/>
        <w:bidi/>
        <w:jc w:val="center"/>
      </w:pPr>
      <w:r>
        <w:rPr>
          <w:rFonts w:ascii="Arial" w:eastAsia="Arial" w:hAnsi="Arial" w:cs="Arial"/>
          <w:sz w:val="44"/>
          <w:u w:val="single"/>
          <w:rtl/>
        </w:rPr>
        <w:lastRenderedPageBreak/>
        <w:t>الفصل الثاني: مراجعة الأدبيات والإطار النظري</w:t>
      </w:r>
    </w:p>
    <w:p w14:paraId="53DCF237" w14:textId="77777777" w:rsidR="005D3C66" w:rsidRDefault="002D5DDE">
      <w:pPr>
        <w:pStyle w:val="Heading2"/>
        <w:bidi/>
        <w:jc w:val="right"/>
      </w:pPr>
      <w:r>
        <w:rPr>
          <w:rFonts w:ascii="Arial" w:eastAsia="Arial" w:hAnsi="Arial" w:cs="Arial"/>
          <w:rtl/>
        </w:rPr>
        <w:t>2.1 مفهوم الشمول المالي</w:t>
      </w:r>
    </w:p>
    <w:p w14:paraId="5E4513A7" w14:textId="77777777" w:rsidR="005D3C66" w:rsidRDefault="002D5DDE">
      <w:pPr>
        <w:bidi/>
        <w:jc w:val="both"/>
      </w:pPr>
      <w:r>
        <w:rPr>
          <w:rtl/>
        </w:rPr>
        <w:t>يُفهم الشمول المالي عمومًا على أنه إتاحة الخدمات المالية الرسمية لجميع فئات المجتمع واستخدامها بفاعلية. وهو يتجاوز مجرد فتح الحسابات المصرفية ليشمل القدرة على إجراء المدفوعات وتلقيها، والادخار بأمان، والحصول على ائتمان مناسب، والتأمين ضد المخاطر، وإدارة الحياة المالية عبر قنوات ميسورة التكلفة وملائمة. فالفرد المشمول ماليًا لا يكون مسجلًا لدى مؤسسة مالية فحسب، بل يكون قادرًا على استخدام خدماتها بطريقة تعزز مشاركته الاقتصادية وقدرته على الصمود.</w:t>
      </w:r>
    </w:p>
    <w:p w14:paraId="1B0FC82F" w14:textId="77777777" w:rsidR="005D3C66" w:rsidRDefault="002D5DDE">
      <w:pPr>
        <w:bidi/>
        <w:jc w:val="both"/>
      </w:pPr>
      <w:r>
        <w:rPr>
          <w:rtl/>
        </w:rPr>
        <w:t>تزايدت أهمية الشمول المالي لأن الاستبعاد من الأنظمة المالية قد يفاقم الهشاشة الاقتصادية. فالأفراد الذين لا يستطيعون الوصول إلى الخدمات المالية الرسمية قد يعتمدون على قنوات غير رسمية، أو يحتفظون بالنقد بطرق غير آمنة، أو يتحملون تكاليف معاملات أعلى، أو يعجزون عن بناء سجل مالي. كما قد تواجه المنشآت الصغيرة التي لا تصل إلى أدوات الدفع أو الائتمان قيودًا على النمو، وحفظ السجلات، والوصول إلى الأسواق. ومن ثم، يرتبط الشمول بالحد من الفقر، وريادة الأعمال، وقدرة الأسر على الصمود، والتنمية الاقتصادية الأوسع.</w:t>
      </w:r>
    </w:p>
    <w:p w14:paraId="477F76BC" w14:textId="77777777" w:rsidR="005D3C66" w:rsidRDefault="002D5DDE">
      <w:pPr>
        <w:bidi/>
        <w:jc w:val="both"/>
      </w:pPr>
      <w:r>
        <w:rPr>
          <w:rtl/>
        </w:rPr>
        <w:t>تركز المناقشات الحديثة للشمول المالي على أربعة أبعاد مترابطة، هي: الوصول، والاستخدام، والجودة، والأثر في الرفاه. ويشير الوصول إلى توافر الخدمات المالية وقدرة المستخدمين على بلوغها. أما الاستخدام فيعني الانتفاع المنتظم والهادف من تلك الخدمات. وترتبط الجودة بمدى الملاءمة، والقدرة على تحمل التكلفة، والأمان، والشفافية، والسهولة. ويشير الأثر في الرفاه إلى التأثير الأوسع للخدمات المالية في حياة المستخدمين وأعمالهم. وتركز هذه الرسالة أساسًا على الوصول، والاستخدام، والقدرة على تحمل التكلفة، والملاءمة، والجودة المتصورة؛ لأن هذه الأبعاد قابلة للقياس من خلال الاستبانة.</w:t>
      </w:r>
    </w:p>
    <w:p w14:paraId="7FFAE4F5" w14:textId="77777777" w:rsidR="005D3C66" w:rsidRDefault="002D5DDE">
      <w:pPr>
        <w:bidi/>
        <w:jc w:val="both"/>
      </w:pPr>
      <w:r>
        <w:rPr>
          <w:rtl/>
        </w:rPr>
        <w:t>غيّرت الرقمنة المسار الذي يمكن من خلاله تحقيق الشمول المالي. ففي العمل المصرفي التقليدي، كان الشمول يعتمد غالبًا على شبكات الفروع، والمستندات الورقية، والتعامل المباشر. أما القنوات الرقمية فتستطيع تقليل أهمية المسافة المكانية وتمكين المستخدمين من إجراء المعاملات عبر الهواتف المحمولة. غير أن الرقمنة قد تنشئ أيضًا أشكالًا جديدة من الاستبعاد إذا افتقر المستخدمون إلى المهارات الرقمية، أو الاتصال الموثوق بالإنترنت، أو الثقة، أو الدعم اللغوي، أو الاطمئنان إلى الأمان. ولهذا لا تصبح التكنولوجيا المالية عاملًا ممكّنًا للشمول إلا عندما تُصمم وتُطبق مع مراعاة احتياجات المستخدمين والعوائق التي يواجهونها.</w:t>
      </w:r>
    </w:p>
    <w:p w14:paraId="572E82F7" w14:textId="77777777" w:rsidR="005D3C66" w:rsidRDefault="002D5DDE">
      <w:pPr>
        <w:pStyle w:val="Heading2"/>
        <w:bidi/>
        <w:jc w:val="right"/>
      </w:pPr>
      <w:r>
        <w:rPr>
          <w:rFonts w:ascii="Arial" w:eastAsia="Arial" w:hAnsi="Arial" w:cs="Arial"/>
          <w:rtl/>
        </w:rPr>
        <w:t>2.2 التكنولوجيا المالية والتحول المصرفي</w:t>
      </w:r>
    </w:p>
    <w:p w14:paraId="2E63103A" w14:textId="77777777" w:rsidR="005D3C66" w:rsidRDefault="002D5DDE">
      <w:pPr>
        <w:bidi/>
        <w:jc w:val="both"/>
      </w:pPr>
      <w:r>
        <w:rPr>
          <w:rtl/>
        </w:rPr>
        <w:t>ليست التكنولوجيا المالية منتجًا أو منصة واحدة، بل هي مجموعة واسعة من التقنيات ونماذج الأعمال المستخدمة لتقديم الخدمات المالية بطرق مختلفة. وتشمل في القطاع المصرفي المدفوعات الرقمية، والخدمات المصرفية عبر الهاتف المحمول، والمحافظ الإلكترونية، والمصادقة البيومترية، والإقراض الرقمي، واستخدام الذكاء الاصطناعي في التقييم الائتماني، والتسوية القائمة على تقنية سلسلة الكتل، وواجهات الخدمات المصرفية المفتوحة، وخدمة العملاء المؤتمتة. ويتمثل العنصر المشترك في استخدام التكنولوجيا لتقليل الاحتكاك في المعاملات المالية وتحسين سرعة الخدمات ومدى انتشارها وتكلفتها وتخصيصها.</w:t>
      </w:r>
    </w:p>
    <w:p w14:paraId="29725A63" w14:textId="77777777" w:rsidR="005D3C66" w:rsidRDefault="002D5DDE">
      <w:pPr>
        <w:bidi/>
        <w:jc w:val="both"/>
      </w:pPr>
      <w:r>
        <w:rPr>
          <w:rtl/>
        </w:rPr>
        <w:t>أسهمت عدة عوامل في صعود التكنولوجيا المالية. فالمستهلكون يتوقعون بصورة متزايدة تجارب رقمية فورية وملائمة. وتواجه البنوك ضغوطًا لخفض تكاليف التشغيل وتحسين جودة الخدمة. وتسعى الجهات التنظيمية إلى أنظمة مالية أكثر شفافية وكفاءة. كما تقدم شركات التكنولوجيا والشركات الناشئة نماذج تنافسية جديدة. وفي الوقت نفسه، تتيح الهواتف الذكية وأنظمة الهوية الرقمية تقديم الخدمات المالية عن بُعد. وقد جعلت هذه القوى التكنولوجيا المالية عنصرًا محوريًا في التحول المصرفي.</w:t>
      </w:r>
    </w:p>
    <w:p w14:paraId="23024F39" w14:textId="77777777" w:rsidR="005D3C66" w:rsidRDefault="002D5DDE">
      <w:pPr>
        <w:bidi/>
        <w:jc w:val="both"/>
      </w:pPr>
      <w:r>
        <w:rPr>
          <w:rtl/>
        </w:rPr>
        <w:t xml:space="preserve">تكتسب التكنولوجيا المالية أهمية للشمول المالي لأنها تستطيع خفض تكاليف المعاملات وتوسيع نطاق وصول الخدمات. فقد يستخدم عامل منخفض الدخل محفظة عبر الهاتف المحمول لتلقي الأجور وإرسال الحوالات. وقد تقبل منشأة صغيرة المدفوعات الرقمية من </w:t>
      </w:r>
      <w:r>
        <w:rPr>
          <w:rtl/>
        </w:rPr>
        <w:lastRenderedPageBreak/>
        <w:t>دون الاستثمار في بنية مكلفة. وقد يفتح عميل حسابًا من خلال إجراءات انضمام عن بُعد بدلًا من زيارة أحد الفروع. وقد يحصل مستخدم محدود الضمانات على تمويل رقمي إذا أسهمت البيانات البديلة في تحسين التقييم الائتماني. وتوضح هذه الأمثلة كيف يمكن للتكنولوجيا المالية أن تقلل العوائق المرتبطة بالتكلفة، والمسافة، والمستندات، وعدم تماثل المعلومات.</w:t>
      </w:r>
    </w:p>
    <w:p w14:paraId="2AA60D95" w14:textId="77777777" w:rsidR="005D3C66" w:rsidRDefault="002D5DDE">
      <w:pPr>
        <w:bidi/>
        <w:jc w:val="both"/>
      </w:pPr>
      <w:r>
        <w:rPr>
          <w:rtl/>
        </w:rPr>
        <w:t>ومع ذلك، تنطوي التكنولوجيا المالية على مخاطر وقيود أيضًا. فقد يخشى المستخدمون الاحتيال، أو إساءة استخدام البيانات، أو الأعطال التقنية، أو الرسوم الخفية، أو فقدان السيطرة. وقد تصمم البنوك خدماتها الرقمية بما يلائم المستخدمين مرتفعي التعليم أو الدخل، فتظل الفئات الهشة أقل حصولًا على الخدمة. وقد يزيد الائتمان الرقمي فرص الوصول، لكنه قد يؤدي كذلك إلى الإفراط في المديونية إذا لم يُدار بمسؤولية. ولذلك ينبغي تقييم العلاقة بين التكنولوجيا المالية والشمول تجريبيًا بدلًا من افتراضها مسبقًا.</w:t>
      </w:r>
    </w:p>
    <w:p w14:paraId="3F63D8BB" w14:textId="77777777" w:rsidR="005D3C66" w:rsidRDefault="002D5DDE">
      <w:pPr>
        <w:pStyle w:val="Heading2"/>
        <w:bidi/>
        <w:jc w:val="right"/>
      </w:pPr>
      <w:r>
        <w:rPr>
          <w:rFonts w:ascii="Arial" w:eastAsia="Arial" w:hAnsi="Arial" w:cs="Arial"/>
          <w:rtl/>
        </w:rPr>
        <w:t>2.3 أبعاد التكنولوجيا المالية المستخدمة في الدراسة</w:t>
      </w:r>
    </w:p>
    <w:p w14:paraId="747E6256" w14:textId="77777777" w:rsidR="005D3C66" w:rsidRDefault="002D5DDE">
      <w:pPr>
        <w:bidi/>
        <w:spacing w:before="80" w:after="200"/>
        <w:jc w:val="center"/>
      </w:pPr>
      <w:r>
        <w:rPr>
          <w:rtl/>
        </w:rPr>
        <w:t>الجدول 2‑1: الأبعاد الرئيسة للتكنولوجيا المالية المستخدمة في الدراسة</w:t>
      </w:r>
    </w:p>
    <w:tbl>
      <w:tblPr>
        <w:tblStyle w:val="TableGrid"/>
        <w:bidiVisual/>
        <w:tblW w:w="0" w:type="auto"/>
        <w:jc w:val="center"/>
        <w:tblLook w:val="04A0" w:firstRow="1" w:lastRow="0" w:firstColumn="1" w:lastColumn="0" w:noHBand="0" w:noVBand="1"/>
      </w:tblPr>
      <w:tblGrid>
        <w:gridCol w:w="3024"/>
        <w:gridCol w:w="3024"/>
        <w:gridCol w:w="3024"/>
      </w:tblGrid>
      <w:tr w:rsidR="005D3C66" w14:paraId="1167AA45" w14:textId="77777777">
        <w:trPr>
          <w:jc w:val="center"/>
        </w:trPr>
        <w:tc>
          <w:tcPr>
            <w:tcW w:w="3024" w:type="dxa"/>
            <w:shd w:val="clear" w:color="auto" w:fill="D9E2F3"/>
            <w:tcMar>
              <w:top w:w="80" w:type="dxa"/>
              <w:left w:w="90" w:type="dxa"/>
              <w:bottom w:w="80" w:type="dxa"/>
              <w:right w:w="90" w:type="dxa"/>
            </w:tcMar>
            <w:vAlign w:val="center"/>
          </w:tcPr>
          <w:p w14:paraId="2F8F665E" w14:textId="77777777" w:rsidR="005D3C66" w:rsidRDefault="002D5DDE">
            <w:pPr>
              <w:bidi/>
              <w:jc w:val="right"/>
            </w:pPr>
            <w:r>
              <w:rPr>
                <w:b/>
                <w:sz w:val="21"/>
                <w:rtl/>
              </w:rPr>
              <w:t>البُعد</w:t>
            </w:r>
          </w:p>
        </w:tc>
        <w:tc>
          <w:tcPr>
            <w:tcW w:w="3024" w:type="dxa"/>
            <w:shd w:val="clear" w:color="auto" w:fill="D9E2F3"/>
            <w:tcMar>
              <w:top w:w="80" w:type="dxa"/>
              <w:left w:w="90" w:type="dxa"/>
              <w:bottom w:w="80" w:type="dxa"/>
              <w:right w:w="90" w:type="dxa"/>
            </w:tcMar>
            <w:vAlign w:val="center"/>
          </w:tcPr>
          <w:p w14:paraId="2B56F7FF" w14:textId="77777777" w:rsidR="005D3C66" w:rsidRDefault="002D5DDE">
            <w:pPr>
              <w:bidi/>
              <w:jc w:val="right"/>
            </w:pPr>
            <w:r>
              <w:rPr>
                <w:b/>
                <w:sz w:val="21"/>
                <w:rtl/>
              </w:rPr>
              <w:t>الوصف</w:t>
            </w:r>
          </w:p>
        </w:tc>
        <w:tc>
          <w:tcPr>
            <w:tcW w:w="3024" w:type="dxa"/>
            <w:shd w:val="clear" w:color="auto" w:fill="D9E2F3"/>
            <w:tcMar>
              <w:top w:w="80" w:type="dxa"/>
              <w:left w:w="90" w:type="dxa"/>
              <w:bottom w:w="80" w:type="dxa"/>
              <w:right w:w="90" w:type="dxa"/>
            </w:tcMar>
            <w:vAlign w:val="center"/>
          </w:tcPr>
          <w:p w14:paraId="4274AEEE" w14:textId="77777777" w:rsidR="005D3C66" w:rsidRDefault="002D5DDE">
            <w:pPr>
              <w:bidi/>
              <w:jc w:val="right"/>
            </w:pPr>
            <w:r>
              <w:rPr>
                <w:b/>
                <w:sz w:val="21"/>
                <w:rtl/>
              </w:rPr>
              <w:t>الصلة المتوقعة بالشمول</w:t>
            </w:r>
          </w:p>
        </w:tc>
      </w:tr>
      <w:tr w:rsidR="005D3C66" w14:paraId="2FA45999" w14:textId="77777777">
        <w:trPr>
          <w:jc w:val="center"/>
        </w:trPr>
        <w:tc>
          <w:tcPr>
            <w:tcW w:w="3024" w:type="dxa"/>
            <w:tcMar>
              <w:top w:w="80" w:type="dxa"/>
              <w:left w:w="90" w:type="dxa"/>
              <w:bottom w:w="80" w:type="dxa"/>
              <w:right w:w="90" w:type="dxa"/>
            </w:tcMar>
            <w:vAlign w:val="center"/>
          </w:tcPr>
          <w:p w14:paraId="50FBC952" w14:textId="77777777" w:rsidR="005D3C66" w:rsidRDefault="002D5DDE">
            <w:pPr>
              <w:bidi/>
              <w:jc w:val="right"/>
            </w:pPr>
            <w:r>
              <w:rPr>
                <w:sz w:val="21"/>
                <w:rtl/>
              </w:rPr>
              <w:t>المدفوعات الرقمية</w:t>
            </w:r>
          </w:p>
        </w:tc>
        <w:tc>
          <w:tcPr>
            <w:tcW w:w="3024" w:type="dxa"/>
            <w:tcMar>
              <w:top w:w="80" w:type="dxa"/>
              <w:left w:w="90" w:type="dxa"/>
              <w:bottom w:w="80" w:type="dxa"/>
              <w:right w:w="90" w:type="dxa"/>
            </w:tcMar>
            <w:vAlign w:val="center"/>
          </w:tcPr>
          <w:p w14:paraId="666727BA" w14:textId="77777777" w:rsidR="005D3C66" w:rsidRDefault="002D5DDE">
            <w:pPr>
              <w:bidi/>
              <w:jc w:val="right"/>
            </w:pPr>
            <w:r>
              <w:rPr>
                <w:sz w:val="21"/>
                <w:rtl/>
              </w:rPr>
              <w:t>التحويل الإلكتروني للمدفوعات وتسويتها عبر القنوات الرقمية.</w:t>
            </w:r>
          </w:p>
        </w:tc>
        <w:tc>
          <w:tcPr>
            <w:tcW w:w="3024" w:type="dxa"/>
            <w:tcMar>
              <w:top w:w="80" w:type="dxa"/>
              <w:left w:w="90" w:type="dxa"/>
              <w:bottom w:w="80" w:type="dxa"/>
              <w:right w:w="90" w:type="dxa"/>
            </w:tcMar>
            <w:vAlign w:val="center"/>
          </w:tcPr>
          <w:p w14:paraId="1E6BFBB7" w14:textId="77777777" w:rsidR="005D3C66" w:rsidRDefault="002D5DDE">
            <w:pPr>
              <w:bidi/>
              <w:jc w:val="right"/>
            </w:pPr>
            <w:r>
              <w:rPr>
                <w:sz w:val="21"/>
                <w:rtl/>
              </w:rPr>
              <w:t>أثر إيجابي متوقع في الوصول والاستخدام والملاءمة والقدرة على تحمل التكلفة.</w:t>
            </w:r>
          </w:p>
        </w:tc>
      </w:tr>
      <w:tr w:rsidR="005D3C66" w14:paraId="1F94CE1E" w14:textId="77777777">
        <w:trPr>
          <w:jc w:val="center"/>
        </w:trPr>
        <w:tc>
          <w:tcPr>
            <w:tcW w:w="3024" w:type="dxa"/>
            <w:tcMar>
              <w:top w:w="80" w:type="dxa"/>
              <w:left w:w="90" w:type="dxa"/>
              <w:bottom w:w="80" w:type="dxa"/>
              <w:right w:w="90" w:type="dxa"/>
            </w:tcMar>
            <w:vAlign w:val="center"/>
          </w:tcPr>
          <w:p w14:paraId="4F0E0C50" w14:textId="77777777" w:rsidR="005D3C66" w:rsidRDefault="002D5DDE">
            <w:pPr>
              <w:bidi/>
              <w:jc w:val="right"/>
            </w:pPr>
            <w:r>
              <w:rPr>
                <w:sz w:val="21"/>
                <w:rtl/>
              </w:rPr>
              <w:t>المحافظ الإلكترونية</w:t>
            </w:r>
          </w:p>
        </w:tc>
        <w:tc>
          <w:tcPr>
            <w:tcW w:w="3024" w:type="dxa"/>
            <w:tcMar>
              <w:top w:w="80" w:type="dxa"/>
              <w:left w:w="90" w:type="dxa"/>
              <w:bottom w:w="80" w:type="dxa"/>
              <w:right w:w="90" w:type="dxa"/>
            </w:tcMar>
            <w:vAlign w:val="center"/>
          </w:tcPr>
          <w:p w14:paraId="68FB28B6" w14:textId="77777777" w:rsidR="005D3C66" w:rsidRDefault="002D5DDE">
            <w:pPr>
              <w:bidi/>
              <w:jc w:val="right"/>
            </w:pPr>
            <w:r>
              <w:rPr>
                <w:sz w:val="21"/>
                <w:rtl/>
              </w:rPr>
              <w:t>أدوات رقمية لحفظ الأموال وإرسالها وإنفاقها إلكترونيًا.</w:t>
            </w:r>
          </w:p>
        </w:tc>
        <w:tc>
          <w:tcPr>
            <w:tcW w:w="3024" w:type="dxa"/>
            <w:tcMar>
              <w:top w:w="80" w:type="dxa"/>
              <w:left w:w="90" w:type="dxa"/>
              <w:bottom w:w="80" w:type="dxa"/>
              <w:right w:w="90" w:type="dxa"/>
            </w:tcMar>
            <w:vAlign w:val="center"/>
          </w:tcPr>
          <w:p w14:paraId="0655AB2F" w14:textId="77777777" w:rsidR="005D3C66" w:rsidRDefault="002D5DDE">
            <w:pPr>
              <w:bidi/>
              <w:jc w:val="right"/>
            </w:pPr>
            <w:r>
              <w:rPr>
                <w:sz w:val="21"/>
                <w:rtl/>
              </w:rPr>
              <w:t>أثر إيجابي متوقع في الوصول والاستخدام والملاءمة والقدرة على تحمل التكلفة.</w:t>
            </w:r>
          </w:p>
        </w:tc>
      </w:tr>
      <w:tr w:rsidR="005D3C66" w14:paraId="28B39BCD" w14:textId="77777777">
        <w:trPr>
          <w:jc w:val="center"/>
        </w:trPr>
        <w:tc>
          <w:tcPr>
            <w:tcW w:w="3024" w:type="dxa"/>
            <w:tcMar>
              <w:top w:w="80" w:type="dxa"/>
              <w:left w:w="90" w:type="dxa"/>
              <w:bottom w:w="80" w:type="dxa"/>
              <w:right w:w="90" w:type="dxa"/>
            </w:tcMar>
            <w:vAlign w:val="center"/>
          </w:tcPr>
          <w:p w14:paraId="2AB4168A" w14:textId="77777777" w:rsidR="005D3C66" w:rsidRDefault="002D5DDE">
            <w:pPr>
              <w:bidi/>
              <w:jc w:val="right"/>
            </w:pPr>
            <w:r>
              <w:rPr>
                <w:sz w:val="21"/>
                <w:rtl/>
              </w:rPr>
              <w:t>الخدمات المصرفية عبر الهاتف المحمول</w:t>
            </w:r>
          </w:p>
        </w:tc>
        <w:tc>
          <w:tcPr>
            <w:tcW w:w="3024" w:type="dxa"/>
            <w:tcMar>
              <w:top w:w="80" w:type="dxa"/>
              <w:left w:w="90" w:type="dxa"/>
              <w:bottom w:w="80" w:type="dxa"/>
              <w:right w:w="90" w:type="dxa"/>
            </w:tcMar>
            <w:vAlign w:val="center"/>
          </w:tcPr>
          <w:p w14:paraId="59D1641A" w14:textId="77777777" w:rsidR="005D3C66" w:rsidRDefault="002D5DDE">
            <w:pPr>
              <w:bidi/>
              <w:jc w:val="right"/>
            </w:pPr>
            <w:r>
              <w:rPr>
                <w:sz w:val="21"/>
                <w:rtl/>
              </w:rPr>
              <w:t>خدمات مصرفية يجري الوصول إليها عبر الأجهزة المحمولة وتطبيقات البنوك.</w:t>
            </w:r>
          </w:p>
        </w:tc>
        <w:tc>
          <w:tcPr>
            <w:tcW w:w="3024" w:type="dxa"/>
            <w:tcMar>
              <w:top w:w="80" w:type="dxa"/>
              <w:left w:w="90" w:type="dxa"/>
              <w:bottom w:w="80" w:type="dxa"/>
              <w:right w:w="90" w:type="dxa"/>
            </w:tcMar>
            <w:vAlign w:val="center"/>
          </w:tcPr>
          <w:p w14:paraId="50FA2D95" w14:textId="77777777" w:rsidR="005D3C66" w:rsidRDefault="002D5DDE">
            <w:pPr>
              <w:bidi/>
              <w:jc w:val="right"/>
            </w:pPr>
            <w:r>
              <w:rPr>
                <w:sz w:val="21"/>
                <w:rtl/>
              </w:rPr>
              <w:t>أثر إيجابي متوقع في الوصول والاستخدام والملاءمة والقدرة على تحمل التكلفة.</w:t>
            </w:r>
          </w:p>
        </w:tc>
      </w:tr>
      <w:tr w:rsidR="005D3C66" w14:paraId="63DD27BF" w14:textId="77777777">
        <w:trPr>
          <w:jc w:val="center"/>
        </w:trPr>
        <w:tc>
          <w:tcPr>
            <w:tcW w:w="3024" w:type="dxa"/>
            <w:tcMar>
              <w:top w:w="80" w:type="dxa"/>
              <w:left w:w="90" w:type="dxa"/>
              <w:bottom w:w="80" w:type="dxa"/>
              <w:right w:w="90" w:type="dxa"/>
            </w:tcMar>
            <w:vAlign w:val="center"/>
          </w:tcPr>
          <w:p w14:paraId="0D6CC5D1" w14:textId="77777777" w:rsidR="005D3C66" w:rsidRDefault="002D5DDE">
            <w:pPr>
              <w:bidi/>
              <w:jc w:val="right"/>
            </w:pPr>
            <w:r>
              <w:rPr>
                <w:sz w:val="21"/>
                <w:rtl/>
              </w:rPr>
              <w:t>التمويل الرقمي</w:t>
            </w:r>
          </w:p>
        </w:tc>
        <w:tc>
          <w:tcPr>
            <w:tcW w:w="3024" w:type="dxa"/>
            <w:tcMar>
              <w:top w:w="80" w:type="dxa"/>
              <w:left w:w="90" w:type="dxa"/>
              <w:bottom w:w="80" w:type="dxa"/>
              <w:right w:w="90" w:type="dxa"/>
            </w:tcMar>
            <w:vAlign w:val="center"/>
          </w:tcPr>
          <w:p w14:paraId="20ED9B33" w14:textId="77777777" w:rsidR="005D3C66" w:rsidRDefault="002D5DDE">
            <w:pPr>
              <w:bidi/>
              <w:jc w:val="right"/>
            </w:pPr>
            <w:r>
              <w:rPr>
                <w:sz w:val="21"/>
                <w:rtl/>
              </w:rPr>
              <w:t>إجراءات الائتمان والتمويل المقدمة عبر منصات رقمية.</w:t>
            </w:r>
          </w:p>
        </w:tc>
        <w:tc>
          <w:tcPr>
            <w:tcW w:w="3024" w:type="dxa"/>
            <w:tcMar>
              <w:top w:w="80" w:type="dxa"/>
              <w:left w:w="90" w:type="dxa"/>
              <w:bottom w:w="80" w:type="dxa"/>
              <w:right w:w="90" w:type="dxa"/>
            </w:tcMar>
            <w:vAlign w:val="center"/>
          </w:tcPr>
          <w:p w14:paraId="5667B6D0" w14:textId="77777777" w:rsidR="005D3C66" w:rsidRDefault="002D5DDE">
            <w:pPr>
              <w:bidi/>
              <w:jc w:val="right"/>
            </w:pPr>
            <w:r>
              <w:rPr>
                <w:sz w:val="21"/>
                <w:rtl/>
              </w:rPr>
              <w:t>أثر إيجابي متوقع في الوصول والاستخدام والملاءمة والقدرة على تحمل التكلفة.</w:t>
            </w:r>
          </w:p>
        </w:tc>
      </w:tr>
    </w:tbl>
    <w:p w14:paraId="364AB097" w14:textId="77777777" w:rsidR="005D3C66" w:rsidRDefault="005D3C66"/>
    <w:p w14:paraId="6A656167" w14:textId="77777777" w:rsidR="005D3C66" w:rsidRDefault="002D5DDE">
      <w:pPr>
        <w:pStyle w:val="Heading3"/>
        <w:bidi/>
        <w:jc w:val="right"/>
      </w:pPr>
      <w:r>
        <w:rPr>
          <w:rFonts w:ascii="Arial" w:eastAsia="Arial" w:hAnsi="Arial" w:cs="Arial"/>
          <w:rtl/>
        </w:rPr>
        <w:t>2.3.1 المدفوعات الرقمية</w:t>
      </w:r>
    </w:p>
    <w:p w14:paraId="4E56905F" w14:textId="77777777" w:rsidR="005D3C66" w:rsidRDefault="002D5DDE">
      <w:pPr>
        <w:bidi/>
        <w:jc w:val="both"/>
      </w:pPr>
      <w:r>
        <w:rPr>
          <w:rtl/>
        </w:rPr>
        <w:t>تشير المدفوعات الرقمية إلى الأساليب الإلكترونية المستخدمة في نقل القيمة بين الأفراد والمنشآت والبنوك والتجار والجهات الحكومية. وتشمل مدفوعات البطاقات، والتحويلات عبر الإنترنت، وأنظمة الدفع الفوري، والمدفوعات باستخدام رمز الاستجابة السريعة (QR)، والفواتير الرقمية، وروابط الدفع. وغالبًا ما تمثل المدفوعات الرقمية نقطة الاتصال الأولى بين المستخدمين والأنظمة المالية الرسمية؛ لأنها تجعل المعاملات اليومية أسرع وأكثر قابلية للتتبع وأقل اعتمادًا على النقد.</w:t>
      </w:r>
    </w:p>
    <w:p w14:paraId="69ED7230" w14:textId="77777777" w:rsidR="005D3C66" w:rsidRDefault="002D5DDE">
      <w:pPr>
        <w:bidi/>
        <w:jc w:val="both"/>
      </w:pPr>
      <w:r>
        <w:rPr>
          <w:rtl/>
        </w:rPr>
        <w:t xml:space="preserve">تتمتع المدفوعات الرقمية بإمكانات قوية لتعزيز الشمول؛ لأن الدفع نشاط مالي متكرر. فعندما يستخدم الأفراد المدفوعات الرقمية بانتظام، يبنون سجلًا للمعاملات، ويصبحون أكثر ألفة بالقنوات الرسمية، وقد تتاح لهم أهلية الحصول على منتجات مالية إضافية. </w:t>
      </w:r>
      <w:r>
        <w:rPr>
          <w:rtl/>
        </w:rPr>
        <w:lastRenderedPageBreak/>
        <w:t>وبالنسبة إلى المنشآت، يمكن لقبول المدفوعات الرقمية أن يحسن حفظ السجلات ويدعم علاقات أقوى مع البنوك. أما بالنسبة إلى البنوك، فتزيد المدفوعات الرقمية من تفاعل العملاء وتوفر بيانات يمكن أن تدعم تصميم المنتجات وتقييم المخاطر.</w:t>
      </w:r>
    </w:p>
    <w:p w14:paraId="554287EF" w14:textId="77777777" w:rsidR="005D3C66" w:rsidRDefault="002D5DDE">
      <w:pPr>
        <w:bidi/>
        <w:jc w:val="both"/>
      </w:pPr>
      <w:r>
        <w:rPr>
          <w:rtl/>
        </w:rPr>
        <w:t>في البيئة المصرفية بدولة الإمارات، تستند المدفوعات الرقمية إلى بنية متقدمة وتوقعات مرتفعة لدى المستهلكين بشأن السرعة والسهولة. وتوفر البنوك وشبكات البطاقات والتجار وشركات التكنولوجيا المالية قنوات متعددة للدفع. ويتمثل السؤال الذي تطرحه هذه الرسالة في مدى إسهام منظومة الدفع هذه في الشمول المالي كما يدركه موظفو القطاع المصرفي وعملاؤه.</w:t>
      </w:r>
    </w:p>
    <w:p w14:paraId="7465B643" w14:textId="77777777" w:rsidR="005D3C66" w:rsidRDefault="002D5DDE">
      <w:pPr>
        <w:bidi/>
        <w:jc w:val="both"/>
      </w:pPr>
      <w:r>
        <w:rPr>
          <w:rtl/>
        </w:rPr>
        <w:t>ومن منظور الشمول، ينبغي تقييم المدفوعات الرقمية ليس فقط من حيث توافرها، بل كذلك من حيث التكلفة، وسهولة الاستخدام، والقبول، والموثوقية، والأمان، ومدى ارتباطها بالاحتياجات اليومية للمستخدمين. فإذا كانت المدفوعات الرقمية ميسورة التكلفة ومقبولة على نطاق واسع، أمكنها تقليل الاعتماد على النقد وتشجيع مشاركة أكثر نشاطًا في الأنظمة المالية الرسمية.</w:t>
      </w:r>
    </w:p>
    <w:p w14:paraId="7D0E0B64" w14:textId="77777777" w:rsidR="005D3C66" w:rsidRDefault="002D5DDE">
      <w:pPr>
        <w:pStyle w:val="Heading3"/>
        <w:bidi/>
        <w:jc w:val="right"/>
      </w:pPr>
      <w:r>
        <w:rPr>
          <w:rFonts w:ascii="Arial" w:eastAsia="Arial" w:hAnsi="Arial" w:cs="Arial"/>
          <w:rtl/>
        </w:rPr>
        <w:t>2.3.2 المحافظ الإلكترونية</w:t>
      </w:r>
    </w:p>
    <w:p w14:paraId="1ED800A1" w14:textId="77777777" w:rsidR="005D3C66" w:rsidRDefault="002D5DDE">
      <w:pPr>
        <w:bidi/>
        <w:jc w:val="both"/>
      </w:pPr>
      <w:r>
        <w:rPr>
          <w:rtl/>
        </w:rPr>
        <w:t>المحافظ الإلكترونية هي تطبيقات رقمية أو أدوات ذات قيمة مخزنة تتيح للمستخدمين الاحتفاظ بالأموال وتحويلها وإنفاقها إلكترونيًا. وقد ترتبط بحسابات مصرفية أو بطاقات أو خدمات اتصالات أو منصات مستقلة للمحافظ. وتكتسب المحافظ أهميتها للشمول لأنها تستطيع توفير وصول مبسط إلى خدمات المعاملات، ولا سيما للمستخدمين الذين يحتاجون إلى مدفوعات وتحويلات صغيرة القيمة تتميز بالسهولة.</w:t>
      </w:r>
    </w:p>
    <w:p w14:paraId="5F9CD95B" w14:textId="77777777" w:rsidR="005D3C66" w:rsidRDefault="002D5DDE">
      <w:pPr>
        <w:bidi/>
        <w:jc w:val="both"/>
      </w:pPr>
      <w:r>
        <w:rPr>
          <w:rtl/>
        </w:rPr>
        <w:t>تستند جاذبية المحافظ الإلكترونية إلى الملاءمة والسرعة وسهولة الوصول. إذ يستطيع المستخدمون الدفع من دون حمل النقد أو البطاقات، وإرسال الأموال إلى مستخدمين آخرين، والاستفادة أحيانًا من مزايا الولاء أو إعداد الموازنات أو دفع الفواتير. وبالنسبة إلى الأفراد غير المنخرطين بعمق في الخدمات المصرفية التقليدية، يمكن أن تشكل المحافظ نقطة دخول إلى التمويل الرسمي. أما بالنسبة إلى التجار، فقد تقلل المحافظ من تداول النقد وتدعم المبيعات الرقمية.</w:t>
      </w:r>
    </w:p>
    <w:p w14:paraId="1F4B7318" w14:textId="77777777" w:rsidR="005D3C66" w:rsidRDefault="002D5DDE">
      <w:pPr>
        <w:bidi/>
        <w:jc w:val="both"/>
      </w:pPr>
      <w:r>
        <w:rPr>
          <w:rtl/>
        </w:rPr>
        <w:t>وعلى الرغم من إمكاناتها، قد تواجه المحافظ عوائق في التبني. فقد يقلق المستخدمون بشأن الأمان، أو قبول التجار، أو خيارات السحب، أو الرسوم، أو قابلية التشغيل البيني، أو الحاجة إلى الاحتفاظ بعدة تطبيقات. وإذا لم تُدمج المحافظ ضمن خدمات مالية أوسع، فقد يظل أثرها في تعميق الشمول محصورًا في المدفوعات بدلًا من الادخار أو الائتمان أو التأمين. ولذلك ينبغي قياس أثرها بوصفها جزءًا من منظومة أوسع للتكنولوجيا المالية.</w:t>
      </w:r>
    </w:p>
    <w:p w14:paraId="2C8B1CF0" w14:textId="77777777" w:rsidR="005D3C66" w:rsidRDefault="002D5DDE">
      <w:pPr>
        <w:bidi/>
        <w:jc w:val="both"/>
      </w:pPr>
      <w:r>
        <w:rPr>
          <w:rtl/>
        </w:rPr>
        <w:t>تُدرس المحافظ الإلكترونية في هذه الدراسة بوصفها بُعدًا مستقلًا من أبعاد التكنولوجيا المالية. ويتمثل الهدف في تحديد ما إذا كان استخدام المحافظ يرتبط بارتفاع الشمول المالي المتصور في القطاع المصرفي بدولة الإمارات، ولا سيما من حيث الوصول، والملاءمة، والقدرة على استخدام الخدمات المالية الرقمية الرسمية.</w:t>
      </w:r>
    </w:p>
    <w:p w14:paraId="6FE1E605" w14:textId="77777777" w:rsidR="005D3C66" w:rsidRDefault="002D5DDE">
      <w:pPr>
        <w:pStyle w:val="Heading3"/>
        <w:bidi/>
        <w:jc w:val="right"/>
      </w:pPr>
      <w:r>
        <w:rPr>
          <w:rFonts w:ascii="Arial" w:eastAsia="Arial" w:hAnsi="Arial" w:cs="Arial"/>
          <w:rtl/>
        </w:rPr>
        <w:t>2.3.3 الخدمات المصرفية عبر الهاتف المحمول</w:t>
      </w:r>
    </w:p>
    <w:p w14:paraId="48424EEB" w14:textId="77777777" w:rsidR="005D3C66" w:rsidRDefault="002D5DDE">
      <w:pPr>
        <w:bidi/>
        <w:jc w:val="both"/>
      </w:pPr>
      <w:r>
        <w:rPr>
          <w:rtl/>
        </w:rPr>
        <w:t>تتيح الخدمات المصرفية عبر الهاتف المحمول للعملاء التفاعل مع البنوك من خلال الهواتف الذكية والتطبيقات المحمولة. وتشمل الوظائف الاستعلام عن الأرصدة، وتحويل الأموال، ودفع الفواتير، وإدارة البطاقات، وفتح الحسابات، وطلب الخدمات، والتقدم بطلبات التمويل، والتواصل مع البنك. وتُعد الخدمات المصرفية عبر الهاتف المحمول من أبرز صور العمل المصرفي الرقمي؛ لأنها تضع تجربة الفرع في متناول المستخدم.</w:t>
      </w:r>
    </w:p>
    <w:p w14:paraId="32DA6603" w14:textId="77777777" w:rsidR="005D3C66" w:rsidRDefault="002D5DDE">
      <w:pPr>
        <w:bidi/>
        <w:jc w:val="both"/>
      </w:pPr>
      <w:r>
        <w:rPr>
          <w:rtl/>
        </w:rPr>
        <w:t>قد ترتبط الخدمات المصرفية عبر الهاتف المحمول ارتباطًا قويًا بالشمول المالي؛ لأنها تقلل الحاجة إلى زيارة الفروع وتوسع إتاحة الخدمات إلى ما بعد ساعات العمل. ويمكن للعملاء الذين يسكنون بعيدًا عن الفروع، أو يعملون لساعات طويلة، أو يفضلون التعامل الرقمي، استخدام الخدمات المصرفية بوتيرة أكبر. كما تستطيع التطبيقات المحمولة تحسين الشفافية من خلال توفير معلومات فورية عن الحسابات، وسجلات المعاملات، والإشعارات، وخيارات الخدمة الذاتية.</w:t>
      </w:r>
    </w:p>
    <w:p w14:paraId="7F88565B" w14:textId="77777777" w:rsidR="005D3C66" w:rsidRDefault="002D5DDE">
      <w:pPr>
        <w:bidi/>
        <w:jc w:val="both"/>
      </w:pPr>
      <w:r>
        <w:rPr>
          <w:rtl/>
        </w:rPr>
        <w:lastRenderedPageBreak/>
        <w:t>تعتمد فاعلية الخدمات المصرفية عبر الهاتف المحمول على سهولة الاستخدام، والموثوقية، وإتاحة اللغة، والأمن السيبراني، ودعم العملاء، ووضوح الإجراءات. فقد يؤدي التطبيق صعب الاستخدام إلى إحجام العملاء، في حين يمكن للتطبيق الجيد التصميم أن يزيد الثقة والتفاعل. وتمثل الخدمات المصرفية عبر الهاتف المحمول للبنوك كذلك فرصة لتثقيف العملاء، وتشجيع الادخار، والحث على الاستخدام المسؤول للمنتجات المالية.</w:t>
      </w:r>
    </w:p>
    <w:p w14:paraId="2C65D606" w14:textId="77777777" w:rsidR="005D3C66" w:rsidRDefault="002D5DDE">
      <w:pPr>
        <w:bidi/>
        <w:jc w:val="both"/>
      </w:pPr>
      <w:r>
        <w:rPr>
          <w:rtl/>
        </w:rPr>
        <w:t>تكتسب الخدمات المصرفية عبر الهاتف المحمول أهمية خاصة في سياق دولة الإمارات؛ نظرًا إلى الانتشار الواسع للهواتف الذكية وتنافس البنوك من خلال التجارب الرقمية. ولذلك تتوقع الدراسة أن تكون هذه الخدمات بُعدًا رئيسًا من أبعاد التكنولوجيا المالية المؤثرة في الشمول المالي.</w:t>
      </w:r>
    </w:p>
    <w:p w14:paraId="59D06C7C" w14:textId="77777777" w:rsidR="005D3C66" w:rsidRDefault="002D5DDE">
      <w:pPr>
        <w:pStyle w:val="Heading3"/>
        <w:bidi/>
        <w:jc w:val="right"/>
      </w:pPr>
      <w:r>
        <w:rPr>
          <w:rFonts w:ascii="Arial" w:eastAsia="Arial" w:hAnsi="Arial" w:cs="Arial"/>
          <w:rtl/>
        </w:rPr>
        <w:t>2.3.4 التمويل الرقمي</w:t>
      </w:r>
    </w:p>
    <w:p w14:paraId="2BDEB5C1" w14:textId="77777777" w:rsidR="005D3C66" w:rsidRDefault="002D5DDE">
      <w:pPr>
        <w:bidi/>
        <w:jc w:val="both"/>
      </w:pPr>
      <w:r>
        <w:rPr>
          <w:rtl/>
        </w:rPr>
        <w:t>يشير التمويل الرقمي إلى استخدام المنصات والتقنيات الرقمية لتقديم خدمات الائتمان أو التمويل أو توفير الأموال. وقد يشمل طلبات القروض عبر الإنترنت، والتقييم الائتماني الآلي، والمستندات الرقمية، والتمويل من نظير إلى نظير، ومنتجات «اشتر الآن وادفع لاحقًا»، وتمويل الفواتير، والائتمان الرقمي للمنشآت الصغيرة. وفي القطاع المصرفي، يستطيع التمويل الرقمي تقليل الأعمال الورقية، وتسريع الموافقات، وجعل التمويل أكثر سهولة في الوصول.</w:t>
      </w:r>
    </w:p>
    <w:p w14:paraId="19EF6563" w14:textId="77777777" w:rsidR="005D3C66" w:rsidRDefault="002D5DDE">
      <w:pPr>
        <w:bidi/>
        <w:jc w:val="both"/>
      </w:pPr>
      <w:r>
        <w:rPr>
          <w:rtl/>
        </w:rPr>
        <w:t>تكتسب الصلة بين التمويل الرقمي والشمول أهمية خاصة لأن الوصول إلى الائتمان يكون غالبًا أصعب من الوصول إلى المدفوعات. فقد يواجه الأفراد والمنشآت الصغيرة عوائق تتعلق بالضمانات، وإثبات الدخل، والسجل الائتماني، وإجراءات التقديم المعتمدة على الفروع. ويمكن للأنظمة الرقمية تقليل بعض هذه العوائق باستخدام البيانات البديلة، والتقييم الآلي، وتبسيط مسارات التقديم.</w:t>
      </w:r>
    </w:p>
    <w:p w14:paraId="10114A41" w14:textId="77777777" w:rsidR="005D3C66" w:rsidRDefault="002D5DDE">
      <w:pPr>
        <w:bidi/>
        <w:jc w:val="both"/>
      </w:pPr>
      <w:r>
        <w:rPr>
          <w:rtl/>
        </w:rPr>
        <w:t>وفي الوقت نفسه، يتطلب التمويل الرقمي حوكمة دقيقة. فقد يدعم تيسير الوصول إلى الائتمان الشمول، لكنه قد يعرّض المستخدمين أيضًا للإفراط في الاقتراض، أو التسعير غير الواضح، أو المنتجات غير الملائمة إذا لم يُنظم بصورة سليمة. ولذلك ينبغي أن يجمع التمويل الرقمي المسؤول بين سهولة الوصول، والشفافية، والقدرة على تحمل التكلفة، وتقييم العميل، وحماية المستهلك.</w:t>
      </w:r>
    </w:p>
    <w:p w14:paraId="025A5770" w14:textId="77777777" w:rsidR="005D3C66" w:rsidRDefault="002D5DDE">
      <w:pPr>
        <w:bidi/>
        <w:jc w:val="both"/>
      </w:pPr>
      <w:r>
        <w:rPr>
          <w:rtl/>
        </w:rPr>
        <w:t>يُدرج التمويل الرقمي في هذه الرسالة بوصفه البُعد الرابع للتكنولوجيا المالية. ويُتوقع أن يكون له أثر إيجابي في الشمول المالي، وإن كان أثره قد يكون أضعف من أثر المدفوعات أو الخدمات المصرفية عبر الهاتف المحمول؛ لأن التمويل أكثر تعقيدًا، وأشد تنظيمًا، وأقل استخدامًا بصورة متكررة لدى جميع العملاء.</w:t>
      </w:r>
    </w:p>
    <w:p w14:paraId="5ED92386" w14:textId="77777777" w:rsidR="005D3C66" w:rsidRDefault="002D5DDE">
      <w:pPr>
        <w:pStyle w:val="Heading2"/>
        <w:bidi/>
        <w:jc w:val="right"/>
      </w:pPr>
      <w:r>
        <w:rPr>
          <w:rFonts w:ascii="Arial" w:eastAsia="Arial" w:hAnsi="Arial" w:cs="Arial"/>
          <w:rtl/>
        </w:rPr>
        <w:t>2.4 الأسس النظرية</w:t>
      </w:r>
    </w:p>
    <w:p w14:paraId="4B34C298" w14:textId="77777777" w:rsidR="005D3C66" w:rsidRDefault="002D5DDE">
      <w:pPr>
        <w:bidi/>
        <w:jc w:val="both"/>
      </w:pPr>
      <w:r>
        <w:rPr>
          <w:rtl/>
        </w:rPr>
        <w:t>تفسر نظرية انتشار الابتكار كيفية انتشار الأفكار والتقنيات الجديدة داخل نظام اجتماعي بمرور الوقت. وترى أن التبني يتأثر بالميزة النسبية المتصورة، والتوافق، والتعقيد، وقابلية التجربة، وقابلية الملاحظة. وفي سياق التكنولوجيا المالية، يزداد احتمال تبني العملاء للمدفوعات الرقمية والمحافظ والخدمات المصرفية عبر الهاتف المحمول عندما يدركون مزايا واضحة مقارنة بالخدمات التقليدية، وعندما تتوافق الأدوات مع أسلوب حياتهم، ويسهل فهمها، ويكون نجاح الآخرين في استخدامها ظاهرًا.</w:t>
      </w:r>
    </w:p>
    <w:p w14:paraId="421A15D0" w14:textId="77777777" w:rsidR="005D3C66" w:rsidRDefault="002D5DDE">
      <w:pPr>
        <w:bidi/>
        <w:jc w:val="both"/>
      </w:pPr>
      <w:r>
        <w:rPr>
          <w:rtl/>
        </w:rPr>
        <w:t>يوفر نموذج قبول التكنولوجيا منظورًا مفيدًا آخر؛ إذ يفترض أن المنفعة المتصورة وسهولة الاستخدام المتصورة تؤثران في اتجاه المستخدم ونيته إلى تبني التكنولوجيا. وقد تسهم أدوات التكنولوجيا المالية في تحسين الشمول عندما يعتقد المستخدمون أنها مفيدة لاحتياجاتهم المالية اليومية وسهلة الاستخدام من دون جهد مفرط. فالتطبيق المصرفي الآمن لكنه صعب التصفح قد لا يعزز الشمول، في حين قد يشجع التطبيق البسيط والموثوق على تكرار الاستخدام وبناء الثقة.</w:t>
      </w:r>
    </w:p>
    <w:p w14:paraId="7DC3A92C" w14:textId="77777777" w:rsidR="005D3C66" w:rsidRDefault="002D5DDE">
      <w:pPr>
        <w:bidi/>
        <w:jc w:val="both"/>
      </w:pPr>
      <w:r>
        <w:rPr>
          <w:rtl/>
        </w:rPr>
        <w:t xml:space="preserve">تركز نظرية الشمول المالي على توسيع الوصول إلى الخدمات المالية الرسمية وإزالة العوائق التي تمنع الأفراد والمنشآت من المشاركة في النظام المالي. وتبرز التكلفة، والمسافة، والمستندات، والثقة، والثقافة المالية، وملاءمة المنتج بوصفها عوامل رئيسة. </w:t>
      </w:r>
      <w:r>
        <w:rPr>
          <w:rtl/>
        </w:rPr>
        <w:lastRenderedPageBreak/>
        <w:t>وقد تعالج الخدمات المالية الرقمية بعض هذه العوائق من خلال تقليل الاعتماد على الفروع، وخفض تكلفة المعاملة، وتبسيط الإجراءات. غير أنها قد تنشئ كذلك عوائق جديدة إذا افتقر المستخدمون إلى القدرة الرقمية أو الثقة.</w:t>
      </w:r>
    </w:p>
    <w:p w14:paraId="563DEA4E" w14:textId="77777777" w:rsidR="005D3C66" w:rsidRDefault="002D5DDE">
      <w:pPr>
        <w:bidi/>
        <w:jc w:val="both"/>
      </w:pPr>
      <w:r>
        <w:rPr>
          <w:rtl/>
        </w:rPr>
        <w:t>يتيح الجمع بين هذه المنظورات النظرية للدراسة تفسير كل من التبني والشمول. فنظرية الابتكار ونموذج قبول التكنولوجيا يفسران أسباب قبول الأفراد لأدوات التكنولوجيا المالية أو رفضها، بينما تفسر نظرية الشمول المالي أهمية القبول بالنسبة إلى الوصول والاستخدام والمشاركة الاقتصادية. ومن ثم يفترض النموذج المفاهيمي أن أبعاد التكنولوجيا المالية الأربعة تؤثر في الشمول المالي من خلال تحسين الملاءمة، والقدرة على تحمل التكلفة، والوصول، والثقة، وجودة الخدمة.</w:t>
      </w:r>
    </w:p>
    <w:p w14:paraId="20528CC7" w14:textId="77777777" w:rsidR="005D3C66" w:rsidRDefault="002D5DDE">
      <w:pPr>
        <w:pStyle w:val="Heading2"/>
        <w:bidi/>
        <w:jc w:val="right"/>
      </w:pPr>
      <w:r>
        <w:rPr>
          <w:rFonts w:ascii="Arial" w:eastAsia="Arial" w:hAnsi="Arial" w:cs="Arial"/>
          <w:rtl/>
        </w:rPr>
        <w:t>2.5 الدراسات السابقة</w:t>
      </w:r>
    </w:p>
    <w:p w14:paraId="19EF6AFD" w14:textId="77777777" w:rsidR="005D3C66" w:rsidRDefault="002D5DDE">
      <w:pPr>
        <w:bidi/>
        <w:jc w:val="both"/>
      </w:pPr>
      <w:r>
        <w:rPr>
          <w:rtl/>
        </w:rPr>
        <w:t>بحث بوزانة وحمدوش (2023) الشمول المالي في القطاع المصرفي الجزائري خلال الفترة 2011‑2021. وقيّمت دراستهما دور ابتكارات الموجة الأولى من التكنولوجيا المالية في توسيع الوصول إلى الخدمات المالية الرسمية. وأشارت النتائج إلى أن إسهام القطاع المصرفي الجزائري في الشمول ظل محدودًا، وأن الثقافة المصرفية الرقمية كانت ضعيفة نسبيًا لدى عدة فئات من المستخدمين. وتكتسب الدراسة صلتها بالموضوع لأنها تربط التكنولوجيا المالية بالشمول، غير أن سياقها الجغرافي يختلف عن دولة الإمارات.</w:t>
      </w:r>
    </w:p>
    <w:p w14:paraId="10E82456" w14:textId="77777777" w:rsidR="005D3C66" w:rsidRDefault="002D5DDE">
      <w:pPr>
        <w:bidi/>
        <w:jc w:val="both"/>
      </w:pPr>
      <w:r>
        <w:rPr>
          <w:rtl/>
        </w:rPr>
        <w:t>بحث غانم وزملاؤه (2025) دور التكنولوجيا المالية في تحسين جودة الخدمات المصرفية في البنوك التجارية المصرية. وأشارت نتائجهم إلى أن الأدوات التقنية، وخبرة الموظفين، والبنية الرقمية تسهم إيجابيًا في جودة الخدمة ورضا العملاء. وعلى الرغم من أن الدراسة تبرز أهمية التكنولوجيا المالية في التحول المصرفي، فإنها تركز أساسًا على الجودة لا على الشمول المالي. وتوسع الرسالة الحالية نطاق هذا النقاش بالتركيز على الشمول بوصفه المتغير التابع.</w:t>
      </w:r>
    </w:p>
    <w:p w14:paraId="34C6A21A" w14:textId="77777777" w:rsidR="005D3C66" w:rsidRDefault="002D5DDE">
      <w:pPr>
        <w:bidi/>
        <w:jc w:val="both"/>
      </w:pPr>
      <w:r>
        <w:rPr>
          <w:rtl/>
        </w:rPr>
        <w:t>حلل محمد (2023) دور التكنولوجيا المالية في تعزيز الشمول المالي في القطاع المصرفي المصري، وبحث ارتباطه بأهداف التنمية المستدامة. وخلصت الدراسة إلى أن الأدوات المالية الرقمية تستطيع تيسير الوصول، وتحسين جودة المعاملات، ودعم مشاركة اقتصادية أوسع. غير أنها أشارت كذلك إلى بقاء مستويات الشمول المالي منخفضة نسبيًا في مصر، وهو ما يدل على أن التحول الرقمي وحده لا يزيل عوائق الشمول.</w:t>
      </w:r>
    </w:p>
    <w:p w14:paraId="43459563" w14:textId="77777777" w:rsidR="005D3C66" w:rsidRDefault="002D5DDE">
      <w:pPr>
        <w:bidi/>
        <w:jc w:val="both"/>
      </w:pPr>
      <w:r>
        <w:rPr>
          <w:rtl/>
        </w:rPr>
        <w:t>درس عيد وحسب (2021) محددات تبني ابتكارات التكنولوجيا المالية في البنوك التجارية المصرية. وشمل نموذجهما المنفعة المتصورة، وسهولة الاستخدام، والمصداقية، والثقة، والتوافق مع أسلوب حياة العميل، وتكلفة الاستخدام، وتبني العملاء. ووجدت الدراسة علاقة إحصائية إيجابية بين محددات ابتكار التكنولوجيا المالية ومتطلبات الشمول المالي. وتدعم هذه النتيجة توقع الدراسة الحالية بأن العوامل المرتبطة بالقبول مهمة لنتائج الشمول.</w:t>
      </w:r>
    </w:p>
    <w:p w14:paraId="5F80DDEA" w14:textId="77777777" w:rsidR="005D3C66" w:rsidRDefault="002D5DDE">
      <w:pPr>
        <w:bidi/>
        <w:jc w:val="both"/>
      </w:pPr>
      <w:r>
        <w:rPr>
          <w:rtl/>
        </w:rPr>
        <w:t>ركز بن زيد وزملاؤه (2022) على مؤشرات التكنولوجيا المالية وربحية البنوك في الجزائر. وتناولوا مقاييس مثل أجهزة الصراف الآلي وبطاقات الدفع، وفحصوا ارتباطها بالعائد على حقوق الملكية. وأشارت نتائجهم إلى إمكانية وجود أثر إيجابي لمؤشرات التكنولوجيا المالية في الربحية. وعلى الرغم من أن الربحية ليست محور الرسالة الحالية، فإن الدراسة توضح أن تبني التكنولوجيا المالية يترك آثارًا قابلة للقياس في الأداء المصرفي.</w:t>
      </w:r>
    </w:p>
    <w:p w14:paraId="6DCE49E0" w14:textId="77777777" w:rsidR="005D3C66" w:rsidRDefault="002D5DDE">
      <w:pPr>
        <w:bidi/>
        <w:jc w:val="both"/>
      </w:pPr>
      <w:r>
        <w:rPr>
          <w:rtl/>
        </w:rPr>
        <w:t>بحث العلي والعبيدي (2024) التكنولوجيا المالية والشمول المالي في القطاع المصرفي العراقي. ووجدت دراستهما أن الخدمات المالية الرقمية يمكن أن تجعل الوصول أسهل وأسرع وأقل تكلفة من الأساليب المصرفية التقليدية. وأوصت بأن تتبنى البنوك التكنولوجيا الرقمية ضمن استراتيجياتها المستقبلية. وترتبط الدراسة بالرسالة الحالية لأنها تتناول الشمول المالي مباشرة، غير أن سياق دولة الإمارات يختلف من حيث البنية والتنظيم ونضج القطاع المصرفي.</w:t>
      </w:r>
    </w:p>
    <w:p w14:paraId="1DF4F77C" w14:textId="77777777" w:rsidR="005D3C66" w:rsidRDefault="002D5DDE">
      <w:pPr>
        <w:bidi/>
        <w:jc w:val="both"/>
      </w:pPr>
      <w:r>
        <w:rPr>
          <w:rtl/>
        </w:rPr>
        <w:lastRenderedPageBreak/>
        <w:t>ناقش مدين (2025) دور التكنولوجيا المالية في تطوير القطاع المصرفي المصري، مع الاهتمام بسلسلة الكتل والذكاء الاصطناعي والعملات الرقمية. وخلصت الدراسة إلى أن التكنولوجيا المالية تستطيع تحسين السرعة والكفاءة والتكلفة والقدرة التنافسية، لكنها تتطلب بيئة تنظيمية وقانونية ملائمة. ويدعم ذلك الرأي القائل بضرورة دراسة التكنولوجيا المالية ضمن السياق المؤسسي الذي تُطبق فيه.</w:t>
      </w:r>
    </w:p>
    <w:p w14:paraId="59C7131B" w14:textId="77777777" w:rsidR="005D3C66" w:rsidRDefault="002D5DDE">
      <w:pPr>
        <w:bidi/>
        <w:jc w:val="both"/>
      </w:pPr>
      <w:r>
        <w:rPr>
          <w:rtl/>
        </w:rPr>
        <w:t>تناول قوتيل وعبد العزيز (2024) الاستراتيجية الرقمية وتبني التكنولوجيا المالية في الصناعة المصرفية بدولة الإمارات. وأكدت الدراسة دور استراتيجيات التحول الرقمي والبنية التحتية والدعم التنظيمي في تعزيز تبني التكنولوجيا المالية. وتكتسب الدراسة صلة وثيقة بالرسالة الحالية لوقوعها في سياق دولة الإمارات، وإن كانت الدراسة الحالية تضيق نطاق التركيز ليشمل أثر أبعاد مختارة للتكنولوجيا المالية في الشمول المالي.</w:t>
      </w:r>
    </w:p>
    <w:p w14:paraId="4534E274" w14:textId="77777777" w:rsidR="005D3C66" w:rsidRDefault="002D5DDE">
      <w:pPr>
        <w:bidi/>
        <w:jc w:val="both"/>
      </w:pPr>
      <w:r>
        <w:rPr>
          <w:rtl/>
        </w:rPr>
        <w:t>تناول الزعبي (2021) دور الشركات الناشئة في مجال التكنولوجيا المالية في تطوير القطاع المصرفي في الدول العربية. ورأى أن عدة أنظمة مصرفية عربية تحتاج إلى تنظيمات داعمة، ومعاملات آمنة، وحماية للمستخدمين، ومنظومات حاضنة للشركات الناشئة، حتى تستفيد استفادة كاملة من التكنولوجيا المالية. وتُسهم هذه الدراسة في البحث الحالي بإظهار أن أثر التكنولوجيا المالية يعتمد على توافر التقنية وجاهزية المنظومة معًا.</w:t>
      </w:r>
    </w:p>
    <w:p w14:paraId="18E04858" w14:textId="77777777" w:rsidR="005D3C66" w:rsidRDefault="002D5DDE">
      <w:pPr>
        <w:bidi/>
        <w:spacing w:before="80" w:after="200"/>
        <w:jc w:val="center"/>
      </w:pPr>
      <w:r>
        <w:rPr>
          <w:rtl/>
        </w:rPr>
        <w:t>الجدول 2‑2: ملخص الدراسات السابقة المختارة</w:t>
      </w:r>
    </w:p>
    <w:tbl>
      <w:tblPr>
        <w:tblStyle w:val="TableGrid"/>
        <w:bidiVisual/>
        <w:tblW w:w="0" w:type="auto"/>
        <w:jc w:val="center"/>
        <w:tblLook w:val="04A0" w:firstRow="1" w:lastRow="0" w:firstColumn="1" w:lastColumn="0" w:noHBand="0" w:noVBand="1"/>
      </w:tblPr>
      <w:tblGrid>
        <w:gridCol w:w="2268"/>
        <w:gridCol w:w="2268"/>
        <w:gridCol w:w="2268"/>
        <w:gridCol w:w="2268"/>
      </w:tblGrid>
      <w:tr w:rsidR="005D3C66" w14:paraId="455CBB4B" w14:textId="77777777">
        <w:trPr>
          <w:jc w:val="center"/>
        </w:trPr>
        <w:tc>
          <w:tcPr>
            <w:tcW w:w="2268" w:type="dxa"/>
            <w:shd w:val="clear" w:color="auto" w:fill="D9E2F3"/>
            <w:tcMar>
              <w:top w:w="80" w:type="dxa"/>
              <w:left w:w="90" w:type="dxa"/>
              <w:bottom w:w="80" w:type="dxa"/>
              <w:right w:w="90" w:type="dxa"/>
            </w:tcMar>
            <w:vAlign w:val="center"/>
          </w:tcPr>
          <w:p w14:paraId="6F442764" w14:textId="77777777" w:rsidR="005D3C66" w:rsidRDefault="002D5DDE">
            <w:pPr>
              <w:bidi/>
              <w:jc w:val="right"/>
            </w:pPr>
            <w:r>
              <w:rPr>
                <w:b/>
                <w:sz w:val="21"/>
                <w:rtl/>
              </w:rPr>
              <w:t>الدراسة</w:t>
            </w:r>
          </w:p>
        </w:tc>
        <w:tc>
          <w:tcPr>
            <w:tcW w:w="2268" w:type="dxa"/>
            <w:shd w:val="clear" w:color="auto" w:fill="D9E2F3"/>
            <w:tcMar>
              <w:top w:w="80" w:type="dxa"/>
              <w:left w:w="90" w:type="dxa"/>
              <w:bottom w:w="80" w:type="dxa"/>
              <w:right w:w="90" w:type="dxa"/>
            </w:tcMar>
            <w:vAlign w:val="center"/>
          </w:tcPr>
          <w:p w14:paraId="24A815D9" w14:textId="77777777" w:rsidR="005D3C66" w:rsidRDefault="002D5DDE">
            <w:pPr>
              <w:bidi/>
              <w:jc w:val="right"/>
            </w:pPr>
            <w:r>
              <w:rPr>
                <w:b/>
                <w:sz w:val="21"/>
                <w:rtl/>
              </w:rPr>
              <w:t>السياق</w:t>
            </w:r>
          </w:p>
        </w:tc>
        <w:tc>
          <w:tcPr>
            <w:tcW w:w="2268" w:type="dxa"/>
            <w:shd w:val="clear" w:color="auto" w:fill="D9E2F3"/>
            <w:tcMar>
              <w:top w:w="80" w:type="dxa"/>
              <w:left w:w="90" w:type="dxa"/>
              <w:bottom w:w="80" w:type="dxa"/>
              <w:right w:w="90" w:type="dxa"/>
            </w:tcMar>
            <w:vAlign w:val="center"/>
          </w:tcPr>
          <w:p w14:paraId="5F5AFCAC" w14:textId="77777777" w:rsidR="005D3C66" w:rsidRDefault="002D5DDE">
            <w:pPr>
              <w:bidi/>
              <w:jc w:val="right"/>
            </w:pPr>
            <w:r>
              <w:rPr>
                <w:b/>
                <w:sz w:val="21"/>
                <w:rtl/>
              </w:rPr>
              <w:t>المحور الرئيس</w:t>
            </w:r>
          </w:p>
        </w:tc>
        <w:tc>
          <w:tcPr>
            <w:tcW w:w="2268" w:type="dxa"/>
            <w:shd w:val="clear" w:color="auto" w:fill="D9E2F3"/>
            <w:tcMar>
              <w:top w:w="80" w:type="dxa"/>
              <w:left w:w="90" w:type="dxa"/>
              <w:bottom w:w="80" w:type="dxa"/>
              <w:right w:w="90" w:type="dxa"/>
            </w:tcMar>
            <w:vAlign w:val="center"/>
          </w:tcPr>
          <w:p w14:paraId="409C4054" w14:textId="77777777" w:rsidR="005D3C66" w:rsidRDefault="002D5DDE">
            <w:pPr>
              <w:bidi/>
              <w:jc w:val="right"/>
            </w:pPr>
            <w:r>
              <w:rPr>
                <w:b/>
                <w:sz w:val="21"/>
                <w:rtl/>
              </w:rPr>
              <w:t>الصلة بالرسالة الحالية</w:t>
            </w:r>
          </w:p>
        </w:tc>
      </w:tr>
      <w:tr w:rsidR="005D3C66" w14:paraId="68DFF555" w14:textId="77777777">
        <w:trPr>
          <w:jc w:val="center"/>
        </w:trPr>
        <w:tc>
          <w:tcPr>
            <w:tcW w:w="2268" w:type="dxa"/>
            <w:tcMar>
              <w:top w:w="80" w:type="dxa"/>
              <w:left w:w="90" w:type="dxa"/>
              <w:bottom w:w="80" w:type="dxa"/>
              <w:right w:w="90" w:type="dxa"/>
            </w:tcMar>
            <w:vAlign w:val="center"/>
          </w:tcPr>
          <w:p w14:paraId="118A11DA" w14:textId="77777777" w:rsidR="005D3C66" w:rsidRDefault="002D5DDE">
            <w:pPr>
              <w:bidi/>
              <w:jc w:val="right"/>
            </w:pPr>
            <w:r>
              <w:rPr>
                <w:sz w:val="21"/>
                <w:rtl/>
              </w:rPr>
              <w:t>بوزانة وحمدوش (2023)</w:t>
            </w:r>
          </w:p>
        </w:tc>
        <w:tc>
          <w:tcPr>
            <w:tcW w:w="2268" w:type="dxa"/>
            <w:tcMar>
              <w:top w:w="80" w:type="dxa"/>
              <w:left w:w="90" w:type="dxa"/>
              <w:bottom w:w="80" w:type="dxa"/>
              <w:right w:w="90" w:type="dxa"/>
            </w:tcMar>
            <w:vAlign w:val="center"/>
          </w:tcPr>
          <w:p w14:paraId="78DB975B" w14:textId="77777777" w:rsidR="005D3C66" w:rsidRDefault="002D5DDE">
            <w:pPr>
              <w:bidi/>
              <w:jc w:val="right"/>
            </w:pPr>
            <w:r>
              <w:rPr>
                <w:sz w:val="21"/>
                <w:rtl/>
              </w:rPr>
              <w:t>الجزائر</w:t>
            </w:r>
          </w:p>
        </w:tc>
        <w:tc>
          <w:tcPr>
            <w:tcW w:w="2268" w:type="dxa"/>
            <w:tcMar>
              <w:top w:w="80" w:type="dxa"/>
              <w:left w:w="90" w:type="dxa"/>
              <w:bottom w:w="80" w:type="dxa"/>
              <w:right w:w="90" w:type="dxa"/>
            </w:tcMar>
            <w:vAlign w:val="center"/>
          </w:tcPr>
          <w:p w14:paraId="1B4A82FC" w14:textId="77777777" w:rsidR="005D3C66" w:rsidRDefault="002D5DDE">
            <w:pPr>
              <w:bidi/>
              <w:jc w:val="right"/>
            </w:pPr>
            <w:r>
              <w:rPr>
                <w:sz w:val="21"/>
                <w:rtl/>
              </w:rPr>
              <w:t>التكنولوجيا المالية والشمول المالي</w:t>
            </w:r>
          </w:p>
        </w:tc>
        <w:tc>
          <w:tcPr>
            <w:tcW w:w="2268" w:type="dxa"/>
            <w:tcMar>
              <w:top w:w="80" w:type="dxa"/>
              <w:left w:w="90" w:type="dxa"/>
              <w:bottom w:w="80" w:type="dxa"/>
              <w:right w:w="90" w:type="dxa"/>
            </w:tcMar>
            <w:vAlign w:val="center"/>
          </w:tcPr>
          <w:p w14:paraId="148FBA04" w14:textId="77777777" w:rsidR="005D3C66" w:rsidRDefault="002D5DDE">
            <w:pPr>
              <w:bidi/>
              <w:jc w:val="right"/>
            </w:pPr>
            <w:r>
              <w:rPr>
                <w:sz w:val="21"/>
                <w:rtl/>
              </w:rPr>
              <w:t>توضح دور الشمول، لكن في سياق مختلف.</w:t>
            </w:r>
          </w:p>
        </w:tc>
      </w:tr>
      <w:tr w:rsidR="005D3C66" w14:paraId="5F88445D" w14:textId="77777777">
        <w:trPr>
          <w:jc w:val="center"/>
        </w:trPr>
        <w:tc>
          <w:tcPr>
            <w:tcW w:w="2268" w:type="dxa"/>
            <w:tcMar>
              <w:top w:w="80" w:type="dxa"/>
              <w:left w:w="90" w:type="dxa"/>
              <w:bottom w:w="80" w:type="dxa"/>
              <w:right w:w="90" w:type="dxa"/>
            </w:tcMar>
            <w:vAlign w:val="center"/>
          </w:tcPr>
          <w:p w14:paraId="72D39B76" w14:textId="77777777" w:rsidR="005D3C66" w:rsidRDefault="002D5DDE">
            <w:pPr>
              <w:bidi/>
              <w:jc w:val="right"/>
            </w:pPr>
            <w:r>
              <w:rPr>
                <w:sz w:val="21"/>
                <w:rtl/>
              </w:rPr>
              <w:t>غانم وآخرون (2025)</w:t>
            </w:r>
          </w:p>
        </w:tc>
        <w:tc>
          <w:tcPr>
            <w:tcW w:w="2268" w:type="dxa"/>
            <w:tcMar>
              <w:top w:w="80" w:type="dxa"/>
              <w:left w:w="90" w:type="dxa"/>
              <w:bottom w:w="80" w:type="dxa"/>
              <w:right w:w="90" w:type="dxa"/>
            </w:tcMar>
            <w:vAlign w:val="center"/>
          </w:tcPr>
          <w:p w14:paraId="3AFFF90D" w14:textId="77777777" w:rsidR="005D3C66" w:rsidRDefault="002D5DDE">
            <w:pPr>
              <w:bidi/>
              <w:jc w:val="right"/>
            </w:pPr>
            <w:r>
              <w:rPr>
                <w:sz w:val="21"/>
                <w:rtl/>
              </w:rPr>
              <w:t>مصر</w:t>
            </w:r>
          </w:p>
        </w:tc>
        <w:tc>
          <w:tcPr>
            <w:tcW w:w="2268" w:type="dxa"/>
            <w:tcMar>
              <w:top w:w="80" w:type="dxa"/>
              <w:left w:w="90" w:type="dxa"/>
              <w:bottom w:w="80" w:type="dxa"/>
              <w:right w:w="90" w:type="dxa"/>
            </w:tcMar>
            <w:vAlign w:val="center"/>
          </w:tcPr>
          <w:p w14:paraId="090232E1" w14:textId="77777777" w:rsidR="005D3C66" w:rsidRDefault="002D5DDE">
            <w:pPr>
              <w:bidi/>
              <w:jc w:val="right"/>
            </w:pPr>
            <w:r>
              <w:rPr>
                <w:sz w:val="21"/>
                <w:rtl/>
              </w:rPr>
              <w:t>التكنولوجيا المالية وجودة الخدمات المصرفية</w:t>
            </w:r>
          </w:p>
        </w:tc>
        <w:tc>
          <w:tcPr>
            <w:tcW w:w="2268" w:type="dxa"/>
            <w:tcMar>
              <w:top w:w="80" w:type="dxa"/>
              <w:left w:w="90" w:type="dxa"/>
              <w:bottom w:w="80" w:type="dxa"/>
              <w:right w:w="90" w:type="dxa"/>
            </w:tcMar>
            <w:vAlign w:val="center"/>
          </w:tcPr>
          <w:p w14:paraId="34669C55" w14:textId="77777777" w:rsidR="005D3C66" w:rsidRDefault="002D5DDE">
            <w:pPr>
              <w:bidi/>
              <w:jc w:val="right"/>
            </w:pPr>
            <w:r>
              <w:rPr>
                <w:sz w:val="21"/>
                <w:rtl/>
              </w:rPr>
              <w:t>تدعم أثر خدمات التكنولوجيا المالية، لكن لا تتناول الشمول مباشرة.</w:t>
            </w:r>
          </w:p>
        </w:tc>
      </w:tr>
      <w:tr w:rsidR="005D3C66" w14:paraId="295A994B" w14:textId="77777777">
        <w:trPr>
          <w:jc w:val="center"/>
        </w:trPr>
        <w:tc>
          <w:tcPr>
            <w:tcW w:w="2268" w:type="dxa"/>
            <w:tcMar>
              <w:top w:w="80" w:type="dxa"/>
              <w:left w:w="90" w:type="dxa"/>
              <w:bottom w:w="80" w:type="dxa"/>
              <w:right w:w="90" w:type="dxa"/>
            </w:tcMar>
            <w:vAlign w:val="center"/>
          </w:tcPr>
          <w:p w14:paraId="09B39BAD" w14:textId="77777777" w:rsidR="005D3C66" w:rsidRDefault="002D5DDE">
            <w:pPr>
              <w:bidi/>
              <w:jc w:val="right"/>
            </w:pPr>
            <w:r>
              <w:rPr>
                <w:sz w:val="21"/>
                <w:rtl/>
              </w:rPr>
              <w:t>محمد (2023)</w:t>
            </w:r>
          </w:p>
        </w:tc>
        <w:tc>
          <w:tcPr>
            <w:tcW w:w="2268" w:type="dxa"/>
            <w:tcMar>
              <w:top w:w="80" w:type="dxa"/>
              <w:left w:w="90" w:type="dxa"/>
              <w:bottom w:w="80" w:type="dxa"/>
              <w:right w:w="90" w:type="dxa"/>
            </w:tcMar>
            <w:vAlign w:val="center"/>
          </w:tcPr>
          <w:p w14:paraId="4A67E0F0" w14:textId="77777777" w:rsidR="005D3C66" w:rsidRDefault="002D5DDE">
            <w:pPr>
              <w:bidi/>
              <w:jc w:val="right"/>
            </w:pPr>
            <w:r>
              <w:rPr>
                <w:sz w:val="21"/>
                <w:rtl/>
              </w:rPr>
              <w:t>مصر</w:t>
            </w:r>
          </w:p>
        </w:tc>
        <w:tc>
          <w:tcPr>
            <w:tcW w:w="2268" w:type="dxa"/>
            <w:tcMar>
              <w:top w:w="80" w:type="dxa"/>
              <w:left w:w="90" w:type="dxa"/>
              <w:bottom w:w="80" w:type="dxa"/>
              <w:right w:w="90" w:type="dxa"/>
            </w:tcMar>
            <w:vAlign w:val="center"/>
          </w:tcPr>
          <w:p w14:paraId="0E2D2DA8" w14:textId="77777777" w:rsidR="005D3C66" w:rsidRDefault="002D5DDE">
            <w:pPr>
              <w:bidi/>
              <w:jc w:val="right"/>
            </w:pPr>
            <w:r>
              <w:rPr>
                <w:sz w:val="21"/>
                <w:rtl/>
              </w:rPr>
              <w:t>التكنولوجيا المالية والشمول والتنمية المستدامة</w:t>
            </w:r>
          </w:p>
        </w:tc>
        <w:tc>
          <w:tcPr>
            <w:tcW w:w="2268" w:type="dxa"/>
            <w:tcMar>
              <w:top w:w="80" w:type="dxa"/>
              <w:left w:w="90" w:type="dxa"/>
              <w:bottom w:w="80" w:type="dxa"/>
              <w:right w:w="90" w:type="dxa"/>
            </w:tcMar>
            <w:vAlign w:val="center"/>
          </w:tcPr>
          <w:p w14:paraId="763D5108" w14:textId="77777777" w:rsidR="005D3C66" w:rsidRDefault="002D5DDE">
            <w:pPr>
              <w:bidi/>
              <w:jc w:val="right"/>
            </w:pPr>
            <w:r>
              <w:rPr>
                <w:sz w:val="21"/>
                <w:rtl/>
              </w:rPr>
              <w:t>تربط التكنولوجيا المالية بالشمول في القطاع المصرفي.</w:t>
            </w:r>
          </w:p>
        </w:tc>
      </w:tr>
      <w:tr w:rsidR="005D3C66" w14:paraId="6684F670" w14:textId="77777777">
        <w:trPr>
          <w:jc w:val="center"/>
        </w:trPr>
        <w:tc>
          <w:tcPr>
            <w:tcW w:w="2268" w:type="dxa"/>
            <w:tcMar>
              <w:top w:w="80" w:type="dxa"/>
              <w:left w:w="90" w:type="dxa"/>
              <w:bottom w:w="80" w:type="dxa"/>
              <w:right w:w="90" w:type="dxa"/>
            </w:tcMar>
            <w:vAlign w:val="center"/>
          </w:tcPr>
          <w:p w14:paraId="13B78F9E" w14:textId="77777777" w:rsidR="005D3C66" w:rsidRDefault="002D5DDE">
            <w:pPr>
              <w:bidi/>
              <w:jc w:val="right"/>
            </w:pPr>
            <w:r>
              <w:rPr>
                <w:sz w:val="21"/>
                <w:rtl/>
              </w:rPr>
              <w:t>عيد وحسب (2021)</w:t>
            </w:r>
          </w:p>
        </w:tc>
        <w:tc>
          <w:tcPr>
            <w:tcW w:w="2268" w:type="dxa"/>
            <w:tcMar>
              <w:top w:w="80" w:type="dxa"/>
              <w:left w:w="90" w:type="dxa"/>
              <w:bottom w:w="80" w:type="dxa"/>
              <w:right w:w="90" w:type="dxa"/>
            </w:tcMar>
            <w:vAlign w:val="center"/>
          </w:tcPr>
          <w:p w14:paraId="040D4AD0" w14:textId="77777777" w:rsidR="005D3C66" w:rsidRDefault="002D5DDE">
            <w:pPr>
              <w:bidi/>
              <w:jc w:val="right"/>
            </w:pPr>
            <w:r>
              <w:rPr>
                <w:sz w:val="21"/>
                <w:rtl/>
              </w:rPr>
              <w:t>مصر</w:t>
            </w:r>
          </w:p>
        </w:tc>
        <w:tc>
          <w:tcPr>
            <w:tcW w:w="2268" w:type="dxa"/>
            <w:tcMar>
              <w:top w:w="80" w:type="dxa"/>
              <w:left w:w="90" w:type="dxa"/>
              <w:bottom w:w="80" w:type="dxa"/>
              <w:right w:w="90" w:type="dxa"/>
            </w:tcMar>
            <w:vAlign w:val="center"/>
          </w:tcPr>
          <w:p w14:paraId="0CFBB9B3" w14:textId="77777777" w:rsidR="005D3C66" w:rsidRDefault="002D5DDE">
            <w:pPr>
              <w:bidi/>
              <w:jc w:val="right"/>
            </w:pPr>
            <w:r>
              <w:rPr>
                <w:sz w:val="21"/>
                <w:rtl/>
              </w:rPr>
              <w:t>محددات تبني التكنولوجيا المالية</w:t>
            </w:r>
          </w:p>
        </w:tc>
        <w:tc>
          <w:tcPr>
            <w:tcW w:w="2268" w:type="dxa"/>
            <w:tcMar>
              <w:top w:w="80" w:type="dxa"/>
              <w:left w:w="90" w:type="dxa"/>
              <w:bottom w:w="80" w:type="dxa"/>
              <w:right w:w="90" w:type="dxa"/>
            </w:tcMar>
            <w:vAlign w:val="center"/>
          </w:tcPr>
          <w:p w14:paraId="300FBAFB" w14:textId="77777777" w:rsidR="005D3C66" w:rsidRDefault="002D5DDE">
            <w:pPr>
              <w:bidi/>
              <w:jc w:val="right"/>
            </w:pPr>
            <w:r>
              <w:rPr>
                <w:sz w:val="21"/>
                <w:rtl/>
              </w:rPr>
              <w:t>تدعم دور المنفعة والثقة وسهولة الاستخدام.</w:t>
            </w:r>
          </w:p>
        </w:tc>
      </w:tr>
      <w:tr w:rsidR="005D3C66" w14:paraId="7E28E6C2" w14:textId="77777777">
        <w:trPr>
          <w:jc w:val="center"/>
        </w:trPr>
        <w:tc>
          <w:tcPr>
            <w:tcW w:w="2268" w:type="dxa"/>
            <w:tcMar>
              <w:top w:w="80" w:type="dxa"/>
              <w:left w:w="90" w:type="dxa"/>
              <w:bottom w:w="80" w:type="dxa"/>
              <w:right w:w="90" w:type="dxa"/>
            </w:tcMar>
            <w:vAlign w:val="center"/>
          </w:tcPr>
          <w:p w14:paraId="15EF1CED" w14:textId="77777777" w:rsidR="005D3C66" w:rsidRDefault="002D5DDE">
            <w:pPr>
              <w:bidi/>
              <w:jc w:val="right"/>
            </w:pPr>
            <w:r>
              <w:rPr>
                <w:sz w:val="21"/>
                <w:rtl/>
              </w:rPr>
              <w:t>بن زيد وآخرون (2022)</w:t>
            </w:r>
          </w:p>
        </w:tc>
        <w:tc>
          <w:tcPr>
            <w:tcW w:w="2268" w:type="dxa"/>
            <w:tcMar>
              <w:top w:w="80" w:type="dxa"/>
              <w:left w:w="90" w:type="dxa"/>
              <w:bottom w:w="80" w:type="dxa"/>
              <w:right w:w="90" w:type="dxa"/>
            </w:tcMar>
            <w:vAlign w:val="center"/>
          </w:tcPr>
          <w:p w14:paraId="11357BB4" w14:textId="77777777" w:rsidR="005D3C66" w:rsidRDefault="002D5DDE">
            <w:pPr>
              <w:bidi/>
              <w:jc w:val="right"/>
            </w:pPr>
            <w:r>
              <w:rPr>
                <w:sz w:val="21"/>
                <w:rtl/>
              </w:rPr>
              <w:t>الجزائر</w:t>
            </w:r>
          </w:p>
        </w:tc>
        <w:tc>
          <w:tcPr>
            <w:tcW w:w="2268" w:type="dxa"/>
            <w:tcMar>
              <w:top w:w="80" w:type="dxa"/>
              <w:left w:w="90" w:type="dxa"/>
              <w:bottom w:w="80" w:type="dxa"/>
              <w:right w:w="90" w:type="dxa"/>
            </w:tcMar>
            <w:vAlign w:val="center"/>
          </w:tcPr>
          <w:p w14:paraId="4BD7666E" w14:textId="77777777" w:rsidR="005D3C66" w:rsidRDefault="002D5DDE">
            <w:pPr>
              <w:bidi/>
              <w:jc w:val="right"/>
            </w:pPr>
            <w:r>
              <w:rPr>
                <w:sz w:val="21"/>
                <w:rtl/>
              </w:rPr>
              <w:t>التكنولوجيا المالية والربحية</w:t>
            </w:r>
          </w:p>
        </w:tc>
        <w:tc>
          <w:tcPr>
            <w:tcW w:w="2268" w:type="dxa"/>
            <w:tcMar>
              <w:top w:w="80" w:type="dxa"/>
              <w:left w:w="90" w:type="dxa"/>
              <w:bottom w:w="80" w:type="dxa"/>
              <w:right w:w="90" w:type="dxa"/>
            </w:tcMar>
            <w:vAlign w:val="center"/>
          </w:tcPr>
          <w:p w14:paraId="21817316" w14:textId="77777777" w:rsidR="005D3C66" w:rsidRDefault="002D5DDE">
            <w:pPr>
              <w:bidi/>
              <w:jc w:val="right"/>
            </w:pPr>
            <w:r>
              <w:rPr>
                <w:sz w:val="21"/>
                <w:rtl/>
              </w:rPr>
              <w:t>توضح آثارًا قابلة للقياس في الأداء المصرفي.</w:t>
            </w:r>
          </w:p>
        </w:tc>
      </w:tr>
      <w:tr w:rsidR="005D3C66" w14:paraId="63553F46" w14:textId="77777777">
        <w:trPr>
          <w:jc w:val="center"/>
        </w:trPr>
        <w:tc>
          <w:tcPr>
            <w:tcW w:w="2268" w:type="dxa"/>
            <w:tcMar>
              <w:top w:w="80" w:type="dxa"/>
              <w:left w:w="90" w:type="dxa"/>
              <w:bottom w:w="80" w:type="dxa"/>
              <w:right w:w="90" w:type="dxa"/>
            </w:tcMar>
            <w:vAlign w:val="center"/>
          </w:tcPr>
          <w:p w14:paraId="0229A388" w14:textId="77777777" w:rsidR="005D3C66" w:rsidRDefault="002D5DDE">
            <w:pPr>
              <w:bidi/>
              <w:jc w:val="right"/>
            </w:pPr>
            <w:r>
              <w:rPr>
                <w:sz w:val="21"/>
                <w:rtl/>
              </w:rPr>
              <w:t>العلي والعبيدي (2024)</w:t>
            </w:r>
          </w:p>
        </w:tc>
        <w:tc>
          <w:tcPr>
            <w:tcW w:w="2268" w:type="dxa"/>
            <w:tcMar>
              <w:top w:w="80" w:type="dxa"/>
              <w:left w:w="90" w:type="dxa"/>
              <w:bottom w:w="80" w:type="dxa"/>
              <w:right w:w="90" w:type="dxa"/>
            </w:tcMar>
            <w:vAlign w:val="center"/>
          </w:tcPr>
          <w:p w14:paraId="1273400C" w14:textId="77777777" w:rsidR="005D3C66" w:rsidRDefault="002D5DDE">
            <w:pPr>
              <w:bidi/>
              <w:jc w:val="right"/>
            </w:pPr>
            <w:r>
              <w:rPr>
                <w:sz w:val="21"/>
                <w:rtl/>
              </w:rPr>
              <w:t>العراق</w:t>
            </w:r>
          </w:p>
        </w:tc>
        <w:tc>
          <w:tcPr>
            <w:tcW w:w="2268" w:type="dxa"/>
            <w:tcMar>
              <w:top w:w="80" w:type="dxa"/>
              <w:left w:w="90" w:type="dxa"/>
              <w:bottom w:w="80" w:type="dxa"/>
              <w:right w:w="90" w:type="dxa"/>
            </w:tcMar>
            <w:vAlign w:val="center"/>
          </w:tcPr>
          <w:p w14:paraId="6A6CC335" w14:textId="77777777" w:rsidR="005D3C66" w:rsidRDefault="002D5DDE">
            <w:pPr>
              <w:bidi/>
              <w:jc w:val="right"/>
            </w:pPr>
            <w:r>
              <w:rPr>
                <w:sz w:val="21"/>
                <w:rtl/>
              </w:rPr>
              <w:t>التكنولوجيا المالية والشمول المالي</w:t>
            </w:r>
          </w:p>
        </w:tc>
        <w:tc>
          <w:tcPr>
            <w:tcW w:w="2268" w:type="dxa"/>
            <w:tcMar>
              <w:top w:w="80" w:type="dxa"/>
              <w:left w:w="90" w:type="dxa"/>
              <w:bottom w:w="80" w:type="dxa"/>
              <w:right w:w="90" w:type="dxa"/>
            </w:tcMar>
            <w:vAlign w:val="center"/>
          </w:tcPr>
          <w:p w14:paraId="6989B798" w14:textId="77777777" w:rsidR="005D3C66" w:rsidRDefault="002D5DDE">
            <w:pPr>
              <w:bidi/>
              <w:jc w:val="right"/>
            </w:pPr>
            <w:r>
              <w:rPr>
                <w:sz w:val="21"/>
                <w:rtl/>
              </w:rPr>
              <w:t>تبرز سهولة الوصول والسرعة وانخفاض التكلفة.</w:t>
            </w:r>
          </w:p>
        </w:tc>
      </w:tr>
      <w:tr w:rsidR="005D3C66" w14:paraId="20B2C8EC" w14:textId="77777777">
        <w:trPr>
          <w:jc w:val="center"/>
        </w:trPr>
        <w:tc>
          <w:tcPr>
            <w:tcW w:w="2268" w:type="dxa"/>
            <w:tcMar>
              <w:top w:w="80" w:type="dxa"/>
              <w:left w:w="90" w:type="dxa"/>
              <w:bottom w:w="80" w:type="dxa"/>
              <w:right w:w="90" w:type="dxa"/>
            </w:tcMar>
            <w:vAlign w:val="center"/>
          </w:tcPr>
          <w:p w14:paraId="58694056" w14:textId="77777777" w:rsidR="005D3C66" w:rsidRDefault="002D5DDE">
            <w:pPr>
              <w:bidi/>
              <w:jc w:val="right"/>
            </w:pPr>
            <w:r>
              <w:rPr>
                <w:sz w:val="21"/>
                <w:rtl/>
              </w:rPr>
              <w:t>قوتيل وعبد العزيز (2024)</w:t>
            </w:r>
          </w:p>
        </w:tc>
        <w:tc>
          <w:tcPr>
            <w:tcW w:w="2268" w:type="dxa"/>
            <w:tcMar>
              <w:top w:w="80" w:type="dxa"/>
              <w:left w:w="90" w:type="dxa"/>
              <w:bottom w:w="80" w:type="dxa"/>
              <w:right w:w="90" w:type="dxa"/>
            </w:tcMar>
            <w:vAlign w:val="center"/>
          </w:tcPr>
          <w:p w14:paraId="58D61043" w14:textId="77777777" w:rsidR="005D3C66" w:rsidRDefault="002D5DDE">
            <w:pPr>
              <w:bidi/>
              <w:jc w:val="right"/>
            </w:pPr>
            <w:r>
              <w:rPr>
                <w:sz w:val="21"/>
                <w:rtl/>
              </w:rPr>
              <w:t>دولة الإمارات العربية المتحدة</w:t>
            </w:r>
          </w:p>
        </w:tc>
        <w:tc>
          <w:tcPr>
            <w:tcW w:w="2268" w:type="dxa"/>
            <w:tcMar>
              <w:top w:w="80" w:type="dxa"/>
              <w:left w:w="90" w:type="dxa"/>
              <w:bottom w:w="80" w:type="dxa"/>
              <w:right w:w="90" w:type="dxa"/>
            </w:tcMar>
            <w:vAlign w:val="center"/>
          </w:tcPr>
          <w:p w14:paraId="273ABF32" w14:textId="77777777" w:rsidR="005D3C66" w:rsidRDefault="002D5DDE">
            <w:pPr>
              <w:bidi/>
              <w:jc w:val="right"/>
            </w:pPr>
            <w:r>
              <w:rPr>
                <w:sz w:val="21"/>
                <w:rtl/>
              </w:rPr>
              <w:t xml:space="preserve">الاستراتيجية الرقمية وتبني </w:t>
            </w:r>
            <w:r>
              <w:rPr>
                <w:sz w:val="21"/>
                <w:rtl/>
              </w:rPr>
              <w:lastRenderedPageBreak/>
              <w:t>التكنولوجيا المالية</w:t>
            </w:r>
          </w:p>
        </w:tc>
        <w:tc>
          <w:tcPr>
            <w:tcW w:w="2268" w:type="dxa"/>
            <w:tcMar>
              <w:top w:w="80" w:type="dxa"/>
              <w:left w:w="90" w:type="dxa"/>
              <w:bottom w:w="80" w:type="dxa"/>
              <w:right w:w="90" w:type="dxa"/>
            </w:tcMar>
            <w:vAlign w:val="center"/>
          </w:tcPr>
          <w:p w14:paraId="13C5A760" w14:textId="77777777" w:rsidR="005D3C66" w:rsidRDefault="002D5DDE">
            <w:pPr>
              <w:bidi/>
              <w:jc w:val="right"/>
            </w:pPr>
            <w:r>
              <w:rPr>
                <w:sz w:val="21"/>
                <w:rtl/>
              </w:rPr>
              <w:lastRenderedPageBreak/>
              <w:t xml:space="preserve">توفر سياق دولة الإمارات </w:t>
            </w:r>
            <w:r>
              <w:rPr>
                <w:sz w:val="21"/>
                <w:rtl/>
              </w:rPr>
              <w:lastRenderedPageBreak/>
              <w:t>للتحول الرقمي.</w:t>
            </w:r>
          </w:p>
        </w:tc>
      </w:tr>
    </w:tbl>
    <w:p w14:paraId="05D2BE4F" w14:textId="77777777" w:rsidR="005D3C66" w:rsidRDefault="005D3C66"/>
    <w:p w14:paraId="00DB9580" w14:textId="77777777" w:rsidR="005D3C66" w:rsidRDefault="002D5DDE">
      <w:pPr>
        <w:pStyle w:val="Heading2"/>
        <w:bidi/>
        <w:jc w:val="right"/>
      </w:pPr>
      <w:r>
        <w:rPr>
          <w:rFonts w:ascii="Arial" w:eastAsia="Arial" w:hAnsi="Arial" w:cs="Arial"/>
          <w:rtl/>
        </w:rPr>
        <w:t>2.6 التعليق على الدراسات السابقة والفجوة البحثية</w:t>
      </w:r>
    </w:p>
    <w:p w14:paraId="0302F6D7" w14:textId="77777777" w:rsidR="005D3C66" w:rsidRDefault="002D5DDE">
      <w:pPr>
        <w:bidi/>
        <w:jc w:val="both"/>
      </w:pPr>
      <w:r>
        <w:rPr>
          <w:rtl/>
        </w:rPr>
        <w:t>تشير الدراسات التي جرت مراجعتها مجتمعةً إلى أن التكنولوجيا المالية يمكن أن تؤثر في الأداء المصرفي، وتجربة العميل، وجودة الخدمة، والربحية، والشمول. غير أن قوة هذا التأثير وطبيعته تختلفان باختلاف الدولة، ونضج البنية الرقمية، والبيئة التنظيمية، واستعداد المستخدمين. ويبرر هذا التباين الحاجة إلى تحليل تجريبي خاص بكل دولة بدلًا من الاكتفاء بافتراضات عامة قائمة على الاتجاهات العالمية.</w:t>
      </w:r>
    </w:p>
    <w:p w14:paraId="23C45772" w14:textId="77777777" w:rsidR="005D3C66" w:rsidRDefault="002D5DDE">
      <w:pPr>
        <w:bidi/>
        <w:jc w:val="both"/>
      </w:pPr>
      <w:r>
        <w:rPr>
          <w:rtl/>
        </w:rPr>
        <w:t>من الموضوعات المتكررة في الدراسات السابقة أن التكنولوجيا المالية تحسن الكفاءة والملاءمة، لكن الشمول يتطلب انخراطًا أعمق. فالكفاءة نتيجة مؤسسية في المقام الأول، بينما يختبر المستخدمون الشمول بصورة مباشرة. وقد يقلل البنك زمن المعالجة، ومع ذلك يظل الفرد المستبعد ماليًا يواجه عوائق إذا كانت الخدمة الرقمية غير موثوقة، أو مرتفعة التكلفة، أو صعبة الفهم، أو غير ملائمة. ولذلك يجب أن تقيّم دراسات الشمول أثر التكنولوجيا من منظور المستخدم.</w:t>
      </w:r>
    </w:p>
    <w:p w14:paraId="3E5B7E60" w14:textId="77777777" w:rsidR="005D3C66" w:rsidRDefault="002D5DDE">
      <w:pPr>
        <w:bidi/>
        <w:jc w:val="both"/>
      </w:pPr>
      <w:r>
        <w:rPr>
          <w:rtl/>
        </w:rPr>
        <w:t>ويتمثل نمط آخر في أن كثيرًا من الدراسات تتعامل مع التكنولوجيا المالية بوصفها متغيرًا عامًا واحدًا. ورغم فائدة هذا النهج في النقاش العام، فإنه قد يحجب فروقًا مهمة بين التقنيات. فقد تكون المدفوعات الرقمية أوسع استخدامًا من التمويل الرقمي، وقد تؤثر الخدمات المصرفية عبر الهاتف المحمول في الاستخدام بصورة مباشرة أكثر من المحافظ الإلكترونية، وقد يتطلب التمويل الرقمي مستويات أعلى من الثقة والمستندات. ولذلك تفصل الرسالة الحالية التكنولوجيا المالية إلى أربعة أبعاد لتقديم تحليل أكثر تفصيلًا.</w:t>
      </w:r>
    </w:p>
    <w:p w14:paraId="570BFEC7" w14:textId="77777777" w:rsidR="005D3C66" w:rsidRDefault="002D5DDE">
      <w:pPr>
        <w:bidi/>
        <w:jc w:val="both"/>
      </w:pPr>
      <w:r>
        <w:rPr>
          <w:rtl/>
        </w:rPr>
        <w:t>وتبين الأدبيات كذلك أن الشمول المالي ليس مسألة تقنية بحتة؛ فهو يرتبط بالتنظيم، وحماية المستهلك، والثقافة الرقمية، وتصميم الخدمة، وملاءمة المنتجات، والثقة المؤسسية. ويعني ذلك أن التكنولوجيا المالية ينبغي أن تُفسر بوصفها آلية تمكين لا حلًا كاملًا. وتتمثل القيمة العملية للدراسة الحالية في تحديد الأدوات الرقمية الأكثر ارتباطًا بالشمول، وما يترتب على ذلك بالنسبة إلى الاستراتيجية المصرفية.</w:t>
      </w:r>
    </w:p>
    <w:p w14:paraId="023A0EFC" w14:textId="77777777" w:rsidR="005D3C66" w:rsidRDefault="002D5DDE">
      <w:pPr>
        <w:bidi/>
        <w:jc w:val="both"/>
      </w:pPr>
      <w:r>
        <w:rPr>
          <w:rtl/>
        </w:rPr>
        <w:t>تتمثل الفجوة البحثية التي تعالجها هذه الرسالة في الحاجة إلى فحص تفصيلي ومرتبط بالسياق لكيفية تأثير أبعاد مختارة للتكنولوجيا المالية في الشمول المالي بالقطاع المصرفي في دولة الإمارات. ولا تتعامل الدراسة مع التكنولوجيا المالية بوصفها مفهومًا عامًا واحدًا، بل تختبر المدفوعات الرقمية، والمحافظ الإلكترونية، والخدمات المصرفية عبر الهاتف المحمول، والتمويل الرقمي كلًا على حدة. ويتيح ذلك للتحليل تحديد الأبعاد التي قد تكون أكثر تأثيرًا وأسباب ذلك.</w:t>
      </w:r>
    </w:p>
    <w:p w14:paraId="085D823D" w14:textId="77777777" w:rsidR="005D3C66" w:rsidRDefault="002D5DDE">
      <w:pPr>
        <w:pStyle w:val="Heading2"/>
        <w:bidi/>
        <w:jc w:val="right"/>
      </w:pPr>
      <w:r>
        <w:rPr>
          <w:rFonts w:ascii="Arial" w:eastAsia="Arial" w:hAnsi="Arial" w:cs="Arial"/>
          <w:rtl/>
        </w:rPr>
        <w:t>2.7 الإطار المفاهيمي</w:t>
      </w:r>
    </w:p>
    <w:p w14:paraId="065A037B" w14:textId="77777777" w:rsidR="005D3C66" w:rsidRDefault="002D5DDE">
      <w:pPr>
        <w:bidi/>
        <w:jc w:val="both"/>
      </w:pPr>
      <w:r>
        <w:rPr>
          <w:rtl/>
        </w:rPr>
        <w:t>يفترض الإطار المفاهيمي أن أبعاد التكنولوجيا المالية الأربعة تعمل بوصفها متغيرات مستقلة، وأن الشمول المالي يعمل بوصفه المتغير التابع. ويقترح النموذج أن زيادة استخدام المدفوعات الرقمية، والمحافظ الإلكترونية، والخدمات المصرفية عبر الهاتف المحمول، والتمويل الرقمي وقبولها ستؤثر إيجابيًا في الشمول المالي المتصور. ويتسق الإطار مع نظرية انتشار الابتكار، ونموذج قبول التكنولوجيا، ونظرية الشمول المالي.</w:t>
      </w:r>
    </w:p>
    <w:p w14:paraId="46443B53" w14:textId="77777777" w:rsidR="005D3C66" w:rsidRDefault="002D5DDE">
      <w:pPr>
        <w:jc w:val="center"/>
      </w:pPr>
      <w:r>
        <w:rPr>
          <w:noProof/>
        </w:rPr>
        <w:lastRenderedPageBreak/>
        <w:drawing>
          <wp:inline distT="0" distB="0" distL="0" distR="0" wp14:anchorId="1BA4A58F" wp14:editId="16702649">
            <wp:extent cx="5220000" cy="348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eptual_framework.png"/>
                    <pic:cNvPicPr/>
                  </pic:nvPicPr>
                  <pic:blipFill>
                    <a:blip r:embed="rId9"/>
                    <a:stretch>
                      <a:fillRect/>
                    </a:stretch>
                  </pic:blipFill>
                  <pic:spPr>
                    <a:xfrm>
                      <a:off x="0" y="0"/>
                      <a:ext cx="5220000" cy="3480000"/>
                    </a:xfrm>
                    <a:prstGeom prst="rect">
                      <a:avLst/>
                    </a:prstGeom>
                  </pic:spPr>
                </pic:pic>
              </a:graphicData>
            </a:graphic>
          </wp:inline>
        </w:drawing>
      </w:r>
    </w:p>
    <w:p w14:paraId="42A4ABD5" w14:textId="77777777" w:rsidR="005D3C66" w:rsidRDefault="002D5DDE">
      <w:pPr>
        <w:bidi/>
        <w:spacing w:before="80" w:after="200"/>
        <w:jc w:val="center"/>
      </w:pPr>
      <w:r>
        <w:rPr>
          <w:rtl/>
        </w:rPr>
        <w:t>الشكل 2‑1: الإطار المفاهيمي للدراسة</w:t>
      </w:r>
    </w:p>
    <w:sectPr w:rsidR="005D3C66" w:rsidSect="00034616">
      <w:footerReference w:type="default" r:id="rId10"/>
      <w:pgSz w:w="11906" w:h="16838"/>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332F750" w14:textId="77777777" w:rsidR="00E266E5" w:rsidRDefault="00E266E5">
      <w:pPr>
        <w:spacing w:after="0" w:line="240" w:lineRule="auto"/>
      </w:pPr>
      <w:r>
        <w:separator/>
      </w:r>
    </w:p>
  </w:endnote>
  <w:endnote w:type="continuationSeparator" w:id="0">
    <w:p w14:paraId="6157C591" w14:textId="77777777" w:rsidR="00E266E5" w:rsidRDefault="00E26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7F5B98" w14:textId="6A54647D" w:rsidR="005D3C66" w:rsidRDefault="002D5DDE">
    <w:pPr>
      <w:pStyle w:val="Footer"/>
      <w:jc w:val="center"/>
    </w:pPr>
    <w:r>
      <w:fldChar w:fldCharType="begin"/>
    </w:r>
    <w:r>
      <w:instrText xml:space="preserve"> PAGE </w:instrText>
    </w:r>
    <w:r>
      <w:fldChar w:fldCharType="separate"/>
    </w:r>
    <w:r w:rsidR="008B1A0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106CD1E" w14:textId="77777777" w:rsidR="00E266E5" w:rsidRDefault="00E266E5">
      <w:pPr>
        <w:spacing w:after="0" w:line="240" w:lineRule="auto"/>
      </w:pPr>
      <w:r>
        <w:separator/>
      </w:r>
    </w:p>
  </w:footnote>
  <w:footnote w:type="continuationSeparator" w:id="0">
    <w:p w14:paraId="649E91BC" w14:textId="77777777" w:rsidR="00E266E5" w:rsidRDefault="00E266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06279092">
    <w:abstractNumId w:val="8"/>
  </w:num>
  <w:num w:numId="2" w16cid:durableId="898516552">
    <w:abstractNumId w:val="6"/>
  </w:num>
  <w:num w:numId="3" w16cid:durableId="1510103553">
    <w:abstractNumId w:val="5"/>
  </w:num>
  <w:num w:numId="4" w16cid:durableId="1948657683">
    <w:abstractNumId w:val="4"/>
  </w:num>
  <w:num w:numId="5" w16cid:durableId="674771814">
    <w:abstractNumId w:val="7"/>
  </w:num>
  <w:num w:numId="6" w16cid:durableId="1924408414">
    <w:abstractNumId w:val="3"/>
  </w:num>
  <w:num w:numId="7" w16cid:durableId="1246646275">
    <w:abstractNumId w:val="2"/>
  </w:num>
  <w:num w:numId="8" w16cid:durableId="808667574">
    <w:abstractNumId w:val="1"/>
  </w:num>
  <w:num w:numId="9" w16cid:durableId="24511397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3"/>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C91"/>
    <w:rsid w:val="00034616"/>
    <w:rsid w:val="00041BA2"/>
    <w:rsid w:val="0006063C"/>
    <w:rsid w:val="0015074B"/>
    <w:rsid w:val="00170A60"/>
    <w:rsid w:val="00185E2E"/>
    <w:rsid w:val="0027240D"/>
    <w:rsid w:val="0029639D"/>
    <w:rsid w:val="002D5DDE"/>
    <w:rsid w:val="00326F90"/>
    <w:rsid w:val="0038747E"/>
    <w:rsid w:val="00476D0B"/>
    <w:rsid w:val="005D3C66"/>
    <w:rsid w:val="008B1A04"/>
    <w:rsid w:val="00A664A1"/>
    <w:rsid w:val="00AA1D8D"/>
    <w:rsid w:val="00B47730"/>
    <w:rsid w:val="00CA0CAA"/>
    <w:rsid w:val="00CB0664"/>
    <w:rsid w:val="00D529CD"/>
    <w:rsid w:val="00D77ADD"/>
    <w:rsid w:val="00E266E5"/>
    <w:rsid w:val="00FB559C"/>
    <w:rsid w:val="00FC5D2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97FF60BB-0DE8-4D67-96DA-AE86FF8C4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cs="Arial"/>
      <w:sz w:val="26"/>
    </w:rPr>
  </w:style>
  <w:style w:type="paragraph" w:styleId="Heading1">
    <w:name w:val="heading 1"/>
    <w:basedOn w:val="Normal"/>
    <w:next w:val="Normal"/>
    <w:link w:val="Heading1Char"/>
    <w:uiPriority w:val="9"/>
    <w:qFormat/>
    <w:rsid w:val="00FC693F"/>
    <w:pPr>
      <w:keepNext/>
      <w:keepLines/>
      <w:spacing w:after="280"/>
      <w:outlineLvl w:val="0"/>
    </w:pPr>
    <w:rPr>
      <w:rFonts w:asciiTheme="majorHAnsi" w:eastAsiaTheme="majorEastAsia" w:hAnsiTheme="majorHAnsi" w:cstheme="majorBidi"/>
      <w:b/>
      <w:bCs/>
      <w:color w:val="365F91" w:themeColor="accent1" w:themeShade="BF"/>
      <w:sz w:val="36"/>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4F81BD" w:themeColor="accent1"/>
      <w:sz w:val="30"/>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4F81BD" w:themeColor="accent1"/>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4928</Words>
  <Characters>28090</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32953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الفصلان الأول والثاني - أثر استخدام التكنولوجيا المالية في تعزيز الشمول المالي</dc:title>
  <dc:subject>الفصل الأول والثاني من رسالة الماجستير</dc:subject>
  <dc:creator>محمد علي القحطاني</dc:creator>
  <cp:keywords/>
  <dc:description>generated by python-docx</dc:description>
  <cp:lastModifiedBy>Microsoft Office User</cp:lastModifiedBy>
  <cp:revision>2</cp:revision>
  <cp:lastPrinted>2026-07-16T13:01:00Z</cp:lastPrinted>
  <dcterms:created xsi:type="dcterms:W3CDTF">2026-07-17T19:54:00Z</dcterms:created>
  <dcterms:modified xsi:type="dcterms:W3CDTF">2026-07-17T19:54:00Z</dcterms:modified>
  <cp:category/>
</cp:coreProperties>
</file>