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665AA9A4" w:rsidR="00F85E32" w:rsidRPr="00F85E32" w:rsidRDefault="003637AE" w:rsidP="00210E63">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 xml:space="preserve">الفصل </w:t>
      </w:r>
      <w:r w:rsidR="00603B59">
        <w:rPr>
          <w:rFonts w:ascii="Traditional Arabic" w:hAnsi="Traditional Arabic" w:cs="Traditional Arabic" w:hint="cs"/>
          <w:b/>
          <w:bCs/>
          <w:sz w:val="32"/>
          <w:szCs w:val="32"/>
          <w:rtl/>
        </w:rPr>
        <w:t>الثالث</w:t>
      </w:r>
      <w:r>
        <w:rPr>
          <w:rFonts w:ascii="Traditional Arabic" w:hAnsi="Traditional Arabic" w:cs="Traditional Arabic" w:hint="cs"/>
          <w:b/>
          <w:bCs/>
          <w:sz w:val="32"/>
          <w:szCs w:val="32"/>
          <w:rtl/>
        </w:rPr>
        <w:t xml:space="preserve"> (</w:t>
      </w:r>
      <w:r w:rsidR="00210E63" w:rsidRPr="00210E63">
        <w:rPr>
          <w:rFonts w:ascii="Traditional Arabic" w:hAnsi="Traditional Arabic" w:cs="Traditional Arabic"/>
          <w:b/>
          <w:bCs/>
          <w:sz w:val="32"/>
          <w:szCs w:val="32"/>
          <w:rtl/>
        </w:rPr>
        <w:t>المنهجية البحثية والإجراءات المنهجية</w:t>
      </w:r>
      <w:r>
        <w:rPr>
          <w:rFonts w:ascii="Traditional Arabic" w:hAnsi="Traditional Arabic" w:cs="Traditional Arabic" w:hint="cs"/>
          <w:b/>
          <w:bCs/>
          <w:sz w:val="32"/>
          <w:szCs w:val="32"/>
          <w:rtl/>
        </w:rPr>
        <w:t>)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761DE79C" w14:textId="77777777" w:rsidR="003637AE" w:rsidRDefault="003637AE" w:rsidP="003637AE">
      <w:pPr>
        <w:tabs>
          <w:tab w:val="left" w:pos="1368"/>
        </w:tabs>
        <w:bidi/>
        <w:spacing w:line="240" w:lineRule="auto"/>
        <w:rPr>
          <w:rFonts w:ascii="Traditional Arabic" w:hAnsi="Traditional Arabic" w:cs="Traditional Arabic"/>
          <w:b/>
          <w:bCs/>
          <w:rtl/>
        </w:rPr>
      </w:pPr>
    </w:p>
    <w:p w14:paraId="14C21DB3" w14:textId="77777777" w:rsidR="0028288A" w:rsidRPr="003637AE" w:rsidRDefault="0028288A" w:rsidP="0028288A">
      <w:pPr>
        <w:tabs>
          <w:tab w:val="left" w:pos="1368"/>
        </w:tabs>
        <w:bidi/>
        <w:spacing w:line="240" w:lineRule="auto"/>
        <w:rPr>
          <w:rFonts w:ascii="Traditional Arabic" w:hAnsi="Traditional Arabic" w:cs="Traditional Arabic"/>
          <w:b/>
          <w:bCs/>
          <w:sz w:val="56"/>
          <w:szCs w:val="56"/>
          <w:rtl/>
        </w:rPr>
      </w:pPr>
    </w:p>
    <w:p w14:paraId="54FE8608"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lastRenderedPageBreak/>
        <w:t>مقدمة الفصل</w:t>
      </w:r>
    </w:p>
    <w:p w14:paraId="4368CB9B" w14:textId="4182BF7A" w:rsidR="00284F9E" w:rsidRPr="00284F9E" w:rsidRDefault="00CD27D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يمثل هذا الفصل الأساس المنهجي الذي تستند إليه الدراسة في الانتقال من البناء النظري والمفاهيمي لمتغيراتها إلى إجراءات بحثية قابلة للتطبيق والاختبار الميداني. وتنبع أهميته من كونه يحدد بصورة منظمة الكيفية التي ستُجمع بها البيانات، وتُحلل، وتُفسر، وتُدمج؛ بما يكفل تحقيق أهداف الدراسة والإجابة عن تساؤلاتها واختبار فرضياتها على أسس علمية تتسم بالوضوح والاتساق وقابلية التحقق</w:t>
      </w:r>
      <w:r w:rsidR="00284F9E" w:rsidRPr="00284F9E">
        <w:rPr>
          <w:rFonts w:ascii="Traditional Arabic" w:hAnsi="Traditional Arabic" w:cs="Traditional Arabic"/>
        </w:rPr>
        <w:t>.</w:t>
      </w:r>
    </w:p>
    <w:p w14:paraId="2657C5F6" w14:textId="5A0631E0" w:rsidR="00284F9E" w:rsidRPr="00284F9E" w:rsidRDefault="0082589A"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وتتطلب طبيعة الدراسة الحالية، التي تستهدف بناء نموذج استراتيجي لتفعيل البراعة التنظيمية وتحليل علاقتها بالتميز المؤسسي والاستدامة في هيئات القطاع العام بالمملكة العربية السعودية، منهجية لا تقتصر على قياس العلاقات الإحصائية بين المتغيرات، وإنما تتيح أيضًا استكشاف الممارسات التنظيمية والقيادية والسياقية المرتبطة بهذه المتغيرات في البيئة الحكومية السعودية. ومن ثم، فقد اعتمدت الدراسة المنهج المختلط</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وفق التصميم الاستكشافي المتسلسل</w:t>
      </w:r>
      <w:r w:rsidR="00284F9E" w:rsidRPr="00284F9E">
        <w:rPr>
          <w:rFonts w:ascii="Traditional Arabic" w:hAnsi="Traditional Arabic" w:cs="Traditional Arabic"/>
        </w:rPr>
        <w:t xml:space="preserve"> (Exploratory Sequential Mixed Methods Design)</w:t>
      </w:r>
      <w:r w:rsidR="00284F9E" w:rsidRPr="00284F9E">
        <w:rPr>
          <w:rFonts w:ascii="Traditional Arabic" w:hAnsi="Traditional Arabic" w:cs="Traditional Arabic"/>
          <w:rtl/>
        </w:rPr>
        <w:t>، الذي يبدأ بمرحلة نوعية استكشافية، تُستثمر نتائجها في تطوير أداة الدراسة الكمية، ثم يليها اختبار النموذج المفاهيمي إحصائيًا، وانتهاءً بدمج نتائج المرحلتين في إطار تفسيري متكامل</w:t>
      </w:r>
      <w:r w:rsidR="00284F9E" w:rsidRPr="0082589A">
        <w:rPr>
          <w:rFonts w:ascii="Traditional Arabic" w:hAnsi="Traditional Arabic" w:cs="Traditional Arabic"/>
          <w:sz w:val="22"/>
          <w:szCs w:val="22"/>
        </w:rPr>
        <w:t xml:space="preserve"> (Creswell &amp; Creswell, 2022; Creswell &amp; Plano Clark, 2018).</w:t>
      </w:r>
    </w:p>
    <w:p w14:paraId="3E9D96F4" w14:textId="2130AAA5" w:rsidR="00284F9E" w:rsidRPr="00284F9E" w:rsidRDefault="0082589A" w:rsidP="001F18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ويتناول الفصل منهج الدراسة ومبررات اختياره، وتصميمها ومراحل تنفيذها، ومتغيراتها وتعريفاتها الإجرائية، ومجتمع الدراسة وعيناتها، وأدوات جمع البيانات النوعية والكمية، وإجراءات تطوير الاستبانة والتحقق من صدق محتواها ودراستها استطلاعيًا، وتحديد حجم العينة الكمية باستخدام تحليل القوة الإحصائية، إضافة إلى توضيح نموذج القياس من الرتبة العليا، وإجراءات تحليل البيانات باستخدام نمذجة المعادلات الهيكلية القائمة على المربعات الصغرى الجزئية</w:t>
      </w:r>
      <w:r w:rsidR="00284F9E" w:rsidRPr="00284F9E">
        <w:rPr>
          <w:rFonts w:ascii="Traditional Arabic" w:hAnsi="Traditional Arabic" w:cs="Traditional Arabic"/>
        </w:rPr>
        <w:t xml:space="preserve"> (PLS-SEM)</w:t>
      </w:r>
      <w:r w:rsidR="00284F9E" w:rsidRPr="00284F9E">
        <w:rPr>
          <w:rFonts w:ascii="Traditional Arabic" w:hAnsi="Traditional Arabic" w:cs="Traditional Arabic"/>
          <w:rtl/>
        </w:rPr>
        <w:t>، وآليات دمج النتائج، والاعتبارات الأخلاقية التي ستُراعى خلال جميع مراحل الدراسة</w:t>
      </w:r>
      <w:r w:rsidR="00284F9E" w:rsidRPr="00284F9E">
        <w:rPr>
          <w:rFonts w:ascii="Traditional Arabic" w:hAnsi="Traditional Arabic" w:cs="Traditional Arabic"/>
        </w:rPr>
        <w:t>.</w:t>
      </w:r>
    </w:p>
    <w:p w14:paraId="3EB4E7A8"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 </w:t>
      </w:r>
      <w:r w:rsidRPr="00284F9E">
        <w:rPr>
          <w:rFonts w:ascii="Traditional Arabic" w:hAnsi="Traditional Arabic" w:cs="Traditional Arabic"/>
          <w:b/>
          <w:bCs/>
          <w:rtl/>
        </w:rPr>
        <w:t>منهج الدراسة</w:t>
      </w:r>
    </w:p>
    <w:p w14:paraId="3D27E9C7" w14:textId="61A23B14"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يُعد اختيار المنهج البحثي المناسب أحد القرارات الجوهرية في تصميم الدراسة؛ إذ ينبغي أن يتحدد في ضوء طبيعة المشكلة البحثية، وأهداف الدراسة، والأسئلة المراد الإجابة عنها، وطبيعة الأدلة اللازمة لفهم الظاهرة واختبار العلاقات بين متغيراتها. ويؤكد</w:t>
      </w:r>
      <w:r w:rsidR="00284F9E" w:rsidRPr="00284F9E">
        <w:rPr>
          <w:rFonts w:ascii="Traditional Arabic" w:hAnsi="Traditional Arabic" w:cs="Traditional Arabic"/>
        </w:rPr>
        <w:t xml:space="preserve"> </w:t>
      </w:r>
      <w:r w:rsidR="00284F9E" w:rsidRPr="001F1814">
        <w:rPr>
          <w:rFonts w:ascii="Traditional Arabic" w:hAnsi="Traditional Arabic" w:cs="Traditional Arabic"/>
          <w:sz w:val="22"/>
          <w:szCs w:val="22"/>
        </w:rPr>
        <w:t>Creswell and Creswell (2022)</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أن اختيار المنهج لا ينبغي أن ينطلق من تفضيل مسبق للبحث الكمي أو النوعي، وإنما من مدى قدرة المنهج المختار على الاستجابة لمتطلبات المشكلة البحثية وتحقيق أهداف الدراسة</w:t>
      </w:r>
      <w:r w:rsidR="00284F9E" w:rsidRPr="00284F9E">
        <w:rPr>
          <w:rFonts w:ascii="Traditional Arabic" w:hAnsi="Traditional Arabic" w:cs="Traditional Arabic"/>
        </w:rPr>
        <w:t>.</w:t>
      </w:r>
    </w:p>
    <w:p w14:paraId="3F4057A7" w14:textId="3D910F36"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وبالنظر إلى طبيعة الدراسة الحالية، فإن الاقتصار على المنهج الكمي لن يكون كافيًا لفهم الخصائص السياقية والممارسات التنظيمية التي قد تفسر كيفية تجسد البراعة التنظيمية داخل بيئة القطاع العام السعودي، كما أن الاقتصار على المنهج النوعي لن يتيح اختبار العلاقات المفترضة بين البراعة التنظيمية والتميز المؤسسي والاستدامة بصورة إحصائية. ومن هنا، تعتمد الدراسة </w:t>
      </w:r>
      <w:r w:rsidR="00284F9E" w:rsidRPr="001F1814">
        <w:rPr>
          <w:rFonts w:ascii="Traditional Arabic" w:hAnsi="Traditional Arabic" w:cs="Traditional Arabic"/>
          <w:rtl/>
        </w:rPr>
        <w:t>المنهج المختلط</w:t>
      </w:r>
      <w:r w:rsidR="00284F9E" w:rsidRPr="00284F9E">
        <w:rPr>
          <w:rFonts w:ascii="Traditional Arabic" w:hAnsi="Traditional Arabic" w:cs="Traditional Arabic"/>
          <w:rtl/>
        </w:rPr>
        <w:t>؛ لما يوفره من إمكانية الجمع بين العمق التفسيري للبيانات النوعية والقدرة الاختبارية للبيانات الكمية في إطار بحثي واحد</w:t>
      </w:r>
      <w:r w:rsidR="00284F9E" w:rsidRPr="00284F9E">
        <w:rPr>
          <w:rFonts w:ascii="Traditional Arabic" w:hAnsi="Traditional Arabic" w:cs="Traditional Arabic"/>
        </w:rPr>
        <w:t>.</w:t>
      </w:r>
    </w:p>
    <w:p w14:paraId="2786570F" w14:textId="0AB1D2BC" w:rsidR="00284F9E" w:rsidRPr="00284F9E" w:rsidRDefault="00284F9E" w:rsidP="001F1814">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ولا يعني استخدام المنهج المختلط في هذه الدراسة مجرد جمع نوعين مختلفين من البيانات، بل يقوم على تحقيق التكامل المنهجي بينهما؛ بحيث تؤثر نتائج المرحلة النوعية بصورة مباشرة في تطوير المرحلة الكمية، ثم تُدمج النتائج لاحقًا للوصول إلى تفسير أكثر شمولًا للظاهرة. ويعد هذا الاتصال بين المراحل عنصرًا أساسيًا في جودة البحوث المختلطة، إذ إن التكامل يمكن أن يحدث عند مستوى تصميم الدراسة، وطرق جمع البيانات، والتحليل، والتفسير النهائي للنتائج</w:t>
      </w:r>
      <w:r w:rsidRPr="001F1814">
        <w:rPr>
          <w:rFonts w:ascii="Traditional Arabic" w:hAnsi="Traditional Arabic" w:cs="Traditional Arabic"/>
          <w:sz w:val="22"/>
          <w:szCs w:val="22"/>
        </w:rPr>
        <w:t xml:space="preserve"> (Fetters et al., 2013).</w:t>
      </w:r>
    </w:p>
    <w:p w14:paraId="67C6A2E7"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 </w:t>
      </w:r>
      <w:r w:rsidRPr="00284F9E">
        <w:rPr>
          <w:rFonts w:ascii="Traditional Arabic" w:hAnsi="Traditional Arabic" w:cs="Traditional Arabic"/>
          <w:b/>
          <w:bCs/>
          <w:rtl/>
        </w:rPr>
        <w:t>مبررات اختيار المنهج المختلط</w:t>
      </w:r>
    </w:p>
    <w:p w14:paraId="4A646A8F" w14:textId="78F8C70F"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يستند اعتماد المنهج المختلط في الدراسة الحالية إلى مجموعة من المبررات العلمية والمنهجية المترابطة. أولها أن مفهوم البراعة التنظيمية من المفاهيم المركبة التي تتجسد من خلال أبعاد هيكلية وسياقية وقيادية، ولا تعمل هذه الأبعاد بمعزل عن السياق التنظيمي الذي تُمارس فيه. كما أن تطبيق البراعة التنظيمية في مؤسسات القطاع العام يرتبط بعوامل تنظيمية وقيادية وتشريعية وثقافية قد يصعب الكشف عنها من خلال استجابات الاستبانة وحدها</w:t>
      </w:r>
      <w:r w:rsidR="00284F9E" w:rsidRPr="00284F9E">
        <w:rPr>
          <w:rFonts w:ascii="Traditional Arabic" w:hAnsi="Traditional Arabic" w:cs="Traditional Arabic"/>
        </w:rPr>
        <w:t>.</w:t>
      </w:r>
    </w:p>
    <w:p w14:paraId="0958C658" w14:textId="778FB82B"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وثانيها أن الدراسة لا تستهدف وصف مستوى البراعة التنظيمية أو التميز المؤسسي والاستدامة فحسب، وإنما تسعى إلى بناء نموذج استراتيجي تطبيقي ملائم للسياق السعودي. ويتطلب تحقيق هذا الهدف استكشاف خبرات القيادات والممارسين، والتعرف على الممارسات الفعلية والتحديات والعوامل السياقية قبل الانتقال إلى اختبار العلاقات الكمية</w:t>
      </w:r>
      <w:r w:rsidR="00284F9E" w:rsidRPr="00284F9E">
        <w:rPr>
          <w:rFonts w:ascii="Traditional Arabic" w:hAnsi="Traditional Arabic" w:cs="Traditional Arabic"/>
        </w:rPr>
        <w:t>.</w:t>
      </w:r>
    </w:p>
    <w:p w14:paraId="2DBDE201" w14:textId="31E05DAD"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وثالثها أن نتائج المرحلة النوعية ستسهم في تعزيز الملاءمة السياقية لأداة الدراسة؛ إذ ستتم مقارنة ما تكشف عنه المقابلات والوثائق بالأبعاد والمقاييس المستمدة من الأدبيات، بما يساعد في تعديل بعض الفقرات أو تطويرها بحيث تصبح أكثر تعبيرًا عن واقع هيئات القطاع العام السعودية</w:t>
      </w:r>
      <w:r w:rsidR="00284F9E" w:rsidRPr="00284F9E">
        <w:rPr>
          <w:rFonts w:ascii="Traditional Arabic" w:hAnsi="Traditional Arabic" w:cs="Traditional Arabic"/>
        </w:rPr>
        <w:t>.</w:t>
      </w:r>
    </w:p>
    <w:p w14:paraId="68941781" w14:textId="7DB31AA4" w:rsidR="00284F9E" w:rsidRPr="00284F9E" w:rsidRDefault="001F1814"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أما المبرر الرابع فيتمثل في أن المرحلة الكمية ستسمح باختبار النموذج المفاهيمي، وتقدير قوة العلاقات بين البراعة التنظيمية والتميز المؤسسي والاستدامة، واختبار الدور الوسيط للتميز المؤسسي، وهو ما يتطلب تحليلًا إحصائيًا متقدمًا لا توفره المرحلة النوعية منفردة</w:t>
      </w:r>
      <w:r w:rsidR="00284F9E" w:rsidRPr="00284F9E">
        <w:rPr>
          <w:rFonts w:ascii="Traditional Arabic" w:hAnsi="Traditional Arabic" w:cs="Traditional Arabic"/>
        </w:rPr>
        <w:t>.</w:t>
      </w:r>
    </w:p>
    <w:p w14:paraId="585A9FA3" w14:textId="6F37F884" w:rsidR="00284F9E" w:rsidRPr="00284F9E" w:rsidRDefault="001F1814" w:rsidP="001F18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وبناءً على ذلك، يمثل المنهج المختلط في الدراسة الحالية اختيارًا منهجيًا نابعًا من طبيعة المشكلة وليس إضافة شكلية؛ إذ يسهم في الانتقال المنظم من </w:t>
      </w:r>
      <w:r w:rsidR="00284F9E" w:rsidRPr="001F1814">
        <w:rPr>
          <w:rFonts w:ascii="Traditional Arabic" w:hAnsi="Traditional Arabic" w:cs="Traditional Arabic"/>
          <w:rtl/>
        </w:rPr>
        <w:t>استكشاف الظاهرة إلى تطوير القياس، ثم إلى اختبار العلاقات، وأخيرًا إلى بناء النموذج الاستراتيجي المقترح</w:t>
      </w:r>
      <w:r w:rsidR="00284F9E" w:rsidRPr="001F1814">
        <w:rPr>
          <w:rFonts w:ascii="Traditional Arabic" w:hAnsi="Traditional Arabic" w:cs="Traditional Arabic"/>
        </w:rPr>
        <w:t>.</w:t>
      </w:r>
    </w:p>
    <w:p w14:paraId="27AB1751"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3-3 </w:t>
      </w:r>
      <w:r w:rsidRPr="00284F9E">
        <w:rPr>
          <w:rFonts w:ascii="Traditional Arabic" w:hAnsi="Traditional Arabic" w:cs="Traditional Arabic"/>
          <w:b/>
          <w:bCs/>
          <w:rtl/>
        </w:rPr>
        <w:t>تصميم الدراسة</w:t>
      </w:r>
    </w:p>
    <w:p w14:paraId="69AA55DD"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تعتمد الدراسة التصميم الاستكشافي المتسلسل للمنهج المختلط</w:t>
      </w:r>
      <w:r w:rsidRPr="00284F9E">
        <w:rPr>
          <w:rFonts w:ascii="Traditional Arabic" w:hAnsi="Traditional Arabic" w:cs="Traditional Arabic"/>
        </w:rPr>
        <w:t xml:space="preserve"> </w:t>
      </w:r>
      <w:r w:rsidRPr="001F1814">
        <w:rPr>
          <w:rFonts w:ascii="Traditional Arabic" w:hAnsi="Traditional Arabic" w:cs="Traditional Arabic"/>
          <w:sz w:val="22"/>
          <w:szCs w:val="22"/>
        </w:rPr>
        <w:t>(Exploratory Sequential Mixed Methods Design)</w:t>
      </w:r>
      <w:r w:rsidRPr="001F1814">
        <w:rPr>
          <w:rFonts w:ascii="Traditional Arabic" w:hAnsi="Traditional Arabic" w:cs="Traditional Arabic"/>
          <w:sz w:val="22"/>
          <w:szCs w:val="22"/>
          <w:rtl/>
        </w:rPr>
        <w:t xml:space="preserve">، </w:t>
      </w:r>
      <w:r w:rsidRPr="00284F9E">
        <w:rPr>
          <w:rFonts w:ascii="Traditional Arabic" w:hAnsi="Traditional Arabic" w:cs="Traditional Arabic"/>
          <w:rtl/>
        </w:rPr>
        <w:t>والذي يقوم على البدء بجمع وتحليل البيانات النوعية، ثم استخدام نتائج هذه المرحلة في بناء أو تطوير الأداة المستخدمة في المرحلة الكمية اللاحقة، قبل دمج نتائج المرحلتين في تفسير نهائي متكامل</w:t>
      </w:r>
      <w:r w:rsidRPr="00284F9E">
        <w:rPr>
          <w:rFonts w:ascii="Traditional Arabic" w:hAnsi="Traditional Arabic" w:cs="Traditional Arabic"/>
        </w:rPr>
        <w:t xml:space="preserve"> </w:t>
      </w:r>
      <w:r w:rsidRPr="001F1814">
        <w:rPr>
          <w:rFonts w:ascii="Traditional Arabic" w:hAnsi="Traditional Arabic" w:cs="Traditional Arabic"/>
          <w:sz w:val="22"/>
          <w:szCs w:val="22"/>
        </w:rPr>
        <w:t>(Creswell &amp; Plano Clark, 2018).</w:t>
      </w:r>
    </w:p>
    <w:p w14:paraId="25FE9909" w14:textId="1E7B2570" w:rsidR="00FE1570" w:rsidRPr="00284F9E" w:rsidRDefault="00284F9E" w:rsidP="00FE1570">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ويتوافق هذا التصميم مع طبيعة الدراسة الحالية؛ نظرًا إلى أن فهم البراعة التنظيمية في البيئة الحكومية السعودية يمثل خطوة سابقة منطقيًا لاختبار النموذج الكمي. وبناءً عليه، ستنفذ الدراسة من خلال أربع مراحل مترابطة</w:t>
      </w:r>
      <w:r w:rsidRPr="00284F9E">
        <w:rPr>
          <w:rFonts w:ascii="Traditional Arabic" w:hAnsi="Traditional Arabic" w:cs="Traditional Arabic"/>
        </w:rPr>
        <w:t>:</w:t>
      </w:r>
    </w:p>
    <w:tbl>
      <w:tblPr>
        <w:tblStyle w:val="PlainTable1"/>
        <w:bidiVisual/>
        <w:tblW w:w="0" w:type="auto"/>
        <w:tblLook w:val="04A0" w:firstRow="1" w:lastRow="0" w:firstColumn="1" w:lastColumn="0" w:noHBand="0" w:noVBand="1"/>
      </w:tblPr>
      <w:tblGrid>
        <w:gridCol w:w="635"/>
        <w:gridCol w:w="1250"/>
        <w:gridCol w:w="4410"/>
        <w:gridCol w:w="3055"/>
      </w:tblGrid>
      <w:tr w:rsidR="00284F9E" w:rsidRPr="00284F9E" w14:paraId="0DE8F8F3" w14:textId="77777777" w:rsidTr="00FE1570">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ACD1C3" w14:textId="77777777" w:rsidR="00284F9E" w:rsidRPr="00284F9E" w:rsidRDefault="00284F9E" w:rsidP="00D313D0">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المرحلة</w:t>
            </w:r>
          </w:p>
        </w:tc>
        <w:tc>
          <w:tcPr>
            <w:tcW w:w="1250" w:type="dxa"/>
            <w:vAlign w:val="center"/>
            <w:hideMark/>
          </w:tcPr>
          <w:p w14:paraId="01F80E72" w14:textId="77777777" w:rsidR="00284F9E" w:rsidRPr="00284F9E" w:rsidRDefault="00284F9E" w:rsidP="00D313D0">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طبيعتها</w:t>
            </w:r>
          </w:p>
        </w:tc>
        <w:tc>
          <w:tcPr>
            <w:tcW w:w="4410" w:type="dxa"/>
            <w:vAlign w:val="center"/>
            <w:hideMark/>
          </w:tcPr>
          <w:p w14:paraId="244ECE68" w14:textId="77777777" w:rsidR="00284F9E" w:rsidRPr="00284F9E" w:rsidRDefault="00284F9E" w:rsidP="00D313D0">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الأداة/الإجراء</w:t>
            </w:r>
          </w:p>
        </w:tc>
        <w:tc>
          <w:tcPr>
            <w:tcW w:w="3055" w:type="dxa"/>
            <w:vAlign w:val="center"/>
            <w:hideMark/>
          </w:tcPr>
          <w:p w14:paraId="7E513EF3" w14:textId="77777777" w:rsidR="00284F9E" w:rsidRPr="00284F9E" w:rsidRDefault="00284F9E" w:rsidP="00D313D0">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الغرض الرئيس</w:t>
            </w:r>
          </w:p>
        </w:tc>
      </w:tr>
      <w:tr w:rsidR="00284F9E" w:rsidRPr="00284F9E" w14:paraId="725A734D" w14:textId="77777777" w:rsidTr="00FE1570">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A341BE" w14:textId="77777777" w:rsidR="00284F9E" w:rsidRPr="00284F9E" w:rsidRDefault="00284F9E" w:rsidP="00D313D0">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الأولى</w:t>
            </w:r>
          </w:p>
        </w:tc>
        <w:tc>
          <w:tcPr>
            <w:tcW w:w="1250" w:type="dxa"/>
            <w:vAlign w:val="center"/>
            <w:hideMark/>
          </w:tcPr>
          <w:p w14:paraId="3B1DEA18"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نوعية استكشافية</w:t>
            </w:r>
          </w:p>
        </w:tc>
        <w:tc>
          <w:tcPr>
            <w:tcW w:w="4410" w:type="dxa"/>
            <w:vAlign w:val="center"/>
            <w:hideMark/>
          </w:tcPr>
          <w:p w14:paraId="05AA6CEB"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المقابلات شبه الموجهة وتحليل الوثائق</w:t>
            </w:r>
          </w:p>
        </w:tc>
        <w:tc>
          <w:tcPr>
            <w:tcW w:w="3055" w:type="dxa"/>
            <w:vAlign w:val="center"/>
            <w:hideMark/>
          </w:tcPr>
          <w:p w14:paraId="762130CF"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استكشاف الممارسات والعوامل والتحديات</w:t>
            </w:r>
          </w:p>
        </w:tc>
      </w:tr>
      <w:tr w:rsidR="00284F9E" w:rsidRPr="00284F9E" w14:paraId="3B17DF4B" w14:textId="77777777" w:rsidTr="00FE157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0645CA" w14:textId="77777777" w:rsidR="00284F9E" w:rsidRPr="00284F9E" w:rsidRDefault="00284F9E" w:rsidP="00D313D0">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الثانية</w:t>
            </w:r>
          </w:p>
        </w:tc>
        <w:tc>
          <w:tcPr>
            <w:tcW w:w="1250" w:type="dxa"/>
            <w:vAlign w:val="center"/>
            <w:hideMark/>
          </w:tcPr>
          <w:p w14:paraId="72B010C0"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تطوير الأداة</w:t>
            </w:r>
          </w:p>
        </w:tc>
        <w:tc>
          <w:tcPr>
            <w:tcW w:w="4410" w:type="dxa"/>
            <w:vAlign w:val="center"/>
            <w:hideMark/>
          </w:tcPr>
          <w:p w14:paraId="677F82B2"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دمج الأدبيات ونتائج المرحلة النوعية والتحكيم والدراسة الاستطلاعية</w:t>
            </w:r>
          </w:p>
        </w:tc>
        <w:tc>
          <w:tcPr>
            <w:tcW w:w="3055" w:type="dxa"/>
            <w:vAlign w:val="center"/>
            <w:hideMark/>
          </w:tcPr>
          <w:p w14:paraId="21C5C4B4"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بناء أداة قياس ملائمة للسياق السعودي</w:t>
            </w:r>
          </w:p>
        </w:tc>
      </w:tr>
      <w:tr w:rsidR="00284F9E" w:rsidRPr="00284F9E" w14:paraId="601D8D5D" w14:textId="77777777" w:rsidTr="00FE15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E190A" w14:textId="77777777" w:rsidR="00284F9E" w:rsidRPr="00284F9E" w:rsidRDefault="00284F9E" w:rsidP="00D313D0">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الثالثة</w:t>
            </w:r>
          </w:p>
        </w:tc>
        <w:tc>
          <w:tcPr>
            <w:tcW w:w="1250" w:type="dxa"/>
            <w:vAlign w:val="center"/>
            <w:hideMark/>
          </w:tcPr>
          <w:p w14:paraId="6C735179"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كمية</w:t>
            </w:r>
          </w:p>
        </w:tc>
        <w:tc>
          <w:tcPr>
            <w:tcW w:w="4410" w:type="dxa"/>
            <w:vAlign w:val="center"/>
            <w:hideMark/>
          </w:tcPr>
          <w:p w14:paraId="1F097BAE"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الاستبانة و</w:t>
            </w:r>
            <w:r w:rsidRPr="00FE1570">
              <w:rPr>
                <w:rFonts w:ascii="Traditional Arabic" w:hAnsi="Traditional Arabic" w:cs="Traditional Arabic"/>
                <w:sz w:val="22"/>
                <w:szCs w:val="22"/>
              </w:rPr>
              <w:t>PLS-SEM</w:t>
            </w:r>
          </w:p>
        </w:tc>
        <w:tc>
          <w:tcPr>
            <w:tcW w:w="3055" w:type="dxa"/>
            <w:vAlign w:val="center"/>
            <w:hideMark/>
          </w:tcPr>
          <w:p w14:paraId="49DA8B44" w14:textId="77777777" w:rsidR="00284F9E" w:rsidRPr="00FE1570" w:rsidRDefault="00284F9E" w:rsidP="00D313D0">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اختبار نموذج القياس والنموذج الهيكلي والفرضيات</w:t>
            </w:r>
          </w:p>
        </w:tc>
      </w:tr>
      <w:tr w:rsidR="00284F9E" w:rsidRPr="00284F9E" w14:paraId="3D8FB2EB" w14:textId="77777777" w:rsidTr="00FE157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50492" w14:textId="77777777" w:rsidR="00284F9E" w:rsidRPr="00284F9E" w:rsidRDefault="00284F9E" w:rsidP="00D313D0">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الرابعة</w:t>
            </w:r>
          </w:p>
        </w:tc>
        <w:tc>
          <w:tcPr>
            <w:tcW w:w="1250" w:type="dxa"/>
            <w:vAlign w:val="center"/>
            <w:hideMark/>
          </w:tcPr>
          <w:p w14:paraId="694D426F"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تكاملية</w:t>
            </w:r>
          </w:p>
        </w:tc>
        <w:tc>
          <w:tcPr>
            <w:tcW w:w="4410" w:type="dxa"/>
            <w:vAlign w:val="center"/>
            <w:hideMark/>
          </w:tcPr>
          <w:p w14:paraId="53FA7DA8"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دمج النتائج النوعية والكمية</w:t>
            </w:r>
          </w:p>
        </w:tc>
        <w:tc>
          <w:tcPr>
            <w:tcW w:w="3055" w:type="dxa"/>
            <w:vAlign w:val="center"/>
            <w:hideMark/>
          </w:tcPr>
          <w:p w14:paraId="4BB36DFF" w14:textId="77777777" w:rsidR="00284F9E" w:rsidRPr="00FE1570" w:rsidRDefault="00284F9E" w:rsidP="00D313D0">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1570">
              <w:rPr>
                <w:rFonts w:ascii="Traditional Arabic" w:hAnsi="Traditional Arabic" w:cs="Traditional Arabic"/>
                <w:sz w:val="22"/>
                <w:szCs w:val="22"/>
                <w:rtl/>
              </w:rPr>
              <w:t>تفسير النتائج وبناء النموذج الاستراتيجي المقترح</w:t>
            </w:r>
          </w:p>
        </w:tc>
      </w:tr>
    </w:tbl>
    <w:p w14:paraId="32CDE66D" w14:textId="145D7D4D" w:rsidR="00084D05" w:rsidRPr="00284F9E" w:rsidRDefault="00284F9E" w:rsidP="00084D05">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3-3-1 </w:t>
      </w:r>
      <w:r w:rsidRPr="00284F9E">
        <w:rPr>
          <w:rFonts w:ascii="Traditional Arabic" w:hAnsi="Traditional Arabic" w:cs="Traditional Arabic"/>
          <w:b/>
          <w:bCs/>
          <w:rtl/>
        </w:rPr>
        <w:t>المرحلة الأولى: الدراسة النوعية</w:t>
      </w:r>
    </w:p>
    <w:p w14:paraId="566DCDE3" w14:textId="1EEED0D4"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تمثل المرحلة النوعية نقطة البداية في التصميم الاستكشافي المتسلسل، وتهدف إلى تكوين فهم متعمق لواقع تطبيق البراعة التنظيمية في هيئات القطاع العام، واستكشاف الممارسات التنظيمية والقيادية المرتبطة بها، والعوامل التي تسهم في تحقيق التميز المؤسسي والاستدامة، إضافة إلى تحديد أبرز المعوقات والتحديات التي تواجه ذلك</w:t>
      </w:r>
      <w:r w:rsidR="00284F9E" w:rsidRPr="00284F9E">
        <w:rPr>
          <w:rFonts w:ascii="Traditional Arabic" w:hAnsi="Traditional Arabic" w:cs="Traditional Arabic"/>
        </w:rPr>
        <w:t>.</w:t>
      </w:r>
    </w:p>
    <w:p w14:paraId="4D805488" w14:textId="5848EFD0"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وستعتمد الباحثة في هذه المرحلة على مصدرين متكاملين للبيانات: المقابلات شبه الموجهة مع القيادات والخبراء، وتحليل الوثائق التنظيمية ذات الصلة. ويتيح الجمع بين المصدرين مقارنة ما يطرحه المشاركون من خبرات وتصورات مع ما يظهر في الخطط والسياسات والتقارير المؤسسية، بما يعزز عمق الفهم النوعي للظاهرة</w:t>
      </w:r>
      <w:r w:rsidR="00284F9E" w:rsidRPr="00284F9E">
        <w:rPr>
          <w:rFonts w:ascii="Traditional Arabic" w:hAnsi="Traditional Arabic" w:cs="Traditional Arabic"/>
        </w:rPr>
        <w:t>.</w:t>
      </w:r>
    </w:p>
    <w:p w14:paraId="4F37C1CB"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3-3-2 </w:t>
      </w:r>
      <w:r w:rsidRPr="00284F9E">
        <w:rPr>
          <w:rFonts w:ascii="Traditional Arabic" w:hAnsi="Traditional Arabic" w:cs="Traditional Arabic"/>
          <w:b/>
          <w:bCs/>
          <w:rtl/>
        </w:rPr>
        <w:t>المرحلة الثانية: تطوير أداة الدراسة</w:t>
      </w:r>
    </w:p>
    <w:p w14:paraId="2912612A" w14:textId="35C3D6D8"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ستُستخدم نتائج المرحلة النوعية إلى جانب الإطار النظري والدراسات السابقة والمقاييس المنشورة في تطوير النسخة الأولية من الاستبانة. وستركز هذه المرحلة على التأكد من أن الفقرات لا تعكس الأبعاد النظرية فقط، وإنما تتناسب أيضًا مع لغة وممارسات البيئة الحكومية السعودية</w:t>
      </w:r>
      <w:r w:rsidR="00284F9E" w:rsidRPr="00284F9E">
        <w:rPr>
          <w:rFonts w:ascii="Traditional Arabic" w:hAnsi="Traditional Arabic" w:cs="Traditional Arabic"/>
        </w:rPr>
        <w:t>.</w:t>
      </w:r>
    </w:p>
    <w:p w14:paraId="4126489F" w14:textId="29FA9F5F"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بعد ذلك ستخضع الأداة للتحكيم العلمي للتحقق من صدق محتواها، ثم ستُطبق على عينة استطلاعية مستقلة عن العينة الرئيسة بهدف فحص وضوحها وسهولة تطبيقها واختبار خصائصها الأولية قبل اعتماد النسخة النهائية</w:t>
      </w:r>
      <w:r w:rsidR="00284F9E" w:rsidRPr="00284F9E">
        <w:rPr>
          <w:rFonts w:ascii="Traditional Arabic" w:hAnsi="Traditional Arabic" w:cs="Traditional Arabic"/>
        </w:rPr>
        <w:t>.</w:t>
      </w:r>
    </w:p>
    <w:p w14:paraId="74BCD6B9"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3-3-3 </w:t>
      </w:r>
      <w:r w:rsidRPr="00284F9E">
        <w:rPr>
          <w:rFonts w:ascii="Traditional Arabic" w:hAnsi="Traditional Arabic" w:cs="Traditional Arabic"/>
          <w:b/>
          <w:bCs/>
          <w:rtl/>
        </w:rPr>
        <w:t>المرحلة الثالثة: الدراسة الكمية</w:t>
      </w:r>
    </w:p>
    <w:p w14:paraId="0B8664AE" w14:textId="79828009"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ستُطبق النسخة النهائية من الاستبانة على العينة الكمية وفق إجراءات المعاينة المحددة في هذا الفصل. وستُستخدم البيانات في وصف خصائص المشاركين ومستويات متغيرات الدراسة، ثم تقييم نموذج القياس واختبار النموذج الهيكلي والعلاقات المباشرة وغير المباشرة باستخدام</w:t>
      </w:r>
      <w:r w:rsidR="00284F9E" w:rsidRPr="00284F9E">
        <w:rPr>
          <w:rFonts w:ascii="Traditional Arabic" w:hAnsi="Traditional Arabic" w:cs="Traditional Arabic"/>
        </w:rPr>
        <w:t xml:space="preserve"> </w:t>
      </w:r>
      <w:r w:rsidR="00284F9E" w:rsidRPr="00084D05">
        <w:rPr>
          <w:rFonts w:ascii="Traditional Arabic" w:hAnsi="Traditional Arabic" w:cs="Traditional Arabic"/>
          <w:sz w:val="22"/>
          <w:szCs w:val="22"/>
        </w:rPr>
        <w:t>PLS-SEM</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من خلال برنامج</w:t>
      </w:r>
      <w:r w:rsidR="00284F9E" w:rsidRPr="00284F9E">
        <w:rPr>
          <w:rFonts w:ascii="Traditional Arabic" w:hAnsi="Traditional Arabic" w:cs="Traditional Arabic"/>
        </w:rPr>
        <w:t xml:space="preserve"> </w:t>
      </w:r>
      <w:r w:rsidR="00284F9E" w:rsidRPr="00084D05">
        <w:rPr>
          <w:rFonts w:ascii="Traditional Arabic" w:hAnsi="Traditional Arabic" w:cs="Traditional Arabic"/>
          <w:sz w:val="22"/>
          <w:szCs w:val="22"/>
        </w:rPr>
        <w:t>SmartPLS 4 (Hair et al., 2022).</w:t>
      </w:r>
    </w:p>
    <w:p w14:paraId="3DD12939"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3-3-4 </w:t>
      </w:r>
      <w:r w:rsidRPr="00284F9E">
        <w:rPr>
          <w:rFonts w:ascii="Traditional Arabic" w:hAnsi="Traditional Arabic" w:cs="Traditional Arabic"/>
          <w:b/>
          <w:bCs/>
          <w:rtl/>
        </w:rPr>
        <w:t>المرحلة الرابعة: دمج النتائج</w:t>
      </w:r>
    </w:p>
    <w:p w14:paraId="2A62AFDA" w14:textId="512AB0D6" w:rsidR="00284F9E" w:rsidRPr="00284F9E" w:rsidRDefault="00284F9E" w:rsidP="00084D05">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ستُدمج نتائج المرحلتين النوعية والكمية على مستوى التفسير النهائي، من خلال مقارنة الموضوعات المستخلصة من المقابلات والوثائق بالنتائج الإحصائية، وتحديد مواضع الاتفاق والتكامل أو الاختلاف بينها. ولا ينظر إلى الدمج بوصفه مجرد عرض متتابع للنتائج، بل باعتباره عملية تفسيرية تهدف إلى بيان الكيفية التي تساعد بها النتائج النوعية على فهم النتائج الكمية وتفسيرها، ومن ثم استخلاص الدلالات اللازمة لبناء النموذج الاستراتيجي المقترح</w:t>
      </w:r>
      <w:r w:rsidRPr="00284F9E">
        <w:rPr>
          <w:rFonts w:ascii="Traditional Arabic" w:hAnsi="Traditional Arabic" w:cs="Traditional Arabic"/>
        </w:rPr>
        <w:t xml:space="preserve"> </w:t>
      </w:r>
      <w:r w:rsidRPr="00084D05">
        <w:rPr>
          <w:rFonts w:ascii="Traditional Arabic" w:hAnsi="Traditional Arabic" w:cs="Traditional Arabic"/>
          <w:sz w:val="22"/>
          <w:szCs w:val="22"/>
        </w:rPr>
        <w:t>(Fetters et al., 2013).</w:t>
      </w:r>
    </w:p>
    <w:p w14:paraId="27010860"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3-4 </w:t>
      </w:r>
      <w:r w:rsidRPr="00284F9E">
        <w:rPr>
          <w:rFonts w:ascii="Traditional Arabic" w:hAnsi="Traditional Arabic" w:cs="Traditional Arabic"/>
          <w:b/>
          <w:bCs/>
          <w:rtl/>
        </w:rPr>
        <w:t>متغيرات الدراسة</w:t>
      </w:r>
    </w:p>
    <w:p w14:paraId="6DAB1DF8" w14:textId="2E45042E"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يتكون النموذج المفاهيمي للدراسة من ثلاثة متغيرات رئيسة مترابطة: البراعة التنظيمية بوصفها المتغير المستقل، والتميز المؤسسي بوصفه متغيرًا وسيطًا، والاستدامة المؤسسية بوصفها المتغير التابع النهائي</w:t>
      </w:r>
      <w:r w:rsidR="00284F9E" w:rsidRPr="00284F9E">
        <w:rPr>
          <w:rFonts w:ascii="Traditional Arabic" w:hAnsi="Traditional Arabic" w:cs="Traditional Arabic"/>
        </w:rPr>
        <w:t>.</w:t>
      </w:r>
    </w:p>
    <w:p w14:paraId="58A99DCA"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أولًا: البراعة التنظيمية</w:t>
      </w:r>
    </w:p>
    <w:p w14:paraId="7E174165" w14:textId="6725D030"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يقصد بالبراعة التنظيمية إجرائيًا في هذه الدراسة </w:t>
      </w:r>
      <w:r w:rsidR="00284F9E" w:rsidRPr="00084D05">
        <w:rPr>
          <w:rFonts w:ascii="Traditional Arabic" w:hAnsi="Traditional Arabic" w:cs="Traditional Arabic"/>
          <w:rtl/>
        </w:rPr>
        <w:t>مستوى قدرة الهيئة الحكومية على الجمع بين المحافظة على كفاءة عملياتها الحالية وتطوير فرص وأساليب جديدة للعمل والابتكار، من خلال الممارسات الهيكلية والسياقية والقيادية</w:t>
      </w:r>
      <w:r w:rsidR="00284F9E" w:rsidRPr="00084D05">
        <w:rPr>
          <w:rFonts w:ascii="Traditional Arabic" w:hAnsi="Traditional Arabic" w:cs="Traditional Arabic"/>
        </w:rPr>
        <w:t>.</w:t>
      </w:r>
    </w:p>
    <w:p w14:paraId="5D34B8ED"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وتقاس من خلال ثلاثة أبعاد</w:t>
      </w:r>
      <w:r w:rsidRPr="00284F9E">
        <w:rPr>
          <w:rFonts w:ascii="Traditional Arabic" w:hAnsi="Traditional Arabic" w:cs="Traditional Arabic"/>
        </w:rPr>
        <w:t>:</w:t>
      </w:r>
    </w:p>
    <w:p w14:paraId="4AA7320A" w14:textId="77777777" w:rsidR="00284F9E" w:rsidRPr="00284F9E" w:rsidRDefault="00284F9E" w:rsidP="00284F9E">
      <w:pPr>
        <w:numPr>
          <w:ilvl w:val="0"/>
          <w:numId w:val="2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البراعة الهيكلية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قدرة الهيئة على تنظيم الأنشطة والهياكل بطريقة تتيح المحافظة على كفاءة العمليات الحالية، وفي الوقت نفسه توفير مسارات تنظيمية تدعم التطوير والابتكار</w:t>
      </w:r>
      <w:r w:rsidRPr="00284F9E">
        <w:rPr>
          <w:rFonts w:ascii="Traditional Arabic" w:hAnsi="Traditional Arabic" w:cs="Traditional Arabic"/>
        </w:rPr>
        <w:t>.</w:t>
      </w:r>
    </w:p>
    <w:p w14:paraId="0B379096" w14:textId="77777777" w:rsidR="00284F9E" w:rsidRPr="00284F9E" w:rsidRDefault="00284F9E" w:rsidP="00284F9E">
      <w:pPr>
        <w:numPr>
          <w:ilvl w:val="0"/>
          <w:numId w:val="2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البراعة السياقية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قدرة بيئة العمل الداخلية على تمكين العاملين من تحقيق التوازن بين متطلبات الأداء التشغيلي والمبادرة والتطوير</w:t>
      </w:r>
      <w:r w:rsidRPr="00284F9E">
        <w:rPr>
          <w:rFonts w:ascii="Traditional Arabic" w:hAnsi="Traditional Arabic" w:cs="Traditional Arabic"/>
        </w:rPr>
        <w:t>.</w:t>
      </w:r>
    </w:p>
    <w:p w14:paraId="6DB293FF" w14:textId="77777777" w:rsidR="00284F9E" w:rsidRPr="00284F9E" w:rsidRDefault="00284F9E" w:rsidP="00284F9E">
      <w:pPr>
        <w:numPr>
          <w:ilvl w:val="0"/>
          <w:numId w:val="2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البراعة القيادية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قدرة القيادات على الجمع بين دعم الانضباط والكفاءة التشغيلية وتشجيع المرونة والابتكار والتجديد</w:t>
      </w:r>
      <w:r w:rsidRPr="00284F9E">
        <w:rPr>
          <w:rFonts w:ascii="Traditional Arabic" w:hAnsi="Traditional Arabic" w:cs="Traditional Arabic"/>
        </w:rPr>
        <w:t>.</w:t>
      </w:r>
    </w:p>
    <w:p w14:paraId="76E47EBE"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ثانيًا: التميز المؤسسي</w:t>
      </w:r>
    </w:p>
    <w:p w14:paraId="36DF2873" w14:textId="176D5822"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يمثل التميز المؤسسي المتغير الوسيط في الدراسة، ويقصد به إجرائيًا </w:t>
      </w:r>
      <w:r w:rsidR="00284F9E" w:rsidRPr="00084D05">
        <w:rPr>
          <w:rFonts w:ascii="Traditional Arabic" w:hAnsi="Traditional Arabic" w:cs="Traditional Arabic"/>
          <w:rtl/>
        </w:rPr>
        <w:t>مستوى تطبيق الهيئة الحكومية لممارسات تنظيمية متكاملة في القيادة والاستراتيجية والعمليات والموارد والشراكات والنتائج، بما يعكس جودة الأداء والتحسين المستمر وتحقيق قيمة مستدامة لأصحاب المصلحة</w:t>
      </w:r>
      <w:r w:rsidR="00284F9E" w:rsidRPr="00084D05">
        <w:rPr>
          <w:rFonts w:ascii="Traditional Arabic" w:hAnsi="Traditional Arabic" w:cs="Traditional Arabic"/>
        </w:rPr>
        <w:t>.</w:t>
      </w:r>
    </w:p>
    <w:p w14:paraId="2A1F8D22"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واستنادًا إلى الإطار المعتمد في الدراسة، سيقاس التميز المؤسسي من خلال خمسة أبعاد</w:t>
      </w:r>
      <w:r w:rsidRPr="00284F9E">
        <w:rPr>
          <w:rFonts w:ascii="Traditional Arabic" w:hAnsi="Traditional Arabic" w:cs="Traditional Arabic"/>
        </w:rPr>
        <w:t>:</w:t>
      </w:r>
    </w:p>
    <w:p w14:paraId="17762486" w14:textId="77777777" w:rsidR="00284F9E" w:rsidRPr="00284F9E" w:rsidRDefault="00284F9E" w:rsidP="00284F9E">
      <w:pPr>
        <w:numPr>
          <w:ilvl w:val="0"/>
          <w:numId w:val="2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القيادة</w:t>
      </w:r>
      <w:r w:rsidRPr="00284F9E">
        <w:rPr>
          <w:rFonts w:ascii="Traditional Arabic" w:hAnsi="Traditional Arabic" w:cs="Traditional Arabic"/>
        </w:rPr>
        <w:t>.</w:t>
      </w:r>
    </w:p>
    <w:p w14:paraId="2A63F3FC" w14:textId="77777777" w:rsidR="00284F9E" w:rsidRPr="00284F9E" w:rsidRDefault="00284F9E" w:rsidP="00284F9E">
      <w:pPr>
        <w:numPr>
          <w:ilvl w:val="0"/>
          <w:numId w:val="2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الاستراتيجية</w:t>
      </w:r>
      <w:r w:rsidRPr="00284F9E">
        <w:rPr>
          <w:rFonts w:ascii="Traditional Arabic" w:hAnsi="Traditional Arabic" w:cs="Traditional Arabic"/>
        </w:rPr>
        <w:t>.</w:t>
      </w:r>
    </w:p>
    <w:p w14:paraId="5793D314" w14:textId="77777777" w:rsidR="00284F9E" w:rsidRPr="00284F9E" w:rsidRDefault="00284F9E" w:rsidP="00284F9E">
      <w:pPr>
        <w:numPr>
          <w:ilvl w:val="0"/>
          <w:numId w:val="2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العمليات</w:t>
      </w:r>
      <w:r w:rsidRPr="00284F9E">
        <w:rPr>
          <w:rFonts w:ascii="Traditional Arabic" w:hAnsi="Traditional Arabic" w:cs="Traditional Arabic"/>
        </w:rPr>
        <w:t>.</w:t>
      </w:r>
    </w:p>
    <w:p w14:paraId="5D157982" w14:textId="77777777" w:rsidR="00284F9E" w:rsidRPr="00284F9E" w:rsidRDefault="00284F9E" w:rsidP="00284F9E">
      <w:pPr>
        <w:numPr>
          <w:ilvl w:val="0"/>
          <w:numId w:val="2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الموارد والشراكات</w:t>
      </w:r>
      <w:r w:rsidRPr="00284F9E">
        <w:rPr>
          <w:rFonts w:ascii="Traditional Arabic" w:hAnsi="Traditional Arabic" w:cs="Traditional Arabic"/>
        </w:rPr>
        <w:t>.</w:t>
      </w:r>
    </w:p>
    <w:p w14:paraId="1BE368DD" w14:textId="77777777" w:rsidR="00284F9E" w:rsidRPr="00284F9E" w:rsidRDefault="00284F9E" w:rsidP="00284F9E">
      <w:pPr>
        <w:numPr>
          <w:ilvl w:val="0"/>
          <w:numId w:val="2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النتائج المؤسسية</w:t>
      </w:r>
      <w:r w:rsidRPr="00284F9E">
        <w:rPr>
          <w:rFonts w:ascii="Traditional Arabic" w:hAnsi="Traditional Arabic" w:cs="Traditional Arabic"/>
        </w:rPr>
        <w:t>.</w:t>
      </w:r>
    </w:p>
    <w:p w14:paraId="7E3AAAB1"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ثالثًا: الاستدامة المؤسسية</w:t>
      </w:r>
    </w:p>
    <w:p w14:paraId="2BB34249" w14:textId="5886B01D" w:rsidR="00284F9E" w:rsidRPr="00284F9E" w:rsidRDefault="00084D0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تمثل الاستدامة المؤسسية المتغير التابع النهائي، ويقصد بها إجرائيًا </w:t>
      </w:r>
      <w:r w:rsidR="00284F9E" w:rsidRPr="00084D05">
        <w:rPr>
          <w:rFonts w:ascii="Traditional Arabic" w:hAnsi="Traditional Arabic" w:cs="Traditional Arabic"/>
          <w:rtl/>
        </w:rPr>
        <w:t>مستوى قدرة الهيئة الحكومية على المحافظة على استمرارية أدائها وخدماتها ومواردها وقدراتها المعرفية على المدى الطويل، مع قدرتها على التكيف والتطوير المستمر</w:t>
      </w:r>
      <w:r w:rsidR="00284F9E" w:rsidRPr="00084D05">
        <w:rPr>
          <w:rFonts w:ascii="Traditional Arabic" w:hAnsi="Traditional Arabic" w:cs="Traditional Arabic"/>
        </w:rPr>
        <w:t>.</w:t>
      </w:r>
    </w:p>
    <w:p w14:paraId="1702B946"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وتقاس في الدراسة من خلال ثلاثة أبعاد</w:t>
      </w:r>
      <w:r w:rsidRPr="00284F9E">
        <w:rPr>
          <w:rFonts w:ascii="Traditional Arabic" w:hAnsi="Traditional Arabic" w:cs="Traditional Arabic"/>
        </w:rPr>
        <w:t>:</w:t>
      </w:r>
    </w:p>
    <w:p w14:paraId="5E8A623B" w14:textId="77777777" w:rsidR="00284F9E" w:rsidRPr="00284F9E" w:rsidRDefault="00284F9E" w:rsidP="00284F9E">
      <w:pPr>
        <w:numPr>
          <w:ilvl w:val="0"/>
          <w:numId w:val="2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الاستدامة التشغيلية</w:t>
      </w:r>
      <w:r w:rsidRPr="00284F9E">
        <w:rPr>
          <w:rFonts w:ascii="Traditional Arabic" w:hAnsi="Traditional Arabic" w:cs="Traditional Arabic"/>
        </w:rPr>
        <w:t>.</w:t>
      </w:r>
    </w:p>
    <w:p w14:paraId="7DE76D49" w14:textId="77777777" w:rsidR="00284F9E" w:rsidRPr="00284F9E" w:rsidRDefault="00284F9E" w:rsidP="00284F9E">
      <w:pPr>
        <w:numPr>
          <w:ilvl w:val="0"/>
          <w:numId w:val="2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الاستدامة المالية</w:t>
      </w:r>
      <w:r w:rsidRPr="00284F9E">
        <w:rPr>
          <w:rFonts w:ascii="Traditional Arabic" w:hAnsi="Traditional Arabic" w:cs="Traditional Arabic"/>
        </w:rPr>
        <w:t>.</w:t>
      </w:r>
    </w:p>
    <w:p w14:paraId="32589364" w14:textId="77777777" w:rsidR="00284F9E" w:rsidRPr="00284F9E" w:rsidRDefault="00284F9E" w:rsidP="00284F9E">
      <w:pPr>
        <w:numPr>
          <w:ilvl w:val="0"/>
          <w:numId w:val="2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الاستدامة المعرفية</w:t>
      </w:r>
      <w:r w:rsidRPr="00284F9E">
        <w:rPr>
          <w:rFonts w:ascii="Traditional Arabic" w:hAnsi="Traditional Arabic" w:cs="Traditional Arabic"/>
        </w:rPr>
        <w:t>.</w:t>
      </w:r>
    </w:p>
    <w:p w14:paraId="2A88A006" w14:textId="3C31A4E2" w:rsidR="00284F9E" w:rsidRPr="00284F9E" w:rsidRDefault="00284F9E" w:rsidP="0063280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وبذلك تتكون الدراسة من مجموعة من الأبعاد من الرتبة الأولى التي ترتبط بثلاثة متغيرات رئيسة من الرتبة العليا، وهو ما يستلزم توضيح طبيعة نموذج القياس الهرمي وطريقة تقديره إحصائيًا</w:t>
      </w:r>
      <w:r w:rsidRPr="00284F9E">
        <w:rPr>
          <w:rFonts w:ascii="Traditional Arabic" w:hAnsi="Traditional Arabic" w:cs="Traditional Arabic"/>
        </w:rPr>
        <w:t>.</w:t>
      </w:r>
    </w:p>
    <w:p w14:paraId="566FDE5F"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3-5 </w:t>
      </w:r>
      <w:r w:rsidRPr="00284F9E">
        <w:rPr>
          <w:rFonts w:ascii="Traditional Arabic" w:hAnsi="Traditional Arabic" w:cs="Traditional Arabic"/>
          <w:b/>
          <w:bCs/>
          <w:rtl/>
        </w:rPr>
        <w:t>طبيعة نموذج القياس من الرتبة العليا</w:t>
      </w:r>
    </w:p>
    <w:p w14:paraId="1CB2B456" w14:textId="19C94DED" w:rsidR="00284F9E" w:rsidRPr="00284F9E" w:rsidRDefault="0063280E"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تتطلب بنية متغيرات الدراسة التمييز بين مستويين في نموذج القياس؛ إذ إن وصف جميع المتغيرات والفقرات بأنها انعكاسية بصورة مطلقة لا يعكس بصورة دقيقة الطبيعة متعددة الأبعاد للنموذج</w:t>
      </w:r>
      <w:r w:rsidR="00284F9E" w:rsidRPr="00284F9E">
        <w:rPr>
          <w:rFonts w:ascii="Traditional Arabic" w:hAnsi="Traditional Arabic" w:cs="Traditional Arabic"/>
        </w:rPr>
        <w:t>.</w:t>
      </w:r>
    </w:p>
    <w:p w14:paraId="0EBD0835"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المستوى الأول: الأبعاد من الرتبة الأولى</w:t>
      </w:r>
    </w:p>
    <w:p w14:paraId="04F09F3E" w14:textId="2FCD065F" w:rsidR="00284F9E" w:rsidRPr="00284F9E" w:rsidRDefault="006F77CD"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ستُعامل الفقرات التابعة لكل بُعد بوصفها مؤشرات انعكاسية</w:t>
      </w:r>
      <w:r w:rsidR="00284F9E" w:rsidRPr="00284F9E">
        <w:rPr>
          <w:rFonts w:ascii="Traditional Arabic" w:hAnsi="Traditional Arabic" w:cs="Traditional Arabic"/>
        </w:rPr>
        <w:t xml:space="preserve"> </w:t>
      </w:r>
      <w:r w:rsidR="00284F9E" w:rsidRPr="0063280E">
        <w:rPr>
          <w:rFonts w:ascii="Traditional Arabic" w:hAnsi="Traditional Arabic" w:cs="Traditional Arabic"/>
          <w:sz w:val="22"/>
          <w:szCs w:val="22"/>
        </w:rPr>
        <w:t>(</w:t>
      </w:r>
      <w:r w:rsidR="00284F9E" w:rsidRPr="007D010F">
        <w:rPr>
          <w:rFonts w:ascii="Traditional Arabic" w:hAnsi="Traditional Arabic" w:cs="Traditional Arabic"/>
          <w:sz w:val="22"/>
          <w:szCs w:val="22"/>
          <w:highlight w:val="yellow"/>
        </w:rPr>
        <w:t>Reflective Indicators</w:t>
      </w:r>
      <w:r w:rsidR="00284F9E" w:rsidRPr="0063280E">
        <w:rPr>
          <w:rFonts w:ascii="Traditional Arabic" w:hAnsi="Traditional Arabic" w:cs="Traditional Arabic"/>
          <w:sz w:val="22"/>
          <w:szCs w:val="22"/>
        </w:rPr>
        <w:t>)</w:t>
      </w:r>
      <w:r w:rsidR="00284F9E" w:rsidRPr="00284F9E">
        <w:rPr>
          <w:rFonts w:ascii="Traditional Arabic" w:hAnsi="Traditional Arabic" w:cs="Traditional Arabic"/>
          <w:rtl/>
        </w:rPr>
        <w:t>، حيث يفترض أن البُعد الكامن يفسر التباين المشترك بين الفقرات المصممة لقياسه. ومن ثم ستُطبق معايير تقييم القياس الانعكاسي على هذه الأبعاد، بما في ذلك التحميلات الخارجية، والاتساق الداخلي، والثبات المركب، والصدق التقاربي والتمييزي</w:t>
      </w:r>
      <w:r w:rsidR="00284F9E" w:rsidRPr="00284F9E">
        <w:rPr>
          <w:rFonts w:ascii="Traditional Arabic" w:hAnsi="Traditional Arabic" w:cs="Traditional Arabic"/>
        </w:rPr>
        <w:t>.</w:t>
      </w:r>
    </w:p>
    <w:p w14:paraId="1E19B3AA"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المستوى الثاني: المتغيرات من الرتبة العليا</w:t>
      </w:r>
    </w:p>
    <w:p w14:paraId="5B0E45B1" w14:textId="5642ECB8" w:rsidR="00284F9E" w:rsidRPr="00284F9E" w:rsidRDefault="006F77CD"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أما على المستوى الأعلى، فتتعامل الدراسة مع البراعة التنظيمية والتميز المؤسسي والاستدامة المؤسسية بوصفها</w:t>
      </w:r>
      <w:r w:rsidR="00284F9E" w:rsidRPr="006F77CD">
        <w:rPr>
          <w:rFonts w:ascii="Traditional Arabic" w:hAnsi="Traditional Arabic" w:cs="Traditional Arabic"/>
          <w:rtl/>
        </w:rPr>
        <w:t xml:space="preserve"> بنى متعددة الأبعاد</w:t>
      </w:r>
      <w:r w:rsidR="00284F9E" w:rsidRPr="006F77CD">
        <w:rPr>
          <w:rFonts w:ascii="Traditional Arabic" w:hAnsi="Traditional Arabic" w:cs="Traditional Arabic"/>
          <w:sz w:val="22"/>
          <w:szCs w:val="22"/>
        </w:rPr>
        <w:t xml:space="preserve"> Higher-Order Constructs.</w:t>
      </w:r>
    </w:p>
    <w:p w14:paraId="4D947556" w14:textId="4DC51A31" w:rsidR="00284F9E" w:rsidRPr="00EA34A6" w:rsidRDefault="00B62190" w:rsidP="0052037F">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EA34A6" w:rsidRPr="00EA34A6">
        <w:rPr>
          <w:rFonts w:ascii="Traditional Arabic" w:hAnsi="Traditional Arabic" w:cs="Traditional Arabic"/>
          <w:rtl/>
        </w:rPr>
        <w:t xml:space="preserve">وفي ضوء طبيعة الأبعاد المعتمدة، سيُختبر النموذج </w:t>
      </w:r>
      <w:r w:rsidR="00EA34A6" w:rsidRPr="00E76995">
        <w:rPr>
          <w:rFonts w:ascii="Traditional Arabic" w:hAnsi="Traditional Arabic" w:cs="Traditional Arabic"/>
          <w:highlight w:val="yellow"/>
          <w:rtl/>
        </w:rPr>
        <w:t>بوصفه نموذجًا من الرتبة العليا من النوع الانعكاسي–التكويني (</w:t>
      </w:r>
      <w:r w:rsidR="00EA34A6" w:rsidRPr="00E76995">
        <w:rPr>
          <w:rFonts w:ascii="Traditional Arabic" w:hAnsi="Traditional Arabic" w:cs="Traditional Arabic"/>
          <w:highlight w:val="yellow"/>
        </w:rPr>
        <w:t>Reflective–Formative Higher-Order Model</w:t>
      </w:r>
      <w:r w:rsidR="00EA34A6" w:rsidRPr="00E76995">
        <w:rPr>
          <w:rFonts w:ascii="Traditional Arabic" w:hAnsi="Traditional Arabic" w:cs="Traditional Arabic"/>
          <w:highlight w:val="yellow"/>
          <w:rtl/>
        </w:rPr>
        <w:t>)</w:t>
      </w:r>
      <w:r w:rsidR="00E76995" w:rsidRPr="00EA34A6">
        <w:rPr>
          <w:rFonts w:ascii="Traditional Arabic" w:hAnsi="Traditional Arabic" w:cs="Traditional Arabic"/>
          <w:rtl/>
        </w:rPr>
        <w:t xml:space="preserve"> </w:t>
      </w:r>
      <w:r w:rsidR="00EA34A6" w:rsidRPr="00EA34A6">
        <w:rPr>
          <w:rFonts w:ascii="Traditional Arabic" w:hAnsi="Traditional Arabic" w:cs="Traditional Arabic"/>
          <w:rtl/>
        </w:rPr>
        <w:t>؛ إذ تعكس الفقرات الأبعاد من الرتبة الأولى، في حين تسهم هذه الأبعاد في تكوين المتغير الكامن من الرتبة العليا.</w:t>
      </w:r>
    </w:p>
    <w:p w14:paraId="53663C82" w14:textId="7C87687B" w:rsidR="00284F9E" w:rsidRPr="00284F9E" w:rsidRDefault="00B6219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ويستند هذا القرار إلى أن الأبعاد ليست متطابقة أو قابلة للاستبدال الكامل فيما بينها؛ فالبراعة الهيكلية لا تعادل البراعة القيادية، والاستدامة التشغيلية لا تعادل الاستدامة المعرفية، وإنما يمثل كل بعد مكونًا متميزًا يسهم في تكوين المفهوم الكلي</w:t>
      </w:r>
      <w:r w:rsidR="00284F9E" w:rsidRPr="00284F9E">
        <w:rPr>
          <w:rFonts w:ascii="Traditional Arabic" w:hAnsi="Traditional Arabic" w:cs="Traditional Arabic"/>
        </w:rPr>
        <w:t>.</w:t>
      </w:r>
    </w:p>
    <w:p w14:paraId="142C2005" w14:textId="2CD076FA" w:rsidR="00284F9E" w:rsidRPr="00284F9E" w:rsidRDefault="00B6219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 xml:space="preserve">وسيُقدر نموذج الرتبة العليا باستخدام </w:t>
      </w:r>
      <w:r w:rsidR="006F77CD">
        <w:rPr>
          <w:rFonts w:ascii="Traditional Arabic" w:hAnsi="Traditional Arabic" w:cs="Traditional Arabic"/>
        </w:rPr>
        <w:t xml:space="preserve"> </w:t>
      </w:r>
      <w:r w:rsidR="005005E5" w:rsidRPr="005005E5">
        <w:rPr>
          <w:rFonts w:ascii="Traditional Arabic" w:hAnsi="Traditional Arabic" w:cs="Traditional Arabic"/>
          <w:sz w:val="22"/>
          <w:szCs w:val="22"/>
          <w:highlight w:val="yellow"/>
        </w:rPr>
        <w:t>Disjoint Two-Stage Approach</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ففي المرحلة الأولى ستُقدر الأبعاد من الرتبة الأولى باستخدام مؤشراتها الأصلية، وتُحفظ درجات المتغيرات الكامنة. وفي المرحلة الثانية ستستخدم درجات هذه الأبعاد كمؤشرات للمتغير الأعلى رتبة. ويعد هذا الأسلوب مناسبًا بصفة خاصة للنماذج العليا التكوينية، بما فيها النماذج الانعكاسية–التكوينية</w:t>
      </w:r>
      <w:r w:rsidR="00284F9E" w:rsidRPr="00B62190">
        <w:rPr>
          <w:rFonts w:ascii="Traditional Arabic" w:hAnsi="Traditional Arabic" w:cs="Traditional Arabic"/>
          <w:sz w:val="22"/>
          <w:szCs w:val="22"/>
        </w:rPr>
        <w:t xml:space="preserve"> (Sarstedt et al., 2019)</w:t>
      </w:r>
      <w:r w:rsidR="00284F9E" w:rsidRPr="00284F9E">
        <w:rPr>
          <w:rFonts w:ascii="Traditional Arabic" w:hAnsi="Traditional Arabic" w:cs="Traditional Arabic"/>
        </w:rPr>
        <w:t>.</w:t>
      </w:r>
    </w:p>
    <w:p w14:paraId="39B945C1" w14:textId="2D01ECC5" w:rsidR="00284F9E" w:rsidRPr="00284F9E" w:rsidRDefault="00B62190" w:rsidP="00B62190">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وعليه، لن تُستخدم مؤشرات</w:t>
      </w:r>
      <w:r w:rsidR="00284F9E" w:rsidRPr="00B62190">
        <w:rPr>
          <w:rFonts w:ascii="Traditional Arabic" w:hAnsi="Traditional Arabic" w:cs="Traditional Arabic"/>
          <w:sz w:val="22"/>
          <w:szCs w:val="22"/>
        </w:rPr>
        <w:t xml:space="preserve"> Cronbach's Alpha </w:t>
      </w:r>
      <w:r w:rsidR="00284F9E" w:rsidRPr="00B62190">
        <w:rPr>
          <w:rFonts w:ascii="Traditional Arabic" w:hAnsi="Traditional Arabic" w:cs="Traditional Arabic"/>
          <w:sz w:val="22"/>
          <w:szCs w:val="22"/>
          <w:rtl/>
        </w:rPr>
        <w:t>و</w:t>
      </w:r>
      <w:r w:rsidR="00284F9E" w:rsidRPr="00B62190">
        <w:rPr>
          <w:rFonts w:ascii="Traditional Arabic" w:hAnsi="Traditional Arabic" w:cs="Traditional Arabic"/>
          <w:sz w:val="22"/>
          <w:szCs w:val="22"/>
        </w:rPr>
        <w:t xml:space="preserve">AVE </w:t>
      </w:r>
      <w:r w:rsidR="00284F9E" w:rsidRPr="00284F9E">
        <w:rPr>
          <w:rFonts w:ascii="Traditional Arabic" w:hAnsi="Traditional Arabic" w:cs="Traditional Arabic"/>
          <w:rtl/>
        </w:rPr>
        <w:t>لتقييم البنى العليا التكوينية بالطريقة نفسها المستخدمة للأبعاد الانعكاسية؛ بل ستقيم البنى العليا من خلال فحص التعدد الخطي بين مكوناتها، ودلالة وأهمية الأوزان الخارجية، ومدى إسهام كل بُعد في تكوين المتغير الأعلى رتبة</w:t>
      </w:r>
      <w:r w:rsidR="00284F9E" w:rsidRPr="00284F9E">
        <w:rPr>
          <w:rFonts w:ascii="Traditional Arabic" w:hAnsi="Traditional Arabic" w:cs="Traditional Arabic"/>
        </w:rPr>
        <w:t>.</w:t>
      </w:r>
    </w:p>
    <w:p w14:paraId="13B5C62C"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3-6 </w:t>
      </w:r>
      <w:r w:rsidRPr="00284F9E">
        <w:rPr>
          <w:rFonts w:ascii="Traditional Arabic" w:hAnsi="Traditional Arabic" w:cs="Traditional Arabic"/>
          <w:b/>
          <w:bCs/>
          <w:rtl/>
        </w:rPr>
        <w:t>مجتمع الدراسة</w:t>
      </w:r>
    </w:p>
    <w:p w14:paraId="3F803D48" w14:textId="13C1825F" w:rsidR="00284F9E" w:rsidRPr="00284F9E" w:rsidRDefault="00B6219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نظرًا لاعتماد الدراسة تصميمًا مختلطًا متسلسلًا، يختلف مجتمع الدراسة باختلاف المرحلة البحثية</w:t>
      </w:r>
      <w:r w:rsidR="00284F9E" w:rsidRPr="00284F9E">
        <w:rPr>
          <w:rFonts w:ascii="Traditional Arabic" w:hAnsi="Traditional Arabic" w:cs="Traditional Arabic"/>
        </w:rPr>
        <w:t>.</w:t>
      </w:r>
    </w:p>
    <w:p w14:paraId="35BBCEF2"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3-6-1 </w:t>
      </w:r>
      <w:r w:rsidRPr="00284F9E">
        <w:rPr>
          <w:rFonts w:ascii="Traditional Arabic" w:hAnsi="Traditional Arabic" w:cs="Traditional Arabic"/>
          <w:b/>
          <w:bCs/>
          <w:rtl/>
        </w:rPr>
        <w:t>مجتمع المرحلة النوعية</w:t>
      </w:r>
    </w:p>
    <w:p w14:paraId="00FEE0F3" w14:textId="3306A135" w:rsidR="00284F9E" w:rsidRPr="00284F9E" w:rsidRDefault="00B6219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يتكون مجتمع المرحلة النوعية من القيادات والخبراء والمختصين ذوي الخبرة المباشرة في المجالات المرتبطة بالبراعة التنظيمية والتميز المؤسسي والاستدامة في الجهات الحكومية السعودية، وبصفة خاصة العاملين في مجالات التخطيط الاستراتيجي، والتطوير المؤسسي، والجودة والتميز، والحوكمة، والتحول الرقمي، والابتكار المؤسسي، وإدارة الأداء</w:t>
      </w:r>
      <w:r w:rsidR="00284F9E" w:rsidRPr="00284F9E">
        <w:rPr>
          <w:rFonts w:ascii="Traditional Arabic" w:hAnsi="Traditional Arabic" w:cs="Traditional Arabic"/>
        </w:rPr>
        <w:t>.</w:t>
      </w:r>
    </w:p>
    <w:p w14:paraId="4D08853F"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3-6-2 </w:t>
      </w:r>
      <w:r w:rsidRPr="00284F9E">
        <w:rPr>
          <w:rFonts w:ascii="Traditional Arabic" w:hAnsi="Traditional Arabic" w:cs="Traditional Arabic"/>
          <w:b/>
          <w:bCs/>
          <w:rtl/>
        </w:rPr>
        <w:t>مجتمع المرحلة الكمية</w:t>
      </w:r>
    </w:p>
    <w:p w14:paraId="5AEC99DA" w14:textId="3A3D4F30" w:rsidR="00284F9E" w:rsidRPr="00284F9E" w:rsidRDefault="00B6219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lastRenderedPageBreak/>
        <w:t xml:space="preserve">     </w:t>
      </w:r>
      <w:r w:rsidR="00284F9E" w:rsidRPr="00284F9E">
        <w:rPr>
          <w:rFonts w:ascii="Traditional Arabic" w:hAnsi="Traditional Arabic" w:cs="Traditional Arabic"/>
          <w:rtl/>
        </w:rPr>
        <w:t>يتمثل مجتمع المرحلة الكمية في القيادات الإدارية والموظفين العاملين في الإدارات ذات العلاقة المباشرة بمتغيرات الدراسة في الهيئات الحكومية بالمملكة العربية السعودية</w:t>
      </w:r>
      <w:r w:rsidR="00284F9E" w:rsidRPr="00284F9E">
        <w:rPr>
          <w:rFonts w:ascii="Traditional Arabic" w:hAnsi="Traditional Arabic" w:cs="Traditional Arabic"/>
        </w:rPr>
        <w:t>.</w:t>
      </w:r>
    </w:p>
    <w:p w14:paraId="41D72EF1"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وتشمل الإدارات المستهدفة</w:t>
      </w:r>
      <w:r w:rsidRPr="00284F9E">
        <w:rPr>
          <w:rFonts w:ascii="Traditional Arabic" w:hAnsi="Traditional Arabic" w:cs="Traditional Arabic"/>
        </w:rPr>
        <w:t>:</w:t>
      </w:r>
    </w:p>
    <w:p w14:paraId="773098DB"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التخطيط الاستراتيجي</w:t>
      </w:r>
      <w:r w:rsidRPr="00284F9E">
        <w:rPr>
          <w:rFonts w:ascii="Traditional Arabic" w:hAnsi="Traditional Arabic" w:cs="Traditional Arabic"/>
        </w:rPr>
        <w:t>.</w:t>
      </w:r>
    </w:p>
    <w:p w14:paraId="1E650A70"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التطوير المؤسسي</w:t>
      </w:r>
      <w:r w:rsidRPr="00284F9E">
        <w:rPr>
          <w:rFonts w:ascii="Traditional Arabic" w:hAnsi="Traditional Arabic" w:cs="Traditional Arabic"/>
        </w:rPr>
        <w:t>.</w:t>
      </w:r>
    </w:p>
    <w:p w14:paraId="254E2E5A"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الجودة والتميز</w:t>
      </w:r>
      <w:r w:rsidRPr="00284F9E">
        <w:rPr>
          <w:rFonts w:ascii="Traditional Arabic" w:hAnsi="Traditional Arabic" w:cs="Traditional Arabic"/>
        </w:rPr>
        <w:t>.</w:t>
      </w:r>
    </w:p>
    <w:p w14:paraId="4354E6FF"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الحوكمة</w:t>
      </w:r>
      <w:r w:rsidRPr="00284F9E">
        <w:rPr>
          <w:rFonts w:ascii="Traditional Arabic" w:hAnsi="Traditional Arabic" w:cs="Traditional Arabic"/>
        </w:rPr>
        <w:t>.</w:t>
      </w:r>
    </w:p>
    <w:p w14:paraId="2B2E963C"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التحول الرقمي</w:t>
      </w:r>
      <w:r w:rsidRPr="00284F9E">
        <w:rPr>
          <w:rFonts w:ascii="Traditional Arabic" w:hAnsi="Traditional Arabic" w:cs="Traditional Arabic"/>
        </w:rPr>
        <w:t>.</w:t>
      </w:r>
    </w:p>
    <w:p w14:paraId="35464E38"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الابتكار المؤسسي</w:t>
      </w:r>
      <w:r w:rsidRPr="00284F9E">
        <w:rPr>
          <w:rFonts w:ascii="Traditional Arabic" w:hAnsi="Traditional Arabic" w:cs="Traditional Arabic"/>
        </w:rPr>
        <w:t>.</w:t>
      </w:r>
    </w:p>
    <w:p w14:paraId="65338CB0" w14:textId="77777777" w:rsidR="00284F9E" w:rsidRPr="00284F9E" w:rsidRDefault="00284F9E" w:rsidP="00284F9E">
      <w:pPr>
        <w:numPr>
          <w:ilvl w:val="0"/>
          <w:numId w:val="30"/>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إدارة الأداء</w:t>
      </w:r>
      <w:r w:rsidRPr="00284F9E">
        <w:rPr>
          <w:rFonts w:ascii="Traditional Arabic" w:hAnsi="Traditional Arabic" w:cs="Traditional Arabic"/>
        </w:rPr>
        <w:t>.</w:t>
      </w:r>
    </w:p>
    <w:p w14:paraId="464A3BB6" w14:textId="73C37917" w:rsidR="00284F9E" w:rsidRPr="00284F9E" w:rsidRDefault="00B62190" w:rsidP="00B62190">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00284F9E" w:rsidRPr="00284F9E">
        <w:rPr>
          <w:rFonts w:ascii="Traditional Arabic" w:hAnsi="Traditional Arabic" w:cs="Traditional Arabic"/>
          <w:rtl/>
        </w:rPr>
        <w:t xml:space="preserve">وتمثل </w:t>
      </w:r>
      <w:r w:rsidR="00284F9E" w:rsidRPr="00B62190">
        <w:rPr>
          <w:rFonts w:ascii="Traditional Arabic" w:hAnsi="Traditional Arabic" w:cs="Traditional Arabic"/>
          <w:rtl/>
        </w:rPr>
        <w:t>الهيئة الحكومية وحدة المعاينة في المستوى الأول، بينما يمثل الفرد المستجيب وحدة التحليل الأساسية</w:t>
      </w:r>
      <w:r w:rsidR="00284F9E" w:rsidRPr="00284F9E">
        <w:rPr>
          <w:rFonts w:ascii="Traditional Arabic" w:hAnsi="Traditional Arabic" w:cs="Traditional Arabic"/>
          <w:rtl/>
        </w:rPr>
        <w:t xml:space="preserve"> في الدراسة الكمية؛ لأن البيانات التي سيُقدر من خلالها النموذج الإحصائي ستُجمع من العاملين والقيادات أنفسهم</w:t>
      </w:r>
      <w:r w:rsidR="00284F9E" w:rsidRPr="00284F9E">
        <w:rPr>
          <w:rFonts w:ascii="Traditional Arabic" w:hAnsi="Traditional Arabic" w:cs="Traditional Arabic"/>
        </w:rPr>
        <w:t>.</w:t>
      </w:r>
    </w:p>
    <w:p w14:paraId="28E1843E"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3-7 </w:t>
      </w:r>
      <w:r w:rsidRPr="00284F9E">
        <w:rPr>
          <w:rFonts w:ascii="Traditional Arabic" w:hAnsi="Traditional Arabic" w:cs="Traditional Arabic"/>
          <w:b/>
          <w:bCs/>
          <w:rtl/>
        </w:rPr>
        <w:t>عينة المرحلة النوعية</w:t>
      </w:r>
    </w:p>
    <w:p w14:paraId="6E9B112B" w14:textId="3D18CBB0" w:rsidR="00284F9E" w:rsidRPr="00284F9E" w:rsidRDefault="00620A17"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ستعتمد الدراسة في المرحلة النوعية على </w:t>
      </w:r>
      <w:r w:rsidR="00284F9E" w:rsidRPr="00B62190">
        <w:rPr>
          <w:rFonts w:ascii="Traditional Arabic" w:hAnsi="Traditional Arabic" w:cs="Traditional Arabic"/>
          <w:rtl/>
        </w:rPr>
        <w:t>العينة القصدية الخبراتية</w:t>
      </w:r>
      <w:r w:rsidR="00B62190" w:rsidRPr="00B62190">
        <w:rPr>
          <w:rFonts w:ascii="Traditional Arabic" w:hAnsi="Traditional Arabic" w:cs="Traditional Arabic" w:hint="cs"/>
          <w:rtl/>
        </w:rPr>
        <w:t xml:space="preserve"> </w:t>
      </w:r>
      <w:r w:rsidR="00284F9E" w:rsidRPr="00B62190">
        <w:rPr>
          <w:rFonts w:ascii="Traditional Arabic" w:hAnsi="Traditional Arabic" w:cs="Traditional Arabic"/>
          <w:sz w:val="22"/>
          <w:szCs w:val="22"/>
        </w:rPr>
        <w:t>(Purposive/Expert Sampling)</w:t>
      </w:r>
      <w:r w:rsidR="00B62190" w:rsidRPr="00B62190">
        <w:rPr>
          <w:rFonts w:ascii="Traditional Arabic" w:hAnsi="Traditional Arabic" w:cs="Traditional Arabic" w:hint="cs"/>
          <w:b/>
          <w:bCs/>
          <w:sz w:val="20"/>
          <w:szCs w:val="20"/>
          <w:rtl/>
        </w:rPr>
        <w:t>،</w:t>
      </w:r>
      <w:r w:rsidR="00284F9E" w:rsidRPr="00B62190">
        <w:rPr>
          <w:rFonts w:ascii="Traditional Arabic" w:hAnsi="Traditional Arabic" w:cs="Traditional Arabic"/>
          <w:sz w:val="22"/>
          <w:szCs w:val="22"/>
          <w:rtl/>
        </w:rPr>
        <w:t xml:space="preserve"> </w:t>
      </w:r>
      <w:r w:rsidR="00284F9E" w:rsidRPr="00284F9E">
        <w:rPr>
          <w:rFonts w:ascii="Traditional Arabic" w:hAnsi="Traditional Arabic" w:cs="Traditional Arabic"/>
          <w:rtl/>
        </w:rPr>
        <w:t>لأن الهدف ليس التمثيل الإحصائي للمجتمع، وإنما اختيار مشاركين يمتلكون معرفة وخبرة مباشرة تمكنهم من تقديم معلومات ثرية حول موضوع الدراسة</w:t>
      </w:r>
      <w:r w:rsidR="00284F9E" w:rsidRPr="00284F9E">
        <w:rPr>
          <w:rFonts w:ascii="Traditional Arabic" w:hAnsi="Traditional Arabic" w:cs="Traditional Arabic"/>
        </w:rPr>
        <w:t>.</w:t>
      </w:r>
    </w:p>
    <w:p w14:paraId="4DEE85DF"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وسيتم اختيار المشاركين وفق مجموعة من المعايير، من أهمها أن يكون المشارك من القيادات أو المختصين في إحدى المجالات المرتبطة بموضوع الدراسة، وأن يمتلك خبرة عملية مباشرة في التطوير المؤسسي أو التخطيط الاستراتيجي أو التميز أو الحوكمة أو التحول الرقمي أو الابتكار أو إدارة الأداء، وأن يكون لديه إلمام بالممارسات التنظيمية والتطويرية في الجهة التي يعمل بها</w:t>
      </w:r>
      <w:r w:rsidRPr="00284F9E">
        <w:rPr>
          <w:rFonts w:ascii="Traditional Arabic" w:hAnsi="Traditional Arabic" w:cs="Traditional Arabic"/>
        </w:rPr>
        <w:t>.</w:t>
      </w:r>
    </w:p>
    <w:p w14:paraId="5292A18A"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وسيكون الحجم الأولي المخطط للمقابلات في حدود </w:t>
      </w:r>
      <w:r w:rsidRPr="00620A17">
        <w:rPr>
          <w:rFonts w:ascii="Traditional Arabic" w:hAnsi="Traditional Arabic" w:cs="Traditional Arabic"/>
        </w:rPr>
        <w:t xml:space="preserve">10–15 </w:t>
      </w:r>
      <w:r w:rsidRPr="00620A17">
        <w:rPr>
          <w:rFonts w:ascii="Traditional Arabic" w:hAnsi="Traditional Arabic" w:cs="Traditional Arabic"/>
          <w:rtl/>
        </w:rPr>
        <w:t>مشاركًا</w:t>
      </w:r>
      <w:r w:rsidRPr="00284F9E">
        <w:rPr>
          <w:rFonts w:ascii="Traditional Arabic" w:hAnsi="Traditional Arabic" w:cs="Traditional Arabic"/>
          <w:rtl/>
        </w:rPr>
        <w:t>، وهو ما يتفق مع خطة البحث الأصلية، مع عدم التعامل مع هذا العدد بوصفه حدًا جامدًا؛ إذ ستستمر المقابلات إلى أن تتحقق كفاية البيانات</w:t>
      </w:r>
      <w:r w:rsidRPr="00284F9E">
        <w:rPr>
          <w:rFonts w:ascii="Traditional Arabic" w:hAnsi="Traditional Arabic" w:cs="Traditional Arabic"/>
        </w:rPr>
        <w:t>.</w:t>
      </w:r>
    </w:p>
    <w:p w14:paraId="5E4C09B1" w14:textId="2A577AF9" w:rsidR="00284F9E" w:rsidRPr="00284F9E" w:rsidRDefault="00284F9E" w:rsidP="00284F9E">
      <w:pPr>
        <w:tabs>
          <w:tab w:val="left" w:pos="1368"/>
        </w:tabs>
        <w:bidi/>
        <w:spacing w:line="276" w:lineRule="auto"/>
        <w:jc w:val="both"/>
        <w:rPr>
          <w:rFonts w:ascii="Traditional Arabic" w:hAnsi="Traditional Arabic" w:cs="Traditional Arabic"/>
        </w:rPr>
      </w:pPr>
      <w:r w:rsidRPr="00620A17">
        <w:rPr>
          <w:rFonts w:ascii="Traditional Arabic" w:hAnsi="Traditional Arabic" w:cs="Traditional Arabic"/>
          <w:rtl/>
        </w:rPr>
        <w:t>وفي هذا السياق ستستخدم الدراسة مصطلح تشبع البيانات</w:t>
      </w:r>
      <w:r w:rsidRPr="00620A17">
        <w:rPr>
          <w:rFonts w:ascii="Traditional Arabic" w:hAnsi="Traditional Arabic" w:cs="Traditional Arabic"/>
        </w:rPr>
        <w:t xml:space="preserve"> </w:t>
      </w:r>
      <w:r w:rsidRPr="00620A17">
        <w:rPr>
          <w:rFonts w:ascii="Traditional Arabic" w:hAnsi="Traditional Arabic" w:cs="Traditional Arabic"/>
          <w:rtl/>
        </w:rPr>
        <w:t xml:space="preserve">أو التشبع الموضوعي، </w:t>
      </w:r>
      <w:r w:rsidRPr="00284F9E">
        <w:rPr>
          <w:rFonts w:ascii="Traditional Arabic" w:hAnsi="Traditional Arabic" w:cs="Traditional Arabic"/>
          <w:rtl/>
        </w:rPr>
        <w:t>بدلًا من مصطلح «الإشباع النظري» الذي يرتبط بصورة أدق بالدراسات المبنية على النظرية المجذرة. ويعد التشبع متحققًا عندما لا تؤدي المقابلات الإضافية إلى ظهور موضوعات أو معلومات تحليلية جديدة ذات أهمية في الإجابة عن أسئلة الدراسة</w:t>
      </w:r>
      <w:r w:rsidRPr="00284F9E">
        <w:rPr>
          <w:rFonts w:ascii="Traditional Arabic" w:hAnsi="Traditional Arabic" w:cs="Traditional Arabic"/>
        </w:rPr>
        <w:t xml:space="preserve"> </w:t>
      </w:r>
      <w:r w:rsidRPr="000F2A82">
        <w:rPr>
          <w:rFonts w:ascii="Traditional Arabic" w:hAnsi="Traditional Arabic" w:cs="Traditional Arabic"/>
          <w:sz w:val="22"/>
          <w:szCs w:val="22"/>
        </w:rPr>
        <w:t>(Guest et al., 2020).</w:t>
      </w:r>
    </w:p>
    <w:p w14:paraId="354B587E" w14:textId="3DBDF619" w:rsidR="00284F9E" w:rsidRPr="00284F9E" w:rsidRDefault="00284F9E" w:rsidP="000F2A82">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وسيُوثق قرار الوصول إلى التشبع من خلال متابعة الموضوعات والرموز الجديدة التي تظهر عبر المقابلات المتتابعة، بما يجعل قرار إيقاف جمع البيانات قائمًا على أدلة تحليلية، وليس على الوصول إلى عدد محدد مسبقًا فقط</w:t>
      </w:r>
      <w:r w:rsidRPr="00284F9E">
        <w:rPr>
          <w:rFonts w:ascii="Traditional Arabic" w:hAnsi="Traditional Arabic" w:cs="Traditional Arabic"/>
        </w:rPr>
        <w:t>.</w:t>
      </w:r>
    </w:p>
    <w:p w14:paraId="268E993D"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lastRenderedPageBreak/>
        <w:t xml:space="preserve">3-8 </w:t>
      </w:r>
      <w:r w:rsidRPr="00284F9E">
        <w:rPr>
          <w:rFonts w:ascii="Traditional Arabic" w:hAnsi="Traditional Arabic" w:cs="Traditional Arabic"/>
          <w:b/>
          <w:bCs/>
          <w:rtl/>
        </w:rPr>
        <w:t>أدوات جمع البيانات النوعية</w:t>
      </w:r>
    </w:p>
    <w:p w14:paraId="47998D3B"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3-8-1 </w:t>
      </w:r>
      <w:r w:rsidRPr="00284F9E">
        <w:rPr>
          <w:rFonts w:ascii="Traditional Arabic" w:hAnsi="Traditional Arabic" w:cs="Traditional Arabic"/>
          <w:b/>
          <w:bCs/>
          <w:rtl/>
        </w:rPr>
        <w:t>المقابلات شبه الموجهة</w:t>
      </w:r>
    </w:p>
    <w:p w14:paraId="68CBE2A1" w14:textId="7B845D67" w:rsidR="00284F9E" w:rsidRPr="00284F9E" w:rsidRDefault="000F2A8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ستستخدم الباحثة المقابلات شبه الموجهة</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بوصفها الأداة الأساسية في المرحلة النوعية، نظرًا لما توفره من توازن بين وجود محاور بحثية محددة مسبقًا وبين منح المشاركين مساحة كافية لتقديم خبراتهم وتفسيراتهم وإبراز قضايا لم تكن ظاهرة في الإطار النظري بصورة كاملة</w:t>
      </w:r>
      <w:r w:rsidR="00284F9E" w:rsidRPr="000F2A82">
        <w:rPr>
          <w:rFonts w:ascii="Traditional Arabic" w:hAnsi="Traditional Arabic" w:cs="Traditional Arabic"/>
          <w:sz w:val="22"/>
          <w:szCs w:val="22"/>
        </w:rPr>
        <w:t xml:space="preserve"> (Creswell &amp; Creswell, 2022).</w:t>
      </w:r>
    </w:p>
    <w:p w14:paraId="70C21E4A"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وسيُعد دليل المقابلة في ضوء أهداف الدراسة ومتغيراتها والأدبيات ذات الصلة، وسيتضمن نحو </w:t>
      </w:r>
      <w:r w:rsidRPr="000F2A82">
        <w:rPr>
          <w:rFonts w:ascii="Traditional Arabic" w:hAnsi="Traditional Arabic" w:cs="Traditional Arabic"/>
        </w:rPr>
        <w:t xml:space="preserve">8–10 </w:t>
      </w:r>
      <w:r w:rsidRPr="000F2A82">
        <w:rPr>
          <w:rFonts w:ascii="Traditional Arabic" w:hAnsi="Traditional Arabic" w:cs="Traditional Arabic"/>
          <w:rtl/>
        </w:rPr>
        <w:t>أسئلة رئيسة</w:t>
      </w:r>
      <w:r w:rsidRPr="00284F9E">
        <w:rPr>
          <w:rFonts w:ascii="Traditional Arabic" w:hAnsi="Traditional Arabic" w:cs="Traditional Arabic"/>
          <w:rtl/>
        </w:rPr>
        <w:t xml:space="preserve"> موزعة على أربعة محاور مترابطة</w:t>
      </w:r>
      <w:r w:rsidRPr="00284F9E">
        <w:rPr>
          <w:rFonts w:ascii="Traditional Arabic" w:hAnsi="Traditional Arabic" w:cs="Traditional Arabic"/>
        </w:rPr>
        <w:t>:</w:t>
      </w:r>
    </w:p>
    <w:p w14:paraId="6210FAFC"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المحور الأول</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واقع تطبيق البراعة التنظيمية، وكيفية تحقيق التوازن بين تحسين الموارد والعمليات القائمة وبين استكشاف فرص التطوير والابتكار</w:t>
      </w:r>
      <w:r w:rsidRPr="00284F9E">
        <w:rPr>
          <w:rFonts w:ascii="Traditional Arabic" w:hAnsi="Traditional Arabic" w:cs="Traditional Arabic"/>
        </w:rPr>
        <w:t>.</w:t>
      </w:r>
    </w:p>
    <w:p w14:paraId="40798A5C"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المحور الثاني</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الممارسات التنظيمية والقيادية الداعمة للبراعة، بما يشمل القيادة والهياكل والثقافة التنظيمية واتخاذ القرار والمرونة</w:t>
      </w:r>
      <w:r w:rsidRPr="00284F9E">
        <w:rPr>
          <w:rFonts w:ascii="Traditional Arabic" w:hAnsi="Traditional Arabic" w:cs="Traditional Arabic"/>
        </w:rPr>
        <w:t>.</w:t>
      </w:r>
    </w:p>
    <w:p w14:paraId="11BDCC15"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المحور الثالث</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التحديات والمعوقات التنظيمية والإدارية التي تؤثر في تحقيق البراعة التنظيمية والتميز والاستدامة</w:t>
      </w:r>
      <w:r w:rsidRPr="00284F9E">
        <w:rPr>
          <w:rFonts w:ascii="Traditional Arabic" w:hAnsi="Traditional Arabic" w:cs="Traditional Arabic"/>
        </w:rPr>
        <w:t>.</w:t>
      </w:r>
    </w:p>
    <w:p w14:paraId="394B013E"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المحور الرابع</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الممارسات والحلول التطويرية التي يمكن أن تسهم في بناء استراتيجية فاعلة للبراعة التنظيمية في هيئات القطاع العام</w:t>
      </w:r>
      <w:r w:rsidRPr="00284F9E">
        <w:rPr>
          <w:rFonts w:ascii="Traditional Arabic" w:hAnsi="Traditional Arabic" w:cs="Traditional Arabic"/>
        </w:rPr>
        <w:t>.</w:t>
      </w:r>
    </w:p>
    <w:p w14:paraId="0D7B8988" w14:textId="484973D1" w:rsidR="00284F9E" w:rsidRPr="00284F9E" w:rsidRDefault="000F2A8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وستُطرح أسئلة استيضاحية بحسب مسار كل مقابلة؛ بهدف تعميق الإجابة أو توضيح الأمثلة والخبرات التي يقدمها المشارك، مع المحافظة على المحاور الأساسية بما يتيح المقارنة بين المقابلات</w:t>
      </w:r>
      <w:r w:rsidR="00284F9E" w:rsidRPr="00284F9E">
        <w:rPr>
          <w:rFonts w:ascii="Traditional Arabic" w:hAnsi="Traditional Arabic" w:cs="Traditional Arabic"/>
        </w:rPr>
        <w:t>.</w:t>
      </w:r>
    </w:p>
    <w:p w14:paraId="5757F05C"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3-8-2 </w:t>
      </w:r>
      <w:r w:rsidRPr="00284F9E">
        <w:rPr>
          <w:rFonts w:ascii="Traditional Arabic" w:hAnsi="Traditional Arabic" w:cs="Traditional Arabic"/>
          <w:b/>
          <w:bCs/>
          <w:rtl/>
        </w:rPr>
        <w:t>تحليل الوثائق</w:t>
      </w:r>
    </w:p>
    <w:p w14:paraId="63ACDDF9" w14:textId="751C564A" w:rsidR="00284F9E" w:rsidRPr="00284F9E" w:rsidRDefault="000F2A8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ستعتمد الدراسة أيضًا تحليل الوثائق</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بوصفه مصدرًا نوعيًا مكملًا للمقابلات، وذلك بهدف الوصول إلى بيانات تنظيمية رسمية يمكن مقارنتها بما يقدمه المشاركون من تصورات وخبرات. ويعد تحليل الوثائق منهجًا مناسبًا لفحص الخطط والتقارير والسياسات والسجلات واستخلاص ما تتضمنه من معلومات ذات صلة بالسياق التنظيمي</w:t>
      </w:r>
      <w:r w:rsidR="00284F9E" w:rsidRPr="000F2A82">
        <w:rPr>
          <w:rFonts w:ascii="Traditional Arabic" w:hAnsi="Traditional Arabic" w:cs="Traditional Arabic"/>
          <w:sz w:val="22"/>
          <w:szCs w:val="22"/>
        </w:rPr>
        <w:t xml:space="preserve"> (Bowen, 2009).</w:t>
      </w:r>
    </w:p>
    <w:p w14:paraId="79CC9084" w14:textId="46B8575A" w:rsidR="00284F9E" w:rsidRPr="00284F9E" w:rsidRDefault="000F2A8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ومن المتوقع تحليل ما بين </w:t>
      </w:r>
      <w:r w:rsidR="00284F9E" w:rsidRPr="000F2A82">
        <w:rPr>
          <w:rFonts w:ascii="Traditional Arabic" w:hAnsi="Traditional Arabic" w:cs="Traditional Arabic"/>
        </w:rPr>
        <w:t>10</w:t>
      </w:r>
      <w:r w:rsidR="00284F9E" w:rsidRPr="000F2A82">
        <w:rPr>
          <w:rFonts w:ascii="Traditional Arabic" w:hAnsi="Traditional Arabic" w:cs="Traditional Arabic"/>
          <w:sz w:val="22"/>
          <w:szCs w:val="22"/>
        </w:rPr>
        <w:t xml:space="preserve">–15 </w:t>
      </w:r>
      <w:r w:rsidR="00284F9E" w:rsidRPr="000F2A82">
        <w:rPr>
          <w:rFonts w:ascii="Traditional Arabic" w:hAnsi="Traditional Arabic" w:cs="Traditional Arabic"/>
          <w:sz w:val="22"/>
          <w:szCs w:val="22"/>
          <w:rtl/>
        </w:rPr>
        <w:t xml:space="preserve">وثيقة </w:t>
      </w:r>
      <w:r w:rsidR="00284F9E" w:rsidRPr="00284F9E">
        <w:rPr>
          <w:rFonts w:ascii="Traditional Arabic" w:hAnsi="Traditional Arabic" w:cs="Traditional Arabic"/>
          <w:rtl/>
        </w:rPr>
        <w:t>ذات صلة مباشرة بالدراسة، مثل الخطط الاستراتيجية، وتقارير الأداء، وأدلة الجودة والتميز، ووثائق الحوكمة، وسياسات التطوير والتحول، والتقارير السنوية ذات الصلة</w:t>
      </w:r>
      <w:r w:rsidR="00284F9E" w:rsidRPr="00284F9E">
        <w:rPr>
          <w:rFonts w:ascii="Traditional Arabic" w:hAnsi="Traditional Arabic" w:cs="Traditional Arabic"/>
        </w:rPr>
        <w:t>.</w:t>
      </w:r>
    </w:p>
    <w:p w14:paraId="697380E7" w14:textId="4F8518AF" w:rsidR="00284F9E" w:rsidRPr="00284F9E" w:rsidRDefault="000F2A82" w:rsidP="000F2A8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وسيُراعى عند اختيار الوثيقة أن تكون حديثة نسبيًا، وأن ترتبط بأحد متغيرات الدراسة أو أبعادها، وأن تصدر عن جهة رسمية أو معتمدة، وأن تحتوي على معلومات يمكن توظيفها في التحليل</w:t>
      </w:r>
      <w:r w:rsidR="00284F9E" w:rsidRPr="00284F9E">
        <w:rPr>
          <w:rFonts w:ascii="Traditional Arabic" w:hAnsi="Traditional Arabic" w:cs="Traditional Arabic"/>
        </w:rPr>
        <w:t>.</w:t>
      </w:r>
    </w:p>
    <w:p w14:paraId="0F250B2B"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3-9 </w:t>
      </w:r>
      <w:r w:rsidRPr="00284F9E">
        <w:rPr>
          <w:rFonts w:ascii="Traditional Arabic" w:hAnsi="Traditional Arabic" w:cs="Traditional Arabic"/>
          <w:b/>
          <w:bCs/>
          <w:rtl/>
        </w:rPr>
        <w:t>إجراءات تحليل البيانات النوعية</w:t>
      </w:r>
    </w:p>
    <w:p w14:paraId="1B2A1DA8" w14:textId="10632D67" w:rsidR="00284F9E" w:rsidRPr="00284F9E" w:rsidRDefault="0040645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ستُحلل البيانات النوعية باستخدام </w:t>
      </w:r>
      <w:r w:rsidR="00284F9E" w:rsidRPr="000F2A82">
        <w:rPr>
          <w:rFonts w:ascii="Traditional Arabic" w:hAnsi="Traditional Arabic" w:cs="Traditional Arabic"/>
          <w:rtl/>
        </w:rPr>
        <w:t>التحليل الموضوعي</w:t>
      </w:r>
      <w:r w:rsidR="00284F9E" w:rsidRPr="00284F9E">
        <w:rPr>
          <w:rFonts w:ascii="Traditional Arabic" w:hAnsi="Traditional Arabic" w:cs="Traditional Arabic"/>
          <w:rtl/>
        </w:rPr>
        <w:t>؛ لما يوفره من إطار مرن ومنظم للتعرف على أنماط المعنى والموضوعات المتكررة داخل البيانات النوعية وتفسيرها</w:t>
      </w:r>
      <w:r w:rsidR="00284F9E" w:rsidRPr="00406453">
        <w:rPr>
          <w:rFonts w:ascii="Traditional Arabic" w:hAnsi="Traditional Arabic" w:cs="Traditional Arabic"/>
          <w:sz w:val="22"/>
          <w:szCs w:val="22"/>
        </w:rPr>
        <w:t xml:space="preserve"> (Braun &amp; Clarke, 2022).</w:t>
      </w:r>
    </w:p>
    <w:p w14:paraId="39C06FE0" w14:textId="7F2BFCC5" w:rsidR="00284F9E" w:rsidRPr="00284F9E" w:rsidRDefault="005E69C7"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وستبدأ عملية التحليل بتفريغ المقابلات ومراجعة النصوص والتأكد من اكتمالها، ثم القراءة المتكررة بهدف الإلمام بالبيانات وتكوين فهم أولي لمضمونها. يلي ذلك توليد الرموز الأولية للأفكار والعبارات ذات العلاقة بأسئلة الدراسة، ثم تجميع الرموز المتقاربة في مجموعات أوسع، وتطوير موضوعات أولية تعبر عن الأنماط الرئيسة في البيانات</w:t>
      </w:r>
      <w:r w:rsidR="00284F9E" w:rsidRPr="00284F9E">
        <w:rPr>
          <w:rFonts w:ascii="Traditional Arabic" w:hAnsi="Traditional Arabic" w:cs="Traditional Arabic"/>
        </w:rPr>
        <w:t>.</w:t>
      </w:r>
    </w:p>
    <w:p w14:paraId="2690C6E8" w14:textId="6B3FB829" w:rsidR="00284F9E" w:rsidRPr="00284F9E" w:rsidRDefault="00D2766C"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بعد ذلك ستُراجع الموضوعات مقارنة بالنصوص الأصلية للتأكد من اتساقها الداخلي وتميزها عن الموضوعات الأخرى، ثم تُعرّف وتُسمى بصورة واضحة، وتُبنى خريطة تحليلية تبين العلاقات بينها. وفي المرحلة النهائية، ستُفسر الموضوعات في ضوء أهداف الدراسة والإطار النظري، وتُستخدم في تطوير أداة الدراسة الكمية وتفسير النتائج اللاحقة</w:t>
      </w:r>
      <w:r w:rsidR="00284F9E" w:rsidRPr="00284F9E">
        <w:rPr>
          <w:rFonts w:ascii="Traditional Arabic" w:hAnsi="Traditional Arabic" w:cs="Traditional Arabic"/>
        </w:rPr>
        <w:t>.</w:t>
      </w:r>
    </w:p>
    <w:p w14:paraId="1B2B86A7" w14:textId="14E911C0" w:rsidR="00284F9E" w:rsidRPr="00284F9E" w:rsidRDefault="00D2766C"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وستستخدم الباحثة برنامج </w:t>
      </w:r>
      <w:r w:rsidR="00284F9E" w:rsidRPr="00D2766C">
        <w:rPr>
          <w:rFonts w:ascii="Traditional Arabic" w:hAnsi="Traditional Arabic" w:cs="Traditional Arabic"/>
        </w:rPr>
        <w:t>NVivo</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للمساعدة في تنظيم النصوص، وإدارة الترميز، واسترجاع المقاطع ذات العلاقة، وربط الرموز والموضوعات. ويقتصر دور البرنامج على تسهيل إدارة البيانات؛ بينما تظل عملية تكوين المعنى وتحديد الموضوعات وتفسيرها مسؤولية الباحثة التحليلية</w:t>
      </w:r>
      <w:r w:rsidR="00284F9E" w:rsidRPr="00284F9E">
        <w:rPr>
          <w:rFonts w:ascii="Traditional Arabic" w:hAnsi="Traditional Arabic" w:cs="Traditional Arabic"/>
        </w:rPr>
        <w:t>.</w:t>
      </w:r>
    </w:p>
    <w:p w14:paraId="6FD97C5F"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جودة البحث النوعي</w:t>
      </w:r>
    </w:p>
    <w:p w14:paraId="05854233" w14:textId="2B424097" w:rsidR="00284F9E" w:rsidRPr="00284F9E" w:rsidRDefault="00364466"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ستتخذ الباحثة مجموعة من الإجراءات لتعزيز مصداقية الجزء النوعي، من بينها توثيق خطوات التحليل، والرجوع المستمر إلى النصوص الأصلية، ومقارنة نتائج المقابلات بالوثائق، والاحتفاظ بمسار واضح للقرارات التحليلية، مع بيان كيفية الانتقال من الرموز إلى الموضوعات النهائية</w:t>
      </w:r>
      <w:r w:rsidR="00284F9E" w:rsidRPr="00284F9E">
        <w:rPr>
          <w:rFonts w:ascii="Traditional Arabic" w:hAnsi="Traditional Arabic" w:cs="Traditional Arabic"/>
        </w:rPr>
        <w:t>.</w:t>
      </w:r>
    </w:p>
    <w:p w14:paraId="6BC4C311" w14:textId="6A82CFDB" w:rsidR="00284F9E" w:rsidRPr="00284F9E" w:rsidRDefault="00364466" w:rsidP="0036446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كما يسهم استخدام مصدرين للبيانات، هما المقابلات والوثائق، في تعزيز فهم الظاهرة من أكثر من زاوية، دون افتراض أن اتفاق المصدرين شرط مسبق؛ إذ قد تكون أوجه الاختلاف بينها ذات قيمة تفسيرية في حد ذاتها</w:t>
      </w:r>
      <w:r w:rsidR="00284F9E" w:rsidRPr="00284F9E">
        <w:rPr>
          <w:rFonts w:ascii="Traditional Arabic" w:hAnsi="Traditional Arabic" w:cs="Traditional Arabic"/>
        </w:rPr>
        <w:t>.</w:t>
      </w:r>
    </w:p>
    <w:p w14:paraId="767C5D88"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3-10 </w:t>
      </w:r>
      <w:r w:rsidRPr="00284F9E">
        <w:rPr>
          <w:rFonts w:ascii="Traditional Arabic" w:hAnsi="Traditional Arabic" w:cs="Traditional Arabic"/>
          <w:b/>
          <w:bCs/>
          <w:rtl/>
        </w:rPr>
        <w:t>بناء أداة الدراسة الكمية</w:t>
      </w:r>
    </w:p>
    <w:p w14:paraId="1C1D1C13" w14:textId="575502DC" w:rsidR="00284F9E" w:rsidRPr="00284F9E" w:rsidRDefault="00364466"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ستعتمد الدراسة الاستبانة أداة رئيسة لجمع البيانات في المرحلة الكمية. ولن تُبنى فقراتها من مصدر واحد، بل من خلال عملية تطوير متتابعة تدمج بين</w:t>
      </w:r>
      <w:r w:rsidR="00284F9E" w:rsidRPr="00284F9E">
        <w:rPr>
          <w:rFonts w:ascii="Traditional Arabic" w:hAnsi="Traditional Arabic" w:cs="Traditional Arabic"/>
        </w:rPr>
        <w:t>:</w:t>
      </w:r>
    </w:p>
    <w:p w14:paraId="23CACD83"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الإطار النظري لمتغيرات الدراسة</w:t>
      </w:r>
      <w:r w:rsidRPr="00284F9E">
        <w:rPr>
          <w:rFonts w:ascii="Traditional Arabic" w:hAnsi="Traditional Arabic" w:cs="Traditional Arabic"/>
        </w:rPr>
        <w:t>.</w:t>
      </w:r>
    </w:p>
    <w:p w14:paraId="363ACE71"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المقاييس والفقرات المستخدمة في الدراسات السابقة</w:t>
      </w:r>
      <w:r w:rsidRPr="00284F9E">
        <w:rPr>
          <w:rFonts w:ascii="Traditional Arabic" w:hAnsi="Traditional Arabic" w:cs="Traditional Arabic"/>
        </w:rPr>
        <w:t>.</w:t>
      </w:r>
    </w:p>
    <w:p w14:paraId="090E9334"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نتائج المقابلات النوعية</w:t>
      </w:r>
      <w:r w:rsidRPr="00284F9E">
        <w:rPr>
          <w:rFonts w:ascii="Traditional Arabic" w:hAnsi="Traditional Arabic" w:cs="Traditional Arabic"/>
        </w:rPr>
        <w:t>.</w:t>
      </w:r>
    </w:p>
    <w:p w14:paraId="0F31F6AE"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نتائج تحليل الوثائق</w:t>
      </w:r>
      <w:r w:rsidRPr="00284F9E">
        <w:rPr>
          <w:rFonts w:ascii="Traditional Arabic" w:hAnsi="Traditional Arabic" w:cs="Traditional Arabic"/>
        </w:rPr>
        <w:t>.</w:t>
      </w:r>
    </w:p>
    <w:p w14:paraId="0AD11AF3"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ملاحظات المحكمين</w:t>
      </w:r>
      <w:r w:rsidRPr="00284F9E">
        <w:rPr>
          <w:rFonts w:ascii="Traditional Arabic" w:hAnsi="Traditional Arabic" w:cs="Traditional Arabic"/>
        </w:rPr>
        <w:t>.</w:t>
      </w:r>
    </w:p>
    <w:p w14:paraId="1303966D" w14:textId="77777777" w:rsidR="00284F9E" w:rsidRPr="00284F9E" w:rsidRDefault="00284F9E" w:rsidP="00284F9E">
      <w:pPr>
        <w:numPr>
          <w:ilvl w:val="0"/>
          <w:numId w:val="31"/>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نتائج الدراسة الاستطلاعية</w:t>
      </w:r>
      <w:r w:rsidRPr="00284F9E">
        <w:rPr>
          <w:rFonts w:ascii="Traditional Arabic" w:hAnsi="Traditional Arabic" w:cs="Traditional Arabic"/>
        </w:rPr>
        <w:t>.</w:t>
      </w:r>
    </w:p>
    <w:p w14:paraId="0BAE8547" w14:textId="2DA2C3F2" w:rsidR="00284F9E" w:rsidRPr="00284F9E" w:rsidRDefault="00F2532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وسيُعد سجل لتطوير الأداة يتضمن الفقرة، ومصدرها، وصياغتها الأصلية عند الاقتباس أو التطوير، والتعديل الذي أُجري عليها، ومبرر التعديل، والبعد الذي تقيسه. ويتوافق هذا الإجراء مع متطلبات نموذج تحكيم الأداة المعتمد في الدراسة، الذي يشدد على توثيق مصادر الفقرات وتعديلاتها، وتقديم تعريف إجرائي للمتغيرات والأبعاد قبل عرضها على المحكمين</w:t>
      </w:r>
      <w:r w:rsidR="00284F9E" w:rsidRPr="00284F9E">
        <w:rPr>
          <w:rFonts w:ascii="Traditional Arabic" w:hAnsi="Traditional Arabic" w:cs="Traditional Arabic"/>
        </w:rPr>
        <w:t>.</w:t>
      </w:r>
    </w:p>
    <w:p w14:paraId="413BB8AE" w14:textId="0D74BE4E" w:rsidR="00284F9E" w:rsidRPr="00284F9E" w:rsidRDefault="00F25320"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وستتكون الاستبانة في صورتها العامة من قسم للبيانات الشخصية والوظيفية ذات الصلة المباشرة بأهداف التحليل، وقسم رئيس لفقرات قياس البراعة التنظيمية والتميز المؤسسي والاستدامة</w:t>
      </w:r>
      <w:r w:rsidR="00284F9E" w:rsidRPr="00284F9E">
        <w:rPr>
          <w:rFonts w:ascii="Traditional Arabic" w:hAnsi="Traditional Arabic" w:cs="Traditional Arabic"/>
        </w:rPr>
        <w:t>.</w:t>
      </w:r>
    </w:p>
    <w:p w14:paraId="539E321B" w14:textId="14EB2D7D" w:rsidR="00284F9E" w:rsidRPr="00284F9E" w:rsidRDefault="00284F9E" w:rsidP="009737A6">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وستستخدم الدراسة </w:t>
      </w:r>
      <w:r w:rsidRPr="009737A6">
        <w:rPr>
          <w:rFonts w:ascii="Traditional Arabic" w:hAnsi="Traditional Arabic" w:cs="Traditional Arabic"/>
          <w:rtl/>
        </w:rPr>
        <w:t>مقياس ليكرت الخماسي</w:t>
      </w:r>
      <w:r w:rsidRPr="00284F9E">
        <w:rPr>
          <w:rFonts w:ascii="Traditional Arabic" w:hAnsi="Traditional Arabic" w:cs="Traditional Arabic"/>
          <w:rtl/>
        </w:rPr>
        <w:t>، بحيث تتدرج الاستجابة من (1) «لا أوافق بشدة</w:t>
      </w:r>
      <w:r w:rsidR="009737A6" w:rsidRPr="00284F9E">
        <w:rPr>
          <w:rFonts w:ascii="Traditional Arabic" w:hAnsi="Traditional Arabic" w:cs="Traditional Arabic"/>
          <w:rtl/>
        </w:rPr>
        <w:t>»</w:t>
      </w:r>
      <w:r w:rsidRPr="00284F9E">
        <w:rPr>
          <w:rFonts w:ascii="Traditional Arabic" w:hAnsi="Traditional Arabic" w:cs="Traditional Arabic"/>
          <w:rtl/>
        </w:rPr>
        <w:t xml:space="preserve"> إلى (5) «أوافق بشدة</w:t>
      </w:r>
      <w:r w:rsidR="009737A6" w:rsidRPr="00284F9E">
        <w:rPr>
          <w:rFonts w:ascii="Traditional Arabic" w:hAnsi="Traditional Arabic" w:cs="Traditional Arabic"/>
          <w:rtl/>
        </w:rPr>
        <w:t>»</w:t>
      </w:r>
    </w:p>
    <w:p w14:paraId="76F5095A"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3-11 </w:t>
      </w:r>
      <w:r w:rsidRPr="00284F9E">
        <w:rPr>
          <w:rFonts w:ascii="Traditional Arabic" w:hAnsi="Traditional Arabic" w:cs="Traditional Arabic"/>
          <w:b/>
          <w:bCs/>
          <w:rtl/>
        </w:rPr>
        <w:t>تحكيم أداة الدراسة وصدق المحتوى</w:t>
      </w:r>
    </w:p>
    <w:p w14:paraId="3174AFD7" w14:textId="3DD39E0E" w:rsidR="00284F9E" w:rsidRPr="00284F9E" w:rsidRDefault="008329E7"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يمثل التحكيم العلمي مرحلة أساسية للتأكد من مدى تمثيل الفقرات للمفاهيم والأبعاد التي صممت لقياسها، ومن سلامة الصياغة ووضوحها وملاءمتها للبيئة التطبيقية</w:t>
      </w:r>
      <w:r w:rsidR="00284F9E" w:rsidRPr="00284F9E">
        <w:rPr>
          <w:rFonts w:ascii="Traditional Arabic" w:hAnsi="Traditional Arabic" w:cs="Traditional Arabic"/>
        </w:rPr>
        <w:t>.</w:t>
      </w:r>
    </w:p>
    <w:p w14:paraId="648AA58B" w14:textId="19979085"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وستُعرض النسخة الأولية من الاستبانة على </w:t>
      </w:r>
      <w:r w:rsidR="00382571" w:rsidRPr="00382571">
        <w:rPr>
          <w:rFonts w:ascii="Traditional Arabic" w:hAnsi="Traditional Arabic" w:cs="Traditional Arabic" w:hint="cs"/>
          <w:rtl/>
        </w:rPr>
        <w:t>عدد من</w:t>
      </w:r>
      <w:r w:rsidRPr="00382571">
        <w:rPr>
          <w:rFonts w:ascii="Traditional Arabic" w:hAnsi="Traditional Arabic" w:cs="Traditional Arabic"/>
          <w:rtl/>
        </w:rPr>
        <w:t xml:space="preserve"> </w:t>
      </w:r>
      <w:r w:rsidR="00382571" w:rsidRPr="00382571">
        <w:rPr>
          <w:rFonts w:ascii="Traditional Arabic" w:hAnsi="Traditional Arabic" w:cs="Traditional Arabic" w:hint="cs"/>
          <w:rtl/>
        </w:rPr>
        <w:t>ال</w:t>
      </w:r>
      <w:r w:rsidRPr="00382571">
        <w:rPr>
          <w:rFonts w:ascii="Traditional Arabic" w:hAnsi="Traditional Arabic" w:cs="Traditional Arabic"/>
          <w:rtl/>
        </w:rPr>
        <w:t>محكمين</w:t>
      </w:r>
      <w:r w:rsidRPr="00284F9E">
        <w:rPr>
          <w:rFonts w:ascii="Traditional Arabic" w:hAnsi="Traditional Arabic" w:cs="Traditional Arabic"/>
          <w:rtl/>
        </w:rPr>
        <w:t xml:space="preserve"> من ذوي الخبرة الأكاديمية والمهنية، مع مراعاة تنوع تخصصاتهم لتشمل الإدارة الاستراتيجية أو الإدارة العامة، والتطوير والتميز المؤسسي، ومنهجية البحث والقياس والإحصاء</w:t>
      </w:r>
      <w:r w:rsidRPr="00284F9E">
        <w:rPr>
          <w:rFonts w:ascii="Traditional Arabic" w:hAnsi="Traditional Arabic" w:cs="Traditional Arabic"/>
        </w:rPr>
        <w:t>.</w:t>
      </w:r>
    </w:p>
    <w:p w14:paraId="35FDA88D"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وسيُطلب من المحكمين تقييم كل فقرة في ضوء</w:t>
      </w:r>
      <w:r w:rsidRPr="00284F9E">
        <w:rPr>
          <w:rFonts w:ascii="Traditional Arabic" w:hAnsi="Traditional Arabic" w:cs="Traditional Arabic"/>
        </w:rPr>
        <w:t>:</w:t>
      </w:r>
    </w:p>
    <w:p w14:paraId="5F380801"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مدى ارتباطها بالبعد الذي تنتمي إليه</w:t>
      </w:r>
      <w:r w:rsidRPr="00284F9E">
        <w:rPr>
          <w:rFonts w:ascii="Traditional Arabic" w:hAnsi="Traditional Arabic" w:cs="Traditional Arabic"/>
        </w:rPr>
        <w:t>.</w:t>
      </w:r>
    </w:p>
    <w:p w14:paraId="039805F4"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وضوحها وسلامتها اللغوية</w:t>
      </w:r>
      <w:r w:rsidRPr="00284F9E">
        <w:rPr>
          <w:rFonts w:ascii="Traditional Arabic" w:hAnsi="Traditional Arabic" w:cs="Traditional Arabic"/>
        </w:rPr>
        <w:t>.</w:t>
      </w:r>
    </w:p>
    <w:p w14:paraId="7A291138"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دقتها العلمية</w:t>
      </w:r>
      <w:r w:rsidRPr="00284F9E">
        <w:rPr>
          <w:rFonts w:ascii="Traditional Arabic" w:hAnsi="Traditional Arabic" w:cs="Traditional Arabic"/>
        </w:rPr>
        <w:t>.</w:t>
      </w:r>
    </w:p>
    <w:p w14:paraId="1486784C"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ملاءمتها للسياق الحكومي السعودي</w:t>
      </w:r>
      <w:r w:rsidRPr="00284F9E">
        <w:rPr>
          <w:rFonts w:ascii="Traditional Arabic" w:hAnsi="Traditional Arabic" w:cs="Traditional Arabic"/>
        </w:rPr>
        <w:t>.</w:t>
      </w:r>
    </w:p>
    <w:p w14:paraId="05C1C545"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خلوها من الغموض أو التداخل مع فقرات أخرى</w:t>
      </w:r>
      <w:r w:rsidRPr="00284F9E">
        <w:rPr>
          <w:rFonts w:ascii="Traditional Arabic" w:hAnsi="Traditional Arabic" w:cs="Traditional Arabic"/>
        </w:rPr>
        <w:t>.</w:t>
      </w:r>
    </w:p>
    <w:p w14:paraId="75B98A61" w14:textId="77777777" w:rsidR="00284F9E" w:rsidRPr="00284F9E" w:rsidRDefault="00284F9E" w:rsidP="00284F9E">
      <w:pPr>
        <w:numPr>
          <w:ilvl w:val="0"/>
          <w:numId w:val="32"/>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مدى الحاجة إلى تعديلها أو حذفها أو إضافة فقرات أخرى</w:t>
      </w:r>
      <w:r w:rsidRPr="00284F9E">
        <w:rPr>
          <w:rFonts w:ascii="Traditional Arabic" w:hAnsi="Traditional Arabic" w:cs="Traditional Arabic"/>
        </w:rPr>
        <w:t>.</w:t>
      </w:r>
    </w:p>
    <w:p w14:paraId="69FEB2C8"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ولتعزيز الجانب الكمي من صدق المحتوى، سيُحسب </w:t>
      </w:r>
      <w:r w:rsidRPr="00382571">
        <w:rPr>
          <w:rFonts w:ascii="Traditional Arabic" w:hAnsi="Traditional Arabic" w:cs="Traditional Arabic"/>
          <w:rtl/>
        </w:rPr>
        <w:t>مؤشر صدق المحتوى</w:t>
      </w:r>
      <w:r w:rsidRPr="00382571">
        <w:rPr>
          <w:rFonts w:ascii="Traditional Arabic" w:hAnsi="Traditional Arabic" w:cs="Traditional Arabic"/>
        </w:rPr>
        <w:t xml:space="preserve"> Content Validity Index (CVI).</w:t>
      </w:r>
      <w:r w:rsidRPr="00284F9E">
        <w:rPr>
          <w:rFonts w:ascii="Traditional Arabic" w:hAnsi="Traditional Arabic" w:cs="Traditional Arabic"/>
        </w:rPr>
        <w:t xml:space="preserve"> </w:t>
      </w:r>
      <w:r w:rsidRPr="00284F9E">
        <w:rPr>
          <w:rFonts w:ascii="Traditional Arabic" w:hAnsi="Traditional Arabic" w:cs="Traditional Arabic"/>
          <w:rtl/>
        </w:rPr>
        <w:t>وسيُطلب من المحكمين تقييم ملاءمة الفقرة باستخدام مقياس رباعي، ثم يُحسب مؤشر صدق المحتوى لكل فقرة</w:t>
      </w:r>
      <w:r w:rsidRPr="00284F9E">
        <w:rPr>
          <w:rFonts w:ascii="Traditional Arabic" w:hAnsi="Traditional Arabic" w:cs="Traditional Arabic"/>
        </w:rPr>
        <w:t xml:space="preserve"> (I-CVI) </w:t>
      </w:r>
      <w:r w:rsidRPr="00284F9E">
        <w:rPr>
          <w:rFonts w:ascii="Traditional Arabic" w:hAnsi="Traditional Arabic" w:cs="Traditional Arabic"/>
          <w:rtl/>
        </w:rPr>
        <w:t>من خلال قسمة عدد المحكمين الذين أعطوا الفقرة تقييمًا يدل على الملاءمة على العدد الكلي للمحكمين</w:t>
      </w:r>
      <w:r w:rsidRPr="00284F9E">
        <w:rPr>
          <w:rFonts w:ascii="Traditional Arabic" w:hAnsi="Traditional Arabic" w:cs="Traditional Arabic"/>
        </w:rPr>
        <w:t>.</w:t>
      </w:r>
    </w:p>
    <w:p w14:paraId="6B1D931F"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وسيُعتمد </w:t>
      </w:r>
      <w:r w:rsidRPr="008A55FE">
        <w:rPr>
          <w:rFonts w:ascii="Traditional Arabic" w:hAnsi="Traditional Arabic" w:cs="Traditional Arabic"/>
        </w:rPr>
        <w:t xml:space="preserve">I-CVI </w:t>
      </w:r>
      <w:r w:rsidRPr="008A55FE">
        <w:rPr>
          <w:rFonts w:ascii="Cambria Math" w:hAnsi="Cambria Math" w:cs="Cambria Math"/>
        </w:rPr>
        <w:t>≥</w:t>
      </w:r>
      <w:r w:rsidRPr="008A55FE">
        <w:rPr>
          <w:rFonts w:ascii="Traditional Arabic" w:hAnsi="Traditional Arabic" w:cs="Traditional Arabic"/>
        </w:rPr>
        <w:t xml:space="preserve"> 0.78</w:t>
      </w:r>
      <w:r w:rsidRPr="00284F9E">
        <w:rPr>
          <w:rFonts w:ascii="Traditional Arabic" w:hAnsi="Traditional Arabic" w:cs="Traditional Arabic"/>
        </w:rPr>
        <w:t xml:space="preserve"> </w:t>
      </w:r>
      <w:r w:rsidRPr="00284F9E">
        <w:rPr>
          <w:rFonts w:ascii="Traditional Arabic" w:hAnsi="Traditional Arabic" w:cs="Traditional Arabic"/>
          <w:rtl/>
        </w:rPr>
        <w:t>معيارًا مرجعيًا لقبول الفقرة من حيث صدق المحتوى، مع عدم اتخاذ القرار الإحصائي بمعزل عن الملاحظات النوعية للمحكمين</w:t>
      </w:r>
      <w:r w:rsidRPr="00284F9E">
        <w:rPr>
          <w:rFonts w:ascii="Traditional Arabic" w:hAnsi="Traditional Arabic" w:cs="Traditional Arabic"/>
        </w:rPr>
        <w:t xml:space="preserve"> </w:t>
      </w:r>
      <w:r w:rsidRPr="00382571">
        <w:rPr>
          <w:rFonts w:ascii="Traditional Arabic" w:hAnsi="Traditional Arabic" w:cs="Traditional Arabic"/>
          <w:sz w:val="22"/>
          <w:szCs w:val="22"/>
        </w:rPr>
        <w:t>(Polit et al., 2007).</w:t>
      </w:r>
    </w:p>
    <w:p w14:paraId="68A1FEC0"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كما سيُحسب مؤشر صدق المحتوى على مستوى الأداة</w:t>
      </w:r>
      <w:r w:rsidRPr="00284F9E">
        <w:rPr>
          <w:rFonts w:ascii="Traditional Arabic" w:hAnsi="Traditional Arabic" w:cs="Traditional Arabic"/>
        </w:rPr>
        <w:t xml:space="preserve"> (S-CVI/Ave) </w:t>
      </w:r>
      <w:r w:rsidRPr="00284F9E">
        <w:rPr>
          <w:rFonts w:ascii="Traditional Arabic" w:hAnsi="Traditional Arabic" w:cs="Traditional Arabic"/>
          <w:rtl/>
        </w:rPr>
        <w:t>من خلال متوسط قيم</w:t>
      </w:r>
      <w:r w:rsidRPr="00284F9E">
        <w:rPr>
          <w:rFonts w:ascii="Traditional Arabic" w:hAnsi="Traditional Arabic" w:cs="Traditional Arabic"/>
        </w:rPr>
        <w:t xml:space="preserve"> I-CVI </w:t>
      </w:r>
      <w:r w:rsidRPr="00284F9E">
        <w:rPr>
          <w:rFonts w:ascii="Traditional Arabic" w:hAnsi="Traditional Arabic" w:cs="Traditional Arabic"/>
          <w:rtl/>
        </w:rPr>
        <w:t>للفقرات</w:t>
      </w:r>
      <w:r w:rsidRPr="00284F9E">
        <w:rPr>
          <w:rFonts w:ascii="Traditional Arabic" w:hAnsi="Traditional Arabic" w:cs="Traditional Arabic"/>
        </w:rPr>
        <w:t>.</w:t>
      </w:r>
    </w:p>
    <w:p w14:paraId="29B6FA92"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وبعد اكتمال التحكيم الفعلي، سيُضاف إلى الفصل جدول يوضح بصورة صريحة</w:t>
      </w:r>
      <w:r w:rsidRPr="00284F9E">
        <w:rPr>
          <w:rFonts w:ascii="Traditional Arabic" w:hAnsi="Traditional Arabic" w:cs="Traditional Arabic"/>
        </w:rPr>
        <w:t>:</w:t>
      </w:r>
    </w:p>
    <w:p w14:paraId="6BB77F50"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عدد الفقرات قبل التحكيم – المقبولة دون تعديل – المعدلة – المحذوفة – المضافة – العدد النهائي بعد التحكيم</w:t>
      </w:r>
      <w:r w:rsidRPr="00284F9E">
        <w:rPr>
          <w:rFonts w:ascii="Traditional Arabic" w:hAnsi="Traditional Arabic" w:cs="Traditional Arabic"/>
          <w:b/>
          <w:bCs/>
        </w:rPr>
        <w:t>.</w:t>
      </w:r>
    </w:p>
    <w:p w14:paraId="750A6865" w14:textId="00AFB364" w:rsidR="00284F9E" w:rsidRPr="00284F9E" w:rsidRDefault="00284F9E" w:rsidP="008A55F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ولا تُدرج هذه الأرقام إلا بعد ورود نتائج التحكيم الفعلية</w:t>
      </w:r>
      <w:r w:rsidRPr="00284F9E">
        <w:rPr>
          <w:rFonts w:ascii="Traditional Arabic" w:hAnsi="Traditional Arabic" w:cs="Traditional Arabic"/>
        </w:rPr>
        <w:t>.</w:t>
      </w:r>
    </w:p>
    <w:p w14:paraId="2B53EF3E"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3-12 </w:t>
      </w:r>
      <w:r w:rsidRPr="00284F9E">
        <w:rPr>
          <w:rFonts w:ascii="Traditional Arabic" w:hAnsi="Traditional Arabic" w:cs="Traditional Arabic"/>
          <w:b/>
          <w:bCs/>
          <w:rtl/>
        </w:rPr>
        <w:t>الدراسة الاستطلاعية</w:t>
      </w:r>
    </w:p>
    <w:p w14:paraId="4E0DDD70"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بعد الانتهاء من التحكيم وإجراء التعديلات اللازمة، ستُطبق النسخة المعدلة من الاستبانة على </w:t>
      </w:r>
      <w:r w:rsidRPr="008A55FE">
        <w:rPr>
          <w:rFonts w:ascii="Traditional Arabic" w:hAnsi="Traditional Arabic" w:cs="Traditional Arabic"/>
          <w:rtl/>
        </w:rPr>
        <w:t>عينة استطلاعية قوامها 40 مشاركًا</w:t>
      </w:r>
      <w:r w:rsidRPr="00284F9E">
        <w:rPr>
          <w:rFonts w:ascii="Traditional Arabic" w:hAnsi="Traditional Arabic" w:cs="Traditional Arabic"/>
          <w:rtl/>
        </w:rPr>
        <w:t xml:space="preserve"> من مجتمع الدراسة ممن تتوافر فيهم خصائص العينة الأساسية، مع استبعادهم لاحقًا من العينة الرئيسة</w:t>
      </w:r>
      <w:r w:rsidRPr="00284F9E">
        <w:rPr>
          <w:rFonts w:ascii="Traditional Arabic" w:hAnsi="Traditional Arabic" w:cs="Traditional Arabic"/>
        </w:rPr>
        <w:t>.</w:t>
      </w:r>
    </w:p>
    <w:p w14:paraId="04F4E935"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ولا تستهدف الدراسة الاستطلاعية تعميم النتائج على المجتمع، وإنما اختبار الأداة وإجراءات التطبيق قبل التنفيذ الرئيس. وتدعم أدبيات تطوير أدوات القياس استخدام عينات أولية محدودة لاختبار خصائص الأداة والكشف عن المشكلات قبل الدراسة الرئيسة</w:t>
      </w:r>
      <w:r w:rsidRPr="00EB3BDB">
        <w:rPr>
          <w:rFonts w:ascii="Traditional Arabic" w:hAnsi="Traditional Arabic" w:cs="Traditional Arabic"/>
          <w:sz w:val="22"/>
          <w:szCs w:val="22"/>
        </w:rPr>
        <w:t xml:space="preserve"> (Hertzog, 2008; Johanson &amp; Brooks, 2010).</w:t>
      </w:r>
    </w:p>
    <w:p w14:paraId="42A34FB9"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وستركز الدراسة الاستطلاعية على التحقق من</w:t>
      </w:r>
      <w:r w:rsidRPr="00284F9E">
        <w:rPr>
          <w:rFonts w:ascii="Traditional Arabic" w:hAnsi="Traditional Arabic" w:cs="Traditional Arabic"/>
        </w:rPr>
        <w:t>:</w:t>
      </w:r>
    </w:p>
    <w:p w14:paraId="0E365243"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وضوح تعليمات الاستبانة</w:t>
      </w:r>
      <w:r w:rsidRPr="00284F9E">
        <w:rPr>
          <w:rFonts w:ascii="Traditional Arabic" w:hAnsi="Traditional Arabic" w:cs="Traditional Arabic"/>
        </w:rPr>
        <w:t>.</w:t>
      </w:r>
    </w:p>
    <w:p w14:paraId="54FE96F3"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سهولة فهم الفقرات</w:t>
      </w:r>
      <w:r w:rsidRPr="00284F9E">
        <w:rPr>
          <w:rFonts w:ascii="Traditional Arabic" w:hAnsi="Traditional Arabic" w:cs="Traditional Arabic"/>
        </w:rPr>
        <w:t>.</w:t>
      </w:r>
    </w:p>
    <w:p w14:paraId="45F1D479"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ملاءمة المصطلحات للبيئة الحكومية</w:t>
      </w:r>
      <w:r w:rsidRPr="00284F9E">
        <w:rPr>
          <w:rFonts w:ascii="Traditional Arabic" w:hAnsi="Traditional Arabic" w:cs="Traditional Arabic"/>
        </w:rPr>
        <w:t>.</w:t>
      </w:r>
    </w:p>
    <w:p w14:paraId="69710AE2"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الوقت اللازم لاستكمال الأداة</w:t>
      </w:r>
      <w:r w:rsidRPr="00284F9E">
        <w:rPr>
          <w:rFonts w:ascii="Traditional Arabic" w:hAnsi="Traditional Arabic" w:cs="Traditional Arabic"/>
        </w:rPr>
        <w:t>.</w:t>
      </w:r>
    </w:p>
    <w:p w14:paraId="30BB73A4"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وجود فقرات متكررة أو غامضة</w:t>
      </w:r>
      <w:r w:rsidRPr="00284F9E">
        <w:rPr>
          <w:rFonts w:ascii="Traditional Arabic" w:hAnsi="Traditional Arabic" w:cs="Traditional Arabic"/>
        </w:rPr>
        <w:t>.</w:t>
      </w:r>
    </w:p>
    <w:p w14:paraId="225037DE"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فاعلية ترتيب الأقسام والفقرات</w:t>
      </w:r>
      <w:r w:rsidRPr="00284F9E">
        <w:rPr>
          <w:rFonts w:ascii="Traditional Arabic" w:hAnsi="Traditional Arabic" w:cs="Traditional Arabic"/>
        </w:rPr>
        <w:t>.</w:t>
      </w:r>
    </w:p>
    <w:p w14:paraId="7A7BF897" w14:textId="77777777" w:rsidR="00284F9E" w:rsidRPr="00284F9E" w:rsidRDefault="00284F9E" w:rsidP="00284F9E">
      <w:pPr>
        <w:numPr>
          <w:ilvl w:val="0"/>
          <w:numId w:val="33"/>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المؤشرات الأولية للاتساق الداخلي</w:t>
      </w:r>
      <w:r w:rsidRPr="00284F9E">
        <w:rPr>
          <w:rFonts w:ascii="Traditional Arabic" w:hAnsi="Traditional Arabic" w:cs="Traditional Arabic"/>
        </w:rPr>
        <w:t>.</w:t>
      </w:r>
    </w:p>
    <w:p w14:paraId="00FCBADC" w14:textId="628EAAE9" w:rsidR="00284F9E" w:rsidRPr="00284F9E" w:rsidRDefault="00EB3BDB"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وسيُذكر في النسخة النهائية من الفصل تاريخ إجراء الدراسة الاستطلاعية الفعلي، وخصائص المشاركين، وما أسفرت عنه من تعديلات، مع بيان عدد الفقرات المعدلة أو المحذوفة أو المضافة بصورة دقيقة</w:t>
      </w:r>
      <w:r w:rsidR="00284F9E" w:rsidRPr="00284F9E">
        <w:rPr>
          <w:rFonts w:ascii="Traditional Arabic" w:hAnsi="Traditional Arabic" w:cs="Traditional Arabic"/>
        </w:rPr>
        <w:t>.</w:t>
      </w:r>
    </w:p>
    <w:p w14:paraId="64AFB9E6" w14:textId="03D4222F" w:rsidR="00284F9E" w:rsidRPr="00284F9E" w:rsidRDefault="00284F9E" w:rsidP="00EB3BDB">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ويجب التأكيد على أن بيانات أفراد الدراسة الاستطلاعية </w:t>
      </w:r>
      <w:r w:rsidRPr="00EB3BDB">
        <w:rPr>
          <w:rFonts w:ascii="Traditional Arabic" w:hAnsi="Traditional Arabic" w:cs="Traditional Arabic"/>
          <w:rtl/>
        </w:rPr>
        <w:t>لن تدمج مع بيانات الدراسة الرئيسة</w:t>
      </w:r>
      <w:r w:rsidRPr="00EB3BDB">
        <w:rPr>
          <w:rFonts w:ascii="Traditional Arabic" w:hAnsi="Traditional Arabic" w:cs="Traditional Arabic"/>
        </w:rPr>
        <w:t>.</w:t>
      </w:r>
    </w:p>
    <w:p w14:paraId="447B8B30"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3-13 </w:t>
      </w:r>
      <w:r w:rsidRPr="00284F9E">
        <w:rPr>
          <w:rFonts w:ascii="Traditional Arabic" w:hAnsi="Traditional Arabic" w:cs="Traditional Arabic"/>
          <w:b/>
          <w:bCs/>
          <w:rtl/>
        </w:rPr>
        <w:t>طريقة المعاينة في المرحلة الكمية</w:t>
      </w:r>
    </w:p>
    <w:p w14:paraId="52979A16" w14:textId="5DE3635D" w:rsidR="00284F9E" w:rsidRPr="00284F9E" w:rsidRDefault="0079283E"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ستعتمد الدراسة </w:t>
      </w:r>
      <w:r w:rsidR="00284F9E" w:rsidRPr="0079283E">
        <w:rPr>
          <w:rFonts w:ascii="Traditional Arabic" w:hAnsi="Traditional Arabic" w:cs="Traditional Arabic"/>
          <w:rtl/>
        </w:rPr>
        <w:t>المعاينة الاحتمالية متعددة المراحل</w:t>
      </w:r>
      <w:r w:rsidR="00284F9E" w:rsidRPr="00284F9E">
        <w:rPr>
          <w:rFonts w:ascii="Traditional Arabic" w:hAnsi="Traditional Arabic" w:cs="Traditional Arabic"/>
          <w:rtl/>
        </w:rPr>
        <w:t>؛ بهدف تحقيق قدر مناسب من تمثيل الهيئات والإدارات والفئات الوظيفية المستهدفة</w:t>
      </w:r>
      <w:r w:rsidR="00284F9E" w:rsidRPr="00284F9E">
        <w:rPr>
          <w:rFonts w:ascii="Traditional Arabic" w:hAnsi="Traditional Arabic" w:cs="Traditional Arabic"/>
        </w:rPr>
        <w:t>.</w:t>
      </w:r>
    </w:p>
    <w:p w14:paraId="1CFF1C2E"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المرحلة الأولى: اختيار الهيئات</w:t>
      </w:r>
    </w:p>
    <w:p w14:paraId="01E8D08E" w14:textId="1684F1BA" w:rsidR="00284F9E" w:rsidRPr="00284F9E" w:rsidRDefault="0079283E"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سيُبنى إطار معاينة للهيئات الحكومية التي تدخل ضمن النطاق المحدد للدراسة، ثم ستُختار </w:t>
      </w:r>
      <w:r w:rsidR="00284F9E" w:rsidRPr="0079283E">
        <w:rPr>
          <w:rFonts w:ascii="Traditional Arabic" w:hAnsi="Traditional Arabic" w:cs="Traditional Arabic"/>
          <w:rtl/>
        </w:rPr>
        <w:t>عشر هيئات حكومية</w:t>
      </w:r>
      <w:r w:rsidR="00284F9E" w:rsidRPr="00284F9E">
        <w:rPr>
          <w:rFonts w:ascii="Traditional Arabic" w:hAnsi="Traditional Arabic" w:cs="Traditional Arabic"/>
          <w:rtl/>
        </w:rPr>
        <w:t xml:space="preserve"> باستخدام العينة العشوائية البسيطة</w:t>
      </w:r>
      <w:r w:rsidR="00284F9E" w:rsidRPr="00284F9E">
        <w:rPr>
          <w:rFonts w:ascii="Traditional Arabic" w:hAnsi="Traditional Arabic" w:cs="Traditional Arabic"/>
        </w:rPr>
        <w:t xml:space="preserve"> </w:t>
      </w:r>
      <w:r>
        <w:rPr>
          <w:rFonts w:ascii="Traditional Arabic" w:hAnsi="Traditional Arabic" w:cs="Traditional Arabic" w:hint="cs"/>
          <w:rtl/>
        </w:rPr>
        <w:t>،</w:t>
      </w:r>
      <w:r w:rsidR="00284F9E" w:rsidRPr="00284F9E">
        <w:rPr>
          <w:rFonts w:ascii="Traditional Arabic" w:hAnsi="Traditional Arabic" w:cs="Traditional Arabic"/>
          <w:rtl/>
        </w:rPr>
        <w:t xml:space="preserve"> بحيث تتاح لكل هيئة مؤهلة في إطار المعاينة فرصة معروفة للاختيار</w:t>
      </w:r>
      <w:r w:rsidR="00284F9E" w:rsidRPr="00284F9E">
        <w:rPr>
          <w:rFonts w:ascii="Traditional Arabic" w:hAnsi="Traditional Arabic" w:cs="Traditional Arabic"/>
        </w:rPr>
        <w:t>.</w:t>
      </w:r>
    </w:p>
    <w:p w14:paraId="5B9581C5"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المرحلة الثانية: اختيار الأفراد داخل الهيئات</w:t>
      </w:r>
    </w:p>
    <w:p w14:paraId="11A04687" w14:textId="59A1C79E" w:rsidR="00284F9E" w:rsidRPr="00284F9E" w:rsidRDefault="0079283E"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بعد اختيار الهيئات العشر، ستُطبق </w:t>
      </w:r>
      <w:r w:rsidR="00284F9E" w:rsidRPr="0079283E">
        <w:rPr>
          <w:rFonts w:ascii="Traditional Arabic" w:hAnsi="Traditional Arabic" w:cs="Traditional Arabic"/>
          <w:rtl/>
        </w:rPr>
        <w:t>العينة الطبقية العشوائية المتناسبة</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لاختيار المشاركين داخل كل هيئة</w:t>
      </w:r>
      <w:r w:rsidR="00284F9E" w:rsidRPr="00284F9E">
        <w:rPr>
          <w:rFonts w:ascii="Traditional Arabic" w:hAnsi="Traditional Arabic" w:cs="Traditional Arabic"/>
        </w:rPr>
        <w:t>.</w:t>
      </w:r>
    </w:p>
    <w:p w14:paraId="4CBE58FF"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وستتمثل الطبقات الأساسية في الإدارات ذات العلاقة المباشرة بالدراسة، مع مراعاة تمثيل المستويات القيادية والإشرافية والتنفيذية. وسيحدد نصيب كل هيئة أو طبقة من العينة بالتناسب مع حجم العاملين المؤهلين فيها</w:t>
      </w:r>
      <w:r w:rsidRPr="00284F9E">
        <w:rPr>
          <w:rFonts w:ascii="Traditional Arabic" w:hAnsi="Traditional Arabic" w:cs="Traditional Arabic"/>
        </w:rPr>
        <w:t>.</w:t>
      </w:r>
    </w:p>
    <w:p w14:paraId="3D691211"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ويمكن التعبير عن التخصيص المتناسب بالعلاقة</w:t>
      </w:r>
      <w:r w:rsidRPr="00284F9E">
        <w:rPr>
          <w:rFonts w:ascii="Traditional Arabic" w:hAnsi="Traditional Arabic" w:cs="Traditional Arabic"/>
        </w:rPr>
        <w:t>:</w:t>
      </w:r>
    </w:p>
    <w:p w14:paraId="02E6F171" w14:textId="77777777" w:rsidR="00284F9E" w:rsidRPr="00284F9E" w:rsidRDefault="00284F9E" w:rsidP="00F769CE">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lastRenderedPageBreak/>
        <w:t>[</w:t>
      </w:r>
      <w:r w:rsidRPr="00284F9E">
        <w:rPr>
          <w:rFonts w:ascii="Traditional Arabic" w:hAnsi="Traditional Arabic" w:cs="Traditional Arabic"/>
        </w:rPr>
        <w:br/>
      </w:r>
      <w:proofErr w:type="spellStart"/>
      <w:r w:rsidRPr="00284F9E">
        <w:rPr>
          <w:rFonts w:ascii="Traditional Arabic" w:hAnsi="Traditional Arabic" w:cs="Traditional Arabic"/>
        </w:rPr>
        <w:t>n_h</w:t>
      </w:r>
      <w:proofErr w:type="spellEnd"/>
      <w:r w:rsidRPr="00284F9E">
        <w:rPr>
          <w:rFonts w:ascii="Traditional Arabic" w:hAnsi="Traditional Arabic" w:cs="Traditional Arabic"/>
        </w:rPr>
        <w:t>=\frac{</w:t>
      </w:r>
      <w:proofErr w:type="spellStart"/>
      <w:r w:rsidRPr="00284F9E">
        <w:rPr>
          <w:rFonts w:ascii="Traditional Arabic" w:hAnsi="Traditional Arabic" w:cs="Traditional Arabic"/>
        </w:rPr>
        <w:t>N_</w:t>
      </w:r>
      <w:proofErr w:type="gramStart"/>
      <w:r w:rsidRPr="00284F9E">
        <w:rPr>
          <w:rFonts w:ascii="Traditional Arabic" w:hAnsi="Traditional Arabic" w:cs="Traditional Arabic"/>
        </w:rPr>
        <w:t>h</w:t>
      </w:r>
      <w:proofErr w:type="spellEnd"/>
      <w:r w:rsidRPr="00284F9E">
        <w:rPr>
          <w:rFonts w:ascii="Traditional Arabic" w:hAnsi="Traditional Arabic" w:cs="Traditional Arabic"/>
        </w:rPr>
        <w:t>}{</w:t>
      </w:r>
      <w:proofErr w:type="gramEnd"/>
      <w:r w:rsidRPr="00284F9E">
        <w:rPr>
          <w:rFonts w:ascii="Traditional Arabic" w:hAnsi="Traditional Arabic" w:cs="Traditional Arabic"/>
        </w:rPr>
        <w:t>N}\times n</w:t>
      </w:r>
      <w:r w:rsidRPr="00284F9E">
        <w:rPr>
          <w:rFonts w:ascii="Traditional Arabic" w:hAnsi="Traditional Arabic" w:cs="Traditional Arabic"/>
        </w:rPr>
        <w:br/>
        <w:t>]</w:t>
      </w:r>
    </w:p>
    <w:p w14:paraId="70C938AA" w14:textId="644D4964" w:rsidR="00284F9E" w:rsidRPr="00284F9E" w:rsidRDefault="00284F9E" w:rsidP="00C602D3">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حيث يمثل</w:t>
      </w:r>
      <w:r w:rsidRPr="00284F9E">
        <w:rPr>
          <w:rFonts w:ascii="Traditional Arabic" w:hAnsi="Traditional Arabic" w:cs="Traditional Arabic"/>
        </w:rPr>
        <w:t xml:space="preserve"> (</w:t>
      </w:r>
      <w:proofErr w:type="spellStart"/>
      <w:r w:rsidRPr="00284F9E">
        <w:rPr>
          <w:rFonts w:ascii="Traditional Arabic" w:hAnsi="Traditional Arabic" w:cs="Traditional Arabic"/>
        </w:rPr>
        <w:t>n_h</w:t>
      </w:r>
      <w:proofErr w:type="spellEnd"/>
      <w:r w:rsidRPr="00284F9E">
        <w:rPr>
          <w:rFonts w:ascii="Traditional Arabic" w:hAnsi="Traditional Arabic" w:cs="Traditional Arabic"/>
        </w:rPr>
        <w:t xml:space="preserve">) </w:t>
      </w:r>
      <w:r w:rsidRPr="00284F9E">
        <w:rPr>
          <w:rFonts w:ascii="Traditional Arabic" w:hAnsi="Traditional Arabic" w:cs="Traditional Arabic"/>
          <w:rtl/>
        </w:rPr>
        <w:t>حجم العينة المخصصة للطبقة، و</w:t>
      </w:r>
      <w:r w:rsidRPr="00284F9E">
        <w:rPr>
          <w:rFonts w:ascii="Traditional Arabic" w:hAnsi="Traditional Arabic" w:cs="Traditional Arabic"/>
        </w:rPr>
        <w:t>(</w:t>
      </w:r>
      <w:proofErr w:type="spellStart"/>
      <w:r w:rsidRPr="00284F9E">
        <w:rPr>
          <w:rFonts w:ascii="Traditional Arabic" w:hAnsi="Traditional Arabic" w:cs="Traditional Arabic"/>
        </w:rPr>
        <w:t>N_h</w:t>
      </w:r>
      <w:proofErr w:type="spellEnd"/>
      <w:r w:rsidRPr="00284F9E">
        <w:rPr>
          <w:rFonts w:ascii="Traditional Arabic" w:hAnsi="Traditional Arabic" w:cs="Traditional Arabic"/>
        </w:rPr>
        <w:t xml:space="preserve">) </w:t>
      </w:r>
      <w:r w:rsidRPr="00284F9E">
        <w:rPr>
          <w:rFonts w:ascii="Traditional Arabic" w:hAnsi="Traditional Arabic" w:cs="Traditional Arabic"/>
          <w:rtl/>
        </w:rPr>
        <w:t>حجم الطبقة في المجتمع، و</w:t>
      </w:r>
      <w:r w:rsidRPr="00284F9E">
        <w:rPr>
          <w:rFonts w:ascii="Traditional Arabic" w:hAnsi="Traditional Arabic" w:cs="Traditional Arabic"/>
        </w:rPr>
        <w:t xml:space="preserve">(N) </w:t>
      </w:r>
      <w:r w:rsidRPr="00284F9E">
        <w:rPr>
          <w:rFonts w:ascii="Traditional Arabic" w:hAnsi="Traditional Arabic" w:cs="Traditional Arabic"/>
          <w:rtl/>
        </w:rPr>
        <w:t>الحجم الكلي للمجتمع المتاح في الهيئات المختارة، و</w:t>
      </w:r>
      <w:r w:rsidRPr="00284F9E">
        <w:rPr>
          <w:rFonts w:ascii="Traditional Arabic" w:hAnsi="Traditional Arabic" w:cs="Traditional Arabic"/>
        </w:rPr>
        <w:t xml:space="preserve">(n) </w:t>
      </w:r>
      <w:r w:rsidRPr="00284F9E">
        <w:rPr>
          <w:rFonts w:ascii="Traditional Arabic" w:hAnsi="Traditional Arabic" w:cs="Traditional Arabic"/>
          <w:rtl/>
        </w:rPr>
        <w:t>حجم العينة المستهدف</w:t>
      </w:r>
      <w:r w:rsidRPr="00284F9E">
        <w:rPr>
          <w:rFonts w:ascii="Traditional Arabic" w:hAnsi="Traditional Arabic" w:cs="Traditional Arabic"/>
        </w:rPr>
        <w:t>.</w:t>
      </w:r>
      <w:r w:rsidR="00C602D3">
        <w:rPr>
          <w:rFonts w:ascii="Traditional Arabic" w:hAnsi="Traditional Arabic" w:cs="Traditional Arabic" w:hint="cs"/>
          <w:rtl/>
        </w:rPr>
        <w:t xml:space="preserve"> </w:t>
      </w:r>
      <w:r w:rsidR="00253FDE">
        <w:rPr>
          <w:rFonts w:ascii="Traditional Arabic" w:hAnsi="Traditional Arabic" w:cs="Traditional Arabic" w:hint="cs"/>
          <w:rtl/>
        </w:rPr>
        <w:t xml:space="preserve">تمثل: </w:t>
      </w:r>
      <w:r w:rsidR="00C602D3" w:rsidRPr="00253FDE">
        <w:rPr>
          <w:rFonts w:ascii="Traditional Arabic" w:hAnsi="Traditional Arabic" w:cs="Traditional Arabic"/>
          <w:highlight w:val="yellow"/>
          <w:rtl/>
        </w:rPr>
        <w:t>حجم عينة الطبقة = (حجم الطبقة ÷ حجم المجتمع) × حجم العينة الكلية</w:t>
      </w:r>
    </w:p>
    <w:p w14:paraId="728FCFF0"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وبعد تحديد العدد المطلوب من كل طبقة، سيُختار الأفراد عشوائيًا من قوائم العاملين المستوفين لمعايير المشاركة</w:t>
      </w:r>
      <w:r w:rsidRPr="00284F9E">
        <w:rPr>
          <w:rFonts w:ascii="Traditional Arabic" w:hAnsi="Traditional Arabic" w:cs="Traditional Arabic"/>
        </w:rPr>
        <w:t>.</w:t>
      </w:r>
    </w:p>
    <w:p w14:paraId="4D553237" w14:textId="2E9A9DDB" w:rsidR="00284F9E" w:rsidRPr="00284F9E" w:rsidRDefault="00F769CE" w:rsidP="00F769C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وبذلك لا يقتصر الطابع الاحتمالي للمعاينة على اختيار الهيئات فقط، وإنما يمتد إلى اختيار الأفراد داخل الهيئات، وهو ما يعزز الاتساق بين وصف طريقة المعاينة وتنفيذها الفعلي</w:t>
      </w:r>
      <w:r w:rsidR="00284F9E" w:rsidRPr="00284F9E">
        <w:rPr>
          <w:rFonts w:ascii="Traditional Arabic" w:hAnsi="Traditional Arabic" w:cs="Traditional Arabic"/>
        </w:rPr>
        <w:t>.</w:t>
      </w:r>
    </w:p>
    <w:p w14:paraId="58745620"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3-14 </w:t>
      </w:r>
      <w:r w:rsidRPr="00284F9E">
        <w:rPr>
          <w:rFonts w:ascii="Traditional Arabic" w:hAnsi="Traditional Arabic" w:cs="Traditional Arabic"/>
          <w:b/>
          <w:bCs/>
          <w:rtl/>
        </w:rPr>
        <w:t>تحديد حجم العينة الكمية باستخدام</w:t>
      </w:r>
      <w:r w:rsidRPr="00284F9E">
        <w:rPr>
          <w:rFonts w:ascii="Traditional Arabic" w:hAnsi="Traditional Arabic" w:cs="Traditional Arabic"/>
          <w:b/>
          <w:bCs/>
        </w:rPr>
        <w:t xml:space="preserve"> Statistical Power Analysis</w:t>
      </w:r>
    </w:p>
    <w:p w14:paraId="0218E3EB" w14:textId="73556849" w:rsidR="00284F9E" w:rsidRPr="00284F9E" w:rsidRDefault="00F769CE"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نظرًا إلى أن الدراسة ستستخدم</w:t>
      </w:r>
      <w:r w:rsidR="00284F9E" w:rsidRPr="00284F9E">
        <w:rPr>
          <w:rFonts w:ascii="Traditional Arabic" w:hAnsi="Traditional Arabic" w:cs="Traditional Arabic"/>
        </w:rPr>
        <w:t xml:space="preserve"> </w:t>
      </w:r>
      <w:r w:rsidR="00284F9E" w:rsidRPr="00F769CE">
        <w:rPr>
          <w:rFonts w:ascii="Traditional Arabic" w:hAnsi="Traditional Arabic" w:cs="Traditional Arabic"/>
          <w:sz w:val="22"/>
          <w:szCs w:val="22"/>
        </w:rPr>
        <w:t xml:space="preserve">PLS-SEM </w:t>
      </w:r>
      <w:r w:rsidR="00284F9E" w:rsidRPr="00284F9E">
        <w:rPr>
          <w:rFonts w:ascii="Traditional Arabic" w:hAnsi="Traditional Arabic" w:cs="Traditional Arabic"/>
          <w:rtl/>
        </w:rPr>
        <w:t xml:space="preserve">لاختبار نموذج مفاهيمي يتضمن علاقات مباشرة وغير مباشرة، فقد تم تحديد الحد الأدنى للعينة اعتمادًا </w:t>
      </w:r>
      <w:r w:rsidR="00284F9E" w:rsidRPr="00F769CE">
        <w:rPr>
          <w:rFonts w:ascii="Traditional Arabic" w:hAnsi="Traditional Arabic" w:cs="Traditional Arabic"/>
          <w:rtl/>
        </w:rPr>
        <w:t>على التحليل القبلي للقوة الإحصائية</w:t>
      </w:r>
      <w:r w:rsidR="00284F9E" w:rsidRPr="00284F9E">
        <w:rPr>
          <w:rFonts w:ascii="Traditional Arabic" w:hAnsi="Traditional Arabic" w:cs="Traditional Arabic"/>
          <w:rtl/>
        </w:rPr>
        <w:t>، بدلًا من الاكتفاء بالقواعد التقريبية لتحديد حجم العينة</w:t>
      </w:r>
      <w:r w:rsidR="00284F9E" w:rsidRPr="00284F9E">
        <w:rPr>
          <w:rFonts w:ascii="Traditional Arabic" w:hAnsi="Traditional Arabic" w:cs="Traditional Arabic"/>
        </w:rPr>
        <w:t>.</w:t>
      </w:r>
    </w:p>
    <w:p w14:paraId="0FEC5D21"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وسيستخدم لهذا الغرض برنامج </w:t>
      </w:r>
      <w:r w:rsidRPr="00F769CE">
        <w:rPr>
          <w:rFonts w:ascii="Traditional Arabic" w:hAnsi="Traditional Arabic" w:cs="Traditional Arabic"/>
          <w:sz w:val="22"/>
          <w:szCs w:val="22"/>
        </w:rPr>
        <w:t>G*Power</w:t>
      </w:r>
      <w:r w:rsidRPr="00284F9E">
        <w:rPr>
          <w:rFonts w:ascii="Traditional Arabic" w:hAnsi="Traditional Arabic" w:cs="Traditional Arabic"/>
          <w:rtl/>
        </w:rPr>
        <w:t>، الذي يتيح تحديد حجم العينة اللازم مسبقًا استنادًا إلى حجم الأثر، ومستوى الدلالة، والقوة الإحصائية، وعدد المتنبئات</w:t>
      </w:r>
      <w:r w:rsidRPr="00284F9E">
        <w:rPr>
          <w:rFonts w:ascii="Traditional Arabic" w:hAnsi="Traditional Arabic" w:cs="Traditional Arabic"/>
        </w:rPr>
        <w:t xml:space="preserve"> </w:t>
      </w:r>
      <w:r w:rsidRPr="00F769CE">
        <w:rPr>
          <w:rFonts w:ascii="Traditional Arabic" w:hAnsi="Traditional Arabic" w:cs="Traditional Arabic"/>
          <w:sz w:val="22"/>
          <w:szCs w:val="22"/>
        </w:rPr>
        <w:t>(Faul et al., 2009).</w:t>
      </w:r>
    </w:p>
    <w:p w14:paraId="79BD7BA7"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وسيُجرى التحليل وفق</w:t>
      </w:r>
      <w:r w:rsidRPr="00284F9E">
        <w:rPr>
          <w:rFonts w:ascii="Traditional Arabic" w:hAnsi="Traditional Arabic" w:cs="Traditional Arabic"/>
        </w:rPr>
        <w:t>:</w:t>
      </w:r>
    </w:p>
    <w:p w14:paraId="753D9D24"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Pr>
        <w:t xml:space="preserve">F tests </w:t>
      </w:r>
      <w:r w:rsidRPr="00284F9E">
        <w:rPr>
          <w:rFonts w:ascii="Times New Roman" w:hAnsi="Times New Roman" w:cs="Times New Roman"/>
          <w:b/>
          <w:bCs/>
        </w:rPr>
        <w:t>→</w:t>
      </w:r>
      <w:r w:rsidRPr="00284F9E">
        <w:rPr>
          <w:rFonts w:ascii="Traditional Arabic" w:hAnsi="Traditional Arabic" w:cs="Traditional Arabic"/>
          <w:b/>
          <w:bCs/>
        </w:rPr>
        <w:t xml:space="preserve"> Linear multiple regression: Fixed model, R² deviation from zero </w:t>
      </w:r>
      <w:r w:rsidRPr="00284F9E">
        <w:rPr>
          <w:rFonts w:ascii="Times New Roman" w:hAnsi="Times New Roman" w:cs="Times New Roman"/>
          <w:b/>
          <w:bCs/>
        </w:rPr>
        <w:t>→</w:t>
      </w:r>
      <w:r w:rsidRPr="00284F9E">
        <w:rPr>
          <w:rFonts w:ascii="Traditional Arabic" w:hAnsi="Traditional Arabic" w:cs="Traditional Arabic"/>
          <w:b/>
          <w:bCs/>
        </w:rPr>
        <w:t xml:space="preserve"> A priori</w:t>
      </w:r>
    </w:p>
    <w:p w14:paraId="57C2686F"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واعتمدت الدراسة المدخلات الآتية</w:t>
      </w:r>
      <w:r w:rsidRPr="00284F9E">
        <w:rPr>
          <w:rFonts w:ascii="Traditional Arabic" w:hAnsi="Traditional Arabic" w:cs="Traditional Arabic"/>
        </w:rPr>
        <w:t>:</w:t>
      </w:r>
    </w:p>
    <w:tbl>
      <w:tblPr>
        <w:tblStyle w:val="PlainTable1"/>
        <w:bidiVisual/>
        <w:tblW w:w="0" w:type="auto"/>
        <w:jc w:val="center"/>
        <w:tblLook w:val="04A0" w:firstRow="1" w:lastRow="0" w:firstColumn="1" w:lastColumn="0" w:noHBand="0" w:noVBand="1"/>
      </w:tblPr>
      <w:tblGrid>
        <w:gridCol w:w="1802"/>
        <w:gridCol w:w="1566"/>
      </w:tblGrid>
      <w:tr w:rsidR="00284F9E" w:rsidRPr="00284F9E" w14:paraId="257F9D15" w14:textId="77777777" w:rsidTr="007303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D5BFD"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عنصر التحليل</w:t>
            </w:r>
          </w:p>
        </w:tc>
        <w:tc>
          <w:tcPr>
            <w:tcW w:w="0" w:type="auto"/>
            <w:vAlign w:val="center"/>
            <w:hideMark/>
          </w:tcPr>
          <w:p w14:paraId="5F2EE7CD" w14:textId="77777777" w:rsidR="00284F9E" w:rsidRPr="00284F9E" w:rsidRDefault="00284F9E" w:rsidP="0073031A">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القيمة المعتمدة</w:t>
            </w:r>
          </w:p>
        </w:tc>
      </w:tr>
      <w:tr w:rsidR="00284F9E" w:rsidRPr="00284F9E" w14:paraId="2AE60423" w14:textId="77777777" w:rsidTr="007303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BA00E7"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حجم الأثر</w:t>
            </w:r>
            <w:r w:rsidRPr="00284F9E">
              <w:rPr>
                <w:rFonts w:ascii="Traditional Arabic" w:hAnsi="Traditional Arabic" w:cs="Traditional Arabic"/>
              </w:rPr>
              <w:t xml:space="preserve"> (f²)</w:t>
            </w:r>
          </w:p>
        </w:tc>
        <w:tc>
          <w:tcPr>
            <w:tcW w:w="0" w:type="auto"/>
            <w:vAlign w:val="center"/>
            <w:hideMark/>
          </w:tcPr>
          <w:p w14:paraId="19C16255" w14:textId="77777777" w:rsidR="00284F9E" w:rsidRPr="002F227E" w:rsidRDefault="00284F9E" w:rsidP="0073031A">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Pr>
              <w:t>0.15</w:t>
            </w:r>
          </w:p>
        </w:tc>
      </w:tr>
      <w:tr w:rsidR="00284F9E" w:rsidRPr="00284F9E" w14:paraId="2005868D" w14:textId="77777777" w:rsidTr="0073031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398177"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مستوى الدلالة</w:t>
            </w:r>
            <w:r w:rsidRPr="00284F9E">
              <w:rPr>
                <w:rFonts w:ascii="Traditional Arabic" w:hAnsi="Traditional Arabic" w:cs="Traditional Arabic"/>
              </w:rPr>
              <w:t xml:space="preserve"> (</w:t>
            </w:r>
            <w:r w:rsidRPr="00284F9E">
              <w:rPr>
                <w:rFonts w:ascii="Cambria" w:hAnsi="Cambria" w:cs="Cambria"/>
              </w:rPr>
              <w:t>α</w:t>
            </w:r>
            <w:r w:rsidRPr="00284F9E">
              <w:rPr>
                <w:rFonts w:ascii="Traditional Arabic" w:hAnsi="Traditional Arabic" w:cs="Traditional Arabic"/>
              </w:rPr>
              <w:t>)</w:t>
            </w:r>
          </w:p>
        </w:tc>
        <w:tc>
          <w:tcPr>
            <w:tcW w:w="0" w:type="auto"/>
            <w:vAlign w:val="center"/>
            <w:hideMark/>
          </w:tcPr>
          <w:p w14:paraId="1A288867" w14:textId="77777777" w:rsidR="00284F9E" w:rsidRPr="002F227E" w:rsidRDefault="00284F9E" w:rsidP="0073031A">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Pr>
              <w:t>0.05</w:t>
            </w:r>
          </w:p>
        </w:tc>
      </w:tr>
      <w:tr w:rsidR="00284F9E" w:rsidRPr="00284F9E" w14:paraId="4240AE50" w14:textId="77777777" w:rsidTr="007303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078C5E"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القوة الإحصائية</w:t>
            </w:r>
            <w:r w:rsidRPr="00284F9E">
              <w:rPr>
                <w:rFonts w:ascii="Traditional Arabic" w:hAnsi="Traditional Arabic" w:cs="Traditional Arabic"/>
              </w:rPr>
              <w:t xml:space="preserve"> (1-</w:t>
            </w:r>
            <w:r w:rsidRPr="00284F9E">
              <w:rPr>
                <w:rFonts w:ascii="Cambria" w:hAnsi="Cambria" w:cs="Cambria"/>
              </w:rPr>
              <w:t>β</w:t>
            </w:r>
            <w:r w:rsidRPr="00284F9E">
              <w:rPr>
                <w:rFonts w:ascii="Traditional Arabic" w:hAnsi="Traditional Arabic" w:cs="Traditional Arabic"/>
              </w:rPr>
              <w:t>)</w:t>
            </w:r>
          </w:p>
        </w:tc>
        <w:tc>
          <w:tcPr>
            <w:tcW w:w="0" w:type="auto"/>
            <w:vAlign w:val="center"/>
            <w:hideMark/>
          </w:tcPr>
          <w:p w14:paraId="2FA0AE04" w14:textId="77777777" w:rsidR="00284F9E" w:rsidRPr="002F227E" w:rsidRDefault="00284F9E" w:rsidP="0073031A">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Pr>
              <w:t>0.95</w:t>
            </w:r>
          </w:p>
        </w:tc>
      </w:tr>
      <w:tr w:rsidR="00284F9E" w:rsidRPr="00284F9E" w14:paraId="0F7D1FA7" w14:textId="77777777" w:rsidTr="0073031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6C0B41"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عدد المتنبئات</w:t>
            </w:r>
          </w:p>
        </w:tc>
        <w:tc>
          <w:tcPr>
            <w:tcW w:w="0" w:type="auto"/>
            <w:vAlign w:val="center"/>
            <w:hideMark/>
          </w:tcPr>
          <w:p w14:paraId="39F88E70" w14:textId="77777777" w:rsidR="00284F9E" w:rsidRPr="002F227E" w:rsidRDefault="00284F9E" w:rsidP="0073031A">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Pr>
              <w:t>2</w:t>
            </w:r>
          </w:p>
        </w:tc>
      </w:tr>
      <w:tr w:rsidR="00284F9E" w:rsidRPr="00284F9E" w14:paraId="1C15CAEC" w14:textId="77777777" w:rsidTr="007303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340FA7" w14:textId="77777777" w:rsidR="00284F9E" w:rsidRPr="00284F9E" w:rsidRDefault="00284F9E" w:rsidP="0073031A">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الحد الأدنى المطلوب</w:t>
            </w:r>
          </w:p>
        </w:tc>
        <w:tc>
          <w:tcPr>
            <w:tcW w:w="0" w:type="auto"/>
            <w:vAlign w:val="center"/>
            <w:hideMark/>
          </w:tcPr>
          <w:p w14:paraId="3E49462C" w14:textId="77777777" w:rsidR="00284F9E" w:rsidRPr="002F227E" w:rsidRDefault="00284F9E" w:rsidP="0073031A">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Pr>
              <w:t xml:space="preserve">107 </w:t>
            </w:r>
            <w:r w:rsidRPr="002F227E">
              <w:rPr>
                <w:rFonts w:ascii="Traditional Arabic" w:hAnsi="Traditional Arabic" w:cs="Traditional Arabic"/>
                <w:sz w:val="22"/>
                <w:szCs w:val="22"/>
                <w:rtl/>
              </w:rPr>
              <w:t>استجابات صالحة</w:t>
            </w:r>
          </w:p>
        </w:tc>
      </w:tr>
    </w:tbl>
    <w:p w14:paraId="0B167769" w14:textId="76B502AD" w:rsidR="00284F9E" w:rsidRPr="00284F9E" w:rsidRDefault="0073031A"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ويستند تحديد عدد المتنبئات باثنين إلى بنية النموذج الهيكلي من الرتبة العليا؛ إذ يمثل </w:t>
      </w:r>
      <w:r w:rsidR="00284F9E" w:rsidRPr="0073031A">
        <w:rPr>
          <w:rFonts w:ascii="Traditional Arabic" w:hAnsi="Traditional Arabic" w:cs="Traditional Arabic"/>
          <w:rtl/>
        </w:rPr>
        <w:t>الاستدامة المؤسسية</w:t>
      </w:r>
      <w:r w:rsidR="00284F9E" w:rsidRPr="00284F9E">
        <w:rPr>
          <w:rFonts w:ascii="Traditional Arabic" w:hAnsi="Traditional Arabic" w:cs="Traditional Arabic"/>
          <w:rtl/>
        </w:rPr>
        <w:t xml:space="preserve"> المتغير الداخلي الذي يستقبل أكبر عدد من المسارات المباشرة، وهي مسار البراعة التنظيمية ومسار التميز المؤسسي</w:t>
      </w:r>
      <w:r w:rsidR="00284F9E" w:rsidRPr="00284F9E">
        <w:rPr>
          <w:rFonts w:ascii="Traditional Arabic" w:hAnsi="Traditional Arabic" w:cs="Traditional Arabic"/>
        </w:rPr>
        <w:t>.</w:t>
      </w:r>
    </w:p>
    <w:p w14:paraId="77EFA90B"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 xml:space="preserve">وبناءً على هذه المدخلات، يبلغ الحد الأدنى المطلوب لتحقيق القوة الإحصائية المحددة </w:t>
      </w:r>
      <w:r w:rsidRPr="0073031A">
        <w:rPr>
          <w:rFonts w:ascii="Traditional Arabic" w:hAnsi="Traditional Arabic" w:cs="Traditional Arabic"/>
        </w:rPr>
        <w:t xml:space="preserve">107 </w:t>
      </w:r>
      <w:r w:rsidRPr="0073031A">
        <w:rPr>
          <w:rFonts w:ascii="Traditional Arabic" w:hAnsi="Traditional Arabic" w:cs="Traditional Arabic"/>
          <w:rtl/>
        </w:rPr>
        <w:t>استجابات صالحة للتحليل</w:t>
      </w:r>
      <w:r w:rsidRPr="0073031A">
        <w:rPr>
          <w:rFonts w:ascii="Traditional Arabic" w:hAnsi="Traditional Arabic" w:cs="Traditional Arabic"/>
        </w:rPr>
        <w:t>.</w:t>
      </w:r>
    </w:p>
    <w:p w14:paraId="40350A26"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غير أن هذا العدد يمثل الحد الأدنى الإحصائي وليس الحجم الميداني المستهدف. ونظرًا إلى أهمية الحصول على تقديرات مستقرة للنموذج، والتعامل مع احتمالات عدم الاستجابة والاستبانات غير المكتملة أو غير الجادة، ستستهدف الباحثة حجمًا أعلى بدرجة كبيرة من الحد الأدنى</w:t>
      </w:r>
      <w:r w:rsidRPr="00284F9E">
        <w:rPr>
          <w:rFonts w:ascii="Traditional Arabic" w:hAnsi="Traditional Arabic" w:cs="Traditional Arabic"/>
        </w:rPr>
        <w:t>.</w:t>
      </w:r>
    </w:p>
    <w:p w14:paraId="4DD33716"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وعليه، تعتمد الدراسة</w:t>
      </w:r>
      <w:r w:rsidRPr="00284F9E">
        <w:rPr>
          <w:rFonts w:ascii="Traditional Arabic" w:hAnsi="Traditional Arabic" w:cs="Traditional Arabic"/>
        </w:rPr>
        <w:t>:</w:t>
      </w:r>
    </w:p>
    <w:p w14:paraId="3AF51452" w14:textId="77777777" w:rsidR="00284F9E" w:rsidRPr="00284F9E" w:rsidRDefault="00284F9E" w:rsidP="00284F9E">
      <w:pPr>
        <w:numPr>
          <w:ilvl w:val="0"/>
          <w:numId w:val="34"/>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Pr>
        <w:t xml:space="preserve">107 </w:t>
      </w:r>
      <w:r w:rsidRPr="00284F9E">
        <w:rPr>
          <w:rFonts w:ascii="Traditional Arabic" w:hAnsi="Traditional Arabic" w:cs="Traditional Arabic"/>
          <w:b/>
          <w:bCs/>
          <w:rtl/>
        </w:rPr>
        <w:t>استجابات</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الحد الأدنى وفق</w:t>
      </w:r>
      <w:r w:rsidRPr="00284F9E">
        <w:rPr>
          <w:rFonts w:ascii="Traditional Arabic" w:hAnsi="Traditional Arabic" w:cs="Traditional Arabic"/>
        </w:rPr>
        <w:t xml:space="preserve"> Statistical Power Analysis.</w:t>
      </w:r>
    </w:p>
    <w:p w14:paraId="671952A5" w14:textId="77777777" w:rsidR="00284F9E" w:rsidRPr="00284F9E" w:rsidRDefault="00284F9E" w:rsidP="00284F9E">
      <w:pPr>
        <w:numPr>
          <w:ilvl w:val="0"/>
          <w:numId w:val="34"/>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Pr>
        <w:t xml:space="preserve">350 </w:t>
      </w:r>
      <w:r w:rsidRPr="00284F9E">
        <w:rPr>
          <w:rFonts w:ascii="Traditional Arabic" w:hAnsi="Traditional Arabic" w:cs="Traditional Arabic"/>
          <w:b/>
          <w:bCs/>
          <w:rtl/>
        </w:rPr>
        <w:t>استجابة صالحة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العدد المستهدف للتحليل النهائي</w:t>
      </w:r>
      <w:r w:rsidRPr="00284F9E">
        <w:rPr>
          <w:rFonts w:ascii="Traditional Arabic" w:hAnsi="Traditional Arabic" w:cs="Traditional Arabic"/>
        </w:rPr>
        <w:t>.</w:t>
      </w:r>
    </w:p>
    <w:p w14:paraId="5184815F" w14:textId="77777777" w:rsidR="00284F9E" w:rsidRPr="00284F9E" w:rsidRDefault="00284F9E" w:rsidP="00284F9E">
      <w:pPr>
        <w:numPr>
          <w:ilvl w:val="0"/>
          <w:numId w:val="34"/>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نحو 450 استبانة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العدد المستهدف للتوزيع الميداني</w:t>
      </w:r>
      <w:r w:rsidRPr="00284F9E">
        <w:rPr>
          <w:rFonts w:ascii="Traditional Arabic" w:hAnsi="Traditional Arabic" w:cs="Traditional Arabic"/>
        </w:rPr>
        <w:t>.</w:t>
      </w:r>
    </w:p>
    <w:p w14:paraId="0CDD50F9" w14:textId="1F91DD1B" w:rsidR="00284F9E" w:rsidRPr="00284F9E" w:rsidRDefault="00284F9E" w:rsidP="0073031A">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ويحقق هذا التمييز وضوحًا بين </w:t>
      </w:r>
      <w:r w:rsidRPr="00590855">
        <w:rPr>
          <w:rFonts w:ascii="Traditional Arabic" w:hAnsi="Traditional Arabic" w:cs="Traditional Arabic"/>
          <w:rtl/>
        </w:rPr>
        <w:t>الحد الأدنى الإحصائي والحجم المستهدف فعليًا</w:t>
      </w:r>
      <w:r w:rsidRPr="00284F9E">
        <w:rPr>
          <w:rFonts w:ascii="Traditional Arabic" w:hAnsi="Traditional Arabic" w:cs="Traditional Arabic"/>
          <w:rtl/>
        </w:rPr>
        <w:t>، ويمنع الخلط بين كفاية العينة النظرية وخطة جمع البيانات الميدانية</w:t>
      </w:r>
      <w:r w:rsidRPr="00284F9E">
        <w:rPr>
          <w:rFonts w:ascii="Traditional Arabic" w:hAnsi="Traditional Arabic" w:cs="Traditional Arabic"/>
        </w:rPr>
        <w:t>.</w:t>
      </w:r>
    </w:p>
    <w:p w14:paraId="217820D3"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3-15 </w:t>
      </w:r>
      <w:r w:rsidRPr="00284F9E">
        <w:rPr>
          <w:rFonts w:ascii="Traditional Arabic" w:hAnsi="Traditional Arabic" w:cs="Traditional Arabic"/>
          <w:b/>
          <w:bCs/>
          <w:rtl/>
        </w:rPr>
        <w:t>إجراءات جمع البيانات الكمية</w:t>
      </w:r>
    </w:p>
    <w:p w14:paraId="188FF341" w14:textId="220192AA" w:rsidR="00284F9E" w:rsidRPr="00284F9E" w:rsidRDefault="0059085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لن يبدأ جمع البيانات الرئيسة إلا بعد استكمال المتطلبات المنهجية السابقة، وتشمل اعتماد أداة الدراسة بعد التحكيم، وتنفيذ الدراسة الاستطلاعية، والحصول على الموافقات الأخلاقية والإدارية اللازمة</w:t>
      </w:r>
      <w:r w:rsidR="00284F9E" w:rsidRPr="00284F9E">
        <w:rPr>
          <w:rFonts w:ascii="Traditional Arabic" w:hAnsi="Traditional Arabic" w:cs="Traditional Arabic"/>
        </w:rPr>
        <w:t>.</w:t>
      </w:r>
    </w:p>
    <w:p w14:paraId="6573CBB8"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بعد ذلك ستتواصل الباحثة مع الجهات المختارة لتحديد أطر المعاينة الداخلية وقوائم الفئات المستهدفة، ثم ستطبق خطة التخصيص المتناسب والاختيار العشوائي للأفراد</w:t>
      </w:r>
      <w:r w:rsidRPr="00284F9E">
        <w:rPr>
          <w:rFonts w:ascii="Traditional Arabic" w:hAnsi="Traditional Arabic" w:cs="Traditional Arabic"/>
        </w:rPr>
        <w:t>.</w:t>
      </w:r>
    </w:p>
    <w:p w14:paraId="265B3A25"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وسيتم توثيق عملية جمع البيانات بصورة تسمح بإظهار</w:t>
      </w:r>
      <w:r w:rsidRPr="00284F9E">
        <w:rPr>
          <w:rFonts w:ascii="Traditional Arabic" w:hAnsi="Traditional Arabic" w:cs="Traditional Arabic"/>
        </w:rPr>
        <w:t>:</w:t>
      </w:r>
    </w:p>
    <w:p w14:paraId="14D2714A"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عدد الدعوات أو الاستبانات الموزعة</w:t>
      </w:r>
      <w:r w:rsidRPr="00284F9E">
        <w:rPr>
          <w:rFonts w:ascii="Traditional Arabic" w:hAnsi="Traditional Arabic" w:cs="Traditional Arabic"/>
        </w:rPr>
        <w:t>.</w:t>
      </w:r>
    </w:p>
    <w:p w14:paraId="6850E12C"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عدد الاستجابات المستلمة</w:t>
      </w:r>
      <w:r w:rsidRPr="00284F9E">
        <w:rPr>
          <w:rFonts w:ascii="Traditional Arabic" w:hAnsi="Traditional Arabic" w:cs="Traditional Arabic"/>
        </w:rPr>
        <w:t>.</w:t>
      </w:r>
    </w:p>
    <w:p w14:paraId="01DB4528"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عدد الاستجابات المستبعدة</w:t>
      </w:r>
      <w:r w:rsidRPr="00284F9E">
        <w:rPr>
          <w:rFonts w:ascii="Traditional Arabic" w:hAnsi="Traditional Arabic" w:cs="Traditional Arabic"/>
        </w:rPr>
        <w:t>.</w:t>
      </w:r>
    </w:p>
    <w:p w14:paraId="53F8BFC9"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أسباب الاستبعاد</w:t>
      </w:r>
      <w:r w:rsidRPr="00284F9E">
        <w:rPr>
          <w:rFonts w:ascii="Traditional Arabic" w:hAnsi="Traditional Arabic" w:cs="Traditional Arabic"/>
        </w:rPr>
        <w:t>.</w:t>
      </w:r>
    </w:p>
    <w:p w14:paraId="08E25AF7"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العدد النهائي الصالح للتحليل</w:t>
      </w:r>
      <w:r w:rsidRPr="00284F9E">
        <w:rPr>
          <w:rFonts w:ascii="Traditional Arabic" w:hAnsi="Traditional Arabic" w:cs="Traditional Arabic"/>
        </w:rPr>
        <w:t>.</w:t>
      </w:r>
    </w:p>
    <w:p w14:paraId="6EC87125" w14:textId="77777777" w:rsidR="00284F9E" w:rsidRPr="00284F9E" w:rsidRDefault="00284F9E" w:rsidP="00284F9E">
      <w:pPr>
        <w:numPr>
          <w:ilvl w:val="0"/>
          <w:numId w:val="35"/>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معدل الاستجابة الفعلي</w:t>
      </w:r>
      <w:r w:rsidRPr="00284F9E">
        <w:rPr>
          <w:rFonts w:ascii="Traditional Arabic" w:hAnsi="Traditional Arabic" w:cs="Traditional Arabic"/>
        </w:rPr>
        <w:t>.</w:t>
      </w:r>
    </w:p>
    <w:p w14:paraId="778E20E5" w14:textId="57F0C502" w:rsidR="00284F9E" w:rsidRPr="00284F9E" w:rsidRDefault="00284F9E" w:rsidP="00590855">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وسيتم استبعاد الاستجابات التي لا تستوفي معايير الجودة المحددة مسبقًا، مثل الاستبانات شديدة النقص أو أنماط الإجابة غير الجادة، على أن توضح معايير الاستبعاد وعدد الحالات المستبعدة في فصل النتائج</w:t>
      </w:r>
      <w:r w:rsidRPr="00284F9E">
        <w:rPr>
          <w:rFonts w:ascii="Traditional Arabic" w:hAnsi="Traditional Arabic" w:cs="Traditional Arabic"/>
        </w:rPr>
        <w:t>.</w:t>
      </w:r>
    </w:p>
    <w:p w14:paraId="2290E721"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3-16 </w:t>
      </w:r>
      <w:r w:rsidRPr="00284F9E">
        <w:rPr>
          <w:rFonts w:ascii="Traditional Arabic" w:hAnsi="Traditional Arabic" w:cs="Traditional Arabic"/>
          <w:b/>
          <w:bCs/>
          <w:rtl/>
        </w:rPr>
        <w:t>الفحص الأولي للبيانات</w:t>
      </w:r>
    </w:p>
    <w:p w14:paraId="2BFFB33B" w14:textId="45576727" w:rsidR="00284F9E" w:rsidRPr="00284F9E" w:rsidRDefault="00590855"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284F9E" w:rsidRPr="00284F9E">
        <w:rPr>
          <w:rFonts w:ascii="Traditional Arabic" w:hAnsi="Traditional Arabic" w:cs="Traditional Arabic"/>
          <w:rtl/>
        </w:rPr>
        <w:t>قبل البدء في تقدير النموذج الإحصائي، ستخضع البيانات لمرحلة فحص وتنظيف منظمة، تتضمن مراجعة اكتمال البيانات، والقيم المفقودة، والقيم المتطرفة عند الاقتضاء، وأنماط الاستجابة غير المعتادة، والتحقق من سلامة ترميز المتغيرات</w:t>
      </w:r>
      <w:r w:rsidR="00284F9E" w:rsidRPr="00284F9E">
        <w:rPr>
          <w:rFonts w:ascii="Traditional Arabic" w:hAnsi="Traditional Arabic" w:cs="Traditional Arabic"/>
        </w:rPr>
        <w:t>.</w:t>
      </w:r>
    </w:p>
    <w:p w14:paraId="0B8BBAE6"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كما ستُجرى الإحصاءات الوصفية للبيانات الشخصية والوظيفية باستخدام التكرارات والنسب المئوية، وللمتغيرات باستخدام المتوسطات الحسابية والانحرافات المعيارية بحسب مقتضيات التحليل</w:t>
      </w:r>
      <w:r w:rsidRPr="00284F9E">
        <w:rPr>
          <w:rFonts w:ascii="Traditional Arabic" w:hAnsi="Traditional Arabic" w:cs="Traditional Arabic"/>
        </w:rPr>
        <w:t>.</w:t>
      </w:r>
    </w:p>
    <w:p w14:paraId="7B6E6401" w14:textId="460EF1BA" w:rsidR="00284F9E" w:rsidRPr="00284F9E" w:rsidRDefault="00284F9E" w:rsidP="00590855">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ورغم أن</w:t>
      </w:r>
      <w:r w:rsidRPr="00284F9E">
        <w:rPr>
          <w:rFonts w:ascii="Traditional Arabic" w:hAnsi="Traditional Arabic" w:cs="Traditional Arabic"/>
        </w:rPr>
        <w:t xml:space="preserve"> </w:t>
      </w:r>
      <w:r w:rsidRPr="00590855">
        <w:rPr>
          <w:rFonts w:ascii="Traditional Arabic" w:hAnsi="Traditional Arabic" w:cs="Traditional Arabic"/>
        </w:rPr>
        <w:t>PLS-SEM</w:t>
      </w:r>
      <w:r w:rsidRPr="00284F9E">
        <w:rPr>
          <w:rFonts w:ascii="Traditional Arabic" w:hAnsi="Traditional Arabic" w:cs="Traditional Arabic"/>
        </w:rPr>
        <w:t xml:space="preserve"> </w:t>
      </w:r>
      <w:r w:rsidRPr="00284F9E">
        <w:rPr>
          <w:rFonts w:ascii="Traditional Arabic" w:hAnsi="Traditional Arabic" w:cs="Traditional Arabic"/>
          <w:rtl/>
        </w:rPr>
        <w:t>لا يفترض التوزيع الطبيعي المتعدد بالصرامة نفسها التي تتطلبها بعض أساليب</w:t>
      </w:r>
      <w:r w:rsidRPr="00284F9E">
        <w:rPr>
          <w:rFonts w:ascii="Traditional Arabic" w:hAnsi="Traditional Arabic" w:cs="Traditional Arabic"/>
        </w:rPr>
        <w:t xml:space="preserve"> </w:t>
      </w:r>
      <w:r w:rsidRPr="00590855">
        <w:rPr>
          <w:rFonts w:ascii="Traditional Arabic" w:hAnsi="Traditional Arabic" w:cs="Traditional Arabic"/>
          <w:sz w:val="22"/>
          <w:szCs w:val="22"/>
        </w:rPr>
        <w:t xml:space="preserve">SEM </w:t>
      </w:r>
      <w:r w:rsidRPr="00284F9E">
        <w:rPr>
          <w:rFonts w:ascii="Traditional Arabic" w:hAnsi="Traditional Arabic" w:cs="Traditional Arabic"/>
          <w:rtl/>
        </w:rPr>
        <w:t>القائمة على التغاير، فإن ذلك لا يلغي الحاجة إلى فحص جودة البيانات والكشف عن القيم الشاذة والمشكلات التي قد تؤثر في استقرار التقديرات</w:t>
      </w:r>
      <w:r w:rsidRPr="00284F9E">
        <w:rPr>
          <w:rFonts w:ascii="Traditional Arabic" w:hAnsi="Traditional Arabic" w:cs="Traditional Arabic"/>
        </w:rPr>
        <w:t xml:space="preserve"> </w:t>
      </w:r>
      <w:r w:rsidRPr="00590855">
        <w:rPr>
          <w:rFonts w:ascii="Traditional Arabic" w:hAnsi="Traditional Arabic" w:cs="Traditional Arabic"/>
        </w:rPr>
        <w:t>(Hair et al., 2022).</w:t>
      </w:r>
    </w:p>
    <w:p w14:paraId="54FF7C10"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3-17 </w:t>
      </w:r>
      <w:r w:rsidRPr="00284F9E">
        <w:rPr>
          <w:rFonts w:ascii="Traditional Arabic" w:hAnsi="Traditional Arabic" w:cs="Traditional Arabic"/>
          <w:b/>
          <w:bCs/>
          <w:rtl/>
        </w:rPr>
        <w:t>تحيز الطريقة المشتركة وتحيز عدم الاستجابة</w:t>
      </w:r>
    </w:p>
    <w:p w14:paraId="68475BD5" w14:textId="6C293F4B"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نظرًا إلى أن البيانات الكمية ستُجمع باستخدام استبانة واحدة ومن مستجيبين أفراد، ستتخذ الباحثة إجراءات وقائية للحد من احتمالات </w:t>
      </w:r>
      <w:r w:rsidRPr="00590855">
        <w:rPr>
          <w:rFonts w:ascii="Traditional Arabic" w:hAnsi="Traditional Arabic" w:cs="Traditional Arabic"/>
          <w:rtl/>
        </w:rPr>
        <w:t>تحيز الطريقة المشتركة</w:t>
      </w:r>
      <w:r w:rsidR="00590855">
        <w:rPr>
          <w:rFonts w:ascii="Traditional Arabic" w:hAnsi="Traditional Arabic" w:cs="Traditional Arabic" w:hint="cs"/>
          <w:b/>
          <w:bCs/>
          <w:rtl/>
        </w:rPr>
        <w:t>،</w:t>
      </w:r>
      <w:r w:rsidRPr="00284F9E">
        <w:rPr>
          <w:rFonts w:ascii="Traditional Arabic" w:hAnsi="Traditional Arabic" w:cs="Traditional Arabic"/>
          <w:rtl/>
        </w:rPr>
        <w:t xml:space="preserve"> ومنها التأكيد على سرية الاستجابات، وعدم وجود إجابات صحيحة أو خاطئة، واستخدام صياغات واضحة ومحايدة قدر الإمكان، وتنظيم الفقرات بطريقة تقلل التأثيرات الناتجة عن نمط العرض</w:t>
      </w:r>
      <w:r w:rsidRPr="00284F9E">
        <w:rPr>
          <w:rFonts w:ascii="Traditional Arabic" w:hAnsi="Traditional Arabic" w:cs="Traditional Arabic"/>
        </w:rPr>
        <w:t>.</w:t>
      </w:r>
    </w:p>
    <w:p w14:paraId="149AFB69"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وسيُفحص التعدد الخطي عند تقدير النموذج، مع التعامل مع مؤشرات</w:t>
      </w:r>
      <w:r w:rsidRPr="00284F9E">
        <w:rPr>
          <w:rFonts w:ascii="Traditional Arabic" w:hAnsi="Traditional Arabic" w:cs="Traditional Arabic"/>
        </w:rPr>
        <w:t xml:space="preserve"> VIF </w:t>
      </w:r>
      <w:r w:rsidRPr="00284F9E">
        <w:rPr>
          <w:rFonts w:ascii="Traditional Arabic" w:hAnsi="Traditional Arabic" w:cs="Traditional Arabic"/>
          <w:rtl/>
        </w:rPr>
        <w:t>في إطار تقييم جودة القياس والنموذج الهيكلي</w:t>
      </w:r>
      <w:r w:rsidRPr="00284F9E">
        <w:rPr>
          <w:rFonts w:ascii="Traditional Arabic" w:hAnsi="Traditional Arabic" w:cs="Traditional Arabic"/>
        </w:rPr>
        <w:t>.</w:t>
      </w:r>
    </w:p>
    <w:p w14:paraId="09B4D9AA" w14:textId="58451484" w:rsidR="00284F9E" w:rsidRPr="00284F9E" w:rsidRDefault="00284F9E" w:rsidP="00590855">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أما </w:t>
      </w:r>
      <w:r w:rsidRPr="00BC4573">
        <w:rPr>
          <w:rFonts w:ascii="Traditional Arabic" w:hAnsi="Traditional Arabic" w:cs="Traditional Arabic"/>
          <w:rtl/>
        </w:rPr>
        <w:t>تحيز عدم الاستجابة</w:t>
      </w:r>
      <w:r w:rsidRPr="00284F9E">
        <w:rPr>
          <w:rFonts w:ascii="Traditional Arabic" w:hAnsi="Traditional Arabic" w:cs="Traditional Arabic"/>
          <w:rtl/>
        </w:rPr>
        <w:t>، فسيُفحص – متى سمحت البيانات – من خلال مقارنة مجموعة من المستجيبين الأوائل والمتأخرين في الخصائص أو المتغيرات الأساسية، بهدف التحقق مما إذا كانت هناك مؤشرات جوهرية إلى اختلاف المشاركين باختلاف توقيت الاستجابة</w:t>
      </w:r>
      <w:r w:rsidRPr="00284F9E">
        <w:rPr>
          <w:rFonts w:ascii="Traditional Arabic" w:hAnsi="Traditional Arabic" w:cs="Traditional Arabic"/>
        </w:rPr>
        <w:t>.</w:t>
      </w:r>
    </w:p>
    <w:p w14:paraId="7A0EFABD"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3-18 </w:t>
      </w:r>
      <w:r w:rsidRPr="00284F9E">
        <w:rPr>
          <w:rFonts w:ascii="Traditional Arabic" w:hAnsi="Traditional Arabic" w:cs="Traditional Arabic"/>
          <w:b/>
          <w:bCs/>
          <w:rtl/>
        </w:rPr>
        <w:t>أساليب تحليل البيانات الكمية</w:t>
      </w:r>
    </w:p>
    <w:p w14:paraId="2BB61667" w14:textId="49B82A94" w:rsidR="00284F9E" w:rsidRPr="00284F9E" w:rsidRDefault="00BC457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ستُستخدم مجموعة من الأساليب الوصفية والاستدلالية، وسيكون </w:t>
      </w:r>
      <w:r w:rsidR="00284F9E" w:rsidRPr="00BC4573">
        <w:rPr>
          <w:rFonts w:ascii="Traditional Arabic" w:hAnsi="Traditional Arabic" w:cs="Traditional Arabic"/>
          <w:sz w:val="22"/>
          <w:szCs w:val="22"/>
        </w:rPr>
        <w:t>SmartPLS 4</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البرنامج الرئيس لتقدير نموذج القياس والنموذج الهيكلي باستخدام</w:t>
      </w:r>
      <w:r w:rsidR="00284F9E" w:rsidRPr="00284F9E">
        <w:rPr>
          <w:rFonts w:ascii="Traditional Arabic" w:hAnsi="Traditional Arabic" w:cs="Traditional Arabic"/>
        </w:rPr>
        <w:t xml:space="preserve"> </w:t>
      </w:r>
      <w:r w:rsidR="00284F9E" w:rsidRPr="00BC4573">
        <w:rPr>
          <w:rFonts w:ascii="Traditional Arabic" w:hAnsi="Traditional Arabic" w:cs="Traditional Arabic"/>
          <w:sz w:val="22"/>
          <w:szCs w:val="22"/>
        </w:rPr>
        <w:t>PLS-SEM.</w:t>
      </w:r>
    </w:p>
    <w:p w14:paraId="4FE1923C" w14:textId="40B2B9F8" w:rsidR="00284F9E" w:rsidRPr="00284F9E" w:rsidRDefault="00284F9E" w:rsidP="00BC4573">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ويأتي اختيار</w:t>
      </w:r>
      <w:r w:rsidRPr="00284F9E">
        <w:rPr>
          <w:rFonts w:ascii="Traditional Arabic" w:hAnsi="Traditional Arabic" w:cs="Traditional Arabic"/>
        </w:rPr>
        <w:t xml:space="preserve"> </w:t>
      </w:r>
      <w:r w:rsidRPr="00BC4573">
        <w:rPr>
          <w:rFonts w:ascii="Traditional Arabic" w:hAnsi="Traditional Arabic" w:cs="Traditional Arabic"/>
          <w:sz w:val="22"/>
          <w:szCs w:val="22"/>
        </w:rPr>
        <w:t>PLS-SEM</w:t>
      </w:r>
      <w:r w:rsidRPr="00284F9E">
        <w:rPr>
          <w:rFonts w:ascii="Traditional Arabic" w:hAnsi="Traditional Arabic" w:cs="Traditional Arabic"/>
        </w:rPr>
        <w:t xml:space="preserve"> </w:t>
      </w:r>
      <w:r w:rsidRPr="00284F9E">
        <w:rPr>
          <w:rFonts w:ascii="Traditional Arabic" w:hAnsi="Traditional Arabic" w:cs="Traditional Arabic"/>
          <w:rtl/>
        </w:rPr>
        <w:t>متسقًا مع طبيعة الدراسة التي تتضمن متغيرات كامنة متعددة الأبعاد، ومتغيرًا وسيطًا، وعلاقات مباشرة وغير مباشرة، بالإضافة إلى نماذج من الرتبة العليا، وهو ما يجعل هذا الأسلوب مناسبًا لأهداف الدراسة وطبيعة نموذجها</w:t>
      </w:r>
      <w:r w:rsidRPr="00284F9E">
        <w:rPr>
          <w:rFonts w:ascii="Traditional Arabic" w:hAnsi="Traditional Arabic" w:cs="Traditional Arabic"/>
        </w:rPr>
        <w:t xml:space="preserve"> </w:t>
      </w:r>
      <w:r w:rsidRPr="00BC4573">
        <w:rPr>
          <w:rFonts w:ascii="Traditional Arabic" w:hAnsi="Traditional Arabic" w:cs="Traditional Arabic"/>
          <w:sz w:val="22"/>
          <w:szCs w:val="22"/>
        </w:rPr>
        <w:t>(Hair et al., 2022; Sarstedt et al., 2019).</w:t>
      </w:r>
    </w:p>
    <w:p w14:paraId="1BB3F891"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3-19 </w:t>
      </w:r>
      <w:r w:rsidRPr="00284F9E">
        <w:rPr>
          <w:rFonts w:ascii="Traditional Arabic" w:hAnsi="Traditional Arabic" w:cs="Traditional Arabic"/>
          <w:b/>
          <w:bCs/>
          <w:rtl/>
        </w:rPr>
        <w:t>تقييم نموذج القياس من الرتبة الأولى</w:t>
      </w:r>
    </w:p>
    <w:p w14:paraId="62539450" w14:textId="1E7D68BA" w:rsidR="00284F9E" w:rsidRPr="00284F9E" w:rsidRDefault="00BC457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سيُجرى أولًا تقييم الأبعاد الانعكاسية من الرتبة الأولى، وذلك قبل الانتقال إلى بناء المتغيرات الأعلى رتبة</w:t>
      </w:r>
      <w:r w:rsidR="00284F9E" w:rsidRPr="00284F9E">
        <w:rPr>
          <w:rFonts w:ascii="Traditional Arabic" w:hAnsi="Traditional Arabic" w:cs="Traditional Arabic"/>
        </w:rPr>
        <w:t>.</w:t>
      </w:r>
    </w:p>
    <w:p w14:paraId="3B6D9F66"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التحميلات الخارجية</w:t>
      </w:r>
    </w:p>
    <w:p w14:paraId="7788D9D4" w14:textId="26F82B97" w:rsidR="00284F9E" w:rsidRPr="00284F9E" w:rsidRDefault="00BC457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سيُفحص مقدار تحميل كل فقرة على البُعد الذي تنتمي إليه. </w:t>
      </w:r>
      <w:r w:rsidR="000D6F5C" w:rsidRPr="000D6F5C">
        <w:rPr>
          <w:rFonts w:ascii="Traditional Arabic" w:hAnsi="Traditional Arabic" w:cs="Traditional Arabic"/>
          <w:highlight w:val="yellow"/>
          <w:rtl/>
        </w:rPr>
        <w:t>تُعد التحميلات الخارجية بقيمة 0.70 فأعلى مرغوبة، بما يشير إلى أن المؤشرات تفسر نسبة كافية من تباين البعد الكامن</w:t>
      </w:r>
    </w:p>
    <w:p w14:paraId="581988AF" w14:textId="59B49FF7" w:rsidR="00284F9E" w:rsidRPr="00284F9E" w:rsidRDefault="00BC457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ولا يعني انخفاض تحميل إحدى الفقرات قليلًا عن 0.70 حذفها بصورة آلية؛ إذ ستُدرس الفقرات التي تقع تحميلاتها بين 0.40 و0.70 في ضوء أهميتها النظرية وتأثير حذفها في الثبات والصدق التقاربي</w:t>
      </w:r>
      <w:r w:rsidR="00284F9E" w:rsidRPr="00284F9E">
        <w:rPr>
          <w:rFonts w:ascii="Traditional Arabic" w:hAnsi="Traditional Arabic" w:cs="Traditional Arabic"/>
        </w:rPr>
        <w:t xml:space="preserve"> </w:t>
      </w:r>
      <w:r w:rsidR="00284F9E" w:rsidRPr="00BC4573">
        <w:rPr>
          <w:rFonts w:ascii="Traditional Arabic" w:hAnsi="Traditional Arabic" w:cs="Traditional Arabic"/>
          <w:sz w:val="22"/>
          <w:szCs w:val="22"/>
        </w:rPr>
        <w:t>(Hair et al., 2022).</w:t>
      </w:r>
    </w:p>
    <w:p w14:paraId="669D865A"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lastRenderedPageBreak/>
        <w:t>الاتساق الداخلي والثبات</w:t>
      </w:r>
    </w:p>
    <w:p w14:paraId="68CD0BBD" w14:textId="77777777" w:rsidR="002B683B" w:rsidRDefault="003E63FB" w:rsidP="00284F9E">
      <w:pPr>
        <w:tabs>
          <w:tab w:val="left" w:pos="1368"/>
        </w:tabs>
        <w:bidi/>
        <w:spacing w:line="276" w:lineRule="auto"/>
        <w:jc w:val="both"/>
        <w:rPr>
          <w:rFonts w:ascii="Traditional Arabic" w:hAnsi="Traditional Arabic" w:cs="Traditional Arabic"/>
          <w:rtl/>
        </w:rPr>
      </w:pPr>
      <w:r w:rsidRPr="002B683B">
        <w:rPr>
          <w:rFonts w:ascii="Traditional Arabic" w:hAnsi="Traditional Arabic" w:cs="Traditional Arabic"/>
          <w:highlight w:val="yellow"/>
          <w:rtl/>
        </w:rPr>
        <w:t xml:space="preserve">سُيفحص الاتساق الداخلي باستخدام كل من </w:t>
      </w:r>
      <w:r w:rsidRPr="002B683B">
        <w:rPr>
          <w:rFonts w:ascii="Traditional Arabic" w:hAnsi="Traditional Arabic" w:cs="Traditional Arabic"/>
          <w:highlight w:val="yellow"/>
        </w:rPr>
        <w:t>Cronbach’s Alpha</w:t>
      </w:r>
      <w:r w:rsidRPr="002B683B">
        <w:rPr>
          <w:rFonts w:ascii="Traditional Arabic" w:hAnsi="Traditional Arabic" w:cs="Traditional Arabic"/>
          <w:highlight w:val="yellow"/>
          <w:rtl/>
        </w:rPr>
        <w:t xml:space="preserve"> و</w:t>
      </w:r>
      <w:proofErr w:type="spellStart"/>
      <w:r w:rsidRPr="002B683B">
        <w:rPr>
          <w:rFonts w:ascii="Traditional Arabic" w:hAnsi="Traditional Arabic" w:cs="Traditional Arabic"/>
          <w:highlight w:val="yellow"/>
        </w:rPr>
        <w:t>rho_A</w:t>
      </w:r>
      <w:proofErr w:type="spellEnd"/>
      <w:r w:rsidRPr="002B683B">
        <w:rPr>
          <w:rFonts w:ascii="Traditional Arabic" w:hAnsi="Traditional Arabic" w:cs="Traditional Arabic"/>
          <w:highlight w:val="yellow"/>
          <w:rtl/>
        </w:rPr>
        <w:t xml:space="preserve"> و</w:t>
      </w:r>
      <w:r w:rsidRPr="002B683B">
        <w:rPr>
          <w:rFonts w:ascii="Traditional Arabic" w:hAnsi="Traditional Arabic" w:cs="Traditional Arabic"/>
          <w:highlight w:val="yellow"/>
        </w:rPr>
        <w:t>Composite Reliability (</w:t>
      </w:r>
      <w:proofErr w:type="spellStart"/>
      <w:r w:rsidRPr="002B683B">
        <w:rPr>
          <w:rFonts w:ascii="Traditional Arabic" w:hAnsi="Traditional Arabic" w:cs="Traditional Arabic"/>
          <w:highlight w:val="yellow"/>
        </w:rPr>
        <w:t>rho_c</w:t>
      </w:r>
      <w:proofErr w:type="spellEnd"/>
      <w:r w:rsidRPr="002B683B">
        <w:rPr>
          <w:rFonts w:ascii="Traditional Arabic" w:hAnsi="Traditional Arabic" w:cs="Traditional Arabic"/>
          <w:highlight w:val="yellow"/>
        </w:rPr>
        <w:t>)</w:t>
      </w:r>
      <w:r w:rsidRPr="002B683B">
        <w:rPr>
          <w:rFonts w:ascii="Traditional Arabic" w:hAnsi="Traditional Arabic" w:cs="Traditional Arabic"/>
          <w:highlight w:val="yellow"/>
          <w:rtl/>
        </w:rPr>
        <w:t>، وتُعد القيم 0.70 فأعلى مقبولة في الاستخدام المعتاد بوصفها مؤشرًا على تحقق مستوى مناسب من الاتساق الداخلي والثبات، مع الانتباه إلى أن القيم المرتفعة جدًا قد تشير إلى وجود تكرار أو تشابه زائد بين المؤشرات.</w:t>
      </w:r>
    </w:p>
    <w:p w14:paraId="6D64AC04" w14:textId="5B7669FE" w:rsidR="00284F9E" w:rsidRPr="00284F9E" w:rsidRDefault="00284F9E" w:rsidP="002B683B">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الصدق التقاربي</w:t>
      </w:r>
    </w:p>
    <w:p w14:paraId="4A280BC4"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سيُقاس الصدق التقاربي باستخدام </w:t>
      </w:r>
      <w:r w:rsidRPr="00BC4573">
        <w:rPr>
          <w:rFonts w:ascii="Traditional Arabic" w:hAnsi="Traditional Arabic" w:cs="Traditional Arabic"/>
        </w:rPr>
        <w:t>Average Variance Extracted (AVE)</w:t>
      </w:r>
      <w:r w:rsidRPr="00284F9E">
        <w:rPr>
          <w:rFonts w:ascii="Traditional Arabic" w:hAnsi="Traditional Arabic" w:cs="Traditional Arabic"/>
          <w:rtl/>
        </w:rPr>
        <w:t>، وتُعد القيمة</w:t>
      </w:r>
      <w:r w:rsidRPr="00284F9E">
        <w:rPr>
          <w:rFonts w:ascii="Traditional Arabic" w:hAnsi="Traditional Arabic" w:cs="Traditional Arabic"/>
        </w:rPr>
        <w:t>:</w:t>
      </w:r>
    </w:p>
    <w:p w14:paraId="7D5830D8" w14:textId="77777777" w:rsidR="00284F9E" w:rsidRPr="00284F9E" w:rsidRDefault="00284F9E" w:rsidP="00BC4573">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t>[</w:t>
      </w:r>
      <w:r w:rsidRPr="00284F9E">
        <w:rPr>
          <w:rFonts w:ascii="Traditional Arabic" w:hAnsi="Traditional Arabic" w:cs="Traditional Arabic"/>
        </w:rPr>
        <w:br/>
        <w:t>AVE \</w:t>
      </w:r>
      <w:proofErr w:type="spellStart"/>
      <w:r w:rsidRPr="00284F9E">
        <w:rPr>
          <w:rFonts w:ascii="Traditional Arabic" w:hAnsi="Traditional Arabic" w:cs="Traditional Arabic"/>
        </w:rPr>
        <w:t>geq</w:t>
      </w:r>
      <w:proofErr w:type="spellEnd"/>
      <w:r w:rsidRPr="00284F9E">
        <w:rPr>
          <w:rFonts w:ascii="Traditional Arabic" w:hAnsi="Traditional Arabic" w:cs="Traditional Arabic"/>
        </w:rPr>
        <w:t xml:space="preserve"> 0.50</w:t>
      </w:r>
      <w:r w:rsidRPr="00284F9E">
        <w:rPr>
          <w:rFonts w:ascii="Traditional Arabic" w:hAnsi="Traditional Arabic" w:cs="Traditional Arabic"/>
        </w:rPr>
        <w:br/>
        <w:t>]</w:t>
      </w:r>
    </w:p>
    <w:p w14:paraId="3B56DC15"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مقبولة؛ لأنها تعني أن البعد يفسر في المتوسط نصف تباين مؤشراته على الأقل</w:t>
      </w:r>
      <w:r w:rsidRPr="00284F9E">
        <w:rPr>
          <w:rFonts w:ascii="Traditional Arabic" w:hAnsi="Traditional Arabic" w:cs="Traditional Arabic"/>
        </w:rPr>
        <w:t>.</w:t>
      </w:r>
    </w:p>
    <w:p w14:paraId="0E45F729"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الصدق التمييزي</w:t>
      </w:r>
    </w:p>
    <w:p w14:paraId="2D279818" w14:textId="5E262DAB" w:rsidR="00284F9E" w:rsidRPr="00284F9E" w:rsidRDefault="00BC4573"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سيكون </w:t>
      </w:r>
      <w:r w:rsidR="00284F9E" w:rsidRPr="00BC4573">
        <w:rPr>
          <w:rFonts w:ascii="Traditional Arabic" w:hAnsi="Traditional Arabic" w:cs="Traditional Arabic"/>
          <w:sz w:val="22"/>
          <w:szCs w:val="22"/>
        </w:rPr>
        <w:t>HTMT</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المعيار الرئيس لتقييم الصدق التمييزي بين الأبعاد الانعكاسية، وذلك في ضوء ما أظهره</w:t>
      </w:r>
      <w:r w:rsidR="00284F9E" w:rsidRPr="00284F9E">
        <w:rPr>
          <w:rFonts w:ascii="Traditional Arabic" w:hAnsi="Traditional Arabic" w:cs="Traditional Arabic"/>
        </w:rPr>
        <w:t xml:space="preserve"> </w:t>
      </w:r>
      <w:r w:rsidR="00284F9E" w:rsidRPr="00BC4573">
        <w:rPr>
          <w:rFonts w:ascii="Traditional Arabic" w:hAnsi="Traditional Arabic" w:cs="Traditional Arabic"/>
          <w:sz w:val="22"/>
          <w:szCs w:val="22"/>
        </w:rPr>
        <w:t>Henseler et al. (2015)</w:t>
      </w:r>
      <w:r w:rsidR="00284F9E" w:rsidRPr="00284F9E">
        <w:rPr>
          <w:rFonts w:ascii="Traditional Arabic" w:hAnsi="Traditional Arabic" w:cs="Traditional Arabic"/>
        </w:rPr>
        <w:t xml:space="preserve"> </w:t>
      </w:r>
      <w:r w:rsidR="00284F9E" w:rsidRPr="00284F9E">
        <w:rPr>
          <w:rFonts w:ascii="Traditional Arabic" w:hAnsi="Traditional Arabic" w:cs="Traditional Arabic"/>
          <w:rtl/>
        </w:rPr>
        <w:t>من تفوقه في اكتشاف مشكلات الصدق التمييزي مقارنة ببعض المعايير التقليدية</w:t>
      </w:r>
      <w:r w:rsidR="00284F9E" w:rsidRPr="00284F9E">
        <w:rPr>
          <w:rFonts w:ascii="Traditional Arabic" w:hAnsi="Traditional Arabic" w:cs="Traditional Arabic"/>
        </w:rPr>
        <w:t>.</w:t>
      </w:r>
    </w:p>
    <w:p w14:paraId="63028D09"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وسيستخدم معيار</w:t>
      </w:r>
      <w:r w:rsidRPr="00284F9E">
        <w:rPr>
          <w:rFonts w:ascii="Traditional Arabic" w:hAnsi="Traditional Arabic" w:cs="Traditional Arabic"/>
        </w:rPr>
        <w:t>:</w:t>
      </w:r>
    </w:p>
    <w:p w14:paraId="73E97493" w14:textId="77777777" w:rsidR="00284F9E" w:rsidRPr="00284F9E" w:rsidRDefault="00284F9E" w:rsidP="00BC4573">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t>[</w:t>
      </w:r>
      <w:r w:rsidRPr="00284F9E">
        <w:rPr>
          <w:rFonts w:ascii="Traditional Arabic" w:hAnsi="Traditional Arabic" w:cs="Traditional Arabic"/>
        </w:rPr>
        <w:br/>
        <w:t>HTMT \</w:t>
      </w:r>
      <w:proofErr w:type="spellStart"/>
      <w:r w:rsidRPr="00284F9E">
        <w:rPr>
          <w:rFonts w:ascii="Traditional Arabic" w:hAnsi="Traditional Arabic" w:cs="Traditional Arabic"/>
        </w:rPr>
        <w:t>leq</w:t>
      </w:r>
      <w:proofErr w:type="spellEnd"/>
      <w:r w:rsidRPr="00284F9E">
        <w:rPr>
          <w:rFonts w:ascii="Traditional Arabic" w:hAnsi="Traditional Arabic" w:cs="Traditional Arabic"/>
        </w:rPr>
        <w:t xml:space="preserve"> 0.85</w:t>
      </w:r>
      <w:r w:rsidRPr="00284F9E">
        <w:rPr>
          <w:rFonts w:ascii="Traditional Arabic" w:hAnsi="Traditional Arabic" w:cs="Traditional Arabic"/>
        </w:rPr>
        <w:br/>
        <w:t>]</w:t>
      </w:r>
    </w:p>
    <w:p w14:paraId="5E2A113A"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بوصفه معيارًا محافظًا، مع إمكانية قبول قيم تصل إلى 0.90 عندما تكون المفاهيم متقاربة نظريًا مع تقديم مبرر واضح لذلك</w:t>
      </w:r>
      <w:r w:rsidRPr="00284F9E">
        <w:rPr>
          <w:rFonts w:ascii="Traditional Arabic" w:hAnsi="Traditional Arabic" w:cs="Traditional Arabic"/>
        </w:rPr>
        <w:t>.</w:t>
      </w:r>
    </w:p>
    <w:p w14:paraId="0EE3D895"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جدول معايير نموذج القياس الانعكاسي</w:t>
      </w:r>
    </w:p>
    <w:tbl>
      <w:tblPr>
        <w:tblStyle w:val="PlainTable1"/>
        <w:bidiVisual/>
        <w:tblW w:w="0" w:type="auto"/>
        <w:jc w:val="center"/>
        <w:tblLook w:val="04A0" w:firstRow="1" w:lastRow="0" w:firstColumn="1" w:lastColumn="0" w:noHBand="0" w:noVBand="1"/>
      </w:tblPr>
      <w:tblGrid>
        <w:gridCol w:w="2421"/>
        <w:gridCol w:w="5629"/>
        <w:gridCol w:w="1300"/>
      </w:tblGrid>
      <w:tr w:rsidR="00284F9E" w:rsidRPr="00284F9E" w14:paraId="7ACAFFCD" w14:textId="77777777" w:rsidTr="00BC45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F87EEE"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tl/>
              </w:rPr>
              <w:t>المعيار</w:t>
            </w:r>
          </w:p>
        </w:tc>
        <w:tc>
          <w:tcPr>
            <w:tcW w:w="0" w:type="auto"/>
            <w:vAlign w:val="center"/>
            <w:hideMark/>
          </w:tcPr>
          <w:p w14:paraId="392A5025" w14:textId="77777777" w:rsidR="00284F9E" w:rsidRPr="00284F9E" w:rsidRDefault="00284F9E" w:rsidP="00BC4573">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القيمة المرجعية</w:t>
            </w:r>
          </w:p>
        </w:tc>
        <w:tc>
          <w:tcPr>
            <w:tcW w:w="0" w:type="auto"/>
            <w:vAlign w:val="center"/>
            <w:hideMark/>
          </w:tcPr>
          <w:p w14:paraId="2751738F" w14:textId="77777777" w:rsidR="00284F9E" w:rsidRPr="00284F9E" w:rsidRDefault="00284F9E" w:rsidP="00BC4573">
            <w:pPr>
              <w:tabs>
                <w:tab w:val="left" w:pos="1368"/>
              </w:tabs>
              <w:bidi/>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284F9E">
              <w:rPr>
                <w:rFonts w:ascii="Traditional Arabic" w:hAnsi="Traditional Arabic" w:cs="Traditional Arabic"/>
                <w:rtl/>
              </w:rPr>
              <w:t>الغرض</w:t>
            </w:r>
          </w:p>
        </w:tc>
      </w:tr>
      <w:tr w:rsidR="00284F9E" w:rsidRPr="00284F9E" w14:paraId="703339BE" w14:textId="77777777" w:rsidTr="00BC45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C446EB"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t>Outer Loadings</w:t>
            </w:r>
          </w:p>
        </w:tc>
        <w:tc>
          <w:tcPr>
            <w:tcW w:w="0" w:type="auto"/>
            <w:vAlign w:val="center"/>
            <w:hideMark/>
          </w:tcPr>
          <w:p w14:paraId="7CE1917D" w14:textId="4B1543E0" w:rsidR="00284F9E" w:rsidRPr="002F227E" w:rsidRDefault="005D45A9"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5D45A9">
              <w:rPr>
                <w:rFonts w:ascii="Traditional Arabic" w:hAnsi="Traditional Arabic" w:cs="Traditional Arabic"/>
                <w:sz w:val="22"/>
                <w:szCs w:val="22"/>
                <w:highlight w:val="yellow"/>
                <w:rtl/>
              </w:rPr>
              <w:t xml:space="preserve">0.70 فأعلى، والأدق منهجيًا في </w:t>
            </w:r>
            <w:r w:rsidRPr="005D45A9">
              <w:rPr>
                <w:rFonts w:ascii="Traditional Arabic" w:hAnsi="Traditional Arabic" w:cs="Traditional Arabic"/>
                <w:sz w:val="22"/>
                <w:szCs w:val="22"/>
                <w:highlight w:val="yellow"/>
              </w:rPr>
              <w:t>PLS-SEM: 0.708</w:t>
            </w:r>
            <w:r w:rsidRPr="005D45A9">
              <w:rPr>
                <w:rFonts w:ascii="Traditional Arabic" w:hAnsi="Traditional Arabic" w:cs="Traditional Arabic"/>
                <w:sz w:val="22"/>
                <w:szCs w:val="22"/>
                <w:highlight w:val="yellow"/>
                <w:rtl/>
              </w:rPr>
              <w:t xml:space="preserve"> فأعلى</w:t>
            </w:r>
          </w:p>
        </w:tc>
        <w:tc>
          <w:tcPr>
            <w:tcW w:w="0" w:type="auto"/>
            <w:vAlign w:val="center"/>
            <w:hideMark/>
          </w:tcPr>
          <w:p w14:paraId="74976CBB" w14:textId="77777777" w:rsidR="00284F9E" w:rsidRPr="002F227E" w:rsidRDefault="00284F9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فحص موثوقية المؤشر</w:t>
            </w:r>
          </w:p>
        </w:tc>
      </w:tr>
      <w:tr w:rsidR="00284F9E" w:rsidRPr="00284F9E" w14:paraId="02E0C2EA" w14:textId="77777777" w:rsidTr="00BC457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3B18F1"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t>Cronbach's Alpha</w:t>
            </w:r>
          </w:p>
        </w:tc>
        <w:tc>
          <w:tcPr>
            <w:tcW w:w="0" w:type="auto"/>
            <w:vAlign w:val="center"/>
            <w:hideMark/>
          </w:tcPr>
          <w:p w14:paraId="0E38DD8D" w14:textId="4C4D7442" w:rsidR="00284F9E" w:rsidRPr="002F227E" w:rsidRDefault="00FE2D8D" w:rsidP="00BC4573">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FE2D8D">
              <w:rPr>
                <w:rFonts w:ascii="Traditional Arabic" w:hAnsi="Traditional Arabic" w:cs="Traditional Arabic"/>
                <w:sz w:val="22"/>
                <w:szCs w:val="22"/>
                <w:highlight w:val="yellow"/>
              </w:rPr>
              <w:t>: 0.70</w:t>
            </w:r>
            <w:r w:rsidRPr="00FE2D8D">
              <w:rPr>
                <w:rFonts w:ascii="Traditional Arabic" w:hAnsi="Traditional Arabic" w:cs="Traditional Arabic"/>
                <w:sz w:val="22"/>
                <w:szCs w:val="22"/>
                <w:highlight w:val="yellow"/>
                <w:rtl/>
              </w:rPr>
              <w:t xml:space="preserve"> فأعلى</w:t>
            </w:r>
          </w:p>
        </w:tc>
        <w:tc>
          <w:tcPr>
            <w:tcW w:w="0" w:type="auto"/>
            <w:vAlign w:val="center"/>
            <w:hideMark/>
          </w:tcPr>
          <w:p w14:paraId="36981169" w14:textId="77777777" w:rsidR="00284F9E" w:rsidRPr="002F227E" w:rsidRDefault="00284F9E" w:rsidP="00BC4573">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الاتساق الداخلي</w:t>
            </w:r>
          </w:p>
        </w:tc>
      </w:tr>
      <w:tr w:rsidR="00284F9E" w:rsidRPr="00284F9E" w14:paraId="6298277F" w14:textId="77777777" w:rsidTr="00BC45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A22F5A"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proofErr w:type="spellStart"/>
            <w:r w:rsidRPr="00284F9E">
              <w:rPr>
                <w:rFonts w:ascii="Traditional Arabic" w:hAnsi="Traditional Arabic" w:cs="Traditional Arabic"/>
              </w:rPr>
              <w:t>rho_A</w:t>
            </w:r>
            <w:proofErr w:type="spellEnd"/>
          </w:p>
        </w:tc>
        <w:tc>
          <w:tcPr>
            <w:tcW w:w="0" w:type="auto"/>
            <w:vAlign w:val="center"/>
            <w:hideMark/>
          </w:tcPr>
          <w:p w14:paraId="7FFF46D7" w14:textId="3B6FA21F" w:rsidR="00284F9E" w:rsidRPr="00131DAE" w:rsidRDefault="00131DA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2"/>
                <w:szCs w:val="22"/>
              </w:rPr>
            </w:pPr>
            <w:r w:rsidRPr="00131DAE">
              <w:rPr>
                <w:rFonts w:ascii="Traditional Arabic" w:hAnsi="Traditional Arabic" w:cs="Traditional Arabic" w:hint="cs"/>
                <w:sz w:val="22"/>
                <w:szCs w:val="22"/>
                <w:highlight w:val="yellow"/>
              </w:rPr>
              <w:t>: 0.70</w:t>
            </w:r>
            <w:r w:rsidRPr="00131DAE">
              <w:rPr>
                <w:rFonts w:ascii="Traditional Arabic" w:hAnsi="Traditional Arabic" w:cs="Traditional Arabic" w:hint="cs"/>
                <w:sz w:val="22"/>
                <w:szCs w:val="22"/>
                <w:highlight w:val="yellow"/>
                <w:rtl/>
              </w:rPr>
              <w:t xml:space="preserve"> فأعلى</w:t>
            </w:r>
          </w:p>
        </w:tc>
        <w:tc>
          <w:tcPr>
            <w:tcW w:w="0" w:type="auto"/>
            <w:vAlign w:val="center"/>
            <w:hideMark/>
          </w:tcPr>
          <w:p w14:paraId="7F4DB14F" w14:textId="77777777" w:rsidR="00284F9E" w:rsidRPr="002F227E" w:rsidRDefault="00284F9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الاتساق الداخلي</w:t>
            </w:r>
          </w:p>
        </w:tc>
      </w:tr>
      <w:tr w:rsidR="00284F9E" w:rsidRPr="00284F9E" w14:paraId="2ED05832" w14:textId="77777777" w:rsidTr="00BC457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302076"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lastRenderedPageBreak/>
              <w:t>Composite Reliability</w:t>
            </w:r>
          </w:p>
        </w:tc>
        <w:tc>
          <w:tcPr>
            <w:tcW w:w="0" w:type="auto"/>
            <w:vAlign w:val="center"/>
            <w:hideMark/>
          </w:tcPr>
          <w:p w14:paraId="0B5A02DF" w14:textId="44AB5CEC" w:rsidR="00284F9E" w:rsidRPr="002F227E" w:rsidRDefault="005D6D21" w:rsidP="00BC4573">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5D6D21">
              <w:rPr>
                <w:rFonts w:ascii="Traditional Arabic" w:hAnsi="Traditional Arabic" w:cs="Traditional Arabic"/>
                <w:sz w:val="22"/>
                <w:szCs w:val="22"/>
                <w:highlight w:val="yellow"/>
              </w:rPr>
              <w:t>: 0.70</w:t>
            </w:r>
            <w:r w:rsidRPr="005D6D21">
              <w:rPr>
                <w:rFonts w:ascii="Traditional Arabic" w:hAnsi="Traditional Arabic" w:cs="Traditional Arabic"/>
                <w:sz w:val="22"/>
                <w:szCs w:val="22"/>
                <w:highlight w:val="yellow"/>
                <w:rtl/>
              </w:rPr>
              <w:t xml:space="preserve"> فأعلى</w:t>
            </w:r>
          </w:p>
        </w:tc>
        <w:tc>
          <w:tcPr>
            <w:tcW w:w="0" w:type="auto"/>
            <w:vAlign w:val="center"/>
            <w:hideMark/>
          </w:tcPr>
          <w:p w14:paraId="172CDABE" w14:textId="77777777" w:rsidR="00284F9E" w:rsidRPr="002F227E" w:rsidRDefault="00284F9E" w:rsidP="00BC4573">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ثبات البناء</w:t>
            </w:r>
          </w:p>
        </w:tc>
      </w:tr>
      <w:tr w:rsidR="00284F9E" w:rsidRPr="00284F9E" w14:paraId="0145B950" w14:textId="77777777" w:rsidTr="00BC45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D45510"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t>AVE</w:t>
            </w:r>
          </w:p>
        </w:tc>
        <w:tc>
          <w:tcPr>
            <w:tcW w:w="0" w:type="auto"/>
            <w:vAlign w:val="center"/>
            <w:hideMark/>
          </w:tcPr>
          <w:p w14:paraId="31D00F4F" w14:textId="2725B44E" w:rsidR="00284F9E" w:rsidRPr="002F227E" w:rsidRDefault="00641EE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641EEE">
              <w:rPr>
                <w:rFonts w:ascii="Traditional Arabic" w:hAnsi="Traditional Arabic" w:cs="Traditional Arabic"/>
                <w:sz w:val="22"/>
                <w:szCs w:val="22"/>
                <w:highlight w:val="yellow"/>
                <w:rtl/>
              </w:rPr>
              <w:t>0.50 فأعلى</w:t>
            </w:r>
          </w:p>
        </w:tc>
        <w:tc>
          <w:tcPr>
            <w:tcW w:w="0" w:type="auto"/>
            <w:vAlign w:val="center"/>
            <w:hideMark/>
          </w:tcPr>
          <w:p w14:paraId="15E80648" w14:textId="77777777" w:rsidR="00284F9E" w:rsidRPr="002F227E" w:rsidRDefault="00284F9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الصدق التقاربي</w:t>
            </w:r>
          </w:p>
        </w:tc>
      </w:tr>
      <w:tr w:rsidR="00284F9E" w:rsidRPr="00284F9E" w14:paraId="62E940D1" w14:textId="77777777" w:rsidTr="00BC457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2CFEB"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t>HTMT</w:t>
            </w:r>
          </w:p>
        </w:tc>
        <w:tc>
          <w:tcPr>
            <w:tcW w:w="0" w:type="auto"/>
            <w:vAlign w:val="center"/>
            <w:hideMark/>
          </w:tcPr>
          <w:p w14:paraId="1A4F661E" w14:textId="19BCBC6B" w:rsidR="00284F9E" w:rsidRPr="002F227E" w:rsidRDefault="00BD0507" w:rsidP="00BD0507">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BD0507">
              <w:rPr>
                <w:rFonts w:ascii="Traditional Arabic" w:hAnsi="Traditional Arabic" w:cs="Traditional Arabic"/>
                <w:sz w:val="22"/>
                <w:szCs w:val="22"/>
                <w:highlight w:val="yellow"/>
              </w:rPr>
              <w:t xml:space="preserve">0.85 </w:t>
            </w:r>
            <w:r w:rsidRPr="00BD0507">
              <w:rPr>
                <w:rFonts w:ascii="Traditional Arabic" w:hAnsi="Traditional Arabic" w:cs="Traditional Arabic"/>
                <w:sz w:val="22"/>
                <w:szCs w:val="22"/>
                <w:highlight w:val="yellow"/>
                <w:rtl/>
              </w:rPr>
              <w:t>فأقل، ويمكن قبول قيمة حتى 0.90 عند وجود تقارب مفاهيمي مبرر بين البنى</w:t>
            </w:r>
          </w:p>
        </w:tc>
        <w:tc>
          <w:tcPr>
            <w:tcW w:w="0" w:type="auto"/>
            <w:vAlign w:val="center"/>
            <w:hideMark/>
          </w:tcPr>
          <w:p w14:paraId="730D5E58" w14:textId="77777777" w:rsidR="00284F9E" w:rsidRPr="002F227E" w:rsidRDefault="00284F9E" w:rsidP="00BC4573">
            <w:pPr>
              <w:tabs>
                <w:tab w:val="left" w:pos="1368"/>
              </w:tabs>
              <w:bidi/>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الصدق التمييزي</w:t>
            </w:r>
          </w:p>
        </w:tc>
      </w:tr>
      <w:tr w:rsidR="00284F9E" w:rsidRPr="00284F9E" w14:paraId="638838DC" w14:textId="77777777" w:rsidTr="00BC45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686CAA" w14:textId="77777777" w:rsidR="00284F9E" w:rsidRPr="00284F9E" w:rsidRDefault="00284F9E" w:rsidP="00BC4573">
            <w:pPr>
              <w:tabs>
                <w:tab w:val="left" w:pos="1368"/>
              </w:tabs>
              <w:bidi/>
              <w:spacing w:after="160" w:line="276" w:lineRule="auto"/>
              <w:jc w:val="center"/>
              <w:rPr>
                <w:rFonts w:ascii="Traditional Arabic" w:hAnsi="Traditional Arabic" w:cs="Traditional Arabic"/>
              </w:rPr>
            </w:pPr>
            <w:r w:rsidRPr="00284F9E">
              <w:rPr>
                <w:rFonts w:ascii="Traditional Arabic" w:hAnsi="Traditional Arabic" w:cs="Traditional Arabic"/>
              </w:rPr>
              <w:t>VIF</w:t>
            </w:r>
          </w:p>
        </w:tc>
        <w:tc>
          <w:tcPr>
            <w:tcW w:w="0" w:type="auto"/>
            <w:vAlign w:val="center"/>
            <w:hideMark/>
          </w:tcPr>
          <w:p w14:paraId="261D8E53" w14:textId="4DC4B952" w:rsidR="00284F9E" w:rsidRPr="002F227E" w:rsidRDefault="00DE239D"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F1018A">
              <w:rPr>
                <w:rFonts w:ascii="Traditional Arabic" w:hAnsi="Traditional Arabic" w:cs="Traditional Arabic"/>
                <w:sz w:val="22"/>
                <w:szCs w:val="22"/>
                <w:highlight w:val="yellow"/>
                <w:rtl/>
              </w:rPr>
              <w:t>3.00 فأقل مفضّل؛ وما بين 3 و5 يستدعي الفحص؛ وما يزيد على 5 يشير إلى مشكلة تعدد خطي حرجة</w:t>
            </w:r>
          </w:p>
        </w:tc>
        <w:tc>
          <w:tcPr>
            <w:tcW w:w="0" w:type="auto"/>
            <w:vAlign w:val="center"/>
            <w:hideMark/>
          </w:tcPr>
          <w:p w14:paraId="56E9D474" w14:textId="77777777" w:rsidR="00284F9E" w:rsidRPr="002F227E" w:rsidRDefault="00284F9E" w:rsidP="00BC4573">
            <w:pPr>
              <w:tabs>
                <w:tab w:val="left" w:pos="1368"/>
              </w:tabs>
              <w:bidi/>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2"/>
                <w:szCs w:val="22"/>
              </w:rPr>
            </w:pPr>
            <w:r w:rsidRPr="002F227E">
              <w:rPr>
                <w:rFonts w:ascii="Traditional Arabic" w:hAnsi="Traditional Arabic" w:cs="Traditional Arabic"/>
                <w:sz w:val="22"/>
                <w:szCs w:val="22"/>
                <w:rtl/>
              </w:rPr>
              <w:t>فحص التعدد الخطي</w:t>
            </w:r>
          </w:p>
        </w:tc>
      </w:tr>
    </w:tbl>
    <w:p w14:paraId="7BFA3E23" w14:textId="5479982A" w:rsidR="00284F9E" w:rsidRPr="00284F9E" w:rsidRDefault="00284F9E" w:rsidP="00284F9E">
      <w:pPr>
        <w:tabs>
          <w:tab w:val="left" w:pos="1368"/>
        </w:tabs>
        <w:bidi/>
        <w:spacing w:line="276" w:lineRule="auto"/>
        <w:jc w:val="both"/>
        <w:rPr>
          <w:rFonts w:ascii="Traditional Arabic" w:hAnsi="Traditional Arabic" w:cs="Traditional Arabic"/>
        </w:rPr>
      </w:pPr>
    </w:p>
    <w:p w14:paraId="4A2ECC56"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3-20 </w:t>
      </w:r>
      <w:r w:rsidRPr="00284F9E">
        <w:rPr>
          <w:rFonts w:ascii="Traditional Arabic" w:hAnsi="Traditional Arabic" w:cs="Traditional Arabic"/>
          <w:b/>
          <w:bCs/>
          <w:rtl/>
        </w:rPr>
        <w:t>تقييم نموذج القياس من الرتبة العليا</w:t>
      </w:r>
    </w:p>
    <w:p w14:paraId="47AF840C" w14:textId="5A05BD77" w:rsidR="00284F9E" w:rsidRPr="00B53F79" w:rsidRDefault="00AE0E71" w:rsidP="00B53F79">
      <w:pPr>
        <w:tabs>
          <w:tab w:val="left" w:pos="1368"/>
        </w:tabs>
        <w:bidi/>
        <w:spacing w:line="276" w:lineRule="auto"/>
        <w:jc w:val="both"/>
        <w:rPr>
          <w:rFonts w:ascii="Traditional Arabic" w:hAnsi="Traditional Arabic" w:cs="Traditional Arabic"/>
          <w:sz w:val="22"/>
          <w:szCs w:val="22"/>
        </w:rPr>
      </w:pPr>
      <w:r>
        <w:rPr>
          <w:rFonts w:ascii="Traditional Arabic" w:hAnsi="Traditional Arabic" w:cs="Traditional Arabic" w:hint="cs"/>
          <w:rtl/>
        </w:rPr>
        <w:t xml:space="preserve">     </w:t>
      </w:r>
      <w:r w:rsidR="00284F9E" w:rsidRPr="00284F9E">
        <w:rPr>
          <w:rFonts w:ascii="Traditional Arabic" w:hAnsi="Traditional Arabic" w:cs="Traditional Arabic"/>
          <w:rtl/>
        </w:rPr>
        <w:t xml:space="preserve">بعد التأكد من جودة الأبعاد من الرتبة الأولى، ستنتقل الباحثة إلى المرحلة الثانية من </w:t>
      </w:r>
      <w:r w:rsidR="005005E5" w:rsidRPr="005005E5">
        <w:rPr>
          <w:rFonts w:ascii="Traditional Arabic" w:hAnsi="Traditional Arabic" w:cs="Traditional Arabic"/>
          <w:sz w:val="22"/>
          <w:szCs w:val="22"/>
          <w:highlight w:val="yellow"/>
        </w:rPr>
        <w:t>Disjoint Two-Stage Approach</w:t>
      </w:r>
      <w:r w:rsidR="00284F9E" w:rsidRPr="00284F9E">
        <w:rPr>
          <w:rFonts w:ascii="Traditional Arabic" w:hAnsi="Traditional Arabic" w:cs="Traditional Arabic"/>
        </w:rPr>
        <w:t>.</w:t>
      </w:r>
      <w:r>
        <w:rPr>
          <w:rFonts w:ascii="Traditional Arabic" w:hAnsi="Traditional Arabic" w:cs="Traditional Arabic" w:hint="cs"/>
          <w:sz w:val="22"/>
          <w:szCs w:val="22"/>
          <w:rtl/>
        </w:rPr>
        <w:t xml:space="preserve"> </w:t>
      </w:r>
      <w:r w:rsidR="00284F9E" w:rsidRPr="00284F9E">
        <w:rPr>
          <w:rFonts w:ascii="Traditional Arabic" w:hAnsi="Traditional Arabic" w:cs="Traditional Arabic"/>
          <w:rtl/>
        </w:rPr>
        <w:t>وستستخدم درجات المتغيرات الكامنة للأبعاد من الرتبة الأولى كمؤشرات لتكوين المتغيرات الثلاثة الأعلى رتبة</w:t>
      </w:r>
      <w:r w:rsidR="00B53F79">
        <w:rPr>
          <w:rFonts w:ascii="Traditional Arabic" w:hAnsi="Traditional Arabic" w:cs="Traditional Arabic" w:hint="cs"/>
          <w:rtl/>
        </w:rPr>
        <w:t xml:space="preserve">، </w:t>
      </w:r>
      <w:r w:rsidR="00284F9E" w:rsidRPr="00284F9E">
        <w:rPr>
          <w:rFonts w:ascii="Traditional Arabic" w:hAnsi="Traditional Arabic" w:cs="Traditional Arabic"/>
          <w:rtl/>
        </w:rPr>
        <w:t>ونظرًا إلى أن المستوى الأعلى سيعامل تكوينيًا، ستُقيّم البنى العليا وفق معايير القياس التكويني وليس الانعكاسي</w:t>
      </w:r>
      <w:r w:rsidR="00284F9E" w:rsidRPr="00284F9E">
        <w:rPr>
          <w:rFonts w:ascii="Traditional Arabic" w:hAnsi="Traditional Arabic" w:cs="Traditional Arabic"/>
        </w:rPr>
        <w:t>.</w:t>
      </w:r>
    </w:p>
    <w:p w14:paraId="336997E0"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وسيتم فحص</w:t>
      </w:r>
      <w:r w:rsidRPr="00284F9E">
        <w:rPr>
          <w:rFonts w:ascii="Traditional Arabic" w:hAnsi="Traditional Arabic" w:cs="Traditional Arabic"/>
        </w:rPr>
        <w:t>:</w:t>
      </w:r>
    </w:p>
    <w:p w14:paraId="74F44C35"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أولًا: التعدد الخطي</w:t>
      </w:r>
    </w:p>
    <w:p w14:paraId="5B1C734E" w14:textId="422ECBBE" w:rsidR="00284F9E" w:rsidRPr="00284F9E" w:rsidRDefault="00B53F79"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سيُفحص</w:t>
      </w:r>
      <w:r w:rsidR="00284F9E" w:rsidRPr="00284F9E">
        <w:rPr>
          <w:rFonts w:ascii="Traditional Arabic" w:hAnsi="Traditional Arabic" w:cs="Traditional Arabic"/>
        </w:rPr>
        <w:t xml:space="preserve"> VIF </w:t>
      </w:r>
      <w:r w:rsidR="00284F9E" w:rsidRPr="00284F9E">
        <w:rPr>
          <w:rFonts w:ascii="Traditional Arabic" w:hAnsi="Traditional Arabic" w:cs="Traditional Arabic"/>
          <w:rtl/>
        </w:rPr>
        <w:t>بين الأبعاد المكونة للمتغير الأعلى رتبة، للتأكد من عدم وجود تداخل مرتفع يضعف القدرة على تقدير المساهمة المستقلة لكل بُعد</w:t>
      </w:r>
      <w:r w:rsidR="00284F9E" w:rsidRPr="00284F9E">
        <w:rPr>
          <w:rFonts w:ascii="Traditional Arabic" w:hAnsi="Traditional Arabic" w:cs="Traditional Arabic"/>
        </w:rPr>
        <w:t>.</w:t>
      </w:r>
    </w:p>
    <w:p w14:paraId="6D806075"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ثانيًا: الأوزان الخارجية</w:t>
      </w:r>
      <w:r w:rsidRPr="00284F9E">
        <w:rPr>
          <w:rFonts w:ascii="Traditional Arabic" w:hAnsi="Traditional Arabic" w:cs="Traditional Arabic"/>
          <w:b/>
          <w:bCs/>
        </w:rPr>
        <w:t xml:space="preserve"> Outer Weights</w:t>
      </w:r>
    </w:p>
    <w:p w14:paraId="710162A2" w14:textId="4642FF3D" w:rsidR="00284F9E" w:rsidRPr="00284F9E" w:rsidRDefault="00B53F79"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ستُفحص أوزان الأبعاد ودلالتها الإحصائية باستخدام</w:t>
      </w:r>
      <w:r w:rsidR="00284F9E" w:rsidRPr="00284F9E">
        <w:rPr>
          <w:rFonts w:ascii="Traditional Arabic" w:hAnsi="Traditional Arabic" w:cs="Traditional Arabic"/>
        </w:rPr>
        <w:t xml:space="preserve"> Bootstrapping</w:t>
      </w:r>
      <w:r w:rsidR="00284F9E" w:rsidRPr="00284F9E">
        <w:rPr>
          <w:rFonts w:ascii="Traditional Arabic" w:hAnsi="Traditional Arabic" w:cs="Traditional Arabic"/>
          <w:rtl/>
        </w:rPr>
        <w:t>؛ بهدف تحديد المساهمة النسبية لكل بُعد في تكوين المتغير الأعلى رتبة</w:t>
      </w:r>
      <w:r w:rsidR="00284F9E" w:rsidRPr="00284F9E">
        <w:rPr>
          <w:rFonts w:ascii="Traditional Arabic" w:hAnsi="Traditional Arabic" w:cs="Traditional Arabic"/>
        </w:rPr>
        <w:t>.</w:t>
      </w:r>
    </w:p>
    <w:p w14:paraId="5D31E40D"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ثالثًا: التحميلات الخارجية عند الحاجة</w:t>
      </w:r>
    </w:p>
    <w:p w14:paraId="5E06A2A8" w14:textId="6C2FFD12" w:rsidR="00284F9E" w:rsidRPr="00284F9E" w:rsidRDefault="00B53F79"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إذا لم يكن الوزن الخارجي لأحد الأبعاد دالًا إحصائيًا، فلن يُحذف البعد بصورة تلقائية، بل ستُفحص أيضًا مساهمته المطلقة وأهميته النظرية قبل اتخاذ القرار</w:t>
      </w:r>
      <w:r w:rsidR="00284F9E" w:rsidRPr="00284F9E">
        <w:rPr>
          <w:rFonts w:ascii="Traditional Arabic" w:hAnsi="Traditional Arabic" w:cs="Traditional Arabic"/>
        </w:rPr>
        <w:t>.</w:t>
      </w:r>
    </w:p>
    <w:p w14:paraId="38B682E0" w14:textId="51485BC5" w:rsidR="00284F9E" w:rsidRPr="00284F9E" w:rsidRDefault="00284F9E" w:rsidP="00B53F79">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وهذه الخطوة ضرورية لأن تقييم التراكيب التكوينية يختلف جوهريًا عن تقييم التراكيب الانعكاسية؛ ولذلك لا تكون مؤشرات</w:t>
      </w:r>
      <w:r w:rsidRPr="00284F9E">
        <w:rPr>
          <w:rFonts w:ascii="Traditional Arabic" w:hAnsi="Traditional Arabic" w:cs="Traditional Arabic"/>
        </w:rPr>
        <w:t xml:space="preserve"> </w:t>
      </w:r>
      <w:r w:rsidRPr="00B53F79">
        <w:rPr>
          <w:rFonts w:ascii="Traditional Arabic" w:hAnsi="Traditional Arabic" w:cs="Traditional Arabic"/>
          <w:sz w:val="22"/>
          <w:szCs w:val="22"/>
        </w:rPr>
        <w:t xml:space="preserve">Cronbach's Alpha </w:t>
      </w:r>
      <w:r w:rsidRPr="00B53F79">
        <w:rPr>
          <w:rFonts w:ascii="Traditional Arabic" w:hAnsi="Traditional Arabic" w:cs="Traditional Arabic"/>
          <w:sz w:val="22"/>
          <w:szCs w:val="22"/>
          <w:rtl/>
        </w:rPr>
        <w:t>و</w:t>
      </w:r>
      <w:r w:rsidRPr="00B53F79">
        <w:rPr>
          <w:rFonts w:ascii="Traditional Arabic" w:hAnsi="Traditional Arabic" w:cs="Traditional Arabic"/>
          <w:sz w:val="22"/>
          <w:szCs w:val="22"/>
        </w:rPr>
        <w:t xml:space="preserve">AVE </w:t>
      </w:r>
      <w:r w:rsidRPr="00284F9E">
        <w:rPr>
          <w:rFonts w:ascii="Traditional Arabic" w:hAnsi="Traditional Arabic" w:cs="Traditional Arabic"/>
          <w:rtl/>
        </w:rPr>
        <w:t>معايير مناسبة للحكم على المتغير الأعلى رتبة التكويني بالطريقة نفسها المستخدمة في المستوى الأول</w:t>
      </w:r>
      <w:r w:rsidRPr="00284F9E">
        <w:rPr>
          <w:rFonts w:ascii="Traditional Arabic" w:hAnsi="Traditional Arabic" w:cs="Traditional Arabic"/>
        </w:rPr>
        <w:t>.</w:t>
      </w:r>
    </w:p>
    <w:p w14:paraId="4CC7A417"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3-21 </w:t>
      </w:r>
      <w:r w:rsidRPr="00284F9E">
        <w:rPr>
          <w:rFonts w:ascii="Traditional Arabic" w:hAnsi="Traditional Arabic" w:cs="Traditional Arabic"/>
          <w:b/>
          <w:bCs/>
          <w:rtl/>
        </w:rPr>
        <w:t>تقييم النموذج الهيكلي</w:t>
      </w:r>
    </w:p>
    <w:p w14:paraId="21EEE298" w14:textId="1540FFA3" w:rsidR="00284F9E" w:rsidRPr="00284F9E" w:rsidRDefault="00B53F79"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بعد التحقق من صلاحية نموذج القياس بمستوييه، سيُقيّم النموذج الهيكلي الذي يمثل العلاقات المفترضة بين البراعة التنظيمية والتميز المؤسسي والاستدامة</w:t>
      </w:r>
      <w:r w:rsidR="00284F9E" w:rsidRPr="00284F9E">
        <w:rPr>
          <w:rFonts w:ascii="Traditional Arabic" w:hAnsi="Traditional Arabic" w:cs="Traditional Arabic"/>
        </w:rPr>
        <w:t>.</w:t>
      </w:r>
    </w:p>
    <w:p w14:paraId="6477ABB2"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وسيتضمن التقييم ما يأتي</w:t>
      </w:r>
      <w:r w:rsidRPr="00284F9E">
        <w:rPr>
          <w:rFonts w:ascii="Traditional Arabic" w:hAnsi="Traditional Arabic" w:cs="Traditional Arabic"/>
        </w:rPr>
        <w:t>:</w:t>
      </w:r>
    </w:p>
    <w:p w14:paraId="5E02BAA2" w14:textId="73DDBABF" w:rsidR="00284F9E" w:rsidRPr="00284F9E" w:rsidRDefault="00B53F79" w:rsidP="00284F9E">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1.</w:t>
      </w:r>
      <w:r w:rsidR="00284F9E" w:rsidRPr="00284F9E">
        <w:rPr>
          <w:rFonts w:ascii="Traditional Arabic" w:hAnsi="Traditional Arabic" w:cs="Traditional Arabic"/>
          <w:b/>
          <w:bCs/>
          <w:rtl/>
        </w:rPr>
        <w:t>التعدد الخطي بين المتنبئات</w:t>
      </w:r>
    </w:p>
    <w:p w14:paraId="29BEB311"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سيُفحص</w:t>
      </w:r>
      <w:r w:rsidRPr="00284F9E">
        <w:rPr>
          <w:rFonts w:ascii="Traditional Arabic" w:hAnsi="Traditional Arabic" w:cs="Traditional Arabic"/>
        </w:rPr>
        <w:t xml:space="preserve"> VIF </w:t>
      </w:r>
      <w:r w:rsidRPr="00284F9E">
        <w:rPr>
          <w:rFonts w:ascii="Traditional Arabic" w:hAnsi="Traditional Arabic" w:cs="Traditional Arabic"/>
          <w:rtl/>
        </w:rPr>
        <w:t>للمتغيرات المتنبئة بكل متغير داخلي قبل تفسير معاملات المسار</w:t>
      </w:r>
      <w:r w:rsidRPr="00284F9E">
        <w:rPr>
          <w:rFonts w:ascii="Traditional Arabic" w:hAnsi="Traditional Arabic" w:cs="Traditional Arabic"/>
        </w:rPr>
        <w:t>.</w:t>
      </w:r>
    </w:p>
    <w:p w14:paraId="13E86154" w14:textId="57759A13"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2</w:t>
      </w:r>
      <w:r w:rsidR="00B53F79">
        <w:rPr>
          <w:rFonts w:ascii="Traditional Arabic" w:hAnsi="Traditional Arabic" w:cs="Traditional Arabic" w:hint="cs"/>
          <w:b/>
          <w:bCs/>
          <w:rtl/>
        </w:rPr>
        <w:t>.</w:t>
      </w:r>
      <w:r w:rsidRPr="00284F9E">
        <w:rPr>
          <w:rFonts w:ascii="Traditional Arabic" w:hAnsi="Traditional Arabic" w:cs="Traditional Arabic"/>
          <w:b/>
          <w:bCs/>
          <w:rtl/>
        </w:rPr>
        <w:t>معاملات المسار</w:t>
      </w:r>
      <w:r w:rsidRPr="00284F9E">
        <w:rPr>
          <w:rFonts w:ascii="Traditional Arabic" w:hAnsi="Traditional Arabic" w:cs="Traditional Arabic"/>
          <w:b/>
          <w:bCs/>
        </w:rPr>
        <w:t xml:space="preserve"> Path Coefficients</w:t>
      </w:r>
    </w:p>
    <w:p w14:paraId="54EA984D"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ستُقدّر معاملات المسار التي تمثل اتجاه وقوة العلاقات بين المتغيرات، وهي</w:t>
      </w:r>
      <w:r w:rsidRPr="00284F9E">
        <w:rPr>
          <w:rFonts w:ascii="Traditional Arabic" w:hAnsi="Traditional Arabic" w:cs="Traditional Arabic"/>
        </w:rPr>
        <w:t>:</w:t>
      </w:r>
    </w:p>
    <w:p w14:paraId="46E19212" w14:textId="77777777" w:rsidR="00284F9E" w:rsidRPr="00284F9E" w:rsidRDefault="00284F9E" w:rsidP="00284F9E">
      <w:pPr>
        <w:numPr>
          <w:ilvl w:val="0"/>
          <w:numId w:val="3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البراعة التنظيمية </w:t>
      </w:r>
      <w:r w:rsidRPr="00284F9E">
        <w:rPr>
          <w:rFonts w:ascii="Times New Roman" w:hAnsi="Times New Roman" w:cs="Times New Roman" w:hint="cs"/>
          <w:rtl/>
        </w:rPr>
        <w:t>→</w:t>
      </w:r>
      <w:r w:rsidRPr="00284F9E">
        <w:rPr>
          <w:rFonts w:ascii="Traditional Arabic" w:hAnsi="Traditional Arabic" w:cs="Traditional Arabic"/>
          <w:rtl/>
        </w:rPr>
        <w:t xml:space="preserve"> </w:t>
      </w:r>
      <w:r w:rsidRPr="00284F9E">
        <w:rPr>
          <w:rFonts w:ascii="Traditional Arabic" w:hAnsi="Traditional Arabic" w:cs="Traditional Arabic" w:hint="cs"/>
          <w:rtl/>
        </w:rPr>
        <w:t>التميز</w:t>
      </w:r>
      <w:r w:rsidRPr="00284F9E">
        <w:rPr>
          <w:rFonts w:ascii="Traditional Arabic" w:hAnsi="Traditional Arabic" w:cs="Traditional Arabic"/>
          <w:rtl/>
        </w:rPr>
        <w:t xml:space="preserve"> </w:t>
      </w:r>
      <w:r w:rsidRPr="00284F9E">
        <w:rPr>
          <w:rFonts w:ascii="Traditional Arabic" w:hAnsi="Traditional Arabic" w:cs="Traditional Arabic" w:hint="cs"/>
          <w:rtl/>
        </w:rPr>
        <w:t>المؤسسي</w:t>
      </w:r>
      <w:r w:rsidRPr="00284F9E">
        <w:rPr>
          <w:rFonts w:ascii="Traditional Arabic" w:hAnsi="Traditional Arabic" w:cs="Traditional Arabic"/>
        </w:rPr>
        <w:t>.</w:t>
      </w:r>
    </w:p>
    <w:p w14:paraId="56AD9D0C" w14:textId="77777777" w:rsidR="00284F9E" w:rsidRPr="00284F9E" w:rsidRDefault="00284F9E" w:rsidP="00284F9E">
      <w:pPr>
        <w:numPr>
          <w:ilvl w:val="0"/>
          <w:numId w:val="3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البراعة التنظيمية </w:t>
      </w:r>
      <w:r w:rsidRPr="00284F9E">
        <w:rPr>
          <w:rFonts w:ascii="Times New Roman" w:hAnsi="Times New Roman" w:cs="Times New Roman" w:hint="cs"/>
          <w:rtl/>
        </w:rPr>
        <w:t>→</w:t>
      </w:r>
      <w:r w:rsidRPr="00284F9E">
        <w:rPr>
          <w:rFonts w:ascii="Traditional Arabic" w:hAnsi="Traditional Arabic" w:cs="Traditional Arabic"/>
          <w:rtl/>
        </w:rPr>
        <w:t xml:space="preserve"> </w:t>
      </w:r>
      <w:r w:rsidRPr="00284F9E">
        <w:rPr>
          <w:rFonts w:ascii="Traditional Arabic" w:hAnsi="Traditional Arabic" w:cs="Traditional Arabic" w:hint="cs"/>
          <w:rtl/>
        </w:rPr>
        <w:t>الاستدامة</w:t>
      </w:r>
      <w:r w:rsidRPr="00284F9E">
        <w:rPr>
          <w:rFonts w:ascii="Traditional Arabic" w:hAnsi="Traditional Arabic" w:cs="Traditional Arabic"/>
          <w:rtl/>
        </w:rPr>
        <w:t xml:space="preserve"> </w:t>
      </w:r>
      <w:r w:rsidRPr="00284F9E">
        <w:rPr>
          <w:rFonts w:ascii="Traditional Arabic" w:hAnsi="Traditional Arabic" w:cs="Traditional Arabic" w:hint="cs"/>
          <w:rtl/>
        </w:rPr>
        <w:t>المؤسسية</w:t>
      </w:r>
      <w:r w:rsidRPr="00284F9E">
        <w:rPr>
          <w:rFonts w:ascii="Traditional Arabic" w:hAnsi="Traditional Arabic" w:cs="Traditional Arabic"/>
        </w:rPr>
        <w:t>.</w:t>
      </w:r>
    </w:p>
    <w:p w14:paraId="5D6EAD66" w14:textId="77777777" w:rsidR="00284F9E" w:rsidRPr="00284F9E" w:rsidRDefault="00284F9E" w:rsidP="00284F9E">
      <w:pPr>
        <w:numPr>
          <w:ilvl w:val="0"/>
          <w:numId w:val="37"/>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التميز المؤسسي </w:t>
      </w:r>
      <w:r w:rsidRPr="00284F9E">
        <w:rPr>
          <w:rFonts w:ascii="Times New Roman" w:hAnsi="Times New Roman" w:cs="Times New Roman" w:hint="cs"/>
          <w:rtl/>
        </w:rPr>
        <w:t>→</w:t>
      </w:r>
      <w:r w:rsidRPr="00284F9E">
        <w:rPr>
          <w:rFonts w:ascii="Traditional Arabic" w:hAnsi="Traditional Arabic" w:cs="Traditional Arabic"/>
          <w:rtl/>
        </w:rPr>
        <w:t xml:space="preserve"> </w:t>
      </w:r>
      <w:r w:rsidRPr="00284F9E">
        <w:rPr>
          <w:rFonts w:ascii="Traditional Arabic" w:hAnsi="Traditional Arabic" w:cs="Traditional Arabic" w:hint="cs"/>
          <w:rtl/>
        </w:rPr>
        <w:t>الاستدامة</w:t>
      </w:r>
      <w:r w:rsidRPr="00284F9E">
        <w:rPr>
          <w:rFonts w:ascii="Traditional Arabic" w:hAnsi="Traditional Arabic" w:cs="Traditional Arabic"/>
          <w:rtl/>
        </w:rPr>
        <w:t xml:space="preserve"> </w:t>
      </w:r>
      <w:r w:rsidRPr="00284F9E">
        <w:rPr>
          <w:rFonts w:ascii="Traditional Arabic" w:hAnsi="Traditional Arabic" w:cs="Traditional Arabic" w:hint="cs"/>
          <w:rtl/>
        </w:rPr>
        <w:t>المؤسسية</w:t>
      </w:r>
      <w:r w:rsidRPr="00284F9E">
        <w:rPr>
          <w:rFonts w:ascii="Traditional Arabic" w:hAnsi="Traditional Arabic" w:cs="Traditional Arabic"/>
        </w:rPr>
        <w:t>.</w:t>
      </w:r>
    </w:p>
    <w:p w14:paraId="79FF0C4D" w14:textId="4955F686" w:rsidR="00284F9E" w:rsidRPr="00284F9E" w:rsidRDefault="00B53F79" w:rsidP="00284F9E">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3.</w:t>
      </w:r>
      <w:r w:rsidR="00284F9E" w:rsidRPr="00284F9E">
        <w:rPr>
          <w:rFonts w:ascii="Traditional Arabic" w:hAnsi="Traditional Arabic" w:cs="Traditional Arabic"/>
          <w:b/>
          <w:bCs/>
        </w:rPr>
        <w:t xml:space="preserve"> </w:t>
      </w:r>
      <w:r w:rsidR="00284F9E" w:rsidRPr="00284F9E">
        <w:rPr>
          <w:rFonts w:ascii="Traditional Arabic" w:hAnsi="Traditional Arabic" w:cs="Traditional Arabic"/>
          <w:b/>
          <w:bCs/>
          <w:rtl/>
        </w:rPr>
        <w:t>الدلالة الإحصائية</w:t>
      </w:r>
    </w:p>
    <w:p w14:paraId="4887D58A"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سيستخدم </w:t>
      </w:r>
      <w:r w:rsidRPr="00B53F79">
        <w:rPr>
          <w:rFonts w:ascii="Traditional Arabic" w:hAnsi="Traditional Arabic" w:cs="Traditional Arabic"/>
          <w:sz w:val="22"/>
          <w:szCs w:val="22"/>
        </w:rPr>
        <w:t>Bootstrapping</w:t>
      </w:r>
      <w:r w:rsidRPr="00284F9E">
        <w:rPr>
          <w:rFonts w:ascii="Traditional Arabic" w:hAnsi="Traditional Arabic" w:cs="Traditional Arabic"/>
        </w:rPr>
        <w:t xml:space="preserve"> </w:t>
      </w:r>
      <w:r w:rsidRPr="00284F9E">
        <w:rPr>
          <w:rFonts w:ascii="Traditional Arabic" w:hAnsi="Traditional Arabic" w:cs="Traditional Arabic"/>
          <w:rtl/>
        </w:rPr>
        <w:t>لتقدير الأخطاء المعيارية وفواصل الثقة واختبار دلالة معاملات المسار</w:t>
      </w:r>
      <w:r w:rsidRPr="00284F9E">
        <w:rPr>
          <w:rFonts w:ascii="Traditional Arabic" w:hAnsi="Traditional Arabic" w:cs="Traditional Arabic"/>
        </w:rPr>
        <w:t>.</w:t>
      </w:r>
    </w:p>
    <w:p w14:paraId="1E17FACF"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وسيُعتمد مستوى دلالة</w:t>
      </w:r>
      <w:r w:rsidRPr="00284F9E">
        <w:rPr>
          <w:rFonts w:ascii="Traditional Arabic" w:hAnsi="Traditional Arabic" w:cs="Traditional Arabic"/>
        </w:rPr>
        <w:t>:</w:t>
      </w:r>
    </w:p>
    <w:p w14:paraId="18FD8B5A" w14:textId="77777777" w:rsidR="00284F9E" w:rsidRPr="00284F9E" w:rsidRDefault="00284F9E" w:rsidP="00B53F79">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t>[</w:t>
      </w:r>
      <w:r w:rsidRPr="00284F9E">
        <w:rPr>
          <w:rFonts w:ascii="Traditional Arabic" w:hAnsi="Traditional Arabic" w:cs="Traditional Arabic"/>
        </w:rPr>
        <w:br/>
        <w:t>\alpha = 0.05</w:t>
      </w:r>
      <w:r w:rsidRPr="00284F9E">
        <w:rPr>
          <w:rFonts w:ascii="Traditional Arabic" w:hAnsi="Traditional Arabic" w:cs="Traditional Arabic"/>
        </w:rPr>
        <w:br/>
        <w:t>]</w:t>
      </w:r>
    </w:p>
    <w:p w14:paraId="51D7BF5B"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مع تفسير النتائج في ضوء فواصل الثقة، وحجم التأثير، والدلالة النظرية والتطبيقية، وعدم الاقتصار على قيمة</w:t>
      </w:r>
      <w:r w:rsidRPr="00284F9E">
        <w:rPr>
          <w:rFonts w:ascii="Traditional Arabic" w:hAnsi="Traditional Arabic" w:cs="Traditional Arabic"/>
        </w:rPr>
        <w:t xml:space="preserve"> p </w:t>
      </w:r>
      <w:r w:rsidRPr="00284F9E">
        <w:rPr>
          <w:rFonts w:ascii="Traditional Arabic" w:hAnsi="Traditional Arabic" w:cs="Traditional Arabic"/>
          <w:rtl/>
        </w:rPr>
        <w:t>وحدها</w:t>
      </w:r>
      <w:r w:rsidRPr="00284F9E">
        <w:rPr>
          <w:rFonts w:ascii="Traditional Arabic" w:hAnsi="Traditional Arabic" w:cs="Traditional Arabic"/>
        </w:rPr>
        <w:t>.</w:t>
      </w:r>
    </w:p>
    <w:p w14:paraId="5CD4E0B8" w14:textId="3C7FA999" w:rsidR="00284F9E" w:rsidRPr="00284F9E" w:rsidRDefault="00B53F79" w:rsidP="00284F9E">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4.</w:t>
      </w:r>
      <w:r w:rsidR="00284F9E" w:rsidRPr="00284F9E">
        <w:rPr>
          <w:rFonts w:ascii="Traditional Arabic" w:hAnsi="Traditional Arabic" w:cs="Traditional Arabic"/>
          <w:b/>
          <w:bCs/>
          <w:rtl/>
        </w:rPr>
        <w:t>معامل التحديد</w:t>
      </w:r>
      <w:r w:rsidR="00284F9E" w:rsidRPr="00284F9E">
        <w:rPr>
          <w:rFonts w:ascii="Traditional Arabic" w:hAnsi="Traditional Arabic" w:cs="Traditional Arabic"/>
          <w:b/>
          <w:bCs/>
        </w:rPr>
        <w:t xml:space="preserve"> R²</w:t>
      </w:r>
    </w:p>
    <w:p w14:paraId="6DBDEACD"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سيستخدم</w:t>
      </w:r>
      <w:r w:rsidRPr="00284F9E">
        <w:rPr>
          <w:rFonts w:ascii="Traditional Arabic" w:hAnsi="Traditional Arabic" w:cs="Traditional Arabic"/>
        </w:rPr>
        <w:t xml:space="preserve"> (R²) </w:t>
      </w:r>
      <w:r w:rsidRPr="00284F9E">
        <w:rPr>
          <w:rFonts w:ascii="Traditional Arabic" w:hAnsi="Traditional Arabic" w:cs="Traditional Arabic"/>
          <w:rtl/>
        </w:rPr>
        <w:t>لتحديد مقدار التباين المفسر في المتغيرات الداخلية بواسطة المتغيرات المتنبئة بها. ولن يُفسر وفق حدود جامدة بمعزل عن طبيعة مجال الدراسة؛ بل ستناقش قيمته في ضوء النموذج والأدبيات ذات الصلة</w:t>
      </w:r>
      <w:r w:rsidRPr="00284F9E">
        <w:rPr>
          <w:rFonts w:ascii="Traditional Arabic" w:hAnsi="Traditional Arabic" w:cs="Traditional Arabic"/>
        </w:rPr>
        <w:t>.</w:t>
      </w:r>
    </w:p>
    <w:p w14:paraId="29E5B342"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5. </w:t>
      </w:r>
      <w:r w:rsidRPr="00284F9E">
        <w:rPr>
          <w:rFonts w:ascii="Traditional Arabic" w:hAnsi="Traditional Arabic" w:cs="Traditional Arabic"/>
          <w:b/>
          <w:bCs/>
          <w:rtl/>
        </w:rPr>
        <w:t>حجم الأثر</w:t>
      </w:r>
      <w:r w:rsidRPr="00284F9E">
        <w:rPr>
          <w:rFonts w:ascii="Traditional Arabic" w:hAnsi="Traditional Arabic" w:cs="Traditional Arabic"/>
          <w:b/>
          <w:bCs/>
        </w:rPr>
        <w:t xml:space="preserve"> f²</w:t>
      </w:r>
    </w:p>
    <w:p w14:paraId="6C1ABD52"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سيُستخدم</w:t>
      </w:r>
      <w:r w:rsidRPr="00284F9E">
        <w:rPr>
          <w:rFonts w:ascii="Traditional Arabic" w:hAnsi="Traditional Arabic" w:cs="Traditional Arabic"/>
        </w:rPr>
        <w:t xml:space="preserve"> (f²) </w:t>
      </w:r>
      <w:r w:rsidRPr="00284F9E">
        <w:rPr>
          <w:rFonts w:ascii="Traditional Arabic" w:hAnsi="Traditional Arabic" w:cs="Traditional Arabic"/>
          <w:rtl/>
        </w:rPr>
        <w:t>لفحص مقدار الإسهام الإضافي لكل متغير مستقل في تفسير المتغير التابع، مع الاسترشاد بالقيم</w:t>
      </w:r>
      <w:r w:rsidRPr="00284F9E">
        <w:rPr>
          <w:rFonts w:ascii="Traditional Arabic" w:hAnsi="Traditional Arabic" w:cs="Traditional Arabic"/>
        </w:rPr>
        <w:t>:</w:t>
      </w:r>
    </w:p>
    <w:p w14:paraId="58DDE487" w14:textId="77777777" w:rsidR="00284F9E" w:rsidRPr="00284F9E" w:rsidRDefault="00284F9E" w:rsidP="00B53F79">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t>[</w:t>
      </w:r>
      <w:r w:rsidRPr="00284F9E">
        <w:rPr>
          <w:rFonts w:ascii="Traditional Arabic" w:hAnsi="Traditional Arabic" w:cs="Traditional Arabic"/>
        </w:rPr>
        <w:br/>
        <w:t xml:space="preserve">0.02 = </w:t>
      </w:r>
      <w:proofErr w:type="gramStart"/>
      <w:r w:rsidRPr="00284F9E">
        <w:rPr>
          <w:rFonts w:ascii="Traditional Arabic" w:hAnsi="Traditional Arabic" w:cs="Traditional Arabic"/>
          <w:rtl/>
        </w:rPr>
        <w:t>صغير</w:t>
      </w:r>
      <w:r w:rsidRPr="00284F9E">
        <w:rPr>
          <w:rFonts w:ascii="Traditional Arabic" w:hAnsi="Traditional Arabic" w:cs="Traditional Arabic"/>
        </w:rPr>
        <w:t>,\</w:t>
      </w:r>
      <w:proofErr w:type="gramEnd"/>
      <w:r w:rsidRPr="00284F9E">
        <w:rPr>
          <w:rFonts w:ascii="Traditional Arabic" w:hAnsi="Traditional Arabic" w:cs="Traditional Arabic"/>
        </w:rPr>
        <w:t xml:space="preserve">quad 0.15 = </w:t>
      </w:r>
      <w:proofErr w:type="gramStart"/>
      <w:r w:rsidRPr="00284F9E">
        <w:rPr>
          <w:rFonts w:ascii="Traditional Arabic" w:hAnsi="Traditional Arabic" w:cs="Traditional Arabic"/>
          <w:rtl/>
        </w:rPr>
        <w:t>متوسط</w:t>
      </w:r>
      <w:r w:rsidRPr="00284F9E">
        <w:rPr>
          <w:rFonts w:ascii="Traditional Arabic" w:hAnsi="Traditional Arabic" w:cs="Traditional Arabic"/>
        </w:rPr>
        <w:t>,\</w:t>
      </w:r>
      <w:proofErr w:type="gramEnd"/>
      <w:r w:rsidRPr="00284F9E">
        <w:rPr>
          <w:rFonts w:ascii="Traditional Arabic" w:hAnsi="Traditional Arabic" w:cs="Traditional Arabic"/>
        </w:rPr>
        <w:t xml:space="preserve">quad 0.35 = </w:t>
      </w:r>
      <w:r w:rsidRPr="00284F9E">
        <w:rPr>
          <w:rFonts w:ascii="Traditional Arabic" w:hAnsi="Traditional Arabic" w:cs="Traditional Arabic"/>
          <w:rtl/>
        </w:rPr>
        <w:t>كبير</w:t>
      </w:r>
      <w:r w:rsidRPr="00284F9E">
        <w:rPr>
          <w:rFonts w:ascii="Traditional Arabic" w:hAnsi="Traditional Arabic" w:cs="Traditional Arabic"/>
        </w:rPr>
        <w:br/>
        <w:t>]</w:t>
      </w:r>
    </w:p>
    <w:p w14:paraId="5395050E" w14:textId="7F70A768" w:rsidR="00284F9E" w:rsidRPr="00284F9E" w:rsidRDefault="00B53F79" w:rsidP="00284F9E">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t>6.</w:t>
      </w:r>
      <w:r w:rsidR="00284F9E" w:rsidRPr="00284F9E">
        <w:rPr>
          <w:rFonts w:ascii="Traditional Arabic" w:hAnsi="Traditional Arabic" w:cs="Traditional Arabic"/>
          <w:b/>
          <w:bCs/>
        </w:rPr>
        <w:t xml:space="preserve"> </w:t>
      </w:r>
      <w:r w:rsidR="00284F9E" w:rsidRPr="00284F9E">
        <w:rPr>
          <w:rFonts w:ascii="Traditional Arabic" w:hAnsi="Traditional Arabic" w:cs="Traditional Arabic"/>
          <w:b/>
          <w:bCs/>
          <w:rtl/>
        </w:rPr>
        <w:t>القدرة التنبؤية</w:t>
      </w:r>
    </w:p>
    <w:p w14:paraId="07B7C736" w14:textId="53BD0545" w:rsidR="00284F9E" w:rsidRPr="00284F9E" w:rsidRDefault="00284F9E" w:rsidP="00B53F79">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سيُفحص الأداء التنبؤي عند الاقتضاء باستخدام إجراءات </w:t>
      </w:r>
      <w:proofErr w:type="spellStart"/>
      <w:r w:rsidRPr="00C935D7">
        <w:rPr>
          <w:rFonts w:ascii="Traditional Arabic" w:hAnsi="Traditional Arabic" w:cs="Traditional Arabic"/>
          <w:sz w:val="22"/>
          <w:szCs w:val="22"/>
          <w:highlight w:val="yellow"/>
        </w:rPr>
        <w:t>PLSpredict</w:t>
      </w:r>
      <w:proofErr w:type="spellEnd"/>
      <w:r w:rsidRPr="00C935D7">
        <w:rPr>
          <w:rFonts w:ascii="Traditional Arabic" w:hAnsi="Traditional Arabic" w:cs="Traditional Arabic"/>
          <w:highlight w:val="yellow"/>
        </w:rPr>
        <w:t xml:space="preserve"> </w:t>
      </w:r>
      <w:r w:rsidRPr="00C935D7">
        <w:rPr>
          <w:rFonts w:ascii="Traditional Arabic" w:hAnsi="Traditional Arabic" w:cs="Traditional Arabic"/>
          <w:highlight w:val="yellow"/>
          <w:rtl/>
        </w:rPr>
        <w:t>و</w:t>
      </w:r>
      <w:r w:rsidRPr="00C935D7">
        <w:rPr>
          <w:rFonts w:ascii="Traditional Arabic" w:hAnsi="Traditional Arabic" w:cs="Traditional Arabic"/>
          <w:highlight w:val="yellow"/>
        </w:rPr>
        <w:t>(Q²_{predict})</w:t>
      </w:r>
      <w:r w:rsidRPr="00C935D7">
        <w:rPr>
          <w:rFonts w:ascii="Traditional Arabic" w:hAnsi="Traditional Arabic" w:cs="Traditional Arabic"/>
          <w:highlight w:val="yellow"/>
          <w:rtl/>
        </w:rPr>
        <w:t>،</w:t>
      </w:r>
      <w:r w:rsidRPr="00284F9E">
        <w:rPr>
          <w:rFonts w:ascii="Traditional Arabic" w:hAnsi="Traditional Arabic" w:cs="Traditional Arabic"/>
          <w:rtl/>
        </w:rPr>
        <w:t xml:space="preserve"> بما يسمح بتقييم قدرة النموذج على التنبؤ خارج العينة، وليس الاقتصار على تفسير البيانات داخل العينة</w:t>
      </w:r>
      <w:r w:rsidRPr="00284F9E">
        <w:rPr>
          <w:rFonts w:ascii="Traditional Arabic" w:hAnsi="Traditional Arabic" w:cs="Traditional Arabic"/>
        </w:rPr>
        <w:t>.</w:t>
      </w:r>
    </w:p>
    <w:p w14:paraId="30622441"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lastRenderedPageBreak/>
        <w:t xml:space="preserve">3-22 </w:t>
      </w:r>
      <w:r w:rsidRPr="00284F9E">
        <w:rPr>
          <w:rFonts w:ascii="Traditional Arabic" w:hAnsi="Traditional Arabic" w:cs="Traditional Arabic"/>
          <w:b/>
          <w:bCs/>
          <w:rtl/>
        </w:rPr>
        <w:t>اختبار الدور الوسيط للتميز المؤسسي</w:t>
      </w:r>
    </w:p>
    <w:p w14:paraId="4015AFF3"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يمثل اختبار الوساطة أحد المكونات الأساسية للنموذج؛ إذ تفترض الدراسة أن أثر البراعة التنظيمية في الاستدامة قد ينتقل جزئيًا من خلال تعزيز التميز المؤسسي</w:t>
      </w:r>
      <w:r w:rsidRPr="00284F9E">
        <w:rPr>
          <w:rFonts w:ascii="Traditional Arabic" w:hAnsi="Traditional Arabic" w:cs="Traditional Arabic"/>
        </w:rPr>
        <w:t>.</w:t>
      </w:r>
    </w:p>
    <w:p w14:paraId="1B0BCB0E"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وعليه، سيتم اختبار المسار غير المباشر</w:t>
      </w:r>
      <w:r w:rsidRPr="00284F9E">
        <w:rPr>
          <w:rFonts w:ascii="Traditional Arabic" w:hAnsi="Traditional Arabic" w:cs="Traditional Arabic"/>
        </w:rPr>
        <w:t>:</w:t>
      </w:r>
    </w:p>
    <w:p w14:paraId="2E79A065" w14:textId="77777777" w:rsidR="00284F9E" w:rsidRPr="00284F9E" w:rsidRDefault="00284F9E" w:rsidP="00B53F79">
      <w:pPr>
        <w:tabs>
          <w:tab w:val="left" w:pos="1368"/>
        </w:tabs>
        <w:bidi/>
        <w:spacing w:line="276" w:lineRule="auto"/>
        <w:rPr>
          <w:rFonts w:ascii="Traditional Arabic" w:hAnsi="Traditional Arabic" w:cs="Traditional Arabic"/>
        </w:rPr>
      </w:pPr>
      <w:r w:rsidRPr="00284F9E">
        <w:rPr>
          <w:rFonts w:ascii="Traditional Arabic" w:hAnsi="Traditional Arabic" w:cs="Traditional Arabic"/>
        </w:rPr>
        <w:t>[</w:t>
      </w:r>
      <w:r w:rsidRPr="00284F9E">
        <w:rPr>
          <w:rFonts w:ascii="Traditional Arabic" w:hAnsi="Traditional Arabic" w:cs="Traditional Arabic"/>
        </w:rPr>
        <w:br/>
      </w:r>
      <w:r w:rsidRPr="00284F9E">
        <w:rPr>
          <w:rFonts w:ascii="Traditional Arabic" w:hAnsi="Traditional Arabic" w:cs="Traditional Arabic"/>
          <w:rtl/>
        </w:rPr>
        <w:t>البراعة\ التنظيمية</w:t>
      </w:r>
      <w:r w:rsidRPr="00284F9E">
        <w:rPr>
          <w:rFonts w:ascii="Traditional Arabic" w:hAnsi="Traditional Arabic" w:cs="Traditional Arabic"/>
        </w:rPr>
        <w:br/>
        <w:t>\</w:t>
      </w:r>
      <w:proofErr w:type="spellStart"/>
      <w:r w:rsidRPr="00284F9E">
        <w:rPr>
          <w:rFonts w:ascii="Traditional Arabic" w:hAnsi="Traditional Arabic" w:cs="Traditional Arabic"/>
        </w:rPr>
        <w:t>rightarrow</w:t>
      </w:r>
      <w:proofErr w:type="spellEnd"/>
      <w:r w:rsidRPr="00284F9E">
        <w:rPr>
          <w:rFonts w:ascii="Traditional Arabic" w:hAnsi="Traditional Arabic" w:cs="Traditional Arabic"/>
        </w:rPr>
        <w:br/>
      </w:r>
      <w:r w:rsidRPr="00284F9E">
        <w:rPr>
          <w:rFonts w:ascii="Traditional Arabic" w:hAnsi="Traditional Arabic" w:cs="Traditional Arabic"/>
          <w:rtl/>
        </w:rPr>
        <w:t>التميز\ المؤسسي</w:t>
      </w:r>
      <w:r w:rsidRPr="00284F9E">
        <w:rPr>
          <w:rFonts w:ascii="Traditional Arabic" w:hAnsi="Traditional Arabic" w:cs="Traditional Arabic"/>
        </w:rPr>
        <w:br/>
        <w:t>\</w:t>
      </w:r>
      <w:proofErr w:type="spellStart"/>
      <w:r w:rsidRPr="00284F9E">
        <w:rPr>
          <w:rFonts w:ascii="Traditional Arabic" w:hAnsi="Traditional Arabic" w:cs="Traditional Arabic"/>
        </w:rPr>
        <w:t>rightarrow</w:t>
      </w:r>
      <w:proofErr w:type="spellEnd"/>
      <w:r w:rsidRPr="00284F9E">
        <w:rPr>
          <w:rFonts w:ascii="Traditional Arabic" w:hAnsi="Traditional Arabic" w:cs="Traditional Arabic"/>
        </w:rPr>
        <w:br/>
      </w:r>
      <w:r w:rsidRPr="00284F9E">
        <w:rPr>
          <w:rFonts w:ascii="Traditional Arabic" w:hAnsi="Traditional Arabic" w:cs="Traditional Arabic"/>
          <w:rtl/>
        </w:rPr>
        <w:t>الاستدامة\ المؤسسية</w:t>
      </w:r>
      <w:r w:rsidRPr="00284F9E">
        <w:rPr>
          <w:rFonts w:ascii="Traditional Arabic" w:hAnsi="Traditional Arabic" w:cs="Traditional Arabic"/>
        </w:rPr>
        <w:br/>
        <w:t>]</w:t>
      </w:r>
    </w:p>
    <w:p w14:paraId="0B0B0109"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وسيُقدّر </w:t>
      </w:r>
      <w:r w:rsidRPr="00D47C91">
        <w:rPr>
          <w:rFonts w:ascii="Traditional Arabic" w:hAnsi="Traditional Arabic" w:cs="Traditional Arabic"/>
          <w:sz w:val="22"/>
          <w:szCs w:val="22"/>
        </w:rPr>
        <w:t>Specific Indirect Effect</w:t>
      </w:r>
      <w:r w:rsidRPr="00284F9E">
        <w:rPr>
          <w:rFonts w:ascii="Traditional Arabic" w:hAnsi="Traditional Arabic" w:cs="Traditional Arabic"/>
        </w:rPr>
        <w:t xml:space="preserve"> </w:t>
      </w:r>
      <w:r w:rsidRPr="00284F9E">
        <w:rPr>
          <w:rFonts w:ascii="Traditional Arabic" w:hAnsi="Traditional Arabic" w:cs="Traditional Arabic"/>
          <w:rtl/>
        </w:rPr>
        <w:t>باستخدام</w:t>
      </w:r>
      <w:r w:rsidRPr="00284F9E">
        <w:rPr>
          <w:rFonts w:ascii="Traditional Arabic" w:hAnsi="Traditional Arabic" w:cs="Traditional Arabic"/>
        </w:rPr>
        <w:t xml:space="preserve"> </w:t>
      </w:r>
      <w:r w:rsidRPr="00D47C91">
        <w:rPr>
          <w:rFonts w:ascii="Traditional Arabic" w:hAnsi="Traditional Arabic" w:cs="Traditional Arabic"/>
          <w:sz w:val="22"/>
          <w:szCs w:val="22"/>
        </w:rPr>
        <w:t>Bootstrapping</w:t>
      </w:r>
      <w:r w:rsidRPr="00284F9E">
        <w:rPr>
          <w:rFonts w:ascii="Traditional Arabic" w:hAnsi="Traditional Arabic" w:cs="Traditional Arabic"/>
          <w:rtl/>
        </w:rPr>
        <w:t>، مع فحص فاصل الثقة للأثر غير المباشر</w:t>
      </w:r>
      <w:r w:rsidRPr="00284F9E">
        <w:rPr>
          <w:rFonts w:ascii="Traditional Arabic" w:hAnsi="Traditional Arabic" w:cs="Traditional Arabic"/>
        </w:rPr>
        <w:t>.</w:t>
      </w:r>
    </w:p>
    <w:p w14:paraId="40336E8A" w14:textId="00278762" w:rsidR="00284F9E" w:rsidRPr="00284F9E" w:rsidRDefault="0028288A"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ويُعد الأثر غير المباشر دالًا إذا لم يتضمن فاصل الثقة قيمة الصفر. ثم تُفسر طبيعة الوساطة في ضوء دلالة الأثر المباشر وغير المباشر معًا، بما يسمح بتحديد ما إذا كان التميز المؤسسي يفسر جزءًا من العلاقة بين البراعة التنظيمية والاستدامة</w:t>
      </w:r>
      <w:r w:rsidR="00284F9E" w:rsidRPr="00284F9E">
        <w:rPr>
          <w:rFonts w:ascii="Traditional Arabic" w:hAnsi="Traditional Arabic" w:cs="Traditional Arabic"/>
        </w:rPr>
        <w:t>.</w:t>
      </w:r>
    </w:p>
    <w:p w14:paraId="65600FD7" w14:textId="3CF2C4A6" w:rsidR="00284F9E" w:rsidRPr="00284F9E" w:rsidRDefault="0028288A" w:rsidP="00D47C9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ولا يُقصد من استخدام مصطلح «الأثر» في هذا السياق الادعاء بإثبات السببية التجريبية بصورة مطلقة؛ إذ إن التصميم الكمي للدراسة غير تجريبي، وإنما يشير إلى العلاقات والمسارات النظرية التي يجري تقديرها في النموذج الهيكلي</w:t>
      </w:r>
      <w:r w:rsidR="00284F9E" w:rsidRPr="00284F9E">
        <w:rPr>
          <w:rFonts w:ascii="Traditional Arabic" w:hAnsi="Traditional Arabic" w:cs="Traditional Arabic"/>
        </w:rPr>
        <w:t>.</w:t>
      </w:r>
    </w:p>
    <w:p w14:paraId="314C914F"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3-23 </w:t>
      </w:r>
      <w:r w:rsidRPr="00284F9E">
        <w:rPr>
          <w:rFonts w:ascii="Traditional Arabic" w:hAnsi="Traditional Arabic" w:cs="Traditional Arabic"/>
          <w:b/>
          <w:bCs/>
          <w:rtl/>
        </w:rPr>
        <w:t>دمج نتائج المرحلتين النوعية والكمية</w:t>
      </w:r>
    </w:p>
    <w:p w14:paraId="06FFD8D8" w14:textId="7FB16DA9" w:rsidR="00284F9E" w:rsidRPr="00284F9E" w:rsidRDefault="00D47C91" w:rsidP="00D47C9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يمثل الدمج عنصرًا مركزيًا في الدراسة وليس مرحلة شكلية تضاف بعد انتهاء التحليل</w:t>
      </w:r>
      <w:r>
        <w:rPr>
          <w:rFonts w:ascii="Traditional Arabic" w:hAnsi="Traditional Arabic" w:cs="Traditional Arabic" w:hint="cs"/>
          <w:rtl/>
        </w:rPr>
        <w:t xml:space="preserve">، </w:t>
      </w:r>
      <w:r w:rsidR="00284F9E" w:rsidRPr="00284F9E">
        <w:rPr>
          <w:rFonts w:ascii="Traditional Arabic" w:hAnsi="Traditional Arabic" w:cs="Traditional Arabic"/>
          <w:rtl/>
        </w:rPr>
        <w:t>وسيحدث التكامل في ثلاثة مواضع رئيسة</w:t>
      </w:r>
      <w:r w:rsidR="00284F9E" w:rsidRPr="00284F9E">
        <w:rPr>
          <w:rFonts w:ascii="Traditional Arabic" w:hAnsi="Traditional Arabic" w:cs="Traditional Arabic"/>
        </w:rPr>
        <w:t>:</w:t>
      </w:r>
    </w:p>
    <w:p w14:paraId="202E95C9"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أولًا</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عند تطوير الاستبانة، من خلال ربط ما يظهر في المقابلات والوثائق بالأبعاد والفقرات المستمدة من الأدبيات</w:t>
      </w:r>
      <w:r w:rsidRPr="00284F9E">
        <w:rPr>
          <w:rFonts w:ascii="Traditional Arabic" w:hAnsi="Traditional Arabic" w:cs="Traditional Arabic"/>
        </w:rPr>
        <w:t>.</w:t>
      </w:r>
    </w:p>
    <w:p w14:paraId="36350627"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ثانيًا</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عند تفسير النتائج الكمية، حيث ستستخدم الموضوعات النوعية في شرح بعض العلاقات الإحصائية أو تقديم تفسير سياقي لها</w:t>
      </w:r>
      <w:r w:rsidRPr="00284F9E">
        <w:rPr>
          <w:rFonts w:ascii="Traditional Arabic" w:hAnsi="Traditional Arabic" w:cs="Traditional Arabic"/>
        </w:rPr>
        <w:t>.</w:t>
      </w:r>
    </w:p>
    <w:p w14:paraId="2B39E09C"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ثالثًا</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عند بناء النموذج الاستراتيجي النهائي، من خلال جمع الأدلة النوعية والكمية والدلالات النظرية والتطبيقية في إطار واحد</w:t>
      </w:r>
      <w:r w:rsidRPr="00284F9E">
        <w:rPr>
          <w:rFonts w:ascii="Traditional Arabic" w:hAnsi="Traditional Arabic" w:cs="Traditional Arabic"/>
        </w:rPr>
        <w:t>.</w:t>
      </w:r>
    </w:p>
    <w:p w14:paraId="1E583792" w14:textId="5D474C95" w:rsidR="00284F9E" w:rsidRPr="00284F9E" w:rsidRDefault="00284F9E" w:rsidP="00530EE1">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 xml:space="preserve">ويمكن في مرحلة عرض النتائج والمناقشة استخدام </w:t>
      </w:r>
      <w:r w:rsidRPr="00D47C91">
        <w:rPr>
          <w:rFonts w:ascii="Traditional Arabic" w:hAnsi="Traditional Arabic" w:cs="Traditional Arabic"/>
          <w:sz w:val="22"/>
          <w:szCs w:val="22"/>
        </w:rPr>
        <w:t>Joint Display</w:t>
      </w:r>
      <w:r w:rsidRPr="00284F9E">
        <w:rPr>
          <w:rFonts w:ascii="Traditional Arabic" w:hAnsi="Traditional Arabic" w:cs="Traditional Arabic"/>
        </w:rPr>
        <w:t xml:space="preserve"> </w:t>
      </w:r>
      <w:r w:rsidRPr="00284F9E">
        <w:rPr>
          <w:rFonts w:ascii="Traditional Arabic" w:hAnsi="Traditional Arabic" w:cs="Traditional Arabic"/>
          <w:rtl/>
        </w:rPr>
        <w:t>يربط بين النتيجة الكمية والموضوع النوعي المقابل لها والدلالة المستخلصة؛ الأمر الذي يسهم في إظهار القيمة المضافة للمنهج المختلط بصورة واضحة</w:t>
      </w:r>
      <w:r w:rsidRPr="00284F9E">
        <w:rPr>
          <w:rFonts w:ascii="Traditional Arabic" w:hAnsi="Traditional Arabic" w:cs="Traditional Arabic"/>
        </w:rPr>
        <w:t xml:space="preserve"> </w:t>
      </w:r>
      <w:r w:rsidRPr="00D47C91">
        <w:rPr>
          <w:rFonts w:ascii="Traditional Arabic" w:hAnsi="Traditional Arabic" w:cs="Traditional Arabic"/>
          <w:sz w:val="22"/>
          <w:szCs w:val="22"/>
        </w:rPr>
        <w:t>(Fetters et al., 2013).</w:t>
      </w:r>
    </w:p>
    <w:p w14:paraId="3958AD43"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3-24 </w:t>
      </w:r>
      <w:r w:rsidRPr="00284F9E">
        <w:rPr>
          <w:rFonts w:ascii="Traditional Arabic" w:hAnsi="Traditional Arabic" w:cs="Traditional Arabic"/>
          <w:b/>
          <w:bCs/>
          <w:rtl/>
        </w:rPr>
        <w:t>الاعتبارات الأخلاقية للدراسة</w:t>
      </w:r>
    </w:p>
    <w:p w14:paraId="68FFE61B" w14:textId="732E5AAC" w:rsidR="00284F9E" w:rsidRPr="00284F9E" w:rsidRDefault="00284F9E" w:rsidP="00B82BE6">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ستلتزم الباحثة بالمبادئ الأخلاقية المعتمدة في إجراء البحوث العلمية التي تشمل مشاركين بشريين</w:t>
      </w:r>
      <w:r w:rsidRPr="00284F9E">
        <w:rPr>
          <w:rFonts w:ascii="Traditional Arabic" w:hAnsi="Traditional Arabic" w:cs="Traditional Arabic"/>
        </w:rPr>
        <w:t>.</w:t>
      </w:r>
      <w:r w:rsidRPr="00284F9E">
        <w:rPr>
          <w:rFonts w:ascii="Traditional Arabic" w:hAnsi="Traditional Arabic" w:cs="Traditional Arabic"/>
          <w:rtl/>
        </w:rPr>
        <w:t>وقبل البدء في جمع البيانات ستُستكمل الموافقة الأخلاقية من الجهة المختصة في الجامعة، ويُدرج في النسخة النهائية من الفصل بعد صدورها</w:t>
      </w:r>
      <w:r w:rsidRPr="00284F9E">
        <w:rPr>
          <w:rFonts w:ascii="Traditional Arabic" w:hAnsi="Traditional Arabic" w:cs="Traditional Arabic"/>
        </w:rPr>
        <w:t>:</w:t>
      </w:r>
    </w:p>
    <w:p w14:paraId="7BB9A420" w14:textId="1F728CD2" w:rsidR="00B82BE6" w:rsidRPr="00B82BE6" w:rsidRDefault="00B82BE6" w:rsidP="00B82BE6">
      <w:pPr>
        <w:tabs>
          <w:tab w:val="left" w:pos="1368"/>
        </w:tabs>
        <w:bidi/>
        <w:spacing w:line="276" w:lineRule="auto"/>
        <w:rPr>
          <w:rFonts w:ascii="Traditional Arabic" w:hAnsi="Traditional Arabic" w:cs="Traditional Arabic"/>
          <w:b/>
          <w:bCs/>
          <w:rtl/>
        </w:rPr>
      </w:pPr>
      <w:r w:rsidRPr="00B82BE6">
        <w:rPr>
          <w:rFonts w:ascii="Traditional Arabic" w:hAnsi="Traditional Arabic" w:cs="Traditional Arabic" w:hint="cs"/>
          <w:b/>
          <w:bCs/>
          <w:rtl/>
        </w:rPr>
        <w:t>اسم</w:t>
      </w:r>
      <w:r w:rsidRPr="00B82BE6">
        <w:rPr>
          <w:rFonts w:ascii="Traditional Arabic" w:hAnsi="Traditional Arabic" w:cs="Traditional Arabic"/>
          <w:b/>
          <w:bCs/>
          <w:rtl/>
        </w:rPr>
        <w:t xml:space="preserve"> </w:t>
      </w:r>
      <w:r w:rsidRPr="00B82BE6">
        <w:rPr>
          <w:rFonts w:ascii="Traditional Arabic" w:hAnsi="Traditional Arabic" w:cs="Traditional Arabic" w:hint="cs"/>
          <w:b/>
          <w:bCs/>
          <w:rtl/>
        </w:rPr>
        <w:t>لجنة</w:t>
      </w:r>
      <w:r w:rsidRPr="00B82BE6">
        <w:rPr>
          <w:rFonts w:ascii="Traditional Arabic" w:hAnsi="Traditional Arabic" w:cs="Traditional Arabic"/>
          <w:b/>
          <w:bCs/>
          <w:rtl/>
        </w:rPr>
        <w:t xml:space="preserve"> </w:t>
      </w:r>
      <w:r w:rsidRPr="00B82BE6">
        <w:rPr>
          <w:rFonts w:ascii="Traditional Arabic" w:hAnsi="Traditional Arabic" w:cs="Traditional Arabic" w:hint="cs"/>
          <w:b/>
          <w:bCs/>
          <w:rtl/>
        </w:rPr>
        <w:t>الأخلاقيات</w:t>
      </w:r>
      <w:r w:rsidRPr="00B82BE6">
        <w:rPr>
          <w:rFonts w:ascii="Traditional Arabic" w:hAnsi="Traditional Arabic" w:cs="Traditional Arabic"/>
          <w:b/>
          <w:bCs/>
          <w:rtl/>
        </w:rPr>
        <w:t>: [</w:t>
      </w:r>
      <w:r>
        <w:rPr>
          <w:rFonts w:ascii="Traditional Arabic" w:hAnsi="Traditional Arabic" w:cs="Traditional Arabic" w:hint="cs"/>
          <w:b/>
          <w:bCs/>
          <w:rtl/>
        </w:rPr>
        <w:t>سيذكر لاحقًا</w:t>
      </w:r>
      <w:r w:rsidRPr="00B82BE6">
        <w:rPr>
          <w:rFonts w:ascii="Traditional Arabic" w:hAnsi="Traditional Arabic" w:cs="Traditional Arabic"/>
          <w:b/>
          <w:bCs/>
          <w:rtl/>
        </w:rPr>
        <w:t>]</w:t>
      </w:r>
    </w:p>
    <w:p w14:paraId="1C7C2577" w14:textId="77777777" w:rsidR="00B82BE6" w:rsidRDefault="00B82BE6" w:rsidP="00B82BE6">
      <w:pPr>
        <w:tabs>
          <w:tab w:val="left" w:pos="1368"/>
        </w:tabs>
        <w:bidi/>
        <w:spacing w:line="276" w:lineRule="auto"/>
        <w:rPr>
          <w:rFonts w:ascii="Traditional Arabic" w:hAnsi="Traditional Arabic" w:cs="Traditional Arabic"/>
          <w:b/>
          <w:bCs/>
          <w:rtl/>
        </w:rPr>
      </w:pPr>
      <w:r w:rsidRPr="00B82BE6">
        <w:rPr>
          <w:rFonts w:ascii="Traditional Arabic" w:hAnsi="Traditional Arabic" w:cs="Traditional Arabic" w:hint="cs"/>
          <w:b/>
          <w:bCs/>
          <w:rtl/>
        </w:rPr>
        <w:t>رقم</w:t>
      </w:r>
      <w:r w:rsidRPr="00B82BE6">
        <w:rPr>
          <w:rFonts w:ascii="Traditional Arabic" w:hAnsi="Traditional Arabic" w:cs="Traditional Arabic"/>
          <w:b/>
          <w:bCs/>
          <w:rtl/>
        </w:rPr>
        <w:t xml:space="preserve"> </w:t>
      </w:r>
      <w:r w:rsidRPr="00B82BE6">
        <w:rPr>
          <w:rFonts w:ascii="Traditional Arabic" w:hAnsi="Traditional Arabic" w:cs="Traditional Arabic" w:hint="cs"/>
          <w:b/>
          <w:bCs/>
          <w:rtl/>
        </w:rPr>
        <w:t>الموافقة</w:t>
      </w:r>
      <w:r w:rsidRPr="00B82BE6">
        <w:rPr>
          <w:rFonts w:ascii="Traditional Arabic" w:hAnsi="Traditional Arabic" w:cs="Traditional Arabic"/>
          <w:b/>
          <w:bCs/>
          <w:rtl/>
        </w:rPr>
        <w:t>: [</w:t>
      </w:r>
      <w:r>
        <w:rPr>
          <w:rFonts w:ascii="Traditional Arabic" w:hAnsi="Traditional Arabic" w:cs="Traditional Arabic" w:hint="cs"/>
          <w:b/>
          <w:bCs/>
          <w:rtl/>
        </w:rPr>
        <w:t>سيذكر لاحقًا</w:t>
      </w:r>
      <w:r w:rsidRPr="00B82BE6">
        <w:rPr>
          <w:rFonts w:ascii="Traditional Arabic" w:hAnsi="Traditional Arabic" w:cs="Traditional Arabic"/>
          <w:b/>
          <w:bCs/>
          <w:rtl/>
        </w:rPr>
        <w:t>]</w:t>
      </w:r>
    </w:p>
    <w:p w14:paraId="7868B882" w14:textId="7FAC9FD2" w:rsidR="003B04AE" w:rsidRDefault="00B82BE6" w:rsidP="00B82BE6">
      <w:pPr>
        <w:tabs>
          <w:tab w:val="left" w:pos="1368"/>
        </w:tabs>
        <w:bidi/>
        <w:spacing w:line="276" w:lineRule="auto"/>
        <w:rPr>
          <w:rFonts w:ascii="Traditional Arabic" w:hAnsi="Traditional Arabic" w:cs="Traditional Arabic"/>
          <w:b/>
          <w:bCs/>
        </w:rPr>
      </w:pPr>
      <w:r w:rsidRPr="00B82BE6">
        <w:rPr>
          <w:rFonts w:ascii="Traditional Arabic" w:hAnsi="Traditional Arabic" w:cs="Traditional Arabic" w:hint="cs"/>
          <w:b/>
          <w:bCs/>
          <w:rtl/>
        </w:rPr>
        <w:t>تاريخ</w:t>
      </w:r>
      <w:r w:rsidRPr="00B82BE6">
        <w:rPr>
          <w:rFonts w:ascii="Traditional Arabic" w:hAnsi="Traditional Arabic" w:cs="Traditional Arabic"/>
          <w:b/>
          <w:bCs/>
          <w:rtl/>
        </w:rPr>
        <w:t xml:space="preserve"> </w:t>
      </w:r>
      <w:r w:rsidRPr="00B82BE6">
        <w:rPr>
          <w:rFonts w:ascii="Traditional Arabic" w:hAnsi="Traditional Arabic" w:cs="Traditional Arabic" w:hint="cs"/>
          <w:b/>
          <w:bCs/>
          <w:rtl/>
        </w:rPr>
        <w:t>الموافقة</w:t>
      </w:r>
      <w:r w:rsidRPr="00B82BE6">
        <w:rPr>
          <w:rFonts w:ascii="Traditional Arabic" w:hAnsi="Traditional Arabic" w:cs="Traditional Arabic"/>
          <w:b/>
          <w:bCs/>
          <w:rtl/>
        </w:rPr>
        <w:t>: [</w:t>
      </w:r>
      <w:r>
        <w:rPr>
          <w:rFonts w:ascii="Traditional Arabic" w:hAnsi="Traditional Arabic" w:cs="Traditional Arabic" w:hint="cs"/>
          <w:b/>
          <w:bCs/>
          <w:rtl/>
        </w:rPr>
        <w:t>سيذكر لاحقًا</w:t>
      </w:r>
      <w:r w:rsidRPr="00B82BE6">
        <w:rPr>
          <w:rFonts w:ascii="Traditional Arabic" w:hAnsi="Traditional Arabic" w:cs="Traditional Arabic"/>
          <w:b/>
          <w:bCs/>
          <w:rtl/>
        </w:rPr>
        <w:t>]</w:t>
      </w:r>
    </w:p>
    <w:p w14:paraId="540B8410" w14:textId="2077BF57" w:rsidR="00284F9E" w:rsidRPr="00284F9E" w:rsidRDefault="00CC1502" w:rsidP="00B82BE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كما ستُحصل الموافقات الإدارية اللازمة من الجهات التي تتطلب ذلك قبل التواصل مع المشاركين</w:t>
      </w:r>
      <w:r w:rsidR="00284F9E" w:rsidRPr="00284F9E">
        <w:rPr>
          <w:rFonts w:ascii="Traditional Arabic" w:hAnsi="Traditional Arabic" w:cs="Traditional Arabic"/>
        </w:rPr>
        <w:t>.</w:t>
      </w:r>
      <w:r>
        <w:rPr>
          <w:rFonts w:ascii="Traditional Arabic" w:hAnsi="Traditional Arabic" w:cs="Traditional Arabic" w:hint="cs"/>
          <w:rtl/>
        </w:rPr>
        <w:t xml:space="preserve"> </w:t>
      </w:r>
      <w:r w:rsidR="00284F9E" w:rsidRPr="00284F9E">
        <w:rPr>
          <w:rFonts w:ascii="Traditional Arabic" w:hAnsi="Traditional Arabic" w:cs="Traditional Arabic"/>
          <w:rtl/>
        </w:rPr>
        <w:t>وسيتم توضيح هدف الدراسة للمشاركين، والتأكيد على أن المشاركة طوعية، وأن لهم الحق في رفض المشاركة أو الانسحاب دون أية آثار سلبية</w:t>
      </w:r>
      <w:r w:rsidR="00284F9E" w:rsidRPr="00284F9E">
        <w:rPr>
          <w:rFonts w:ascii="Traditional Arabic" w:hAnsi="Traditional Arabic" w:cs="Traditional Arabic"/>
        </w:rPr>
        <w:t>.</w:t>
      </w:r>
    </w:p>
    <w:p w14:paraId="58D64988" w14:textId="384191F2" w:rsidR="00284F9E" w:rsidRPr="00284F9E" w:rsidRDefault="00CC1502"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كما ستُحفظ سرية البيانات، ولن تجمع معلومات تعريفية غير ضرورية، ولن تُعرض النتائج بطريقة تسمح بالتعرف على هوية المشاركين أو نسبتهم إلى جهة محددة ما لم توجد موافقة صريحة بذلك</w:t>
      </w:r>
      <w:r w:rsidR="00284F9E" w:rsidRPr="00284F9E">
        <w:rPr>
          <w:rFonts w:ascii="Traditional Arabic" w:hAnsi="Traditional Arabic" w:cs="Traditional Arabic"/>
        </w:rPr>
        <w:t>.</w:t>
      </w:r>
    </w:p>
    <w:p w14:paraId="2FCFB994" w14:textId="45DE840D"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وفي المقابلات النوعية، لن يتم التسجيل الصوتي إلا بعد الحصول على موافقة المشارك، وستُزال المعلومات التي قد تكشف عن هويته أثناء التفريغ والتحليل</w:t>
      </w:r>
      <w:r w:rsidR="00284F9E" w:rsidRPr="00284F9E">
        <w:rPr>
          <w:rFonts w:ascii="Traditional Arabic" w:hAnsi="Traditional Arabic" w:cs="Traditional Arabic"/>
        </w:rPr>
        <w:t>.</w:t>
      </w:r>
    </w:p>
    <w:p w14:paraId="14673113" w14:textId="709B9D23" w:rsidR="00284F9E" w:rsidRPr="00284F9E" w:rsidRDefault="008A5A7F" w:rsidP="00CC150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وستقتصر إمكانية الوصول إلى الملفات الأصلية على الباحثة والجهات المخولة أكاديميًا عند الضرورة، وستستخدم البيانات لأغراض البحث العلمي فقط وفق أنظمة الجامعة ومتطلبات الموافقة الأخلاقية</w:t>
      </w:r>
      <w:r w:rsidR="00284F9E" w:rsidRPr="00284F9E">
        <w:rPr>
          <w:rFonts w:ascii="Traditional Arabic" w:hAnsi="Traditional Arabic" w:cs="Traditional Arabic"/>
        </w:rPr>
        <w:t>.</w:t>
      </w:r>
    </w:p>
    <w:p w14:paraId="55D252C9"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3-25 </w:t>
      </w:r>
      <w:r w:rsidRPr="00284F9E">
        <w:rPr>
          <w:rFonts w:ascii="Traditional Arabic" w:hAnsi="Traditional Arabic" w:cs="Traditional Arabic"/>
          <w:b/>
          <w:bCs/>
          <w:rtl/>
        </w:rPr>
        <w:t>إجراءات تنفيذ الدراسة</w:t>
      </w:r>
    </w:p>
    <w:p w14:paraId="00BEBB4C" w14:textId="76076A11"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في ضوء التصميم المنهجي السابق، سيتم تنفيذ الدراسة وفق التسلسل الآتي</w:t>
      </w:r>
      <w:r w:rsidR="00284F9E" w:rsidRPr="00284F9E">
        <w:rPr>
          <w:rFonts w:ascii="Traditional Arabic" w:hAnsi="Traditional Arabic" w:cs="Traditional Arabic"/>
        </w:rPr>
        <w:t>:</w:t>
      </w:r>
    </w:p>
    <w:p w14:paraId="3023F0A8"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استكمال الإطار النظري والنموذج المفاهيمي</w:t>
      </w:r>
      <w:r w:rsidRPr="00284F9E">
        <w:rPr>
          <w:rFonts w:ascii="Traditional Arabic" w:hAnsi="Traditional Arabic" w:cs="Traditional Arabic"/>
        </w:rPr>
        <w:t>.</w:t>
      </w:r>
    </w:p>
    <w:p w14:paraId="6DD430A6"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الحصول على الموافقة الأخلاقية والإدارية اللازمة للمرحلة النوعية</w:t>
      </w:r>
      <w:r w:rsidRPr="00284F9E">
        <w:rPr>
          <w:rFonts w:ascii="Traditional Arabic" w:hAnsi="Traditional Arabic" w:cs="Traditional Arabic"/>
        </w:rPr>
        <w:t>.</w:t>
      </w:r>
    </w:p>
    <w:p w14:paraId="005B50EC"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اختيار المشاركين نوعيًا وإجراء المقابلات وتحليل الوثائق</w:t>
      </w:r>
      <w:r w:rsidRPr="00284F9E">
        <w:rPr>
          <w:rFonts w:ascii="Traditional Arabic" w:hAnsi="Traditional Arabic" w:cs="Traditional Arabic"/>
        </w:rPr>
        <w:t>.</w:t>
      </w:r>
    </w:p>
    <w:p w14:paraId="4A3C2C4D"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تحليل البيانات النوعية والوصول إلى التشبع الموضوعي</w:t>
      </w:r>
      <w:r w:rsidRPr="00284F9E">
        <w:rPr>
          <w:rFonts w:ascii="Traditional Arabic" w:hAnsi="Traditional Arabic" w:cs="Traditional Arabic"/>
        </w:rPr>
        <w:t>.</w:t>
      </w:r>
    </w:p>
    <w:p w14:paraId="017C5328"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دمج النتائج النوعية مع الأدبيات لتطوير الاستبانة</w:t>
      </w:r>
      <w:r w:rsidRPr="00284F9E">
        <w:rPr>
          <w:rFonts w:ascii="Traditional Arabic" w:hAnsi="Traditional Arabic" w:cs="Traditional Arabic"/>
        </w:rPr>
        <w:t>.</w:t>
      </w:r>
    </w:p>
    <w:p w14:paraId="198EC47B"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تحكيم الأداة وحساب مؤشرات صدق المحتوى</w:t>
      </w:r>
      <w:r w:rsidRPr="00284F9E">
        <w:rPr>
          <w:rFonts w:ascii="Traditional Arabic" w:hAnsi="Traditional Arabic" w:cs="Traditional Arabic"/>
        </w:rPr>
        <w:t>.</w:t>
      </w:r>
    </w:p>
    <w:p w14:paraId="151456D6"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تعديل الاستبانة وفق نتائج التحكيم</w:t>
      </w:r>
      <w:r w:rsidRPr="00284F9E">
        <w:rPr>
          <w:rFonts w:ascii="Traditional Arabic" w:hAnsi="Traditional Arabic" w:cs="Traditional Arabic"/>
        </w:rPr>
        <w:t>.</w:t>
      </w:r>
    </w:p>
    <w:p w14:paraId="48541EE7"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تنفيذ الدراسة الاستطلاعية على 40 مشاركًا مستقلًا</w:t>
      </w:r>
      <w:r w:rsidRPr="00284F9E">
        <w:rPr>
          <w:rFonts w:ascii="Traditional Arabic" w:hAnsi="Traditional Arabic" w:cs="Traditional Arabic"/>
        </w:rPr>
        <w:t>.</w:t>
      </w:r>
    </w:p>
    <w:p w14:paraId="5E326D3A"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إجراء التعديلات النهائية واعتماد أداة الدراسة</w:t>
      </w:r>
      <w:r w:rsidRPr="00284F9E">
        <w:rPr>
          <w:rFonts w:ascii="Traditional Arabic" w:hAnsi="Traditional Arabic" w:cs="Traditional Arabic"/>
        </w:rPr>
        <w:t>.</w:t>
      </w:r>
    </w:p>
    <w:p w14:paraId="4F954268"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إعداد إطار المعاينة الكمية واختيار عشر هيئات عشوائيًا</w:t>
      </w:r>
      <w:r w:rsidRPr="00284F9E">
        <w:rPr>
          <w:rFonts w:ascii="Traditional Arabic" w:hAnsi="Traditional Arabic" w:cs="Traditional Arabic"/>
        </w:rPr>
        <w:t>.</w:t>
      </w:r>
    </w:p>
    <w:p w14:paraId="2C215EAF"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إجراء التخصيص الطبقي المتناسب واختيار المشاركين عشوائيًا داخل الهيئات</w:t>
      </w:r>
      <w:r w:rsidRPr="00284F9E">
        <w:rPr>
          <w:rFonts w:ascii="Traditional Arabic" w:hAnsi="Traditional Arabic" w:cs="Traditional Arabic"/>
        </w:rPr>
        <w:t>.</w:t>
      </w:r>
    </w:p>
    <w:p w14:paraId="173A1D51"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توزيع نحو 450 استبانة بهدف الحصول على ما لا يقل عن 350 استجابة صالحة</w:t>
      </w:r>
      <w:r w:rsidRPr="00284F9E">
        <w:rPr>
          <w:rFonts w:ascii="Traditional Arabic" w:hAnsi="Traditional Arabic" w:cs="Traditional Arabic"/>
        </w:rPr>
        <w:t>.</w:t>
      </w:r>
    </w:p>
    <w:p w14:paraId="2B8379AE"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فحص البيانات وتنظيفها</w:t>
      </w:r>
      <w:r w:rsidRPr="00284F9E">
        <w:rPr>
          <w:rFonts w:ascii="Traditional Arabic" w:hAnsi="Traditional Arabic" w:cs="Traditional Arabic"/>
        </w:rPr>
        <w:t>.</w:t>
      </w:r>
    </w:p>
    <w:p w14:paraId="6DDFC619"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تقدير نموذج القياس من الرتبة الأولى</w:t>
      </w:r>
      <w:r w:rsidRPr="00284F9E">
        <w:rPr>
          <w:rFonts w:ascii="Traditional Arabic" w:hAnsi="Traditional Arabic" w:cs="Traditional Arabic"/>
        </w:rPr>
        <w:t>.</w:t>
      </w:r>
    </w:p>
    <w:p w14:paraId="3CBFAEA2" w14:textId="5D322796"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تقدير نموذج الرتبة العليا باستخدام</w:t>
      </w:r>
      <w:r w:rsidRPr="00284F9E">
        <w:rPr>
          <w:rFonts w:ascii="Traditional Arabic" w:hAnsi="Traditional Arabic" w:cs="Traditional Arabic"/>
        </w:rPr>
        <w:t xml:space="preserve"> </w:t>
      </w:r>
      <w:r w:rsidR="005005E5" w:rsidRPr="005005E5">
        <w:rPr>
          <w:rFonts w:ascii="Traditional Arabic" w:hAnsi="Traditional Arabic" w:cs="Traditional Arabic"/>
          <w:highlight w:val="yellow"/>
        </w:rPr>
        <w:t>Disjoint Two-Stage Approach</w:t>
      </w:r>
    </w:p>
    <w:p w14:paraId="209B58F1"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تقييم النموذج الهيكلي واختبار الفرضيات والوساطة</w:t>
      </w:r>
      <w:r w:rsidRPr="00284F9E">
        <w:rPr>
          <w:rFonts w:ascii="Traditional Arabic" w:hAnsi="Traditional Arabic" w:cs="Traditional Arabic"/>
        </w:rPr>
        <w:t>.</w:t>
      </w:r>
    </w:p>
    <w:p w14:paraId="02AFD219"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دمج نتائج المرحلتين</w:t>
      </w:r>
      <w:r w:rsidRPr="00284F9E">
        <w:rPr>
          <w:rFonts w:ascii="Traditional Arabic" w:hAnsi="Traditional Arabic" w:cs="Traditional Arabic"/>
        </w:rPr>
        <w:t>.</w:t>
      </w:r>
    </w:p>
    <w:p w14:paraId="2E1BB391" w14:textId="77777777" w:rsidR="00284F9E" w:rsidRPr="00284F9E" w:rsidRDefault="00284F9E" w:rsidP="00284F9E">
      <w:pPr>
        <w:numPr>
          <w:ilvl w:val="0"/>
          <w:numId w:val="38"/>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بناء وتفسير النموذج الاستراتيجي المقترح</w:t>
      </w:r>
      <w:r w:rsidRPr="00284F9E">
        <w:rPr>
          <w:rFonts w:ascii="Traditional Arabic" w:hAnsi="Traditional Arabic" w:cs="Traditional Arabic"/>
        </w:rPr>
        <w:t>.</w:t>
      </w:r>
    </w:p>
    <w:p w14:paraId="4C80A046" w14:textId="2FD9C226" w:rsidR="00284F9E" w:rsidRPr="00284F9E" w:rsidRDefault="008A5A7F" w:rsidP="008A5A7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ويؤكد هذا التسلسل العلاقة المنطقية بين مراحل الدراسة، حيث تعتمد كل مرحلة على مخرجات المرحلة السابقة، وهو ما يعزز الاتساق الداخلي للتصميم الاستكشافي المتسلسل</w:t>
      </w:r>
      <w:r w:rsidR="00284F9E" w:rsidRPr="00284F9E">
        <w:rPr>
          <w:rFonts w:ascii="Traditional Arabic" w:hAnsi="Traditional Arabic" w:cs="Traditional Arabic"/>
        </w:rPr>
        <w:t>.</w:t>
      </w:r>
    </w:p>
    <w:p w14:paraId="7D91825B"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3-26 </w:t>
      </w:r>
      <w:r w:rsidRPr="00284F9E">
        <w:rPr>
          <w:rFonts w:ascii="Traditional Arabic" w:hAnsi="Traditional Arabic" w:cs="Traditional Arabic"/>
          <w:b/>
          <w:bCs/>
          <w:rtl/>
        </w:rPr>
        <w:t>حدود الدراسة</w:t>
      </w:r>
    </w:p>
    <w:p w14:paraId="5242D099" w14:textId="274F3308"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ستطبق الدراسة في إطار مجموعة من الحدود التي تحدد نطاق تفسير نتائجها</w:t>
      </w:r>
      <w:r w:rsidR="00284F9E" w:rsidRPr="00284F9E">
        <w:rPr>
          <w:rFonts w:ascii="Traditional Arabic" w:hAnsi="Traditional Arabic" w:cs="Traditional Arabic"/>
        </w:rPr>
        <w:t>.</w:t>
      </w:r>
    </w:p>
    <w:p w14:paraId="68495B04"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الحدود الموضوعية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تركز الدراسة على البراعة التنظيمية بأبعادها الهيكلية والسياقية والقيادية، وعلاقتها بالتميز المؤسسي والاستدامة المؤسسية، مع اختبار الدور الوسيط للتميز المؤسسي</w:t>
      </w:r>
      <w:r w:rsidRPr="00284F9E">
        <w:rPr>
          <w:rFonts w:ascii="Traditional Arabic" w:hAnsi="Traditional Arabic" w:cs="Traditional Arabic"/>
        </w:rPr>
        <w:t>.</w:t>
      </w:r>
    </w:p>
    <w:p w14:paraId="613595B2"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الحدود المكانية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الهيئات الحكومية في المملكة العربية السعودية التي تدخل ضمن إطار المعاينة المحدد للدراسة</w:t>
      </w:r>
      <w:r w:rsidRPr="00284F9E">
        <w:rPr>
          <w:rFonts w:ascii="Traditional Arabic" w:hAnsi="Traditional Arabic" w:cs="Traditional Arabic"/>
        </w:rPr>
        <w:t>.</w:t>
      </w:r>
    </w:p>
    <w:p w14:paraId="5FBCC76C"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الحدود البشرية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القيادات والموظفون العاملون في الإدارات ذات العلاقة بالتخطيط الاستراتيجي والتطوير المؤسسي والجودة والتميز والحوكمة والتحول الرقمي والابتكار المؤسسي وإدارة الأداء</w:t>
      </w:r>
      <w:r w:rsidRPr="00284F9E">
        <w:rPr>
          <w:rFonts w:ascii="Traditional Arabic" w:hAnsi="Traditional Arabic" w:cs="Traditional Arabic"/>
        </w:rPr>
        <w:t>.</w:t>
      </w:r>
    </w:p>
    <w:p w14:paraId="48098395" w14:textId="19ED9BC1" w:rsidR="00284F9E" w:rsidRPr="00284F9E" w:rsidRDefault="00284F9E" w:rsidP="008A5A7F">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b/>
          <w:bCs/>
          <w:rtl/>
        </w:rPr>
        <w:t>الحدود الزمنية</w:t>
      </w:r>
      <w:r w:rsidRPr="00284F9E">
        <w:rPr>
          <w:rFonts w:ascii="Traditional Arabic" w:hAnsi="Traditional Arabic" w:cs="Traditional Arabic"/>
          <w:b/>
          <w:bCs/>
        </w:rPr>
        <w:t>:</w:t>
      </w:r>
      <w:r w:rsidRPr="00284F9E">
        <w:rPr>
          <w:rFonts w:ascii="Traditional Arabic" w:hAnsi="Traditional Arabic" w:cs="Traditional Arabic"/>
        </w:rPr>
        <w:t xml:space="preserve"> </w:t>
      </w:r>
      <w:r w:rsidRPr="00284F9E">
        <w:rPr>
          <w:rFonts w:ascii="Traditional Arabic" w:hAnsi="Traditional Arabic" w:cs="Traditional Arabic"/>
          <w:rtl/>
        </w:rPr>
        <w:t>الفترة الفعلية التي سيجري خلالها التطبيق النوعي والكمي، على أن تُحدد تواريخها بدقة في النسخة النهائية بعد اكتمال جمع البيانات، بدل الاكتفاء بصياغة زمنية تقديرية</w:t>
      </w:r>
      <w:r w:rsidRPr="00284F9E">
        <w:rPr>
          <w:rFonts w:ascii="Traditional Arabic" w:hAnsi="Traditional Arabic" w:cs="Traditional Arabic"/>
        </w:rPr>
        <w:t>.</w:t>
      </w:r>
    </w:p>
    <w:p w14:paraId="3009BF80"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Pr>
        <w:t xml:space="preserve">3-27 </w:t>
      </w:r>
      <w:r w:rsidRPr="00284F9E">
        <w:rPr>
          <w:rFonts w:ascii="Traditional Arabic" w:hAnsi="Traditional Arabic" w:cs="Traditional Arabic"/>
          <w:b/>
          <w:bCs/>
          <w:rtl/>
        </w:rPr>
        <w:t>ضبط الأزمنة في الفصل</w:t>
      </w:r>
    </w:p>
    <w:p w14:paraId="01045936"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نظرًا إلى أن الفصل يمثل في وضعه الحالي بروتوكولًا منهجيًا يسبق اكتمال التطبيق الميداني، فقد استخدمت صيغة المستقبل في وصف الإجراءات التي لم تُنفذ بعد</w:t>
      </w:r>
      <w:r w:rsidRPr="00284F9E">
        <w:rPr>
          <w:rFonts w:ascii="Traditional Arabic" w:hAnsi="Traditional Arabic" w:cs="Traditional Arabic"/>
        </w:rPr>
        <w:t>.</w:t>
      </w:r>
    </w:p>
    <w:p w14:paraId="1EDF1994" w14:textId="77777777" w:rsidR="00284F9E" w:rsidRPr="00284F9E" w:rsidRDefault="00284F9E" w:rsidP="00284F9E">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وبعد الانتهاء من العمل الميداني، ستُحدث الفقرات ذات الصلة فقط لتصبح بصيغة الماضي، مع إدخال المعلومات الفعلية، ومنها</w:t>
      </w:r>
      <w:r w:rsidRPr="00284F9E">
        <w:rPr>
          <w:rFonts w:ascii="Traditional Arabic" w:hAnsi="Traditional Arabic" w:cs="Traditional Arabic"/>
        </w:rPr>
        <w:t>:</w:t>
      </w:r>
    </w:p>
    <w:p w14:paraId="6FE4F5A4"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العدد النهائي للمقابلات</w:t>
      </w:r>
      <w:r w:rsidRPr="00284F9E">
        <w:rPr>
          <w:rFonts w:ascii="Traditional Arabic" w:hAnsi="Traditional Arabic" w:cs="Traditional Arabic"/>
        </w:rPr>
        <w:t>.</w:t>
      </w:r>
    </w:p>
    <w:p w14:paraId="3DB086BB"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lastRenderedPageBreak/>
        <w:t>عدد الوثائق التي تم تحليلها</w:t>
      </w:r>
      <w:r w:rsidRPr="00284F9E">
        <w:rPr>
          <w:rFonts w:ascii="Traditional Arabic" w:hAnsi="Traditional Arabic" w:cs="Traditional Arabic"/>
        </w:rPr>
        <w:t>.</w:t>
      </w:r>
    </w:p>
    <w:p w14:paraId="382D969D"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تاريخ ونتائج التحكيم</w:t>
      </w:r>
      <w:r w:rsidRPr="00284F9E">
        <w:rPr>
          <w:rFonts w:ascii="Traditional Arabic" w:hAnsi="Traditional Arabic" w:cs="Traditional Arabic"/>
        </w:rPr>
        <w:t>.</w:t>
      </w:r>
    </w:p>
    <w:p w14:paraId="47F7E757"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قيم</w:t>
      </w:r>
      <w:r w:rsidRPr="00284F9E">
        <w:rPr>
          <w:rFonts w:ascii="Traditional Arabic" w:hAnsi="Traditional Arabic" w:cs="Traditional Arabic"/>
        </w:rPr>
        <w:t xml:space="preserve"> CVI </w:t>
      </w:r>
      <w:r w:rsidRPr="00284F9E">
        <w:rPr>
          <w:rFonts w:ascii="Traditional Arabic" w:hAnsi="Traditional Arabic" w:cs="Traditional Arabic"/>
          <w:rtl/>
        </w:rPr>
        <w:t>الفعلية</w:t>
      </w:r>
      <w:r w:rsidRPr="00284F9E">
        <w:rPr>
          <w:rFonts w:ascii="Traditional Arabic" w:hAnsi="Traditional Arabic" w:cs="Traditional Arabic"/>
        </w:rPr>
        <w:t>.</w:t>
      </w:r>
    </w:p>
    <w:p w14:paraId="0C72DA70"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عدد الفقرات المعدلة والمحذوفة والمضافة</w:t>
      </w:r>
      <w:r w:rsidRPr="00284F9E">
        <w:rPr>
          <w:rFonts w:ascii="Traditional Arabic" w:hAnsi="Traditional Arabic" w:cs="Traditional Arabic"/>
        </w:rPr>
        <w:t>.</w:t>
      </w:r>
    </w:p>
    <w:p w14:paraId="2D32A865"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تاريخ ونتائج الدراسة الاستطلاعية</w:t>
      </w:r>
      <w:r w:rsidRPr="00284F9E">
        <w:rPr>
          <w:rFonts w:ascii="Traditional Arabic" w:hAnsi="Traditional Arabic" w:cs="Traditional Arabic"/>
        </w:rPr>
        <w:t>.</w:t>
      </w:r>
    </w:p>
    <w:p w14:paraId="0B72FCE4"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بيانات الموافقة الأخلاقية</w:t>
      </w:r>
      <w:r w:rsidRPr="00284F9E">
        <w:rPr>
          <w:rFonts w:ascii="Traditional Arabic" w:hAnsi="Traditional Arabic" w:cs="Traditional Arabic"/>
        </w:rPr>
        <w:t>.</w:t>
      </w:r>
    </w:p>
    <w:p w14:paraId="555C7445"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الهيئات التي تم اختيارها</w:t>
      </w:r>
      <w:r w:rsidRPr="00284F9E">
        <w:rPr>
          <w:rFonts w:ascii="Traditional Arabic" w:hAnsi="Traditional Arabic" w:cs="Traditional Arabic"/>
        </w:rPr>
        <w:t>.</w:t>
      </w:r>
    </w:p>
    <w:p w14:paraId="56E552CE"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العدد الفعلي للاستبانات الموزعة والمستلمة والمستبعدة</w:t>
      </w:r>
      <w:r w:rsidRPr="00284F9E">
        <w:rPr>
          <w:rFonts w:ascii="Traditional Arabic" w:hAnsi="Traditional Arabic" w:cs="Traditional Arabic"/>
        </w:rPr>
        <w:t>.</w:t>
      </w:r>
    </w:p>
    <w:p w14:paraId="36A69D93"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العدد النهائي الصالح للتحليل</w:t>
      </w:r>
      <w:r w:rsidRPr="00284F9E">
        <w:rPr>
          <w:rFonts w:ascii="Traditional Arabic" w:hAnsi="Traditional Arabic" w:cs="Traditional Arabic"/>
        </w:rPr>
        <w:t>.</w:t>
      </w:r>
    </w:p>
    <w:p w14:paraId="30F7EA18" w14:textId="77777777" w:rsidR="00284F9E" w:rsidRPr="00284F9E" w:rsidRDefault="00284F9E" w:rsidP="00284F9E">
      <w:pPr>
        <w:numPr>
          <w:ilvl w:val="0"/>
          <w:numId w:val="39"/>
        </w:num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فترة جمع البيانات</w:t>
      </w:r>
      <w:r w:rsidRPr="00284F9E">
        <w:rPr>
          <w:rFonts w:ascii="Traditional Arabic" w:hAnsi="Traditional Arabic" w:cs="Traditional Arabic"/>
        </w:rPr>
        <w:t>.</w:t>
      </w:r>
    </w:p>
    <w:p w14:paraId="6E2069C5" w14:textId="5147A1CD" w:rsidR="00284F9E" w:rsidRPr="00284F9E" w:rsidRDefault="00284F9E" w:rsidP="008A5A7F">
      <w:pPr>
        <w:tabs>
          <w:tab w:val="left" w:pos="1368"/>
        </w:tabs>
        <w:bidi/>
        <w:spacing w:line="276" w:lineRule="auto"/>
        <w:jc w:val="both"/>
        <w:rPr>
          <w:rFonts w:ascii="Traditional Arabic" w:hAnsi="Traditional Arabic" w:cs="Traditional Arabic"/>
        </w:rPr>
      </w:pPr>
      <w:r w:rsidRPr="00284F9E">
        <w:rPr>
          <w:rFonts w:ascii="Traditional Arabic" w:hAnsi="Traditional Arabic" w:cs="Traditional Arabic"/>
          <w:rtl/>
        </w:rPr>
        <w:t>ويسهم ذلك في تجنب الخلط بين الإجراءات المخطط لها والإجراءات التي نُفذت فعليًا</w:t>
      </w:r>
      <w:r w:rsidRPr="00284F9E">
        <w:rPr>
          <w:rFonts w:ascii="Traditional Arabic" w:hAnsi="Traditional Arabic" w:cs="Traditional Arabic"/>
        </w:rPr>
        <w:t>.</w:t>
      </w:r>
    </w:p>
    <w:p w14:paraId="6C869E67" w14:textId="77777777" w:rsidR="00284F9E" w:rsidRPr="00284F9E" w:rsidRDefault="00284F9E" w:rsidP="00284F9E">
      <w:pPr>
        <w:tabs>
          <w:tab w:val="left" w:pos="1368"/>
        </w:tabs>
        <w:bidi/>
        <w:spacing w:line="276" w:lineRule="auto"/>
        <w:jc w:val="both"/>
        <w:rPr>
          <w:rFonts w:ascii="Traditional Arabic" w:hAnsi="Traditional Arabic" w:cs="Traditional Arabic"/>
          <w:b/>
          <w:bCs/>
        </w:rPr>
      </w:pPr>
      <w:r w:rsidRPr="00284F9E">
        <w:rPr>
          <w:rFonts w:ascii="Traditional Arabic" w:hAnsi="Traditional Arabic" w:cs="Traditional Arabic"/>
          <w:b/>
          <w:bCs/>
          <w:rtl/>
        </w:rPr>
        <w:t>خلاصة الفصل</w:t>
      </w:r>
    </w:p>
    <w:p w14:paraId="0377CEBB" w14:textId="71D18E93"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قدم هذا الفصل الإطار المنهجي المتكامل الذي ستستند إليه الدراسة في تحقيق أهدافها واختبار نموذجها المفاهيمي. وقد اعتمدت الدراسة المنهج المختلط وفق التصميم الاستكشافي المتسلسل، بحيث تبدأ بمرحلة نوعية تستخدم المقابلات شبه الموجهة وتحليل الوثائق لاستكشاف الظاهرة في السياق السعودي، ثم توظف نتائجها في تطوير الاستبانة، قبل الانتقال إلى المرحلة الكمية لاختبار النموذج والفرضيات</w:t>
      </w:r>
      <w:r w:rsidR="00284F9E" w:rsidRPr="00284F9E">
        <w:rPr>
          <w:rFonts w:ascii="Traditional Arabic" w:hAnsi="Traditional Arabic" w:cs="Traditional Arabic"/>
        </w:rPr>
        <w:t>.</w:t>
      </w:r>
    </w:p>
    <w:p w14:paraId="26429269" w14:textId="2EF544D2"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كما حدد الفصل مجتمع الدراسة وعيناتها وآليات اختيار المشاركين، واعتمد العينة القصدية الخبراتية في المرحلة النوعية مع الاستمرار حتى تشبع البيانات، والمعاينة الاحتمالية متعددة المراحل في المرحلة الكمية، من خلال اختيار عشر هيئات عشوائيًا ثم تطبيق العينة الطبقية العشوائية المتناسبة داخلها</w:t>
      </w:r>
      <w:r w:rsidR="00284F9E" w:rsidRPr="00284F9E">
        <w:rPr>
          <w:rFonts w:ascii="Traditional Arabic" w:hAnsi="Traditional Arabic" w:cs="Traditional Arabic"/>
        </w:rPr>
        <w:t>.</w:t>
      </w:r>
    </w:p>
    <w:p w14:paraId="62F77BA4" w14:textId="0992DB72"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وتم تحديد الحد الأدنى للعينة الكمية باستخدام تحليل القوة الإحصائية القبلي، الذي أظهر الحاجة إلى 107 استجابات صالحة وفق الافتراضات المحددة، مع استهداف الدراسة فعليًا نحو 450 استبانة للحصول على ما لا يقل عن 350 استجابة صالحة للتحليل</w:t>
      </w:r>
      <w:r w:rsidR="00284F9E" w:rsidRPr="00284F9E">
        <w:rPr>
          <w:rFonts w:ascii="Traditional Arabic" w:hAnsi="Traditional Arabic" w:cs="Traditional Arabic"/>
        </w:rPr>
        <w:t>.</w:t>
      </w:r>
    </w:p>
    <w:p w14:paraId="4B4F36F1" w14:textId="6B8AEBA5" w:rsidR="00284F9E" w:rsidRPr="00284F9E" w:rsidRDefault="008A5A7F" w:rsidP="00284F9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284F9E" w:rsidRPr="00284F9E">
        <w:rPr>
          <w:rFonts w:ascii="Traditional Arabic" w:hAnsi="Traditional Arabic" w:cs="Traditional Arabic"/>
          <w:rtl/>
        </w:rPr>
        <w:t>كما عالج الفصل إجراءات بناء الاستبانة وتحكيمها باستخدام مؤشر صدق المحتوى، وخطة الدراسة الاستطلاعية، وحدد نموذج القياس بوصفه نموذجًا من الرتبة العليا من النوع الانعكاسي–التكويني، مع تقديره باستخدام</w:t>
      </w:r>
      <w:r w:rsidR="00284F9E" w:rsidRPr="008A5A7F">
        <w:rPr>
          <w:rFonts w:ascii="Traditional Arabic" w:hAnsi="Traditional Arabic" w:cs="Traditional Arabic"/>
          <w:sz w:val="22"/>
          <w:szCs w:val="22"/>
        </w:rPr>
        <w:t xml:space="preserve"> </w:t>
      </w:r>
      <w:r w:rsidR="005005E5" w:rsidRPr="005005E5">
        <w:rPr>
          <w:rFonts w:ascii="Traditional Arabic" w:hAnsi="Traditional Arabic" w:cs="Traditional Arabic"/>
          <w:sz w:val="22"/>
          <w:szCs w:val="22"/>
          <w:highlight w:val="yellow"/>
        </w:rPr>
        <w:t>Disjoint Two-Stage Approach</w:t>
      </w:r>
      <w:r w:rsidR="00284F9E" w:rsidRPr="008A5A7F">
        <w:rPr>
          <w:rFonts w:ascii="Traditional Arabic" w:hAnsi="Traditional Arabic" w:cs="Traditional Arabic"/>
          <w:sz w:val="22"/>
          <w:szCs w:val="22"/>
        </w:rPr>
        <w:t xml:space="preserve"> </w:t>
      </w:r>
      <w:r w:rsidR="00284F9E" w:rsidRPr="008A5A7F">
        <w:rPr>
          <w:rFonts w:ascii="Traditional Arabic" w:hAnsi="Traditional Arabic" w:cs="Traditional Arabic"/>
          <w:sz w:val="22"/>
          <w:szCs w:val="22"/>
          <w:rtl/>
        </w:rPr>
        <w:t>في</w:t>
      </w:r>
      <w:r w:rsidR="00284F9E" w:rsidRPr="008A5A7F">
        <w:rPr>
          <w:rFonts w:ascii="Traditional Arabic" w:hAnsi="Traditional Arabic" w:cs="Traditional Arabic"/>
          <w:sz w:val="22"/>
          <w:szCs w:val="22"/>
        </w:rPr>
        <w:t xml:space="preserve"> SmartPLS 4.</w:t>
      </w:r>
    </w:p>
    <w:p w14:paraId="539566B4" w14:textId="3057B894" w:rsidR="00C67306" w:rsidRPr="00E2691F" w:rsidRDefault="008A5A7F" w:rsidP="00E2691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84F9E" w:rsidRPr="00284F9E">
        <w:rPr>
          <w:rFonts w:ascii="Traditional Arabic" w:hAnsi="Traditional Arabic" w:cs="Traditional Arabic"/>
          <w:rtl/>
        </w:rPr>
        <w:t>وأخيرًا، حدد الفصل آليات تقييم نموذج القياس والنموذج الهيكلي واختبار الدور الوسيط للتميز المؤسسي، وإجراءات دمج النتائج النوعية والكمية، والاعتبارات الأخلاقية التي ستسبق جمع البيانات. وبذلك يوفر الفصل أساسًا منهجيًا مترابطًا وقابلًا للتطبيق، يمهد لعرض النتائج وتحليلها ومناقشتها في الفصول اللاحقة، وصولًا إلى بناء النموذج الاستراتيجي المقترح للبراعة التنظيمية في هيئات القطاع العام السعودي</w:t>
      </w:r>
      <w:r w:rsidR="00284F9E" w:rsidRPr="00284F9E">
        <w:rPr>
          <w:rFonts w:ascii="Traditional Arabic" w:hAnsi="Traditional Arabic" w:cs="Traditional Arabic"/>
        </w:rPr>
        <w:t>.</w:t>
      </w:r>
    </w:p>
    <w:p w14:paraId="2720492F" w14:textId="146A784A" w:rsidR="00284F9E" w:rsidRPr="008A5A7F" w:rsidRDefault="008A5A7F" w:rsidP="00C67306">
      <w:pPr>
        <w:tabs>
          <w:tab w:val="left" w:pos="1368"/>
        </w:tabs>
        <w:bidi/>
        <w:spacing w:line="276" w:lineRule="auto"/>
        <w:jc w:val="both"/>
        <w:rPr>
          <w:rFonts w:ascii="Traditional Arabic" w:hAnsi="Traditional Arabic" w:cs="Traditional Arabic"/>
          <w:b/>
          <w:bCs/>
        </w:rPr>
      </w:pPr>
      <w:r>
        <w:rPr>
          <w:rFonts w:ascii="Traditional Arabic" w:hAnsi="Traditional Arabic" w:cs="Traditional Arabic" w:hint="cs"/>
          <w:b/>
          <w:bCs/>
          <w:rtl/>
        </w:rPr>
        <w:lastRenderedPageBreak/>
        <w:t>المصادر والمراجع:</w:t>
      </w:r>
    </w:p>
    <w:p w14:paraId="1CA44979" w14:textId="7777777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Bowen, G. A. (2009). Document analysis as a qualitative research method. </w:t>
      </w:r>
      <w:r w:rsidRPr="008A5A7F">
        <w:rPr>
          <w:rFonts w:ascii="Traditional Arabic" w:hAnsi="Traditional Arabic" w:cs="Traditional Arabic"/>
          <w:i/>
          <w:iCs/>
          <w:sz w:val="22"/>
          <w:szCs w:val="22"/>
        </w:rPr>
        <w:t>Qualitative Research Journal, 9</w:t>
      </w:r>
      <w:r w:rsidRPr="008A5A7F">
        <w:rPr>
          <w:rFonts w:ascii="Traditional Arabic" w:hAnsi="Traditional Arabic" w:cs="Traditional Arabic"/>
          <w:sz w:val="22"/>
          <w:szCs w:val="22"/>
        </w:rPr>
        <w:t>(2), 27–40.</w:t>
      </w:r>
    </w:p>
    <w:p w14:paraId="65A35FAD" w14:textId="7777777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Braun, V., &amp; Clarke, V. (2022). </w:t>
      </w:r>
      <w:r w:rsidRPr="008A5A7F">
        <w:rPr>
          <w:rFonts w:ascii="Traditional Arabic" w:hAnsi="Traditional Arabic" w:cs="Traditional Arabic"/>
          <w:i/>
          <w:iCs/>
          <w:sz w:val="22"/>
          <w:szCs w:val="22"/>
        </w:rPr>
        <w:t>Thematic analysis: A practical guide</w:t>
      </w:r>
      <w:r w:rsidRPr="008A5A7F">
        <w:rPr>
          <w:rFonts w:ascii="Traditional Arabic" w:hAnsi="Traditional Arabic" w:cs="Traditional Arabic"/>
          <w:sz w:val="22"/>
          <w:szCs w:val="22"/>
        </w:rPr>
        <w:t>. Sage.</w:t>
      </w:r>
    </w:p>
    <w:p w14:paraId="479A5CF1" w14:textId="7777777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Creswell, J. W., &amp; Creswell, J. D. (2022). </w:t>
      </w:r>
      <w:r w:rsidRPr="008A5A7F">
        <w:rPr>
          <w:rFonts w:ascii="Traditional Arabic" w:hAnsi="Traditional Arabic" w:cs="Traditional Arabic"/>
          <w:i/>
          <w:iCs/>
          <w:sz w:val="22"/>
          <w:szCs w:val="22"/>
        </w:rPr>
        <w:t xml:space="preserve">Research design: Qualitative, quantitative, and mixed methods </w:t>
      </w:r>
      <w:proofErr w:type="gramStart"/>
      <w:r w:rsidRPr="008A5A7F">
        <w:rPr>
          <w:rFonts w:ascii="Traditional Arabic" w:hAnsi="Traditional Arabic" w:cs="Traditional Arabic"/>
          <w:i/>
          <w:iCs/>
          <w:sz w:val="22"/>
          <w:szCs w:val="22"/>
        </w:rPr>
        <w:t>approaches</w:t>
      </w:r>
      <w:proofErr w:type="gramEnd"/>
      <w:r w:rsidRPr="008A5A7F">
        <w:rPr>
          <w:rFonts w:ascii="Traditional Arabic" w:hAnsi="Traditional Arabic" w:cs="Traditional Arabic"/>
          <w:sz w:val="22"/>
          <w:szCs w:val="22"/>
        </w:rPr>
        <w:t xml:space="preserve"> (6th ed.). Sage.</w:t>
      </w:r>
    </w:p>
    <w:p w14:paraId="07EC7560" w14:textId="7777777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Creswell, J. W., &amp; Plano Clark, V. L. (2018). </w:t>
      </w:r>
      <w:r w:rsidRPr="008A5A7F">
        <w:rPr>
          <w:rFonts w:ascii="Traditional Arabic" w:hAnsi="Traditional Arabic" w:cs="Traditional Arabic"/>
          <w:i/>
          <w:iCs/>
          <w:sz w:val="22"/>
          <w:szCs w:val="22"/>
        </w:rPr>
        <w:t>Designing and conducting mixed methods research</w:t>
      </w:r>
      <w:r w:rsidRPr="008A5A7F">
        <w:rPr>
          <w:rFonts w:ascii="Traditional Arabic" w:hAnsi="Traditional Arabic" w:cs="Traditional Arabic"/>
          <w:sz w:val="22"/>
          <w:szCs w:val="22"/>
        </w:rPr>
        <w:t xml:space="preserve"> (3rd ed.). Sage.</w:t>
      </w:r>
    </w:p>
    <w:p w14:paraId="155FA5F7" w14:textId="178B7A1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Faul, F., Erdfelder, E., Buchner, A., &amp; Lang, A.-G. (2009). Statistical power analyses using G*Power 3.1: Tests for correlation and regression analyses. </w:t>
      </w:r>
      <w:r w:rsidRPr="008A5A7F">
        <w:rPr>
          <w:rFonts w:ascii="Traditional Arabic" w:hAnsi="Traditional Arabic" w:cs="Traditional Arabic"/>
          <w:i/>
          <w:iCs/>
          <w:sz w:val="22"/>
          <w:szCs w:val="22"/>
        </w:rPr>
        <w:t>Behavior Research Methods, 41</w:t>
      </w:r>
      <w:r w:rsidRPr="008A5A7F">
        <w:rPr>
          <w:rFonts w:ascii="Traditional Arabic" w:hAnsi="Traditional Arabic" w:cs="Traditional Arabic"/>
          <w:sz w:val="22"/>
          <w:szCs w:val="22"/>
        </w:rPr>
        <w:t xml:space="preserve">(4), 1149–1160. </w:t>
      </w:r>
    </w:p>
    <w:p w14:paraId="116EB027" w14:textId="52FFE253"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Fetters, M. D., Curry, L. A., &amp; Creswell, J. W. (2013). Achieving integration in mixed methods designs—Principles and practices. </w:t>
      </w:r>
      <w:r w:rsidRPr="008A5A7F">
        <w:rPr>
          <w:rFonts w:ascii="Traditional Arabic" w:hAnsi="Traditional Arabic" w:cs="Traditional Arabic"/>
          <w:i/>
          <w:iCs/>
          <w:sz w:val="22"/>
          <w:szCs w:val="22"/>
        </w:rPr>
        <w:t>Health Services Research, 48</w:t>
      </w:r>
      <w:r w:rsidRPr="008A5A7F">
        <w:rPr>
          <w:rFonts w:ascii="Traditional Arabic" w:hAnsi="Traditional Arabic" w:cs="Traditional Arabic"/>
          <w:sz w:val="22"/>
          <w:szCs w:val="22"/>
        </w:rPr>
        <w:t>(6 Pt 2), 2134–2156.</w:t>
      </w:r>
      <w:r w:rsidR="008A5A7F" w:rsidRPr="008A5A7F">
        <w:rPr>
          <w:rFonts w:ascii="Traditional Arabic" w:hAnsi="Traditional Arabic" w:cs="Traditional Arabic"/>
          <w:sz w:val="22"/>
          <w:szCs w:val="22"/>
        </w:rPr>
        <w:t xml:space="preserve"> </w:t>
      </w:r>
    </w:p>
    <w:p w14:paraId="5E687D37" w14:textId="66A49CD3" w:rsidR="00284F9E" w:rsidRPr="008A5A7F" w:rsidRDefault="00284F9E" w:rsidP="008A5A7F">
      <w:pPr>
        <w:tabs>
          <w:tab w:val="left" w:pos="1368"/>
        </w:tabs>
        <w:spacing w:line="276" w:lineRule="auto"/>
        <w:jc w:val="both"/>
        <w:rPr>
          <w:rFonts w:ascii="Traditional Arabic" w:hAnsi="Traditional Arabic" w:cs="Traditional Arabic"/>
          <w:sz w:val="22"/>
          <w:szCs w:val="22"/>
        </w:rPr>
      </w:pPr>
      <w:proofErr w:type="gramStart"/>
      <w:r w:rsidRPr="008A5A7F">
        <w:rPr>
          <w:rFonts w:ascii="Traditional Arabic" w:hAnsi="Traditional Arabic" w:cs="Traditional Arabic"/>
          <w:sz w:val="22"/>
          <w:szCs w:val="22"/>
        </w:rPr>
        <w:t>Guest</w:t>
      </w:r>
      <w:proofErr w:type="gramEnd"/>
      <w:r w:rsidRPr="008A5A7F">
        <w:rPr>
          <w:rFonts w:ascii="Traditional Arabic" w:hAnsi="Traditional Arabic" w:cs="Traditional Arabic"/>
          <w:sz w:val="22"/>
          <w:szCs w:val="22"/>
        </w:rPr>
        <w:t xml:space="preserve">, G., Namey, E., &amp; Chen, M. (2020). A simple method to assess and report thematic saturation in qualitative research. </w:t>
      </w:r>
      <w:r w:rsidRPr="008A5A7F">
        <w:rPr>
          <w:rFonts w:ascii="Traditional Arabic" w:hAnsi="Traditional Arabic" w:cs="Traditional Arabic"/>
          <w:i/>
          <w:iCs/>
          <w:sz w:val="22"/>
          <w:szCs w:val="22"/>
        </w:rPr>
        <w:t>PLOS ONE, 15</w:t>
      </w:r>
      <w:r w:rsidRPr="008A5A7F">
        <w:rPr>
          <w:rFonts w:ascii="Traditional Arabic" w:hAnsi="Traditional Arabic" w:cs="Traditional Arabic"/>
          <w:sz w:val="22"/>
          <w:szCs w:val="22"/>
        </w:rPr>
        <w:t>(5), e0232076.</w:t>
      </w:r>
      <w:r w:rsidR="008A5A7F" w:rsidRPr="008A5A7F">
        <w:rPr>
          <w:rFonts w:ascii="Traditional Arabic" w:hAnsi="Traditional Arabic" w:cs="Traditional Arabic"/>
          <w:sz w:val="22"/>
          <w:szCs w:val="22"/>
        </w:rPr>
        <w:t xml:space="preserve"> </w:t>
      </w:r>
    </w:p>
    <w:p w14:paraId="699897E5" w14:textId="77777777"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Hair, J. F., Hult, G. T. M., Ringle, C. M., &amp; Sarstedt, M. (2022). </w:t>
      </w:r>
      <w:r w:rsidRPr="008A5A7F">
        <w:rPr>
          <w:rFonts w:ascii="Traditional Arabic" w:hAnsi="Traditional Arabic" w:cs="Traditional Arabic"/>
          <w:i/>
          <w:iCs/>
          <w:sz w:val="22"/>
          <w:szCs w:val="22"/>
        </w:rPr>
        <w:t>A primer on partial least squares structural equation modeling (PLS-SEM)</w:t>
      </w:r>
      <w:r w:rsidRPr="008A5A7F">
        <w:rPr>
          <w:rFonts w:ascii="Traditional Arabic" w:hAnsi="Traditional Arabic" w:cs="Traditional Arabic"/>
          <w:sz w:val="22"/>
          <w:szCs w:val="22"/>
        </w:rPr>
        <w:t xml:space="preserve"> (3rd ed.). Sage.</w:t>
      </w:r>
    </w:p>
    <w:p w14:paraId="1E082222" w14:textId="54212C95"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Henseler, J., Ringle, C. M., &amp; Sarstedt, M. (2015). A new criterion for assessing discriminant validity in variance-based structural equation modeling. </w:t>
      </w:r>
      <w:r w:rsidRPr="008A5A7F">
        <w:rPr>
          <w:rFonts w:ascii="Traditional Arabic" w:hAnsi="Traditional Arabic" w:cs="Traditional Arabic"/>
          <w:i/>
          <w:iCs/>
          <w:sz w:val="22"/>
          <w:szCs w:val="22"/>
        </w:rPr>
        <w:t>Journal of the Academy of Marketing Science, 43</w:t>
      </w:r>
      <w:r w:rsidRPr="008A5A7F">
        <w:rPr>
          <w:rFonts w:ascii="Traditional Arabic" w:hAnsi="Traditional Arabic" w:cs="Traditional Arabic"/>
          <w:sz w:val="22"/>
          <w:szCs w:val="22"/>
        </w:rPr>
        <w:t xml:space="preserve">(1), 115–135. </w:t>
      </w:r>
    </w:p>
    <w:p w14:paraId="39122215" w14:textId="17B8397B"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Hertzog, M. A. (2008). Considerations in determining sample size for pilot studies. </w:t>
      </w:r>
      <w:r w:rsidRPr="008A5A7F">
        <w:rPr>
          <w:rFonts w:ascii="Traditional Arabic" w:hAnsi="Traditional Arabic" w:cs="Traditional Arabic"/>
          <w:i/>
          <w:iCs/>
          <w:sz w:val="22"/>
          <w:szCs w:val="22"/>
        </w:rPr>
        <w:t>Research in Nursing &amp; Health, 31</w:t>
      </w:r>
      <w:r w:rsidRPr="008A5A7F">
        <w:rPr>
          <w:rFonts w:ascii="Traditional Arabic" w:hAnsi="Traditional Arabic" w:cs="Traditional Arabic"/>
          <w:sz w:val="22"/>
          <w:szCs w:val="22"/>
        </w:rPr>
        <w:t xml:space="preserve">(2), 180–191. </w:t>
      </w:r>
    </w:p>
    <w:p w14:paraId="07B24E28" w14:textId="7FF29001"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Johanson, G. A., &amp; Brooks, G. P. (2010). Initial scale development: Sample size for pilot studies. </w:t>
      </w:r>
      <w:r w:rsidRPr="008A5A7F">
        <w:rPr>
          <w:rFonts w:ascii="Traditional Arabic" w:hAnsi="Traditional Arabic" w:cs="Traditional Arabic"/>
          <w:i/>
          <w:iCs/>
          <w:sz w:val="22"/>
          <w:szCs w:val="22"/>
        </w:rPr>
        <w:t>Educational and Psychological Measurement, 70</w:t>
      </w:r>
      <w:r w:rsidRPr="008A5A7F">
        <w:rPr>
          <w:rFonts w:ascii="Traditional Arabic" w:hAnsi="Traditional Arabic" w:cs="Traditional Arabic"/>
          <w:sz w:val="22"/>
          <w:szCs w:val="22"/>
        </w:rPr>
        <w:t>(3), 394–400.</w:t>
      </w:r>
      <w:r w:rsidR="008A5A7F" w:rsidRPr="008A5A7F">
        <w:rPr>
          <w:rFonts w:ascii="Traditional Arabic" w:hAnsi="Traditional Arabic" w:cs="Traditional Arabic"/>
          <w:sz w:val="22"/>
          <w:szCs w:val="22"/>
        </w:rPr>
        <w:t xml:space="preserve"> </w:t>
      </w:r>
    </w:p>
    <w:p w14:paraId="5E6D15CB" w14:textId="5740D9A5"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Polit, D. F., Beck, C. T., &amp; Owen, S. V. (2007). Is the CVI an acceptable indicator of content validity? Appraisal and recommendations. </w:t>
      </w:r>
      <w:r w:rsidRPr="008A5A7F">
        <w:rPr>
          <w:rFonts w:ascii="Traditional Arabic" w:hAnsi="Traditional Arabic" w:cs="Traditional Arabic"/>
          <w:i/>
          <w:iCs/>
          <w:sz w:val="22"/>
          <w:szCs w:val="22"/>
        </w:rPr>
        <w:t>Research in Nursing &amp; Health, 30</w:t>
      </w:r>
      <w:r w:rsidRPr="008A5A7F">
        <w:rPr>
          <w:rFonts w:ascii="Traditional Arabic" w:hAnsi="Traditional Arabic" w:cs="Traditional Arabic"/>
          <w:sz w:val="22"/>
          <w:szCs w:val="22"/>
        </w:rPr>
        <w:t xml:space="preserve">(4), 459–467. </w:t>
      </w:r>
    </w:p>
    <w:p w14:paraId="19E9EE9B" w14:textId="6DEA816E" w:rsidR="00284F9E" w:rsidRPr="008A5A7F" w:rsidRDefault="00284F9E" w:rsidP="008A5A7F">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Sarstedt, M., Hair, J. F., Cheah, J.-H., Becker, J.-M., &amp; Ringle, C. M. (2019). How to specify, estimate, and validate higher-order constructs in PLS-SEM. </w:t>
      </w:r>
      <w:r w:rsidRPr="008A5A7F">
        <w:rPr>
          <w:rFonts w:ascii="Traditional Arabic" w:hAnsi="Traditional Arabic" w:cs="Traditional Arabic"/>
          <w:i/>
          <w:iCs/>
          <w:sz w:val="22"/>
          <w:szCs w:val="22"/>
        </w:rPr>
        <w:t>Australasian Marketing Journal, 27</w:t>
      </w:r>
      <w:r w:rsidRPr="008A5A7F">
        <w:rPr>
          <w:rFonts w:ascii="Traditional Arabic" w:hAnsi="Traditional Arabic" w:cs="Traditional Arabic"/>
          <w:sz w:val="22"/>
          <w:szCs w:val="22"/>
        </w:rPr>
        <w:t xml:space="preserve">(3), 197–211. </w:t>
      </w:r>
    </w:p>
    <w:p w14:paraId="7FCA313E" w14:textId="7A689825" w:rsidR="00477B32" w:rsidRPr="00C06F62" w:rsidRDefault="00284F9E" w:rsidP="00C06F62">
      <w:pPr>
        <w:tabs>
          <w:tab w:val="left" w:pos="1368"/>
        </w:tabs>
        <w:spacing w:line="276" w:lineRule="auto"/>
        <w:jc w:val="both"/>
        <w:rPr>
          <w:rFonts w:ascii="Traditional Arabic" w:hAnsi="Traditional Arabic" w:cs="Traditional Arabic"/>
          <w:sz w:val="22"/>
          <w:szCs w:val="22"/>
        </w:rPr>
      </w:pPr>
      <w:r w:rsidRPr="008A5A7F">
        <w:rPr>
          <w:rFonts w:ascii="Traditional Arabic" w:hAnsi="Traditional Arabic" w:cs="Traditional Arabic"/>
          <w:sz w:val="22"/>
          <w:szCs w:val="22"/>
        </w:rPr>
        <w:t xml:space="preserve">Saunders, M. N. K., Lewis, P., &amp; Thornhill, A. (2023). </w:t>
      </w:r>
      <w:r w:rsidRPr="008A5A7F">
        <w:rPr>
          <w:rFonts w:ascii="Traditional Arabic" w:hAnsi="Traditional Arabic" w:cs="Traditional Arabic"/>
          <w:i/>
          <w:iCs/>
          <w:sz w:val="22"/>
          <w:szCs w:val="22"/>
        </w:rPr>
        <w:t>Research methods for business students</w:t>
      </w:r>
      <w:r w:rsidRPr="008A5A7F">
        <w:rPr>
          <w:rFonts w:ascii="Traditional Arabic" w:hAnsi="Traditional Arabic" w:cs="Traditional Arabic"/>
          <w:sz w:val="22"/>
          <w:szCs w:val="22"/>
        </w:rPr>
        <w:t xml:space="preserve"> (9th ed.). Pearson.</w:t>
      </w:r>
    </w:p>
    <w:sectPr w:rsidR="00477B32" w:rsidRPr="00C06F62">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405D9" w14:textId="77777777" w:rsidR="00A45941" w:rsidRDefault="00A45941" w:rsidP="007D236A">
      <w:pPr>
        <w:spacing w:after="0" w:line="240" w:lineRule="auto"/>
      </w:pPr>
      <w:r>
        <w:separator/>
      </w:r>
    </w:p>
  </w:endnote>
  <w:endnote w:type="continuationSeparator" w:id="0">
    <w:p w14:paraId="697B8AF8" w14:textId="77777777" w:rsidR="00A45941" w:rsidRDefault="00A45941"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1142D" w14:textId="77777777" w:rsidR="00A45941" w:rsidRDefault="00A45941" w:rsidP="007D236A">
      <w:pPr>
        <w:spacing w:after="0" w:line="240" w:lineRule="auto"/>
      </w:pPr>
      <w:r>
        <w:separator/>
      </w:r>
    </w:p>
  </w:footnote>
  <w:footnote w:type="continuationSeparator" w:id="0">
    <w:p w14:paraId="27AC70AA" w14:textId="77777777" w:rsidR="00A45941" w:rsidRDefault="00A45941"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517"/>
    <w:multiLevelType w:val="multilevel"/>
    <w:tmpl w:val="6D50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F33"/>
    <w:multiLevelType w:val="multilevel"/>
    <w:tmpl w:val="5C3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F12FC"/>
    <w:multiLevelType w:val="multilevel"/>
    <w:tmpl w:val="06F8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93BF2"/>
    <w:multiLevelType w:val="multilevel"/>
    <w:tmpl w:val="EEAA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E7495"/>
    <w:multiLevelType w:val="hybridMultilevel"/>
    <w:tmpl w:val="B8BCA7EC"/>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5" w15:restartNumberingAfterBreak="0">
    <w:nsid w:val="079F15AC"/>
    <w:multiLevelType w:val="multilevel"/>
    <w:tmpl w:val="5C44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06F69"/>
    <w:multiLevelType w:val="multilevel"/>
    <w:tmpl w:val="C058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D318F"/>
    <w:multiLevelType w:val="multilevel"/>
    <w:tmpl w:val="F6B2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54485"/>
    <w:multiLevelType w:val="multilevel"/>
    <w:tmpl w:val="B33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02E4C"/>
    <w:multiLevelType w:val="multilevel"/>
    <w:tmpl w:val="B952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E51C6"/>
    <w:multiLevelType w:val="multilevel"/>
    <w:tmpl w:val="CE6A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90B35"/>
    <w:multiLevelType w:val="multilevel"/>
    <w:tmpl w:val="53BA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97A33"/>
    <w:multiLevelType w:val="multilevel"/>
    <w:tmpl w:val="78EC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D24247"/>
    <w:multiLevelType w:val="multilevel"/>
    <w:tmpl w:val="CAB4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7757C"/>
    <w:multiLevelType w:val="multilevel"/>
    <w:tmpl w:val="B1C0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7C49D9"/>
    <w:multiLevelType w:val="multilevel"/>
    <w:tmpl w:val="7FF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83916"/>
    <w:multiLevelType w:val="multilevel"/>
    <w:tmpl w:val="86DA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773D34"/>
    <w:multiLevelType w:val="multilevel"/>
    <w:tmpl w:val="8A02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127A2"/>
    <w:multiLevelType w:val="multilevel"/>
    <w:tmpl w:val="55B2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721BD"/>
    <w:multiLevelType w:val="multilevel"/>
    <w:tmpl w:val="3186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6E3FA2"/>
    <w:multiLevelType w:val="multilevel"/>
    <w:tmpl w:val="E16C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C956E1"/>
    <w:multiLevelType w:val="hybridMultilevel"/>
    <w:tmpl w:val="8500CED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2" w15:restartNumberingAfterBreak="0">
    <w:nsid w:val="4B8C719B"/>
    <w:multiLevelType w:val="hybridMultilevel"/>
    <w:tmpl w:val="4D0AE65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3" w15:restartNumberingAfterBreak="0">
    <w:nsid w:val="4CC14CB1"/>
    <w:multiLevelType w:val="multilevel"/>
    <w:tmpl w:val="BDAC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701C09"/>
    <w:multiLevelType w:val="multilevel"/>
    <w:tmpl w:val="5370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51567D"/>
    <w:multiLevelType w:val="multilevel"/>
    <w:tmpl w:val="5DE4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97088"/>
    <w:multiLevelType w:val="multilevel"/>
    <w:tmpl w:val="BF62C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3C4B92"/>
    <w:multiLevelType w:val="multilevel"/>
    <w:tmpl w:val="A876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44D6D"/>
    <w:multiLevelType w:val="multilevel"/>
    <w:tmpl w:val="0C58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B61197"/>
    <w:multiLevelType w:val="multilevel"/>
    <w:tmpl w:val="0E1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BC72B7"/>
    <w:multiLevelType w:val="multilevel"/>
    <w:tmpl w:val="4A6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B73769"/>
    <w:multiLevelType w:val="multilevel"/>
    <w:tmpl w:val="F6F47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0160A0"/>
    <w:multiLevelType w:val="multilevel"/>
    <w:tmpl w:val="6868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743BF"/>
    <w:multiLevelType w:val="multilevel"/>
    <w:tmpl w:val="78EA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811471"/>
    <w:multiLevelType w:val="multilevel"/>
    <w:tmpl w:val="B9DCD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C70A77"/>
    <w:multiLevelType w:val="multilevel"/>
    <w:tmpl w:val="491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A0529B"/>
    <w:multiLevelType w:val="hybridMultilevel"/>
    <w:tmpl w:val="A09E4F2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37" w15:restartNumberingAfterBreak="0">
    <w:nsid w:val="774E4C0F"/>
    <w:multiLevelType w:val="multilevel"/>
    <w:tmpl w:val="4D04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000AF9"/>
    <w:multiLevelType w:val="multilevel"/>
    <w:tmpl w:val="6A6A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321210">
    <w:abstractNumId w:val="0"/>
  </w:num>
  <w:num w:numId="2" w16cid:durableId="947663695">
    <w:abstractNumId w:val="8"/>
  </w:num>
  <w:num w:numId="3" w16cid:durableId="1203135778">
    <w:abstractNumId w:val="7"/>
  </w:num>
  <w:num w:numId="4" w16cid:durableId="354619929">
    <w:abstractNumId w:val="6"/>
  </w:num>
  <w:num w:numId="5" w16cid:durableId="2090271363">
    <w:abstractNumId w:val="3"/>
  </w:num>
  <w:num w:numId="6" w16cid:durableId="1621910216">
    <w:abstractNumId w:val="29"/>
  </w:num>
  <w:num w:numId="7" w16cid:durableId="1697536067">
    <w:abstractNumId w:val="9"/>
  </w:num>
  <w:num w:numId="8" w16cid:durableId="963928011">
    <w:abstractNumId w:val="11"/>
  </w:num>
  <w:num w:numId="9" w16cid:durableId="985207509">
    <w:abstractNumId w:val="1"/>
  </w:num>
  <w:num w:numId="10" w16cid:durableId="671639933">
    <w:abstractNumId w:val="32"/>
  </w:num>
  <w:num w:numId="11" w16cid:durableId="375547195">
    <w:abstractNumId w:val="15"/>
  </w:num>
  <w:num w:numId="12" w16cid:durableId="635333715">
    <w:abstractNumId w:val="38"/>
  </w:num>
  <w:num w:numId="13" w16cid:durableId="874076903">
    <w:abstractNumId w:val="5"/>
  </w:num>
  <w:num w:numId="14" w16cid:durableId="963003365">
    <w:abstractNumId w:val="20"/>
  </w:num>
  <w:num w:numId="15" w16cid:durableId="1268000276">
    <w:abstractNumId w:val="18"/>
  </w:num>
  <w:num w:numId="16" w16cid:durableId="1672680621">
    <w:abstractNumId w:val="2"/>
  </w:num>
  <w:num w:numId="17" w16cid:durableId="1243442337">
    <w:abstractNumId w:val="12"/>
  </w:num>
  <w:num w:numId="18" w16cid:durableId="484974671">
    <w:abstractNumId w:val="33"/>
  </w:num>
  <w:num w:numId="19" w16cid:durableId="1589075476">
    <w:abstractNumId w:val="30"/>
  </w:num>
  <w:num w:numId="20" w16cid:durableId="1267468623">
    <w:abstractNumId w:val="26"/>
  </w:num>
  <w:num w:numId="21" w16cid:durableId="1574853040">
    <w:abstractNumId w:val="10"/>
  </w:num>
  <w:num w:numId="22" w16cid:durableId="111949346">
    <w:abstractNumId w:val="4"/>
  </w:num>
  <w:num w:numId="23" w16cid:durableId="1622885009">
    <w:abstractNumId w:val="36"/>
  </w:num>
  <w:num w:numId="24" w16cid:durableId="542060852">
    <w:abstractNumId w:val="21"/>
  </w:num>
  <w:num w:numId="25" w16cid:durableId="383648489">
    <w:abstractNumId w:val="22"/>
  </w:num>
  <w:num w:numId="26" w16cid:durableId="680426669">
    <w:abstractNumId w:val="27"/>
  </w:num>
  <w:num w:numId="27" w16cid:durableId="1932279771">
    <w:abstractNumId w:val="14"/>
  </w:num>
  <w:num w:numId="28" w16cid:durableId="583612414">
    <w:abstractNumId w:val="31"/>
  </w:num>
  <w:num w:numId="29" w16cid:durableId="1878807453">
    <w:abstractNumId w:val="17"/>
  </w:num>
  <w:num w:numId="30" w16cid:durableId="179201079">
    <w:abstractNumId w:val="37"/>
  </w:num>
  <w:num w:numId="31" w16cid:durableId="20790814">
    <w:abstractNumId w:val="28"/>
  </w:num>
  <w:num w:numId="32" w16cid:durableId="1266426302">
    <w:abstractNumId w:val="23"/>
  </w:num>
  <w:num w:numId="33" w16cid:durableId="1508517025">
    <w:abstractNumId w:val="13"/>
  </w:num>
  <w:num w:numId="34" w16cid:durableId="925922330">
    <w:abstractNumId w:val="16"/>
  </w:num>
  <w:num w:numId="35" w16cid:durableId="2122726322">
    <w:abstractNumId w:val="24"/>
  </w:num>
  <w:num w:numId="36" w16cid:durableId="2056001342">
    <w:abstractNumId w:val="25"/>
  </w:num>
  <w:num w:numId="37" w16cid:durableId="784234086">
    <w:abstractNumId w:val="35"/>
  </w:num>
  <w:num w:numId="38" w16cid:durableId="735664118">
    <w:abstractNumId w:val="34"/>
  </w:num>
  <w:num w:numId="39" w16cid:durableId="499079915">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237E7"/>
    <w:rsid w:val="0002404B"/>
    <w:rsid w:val="0002697F"/>
    <w:rsid w:val="00026DD3"/>
    <w:rsid w:val="00027B15"/>
    <w:rsid w:val="00027C05"/>
    <w:rsid w:val="000324CE"/>
    <w:rsid w:val="000368B7"/>
    <w:rsid w:val="00037FB1"/>
    <w:rsid w:val="00043355"/>
    <w:rsid w:val="0004481A"/>
    <w:rsid w:val="0004583F"/>
    <w:rsid w:val="00053B6A"/>
    <w:rsid w:val="000562D1"/>
    <w:rsid w:val="000624F4"/>
    <w:rsid w:val="000643B6"/>
    <w:rsid w:val="00066BA1"/>
    <w:rsid w:val="00067CF3"/>
    <w:rsid w:val="00070B46"/>
    <w:rsid w:val="000711C0"/>
    <w:rsid w:val="000752D5"/>
    <w:rsid w:val="00075D62"/>
    <w:rsid w:val="000833D5"/>
    <w:rsid w:val="00084D05"/>
    <w:rsid w:val="0008686D"/>
    <w:rsid w:val="00086C6F"/>
    <w:rsid w:val="000903A8"/>
    <w:rsid w:val="000911A0"/>
    <w:rsid w:val="00093C46"/>
    <w:rsid w:val="000970ED"/>
    <w:rsid w:val="000A4655"/>
    <w:rsid w:val="000A61DA"/>
    <w:rsid w:val="000A6C91"/>
    <w:rsid w:val="000B2A75"/>
    <w:rsid w:val="000B6EA8"/>
    <w:rsid w:val="000C0834"/>
    <w:rsid w:val="000C25E8"/>
    <w:rsid w:val="000C5DED"/>
    <w:rsid w:val="000D441F"/>
    <w:rsid w:val="000D6F5C"/>
    <w:rsid w:val="000D7278"/>
    <w:rsid w:val="000E04F7"/>
    <w:rsid w:val="000E72CA"/>
    <w:rsid w:val="000F0846"/>
    <w:rsid w:val="000F2A82"/>
    <w:rsid w:val="000F36D5"/>
    <w:rsid w:val="000F6AED"/>
    <w:rsid w:val="00103C09"/>
    <w:rsid w:val="00104DB5"/>
    <w:rsid w:val="00106714"/>
    <w:rsid w:val="00106CB0"/>
    <w:rsid w:val="0011038C"/>
    <w:rsid w:val="00112A62"/>
    <w:rsid w:val="00113139"/>
    <w:rsid w:val="001151B6"/>
    <w:rsid w:val="001152E4"/>
    <w:rsid w:val="00116207"/>
    <w:rsid w:val="0011631E"/>
    <w:rsid w:val="00120DFF"/>
    <w:rsid w:val="00124776"/>
    <w:rsid w:val="00124E11"/>
    <w:rsid w:val="001256B4"/>
    <w:rsid w:val="00131DAE"/>
    <w:rsid w:val="00132B9C"/>
    <w:rsid w:val="0013303C"/>
    <w:rsid w:val="00133DBA"/>
    <w:rsid w:val="001346D4"/>
    <w:rsid w:val="00140925"/>
    <w:rsid w:val="00146AA3"/>
    <w:rsid w:val="00146E10"/>
    <w:rsid w:val="0015032B"/>
    <w:rsid w:val="001510AE"/>
    <w:rsid w:val="0015306F"/>
    <w:rsid w:val="00166654"/>
    <w:rsid w:val="00166797"/>
    <w:rsid w:val="001706CA"/>
    <w:rsid w:val="001722A4"/>
    <w:rsid w:val="001726B7"/>
    <w:rsid w:val="00174A30"/>
    <w:rsid w:val="00176324"/>
    <w:rsid w:val="00184E6A"/>
    <w:rsid w:val="00186B89"/>
    <w:rsid w:val="00190480"/>
    <w:rsid w:val="00191243"/>
    <w:rsid w:val="001A34BE"/>
    <w:rsid w:val="001A4751"/>
    <w:rsid w:val="001A646F"/>
    <w:rsid w:val="001A77A4"/>
    <w:rsid w:val="001B7C42"/>
    <w:rsid w:val="001C194A"/>
    <w:rsid w:val="001C52DD"/>
    <w:rsid w:val="001C6F50"/>
    <w:rsid w:val="001D0213"/>
    <w:rsid w:val="001D121B"/>
    <w:rsid w:val="001D272D"/>
    <w:rsid w:val="001D2AE6"/>
    <w:rsid w:val="001D778B"/>
    <w:rsid w:val="001E30F0"/>
    <w:rsid w:val="001E64D6"/>
    <w:rsid w:val="001F0DFE"/>
    <w:rsid w:val="001F1814"/>
    <w:rsid w:val="001F2313"/>
    <w:rsid w:val="00203FF4"/>
    <w:rsid w:val="00207610"/>
    <w:rsid w:val="00210948"/>
    <w:rsid w:val="00210E63"/>
    <w:rsid w:val="00210F03"/>
    <w:rsid w:val="00210F86"/>
    <w:rsid w:val="00213E3B"/>
    <w:rsid w:val="00221022"/>
    <w:rsid w:val="00222054"/>
    <w:rsid w:val="00222D2E"/>
    <w:rsid w:val="00224297"/>
    <w:rsid w:val="00226EFD"/>
    <w:rsid w:val="00227EBC"/>
    <w:rsid w:val="0023035F"/>
    <w:rsid w:val="002350D9"/>
    <w:rsid w:val="002351CC"/>
    <w:rsid w:val="0024402A"/>
    <w:rsid w:val="002447F5"/>
    <w:rsid w:val="00251BCF"/>
    <w:rsid w:val="00253FDE"/>
    <w:rsid w:val="002640DA"/>
    <w:rsid w:val="00275B9B"/>
    <w:rsid w:val="00275BBB"/>
    <w:rsid w:val="0028188D"/>
    <w:rsid w:val="0028288A"/>
    <w:rsid w:val="002848C1"/>
    <w:rsid w:val="00284F9E"/>
    <w:rsid w:val="00286885"/>
    <w:rsid w:val="00287E3C"/>
    <w:rsid w:val="00287FE5"/>
    <w:rsid w:val="00291902"/>
    <w:rsid w:val="0029771B"/>
    <w:rsid w:val="002A010F"/>
    <w:rsid w:val="002A388D"/>
    <w:rsid w:val="002A4896"/>
    <w:rsid w:val="002A4A67"/>
    <w:rsid w:val="002A53E8"/>
    <w:rsid w:val="002A5FF4"/>
    <w:rsid w:val="002B028D"/>
    <w:rsid w:val="002B4B01"/>
    <w:rsid w:val="002B683B"/>
    <w:rsid w:val="002B6BC2"/>
    <w:rsid w:val="002C28CD"/>
    <w:rsid w:val="002C5C30"/>
    <w:rsid w:val="002D5801"/>
    <w:rsid w:val="002D6007"/>
    <w:rsid w:val="002E2A01"/>
    <w:rsid w:val="002E486B"/>
    <w:rsid w:val="002F227E"/>
    <w:rsid w:val="002F4FA6"/>
    <w:rsid w:val="002F588C"/>
    <w:rsid w:val="002F7D38"/>
    <w:rsid w:val="003013FE"/>
    <w:rsid w:val="00303506"/>
    <w:rsid w:val="003126B7"/>
    <w:rsid w:val="00314E3F"/>
    <w:rsid w:val="003155AA"/>
    <w:rsid w:val="003170FB"/>
    <w:rsid w:val="00322217"/>
    <w:rsid w:val="00324689"/>
    <w:rsid w:val="00326E5C"/>
    <w:rsid w:val="00327111"/>
    <w:rsid w:val="003346DF"/>
    <w:rsid w:val="00340EF3"/>
    <w:rsid w:val="0034364D"/>
    <w:rsid w:val="00345F3C"/>
    <w:rsid w:val="003464C6"/>
    <w:rsid w:val="00346CE4"/>
    <w:rsid w:val="00347A2F"/>
    <w:rsid w:val="00347BCF"/>
    <w:rsid w:val="00352491"/>
    <w:rsid w:val="003607EE"/>
    <w:rsid w:val="0036244E"/>
    <w:rsid w:val="00362BC6"/>
    <w:rsid w:val="003637AE"/>
    <w:rsid w:val="00363F25"/>
    <w:rsid w:val="00364466"/>
    <w:rsid w:val="00366B73"/>
    <w:rsid w:val="00367A8D"/>
    <w:rsid w:val="00367F84"/>
    <w:rsid w:val="00373F18"/>
    <w:rsid w:val="003755FA"/>
    <w:rsid w:val="00376A12"/>
    <w:rsid w:val="00382571"/>
    <w:rsid w:val="0038364A"/>
    <w:rsid w:val="0038713B"/>
    <w:rsid w:val="00391A72"/>
    <w:rsid w:val="003924AC"/>
    <w:rsid w:val="00393062"/>
    <w:rsid w:val="00395533"/>
    <w:rsid w:val="003961FC"/>
    <w:rsid w:val="00396B68"/>
    <w:rsid w:val="00397000"/>
    <w:rsid w:val="00397D41"/>
    <w:rsid w:val="003A2A6D"/>
    <w:rsid w:val="003A7BCF"/>
    <w:rsid w:val="003B04AE"/>
    <w:rsid w:val="003B12B8"/>
    <w:rsid w:val="003B4F6A"/>
    <w:rsid w:val="003B608B"/>
    <w:rsid w:val="003C00F1"/>
    <w:rsid w:val="003C0EEF"/>
    <w:rsid w:val="003D076E"/>
    <w:rsid w:val="003D72F9"/>
    <w:rsid w:val="003D7517"/>
    <w:rsid w:val="003E04FC"/>
    <w:rsid w:val="003E5427"/>
    <w:rsid w:val="003E6096"/>
    <w:rsid w:val="003E63FB"/>
    <w:rsid w:val="003F4102"/>
    <w:rsid w:val="003F4CCA"/>
    <w:rsid w:val="003F53C4"/>
    <w:rsid w:val="003F6F71"/>
    <w:rsid w:val="00402174"/>
    <w:rsid w:val="004050CB"/>
    <w:rsid w:val="00405747"/>
    <w:rsid w:val="00406393"/>
    <w:rsid w:val="00406453"/>
    <w:rsid w:val="00414AF0"/>
    <w:rsid w:val="00414FC0"/>
    <w:rsid w:val="0041511E"/>
    <w:rsid w:val="0041550E"/>
    <w:rsid w:val="0041572E"/>
    <w:rsid w:val="004166CC"/>
    <w:rsid w:val="00425621"/>
    <w:rsid w:val="00430B66"/>
    <w:rsid w:val="00432DBC"/>
    <w:rsid w:val="004349F7"/>
    <w:rsid w:val="00435C4E"/>
    <w:rsid w:val="0043747F"/>
    <w:rsid w:val="00437601"/>
    <w:rsid w:val="00442566"/>
    <w:rsid w:val="00443C57"/>
    <w:rsid w:val="00443E34"/>
    <w:rsid w:val="00450D31"/>
    <w:rsid w:val="004513AC"/>
    <w:rsid w:val="004559D9"/>
    <w:rsid w:val="0045788C"/>
    <w:rsid w:val="004611FC"/>
    <w:rsid w:val="004634C8"/>
    <w:rsid w:val="00465830"/>
    <w:rsid w:val="00465D1E"/>
    <w:rsid w:val="0047089A"/>
    <w:rsid w:val="004723CF"/>
    <w:rsid w:val="00474F47"/>
    <w:rsid w:val="00476F33"/>
    <w:rsid w:val="00477B32"/>
    <w:rsid w:val="00484F3F"/>
    <w:rsid w:val="0049092B"/>
    <w:rsid w:val="00494C0E"/>
    <w:rsid w:val="004A6C10"/>
    <w:rsid w:val="004A7CAA"/>
    <w:rsid w:val="004B0DC1"/>
    <w:rsid w:val="004B2C31"/>
    <w:rsid w:val="004B4B7A"/>
    <w:rsid w:val="004B73CC"/>
    <w:rsid w:val="004B7E26"/>
    <w:rsid w:val="004C02BB"/>
    <w:rsid w:val="004C238F"/>
    <w:rsid w:val="004C4D12"/>
    <w:rsid w:val="004C51BA"/>
    <w:rsid w:val="004C52D2"/>
    <w:rsid w:val="004D65D6"/>
    <w:rsid w:val="004E2563"/>
    <w:rsid w:val="004E3542"/>
    <w:rsid w:val="004E3654"/>
    <w:rsid w:val="004F3E92"/>
    <w:rsid w:val="004F4ADD"/>
    <w:rsid w:val="005005E5"/>
    <w:rsid w:val="00510767"/>
    <w:rsid w:val="00512EDC"/>
    <w:rsid w:val="00513B3A"/>
    <w:rsid w:val="0052037F"/>
    <w:rsid w:val="00522583"/>
    <w:rsid w:val="0052430D"/>
    <w:rsid w:val="00524B1D"/>
    <w:rsid w:val="0052668E"/>
    <w:rsid w:val="005268EF"/>
    <w:rsid w:val="005269A0"/>
    <w:rsid w:val="00530EE1"/>
    <w:rsid w:val="005315DA"/>
    <w:rsid w:val="005316CA"/>
    <w:rsid w:val="0053388F"/>
    <w:rsid w:val="00533F62"/>
    <w:rsid w:val="00533FCF"/>
    <w:rsid w:val="00537977"/>
    <w:rsid w:val="00540E75"/>
    <w:rsid w:val="00544956"/>
    <w:rsid w:val="00547DA3"/>
    <w:rsid w:val="005506C9"/>
    <w:rsid w:val="00551EC1"/>
    <w:rsid w:val="00554A46"/>
    <w:rsid w:val="005603B4"/>
    <w:rsid w:val="00560968"/>
    <w:rsid w:val="00562516"/>
    <w:rsid w:val="0056272B"/>
    <w:rsid w:val="00565054"/>
    <w:rsid w:val="00567125"/>
    <w:rsid w:val="0057075D"/>
    <w:rsid w:val="0057211A"/>
    <w:rsid w:val="00573133"/>
    <w:rsid w:val="00575D94"/>
    <w:rsid w:val="0058036B"/>
    <w:rsid w:val="00580495"/>
    <w:rsid w:val="0058423E"/>
    <w:rsid w:val="005844AA"/>
    <w:rsid w:val="00590700"/>
    <w:rsid w:val="00590855"/>
    <w:rsid w:val="00590EB6"/>
    <w:rsid w:val="005A547D"/>
    <w:rsid w:val="005B1D33"/>
    <w:rsid w:val="005B1DF3"/>
    <w:rsid w:val="005B4ADB"/>
    <w:rsid w:val="005C146C"/>
    <w:rsid w:val="005C5913"/>
    <w:rsid w:val="005C69F7"/>
    <w:rsid w:val="005C7A3E"/>
    <w:rsid w:val="005D0C3D"/>
    <w:rsid w:val="005D381C"/>
    <w:rsid w:val="005D3906"/>
    <w:rsid w:val="005D45A9"/>
    <w:rsid w:val="005D6D21"/>
    <w:rsid w:val="005E69C7"/>
    <w:rsid w:val="005F58B9"/>
    <w:rsid w:val="0060099C"/>
    <w:rsid w:val="006016E0"/>
    <w:rsid w:val="00601B92"/>
    <w:rsid w:val="00603995"/>
    <w:rsid w:val="00603B59"/>
    <w:rsid w:val="00604F8C"/>
    <w:rsid w:val="0060569F"/>
    <w:rsid w:val="0060629A"/>
    <w:rsid w:val="0060745E"/>
    <w:rsid w:val="006123C0"/>
    <w:rsid w:val="00612B7A"/>
    <w:rsid w:val="006179C0"/>
    <w:rsid w:val="006179FB"/>
    <w:rsid w:val="00620A17"/>
    <w:rsid w:val="006279BB"/>
    <w:rsid w:val="006309EB"/>
    <w:rsid w:val="00631F6D"/>
    <w:rsid w:val="006322E8"/>
    <w:rsid w:val="0063280E"/>
    <w:rsid w:val="00633AD2"/>
    <w:rsid w:val="00641EEE"/>
    <w:rsid w:val="00642A8F"/>
    <w:rsid w:val="00646297"/>
    <w:rsid w:val="00646D5A"/>
    <w:rsid w:val="00647E18"/>
    <w:rsid w:val="00656498"/>
    <w:rsid w:val="006579C1"/>
    <w:rsid w:val="00661642"/>
    <w:rsid w:val="00662593"/>
    <w:rsid w:val="00663E80"/>
    <w:rsid w:val="00666A2C"/>
    <w:rsid w:val="0066769A"/>
    <w:rsid w:val="00667974"/>
    <w:rsid w:val="006759C8"/>
    <w:rsid w:val="00675FB0"/>
    <w:rsid w:val="00677693"/>
    <w:rsid w:val="00682381"/>
    <w:rsid w:val="00683348"/>
    <w:rsid w:val="00684EFD"/>
    <w:rsid w:val="0068538C"/>
    <w:rsid w:val="00691221"/>
    <w:rsid w:val="006940F7"/>
    <w:rsid w:val="00694734"/>
    <w:rsid w:val="00696069"/>
    <w:rsid w:val="00697269"/>
    <w:rsid w:val="006B383F"/>
    <w:rsid w:val="006C0685"/>
    <w:rsid w:val="006D67F5"/>
    <w:rsid w:val="006D6A00"/>
    <w:rsid w:val="006E4315"/>
    <w:rsid w:val="006E6C98"/>
    <w:rsid w:val="006F77CD"/>
    <w:rsid w:val="0070263E"/>
    <w:rsid w:val="007031D0"/>
    <w:rsid w:val="00706623"/>
    <w:rsid w:val="007102B7"/>
    <w:rsid w:val="007129C6"/>
    <w:rsid w:val="007159AA"/>
    <w:rsid w:val="00725A10"/>
    <w:rsid w:val="0073031A"/>
    <w:rsid w:val="00737A07"/>
    <w:rsid w:val="00740208"/>
    <w:rsid w:val="00741E67"/>
    <w:rsid w:val="00742ED5"/>
    <w:rsid w:val="0074784E"/>
    <w:rsid w:val="00747BBF"/>
    <w:rsid w:val="0075104E"/>
    <w:rsid w:val="00752314"/>
    <w:rsid w:val="0075265A"/>
    <w:rsid w:val="007541D6"/>
    <w:rsid w:val="00755B60"/>
    <w:rsid w:val="00757126"/>
    <w:rsid w:val="00763575"/>
    <w:rsid w:val="00764E8E"/>
    <w:rsid w:val="00766322"/>
    <w:rsid w:val="00775E3D"/>
    <w:rsid w:val="00777C0D"/>
    <w:rsid w:val="007807F3"/>
    <w:rsid w:val="00783BBA"/>
    <w:rsid w:val="007847FA"/>
    <w:rsid w:val="00791B62"/>
    <w:rsid w:val="0079255B"/>
    <w:rsid w:val="0079283E"/>
    <w:rsid w:val="0079339A"/>
    <w:rsid w:val="007952EF"/>
    <w:rsid w:val="007A0EF4"/>
    <w:rsid w:val="007A10D0"/>
    <w:rsid w:val="007A55D7"/>
    <w:rsid w:val="007A6EF2"/>
    <w:rsid w:val="007B0EF7"/>
    <w:rsid w:val="007B17EE"/>
    <w:rsid w:val="007B3092"/>
    <w:rsid w:val="007B3EFB"/>
    <w:rsid w:val="007C5947"/>
    <w:rsid w:val="007C60A0"/>
    <w:rsid w:val="007C7B7F"/>
    <w:rsid w:val="007D010F"/>
    <w:rsid w:val="007D2081"/>
    <w:rsid w:val="007D236A"/>
    <w:rsid w:val="007D2793"/>
    <w:rsid w:val="007D2A50"/>
    <w:rsid w:val="007D42A6"/>
    <w:rsid w:val="007D56B2"/>
    <w:rsid w:val="00801207"/>
    <w:rsid w:val="0081125E"/>
    <w:rsid w:val="00813C94"/>
    <w:rsid w:val="008215B8"/>
    <w:rsid w:val="008222CF"/>
    <w:rsid w:val="0082589A"/>
    <w:rsid w:val="00827EF5"/>
    <w:rsid w:val="008329E7"/>
    <w:rsid w:val="00832BDE"/>
    <w:rsid w:val="00836096"/>
    <w:rsid w:val="008432CB"/>
    <w:rsid w:val="00844325"/>
    <w:rsid w:val="008454A9"/>
    <w:rsid w:val="008458CE"/>
    <w:rsid w:val="00856C9F"/>
    <w:rsid w:val="00863DEF"/>
    <w:rsid w:val="00865690"/>
    <w:rsid w:val="00866AC6"/>
    <w:rsid w:val="00870ACC"/>
    <w:rsid w:val="0087488C"/>
    <w:rsid w:val="00874BBD"/>
    <w:rsid w:val="008762CC"/>
    <w:rsid w:val="00876B9A"/>
    <w:rsid w:val="00883D13"/>
    <w:rsid w:val="0088538A"/>
    <w:rsid w:val="008935FA"/>
    <w:rsid w:val="00894322"/>
    <w:rsid w:val="008A0BFC"/>
    <w:rsid w:val="008A1EDE"/>
    <w:rsid w:val="008A2261"/>
    <w:rsid w:val="008A2CCF"/>
    <w:rsid w:val="008A55FE"/>
    <w:rsid w:val="008A5A7F"/>
    <w:rsid w:val="008B27A7"/>
    <w:rsid w:val="008B38AB"/>
    <w:rsid w:val="008C5404"/>
    <w:rsid w:val="008D503B"/>
    <w:rsid w:val="008D569C"/>
    <w:rsid w:val="008D71C2"/>
    <w:rsid w:val="008D722B"/>
    <w:rsid w:val="008F2D50"/>
    <w:rsid w:val="008F68E9"/>
    <w:rsid w:val="00907E8D"/>
    <w:rsid w:val="009104D6"/>
    <w:rsid w:val="00910CAC"/>
    <w:rsid w:val="009116DC"/>
    <w:rsid w:val="00913B63"/>
    <w:rsid w:val="00914F74"/>
    <w:rsid w:val="00922D42"/>
    <w:rsid w:val="00925105"/>
    <w:rsid w:val="0092579E"/>
    <w:rsid w:val="009262B2"/>
    <w:rsid w:val="009266F1"/>
    <w:rsid w:val="0093211F"/>
    <w:rsid w:val="00932931"/>
    <w:rsid w:val="00932BCB"/>
    <w:rsid w:val="00932BCC"/>
    <w:rsid w:val="0093575D"/>
    <w:rsid w:val="00953076"/>
    <w:rsid w:val="009569CA"/>
    <w:rsid w:val="00957E14"/>
    <w:rsid w:val="00965058"/>
    <w:rsid w:val="00966647"/>
    <w:rsid w:val="00966DBF"/>
    <w:rsid w:val="009737A6"/>
    <w:rsid w:val="00976147"/>
    <w:rsid w:val="009772A2"/>
    <w:rsid w:val="00980273"/>
    <w:rsid w:val="00982135"/>
    <w:rsid w:val="00983675"/>
    <w:rsid w:val="009848E1"/>
    <w:rsid w:val="00984A49"/>
    <w:rsid w:val="00994A8D"/>
    <w:rsid w:val="0099571F"/>
    <w:rsid w:val="00995A58"/>
    <w:rsid w:val="00997BFD"/>
    <w:rsid w:val="009A2A3E"/>
    <w:rsid w:val="009A6153"/>
    <w:rsid w:val="009A68E4"/>
    <w:rsid w:val="009A7E67"/>
    <w:rsid w:val="009B6BB6"/>
    <w:rsid w:val="009B785A"/>
    <w:rsid w:val="009D08FC"/>
    <w:rsid w:val="009D2B07"/>
    <w:rsid w:val="009D7A7C"/>
    <w:rsid w:val="009E095C"/>
    <w:rsid w:val="009E23C3"/>
    <w:rsid w:val="009E3993"/>
    <w:rsid w:val="009F4DB9"/>
    <w:rsid w:val="009F7CD9"/>
    <w:rsid w:val="00A01FC2"/>
    <w:rsid w:val="00A0384B"/>
    <w:rsid w:val="00A04F7F"/>
    <w:rsid w:val="00A05931"/>
    <w:rsid w:val="00A061F2"/>
    <w:rsid w:val="00A064F8"/>
    <w:rsid w:val="00A11C1C"/>
    <w:rsid w:val="00A122F7"/>
    <w:rsid w:val="00A2243E"/>
    <w:rsid w:val="00A23A9F"/>
    <w:rsid w:val="00A24E72"/>
    <w:rsid w:val="00A25F2E"/>
    <w:rsid w:val="00A3263B"/>
    <w:rsid w:val="00A3269E"/>
    <w:rsid w:val="00A3445A"/>
    <w:rsid w:val="00A34C77"/>
    <w:rsid w:val="00A41A31"/>
    <w:rsid w:val="00A45941"/>
    <w:rsid w:val="00A56190"/>
    <w:rsid w:val="00A57F51"/>
    <w:rsid w:val="00A60710"/>
    <w:rsid w:val="00A614B3"/>
    <w:rsid w:val="00A62821"/>
    <w:rsid w:val="00A6668F"/>
    <w:rsid w:val="00A70A0D"/>
    <w:rsid w:val="00A71AA7"/>
    <w:rsid w:val="00A73313"/>
    <w:rsid w:val="00A73D29"/>
    <w:rsid w:val="00A73D46"/>
    <w:rsid w:val="00A7499F"/>
    <w:rsid w:val="00A76C5B"/>
    <w:rsid w:val="00A77976"/>
    <w:rsid w:val="00A84A69"/>
    <w:rsid w:val="00A8644B"/>
    <w:rsid w:val="00A90100"/>
    <w:rsid w:val="00A93C1B"/>
    <w:rsid w:val="00A93E9B"/>
    <w:rsid w:val="00A975C5"/>
    <w:rsid w:val="00A97A04"/>
    <w:rsid w:val="00A97BC0"/>
    <w:rsid w:val="00AA1FF8"/>
    <w:rsid w:val="00AB02EA"/>
    <w:rsid w:val="00AB0EA1"/>
    <w:rsid w:val="00AB29BB"/>
    <w:rsid w:val="00AB50B3"/>
    <w:rsid w:val="00AB7983"/>
    <w:rsid w:val="00AC1EFC"/>
    <w:rsid w:val="00AC4E1D"/>
    <w:rsid w:val="00AC57DE"/>
    <w:rsid w:val="00AD2074"/>
    <w:rsid w:val="00AD5566"/>
    <w:rsid w:val="00AD5E00"/>
    <w:rsid w:val="00AD748A"/>
    <w:rsid w:val="00AE0E71"/>
    <w:rsid w:val="00AE139B"/>
    <w:rsid w:val="00AE6FA2"/>
    <w:rsid w:val="00AF016A"/>
    <w:rsid w:val="00AF4DA0"/>
    <w:rsid w:val="00AF792D"/>
    <w:rsid w:val="00B01AF1"/>
    <w:rsid w:val="00B062F4"/>
    <w:rsid w:val="00B07BF7"/>
    <w:rsid w:val="00B10A01"/>
    <w:rsid w:val="00B10EE9"/>
    <w:rsid w:val="00B117D1"/>
    <w:rsid w:val="00B121D8"/>
    <w:rsid w:val="00B12AA8"/>
    <w:rsid w:val="00B17FC3"/>
    <w:rsid w:val="00B222B5"/>
    <w:rsid w:val="00B26E90"/>
    <w:rsid w:val="00B30D6D"/>
    <w:rsid w:val="00B32410"/>
    <w:rsid w:val="00B335FB"/>
    <w:rsid w:val="00B34F86"/>
    <w:rsid w:val="00B35A01"/>
    <w:rsid w:val="00B375C9"/>
    <w:rsid w:val="00B45B99"/>
    <w:rsid w:val="00B473F9"/>
    <w:rsid w:val="00B473FB"/>
    <w:rsid w:val="00B50C8C"/>
    <w:rsid w:val="00B50F90"/>
    <w:rsid w:val="00B53115"/>
    <w:rsid w:val="00B536C7"/>
    <w:rsid w:val="00B53F79"/>
    <w:rsid w:val="00B57322"/>
    <w:rsid w:val="00B62190"/>
    <w:rsid w:val="00B6580C"/>
    <w:rsid w:val="00B66835"/>
    <w:rsid w:val="00B7159B"/>
    <w:rsid w:val="00B739B1"/>
    <w:rsid w:val="00B74ED3"/>
    <w:rsid w:val="00B802DC"/>
    <w:rsid w:val="00B82BE6"/>
    <w:rsid w:val="00B83917"/>
    <w:rsid w:val="00B83F67"/>
    <w:rsid w:val="00B842D6"/>
    <w:rsid w:val="00B85356"/>
    <w:rsid w:val="00B87772"/>
    <w:rsid w:val="00B9075D"/>
    <w:rsid w:val="00B913B2"/>
    <w:rsid w:val="00B93B25"/>
    <w:rsid w:val="00B949C4"/>
    <w:rsid w:val="00B950F1"/>
    <w:rsid w:val="00B968E5"/>
    <w:rsid w:val="00BA5CE5"/>
    <w:rsid w:val="00BB1284"/>
    <w:rsid w:val="00BB5780"/>
    <w:rsid w:val="00BB5F64"/>
    <w:rsid w:val="00BC078D"/>
    <w:rsid w:val="00BC36C9"/>
    <w:rsid w:val="00BC4573"/>
    <w:rsid w:val="00BC5F97"/>
    <w:rsid w:val="00BD0507"/>
    <w:rsid w:val="00BE0192"/>
    <w:rsid w:val="00BE2521"/>
    <w:rsid w:val="00BE762D"/>
    <w:rsid w:val="00BE798A"/>
    <w:rsid w:val="00BF2C1C"/>
    <w:rsid w:val="00BF4F80"/>
    <w:rsid w:val="00BF5384"/>
    <w:rsid w:val="00BF57DB"/>
    <w:rsid w:val="00BF5E6A"/>
    <w:rsid w:val="00BF77F3"/>
    <w:rsid w:val="00BF7FA1"/>
    <w:rsid w:val="00C02612"/>
    <w:rsid w:val="00C06F62"/>
    <w:rsid w:val="00C13E83"/>
    <w:rsid w:val="00C178D3"/>
    <w:rsid w:val="00C21372"/>
    <w:rsid w:val="00C24DCA"/>
    <w:rsid w:val="00C4499A"/>
    <w:rsid w:val="00C46516"/>
    <w:rsid w:val="00C50951"/>
    <w:rsid w:val="00C534B0"/>
    <w:rsid w:val="00C55AD9"/>
    <w:rsid w:val="00C602D3"/>
    <w:rsid w:val="00C63C48"/>
    <w:rsid w:val="00C642DD"/>
    <w:rsid w:val="00C6496E"/>
    <w:rsid w:val="00C66BB5"/>
    <w:rsid w:val="00C66E78"/>
    <w:rsid w:val="00C67306"/>
    <w:rsid w:val="00C7165E"/>
    <w:rsid w:val="00C74A07"/>
    <w:rsid w:val="00C76BDA"/>
    <w:rsid w:val="00C811A3"/>
    <w:rsid w:val="00C82ADC"/>
    <w:rsid w:val="00C87306"/>
    <w:rsid w:val="00C87B10"/>
    <w:rsid w:val="00C935D7"/>
    <w:rsid w:val="00C94762"/>
    <w:rsid w:val="00C94852"/>
    <w:rsid w:val="00C954DE"/>
    <w:rsid w:val="00C97830"/>
    <w:rsid w:val="00CA075B"/>
    <w:rsid w:val="00CA39BD"/>
    <w:rsid w:val="00CA41D4"/>
    <w:rsid w:val="00CA70EB"/>
    <w:rsid w:val="00CA71F4"/>
    <w:rsid w:val="00CB5432"/>
    <w:rsid w:val="00CC1502"/>
    <w:rsid w:val="00CC77DB"/>
    <w:rsid w:val="00CD27D2"/>
    <w:rsid w:val="00CD41FC"/>
    <w:rsid w:val="00CD46C2"/>
    <w:rsid w:val="00CD5914"/>
    <w:rsid w:val="00CE04DE"/>
    <w:rsid w:val="00CE1F76"/>
    <w:rsid w:val="00CE3996"/>
    <w:rsid w:val="00CF17F0"/>
    <w:rsid w:val="00CF18C1"/>
    <w:rsid w:val="00CF282E"/>
    <w:rsid w:val="00D0064F"/>
    <w:rsid w:val="00D017B2"/>
    <w:rsid w:val="00D01E05"/>
    <w:rsid w:val="00D05F29"/>
    <w:rsid w:val="00D167DA"/>
    <w:rsid w:val="00D173AE"/>
    <w:rsid w:val="00D225A5"/>
    <w:rsid w:val="00D2766C"/>
    <w:rsid w:val="00D30747"/>
    <w:rsid w:val="00D313D0"/>
    <w:rsid w:val="00D3181E"/>
    <w:rsid w:val="00D34AAA"/>
    <w:rsid w:val="00D4175D"/>
    <w:rsid w:val="00D42099"/>
    <w:rsid w:val="00D4467C"/>
    <w:rsid w:val="00D47C91"/>
    <w:rsid w:val="00D539CE"/>
    <w:rsid w:val="00D564AB"/>
    <w:rsid w:val="00D67110"/>
    <w:rsid w:val="00D72C49"/>
    <w:rsid w:val="00D75B83"/>
    <w:rsid w:val="00D777A3"/>
    <w:rsid w:val="00D818A0"/>
    <w:rsid w:val="00D820D9"/>
    <w:rsid w:val="00D932C4"/>
    <w:rsid w:val="00D9476C"/>
    <w:rsid w:val="00D96E9C"/>
    <w:rsid w:val="00DA0D2F"/>
    <w:rsid w:val="00DA52DF"/>
    <w:rsid w:val="00DB5BD2"/>
    <w:rsid w:val="00DB5D13"/>
    <w:rsid w:val="00DB6650"/>
    <w:rsid w:val="00DB6E93"/>
    <w:rsid w:val="00DB6FEB"/>
    <w:rsid w:val="00DC533A"/>
    <w:rsid w:val="00DC6D12"/>
    <w:rsid w:val="00DD2025"/>
    <w:rsid w:val="00DD797E"/>
    <w:rsid w:val="00DD79AC"/>
    <w:rsid w:val="00DE0908"/>
    <w:rsid w:val="00DE239D"/>
    <w:rsid w:val="00DE40F7"/>
    <w:rsid w:val="00DE47BC"/>
    <w:rsid w:val="00DF19C6"/>
    <w:rsid w:val="00DF23A1"/>
    <w:rsid w:val="00E0016B"/>
    <w:rsid w:val="00E02C14"/>
    <w:rsid w:val="00E050CB"/>
    <w:rsid w:val="00E141D5"/>
    <w:rsid w:val="00E21119"/>
    <w:rsid w:val="00E23F5E"/>
    <w:rsid w:val="00E2691F"/>
    <w:rsid w:val="00E34050"/>
    <w:rsid w:val="00E3530E"/>
    <w:rsid w:val="00E566D0"/>
    <w:rsid w:val="00E56DF6"/>
    <w:rsid w:val="00E62AAA"/>
    <w:rsid w:val="00E669E2"/>
    <w:rsid w:val="00E66A3F"/>
    <w:rsid w:val="00E679F7"/>
    <w:rsid w:val="00E726B0"/>
    <w:rsid w:val="00E72CA7"/>
    <w:rsid w:val="00E73937"/>
    <w:rsid w:val="00E76935"/>
    <w:rsid w:val="00E76995"/>
    <w:rsid w:val="00E80BC7"/>
    <w:rsid w:val="00E842F8"/>
    <w:rsid w:val="00E843D0"/>
    <w:rsid w:val="00E84A3D"/>
    <w:rsid w:val="00E923EF"/>
    <w:rsid w:val="00E92D61"/>
    <w:rsid w:val="00E94A6C"/>
    <w:rsid w:val="00E94FF0"/>
    <w:rsid w:val="00EA07AC"/>
    <w:rsid w:val="00EA34A6"/>
    <w:rsid w:val="00EA59FA"/>
    <w:rsid w:val="00EA638F"/>
    <w:rsid w:val="00EA7FA9"/>
    <w:rsid w:val="00EB1C4A"/>
    <w:rsid w:val="00EB2467"/>
    <w:rsid w:val="00EB3BDB"/>
    <w:rsid w:val="00EB4144"/>
    <w:rsid w:val="00EB71BC"/>
    <w:rsid w:val="00EB7819"/>
    <w:rsid w:val="00EC1719"/>
    <w:rsid w:val="00EC5C30"/>
    <w:rsid w:val="00ED2B52"/>
    <w:rsid w:val="00ED2F3A"/>
    <w:rsid w:val="00ED53EC"/>
    <w:rsid w:val="00EE429B"/>
    <w:rsid w:val="00EE79E2"/>
    <w:rsid w:val="00EF1904"/>
    <w:rsid w:val="00EF5D9A"/>
    <w:rsid w:val="00F008B6"/>
    <w:rsid w:val="00F1018A"/>
    <w:rsid w:val="00F16CC2"/>
    <w:rsid w:val="00F172AD"/>
    <w:rsid w:val="00F2134F"/>
    <w:rsid w:val="00F21BD0"/>
    <w:rsid w:val="00F22FD0"/>
    <w:rsid w:val="00F2482A"/>
    <w:rsid w:val="00F24A5F"/>
    <w:rsid w:val="00F25320"/>
    <w:rsid w:val="00F27787"/>
    <w:rsid w:val="00F27899"/>
    <w:rsid w:val="00F3282C"/>
    <w:rsid w:val="00F40042"/>
    <w:rsid w:val="00F50ECF"/>
    <w:rsid w:val="00F540CC"/>
    <w:rsid w:val="00F5673A"/>
    <w:rsid w:val="00F65B78"/>
    <w:rsid w:val="00F661F3"/>
    <w:rsid w:val="00F70CCA"/>
    <w:rsid w:val="00F70DF4"/>
    <w:rsid w:val="00F769CE"/>
    <w:rsid w:val="00F831B3"/>
    <w:rsid w:val="00F83287"/>
    <w:rsid w:val="00F851C7"/>
    <w:rsid w:val="00F85E32"/>
    <w:rsid w:val="00F87907"/>
    <w:rsid w:val="00F9149B"/>
    <w:rsid w:val="00F92F8B"/>
    <w:rsid w:val="00F9321B"/>
    <w:rsid w:val="00FA2277"/>
    <w:rsid w:val="00FA2C01"/>
    <w:rsid w:val="00FB07B9"/>
    <w:rsid w:val="00FB1AEB"/>
    <w:rsid w:val="00FB5C52"/>
    <w:rsid w:val="00FB6DB2"/>
    <w:rsid w:val="00FC2502"/>
    <w:rsid w:val="00FC2FE1"/>
    <w:rsid w:val="00FC6178"/>
    <w:rsid w:val="00FD4434"/>
    <w:rsid w:val="00FE1570"/>
    <w:rsid w:val="00FE2D8D"/>
    <w:rsid w:val="00FE2E82"/>
    <w:rsid w:val="00FE32F3"/>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 w:type="table" w:styleId="TableGridLight">
    <w:name w:val="Grid Table Light"/>
    <w:basedOn w:val="TableNormal"/>
    <w:uiPriority w:val="40"/>
    <w:rsid w:val="007933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10A01"/>
    <w:rPr>
      <w:color w:val="467886" w:themeColor="hyperlink"/>
      <w:u w:val="single"/>
    </w:rPr>
  </w:style>
  <w:style w:type="character" w:styleId="UnresolvedMention">
    <w:name w:val="Unresolved Mention"/>
    <w:basedOn w:val="DefaultParagraphFont"/>
    <w:uiPriority w:val="99"/>
    <w:semiHidden/>
    <w:unhideWhenUsed/>
    <w:rsid w:val="00B10A01"/>
    <w:rPr>
      <w:color w:val="605E5C"/>
      <w:shd w:val="clear" w:color="auto" w:fill="E1DFDD"/>
    </w:rPr>
  </w:style>
  <w:style w:type="paragraph" w:customStyle="1" w:styleId="msonormal0">
    <w:name w:val="msonormal"/>
    <w:basedOn w:val="Normal"/>
    <w:rsid w:val="00284F9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84F9E"/>
    <w:rPr>
      <w:b/>
      <w:bCs/>
    </w:rPr>
  </w:style>
  <w:style w:type="character" w:styleId="Emphasis">
    <w:name w:val="Emphasis"/>
    <w:basedOn w:val="DefaultParagraphFont"/>
    <w:uiPriority w:val="20"/>
    <w:qFormat/>
    <w:rsid w:val="00284F9E"/>
    <w:rPr>
      <w:i/>
      <w:iCs/>
    </w:rPr>
  </w:style>
  <w:style w:type="character" w:styleId="FollowedHyperlink">
    <w:name w:val="FollowedHyperlink"/>
    <w:basedOn w:val="DefaultParagraphFont"/>
    <w:uiPriority w:val="99"/>
    <w:semiHidden/>
    <w:unhideWhenUsed/>
    <w:rsid w:val="00284F9E"/>
    <w:rPr>
      <w:color w:val="800080"/>
      <w:u w:val="single"/>
    </w:rPr>
  </w:style>
  <w:style w:type="table" w:styleId="PlainTable1">
    <w:name w:val="Plain Table 1"/>
    <w:basedOn w:val="TableNormal"/>
    <w:uiPriority w:val="41"/>
    <w:rsid w:val="00D313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5987</Words>
  <Characters>34130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25</cp:revision>
  <cp:lastPrinted>2026-03-05T20:28:00Z</cp:lastPrinted>
  <dcterms:created xsi:type="dcterms:W3CDTF">2026-08-18T20:26:00Z</dcterms:created>
  <dcterms:modified xsi:type="dcterms:W3CDTF">2026-08-19T18:56:00Z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