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A46175B" w14:textId="560865AB" w:rsidR="00F43712" w:rsidRPr="00A35DFA" w:rsidRDefault="00D708CB" w:rsidP="00D708CB">
      <w:pPr>
        <w:rPr>
          <w:rFonts w:ascii="Sakkal Majalla" w:hAnsi="Sakkal Majalla" w:cs="Sakkal Majalla"/>
          <w:sz w:val="28"/>
          <w:szCs w:val="28"/>
          <w:rtl/>
          <w:lang w:bidi="ar-EG"/>
        </w:rPr>
      </w:pPr>
      <w:r>
        <w:rPr>
          <w:rFonts w:ascii="Sakkal Majalla" w:hAnsi="Sakkal Majalla" w:cs="Sakkal Majalla"/>
          <w:noProof/>
          <w:sz w:val="28"/>
          <w:szCs w:val="28"/>
          <w:rtl/>
          <w:lang w:val="ar-EG" w:bidi="ar-EG"/>
        </w:rPr>
        <mc:AlternateContent>
          <mc:Choice Requires="wps">
            <w:drawing>
              <wp:anchor distT="0" distB="0" distL="114300" distR="114300" simplePos="0" relativeHeight="251659264" behindDoc="0" locked="0" layoutInCell="1" allowOverlap="1" wp14:anchorId="47D53587" wp14:editId="1AF4A372">
                <wp:simplePos x="0" y="0"/>
                <wp:positionH relativeFrom="column">
                  <wp:posOffset>4406900</wp:posOffset>
                </wp:positionH>
                <wp:positionV relativeFrom="paragraph">
                  <wp:posOffset>114300</wp:posOffset>
                </wp:positionV>
                <wp:extent cx="1651000" cy="825500"/>
                <wp:effectExtent l="0" t="0" r="0" b="0"/>
                <wp:wrapNone/>
                <wp:docPr id="1807856076" name="مربع نص 5"/>
                <wp:cNvGraphicFramePr/>
                <a:graphic xmlns:a="http://schemas.openxmlformats.org/drawingml/2006/main">
                  <a:graphicData uri="http://schemas.microsoft.com/office/word/2010/wordprocessingShape">
                    <wps:wsp>
                      <wps:cNvSpPr txBox="1"/>
                      <wps:spPr>
                        <a:xfrm>
                          <a:off x="0" y="0"/>
                          <a:ext cx="1651000" cy="825500"/>
                        </a:xfrm>
                        <a:prstGeom prst="rect">
                          <a:avLst/>
                        </a:prstGeom>
                        <a:noFill/>
                        <a:ln w="6350">
                          <a:noFill/>
                        </a:ln>
                      </wps:spPr>
                      <wps:txbx>
                        <w:txbxContent>
                          <w:p w14:paraId="68019D87" w14:textId="0A11BD16" w:rsidR="00CB79A7" w:rsidRDefault="00CB79A7">
                            <w:pPr>
                              <w:rPr>
                                <w:rtl/>
                              </w:rPr>
                            </w:pPr>
                            <w:r>
                              <w:rPr>
                                <w:rFonts w:hint="cs"/>
                                <w:rtl/>
                              </w:rPr>
                              <w:t xml:space="preserve">جامعة ميدأوشن </w:t>
                            </w:r>
                          </w:p>
                          <w:p w14:paraId="55CE37C7" w14:textId="018E8823" w:rsidR="00CB79A7" w:rsidRDefault="00CB79A7">
                            <w:pPr>
                              <w:rPr>
                                <w:rtl/>
                              </w:rPr>
                            </w:pPr>
                            <w:r>
                              <w:rPr>
                                <w:rFonts w:hint="cs"/>
                                <w:rtl/>
                              </w:rPr>
                              <w:t>برنامج الدكتوراه</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xmlns:w16cei="http://schemas.microsoft.com/office/word/2026/wordml/cei">
            <w:pict>
              <v:shapetype w14:anchorId="47D53587" id="_x0000_t202" coordsize="21600,21600" o:spt="202" path="m,l,21600r21600,l21600,xe">
                <v:stroke joinstyle="miter"/>
                <v:path gradientshapeok="t" o:connecttype="rect"/>
              </v:shapetype>
              <v:shape id="مربع نص 5" o:spid="_x0000_s1026" type="#_x0000_t202" style="position:absolute;left:0;text-align:left;margin-left:347pt;margin-top:9pt;width:130pt;height:6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" filled="f" stroked="f" strokeweight=".5pt">
                <v:textbox>
                  <w:txbxContent>
                    <w:p w14:paraId="68019D87" w14:textId="0A11BD16" w:rsidR="00CB79A7" w:rsidRDefault="00CB79A7">
                      <w:pPr>
                        <w:rPr>
                          <w:rtl/>
                        </w:rPr>
                      </w:pPr>
                      <w:r>
                        <w:rPr>
                          <w:rFonts w:hint="cs"/>
                          <w:rtl/>
                        </w:rPr>
                        <w:t xml:space="preserve">جامعة ميدأوشن </w:t>
                      </w:r>
                    </w:p>
                    <w:p w14:paraId="55CE37C7" w14:textId="018E8823" w:rsidR="00CB79A7" w:rsidRDefault="00CB79A7">
                      <w:pPr>
                        <w:rPr>
                          <w:rtl/>
                        </w:rPr>
                      </w:pPr>
                      <w:r>
                        <w:rPr>
                          <w:rFonts w:hint="cs"/>
                          <w:rtl/>
                        </w:rPr>
                        <w:t>برنامج الدكتوراه</w:t>
                      </w:r>
                    </w:p>
                  </w:txbxContent>
                </v:textbox>
              </v:shape>
            </w:pict>
          </mc:Fallback>
        </mc:AlternateContent>
      </w:r>
      <w:r>
        <w:rPr>
          <w:rFonts w:ascii="Times New Roman"/>
          <w:noProof/>
          <w:sz w:val="20"/>
        </w:rPr>
        <w:drawing>
          <wp:anchor distT="0" distB="0" distL="114300" distR="114300" simplePos="0" relativeHeight="251660288" behindDoc="0" locked="0" layoutInCell="1" allowOverlap="1" wp14:anchorId="32B24EF0" wp14:editId="306023B5">
            <wp:simplePos x="0" y="0"/>
            <wp:positionH relativeFrom="column">
              <wp:posOffset>-152400</wp:posOffset>
            </wp:positionH>
            <wp:positionV relativeFrom="paragraph">
              <wp:posOffset>115570</wp:posOffset>
            </wp:positionV>
            <wp:extent cx="1656715" cy="560070"/>
            <wp:effectExtent l="0" t="0" r="0" b="0"/>
            <wp:wrapNone/>
            <wp:docPr id="1" name="Image 1" descr="A logo for a university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A logo for a university  Description automatically generated"/>
                    <pic:cNvPicPr/>
                  </pic:nvPicPr>
                  <pic:blipFill>
                    <a:blip r:embed="rId7" cstate="print">
                      <a:extLst>
                        <a:ext uri="{28A0092B-C50C-407E-A947-70E740481C1C}">
                          <a14:useLocalDpi xmlns:a14="http://schemas.microsoft.com/office/drawing/2010/main"/>
                        </a:ext>
                      </a:extLst>
                    </a:blip>
                    <a:stretch>
                      <a:fillRect/>
                    </a:stretch>
                  </pic:blipFill>
                  <pic:spPr>
                    <a:xfrm>
                      <a:off x="0" y="0"/>
                      <a:ext cx="1656715" cy="560070"/>
                    </a:xfrm>
                    <a:prstGeom prst="rect">
                      <a:avLst/>
                    </a:prstGeom>
                  </pic:spPr>
                </pic:pic>
              </a:graphicData>
            </a:graphic>
            <wp14:sizeRelH relativeFrom="page">
              <wp14:pctWidth>0</wp14:pctWidth>
            </wp14:sizeRelH>
            <wp14:sizeRelV relativeFrom="page">
              <wp14:pctHeight>0</wp14:pctHeight>
            </wp14:sizeRelV>
          </wp:anchor>
        </w:drawing>
      </w:r>
    </w:p>
    <w:p w14:paraId="5B9E8F31" w14:textId="78039898" w:rsidR="00CB79A7" w:rsidRDefault="00CB79A7" w:rsidP="006540F0">
      <w:pPr>
        <w:spacing w:line="360" w:lineRule="auto"/>
        <w:jc w:val="center"/>
        <w:rPr>
          <w:rFonts w:ascii="Sakkal Majalla" w:hAnsi="Sakkal Majalla" w:cs="Sakkal Majalla"/>
          <w:b/>
          <w:bCs/>
          <w:sz w:val="36"/>
          <w:szCs w:val="36"/>
          <w:rtl/>
          <w:lang w:bidi="ar-EG"/>
        </w:rPr>
      </w:pPr>
    </w:p>
    <w:p w14:paraId="22D5021A" w14:textId="77777777" w:rsidR="00CB79A7" w:rsidRDefault="00CB79A7" w:rsidP="006540F0">
      <w:pPr>
        <w:spacing w:line="360" w:lineRule="auto"/>
        <w:jc w:val="center"/>
        <w:rPr>
          <w:rFonts w:ascii="Sakkal Majalla" w:hAnsi="Sakkal Majalla" w:cs="Sakkal Majalla"/>
          <w:b/>
          <w:bCs/>
          <w:sz w:val="36"/>
          <w:szCs w:val="36"/>
          <w:lang w:bidi="ar-EG"/>
        </w:rPr>
      </w:pPr>
    </w:p>
    <w:p w14:paraId="31901DB5" w14:textId="6CE8320D" w:rsidR="00F43712" w:rsidRPr="006540F0" w:rsidRDefault="00F43712" w:rsidP="006540F0">
      <w:pPr>
        <w:spacing w:line="360" w:lineRule="auto"/>
        <w:jc w:val="center"/>
        <w:rPr>
          <w:rFonts w:ascii="Sakkal Majalla" w:hAnsi="Sakkal Majalla" w:cs="Sakkal Majalla"/>
          <w:b/>
          <w:bCs/>
          <w:sz w:val="36"/>
          <w:szCs w:val="36"/>
          <w:rtl/>
          <w:lang w:bidi="ar-EG"/>
        </w:rPr>
      </w:pPr>
      <w:r w:rsidRPr="00466BD1">
        <w:rPr>
          <w:rFonts w:ascii="Sakkal Majalla" w:hAnsi="Sakkal Majalla" w:cs="Sakkal Majalla"/>
          <w:b/>
          <w:bCs/>
          <w:sz w:val="36"/>
          <w:szCs w:val="36"/>
          <w:rtl/>
          <w:lang w:bidi="ar-EG"/>
        </w:rPr>
        <w:t>دور الإعلام الرقمي في التوعیة بالأمراض</w:t>
      </w:r>
      <w:r w:rsidR="00DD2DF5" w:rsidRPr="00466BD1">
        <w:rPr>
          <w:rFonts w:ascii="Sakkal Majalla" w:hAnsi="Sakkal Majalla" w:cs="Sakkal Majalla" w:hint="cs"/>
          <w:b/>
          <w:bCs/>
          <w:sz w:val="36"/>
          <w:szCs w:val="36"/>
          <w:rtl/>
          <w:lang w:bidi="ar-EG"/>
        </w:rPr>
        <w:t xml:space="preserve"> العصبية</w:t>
      </w:r>
      <w:r w:rsidRPr="00466BD1">
        <w:rPr>
          <w:rFonts w:ascii="Sakkal Majalla" w:hAnsi="Sakkal Majalla" w:cs="Sakkal Majalla"/>
          <w:b/>
          <w:bCs/>
          <w:sz w:val="36"/>
          <w:szCs w:val="36"/>
          <w:rtl/>
          <w:lang w:bidi="ar-EG"/>
        </w:rPr>
        <w:t xml:space="preserve"> المزمنة في المجتمع السعودي</w:t>
      </w:r>
    </w:p>
    <w:p w14:paraId="00D08226" w14:textId="742088D4" w:rsidR="00F43712" w:rsidRPr="00A35DFA" w:rsidRDefault="00F43712" w:rsidP="006540F0">
      <w:pPr>
        <w:spacing w:line="360" w:lineRule="auto"/>
        <w:jc w:val="center"/>
        <w:rPr>
          <w:rFonts w:ascii="Sakkal Majalla" w:hAnsi="Sakkal Majalla" w:cs="Sakkal Majalla"/>
          <w:sz w:val="28"/>
          <w:szCs w:val="28"/>
          <w:rtl/>
          <w:lang w:bidi="ar-EG"/>
        </w:rPr>
      </w:pPr>
      <w:r w:rsidRPr="00A35DFA">
        <w:rPr>
          <w:rFonts w:ascii="Sakkal Majalla" w:hAnsi="Sakkal Majalla" w:cs="Sakkal Majalla"/>
          <w:sz w:val="28"/>
          <w:szCs w:val="28"/>
          <w:rtl/>
          <w:lang w:bidi="ar-EG"/>
        </w:rPr>
        <w:t>( دراسة ميدانية )</w:t>
      </w:r>
    </w:p>
    <w:p w14:paraId="6446CC43" w14:textId="350EAB8D" w:rsidR="00DD2DF5" w:rsidRDefault="00DD2DF5" w:rsidP="006540F0">
      <w:pPr>
        <w:spacing w:line="360" w:lineRule="auto"/>
        <w:jc w:val="center"/>
        <w:rPr>
          <w:rFonts w:ascii="Sakkal Majalla" w:hAnsi="Sakkal Majalla" w:cs="Sakkal Majalla"/>
          <w:sz w:val="28"/>
          <w:szCs w:val="28"/>
          <w:lang w:bidi="ar-EG"/>
        </w:rPr>
      </w:pPr>
      <w:r w:rsidRPr="00DD2DF5">
        <w:rPr>
          <w:rFonts w:ascii="Sakkal Majalla" w:hAnsi="Sakkal Majalla" w:cs="Sakkal Majalla"/>
          <w:sz w:val="28"/>
          <w:szCs w:val="28"/>
          <w:lang w:bidi="ar-EG"/>
        </w:rPr>
        <w:t>The role of digital media in raising awareness of chronic neurological diseases in Saudi society</w:t>
      </w:r>
    </w:p>
    <w:p w14:paraId="4F4C33B5" w14:textId="7BBA548B" w:rsidR="00F43712" w:rsidRDefault="00DD2DF5" w:rsidP="00CB79A7">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w:t>
      </w:r>
      <w:r w:rsidR="00F43712" w:rsidRPr="00A35DFA">
        <w:rPr>
          <w:rFonts w:ascii="Sakkal Majalla" w:hAnsi="Sakkal Majalla" w:cs="Sakkal Majalla"/>
          <w:sz w:val="28"/>
          <w:szCs w:val="28"/>
          <w:rtl/>
          <w:lang w:bidi="ar-EG"/>
        </w:rPr>
        <w:t xml:space="preserve"> </w:t>
      </w:r>
      <w:r w:rsidR="00F43712" w:rsidRPr="00A35DFA">
        <w:rPr>
          <w:rFonts w:ascii="Sakkal Majalla" w:hAnsi="Sakkal Majalla" w:cs="Sakkal Majalla"/>
          <w:sz w:val="28"/>
          <w:szCs w:val="28"/>
          <w:lang w:bidi="ar-EG"/>
        </w:rPr>
        <w:t>Field study</w:t>
      </w:r>
      <w:r w:rsidR="00F43712" w:rsidRPr="00A35DF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w:t>
      </w:r>
    </w:p>
    <w:p w14:paraId="46B67517" w14:textId="03E34816" w:rsidR="00D708CB" w:rsidRPr="00A35DFA" w:rsidRDefault="00D708CB" w:rsidP="00CB79A7">
      <w:pPr>
        <w:spacing w:line="360"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 xml:space="preserve">بحث للحصول على درجة دكتوراه الاعلام الرقمي والتسويق </w:t>
      </w:r>
    </w:p>
    <w:p w14:paraId="47F3B4EB" w14:textId="0A793792" w:rsidR="00D708CB" w:rsidRDefault="00D708CB" w:rsidP="006540F0">
      <w:pPr>
        <w:spacing w:line="360" w:lineRule="auto"/>
        <w:jc w:val="center"/>
        <w:rPr>
          <w:rFonts w:ascii="Sakkal Majalla" w:hAnsi="Sakkal Majalla" w:cs="Sakkal Majalla"/>
          <w:sz w:val="28"/>
          <w:szCs w:val="28"/>
          <w:rtl/>
          <w:lang w:bidi="ar-EG"/>
        </w:rPr>
      </w:pPr>
    </w:p>
    <w:p w14:paraId="5583DC52" w14:textId="77777777" w:rsidR="00D708CB" w:rsidRDefault="00D708CB" w:rsidP="006540F0">
      <w:pPr>
        <w:spacing w:line="360" w:lineRule="auto"/>
        <w:jc w:val="center"/>
        <w:rPr>
          <w:rFonts w:ascii="Sakkal Majalla" w:hAnsi="Sakkal Majalla" w:cs="Sakkal Majalla"/>
          <w:sz w:val="28"/>
          <w:szCs w:val="28"/>
          <w:rtl/>
          <w:lang w:bidi="ar-EG"/>
        </w:rPr>
      </w:pPr>
    </w:p>
    <w:p w14:paraId="77A74992" w14:textId="6B707D4D" w:rsidR="00F43712" w:rsidRPr="00A35DFA" w:rsidRDefault="00F43712" w:rsidP="006540F0">
      <w:pPr>
        <w:spacing w:line="360" w:lineRule="auto"/>
        <w:jc w:val="center"/>
        <w:rPr>
          <w:rFonts w:ascii="Sakkal Majalla" w:hAnsi="Sakkal Majalla" w:cs="Sakkal Majalla"/>
          <w:sz w:val="28"/>
          <w:szCs w:val="28"/>
          <w:rtl/>
          <w:lang w:bidi="ar-EG"/>
        </w:rPr>
      </w:pPr>
      <w:r w:rsidRPr="00A35DFA">
        <w:rPr>
          <w:rFonts w:ascii="Sakkal Majalla" w:hAnsi="Sakkal Majalla" w:cs="Sakkal Majalla"/>
          <w:sz w:val="28"/>
          <w:szCs w:val="28"/>
          <w:rtl/>
          <w:lang w:bidi="ar-EG"/>
        </w:rPr>
        <w:t>اسم الباحث</w:t>
      </w:r>
      <w:r w:rsidRPr="00A35DFA">
        <w:rPr>
          <w:rFonts w:ascii="Sakkal Majalla" w:hAnsi="Sakkal Majalla" w:cs="Sakkal Majalla"/>
          <w:sz w:val="28"/>
          <w:szCs w:val="28"/>
          <w:rtl/>
          <w:lang w:bidi="ar-EG"/>
        </w:rPr>
        <w:tab/>
        <w:t>:</w:t>
      </w:r>
      <w:r w:rsidRPr="00A35DFA">
        <w:rPr>
          <w:rFonts w:ascii="Sakkal Majalla" w:hAnsi="Sakkal Majalla" w:cs="Sakkal Majalla"/>
          <w:sz w:val="28"/>
          <w:szCs w:val="28"/>
          <w:rtl/>
          <w:lang w:bidi="ar-EG"/>
        </w:rPr>
        <w:tab/>
        <w:t>دعاء طويرقي</w:t>
      </w:r>
    </w:p>
    <w:p w14:paraId="67BE6052" w14:textId="182F57BB" w:rsidR="00F43712" w:rsidRPr="00A35DFA" w:rsidRDefault="00F43712" w:rsidP="006540F0">
      <w:pPr>
        <w:spacing w:line="360" w:lineRule="auto"/>
        <w:jc w:val="center"/>
        <w:rPr>
          <w:rFonts w:ascii="Sakkal Majalla" w:hAnsi="Sakkal Majalla" w:cs="Sakkal Majalla"/>
          <w:sz w:val="28"/>
          <w:szCs w:val="28"/>
          <w:rtl/>
          <w:lang w:bidi="ar-EG"/>
        </w:rPr>
      </w:pPr>
      <w:r w:rsidRPr="00A35DFA">
        <w:rPr>
          <w:rFonts w:ascii="Sakkal Majalla" w:hAnsi="Sakkal Majalla" w:cs="Sakkal Majalla"/>
          <w:sz w:val="28"/>
          <w:szCs w:val="28"/>
          <w:rtl/>
          <w:lang w:bidi="ar-EG"/>
        </w:rPr>
        <w:t>الرقم الاكاديمي</w:t>
      </w:r>
      <w:r w:rsidRPr="00A35DFA">
        <w:rPr>
          <w:rFonts w:ascii="Sakkal Majalla" w:hAnsi="Sakkal Majalla" w:cs="Sakkal Majalla"/>
          <w:sz w:val="28"/>
          <w:szCs w:val="28"/>
          <w:rtl/>
          <w:lang w:bidi="ar-EG"/>
        </w:rPr>
        <w:tab/>
        <w:t>:</w:t>
      </w:r>
      <w:r w:rsidRPr="00A35DFA">
        <w:rPr>
          <w:rFonts w:ascii="Sakkal Majalla" w:hAnsi="Sakkal Majalla" w:cs="Sakkal Majalla"/>
          <w:sz w:val="28"/>
          <w:szCs w:val="28"/>
          <w:rtl/>
          <w:lang w:bidi="ar-EG"/>
        </w:rPr>
        <w:tab/>
        <w:t>٢٢١٠٠١٨٥٧</w:t>
      </w:r>
    </w:p>
    <w:p w14:paraId="1906432B" w14:textId="55945624" w:rsidR="00F43712" w:rsidRPr="00A35DFA" w:rsidRDefault="00F43712" w:rsidP="006540F0">
      <w:pPr>
        <w:spacing w:line="360" w:lineRule="auto"/>
        <w:jc w:val="center"/>
        <w:rPr>
          <w:rFonts w:ascii="Sakkal Majalla" w:hAnsi="Sakkal Majalla" w:cs="Sakkal Majalla"/>
          <w:sz w:val="28"/>
          <w:szCs w:val="28"/>
          <w:rtl/>
          <w:lang w:bidi="ar-EG"/>
        </w:rPr>
      </w:pPr>
      <w:r w:rsidRPr="00A35DFA">
        <w:rPr>
          <w:rFonts w:ascii="Sakkal Majalla" w:hAnsi="Sakkal Majalla" w:cs="Sakkal Majalla"/>
          <w:sz w:val="28"/>
          <w:szCs w:val="28"/>
          <w:rtl/>
          <w:lang w:bidi="ar-EG"/>
        </w:rPr>
        <w:t xml:space="preserve">    الكلية       </w:t>
      </w:r>
      <w:r w:rsidRPr="00A35DFA">
        <w:rPr>
          <w:rFonts w:ascii="Sakkal Majalla" w:hAnsi="Sakkal Majalla" w:cs="Sakkal Majalla"/>
          <w:sz w:val="28"/>
          <w:szCs w:val="28"/>
          <w:rtl/>
          <w:lang w:bidi="ar-EG"/>
        </w:rPr>
        <w:tab/>
        <w:t>:</w:t>
      </w:r>
      <w:r w:rsidRPr="00A35DFA">
        <w:rPr>
          <w:rFonts w:ascii="Sakkal Majalla" w:hAnsi="Sakkal Majalla" w:cs="Sakkal Majalla"/>
          <w:sz w:val="28"/>
          <w:szCs w:val="28"/>
          <w:rtl/>
          <w:lang w:bidi="ar-EG"/>
        </w:rPr>
        <w:tab/>
        <w:t>كلية الاعلام والتسويق</w:t>
      </w:r>
    </w:p>
    <w:p w14:paraId="204B7ECC" w14:textId="24FF1FCA" w:rsidR="00F43712" w:rsidRDefault="00F43712" w:rsidP="006540F0">
      <w:pPr>
        <w:spacing w:line="360" w:lineRule="auto"/>
        <w:jc w:val="center"/>
        <w:rPr>
          <w:rFonts w:ascii="Sakkal Majalla" w:hAnsi="Sakkal Majalla" w:cs="Sakkal Majalla"/>
          <w:sz w:val="28"/>
          <w:szCs w:val="28"/>
          <w:lang w:bidi="ar-EG"/>
        </w:rPr>
      </w:pPr>
      <w:r w:rsidRPr="00A35DFA">
        <w:rPr>
          <w:rFonts w:ascii="Sakkal Majalla" w:hAnsi="Sakkal Majalla" w:cs="Sakkal Majalla"/>
          <w:sz w:val="28"/>
          <w:szCs w:val="28"/>
          <w:rtl/>
          <w:lang w:bidi="ar-EG"/>
        </w:rPr>
        <w:t>١٤٤</w:t>
      </w:r>
      <w:r w:rsidR="000E5828">
        <w:rPr>
          <w:rFonts w:ascii="Sakkal Majalla" w:hAnsi="Sakkal Majalla" w:cs="Sakkal Majalla" w:hint="cs"/>
          <w:sz w:val="28"/>
          <w:szCs w:val="28"/>
          <w:rtl/>
        </w:rPr>
        <w:t>٨</w:t>
      </w:r>
      <w:r w:rsidRPr="00A35DFA">
        <w:rPr>
          <w:rFonts w:ascii="Sakkal Majalla" w:hAnsi="Sakkal Majalla" w:cs="Sakkal Majalla"/>
          <w:sz w:val="28"/>
          <w:szCs w:val="28"/>
          <w:rtl/>
          <w:lang w:bidi="ar-EG"/>
        </w:rPr>
        <w:t xml:space="preserve">ه     -  </w:t>
      </w:r>
      <w:r w:rsidR="000E5828">
        <w:rPr>
          <w:rFonts w:ascii="Sakkal Majalla" w:hAnsi="Sakkal Majalla" w:cs="Sakkal Majalla" w:hint="cs"/>
          <w:sz w:val="28"/>
          <w:szCs w:val="28"/>
          <w:rtl/>
          <w:lang w:bidi="ar-EG"/>
        </w:rPr>
        <w:t>٢٠٢٦</w:t>
      </w:r>
      <w:r w:rsidRPr="00A35DFA">
        <w:rPr>
          <w:rFonts w:ascii="Sakkal Majalla" w:hAnsi="Sakkal Majalla" w:cs="Sakkal Majalla"/>
          <w:sz w:val="28"/>
          <w:szCs w:val="28"/>
          <w:rtl/>
          <w:lang w:bidi="ar-EG"/>
        </w:rPr>
        <w:t xml:space="preserve"> م</w:t>
      </w:r>
    </w:p>
    <w:p w14:paraId="1AF88C4A" w14:textId="11905727" w:rsidR="00FE5319" w:rsidRDefault="00FE5319" w:rsidP="00FE5319">
      <w:pPr>
        <w:spacing w:line="360" w:lineRule="auto"/>
        <w:rPr>
          <w:rFonts w:ascii="Sakkal Majalla" w:hAnsi="Sakkal Majalla" w:cs="Sakkal Majalla"/>
          <w:sz w:val="28"/>
          <w:szCs w:val="28"/>
          <w:lang w:bidi="ar-EG"/>
        </w:rPr>
      </w:pPr>
    </w:p>
    <w:p w14:paraId="209DBAEC" w14:textId="77777777" w:rsidR="00CB79A7" w:rsidRDefault="00CB79A7" w:rsidP="00FE5319">
      <w:pPr>
        <w:spacing w:line="360" w:lineRule="auto"/>
        <w:rPr>
          <w:rFonts w:ascii="Sakkal Majalla" w:hAnsi="Sakkal Majalla" w:cs="Sakkal Majalla"/>
          <w:sz w:val="28"/>
          <w:szCs w:val="28"/>
          <w:rtl/>
          <w:lang w:bidi="ar-EG"/>
        </w:rPr>
      </w:pPr>
    </w:p>
    <w:p w14:paraId="4B282675" w14:textId="77777777" w:rsidR="00D708CB" w:rsidRDefault="00D708CB" w:rsidP="00FE5319">
      <w:pPr>
        <w:spacing w:line="360" w:lineRule="auto"/>
        <w:rPr>
          <w:rFonts w:ascii="Sakkal Majalla" w:hAnsi="Sakkal Majalla" w:cs="Sakkal Majalla"/>
          <w:sz w:val="28"/>
          <w:szCs w:val="28"/>
          <w:rtl/>
          <w:lang w:bidi="ar-EG"/>
        </w:rPr>
      </w:pPr>
    </w:p>
    <w:p w14:paraId="47022831" w14:textId="50CA2BC6" w:rsidR="00D708CB" w:rsidRDefault="003935BE" w:rsidP="00FE5319">
      <w:pPr>
        <w:spacing w:line="360" w:lineRule="auto"/>
        <w:rPr>
          <w:rFonts w:ascii="Sakkal Majalla" w:hAnsi="Sakkal Majalla" w:cs="Sakkal Majalla"/>
          <w:sz w:val="28"/>
          <w:szCs w:val="28"/>
          <w:rtl/>
          <w:lang w:bidi="ar-EG"/>
        </w:rPr>
      </w:pPr>
      <w:r>
        <w:rPr>
          <w:rFonts w:ascii="Sakkal Majalla" w:hAnsi="Sakkal Majalla" w:cs="Sakkal Majalla"/>
          <w:noProof/>
          <w:sz w:val="28"/>
          <w:szCs w:val="28"/>
          <w:rtl/>
          <w:lang w:val="ar-EG" w:bidi="ar-EG"/>
        </w:rPr>
        <w:lastRenderedPageBreak/>
        <w:drawing>
          <wp:anchor distT="0" distB="0" distL="114300" distR="114300" simplePos="0" relativeHeight="251661312" behindDoc="0" locked="0" layoutInCell="1" allowOverlap="1" wp14:anchorId="71A5420E" wp14:editId="302C5907">
            <wp:simplePos x="0" y="0"/>
            <wp:positionH relativeFrom="column">
              <wp:posOffset>-2540</wp:posOffset>
            </wp:positionH>
            <wp:positionV relativeFrom="paragraph">
              <wp:posOffset>51163</wp:posOffset>
            </wp:positionV>
            <wp:extent cx="5943600" cy="4587875"/>
            <wp:effectExtent l="0" t="0" r="0" b="0"/>
            <wp:wrapNone/>
            <wp:docPr id="468348710"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348710" name="صورة 468348710"/>
                    <pic:cNvPicPr/>
                  </pic:nvPicPr>
                  <pic:blipFill>
                    <a:blip r:embed="rId8">
                      <a:extLst>
                        <a:ext uri="{28A0092B-C50C-407E-A947-70E740481C1C}">
                          <a14:useLocalDpi xmlns:a14="http://schemas.microsoft.com/office/drawing/2010/main"/>
                        </a:ext>
                      </a:extLst>
                    </a:blip>
                    <a:stretch>
                      <a:fillRect/>
                    </a:stretch>
                  </pic:blipFill>
                  <pic:spPr>
                    <a:xfrm>
                      <a:off x="0" y="0"/>
                      <a:ext cx="5943600" cy="4587875"/>
                    </a:xfrm>
                    <a:prstGeom prst="rect">
                      <a:avLst/>
                    </a:prstGeom>
                  </pic:spPr>
                </pic:pic>
              </a:graphicData>
            </a:graphic>
            <wp14:sizeRelH relativeFrom="page">
              <wp14:pctWidth>0</wp14:pctWidth>
            </wp14:sizeRelH>
            <wp14:sizeRelV relativeFrom="page">
              <wp14:pctHeight>0</wp14:pctHeight>
            </wp14:sizeRelV>
          </wp:anchor>
        </w:drawing>
      </w:r>
    </w:p>
    <w:p w14:paraId="227EA8CB" w14:textId="0A7CC471" w:rsidR="00D708CB" w:rsidRDefault="00D708CB" w:rsidP="00FE5319">
      <w:pPr>
        <w:spacing w:line="360" w:lineRule="auto"/>
        <w:rPr>
          <w:rFonts w:ascii="Sakkal Majalla" w:hAnsi="Sakkal Majalla" w:cs="Sakkal Majalla"/>
          <w:sz w:val="28"/>
          <w:szCs w:val="28"/>
          <w:rtl/>
          <w:lang w:bidi="ar-EG"/>
        </w:rPr>
      </w:pPr>
    </w:p>
    <w:p w14:paraId="529F472D" w14:textId="647D1EE7" w:rsidR="00D708CB" w:rsidRDefault="00D708CB" w:rsidP="00FE5319">
      <w:pPr>
        <w:spacing w:line="360" w:lineRule="auto"/>
        <w:rPr>
          <w:rFonts w:ascii="Sakkal Majalla" w:hAnsi="Sakkal Majalla" w:cs="Sakkal Majalla"/>
          <w:sz w:val="28"/>
          <w:szCs w:val="28"/>
          <w:rtl/>
          <w:lang w:bidi="ar-EG"/>
        </w:rPr>
      </w:pPr>
    </w:p>
    <w:p w14:paraId="4AA06A13" w14:textId="77777777" w:rsidR="00D708CB" w:rsidRDefault="00D708CB" w:rsidP="00FE5319">
      <w:pPr>
        <w:spacing w:line="360" w:lineRule="auto"/>
        <w:rPr>
          <w:rFonts w:ascii="Sakkal Majalla" w:hAnsi="Sakkal Majalla" w:cs="Sakkal Majalla"/>
          <w:sz w:val="28"/>
          <w:szCs w:val="28"/>
          <w:rtl/>
          <w:lang w:bidi="ar-EG"/>
        </w:rPr>
      </w:pPr>
    </w:p>
    <w:p w14:paraId="5E9584AE" w14:textId="77777777" w:rsidR="00D708CB" w:rsidRDefault="00D708CB" w:rsidP="00FE5319">
      <w:pPr>
        <w:spacing w:line="360" w:lineRule="auto"/>
        <w:rPr>
          <w:rFonts w:ascii="Sakkal Majalla" w:hAnsi="Sakkal Majalla" w:cs="Sakkal Majalla"/>
          <w:sz w:val="28"/>
          <w:szCs w:val="28"/>
          <w:rtl/>
          <w:lang w:bidi="ar-EG"/>
        </w:rPr>
      </w:pPr>
    </w:p>
    <w:p w14:paraId="62A970D7" w14:textId="77777777" w:rsidR="00D708CB" w:rsidRDefault="00D708CB" w:rsidP="00FE5319">
      <w:pPr>
        <w:spacing w:line="360" w:lineRule="auto"/>
        <w:rPr>
          <w:rFonts w:ascii="Sakkal Majalla" w:hAnsi="Sakkal Majalla" w:cs="Sakkal Majalla"/>
          <w:sz w:val="28"/>
          <w:szCs w:val="28"/>
          <w:rtl/>
          <w:lang w:bidi="ar-EG"/>
        </w:rPr>
      </w:pPr>
    </w:p>
    <w:p w14:paraId="4B2DE2CF" w14:textId="77777777" w:rsidR="00D708CB" w:rsidRDefault="00D708CB" w:rsidP="00FE5319">
      <w:pPr>
        <w:spacing w:line="360" w:lineRule="auto"/>
        <w:rPr>
          <w:rFonts w:ascii="Sakkal Majalla" w:hAnsi="Sakkal Majalla" w:cs="Sakkal Majalla"/>
          <w:sz w:val="28"/>
          <w:szCs w:val="28"/>
          <w:rtl/>
          <w:lang w:bidi="ar-EG"/>
        </w:rPr>
      </w:pPr>
    </w:p>
    <w:p w14:paraId="014C4E11" w14:textId="0DA28022" w:rsidR="00D708CB" w:rsidRDefault="00D56F05" w:rsidP="00FE5319">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٠٠</w:t>
      </w:r>
    </w:p>
    <w:p w14:paraId="42071CA1" w14:textId="2E1A466F" w:rsidR="00D708CB" w:rsidRDefault="00D56F05" w:rsidP="00FE5319">
      <w:pPr>
        <w:spacing w:line="360" w:lineRule="auto"/>
        <w:rPr>
          <w:rFonts w:ascii="Sakkal Majalla" w:hAnsi="Sakkal Majalla" w:cs="Sakkal Majalla"/>
          <w:sz w:val="28"/>
          <w:szCs w:val="28"/>
          <w:rtl/>
          <w:lang w:bidi="ar-EG"/>
        </w:rPr>
      </w:pPr>
      <w:r>
        <w:rPr>
          <w:noProof/>
        </w:rPr>
        <mc:AlternateContent>
          <mc:Choice Requires="wps">
            <w:drawing>
              <wp:anchor distT="0" distB="0" distL="114300" distR="114300" simplePos="0" relativeHeight="251663360" behindDoc="0" locked="0" layoutInCell="1" allowOverlap="1" wp14:anchorId="3B335C56" wp14:editId="7B654BEA">
                <wp:simplePos x="0" y="0"/>
                <wp:positionH relativeFrom="column">
                  <wp:posOffset>48260</wp:posOffset>
                </wp:positionH>
                <wp:positionV relativeFrom="paragraph">
                  <wp:posOffset>591276</wp:posOffset>
                </wp:positionV>
                <wp:extent cx="5943600" cy="1828800"/>
                <wp:effectExtent l="0" t="0" r="0" b="0"/>
                <wp:wrapSquare wrapText="bothSides"/>
                <wp:docPr id="1898795180" name="مربع نص 1"/>
                <wp:cNvGraphicFramePr/>
                <a:graphic xmlns:a="http://schemas.openxmlformats.org/drawingml/2006/main">
                  <a:graphicData uri="http://schemas.microsoft.com/office/word/2010/wordprocessingShape">
                    <wps:wsp>
                      <wps:cNvSpPr txBox="1"/>
                      <wps:spPr>
                        <a:xfrm>
                          <a:off x="0" y="0"/>
                          <a:ext cx="5943600" cy="1828800"/>
                        </a:xfrm>
                        <a:prstGeom prst="rect">
                          <a:avLst/>
                        </a:prstGeom>
                        <a:solidFill>
                          <a:schemeClr val="bg1"/>
                        </a:solidFill>
                        <a:ln w="6350">
                          <a:noFill/>
                        </a:ln>
                      </wps:spPr>
                      <wps:txbx>
                        <w:txbxContent>
                          <w:p w14:paraId="2544EE8E" w14:textId="77777777" w:rsidR="00D56F05" w:rsidRPr="00D56F05" w:rsidRDefault="00D56F05" w:rsidP="00241491">
                            <w:pPr>
                              <w:spacing w:line="360" w:lineRule="auto"/>
                              <w:jc w:val="center"/>
                              <w:rPr>
                                <w:rFonts w:ascii="Beirut" w:hAnsi="Beirut" w:cs="Beirut"/>
                                <w:sz w:val="52"/>
                                <w:szCs w:val="52"/>
                                <w:lang w:bidi="ar-EG"/>
                              </w:rPr>
                            </w:pPr>
                            <w:r w:rsidRPr="00D56F05">
                              <w:rPr>
                                <w:rFonts w:ascii="Beirut" w:hAnsi="Beirut" w:cs="Beirut" w:hint="cs"/>
                                <w:sz w:val="52"/>
                                <w:szCs w:val="52"/>
                                <w:rtl/>
                                <w:lang w:bidi="ar-EG"/>
                              </w:rPr>
                              <w:t>قال تعالى {يرفع الله اللذين آمنو ا منكم واللذين أوتوا العلم درجات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xmlns:w16cei="http://schemas.microsoft.com/office/word/2026/wordml/cei">
            <w:pict>
              <v:shape w14:anchorId="3B335C56" id="مربع نص 1" o:spid="_x0000_s1027" type="#_x0000_t202" style="position:absolute;left:0;text-align:left;margin-left:3.8pt;margin-top:46.55pt;width:468pt;height:2in;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" fillcolor="white [3212]" stroked="f" strokeweight=".5pt">
                <v:textbox>
                  <w:txbxContent>
                    <w:p w14:paraId="2544EE8E" w14:textId="77777777" w:rsidR="00D56F05" w:rsidRPr="00D56F05" w:rsidRDefault="00D56F05" w:rsidP="00241491">
                      <w:pPr>
                        <w:spacing w:line="360" w:lineRule="auto"/>
                        <w:jc w:val="center"/>
                        <w:rPr>
                          <w:rFonts w:ascii="Beirut" w:hAnsi="Beirut" w:cs="Beirut"/>
                          <w:sz w:val="52"/>
                          <w:szCs w:val="52"/>
                          <w:lang w:bidi="ar-EG"/>
                        </w:rPr>
                      </w:pPr>
                      <w:r w:rsidRPr="00D56F05">
                        <w:rPr>
                          <w:rFonts w:ascii="Beirut" w:hAnsi="Beirut" w:cs="Beirut" w:hint="cs"/>
                          <w:sz w:val="52"/>
                          <w:szCs w:val="52"/>
                          <w:rtl/>
                          <w:lang w:bidi="ar-EG"/>
                        </w:rPr>
                        <w:t>قال تعالى {يرفع الله اللذين آمنو ا منكم واللذين أوتوا العلم درجات }</w:t>
                      </w:r>
                    </w:p>
                  </w:txbxContent>
                </v:textbox>
                <w10:wrap type="square"/>
              </v:shape>
            </w:pict>
          </mc:Fallback>
        </mc:AlternateContent>
      </w:r>
    </w:p>
    <w:p w14:paraId="726BF916" w14:textId="791FA7EF" w:rsidR="00D708CB" w:rsidRDefault="00D708CB" w:rsidP="00FE5319">
      <w:pPr>
        <w:spacing w:line="360" w:lineRule="auto"/>
        <w:rPr>
          <w:rFonts w:ascii="Sakkal Majalla" w:hAnsi="Sakkal Majalla" w:cs="Sakkal Majalla"/>
          <w:sz w:val="28"/>
          <w:szCs w:val="28"/>
          <w:rtl/>
          <w:lang w:bidi="ar-EG"/>
        </w:rPr>
      </w:pPr>
    </w:p>
    <w:p w14:paraId="4E2A5229" w14:textId="614BD97E" w:rsidR="00D56F05" w:rsidRDefault="00D56F05" w:rsidP="00D56F05">
      <w:pPr>
        <w:spacing w:line="360" w:lineRule="auto"/>
        <w:jc w:val="center"/>
        <w:rPr>
          <w:rFonts w:ascii="Beirut" w:hAnsi="Beirut" w:cs="Beirut"/>
          <w:sz w:val="40"/>
          <w:szCs w:val="40"/>
          <w:rtl/>
          <w:lang w:bidi="ar-EG"/>
        </w:rPr>
      </w:pPr>
    </w:p>
    <w:p w14:paraId="06D7EEB9" w14:textId="77777777" w:rsidR="00D708CB" w:rsidRDefault="00D708CB" w:rsidP="00FE5319">
      <w:pPr>
        <w:spacing w:line="360" w:lineRule="auto"/>
        <w:rPr>
          <w:rFonts w:ascii="Sakkal Majalla" w:hAnsi="Sakkal Majalla" w:cs="Sakkal Majalla"/>
          <w:sz w:val="28"/>
          <w:szCs w:val="28"/>
          <w:rtl/>
          <w:lang w:bidi="ar-EG"/>
        </w:rPr>
      </w:pPr>
    </w:p>
    <w:p w14:paraId="2B5B6821" w14:textId="509F6F38" w:rsidR="002C2CEB" w:rsidRDefault="002C2CEB" w:rsidP="00FE5319">
      <w:pPr>
        <w:spacing w:line="360" w:lineRule="auto"/>
        <w:rPr>
          <w:rFonts w:ascii="Sakkal Majalla" w:hAnsi="Sakkal Majalla" w:cs="Sakkal Majalla"/>
          <w:sz w:val="28"/>
          <w:szCs w:val="28"/>
          <w:rtl/>
          <w:lang w:bidi="ar-EG"/>
        </w:rPr>
      </w:pPr>
    </w:p>
    <w:p w14:paraId="0F7A92E9" w14:textId="3559D1E1" w:rsidR="002C2CEB" w:rsidRDefault="00894C14">
      <w:pPr>
        <w:rPr>
          <w:rFonts w:ascii="Sakkal Majalla" w:hAnsi="Sakkal Majalla" w:cs="Sakkal Majalla"/>
          <w:sz w:val="28"/>
          <w:szCs w:val="28"/>
          <w:rtl/>
          <w:lang w:bidi="ar-EG"/>
        </w:rPr>
      </w:pPr>
      <w:r>
        <w:rPr>
          <w:rFonts w:ascii="Sakkal Majalla" w:hAnsi="Sakkal Majalla" w:cs="Sakkal Majalla"/>
          <w:noProof/>
          <w:sz w:val="28"/>
          <w:szCs w:val="28"/>
          <w:rtl/>
          <w:lang w:val="ar-EG" w:bidi="ar-EG"/>
        </w:rPr>
        <w:lastRenderedPageBreak/>
        <mc:AlternateContent>
          <mc:Choice Requires="wps">
            <w:drawing>
              <wp:anchor distT="0" distB="0" distL="114300" distR="114300" simplePos="0" relativeHeight="251674624" behindDoc="0" locked="0" layoutInCell="1" allowOverlap="1" wp14:anchorId="3731D313" wp14:editId="7766FAC0">
                <wp:simplePos x="0" y="0"/>
                <wp:positionH relativeFrom="column">
                  <wp:posOffset>-63500</wp:posOffset>
                </wp:positionH>
                <wp:positionV relativeFrom="paragraph">
                  <wp:posOffset>127000</wp:posOffset>
                </wp:positionV>
                <wp:extent cx="5469890" cy="824230"/>
                <wp:effectExtent l="0" t="0" r="0" b="0"/>
                <wp:wrapNone/>
                <wp:docPr id="1485732654" name="مربع نص 8"/>
                <wp:cNvGraphicFramePr/>
                <a:graphic xmlns:a="http://schemas.openxmlformats.org/drawingml/2006/main">
                  <a:graphicData uri="http://schemas.microsoft.com/office/word/2010/wordprocessingShape">
                    <wps:wsp>
                      <wps:cNvSpPr txBox="1"/>
                      <wps:spPr>
                        <a:xfrm>
                          <a:off x="0" y="0"/>
                          <a:ext cx="5469890" cy="824230"/>
                        </a:xfrm>
                        <a:prstGeom prst="rect">
                          <a:avLst/>
                        </a:prstGeom>
                        <a:noFill/>
                        <a:ln w="6350">
                          <a:noFill/>
                        </a:ln>
                      </wps:spPr>
                      <wps:txbx>
                        <w:txbxContent>
                          <w:p w14:paraId="2B7F112F" w14:textId="4788BE85" w:rsidR="002C2CEB" w:rsidRPr="00894C14" w:rsidRDefault="002C2CEB" w:rsidP="00894C14">
                            <w:pPr>
                              <w:jc w:val="center"/>
                              <w:rPr>
                                <w:rFonts w:ascii="Sana" w:hAnsi="Sana" w:cs="Sana"/>
                              </w:rPr>
                            </w:pPr>
                            <w:r w:rsidRPr="00894C14">
                              <w:rPr>
                                <w:rFonts w:ascii="Sana" w:hAnsi="Sana" w:cs="Sana" w:hint="cs"/>
                                <w:sz w:val="52"/>
                                <w:szCs w:val="52"/>
                                <w:rtl/>
                              </w:rPr>
                              <w:t>إهداء</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xmlns:w16cei="http://schemas.microsoft.com/office/word/2026/wordml/cei">
            <w:pict>
              <v:shape w14:anchorId="3731D313" id="مربع نص 8" o:spid="_x0000_s1028" type="#_x0000_t202" style="position:absolute;left:0;text-align:left;margin-left:-5pt;margin-top:10pt;width:430.7pt;height:64.9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" filled="f" stroked="f" strokeweight=".5pt">
                <v:textbox>
                  <w:txbxContent>
                    <w:p w14:paraId="2B7F112F" w14:textId="4788BE85" w:rsidR="002C2CEB" w:rsidRPr="00894C14" w:rsidRDefault="002C2CEB" w:rsidP="00894C14">
                      <w:pPr>
                        <w:jc w:val="center"/>
                        <w:rPr>
                          <w:rFonts w:ascii="Sana" w:hAnsi="Sana" w:cs="Sana"/>
                        </w:rPr>
                      </w:pPr>
                      <w:r w:rsidRPr="00894C14">
                        <w:rPr>
                          <w:rFonts w:ascii="Sana" w:hAnsi="Sana" w:cs="Sana" w:hint="cs"/>
                          <w:sz w:val="52"/>
                          <w:szCs w:val="52"/>
                          <w:rtl/>
                        </w:rPr>
                        <w:t>إهداء</w:t>
                      </w:r>
                    </w:p>
                  </w:txbxContent>
                </v:textbox>
              </v:shape>
            </w:pict>
          </mc:Fallback>
        </mc:AlternateContent>
      </w:r>
      <w:r w:rsidR="00280AE4">
        <w:rPr>
          <w:rFonts w:ascii="Sakkal Majalla" w:hAnsi="Sakkal Majalla" w:cs="Sakkal Majalla"/>
          <w:noProof/>
          <w:sz w:val="28"/>
          <w:szCs w:val="28"/>
          <w:rtl/>
          <w:lang w:val="ar-EG" w:bidi="ar-EG"/>
        </w:rPr>
        <mc:AlternateContent>
          <mc:Choice Requires="wps">
            <w:drawing>
              <wp:anchor distT="0" distB="0" distL="114300" distR="114300" simplePos="0" relativeHeight="251676672" behindDoc="0" locked="0" layoutInCell="1" allowOverlap="1" wp14:anchorId="77AEE1E9" wp14:editId="7DF4800D">
                <wp:simplePos x="0" y="0"/>
                <wp:positionH relativeFrom="column">
                  <wp:posOffset>-304800</wp:posOffset>
                </wp:positionH>
                <wp:positionV relativeFrom="paragraph">
                  <wp:posOffset>1205865</wp:posOffset>
                </wp:positionV>
                <wp:extent cx="6083972" cy="7100047"/>
                <wp:effectExtent l="0" t="0" r="0" b="0"/>
                <wp:wrapNone/>
                <wp:docPr id="275025353" name="مربع نص 8"/>
                <wp:cNvGraphicFramePr/>
                <a:graphic xmlns:a="http://schemas.openxmlformats.org/drawingml/2006/main">
                  <a:graphicData uri="http://schemas.microsoft.com/office/word/2010/wordprocessingShape">
                    <wps:wsp>
                      <wps:cNvSpPr txBox="1"/>
                      <wps:spPr>
                        <a:xfrm>
                          <a:off x="0" y="0"/>
                          <a:ext cx="6083972" cy="7100047"/>
                        </a:xfrm>
                        <a:prstGeom prst="rect">
                          <a:avLst/>
                        </a:prstGeom>
                        <a:noFill/>
                        <a:ln w="6350">
                          <a:noFill/>
                        </a:ln>
                      </wps:spPr>
                      <wps:txbx>
                        <w:txbxContent>
                          <w:p w14:paraId="7EC3A2DA" w14:textId="77777777" w:rsidR="00894C14" w:rsidRPr="00894C14" w:rsidRDefault="00894C14" w:rsidP="00894C14">
                            <w:pPr>
                              <w:rPr>
                                <w:rFonts w:asciiTheme="majorBidi" w:hAnsiTheme="majorBidi" w:cstheme="majorBidi"/>
                                <w:sz w:val="32"/>
                                <w:szCs w:val="32"/>
                                <w:rtl/>
                              </w:rPr>
                            </w:pPr>
                            <w:r w:rsidRPr="00894C14">
                              <w:rPr>
                                <w:rFonts w:asciiTheme="majorBidi" w:hAnsiTheme="majorBidi" w:cs="Times New Roman" w:hint="cs"/>
                                <w:sz w:val="32"/>
                                <w:szCs w:val="32"/>
                                <w:rtl/>
                              </w:rPr>
                              <w:t>إلى</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كل</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من</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آمن</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بأن</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التوعية</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الرقمية</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ليست</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رفاهية،</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بل</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حقّ</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إنسانيّ،</w:t>
                            </w:r>
                          </w:p>
                          <w:p w14:paraId="5C8CAFFA" w14:textId="77777777" w:rsidR="00894C14" w:rsidRPr="00894C14" w:rsidRDefault="00894C14" w:rsidP="00894C14">
                            <w:pPr>
                              <w:rPr>
                                <w:rFonts w:asciiTheme="majorBidi" w:hAnsiTheme="majorBidi" w:cstheme="majorBidi"/>
                                <w:sz w:val="32"/>
                                <w:szCs w:val="32"/>
                                <w:rtl/>
                              </w:rPr>
                            </w:pPr>
                            <w:r w:rsidRPr="00894C14">
                              <w:rPr>
                                <w:rFonts w:asciiTheme="majorBidi" w:hAnsiTheme="majorBidi" w:cs="Times New Roman" w:hint="cs"/>
                                <w:sz w:val="32"/>
                                <w:szCs w:val="32"/>
                                <w:rtl/>
                              </w:rPr>
                              <w:t>إلى</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كل</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مريض</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مزمن</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جعل</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من</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شاشة</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هاتفه</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نافذة</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إلى</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العالم،</w:t>
                            </w:r>
                          </w:p>
                          <w:p w14:paraId="4FAA8E1E" w14:textId="656725CF" w:rsidR="00894C14" w:rsidRDefault="00894C14" w:rsidP="00894C14">
                            <w:pPr>
                              <w:rPr>
                                <w:rFonts w:asciiTheme="majorBidi" w:hAnsiTheme="majorBidi" w:cs="Times New Roman"/>
                                <w:sz w:val="32"/>
                                <w:szCs w:val="32"/>
                                <w:rtl/>
                              </w:rPr>
                            </w:pPr>
                            <w:r w:rsidRPr="00894C14">
                              <w:rPr>
                                <w:rFonts w:asciiTheme="majorBidi" w:hAnsiTheme="majorBidi" w:cs="Times New Roman" w:hint="cs"/>
                                <w:sz w:val="32"/>
                                <w:szCs w:val="32"/>
                                <w:rtl/>
                              </w:rPr>
                              <w:t>ومن</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منصات</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التواصل</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منبراً</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للوعي</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والتثقيف</w:t>
                            </w:r>
                          </w:p>
                          <w:p w14:paraId="5D6AF589" w14:textId="77777777" w:rsidR="00894C14" w:rsidRDefault="00894C14" w:rsidP="00894C14">
                            <w:pPr>
                              <w:rPr>
                                <w:rFonts w:asciiTheme="majorBidi" w:hAnsiTheme="majorBidi" w:cs="Times New Roman"/>
                                <w:sz w:val="32"/>
                                <w:szCs w:val="32"/>
                                <w:rtl/>
                              </w:rPr>
                            </w:pPr>
                          </w:p>
                          <w:p w14:paraId="06BF1E40" w14:textId="77777777" w:rsidR="00894C14" w:rsidRDefault="00894C14" w:rsidP="00894C14">
                            <w:pPr>
                              <w:bidi w:val="0"/>
                              <w:rPr>
                                <w:rFonts w:asciiTheme="majorBidi" w:hAnsiTheme="majorBidi" w:cstheme="majorBidi"/>
                                <w:sz w:val="32"/>
                                <w:szCs w:val="32"/>
                              </w:rPr>
                            </w:pPr>
                          </w:p>
                          <w:p w14:paraId="16811A2B" w14:textId="39246143" w:rsidR="00894C14" w:rsidRDefault="00894C14" w:rsidP="00894C14">
                            <w:pPr>
                              <w:rPr>
                                <w:rFonts w:asciiTheme="majorBidi" w:hAnsiTheme="majorBidi" w:cstheme="majorBidi"/>
                                <w:sz w:val="32"/>
                                <w:szCs w:val="32"/>
                                <w:rtl/>
                              </w:rPr>
                            </w:pPr>
                            <w:r w:rsidRPr="00894C14">
                              <w:rPr>
                                <w:rFonts w:asciiTheme="majorBidi" w:hAnsiTheme="majorBidi" w:cs="Times New Roman"/>
                                <w:sz w:val="32"/>
                                <w:szCs w:val="32"/>
                                <w:rtl/>
                              </w:rPr>
                              <w:t>إليكم جميعاً... أهدي ثمرة جهدي، ودعوات قلبي، وتواضع بحثي.</w:t>
                            </w:r>
                          </w:p>
                          <w:p w14:paraId="1708DD91" w14:textId="43B409F4" w:rsidR="00280AE4" w:rsidRPr="00280AE4" w:rsidRDefault="00280AE4" w:rsidP="00280AE4">
                            <w:pPr>
                              <w:rPr>
                                <w:rFonts w:asciiTheme="majorBidi" w:hAnsiTheme="majorBidi" w:cstheme="majorBidi"/>
                                <w:sz w:val="32"/>
                                <w:szCs w:val="32"/>
                              </w:rPr>
                            </w:pPr>
                            <w:r w:rsidRPr="00280AE4">
                              <w:rPr>
                                <w:rFonts w:asciiTheme="majorBidi" w:hAnsiTheme="majorBidi" w:cstheme="majorBidi"/>
                                <w:sz w:val="32"/>
                                <w:szCs w:val="32"/>
                                <w:rtl/>
                              </w:rPr>
                              <w: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77AEE1E9" id="_x0000_s1029" type="#_x0000_t202" style="position:absolute;left:0;text-align:left;margin-left:-24pt;margin-top:94.95pt;width:479.05pt;height:559.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" filled="f" stroked="f" strokeweight=".5pt">
                <v:textbox>
                  <w:txbxContent>
                    <w:p w14:paraId="7EC3A2DA" w14:textId="77777777" w:rsidR="00894C14" w:rsidRPr="00894C14" w:rsidRDefault="00894C14" w:rsidP="00894C14">
                      <w:pPr>
                        <w:rPr>
                          <w:rFonts w:asciiTheme="majorBidi" w:hAnsiTheme="majorBidi" w:cstheme="majorBidi"/>
                          <w:sz w:val="32"/>
                          <w:szCs w:val="32"/>
                          <w:rtl/>
                        </w:rPr>
                      </w:pPr>
                      <w:r w:rsidRPr="00894C14">
                        <w:rPr>
                          <w:rFonts w:asciiTheme="majorBidi" w:hAnsiTheme="majorBidi" w:cs="Times New Roman" w:hint="cs"/>
                          <w:sz w:val="32"/>
                          <w:szCs w:val="32"/>
                          <w:rtl/>
                        </w:rPr>
                        <w:t>إلى</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كل</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من</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آمن</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بأن</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التوعية</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الرقمية</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ليست</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رفاهية،</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بل</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حقّ</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إنسانيّ،</w:t>
                      </w:r>
                    </w:p>
                    <w:p w14:paraId="5C8CAFFA" w14:textId="77777777" w:rsidR="00894C14" w:rsidRPr="00894C14" w:rsidRDefault="00894C14" w:rsidP="00894C14">
                      <w:pPr>
                        <w:rPr>
                          <w:rFonts w:asciiTheme="majorBidi" w:hAnsiTheme="majorBidi" w:cstheme="majorBidi"/>
                          <w:sz w:val="32"/>
                          <w:szCs w:val="32"/>
                          <w:rtl/>
                        </w:rPr>
                      </w:pPr>
                      <w:r w:rsidRPr="00894C14">
                        <w:rPr>
                          <w:rFonts w:asciiTheme="majorBidi" w:hAnsiTheme="majorBidi" w:cs="Times New Roman" w:hint="cs"/>
                          <w:sz w:val="32"/>
                          <w:szCs w:val="32"/>
                          <w:rtl/>
                        </w:rPr>
                        <w:t>إلى</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كل</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مريض</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مزمن</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جعل</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من</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شاشة</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هاتفه</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نافذة</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إلى</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العالم،</w:t>
                      </w:r>
                    </w:p>
                    <w:p w14:paraId="4FAA8E1E" w14:textId="656725CF" w:rsidR="00894C14" w:rsidRDefault="00894C14" w:rsidP="00894C14">
                      <w:pPr>
                        <w:rPr>
                          <w:rFonts w:asciiTheme="majorBidi" w:hAnsiTheme="majorBidi" w:cs="Times New Roman"/>
                          <w:sz w:val="32"/>
                          <w:szCs w:val="32"/>
                          <w:rtl/>
                        </w:rPr>
                      </w:pPr>
                      <w:r w:rsidRPr="00894C14">
                        <w:rPr>
                          <w:rFonts w:asciiTheme="majorBidi" w:hAnsiTheme="majorBidi" w:cs="Times New Roman" w:hint="cs"/>
                          <w:sz w:val="32"/>
                          <w:szCs w:val="32"/>
                          <w:rtl/>
                        </w:rPr>
                        <w:t>ومن</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منصات</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التواصل</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منبراً</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للوعي</w:t>
                      </w:r>
                      <w:r w:rsidRPr="00894C14">
                        <w:rPr>
                          <w:rFonts w:asciiTheme="majorBidi" w:hAnsiTheme="majorBidi" w:cs="Times New Roman"/>
                          <w:sz w:val="32"/>
                          <w:szCs w:val="32"/>
                          <w:rtl/>
                        </w:rPr>
                        <w:t xml:space="preserve"> </w:t>
                      </w:r>
                      <w:r w:rsidRPr="00894C14">
                        <w:rPr>
                          <w:rFonts w:asciiTheme="majorBidi" w:hAnsiTheme="majorBidi" w:cs="Times New Roman" w:hint="cs"/>
                          <w:sz w:val="32"/>
                          <w:szCs w:val="32"/>
                          <w:rtl/>
                        </w:rPr>
                        <w:t>والتثقيف</w:t>
                      </w:r>
                    </w:p>
                    <w:p w14:paraId="5D6AF589" w14:textId="77777777" w:rsidR="00894C14" w:rsidRDefault="00894C14" w:rsidP="00894C14">
                      <w:pPr>
                        <w:rPr>
                          <w:rFonts w:asciiTheme="majorBidi" w:hAnsiTheme="majorBidi" w:cs="Times New Roman"/>
                          <w:sz w:val="32"/>
                          <w:szCs w:val="32"/>
                          <w:rtl/>
                        </w:rPr>
                      </w:pPr>
                    </w:p>
                    <w:p w14:paraId="06BF1E40" w14:textId="77777777" w:rsidR="00894C14" w:rsidRDefault="00894C14" w:rsidP="00894C14">
                      <w:pPr>
                        <w:bidi w:val="0"/>
                        <w:rPr>
                          <w:rFonts w:asciiTheme="majorBidi" w:hAnsiTheme="majorBidi" w:cstheme="majorBidi"/>
                          <w:sz w:val="32"/>
                          <w:szCs w:val="32"/>
                        </w:rPr>
                      </w:pPr>
                    </w:p>
                    <w:p w14:paraId="16811A2B" w14:textId="39246143" w:rsidR="00894C14" w:rsidRDefault="00894C14" w:rsidP="00894C14">
                      <w:pPr>
                        <w:rPr>
                          <w:rFonts w:asciiTheme="majorBidi" w:hAnsiTheme="majorBidi" w:cstheme="majorBidi"/>
                          <w:sz w:val="32"/>
                          <w:szCs w:val="32"/>
                          <w:rtl/>
                        </w:rPr>
                      </w:pPr>
                      <w:r w:rsidRPr="00894C14">
                        <w:rPr>
                          <w:rFonts w:asciiTheme="majorBidi" w:hAnsiTheme="majorBidi" w:cs="Times New Roman"/>
                          <w:sz w:val="32"/>
                          <w:szCs w:val="32"/>
                          <w:rtl/>
                        </w:rPr>
                        <w:t>إليكم جميعاً... أهدي ثمرة جهدي، ودعوات قلبي، وتواضع بحثي.</w:t>
                      </w:r>
                    </w:p>
                    <w:p w14:paraId="1708DD91" w14:textId="43B409F4" w:rsidR="00280AE4" w:rsidRPr="00280AE4" w:rsidRDefault="00280AE4" w:rsidP="00280AE4">
                      <w:pPr>
                        <w:rPr>
                          <w:rFonts w:asciiTheme="majorBidi" w:hAnsiTheme="majorBidi" w:cstheme="majorBidi"/>
                          <w:sz w:val="32"/>
                          <w:szCs w:val="32"/>
                        </w:rPr>
                      </w:pPr>
                      <w:r w:rsidRPr="00280AE4">
                        <w:rPr>
                          <w:rFonts w:asciiTheme="majorBidi" w:hAnsiTheme="majorBidi" w:cstheme="majorBidi"/>
                          <w:sz w:val="32"/>
                          <w:szCs w:val="32"/>
                          <w:rtl/>
                        </w:rPr>
                        <w:t>.</w:t>
                      </w:r>
                    </w:p>
                  </w:txbxContent>
                </v:textbox>
              </v:shape>
            </w:pict>
          </mc:Fallback>
        </mc:AlternateContent>
      </w:r>
      <w:r w:rsidR="002C2CEB">
        <w:rPr>
          <w:rFonts w:ascii="Sakkal Majalla" w:hAnsi="Sakkal Majalla" w:cs="Sakkal Majalla"/>
          <w:sz w:val="28"/>
          <w:szCs w:val="28"/>
          <w:rtl/>
          <w:lang w:bidi="ar-EG"/>
        </w:rPr>
        <w:br w:type="page"/>
      </w:r>
    </w:p>
    <w:p w14:paraId="291B10BF" w14:textId="65FFA2B3" w:rsidR="005F0DCE" w:rsidRDefault="005F0DCE">
      <w:pPr>
        <w:bidi w:val="0"/>
      </w:pPr>
      <w:r>
        <w:rPr>
          <w:rFonts w:ascii="Sakkal Majalla" w:hAnsi="Sakkal Majalla" w:cs="Sakkal Majalla"/>
          <w:noProof/>
          <w:sz w:val="28"/>
          <w:szCs w:val="28"/>
          <w:rtl/>
          <w:lang w:val="ar-EG" w:bidi="ar-EG"/>
        </w:rPr>
        <w:lastRenderedPageBreak/>
        <mc:AlternateContent>
          <mc:Choice Requires="wps">
            <w:drawing>
              <wp:anchor distT="0" distB="0" distL="114300" distR="114300" simplePos="0" relativeHeight="251678720" behindDoc="0" locked="0" layoutInCell="1" allowOverlap="1" wp14:anchorId="1B11AD75" wp14:editId="009AB584">
                <wp:simplePos x="0" y="0"/>
                <wp:positionH relativeFrom="column">
                  <wp:posOffset>0</wp:posOffset>
                </wp:positionH>
                <wp:positionV relativeFrom="paragraph">
                  <wp:posOffset>0</wp:posOffset>
                </wp:positionV>
                <wp:extent cx="5469890" cy="824230"/>
                <wp:effectExtent l="0" t="0" r="0" b="0"/>
                <wp:wrapNone/>
                <wp:docPr id="1473080954" name="مربع نص 8"/>
                <wp:cNvGraphicFramePr/>
                <a:graphic xmlns:a="http://schemas.openxmlformats.org/drawingml/2006/main">
                  <a:graphicData uri="http://schemas.microsoft.com/office/word/2010/wordprocessingShape">
                    <wps:wsp>
                      <wps:cNvSpPr txBox="1"/>
                      <wps:spPr>
                        <a:xfrm>
                          <a:off x="0" y="0"/>
                          <a:ext cx="5469890" cy="824230"/>
                        </a:xfrm>
                        <a:prstGeom prst="rect">
                          <a:avLst/>
                        </a:prstGeom>
                        <a:noFill/>
                        <a:ln w="6350">
                          <a:noFill/>
                        </a:ln>
                      </wps:spPr>
                      <wps:txbx>
                        <w:txbxContent>
                          <w:p w14:paraId="6D76102D" w14:textId="21EB1D07" w:rsidR="005F0DCE" w:rsidRPr="00894C14" w:rsidRDefault="005F0DCE" w:rsidP="005F0DCE">
                            <w:pPr>
                              <w:jc w:val="center"/>
                              <w:rPr>
                                <w:rFonts w:ascii="Sana" w:hAnsi="Sana" w:cs="Sana"/>
                              </w:rPr>
                            </w:pPr>
                            <w:r>
                              <w:rPr>
                                <w:rFonts w:ascii="Sana" w:hAnsi="Sana" w:cs="Sana" w:hint="cs"/>
                                <w:sz w:val="52"/>
                                <w:szCs w:val="52"/>
                                <w:rtl/>
                              </w:rPr>
                              <w:t>الشكر والتقدير</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xmlns:w16cei="http://schemas.microsoft.com/office/word/2026/wordml/cei">
            <w:pict>
              <v:shape w14:anchorId="1B11AD75" id="_x0000_s1030" type="#_x0000_t202" style="position:absolute;margin-left:0;margin-top:0;width:430.7pt;height:64.9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" filled="f" stroked="f" strokeweight=".5pt">
                <v:textbox>
                  <w:txbxContent>
                    <w:p w14:paraId="6D76102D" w14:textId="21EB1D07" w:rsidR="005F0DCE" w:rsidRPr="00894C14" w:rsidRDefault="005F0DCE" w:rsidP="005F0DCE">
                      <w:pPr>
                        <w:jc w:val="center"/>
                        <w:rPr>
                          <w:rFonts w:ascii="Sana" w:hAnsi="Sana" w:cs="Sana"/>
                        </w:rPr>
                      </w:pPr>
                      <w:r>
                        <w:rPr>
                          <w:rFonts w:ascii="Sana" w:hAnsi="Sana" w:cs="Sana" w:hint="cs"/>
                          <w:sz w:val="52"/>
                          <w:szCs w:val="52"/>
                          <w:rtl/>
                        </w:rPr>
                        <w:t>الشكر والتقدير</w:t>
                      </w:r>
                    </w:p>
                  </w:txbxContent>
                </v:textbox>
              </v:shape>
            </w:pict>
          </mc:Fallback>
        </mc:AlternateContent>
      </w:r>
      <w:r>
        <w:br w:type="page"/>
      </w:r>
    </w:p>
    <w:p w14:paraId="104DF8D6" w14:textId="77777777" w:rsidR="000913DC" w:rsidRDefault="000913DC" w:rsidP="000913DC">
      <w:pPr>
        <w:spacing w:line="360" w:lineRule="auto"/>
        <w:rPr>
          <w:rFonts w:ascii="Simplified Arabic" w:hAnsi="Simplified Arabic" w:cs="Simplified Arabic"/>
          <w:b/>
          <w:bCs/>
          <w:sz w:val="36"/>
          <w:szCs w:val="36"/>
          <w:rtl/>
          <w:lang w:bidi="ar-EG"/>
        </w:rPr>
      </w:pPr>
      <w:r>
        <w:lastRenderedPageBreak/>
        <w:br w:type="page"/>
      </w:r>
      <w:r>
        <w:rPr>
          <w:rFonts w:ascii="Simplified Arabic" w:hAnsi="Simplified Arabic" w:cs="Simplified Arabic" w:hint="cs"/>
          <w:b/>
          <w:bCs/>
          <w:sz w:val="36"/>
          <w:szCs w:val="36"/>
          <w:rtl/>
          <w:lang w:bidi="ar-EG"/>
        </w:rPr>
        <w:lastRenderedPageBreak/>
        <w:t>الملخص:</w:t>
      </w:r>
    </w:p>
    <w:p w14:paraId="1A4FEDC8" w14:textId="77777777" w:rsidR="000913DC" w:rsidRDefault="000913DC" w:rsidP="000913DC">
      <w:pPr>
        <w:spacing w:line="276" w:lineRule="auto"/>
        <w:rPr>
          <w:rFonts w:ascii="Simplified Arabic" w:hAnsi="Simplified Arabic" w:cs="Simplified Arabic"/>
          <w:sz w:val="28"/>
          <w:szCs w:val="28"/>
          <w:rtl/>
          <w:lang w:bidi="ar-EG"/>
        </w:rPr>
      </w:pPr>
      <w:r w:rsidRPr="001E7784">
        <w:rPr>
          <w:rFonts w:ascii="Simplified Arabic" w:hAnsi="Simplified Arabic" w:cs="Simplified Arabic"/>
          <w:sz w:val="28"/>
          <w:szCs w:val="28"/>
          <w:rtl/>
        </w:rPr>
        <w:t xml:space="preserve">هدفت الدراسة إلى التعرف على دور الإعلام الرقمي في تعزيز الوعي الصحي بالأمراض العصبية المزمنة داخل المجتمع السعودي، وقياس مدى إسهامه في نشر المعلومات الصحية الموثوقة، ورفع مستوى المعرفة الصحية لدى المرضى وأسرهم، مع تحديد أبرز التحديات التي تواجه الاستفادة من المحتوى الصحي الرقمي، واقتراح سبل تطويره. اعتمدت الدراسة على المنهج الوصفي التحليلي، واستخدمت أداتين لجمع البيانات؛ الأولى استبانة طُبقت على عينة قوامها (400) مفردة من أفراد المجتمع، والثانية مقابلات شبه مقننة مع </w:t>
      </w:r>
      <w:r w:rsidRPr="001E7784">
        <w:rPr>
          <w:rFonts w:ascii="Simplified Arabic" w:hAnsi="Simplified Arabic" w:cs="Simplified Arabic"/>
          <w:sz w:val="28"/>
          <w:szCs w:val="28"/>
          <w:lang w:bidi="ar-EG"/>
        </w:rPr>
        <w:t xml:space="preserve">50 </w:t>
      </w:r>
      <w:r w:rsidRPr="001E7784">
        <w:rPr>
          <w:rFonts w:ascii="Simplified Arabic" w:hAnsi="Simplified Arabic" w:cs="Simplified Arabic"/>
          <w:sz w:val="28"/>
          <w:szCs w:val="28"/>
          <w:rtl/>
        </w:rPr>
        <w:t>مشاركًا بواقع (25) طبيبًا و(25) مريضًا، بهدف الحصول على رؤية شاملة حول واقع الإعلام الرقمي في التوعية الصحية. وتنبع أهمية الدراسة من أهمية الإعلام الرقمي باعتباره وسيلة رئيسية لنشر الثقافة الصحية، ودوره في دعم جهود الوقاية، وتحسين جودة الحياة، ومواجهة المعلومات الصحية المضللة، خاصة لدى مرضى الأمراض العصبية المزمنة. وأظهرت النتائج أن الإعلام الرقمي يمثل مصدرًا رئيسيًا للمعلومات الصحية، ويسهم بدرجة كبيرة في رفع الوعي الصحي، وتعزيز فهم المرض، وتشجيع الالتزام بالعلاج، مع تفضيل المرضى للمحتوى المرئي مثل الفيديوهات والإنفوجرافيك. كما بينت النتائج أن الثقة بالمحتوى ترتبط بصدوره عن جهات صحية رسمية أو مختصين، في حين تشكل المعلومات غير الموثوقة والتجارب الشخصية غير العلمية أبرز التحديات. وأوصت الدراسة بتعزيز حضور المؤسسات الصحية والأطباء على المنصات الرقمية، وإنتاج محتوى صحي مبسط وموثوق، وتكثيف الحملات التوعوية المستمرة، وتوظيف التقنيات الحديثة والذكاء الاصطناعي في نشر التوعية الصحية، مع تطوير آليات لرصد المعلومات المضللة وتعزيز الثقافة الصحية الرقمية لدى أفراد المجتمع</w:t>
      </w:r>
      <w:r w:rsidRPr="001E7784">
        <w:rPr>
          <w:rFonts w:ascii="Simplified Arabic" w:hAnsi="Simplified Arabic" w:cs="Simplified Arabic"/>
          <w:sz w:val="28"/>
          <w:szCs w:val="28"/>
          <w:lang w:bidi="ar-EG"/>
        </w:rPr>
        <w:t xml:space="preserve">. </w:t>
      </w:r>
    </w:p>
    <w:p w14:paraId="0613CC00" w14:textId="1BDEC6E0" w:rsidR="00FF214E" w:rsidRPr="00FF214E" w:rsidRDefault="00FF214E" w:rsidP="00FF214E">
      <w:pPr>
        <w:spacing w:line="276" w:lineRule="auto"/>
        <w:rPr>
          <w:rFonts w:ascii="Simplified Arabic" w:hAnsi="Simplified Arabic" w:cs="Simplified Arabic"/>
          <w:sz w:val="28"/>
          <w:szCs w:val="28"/>
          <w:rtl/>
          <w:lang w:bidi="ar-EG"/>
        </w:rPr>
      </w:pPr>
      <w:r w:rsidRPr="00FF214E">
        <w:rPr>
          <w:rFonts w:ascii="Simplified Arabic" w:hAnsi="Simplified Arabic" w:cs="Simplified Arabic" w:hint="cs"/>
          <w:sz w:val="28"/>
          <w:szCs w:val="28"/>
          <w:rtl/>
          <w:lang w:bidi="ar-EG"/>
        </w:rPr>
        <w:t xml:space="preserve">الكلمات المفتاحية: </w:t>
      </w:r>
      <w:r w:rsidRPr="00FF214E">
        <w:rPr>
          <w:rFonts w:ascii="Simplified Arabic" w:hAnsi="Simplified Arabic" w:cs="Simplified Arabic"/>
          <w:sz w:val="28"/>
          <w:szCs w:val="28"/>
          <w:rtl/>
          <w:lang w:bidi="ar-EG"/>
        </w:rPr>
        <w:t>الإعلام الرقمي</w:t>
      </w:r>
      <w:r>
        <w:rPr>
          <w:rFonts w:ascii="Simplified Arabic" w:hAnsi="Simplified Arabic" w:cs="Simplified Arabic" w:hint="cs"/>
          <w:sz w:val="28"/>
          <w:szCs w:val="28"/>
          <w:rtl/>
          <w:lang w:bidi="ar-EG"/>
        </w:rPr>
        <w:t>,</w:t>
      </w:r>
      <w:r w:rsidRPr="00FF214E">
        <w:rPr>
          <w:rFonts w:ascii="Simplified Arabic" w:hAnsi="Simplified Arabic" w:cs="Simplified Arabic"/>
          <w:sz w:val="28"/>
          <w:szCs w:val="28"/>
          <w:rtl/>
          <w:lang w:bidi="ar-EG"/>
        </w:rPr>
        <w:t xml:space="preserve"> التوعیة</w:t>
      </w:r>
      <w:r>
        <w:rPr>
          <w:rFonts w:ascii="Simplified Arabic" w:hAnsi="Simplified Arabic" w:cs="Simplified Arabic" w:hint="cs"/>
          <w:sz w:val="28"/>
          <w:szCs w:val="28"/>
          <w:rtl/>
          <w:lang w:bidi="ar-EG"/>
        </w:rPr>
        <w:t xml:space="preserve">, </w:t>
      </w:r>
      <w:r w:rsidRPr="00FF214E">
        <w:rPr>
          <w:rFonts w:ascii="Simplified Arabic" w:hAnsi="Simplified Arabic" w:cs="Simplified Arabic"/>
          <w:sz w:val="28"/>
          <w:szCs w:val="28"/>
          <w:rtl/>
          <w:lang w:bidi="ar-EG"/>
        </w:rPr>
        <w:t>الأمراض العصبية المزمنة</w:t>
      </w:r>
      <w:r>
        <w:rPr>
          <w:rFonts w:ascii="Simplified Arabic" w:hAnsi="Simplified Arabic" w:cs="Simplified Arabic" w:hint="cs"/>
          <w:sz w:val="28"/>
          <w:szCs w:val="28"/>
          <w:rtl/>
          <w:lang w:bidi="ar-EG"/>
        </w:rPr>
        <w:t>,</w:t>
      </w:r>
      <w:r w:rsidRPr="00FF214E">
        <w:rPr>
          <w:rFonts w:ascii="Simplified Arabic" w:hAnsi="Simplified Arabic" w:cs="Simplified Arabic"/>
          <w:sz w:val="28"/>
          <w:szCs w:val="28"/>
          <w:rtl/>
          <w:lang w:bidi="ar-EG"/>
        </w:rPr>
        <w:t xml:space="preserve"> المجتمع السعودي</w:t>
      </w:r>
      <w:r>
        <w:rPr>
          <w:rFonts w:ascii="Simplified Arabic" w:hAnsi="Simplified Arabic" w:cs="Simplified Arabic" w:hint="cs"/>
          <w:sz w:val="28"/>
          <w:szCs w:val="28"/>
          <w:rtl/>
          <w:lang w:bidi="ar-EG"/>
        </w:rPr>
        <w:t>.</w:t>
      </w:r>
    </w:p>
    <w:p w14:paraId="0C998A82" w14:textId="77777777" w:rsidR="000913DC" w:rsidRDefault="000913DC" w:rsidP="000913DC">
      <w:pPr>
        <w:spacing w:line="276" w:lineRule="auto"/>
        <w:rPr>
          <w:rFonts w:ascii="Simplified Arabic" w:hAnsi="Simplified Arabic" w:cs="Simplified Arabic"/>
          <w:sz w:val="28"/>
          <w:szCs w:val="28"/>
          <w:rtl/>
          <w:lang w:bidi="ar-EG"/>
        </w:rPr>
      </w:pPr>
    </w:p>
    <w:p w14:paraId="19D39080" w14:textId="77777777" w:rsidR="00FF214E" w:rsidRDefault="00FF214E" w:rsidP="000913DC">
      <w:pPr>
        <w:spacing w:line="276" w:lineRule="auto"/>
        <w:rPr>
          <w:rFonts w:ascii="Simplified Arabic" w:hAnsi="Simplified Arabic" w:cs="Simplified Arabic"/>
          <w:sz w:val="32"/>
          <w:szCs w:val="32"/>
          <w:rtl/>
          <w:lang w:bidi="ar-EG"/>
        </w:rPr>
      </w:pPr>
    </w:p>
    <w:p w14:paraId="79635DF6" w14:textId="77777777" w:rsidR="000913DC" w:rsidRDefault="000913DC" w:rsidP="000913DC">
      <w:pPr>
        <w:spacing w:line="276" w:lineRule="auto"/>
        <w:rPr>
          <w:rFonts w:ascii="Simplified Arabic" w:hAnsi="Simplified Arabic" w:cs="Simplified Arabic"/>
          <w:sz w:val="32"/>
          <w:szCs w:val="32"/>
          <w:rtl/>
          <w:lang w:bidi="ar-EG"/>
        </w:rPr>
      </w:pPr>
    </w:p>
    <w:p w14:paraId="7418A42B" w14:textId="77777777" w:rsidR="000913DC" w:rsidRPr="001E7784" w:rsidRDefault="000913DC" w:rsidP="000913DC">
      <w:pPr>
        <w:spacing w:line="276" w:lineRule="auto"/>
        <w:jc w:val="right"/>
        <w:rPr>
          <w:rFonts w:ascii="Simplified Arabic" w:hAnsi="Simplified Arabic" w:cs="Simplified Arabic"/>
          <w:sz w:val="28"/>
          <w:szCs w:val="28"/>
          <w:lang w:bidi="ar-EG"/>
        </w:rPr>
      </w:pPr>
      <w:r w:rsidRPr="001E7784">
        <w:rPr>
          <w:rFonts w:ascii="Simplified Arabic" w:hAnsi="Simplified Arabic" w:cs="Simplified Arabic"/>
          <w:b/>
          <w:bCs/>
          <w:sz w:val="28"/>
          <w:szCs w:val="28"/>
          <w:lang w:bidi="ar-EG"/>
        </w:rPr>
        <w:lastRenderedPageBreak/>
        <w:t>Abstract</w:t>
      </w:r>
    </w:p>
    <w:p w14:paraId="705F04EC" w14:textId="77777777" w:rsidR="000913DC" w:rsidRPr="00E74CFC" w:rsidRDefault="000913DC" w:rsidP="000913DC">
      <w:pPr>
        <w:spacing w:line="276" w:lineRule="auto"/>
        <w:jc w:val="right"/>
        <w:rPr>
          <w:rFonts w:ascii="Simplified Arabic" w:hAnsi="Simplified Arabic" w:cs="Simplified Arabic"/>
          <w:sz w:val="24"/>
          <w:szCs w:val="24"/>
          <w:lang w:bidi="ar-EG"/>
        </w:rPr>
      </w:pPr>
      <w:r w:rsidRPr="00E74CFC">
        <w:rPr>
          <w:rFonts w:ascii="Simplified Arabic" w:hAnsi="Simplified Arabic" w:cs="Simplified Arabic"/>
          <w:sz w:val="24"/>
          <w:szCs w:val="24"/>
          <w:lang w:bidi="ar-EG"/>
        </w:rPr>
        <w:t>This study aimed to examine the role of digital media in promoting health awareness of chronic neurological diseases in Saudi society by assessing its contribution to disseminating reliable health information, enhancing health literacy among patients and their families, identifying the major challenges associated with digital health content, and proposing strategies for its improvement. The study adopted a descriptive-analytical approach and employed two data collection instruments. The first was a questionnaire administered to a sample of 400 participants, while the second consisted of semi-structured interviews conducted with 50 participants, including 25 physicians and 25 patients, to obtain comprehensive insights into the current role of digital media in health education.</w:t>
      </w:r>
    </w:p>
    <w:p w14:paraId="084CC2F4" w14:textId="77777777" w:rsidR="000913DC" w:rsidRPr="00E74CFC" w:rsidRDefault="000913DC" w:rsidP="000913DC">
      <w:pPr>
        <w:spacing w:line="276" w:lineRule="auto"/>
        <w:jc w:val="right"/>
        <w:rPr>
          <w:rFonts w:ascii="Simplified Arabic" w:hAnsi="Simplified Arabic" w:cs="Simplified Arabic"/>
          <w:sz w:val="24"/>
          <w:szCs w:val="24"/>
          <w:lang w:bidi="ar-EG"/>
        </w:rPr>
      </w:pPr>
      <w:r w:rsidRPr="00E74CFC">
        <w:rPr>
          <w:rFonts w:ascii="Simplified Arabic" w:hAnsi="Simplified Arabic" w:cs="Simplified Arabic"/>
          <w:sz w:val="24"/>
          <w:szCs w:val="24"/>
          <w:lang w:bidi="ar-EG"/>
        </w:rPr>
        <w:t>The significance of the study lies in highlighting digital media as a key platform for promoting health literacy, supporting disease prevention efforts, improving patients’ quality of life, and combating health misinformation, particularly in relation to chronic neurological diseases. The findings revealed that digital media has become a primary source of health information and plays a significant role in increasing health awareness, improving patients’ understanding of their conditions, and encouraging adherence to treatment plans. The results also indicated that patients show a clear preference for visual content, particularly educational videos and infographics. Furthermore, trust in digital health information was found to depend largely on its publication by official health authorities or qualified healthcare professionals, whereas unreliable information and unverified personal experiences were identified as the main challenges.</w:t>
      </w:r>
    </w:p>
    <w:p w14:paraId="03DFCFCE" w14:textId="77777777" w:rsidR="000913DC" w:rsidRDefault="000913DC" w:rsidP="000913DC">
      <w:pPr>
        <w:spacing w:line="276" w:lineRule="auto"/>
        <w:jc w:val="right"/>
        <w:rPr>
          <w:rFonts w:ascii="Simplified Arabic" w:hAnsi="Simplified Arabic" w:cs="Simplified Arabic"/>
          <w:sz w:val="24"/>
          <w:szCs w:val="24"/>
          <w:rtl/>
          <w:lang w:bidi="ar-EG"/>
        </w:rPr>
      </w:pPr>
      <w:r w:rsidRPr="00E74CFC">
        <w:rPr>
          <w:rFonts w:ascii="Simplified Arabic" w:hAnsi="Simplified Arabic" w:cs="Simplified Arabic"/>
          <w:sz w:val="24"/>
          <w:szCs w:val="24"/>
          <w:lang w:bidi="ar-EG"/>
        </w:rPr>
        <w:t>The study recommends strengthening the digital presence of healthcare institutions and medical professionals, producing simplified and evidence-based health content, implementing continuous digital awareness campaigns, utilizing emerging technologies and artificial intelligence in health education, developing effective mechanisms to monitor and counter health misinformation, and enhancing digital health literacy across the community.</w:t>
      </w:r>
    </w:p>
    <w:p w14:paraId="171587E7" w14:textId="0B46FA5D" w:rsidR="00FF214E" w:rsidRDefault="00FF214E" w:rsidP="000913DC">
      <w:pPr>
        <w:spacing w:line="276" w:lineRule="auto"/>
        <w:jc w:val="right"/>
        <w:rPr>
          <w:rFonts w:ascii="Simplified Arabic" w:hAnsi="Simplified Arabic" w:cs="Simplified Arabic"/>
          <w:sz w:val="24"/>
          <w:szCs w:val="24"/>
          <w:rtl/>
          <w:lang w:bidi="ar-EG"/>
        </w:rPr>
      </w:pPr>
      <w:r w:rsidRPr="00FF214E">
        <w:rPr>
          <w:rFonts w:ascii="Simplified Arabic" w:hAnsi="Simplified Arabic" w:cs="Simplified Arabic"/>
          <w:sz w:val="24"/>
          <w:szCs w:val="24"/>
          <w:lang w:bidi="ar-EG"/>
        </w:rPr>
        <w:t>Keywords: digital media, awareness, chronic neurological diseases, Saudi society</w:t>
      </w:r>
    </w:p>
    <w:p w14:paraId="6CB123B5" w14:textId="2E8B9DEA" w:rsidR="00916091" w:rsidRPr="000913DC" w:rsidRDefault="00916091" w:rsidP="000913DC">
      <w:pPr>
        <w:rPr>
          <w:rtl/>
        </w:rPr>
      </w:pPr>
    </w:p>
    <w:p w14:paraId="62B3C7E5" w14:textId="77777777" w:rsidR="00916091" w:rsidRPr="00916091" w:rsidRDefault="00916091" w:rsidP="00916091">
      <w:pPr>
        <w:spacing w:line="360" w:lineRule="auto"/>
        <w:jc w:val="center"/>
        <w:rPr>
          <w:rFonts w:asciiTheme="majorBidi" w:hAnsiTheme="majorBidi" w:cstheme="majorBidi"/>
          <w:b/>
          <w:bCs/>
          <w:sz w:val="36"/>
          <w:szCs w:val="36"/>
          <w:rtl/>
          <w:lang w:bidi="ar-EG"/>
        </w:rPr>
      </w:pPr>
      <w:r w:rsidRPr="00916091">
        <w:rPr>
          <w:rFonts w:asciiTheme="majorBidi" w:hAnsiTheme="majorBidi" w:cstheme="majorBidi"/>
          <w:b/>
          <w:bCs/>
          <w:sz w:val="36"/>
          <w:szCs w:val="36"/>
          <w:rtl/>
          <w:lang w:bidi="ar-EG"/>
        </w:rPr>
        <w:t>الفصل الأول: الاطار المنهجي للدراسة</w:t>
      </w:r>
    </w:p>
    <w:p w14:paraId="260880AC" w14:textId="77777777" w:rsidR="00916091" w:rsidRPr="00916091" w:rsidRDefault="00916091" w:rsidP="00916091">
      <w:pPr>
        <w:spacing w:line="360" w:lineRule="auto"/>
        <w:jc w:val="both"/>
        <w:rPr>
          <w:rFonts w:asciiTheme="majorBidi" w:hAnsiTheme="majorBidi" w:cstheme="majorBidi"/>
          <w:b/>
          <w:bCs/>
          <w:sz w:val="32"/>
          <w:szCs w:val="32"/>
          <w:rtl/>
          <w:lang w:bidi="ar-EG"/>
        </w:rPr>
      </w:pPr>
      <w:r w:rsidRPr="00916091">
        <w:rPr>
          <w:rFonts w:asciiTheme="majorBidi" w:hAnsiTheme="majorBidi" w:cstheme="majorBidi"/>
          <w:b/>
          <w:bCs/>
          <w:sz w:val="32"/>
          <w:szCs w:val="32"/>
          <w:rtl/>
          <w:lang w:bidi="ar-EG"/>
        </w:rPr>
        <w:t>أولا: مقدمة الدراسة</w:t>
      </w:r>
    </w:p>
    <w:p w14:paraId="2F3D1037" w14:textId="77777777" w:rsidR="00916091" w:rsidRPr="00916091" w:rsidRDefault="00916091" w:rsidP="00916091">
      <w:pPr>
        <w:spacing w:line="360" w:lineRule="auto"/>
        <w:ind w:firstLine="720"/>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في ظل التحول الرقمي المتسارع الذي تشهده المملكة العربية السعودية ، وتبنيها لرؤية 2030 الطموحة ، أصبح الوعي الرقمي ضرورة ملحة لكل فرد في المجتمع وذلك نقلاً عن وكالة الأنباء السعودية (واس) في  بنوفمبر 2022م  بالدور الذي يقوم به الإعلام السعودي في نقل الحقائق بالصورة الواقعية الموضوعية والدفاع عن الوطن ومقدراته (البطريق,2020)</w:t>
      </w:r>
    </w:p>
    <w:p w14:paraId="54A3DDA1" w14:textId="77777777" w:rsidR="00916091" w:rsidRPr="00916091" w:rsidRDefault="00916091" w:rsidP="00916091">
      <w:pPr>
        <w:spacing w:line="360" w:lineRule="auto"/>
        <w:ind w:firstLine="720"/>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كما ان الاعلام يلعب دورا هاما  في نشر الوعي الرقمي بين افراد المجتمع بالمملكة العربية السعودية على صعيد الجوانب الحياتية على التكنولوجية الرقمية ويساهم في توعية الجمهور حول مخاطر الاستخدام وتعزيز السلوك الايجابي في البيئة الرقمية ونشر ‏المعرفة حول فوائد الوسائل الرقمية وكيفية الاستفادة الأمثل منها(الأمين,2020)</w:t>
      </w:r>
    </w:p>
    <w:p w14:paraId="2D7A468D" w14:textId="77777777" w:rsidR="00916091" w:rsidRPr="00916091" w:rsidRDefault="00916091" w:rsidP="00916091">
      <w:pPr>
        <w:spacing w:line="360" w:lineRule="auto"/>
        <w:ind w:firstLine="720"/>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ومن أهم هذه المجالات التي يمكن للإعلام الرقمي أن يساهم فيها بشكل إيجابي مجال  التوعية الصحية للأمراض المزمنة التي تصيب العديد من أفراد المجتمع ،أﮐدت دراﺳﺔ (ﺑﺷﯾر ﻣﺻطﻔﺎوي، 2016 ) ﻋﻟﯽ أن وﺳﺎﺋل اﻹﻋﻼم الحديثة ﺗﻌد اﻟﻣﺻدر اﻟرﺋﯾﺳﻲ ﻟﻟﻣﻌﻟوﻣﺎت اﻟﺻﺣﯾﺔ، وﺗؤدي دورًا ﮐﺑﯾرًا وﻣ هﻣًﺎ ﻓﻲ ﺑﻧﺎء اﻟﻔرد وﺗﮐوﯾﻧﮫ اﻟﻣﻌرﻓﻲ واﻟوﺟداﻧﻲ(عثمان,2019)</w:t>
      </w:r>
    </w:p>
    <w:p w14:paraId="46F159A0" w14:textId="77777777" w:rsidR="00916091" w:rsidRPr="00916091" w:rsidRDefault="00916091" w:rsidP="00916091">
      <w:pPr>
        <w:spacing w:line="360" w:lineRule="auto"/>
        <w:ind w:firstLine="720"/>
        <w:jc w:val="both"/>
        <w:rPr>
          <w:rFonts w:asciiTheme="majorBidi" w:hAnsiTheme="majorBidi" w:cstheme="majorBidi"/>
          <w:sz w:val="28"/>
          <w:szCs w:val="28"/>
          <w:lang w:bidi="ar-EG"/>
        </w:rPr>
      </w:pPr>
      <w:r w:rsidRPr="00916091">
        <w:rPr>
          <w:rFonts w:asciiTheme="majorBidi" w:hAnsiTheme="majorBidi" w:cstheme="majorBidi"/>
          <w:sz w:val="28"/>
          <w:szCs w:val="28"/>
          <w:rtl/>
        </w:rPr>
        <w:t>الأمراض العصبية هي مجموعة من الاضطرابات التي تصيب الجهاز العصبي، سواء المركزي الذي يشمل الدماغ والحبل الشوكي، أو المحيطي الذي يشمل الأعصاب المنتشرة في الجسم. تلعب هذه الأمراض دورًا كبيرًا في التأثير على حياة الأفراد، حيث يمكن أن تؤدي إلى فقدان الوظائف الحركية أو الإدراكية، مما يؤثر على قدرة الشخص على أداء مهامه اليومية</w:t>
      </w:r>
      <w:r w:rsidRPr="00916091">
        <w:rPr>
          <w:rFonts w:asciiTheme="majorBidi" w:hAnsiTheme="majorBidi" w:cstheme="majorBidi"/>
          <w:sz w:val="28"/>
          <w:szCs w:val="28"/>
          <w:rtl/>
          <w:lang w:bidi="ar-EG"/>
        </w:rPr>
        <w:t>(</w:t>
      </w:r>
      <w:r w:rsidRPr="00916091">
        <w:rPr>
          <w:rFonts w:asciiTheme="majorBidi" w:hAnsiTheme="majorBidi" w:cstheme="majorBidi"/>
          <w:sz w:val="28"/>
          <w:szCs w:val="28"/>
          <w:lang w:bidi="ar-EG"/>
        </w:rPr>
        <w:t>Fundoiano,2021</w:t>
      </w:r>
      <w:r w:rsidRPr="00916091">
        <w:rPr>
          <w:rFonts w:asciiTheme="majorBidi" w:hAnsiTheme="majorBidi" w:cstheme="majorBidi"/>
          <w:sz w:val="28"/>
          <w:szCs w:val="28"/>
          <w:rtl/>
          <w:lang w:bidi="ar-EG"/>
        </w:rPr>
        <w:t>)</w:t>
      </w:r>
    </w:p>
    <w:p w14:paraId="34083720" w14:textId="77777777" w:rsidR="00916091" w:rsidRPr="00916091" w:rsidRDefault="00916091" w:rsidP="00916091">
      <w:pPr>
        <w:spacing w:line="360" w:lineRule="auto"/>
        <w:ind w:firstLine="720"/>
        <w:jc w:val="both"/>
        <w:rPr>
          <w:rFonts w:asciiTheme="majorBidi" w:hAnsiTheme="majorBidi" w:cstheme="majorBidi"/>
          <w:sz w:val="28"/>
          <w:szCs w:val="28"/>
          <w:rtl/>
          <w:lang w:bidi="ar-EG"/>
        </w:rPr>
      </w:pPr>
      <w:r w:rsidRPr="00916091">
        <w:rPr>
          <w:rFonts w:asciiTheme="majorBidi" w:hAnsiTheme="majorBidi" w:cstheme="majorBidi"/>
          <w:sz w:val="28"/>
          <w:szCs w:val="28"/>
          <w:rtl/>
        </w:rPr>
        <w:t>تنشأ الأمراض العصبية لأسباب متعددة، فقد تكون وراثية، أو نتيجة التهابات، أو إصابات مباشرة في الدماغ أو النخاع الشوكي. كما يمكن أن تنتج عن أمراض مناعية تهاجم الجهاز العصبي، أو اضطرابات في الأوعية الدموية التي تغذي الدماغ، مثل السكتة الدماغية. في بعض الحالات، قد يكون السبب غير معروف، مما يزيد من تحديات التشخيص والعلاج</w:t>
      </w:r>
      <w:r w:rsidRPr="00916091">
        <w:rPr>
          <w:rFonts w:asciiTheme="majorBidi" w:hAnsiTheme="majorBidi" w:cstheme="majorBidi"/>
          <w:sz w:val="28"/>
          <w:szCs w:val="28"/>
          <w:rtl/>
          <w:lang w:bidi="ar-EG"/>
        </w:rPr>
        <w:t>(عويدات,2020)</w:t>
      </w:r>
    </w:p>
    <w:p w14:paraId="3A37A4F6" w14:textId="77777777" w:rsidR="00916091" w:rsidRPr="00916091" w:rsidRDefault="00916091" w:rsidP="00916091">
      <w:pPr>
        <w:spacing w:line="360" w:lineRule="auto"/>
        <w:ind w:firstLine="720"/>
        <w:jc w:val="both"/>
        <w:rPr>
          <w:rFonts w:asciiTheme="majorBidi" w:hAnsiTheme="majorBidi" w:cstheme="majorBidi"/>
          <w:sz w:val="28"/>
          <w:szCs w:val="28"/>
          <w:lang w:bidi="ar-EG"/>
        </w:rPr>
      </w:pPr>
      <w:r w:rsidRPr="00916091">
        <w:rPr>
          <w:rFonts w:asciiTheme="majorBidi" w:hAnsiTheme="majorBidi" w:cstheme="majorBidi"/>
          <w:sz w:val="28"/>
          <w:szCs w:val="28"/>
          <w:rtl/>
        </w:rPr>
        <w:lastRenderedPageBreak/>
        <w:t>تختلف طرق علاج الأمراض العصبية وفقًا لنوع المرض وشدته. في بعض الحالات، يتم استخدام الأدوية للحد من الأعراض أو إبطاء تقدم المرض، كما هو الحال في مرض باركنسون والزهايمر. بينما تتطلب بعض الحالات الأخرى علاجات جراحية، مثل استئصال الأورام الدماغية أو تركيب أجهزة تحفيز عصبي لعلاج اضطرابات الحركة</w:t>
      </w:r>
      <w:r w:rsidRPr="00916091">
        <w:rPr>
          <w:rFonts w:asciiTheme="majorBidi" w:hAnsiTheme="majorBidi" w:cstheme="majorBidi"/>
          <w:sz w:val="28"/>
          <w:szCs w:val="28"/>
          <w:rtl/>
          <w:lang w:bidi="ar-EG"/>
        </w:rPr>
        <w:t>(عبد المقصود,2020)</w:t>
      </w:r>
    </w:p>
    <w:p w14:paraId="03C03F26" w14:textId="77777777" w:rsidR="00916091" w:rsidRPr="00916091" w:rsidRDefault="00916091" w:rsidP="00916091">
      <w:pPr>
        <w:spacing w:line="360" w:lineRule="auto"/>
        <w:ind w:firstLine="720"/>
        <w:jc w:val="both"/>
        <w:rPr>
          <w:rFonts w:asciiTheme="majorBidi" w:hAnsiTheme="majorBidi" w:cstheme="majorBidi"/>
          <w:sz w:val="28"/>
          <w:szCs w:val="28"/>
          <w:lang w:bidi="ar-EG"/>
        </w:rPr>
      </w:pPr>
      <w:r w:rsidRPr="00916091">
        <w:rPr>
          <w:rFonts w:asciiTheme="majorBidi" w:hAnsiTheme="majorBidi" w:cstheme="majorBidi"/>
          <w:sz w:val="28"/>
          <w:szCs w:val="28"/>
          <w:rtl/>
        </w:rPr>
        <w:t>تلعب جلسات العلاج الطبيعي والتأهيل دورًا مهمًا في تحسين جودة حياة المرضى الذين يعانون من أمراض عصبية تؤثر على الحركة. كما أن العلاج النفسي والدعم الاجتماعي يساعدان المرضى على التكيف مع تأثيرات المرض، خاصة في الحالات التي تؤثر على الذاكرة أو الوظائف الإدراكية</w:t>
      </w:r>
      <w:r w:rsidRPr="00916091">
        <w:rPr>
          <w:rFonts w:asciiTheme="majorBidi" w:hAnsiTheme="majorBidi" w:cstheme="majorBidi"/>
          <w:sz w:val="28"/>
          <w:szCs w:val="28"/>
          <w:rtl/>
          <w:lang w:bidi="ar-EG"/>
        </w:rPr>
        <w:t>(البشير,2020)</w:t>
      </w:r>
    </w:p>
    <w:p w14:paraId="014336C0" w14:textId="77777777" w:rsidR="00916091" w:rsidRPr="00916091" w:rsidRDefault="00916091" w:rsidP="00916091">
      <w:pPr>
        <w:spacing w:line="360" w:lineRule="auto"/>
        <w:ind w:firstLine="720"/>
        <w:jc w:val="both"/>
        <w:rPr>
          <w:rFonts w:asciiTheme="majorBidi" w:hAnsiTheme="majorBidi" w:cstheme="majorBidi"/>
          <w:sz w:val="28"/>
          <w:szCs w:val="28"/>
          <w:lang w:bidi="ar-EG"/>
        </w:rPr>
      </w:pPr>
      <w:r w:rsidRPr="00916091">
        <w:rPr>
          <w:rFonts w:asciiTheme="majorBidi" w:hAnsiTheme="majorBidi" w:cstheme="majorBidi"/>
          <w:sz w:val="28"/>
          <w:szCs w:val="28"/>
          <w:rtl/>
        </w:rPr>
        <w:t>مع التقدم الطبي، تتجه الأبحاث إلى تطوير علاجات جديدة، بما في ذلك العلاجات الجينية، والخلايا الجذعية، والأدوية التي تستهدف مسارات عصبية محددة. هناك أيضًا تقدم في استخدام الذكاء الاصطناعي في تشخيص الأمراض العصبية والتنبؤ بمسارها، مما قد يساعد في تحسين خطط العلاج المستقبلية</w:t>
      </w:r>
      <w:r w:rsidRPr="00916091">
        <w:rPr>
          <w:rFonts w:asciiTheme="majorBidi" w:hAnsiTheme="majorBidi" w:cstheme="majorBidi"/>
          <w:sz w:val="28"/>
          <w:szCs w:val="28"/>
          <w:rtl/>
          <w:lang w:bidi="ar-EG"/>
        </w:rPr>
        <w:t>(الأمين,2020)</w:t>
      </w:r>
    </w:p>
    <w:p w14:paraId="0A982218" w14:textId="77777777" w:rsidR="00916091" w:rsidRPr="00916091" w:rsidRDefault="00916091" w:rsidP="00916091">
      <w:pPr>
        <w:spacing w:line="360" w:lineRule="auto"/>
        <w:ind w:firstLine="720"/>
        <w:jc w:val="both"/>
        <w:rPr>
          <w:rFonts w:asciiTheme="majorBidi" w:hAnsiTheme="majorBidi" w:cstheme="majorBidi"/>
          <w:sz w:val="28"/>
          <w:szCs w:val="28"/>
          <w:lang w:bidi="ar-EG"/>
        </w:rPr>
      </w:pPr>
      <w:r w:rsidRPr="00916091">
        <w:rPr>
          <w:rFonts w:asciiTheme="majorBidi" w:hAnsiTheme="majorBidi" w:cstheme="majorBidi"/>
          <w:sz w:val="28"/>
          <w:szCs w:val="28"/>
          <w:rtl/>
        </w:rPr>
        <w:t>يعد التوعية والوقاية من العوامل التي تزيد من خطر الإصابة بالأمراض العصبية أمرًا مهمًا، خاصة فيما يتعلق بالحفاظ على نمط حياة صحي. يشمل ذلك ممارسة التمارين الرياضية بانتظام، وتناول غذاء متوازن، والحد من التوتر، وتجنب التدخين والكحول، بالإضافة إلى السيطرة على الأمراض المزمنة مثل السكري وارتفاع ضغط الدم، التي قد تزيد من احتمالية الإصابة بالسكتة الدماغية أو تلف الأعصاب</w:t>
      </w:r>
      <w:r w:rsidRPr="00916091">
        <w:rPr>
          <w:rFonts w:asciiTheme="majorBidi" w:hAnsiTheme="majorBidi" w:cstheme="majorBidi"/>
          <w:sz w:val="28"/>
          <w:szCs w:val="28"/>
          <w:rtl/>
          <w:lang w:bidi="ar-EG"/>
        </w:rPr>
        <w:t>(</w:t>
      </w:r>
      <w:r w:rsidRPr="00916091">
        <w:rPr>
          <w:rFonts w:asciiTheme="majorBidi" w:hAnsiTheme="majorBidi" w:cstheme="majorBidi"/>
          <w:sz w:val="28"/>
          <w:szCs w:val="28"/>
          <w:lang w:bidi="ar-EG"/>
        </w:rPr>
        <w:t>Devi,2020</w:t>
      </w:r>
      <w:r w:rsidRPr="00916091">
        <w:rPr>
          <w:rFonts w:asciiTheme="majorBidi" w:hAnsiTheme="majorBidi" w:cstheme="majorBidi"/>
          <w:sz w:val="28"/>
          <w:szCs w:val="28"/>
          <w:rtl/>
          <w:lang w:bidi="ar-EG"/>
        </w:rPr>
        <w:t>)</w:t>
      </w:r>
    </w:p>
    <w:p w14:paraId="0960AAFF" w14:textId="77777777" w:rsidR="00916091" w:rsidRPr="00916091" w:rsidRDefault="00916091" w:rsidP="00916091">
      <w:pPr>
        <w:spacing w:line="360" w:lineRule="auto"/>
        <w:ind w:firstLine="720"/>
        <w:jc w:val="both"/>
        <w:rPr>
          <w:rFonts w:asciiTheme="majorBidi" w:hAnsiTheme="majorBidi" w:cstheme="majorBidi"/>
          <w:sz w:val="28"/>
          <w:szCs w:val="28"/>
          <w:rtl/>
          <w:lang w:bidi="ar-EG"/>
        </w:rPr>
      </w:pPr>
      <w:r w:rsidRPr="00916091">
        <w:rPr>
          <w:rFonts w:asciiTheme="majorBidi" w:hAnsiTheme="majorBidi" w:cstheme="majorBidi"/>
          <w:sz w:val="28"/>
          <w:szCs w:val="28"/>
          <w:rtl/>
        </w:rPr>
        <w:t>في النهاية، تظل الأمراض العصبية تحديًا طبيًا معقدًا، لكن بفضل التقدم في البحث العلمي، تزداد فرص الكشف المبكر والعلاج الفعّال. من المهم دعم المرضى وأسرهم نفسيًا واجتماعيًا، نظرًا لأن بعض هذه الأمراض قد تكون طويلة الأمد وتتطلب تكيفًا مستمرًا مع نمط حياة جديد</w:t>
      </w:r>
      <w:r w:rsidRPr="00916091">
        <w:rPr>
          <w:rFonts w:asciiTheme="majorBidi" w:hAnsiTheme="majorBidi" w:cstheme="majorBidi"/>
          <w:sz w:val="28"/>
          <w:szCs w:val="28"/>
          <w:rtl/>
          <w:lang w:bidi="ar-EG"/>
        </w:rPr>
        <w:t>(عثمان,2019)</w:t>
      </w:r>
    </w:p>
    <w:p w14:paraId="1A0BA949" w14:textId="42677724"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فلذلك تسعى الدراسة إلى رصد تأثیر الإعلام الرقمي في تعزيز و نشر الثقافة  التوعویة الصحیة بالأمراض العصبیة المزمنة في المجتمع السعودي  والنتائج المتوقعة من البحث الحالي هو التعرف على الدور الإيجابي والفعال الذي يقوم به الاعلام الرقمي في التوعية بالامراض العصبية المزمنة وامكانية الوقايه منها والتعامل معها.</w:t>
      </w:r>
    </w:p>
    <w:p w14:paraId="4C6A15CF" w14:textId="77777777" w:rsidR="00916091" w:rsidRPr="00916091" w:rsidRDefault="00916091" w:rsidP="00916091">
      <w:pPr>
        <w:spacing w:line="360" w:lineRule="auto"/>
        <w:jc w:val="both"/>
        <w:rPr>
          <w:rFonts w:asciiTheme="majorBidi" w:hAnsiTheme="majorBidi" w:cstheme="majorBidi"/>
          <w:b/>
          <w:bCs/>
          <w:sz w:val="32"/>
          <w:szCs w:val="32"/>
          <w:rtl/>
          <w:lang w:bidi="ar-EG"/>
        </w:rPr>
      </w:pPr>
      <w:r w:rsidRPr="00916091">
        <w:rPr>
          <w:rFonts w:asciiTheme="majorBidi" w:hAnsiTheme="majorBidi" w:cstheme="majorBidi"/>
          <w:b/>
          <w:bCs/>
          <w:sz w:val="32"/>
          <w:szCs w:val="32"/>
          <w:rtl/>
          <w:lang w:bidi="ar-EG"/>
        </w:rPr>
        <w:t>ثانيا: مشكلة الدراسة وتساؤلاتها</w:t>
      </w:r>
    </w:p>
    <w:p w14:paraId="1CD37A32"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xml:space="preserve">وفقا لما تشير الية نتائج بعض الدراسات فان الاعلام الرقمي يواجه تحديات متعددة فيما يتعلق بدوره في التوعية بالامراض المزمنة مثل دقة المعلومات المنشورة وتاثير الشائعات والمعلومات المضللة ومدى تفاعل الجمهور </w:t>
      </w:r>
      <w:r w:rsidRPr="00916091">
        <w:rPr>
          <w:rFonts w:asciiTheme="majorBidi" w:hAnsiTheme="majorBidi" w:cstheme="majorBidi"/>
          <w:sz w:val="28"/>
          <w:szCs w:val="28"/>
          <w:rtl/>
          <w:lang w:bidi="ar-EG"/>
        </w:rPr>
        <w:lastRenderedPageBreak/>
        <w:t>مع المحتوي الصحي المقدم. إضافة الي ذلك تختلف درجة تاثير الاعلام الرقمي بناء علي مستوي الثقافه الصحية لدى الافراد ومدي اعتمادهم على المصادر الرقمية في الحصول على المعلومات الصحية, مقارنة بالمصادر التقليدية(</w:t>
      </w:r>
      <w:r w:rsidRPr="00916091">
        <w:rPr>
          <w:rFonts w:asciiTheme="majorBidi" w:hAnsiTheme="majorBidi" w:cstheme="majorBidi"/>
          <w:sz w:val="28"/>
          <w:szCs w:val="28"/>
          <w:lang w:bidi="ar-EG"/>
        </w:rPr>
        <w:t>Fundoiano,2021</w:t>
      </w:r>
      <w:r w:rsidRPr="00916091">
        <w:rPr>
          <w:rFonts w:asciiTheme="majorBidi" w:hAnsiTheme="majorBidi" w:cstheme="majorBidi"/>
          <w:sz w:val="28"/>
          <w:szCs w:val="28"/>
          <w:rtl/>
          <w:lang w:bidi="ar-EG"/>
        </w:rPr>
        <w:t>)</w:t>
      </w:r>
    </w:p>
    <w:p w14:paraId="78039B64"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بناء على ما سبق وفى  ظل تزايد الاعتماد على الاعلام الرقمي كمصدر رئيسي للمعلومات الصحية, تتزايد الحاجة الي دراسة موثوقيتة وفاعليتة في تعزيز الوعي الصحي والتاثير على السلوكيات الصحية للافراد, خاصة في مجتمع يعاني من انتشار بعض الامراض المزمنة مثل السكري وارتفاع ضغط الدم. من هنا يسعي البحث الي تقييم الدور الفعلي الذي يلعبه الاعلام الرقمي والتحديات التي تواجهه والسبل المقترحة لتعزيز مصداقيتة وفعاليتة في هذا المجال.</w:t>
      </w:r>
    </w:p>
    <w:p w14:paraId="3D6D3341"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ويتمثل التساؤل الأساسي في:</w:t>
      </w:r>
    </w:p>
    <w:p w14:paraId="21541C0F"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الي أي مدي يساهم الاعلام الرقمي في التوعية بالامراض المزمنة في المجتمع السعودي وما مدى تاثيره في تغيير سلوكيات الافراد الصحية؟</w:t>
      </w:r>
    </w:p>
    <w:p w14:paraId="32C51DF4" w14:textId="77777777" w:rsidR="00916091" w:rsidRPr="00916091" w:rsidRDefault="00916091" w:rsidP="00916091">
      <w:pPr>
        <w:spacing w:line="360" w:lineRule="auto"/>
        <w:jc w:val="both"/>
        <w:rPr>
          <w:rFonts w:asciiTheme="majorBidi" w:hAnsiTheme="majorBidi" w:cstheme="majorBidi"/>
          <w:b/>
          <w:bCs/>
          <w:sz w:val="32"/>
          <w:szCs w:val="32"/>
          <w:rtl/>
          <w:lang w:bidi="ar-EG"/>
        </w:rPr>
      </w:pPr>
      <w:r w:rsidRPr="00916091">
        <w:rPr>
          <w:rFonts w:asciiTheme="majorBidi" w:hAnsiTheme="majorBidi" w:cstheme="majorBidi"/>
          <w:b/>
          <w:bCs/>
          <w:sz w:val="32"/>
          <w:szCs w:val="32"/>
          <w:rtl/>
          <w:lang w:bidi="ar-EG"/>
        </w:rPr>
        <w:t xml:space="preserve"> التساؤلات الفرعية:</w:t>
      </w:r>
    </w:p>
    <w:p w14:paraId="4F1ADD73"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1- ما درجة اعتماد الجمهور السعودي على الاعلام الرقمي كمصدر رئيسي للمعلومات الصحية المتعلقة بالامراض المزمنة؟</w:t>
      </w:r>
    </w:p>
    <w:p w14:paraId="54AE6D60"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2- ما هي اكثر المنصات الرقمية التي يعتمد عليها الافراد للحصول على المعلومات الصحية, وما مدى موثوقيتها؟</w:t>
      </w:r>
    </w:p>
    <w:p w14:paraId="42A6EB98"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3- كيف يؤثر الاعلام الرقمي في تشكيل الوعي الصحي لدى الافراد المصابين بامراض مزمنة؟</w:t>
      </w:r>
    </w:p>
    <w:p w14:paraId="18A8F964"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4- ما التحديات التي تواجه الاعلام الرقمي في نشر المعلومات الصحية الموثوقة حول الامراض المزمنة؟</w:t>
      </w:r>
    </w:p>
    <w:p w14:paraId="25743CA2"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5- ما مدى تاثير المعلومات المتداولة عبر الاعلام الرقمي على سلوكيات الافراد الصحية وقرارتهم العلاجية؟</w:t>
      </w:r>
    </w:p>
    <w:p w14:paraId="7746DB61"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6- كيف يمكن تعزيز دور الاعلام الرقمي في نشر الوعي الصحي وتقليل انتشار المعلومات المضللة عن الامراض المزمنة؟</w:t>
      </w:r>
    </w:p>
    <w:p w14:paraId="031FE6D4" w14:textId="77777777" w:rsidR="00916091" w:rsidRDefault="00916091" w:rsidP="00916091">
      <w:pPr>
        <w:spacing w:line="360" w:lineRule="auto"/>
        <w:jc w:val="both"/>
        <w:rPr>
          <w:rFonts w:asciiTheme="majorBidi" w:hAnsiTheme="majorBidi" w:cstheme="majorBidi"/>
          <w:b/>
          <w:bCs/>
          <w:sz w:val="28"/>
          <w:szCs w:val="28"/>
          <w:rtl/>
          <w:lang w:bidi="ar-EG"/>
        </w:rPr>
      </w:pPr>
    </w:p>
    <w:p w14:paraId="30583148" w14:textId="77777777" w:rsidR="00916091" w:rsidRDefault="00916091" w:rsidP="00916091">
      <w:pPr>
        <w:spacing w:line="360" w:lineRule="auto"/>
        <w:jc w:val="both"/>
        <w:rPr>
          <w:rFonts w:asciiTheme="majorBidi" w:hAnsiTheme="majorBidi" w:cstheme="majorBidi"/>
          <w:b/>
          <w:bCs/>
          <w:sz w:val="28"/>
          <w:szCs w:val="28"/>
          <w:rtl/>
          <w:lang w:bidi="ar-EG"/>
        </w:rPr>
      </w:pPr>
    </w:p>
    <w:p w14:paraId="745B11D8" w14:textId="79E70FDB" w:rsidR="00916091" w:rsidRPr="00916091" w:rsidRDefault="00916091" w:rsidP="00916091">
      <w:pPr>
        <w:spacing w:line="360" w:lineRule="auto"/>
        <w:jc w:val="both"/>
        <w:rPr>
          <w:rFonts w:asciiTheme="majorBidi" w:hAnsiTheme="majorBidi" w:cstheme="majorBidi"/>
          <w:b/>
          <w:bCs/>
          <w:sz w:val="28"/>
          <w:szCs w:val="28"/>
          <w:rtl/>
          <w:lang w:bidi="ar-EG"/>
        </w:rPr>
      </w:pPr>
      <w:r w:rsidRPr="00916091">
        <w:rPr>
          <w:rFonts w:asciiTheme="majorBidi" w:hAnsiTheme="majorBidi" w:cstheme="majorBidi"/>
          <w:b/>
          <w:bCs/>
          <w:sz w:val="28"/>
          <w:szCs w:val="28"/>
          <w:rtl/>
          <w:lang w:bidi="ar-EG"/>
        </w:rPr>
        <w:lastRenderedPageBreak/>
        <w:t>ثالثا: اهمية الدراسة:</w:t>
      </w:r>
    </w:p>
    <w:p w14:paraId="64C8842D" w14:textId="77777777" w:rsidR="00916091" w:rsidRPr="00916091" w:rsidRDefault="00916091" w:rsidP="00916091">
      <w:pPr>
        <w:spacing w:line="360" w:lineRule="auto"/>
        <w:jc w:val="both"/>
        <w:rPr>
          <w:rFonts w:asciiTheme="majorBidi" w:hAnsiTheme="majorBidi" w:cstheme="majorBidi"/>
          <w:b/>
          <w:bCs/>
          <w:sz w:val="28"/>
          <w:szCs w:val="28"/>
          <w:rtl/>
          <w:lang w:bidi="ar-EG"/>
        </w:rPr>
      </w:pPr>
      <w:r w:rsidRPr="00916091">
        <w:rPr>
          <w:rFonts w:asciiTheme="majorBidi" w:hAnsiTheme="majorBidi" w:cstheme="majorBidi"/>
          <w:b/>
          <w:bCs/>
          <w:sz w:val="28"/>
          <w:szCs w:val="28"/>
          <w:rtl/>
          <w:lang w:bidi="ar-EG"/>
        </w:rPr>
        <w:t>أولا: الأهمية النظرية</w:t>
      </w:r>
    </w:p>
    <w:p w14:paraId="7B83A429"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تساهم الدراسة في سد الفجوة المعرفية حول دور الاعلام الرقمي في التوعية الصحية, خاصة فيما يتعلق بالامراض المزمنة.</w:t>
      </w:r>
    </w:p>
    <w:p w14:paraId="043DB5BB"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تقدم اطارا علميا يساعد الباحثين على فهم العوامل المؤثرة في فاعلية الاعلام الرقمي في المجال الصحي.</w:t>
      </w:r>
    </w:p>
    <w:p w14:paraId="4E716B93"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تدعم الادبيات العلمية حول تاثير الاعلام الرقمي على سلوكيات الافراد الصحية من خلال تحليل العلاقة بين الوعي الصحي والاستخدام الرقمي.</w:t>
      </w:r>
    </w:p>
    <w:p w14:paraId="7038B96C" w14:textId="77777777" w:rsidR="00916091" w:rsidRPr="00916091" w:rsidRDefault="00916091" w:rsidP="00916091">
      <w:pPr>
        <w:spacing w:line="360" w:lineRule="auto"/>
        <w:jc w:val="both"/>
        <w:rPr>
          <w:rFonts w:asciiTheme="majorBidi" w:hAnsiTheme="majorBidi" w:cstheme="majorBidi"/>
          <w:b/>
          <w:bCs/>
          <w:sz w:val="28"/>
          <w:szCs w:val="28"/>
          <w:rtl/>
          <w:lang w:bidi="ar-EG"/>
        </w:rPr>
      </w:pPr>
      <w:r w:rsidRPr="00916091">
        <w:rPr>
          <w:rFonts w:asciiTheme="majorBidi" w:hAnsiTheme="majorBidi" w:cstheme="majorBidi"/>
          <w:b/>
          <w:bCs/>
          <w:sz w:val="28"/>
          <w:szCs w:val="28"/>
          <w:rtl/>
          <w:lang w:bidi="ar-EG"/>
        </w:rPr>
        <w:t>ثانيا: الأهمية التطبيقية</w:t>
      </w:r>
    </w:p>
    <w:p w14:paraId="4B2E47F7"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تسعد الجهات الصحية والإعلامية في تطوير استراتيجيات اكثر فاعلية للتوعية بالامراض المزمنة عبر المنصات الرقمية.</w:t>
      </w:r>
    </w:p>
    <w:p w14:paraId="498B9F94"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توفر توصيات لصناع القرار في مجال الصحة والاعلام حول كيفية تحسين المحتوي الرقمي لمكافحة الشائعات والمعلومات المضللة</w:t>
      </w:r>
    </w:p>
    <w:p w14:paraId="0C75CA3C"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تسهم في توجيه حملات التوعية الرقمية بما يتناسب مع احتياجات الجمهور, مما يعزز التاثير الإيجابي للاعلام الرقمي على الصحة العامة.</w:t>
      </w:r>
    </w:p>
    <w:p w14:paraId="1DDC0EA1" w14:textId="77777777" w:rsidR="00916091" w:rsidRPr="00916091" w:rsidRDefault="00916091" w:rsidP="00916091">
      <w:pPr>
        <w:spacing w:line="360" w:lineRule="auto"/>
        <w:jc w:val="both"/>
        <w:rPr>
          <w:rFonts w:asciiTheme="majorBidi" w:hAnsiTheme="majorBidi" w:cstheme="majorBidi"/>
          <w:b/>
          <w:bCs/>
          <w:sz w:val="28"/>
          <w:szCs w:val="28"/>
          <w:rtl/>
          <w:lang w:bidi="ar-EG"/>
        </w:rPr>
      </w:pPr>
      <w:r w:rsidRPr="00916091">
        <w:rPr>
          <w:rFonts w:asciiTheme="majorBidi" w:hAnsiTheme="majorBidi" w:cstheme="majorBidi"/>
          <w:b/>
          <w:bCs/>
          <w:sz w:val="28"/>
          <w:szCs w:val="28"/>
          <w:rtl/>
          <w:lang w:bidi="ar-EG"/>
        </w:rPr>
        <w:t xml:space="preserve">رابعا: اهداف الدراسة </w:t>
      </w:r>
    </w:p>
    <w:p w14:paraId="1E29FE1F"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الهدف الرئيسي:</w:t>
      </w:r>
    </w:p>
    <w:p w14:paraId="4C06B79D" w14:textId="726A9968"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xml:space="preserve">- دراسة </w:t>
      </w:r>
      <w:r w:rsidR="00700332">
        <w:rPr>
          <w:rFonts w:asciiTheme="majorBidi" w:hAnsiTheme="majorBidi" w:cstheme="majorBidi" w:hint="cs"/>
          <w:sz w:val="28"/>
          <w:szCs w:val="28"/>
          <w:rtl/>
          <w:lang w:bidi="ar-EG"/>
        </w:rPr>
        <w:t>معدل</w:t>
      </w:r>
      <w:r w:rsidRPr="00916091">
        <w:rPr>
          <w:rFonts w:asciiTheme="majorBidi" w:hAnsiTheme="majorBidi" w:cstheme="majorBidi"/>
          <w:sz w:val="28"/>
          <w:szCs w:val="28"/>
          <w:rtl/>
          <w:lang w:bidi="ar-EG"/>
        </w:rPr>
        <w:t xml:space="preserve"> فاعلية الاعلام الرقمي في التوعية بالامراض المزمنة في المجتمع السعودي, وتاثيره  على سلوكيات الافراد الصحية.</w:t>
      </w:r>
    </w:p>
    <w:p w14:paraId="38BEDF66"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الأهداف الفرعية:</w:t>
      </w:r>
    </w:p>
    <w:p w14:paraId="0D8D0BF9" w14:textId="0FAF179B"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xml:space="preserve">- تحليل </w:t>
      </w:r>
      <w:r w:rsidR="00700332">
        <w:rPr>
          <w:rFonts w:asciiTheme="majorBidi" w:hAnsiTheme="majorBidi" w:cstheme="majorBidi" w:hint="cs"/>
          <w:sz w:val="28"/>
          <w:szCs w:val="28"/>
          <w:rtl/>
          <w:lang w:bidi="ar-EG"/>
        </w:rPr>
        <w:t>معدل</w:t>
      </w:r>
      <w:r w:rsidRPr="00916091">
        <w:rPr>
          <w:rFonts w:asciiTheme="majorBidi" w:hAnsiTheme="majorBidi" w:cstheme="majorBidi"/>
          <w:sz w:val="28"/>
          <w:szCs w:val="28"/>
          <w:rtl/>
          <w:lang w:bidi="ar-EG"/>
        </w:rPr>
        <w:t xml:space="preserve"> اعتماد الجمهور السعودي على الاعلام الرقمي كمصدر رئيسي للمعلومات الصحية المتعلقة بالامراض المزمنة.</w:t>
      </w:r>
    </w:p>
    <w:p w14:paraId="7711009B"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دراسة دور الاعلام الرقمي في تشكيل الوعي الصحي لدي المصابين بالامراض المزمنة.</w:t>
      </w:r>
    </w:p>
    <w:p w14:paraId="62514081"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lastRenderedPageBreak/>
        <w:t>- استكشاف التحديات التي تواجه الاعلام الرقمي في نشر المعلومات الصحية الموثوقه,</w:t>
      </w:r>
    </w:p>
    <w:p w14:paraId="62247AFD"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قياس تاثير المعلومات الصحية الرقمية على سلوكيات الافراد وقراراتهم العلاجية.</w:t>
      </w:r>
    </w:p>
    <w:p w14:paraId="2C8F2BDB"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اقتراح استراتيجيات لتحسين دور الاعلام الرقمي في التوعية بالامراض المزمنة وضمان موثوقيه المعلومات.</w:t>
      </w:r>
    </w:p>
    <w:p w14:paraId="0B923246" w14:textId="77777777" w:rsidR="00916091" w:rsidRPr="00916091" w:rsidRDefault="00916091" w:rsidP="00916091">
      <w:pPr>
        <w:spacing w:line="360" w:lineRule="auto"/>
        <w:jc w:val="both"/>
        <w:rPr>
          <w:rFonts w:asciiTheme="majorBidi" w:hAnsiTheme="majorBidi" w:cstheme="majorBidi"/>
          <w:b/>
          <w:bCs/>
          <w:sz w:val="32"/>
          <w:szCs w:val="32"/>
          <w:rtl/>
          <w:lang w:bidi="ar-EG"/>
        </w:rPr>
      </w:pPr>
      <w:r w:rsidRPr="00916091">
        <w:rPr>
          <w:rFonts w:asciiTheme="majorBidi" w:hAnsiTheme="majorBidi" w:cstheme="majorBidi"/>
          <w:b/>
          <w:bCs/>
          <w:sz w:val="32"/>
          <w:szCs w:val="32"/>
          <w:rtl/>
          <w:lang w:bidi="ar-EG"/>
        </w:rPr>
        <w:t>خامسا: فرضيات الدراسة:</w:t>
      </w:r>
    </w:p>
    <w:p w14:paraId="029F6660"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توجد علاقة ذات دلالة إحصائية بين اعتماد الافراد على الاعلام الرقمي ومستوي وعيهم بالامراض المزمنة.</w:t>
      </w:r>
    </w:p>
    <w:p w14:paraId="3827142B"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توجد فروق ذات دلالة إحصائية بين الفئات العمرية المختلفة في مدى الثقه بالمعلومات الصحية المتداولة عبر الاعلام الرقمي</w:t>
      </w:r>
    </w:p>
    <w:p w14:paraId="4E3D7E4E"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يؤثر الاعلام الرقمي بشكل إيجابي على تغيير السلوكيات الصحية لدى الافراد المصابين بالامراض المزمنة.</w:t>
      </w:r>
    </w:p>
    <w:p w14:paraId="28234829"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تؤدي المعلومات المضللة عبر الاعلام الرقمي الي تبني ممارسات صحية خاطئة لدى بعض الافراد</w:t>
      </w:r>
    </w:p>
    <w:p w14:paraId="6C940DDB"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تختلف درجة تاثير الاعلام الرقمي في التوعية الصحية باختلاف نوع المنصة المستخدمة (مواقع التواصل الاجتماعي – المواقع الإخبارية – التطبيقات الصحية)</w:t>
      </w:r>
    </w:p>
    <w:p w14:paraId="76865D52" w14:textId="4B2949E8" w:rsidR="00916091" w:rsidRPr="00700332" w:rsidRDefault="00916091" w:rsidP="00700332">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يساهم تحسين استراتيجيات الاعلام الرقمي في زيادة وعى الافراد وتقليل انتشار المعلومات غير الدقيقة عن الامراض المزمنة</w:t>
      </w:r>
    </w:p>
    <w:p w14:paraId="1BB71C5C" w14:textId="535948EC" w:rsidR="00916091" w:rsidRPr="00916091" w:rsidRDefault="00700332" w:rsidP="00916091">
      <w:pPr>
        <w:spacing w:line="360" w:lineRule="auto"/>
        <w:jc w:val="both"/>
        <w:rPr>
          <w:rFonts w:asciiTheme="majorBidi" w:hAnsiTheme="majorBidi" w:cstheme="majorBidi"/>
          <w:b/>
          <w:bCs/>
          <w:sz w:val="28"/>
          <w:szCs w:val="28"/>
          <w:rtl/>
          <w:lang w:bidi="ar-EG"/>
        </w:rPr>
      </w:pPr>
      <w:r>
        <w:rPr>
          <w:rFonts w:asciiTheme="majorBidi" w:hAnsiTheme="majorBidi" w:cstheme="majorBidi" w:hint="cs"/>
          <w:b/>
          <w:bCs/>
          <w:sz w:val="28"/>
          <w:szCs w:val="28"/>
          <w:rtl/>
          <w:lang w:bidi="ar-EG"/>
        </w:rPr>
        <w:t xml:space="preserve">الاطار النظري </w:t>
      </w:r>
    </w:p>
    <w:p w14:paraId="5AC7BBC7"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تعتمد الدراسة الحالية على نظريات الاتصال والاعلام مثل (نطرية  الثراء الإعلامي)  و(نظرية الاستخدامات والاشباعات )</w:t>
      </w:r>
    </w:p>
    <w:p w14:paraId="3B7BB0A3"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أولا نظرية الاستخدامات والاشباعات</w:t>
      </w:r>
    </w:p>
    <w:p w14:paraId="133433E9"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قام الباحث كاتز وآخرون بتطوير  النظرية في عام ١٩٧٤م حيث تم تحديد عدة خطوات لتحقيق الاشباعات ، تظهر  من استخدام وسائل الاعلام  وقد احدث هذا المدخل تحول مهما  في مجال الدراسات الإعلامية</w:t>
      </w:r>
    </w:p>
    <w:p w14:paraId="54B82B30"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xml:space="preserve">تعتبر نظرية الاستخدامات والاشباعات ذات أهمية كبيرة لفهم سلوك الجمهور تجاه وسائل الإعلام، تم تطوير هذه النظرية في الستينيات من قبل مجموعة من علماء الاجتماع والإعلام مثل إليهو كاتز وروبرت بيل وجورج </w:t>
      </w:r>
      <w:r w:rsidRPr="00916091">
        <w:rPr>
          <w:rFonts w:asciiTheme="majorBidi" w:hAnsiTheme="majorBidi" w:cstheme="majorBidi"/>
          <w:sz w:val="28"/>
          <w:szCs w:val="28"/>
          <w:rtl/>
          <w:lang w:bidi="ar-EG"/>
        </w:rPr>
        <w:lastRenderedPageBreak/>
        <w:t>ليفين، الذين أكدوا أن الأفراد يختارون بعناية وسائل الإعلام التي توفر لهم الإشباع لاحتياجاتهم النفسية والاجتماعية.</w:t>
      </w:r>
    </w:p>
    <w:p w14:paraId="385DBD75" w14:textId="77777777" w:rsidR="00916091" w:rsidRPr="00916091" w:rsidRDefault="00916091" w:rsidP="00916091">
      <w:pPr>
        <w:numPr>
          <w:ilvl w:val="0"/>
          <w:numId w:val="9"/>
        </w:numPr>
        <w:spacing w:line="360" w:lineRule="auto"/>
        <w:jc w:val="both"/>
        <w:rPr>
          <w:rFonts w:asciiTheme="majorBidi" w:hAnsiTheme="majorBidi" w:cstheme="majorBidi"/>
          <w:b/>
          <w:bCs/>
          <w:sz w:val="32"/>
          <w:szCs w:val="32"/>
          <w:lang w:bidi="ar-EG"/>
        </w:rPr>
      </w:pPr>
      <w:r w:rsidRPr="00916091">
        <w:rPr>
          <w:rFonts w:asciiTheme="majorBidi" w:hAnsiTheme="majorBidi" w:cstheme="majorBidi"/>
          <w:b/>
          <w:bCs/>
          <w:sz w:val="32"/>
          <w:szCs w:val="32"/>
          <w:rtl/>
          <w:lang w:bidi="ar-EG"/>
        </w:rPr>
        <w:t>فروض النظرية:</w:t>
      </w:r>
      <w:r w:rsidRPr="00916091">
        <w:rPr>
          <w:rFonts w:asciiTheme="majorBidi" w:eastAsia="Times New Roman" w:hAnsiTheme="majorBidi" w:cstheme="majorBidi"/>
          <w:b/>
          <w:bCs/>
          <w:color w:val="F8FAFF"/>
          <w:kern w:val="0"/>
          <w:sz w:val="24"/>
          <w:szCs w:val="24"/>
          <w:rtl/>
          <w14:ligatures w14:val="none"/>
        </w:rPr>
        <w:t xml:space="preserve"> </w:t>
      </w:r>
      <w:r w:rsidRPr="00916091">
        <w:rPr>
          <w:rFonts w:asciiTheme="majorBidi" w:hAnsiTheme="majorBidi" w:cstheme="majorBidi"/>
          <w:b/>
          <w:bCs/>
          <w:sz w:val="32"/>
          <w:szCs w:val="32"/>
          <w:rtl/>
        </w:rPr>
        <w:t>الجمهور نشط </w:t>
      </w:r>
      <w:r w:rsidRPr="00916091">
        <w:rPr>
          <w:rFonts w:asciiTheme="majorBidi" w:hAnsiTheme="majorBidi" w:cstheme="majorBidi"/>
          <w:b/>
          <w:bCs/>
          <w:sz w:val="32"/>
          <w:szCs w:val="32"/>
          <w:lang w:bidi="ar-EG"/>
        </w:rPr>
        <w:t>(Active Audience):</w:t>
      </w:r>
    </w:p>
    <w:p w14:paraId="7F3A165B" w14:textId="77777777" w:rsidR="00916091" w:rsidRPr="00916091" w:rsidRDefault="00916091" w:rsidP="00916091">
      <w:pPr>
        <w:numPr>
          <w:ilvl w:val="1"/>
          <w:numId w:val="9"/>
        </w:numPr>
        <w:spacing w:line="360" w:lineRule="auto"/>
        <w:jc w:val="both"/>
        <w:rPr>
          <w:rFonts w:asciiTheme="majorBidi" w:hAnsiTheme="majorBidi" w:cstheme="majorBidi"/>
          <w:sz w:val="28"/>
          <w:szCs w:val="28"/>
          <w:lang w:bidi="ar-EG"/>
        </w:rPr>
      </w:pPr>
      <w:r w:rsidRPr="00916091">
        <w:rPr>
          <w:rFonts w:asciiTheme="majorBidi" w:hAnsiTheme="majorBidi" w:cstheme="majorBidi"/>
          <w:sz w:val="28"/>
          <w:szCs w:val="28"/>
          <w:rtl/>
        </w:rPr>
        <w:t>الأفراد يبحثون بفاعلية عن وسائل الإعلام أو المحتوى الذي يُشبع حاجاتهم، بناءً على دوافعهم وأهدافهم الشخصية</w:t>
      </w:r>
      <w:r w:rsidRPr="00916091">
        <w:rPr>
          <w:rFonts w:asciiTheme="majorBidi" w:hAnsiTheme="majorBidi" w:cstheme="majorBidi"/>
          <w:sz w:val="28"/>
          <w:szCs w:val="28"/>
          <w:lang w:bidi="ar-EG"/>
        </w:rPr>
        <w:t>.</w:t>
      </w:r>
    </w:p>
    <w:p w14:paraId="72788DA0" w14:textId="77777777" w:rsidR="00916091" w:rsidRPr="00916091" w:rsidRDefault="00916091" w:rsidP="00916091">
      <w:pPr>
        <w:numPr>
          <w:ilvl w:val="0"/>
          <w:numId w:val="9"/>
        </w:numPr>
        <w:spacing w:line="360" w:lineRule="auto"/>
        <w:jc w:val="both"/>
        <w:rPr>
          <w:rFonts w:asciiTheme="majorBidi" w:hAnsiTheme="majorBidi" w:cstheme="majorBidi"/>
          <w:sz w:val="28"/>
          <w:szCs w:val="28"/>
          <w:lang w:bidi="ar-EG"/>
        </w:rPr>
      </w:pPr>
      <w:r w:rsidRPr="00916091">
        <w:rPr>
          <w:rFonts w:asciiTheme="majorBidi" w:hAnsiTheme="majorBidi" w:cstheme="majorBidi"/>
          <w:sz w:val="28"/>
          <w:szCs w:val="28"/>
          <w:rtl/>
        </w:rPr>
        <w:t>الدافع يقع في قلب عملية الاستهلاك الإعلامي</w:t>
      </w:r>
      <w:r w:rsidRPr="00916091">
        <w:rPr>
          <w:rFonts w:asciiTheme="majorBidi" w:hAnsiTheme="majorBidi" w:cstheme="majorBidi"/>
          <w:sz w:val="28"/>
          <w:szCs w:val="28"/>
          <w:lang w:bidi="ar-EG"/>
        </w:rPr>
        <w:t>:</w:t>
      </w:r>
    </w:p>
    <w:p w14:paraId="15DE3AF9" w14:textId="77777777" w:rsidR="00916091" w:rsidRPr="00916091" w:rsidRDefault="00916091" w:rsidP="00916091">
      <w:pPr>
        <w:numPr>
          <w:ilvl w:val="1"/>
          <w:numId w:val="9"/>
        </w:numPr>
        <w:spacing w:line="360" w:lineRule="auto"/>
        <w:jc w:val="both"/>
        <w:rPr>
          <w:rFonts w:asciiTheme="majorBidi" w:hAnsiTheme="majorBidi" w:cstheme="majorBidi"/>
          <w:sz w:val="28"/>
          <w:szCs w:val="28"/>
          <w:lang w:bidi="ar-EG"/>
        </w:rPr>
      </w:pPr>
      <w:r w:rsidRPr="00916091">
        <w:rPr>
          <w:rFonts w:asciiTheme="majorBidi" w:hAnsiTheme="majorBidi" w:cstheme="majorBidi"/>
          <w:sz w:val="28"/>
          <w:szCs w:val="28"/>
          <w:rtl/>
        </w:rPr>
        <w:t>يُشارك الأفراد في وسائل الإعلام لتحقيق إشباعات معينة (مثل الترفيه، المعرفة، الهروب من الواقع، التفاعل الاجتماعي، إلخ)</w:t>
      </w:r>
      <w:r w:rsidRPr="00916091">
        <w:rPr>
          <w:rFonts w:asciiTheme="majorBidi" w:hAnsiTheme="majorBidi" w:cstheme="majorBidi"/>
          <w:sz w:val="28"/>
          <w:szCs w:val="28"/>
          <w:lang w:bidi="ar-EG"/>
        </w:rPr>
        <w:t>.</w:t>
      </w:r>
    </w:p>
    <w:p w14:paraId="09892213" w14:textId="77777777" w:rsidR="00916091" w:rsidRPr="00916091" w:rsidRDefault="00916091" w:rsidP="00916091">
      <w:pPr>
        <w:numPr>
          <w:ilvl w:val="0"/>
          <w:numId w:val="9"/>
        </w:numPr>
        <w:spacing w:line="360" w:lineRule="auto"/>
        <w:jc w:val="both"/>
        <w:rPr>
          <w:rFonts w:asciiTheme="majorBidi" w:hAnsiTheme="majorBidi" w:cstheme="majorBidi"/>
          <w:sz w:val="28"/>
          <w:szCs w:val="28"/>
          <w:lang w:bidi="ar-EG"/>
        </w:rPr>
      </w:pPr>
      <w:r w:rsidRPr="00916091">
        <w:rPr>
          <w:rFonts w:asciiTheme="majorBidi" w:hAnsiTheme="majorBidi" w:cstheme="majorBidi"/>
          <w:sz w:val="28"/>
          <w:szCs w:val="28"/>
          <w:rtl/>
        </w:rPr>
        <w:t>المنافسة بين الوسائل الإعلامية والمصادر الأخرى للإشباع</w:t>
      </w:r>
      <w:r w:rsidRPr="00916091">
        <w:rPr>
          <w:rFonts w:asciiTheme="majorBidi" w:hAnsiTheme="majorBidi" w:cstheme="majorBidi"/>
          <w:sz w:val="28"/>
          <w:szCs w:val="28"/>
          <w:lang w:bidi="ar-EG"/>
        </w:rPr>
        <w:t>:</w:t>
      </w:r>
    </w:p>
    <w:p w14:paraId="6CECEE8B" w14:textId="77777777" w:rsidR="00916091" w:rsidRPr="00916091" w:rsidRDefault="00916091" w:rsidP="00916091">
      <w:pPr>
        <w:numPr>
          <w:ilvl w:val="1"/>
          <w:numId w:val="9"/>
        </w:numPr>
        <w:spacing w:line="360" w:lineRule="auto"/>
        <w:jc w:val="both"/>
        <w:rPr>
          <w:rFonts w:asciiTheme="majorBidi" w:hAnsiTheme="majorBidi" w:cstheme="majorBidi"/>
          <w:sz w:val="28"/>
          <w:szCs w:val="28"/>
          <w:lang w:bidi="ar-EG"/>
        </w:rPr>
      </w:pPr>
      <w:r w:rsidRPr="00916091">
        <w:rPr>
          <w:rFonts w:asciiTheme="majorBidi" w:hAnsiTheme="majorBidi" w:cstheme="majorBidi"/>
          <w:sz w:val="28"/>
          <w:szCs w:val="28"/>
          <w:rtl/>
        </w:rPr>
        <w:t>وسائل الإعلام تتنافس مع مصادر غير إعلامية (مثل الأحاديث المباشرة، القراءة، الأنشطة الاجتماعية) في تلبية احتياجات الأفراد</w:t>
      </w:r>
      <w:r w:rsidRPr="00916091">
        <w:rPr>
          <w:rFonts w:asciiTheme="majorBidi" w:hAnsiTheme="majorBidi" w:cstheme="majorBidi"/>
          <w:sz w:val="28"/>
          <w:szCs w:val="28"/>
          <w:lang w:bidi="ar-EG"/>
        </w:rPr>
        <w:t>.</w:t>
      </w:r>
    </w:p>
    <w:p w14:paraId="58883AD0" w14:textId="77777777" w:rsidR="00916091" w:rsidRPr="00916091" w:rsidRDefault="00916091" w:rsidP="00916091">
      <w:pPr>
        <w:numPr>
          <w:ilvl w:val="0"/>
          <w:numId w:val="9"/>
        </w:numPr>
        <w:spacing w:line="360" w:lineRule="auto"/>
        <w:jc w:val="both"/>
        <w:rPr>
          <w:rFonts w:asciiTheme="majorBidi" w:hAnsiTheme="majorBidi" w:cstheme="majorBidi"/>
          <w:sz w:val="28"/>
          <w:szCs w:val="28"/>
          <w:lang w:bidi="ar-EG"/>
        </w:rPr>
      </w:pPr>
      <w:r w:rsidRPr="00916091">
        <w:rPr>
          <w:rFonts w:asciiTheme="majorBidi" w:hAnsiTheme="majorBidi" w:cstheme="majorBidi"/>
          <w:sz w:val="28"/>
          <w:szCs w:val="28"/>
          <w:rtl/>
        </w:rPr>
        <w:t>إدراك الأفراد لاحتياجاتهم وقدرتهم على التعبير عنها</w:t>
      </w:r>
      <w:r w:rsidRPr="00916091">
        <w:rPr>
          <w:rFonts w:asciiTheme="majorBidi" w:hAnsiTheme="majorBidi" w:cstheme="majorBidi"/>
          <w:sz w:val="28"/>
          <w:szCs w:val="28"/>
          <w:lang w:bidi="ar-EG"/>
        </w:rPr>
        <w:t>:</w:t>
      </w:r>
    </w:p>
    <w:p w14:paraId="7D452230" w14:textId="77777777" w:rsidR="00916091" w:rsidRPr="00916091" w:rsidRDefault="00916091" w:rsidP="00916091">
      <w:pPr>
        <w:numPr>
          <w:ilvl w:val="1"/>
          <w:numId w:val="9"/>
        </w:numPr>
        <w:spacing w:line="360" w:lineRule="auto"/>
        <w:jc w:val="both"/>
        <w:rPr>
          <w:rFonts w:asciiTheme="majorBidi" w:hAnsiTheme="majorBidi" w:cstheme="majorBidi"/>
          <w:sz w:val="28"/>
          <w:szCs w:val="28"/>
          <w:lang w:bidi="ar-EG"/>
        </w:rPr>
      </w:pPr>
      <w:r w:rsidRPr="00916091">
        <w:rPr>
          <w:rFonts w:asciiTheme="majorBidi" w:hAnsiTheme="majorBidi" w:cstheme="majorBidi"/>
          <w:sz w:val="28"/>
          <w:szCs w:val="28"/>
          <w:rtl/>
        </w:rPr>
        <w:t>يُمكن للأفراد تحديد أسباب استخدامهم لوسائل الإعلام، ويمكن قياس هذه الدوافع عبر البحث العلمي (مثل الاستبيانات والمقابلات)</w:t>
      </w:r>
      <w:r w:rsidRPr="00916091">
        <w:rPr>
          <w:rFonts w:asciiTheme="majorBidi" w:hAnsiTheme="majorBidi" w:cstheme="majorBidi"/>
          <w:sz w:val="28"/>
          <w:szCs w:val="28"/>
          <w:lang w:bidi="ar-EG"/>
        </w:rPr>
        <w:t>.</w:t>
      </w:r>
    </w:p>
    <w:p w14:paraId="603D8977" w14:textId="77777777" w:rsidR="00916091" w:rsidRPr="00916091" w:rsidRDefault="00916091" w:rsidP="00916091">
      <w:pPr>
        <w:numPr>
          <w:ilvl w:val="0"/>
          <w:numId w:val="9"/>
        </w:numPr>
        <w:spacing w:line="360" w:lineRule="auto"/>
        <w:jc w:val="both"/>
        <w:rPr>
          <w:rFonts w:asciiTheme="majorBidi" w:hAnsiTheme="majorBidi" w:cstheme="majorBidi"/>
          <w:sz w:val="28"/>
          <w:szCs w:val="28"/>
          <w:lang w:bidi="ar-EG"/>
        </w:rPr>
      </w:pPr>
      <w:r w:rsidRPr="00916091">
        <w:rPr>
          <w:rFonts w:asciiTheme="majorBidi" w:hAnsiTheme="majorBidi" w:cstheme="majorBidi"/>
          <w:sz w:val="28"/>
          <w:szCs w:val="28"/>
          <w:rtl/>
        </w:rPr>
        <w:t>تأثير الثقافة والبيئة الاجتماعية على الدوافع</w:t>
      </w:r>
      <w:r w:rsidRPr="00916091">
        <w:rPr>
          <w:rFonts w:asciiTheme="majorBidi" w:hAnsiTheme="majorBidi" w:cstheme="majorBidi"/>
          <w:sz w:val="28"/>
          <w:szCs w:val="28"/>
          <w:lang w:bidi="ar-EG"/>
        </w:rPr>
        <w:t>:</w:t>
      </w:r>
    </w:p>
    <w:p w14:paraId="33CF8800" w14:textId="77777777" w:rsidR="00916091" w:rsidRPr="00916091" w:rsidRDefault="00916091" w:rsidP="00916091">
      <w:pPr>
        <w:numPr>
          <w:ilvl w:val="1"/>
          <w:numId w:val="9"/>
        </w:numPr>
        <w:spacing w:line="360" w:lineRule="auto"/>
        <w:jc w:val="both"/>
        <w:rPr>
          <w:rFonts w:asciiTheme="majorBidi" w:hAnsiTheme="majorBidi" w:cstheme="majorBidi"/>
          <w:sz w:val="28"/>
          <w:szCs w:val="28"/>
          <w:lang w:bidi="ar-EG"/>
        </w:rPr>
      </w:pPr>
      <w:r w:rsidRPr="00916091">
        <w:rPr>
          <w:rFonts w:asciiTheme="majorBidi" w:hAnsiTheme="majorBidi" w:cstheme="majorBidi"/>
          <w:sz w:val="28"/>
          <w:szCs w:val="28"/>
          <w:rtl/>
        </w:rPr>
        <w:t>تختلف استخدامات الوسائل الإعلامية باختلاف العمر، الجنس، الثقافة، والمستوى الاجتماعي والاقتصادي</w:t>
      </w:r>
      <w:r w:rsidRPr="00916091">
        <w:rPr>
          <w:rFonts w:asciiTheme="majorBidi" w:hAnsiTheme="majorBidi" w:cstheme="majorBidi"/>
          <w:sz w:val="28"/>
          <w:szCs w:val="28"/>
          <w:lang w:bidi="ar-EG"/>
        </w:rPr>
        <w:t>.</w:t>
      </w:r>
    </w:p>
    <w:p w14:paraId="3BA145D0"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أهداف النظرية:</w:t>
      </w:r>
    </w:p>
    <w:p w14:paraId="34FFFFED"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تتحدد الأهداف في ثلاث نقاط أساسية هي:</w:t>
      </w:r>
    </w:p>
    <w:p w14:paraId="5C09E5E3"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1-</w:t>
      </w:r>
      <w:r w:rsidRPr="00916091">
        <w:rPr>
          <w:rFonts w:asciiTheme="majorBidi" w:hAnsiTheme="majorBidi" w:cstheme="majorBidi"/>
          <w:sz w:val="28"/>
          <w:szCs w:val="28"/>
          <w:rtl/>
          <w:lang w:bidi="ar-EG"/>
        </w:rPr>
        <w:tab/>
        <w:t>التعرف إلى كيفية استخدام الجمهور لوسائل الإعلام.</w:t>
      </w:r>
    </w:p>
    <w:p w14:paraId="02C5178D"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2-</w:t>
      </w:r>
      <w:r w:rsidRPr="00916091">
        <w:rPr>
          <w:rFonts w:asciiTheme="majorBidi" w:hAnsiTheme="majorBidi" w:cstheme="majorBidi"/>
          <w:sz w:val="28"/>
          <w:szCs w:val="28"/>
          <w:rtl/>
          <w:lang w:bidi="ar-EG"/>
        </w:rPr>
        <w:tab/>
        <w:t>التعرف إلى دوافع استخدام الفرد لوسيلة إعلامية محددة دون غيرها.</w:t>
      </w:r>
    </w:p>
    <w:p w14:paraId="5E2526C8"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3-</w:t>
      </w:r>
      <w:r w:rsidRPr="00916091">
        <w:rPr>
          <w:rFonts w:asciiTheme="majorBidi" w:hAnsiTheme="majorBidi" w:cstheme="majorBidi"/>
          <w:sz w:val="28"/>
          <w:szCs w:val="28"/>
          <w:rtl/>
          <w:lang w:bidi="ar-EG"/>
        </w:rPr>
        <w:tab/>
        <w:t>فهم عملية الاتصال الجماهيري من خلال التعرف إلى نتائج استخدام الفرد لوسائل الإعلام.</w:t>
      </w:r>
    </w:p>
    <w:p w14:paraId="524DA717"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lastRenderedPageBreak/>
        <w:t>ثانيا : نظرية الثراء الإعلامي</w:t>
      </w:r>
    </w:p>
    <w:p w14:paraId="0810056F"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الثراء الإعلامي يتجسد في القدرة على تقديم محتوى متنوع وغني يجذب مختلف فئات الجمهور ويعزز تفاعلهم مع وسائل الإعلام.</w:t>
      </w:r>
    </w:p>
    <w:p w14:paraId="69AD3243"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على الرغم من أن إليهو كاتز هو أحد رواد نظرية الاستخدامات والإشباعات، فقد أشار أيضًا إلى فكرة "الثراء الإعلامي" في سياق تفاعل الجمهور مع وسائل الإعلام. كاتز يرى أن وسائل الإعلام الحديثة، خاصة الرقمية، تتيح للمتلقي خيارات واسعة ومتنوعة، مما يعزز قدرته على اختيار المحتوى الذي يناسب احتياجاته بشكل أكثر دقة.</w:t>
      </w:r>
    </w:p>
    <w:p w14:paraId="346E245C"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وتفترض هذه النظرية فرضين اساسين هما:</w:t>
      </w:r>
    </w:p>
    <w:p w14:paraId="0075A61B"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الفرض الاول:</w:t>
      </w:r>
    </w:p>
    <w:p w14:paraId="3C7214A1"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ان الوسائل الاعلامية والتكنولوجية تمتلك قدرا كبيرا من البيانات والمعلومات بالاضافة الى تنوع المضمون المقدم من خلالها وبالتالي تستطيع هذه الوسائل التغلب على الغموض والشك الذي ينتاب الكثير من الافراد عند التعرض لها.</w:t>
      </w:r>
    </w:p>
    <w:p w14:paraId="7F8E2E84"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الفرض الثاني:</w:t>
      </w:r>
    </w:p>
    <w:p w14:paraId="0C9B74F1"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هناك اربعة معايير اساسية لترتيب ثراء الوسيلة الاعلامية مرتبة من الاعلى الى الاقل من حيث درجة الثراء الاعلامي وهي:</w:t>
      </w:r>
    </w:p>
    <w:p w14:paraId="42E2061C"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1. سرعة رد الفعل.</w:t>
      </w:r>
    </w:p>
    <w:p w14:paraId="741141BA"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2. قدرتها على نقل الاشارات المختلفة باستخدام تقنيات تكنولوجية حديثة مثل:</w:t>
      </w:r>
    </w:p>
    <w:p w14:paraId="55136971"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الوسائط المتعددة.</w:t>
      </w:r>
    </w:p>
    <w:p w14:paraId="64C0EB0A"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3. التركيز الشخصي على الوسيلة.</w:t>
      </w:r>
    </w:p>
    <w:p w14:paraId="5805DA6A"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4. واستخدام اللغة الطبيعية.</w:t>
      </w:r>
    </w:p>
    <w:p w14:paraId="7398F10B"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الدراسات المرجعية:</w:t>
      </w:r>
    </w:p>
    <w:p w14:paraId="4D641959"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تقسم الدراسات السابقة للبحث إلى محورين:</w:t>
      </w:r>
    </w:p>
    <w:p w14:paraId="142D49D2"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lastRenderedPageBreak/>
        <w:t>‏المحور الأول : دراسات تناولت دور الاعلام الرقمي في التوعية الصحية</w:t>
      </w:r>
    </w:p>
    <w:tbl>
      <w:tblPr>
        <w:tblW w:w="4900" w:type="pct"/>
        <w:shd w:val="clear" w:color="auto" w:fill="FFFFFF"/>
        <w:tblCellMar>
          <w:left w:w="0" w:type="dxa"/>
          <w:right w:w="0" w:type="dxa"/>
        </w:tblCellMar>
        <w:tblLook w:val="04A0" w:firstRow="1" w:lastRow="0" w:firstColumn="1" w:lastColumn="0" w:noHBand="0" w:noVBand="1"/>
      </w:tblPr>
      <w:tblGrid>
        <w:gridCol w:w="9173"/>
      </w:tblGrid>
      <w:tr w:rsidR="00916091" w:rsidRPr="00916091" w14:paraId="4692A47F" w14:textId="77777777" w:rsidTr="00A171A0">
        <w:tc>
          <w:tcPr>
            <w:tcW w:w="0" w:type="auto"/>
            <w:shd w:val="clear" w:color="auto" w:fill="FFFFFF"/>
            <w:tcMar>
              <w:top w:w="30" w:type="dxa"/>
              <w:left w:w="30" w:type="dxa"/>
              <w:bottom w:w="30" w:type="dxa"/>
              <w:right w:w="30" w:type="dxa"/>
            </w:tcMar>
            <w:vAlign w:val="center"/>
            <w:hideMark/>
          </w:tcPr>
          <w:p w14:paraId="2875B2A4" w14:textId="77777777" w:rsidR="00916091" w:rsidRPr="00916091" w:rsidRDefault="00916091" w:rsidP="00A171A0">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xml:space="preserve">دراسة صبرة, &amp; واضحة أنور أحمد. (2024). </w:t>
            </w:r>
            <w:r w:rsidRPr="00916091">
              <w:rPr>
                <w:rFonts w:asciiTheme="majorBidi" w:hAnsiTheme="majorBidi" w:cstheme="majorBidi"/>
                <w:sz w:val="28"/>
                <w:szCs w:val="28"/>
                <w:rtl/>
              </w:rPr>
              <w:t xml:space="preserve">تحليل بنية السرد وانعكاسه على القضايا الصحية في المواقع الإلكترونية التفاعلية (موقع انكفاضة أنموذجًا). </w:t>
            </w:r>
            <w:r w:rsidRPr="00916091">
              <w:rPr>
                <w:rFonts w:asciiTheme="majorBidi" w:hAnsiTheme="majorBidi" w:cstheme="majorBidi"/>
                <w:sz w:val="28"/>
                <w:szCs w:val="28"/>
                <w:rtl/>
                <w:lang w:bidi="ar-EG"/>
              </w:rPr>
              <w:t>هدفت الدراسة الي تحليل بنية السرد وانعكاسه على القضايا الصحية في المواقع الإلكترونية التفاعلية (موقع انكفاضة أنموذجًا).  حيث يحظى السرد القصصي في مجال الإعلام الرقمي باهتمام واسع الانتشار، ينعكس في عدد متزايد من غرف الأخبار التي تتبنى أشكال السرد لتقديم محتواها الإخباري، الذي في النهاية يعد طريقة لجذب المستخدم بل والإبقاء عليه للمتابعة والتعمق في المحتوى الاتصالي، من خلال الأساليب الأدبية التي وظفها الصحفيون وكذا الاستفادة من الخصائص التكنولوجية للوسيلة كالتفاعلية ودمجها بالسرد؛ فكان لها تأثيرها ليس على متابعة ومدة بقاء المتفاعل فقط وإنما أيضًا تأثيرها في عملية تكوين وتشكيل المعنى وإيصاله إلى المتفاعلين. وعليه، تبلورت مشكلة الدراسة في تحليل بنية السرد التفاعلي النصية والشكلية والبصرية، التي من شأنها أن تسهم في تكوين المعنى وتشكيله؛ جاءت أهدافها من هذا الاتجاه فتمثلت أهداف الدراسة في تحليل بنية وهيكل السرد التفاعلي، وآليات بناء المعنى وفقًا للبنية والعلاقات القائمة بينها والشكل بالتطبيق على موقع انكفاضة كعينة عمدية، باستخدام أداة تحليل المضمون لعينة الأخبار المنشورة على الموقع في الفترة من مارس 2020حتى يونيو 2022  والمنهج المسحي للدراسة التحليلية في إطار نظرية الأفضية الذهنية.</w:t>
            </w:r>
          </w:p>
          <w:p w14:paraId="4652FDA4" w14:textId="77777777" w:rsidR="00916091" w:rsidRPr="00916091" w:rsidRDefault="00916091" w:rsidP="00A171A0">
            <w:pPr>
              <w:spacing w:line="360" w:lineRule="auto"/>
              <w:jc w:val="both"/>
              <w:rPr>
                <w:rFonts w:asciiTheme="majorBidi" w:hAnsiTheme="majorBidi" w:cstheme="majorBidi"/>
                <w:sz w:val="28"/>
                <w:szCs w:val="28"/>
                <w:lang w:bidi="ar-EG"/>
              </w:rPr>
            </w:pPr>
            <w:r w:rsidRPr="00916091">
              <w:rPr>
                <w:rFonts w:asciiTheme="majorBidi" w:hAnsiTheme="majorBidi" w:cstheme="majorBidi"/>
                <w:sz w:val="28"/>
                <w:szCs w:val="28"/>
                <w:rtl/>
              </w:rPr>
              <w:t>خيرت حمزة, ب. (2023). الاتصال الرقمي كآلية لتشكيل الرأي العام تجاه القضايا الصحية.هدفت الدراسة الي قياس الاتصال الرقمي كآلية لتشكيل الرأي العام تجاه القضايا الصحية</w:t>
            </w:r>
            <w:r w:rsidRPr="00916091">
              <w:rPr>
                <w:rFonts w:asciiTheme="majorBidi" w:hAnsiTheme="majorBidi" w:cstheme="majorBidi"/>
                <w:sz w:val="28"/>
                <w:szCs w:val="28"/>
                <w:lang w:bidi="ar-EG"/>
              </w:rPr>
              <w:t>.</w:t>
            </w:r>
            <w:r w:rsidRPr="00916091">
              <w:rPr>
                <w:rFonts w:asciiTheme="majorBidi" w:hAnsiTheme="majorBidi" w:cstheme="majorBidi"/>
                <w:sz w:val="28"/>
                <w:szCs w:val="28"/>
                <w:rtl/>
                <w:lang w:bidi="ar-EG"/>
              </w:rPr>
              <w:t xml:space="preserve"> فلقد اعتمدت الدراسة على منهج تحليل المضمون الكيفي من خلال تحليل كيفي لصفحة طبية وهي فيزيتا لرصد المحتوى الرقمي وتحليله. كما اعتمدت الدراسة على مقابلات مع الجمهور المستخدم للمنصات والتطبيقات الرقمي لقد اختلفت آراء الأفراد حول مدي فاعلية الصفحات الرقمية في التعرف على القضايا الصحية ف استخدام الإعلام الرقمي أو الصفحات الرقمية فعالة, وكانت أسباب فاعلية استخدامها سرعة وصول وسهولة الاستخدام وتقديم المعلومات. فقد جاءت نتائج الدراسة التحليلية لتوضح ان شكل المنشور بالنسبة لمنصة فيزيتا خلال الفترة موضوع دراسة كان عبارة عن منشورات عن " مستقبل الرعاية الصحية, منشورات توعوية لمجموعة من الامرا ض مثل "انيميا نقص الحديد, سرطان الثدي, فيرس كورونا, وايضا فيديوهات خاصة بأمراض معينة, هذا بالإضافة لمنشور اسال طبيبك من خلال الرد على اجابات - وقد توافقت نتائج الدراسة الراهنة مع بعض نتائج الدراسات السابقة حول شبكات التواصل الاجتماعي ودورها في تشكيل اتجاهات الرأي العام خاصة الدراسات التي ركزت على دور شبكات التواصل الاجتماعي وكذلك الدراسات التي اهتمت بطرق تشكيل </w:t>
            </w:r>
            <w:r w:rsidRPr="00916091">
              <w:rPr>
                <w:rFonts w:asciiTheme="majorBidi" w:hAnsiTheme="majorBidi" w:cstheme="majorBidi"/>
                <w:sz w:val="28"/>
                <w:szCs w:val="28"/>
                <w:rtl/>
                <w:lang w:bidi="ar-EG"/>
              </w:rPr>
              <w:lastRenderedPageBreak/>
              <w:t>الرأي العام عبر الإعلام الجديد. وتوصلت الدراسة إلى ان هناك فروق جوهرية بين النوع فيما يتعلق بسبب الثقة في المحتوى الخاص بالمعلومات الصحية عن أزمة كورونا المنتشرة على مواقع التواصل الاجتماعي.</w:t>
            </w:r>
          </w:p>
          <w:p w14:paraId="78D96207" w14:textId="77777777" w:rsidR="00916091" w:rsidRPr="00916091" w:rsidRDefault="00916091" w:rsidP="00A171A0">
            <w:pPr>
              <w:spacing w:line="360" w:lineRule="auto"/>
              <w:jc w:val="both"/>
              <w:rPr>
                <w:rFonts w:asciiTheme="majorBidi" w:hAnsiTheme="majorBidi" w:cstheme="majorBidi"/>
                <w:sz w:val="28"/>
                <w:szCs w:val="28"/>
                <w:lang w:bidi="ar-EG"/>
              </w:rPr>
            </w:pPr>
            <w:r w:rsidRPr="00916091">
              <w:rPr>
                <w:rFonts w:asciiTheme="majorBidi" w:hAnsiTheme="majorBidi" w:cstheme="majorBidi"/>
                <w:sz w:val="28"/>
                <w:szCs w:val="28"/>
                <w:rtl/>
                <w:lang w:bidi="ar-EG"/>
              </w:rPr>
              <w:t xml:space="preserve">دراسة محمد, أحمد إبراهيم, غريب, &amp; هدير يحيي. (2023). </w:t>
            </w:r>
            <w:r w:rsidRPr="00916091">
              <w:rPr>
                <w:rFonts w:asciiTheme="majorBidi" w:hAnsiTheme="majorBidi" w:cstheme="majorBidi"/>
                <w:sz w:val="28"/>
                <w:szCs w:val="28"/>
                <w:rtl/>
              </w:rPr>
              <w:t>اتجاهات الجمهور المصري لدور الحسابات الصحية الرسمية على شبكات التواصل الاجتماعي في التوعية بالقضايا الصحية وأساليب الوقاية من الامراض السائدة. المجلة المصرية لبحوث الرأى العام</w:t>
            </w:r>
            <w:r w:rsidRPr="00916091">
              <w:rPr>
                <w:rFonts w:asciiTheme="majorBidi" w:hAnsiTheme="majorBidi" w:cstheme="majorBidi"/>
                <w:sz w:val="28"/>
                <w:szCs w:val="28"/>
                <w:rtl/>
                <w:lang w:bidi="ar-EG"/>
              </w:rPr>
              <w:t xml:space="preserve"> هدفت الدراسة الي قياس اتجاهات الجمهور المصري لدور الحسابات الصحية الرسمية على شبكات التواصل الاجتماعي في التوعية بالقضايا الصحية وأساليب الوقاية من الامراض السائدة.  شكلت مواقع التواصل الاجتماعي حركة ديناميكية جديدة في ظل التقنية الجديدة التى يشهدها العالم، فمن خلالها يمكن التفاعل مع الجمهور وأبداء الآراء والتعرف على وجهات النظر المختلفة، وقد سعى البحث الحالي إلى التعرف على اتجاهات الجمهور المصري للحسابات الصحية الرسمية على مواقع التواصل الاجتماعي في التوعية بقضايا الصحة وأساليب الوقاية من الامراض السائدة ، والتي بلغ قوامها (400) مفردة، وتمثلت مشكلة البحث الحالي في معرفة مدى اعتماد الجمهور المصري على الحسابات الصحية الرسمية على وسائل التواصل الاجتماعي واستخدامها إعلامياً في نشر ودعم الوعى الصحى، وقد اسُتخدم المنهج الوصفي الميداني من خلال تجميع البيانات والمعلومات من الأدبيات والدراسات السابقة، بالإضافة الى تحليل آراء المبحوثين من الجمهور المصري (عينة البحث)؛ من خلال أداة البحث الاستبيان، والذي تضمن أربعة محاور حول وسائل التواصل الاجتماعي، والإعلام الرقمي، والواقع الصحي، وتطلعات مستقبلية لاستخدامات أفضل لاستخدام مواقع التواصل الاجتماعي إعلامياً، وكانت من أهم نتائج البحث جاءت في المرتبة الأولى أن الحسابات الصحية الرسمية على وسائل التواصل الاجتماعي هي الأداة الأكثر فاعلية فى التعرف على اهم القضايا الصحية وأساليب الوقاية من الامراض السائدة حالياً نظراً لسهولة استخدامها وإنتشارها ، والإعلام يطور من ذاته باستخدام القوالب التكنولوجية التي تحقق له إنتشار أكبر ، كما أن هناك دور للإعلام الرقمي في نشر المعلومات الصحية اللازمة والتى تهدف لحماية صحة الإنسان ، واختتم البحث بمجموعة من التوصيات أهمها حتمية وجود صفحات صحية رسمية بشكل أكبر على مواقع التواصل الاجتماعي ، وأن يكون المحتوى هادف ويحقق ثراء معرفي للجمهور المصري</w:t>
            </w:r>
          </w:p>
        </w:tc>
      </w:tr>
      <w:tr w:rsidR="00916091" w:rsidRPr="00916091" w14:paraId="3B57F2FD" w14:textId="77777777" w:rsidTr="00A171A0">
        <w:tc>
          <w:tcPr>
            <w:tcW w:w="0" w:type="auto"/>
            <w:shd w:val="clear" w:color="auto" w:fill="FFFFFF"/>
            <w:tcMar>
              <w:top w:w="30" w:type="dxa"/>
              <w:left w:w="30" w:type="dxa"/>
              <w:bottom w:w="30" w:type="dxa"/>
              <w:right w:w="30" w:type="dxa"/>
            </w:tcMar>
            <w:vAlign w:val="center"/>
            <w:hideMark/>
          </w:tcPr>
          <w:p w14:paraId="02BD8304" w14:textId="77777777" w:rsidR="00916091" w:rsidRPr="00916091" w:rsidRDefault="00916091" w:rsidP="00A171A0">
            <w:pPr>
              <w:spacing w:line="360" w:lineRule="auto"/>
              <w:jc w:val="both"/>
              <w:rPr>
                <w:rFonts w:asciiTheme="majorBidi" w:hAnsiTheme="majorBidi" w:cstheme="majorBidi"/>
                <w:sz w:val="28"/>
                <w:szCs w:val="28"/>
                <w:lang w:bidi="ar-EG"/>
              </w:rPr>
            </w:pPr>
          </w:p>
        </w:tc>
      </w:tr>
    </w:tbl>
    <w:p w14:paraId="3811B924"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المحور الثاني : دراسات تناول تاثير الاعلام الرقمي على سلوكيات الافراد الصحية</w:t>
      </w:r>
    </w:p>
    <w:p w14:paraId="1AF873C5"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rPr>
        <w:t>دراسة قلاده</w:t>
      </w:r>
      <w:r w:rsidRPr="00916091">
        <w:rPr>
          <w:rFonts w:asciiTheme="majorBidi" w:hAnsiTheme="majorBidi" w:cstheme="majorBidi"/>
          <w:sz w:val="28"/>
          <w:szCs w:val="28"/>
        </w:rPr>
        <w:t xml:space="preserve">, &amp; </w:t>
      </w:r>
      <w:r w:rsidRPr="00916091">
        <w:rPr>
          <w:rFonts w:asciiTheme="majorBidi" w:hAnsiTheme="majorBidi" w:cstheme="majorBidi"/>
          <w:sz w:val="28"/>
          <w:szCs w:val="28"/>
          <w:rtl/>
        </w:rPr>
        <w:t xml:space="preserve">نرمين ملاك يونان. (2025). فاعلية برنامج تثقيف غذائي للوقاية من الأمراض المزمنة على السلوكيات الغذائية لطلاب الجامعة.  هدفت الدراسة الي قياس فاعلية برنامج تثقيف غذائي للوقاية من الأمراض </w:t>
      </w:r>
      <w:r w:rsidRPr="00916091">
        <w:rPr>
          <w:rFonts w:asciiTheme="majorBidi" w:hAnsiTheme="majorBidi" w:cstheme="majorBidi"/>
          <w:sz w:val="28"/>
          <w:szCs w:val="28"/>
          <w:rtl/>
        </w:rPr>
        <w:lastRenderedPageBreak/>
        <w:t>المزمنة على السلوكيات الغذائية لطلاب الجامعة</w:t>
      </w:r>
      <w:r w:rsidRPr="00916091">
        <w:rPr>
          <w:rFonts w:asciiTheme="majorBidi" w:hAnsiTheme="majorBidi" w:cstheme="majorBidi"/>
          <w:sz w:val="28"/>
          <w:szCs w:val="28"/>
        </w:rPr>
        <w:t>.</w:t>
      </w:r>
      <w:r w:rsidRPr="00916091">
        <w:rPr>
          <w:rFonts w:asciiTheme="majorBidi" w:hAnsiTheme="majorBidi" w:cstheme="majorBidi"/>
          <w:sz w:val="28"/>
          <w:szCs w:val="28"/>
          <w:rtl/>
          <w:lang w:bidi="ar-EG"/>
        </w:rPr>
        <w:t xml:space="preserve"> ولقد اعتمدت الدراسة على المنهج شبة التجريبي وذلك من خلال </w:t>
      </w:r>
      <w:r w:rsidRPr="00916091">
        <w:rPr>
          <w:rFonts w:asciiTheme="majorBidi" w:hAnsiTheme="majorBidi" w:cstheme="majorBidi"/>
          <w:sz w:val="28"/>
          <w:szCs w:val="28"/>
          <w:rtl/>
        </w:rPr>
        <w:t>قيام الباحثة قامت الباحثة بإعداد البرنامج ، يهدف الي زيادة  الو عي الغذائي ومقياس السلوكيات الغذائية). وأتبعت الباحثة منيجيف ىما المنيج الوصفى التحميمى والمنيج الشبو تجريبى وبلغ عدد العينة ) 120( طالب مف المرحمة الجامعية وتـ اختيارىـ 30 طالب ولقد توصلت الدراسة الي مجموعة من النتائج يعد أهمها وابرزها هو ان البرنامج ذو فاعلية في زيادة وعي الطلاب بأهمية الرعاية الصحية وبخطورة الإصابة بالامراض المزمنة وقدمت الدراسة مجموعة من التوصيات المتعلقة بضرورة العمل على نطاق واسع وعريض لتعميم نتائج البرنامج على نطاق اكبر.</w:t>
      </w:r>
    </w:p>
    <w:p w14:paraId="487E104D"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rPr>
        <w:t>دراسة علواني, عومار, عرعار</w:t>
      </w:r>
      <w:r w:rsidRPr="00916091">
        <w:rPr>
          <w:rFonts w:asciiTheme="majorBidi" w:hAnsiTheme="majorBidi" w:cstheme="majorBidi"/>
          <w:sz w:val="28"/>
          <w:szCs w:val="28"/>
          <w:lang w:bidi="ar-EG"/>
        </w:rPr>
        <w:t xml:space="preserve">, &amp; </w:t>
      </w:r>
      <w:r w:rsidRPr="00916091">
        <w:rPr>
          <w:rFonts w:asciiTheme="majorBidi" w:hAnsiTheme="majorBidi" w:cstheme="majorBidi"/>
          <w:sz w:val="28"/>
          <w:szCs w:val="28"/>
          <w:rtl/>
        </w:rPr>
        <w:t>أنس. (2024). هدفت الدراسة الي قياس اثر لثقافة الصحية ودورها في الحد من تفشي الأمراض المزمنة وسبل الوقاية منها وذلك من خلال تحليل الموضوع والوقوف على أهم العوامل التي تساعد على تكوين قاعدة معرفية صحية سليمة عند هذه الفئة الاجتماعية ، لرفع مستوى وعيهم الصحي من خلال مجموعة من الآليات و الممارسات الميدانية لمختلف الفاعلين الناشطين في القطاع الصحي ، سواءا كانوا أفراد ، أو منظمات و مؤسسات حكومية ، بغية توسيع مجال التثقيف الصحي ونشر و عرض الرسائل الصحية على أوسع نطاق ممكن ، لتنمية الثقافة الصحية للأفراد ، وتحسيسهم بخطر الأمراض المزمنة ،وعلاقتها بالسلوكيات و العادات ومختلف المظاهر الحياتية الخاطئة وغير الصحية ،والعمل أيضا على توعية المرضى المصابين بالأمراض المزمنة بكيفيات التعامل معها ، و طرق علاجها ، و أنجع السبل لتفادي تفاقمها حفاظا على صحتهم للنجاة من مضاعفاتها السلبية التي قد تؤدي بحياتهم </w:t>
      </w:r>
    </w:p>
    <w:p w14:paraId="27443B9B" w14:textId="0852178A"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rPr>
        <w:t>دراسة السلمي, ع. ب. ر</w:t>
      </w:r>
      <w:r w:rsidRPr="00916091">
        <w:rPr>
          <w:rFonts w:asciiTheme="majorBidi" w:hAnsiTheme="majorBidi" w:cstheme="majorBidi"/>
          <w:sz w:val="28"/>
          <w:szCs w:val="28"/>
          <w:lang w:bidi="ar-EG"/>
        </w:rPr>
        <w:t xml:space="preserve">., &amp; </w:t>
      </w:r>
      <w:r w:rsidRPr="00916091">
        <w:rPr>
          <w:rFonts w:asciiTheme="majorBidi" w:hAnsiTheme="majorBidi" w:cstheme="majorBidi"/>
          <w:sz w:val="28"/>
          <w:szCs w:val="28"/>
          <w:rtl/>
        </w:rPr>
        <w:t>عطيه بن رويبح. (2022).  هدفت الدراسة الي قياس الوعي الاجتماعي ودوره في مواجهة بعض الامراض المزمنة  حيث اعتمدت الدراسة عل منهج المسح ال</w:t>
      </w:r>
      <w:r>
        <w:rPr>
          <w:rFonts w:asciiTheme="majorBidi" w:hAnsiTheme="majorBidi" w:cstheme="majorBidi" w:hint="cs"/>
          <w:sz w:val="28"/>
          <w:szCs w:val="28"/>
          <w:rtl/>
        </w:rPr>
        <w:t>ا</w:t>
      </w:r>
      <w:r w:rsidRPr="00916091">
        <w:rPr>
          <w:rFonts w:asciiTheme="majorBidi" w:hAnsiTheme="majorBidi" w:cstheme="majorBidi"/>
          <w:sz w:val="28"/>
          <w:szCs w:val="28"/>
          <w:rtl/>
        </w:rPr>
        <w:t>جتماعي بالعينة مجتمع البحث له</w:t>
      </w:r>
      <w:r>
        <w:rPr>
          <w:rFonts w:asciiTheme="majorBidi" w:hAnsiTheme="majorBidi" w:cstheme="majorBidi" w:hint="cs"/>
          <w:sz w:val="28"/>
          <w:szCs w:val="28"/>
          <w:rtl/>
        </w:rPr>
        <w:t>ذه</w:t>
      </w:r>
      <w:r w:rsidRPr="00916091">
        <w:rPr>
          <w:rFonts w:asciiTheme="majorBidi" w:hAnsiTheme="majorBidi" w:cstheme="majorBidi"/>
          <w:sz w:val="28"/>
          <w:szCs w:val="28"/>
          <w:rtl/>
        </w:rPr>
        <w:t xml:space="preserve"> الدراسة هدم المرضي المصابين بال</w:t>
      </w:r>
      <w:r>
        <w:rPr>
          <w:rFonts w:asciiTheme="majorBidi" w:hAnsiTheme="majorBidi" w:cstheme="majorBidi" w:hint="cs"/>
          <w:sz w:val="28"/>
          <w:szCs w:val="28"/>
          <w:rtl/>
        </w:rPr>
        <w:t>أ</w:t>
      </w:r>
      <w:r w:rsidRPr="00916091">
        <w:rPr>
          <w:rFonts w:asciiTheme="majorBidi" w:hAnsiTheme="majorBidi" w:cstheme="majorBidi"/>
          <w:sz w:val="28"/>
          <w:szCs w:val="28"/>
          <w:rtl/>
        </w:rPr>
        <w:t>مراض المزمنة والمراجعين لمستشف</w:t>
      </w:r>
      <w:r>
        <w:rPr>
          <w:rFonts w:asciiTheme="majorBidi" w:hAnsiTheme="majorBidi" w:cstheme="majorBidi" w:hint="cs"/>
          <w:sz w:val="28"/>
          <w:szCs w:val="28"/>
          <w:rtl/>
        </w:rPr>
        <w:t xml:space="preserve">ى </w:t>
      </w:r>
      <w:r w:rsidRPr="00916091">
        <w:rPr>
          <w:rFonts w:asciiTheme="majorBidi" w:hAnsiTheme="majorBidi" w:cstheme="majorBidi"/>
          <w:sz w:val="28"/>
          <w:szCs w:val="28"/>
          <w:rtl/>
        </w:rPr>
        <w:t xml:space="preserve"> جامعة الملك عبدالعزيز بمدينة جددة تكونت عينة الدراسة من 525 مريض واستخدم الدراسة أداة الاستبيان لجمع الاستجابات ولقد توصلت الي مجموعة من النتائج يعد أهمها وابرزها هو  ان المرضي ذو المستوي الاقتصادي المنخفض لديهم ضعف في الوعي بخطورة الامراض المزمنة  كما أوضحت النتائج أيضا الي ان الأشخاص ذو الوعي العالي هم من فئة المستوي الاجتماعي الاعلي وقدمت الدراسة مجموعة من التوصيات يعد أهمها وابرزها هو ضرورة العمل على زيادة الوعي بالامراض المزمنة على نطاق واسع وعريض ليشمل كل الفئات.</w:t>
      </w:r>
    </w:p>
    <w:p w14:paraId="3935E608" w14:textId="77777777" w:rsidR="00916091" w:rsidRDefault="00916091" w:rsidP="00916091">
      <w:pPr>
        <w:spacing w:line="360" w:lineRule="auto"/>
        <w:jc w:val="both"/>
        <w:rPr>
          <w:rFonts w:asciiTheme="majorBidi" w:hAnsiTheme="majorBidi" w:cstheme="majorBidi"/>
          <w:b/>
          <w:bCs/>
          <w:sz w:val="28"/>
          <w:szCs w:val="28"/>
          <w:rtl/>
          <w:lang w:bidi="ar-EG"/>
        </w:rPr>
      </w:pPr>
    </w:p>
    <w:p w14:paraId="7FAF76C8" w14:textId="505DCAB2" w:rsidR="00916091" w:rsidRPr="00916091" w:rsidRDefault="00916091" w:rsidP="00916091">
      <w:pPr>
        <w:spacing w:line="360" w:lineRule="auto"/>
        <w:jc w:val="both"/>
        <w:rPr>
          <w:rFonts w:asciiTheme="majorBidi" w:hAnsiTheme="majorBidi" w:cstheme="majorBidi"/>
          <w:b/>
          <w:bCs/>
          <w:sz w:val="28"/>
          <w:szCs w:val="28"/>
          <w:rtl/>
          <w:lang w:bidi="ar-EG"/>
        </w:rPr>
      </w:pPr>
      <w:r w:rsidRPr="00916091">
        <w:rPr>
          <w:rFonts w:asciiTheme="majorBidi" w:hAnsiTheme="majorBidi" w:cstheme="majorBidi"/>
          <w:b/>
          <w:bCs/>
          <w:sz w:val="28"/>
          <w:szCs w:val="28"/>
          <w:rtl/>
          <w:lang w:bidi="ar-EG"/>
        </w:rPr>
        <w:lastRenderedPageBreak/>
        <w:t>المحور الثالث: التحديات التي تواجه الاعلام الرقمي في المجال الصحي</w:t>
      </w:r>
    </w:p>
    <w:p w14:paraId="096CCFD2" w14:textId="77777777" w:rsidR="00916091" w:rsidRPr="00916091" w:rsidRDefault="00916091" w:rsidP="00916091">
      <w:pPr>
        <w:spacing w:line="360" w:lineRule="auto"/>
        <w:jc w:val="both"/>
        <w:rPr>
          <w:rFonts w:asciiTheme="majorBidi" w:hAnsiTheme="majorBidi" w:cstheme="majorBidi"/>
          <w:b/>
          <w:bCs/>
          <w:sz w:val="28"/>
          <w:szCs w:val="28"/>
          <w:rtl/>
          <w:lang w:bidi="ar-EG"/>
        </w:rPr>
      </w:pPr>
      <w:r w:rsidRPr="00916091">
        <w:rPr>
          <w:rFonts w:asciiTheme="majorBidi" w:hAnsiTheme="majorBidi" w:cstheme="majorBidi"/>
          <w:b/>
          <w:bCs/>
          <w:sz w:val="28"/>
          <w:szCs w:val="28"/>
          <w:rtl/>
        </w:rPr>
        <w:t>المنسى, سمر توكل عرفه معوض, اسماعيل, محمودحسن, صقر, غادة موسى إبراهيم</w:t>
      </w:r>
      <w:r w:rsidRPr="00916091">
        <w:rPr>
          <w:rFonts w:asciiTheme="majorBidi" w:hAnsiTheme="majorBidi" w:cstheme="majorBidi"/>
          <w:b/>
          <w:bCs/>
          <w:sz w:val="28"/>
          <w:szCs w:val="28"/>
          <w:lang w:bidi="ar-EG"/>
        </w:rPr>
        <w:t xml:space="preserve">, ... &amp; </w:t>
      </w:r>
      <w:r w:rsidRPr="00916091">
        <w:rPr>
          <w:rFonts w:asciiTheme="majorBidi" w:hAnsiTheme="majorBidi" w:cstheme="majorBidi"/>
          <w:b/>
          <w:bCs/>
          <w:sz w:val="28"/>
          <w:szCs w:val="28"/>
          <w:rtl/>
        </w:rPr>
        <w:t>ماجدة أبوالفتوح محمد. (2025). الحملات الصحية الرئاسية بوسائل الإعلام الجديد ومعالجتها إعلامياً</w:t>
      </w:r>
      <w:r w:rsidRPr="00916091">
        <w:rPr>
          <w:rFonts w:asciiTheme="majorBidi" w:hAnsiTheme="majorBidi" w:cstheme="majorBidi"/>
          <w:b/>
          <w:bCs/>
          <w:sz w:val="28"/>
          <w:szCs w:val="28"/>
          <w:lang w:bidi="ar-EG"/>
        </w:rPr>
        <w:t>. </w:t>
      </w:r>
    </w:p>
    <w:p w14:paraId="2E6D53D4" w14:textId="77777777" w:rsidR="00916091" w:rsidRPr="00916091" w:rsidRDefault="00916091" w:rsidP="00916091">
      <w:pPr>
        <w:spacing w:line="360" w:lineRule="auto"/>
        <w:rPr>
          <w:rFonts w:asciiTheme="majorBidi" w:hAnsiTheme="majorBidi" w:cstheme="majorBidi"/>
          <w:sz w:val="28"/>
          <w:szCs w:val="28"/>
          <w:rtl/>
          <w:lang w:bidi="ar-EG"/>
        </w:rPr>
      </w:pPr>
      <w:r w:rsidRPr="00916091">
        <w:rPr>
          <w:rFonts w:asciiTheme="majorBidi" w:hAnsiTheme="majorBidi" w:cstheme="majorBidi"/>
          <w:sz w:val="28"/>
          <w:szCs w:val="28"/>
          <w:rtl/>
          <w:lang w:bidi="ar-EG"/>
        </w:rPr>
        <w:t>تهدف هذه الدراسة إلى تحقيق هدف عام يتمثل فى " رصد وتحليل وتفسير اتجاهات النخبة المصرية نحو تقييم دور الصحافة الإلكترونية في مواجهة الشائعات الاقتصادية، وانعكاساتها  على رؤية مصر 2030، والمتغيرات ذات الصلة التى تؤثر على هذه الاتجاهات، والوقوف على الرؤية المستقبلية للدور الذي ينبغي أن تقوم به الصحافة الإلكترونية في مواجهة الشائعات الاقتصادية. وتندرج هذه الدراسة ضمن نوعية البحوث الوصفية. وقد اعتمدت الدراسة على منهج المسح الإعلامي بشقيه (الوصفي والتحليلي). وقد تم استخدام أداتي:(صحيفة الإستبيان- صحيفة تحليل المضمون ).</w:t>
      </w:r>
    </w:p>
    <w:p w14:paraId="3335A9C2" w14:textId="77777777" w:rsidR="00916091" w:rsidRPr="00916091" w:rsidRDefault="00916091" w:rsidP="00916091">
      <w:pPr>
        <w:spacing w:line="360" w:lineRule="auto"/>
        <w:rPr>
          <w:rFonts w:asciiTheme="majorBidi" w:hAnsiTheme="majorBidi" w:cstheme="majorBidi"/>
          <w:sz w:val="28"/>
          <w:szCs w:val="28"/>
          <w:rtl/>
          <w:lang w:bidi="ar-EG"/>
        </w:rPr>
      </w:pPr>
      <w:r w:rsidRPr="00916091">
        <w:rPr>
          <w:rFonts w:asciiTheme="majorBidi" w:hAnsiTheme="majorBidi" w:cstheme="majorBidi"/>
          <w:sz w:val="28"/>
          <w:szCs w:val="28"/>
          <w:rtl/>
          <w:lang w:bidi="ar-EG"/>
        </w:rPr>
        <w:t>وقد اقتصرت هذه الدراسة على عينة قوامها (150) مفردة من النخبة المصرية عينة الدراسة، تشمل العينة (الخبراء الاقتصاديون- أساتذة الجامعات المصرية – الإعلاميون) . وذلك خلال الفترة الزمنية من 1يناير 2020 إلى 31 ديسمبر 2022. وقد أجريت هذه الدراسة على عينة من الصحف الإلكترونية المصرية (صحيفة اليوم السابع – صحيفة المصرى اليوم – صحيفة البوابة نيوز ). وكان من أهم نتائج الدراسة:- كشفت نتائج الدراسة التحليلية: أن الشائعات الإقتصادية جاءت فى الترتيب الأول بعدد (816) شائعة بنسبة  24,7% يليها فى الترتيب الثانى الشائعات الأمنية بعدد(  612) شائعة بنسبة بلغت  18,6% بيما جاء ت الشائعات الصحية فى الترتيب الثالث بعدد (594) شائعة بنسبة  .,18%  بينما جاء ت الشائعات التعليمية فى الترتيب الرابع بعدد (512) شائعة بنسبة بلغت  15,5%  وتباينت بقية الشائعات فى الترتيب والنسب المئوية .</w:t>
      </w:r>
    </w:p>
    <w:p w14:paraId="2CBE44BB"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 كشفت نتائج الدراسة الميدانية: عن مدى الاهتمام الكبير من قبل النخبة بمتابعة الموضوعات والقضايا الاقتصادية في وسائل الإعلام، خاصة وسائل الإعلام الجديد المتمثل في: (الصحف الإلكترونية – التطبيقات الإخبارية المجمعة – وسائل التواصل الاجتماعى).</w:t>
      </w:r>
    </w:p>
    <w:p w14:paraId="1A5F77D4" w14:textId="77777777" w:rsidR="00916091" w:rsidRPr="00916091" w:rsidRDefault="00916091" w:rsidP="00916091">
      <w:pPr>
        <w:spacing w:line="360" w:lineRule="auto"/>
        <w:jc w:val="both"/>
        <w:rPr>
          <w:rFonts w:asciiTheme="majorBidi" w:hAnsiTheme="majorBidi" w:cstheme="majorBidi"/>
          <w:b/>
          <w:bCs/>
          <w:sz w:val="28"/>
          <w:szCs w:val="28"/>
          <w:rtl/>
          <w:lang w:bidi="ar-EG"/>
        </w:rPr>
      </w:pPr>
      <w:r w:rsidRPr="00916091">
        <w:rPr>
          <w:rFonts w:asciiTheme="majorBidi" w:hAnsiTheme="majorBidi" w:cstheme="majorBidi"/>
          <w:b/>
          <w:bCs/>
          <w:sz w:val="28"/>
          <w:szCs w:val="28"/>
          <w:lang w:bidi="ar-EG"/>
        </w:rPr>
        <w:t xml:space="preserve"> (Education, P., &amp; Education, S. " </w:t>
      </w:r>
      <w:r w:rsidRPr="00916091">
        <w:rPr>
          <w:rFonts w:asciiTheme="majorBidi" w:hAnsiTheme="majorBidi" w:cstheme="majorBidi"/>
          <w:b/>
          <w:bCs/>
          <w:sz w:val="28"/>
          <w:szCs w:val="28"/>
          <w:rtl/>
        </w:rPr>
        <w:t xml:space="preserve"> (2023) تقديم المعلومات الصحية حل جائحة کورونا عبر وسائل التواصل الاجتماعى وتأثيراتها الاجتماعية</w:t>
      </w:r>
      <w:r w:rsidRPr="00916091">
        <w:rPr>
          <w:rFonts w:asciiTheme="majorBidi" w:hAnsiTheme="majorBidi" w:cstheme="majorBidi"/>
          <w:b/>
          <w:bCs/>
          <w:sz w:val="28"/>
          <w:szCs w:val="28"/>
          <w:lang w:bidi="ar-EG"/>
        </w:rPr>
        <w:t>.</w:t>
      </w:r>
    </w:p>
    <w:tbl>
      <w:tblPr>
        <w:tblW w:w="5000" w:type="pct"/>
        <w:shd w:val="clear" w:color="auto" w:fill="FFFFFF"/>
        <w:tblCellMar>
          <w:left w:w="0" w:type="dxa"/>
          <w:right w:w="0" w:type="dxa"/>
        </w:tblCellMar>
        <w:tblLook w:val="04A0" w:firstRow="1" w:lastRow="0" w:firstColumn="1" w:lastColumn="0" w:noHBand="0" w:noVBand="1"/>
      </w:tblPr>
      <w:tblGrid>
        <w:gridCol w:w="9360"/>
      </w:tblGrid>
      <w:tr w:rsidR="00916091" w:rsidRPr="00916091" w14:paraId="31F1AF35" w14:textId="77777777" w:rsidTr="00A171A0">
        <w:tc>
          <w:tcPr>
            <w:tcW w:w="5000" w:type="pct"/>
            <w:shd w:val="clear" w:color="auto" w:fill="FFFFFF"/>
            <w:tcMar>
              <w:top w:w="15" w:type="dxa"/>
              <w:left w:w="75" w:type="dxa"/>
              <w:bottom w:w="15" w:type="dxa"/>
              <w:right w:w="75" w:type="dxa"/>
            </w:tcMar>
            <w:vAlign w:val="center"/>
            <w:hideMark/>
          </w:tcPr>
          <w:p w14:paraId="5B84B4D7" w14:textId="77777777" w:rsidR="00916091" w:rsidRPr="00916091" w:rsidRDefault="00916091" w:rsidP="00A171A0">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rPr>
              <w:lastRenderedPageBreak/>
              <w:t>هدفت الدراسة تقديم المعلومات الصحية ذات الصلة بفيروس</w:t>
            </w:r>
            <w:r w:rsidRPr="00916091">
              <w:rPr>
                <w:rFonts w:asciiTheme="majorBidi" w:hAnsiTheme="majorBidi" w:cstheme="majorBidi"/>
                <w:sz w:val="28"/>
                <w:szCs w:val="28"/>
                <w:lang w:bidi="ar-EG"/>
              </w:rPr>
              <w:t xml:space="preserve"> Covid-19 </w:t>
            </w:r>
            <w:r w:rsidRPr="00916091">
              <w:rPr>
                <w:rFonts w:asciiTheme="majorBidi" w:hAnsiTheme="majorBidi" w:cstheme="majorBidi"/>
                <w:sz w:val="28"/>
                <w:szCs w:val="28"/>
                <w:rtl/>
              </w:rPr>
              <w:t>عبر مواقع التواصل الاجتماعى، وعرضت إيجابيات وسلبيات إنتشار المعلومات الصحية الصحيحة والکاذبة بالموجات المتعاقبة للفيروس. أُستخدمت استمارة الکترونية لجمع البيانات، شملت العينة عدد 39 ذکور و76إناث .تم وصف الخصائص الديموجرافية واجراء اختبار</w:t>
            </w:r>
            <w:r w:rsidRPr="00916091">
              <w:rPr>
                <w:rFonts w:asciiTheme="majorBidi" w:hAnsiTheme="majorBidi" w:cstheme="majorBidi"/>
                <w:sz w:val="28"/>
                <w:szCs w:val="28"/>
                <w:lang w:bidi="ar-EG"/>
              </w:rPr>
              <w:t xml:space="preserve"> Chi2 </w:t>
            </w:r>
            <w:r w:rsidRPr="00916091">
              <w:rPr>
                <w:rFonts w:asciiTheme="majorBidi" w:hAnsiTheme="majorBidi" w:cstheme="majorBidi"/>
                <w:sz w:val="28"/>
                <w:szCs w:val="28"/>
                <w:rtl/>
              </w:rPr>
              <w:t>لاختبار الفروق الاحصائية بين مجموعة الذکور ومجموعة الإناث. اتضح عدم وجود فروق بين المجموعتين فى مدى الاستفادة من وسائل التواصل الاجتماعى فى معرفة طرق الوقاية عبرها بقيمة دلالة تبلغ 0.373کما أن النوع الاجتماعى لا يتاثر بما يُنشر على وسائل التواصل الاجتماعى حول الفيروس بقيمة</w:t>
            </w:r>
            <w:r w:rsidRPr="00916091">
              <w:rPr>
                <w:rFonts w:asciiTheme="majorBidi" w:hAnsiTheme="majorBidi" w:cstheme="majorBidi"/>
                <w:sz w:val="28"/>
                <w:szCs w:val="28"/>
                <w:lang w:bidi="ar-EG"/>
              </w:rPr>
              <w:t xml:space="preserve"> Pvalue=0.474 </w:t>
            </w:r>
            <w:r w:rsidRPr="00916091">
              <w:rPr>
                <w:rFonts w:asciiTheme="majorBidi" w:hAnsiTheme="majorBidi" w:cstheme="majorBidi"/>
                <w:sz w:val="28"/>
                <w:szCs w:val="28"/>
                <w:rtl/>
              </w:rPr>
              <w:t>أکبر من 0.05 غير جوهرية عند مستوى أقل من 0.05. بينما يؤثر العمر والمستوى التعليمى في نوع المعلومة الصحية التى شارکها المبحوث مع الآخرين عبر الوسائل، تلک المعلومات هى طرق التغذية السليمة أثناء الجائحة، وعناوين مستشفيات، العزل وغسيل الأيدى بطريقة سليمة، واستخدام الکحول، وتوافر علاج وأماکن أنابيب الأکسجين بأسعار رمزية، وأسماء وعناوين الأطباء المتطوعين مجانا. اقترحت الدراسة ضرورة مواجهة انتشاء ظاهرة</w:t>
            </w:r>
            <w:r w:rsidRPr="00916091">
              <w:rPr>
                <w:rFonts w:asciiTheme="majorBidi" w:hAnsiTheme="majorBidi" w:cstheme="majorBidi"/>
                <w:sz w:val="28"/>
                <w:szCs w:val="28"/>
                <w:lang w:bidi="ar-EG"/>
              </w:rPr>
              <w:t xml:space="preserve"> "Infodemic" </w:t>
            </w:r>
            <w:r w:rsidRPr="00916091">
              <w:rPr>
                <w:rFonts w:asciiTheme="majorBidi" w:hAnsiTheme="majorBidi" w:cstheme="majorBidi"/>
                <w:sz w:val="28"/>
                <w:szCs w:val="28"/>
                <w:rtl/>
              </w:rPr>
              <w:t>أو "الداء المعلوماتى</w:t>
            </w:r>
            <w:r w:rsidRPr="00916091">
              <w:rPr>
                <w:rFonts w:asciiTheme="majorBidi" w:hAnsiTheme="majorBidi" w:cstheme="majorBidi"/>
                <w:sz w:val="28"/>
                <w:szCs w:val="28"/>
                <w:lang w:bidi="ar-EG"/>
              </w:rPr>
              <w:t xml:space="preserve">"(Cinelli et al., 2020) </w:t>
            </w:r>
            <w:r w:rsidRPr="00916091">
              <w:rPr>
                <w:rFonts w:asciiTheme="majorBidi" w:hAnsiTheme="majorBidi" w:cstheme="majorBidi"/>
                <w:sz w:val="28"/>
                <w:szCs w:val="28"/>
                <w:rtl/>
              </w:rPr>
              <w:t>بتوضيح مخاطر ظاهرة المعلومات المضللة أثناء تفشى الأوبئة.ونشر وتعزيز التثقيف الرقمى للحماية من نقل المعلومات فى عضر يتم فيه تداول الأکاذيب والشائعات بطريقة عشوائية دون ضوابط أو رقابة. وضرورة وضع آليات رقابية رادعة لمروجى الشائعات ذات الصلة بالصحة العامة والوقاية من الفيروسات والأمراض ، لرفع الوعى الصحى السليم والسلوک الإيجابى ورفع مستوى الثقة بين مرتادى وسائل التواصل الاجتماعى</w:t>
            </w:r>
            <w:r w:rsidRPr="00916091">
              <w:rPr>
                <w:rFonts w:asciiTheme="majorBidi" w:hAnsiTheme="majorBidi" w:cstheme="majorBidi"/>
                <w:sz w:val="28"/>
                <w:szCs w:val="28"/>
                <w:lang w:bidi="ar-EG"/>
              </w:rPr>
              <w:t>.</w:t>
            </w:r>
          </w:p>
          <w:p w14:paraId="0D1A781F" w14:textId="77777777" w:rsidR="00916091" w:rsidRPr="00916091" w:rsidRDefault="00916091" w:rsidP="00A171A0">
            <w:pPr>
              <w:spacing w:line="360" w:lineRule="auto"/>
              <w:jc w:val="both"/>
              <w:rPr>
                <w:rFonts w:asciiTheme="majorBidi" w:hAnsiTheme="majorBidi" w:cstheme="majorBidi"/>
                <w:b/>
                <w:bCs/>
                <w:sz w:val="28"/>
                <w:szCs w:val="28"/>
                <w:rtl/>
                <w:lang w:bidi="ar-EG"/>
              </w:rPr>
            </w:pPr>
            <w:r w:rsidRPr="00916091">
              <w:rPr>
                <w:rFonts w:asciiTheme="majorBidi" w:hAnsiTheme="majorBidi" w:cstheme="majorBidi"/>
                <w:b/>
                <w:bCs/>
                <w:sz w:val="28"/>
                <w:szCs w:val="28"/>
                <w:rtl/>
              </w:rPr>
              <w:t>أبو زيد, معزة آدم أحمد, عبد الله</w:t>
            </w:r>
            <w:r w:rsidRPr="00916091">
              <w:rPr>
                <w:rFonts w:asciiTheme="majorBidi" w:hAnsiTheme="majorBidi" w:cstheme="majorBidi"/>
                <w:b/>
                <w:bCs/>
                <w:sz w:val="28"/>
                <w:szCs w:val="28"/>
                <w:lang w:bidi="ar-EG"/>
              </w:rPr>
              <w:t xml:space="preserve">, &amp; </w:t>
            </w:r>
            <w:r w:rsidRPr="00916091">
              <w:rPr>
                <w:rFonts w:asciiTheme="majorBidi" w:hAnsiTheme="majorBidi" w:cstheme="majorBidi"/>
                <w:b/>
                <w:bCs/>
                <w:sz w:val="28"/>
                <w:szCs w:val="28"/>
                <w:rtl/>
              </w:rPr>
              <w:t>هبه محمد إسماعيل. (2022). الشائعات الالکترونية وتأثيرها على الوضع الصحي في السودان فيروس کورونا المعدي (کوفيد 19) أنموذجاً (دراسة على مستخدمي شبکات التواصل الاجتماعي)</w:t>
            </w:r>
            <w:r w:rsidRPr="00916091">
              <w:rPr>
                <w:rFonts w:asciiTheme="majorBidi" w:hAnsiTheme="majorBidi" w:cstheme="majorBidi"/>
                <w:b/>
                <w:bCs/>
                <w:sz w:val="28"/>
                <w:szCs w:val="28"/>
                <w:lang w:bidi="ar-EG"/>
              </w:rPr>
              <w:t>.</w:t>
            </w:r>
          </w:p>
          <w:p w14:paraId="4B7EF2D6" w14:textId="77777777" w:rsidR="00916091" w:rsidRPr="00916091" w:rsidRDefault="00916091" w:rsidP="00A171A0">
            <w:pPr>
              <w:spacing w:line="360" w:lineRule="auto"/>
              <w:jc w:val="both"/>
              <w:rPr>
                <w:rFonts w:asciiTheme="majorBidi" w:hAnsiTheme="majorBidi" w:cstheme="majorBidi"/>
                <w:sz w:val="28"/>
                <w:szCs w:val="28"/>
                <w:lang w:bidi="ar-EG"/>
              </w:rPr>
            </w:pPr>
            <w:r w:rsidRPr="00916091">
              <w:rPr>
                <w:rFonts w:asciiTheme="majorBidi" w:hAnsiTheme="majorBidi" w:cstheme="majorBidi"/>
                <w:sz w:val="28"/>
                <w:szCs w:val="28"/>
                <w:rtl/>
              </w:rPr>
              <w:t>هدفت الدراسة إلى تحليل دور مواقع التواصل الاجتماعي في نشر المعلومات الصحية عن كوفيد-19، حيث استخدمت استبانة إلكترونية لجمع بيانات من 115 مشاركًا (39 ذكرًا و76 أنثى)، وكشفت النتائج عن عدم وجود فروق ذات دلالة إحصائية بين الجنسين في الاعتماد على هذه المنصات للحصول على معلومات الوقاية</w:t>
            </w:r>
            <w:r w:rsidRPr="00916091">
              <w:rPr>
                <w:rFonts w:asciiTheme="majorBidi" w:hAnsiTheme="majorBidi" w:cstheme="majorBidi"/>
                <w:sz w:val="28"/>
                <w:szCs w:val="28"/>
                <w:lang w:bidi="ar-EG"/>
              </w:rPr>
              <w:t xml:space="preserve"> (p=0.373) </w:t>
            </w:r>
            <w:r w:rsidRPr="00916091">
              <w:rPr>
                <w:rFonts w:asciiTheme="majorBidi" w:hAnsiTheme="majorBidi" w:cstheme="majorBidi"/>
                <w:sz w:val="28"/>
                <w:szCs w:val="28"/>
                <w:rtl/>
              </w:rPr>
              <w:t>أو في التأثر بالمحتوى المنشور</w:t>
            </w:r>
            <w:r w:rsidRPr="00916091">
              <w:rPr>
                <w:rFonts w:asciiTheme="majorBidi" w:hAnsiTheme="majorBidi" w:cstheme="majorBidi"/>
                <w:sz w:val="28"/>
                <w:szCs w:val="28"/>
                <w:lang w:bidi="ar-EG"/>
              </w:rPr>
              <w:t xml:space="preserve"> (p=0.474)</w:t>
            </w:r>
            <w:r w:rsidRPr="00916091">
              <w:rPr>
                <w:rFonts w:asciiTheme="majorBidi" w:hAnsiTheme="majorBidi" w:cstheme="majorBidi"/>
                <w:sz w:val="28"/>
                <w:szCs w:val="28"/>
                <w:rtl/>
              </w:rPr>
              <w:t>، بينما أظهرت أن العمر والمستوى التعليمي يؤثران بشكل كبير في نوعية المعلومات المتبادلة، والتي شملت طرق التغذية السليمة، عناوين المستشفيات، إجراءات التعقيم، وتوفر العلاجات، كما حذرت الدراسة من مخاطر "الجائحة المعلوماتية</w:t>
            </w:r>
            <w:r w:rsidRPr="00916091">
              <w:rPr>
                <w:rFonts w:asciiTheme="majorBidi" w:hAnsiTheme="majorBidi" w:cstheme="majorBidi"/>
                <w:sz w:val="28"/>
                <w:szCs w:val="28"/>
                <w:lang w:bidi="ar-EG"/>
              </w:rPr>
              <w:t xml:space="preserve">" (Infodemic) </w:t>
            </w:r>
            <w:r w:rsidRPr="00916091">
              <w:rPr>
                <w:rFonts w:asciiTheme="majorBidi" w:hAnsiTheme="majorBidi" w:cstheme="majorBidi"/>
                <w:sz w:val="28"/>
                <w:szCs w:val="28"/>
                <w:rtl/>
              </w:rPr>
              <w:t xml:space="preserve">ودعت إلى تعزيز التثقيف الرقمي ووضع آليات رقابية صارمة للحد من انتشار الشائعات الصحية، خاصةً </w:t>
            </w:r>
            <w:r w:rsidRPr="00916091">
              <w:rPr>
                <w:rFonts w:asciiTheme="majorBidi" w:hAnsiTheme="majorBidi" w:cstheme="majorBidi"/>
                <w:sz w:val="28"/>
                <w:szCs w:val="28"/>
                <w:rtl/>
              </w:rPr>
              <w:lastRenderedPageBreak/>
              <w:t>بعد ما أثبتته من تأثير خطير للإشاعات على تدهور الخدمات الطبية وزيادة انتشار الفيروس، وخلصت إلى ضرورة إنشاء مراكز متخصصة لرصد الشائعات وتطبيق عقوبات على مروجيها لضمان تداول معلومات موثوقة خلال الأزمات الصحية</w:t>
            </w:r>
            <w:r w:rsidRPr="00916091">
              <w:rPr>
                <w:rFonts w:asciiTheme="majorBidi" w:hAnsiTheme="majorBidi" w:cstheme="majorBidi"/>
                <w:sz w:val="28"/>
                <w:szCs w:val="28"/>
                <w:lang w:bidi="ar-EG"/>
              </w:rPr>
              <w:t>.</w:t>
            </w:r>
          </w:p>
          <w:p w14:paraId="6036D0B6" w14:textId="77777777" w:rsidR="00916091" w:rsidRPr="00916091" w:rsidRDefault="00916091" w:rsidP="00A171A0">
            <w:pPr>
              <w:spacing w:line="360" w:lineRule="auto"/>
              <w:jc w:val="both"/>
              <w:rPr>
                <w:rFonts w:asciiTheme="majorBidi" w:hAnsiTheme="majorBidi" w:cstheme="majorBidi"/>
                <w:b/>
                <w:bCs/>
                <w:sz w:val="28"/>
                <w:szCs w:val="28"/>
                <w:lang w:bidi="ar-EG"/>
              </w:rPr>
            </w:pPr>
          </w:p>
        </w:tc>
      </w:tr>
      <w:tr w:rsidR="00916091" w:rsidRPr="00FF1F12" w14:paraId="3D8A7255" w14:textId="77777777" w:rsidTr="00A171A0">
        <w:tc>
          <w:tcPr>
            <w:tcW w:w="5000" w:type="pct"/>
            <w:shd w:val="clear" w:color="auto" w:fill="FFFFFF"/>
            <w:tcMar>
              <w:top w:w="225" w:type="dxa"/>
              <w:left w:w="75" w:type="dxa"/>
              <w:bottom w:w="0" w:type="dxa"/>
              <w:right w:w="75" w:type="dxa"/>
            </w:tcMar>
            <w:vAlign w:val="center"/>
            <w:hideMark/>
          </w:tcPr>
          <w:p w14:paraId="1FDB5CF9" w14:textId="77777777" w:rsidR="00916091" w:rsidRPr="00FF1F12" w:rsidRDefault="00916091" w:rsidP="00A171A0">
            <w:pPr>
              <w:spacing w:line="360" w:lineRule="auto"/>
              <w:jc w:val="both"/>
              <w:rPr>
                <w:rFonts w:ascii="Simplified Arabic" w:hAnsi="Simplified Arabic" w:cs="Simplified Arabic"/>
                <w:b/>
                <w:bCs/>
                <w:sz w:val="28"/>
                <w:szCs w:val="28"/>
                <w:lang w:bidi="ar-EG"/>
              </w:rPr>
            </w:pPr>
          </w:p>
        </w:tc>
      </w:tr>
    </w:tbl>
    <w:p w14:paraId="53481F07" w14:textId="77777777" w:rsidR="00916091" w:rsidRPr="00916091" w:rsidRDefault="00916091" w:rsidP="00916091">
      <w:pPr>
        <w:spacing w:line="360" w:lineRule="auto"/>
        <w:jc w:val="both"/>
        <w:rPr>
          <w:rFonts w:asciiTheme="majorBidi" w:hAnsiTheme="majorBidi" w:cstheme="majorBidi"/>
          <w:b/>
          <w:bCs/>
          <w:sz w:val="28"/>
          <w:szCs w:val="28"/>
          <w:rtl/>
          <w:lang w:bidi="ar-EG"/>
        </w:rPr>
      </w:pPr>
      <w:r w:rsidRPr="00916091">
        <w:rPr>
          <w:rFonts w:asciiTheme="majorBidi" w:hAnsiTheme="majorBidi" w:cstheme="majorBidi"/>
          <w:b/>
          <w:bCs/>
          <w:sz w:val="28"/>
          <w:szCs w:val="28"/>
          <w:rtl/>
          <w:lang w:bidi="ar-EG"/>
        </w:rPr>
        <w:t>الاستفادة من الدراسات السابقة :</w:t>
      </w:r>
    </w:p>
    <w:p w14:paraId="10DB29C3"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من خلال أبرز الدراسات السابقة المرتبطة بمجال الدراسة الحالية نجد أن الدراسات استهدفت الوعي الصحي ،من خلال الاعلام الرقمي والتكنولوجيا ، على الرغم من وجود الوصم خلال الفئات العمرية.</w:t>
      </w:r>
    </w:p>
    <w:p w14:paraId="42DDDCA1" w14:textId="77777777" w:rsidR="00916091" w:rsidRPr="00916091" w:rsidRDefault="00916091" w:rsidP="00916091">
      <w:pPr>
        <w:spacing w:line="360" w:lineRule="auto"/>
        <w:jc w:val="both"/>
        <w:rPr>
          <w:rFonts w:asciiTheme="majorBidi" w:hAnsiTheme="majorBidi" w:cstheme="majorBidi"/>
          <w:sz w:val="28"/>
          <w:szCs w:val="28"/>
          <w:rtl/>
          <w:lang w:bidi="ar-EG"/>
        </w:rPr>
      </w:pPr>
      <w:r w:rsidRPr="00916091">
        <w:rPr>
          <w:rFonts w:asciiTheme="majorBidi" w:hAnsiTheme="majorBidi" w:cstheme="majorBidi"/>
          <w:sz w:val="28"/>
          <w:szCs w:val="28"/>
          <w:rtl/>
          <w:lang w:bidi="ar-EG"/>
        </w:rPr>
        <w:t>حيث ساعدت الدراسات السابقة على الإلمام بشكل أكبر بموضوع التوعية بالامراض المزمنة المزمنه، وساعد في فهم الأساليب المستخدمة  وتحليل النتائج التي توصلت اليها ومنها تسهل لي كباحثه توضيح نتائج الدراسة الحالية  ،واعتمدت من خلالها  على عدم التكرار بالرغم من ان  البحث واهدافة لم يتناقش في بحوث عربية ، والاطلاع على الاطار النظري والتعرف على المفاهيم والفجوة البحثية . ويمكننا الإشارة الي أوجه التشابة والاختلاف والاستفادة فيما يلي:</w:t>
      </w:r>
    </w:p>
    <w:p w14:paraId="5465EE92" w14:textId="77777777" w:rsidR="00916091" w:rsidRPr="00916091" w:rsidRDefault="00916091" w:rsidP="00916091">
      <w:pPr>
        <w:numPr>
          <w:ilvl w:val="0"/>
          <w:numId w:val="1"/>
        </w:numPr>
        <w:spacing w:line="360" w:lineRule="auto"/>
        <w:jc w:val="both"/>
        <w:rPr>
          <w:rFonts w:asciiTheme="majorBidi" w:hAnsiTheme="majorBidi" w:cstheme="majorBidi"/>
          <w:sz w:val="28"/>
          <w:szCs w:val="28"/>
          <w:lang w:bidi="ar-EG"/>
        </w:rPr>
      </w:pPr>
      <w:r w:rsidRPr="00916091">
        <w:rPr>
          <w:rFonts w:asciiTheme="majorBidi" w:hAnsiTheme="majorBidi" w:cstheme="majorBidi"/>
          <w:b/>
          <w:bCs/>
          <w:sz w:val="28"/>
          <w:szCs w:val="28"/>
          <w:rtl/>
        </w:rPr>
        <w:t>تشابه الموضوعات</w:t>
      </w:r>
      <w:r w:rsidRPr="00916091">
        <w:rPr>
          <w:rFonts w:asciiTheme="majorBidi" w:hAnsiTheme="majorBidi" w:cstheme="majorBidi"/>
          <w:sz w:val="28"/>
          <w:szCs w:val="28"/>
          <w:lang w:bidi="ar-EG"/>
        </w:rPr>
        <w:t xml:space="preserve">: </w:t>
      </w:r>
      <w:r w:rsidRPr="00916091">
        <w:rPr>
          <w:rFonts w:asciiTheme="majorBidi" w:hAnsiTheme="majorBidi" w:cstheme="majorBidi"/>
          <w:sz w:val="28"/>
          <w:szCs w:val="28"/>
          <w:rtl/>
        </w:rPr>
        <w:t>تتناول جميع الدراسات قضايا صحية من زوايا مختلفة، مثل الثقافة الصحية، التوعية عبر الوسائل الرقمية، وتأثير الإعلام في تشكيل الرأي العام حول الأمراض. هذا يدل على الأهمية المتزايدة لمجال الصحة العامة في الأبحاث الحديثة</w:t>
      </w:r>
      <w:r w:rsidRPr="00916091">
        <w:rPr>
          <w:rFonts w:asciiTheme="majorBidi" w:hAnsiTheme="majorBidi" w:cstheme="majorBidi"/>
          <w:sz w:val="28"/>
          <w:szCs w:val="28"/>
          <w:lang w:bidi="ar-EG"/>
        </w:rPr>
        <w:t>.</w:t>
      </w:r>
    </w:p>
    <w:p w14:paraId="657E27F6" w14:textId="77777777" w:rsidR="00916091" w:rsidRPr="00916091" w:rsidRDefault="00916091" w:rsidP="00916091">
      <w:pPr>
        <w:numPr>
          <w:ilvl w:val="0"/>
          <w:numId w:val="1"/>
        </w:numPr>
        <w:spacing w:line="360" w:lineRule="auto"/>
        <w:jc w:val="both"/>
        <w:rPr>
          <w:rFonts w:asciiTheme="majorBidi" w:hAnsiTheme="majorBidi" w:cstheme="majorBidi"/>
          <w:sz w:val="28"/>
          <w:szCs w:val="28"/>
          <w:lang w:bidi="ar-EG"/>
        </w:rPr>
      </w:pPr>
      <w:r w:rsidRPr="00916091">
        <w:rPr>
          <w:rFonts w:asciiTheme="majorBidi" w:hAnsiTheme="majorBidi" w:cstheme="majorBidi"/>
          <w:b/>
          <w:bCs/>
          <w:sz w:val="28"/>
          <w:szCs w:val="28"/>
          <w:rtl/>
        </w:rPr>
        <w:t>التقنيات والأساليب المستخدمة</w:t>
      </w:r>
      <w:r w:rsidRPr="00916091">
        <w:rPr>
          <w:rFonts w:asciiTheme="majorBidi" w:hAnsiTheme="majorBidi" w:cstheme="majorBidi"/>
          <w:sz w:val="28"/>
          <w:szCs w:val="28"/>
          <w:lang w:bidi="ar-EG"/>
        </w:rPr>
        <w:t xml:space="preserve">: </w:t>
      </w:r>
      <w:r w:rsidRPr="00916091">
        <w:rPr>
          <w:rFonts w:asciiTheme="majorBidi" w:hAnsiTheme="majorBidi" w:cstheme="majorBidi"/>
          <w:sz w:val="28"/>
          <w:szCs w:val="28"/>
          <w:rtl/>
        </w:rPr>
        <w:t>تعتمد بعض الدراسات على التحليل الأنثروبولوجي (علواني وآخرون، 2024) بينما تستخدم أخرى تحليل السرد (صبرة، 2024) أو الدراسات الوصفية (السلمي وعطية، 2022). هذا التنوع في المنهجيات يمنح نظرة شاملة حول الموضوع</w:t>
      </w:r>
      <w:r w:rsidRPr="00916091">
        <w:rPr>
          <w:rFonts w:asciiTheme="majorBidi" w:hAnsiTheme="majorBidi" w:cstheme="majorBidi"/>
          <w:sz w:val="28"/>
          <w:szCs w:val="28"/>
          <w:lang w:bidi="ar-EG"/>
        </w:rPr>
        <w:t>.</w:t>
      </w:r>
    </w:p>
    <w:p w14:paraId="33CFE8CD" w14:textId="77777777" w:rsidR="00916091" w:rsidRPr="00916091" w:rsidRDefault="00916091" w:rsidP="00916091">
      <w:pPr>
        <w:numPr>
          <w:ilvl w:val="0"/>
          <w:numId w:val="1"/>
        </w:numPr>
        <w:spacing w:line="360" w:lineRule="auto"/>
        <w:jc w:val="both"/>
        <w:rPr>
          <w:rFonts w:asciiTheme="majorBidi" w:hAnsiTheme="majorBidi" w:cstheme="majorBidi"/>
          <w:sz w:val="28"/>
          <w:szCs w:val="28"/>
          <w:lang w:bidi="ar-EG"/>
        </w:rPr>
      </w:pPr>
      <w:r w:rsidRPr="00916091">
        <w:rPr>
          <w:rFonts w:asciiTheme="majorBidi" w:hAnsiTheme="majorBidi" w:cstheme="majorBidi"/>
          <w:b/>
          <w:bCs/>
          <w:sz w:val="28"/>
          <w:szCs w:val="28"/>
          <w:rtl/>
        </w:rPr>
        <w:t>دور الإعلام الرقمي</w:t>
      </w:r>
      <w:r w:rsidRPr="00916091">
        <w:rPr>
          <w:rFonts w:asciiTheme="majorBidi" w:hAnsiTheme="majorBidi" w:cstheme="majorBidi"/>
          <w:sz w:val="28"/>
          <w:szCs w:val="28"/>
          <w:lang w:bidi="ar-EG"/>
        </w:rPr>
        <w:t xml:space="preserve">: </w:t>
      </w:r>
      <w:r w:rsidRPr="00916091">
        <w:rPr>
          <w:rFonts w:asciiTheme="majorBidi" w:hAnsiTheme="majorBidi" w:cstheme="majorBidi"/>
          <w:sz w:val="28"/>
          <w:szCs w:val="28"/>
          <w:rtl/>
        </w:rPr>
        <w:t>ركزت بعض الأبحاث على الاتصال الرقمي وأثره في تشكيل الرأي العام تجاه القضايا الصحية (خيرت، 2023) أو تحليل المحتوى الصحي في المنصات التفاعلية (صبرة، 2024)، مما يعكس اهتمامًا متزايدًا بتأثير وسائل الإعلام الحديثة</w:t>
      </w:r>
      <w:r w:rsidRPr="00916091">
        <w:rPr>
          <w:rFonts w:asciiTheme="majorBidi" w:hAnsiTheme="majorBidi" w:cstheme="majorBidi"/>
          <w:sz w:val="28"/>
          <w:szCs w:val="28"/>
          <w:lang w:bidi="ar-EG"/>
        </w:rPr>
        <w:t>.</w:t>
      </w:r>
    </w:p>
    <w:p w14:paraId="4A22D18B" w14:textId="77777777" w:rsidR="00916091" w:rsidRPr="00916091" w:rsidRDefault="00916091" w:rsidP="00916091">
      <w:pPr>
        <w:numPr>
          <w:ilvl w:val="0"/>
          <w:numId w:val="1"/>
        </w:numPr>
        <w:spacing w:line="360" w:lineRule="auto"/>
        <w:jc w:val="both"/>
        <w:rPr>
          <w:rFonts w:asciiTheme="majorBidi" w:hAnsiTheme="majorBidi" w:cstheme="majorBidi"/>
          <w:sz w:val="28"/>
          <w:szCs w:val="28"/>
          <w:lang w:bidi="ar-EG"/>
        </w:rPr>
      </w:pPr>
      <w:r w:rsidRPr="00916091">
        <w:rPr>
          <w:rFonts w:asciiTheme="majorBidi" w:hAnsiTheme="majorBidi" w:cstheme="majorBidi"/>
          <w:b/>
          <w:bCs/>
          <w:sz w:val="28"/>
          <w:szCs w:val="28"/>
          <w:rtl/>
        </w:rPr>
        <w:t>الصحة الوقائية مقابل العلاجية</w:t>
      </w:r>
      <w:r w:rsidRPr="00916091">
        <w:rPr>
          <w:rFonts w:asciiTheme="majorBidi" w:hAnsiTheme="majorBidi" w:cstheme="majorBidi"/>
          <w:sz w:val="28"/>
          <w:szCs w:val="28"/>
          <w:lang w:bidi="ar-EG"/>
        </w:rPr>
        <w:t xml:space="preserve">: </w:t>
      </w:r>
      <w:r w:rsidRPr="00916091">
        <w:rPr>
          <w:rFonts w:asciiTheme="majorBidi" w:hAnsiTheme="majorBidi" w:cstheme="majorBidi"/>
          <w:sz w:val="28"/>
          <w:szCs w:val="28"/>
          <w:rtl/>
        </w:rPr>
        <w:t>بعض الدراسات ركزت على الوقاية والتثقيف الصحي (قلاده، 2025)، بينما تناولت أخرى التعامل مع الأمراض المزمنة بعد الإصابة بها (السلمي وعطية، 2022). هذه المقاربة المتوازنة توفر رؤى حول أهمية التثقيف الصحي في تقليل الأمراض بدلًا من مجرد علاجها</w:t>
      </w:r>
      <w:r w:rsidRPr="00916091">
        <w:rPr>
          <w:rFonts w:asciiTheme="majorBidi" w:hAnsiTheme="majorBidi" w:cstheme="majorBidi"/>
          <w:sz w:val="28"/>
          <w:szCs w:val="28"/>
          <w:lang w:bidi="ar-EG"/>
        </w:rPr>
        <w:t>.</w:t>
      </w:r>
    </w:p>
    <w:p w14:paraId="34CDAFDE" w14:textId="77777777" w:rsidR="00916091" w:rsidRPr="00916091" w:rsidRDefault="00916091" w:rsidP="00916091">
      <w:pPr>
        <w:numPr>
          <w:ilvl w:val="0"/>
          <w:numId w:val="1"/>
        </w:numPr>
        <w:spacing w:line="360" w:lineRule="auto"/>
        <w:jc w:val="both"/>
        <w:rPr>
          <w:rFonts w:asciiTheme="majorBidi" w:hAnsiTheme="majorBidi" w:cstheme="majorBidi"/>
          <w:sz w:val="28"/>
          <w:szCs w:val="28"/>
          <w:lang w:bidi="ar-EG"/>
        </w:rPr>
      </w:pPr>
      <w:r w:rsidRPr="00916091">
        <w:rPr>
          <w:rFonts w:asciiTheme="majorBidi" w:hAnsiTheme="majorBidi" w:cstheme="majorBidi"/>
          <w:b/>
          <w:bCs/>
          <w:sz w:val="28"/>
          <w:szCs w:val="28"/>
          <w:rtl/>
        </w:rPr>
        <w:lastRenderedPageBreak/>
        <w:t>الفئات المستهدفة</w:t>
      </w:r>
      <w:r w:rsidRPr="00916091">
        <w:rPr>
          <w:rFonts w:asciiTheme="majorBidi" w:hAnsiTheme="majorBidi" w:cstheme="majorBidi"/>
          <w:sz w:val="28"/>
          <w:szCs w:val="28"/>
          <w:lang w:bidi="ar-EG"/>
        </w:rPr>
        <w:t xml:space="preserve">: </w:t>
      </w:r>
      <w:r w:rsidRPr="00916091">
        <w:rPr>
          <w:rFonts w:asciiTheme="majorBidi" w:hAnsiTheme="majorBidi" w:cstheme="majorBidi"/>
          <w:sz w:val="28"/>
          <w:szCs w:val="28"/>
          <w:rtl/>
        </w:rPr>
        <w:t>تتناول بعض الدراسات الجمهور العام (محمد وآخرون، 2023)، بينما تركز أخرى على مجموعات محددة مثل المرضى المزمنين (السلمي وعطية، 2022) أو طلاب الجامعة (قلاده، 2025)، مما يعكس تنوع الاهتمام البحثي</w:t>
      </w:r>
      <w:r w:rsidRPr="00916091">
        <w:rPr>
          <w:rFonts w:asciiTheme="majorBidi" w:hAnsiTheme="majorBidi" w:cstheme="majorBidi"/>
          <w:sz w:val="28"/>
          <w:szCs w:val="28"/>
          <w:lang w:bidi="ar-EG"/>
        </w:rPr>
        <w:t>.</w:t>
      </w:r>
    </w:p>
    <w:p w14:paraId="51E0A07A" w14:textId="77777777" w:rsidR="00916091" w:rsidRPr="00916091" w:rsidRDefault="00916091" w:rsidP="00916091">
      <w:pPr>
        <w:numPr>
          <w:ilvl w:val="0"/>
          <w:numId w:val="1"/>
        </w:numPr>
        <w:spacing w:line="360" w:lineRule="auto"/>
        <w:jc w:val="both"/>
        <w:rPr>
          <w:rFonts w:asciiTheme="majorBidi" w:hAnsiTheme="majorBidi" w:cstheme="majorBidi"/>
          <w:sz w:val="28"/>
          <w:szCs w:val="28"/>
          <w:lang w:bidi="ar-EG"/>
        </w:rPr>
      </w:pPr>
      <w:r w:rsidRPr="00916091">
        <w:rPr>
          <w:rFonts w:asciiTheme="majorBidi" w:hAnsiTheme="majorBidi" w:cstheme="majorBidi"/>
          <w:b/>
          <w:bCs/>
          <w:sz w:val="28"/>
          <w:szCs w:val="28"/>
          <w:rtl/>
        </w:rPr>
        <w:t>تأثير الثقافة الصحية</w:t>
      </w:r>
      <w:r w:rsidRPr="00916091">
        <w:rPr>
          <w:rFonts w:asciiTheme="majorBidi" w:hAnsiTheme="majorBidi" w:cstheme="majorBidi"/>
          <w:sz w:val="28"/>
          <w:szCs w:val="28"/>
          <w:lang w:bidi="ar-EG"/>
        </w:rPr>
        <w:t xml:space="preserve">: </w:t>
      </w:r>
      <w:r w:rsidRPr="00916091">
        <w:rPr>
          <w:rFonts w:asciiTheme="majorBidi" w:hAnsiTheme="majorBidi" w:cstheme="majorBidi"/>
          <w:sz w:val="28"/>
          <w:szCs w:val="28"/>
          <w:rtl/>
        </w:rPr>
        <w:t>ركزت دراسة علواني وآخرون (2024) على الثقافة الصحية كعامل أساسي في الوقاية من الأمراض، وهي نقطة تتقاطع مع دراسة قلاده (2025) التي ركزت على التثقيف الغذائي وتأثيره على السلوكيات الصحية</w:t>
      </w:r>
      <w:r w:rsidRPr="00916091">
        <w:rPr>
          <w:rFonts w:asciiTheme="majorBidi" w:hAnsiTheme="majorBidi" w:cstheme="majorBidi"/>
          <w:sz w:val="28"/>
          <w:szCs w:val="28"/>
          <w:lang w:bidi="ar-EG"/>
        </w:rPr>
        <w:t>.</w:t>
      </w:r>
    </w:p>
    <w:p w14:paraId="31795771" w14:textId="77777777" w:rsidR="00916091" w:rsidRPr="00916091" w:rsidRDefault="00916091" w:rsidP="00916091">
      <w:pPr>
        <w:numPr>
          <w:ilvl w:val="0"/>
          <w:numId w:val="1"/>
        </w:numPr>
        <w:spacing w:line="360" w:lineRule="auto"/>
        <w:jc w:val="both"/>
        <w:rPr>
          <w:rFonts w:asciiTheme="majorBidi" w:hAnsiTheme="majorBidi" w:cstheme="majorBidi"/>
          <w:sz w:val="28"/>
          <w:szCs w:val="28"/>
          <w:lang w:bidi="ar-EG"/>
        </w:rPr>
      </w:pPr>
      <w:r w:rsidRPr="00916091">
        <w:rPr>
          <w:rFonts w:asciiTheme="majorBidi" w:hAnsiTheme="majorBidi" w:cstheme="majorBidi"/>
          <w:b/>
          <w:bCs/>
          <w:sz w:val="28"/>
          <w:szCs w:val="28"/>
          <w:rtl/>
        </w:rPr>
        <w:t>المناهج الكمية والنوعية</w:t>
      </w:r>
      <w:r w:rsidRPr="00916091">
        <w:rPr>
          <w:rFonts w:asciiTheme="majorBidi" w:hAnsiTheme="majorBidi" w:cstheme="majorBidi"/>
          <w:sz w:val="28"/>
          <w:szCs w:val="28"/>
          <w:lang w:bidi="ar-EG"/>
        </w:rPr>
        <w:t xml:space="preserve">: </w:t>
      </w:r>
      <w:r w:rsidRPr="00916091">
        <w:rPr>
          <w:rFonts w:asciiTheme="majorBidi" w:hAnsiTheme="majorBidi" w:cstheme="majorBidi"/>
          <w:sz w:val="28"/>
          <w:szCs w:val="28"/>
          <w:rtl/>
        </w:rPr>
        <w:t>تستخدم بعض الأبحاث مناهج تحليلية كمية مثل الاستبانات لقياس اتجاهات الجمهور (محمد وآخرون، 2023)، بينما تعتمد أخرى على مناهج نوعية مثل تحليل السرد أو الدراسات الأنثروبولوجية، مما يظهر التكامل بين أساليب البحث المختلفة</w:t>
      </w:r>
      <w:r w:rsidRPr="00916091">
        <w:rPr>
          <w:rFonts w:asciiTheme="majorBidi" w:hAnsiTheme="majorBidi" w:cstheme="majorBidi"/>
          <w:sz w:val="28"/>
          <w:szCs w:val="28"/>
          <w:lang w:bidi="ar-EG"/>
        </w:rPr>
        <w:t>.</w:t>
      </w:r>
    </w:p>
    <w:p w14:paraId="171C4BD7" w14:textId="77777777" w:rsidR="00916091" w:rsidRPr="00916091" w:rsidRDefault="00916091" w:rsidP="00916091">
      <w:pPr>
        <w:numPr>
          <w:ilvl w:val="0"/>
          <w:numId w:val="1"/>
        </w:numPr>
        <w:spacing w:line="360" w:lineRule="auto"/>
        <w:jc w:val="both"/>
        <w:rPr>
          <w:rFonts w:asciiTheme="majorBidi" w:hAnsiTheme="majorBidi" w:cstheme="majorBidi"/>
          <w:sz w:val="28"/>
          <w:szCs w:val="28"/>
          <w:lang w:bidi="ar-EG"/>
        </w:rPr>
      </w:pPr>
      <w:r w:rsidRPr="00916091">
        <w:rPr>
          <w:rFonts w:asciiTheme="majorBidi" w:hAnsiTheme="majorBidi" w:cstheme="majorBidi"/>
          <w:b/>
          <w:bCs/>
          <w:sz w:val="28"/>
          <w:szCs w:val="28"/>
          <w:rtl/>
        </w:rPr>
        <w:t>ارتباط الدراسات بالسياقات المحلية والدولية</w:t>
      </w:r>
      <w:r w:rsidRPr="00916091">
        <w:rPr>
          <w:rFonts w:asciiTheme="majorBidi" w:hAnsiTheme="majorBidi" w:cstheme="majorBidi"/>
          <w:sz w:val="28"/>
          <w:szCs w:val="28"/>
          <w:lang w:bidi="ar-EG"/>
        </w:rPr>
        <w:t xml:space="preserve">: </w:t>
      </w:r>
      <w:r w:rsidRPr="00916091">
        <w:rPr>
          <w:rFonts w:asciiTheme="majorBidi" w:hAnsiTheme="majorBidi" w:cstheme="majorBidi"/>
          <w:sz w:val="28"/>
          <w:szCs w:val="28"/>
          <w:rtl/>
        </w:rPr>
        <w:t>بعض الدراسات تركز على مجتمعات معينة مثل مصر (محمد وآخرون، 2023) أو السعودية (السلمي وعطية، 2022)، مما يوضح التفاوت في القضايا الصحية بين البلدان وأهمية دراسة هذه الفروق</w:t>
      </w:r>
      <w:r w:rsidRPr="00916091">
        <w:rPr>
          <w:rFonts w:asciiTheme="majorBidi" w:hAnsiTheme="majorBidi" w:cstheme="majorBidi"/>
          <w:sz w:val="28"/>
          <w:szCs w:val="28"/>
          <w:lang w:bidi="ar-EG"/>
        </w:rPr>
        <w:t>.</w:t>
      </w:r>
    </w:p>
    <w:p w14:paraId="33963D04" w14:textId="77777777" w:rsidR="00916091" w:rsidRPr="00916091" w:rsidRDefault="00916091" w:rsidP="00916091">
      <w:pPr>
        <w:numPr>
          <w:ilvl w:val="0"/>
          <w:numId w:val="1"/>
        </w:numPr>
        <w:spacing w:line="360" w:lineRule="auto"/>
        <w:jc w:val="both"/>
        <w:rPr>
          <w:rFonts w:asciiTheme="majorBidi" w:hAnsiTheme="majorBidi" w:cstheme="majorBidi"/>
          <w:sz w:val="28"/>
          <w:szCs w:val="28"/>
          <w:lang w:bidi="ar-EG"/>
        </w:rPr>
      </w:pPr>
      <w:r w:rsidRPr="00916091">
        <w:rPr>
          <w:rFonts w:asciiTheme="majorBidi" w:hAnsiTheme="majorBidi" w:cstheme="majorBidi"/>
          <w:b/>
          <w:bCs/>
          <w:sz w:val="28"/>
          <w:szCs w:val="28"/>
          <w:rtl/>
        </w:rPr>
        <w:t>انعكاسات عملية وتوصيات</w:t>
      </w:r>
      <w:r w:rsidRPr="00916091">
        <w:rPr>
          <w:rFonts w:asciiTheme="majorBidi" w:hAnsiTheme="majorBidi" w:cstheme="majorBidi"/>
          <w:sz w:val="28"/>
          <w:szCs w:val="28"/>
          <w:lang w:bidi="ar-EG"/>
        </w:rPr>
        <w:t xml:space="preserve">: </w:t>
      </w:r>
      <w:r w:rsidRPr="00916091">
        <w:rPr>
          <w:rFonts w:asciiTheme="majorBidi" w:hAnsiTheme="majorBidi" w:cstheme="majorBidi"/>
          <w:sz w:val="28"/>
          <w:szCs w:val="28"/>
          <w:rtl/>
        </w:rPr>
        <w:t>تقدم بعض الأبحاث توصيات مباشرة مثل تعزيز دور الحسابات الصحية على وسائل التواصل الاجتماعي (محمد وآخرون، 2023) أو تطوير برامج تثقيفية (قلاده، 2025)، مما يعزز الفائدة التطبيقية لهذه الدراسات</w:t>
      </w:r>
      <w:r w:rsidRPr="00916091">
        <w:rPr>
          <w:rFonts w:asciiTheme="majorBidi" w:hAnsiTheme="majorBidi" w:cstheme="majorBidi"/>
          <w:sz w:val="28"/>
          <w:szCs w:val="28"/>
          <w:lang w:bidi="ar-EG"/>
        </w:rPr>
        <w:t>.</w:t>
      </w:r>
    </w:p>
    <w:p w14:paraId="29B66588" w14:textId="77777777" w:rsidR="00916091" w:rsidRPr="00916091" w:rsidRDefault="00916091" w:rsidP="00916091">
      <w:pPr>
        <w:spacing w:line="360" w:lineRule="auto"/>
        <w:jc w:val="both"/>
        <w:rPr>
          <w:rFonts w:asciiTheme="majorBidi" w:hAnsiTheme="majorBidi" w:cstheme="majorBidi"/>
          <w:b/>
          <w:bCs/>
          <w:sz w:val="32"/>
          <w:szCs w:val="32"/>
          <w:rtl/>
          <w:lang w:bidi="ar-EG"/>
        </w:rPr>
      </w:pPr>
      <w:r w:rsidRPr="00916091">
        <w:rPr>
          <w:rFonts w:asciiTheme="majorBidi" w:hAnsiTheme="majorBidi" w:cstheme="majorBidi"/>
          <w:b/>
          <w:bCs/>
          <w:sz w:val="28"/>
          <w:szCs w:val="28"/>
          <w:rtl/>
        </w:rPr>
        <w:t>أهمية هذه الدراسات للمجتمع</w:t>
      </w:r>
      <w:r w:rsidRPr="00916091">
        <w:rPr>
          <w:rFonts w:asciiTheme="majorBidi" w:hAnsiTheme="majorBidi" w:cstheme="majorBidi"/>
          <w:sz w:val="28"/>
          <w:szCs w:val="28"/>
          <w:lang w:bidi="ar-EG"/>
        </w:rPr>
        <w:t xml:space="preserve">: </w:t>
      </w:r>
      <w:r w:rsidRPr="00916091">
        <w:rPr>
          <w:rFonts w:asciiTheme="majorBidi" w:hAnsiTheme="majorBidi" w:cstheme="majorBidi"/>
          <w:sz w:val="28"/>
          <w:szCs w:val="28"/>
          <w:rtl/>
        </w:rPr>
        <w:t>تسلط هذه الأبحاث الضوء على ضرورة تعزيز الوعي الصحي، ودور الإعلام والتكنولوجيا في نشر المعلومات الصحية، مما يساعد في الحد من الأمراض المزمنة وتحسين جودة الحياة للأفراد</w:t>
      </w:r>
      <w:r w:rsidRPr="00916091">
        <w:rPr>
          <w:rFonts w:asciiTheme="majorBidi" w:hAnsiTheme="majorBidi" w:cstheme="majorBidi"/>
          <w:b/>
          <w:bCs/>
          <w:sz w:val="32"/>
          <w:szCs w:val="32"/>
          <w:rtl/>
          <w:lang w:bidi="ar-EG"/>
        </w:rPr>
        <w:t xml:space="preserve"> </w:t>
      </w:r>
    </w:p>
    <w:p w14:paraId="1D178FA6" w14:textId="77777777" w:rsidR="006256DE" w:rsidRPr="00916091" w:rsidRDefault="006256DE" w:rsidP="006256DE">
      <w:pPr>
        <w:spacing w:line="360" w:lineRule="auto"/>
        <w:jc w:val="both"/>
        <w:rPr>
          <w:rFonts w:asciiTheme="majorBidi" w:hAnsiTheme="majorBidi" w:cstheme="majorBidi"/>
          <w:sz w:val="28"/>
          <w:szCs w:val="28"/>
          <w:rtl/>
          <w:lang w:bidi="ar-EG"/>
        </w:rPr>
      </w:pPr>
    </w:p>
    <w:p w14:paraId="046BC48E" w14:textId="77777777" w:rsidR="00916091" w:rsidRPr="00916091" w:rsidRDefault="00916091" w:rsidP="006256DE">
      <w:pPr>
        <w:spacing w:line="360" w:lineRule="auto"/>
        <w:jc w:val="both"/>
        <w:rPr>
          <w:rFonts w:asciiTheme="majorBidi" w:hAnsiTheme="majorBidi" w:cstheme="majorBidi"/>
          <w:sz w:val="28"/>
          <w:szCs w:val="28"/>
          <w:rtl/>
          <w:lang w:bidi="ar-EG"/>
        </w:rPr>
      </w:pPr>
    </w:p>
    <w:p w14:paraId="794E1DF0" w14:textId="77777777" w:rsidR="00916091" w:rsidRDefault="00916091" w:rsidP="006256DE">
      <w:pPr>
        <w:spacing w:line="360" w:lineRule="auto"/>
        <w:jc w:val="both"/>
        <w:rPr>
          <w:rFonts w:asciiTheme="majorBidi" w:hAnsiTheme="majorBidi" w:cstheme="majorBidi"/>
          <w:sz w:val="28"/>
          <w:szCs w:val="28"/>
          <w:rtl/>
          <w:lang w:bidi="ar-EG"/>
        </w:rPr>
      </w:pPr>
    </w:p>
    <w:p w14:paraId="766B95DC" w14:textId="77777777" w:rsidR="00916091" w:rsidRDefault="00916091" w:rsidP="006256DE">
      <w:pPr>
        <w:spacing w:line="360" w:lineRule="auto"/>
        <w:jc w:val="both"/>
        <w:rPr>
          <w:rFonts w:asciiTheme="majorBidi" w:hAnsiTheme="majorBidi" w:cstheme="majorBidi"/>
          <w:sz w:val="28"/>
          <w:szCs w:val="28"/>
          <w:rtl/>
          <w:lang w:bidi="ar-EG"/>
        </w:rPr>
      </w:pPr>
    </w:p>
    <w:p w14:paraId="78849A86" w14:textId="77777777" w:rsidR="006256DE" w:rsidRDefault="006256DE" w:rsidP="006256DE">
      <w:pPr>
        <w:spacing w:line="360" w:lineRule="auto"/>
        <w:jc w:val="both"/>
        <w:rPr>
          <w:rFonts w:asciiTheme="majorBidi" w:hAnsiTheme="majorBidi" w:cstheme="majorBidi"/>
          <w:sz w:val="28"/>
          <w:szCs w:val="28"/>
          <w:rtl/>
          <w:lang w:bidi="ar-EG"/>
        </w:rPr>
      </w:pPr>
    </w:p>
    <w:p w14:paraId="49E8CA0F" w14:textId="77777777" w:rsidR="006256DE" w:rsidRDefault="006256DE" w:rsidP="006256DE">
      <w:pPr>
        <w:spacing w:line="360" w:lineRule="auto"/>
        <w:jc w:val="both"/>
        <w:rPr>
          <w:rFonts w:asciiTheme="majorBidi" w:hAnsiTheme="majorBidi" w:cstheme="majorBidi"/>
          <w:sz w:val="28"/>
          <w:szCs w:val="28"/>
          <w:rtl/>
          <w:lang w:bidi="ar-EG"/>
        </w:rPr>
      </w:pPr>
    </w:p>
    <w:p w14:paraId="2A0F6A45" w14:textId="77777777" w:rsidR="002F27E9" w:rsidRPr="005D2EB9" w:rsidRDefault="002F27E9" w:rsidP="002F27E9">
      <w:pPr>
        <w:spacing w:line="360" w:lineRule="auto"/>
        <w:rPr>
          <w:rFonts w:asciiTheme="majorBidi" w:hAnsiTheme="majorBidi" w:cstheme="majorBidi"/>
          <w:b/>
          <w:bCs/>
          <w:sz w:val="32"/>
          <w:szCs w:val="32"/>
          <w:rtl/>
        </w:rPr>
      </w:pPr>
      <w:r w:rsidRPr="005D2EB9">
        <w:rPr>
          <w:rFonts w:asciiTheme="majorBidi" w:hAnsiTheme="majorBidi" w:cstheme="majorBidi"/>
          <w:b/>
          <w:bCs/>
          <w:sz w:val="32"/>
          <w:szCs w:val="32"/>
          <w:rtl/>
        </w:rPr>
        <w:t>المبحث الأول: الإعلام الرقمي ومفاهيمه</w:t>
      </w:r>
    </w:p>
    <w:p w14:paraId="2C6CA246" w14:textId="77777777" w:rsidR="002F27E9" w:rsidRPr="005D2EB9" w:rsidRDefault="002F27E9" w:rsidP="002F27E9">
      <w:pPr>
        <w:spacing w:line="360" w:lineRule="auto"/>
        <w:rPr>
          <w:rFonts w:asciiTheme="majorBidi" w:hAnsiTheme="majorBidi" w:cstheme="majorBidi"/>
          <w:b/>
          <w:bCs/>
          <w:sz w:val="28"/>
          <w:szCs w:val="28"/>
          <w:rtl/>
        </w:rPr>
      </w:pPr>
      <w:r w:rsidRPr="005D2EB9">
        <w:rPr>
          <w:rFonts w:asciiTheme="majorBidi" w:hAnsiTheme="majorBidi" w:cstheme="majorBidi"/>
          <w:b/>
          <w:bCs/>
          <w:sz w:val="28"/>
          <w:szCs w:val="28"/>
          <w:rtl/>
        </w:rPr>
        <w:t>تمهيد:</w:t>
      </w:r>
    </w:p>
    <w:p w14:paraId="5E9A1CA9" w14:textId="77777777" w:rsidR="002F27E9" w:rsidRPr="005D2EB9" w:rsidRDefault="002F27E9" w:rsidP="002F27E9">
      <w:pPr>
        <w:spacing w:line="360" w:lineRule="auto"/>
        <w:rPr>
          <w:rFonts w:asciiTheme="majorBidi" w:hAnsiTheme="majorBidi" w:cstheme="majorBidi"/>
          <w:sz w:val="28"/>
          <w:szCs w:val="28"/>
          <w:rtl/>
        </w:rPr>
      </w:pPr>
      <w:r w:rsidRPr="005D2EB9">
        <w:rPr>
          <w:rFonts w:asciiTheme="majorBidi" w:hAnsiTheme="majorBidi" w:cstheme="majorBidi"/>
          <w:sz w:val="28"/>
          <w:szCs w:val="28"/>
          <w:rtl/>
        </w:rPr>
        <w:t xml:space="preserve">شهد العالم في العقود الأخيرة ثورة تكنولوجية غير مسبوقة، انعكست بشكل مباشر على طبيعة وسائل الإعلام وتواصل الإنسان مع محيطه الاجتماعي والثقافي. ومن بين أبرز هذه التطورات، الإعلام الرقمي الذي تحول إلى ظاهرة مؤثرة وعميقة في بنية المجتمعات الحديثة، وأعاد تشكيل مفهوم الإعلام التقليدي من حيث الشكل والمضمون والوسائط المستخدمة. والإعلام الرقمي، الذي يقوم على استخدام التكنولوجيا الرقمية في إنتاج المحتوى الإعلامي، وتوزيعه، وتلقيه، لم يعد مجرد قناة لنقل الأخبار أو الترفيه، بل أصبح أداة فاعلة في بناء الوعي، وتشكيل الرأي العام، وتحفيز التغيير الاجتماعي والثقافي. </w:t>
      </w:r>
    </w:p>
    <w:p w14:paraId="594A794D" w14:textId="77777777" w:rsidR="002F27E9" w:rsidRPr="005D2EB9" w:rsidRDefault="002F27E9" w:rsidP="002F27E9">
      <w:pPr>
        <w:spacing w:line="360" w:lineRule="auto"/>
        <w:rPr>
          <w:rFonts w:asciiTheme="majorBidi" w:hAnsiTheme="majorBidi" w:cstheme="majorBidi"/>
          <w:sz w:val="28"/>
          <w:szCs w:val="28"/>
        </w:rPr>
      </w:pPr>
      <w:r w:rsidRPr="005D2EB9">
        <w:rPr>
          <w:rFonts w:asciiTheme="majorBidi" w:hAnsiTheme="majorBidi" w:cstheme="majorBidi"/>
          <w:sz w:val="28"/>
          <w:szCs w:val="28"/>
          <w:rtl/>
        </w:rPr>
        <w:t>وفي هذا التمهيد سنقوم بتناول مفهوم الإعلام الرقمي، وتطوره، وأهميته في العصر الحديث، مع إبراز مميزاته التي تميزه عن الإعلام التقليدي؛ مما يمهد الطريق لفهم دوره في مجالات عدة، خاصة في التوعية الصحية</w:t>
      </w:r>
      <w:r w:rsidRPr="005D2EB9">
        <w:rPr>
          <w:rFonts w:asciiTheme="majorBidi" w:hAnsiTheme="majorBidi" w:cstheme="majorBidi"/>
          <w:sz w:val="28"/>
          <w:szCs w:val="28"/>
        </w:rPr>
        <w:t>.</w:t>
      </w:r>
    </w:p>
    <w:p w14:paraId="191C6D1F" w14:textId="77777777" w:rsidR="002F27E9" w:rsidRPr="005D2EB9" w:rsidRDefault="002F27E9" w:rsidP="002F27E9">
      <w:pPr>
        <w:spacing w:line="360" w:lineRule="auto"/>
        <w:rPr>
          <w:rFonts w:asciiTheme="majorBidi" w:hAnsiTheme="majorBidi" w:cstheme="majorBidi"/>
          <w:sz w:val="28"/>
          <w:szCs w:val="28"/>
        </w:rPr>
      </w:pPr>
      <w:r w:rsidRPr="005D2EB9">
        <w:rPr>
          <w:rFonts w:asciiTheme="majorBidi" w:hAnsiTheme="majorBidi" w:cstheme="majorBidi"/>
          <w:sz w:val="28"/>
          <w:szCs w:val="28"/>
          <w:rtl/>
        </w:rPr>
        <w:t>يمكن تعريف الإعلام الرقمي بأنه كل ما يتعلق باستخدام الوسائل الرقمية الإلكترونية لنقل المحتوى الإعلامي، سواء كان ذلك عبر الإنترنت، أو عبر الهواتف الذكية، أو عبر التطبيقات الرقمية المختلفة، وهو يشمل المنصات الاجتماعية، المواقع الإخبارية الرقمية، البودكاست، الفيديوهات التفاعلية، وغيرها من الأشكال التي تعتمد على التكنولوجيا الرقمية. ويأتي هذا الإعلام كنتيجة طبيعية لتطور الشبكات الرقمية العالمية التي تربط بين الناس، مما جعل الوصول إلى المعلومات سهلاً وسريعاً، وأتاح للجمهور المشاركة في صناعة المحتوى، والتفاعل معه بشكل مباشر، بخلاف الإعلام التقليدي الذي كان يعتمد على قنوات بث أحادية الاتجاه. (شلابي وآخرون، 2021)</w:t>
      </w:r>
    </w:p>
    <w:p w14:paraId="7292F22F" w14:textId="77777777" w:rsidR="002F27E9" w:rsidRPr="005D2EB9" w:rsidRDefault="002F27E9" w:rsidP="002F27E9">
      <w:pPr>
        <w:spacing w:line="360" w:lineRule="auto"/>
        <w:rPr>
          <w:rFonts w:asciiTheme="majorBidi" w:hAnsiTheme="majorBidi" w:cstheme="majorBidi"/>
          <w:sz w:val="28"/>
          <w:szCs w:val="28"/>
        </w:rPr>
      </w:pPr>
      <w:r w:rsidRPr="005D2EB9">
        <w:rPr>
          <w:rFonts w:asciiTheme="majorBidi" w:hAnsiTheme="majorBidi" w:cstheme="majorBidi"/>
          <w:sz w:val="28"/>
          <w:szCs w:val="28"/>
          <w:rtl/>
        </w:rPr>
        <w:t xml:space="preserve">تنبع أهمية الإعلام الرقمي من قدرته على تجاوز الحواجز الجغرافية والزمنية، ما يجعل الرسائل الإعلامية تصل إلى جمهور واسع ومتنوع في آن واحد. فبفضل التكنولوجيا الرقمية، صار بالإمكان نشر المحتوى على نطاق عالمي في لحظات معدودة، مع إمكانية التفاعل الفوري عبر التعليقات والمشاركات، وهو ما أعطى للإعلام الرقمي بعداً اجتماعياً جديداً يعزز من الحوار والمشاركة المجتمعية. كما أن الإعلام الرقمي يتميز بتكلفته المنخفضة نسبياً مقارنة بالإعلام التقليدي، مما فتح المجال أمام مزيد من الأفراد والمؤسسات الصغيرة </w:t>
      </w:r>
      <w:r w:rsidRPr="005D2EB9">
        <w:rPr>
          <w:rFonts w:asciiTheme="majorBidi" w:hAnsiTheme="majorBidi" w:cstheme="majorBidi"/>
          <w:sz w:val="28"/>
          <w:szCs w:val="28"/>
          <w:rtl/>
        </w:rPr>
        <w:lastRenderedPageBreak/>
        <w:t>لإنتاج المحتوى الإعلامي، وتوصيل رسائلهم إلى جمهور محدد بدقة عبر أدوات الاستهداف المتقدمة (حسانين وآخرون، 2021)</w:t>
      </w:r>
      <w:r w:rsidRPr="005D2EB9">
        <w:rPr>
          <w:rFonts w:asciiTheme="majorBidi" w:hAnsiTheme="majorBidi" w:cstheme="majorBidi"/>
          <w:sz w:val="28"/>
          <w:szCs w:val="28"/>
        </w:rPr>
        <w:t>.</w:t>
      </w:r>
    </w:p>
    <w:p w14:paraId="0A61F08F" w14:textId="77777777" w:rsidR="002F27E9" w:rsidRPr="005D2EB9" w:rsidRDefault="002F27E9" w:rsidP="002F27E9">
      <w:pPr>
        <w:spacing w:line="360" w:lineRule="auto"/>
        <w:rPr>
          <w:rFonts w:asciiTheme="majorBidi" w:hAnsiTheme="majorBidi" w:cstheme="majorBidi"/>
          <w:sz w:val="28"/>
          <w:szCs w:val="28"/>
        </w:rPr>
      </w:pPr>
      <w:r w:rsidRPr="005D2EB9">
        <w:rPr>
          <w:rFonts w:asciiTheme="majorBidi" w:hAnsiTheme="majorBidi" w:cstheme="majorBidi"/>
          <w:sz w:val="28"/>
          <w:szCs w:val="28"/>
          <w:rtl/>
        </w:rPr>
        <w:t>بالإضافة إلى ذلك، يقدم الإعلام الرقمي مجموعة من الخصائص التقنية التي تعزز من كفاءته الإعلامية، مثل التفاعلية، حيث يمكن للمستخدم أن يشارك في صناعة المحتوى، أو التعبير عن رأيه، أو طلب المزيد من المعلومات، وهو ما يخلق علاقة ديناميكية بين المرسل والمتلقي. كما أن الإعلام الرقمي يمتاز بالمرونة في التحديث والتعديل، حيث يمكن تعديل المحتوى بشكل سريع وفق الحاجة أو تطور الأحداث، مما يجعله أكثر قدرة على التكيف مع متغيرات الواقع مقارنة بالإعلام التقليدي. هذه الخصائص جعلت الإعلام الرقمي أداة لا غنى عنها في مجالات عديدة، خاصة في التوعية الصحية، التي تتطلب سرعة انتشار المعلومات، ومواءمة الرسائل لاحتياجات الجمهور المتغيرة</w:t>
      </w:r>
      <w:r w:rsidRPr="005D2EB9">
        <w:rPr>
          <w:rFonts w:asciiTheme="majorBidi" w:hAnsiTheme="majorBidi" w:cstheme="majorBidi"/>
          <w:sz w:val="28"/>
          <w:szCs w:val="28"/>
        </w:rPr>
        <w:t>.</w:t>
      </w:r>
    </w:p>
    <w:p w14:paraId="6A565E9C" w14:textId="77777777" w:rsidR="002F27E9" w:rsidRPr="005D2EB9" w:rsidRDefault="002F27E9" w:rsidP="002F27E9">
      <w:pPr>
        <w:spacing w:line="360" w:lineRule="auto"/>
        <w:rPr>
          <w:rFonts w:asciiTheme="majorBidi" w:hAnsiTheme="majorBidi" w:cstheme="majorBidi"/>
          <w:sz w:val="28"/>
          <w:szCs w:val="28"/>
        </w:rPr>
      </w:pPr>
      <w:r w:rsidRPr="005D2EB9">
        <w:rPr>
          <w:rFonts w:asciiTheme="majorBidi" w:hAnsiTheme="majorBidi" w:cstheme="majorBidi"/>
          <w:sz w:val="28"/>
          <w:szCs w:val="28"/>
          <w:rtl/>
        </w:rPr>
        <w:t>تجدر الإشارة إلى أن الإعلام الرقمي لم يقتصر على نقل الأخبار والمعلومات فحسب، بل تحول إلى منصة متكاملة تجمع بين الترفيه والتعليم والتثقيف، ما يعزز من فاعليته في التأثير على الجمهور. فقد أصبحت منصات مثل يوتيوب، وإنستغرام، وتويتر، وفيسبوك، جزءًا لا يتجزأ من الحياة اليومية للكثيرين، حيث يتلقون المعلومات، ويتفاعلون مع المحتوى، ويتبادلون الأفكار والآراء. وفي المجال الصحي، يمكن استثمار هذه المنصات لنشر التوعية حول الأمراض، وتحفيز السلوكيات الصحية الإيجابية، وتعزيز الدعم النفسي والاجتماعي للمرضى، وهو ما يؤكده عدد من الدراسات التي تربط بين فعالية الإعلام الرقمي وانتشاره الواسع وبين نجاح حملات التوعية (شلابي وآخرون، 2021)</w:t>
      </w:r>
      <w:r w:rsidRPr="005D2EB9">
        <w:rPr>
          <w:rFonts w:asciiTheme="majorBidi" w:hAnsiTheme="majorBidi" w:cstheme="majorBidi"/>
          <w:sz w:val="28"/>
          <w:szCs w:val="28"/>
        </w:rPr>
        <w:t>.</w:t>
      </w:r>
    </w:p>
    <w:p w14:paraId="0E787D83" w14:textId="77777777" w:rsidR="002F27E9" w:rsidRPr="005D2EB9" w:rsidRDefault="002F27E9" w:rsidP="002F27E9">
      <w:pPr>
        <w:spacing w:line="360" w:lineRule="auto"/>
        <w:rPr>
          <w:rFonts w:asciiTheme="majorBidi" w:hAnsiTheme="majorBidi" w:cstheme="majorBidi"/>
          <w:sz w:val="28"/>
          <w:szCs w:val="28"/>
        </w:rPr>
      </w:pPr>
      <w:r w:rsidRPr="005D2EB9">
        <w:rPr>
          <w:rFonts w:asciiTheme="majorBidi" w:hAnsiTheme="majorBidi" w:cstheme="majorBidi"/>
          <w:sz w:val="28"/>
          <w:szCs w:val="28"/>
          <w:rtl/>
        </w:rPr>
        <w:t>مع ذلك، لا يخلو الإعلام الرقمي من تحديات، منها ما يتعلق بمصداقية المعلومات، وانتشار الأخبار الكاذبة أو المضللة، التي قد تؤدي إلى نتائج صحية سلبية، خاصة في مجالات مثل التوعية الصحية التي تعتمد على دقة المعلومات وموثوقيتها. ولذلك، فإن تطوير الإعلام الرقمي يتطلب بناءَ نظام رقابي فعال، وتعزيز ثقافة التحقق من المعلومات لدى المستخدمين، بالإضافة إلى تشجيع المحتوى الرقمي الصحي الجيد من خلال دعم المؤسسات والكوادر المتخصصة. وهذه التحديات تؤكد على ضرورة تبني استراتيجية متكاملة تشمل التعليم، والقوانين، والتكنولوجيا لضمان استخدام الإعلام الرقمي كأداة إيجابية للتغيير</w:t>
      </w:r>
      <w:r w:rsidRPr="005D2EB9">
        <w:rPr>
          <w:rFonts w:asciiTheme="majorBidi" w:hAnsiTheme="majorBidi" w:cstheme="majorBidi"/>
          <w:sz w:val="28"/>
          <w:szCs w:val="28"/>
        </w:rPr>
        <w:t>.</w:t>
      </w:r>
    </w:p>
    <w:p w14:paraId="3F73C137" w14:textId="77777777" w:rsidR="002F27E9" w:rsidRPr="005D2EB9" w:rsidRDefault="002F27E9" w:rsidP="002F27E9">
      <w:pPr>
        <w:spacing w:line="360" w:lineRule="auto"/>
        <w:rPr>
          <w:rFonts w:asciiTheme="majorBidi" w:hAnsiTheme="majorBidi" w:cstheme="majorBidi"/>
          <w:sz w:val="28"/>
          <w:szCs w:val="28"/>
        </w:rPr>
      </w:pPr>
      <w:r w:rsidRPr="005D2EB9">
        <w:rPr>
          <w:rFonts w:asciiTheme="majorBidi" w:hAnsiTheme="majorBidi" w:cstheme="majorBidi"/>
          <w:sz w:val="28"/>
          <w:szCs w:val="28"/>
          <w:rtl/>
        </w:rPr>
        <w:t xml:space="preserve">وفي سياق الإعلام الرقمي، تظهر أهمية مفهوم الإعلام التفاعلي، حيث لم يعد الجمهور متلقياً سلبياً، بل أصبح مشاركاً فاعلاً في صناعة المحتوى الإعلامي، ومن ثم في تشكيل الرأي العام. هذه المشاركة تدعم مفهوم الإعلام المجتمعي، الذي يشجع على التعبير الحر عن الآراء، ويخلق شبكات اجتماعية افتراضية تجمع بين </w:t>
      </w:r>
      <w:r w:rsidRPr="005D2EB9">
        <w:rPr>
          <w:rFonts w:asciiTheme="majorBidi" w:hAnsiTheme="majorBidi" w:cstheme="majorBidi"/>
          <w:sz w:val="28"/>
          <w:szCs w:val="28"/>
          <w:rtl/>
        </w:rPr>
        <w:lastRenderedPageBreak/>
        <w:t>الأفراد على أسس من الاهتمام المشترك، مثل التوعية الصحية. كما أن الإعلام الرقمي يتيح التخصيص، حيث يمكن توجيه الرسائل وفقاً للخصائص الديموغرافية والنفسية للمستهدفين، مما يزيد من احتمالية تأثير الرسالة وتحقيق الهدف المرجو منها</w:t>
      </w:r>
      <w:r w:rsidRPr="005D2EB9">
        <w:rPr>
          <w:rFonts w:asciiTheme="majorBidi" w:hAnsiTheme="majorBidi" w:cstheme="majorBidi"/>
          <w:sz w:val="28"/>
          <w:szCs w:val="28"/>
        </w:rPr>
        <w:t>.</w:t>
      </w:r>
    </w:p>
    <w:p w14:paraId="56C81E6A" w14:textId="77777777" w:rsidR="002F27E9" w:rsidRPr="005D2EB9" w:rsidRDefault="002F27E9" w:rsidP="002F27E9">
      <w:pPr>
        <w:spacing w:line="360" w:lineRule="auto"/>
        <w:rPr>
          <w:rFonts w:asciiTheme="majorBidi" w:hAnsiTheme="majorBidi" w:cstheme="majorBidi"/>
          <w:sz w:val="28"/>
          <w:szCs w:val="28"/>
        </w:rPr>
      </w:pPr>
      <w:r w:rsidRPr="005D2EB9">
        <w:rPr>
          <w:rFonts w:asciiTheme="majorBidi" w:hAnsiTheme="majorBidi" w:cstheme="majorBidi"/>
          <w:sz w:val="28"/>
          <w:szCs w:val="28"/>
          <w:rtl/>
        </w:rPr>
        <w:t>ولذلك، فإن دراسة الإعلام الرقمي ومفاهيمه تعد خطوة أساسية لفهم كيف يمكن استخدام هذه الوسائل في مجالات محددة، ومنها مجال التوعية الصحية بالأمراض العصبية المزمنة. فهذه الأمراض التي تتسم بالتعقيد والحساسية تتطلب أدوات إعلامية متطورة، قادرة على الوصول إلى مختلف فئات المجتمع، وتبسيط المعلومات العلمية، وكسر الحواجز الاجتماعية والثقافية التي تحول دون التفاعل الإيجابي معها. ومن هنا، يأتي دور الإعلام الرقمي ليس فقط كمزود للمعلومات، بل كمنصة تربوية وتوعوية ديناميكية، تساعد في بناء مجتمع صحي واعٍ، قادر على مواجهة التحديات الصحية المعاصرة</w:t>
      </w:r>
      <w:r w:rsidRPr="005D2EB9">
        <w:rPr>
          <w:rFonts w:asciiTheme="majorBidi" w:hAnsiTheme="majorBidi" w:cstheme="majorBidi"/>
          <w:sz w:val="28"/>
          <w:szCs w:val="28"/>
        </w:rPr>
        <w:t>.</w:t>
      </w:r>
    </w:p>
    <w:p w14:paraId="5643B4A1" w14:textId="77777777" w:rsidR="002F27E9" w:rsidRPr="005D2EB9" w:rsidRDefault="002F27E9" w:rsidP="002F27E9">
      <w:pPr>
        <w:spacing w:line="360" w:lineRule="auto"/>
        <w:rPr>
          <w:rFonts w:asciiTheme="majorBidi" w:hAnsiTheme="majorBidi" w:cstheme="majorBidi"/>
          <w:sz w:val="28"/>
          <w:szCs w:val="28"/>
          <w:rtl/>
        </w:rPr>
      </w:pPr>
      <w:r w:rsidRPr="005D2EB9">
        <w:rPr>
          <w:rFonts w:asciiTheme="majorBidi" w:hAnsiTheme="majorBidi" w:cstheme="majorBidi"/>
          <w:sz w:val="28"/>
          <w:szCs w:val="28"/>
          <w:shd w:val="clear" w:color="auto" w:fill="F2CEED" w:themeFill="accent5" w:themeFillTint="33"/>
          <w:rtl/>
        </w:rPr>
        <w:t>رؤية الباحثة:</w:t>
      </w:r>
      <w:r w:rsidRPr="005D2EB9">
        <w:rPr>
          <w:rFonts w:asciiTheme="majorBidi" w:hAnsiTheme="majorBidi" w:cstheme="majorBidi"/>
          <w:sz w:val="28"/>
          <w:szCs w:val="28"/>
          <w:rtl/>
        </w:rPr>
        <w:t xml:space="preserve"> حيث يمثل الإعلام الرقمي ظاهرة متجددة تؤثر في كل مناحي الحياة، ومع استمرار تطوره التقني والاجتماعي، فإنه سيظل أداة محورية في نقل المعرفة، وتشكيل السلوكيات، وبناء الوعي المجتمعي، وهو ما يتطلب منا دراسته وفهمه بعمق، لتوظيفه بشكل فعال في خدمة الأهداف الصحية، والإنسانية، والاجتماعية. وبذلك فإن المبحث الأول من هذا البحث يسلط الضوء على مفاهيم الإعلام الرقمي، وأدواره المتعددة، التي تُشكّل الأساس لبقية المباحث التي تتناول الإعلام الرقمي ودوره في التوعية الصحية بالأمراض العصبية في السعودية</w:t>
      </w:r>
      <w:r w:rsidRPr="005D2EB9">
        <w:rPr>
          <w:rFonts w:asciiTheme="majorBidi" w:hAnsiTheme="majorBidi" w:cstheme="majorBidi"/>
          <w:sz w:val="28"/>
          <w:szCs w:val="28"/>
        </w:rPr>
        <w:t>.</w:t>
      </w:r>
    </w:p>
    <w:p w14:paraId="44607DD6" w14:textId="77777777" w:rsidR="005D2EB9" w:rsidRPr="00E154C9" w:rsidRDefault="005D2EB9" w:rsidP="005D2EB9">
      <w:pPr>
        <w:spacing w:line="360" w:lineRule="auto"/>
        <w:rPr>
          <w:rFonts w:asciiTheme="majorBidi" w:hAnsiTheme="majorBidi" w:cstheme="majorBidi"/>
          <w:sz w:val="28"/>
          <w:szCs w:val="28"/>
        </w:rPr>
      </w:pPr>
      <w:r w:rsidRPr="005D2EB9">
        <w:rPr>
          <w:rFonts w:asciiTheme="majorBidi" w:hAnsiTheme="majorBidi" w:cstheme="majorBidi"/>
          <w:b/>
          <w:bCs/>
          <w:sz w:val="28"/>
          <w:szCs w:val="28"/>
          <w:rtl/>
        </w:rPr>
        <w:t>المطلب الاول: تعريف الإعلام الرقمي وتطوره</w:t>
      </w:r>
      <w:r w:rsidRPr="005D2EB9">
        <w:rPr>
          <w:rFonts w:asciiTheme="majorBidi" w:hAnsiTheme="majorBidi" w:cstheme="majorBidi"/>
          <w:sz w:val="28"/>
          <w:szCs w:val="28"/>
          <w:rtl/>
        </w:rPr>
        <w:br/>
        <w:t>يُعد الإعلام الرقمي أحد أبرز التحولات التي شهدها العصر الحديث في مجال الاتصال ونقل المعلومات، فقد نقل الإعلام من نمط تقليدي يعتمد على البث أحادي الاتجاه إلى بيئة تفاعلية مفتوحة تسمح بتبادل المعلومات والتأثير المتبادل بين المرسل والمستقبل. ويمكن تعريف الإعلام الرقمي بأنه “نمط من أنماط الاتصال يتم عبر الوسائط الإلكترونية المعتمدة على تقنيات الإنترنت، حيث تُمكّن المستخدمين من إنتاج المحتوى ونشره والتفاعل معه بصورة فورية” (عبدالحي، 2020)</w:t>
      </w:r>
      <w:r w:rsidRPr="005D2EB9">
        <w:rPr>
          <w:rFonts w:asciiTheme="majorBidi" w:hAnsiTheme="majorBidi" w:cstheme="majorBidi"/>
          <w:sz w:val="28"/>
          <w:szCs w:val="28"/>
        </w:rPr>
        <w:t>.</w:t>
      </w:r>
    </w:p>
    <w:p w14:paraId="44C84718"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ظهر الإعلام الرقمي نتيجة تفاعل مجموعة من العوامل التقنية والاقتصادية والاجتماعية، ولعل من أبرز هذه العوامل انتشار الإنترنت وتطور أجهزة الحاسوب والهواتف الذكية، إلى جانب ازدياد الطلب على المعلومات الفورية والحديثة. وتشير الدراسات الحديثة إلى أن هذا التطور لم يُحدث نقلة تقنية فقط، بل غيّر من بنية الخطاب الإعلامي ونمط التفاعل بين المستخدمين</w:t>
      </w:r>
      <w:r w:rsidRPr="00E154C9">
        <w:rPr>
          <w:rFonts w:asciiTheme="majorBidi" w:hAnsiTheme="majorBidi" w:cstheme="majorBidi"/>
          <w:sz w:val="28"/>
          <w:szCs w:val="28"/>
        </w:rPr>
        <w:t xml:space="preserve"> (Wang &amp; Liao, 2024).</w:t>
      </w:r>
    </w:p>
    <w:p w14:paraId="525C4114"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تطور الإعلام الرقمي عبر مراحل متعاقبة بدأت بظهور الصحافة الإلكترونية، ثم انتشرت المدونات والمواقع الشخصية، ثم جاءت شبكات التواصل الاجتماعي والتطبيقات التفاعلية لتُحدث ثورة في أساليب نقل المعرفة وتداولها. وقد أشار عبدالحي (2020) إلى أن المنصات الرقمية أصبحت خلال أزمة كورونا المصدر الأول للمعلومات الصحية، وخصوصًا بين فئة الشباب</w:t>
      </w:r>
      <w:r w:rsidRPr="00E154C9">
        <w:rPr>
          <w:rFonts w:asciiTheme="majorBidi" w:hAnsiTheme="majorBidi" w:cstheme="majorBidi"/>
          <w:sz w:val="28"/>
          <w:szCs w:val="28"/>
        </w:rPr>
        <w:t>.</w:t>
      </w:r>
    </w:p>
    <w:p w14:paraId="3839828B"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من جهة أخرى، فإن الإعلام الرقمي لم يقتصر على النصوص المكتوبة، بل شمل أشكالًا متعددة من الوسائط مثل الصوت والفيديو والتصاميم التفاعلية، مما زاد من قدرته على جذب الجمهور ونقل الرسائل بفعالية. وتؤكد دراسة</w:t>
      </w:r>
      <w:r w:rsidRPr="00E154C9">
        <w:rPr>
          <w:rFonts w:asciiTheme="majorBidi" w:hAnsiTheme="majorBidi" w:cstheme="majorBidi"/>
          <w:sz w:val="28"/>
          <w:szCs w:val="28"/>
        </w:rPr>
        <w:t xml:space="preserve"> Fundoiano-Hershcovitz </w:t>
      </w:r>
      <w:r w:rsidRPr="00E154C9">
        <w:rPr>
          <w:rFonts w:asciiTheme="majorBidi" w:hAnsiTheme="majorBidi" w:cstheme="majorBidi"/>
          <w:sz w:val="28"/>
          <w:szCs w:val="28"/>
          <w:rtl/>
        </w:rPr>
        <w:t>وآخرون (2021) أن تعدد وسائط الإعلام الرقمي يُعزّز من فعالية الرسائل الصحية، خاصة عند استخدامه ضمن بيئة تفاعلية مدروسة</w:t>
      </w:r>
      <w:r w:rsidRPr="00E154C9">
        <w:rPr>
          <w:rFonts w:asciiTheme="majorBidi" w:hAnsiTheme="majorBidi" w:cstheme="majorBidi"/>
          <w:sz w:val="28"/>
          <w:szCs w:val="28"/>
        </w:rPr>
        <w:t>.</w:t>
      </w:r>
    </w:p>
    <w:p w14:paraId="1151E604"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وفي السياق الصحي تحديدًا، لعب الإعلام الرقمي دورًا حيويًا في توصيل المعلومات ومواجهة الأزمات الصحية، مثل جائحة كوفيد-19، إذ تحولت وسائل التواصل الاجتماعي إلى قنوات رئيسية لنشر التوجيهات الصحية الفورية والتوعية المجتمعية. وقد أظهرت دراسة الصعيدي (2020) أن الاعتماد على صحافة الموبايل في التوعية بكورونا مثّل توجهًا واضحًا لدى فئة الشباب في مصر</w:t>
      </w:r>
      <w:r w:rsidRPr="00E154C9">
        <w:rPr>
          <w:rFonts w:asciiTheme="majorBidi" w:hAnsiTheme="majorBidi" w:cstheme="majorBidi"/>
          <w:sz w:val="28"/>
          <w:szCs w:val="28"/>
        </w:rPr>
        <w:t>.</w:t>
      </w:r>
    </w:p>
    <w:p w14:paraId="0DF1E0ED"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ومن الجدير بالذكر أن الإعلام الرقمي لم يتطور فقط من حيث الأدوات والمنصات، بل أيضًا من حيث الفلسفة الاتصالية، إذ انتقل من نموذج أحادي</w:t>
      </w:r>
      <w:r>
        <w:rPr>
          <w:rFonts w:asciiTheme="majorBidi" w:hAnsiTheme="majorBidi" w:cstheme="majorBidi"/>
          <w:sz w:val="28"/>
          <w:szCs w:val="28"/>
          <w:rtl/>
        </w:rPr>
        <w:t xml:space="preserve"> الاتجاه إلى نموذج تشاركي جماهي</w:t>
      </w:r>
      <w:r>
        <w:rPr>
          <w:rFonts w:asciiTheme="majorBidi" w:hAnsiTheme="majorBidi" w:cstheme="majorBidi" w:hint="cs"/>
          <w:sz w:val="28"/>
          <w:szCs w:val="28"/>
          <w:rtl/>
        </w:rPr>
        <w:t>ر</w:t>
      </w:r>
      <w:r w:rsidRPr="00E154C9">
        <w:rPr>
          <w:rFonts w:asciiTheme="majorBidi" w:hAnsiTheme="majorBidi" w:cstheme="majorBidi"/>
          <w:sz w:val="28"/>
          <w:szCs w:val="28"/>
          <w:rtl/>
        </w:rPr>
        <w:t>ي، يسمح بوجود مجتمعات افتراضية تتشارك الاهتمامات وتنتج محتوىً متخصصًا، بما في ذلك المحتوى الصحي المتعلق بالأمراض المزمنة والعصبية</w:t>
      </w:r>
      <w:r w:rsidRPr="00E154C9">
        <w:rPr>
          <w:rFonts w:asciiTheme="majorBidi" w:hAnsiTheme="majorBidi" w:cstheme="majorBidi"/>
          <w:sz w:val="28"/>
          <w:szCs w:val="28"/>
        </w:rPr>
        <w:t xml:space="preserve"> (Wang &amp; Liao, 2024).</w:t>
      </w:r>
    </w:p>
    <w:p w14:paraId="134EA3CA"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وتشير بعض الدراسات إلى أن الإعلام الرقمي ساهم في تقليص الفجوة المعرفية بين فئات المجتمع المختلفة، بفضل سهولة الوصول إلى المعلومات وسرعة التحديث (خيرت حمزة، 2023). كما لعب دورًا بارزًا في تعزيز الثقافة الصحية عبر برامج التثقيف، والتطبيقات الطبية، والصفحات الرسمية للمؤسسات الصحية</w:t>
      </w:r>
      <w:r w:rsidRPr="00E154C9">
        <w:rPr>
          <w:rFonts w:asciiTheme="majorBidi" w:hAnsiTheme="majorBidi" w:cstheme="majorBidi"/>
          <w:sz w:val="28"/>
          <w:szCs w:val="28"/>
        </w:rPr>
        <w:t>.</w:t>
      </w:r>
    </w:p>
    <w:p w14:paraId="4AEE3EFE"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وفي ذات السياق، يؤكد</w:t>
      </w:r>
      <w:r w:rsidRPr="00E154C9">
        <w:rPr>
          <w:rFonts w:asciiTheme="majorBidi" w:hAnsiTheme="majorBidi" w:cstheme="majorBidi"/>
          <w:sz w:val="28"/>
          <w:szCs w:val="28"/>
        </w:rPr>
        <w:t xml:space="preserve"> Devi (2020) </w:t>
      </w:r>
      <w:r w:rsidRPr="00E154C9">
        <w:rPr>
          <w:rFonts w:asciiTheme="majorBidi" w:hAnsiTheme="majorBidi" w:cstheme="majorBidi"/>
          <w:sz w:val="28"/>
          <w:szCs w:val="28"/>
          <w:rtl/>
        </w:rPr>
        <w:t>أن التعليم الصحي عبر الوسائط الرقمية كان له تأثير واضح على تحسين مواقف وسلوكيات المرضى، خاصة في ما يتعلق بالأمراض المزمنة مثل السكري. وهو ما يفتح المجال أمام الإعلام الرقمي ليلعب أدوارًا أكثر عمقًا تتجاوز النشر إلى التثقيف والتأثير السلوكي</w:t>
      </w:r>
      <w:r w:rsidRPr="00E154C9">
        <w:rPr>
          <w:rFonts w:asciiTheme="majorBidi" w:hAnsiTheme="majorBidi" w:cstheme="majorBidi"/>
          <w:sz w:val="28"/>
          <w:szCs w:val="28"/>
        </w:rPr>
        <w:t>.</w:t>
      </w:r>
    </w:p>
    <w:p w14:paraId="30F38279"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ومع تزايد الاعتماد على الذكاء الاصطناعي في تصميم المحتوى وتخصيصه بحسب خصائص الجمهور، فإن الإعلام الرقمي يتجه إلى مرحلة جديدة من التفاعلية، حيث لا يكون المحتوى موحدًا للجميع، بل موجهًا وفق تحليلات دقيقة، ما يزيد من احتمالية التأثير والفعالية</w:t>
      </w:r>
      <w:r w:rsidRPr="00E154C9">
        <w:rPr>
          <w:rFonts w:asciiTheme="majorBidi" w:hAnsiTheme="majorBidi" w:cstheme="majorBidi"/>
          <w:sz w:val="28"/>
          <w:szCs w:val="28"/>
        </w:rPr>
        <w:t xml:space="preserve"> (Fundoiano-Hershcovitz et al., 2021).</w:t>
      </w:r>
    </w:p>
    <w:p w14:paraId="08E11A87" w14:textId="77777777" w:rsidR="005D2EB9" w:rsidRPr="00E154C9" w:rsidRDefault="005D2EB9" w:rsidP="005D2EB9">
      <w:pPr>
        <w:spacing w:line="360" w:lineRule="auto"/>
        <w:rPr>
          <w:rFonts w:asciiTheme="majorBidi" w:hAnsiTheme="majorBidi" w:cstheme="majorBidi"/>
          <w:sz w:val="28"/>
          <w:szCs w:val="28"/>
          <w:rtl/>
        </w:rPr>
      </w:pPr>
      <w:r w:rsidRPr="00E154C9">
        <w:rPr>
          <w:rFonts w:asciiTheme="majorBidi" w:hAnsiTheme="majorBidi" w:cstheme="majorBidi"/>
          <w:sz w:val="28"/>
          <w:szCs w:val="28"/>
          <w:rtl/>
        </w:rPr>
        <w:lastRenderedPageBreak/>
        <w:t>إن تتبّع هذا التطور التاريخي والتقني والفلسفي للإعلام الرقمي يُبرز كيف أصبح هذا النوع من الإعلام أحد الركائز الأساسية في منظومات التثقيف والتوعية الصحية، لا سيما في المجالات التي تتطلب تواصلًا مستمرًا ودقيقًا مع الجمهور، كالتوعية بالأمراض العصبية المزمنة في المجتمع السعودي</w:t>
      </w:r>
      <w:r w:rsidRPr="00E154C9">
        <w:rPr>
          <w:rFonts w:asciiTheme="majorBidi" w:hAnsiTheme="majorBidi" w:cstheme="majorBidi"/>
          <w:sz w:val="28"/>
          <w:szCs w:val="28"/>
        </w:rPr>
        <w:t>.</w:t>
      </w:r>
    </w:p>
    <w:p w14:paraId="6979116A" w14:textId="77777777" w:rsidR="005D2EB9" w:rsidRPr="005D2EB9" w:rsidRDefault="005D2EB9" w:rsidP="005D2EB9">
      <w:pPr>
        <w:spacing w:line="360" w:lineRule="auto"/>
        <w:rPr>
          <w:rFonts w:asciiTheme="majorBidi" w:hAnsiTheme="majorBidi" w:cstheme="majorBidi"/>
          <w:b/>
          <w:bCs/>
          <w:sz w:val="28"/>
          <w:szCs w:val="28"/>
          <w:rtl/>
        </w:rPr>
      </w:pPr>
      <w:r w:rsidRPr="005D2EB9">
        <w:rPr>
          <w:rFonts w:asciiTheme="majorBidi" w:hAnsiTheme="majorBidi" w:cstheme="majorBidi"/>
          <w:b/>
          <w:bCs/>
          <w:sz w:val="28"/>
          <w:szCs w:val="28"/>
          <w:rtl/>
        </w:rPr>
        <w:t>المطلب الثاني: خصائص الإعلام الرقمي ومميزاته</w:t>
      </w:r>
    </w:p>
    <w:p w14:paraId="649E0751" w14:textId="77777777" w:rsidR="005D2EB9" w:rsidRPr="005D2EB9" w:rsidRDefault="005D2EB9" w:rsidP="005D2EB9">
      <w:pPr>
        <w:spacing w:line="360" w:lineRule="auto"/>
        <w:rPr>
          <w:rFonts w:asciiTheme="majorBidi" w:hAnsiTheme="majorBidi" w:cstheme="majorBidi"/>
          <w:sz w:val="28"/>
          <w:szCs w:val="28"/>
          <w:rtl/>
          <w:lang w:bidi="ar-EG"/>
        </w:rPr>
      </w:pPr>
      <w:r w:rsidRPr="005D2EB9">
        <w:rPr>
          <w:rFonts w:asciiTheme="majorBidi" w:hAnsiTheme="majorBidi" w:cstheme="majorBidi" w:hint="cs"/>
          <w:sz w:val="28"/>
          <w:szCs w:val="28"/>
          <w:rtl/>
          <w:lang w:bidi="ar-EG"/>
        </w:rPr>
        <w:t>تمهيد:</w:t>
      </w:r>
    </w:p>
    <w:p w14:paraId="1D8B9947" w14:textId="77777777" w:rsidR="005D2EB9" w:rsidRPr="00E154C9" w:rsidRDefault="005D2EB9" w:rsidP="005D2EB9">
      <w:pPr>
        <w:spacing w:line="360" w:lineRule="auto"/>
        <w:rPr>
          <w:rFonts w:asciiTheme="majorBidi" w:hAnsiTheme="majorBidi" w:cstheme="majorBidi"/>
          <w:sz w:val="28"/>
          <w:szCs w:val="28"/>
        </w:rPr>
      </w:pPr>
      <w:r w:rsidRPr="005D2EB9">
        <w:rPr>
          <w:rFonts w:asciiTheme="majorBidi" w:hAnsiTheme="majorBidi" w:cstheme="majorBidi"/>
          <w:sz w:val="28"/>
          <w:szCs w:val="28"/>
          <w:rtl/>
        </w:rPr>
        <w:t>يمتاز الإعلام الرقمي بعدة خصائص نوعية جعلته يتفوق على وسائل الإعلام التقليدية في سرعة الانتشار، وعمق التأثير، وإمكانية التفاعل المباشر مع الجمهور، مما أتاح له فرصًا واسعة في مجالات متعددة، أبرزها المجال الصحي والتوعوي. وقد أسهم التطور التكنولوجي المتسارع في تعزيز هذه الخصائص، وتحويل الإعلام الرقمي إلى نظام تواصلي متعدد الوظائف والتأثيرات</w:t>
      </w:r>
      <w:r w:rsidRPr="005D2EB9">
        <w:rPr>
          <w:rFonts w:asciiTheme="majorBidi" w:hAnsiTheme="majorBidi" w:cstheme="majorBidi"/>
          <w:sz w:val="28"/>
          <w:szCs w:val="28"/>
        </w:rPr>
        <w:t>.</w:t>
      </w:r>
    </w:p>
    <w:p w14:paraId="0F83ED05" w14:textId="77777777" w:rsidR="005D2EB9" w:rsidRPr="00E154C9" w:rsidRDefault="005D2EB9" w:rsidP="005D2EB9">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أولًا: التفاعلية</w:t>
      </w:r>
      <w:r w:rsidRPr="00E154C9">
        <w:rPr>
          <w:rFonts w:asciiTheme="majorBidi" w:hAnsiTheme="majorBidi" w:cstheme="majorBidi"/>
          <w:b/>
          <w:bCs/>
          <w:sz w:val="28"/>
          <w:szCs w:val="28"/>
        </w:rPr>
        <w:t xml:space="preserve"> (Interactivity)</w:t>
      </w:r>
    </w:p>
    <w:p w14:paraId="5328A372"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تُعد التفاعلية من أبرز الخصائص التي تميّز الإعلام الرقمي عن نظيره التقليدي. إذ أصبح الجمهور لا يتلقى الرسائل فقط، بل يشارك في صياغتها وتعديلها والرد عليها. وقد أوضحت دراسة</w:t>
      </w:r>
      <w:r w:rsidRPr="00E154C9">
        <w:rPr>
          <w:rFonts w:asciiTheme="majorBidi" w:hAnsiTheme="majorBidi" w:cstheme="majorBidi"/>
          <w:sz w:val="28"/>
          <w:szCs w:val="28"/>
        </w:rPr>
        <w:t xml:space="preserve"> (Wang &amp; Liao, 2024) </w:t>
      </w:r>
      <w:r w:rsidRPr="00E154C9">
        <w:rPr>
          <w:rFonts w:asciiTheme="majorBidi" w:hAnsiTheme="majorBidi" w:cstheme="majorBidi"/>
          <w:sz w:val="28"/>
          <w:szCs w:val="28"/>
          <w:rtl/>
        </w:rPr>
        <w:t>أن التفاعلية تُمكّن الأفراد من طرح الأسئلة وتبادل الخبرات، ما يعزز من فهمهم للمعلومات الصحية، ويجعلهم أكثر استعدادًا لتبني السلوكيات الوقائية</w:t>
      </w:r>
      <w:r w:rsidRPr="00E154C9">
        <w:rPr>
          <w:rFonts w:asciiTheme="majorBidi" w:hAnsiTheme="majorBidi" w:cstheme="majorBidi"/>
          <w:sz w:val="28"/>
          <w:szCs w:val="28"/>
        </w:rPr>
        <w:t>.</w:t>
      </w:r>
    </w:p>
    <w:p w14:paraId="591322F4"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تسمح خاصية التفاعل في الإعلام الرقمي بإقامة حوار مباشر بين الجهات الصحية والجمهور، مما يخلق علاقة ثقة واحترام متبادل. ويمكن ملاحظة ذلك بوضوح في الحملات الصحية التي أطلقتها المؤسسات الرسمية خلال أزمة كورونا، حيث لجأت إلى وسائل التواصل الاجتماعي للإجابة الفورية عن استفسارات المواطنين، وتصحيح المعلومات المغلوطة</w:t>
      </w:r>
      <w:r w:rsidRPr="00E154C9">
        <w:rPr>
          <w:rFonts w:asciiTheme="majorBidi" w:hAnsiTheme="majorBidi" w:cstheme="majorBidi"/>
          <w:sz w:val="28"/>
          <w:szCs w:val="28"/>
        </w:rPr>
        <w:t xml:space="preserve"> (Fundoiano-Hershcovitz et al., 2021).</w:t>
      </w:r>
    </w:p>
    <w:p w14:paraId="4E30E2FA" w14:textId="77777777" w:rsidR="005D2EB9" w:rsidRPr="00E154C9" w:rsidRDefault="005D2EB9" w:rsidP="005D2EB9">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ثانيًا: السرعة والآنية</w:t>
      </w:r>
      <w:r w:rsidRPr="00E154C9">
        <w:rPr>
          <w:rFonts w:asciiTheme="majorBidi" w:hAnsiTheme="majorBidi" w:cstheme="majorBidi"/>
          <w:b/>
          <w:bCs/>
          <w:sz w:val="28"/>
          <w:szCs w:val="28"/>
        </w:rPr>
        <w:t xml:space="preserve"> (Immediacy)</w:t>
      </w:r>
    </w:p>
    <w:p w14:paraId="44805FB8"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يتميز الإعلام الرقمي بسرعة نقل المعلومة وتحديثها، وهو ما جعله مصدرًا أساسيًا في حالات الطوارئ والأزمات. فالمعلومة يمكن بثها في اللحظة نفسها التي تُنتج فيها، وتصل إلى مئات الآلاف من الأفراد في ثوانٍ معدودة. وقد أبرزت دراسة</w:t>
      </w:r>
      <w:r w:rsidRPr="00E154C9">
        <w:rPr>
          <w:rFonts w:asciiTheme="majorBidi" w:hAnsiTheme="majorBidi" w:cstheme="majorBidi"/>
          <w:sz w:val="28"/>
          <w:szCs w:val="28"/>
        </w:rPr>
        <w:t xml:space="preserve"> (Devi, 2020) </w:t>
      </w:r>
      <w:r w:rsidRPr="00E154C9">
        <w:rPr>
          <w:rFonts w:asciiTheme="majorBidi" w:hAnsiTheme="majorBidi" w:cstheme="majorBidi"/>
          <w:sz w:val="28"/>
          <w:szCs w:val="28"/>
          <w:rtl/>
        </w:rPr>
        <w:t>فعالية هذه الخاصية في إيصال الرسائل الوقائية الفورية إلى مرضى السكري، مما ساعد في تقليل المخاطر الصحية المرتبطة بعدم المعرفة</w:t>
      </w:r>
      <w:r w:rsidRPr="00E154C9">
        <w:rPr>
          <w:rFonts w:asciiTheme="majorBidi" w:hAnsiTheme="majorBidi" w:cstheme="majorBidi"/>
          <w:sz w:val="28"/>
          <w:szCs w:val="28"/>
        </w:rPr>
        <w:t>.</w:t>
      </w:r>
    </w:p>
    <w:p w14:paraId="0BE4F9F4"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السرعة في الإعلام الرقمي لا تقتصر على النشر، بل تشمل التفاعل مع الأحداث الجارية، ما يجعل الإعلام الرقمي أداة حيوية لمواكبة المستجدات الصحية اليومية، خصوصًا في مجتمع يتسم بتسارع الإيقاع اليومي وتنوع مصادر المعرفة</w:t>
      </w:r>
      <w:r w:rsidRPr="00E154C9">
        <w:rPr>
          <w:rFonts w:asciiTheme="majorBidi" w:hAnsiTheme="majorBidi" w:cstheme="majorBidi"/>
          <w:sz w:val="28"/>
          <w:szCs w:val="28"/>
        </w:rPr>
        <w:t>.</w:t>
      </w:r>
    </w:p>
    <w:p w14:paraId="6A55AC87" w14:textId="77777777" w:rsidR="005D2EB9" w:rsidRPr="00E154C9" w:rsidRDefault="005D2EB9" w:rsidP="005D2EB9">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ثالثًا: التخصيص</w:t>
      </w:r>
      <w:r w:rsidRPr="00E154C9">
        <w:rPr>
          <w:rFonts w:asciiTheme="majorBidi" w:hAnsiTheme="majorBidi" w:cstheme="majorBidi"/>
          <w:b/>
          <w:bCs/>
          <w:sz w:val="28"/>
          <w:szCs w:val="28"/>
        </w:rPr>
        <w:t xml:space="preserve"> (Customization)</w:t>
      </w:r>
    </w:p>
    <w:p w14:paraId="73C89B4B"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يوفر الإعلام الرقمي إمكانية تخصيص المحتوى حسب اهتمامات واحتياجات المتلقي، بفضل استخدام خوارزميات الذكاء الاصطناعي وتحليلات البيانات. وهذا يتيح للمؤسسات الصحية تصميم محتوى دقيق يستهدف فئات محددة من الجمهور، مما يعزز من فرص التأثير. وتشير دراسة</w:t>
      </w:r>
      <w:r w:rsidRPr="00E154C9">
        <w:rPr>
          <w:rFonts w:asciiTheme="majorBidi" w:hAnsiTheme="majorBidi" w:cstheme="majorBidi"/>
          <w:sz w:val="28"/>
          <w:szCs w:val="28"/>
        </w:rPr>
        <w:t xml:space="preserve"> (Wang &amp; Liao, 2024) </w:t>
      </w:r>
      <w:r w:rsidRPr="00E154C9">
        <w:rPr>
          <w:rFonts w:asciiTheme="majorBidi" w:hAnsiTheme="majorBidi" w:cstheme="majorBidi"/>
          <w:sz w:val="28"/>
          <w:szCs w:val="28"/>
          <w:rtl/>
        </w:rPr>
        <w:t>إلى أن تخصيص الرسائل الصحية الرقمية يُعد من أكثر العوامل المؤثرة في تحسين المعرفة الصحية وتغيير السلوكيات</w:t>
      </w:r>
      <w:r w:rsidRPr="00E154C9">
        <w:rPr>
          <w:rFonts w:asciiTheme="majorBidi" w:hAnsiTheme="majorBidi" w:cstheme="majorBidi"/>
          <w:sz w:val="28"/>
          <w:szCs w:val="28"/>
        </w:rPr>
        <w:t>.</w:t>
      </w:r>
    </w:p>
    <w:p w14:paraId="71FA8DCB"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فعلى سبيل المثال، يمكن لمنصة رقمية أن تُرسل رسائل توعية لمرضى الصرع أو التصلب اللويحي بحسب فئتهم العمرية أو موقعهم الجغرافي، مما يجعل الرسالة أكثر صلة وفاعلية</w:t>
      </w:r>
      <w:r w:rsidRPr="00E154C9">
        <w:rPr>
          <w:rFonts w:asciiTheme="majorBidi" w:hAnsiTheme="majorBidi" w:cstheme="majorBidi"/>
          <w:sz w:val="28"/>
          <w:szCs w:val="28"/>
        </w:rPr>
        <w:t>.</w:t>
      </w:r>
    </w:p>
    <w:p w14:paraId="341EA733" w14:textId="77777777" w:rsidR="005D2EB9" w:rsidRPr="00E154C9" w:rsidRDefault="005D2EB9" w:rsidP="005D2EB9">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رابعًا: التعددية الوسائطية</w:t>
      </w:r>
      <w:r w:rsidRPr="00E154C9">
        <w:rPr>
          <w:rFonts w:asciiTheme="majorBidi" w:hAnsiTheme="majorBidi" w:cstheme="majorBidi"/>
          <w:b/>
          <w:bCs/>
          <w:sz w:val="28"/>
          <w:szCs w:val="28"/>
        </w:rPr>
        <w:t xml:space="preserve"> (Multimedia Integration)</w:t>
      </w:r>
    </w:p>
    <w:p w14:paraId="17010C26"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يمتاز الإعلام الرقمي بقدرته على دمج النصوص، والصور، والفيديو، والرسوم البيانية، والصوت، في رسالة واحدة. هذا التداخل الوسائطي يُساهم في رفع كفاءة الرسائل الصحية، وزيادة قدرة الأفراد على الفهم والاستيعاب. وقد أظهرت دراسة خيرت حمزة (2023) أن دمج الوسائط المتعددة في الرسائل التوعوية الصحية يؤدي إلى تعزيز استدعاء المعلومات وزيادة التأثير السلوكي لدى المتلقي</w:t>
      </w:r>
      <w:r w:rsidRPr="00E154C9">
        <w:rPr>
          <w:rFonts w:asciiTheme="majorBidi" w:hAnsiTheme="majorBidi" w:cstheme="majorBidi"/>
          <w:sz w:val="28"/>
          <w:szCs w:val="28"/>
        </w:rPr>
        <w:t>.</w:t>
      </w:r>
    </w:p>
    <w:p w14:paraId="1E3BBF42"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كما أن استخدام الفيديوهات التوضيحية والرسوم المتحركة في التوعية بالأمراض العصبية يسهّل فهم المفاهيم الطبية المعقدة، ويساعد على تبسيط المعرفة لدى الجمهور غير المتخصص</w:t>
      </w:r>
      <w:r w:rsidRPr="00E154C9">
        <w:rPr>
          <w:rFonts w:asciiTheme="majorBidi" w:hAnsiTheme="majorBidi" w:cstheme="majorBidi"/>
          <w:sz w:val="28"/>
          <w:szCs w:val="28"/>
        </w:rPr>
        <w:t>.</w:t>
      </w:r>
    </w:p>
    <w:p w14:paraId="75251C51" w14:textId="77777777" w:rsidR="005D2EB9" w:rsidRPr="00E154C9" w:rsidRDefault="005D2EB9" w:rsidP="005D2EB9">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خامسًا: الوصول الواسع والشامل</w:t>
      </w:r>
      <w:r w:rsidRPr="00E154C9">
        <w:rPr>
          <w:rFonts w:asciiTheme="majorBidi" w:hAnsiTheme="majorBidi" w:cstheme="majorBidi"/>
          <w:b/>
          <w:bCs/>
          <w:sz w:val="28"/>
          <w:szCs w:val="28"/>
        </w:rPr>
        <w:t xml:space="preserve"> (Accessibility)</w:t>
      </w:r>
    </w:p>
    <w:p w14:paraId="2BBC4B5C"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بفضل تغلغل الإنترنت وانتشار الهواتف الذكية، أصبح الإعلام الرقمي يصل إلى شرائح واسعة من السكان، بما في ذلك الفئات التي كانت تعاني من ضعف الوصول إلى الإعلام التقليدي. وقد أشارت دراسة علواني وعرعار (2024) إلى أن التوعية بالأمراض المزمنة عبر الإنترنت في المجتمعات العربية تجاوزت حواجز الجغرافيا، واللغة، والطبقة الاجتماعية</w:t>
      </w:r>
      <w:r w:rsidRPr="00E154C9">
        <w:rPr>
          <w:rFonts w:asciiTheme="majorBidi" w:hAnsiTheme="majorBidi" w:cstheme="majorBidi"/>
          <w:sz w:val="28"/>
          <w:szCs w:val="28"/>
        </w:rPr>
        <w:t>.</w:t>
      </w:r>
    </w:p>
    <w:p w14:paraId="71A3CC87"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هذا الوصول الواسع يسمح بتنفيذ حملات صحية وطنية شاملة، تستهدف سكان المدن والقرى على حد سواء، بل ويمكن أن تتجاوز الحدود لتصل إلى الجاليات العربية في الخارج</w:t>
      </w:r>
      <w:r w:rsidRPr="00E154C9">
        <w:rPr>
          <w:rFonts w:asciiTheme="majorBidi" w:hAnsiTheme="majorBidi" w:cstheme="majorBidi"/>
          <w:sz w:val="28"/>
          <w:szCs w:val="28"/>
        </w:rPr>
        <w:t>.</w:t>
      </w:r>
    </w:p>
    <w:p w14:paraId="33EA5B84" w14:textId="77777777" w:rsidR="005D2EB9" w:rsidRPr="00E154C9" w:rsidRDefault="005D2EB9" w:rsidP="005D2EB9">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سادسًا: الاقتصاد في التكاليف</w:t>
      </w:r>
    </w:p>
    <w:p w14:paraId="40C5B630"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من بين مميزات الإعلام الرقمي أيضًا أنه أقل تكلفة مقارنة بالإعلام التقليدي من حيث الإنتاج والتوزيع. يمكن إطلاق حملة رقمية شاملة باستخدام موارد بسيطة نسبيًا، دون الحاجة إلى طباعة أو توزيع ميداني. هذا يجعل الإعلام الرقمي خيارًا استراتيجيًا للمؤسسات ذات الميزانيات المحدودة، مثل الجمعيات الصحية الأهلية أو المبادرات الشبابية</w:t>
      </w:r>
      <w:r w:rsidRPr="00E154C9">
        <w:rPr>
          <w:rFonts w:asciiTheme="majorBidi" w:hAnsiTheme="majorBidi" w:cstheme="majorBidi"/>
          <w:sz w:val="28"/>
          <w:szCs w:val="28"/>
        </w:rPr>
        <w:t>.</w:t>
      </w:r>
    </w:p>
    <w:p w14:paraId="7BEB241A"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وقد أكدت دراسة (المنسي وآخرون، 2025) أن الحملات الصحية الرقمية كانت أكثر توفيرًا وأكثر قدرة على الانتشار من الحملات الورقية أو التلفزيونية، خاصة خلال أزمة كورونا، حيث فرض التباعد الاجتماعي الحاجة إلى بدائل رقمية فعالة</w:t>
      </w:r>
      <w:r w:rsidRPr="00E154C9">
        <w:rPr>
          <w:rFonts w:asciiTheme="majorBidi" w:hAnsiTheme="majorBidi" w:cstheme="majorBidi"/>
          <w:sz w:val="28"/>
          <w:szCs w:val="28"/>
        </w:rPr>
        <w:t>.</w:t>
      </w:r>
    </w:p>
    <w:p w14:paraId="06D50364" w14:textId="77777777" w:rsidR="005D2EB9" w:rsidRPr="00E154C9" w:rsidRDefault="005D2EB9" w:rsidP="005D2EB9">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سابعًا: المرونة والتجديد المستمر</w:t>
      </w:r>
    </w:p>
    <w:p w14:paraId="34EFD63D"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يمتلك الإعلام الرقمي القدرة على التحديث والتجديد بشكل مستمر، إذ يمكن تعديل الرسائل، وإعادة صياغتها، وتحسينها بناءً على التغذية الراجعة من الجمهور. وقد لوحظ هذا في الحملات الصحية التي استخدمت تحليلات التفاعل لتقييم فاعلية الرسائل وتعديلها وفقًا لنتائج الجمهور (صبرة </w:t>
      </w:r>
      <w:r w:rsidRPr="00E154C9">
        <w:rPr>
          <w:rFonts w:asciiTheme="majorBidi" w:hAnsiTheme="majorBidi" w:cstheme="majorBidi"/>
          <w:sz w:val="28"/>
          <w:szCs w:val="28"/>
        </w:rPr>
        <w:t xml:space="preserve">&amp; </w:t>
      </w:r>
      <w:r w:rsidRPr="00E154C9">
        <w:rPr>
          <w:rFonts w:asciiTheme="majorBidi" w:hAnsiTheme="majorBidi" w:cstheme="majorBidi"/>
          <w:sz w:val="28"/>
          <w:szCs w:val="28"/>
          <w:rtl/>
        </w:rPr>
        <w:t>واضحة، 2024</w:t>
      </w:r>
      <w:r w:rsidRPr="00E154C9">
        <w:rPr>
          <w:rFonts w:asciiTheme="majorBidi" w:hAnsiTheme="majorBidi" w:cstheme="majorBidi"/>
          <w:sz w:val="28"/>
          <w:szCs w:val="28"/>
        </w:rPr>
        <w:t>(</w:t>
      </w:r>
    </w:p>
    <w:p w14:paraId="3EC353DB" w14:textId="63C692CD" w:rsidR="005D2EB9" w:rsidRPr="00916091" w:rsidRDefault="005D2EB9" w:rsidP="00916091">
      <w:pPr>
        <w:spacing w:line="360" w:lineRule="auto"/>
        <w:rPr>
          <w:rFonts w:asciiTheme="majorBidi" w:hAnsiTheme="majorBidi" w:cstheme="majorBidi"/>
          <w:sz w:val="28"/>
          <w:szCs w:val="28"/>
          <w:rtl/>
        </w:rPr>
      </w:pPr>
      <w:r w:rsidRPr="00E154C9">
        <w:rPr>
          <w:rFonts w:asciiTheme="majorBidi" w:hAnsiTheme="majorBidi" w:cstheme="majorBidi"/>
          <w:sz w:val="28"/>
          <w:szCs w:val="28"/>
          <w:rtl/>
        </w:rPr>
        <w:t>المرونة هذه تُعد عاملاً حاسمًا في مجال التوعية الصحية، خصوصًا أن المفاهيم الصحية والوقائية قد تتغير بسرعة نتيجة ظهور مستجدات علمية أو تحولات وبائية</w:t>
      </w:r>
      <w:r w:rsidRPr="00E154C9">
        <w:rPr>
          <w:rFonts w:asciiTheme="majorBidi" w:hAnsiTheme="majorBidi" w:cstheme="majorBidi"/>
          <w:sz w:val="28"/>
          <w:szCs w:val="28"/>
        </w:rPr>
        <w:t>.</w:t>
      </w:r>
    </w:p>
    <w:p w14:paraId="6674D5D8" w14:textId="77777777" w:rsidR="005D2EB9" w:rsidRDefault="005D2EB9" w:rsidP="005D2EB9">
      <w:pPr>
        <w:spacing w:line="360" w:lineRule="auto"/>
        <w:rPr>
          <w:rFonts w:asciiTheme="majorBidi" w:hAnsiTheme="majorBidi" w:cstheme="majorBidi"/>
          <w:b/>
          <w:bCs/>
          <w:sz w:val="28"/>
          <w:szCs w:val="28"/>
          <w:highlight w:val="yellow"/>
          <w:rtl/>
        </w:rPr>
      </w:pPr>
    </w:p>
    <w:p w14:paraId="63A990CB" w14:textId="77777777" w:rsidR="005D2EB9" w:rsidRPr="005D2EB9" w:rsidRDefault="005D2EB9" w:rsidP="005D2EB9">
      <w:pPr>
        <w:spacing w:line="360" w:lineRule="auto"/>
        <w:rPr>
          <w:rFonts w:asciiTheme="majorBidi" w:hAnsiTheme="majorBidi" w:cstheme="majorBidi"/>
          <w:b/>
          <w:bCs/>
          <w:sz w:val="28"/>
          <w:szCs w:val="28"/>
          <w:rtl/>
        </w:rPr>
      </w:pPr>
      <w:r w:rsidRPr="005D2EB9">
        <w:rPr>
          <w:rFonts w:asciiTheme="majorBidi" w:hAnsiTheme="majorBidi" w:cstheme="majorBidi"/>
          <w:b/>
          <w:bCs/>
          <w:sz w:val="28"/>
          <w:szCs w:val="28"/>
          <w:rtl/>
        </w:rPr>
        <w:t>المطلب الثالث: أنواع وسائل الإعلام الرقمي (منصات التواصل، المواقع الطبية، التطبيقات)</w:t>
      </w:r>
    </w:p>
    <w:p w14:paraId="7B24A970" w14:textId="77777777" w:rsidR="005D2EB9" w:rsidRPr="00987739" w:rsidRDefault="005D2EB9" w:rsidP="005D2EB9">
      <w:pPr>
        <w:spacing w:line="360" w:lineRule="auto"/>
        <w:rPr>
          <w:rFonts w:asciiTheme="majorBidi" w:hAnsiTheme="majorBidi" w:cstheme="majorBidi"/>
          <w:sz w:val="28"/>
          <w:szCs w:val="28"/>
          <w:rtl/>
        </w:rPr>
      </w:pPr>
      <w:r w:rsidRPr="005D2EB9">
        <w:rPr>
          <w:rFonts w:asciiTheme="majorBidi" w:hAnsiTheme="majorBidi" w:cstheme="majorBidi" w:hint="cs"/>
          <w:sz w:val="28"/>
          <w:szCs w:val="28"/>
          <w:rtl/>
        </w:rPr>
        <w:t xml:space="preserve">تمهيد: </w:t>
      </w:r>
      <w:r w:rsidRPr="005D2EB9">
        <w:rPr>
          <w:rFonts w:asciiTheme="majorBidi" w:hAnsiTheme="majorBidi" w:cstheme="majorBidi"/>
          <w:sz w:val="28"/>
          <w:szCs w:val="28"/>
          <w:rtl/>
        </w:rPr>
        <w:t>تتعدد أنواع وسائل الإعلام الرقمي التي تُستخدم في نقل المعرفة والمعلومات الصحية، وتُوظف في حملات التوعية بالأمراض، لا سيما المزمنة منها. ومع تزايد الاعتماد على التكنولوجيا في الحياة اليومية، أصبحت هذه الوسائل تُشكّل بنية متكاملة من القنوات والمنصات التي تؤثر في إدراك الأفراد وسلوكهم الصحي، سواء بشكل مباشر أو غير مباشر. ويمكن تصنيف وسائل الإعلام الرقمي الصحية إلى ثلاث فئات رئيسية، هي: منصات التواصل الاجتماعي، والمواقع الطبية المتخصصة، والتطبيقات الصحية الذكية</w:t>
      </w:r>
      <w:r w:rsidRPr="005D2EB9">
        <w:rPr>
          <w:rFonts w:asciiTheme="majorBidi" w:hAnsiTheme="majorBidi" w:cstheme="majorBidi"/>
          <w:sz w:val="28"/>
          <w:szCs w:val="28"/>
        </w:rPr>
        <w:t>.</w:t>
      </w:r>
    </w:p>
    <w:p w14:paraId="48852AE4" w14:textId="77777777" w:rsidR="005D2EB9" w:rsidRPr="00E154C9" w:rsidRDefault="005D2EB9" w:rsidP="005D2EB9">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lastRenderedPageBreak/>
        <w:t>أولًا: منصات التواصل الاجتماعي</w:t>
      </w:r>
    </w:p>
    <w:p w14:paraId="37CB5AC0"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تمثل منصات التواصل الاجتماعي أبرز صور الإعلام الرقمي وأكثرها استخدامًا وانتشارًا في العالم، وخاصة في الدول العربية. وتشمل هذه المنصات تطبيقات مثل فيسبوك، تويتر، إنستغرام، سناب شات، ويوتيوب، والتي تُستخدم على نطاق واسع في بث الرسائل الصحية، ومتابعة التفاعل مع الجمهور، ومشاركة الخبرات الشخصية المتعلقة بالصحة</w:t>
      </w:r>
      <w:r w:rsidRPr="00E154C9">
        <w:rPr>
          <w:rFonts w:asciiTheme="majorBidi" w:hAnsiTheme="majorBidi" w:cstheme="majorBidi"/>
          <w:sz w:val="28"/>
          <w:szCs w:val="28"/>
        </w:rPr>
        <w:t>.</w:t>
      </w:r>
    </w:p>
    <w:p w14:paraId="0F653D23"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وقد أشارت دراسة علواني وعرعار (2024) إلى أن منصات التواصل الاجتماعي باتت تُستخدم كأدوات رئيسية لنشر الوعي حول الأمراض المزمنة، وخاصة بين الشباب، حيث تُمكّن من الوصول الفوري للمعلومة الصحية، وتفتح المجال للنقاش والتفاعل الجماهيري</w:t>
      </w:r>
      <w:r w:rsidRPr="00E154C9">
        <w:rPr>
          <w:rFonts w:asciiTheme="majorBidi" w:hAnsiTheme="majorBidi" w:cstheme="majorBidi"/>
          <w:sz w:val="28"/>
          <w:szCs w:val="28"/>
        </w:rPr>
        <w:t>.</w:t>
      </w:r>
    </w:p>
    <w:p w14:paraId="39E722D5"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كما أوضحت دراسة محمد إبراهيم وغريب (2023) أن الحسابات الصحية الرسمية في السعودية، مثل حساب وزارة الصحة، تعتمد بشكل كبير على تويتر في نشر التنبيهات الصحية، والمعلومات التوعوية، والتحديثات الوقائية، خاصة خلال الأزمات الصحية مثل جائحة كورونا، وقد حققت هذه الحسابات مستويات عالية من التفاعل والثقة بين الجمهور</w:t>
      </w:r>
      <w:r w:rsidRPr="00E154C9">
        <w:rPr>
          <w:rFonts w:asciiTheme="majorBidi" w:hAnsiTheme="majorBidi" w:cstheme="majorBidi"/>
          <w:sz w:val="28"/>
          <w:szCs w:val="28"/>
        </w:rPr>
        <w:t>.</w:t>
      </w:r>
    </w:p>
    <w:p w14:paraId="73302B47"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وتتميز هذه المنصات بالقدرة على الوصول السريع، وإمكانية استهداف فئات معينة من الجمهور من خلال الإعلانات الممولة أو المحتوى الموجّه، مما يجعلها بيئة مثالية لتنفيذ حملات توعية صحية متخصصة، بما في ذلك الأمراض العصبية المزمنة مثل الزهايمر والصرع</w:t>
      </w:r>
      <w:r w:rsidRPr="00E154C9">
        <w:rPr>
          <w:rFonts w:asciiTheme="majorBidi" w:hAnsiTheme="majorBidi" w:cstheme="majorBidi"/>
          <w:sz w:val="28"/>
          <w:szCs w:val="28"/>
        </w:rPr>
        <w:t>.</w:t>
      </w:r>
    </w:p>
    <w:p w14:paraId="19F94432" w14:textId="77777777" w:rsidR="005D2EB9" w:rsidRPr="00E154C9" w:rsidRDefault="005D2EB9" w:rsidP="005D2EB9">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ثانيًا: المواقع الطبية المتخصصة</w:t>
      </w:r>
    </w:p>
    <w:p w14:paraId="0ABA0051"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تُعد المواقع الطبية الإلكترونية من الوسائل الموثوقة لنقل المعلومات الصحية، حيث تُدار غالبًا بواسطة جهات طبية رسمية أو أكاديمية أو منظمات صحية عالمية. وتُوفّر هذه المواقع محتوىً علميًا دقيقًا، غالبًا ما يكون خاضعًا للمراجعة من قبل مختصين في المجال الطبي، ما يجعلها مصدرًا مهمًا للباحثين والمهتمين بالصحة على حد سواء</w:t>
      </w:r>
      <w:r w:rsidRPr="00E154C9">
        <w:rPr>
          <w:rFonts w:asciiTheme="majorBidi" w:hAnsiTheme="majorBidi" w:cstheme="majorBidi"/>
          <w:sz w:val="28"/>
          <w:szCs w:val="28"/>
        </w:rPr>
        <w:t>.</w:t>
      </w:r>
    </w:p>
    <w:p w14:paraId="1CAAE836"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تشير دراسة</w:t>
      </w:r>
      <w:r w:rsidRPr="00E154C9">
        <w:rPr>
          <w:rFonts w:asciiTheme="majorBidi" w:hAnsiTheme="majorBidi" w:cstheme="majorBidi"/>
          <w:sz w:val="28"/>
          <w:szCs w:val="28"/>
        </w:rPr>
        <w:t xml:space="preserve"> Wang &amp; Liao (2024) </w:t>
      </w:r>
      <w:r w:rsidRPr="00E154C9">
        <w:rPr>
          <w:rFonts w:asciiTheme="majorBidi" w:hAnsiTheme="majorBidi" w:cstheme="majorBidi"/>
          <w:sz w:val="28"/>
          <w:szCs w:val="28"/>
          <w:rtl/>
        </w:rPr>
        <w:t>إلى أن المواقع الطبية الرقمية تُعد أدوات فاعلة لتعزيز الوعي الصحي، خاصة في ما يتعلق بالأمراض المزمنة التي تتطلب تثقيفًا متواصلًا، مثل التصلب اللويحي وباركنسون. كما توفّر هذه المواقع معلومات شاملة حول أعراض الأمراض، وأسبابها، وطرق تشخيصها وعلاجها، بالإضافة إلى النصائح اليومية للمرضى وذويهم</w:t>
      </w:r>
      <w:r w:rsidRPr="00E154C9">
        <w:rPr>
          <w:rFonts w:asciiTheme="majorBidi" w:hAnsiTheme="majorBidi" w:cstheme="majorBidi"/>
          <w:sz w:val="28"/>
          <w:szCs w:val="28"/>
        </w:rPr>
        <w:t>.</w:t>
      </w:r>
    </w:p>
    <w:p w14:paraId="639B2FB7"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من أمثلة هذه المواقع: موقع منظمة الصحة العالمية</w:t>
      </w:r>
      <w:r w:rsidRPr="00E154C9">
        <w:rPr>
          <w:rFonts w:asciiTheme="majorBidi" w:hAnsiTheme="majorBidi" w:cstheme="majorBidi"/>
          <w:sz w:val="28"/>
          <w:szCs w:val="28"/>
        </w:rPr>
        <w:t xml:space="preserve"> WHO</w:t>
      </w:r>
      <w:r w:rsidRPr="00E154C9">
        <w:rPr>
          <w:rFonts w:asciiTheme="majorBidi" w:hAnsiTheme="majorBidi" w:cstheme="majorBidi"/>
          <w:sz w:val="28"/>
          <w:szCs w:val="28"/>
          <w:rtl/>
        </w:rPr>
        <w:t>، وموقع</w:t>
      </w:r>
      <w:r w:rsidRPr="00E154C9">
        <w:rPr>
          <w:rFonts w:asciiTheme="majorBidi" w:hAnsiTheme="majorBidi" w:cstheme="majorBidi"/>
          <w:sz w:val="28"/>
          <w:szCs w:val="28"/>
        </w:rPr>
        <w:t xml:space="preserve"> Mayo Clinic</w:t>
      </w:r>
      <w:r w:rsidRPr="00E154C9">
        <w:rPr>
          <w:rFonts w:asciiTheme="majorBidi" w:hAnsiTheme="majorBidi" w:cstheme="majorBidi"/>
          <w:sz w:val="28"/>
          <w:szCs w:val="28"/>
          <w:rtl/>
        </w:rPr>
        <w:t xml:space="preserve">، وكذلك النسخ الإلكترونية للمجلات الطبية مثل </w:t>
      </w:r>
      <w:r w:rsidRPr="00E154C9">
        <w:rPr>
          <w:rFonts w:asciiTheme="majorBidi" w:hAnsiTheme="majorBidi" w:cstheme="majorBidi"/>
          <w:i/>
          <w:iCs/>
          <w:sz w:val="28"/>
          <w:szCs w:val="28"/>
        </w:rPr>
        <w:t>Journal of Diabetes Science and Technology</w:t>
      </w:r>
      <w:r w:rsidRPr="00E154C9">
        <w:rPr>
          <w:rFonts w:asciiTheme="majorBidi" w:hAnsiTheme="majorBidi" w:cstheme="majorBidi"/>
          <w:sz w:val="28"/>
          <w:szCs w:val="28"/>
        </w:rPr>
        <w:t xml:space="preserve"> </w:t>
      </w:r>
      <w:r w:rsidRPr="00E154C9">
        <w:rPr>
          <w:rFonts w:asciiTheme="majorBidi" w:hAnsiTheme="majorBidi" w:cstheme="majorBidi"/>
          <w:sz w:val="28"/>
          <w:szCs w:val="28"/>
          <w:rtl/>
        </w:rPr>
        <w:t>التي تطرح مستجدات العلاج الرقمي والمراقبة الذكية لمرضى السكري</w:t>
      </w:r>
      <w:r w:rsidRPr="00E154C9">
        <w:rPr>
          <w:rFonts w:asciiTheme="majorBidi" w:hAnsiTheme="majorBidi" w:cstheme="majorBidi"/>
          <w:sz w:val="28"/>
          <w:szCs w:val="28"/>
        </w:rPr>
        <w:t xml:space="preserve"> (Fundoiano-Hershcovitz et al., 2021).</w:t>
      </w:r>
    </w:p>
    <w:p w14:paraId="53825FFD"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وفي العالم العربي، بدأت بعض المؤسسات الطبية الكبرى في إنشاء مواقع تفاعلية باللغة العربية تتضمن محتوى بصريًا ونصيًا موجهًا للمرضى، إضافة إلى خدمة الاستشارة الفورية عبر الإنترنت</w:t>
      </w:r>
      <w:r w:rsidRPr="00E154C9">
        <w:rPr>
          <w:rFonts w:asciiTheme="majorBidi" w:hAnsiTheme="majorBidi" w:cstheme="majorBidi"/>
          <w:sz w:val="28"/>
          <w:szCs w:val="28"/>
        </w:rPr>
        <w:t>.</w:t>
      </w:r>
    </w:p>
    <w:p w14:paraId="4BA944F3" w14:textId="77777777" w:rsidR="005D2EB9" w:rsidRPr="00E154C9" w:rsidRDefault="005D2EB9" w:rsidP="005D2EB9">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ثالثًا: التطبيقات الصحية الرقمية</w:t>
      </w:r>
      <w:r w:rsidRPr="00E154C9">
        <w:rPr>
          <w:rFonts w:asciiTheme="majorBidi" w:hAnsiTheme="majorBidi" w:cstheme="majorBidi"/>
          <w:b/>
          <w:bCs/>
          <w:sz w:val="28"/>
          <w:szCs w:val="28"/>
        </w:rPr>
        <w:t xml:space="preserve"> (Mobile Health Apps)</w:t>
      </w:r>
    </w:p>
    <w:p w14:paraId="37C70887"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تشكل التطبيقات الصحية الرقمية أحد أهم أدوات التحول الرقمي في القطاع الصحي، حيث أصبحت تلعب دورًا محوريًا في تعزيز التوعية الصحية، وتسهيل الوصول إلى الخدمات الطبية، وتحسين جودة الرعاية الصحية المقدمة للأفراد. تعتمد هذه التطبيقات على التكنولوجيا الرقمية الحديثة، وتستفيد من القدرات الكبيرة للهواتف الذكية، والأجهزة اللوحية، والحواسيب، لتقديم خدمات متنوعة تشمل التثقيف الصحي، المتابعة الطبية عن بُعد، إدارة الحالات المرضية، والتواصل بين المريض ومقدمي الرعاية الصحية</w:t>
      </w:r>
      <w:r w:rsidRPr="00E154C9">
        <w:rPr>
          <w:rFonts w:asciiTheme="majorBidi" w:hAnsiTheme="majorBidi" w:cstheme="majorBidi"/>
          <w:sz w:val="28"/>
          <w:szCs w:val="28"/>
        </w:rPr>
        <w:t>.</w:t>
      </w:r>
    </w:p>
    <w:p w14:paraId="699EEC3F"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تتميز التطبيقات الصحية الرقمية بسهولة الوصول إليها واستخدامها، إذ يمكن للمستخدمين تحميلها على أجهزتهم المحمولة، والاستفادة من محتواها وخدماتها في أي وقت ومكان. وهذا ينعكس إيجابيًا على رفع مستوى الوعي الصحي لدى الأفراد، خصوصًا في المجالات التي تتطلب متابعة مستمرة مثل الأمراض المزمنة، ومن ضمنها الأمراض العصبية المزمنة مثل التصلب اللويحي والباركنسون والزهايمر. فمثلاً، تتيح بعض التطبيقات للمصابين بهذه الأمراض إمكانية تتبع الأعراض اليومية، وتسجيل التغيرات الصحية، والحصول على تذكيرات لتناول الأدوية، مما يعزز من التزامهم بالخطة العلاجية ويحسن من نتائجهم الصحية</w:t>
      </w:r>
      <w:r w:rsidRPr="00E154C9">
        <w:rPr>
          <w:rFonts w:asciiTheme="majorBidi" w:hAnsiTheme="majorBidi" w:cstheme="majorBidi"/>
          <w:sz w:val="28"/>
          <w:szCs w:val="28"/>
        </w:rPr>
        <w:t>.</w:t>
      </w:r>
    </w:p>
    <w:p w14:paraId="10DA187D"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من جهة أخرى، تلعب هذه التطبيقات دورًا هامًا في تسهيل التواصل بين المرضى ومقدمي الرعاية الصحية، حيث توفر منصات آمنة لإرسال الرسائل، عقد الاستشارات الطبية عن بُعد، ومتابعة التطورات الصحية، مما يقلل من الحاجة للزيارات المباشرة إلى المراكز الصحية، ويخفف من العبء على النظام الصحي. وهذا الأمر ذو أهمية خاصة في المناطق النائية أو ذات الخدمات الصحية المحدودة، حيث يتيح الإعلام الرقمي والوصول إلى الإنترنت إمكانية تلقي الرعاية بشكل مستمر</w:t>
      </w:r>
      <w:r w:rsidRPr="00E154C9">
        <w:rPr>
          <w:rFonts w:asciiTheme="majorBidi" w:hAnsiTheme="majorBidi" w:cstheme="majorBidi"/>
          <w:sz w:val="28"/>
          <w:szCs w:val="28"/>
        </w:rPr>
        <w:t>.</w:t>
      </w:r>
    </w:p>
    <w:p w14:paraId="19EA2098"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في المملكة العربية السعودية، شهدت التطبيقات الصحية الرقمية تطورًا ملحوظًا، خاصة مع انطلاق رؤية 2030 التي تسعى إلى تحسين جودة الحياة، وتعزيز الصحة الرقمية. من أبرز هذه التطبيقات تطبيق "صحتي" الذي يتيح للمستخدمين حجز المواعيد، الاستفادة من خدمات التطعيم، متابعة نتائج الفحوصات، والحصول على نصائح صحية متنوعة. كما يوفر التطبيق معلومات موثوقة حول الأمراض وطرق الوقاية منها، مما يسهم في التوعية الصحية الرقمية للجمهور. كما أطلقت وزارة الصحة تطبيقات أخرى متخصصة في مجالات مثل التوعية بالسكري، والأمراض القلبية، وغيرها من الحالات المزمنة</w:t>
      </w:r>
      <w:r w:rsidRPr="00E154C9">
        <w:rPr>
          <w:rFonts w:asciiTheme="majorBidi" w:hAnsiTheme="majorBidi" w:cstheme="majorBidi"/>
          <w:sz w:val="28"/>
          <w:szCs w:val="28"/>
        </w:rPr>
        <w:t>.</w:t>
      </w:r>
    </w:p>
    <w:p w14:paraId="45F12F00"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إضافة إلى التطبيقات الحكومية، هناك العديد من المبادرات الخاصة التي تقدم تطبيقات صحية رقمية موجهة لشرائح محددة من المجتمع، مثل كبار السن أو مرضى الأمراض العصبية، حيث تحتوي هذه التطبيقات على محتوى توعوي مخصص، تمارين ذهنية، تعليمات للتعامل مع الأعراض، ودعم نفسي. وهذا التنوع في التطبيقات يعكس التوجه نحو تخصيص الرعاية الصحية الرقمية بما يتناسب مع احتياجات كل فرد</w:t>
      </w:r>
      <w:r w:rsidRPr="00E154C9">
        <w:rPr>
          <w:rFonts w:asciiTheme="majorBidi" w:hAnsiTheme="majorBidi" w:cstheme="majorBidi"/>
          <w:sz w:val="28"/>
          <w:szCs w:val="28"/>
        </w:rPr>
        <w:t>.</w:t>
      </w:r>
    </w:p>
    <w:p w14:paraId="50A4ED4A" w14:textId="77777777" w:rsidR="005D2EB9" w:rsidRPr="00E154C9" w:rsidRDefault="005D2EB9" w:rsidP="005D2EB9">
      <w:pPr>
        <w:spacing w:line="360" w:lineRule="auto"/>
        <w:rPr>
          <w:rFonts w:asciiTheme="majorBidi" w:hAnsiTheme="majorBidi" w:cstheme="majorBidi"/>
          <w:sz w:val="28"/>
          <w:szCs w:val="28"/>
          <w:rtl/>
        </w:rPr>
      </w:pPr>
      <w:r w:rsidRPr="00E154C9">
        <w:rPr>
          <w:rFonts w:asciiTheme="majorBidi" w:hAnsiTheme="majorBidi" w:cstheme="majorBidi"/>
          <w:sz w:val="28"/>
          <w:szCs w:val="28"/>
          <w:rtl/>
        </w:rPr>
        <w:t>في المجمل، تمثل التطبيقات الصحية الرقمية أداة فعالة لتعزيز التوعية الصحية، ودعم المرضى في إدارة حالاتهم الصحية، وتسهيل التواصل مع النظام الصحي، وهي جزء أساسي من مستقبل الرعاية الصحية الذكية. ومع استمرار تطورها، ستصبح هذه التطبيقات أكثر تكاملًا وذكاءً، مع إمكانية استخدام تقنيات متقدمة مثل الذكاء الاصطناعي وتحليل البيانات الكبيرة لتقديم خدمات مخصصة وشاملة تساهم في تحسين النتائج الصحية على مستوى الأفراد والمجتمعات</w:t>
      </w:r>
      <w:r w:rsidRPr="00E154C9">
        <w:rPr>
          <w:rFonts w:asciiTheme="majorBidi" w:hAnsiTheme="majorBidi" w:cstheme="majorBidi"/>
          <w:sz w:val="28"/>
          <w:szCs w:val="28"/>
        </w:rPr>
        <w:t>.</w:t>
      </w:r>
    </w:p>
    <w:p w14:paraId="62300500"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ولقد شهدت السنوات الأخيرة طفرة كبيرة في تطوير التطبيقات الصحية الرقمية، والتي تُعد من أكثر وسائل الإعلام الرقمي تخصصًا وفاعلية في التعامل مع الأمراض المزمنة، بما فيها الأمراض العصبية. تُستخدم هذه التطبيقات لمتابعة الحالات الصحية، وتذكير المرضى بمواعيد الأدوية، وتسجيل المؤشرات الحيوية، فضلًا عن تقديم محتوى تثقيفي موجه ومخصص لكل مستخدم حسب حالته</w:t>
      </w:r>
      <w:r w:rsidRPr="00E154C9">
        <w:rPr>
          <w:rFonts w:asciiTheme="majorBidi" w:hAnsiTheme="majorBidi" w:cstheme="majorBidi"/>
          <w:sz w:val="28"/>
          <w:szCs w:val="28"/>
        </w:rPr>
        <w:t>.</w:t>
      </w:r>
    </w:p>
    <w:p w14:paraId="673CB806"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دراسة</w:t>
      </w:r>
      <w:r w:rsidRPr="00E154C9">
        <w:rPr>
          <w:rFonts w:asciiTheme="majorBidi" w:hAnsiTheme="majorBidi" w:cstheme="majorBidi"/>
          <w:sz w:val="28"/>
          <w:szCs w:val="28"/>
        </w:rPr>
        <w:t xml:space="preserve"> Devi (2020) </w:t>
      </w:r>
      <w:r w:rsidRPr="00E154C9">
        <w:rPr>
          <w:rFonts w:asciiTheme="majorBidi" w:hAnsiTheme="majorBidi" w:cstheme="majorBidi"/>
          <w:sz w:val="28"/>
          <w:szCs w:val="28"/>
          <w:rtl/>
        </w:rPr>
        <w:t>بينت أن التطبيقات الصحية لعبت دورًا مهمًا في تحسين الوعي والمواقف لدى مرضى السكري، من خلال الدمج بين المعلومة الطبية والدعم السلوكي والتقني. كما أوضحت دراسة</w:t>
      </w:r>
      <w:r w:rsidRPr="00E154C9">
        <w:rPr>
          <w:rFonts w:asciiTheme="majorBidi" w:hAnsiTheme="majorBidi" w:cstheme="majorBidi"/>
          <w:sz w:val="28"/>
          <w:szCs w:val="28"/>
        </w:rPr>
        <w:t xml:space="preserve"> Wang &amp; Liao (2024) </w:t>
      </w:r>
      <w:r w:rsidRPr="00E154C9">
        <w:rPr>
          <w:rFonts w:asciiTheme="majorBidi" w:hAnsiTheme="majorBidi" w:cstheme="majorBidi"/>
          <w:sz w:val="28"/>
          <w:szCs w:val="28"/>
          <w:rtl/>
        </w:rPr>
        <w:t>أن العديد من هذه التطبيقات تعتمد على الذكاء الاصطناعي وخوارزميات التحليل للتنبؤ بالمضاعفات أو تقديم النصائح الطبية المناسبة</w:t>
      </w:r>
      <w:r w:rsidRPr="00E154C9">
        <w:rPr>
          <w:rFonts w:asciiTheme="majorBidi" w:hAnsiTheme="majorBidi" w:cstheme="majorBidi"/>
          <w:sz w:val="28"/>
          <w:szCs w:val="28"/>
        </w:rPr>
        <w:t>.</w:t>
      </w:r>
    </w:p>
    <w:p w14:paraId="1F6CB505"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وتشمل بعض هذه التطبيقات العالمية</w:t>
      </w:r>
      <w:r w:rsidRPr="00E154C9">
        <w:rPr>
          <w:rFonts w:asciiTheme="majorBidi" w:hAnsiTheme="majorBidi" w:cstheme="majorBidi"/>
          <w:sz w:val="28"/>
          <w:szCs w:val="28"/>
        </w:rPr>
        <w:t>: MySugr</w:t>
      </w:r>
      <w:r w:rsidRPr="00E154C9">
        <w:rPr>
          <w:rFonts w:asciiTheme="majorBidi" w:hAnsiTheme="majorBidi" w:cstheme="majorBidi"/>
          <w:sz w:val="28"/>
          <w:szCs w:val="28"/>
          <w:rtl/>
        </w:rPr>
        <w:t>، و</w:t>
      </w:r>
      <w:r w:rsidRPr="00E154C9">
        <w:rPr>
          <w:rFonts w:asciiTheme="majorBidi" w:hAnsiTheme="majorBidi" w:cstheme="majorBidi"/>
          <w:sz w:val="28"/>
          <w:szCs w:val="28"/>
        </w:rPr>
        <w:t>Epilepsy Journal</w:t>
      </w:r>
      <w:r w:rsidRPr="00E154C9">
        <w:rPr>
          <w:rFonts w:asciiTheme="majorBidi" w:hAnsiTheme="majorBidi" w:cstheme="majorBidi"/>
          <w:sz w:val="28"/>
          <w:szCs w:val="28"/>
          <w:rtl/>
        </w:rPr>
        <w:t>، و</w:t>
      </w:r>
      <w:r w:rsidRPr="00E154C9">
        <w:rPr>
          <w:rFonts w:asciiTheme="majorBidi" w:hAnsiTheme="majorBidi" w:cstheme="majorBidi"/>
          <w:sz w:val="28"/>
          <w:szCs w:val="28"/>
        </w:rPr>
        <w:t>Alzheimer's Daily Companion</w:t>
      </w:r>
      <w:r w:rsidRPr="00E154C9">
        <w:rPr>
          <w:rFonts w:asciiTheme="majorBidi" w:hAnsiTheme="majorBidi" w:cstheme="majorBidi"/>
          <w:sz w:val="28"/>
          <w:szCs w:val="28"/>
          <w:rtl/>
        </w:rPr>
        <w:t xml:space="preserve">، والتي تُقدم محتوى يوميًّا خاصًا بالمصابين بالأمراض العصبية المزمنة. في المقابل، بدأت </w:t>
      </w:r>
      <w:r w:rsidRPr="00E154C9">
        <w:rPr>
          <w:rFonts w:asciiTheme="majorBidi" w:hAnsiTheme="majorBidi" w:cstheme="majorBidi"/>
          <w:sz w:val="28"/>
          <w:szCs w:val="28"/>
          <w:rtl/>
        </w:rPr>
        <w:lastRenderedPageBreak/>
        <w:t>بعض الجهات السعودية في تطوير تطبيقات محلية تهدف إلى تحسين إدارة الأمراض، والتواصل بين المرضى والأطباء</w:t>
      </w:r>
      <w:r w:rsidRPr="00E154C9">
        <w:rPr>
          <w:rFonts w:asciiTheme="majorBidi" w:hAnsiTheme="majorBidi" w:cstheme="majorBidi"/>
          <w:sz w:val="28"/>
          <w:szCs w:val="28"/>
        </w:rPr>
        <w:t>.</w:t>
      </w:r>
    </w:p>
    <w:p w14:paraId="28693771" w14:textId="77777777" w:rsidR="005D2EB9" w:rsidRDefault="005D2EB9" w:rsidP="005D2EB9">
      <w:pPr>
        <w:spacing w:line="360" w:lineRule="auto"/>
        <w:rPr>
          <w:rFonts w:asciiTheme="majorBidi" w:hAnsiTheme="majorBidi" w:cstheme="majorBidi"/>
          <w:sz w:val="28"/>
          <w:szCs w:val="28"/>
          <w:rtl/>
        </w:rPr>
      </w:pPr>
      <w:r w:rsidRPr="00E154C9">
        <w:rPr>
          <w:rFonts w:asciiTheme="majorBidi" w:hAnsiTheme="majorBidi" w:cstheme="majorBidi"/>
          <w:sz w:val="28"/>
          <w:szCs w:val="28"/>
          <w:rtl/>
        </w:rPr>
        <w:t>وقد أكد المنسي وآخرون (2025) على أهمية دمج هذه التطبيقات في الحملات الوطنية التوعوية، وتوفير التدريب للأفراد على استخدامها بالشكل الأمثل، خصوصًا مع انتشار الهواتف الذكية في كافة مناطق المملكة، مما يجعل هذه الوسائل في متناول الجميع</w:t>
      </w:r>
      <w:r w:rsidRPr="00E154C9">
        <w:rPr>
          <w:rFonts w:asciiTheme="majorBidi" w:hAnsiTheme="majorBidi" w:cstheme="majorBidi"/>
          <w:sz w:val="28"/>
          <w:szCs w:val="28"/>
        </w:rPr>
        <w:t>.</w:t>
      </w:r>
    </w:p>
    <w:p w14:paraId="1AD95278" w14:textId="534235BF" w:rsidR="001B2A6C" w:rsidRDefault="005D2EB9" w:rsidP="005D2EB9">
      <w:pPr>
        <w:spacing w:line="360" w:lineRule="auto"/>
        <w:rPr>
          <w:rFonts w:asciiTheme="majorBidi" w:hAnsiTheme="majorBidi" w:cstheme="majorBidi"/>
          <w:sz w:val="28"/>
          <w:szCs w:val="28"/>
          <w:rtl/>
        </w:rPr>
      </w:pPr>
      <w:r w:rsidRPr="005D2EB9">
        <w:rPr>
          <w:rFonts w:asciiTheme="majorBidi" w:hAnsiTheme="majorBidi" w:cstheme="majorBidi" w:hint="cs"/>
          <w:sz w:val="28"/>
          <w:szCs w:val="28"/>
          <w:shd w:val="clear" w:color="auto" w:fill="F2CEED" w:themeFill="accent5" w:themeFillTint="33"/>
          <w:rtl/>
        </w:rPr>
        <w:t>رؤية الباحث</w:t>
      </w:r>
      <w:r>
        <w:rPr>
          <w:rFonts w:asciiTheme="majorBidi" w:hAnsiTheme="majorBidi" w:cstheme="majorBidi" w:hint="cs"/>
          <w:sz w:val="28"/>
          <w:szCs w:val="28"/>
          <w:shd w:val="clear" w:color="auto" w:fill="F2CEED" w:themeFill="accent5" w:themeFillTint="33"/>
          <w:rtl/>
        </w:rPr>
        <w:t>ة:</w:t>
      </w:r>
      <w:r w:rsidRPr="005D2EB9">
        <w:rPr>
          <w:rFonts w:asciiTheme="majorBidi" w:hAnsiTheme="majorBidi" w:cstheme="majorBidi" w:hint="cs"/>
          <w:sz w:val="28"/>
          <w:szCs w:val="28"/>
          <w:rtl/>
        </w:rPr>
        <w:t xml:space="preserve"> </w:t>
      </w:r>
      <w:r w:rsidRPr="005D2EB9">
        <w:rPr>
          <w:rFonts w:asciiTheme="majorBidi" w:hAnsiTheme="majorBidi" w:cstheme="majorBidi"/>
          <w:sz w:val="28"/>
          <w:szCs w:val="28"/>
          <w:rtl/>
        </w:rPr>
        <w:t>على الرغم من المزايا العديدة للتطبيقات الصحية الرقمية، إلا أن هناك تحديات تواجه انتشارها واستخدامها الفعّال، من أبرزها مسألة الخصوصية والأمان المعلوماتي، حيث يحتاج المستخدمون إلى ضمان حماية بياناتهم الصحية من التسرب أو الاستخدام غير المصرح به. كما أن وجود فوارق في المهارات الرقمية بين فئات المجتمع يؤثر على إمكانية استخدام هذه التطبيقات، مما يستدعي توفير برامج تدريبية وتوعية رقمية موازية لزيادة الكفاءة الرقمية. بالإضافة إلى ذلك، يجب التأكد من موثوقية المعلومات المقدمة من خلال هذه التطبيقات، وتحديثها باستمرار لتكون متوافقة مع أحدث المعايير الطبية</w:t>
      </w:r>
      <w:r w:rsidRPr="005D2EB9">
        <w:rPr>
          <w:rFonts w:asciiTheme="majorBidi" w:hAnsiTheme="majorBidi" w:cstheme="majorBidi"/>
          <w:sz w:val="28"/>
          <w:szCs w:val="28"/>
        </w:rPr>
        <w:t>.</w:t>
      </w:r>
    </w:p>
    <w:p w14:paraId="1D0225B1" w14:textId="77777777" w:rsidR="005D2EB9" w:rsidRPr="00E154C9" w:rsidRDefault="005D2EB9" w:rsidP="005D2EB9">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التكامل بين الأنواع الثلاثة</w:t>
      </w:r>
    </w:p>
    <w:p w14:paraId="766CC7FF" w14:textId="77777777" w:rsidR="005D2EB9" w:rsidRPr="00E154C9" w:rsidRDefault="005D2EB9" w:rsidP="005D2EB9">
      <w:pPr>
        <w:spacing w:line="360" w:lineRule="auto"/>
        <w:rPr>
          <w:rFonts w:asciiTheme="majorBidi" w:hAnsiTheme="majorBidi" w:cstheme="majorBidi"/>
          <w:sz w:val="28"/>
          <w:szCs w:val="28"/>
        </w:rPr>
      </w:pPr>
      <w:r w:rsidRPr="00E154C9">
        <w:rPr>
          <w:rFonts w:asciiTheme="majorBidi" w:hAnsiTheme="majorBidi" w:cstheme="majorBidi"/>
          <w:sz w:val="28"/>
          <w:szCs w:val="28"/>
          <w:rtl/>
        </w:rPr>
        <w:t>من المهم الإشارة إلى أن هذه الأنواع الثلاثة لا تعمل بمعزل عن بعضها، بل تتكامل ضمن منظومة إعلام رقمي صحية متكاملة. فالحسابات الرسمية على منصات التواصل الاجتماعي تُحيل المستخدم إلى مواقع طبية متخصصة، وتوصي بتنزيل تطبيقات معينة، مما يُعزز من تجربة التوعية الشاملة</w:t>
      </w:r>
      <w:r w:rsidRPr="00E154C9">
        <w:rPr>
          <w:rFonts w:asciiTheme="majorBidi" w:hAnsiTheme="majorBidi" w:cstheme="majorBidi"/>
          <w:sz w:val="28"/>
          <w:szCs w:val="28"/>
        </w:rPr>
        <w:t>.</w:t>
      </w:r>
    </w:p>
    <w:p w14:paraId="46417387" w14:textId="77777777" w:rsidR="005D2EB9" w:rsidRPr="00E154C9" w:rsidRDefault="005D2EB9" w:rsidP="005D2EB9">
      <w:pPr>
        <w:spacing w:line="360" w:lineRule="auto"/>
        <w:rPr>
          <w:rFonts w:asciiTheme="majorBidi" w:hAnsiTheme="majorBidi" w:cstheme="majorBidi"/>
          <w:sz w:val="28"/>
          <w:szCs w:val="28"/>
          <w:rtl/>
        </w:rPr>
      </w:pPr>
      <w:r w:rsidRPr="00E154C9">
        <w:rPr>
          <w:rFonts w:asciiTheme="majorBidi" w:hAnsiTheme="majorBidi" w:cstheme="majorBidi"/>
          <w:sz w:val="28"/>
          <w:szCs w:val="28"/>
          <w:rtl/>
        </w:rPr>
        <w:t>وتشير صبرة وواضحة (2024) إلى أن تكامل الإعلام الرقمي بهذه الصورة يسمح بتقديم محتوى متدرج ومتنوع، يلبّي احتياجات الجمهور بحسب مستوى ثقافتهم، ودرجة وعيهم، ونمط تلقيهم للمعلومات الصحية</w:t>
      </w:r>
      <w:r w:rsidRPr="00E154C9">
        <w:rPr>
          <w:rFonts w:asciiTheme="majorBidi" w:hAnsiTheme="majorBidi" w:cstheme="majorBidi"/>
          <w:sz w:val="28"/>
          <w:szCs w:val="28"/>
        </w:rPr>
        <w:t>.</w:t>
      </w:r>
    </w:p>
    <w:p w14:paraId="7358FEB7" w14:textId="77777777" w:rsidR="005D2EB9" w:rsidRDefault="005D2EB9" w:rsidP="005D2EB9">
      <w:pPr>
        <w:spacing w:line="360" w:lineRule="auto"/>
        <w:rPr>
          <w:rFonts w:asciiTheme="majorBidi" w:hAnsiTheme="majorBidi" w:cstheme="majorBidi"/>
          <w:b/>
          <w:bCs/>
          <w:sz w:val="28"/>
          <w:szCs w:val="28"/>
          <w:rtl/>
        </w:rPr>
      </w:pPr>
    </w:p>
    <w:p w14:paraId="181A25B0" w14:textId="34386A76" w:rsidR="005D2EB9" w:rsidRPr="00E154C9" w:rsidRDefault="005D2EB9" w:rsidP="005D2EB9">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t>المطلب الرابع: الإعلام الرقمي في السياق السعودي</w:t>
      </w:r>
    </w:p>
    <w:p w14:paraId="3E249C51" w14:textId="77777777" w:rsidR="005D2EB9" w:rsidRPr="005D2EB9" w:rsidRDefault="005D2EB9" w:rsidP="005D2EB9">
      <w:pPr>
        <w:spacing w:line="360" w:lineRule="auto"/>
        <w:rPr>
          <w:rFonts w:asciiTheme="majorBidi" w:hAnsiTheme="majorBidi" w:cstheme="majorBidi"/>
          <w:sz w:val="28"/>
          <w:szCs w:val="28"/>
        </w:rPr>
      </w:pPr>
      <w:r w:rsidRPr="005D2EB9">
        <w:rPr>
          <w:rFonts w:asciiTheme="majorBidi" w:hAnsiTheme="majorBidi" w:cstheme="majorBidi" w:hint="cs"/>
          <w:sz w:val="28"/>
          <w:szCs w:val="28"/>
          <w:rtl/>
        </w:rPr>
        <w:t xml:space="preserve">تمهيد: </w:t>
      </w:r>
      <w:r w:rsidRPr="005D2EB9">
        <w:rPr>
          <w:rFonts w:asciiTheme="majorBidi" w:hAnsiTheme="majorBidi" w:cstheme="majorBidi"/>
          <w:sz w:val="28"/>
          <w:szCs w:val="28"/>
          <w:rtl/>
        </w:rPr>
        <w:t>شهد الإعلام الرقمي في المملكة العربية السعودية تطورًا ملحوظًا خلال العقد الأخير، تماشيًا مع التحولات الاجتماعية والاقتصادية التي تقودها رؤية المملكة 2030، والتي أولت اهتمامًا خاصًا بالتحول الرقمي في مختلف القطاعات، بما في ذلك القطاع الصحي. وقد أسهم هذا التوجه في تعزيز استخدام الإعلام الرقمي كأداة للتثقيف الصحي ونشر الوعي بالأمراض، لا سيما الأمراض المزمنة والعصبية</w:t>
      </w:r>
      <w:r w:rsidRPr="005D2EB9">
        <w:rPr>
          <w:rFonts w:asciiTheme="majorBidi" w:hAnsiTheme="majorBidi" w:cstheme="majorBidi"/>
          <w:sz w:val="28"/>
          <w:szCs w:val="28"/>
        </w:rPr>
        <w:t>.</w:t>
      </w:r>
    </w:p>
    <w:p w14:paraId="1D8D9EED" w14:textId="77777777" w:rsidR="005D2EB9" w:rsidRPr="005D2EB9" w:rsidRDefault="005D2EB9" w:rsidP="005D2EB9">
      <w:pPr>
        <w:spacing w:line="360" w:lineRule="auto"/>
        <w:rPr>
          <w:rFonts w:asciiTheme="majorBidi" w:hAnsiTheme="majorBidi" w:cstheme="majorBidi"/>
          <w:sz w:val="28"/>
          <w:szCs w:val="28"/>
        </w:rPr>
      </w:pPr>
      <w:r w:rsidRPr="005D2EB9">
        <w:rPr>
          <w:rFonts w:asciiTheme="majorBidi" w:hAnsiTheme="majorBidi" w:cstheme="majorBidi"/>
          <w:sz w:val="28"/>
          <w:szCs w:val="28"/>
          <w:rtl/>
        </w:rPr>
        <w:lastRenderedPageBreak/>
        <w:t>وفقًا لتقرير هيئة الاتصالات والفضاء والتقنية السعودية لعام 2023، تجاوزت نسبة انتشار الإنترنت في المملكة 98%، فيما بلغ عدد مستخدمي منصات التواصل الاجتماعي أكثر من 29 مليون مستخدم، ما يشير إلى وجود بيئة رقمية خصبة يُمكن توظيفها في تعزيز الصحة العامة وتوجيه الرسائل التوعوية</w:t>
      </w:r>
      <w:r w:rsidRPr="005D2EB9">
        <w:rPr>
          <w:rFonts w:asciiTheme="majorBidi" w:hAnsiTheme="majorBidi" w:cstheme="majorBidi"/>
          <w:sz w:val="28"/>
          <w:szCs w:val="28"/>
        </w:rPr>
        <w:t xml:space="preserve"> (Wang &amp; Liao, 2024).</w:t>
      </w:r>
    </w:p>
    <w:p w14:paraId="5D16B938" w14:textId="77777777" w:rsidR="005D2EB9" w:rsidRPr="005D2EB9" w:rsidRDefault="005D2EB9" w:rsidP="005D2EB9">
      <w:pPr>
        <w:spacing w:line="360" w:lineRule="auto"/>
        <w:rPr>
          <w:rFonts w:asciiTheme="majorBidi" w:hAnsiTheme="majorBidi" w:cstheme="majorBidi"/>
          <w:b/>
          <w:bCs/>
          <w:sz w:val="28"/>
          <w:szCs w:val="28"/>
        </w:rPr>
      </w:pPr>
      <w:r w:rsidRPr="005D2EB9">
        <w:rPr>
          <w:rFonts w:asciiTheme="majorBidi" w:hAnsiTheme="majorBidi" w:cstheme="majorBidi"/>
          <w:b/>
          <w:bCs/>
          <w:sz w:val="28"/>
          <w:szCs w:val="28"/>
          <w:rtl/>
        </w:rPr>
        <w:t>التحول الرقمي في الصحة والإعلام</w:t>
      </w:r>
    </w:p>
    <w:p w14:paraId="66C4B8B1" w14:textId="77777777" w:rsidR="005D2EB9" w:rsidRPr="00E154C9" w:rsidRDefault="005D2EB9" w:rsidP="005D2EB9">
      <w:pPr>
        <w:spacing w:line="360" w:lineRule="auto"/>
        <w:rPr>
          <w:rFonts w:asciiTheme="majorBidi" w:hAnsiTheme="majorBidi" w:cstheme="majorBidi"/>
          <w:sz w:val="28"/>
          <w:szCs w:val="28"/>
        </w:rPr>
      </w:pPr>
      <w:r w:rsidRPr="005D2EB9">
        <w:rPr>
          <w:rFonts w:asciiTheme="majorBidi" w:hAnsiTheme="majorBidi" w:cstheme="majorBidi" w:hint="cs"/>
          <w:sz w:val="28"/>
          <w:szCs w:val="28"/>
          <w:rtl/>
        </w:rPr>
        <w:t xml:space="preserve">تمهيد: </w:t>
      </w:r>
      <w:r w:rsidRPr="005D2EB9">
        <w:rPr>
          <w:rFonts w:asciiTheme="majorBidi" w:hAnsiTheme="majorBidi" w:cstheme="majorBidi"/>
          <w:sz w:val="28"/>
          <w:szCs w:val="28"/>
          <w:rtl/>
        </w:rPr>
        <w:t>شهدت السنوات الأخيرة تحولات جذرية في قطاع الصحة والإعلام بفضل التطور المتسارع في التكنولوجيا الرقمية، حيث أصبح التحول الرقمي حجر الزاوية في تطوير الخدمات الصحية وتوصيل المعلومات الإعلامية بفاعلية عالية. يُقصد بالتحول الرقمي في الصحة استخدام التقنيات الرقمية مثل الإنترنت، الأجهزة الذكية، الذكاء الاصطناعي، البيانات الكبيرة، والتطبيقات الإلكترونية لتحسين جودة الرعاية الصحية، وزيادة كفاءتها، وتوسيع نطاق الوصول إلى الخدمات الطبية. أما في مجال الإعلام، فيُشير التحول الرقمي إلى تحول أساليب نشر الأخبار والمعلومات من الوسائط التقليدية إلى منصات رقمية تفاعلية، مما أتاح انتشارًا أسرع وتفاعلاً أعمق مع الجمهور</w:t>
      </w:r>
      <w:r w:rsidRPr="005D2EB9">
        <w:rPr>
          <w:rFonts w:asciiTheme="majorBidi" w:hAnsiTheme="majorBidi" w:cstheme="majorBidi"/>
          <w:sz w:val="28"/>
          <w:szCs w:val="28"/>
        </w:rPr>
        <w:t>.</w:t>
      </w:r>
    </w:p>
    <w:p w14:paraId="23EE446E" w14:textId="77777777" w:rsidR="005D2EB9" w:rsidRDefault="005D2EB9" w:rsidP="005D2EB9">
      <w:pPr>
        <w:spacing w:line="360" w:lineRule="auto"/>
        <w:rPr>
          <w:rFonts w:asciiTheme="majorBidi" w:hAnsiTheme="majorBidi" w:cstheme="majorBidi"/>
          <w:sz w:val="28"/>
          <w:szCs w:val="28"/>
          <w:rtl/>
        </w:rPr>
      </w:pPr>
      <w:r w:rsidRPr="00E154C9">
        <w:rPr>
          <w:rFonts w:asciiTheme="majorBidi" w:hAnsiTheme="majorBidi" w:cstheme="majorBidi"/>
          <w:sz w:val="28"/>
          <w:szCs w:val="28"/>
          <w:rtl/>
        </w:rPr>
        <w:t>في مجال الصحة، أسهم التحول الرقمي في إحداث نقلة نوعية من نظام الرعاية الصحية التقليدي المعتمد على الحضور المادي والتشخيص الظاهري، إلى نظام رقمي متكامل يتيح تقديم خدمات صحية عن بُعد، مراقبة الحالات المرضية إلكترونيًا، وتسهيل التواصل بين المرضى ومقدمي الرعاية الصحية. فمثلاً، يُمكن للمرضى اليوم استخدام تطبيقات الهاتف المحمول لمتابعة حالتهم الصحية، حجز المواعيد، استشارة الأطباء عبر الفيديو، وتلقي الإشعارات الطبية بشكل مستمر. وتدعم هذه التقنيات القدرة على جمع وتحليل بيانات صحية ضخمة تساعد في تحسين الخطط العلاجية واتخاذ القرارات الطبية المبنية على الأدلة العلمية</w:t>
      </w:r>
      <w:r w:rsidRPr="00E154C9">
        <w:rPr>
          <w:rFonts w:asciiTheme="majorBidi" w:hAnsiTheme="majorBidi" w:cstheme="majorBidi"/>
          <w:sz w:val="28"/>
          <w:szCs w:val="28"/>
        </w:rPr>
        <w:t>.</w:t>
      </w:r>
    </w:p>
    <w:p w14:paraId="523BA227" w14:textId="77777777" w:rsidR="00F16976" w:rsidRPr="00E154C9" w:rsidRDefault="00F16976" w:rsidP="00F16976">
      <w:pPr>
        <w:spacing w:line="360" w:lineRule="auto"/>
        <w:rPr>
          <w:rFonts w:asciiTheme="majorBidi" w:hAnsiTheme="majorBidi" w:cstheme="majorBidi"/>
          <w:sz w:val="28"/>
          <w:szCs w:val="28"/>
        </w:rPr>
      </w:pPr>
      <w:r w:rsidRPr="00E154C9">
        <w:rPr>
          <w:rFonts w:asciiTheme="majorBidi" w:hAnsiTheme="majorBidi" w:cstheme="majorBidi"/>
          <w:sz w:val="28"/>
          <w:szCs w:val="28"/>
          <w:rtl/>
        </w:rPr>
        <w:t>أما في الإعلام، فقد أدى التحول الرقمي إلى ظهور منصات إعلامية رقمية متنوعة مثل المواقع الإلكترونية، وسائل التواصل الاجتماعي، البودكاست، والفيديوهات الرقمية، التي أصبحت الوسيلة الأساسية لتلقي الأخبار والمعلومات. تتميز هذه الوسائط الرقمية بقدرتها على الوصول إلى جمهور واسع، وتوفير محتوى متنوع ومتخصص، مع إتاحة إمكانية التفاعل والمشاركة، وهو ما يخلق بيئة إعلامية حيوية تتيح للجمهور التعبير عن آرائه وتبادل الخبرات. هذا التحول سمح أيضًا بإنتاج محتوى إعلامي موجه وشخصي، يُلبي احتياجات محددة لفئات مختلفة من الجمهور</w:t>
      </w:r>
      <w:r w:rsidRPr="00E154C9">
        <w:rPr>
          <w:rFonts w:asciiTheme="majorBidi" w:hAnsiTheme="majorBidi" w:cstheme="majorBidi"/>
          <w:sz w:val="28"/>
          <w:szCs w:val="28"/>
        </w:rPr>
        <w:t>.</w:t>
      </w:r>
    </w:p>
    <w:p w14:paraId="34F10523" w14:textId="77777777" w:rsidR="00F16976" w:rsidRPr="00E154C9" w:rsidRDefault="00F16976" w:rsidP="00F16976">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يجتمع التحول الرقمي في الصحة والإعلام عند نقطة التوعية الصحية الرقمية، حيث أصبح الإعلام الرقمي هو القناة المثلى لنشر المعلومات الصحية وتثقيف الجمهور حول الأمراض والوقاية والعلاج. وقد أثبتت الحملات الرقمية فعاليتها في الوصول إلى شرائح واسعة من المجتمع بسرعة وبتكلفة منخفضة، مع إمكانية التقييم الفوري لمدى تأثير الرسائل الصحية. كما يتيح الإعلام الصحي الرقمي استخدام وسائل متعددة مثل الفيديوهات التفاعلية، الرسوم المتحركة، والبث المباشر لجعل المعلومات الطبية أكثر وضوحًا وجاذبية</w:t>
      </w:r>
      <w:r w:rsidRPr="00E154C9">
        <w:rPr>
          <w:rFonts w:asciiTheme="majorBidi" w:hAnsiTheme="majorBidi" w:cstheme="majorBidi"/>
          <w:sz w:val="28"/>
          <w:szCs w:val="28"/>
        </w:rPr>
        <w:t>.</w:t>
      </w:r>
    </w:p>
    <w:p w14:paraId="1D5EE210" w14:textId="77777777" w:rsidR="00F16976" w:rsidRPr="00E154C9" w:rsidRDefault="00F16976" w:rsidP="00F16976">
      <w:pPr>
        <w:spacing w:line="360" w:lineRule="auto"/>
        <w:rPr>
          <w:rFonts w:asciiTheme="majorBidi" w:hAnsiTheme="majorBidi" w:cstheme="majorBidi"/>
          <w:sz w:val="28"/>
          <w:szCs w:val="28"/>
        </w:rPr>
      </w:pPr>
      <w:r w:rsidRPr="00E154C9">
        <w:rPr>
          <w:rFonts w:asciiTheme="majorBidi" w:hAnsiTheme="majorBidi" w:cstheme="majorBidi"/>
          <w:sz w:val="28"/>
          <w:szCs w:val="28"/>
          <w:rtl/>
        </w:rPr>
        <w:t>في المملكة العربية السعودية، تسارعت وتيرة التحول الرقمي في الصحة والإعلام تماشيًا مع رؤية 2030 التي تعطي الأولوية للابتكار والتكنولوجيا لتحسين جودة الحياة. فقد طورت وزارة الصحة عددًا من المبادرات الرقمية مثل تطبيق "صحتي"، والمنصات التوعوية التي تستخدم الإعلام الرقمي لتثقيف المجتمع حول الأمراض المزمنة والصحة النفسية والأمراض العصبية. كما استثمرت الجهات الإعلامية السعودية في تبني المنصات الرقمية لإيصال الرسائل الصحية بطرق مبتكرة ومتنوعة، مستفيدة من الانتشار الواسع للإنترنت والهواتف الذكية بين السكان</w:t>
      </w:r>
      <w:r w:rsidRPr="00E154C9">
        <w:rPr>
          <w:rFonts w:asciiTheme="majorBidi" w:hAnsiTheme="majorBidi" w:cstheme="majorBidi"/>
          <w:sz w:val="28"/>
          <w:szCs w:val="28"/>
        </w:rPr>
        <w:t>.</w:t>
      </w:r>
    </w:p>
    <w:p w14:paraId="5C134B30" w14:textId="77777777" w:rsidR="00F16976" w:rsidRPr="00E154C9" w:rsidRDefault="00F16976" w:rsidP="00F16976">
      <w:pPr>
        <w:spacing w:line="360" w:lineRule="auto"/>
        <w:rPr>
          <w:rFonts w:asciiTheme="majorBidi" w:hAnsiTheme="majorBidi" w:cstheme="majorBidi"/>
          <w:sz w:val="28"/>
          <w:szCs w:val="28"/>
        </w:rPr>
      </w:pPr>
      <w:r w:rsidRPr="00E154C9">
        <w:rPr>
          <w:rFonts w:asciiTheme="majorBidi" w:hAnsiTheme="majorBidi" w:cstheme="majorBidi"/>
          <w:sz w:val="28"/>
          <w:szCs w:val="28"/>
          <w:rtl/>
        </w:rPr>
        <w:t>رغم الفوائد العديدة، يواجه التحول الرقمي في الصحة والإعلام تحديات مثل الحاجة إلى ضمان حماية البيانات الشخصية والصحية، ومكافحة المعلومات المغلوطة أو التضليلية، بالإضافة إلى اختلاف مستويات الثقافة الرقمية بين أفراد المجتمع. لذا فإن نجاح هذا التحول يعتمد على تطوير الأطر القانونية والتنظيمية، وتعزيز القدرات الرقمية للمستخدمين، ورفع جودة المحتوى الصحي الرقمي</w:t>
      </w:r>
      <w:r w:rsidRPr="00E154C9">
        <w:rPr>
          <w:rFonts w:asciiTheme="majorBidi" w:hAnsiTheme="majorBidi" w:cstheme="majorBidi"/>
          <w:sz w:val="28"/>
          <w:szCs w:val="28"/>
        </w:rPr>
        <w:t>.</w:t>
      </w:r>
    </w:p>
    <w:p w14:paraId="6B38664C" w14:textId="77777777" w:rsidR="00F16976" w:rsidRDefault="00F16976" w:rsidP="00F16976">
      <w:pPr>
        <w:spacing w:line="360" w:lineRule="auto"/>
        <w:rPr>
          <w:rFonts w:asciiTheme="majorBidi" w:hAnsiTheme="majorBidi" w:cstheme="majorBidi"/>
          <w:sz w:val="28"/>
          <w:szCs w:val="28"/>
          <w:rtl/>
        </w:rPr>
      </w:pPr>
      <w:r w:rsidRPr="00F16976">
        <w:rPr>
          <w:rFonts w:asciiTheme="majorBidi" w:hAnsiTheme="majorBidi" w:cstheme="majorBidi" w:hint="cs"/>
          <w:sz w:val="28"/>
          <w:szCs w:val="28"/>
          <w:shd w:val="clear" w:color="auto" w:fill="F2CEED" w:themeFill="accent5" w:themeFillTint="33"/>
          <w:rtl/>
        </w:rPr>
        <w:t>رؤية الباحثة:</w:t>
      </w:r>
      <w:r w:rsidRPr="00F16976">
        <w:rPr>
          <w:rFonts w:asciiTheme="majorBidi" w:hAnsiTheme="majorBidi" w:cstheme="majorBidi"/>
          <w:sz w:val="28"/>
          <w:szCs w:val="28"/>
          <w:rtl/>
        </w:rPr>
        <w:t xml:space="preserve"> يُمثل التحول الرقمي في الصحة والإعلام فرصة تاريخية لإعادة تشكيل العلاقة بين المجتمع والرعاية الصحية، وبين الجمهور والمعلومات الإعلامية. إنه يسهم في جعل الخدمات الصحية أكثر قربًا وسهولة، ويُعزز من انتشار التوعية الصحية، مما يدعم بناء مجتمع صحي واعٍ قادر على مواجهة التحديات الصحية المعاصرة بكفاءة وفاعلية</w:t>
      </w:r>
      <w:r w:rsidRPr="00F16976">
        <w:rPr>
          <w:rFonts w:asciiTheme="majorBidi" w:hAnsiTheme="majorBidi" w:cstheme="majorBidi"/>
          <w:sz w:val="28"/>
          <w:szCs w:val="28"/>
        </w:rPr>
        <w:t>.</w:t>
      </w:r>
    </w:p>
    <w:p w14:paraId="37AF75D6" w14:textId="77777777" w:rsidR="00F16976" w:rsidRDefault="00F16976" w:rsidP="00F16976">
      <w:pPr>
        <w:spacing w:line="360" w:lineRule="auto"/>
        <w:rPr>
          <w:rFonts w:asciiTheme="majorBidi" w:hAnsiTheme="majorBidi" w:cstheme="majorBidi"/>
          <w:sz w:val="28"/>
          <w:szCs w:val="28"/>
          <w:rtl/>
        </w:rPr>
      </w:pPr>
    </w:p>
    <w:p w14:paraId="3DFADEDF" w14:textId="77777777" w:rsidR="00F16976" w:rsidRDefault="00F16976" w:rsidP="00F16976">
      <w:pPr>
        <w:spacing w:line="360" w:lineRule="auto"/>
        <w:rPr>
          <w:rFonts w:asciiTheme="majorBidi" w:hAnsiTheme="majorBidi" w:cstheme="majorBidi"/>
          <w:sz w:val="28"/>
          <w:szCs w:val="28"/>
          <w:rtl/>
        </w:rPr>
      </w:pPr>
    </w:p>
    <w:p w14:paraId="087F9F66" w14:textId="77777777" w:rsidR="00F16976" w:rsidRPr="00903949" w:rsidRDefault="00F16976" w:rsidP="00F16976">
      <w:pPr>
        <w:spacing w:line="360" w:lineRule="auto"/>
        <w:rPr>
          <w:rFonts w:asciiTheme="majorBidi" w:hAnsiTheme="majorBidi" w:cstheme="majorBidi"/>
          <w:b/>
          <w:bCs/>
          <w:sz w:val="28"/>
          <w:szCs w:val="28"/>
        </w:rPr>
      </w:pPr>
      <w:r w:rsidRPr="00903949">
        <w:rPr>
          <w:rFonts w:asciiTheme="majorBidi" w:hAnsiTheme="majorBidi" w:cstheme="majorBidi"/>
          <w:b/>
          <w:bCs/>
          <w:sz w:val="28"/>
          <w:szCs w:val="28"/>
          <w:rtl/>
        </w:rPr>
        <w:t>الإعلام الرقمي والوعي الصحي المجتمعي</w:t>
      </w:r>
    </w:p>
    <w:p w14:paraId="2312C7ED" w14:textId="77777777" w:rsidR="00F16976" w:rsidRPr="00E154C9" w:rsidRDefault="00F16976" w:rsidP="00F16976">
      <w:pPr>
        <w:spacing w:line="360" w:lineRule="auto"/>
        <w:rPr>
          <w:rFonts w:asciiTheme="majorBidi" w:hAnsiTheme="majorBidi" w:cstheme="majorBidi"/>
          <w:sz w:val="28"/>
          <w:szCs w:val="28"/>
        </w:rPr>
      </w:pPr>
      <w:r w:rsidRPr="00903949">
        <w:rPr>
          <w:rFonts w:asciiTheme="majorBidi" w:hAnsiTheme="majorBidi" w:cstheme="majorBidi"/>
          <w:sz w:val="28"/>
          <w:szCs w:val="28"/>
          <w:rtl/>
        </w:rPr>
        <w:t xml:space="preserve">أظهرت الدراسات أن المواطنين السعوديين أصبحوا أكثر انخراطًا في استخدام الإعلام الرقمي لتلقّي المعلومات الصحية، خصوصًا في ما يتعلق بالأمراض المزمنة والنفسية والعصبية، والتي تتطلب متابعة </w:t>
      </w:r>
      <w:r w:rsidRPr="00903949">
        <w:rPr>
          <w:rFonts w:asciiTheme="majorBidi" w:hAnsiTheme="majorBidi" w:cstheme="majorBidi"/>
          <w:sz w:val="28"/>
          <w:szCs w:val="28"/>
          <w:rtl/>
        </w:rPr>
        <w:lastRenderedPageBreak/>
        <w:t>طويلة الأمد. وقد بيّنت دراسة علواني وعرعار (2024) أن الثقافة الصحية الرقمية في المجتمع السعودي بدأت تشهد نموًا واضحًا، مدعومة بتوجّه شبابي نحو البحث عن المعلومة الطبية عبر الإنترنت بدلاً من الاعتماد الحصري على القنوات التقليدية</w:t>
      </w:r>
      <w:r w:rsidRPr="00903949">
        <w:rPr>
          <w:rFonts w:asciiTheme="majorBidi" w:hAnsiTheme="majorBidi" w:cstheme="majorBidi"/>
          <w:sz w:val="28"/>
          <w:szCs w:val="28"/>
        </w:rPr>
        <w:t>.</w:t>
      </w:r>
    </w:p>
    <w:p w14:paraId="228C8799" w14:textId="77777777" w:rsidR="00F16976" w:rsidRDefault="00F16976" w:rsidP="00F16976">
      <w:pPr>
        <w:spacing w:line="360" w:lineRule="auto"/>
        <w:rPr>
          <w:rFonts w:asciiTheme="majorBidi" w:hAnsiTheme="majorBidi" w:cstheme="majorBidi"/>
          <w:sz w:val="28"/>
          <w:szCs w:val="28"/>
          <w:rtl/>
        </w:rPr>
      </w:pPr>
      <w:r w:rsidRPr="00E154C9">
        <w:rPr>
          <w:rFonts w:asciiTheme="majorBidi" w:hAnsiTheme="majorBidi" w:cstheme="majorBidi"/>
          <w:sz w:val="28"/>
          <w:szCs w:val="28"/>
          <w:rtl/>
        </w:rPr>
        <w:t>وفي السياق ذاته، أوضحت دراسة السلمي وعطيه (2022) أن الإعلام الرقمي لعب دورًا كبيرًا في رفع مستوى الوعي ببعض الأمراض المزمنة داخل المجتمع السعودي، خاصة مع تزايد الحملات التوعوية التي تستهدف الأفراد من مختلف الفئات العمرية، وبالأخص فئة الشباب التي تُعد الأكثر استخدامًا للتقنية</w:t>
      </w:r>
      <w:r w:rsidRPr="00E154C9">
        <w:rPr>
          <w:rFonts w:asciiTheme="majorBidi" w:hAnsiTheme="majorBidi" w:cstheme="majorBidi"/>
          <w:sz w:val="28"/>
          <w:szCs w:val="28"/>
        </w:rPr>
        <w:t>.</w:t>
      </w:r>
    </w:p>
    <w:p w14:paraId="7E2ACBF4" w14:textId="77777777" w:rsidR="00903949" w:rsidRPr="00E154C9" w:rsidRDefault="00903949" w:rsidP="00903949">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الإعلام الرقمي والتعامل مع الأمراض العصبية</w:t>
      </w:r>
    </w:p>
    <w:p w14:paraId="4ADF5E3B" w14:textId="77777777" w:rsidR="00903949" w:rsidRPr="00E154C9" w:rsidRDefault="00903949" w:rsidP="00903949">
      <w:pPr>
        <w:spacing w:line="360" w:lineRule="auto"/>
        <w:rPr>
          <w:rFonts w:asciiTheme="majorBidi" w:hAnsiTheme="majorBidi" w:cstheme="majorBidi"/>
          <w:sz w:val="28"/>
          <w:szCs w:val="28"/>
        </w:rPr>
      </w:pPr>
      <w:r w:rsidRPr="00E154C9">
        <w:rPr>
          <w:rFonts w:asciiTheme="majorBidi" w:hAnsiTheme="majorBidi" w:cstheme="majorBidi"/>
          <w:sz w:val="28"/>
          <w:szCs w:val="28"/>
          <w:rtl/>
        </w:rPr>
        <w:t>بالرغم من أن الإعلام الصحي الرقمي في السعودية ركّز في سنواته الأولى على الأمراض المنتشرة مثل السكري وأمراض القلب، إلا أن السنوات الأخيرة شهدت اتساعًا في التغطية الإعلامية الرقمية للأمراض العصبية المزمنة، مثل التصلب اللويحي والزهايمر والصرع. وقد ساهمت المبادرات الرقمية للمراكز الطبية والمستشفيات الكبرى في تسليط الضوء على هذه الفئة من الأمراض، عبر محتوى مرئي وتفاعلي يستهدف توعية المرضى وأسرهم ومقدمي الرعاية</w:t>
      </w:r>
      <w:r w:rsidRPr="00E154C9">
        <w:rPr>
          <w:rFonts w:asciiTheme="majorBidi" w:hAnsiTheme="majorBidi" w:cstheme="majorBidi"/>
          <w:sz w:val="28"/>
          <w:szCs w:val="28"/>
        </w:rPr>
        <w:t>.</w:t>
      </w:r>
    </w:p>
    <w:p w14:paraId="762ECA62" w14:textId="77777777" w:rsidR="00903949" w:rsidRPr="00E154C9" w:rsidRDefault="00903949" w:rsidP="00903949">
      <w:pPr>
        <w:spacing w:line="360" w:lineRule="auto"/>
        <w:rPr>
          <w:rFonts w:asciiTheme="majorBidi" w:hAnsiTheme="majorBidi" w:cstheme="majorBidi"/>
          <w:sz w:val="28"/>
          <w:szCs w:val="28"/>
        </w:rPr>
      </w:pPr>
      <w:r w:rsidRPr="00E154C9">
        <w:rPr>
          <w:rFonts w:asciiTheme="majorBidi" w:hAnsiTheme="majorBidi" w:cstheme="majorBidi"/>
          <w:sz w:val="28"/>
          <w:szCs w:val="28"/>
          <w:rtl/>
        </w:rPr>
        <w:t>وتشير دراسة المنسي وآخرون (2025) إلى أن الحملات الصحية الرقمية في السعودية بدأت تتجه نحو التخصص، من خلال توجيه الرسائل حسب نوع المرض، ونوع الجمهور المستهدف، مما عزّز من مستوى الاستجابة والفهم لدى المتابعين</w:t>
      </w:r>
      <w:r w:rsidRPr="00E154C9">
        <w:rPr>
          <w:rFonts w:asciiTheme="majorBidi" w:hAnsiTheme="majorBidi" w:cstheme="majorBidi"/>
          <w:sz w:val="28"/>
          <w:szCs w:val="28"/>
        </w:rPr>
        <w:t>.</w:t>
      </w:r>
    </w:p>
    <w:p w14:paraId="7C170058" w14:textId="77777777" w:rsidR="00903949" w:rsidRPr="00E154C9" w:rsidRDefault="00903949" w:rsidP="00903949">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الإعلام الرقمي كرافد لرؤية 2030</w:t>
      </w:r>
    </w:p>
    <w:p w14:paraId="19751BA5" w14:textId="77777777" w:rsidR="00903949" w:rsidRPr="00E154C9" w:rsidRDefault="00903949" w:rsidP="00903949">
      <w:pPr>
        <w:spacing w:line="360" w:lineRule="auto"/>
        <w:rPr>
          <w:rFonts w:asciiTheme="majorBidi" w:hAnsiTheme="majorBidi" w:cstheme="majorBidi"/>
          <w:sz w:val="28"/>
          <w:szCs w:val="28"/>
        </w:rPr>
      </w:pPr>
      <w:r w:rsidRPr="00E154C9">
        <w:rPr>
          <w:rFonts w:asciiTheme="majorBidi" w:hAnsiTheme="majorBidi" w:cstheme="majorBidi"/>
          <w:sz w:val="28"/>
          <w:szCs w:val="28"/>
          <w:rtl/>
        </w:rPr>
        <w:t>ضمن مبادرات التحول الوطني المنبثقة عن رؤية السعودية 2030، يأتي تطوير الإعلام الصحي الرقمي كأحد الأهداف الاستراتيجية المرتبطة بجودة الحياة. وتسعى الجهات الرسمية إلى تعزيز المحتوى الصحي الرقمي المحلي، وتدريب الكوادر الإعلامية والطبية على استخدام الوسائل الحديثة لإنتاج محتوى توعوي فعال ومؤثر</w:t>
      </w:r>
      <w:r w:rsidRPr="00E154C9">
        <w:rPr>
          <w:rFonts w:asciiTheme="majorBidi" w:hAnsiTheme="majorBidi" w:cstheme="majorBidi"/>
          <w:sz w:val="28"/>
          <w:szCs w:val="28"/>
        </w:rPr>
        <w:t>.</w:t>
      </w:r>
    </w:p>
    <w:p w14:paraId="196E0626" w14:textId="77777777" w:rsidR="00903949" w:rsidRDefault="00903949" w:rsidP="00F16976">
      <w:pPr>
        <w:spacing w:line="360" w:lineRule="auto"/>
        <w:rPr>
          <w:rFonts w:asciiTheme="majorBidi" w:hAnsiTheme="majorBidi" w:cstheme="majorBidi"/>
          <w:sz w:val="28"/>
          <w:szCs w:val="28"/>
          <w:rtl/>
        </w:rPr>
      </w:pPr>
    </w:p>
    <w:p w14:paraId="0660A6CD" w14:textId="77777777" w:rsidR="00903949" w:rsidRPr="00E154C9" w:rsidRDefault="00903949" w:rsidP="00903949">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ويُعد التعاون بين الجهات الصحية والإعلامية، سواء عبر الوزارات أو عبر الشراكات مع القطاع الخاص، من أبرز عوامل نجاح التجربة السعودية في هذا المجال. فوفقًا لدراسة خيرت حمزة (2023)، فإن التكامل </w:t>
      </w:r>
      <w:r w:rsidRPr="00E154C9">
        <w:rPr>
          <w:rFonts w:asciiTheme="majorBidi" w:hAnsiTheme="majorBidi" w:cstheme="majorBidi"/>
          <w:sz w:val="28"/>
          <w:szCs w:val="28"/>
          <w:rtl/>
        </w:rPr>
        <w:lastRenderedPageBreak/>
        <w:t>بين الإعلام الرقمي والمؤسسات الصحية أسهم في إنشاء بيئة معرفية تفاعلية تمكّن الأفراد من اتخاذ قرارات صحية مستنيرة</w:t>
      </w:r>
      <w:r w:rsidRPr="00E154C9">
        <w:rPr>
          <w:rFonts w:asciiTheme="majorBidi" w:hAnsiTheme="majorBidi" w:cstheme="majorBidi"/>
          <w:sz w:val="28"/>
          <w:szCs w:val="28"/>
        </w:rPr>
        <w:t>.</w:t>
      </w:r>
    </w:p>
    <w:p w14:paraId="44EBB71A" w14:textId="77777777" w:rsidR="00903949" w:rsidRPr="00E154C9" w:rsidRDefault="00903949" w:rsidP="00903949">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تحديات وتطلعات</w:t>
      </w:r>
    </w:p>
    <w:p w14:paraId="21DC35DE" w14:textId="77777777" w:rsidR="00903949" w:rsidRPr="00E154C9" w:rsidRDefault="00903949" w:rsidP="00903949">
      <w:pPr>
        <w:spacing w:line="360" w:lineRule="auto"/>
        <w:rPr>
          <w:rFonts w:asciiTheme="majorBidi" w:hAnsiTheme="majorBidi" w:cstheme="majorBidi"/>
          <w:sz w:val="28"/>
          <w:szCs w:val="28"/>
        </w:rPr>
      </w:pPr>
      <w:r w:rsidRPr="00E154C9">
        <w:rPr>
          <w:rFonts w:asciiTheme="majorBidi" w:hAnsiTheme="majorBidi" w:cstheme="majorBidi"/>
          <w:sz w:val="28"/>
          <w:szCs w:val="28"/>
          <w:rtl/>
        </w:rPr>
        <w:t>رغم هذا التقدم، لا تزال هناك تحديات تواجه الإعلام الرقمي الصحي في المملكة، أبرزها</w:t>
      </w:r>
      <w:r w:rsidRPr="00E154C9">
        <w:rPr>
          <w:rFonts w:asciiTheme="majorBidi" w:hAnsiTheme="majorBidi" w:cstheme="majorBidi"/>
          <w:sz w:val="28"/>
          <w:szCs w:val="28"/>
        </w:rPr>
        <w:t>:</w:t>
      </w:r>
    </w:p>
    <w:p w14:paraId="180B3BD3" w14:textId="77777777" w:rsidR="00903949" w:rsidRPr="00E154C9" w:rsidRDefault="00903949" w:rsidP="00903949">
      <w:pPr>
        <w:numPr>
          <w:ilvl w:val="0"/>
          <w:numId w:val="2"/>
        </w:numPr>
        <w:spacing w:line="360" w:lineRule="auto"/>
        <w:rPr>
          <w:rFonts w:asciiTheme="majorBidi" w:hAnsiTheme="majorBidi" w:cstheme="majorBidi"/>
          <w:sz w:val="28"/>
          <w:szCs w:val="28"/>
        </w:rPr>
      </w:pPr>
      <w:r w:rsidRPr="00E154C9">
        <w:rPr>
          <w:rFonts w:asciiTheme="majorBidi" w:hAnsiTheme="majorBidi" w:cstheme="majorBidi"/>
          <w:sz w:val="28"/>
          <w:szCs w:val="28"/>
          <w:rtl/>
        </w:rPr>
        <w:t>نقص المحتوى المتخصص باللغة العربية في بعض المجالات الدقيقة مثل الأمراض العصبية،</w:t>
      </w:r>
    </w:p>
    <w:p w14:paraId="0202CDA5" w14:textId="77777777" w:rsidR="00903949" w:rsidRPr="00E154C9" w:rsidRDefault="00903949" w:rsidP="00903949">
      <w:pPr>
        <w:numPr>
          <w:ilvl w:val="0"/>
          <w:numId w:val="2"/>
        </w:numPr>
        <w:spacing w:line="360" w:lineRule="auto"/>
        <w:rPr>
          <w:rFonts w:asciiTheme="majorBidi" w:hAnsiTheme="majorBidi" w:cstheme="majorBidi"/>
          <w:sz w:val="28"/>
          <w:szCs w:val="28"/>
        </w:rPr>
      </w:pPr>
      <w:r w:rsidRPr="00E154C9">
        <w:rPr>
          <w:rFonts w:asciiTheme="majorBidi" w:hAnsiTheme="majorBidi" w:cstheme="majorBidi"/>
          <w:sz w:val="28"/>
          <w:szCs w:val="28"/>
          <w:rtl/>
        </w:rPr>
        <w:t>تفاوت مستويات الثقافة الصحية الرقمية بين الفئات،</w:t>
      </w:r>
    </w:p>
    <w:p w14:paraId="4097EB10" w14:textId="77777777" w:rsidR="00903949" w:rsidRPr="00E154C9" w:rsidRDefault="00903949" w:rsidP="00903949">
      <w:pPr>
        <w:numPr>
          <w:ilvl w:val="0"/>
          <w:numId w:val="2"/>
        </w:numPr>
        <w:spacing w:line="360" w:lineRule="auto"/>
        <w:rPr>
          <w:rFonts w:asciiTheme="majorBidi" w:hAnsiTheme="majorBidi" w:cstheme="majorBidi"/>
          <w:sz w:val="28"/>
          <w:szCs w:val="28"/>
        </w:rPr>
      </w:pPr>
      <w:r w:rsidRPr="00E154C9">
        <w:rPr>
          <w:rFonts w:asciiTheme="majorBidi" w:hAnsiTheme="majorBidi" w:cstheme="majorBidi"/>
          <w:sz w:val="28"/>
          <w:szCs w:val="28"/>
          <w:rtl/>
        </w:rPr>
        <w:t>الحاجة إلى تقييم فعّال لمدى تأثير الحملات الرقمية على تغيير السلوك</w:t>
      </w:r>
      <w:r w:rsidRPr="00E154C9">
        <w:rPr>
          <w:rFonts w:asciiTheme="majorBidi" w:hAnsiTheme="majorBidi" w:cstheme="majorBidi"/>
          <w:sz w:val="28"/>
          <w:szCs w:val="28"/>
        </w:rPr>
        <w:t>.</w:t>
      </w:r>
    </w:p>
    <w:p w14:paraId="621979C0" w14:textId="1F21A088" w:rsidR="00903949" w:rsidRPr="00903949" w:rsidRDefault="00903949" w:rsidP="00903949">
      <w:pPr>
        <w:spacing w:line="360" w:lineRule="auto"/>
        <w:rPr>
          <w:rFonts w:asciiTheme="majorBidi" w:hAnsiTheme="majorBidi" w:cstheme="majorBidi"/>
          <w:sz w:val="28"/>
          <w:szCs w:val="28"/>
        </w:rPr>
      </w:pPr>
      <w:r w:rsidRPr="00E154C9">
        <w:rPr>
          <w:rFonts w:asciiTheme="majorBidi" w:hAnsiTheme="majorBidi" w:cstheme="majorBidi"/>
          <w:sz w:val="28"/>
          <w:szCs w:val="28"/>
          <w:rtl/>
        </w:rPr>
        <w:t>ولمعالجة هذه التحديات، أوصت العديد من الدراسات مثل دراسة صبرة وواضحة (2024) بضرورة تصميم حملات رقمية تستند إلى تحليل البيانات، وتُراعي الخصوصية الثقافية والاجتماعية للمجتمع السعودي، وتعتمد على الشراكة بين المؤثرين الرقميين والمختصين الطبيين لرفع مصداقية الرسائل التوعوية</w:t>
      </w:r>
    </w:p>
    <w:p w14:paraId="1CE9380B" w14:textId="60B1C63A" w:rsidR="00903949" w:rsidRPr="00E154C9" w:rsidRDefault="00903949" w:rsidP="00903949">
      <w:pPr>
        <w:spacing w:line="360" w:lineRule="auto"/>
        <w:rPr>
          <w:rFonts w:asciiTheme="majorBidi" w:hAnsiTheme="majorBidi" w:cstheme="majorBidi"/>
          <w:sz w:val="28"/>
          <w:szCs w:val="28"/>
          <w:rtl/>
        </w:rPr>
      </w:pPr>
      <w:r w:rsidRPr="00903949">
        <w:rPr>
          <w:rFonts w:asciiTheme="majorBidi" w:hAnsiTheme="majorBidi" w:cstheme="majorBidi" w:hint="cs"/>
          <w:sz w:val="28"/>
          <w:szCs w:val="28"/>
          <w:shd w:val="clear" w:color="auto" w:fill="F2CEED" w:themeFill="accent5" w:themeFillTint="33"/>
          <w:rtl/>
        </w:rPr>
        <w:t>رؤية الباحثة:</w:t>
      </w:r>
      <w:r w:rsidRPr="00903949">
        <w:rPr>
          <w:rFonts w:asciiTheme="majorBidi" w:hAnsiTheme="majorBidi" w:cstheme="majorBidi" w:hint="cs"/>
          <w:b/>
          <w:bCs/>
          <w:sz w:val="28"/>
          <w:szCs w:val="28"/>
          <w:rtl/>
        </w:rPr>
        <w:t xml:space="preserve"> </w:t>
      </w:r>
      <w:r w:rsidRPr="00903949">
        <w:rPr>
          <w:rFonts w:asciiTheme="majorBidi" w:hAnsiTheme="majorBidi" w:cstheme="majorBidi"/>
          <w:sz w:val="28"/>
          <w:szCs w:val="28"/>
          <w:rtl/>
        </w:rPr>
        <w:t>يتضح مما سبق أن الإعلام الرقمي في السعودية يُمثّل أداة استراتيجية في تعزيز الوعي الصحي، خاصة في ظل الانتشار الواسع للإنترنت، ودعم الدولة للتقنية الرقمية، واهتمام المجتمع بالمحتوى التفاعلي. وقد أصبح هذا الإعلام عنصرًا مهمًا في منظومة التثقيف الصحي الوطني، لا سيما فيما يتعلق بالأمراض المزمنة والعصبية، التي تتطلب تواصلاً دائمًا، ومعلومات دقيقة، ومصادر موثوقة. ومن المتوقع أن يستمر الإعلام الرقمي في لعب أدوار محورية في هذا المجال، مع ضرورة تطوير المحتوى المحلي، وبناء الثقة بين المؤسسات والجمهور، وتعزيز الثقافة الرقمية الصحية</w:t>
      </w:r>
      <w:r w:rsidRPr="00903949">
        <w:rPr>
          <w:rFonts w:asciiTheme="majorBidi" w:hAnsiTheme="majorBidi" w:cstheme="majorBidi"/>
          <w:sz w:val="28"/>
          <w:szCs w:val="28"/>
        </w:rPr>
        <w:t>.</w:t>
      </w:r>
    </w:p>
    <w:p w14:paraId="525FBF02" w14:textId="77777777" w:rsidR="00903949" w:rsidRPr="00E154C9" w:rsidRDefault="00903949" w:rsidP="00903949">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t>المبحث الثاني: التوعية الصحية في الإعلام</w:t>
      </w:r>
    </w:p>
    <w:p w14:paraId="3E2F904F" w14:textId="29766028" w:rsidR="00903949" w:rsidRPr="00E154C9" w:rsidRDefault="00903949" w:rsidP="00903949">
      <w:pPr>
        <w:spacing w:line="360" w:lineRule="auto"/>
        <w:rPr>
          <w:rFonts w:asciiTheme="majorBidi" w:hAnsiTheme="majorBidi" w:cstheme="majorBidi"/>
          <w:sz w:val="28"/>
          <w:szCs w:val="28"/>
        </w:rPr>
      </w:pPr>
      <w:r w:rsidRPr="00903949">
        <w:rPr>
          <w:rFonts w:asciiTheme="majorBidi" w:hAnsiTheme="majorBidi" w:cstheme="majorBidi" w:hint="cs"/>
          <w:sz w:val="28"/>
          <w:szCs w:val="28"/>
          <w:rtl/>
        </w:rPr>
        <w:t xml:space="preserve">تمهيد: </w:t>
      </w:r>
      <w:r w:rsidRPr="00903949">
        <w:rPr>
          <w:rFonts w:asciiTheme="majorBidi" w:hAnsiTheme="majorBidi" w:cstheme="majorBidi"/>
          <w:sz w:val="28"/>
          <w:szCs w:val="28"/>
          <w:rtl/>
        </w:rPr>
        <w:t>تُعد التوعية الصحية من العناصر الأساسية التي تسهم في تعزيز صحة الأفراد والمجتمعات، حيث تهدف إلى زيادة المعرفة وتغيير السلوكيات والحد من انتشار الأمراض. تعتمد التوعية الصحية على تقديم معلومات دقيقة ومبسطة مناسبة للجمهور لتسهيل اتخاذ القرارات الصحية الصائبة (عبد</w:t>
      </w:r>
      <w:r>
        <w:rPr>
          <w:rFonts w:asciiTheme="majorBidi" w:hAnsiTheme="majorBidi" w:cstheme="majorBidi" w:hint="cs"/>
          <w:sz w:val="28"/>
          <w:szCs w:val="28"/>
          <w:rtl/>
        </w:rPr>
        <w:t xml:space="preserve"> </w:t>
      </w:r>
      <w:r w:rsidRPr="00903949">
        <w:rPr>
          <w:rFonts w:asciiTheme="majorBidi" w:hAnsiTheme="majorBidi" w:cstheme="majorBidi"/>
          <w:sz w:val="28"/>
          <w:szCs w:val="28"/>
          <w:rtl/>
        </w:rPr>
        <w:t>المقصود، 2020). في ظل التطور التكنولوجي، أصبح الإعلام الرقمي من أهم الوسائل التي تُستخدم لنشر هذه الرسائل الصحية بفعالية واسعة</w:t>
      </w:r>
      <w:r w:rsidRPr="00903949">
        <w:rPr>
          <w:rFonts w:asciiTheme="majorBidi" w:hAnsiTheme="majorBidi" w:cstheme="majorBidi"/>
          <w:sz w:val="28"/>
          <w:szCs w:val="28"/>
        </w:rPr>
        <w:t xml:space="preserve"> (Wang &amp; Liao, 2024).</w:t>
      </w:r>
    </w:p>
    <w:p w14:paraId="41C005B5" w14:textId="77777777" w:rsidR="00903949" w:rsidRPr="00E154C9" w:rsidRDefault="00903949" w:rsidP="00903949">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تهدف التوعية الصحية إلى زيادة المعرفة الصحية لدى الجمهور من خلال تزويدهم بمعلومات موثوقة عن الأمراض وطرق الوقاية والعلاج، مما يساهم في تقليل الجهل وتعزيز الفهم العلمي (علواني وعرعار، 2024). كما تسعى إلى تغيير السلوك الصحي للأفراد عبر تحفيزهم على تبني عادات صحية سليمة مثل ممارسة الرياضة والالتزام بالعلاج</w:t>
      </w:r>
      <w:r w:rsidRPr="00E154C9">
        <w:rPr>
          <w:rFonts w:asciiTheme="majorBidi" w:hAnsiTheme="majorBidi" w:cstheme="majorBidi"/>
          <w:sz w:val="28"/>
          <w:szCs w:val="28"/>
        </w:rPr>
        <w:t xml:space="preserve"> (Devi, 2020). </w:t>
      </w:r>
      <w:r w:rsidRPr="00E154C9">
        <w:rPr>
          <w:rFonts w:asciiTheme="majorBidi" w:hAnsiTheme="majorBidi" w:cstheme="majorBidi"/>
          <w:sz w:val="28"/>
          <w:szCs w:val="28"/>
          <w:rtl/>
        </w:rPr>
        <w:t>بالإضافة إلى ذلك، تحفز التوعية الصحية المشاركة المجتمعية في المبادرات الصحية وحملات الكشف المبكر (دربال، 2018). كما تساهم في مكافحة انتشار المعلومات المغلوطة وتصحيحها (أبو زيد وآخرون، 2022)</w:t>
      </w:r>
      <w:r w:rsidRPr="00E154C9">
        <w:rPr>
          <w:rFonts w:asciiTheme="majorBidi" w:hAnsiTheme="majorBidi" w:cstheme="majorBidi"/>
          <w:sz w:val="28"/>
          <w:szCs w:val="28"/>
        </w:rPr>
        <w:t>.</w:t>
      </w:r>
    </w:p>
    <w:p w14:paraId="74410A08" w14:textId="77777777" w:rsidR="00903949" w:rsidRPr="00E154C9" w:rsidRDefault="00903949" w:rsidP="00903949">
      <w:pPr>
        <w:spacing w:line="360" w:lineRule="auto"/>
        <w:rPr>
          <w:rFonts w:asciiTheme="majorBidi" w:hAnsiTheme="majorBidi" w:cstheme="majorBidi"/>
          <w:sz w:val="28"/>
          <w:szCs w:val="28"/>
        </w:rPr>
      </w:pPr>
      <w:r w:rsidRPr="00E154C9">
        <w:rPr>
          <w:rFonts w:asciiTheme="majorBidi" w:hAnsiTheme="majorBidi" w:cstheme="majorBidi"/>
          <w:sz w:val="28"/>
          <w:szCs w:val="28"/>
          <w:rtl/>
        </w:rPr>
        <w:t>تتعدد أساليب التوعية الصحية في الإعلام بين التقليدية والحديثة، حيث يعتمد المحتوى المكتوب مثل المقالات والمدونات على تقديم معلومات موثقة وسهلة التوزيع، مع دعمها بالوسائط البصرية كالإنفوجرافيك والفيديوهات التعليمية (خيرت حمزة، 2023). كما أصبحت حملات التواصل الاجتماعي أداة رئيسية، إذ تتميز بسرعة الانتشار وإمكانية استهداف فئات معينة عبر فيسبوك وتويتر وإنستغرام (محمد إبراهيم وغريب، 2023). وتستخدم الندوات الإلكترونية والبث المباشر لتعزيز التفاعل المباشر مع الجمهور وزيادة مصداقية الرسائل</w:t>
      </w:r>
      <w:r w:rsidRPr="00E154C9">
        <w:rPr>
          <w:rFonts w:asciiTheme="majorBidi" w:hAnsiTheme="majorBidi" w:cstheme="majorBidi"/>
          <w:sz w:val="28"/>
          <w:szCs w:val="28"/>
        </w:rPr>
        <w:t xml:space="preserve"> (Wang &amp; Liao, 2024).</w:t>
      </w:r>
    </w:p>
    <w:p w14:paraId="7E2ABABB" w14:textId="77777777" w:rsidR="00903949" w:rsidRPr="00E154C9" w:rsidRDefault="00903949" w:rsidP="00903949">
      <w:pPr>
        <w:spacing w:line="360" w:lineRule="auto"/>
        <w:rPr>
          <w:rFonts w:asciiTheme="majorBidi" w:hAnsiTheme="majorBidi" w:cstheme="majorBidi"/>
          <w:sz w:val="28"/>
          <w:szCs w:val="28"/>
        </w:rPr>
      </w:pPr>
      <w:r w:rsidRPr="00E154C9">
        <w:rPr>
          <w:rFonts w:asciiTheme="majorBidi" w:hAnsiTheme="majorBidi" w:cstheme="majorBidi"/>
          <w:sz w:val="28"/>
          <w:szCs w:val="28"/>
          <w:rtl/>
        </w:rPr>
        <w:t>أصبحت الألعاب والتطبيقات التفاعلية أدوات مبتكرة لجذب الشباب والأطفال، حيث تقدم الرسائل الصحية بأسلوب ممتع وتفاعلي يساعد على التعلّم وتحفيز السلوك الصحي</w:t>
      </w:r>
      <w:r w:rsidRPr="00E154C9">
        <w:rPr>
          <w:rFonts w:asciiTheme="majorBidi" w:hAnsiTheme="majorBidi" w:cstheme="majorBidi"/>
          <w:sz w:val="28"/>
          <w:szCs w:val="28"/>
        </w:rPr>
        <w:t xml:space="preserve"> (Devi, 2020). </w:t>
      </w:r>
      <w:r w:rsidRPr="00E154C9">
        <w:rPr>
          <w:rFonts w:asciiTheme="majorBidi" w:hAnsiTheme="majorBidi" w:cstheme="majorBidi"/>
          <w:sz w:val="28"/>
          <w:szCs w:val="28"/>
          <w:rtl/>
        </w:rPr>
        <w:t>كما يلعب التعاون مع المؤثرين الرقميين دورًا مهمًا في نجاح الحملات التوعوية، فهم يستطيعون بناء علاقة ثقة مع المتابعين مما يجعل الرسائل أكثر تأثيرًا (صبرة وواضحة، 2024). هذا التنوع في الأساليب يعزز قدرة الإعلام الرقمي على الوصول إلى جمهور واسع ومتنوع</w:t>
      </w:r>
      <w:r w:rsidRPr="00E154C9">
        <w:rPr>
          <w:rFonts w:asciiTheme="majorBidi" w:hAnsiTheme="majorBidi" w:cstheme="majorBidi"/>
          <w:sz w:val="28"/>
          <w:szCs w:val="28"/>
        </w:rPr>
        <w:t>.</w:t>
      </w:r>
    </w:p>
    <w:p w14:paraId="484A9271" w14:textId="77777777" w:rsidR="00903949" w:rsidRPr="00E154C9" w:rsidRDefault="00903949" w:rsidP="00903949">
      <w:pPr>
        <w:spacing w:line="360" w:lineRule="auto"/>
        <w:rPr>
          <w:rFonts w:asciiTheme="majorBidi" w:hAnsiTheme="majorBidi" w:cstheme="majorBidi"/>
          <w:sz w:val="28"/>
          <w:szCs w:val="28"/>
        </w:rPr>
      </w:pPr>
      <w:r w:rsidRPr="00E154C9">
        <w:rPr>
          <w:rFonts w:asciiTheme="majorBidi" w:hAnsiTheme="majorBidi" w:cstheme="majorBidi"/>
          <w:sz w:val="28"/>
          <w:szCs w:val="28"/>
          <w:rtl/>
        </w:rPr>
        <w:t>مع ذلك، تواجه التوعية الصحية في الإعلام الرقمي تحديات عدة مثل انتشار المعلومات المضللة التي تنتشر بسرعة على منصات التواصل الاجتماعي مما يتطلب جهودًا لتصحيحها (أبو زيد وآخرون، 2022). كما أن التفاوت في الثقافة الرقمية بين الفئات السكانية يؤدي إلى صعوبة وصول الرسائل بفعالية إلى الجميع (السلمي وعطيه، 2022). إضافة إلى ذلك، هناك نقص في المحتوى الموجه الذي يراعي الفروق الثقافية والاجتماعية، مما يحد من استجابة بعض الفئات (علواني وعرعار، 2024). كما يعاني القطاع من ضعف في آليات تقييم تأثير الحملات مما يصعب تطويرها وتحسينها (صبرة وواضحة، 2024)</w:t>
      </w:r>
      <w:r w:rsidRPr="00E154C9">
        <w:rPr>
          <w:rFonts w:asciiTheme="majorBidi" w:hAnsiTheme="majorBidi" w:cstheme="majorBidi"/>
          <w:sz w:val="28"/>
          <w:szCs w:val="28"/>
        </w:rPr>
        <w:t>.</w:t>
      </w:r>
    </w:p>
    <w:p w14:paraId="6FE0D24A" w14:textId="77777777" w:rsidR="00903949" w:rsidRPr="00E154C9" w:rsidRDefault="00903949" w:rsidP="00903949">
      <w:pPr>
        <w:spacing w:line="360" w:lineRule="auto"/>
        <w:rPr>
          <w:rFonts w:asciiTheme="majorBidi" w:hAnsiTheme="majorBidi" w:cstheme="majorBidi"/>
          <w:sz w:val="28"/>
          <w:szCs w:val="28"/>
        </w:rPr>
      </w:pPr>
      <w:r w:rsidRPr="00E154C9">
        <w:rPr>
          <w:rFonts w:asciiTheme="majorBidi" w:hAnsiTheme="majorBidi" w:cstheme="majorBidi"/>
          <w:sz w:val="28"/>
          <w:szCs w:val="28"/>
          <w:rtl/>
        </w:rPr>
        <w:t>لضمان فاعلية التوعية الصحية يجب أن تكون الرسائل دقيقة وموثوقة، مستندة إلى مصادر علمية معروفة، وواضحة بعيدًا عن الغموض</w:t>
      </w:r>
      <w:r w:rsidRPr="00E154C9">
        <w:rPr>
          <w:rFonts w:asciiTheme="majorBidi" w:hAnsiTheme="majorBidi" w:cstheme="majorBidi"/>
          <w:sz w:val="28"/>
          <w:szCs w:val="28"/>
        </w:rPr>
        <w:t xml:space="preserve"> (Wang &amp; Liao, 2024). </w:t>
      </w:r>
      <w:r w:rsidRPr="00E154C9">
        <w:rPr>
          <w:rFonts w:asciiTheme="majorBidi" w:hAnsiTheme="majorBidi" w:cstheme="majorBidi"/>
          <w:sz w:val="28"/>
          <w:szCs w:val="28"/>
          <w:rtl/>
        </w:rPr>
        <w:t xml:space="preserve">كما ينبغي أن تراعي الملائمة الثقافية والاجتماعية </w:t>
      </w:r>
      <w:r w:rsidRPr="00E154C9">
        <w:rPr>
          <w:rFonts w:asciiTheme="majorBidi" w:hAnsiTheme="majorBidi" w:cstheme="majorBidi"/>
          <w:sz w:val="28"/>
          <w:szCs w:val="28"/>
          <w:rtl/>
        </w:rPr>
        <w:lastRenderedPageBreak/>
        <w:t>للجمهور المستهدف لضمان قبولها (علواني وعرعار، 2024). يجب استخدام لغة بسيطة وواضحة تناسب مختلف المستويات التعليمية مع تجنب المصطلحات المعقدة</w:t>
      </w:r>
      <w:r w:rsidRPr="00E154C9">
        <w:rPr>
          <w:rFonts w:asciiTheme="majorBidi" w:hAnsiTheme="majorBidi" w:cstheme="majorBidi"/>
          <w:sz w:val="28"/>
          <w:szCs w:val="28"/>
        </w:rPr>
        <w:t xml:space="preserve"> (Devi, 2020). </w:t>
      </w:r>
      <w:r w:rsidRPr="00E154C9">
        <w:rPr>
          <w:rFonts w:asciiTheme="majorBidi" w:hAnsiTheme="majorBidi" w:cstheme="majorBidi"/>
          <w:sz w:val="28"/>
          <w:szCs w:val="28"/>
          <w:rtl/>
        </w:rPr>
        <w:t>ويُفضل تكرار الرسائل عبر وسائل وأساليب متنوعة لتعزيز تثبيت المعلومات (محمد إبراهيم وغريب، 2023). بالإضافة إلى ذلك، فإن إتاحة التفاعل مع الجمهور وتحفيزه على المشاركة يعزز من تأثير الرسالة ويحفز التغيير السلوكي</w:t>
      </w:r>
      <w:r w:rsidRPr="00E154C9">
        <w:rPr>
          <w:rFonts w:asciiTheme="majorBidi" w:hAnsiTheme="majorBidi" w:cstheme="majorBidi"/>
          <w:sz w:val="28"/>
          <w:szCs w:val="28"/>
        </w:rPr>
        <w:t xml:space="preserve"> (Fundoiano-Hershcovitz et al., 2021).</w:t>
      </w:r>
    </w:p>
    <w:p w14:paraId="1EF04789" w14:textId="77777777" w:rsidR="00903949" w:rsidRPr="00E154C9" w:rsidRDefault="00903949" w:rsidP="00903949">
      <w:pPr>
        <w:spacing w:line="360" w:lineRule="auto"/>
        <w:rPr>
          <w:rFonts w:asciiTheme="majorBidi" w:hAnsiTheme="majorBidi" w:cstheme="majorBidi"/>
          <w:sz w:val="28"/>
          <w:szCs w:val="28"/>
          <w:rtl/>
        </w:rPr>
      </w:pPr>
      <w:r w:rsidRPr="00E154C9">
        <w:rPr>
          <w:rFonts w:asciiTheme="majorBidi" w:hAnsiTheme="majorBidi" w:cstheme="majorBidi"/>
          <w:sz w:val="28"/>
          <w:szCs w:val="28"/>
          <w:rtl/>
        </w:rPr>
        <w:t>يتضح مما سبق أن التوعية الصحية عبر الإعلام الرقمي عملية معقدة تتطلب تكامل المعرفة العلمية والتقنيات الحديثة وأساليب الاتصال المتنوعة. كما تواجه تحديات متعددة تتطلب حلولًا مبتكرة تراعي الخصوصيات الثقافية والاجتماعية للمجتمع. ومن هنا يظهر الدور الحيوي للإعلام الرقمي في تمكين المجتمعات من مواجهة الأمراض المزمنة والعصبية عبر توفير المعلومات الصحيحة وتحفيز السلوكيات الصحية وتعزيز المشاركة المجتمعية</w:t>
      </w:r>
      <w:r w:rsidRPr="00E154C9">
        <w:rPr>
          <w:rFonts w:asciiTheme="majorBidi" w:hAnsiTheme="majorBidi" w:cstheme="majorBidi"/>
          <w:sz w:val="28"/>
          <w:szCs w:val="28"/>
        </w:rPr>
        <w:t xml:space="preserve"> (Wang &amp; Liao, 2024</w:t>
      </w:r>
      <w:r w:rsidRPr="00E154C9">
        <w:rPr>
          <w:rFonts w:asciiTheme="majorBidi" w:hAnsiTheme="majorBidi" w:cstheme="majorBidi"/>
          <w:sz w:val="28"/>
          <w:szCs w:val="28"/>
          <w:rtl/>
        </w:rPr>
        <w:t>؛ علواني وعرعار، 2024</w:t>
      </w:r>
      <w:r w:rsidRPr="00E154C9">
        <w:rPr>
          <w:rFonts w:asciiTheme="majorBidi" w:hAnsiTheme="majorBidi" w:cstheme="majorBidi"/>
          <w:sz w:val="28"/>
          <w:szCs w:val="28"/>
        </w:rPr>
        <w:t>(</w:t>
      </w:r>
    </w:p>
    <w:p w14:paraId="395FD90E" w14:textId="77777777" w:rsidR="00903949" w:rsidRPr="00E154C9" w:rsidRDefault="00903949" w:rsidP="00903949">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t xml:space="preserve">المطلب </w:t>
      </w:r>
      <w:r>
        <w:rPr>
          <w:rFonts w:asciiTheme="majorBidi" w:hAnsiTheme="majorBidi" w:cstheme="majorBidi"/>
          <w:b/>
          <w:bCs/>
          <w:sz w:val="28"/>
          <w:szCs w:val="28"/>
          <w:rtl/>
        </w:rPr>
        <w:t>ال</w:t>
      </w:r>
      <w:r>
        <w:rPr>
          <w:rFonts w:asciiTheme="majorBidi" w:hAnsiTheme="majorBidi" w:cstheme="majorBidi" w:hint="cs"/>
          <w:b/>
          <w:bCs/>
          <w:sz w:val="28"/>
          <w:szCs w:val="28"/>
          <w:rtl/>
        </w:rPr>
        <w:t>أ</w:t>
      </w:r>
      <w:r w:rsidRPr="00E154C9">
        <w:rPr>
          <w:rFonts w:asciiTheme="majorBidi" w:hAnsiTheme="majorBidi" w:cstheme="majorBidi"/>
          <w:b/>
          <w:bCs/>
          <w:sz w:val="28"/>
          <w:szCs w:val="28"/>
          <w:rtl/>
        </w:rPr>
        <w:t>ول: مفهوم التوعية الصحية وأهدافها</w:t>
      </w:r>
    </w:p>
    <w:p w14:paraId="2D16CDD9" w14:textId="77777777" w:rsidR="00903949" w:rsidRPr="00E154C9" w:rsidRDefault="00903949" w:rsidP="00903949">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تُعتبر التوعية الصحية أحد أهم الأدوات التي تساهم في تحسين صحة الأفراد والمجتمعات، حيث تسعى إلى تعزيز المعرفة الصحية وتعديل السلوكيات بما يحد من انتشار الأمراض ويُعزز جودة الحياة. فهي عملية تعليمية مستمرة تهدف إلى إيصال المعلومات الصحية بطريقة مبسطة وواضحة تسهل على الجمهور فهمها وتطبيقها (عبدالمقصود، 2020). في ظل التطورات المتسارعة في مجال الإعلام الرقمي، أصبحت التوعية الصحية تستفيد من تقنيات حديثة تتيح توصيل الرسائل بطرق مبتكرة وجاذبة</w:t>
      </w:r>
      <w:r w:rsidRPr="00E154C9">
        <w:rPr>
          <w:rFonts w:asciiTheme="majorBidi" w:hAnsiTheme="majorBidi" w:cstheme="majorBidi"/>
          <w:sz w:val="28"/>
          <w:szCs w:val="28"/>
          <w:lang w:bidi="ar-EG"/>
        </w:rPr>
        <w:t xml:space="preserve"> (Wang &amp; Liao, 2024). </w:t>
      </w:r>
      <w:r w:rsidRPr="00E154C9">
        <w:rPr>
          <w:rFonts w:asciiTheme="majorBidi" w:hAnsiTheme="majorBidi" w:cstheme="majorBidi"/>
          <w:sz w:val="28"/>
          <w:szCs w:val="28"/>
          <w:rtl/>
        </w:rPr>
        <w:t>ومن خلال هذه العملية، يكتسب الفرد مهارات التعامل مع قضاياه الصحية بنفسه، مما يعزز دوره في المحافظة على صحته</w:t>
      </w:r>
      <w:r w:rsidRPr="00E154C9">
        <w:rPr>
          <w:rFonts w:asciiTheme="majorBidi" w:hAnsiTheme="majorBidi" w:cstheme="majorBidi"/>
          <w:sz w:val="28"/>
          <w:szCs w:val="28"/>
          <w:lang w:bidi="ar-EG"/>
        </w:rPr>
        <w:t>.</w:t>
      </w:r>
    </w:p>
    <w:p w14:paraId="5EE3B68D" w14:textId="77777777" w:rsidR="00903949" w:rsidRPr="00E154C9" w:rsidRDefault="00903949" w:rsidP="00903949">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تعرف التوعية الصحية أيضًا بأنها استراتيجية منظمة تهدف إلى رفع مستوى الوعي والاهتمام بالصحة العامة من خلال نشر المعرفة والمعلومات التي تمكن الأفراد من الوقاية والعلاج ومتابعة حالتهم الصحية (علواني وعرعار، 2024). وتتضمن هذه الاستراتيجية التثقيف الصحي الذي يركز على تقديم الحقائق العلمية والنصائح السليمة بأسلوب يراعي الخصوصيات الثقافية والاجتماعية. ويشير</w:t>
      </w:r>
      <w:r w:rsidRPr="00E154C9">
        <w:rPr>
          <w:rFonts w:asciiTheme="majorBidi" w:hAnsiTheme="majorBidi" w:cstheme="majorBidi"/>
          <w:sz w:val="28"/>
          <w:szCs w:val="28"/>
          <w:lang w:bidi="ar-EG"/>
        </w:rPr>
        <w:t xml:space="preserve"> Devi (2020) </w:t>
      </w:r>
      <w:r w:rsidRPr="00E154C9">
        <w:rPr>
          <w:rFonts w:asciiTheme="majorBidi" w:hAnsiTheme="majorBidi" w:cstheme="majorBidi"/>
          <w:sz w:val="28"/>
          <w:szCs w:val="28"/>
          <w:rtl/>
        </w:rPr>
        <w:t>إلى أن التوعية الصحية ليست فقط توصيل معلومات، بل هي عملية تغيير سلوكي تسعى لجعل الأفراد يتبنون ممارسات صحية مستدامة. لهذا السبب، فهي تعد ركيزة أساسية في الوقاية من الأمراض المزمنة التي تشكل عبئًا صحيًا واقتصاديًا كبيرًا</w:t>
      </w:r>
      <w:r w:rsidRPr="00E154C9">
        <w:rPr>
          <w:rFonts w:asciiTheme="majorBidi" w:hAnsiTheme="majorBidi" w:cstheme="majorBidi"/>
          <w:sz w:val="28"/>
          <w:szCs w:val="28"/>
          <w:lang w:bidi="ar-EG"/>
        </w:rPr>
        <w:t>.</w:t>
      </w:r>
    </w:p>
    <w:p w14:paraId="60DF2C51" w14:textId="77777777" w:rsidR="00903949" w:rsidRPr="00E154C9" w:rsidRDefault="00903949" w:rsidP="00903949">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lastRenderedPageBreak/>
        <w:t>تتمثل أهداف التوعية الصحية في عدة محاور رئيسية أولها زيادة المعرفة الصحية لدى الجمهور، وذلك من خلال تقديم معلومات دقيقة وموثوقة حول الأمراض وأسبابها وطرق الوقاية منها، ما يقلل من الخوف والجهل ويزيد من فهم الجمهور لمخاطر الإصابة (علواني وعرعار، 2024). ثانيًا، تسعى التوعية إلى تغيير السلوك الصحي للأفراد عبر تحفيزهم على تبني ممارسات صحية مثل اتباع نظام غذائي متوازن، ممارسة النشاط البدني، والامتناع عن العادات الضارة كالتدخين</w:t>
      </w:r>
      <w:r w:rsidRPr="00E154C9">
        <w:rPr>
          <w:rFonts w:asciiTheme="majorBidi" w:hAnsiTheme="majorBidi" w:cstheme="majorBidi"/>
          <w:sz w:val="28"/>
          <w:szCs w:val="28"/>
          <w:lang w:bidi="ar-EG"/>
        </w:rPr>
        <w:t xml:space="preserve"> (Devi, 2020). </w:t>
      </w:r>
      <w:r w:rsidRPr="00E154C9">
        <w:rPr>
          <w:rFonts w:asciiTheme="majorBidi" w:hAnsiTheme="majorBidi" w:cstheme="majorBidi"/>
          <w:sz w:val="28"/>
          <w:szCs w:val="28"/>
          <w:rtl/>
        </w:rPr>
        <w:t>ثالثًا، تعزيز المشاركة المجتمعية في الأنشطة الصحية مثل حملات الكشف المبكر والتطعيمات، إذ يعتبر إشراك المجتمع عاملًا فعالًا في تحسين النتائج الصحية (دربال، 2018). وأخيرًا، تمثل مكافحة المعلومات المغلوطة أحد الأهداف المهمة، حيث تسعى التوعية إلى تصحيح الشائعات والأخطاء التي قد تنتشر بسهولة خاصة على منصات التواصل الاجتماعي (أبو زيد وآخرون، 2022)</w:t>
      </w:r>
      <w:r w:rsidRPr="00E154C9">
        <w:rPr>
          <w:rFonts w:asciiTheme="majorBidi" w:hAnsiTheme="majorBidi" w:cstheme="majorBidi"/>
          <w:sz w:val="28"/>
          <w:szCs w:val="28"/>
          <w:lang w:bidi="ar-EG"/>
        </w:rPr>
        <w:t>.</w:t>
      </w:r>
    </w:p>
    <w:p w14:paraId="6CB40B3F" w14:textId="77777777" w:rsidR="00903949" w:rsidRPr="00E154C9" w:rsidRDefault="00903949" w:rsidP="00903949">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تعتمد التوعية الصحية على مبادئ علمية وأسس تربوية تهدف إلى إحداث تغيير إيجابي في سلوك الفرد والمجتمع من خلال رفع الوعي وبناء مهارات صحية. تؤكد منظمة الصحة العالمية أن التوعية الصحية تشمل كافة الأنشطة التي تمكّن الأفراد من اتخاذ قرارات صحية مستنيرة والعيش بحياة صحية</w:t>
      </w:r>
      <w:r w:rsidRPr="00E154C9">
        <w:rPr>
          <w:rFonts w:asciiTheme="majorBidi" w:hAnsiTheme="majorBidi" w:cstheme="majorBidi"/>
          <w:sz w:val="28"/>
          <w:szCs w:val="28"/>
          <w:lang w:bidi="ar-EG"/>
        </w:rPr>
        <w:t xml:space="preserve"> (Wang &amp; Liao, 2024). </w:t>
      </w:r>
      <w:r w:rsidRPr="00E154C9">
        <w:rPr>
          <w:rFonts w:asciiTheme="majorBidi" w:hAnsiTheme="majorBidi" w:cstheme="majorBidi"/>
          <w:sz w:val="28"/>
          <w:szCs w:val="28"/>
          <w:rtl/>
        </w:rPr>
        <w:t>وتعد العملية التعليمية الصحية متعددة الأبعاد، تشمل المعرفة والمهارات والمواقف، وهي تختلف عن مجرد التثقيف الطبي الذي يقتصر على المعلومات الطبية فقط (علواني وعرعار، 2024). وعليه، فإن تصميم برامج التوعية يتطلب فهمًا دقيقًا لاحتياجات المجتمع ومراعاة الفوارق الثقافية والاجتماعية</w:t>
      </w:r>
      <w:r w:rsidRPr="00E154C9">
        <w:rPr>
          <w:rFonts w:asciiTheme="majorBidi" w:hAnsiTheme="majorBidi" w:cstheme="majorBidi"/>
          <w:sz w:val="28"/>
          <w:szCs w:val="28"/>
          <w:lang w:bidi="ar-EG"/>
        </w:rPr>
        <w:t>.</w:t>
      </w:r>
    </w:p>
    <w:p w14:paraId="52205856" w14:textId="77777777" w:rsidR="00903949" w:rsidRPr="00E154C9" w:rsidRDefault="00903949" w:rsidP="00903949">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تاريخيًا، كانت التوعية الصحية تعتمد على الوسائل التقليدية مثل المحاضرات، والملصقات، والإذاعة، لكنها مع دخول الإعلام الرقمي شهدت تحولًا كبيرًا، حيث أصبح بالإمكان الوصول إلى جمهور أوسع بشكل أسرع وأكثر دقة. ويبرز هذا التوجه في استخدام المنصات الرقمية والتواصل الاجتماعي لتوجيه الرسائل الصحية بطرق مبتكرة تناسب مختلف الفئات العمرية والاجتماعية (محمد إبراهيم وغريب، 2023). كما أن الإعلام الرقمي يتيح تكرار الرسائل والتفاعل معها، مما يزيد من فرص فهمها وتأثيرها على السلوك</w:t>
      </w:r>
      <w:r w:rsidRPr="00E154C9">
        <w:rPr>
          <w:rFonts w:asciiTheme="majorBidi" w:hAnsiTheme="majorBidi" w:cstheme="majorBidi"/>
          <w:sz w:val="28"/>
          <w:szCs w:val="28"/>
          <w:lang w:bidi="ar-EG"/>
        </w:rPr>
        <w:t xml:space="preserve"> (Fundoiano-Hershcovitz et al., 2021). </w:t>
      </w:r>
      <w:r w:rsidRPr="00E154C9">
        <w:rPr>
          <w:rFonts w:asciiTheme="majorBidi" w:hAnsiTheme="majorBidi" w:cstheme="majorBidi"/>
          <w:sz w:val="28"/>
          <w:szCs w:val="28"/>
          <w:rtl/>
        </w:rPr>
        <w:t>ويشدد خيرت حمزة (2023) على أن الإعلام الرقمي يمثل آلية فعالة لتشكيل الرأي العام الصحي وتوجيهه نحو ممارسات صحية إيجابية</w:t>
      </w:r>
      <w:r w:rsidRPr="00E154C9">
        <w:rPr>
          <w:rFonts w:asciiTheme="majorBidi" w:hAnsiTheme="majorBidi" w:cstheme="majorBidi"/>
          <w:sz w:val="28"/>
          <w:szCs w:val="28"/>
          <w:lang w:bidi="ar-EG"/>
        </w:rPr>
        <w:t>.</w:t>
      </w:r>
    </w:p>
    <w:p w14:paraId="3DE9BD06" w14:textId="77777777" w:rsidR="00903949" w:rsidRPr="00E154C9" w:rsidRDefault="00903949" w:rsidP="00903949">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 xml:space="preserve">تُعتبر استراتيجيات التوعية الصحية متعددة ومتنوعة، منها تقديم المحتوى الإعلامي العلمي، وتنظيم الحملات الصحية الرقمية، والتعاون مع مؤثرين في المجال الصحي، واستخدام الألعاب والتطبيقات التفاعلية. فالتوعية الفعالة هي التي تأخذ بعين الاعتبار كيفية إيصال الرسائل بطريقة تناسب احتياجات الجمهور وتوقعاته، مع </w:t>
      </w:r>
      <w:r w:rsidRPr="00E154C9">
        <w:rPr>
          <w:rFonts w:asciiTheme="majorBidi" w:hAnsiTheme="majorBidi" w:cstheme="majorBidi"/>
          <w:sz w:val="28"/>
          <w:szCs w:val="28"/>
          <w:rtl/>
        </w:rPr>
        <w:lastRenderedPageBreak/>
        <w:t>مراعاة مستوى ثقافته الصحية وقدرته على استيعاب المعلومات</w:t>
      </w:r>
      <w:r w:rsidRPr="00E154C9">
        <w:rPr>
          <w:rFonts w:asciiTheme="majorBidi" w:hAnsiTheme="majorBidi" w:cstheme="majorBidi"/>
          <w:sz w:val="28"/>
          <w:szCs w:val="28"/>
          <w:lang w:bidi="ar-EG"/>
        </w:rPr>
        <w:t xml:space="preserve"> (Devi, 2020). </w:t>
      </w:r>
      <w:r w:rsidRPr="00E154C9">
        <w:rPr>
          <w:rFonts w:asciiTheme="majorBidi" w:hAnsiTheme="majorBidi" w:cstheme="majorBidi"/>
          <w:sz w:val="28"/>
          <w:szCs w:val="28"/>
          <w:rtl/>
        </w:rPr>
        <w:t>وهذا يتطلب التخطيط والتنفيذ المتقنين للحملات الإعلامية بحيث تحقق أهدافها بشكل مستدام</w:t>
      </w:r>
      <w:r w:rsidRPr="00E154C9">
        <w:rPr>
          <w:rFonts w:asciiTheme="majorBidi" w:hAnsiTheme="majorBidi" w:cstheme="majorBidi"/>
          <w:sz w:val="28"/>
          <w:szCs w:val="28"/>
          <w:lang w:bidi="ar-EG"/>
        </w:rPr>
        <w:t>.</w:t>
      </w:r>
    </w:p>
    <w:p w14:paraId="4B056A98" w14:textId="77777777" w:rsidR="00903949" w:rsidRPr="00E154C9" w:rsidRDefault="00903949" w:rsidP="00903949">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كما أن أهداف التوعية الصحية تشمل أيضًا الحد من الفجوات الصحية بين الفئات المختلفة، إذ تساعد هذه البرامج على تحسين وصول المعلومات إلى الفئات الأكثر عرضة للأمراض أو التي تعاني من نقص في المعرفة الصحية (السلمي وعطيه، 2022). إضافة إلى ذلك، تركز التوعية على تعزيز مفهوم الصحة النفسية والاجتماعية، الذي أصبح جزءًا لا يتجزأ من الصحة العامة، مما يدفع المجتمعات إلى التعامل بوعي أكبر مع الأمراض المزمنة والعصبية (علواني وعرعار، 2024). وهذا يشير إلى أهمية اعتماد منظور شامل للتوعية يأخذ بالاعتبار جميع أبعاد الصحة</w:t>
      </w:r>
      <w:r w:rsidRPr="00E154C9">
        <w:rPr>
          <w:rFonts w:asciiTheme="majorBidi" w:hAnsiTheme="majorBidi" w:cstheme="majorBidi"/>
          <w:sz w:val="28"/>
          <w:szCs w:val="28"/>
          <w:lang w:bidi="ar-EG"/>
        </w:rPr>
        <w:t>.</w:t>
      </w:r>
    </w:p>
    <w:p w14:paraId="7BA3DF45" w14:textId="77777777" w:rsidR="00903949" w:rsidRPr="00E154C9" w:rsidRDefault="00903949" w:rsidP="00903949">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تؤكد الدراسات الحديثة أن نجاح التوعية الصحية يعتمد على فهم العوامل النفسية والاجتماعية التي تؤثر في سلوك الفرد، فالرسائل التي تأخذ بعين الاعتبار دوافع الجمهور، ومخاوفه، ومصادر معلوماته، تكون أكثر قدرة على تحقيق التغيير المطلوب</w:t>
      </w:r>
      <w:r w:rsidRPr="00E154C9">
        <w:rPr>
          <w:rFonts w:asciiTheme="majorBidi" w:hAnsiTheme="majorBidi" w:cstheme="majorBidi"/>
          <w:sz w:val="28"/>
          <w:szCs w:val="28"/>
          <w:lang w:bidi="ar-EG"/>
        </w:rPr>
        <w:t xml:space="preserve"> (Fundoiano-Hershcovitz et al., 2021). </w:t>
      </w:r>
      <w:r w:rsidRPr="00E154C9">
        <w:rPr>
          <w:rFonts w:asciiTheme="majorBidi" w:hAnsiTheme="majorBidi" w:cstheme="majorBidi"/>
          <w:sz w:val="28"/>
          <w:szCs w:val="28"/>
          <w:rtl/>
        </w:rPr>
        <w:t>وعليه، فإن تصميم برامج التوعية يجب أن يتضمن بحثًا ميدانيًا لتحديد احتياجات الفئات المستهدفة والتحديات التي تواجهها. كذلك، يشير محمد إبراهيم وغريب (2023) إلى أن استخدام التحليل البياني لتتبع تفاعل الجمهور مع الرسائل يعزز من فعالية الحملات ويُساعد في تعديلها بما يتناسب مع النتائج</w:t>
      </w:r>
      <w:r w:rsidRPr="00E154C9">
        <w:rPr>
          <w:rFonts w:asciiTheme="majorBidi" w:hAnsiTheme="majorBidi" w:cstheme="majorBidi"/>
          <w:sz w:val="28"/>
          <w:szCs w:val="28"/>
          <w:lang w:bidi="ar-EG"/>
        </w:rPr>
        <w:t>.</w:t>
      </w:r>
    </w:p>
    <w:p w14:paraId="58B95A31" w14:textId="77777777" w:rsidR="00903949" w:rsidRPr="00E154C9" w:rsidRDefault="00903949" w:rsidP="00903949">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تتجلى أهمية التوعية الصحية أيضًا في الأزمات الصحية مثل جائحة كورونا، حيث لعبت دورًا محوريًا في نشر المعلومات الصحيحة حول الفيروس وطرق الوقاية منه، مما ساعد في تقليل العدوى وتحسين استجابة المجتمع (أبو زيد وآخرون، 2022). وقد أكدت الدراسات أن الحملات الرقمية والتوعية عبر وسائل التواصل الاجتماعي كانت من أهم العوامل التي ساهمت في رفع وعي المجتمع السعودي خلال الجائحة (محمد إبراهيم وغريب، 2023). ويُظهر ذلك قدرة التوعية الصحية على التأقلم مع الظروف الطارئة وتلبية الاحتياجات المتجددة للمجتمع</w:t>
      </w:r>
      <w:r w:rsidRPr="00E154C9">
        <w:rPr>
          <w:rFonts w:asciiTheme="majorBidi" w:hAnsiTheme="majorBidi" w:cstheme="majorBidi"/>
          <w:sz w:val="28"/>
          <w:szCs w:val="28"/>
          <w:lang w:bidi="ar-EG"/>
        </w:rPr>
        <w:t>.</w:t>
      </w:r>
    </w:p>
    <w:p w14:paraId="59C5FADE" w14:textId="77777777" w:rsidR="00903949" w:rsidRPr="00E154C9" w:rsidRDefault="00903949" w:rsidP="00903949">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تلعب التوعية الصحية دورًا بارزًا في تعزيز مفهوم المسؤولية الفردية تجاه الصحة، حيث تساهم في بناء وعي شخصي وجماعي يحد من السلوكيات الضارة ويشجع على اتباع إرشادات الصحة العامة</w:t>
      </w:r>
      <w:r w:rsidRPr="00E154C9">
        <w:rPr>
          <w:rFonts w:asciiTheme="majorBidi" w:hAnsiTheme="majorBidi" w:cstheme="majorBidi"/>
          <w:sz w:val="28"/>
          <w:szCs w:val="28"/>
          <w:lang w:bidi="ar-EG"/>
        </w:rPr>
        <w:t xml:space="preserve"> (Devi, 2020). </w:t>
      </w:r>
      <w:r w:rsidRPr="00E154C9">
        <w:rPr>
          <w:rFonts w:asciiTheme="majorBidi" w:hAnsiTheme="majorBidi" w:cstheme="majorBidi"/>
          <w:sz w:val="28"/>
          <w:szCs w:val="28"/>
          <w:rtl/>
        </w:rPr>
        <w:t>ويؤكد علواني وعرعار (2024) أن التوعية الناجحة تُحوّل المعرفة إلى ممارسات فعلية من خلال تحفيز الدوافع الذاتية وتوفير الدعم الاجتماعي والبيئي المناسب. ومن هنا يظهر أن التوعية ليست فقط نقلًا للمعلومات بل هي عملية تغيير متكاملة تتطلب التعاون بين الأفراد والمؤسسات</w:t>
      </w:r>
      <w:r w:rsidRPr="00E154C9">
        <w:rPr>
          <w:rFonts w:asciiTheme="majorBidi" w:hAnsiTheme="majorBidi" w:cstheme="majorBidi"/>
          <w:sz w:val="28"/>
          <w:szCs w:val="28"/>
          <w:lang w:bidi="ar-EG"/>
        </w:rPr>
        <w:t>.</w:t>
      </w:r>
    </w:p>
    <w:p w14:paraId="393C6697" w14:textId="77777777" w:rsidR="00903949" w:rsidRPr="00E154C9" w:rsidRDefault="00903949" w:rsidP="00903949">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lastRenderedPageBreak/>
        <w:t>بالإضافة إلى ذلك، تُعد التوعية الصحية أداة مهمة لتعزيز العدالة الصحية وتقليل الفوارق في الصحة بين مختلف الفئات الاجتماعية والاقتصادية. فبتوفير المعلومات والمهارات اللازمة للجميع، يمكن تمكين الفئات المهمشة من الوصول إلى الخدمات الصحية والوقاية من الأمراض بشكل أفضل (السلمي وعطيه، 2022). ومن هذا المنطلق، يتم توجيه الجهود لتطوير برامج توعية شاملة تراعي هذه الفوارق وتُصمم رسائل تناسب احتياجات الفئات المختلفة</w:t>
      </w:r>
      <w:r w:rsidRPr="00E154C9">
        <w:rPr>
          <w:rFonts w:asciiTheme="majorBidi" w:hAnsiTheme="majorBidi" w:cstheme="majorBidi"/>
          <w:sz w:val="28"/>
          <w:szCs w:val="28"/>
          <w:lang w:bidi="ar-EG"/>
        </w:rPr>
        <w:t>.</w:t>
      </w:r>
    </w:p>
    <w:p w14:paraId="5D3871FD" w14:textId="77777777" w:rsidR="00903949" w:rsidRPr="00E154C9" w:rsidRDefault="00903949" w:rsidP="00903949">
      <w:pPr>
        <w:spacing w:line="360" w:lineRule="auto"/>
        <w:rPr>
          <w:rFonts w:asciiTheme="majorBidi" w:hAnsiTheme="majorBidi" w:cstheme="majorBidi"/>
          <w:sz w:val="28"/>
          <w:szCs w:val="28"/>
          <w:rtl/>
          <w:lang w:bidi="ar-EG"/>
        </w:rPr>
      </w:pPr>
      <w:r w:rsidRPr="00E154C9">
        <w:rPr>
          <w:rFonts w:asciiTheme="majorBidi" w:hAnsiTheme="majorBidi" w:cstheme="majorBidi"/>
          <w:sz w:val="28"/>
          <w:szCs w:val="28"/>
          <w:rtl/>
        </w:rPr>
        <w:t>حيث إن مفهوم التوعية الصحية يتجاوز مجرد تقديم المعلومات إلى عملية تربوية وتثقيفية تهدف إلى إحداث تغيير مستدام في السلوك الصحي للأفراد والمجتمعات. كما أن أهدافها تتنوع بين زيادة المعرفة، تغيير السلوك، تعزيز المشاركة المجتمعية، ومكافحة المعلومات المغلوطة، مع ضرورة التكيّف مع متطلبات العصر الرقمي واستخدام الأدوات الحديثة لتحقيق أفضل النتائج</w:t>
      </w:r>
      <w:r w:rsidRPr="00E154C9">
        <w:rPr>
          <w:rFonts w:asciiTheme="majorBidi" w:hAnsiTheme="majorBidi" w:cstheme="majorBidi"/>
          <w:sz w:val="28"/>
          <w:szCs w:val="28"/>
          <w:lang w:bidi="ar-EG"/>
        </w:rPr>
        <w:t xml:space="preserve"> (Wang &amp; Liao, 2024</w:t>
      </w:r>
      <w:r w:rsidRPr="00E154C9">
        <w:rPr>
          <w:rFonts w:asciiTheme="majorBidi" w:hAnsiTheme="majorBidi" w:cstheme="majorBidi"/>
          <w:sz w:val="28"/>
          <w:szCs w:val="28"/>
          <w:rtl/>
        </w:rPr>
        <w:t>؛ علواني وعرعار، 2024). وهذا يتطلب استراتيجيات دقيقة ومتكاملة تعتمد على البحث العلمي والتقنيات الحديثة لتلبية الاحتياجات الصحية المتجددة</w:t>
      </w:r>
      <w:r w:rsidRPr="00E154C9">
        <w:rPr>
          <w:rFonts w:asciiTheme="majorBidi" w:hAnsiTheme="majorBidi" w:cstheme="majorBidi"/>
          <w:sz w:val="28"/>
          <w:szCs w:val="28"/>
          <w:lang w:bidi="ar-EG"/>
        </w:rPr>
        <w:t>.</w:t>
      </w:r>
    </w:p>
    <w:p w14:paraId="09645D9E" w14:textId="77777777" w:rsidR="00903949" w:rsidRPr="00E154C9" w:rsidRDefault="00903949" w:rsidP="00903949">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t>المطلب الثاني: أساليب التوعية الصحية عبر الإعلام</w:t>
      </w:r>
    </w:p>
    <w:p w14:paraId="6A681C16" w14:textId="77777777" w:rsidR="00903949" w:rsidRPr="00E154C9" w:rsidRDefault="00903949" w:rsidP="00903949">
      <w:pPr>
        <w:spacing w:line="360" w:lineRule="auto"/>
        <w:rPr>
          <w:rFonts w:asciiTheme="majorBidi" w:hAnsiTheme="majorBidi" w:cstheme="majorBidi"/>
          <w:sz w:val="28"/>
          <w:szCs w:val="28"/>
          <w:rtl/>
          <w:lang w:bidi="ar-EG"/>
        </w:rPr>
      </w:pPr>
      <w:r w:rsidRPr="00903949">
        <w:rPr>
          <w:rFonts w:asciiTheme="majorBidi" w:hAnsiTheme="majorBidi" w:cstheme="majorBidi" w:hint="cs"/>
          <w:sz w:val="28"/>
          <w:szCs w:val="28"/>
          <w:rtl/>
        </w:rPr>
        <w:t xml:space="preserve">تمهيد: </w:t>
      </w:r>
      <w:r w:rsidRPr="00903949">
        <w:rPr>
          <w:rFonts w:asciiTheme="majorBidi" w:hAnsiTheme="majorBidi" w:cstheme="majorBidi"/>
          <w:sz w:val="28"/>
          <w:szCs w:val="28"/>
          <w:rtl/>
        </w:rPr>
        <w:t>تتعدد أساليب التوعية الصحية عبر الإعلام بشكل كبير</w:t>
      </w:r>
      <w:r w:rsidRPr="00903949">
        <w:rPr>
          <w:rFonts w:asciiTheme="majorBidi" w:hAnsiTheme="majorBidi" w:cstheme="majorBidi" w:hint="cs"/>
          <w:sz w:val="28"/>
          <w:szCs w:val="28"/>
          <w:rtl/>
        </w:rPr>
        <w:t>؛</w:t>
      </w:r>
      <w:r w:rsidRPr="00903949">
        <w:rPr>
          <w:rFonts w:asciiTheme="majorBidi" w:hAnsiTheme="majorBidi" w:cstheme="majorBidi"/>
          <w:sz w:val="28"/>
          <w:szCs w:val="28"/>
          <w:rtl/>
        </w:rPr>
        <w:t xml:space="preserve"> لتتناسب مع اختلاف فئات الجمهور وتنوع القنوات الإعلامية، وتُعد الوسائل الرقمية الحديثة من أبرز هذه الأساليب نظرًا لقدرتها على الوصول السريع والواسع إلى المستهدفين</w:t>
      </w:r>
      <w:r w:rsidRPr="00903949">
        <w:rPr>
          <w:rFonts w:asciiTheme="majorBidi" w:hAnsiTheme="majorBidi" w:cstheme="majorBidi"/>
          <w:sz w:val="28"/>
          <w:szCs w:val="28"/>
        </w:rPr>
        <w:t xml:space="preserve"> (Wang &amp; Liao, 2024). </w:t>
      </w:r>
      <w:r w:rsidRPr="00903949">
        <w:rPr>
          <w:rFonts w:asciiTheme="majorBidi" w:hAnsiTheme="majorBidi" w:cstheme="majorBidi"/>
          <w:sz w:val="28"/>
          <w:szCs w:val="28"/>
          <w:rtl/>
        </w:rPr>
        <w:t>من بين هذه الأساليب، تعتمد الحملات الإعلامية على إنتاج محتوى متنوع يشمل مقالات، فيديوهات، وإنفوجرافيك يقدم معلومات مبسطة ودقيقة تساعد في رفع مستوى الوعي الصحي. كما تستخدم المنصات الرقمية التفاعلية التي تسمح للجمهور بالتفاعل وطرح الأسئلة مما يعزز فهم الرسائل الصحية (محمد إبراهيم وغريب، 2</w:t>
      </w:r>
      <w:r w:rsidRPr="00903949">
        <w:rPr>
          <w:rFonts w:asciiTheme="majorBidi" w:hAnsiTheme="majorBidi" w:cstheme="majorBidi" w:hint="cs"/>
          <w:sz w:val="28"/>
          <w:szCs w:val="28"/>
          <w:rtl/>
        </w:rPr>
        <w:t>0</w:t>
      </w:r>
      <w:r w:rsidRPr="00903949">
        <w:rPr>
          <w:rFonts w:asciiTheme="majorBidi" w:hAnsiTheme="majorBidi" w:cstheme="majorBidi"/>
          <w:sz w:val="28"/>
          <w:szCs w:val="28"/>
          <w:rtl/>
        </w:rPr>
        <w:t>02</w:t>
      </w:r>
      <w:r w:rsidRPr="00903949">
        <w:rPr>
          <w:rFonts w:asciiTheme="majorBidi" w:hAnsiTheme="majorBidi" w:cstheme="majorBidi" w:hint="cs"/>
          <w:sz w:val="28"/>
          <w:szCs w:val="28"/>
          <w:rtl/>
        </w:rPr>
        <w:t>)</w:t>
      </w:r>
      <w:r w:rsidRPr="00903949">
        <w:rPr>
          <w:rFonts w:asciiTheme="majorBidi" w:hAnsiTheme="majorBidi" w:cstheme="majorBidi"/>
          <w:sz w:val="28"/>
          <w:szCs w:val="28"/>
        </w:rPr>
        <w:t>.</w:t>
      </w:r>
    </w:p>
    <w:p w14:paraId="370A5FD8" w14:textId="77777777" w:rsidR="00903949" w:rsidRPr="00E154C9" w:rsidRDefault="00903949" w:rsidP="00903949">
      <w:pPr>
        <w:spacing w:line="360" w:lineRule="auto"/>
        <w:rPr>
          <w:rFonts w:asciiTheme="majorBidi" w:hAnsiTheme="majorBidi" w:cstheme="majorBidi"/>
          <w:sz w:val="28"/>
          <w:szCs w:val="28"/>
        </w:rPr>
      </w:pPr>
      <w:r w:rsidRPr="00E154C9">
        <w:rPr>
          <w:rFonts w:asciiTheme="majorBidi" w:hAnsiTheme="majorBidi" w:cstheme="majorBidi"/>
          <w:sz w:val="28"/>
          <w:szCs w:val="28"/>
          <w:rtl/>
        </w:rPr>
        <w:t>تُعتبر منصات التواصل الاجتماعي من أبرز الأساليب المستخدمة في التوعية الصحية حيث توفر بيئة تفاعلية تسمح بنشر الرسائل بشكل سريع وبتكلفة منخفضة مقارنة بالوسائل التقليدية (خيرت حمزة، 2023). تستخدم هذه المنصات محتوى متنوعًا كالمنشورات النصية، الصور، الفيديوهات القصيرة والبث المباشر، وتستهدف فئات عمرية مختلفة، خاصة الشباب. وتبرز أهمية التعاون مع المؤثرين الرقميين الذين يمتلكون قاعدة جماهيرية واسعة، إذ يستطيعون إيصال الرسائل بأسلوب شخصي وجذاب مما يزيد من تأثيرها (صبرة وواضحة، 2024)</w:t>
      </w:r>
      <w:r w:rsidRPr="00E154C9">
        <w:rPr>
          <w:rFonts w:asciiTheme="majorBidi" w:hAnsiTheme="majorBidi" w:cstheme="majorBidi"/>
          <w:sz w:val="28"/>
          <w:szCs w:val="28"/>
        </w:rPr>
        <w:t>.</w:t>
      </w:r>
    </w:p>
    <w:p w14:paraId="240BB1DE" w14:textId="77777777" w:rsidR="00903949" w:rsidRPr="00E154C9" w:rsidRDefault="00903949" w:rsidP="00903949">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تلعب الندوات والمحاضرات الإلكترونية دورًا بارزًا في التوعية الصحية خاصة في ظل جائحة كورونا، حيث تمكنت من توفير منصة آمنة للتواصل المباشر مع الخبراء وتقديم المعلومات الصحيحة للجمهور</w:t>
      </w:r>
      <w:r w:rsidRPr="00E154C9">
        <w:rPr>
          <w:rFonts w:asciiTheme="majorBidi" w:hAnsiTheme="majorBidi" w:cstheme="majorBidi"/>
          <w:sz w:val="28"/>
          <w:szCs w:val="28"/>
        </w:rPr>
        <w:t xml:space="preserve"> (Wang &amp; Liao, 2024). </w:t>
      </w:r>
      <w:r w:rsidRPr="00E154C9">
        <w:rPr>
          <w:rFonts w:asciiTheme="majorBidi" w:hAnsiTheme="majorBidi" w:cstheme="majorBidi"/>
          <w:sz w:val="28"/>
          <w:szCs w:val="28"/>
          <w:rtl/>
        </w:rPr>
        <w:t>وتتميز هذه الفعالية بقدرتها على الإجابة عن تساؤلات الجمهور بشكل فوري، مما يعزز مصداقية الرسالة ويزيد من تقبل الجمهور لها. كما يستخدم الإعلام الرقمي الألعاب التفاعلية والتطبيقات التعليمية كوسائل مبتكرة لجذب الفئات العمرية الصغيرة وتحفيزها على تعلم السلوكيات الصحية</w:t>
      </w:r>
      <w:r w:rsidRPr="00E154C9">
        <w:rPr>
          <w:rFonts w:asciiTheme="majorBidi" w:hAnsiTheme="majorBidi" w:cstheme="majorBidi"/>
          <w:sz w:val="28"/>
          <w:szCs w:val="28"/>
        </w:rPr>
        <w:t xml:space="preserve"> (Devi, 2020).</w:t>
      </w:r>
    </w:p>
    <w:p w14:paraId="6FB367AA" w14:textId="77777777" w:rsidR="00903949" w:rsidRPr="00E154C9" w:rsidRDefault="00903949" w:rsidP="00903949">
      <w:pPr>
        <w:spacing w:line="360" w:lineRule="auto"/>
        <w:rPr>
          <w:rFonts w:asciiTheme="majorBidi" w:hAnsiTheme="majorBidi" w:cstheme="majorBidi"/>
          <w:sz w:val="28"/>
          <w:szCs w:val="28"/>
        </w:rPr>
      </w:pPr>
      <w:r w:rsidRPr="00E154C9">
        <w:rPr>
          <w:rFonts w:asciiTheme="majorBidi" w:hAnsiTheme="majorBidi" w:cstheme="majorBidi"/>
          <w:sz w:val="28"/>
          <w:szCs w:val="28"/>
          <w:rtl/>
        </w:rPr>
        <w:t>تستخدم حملات التوعية الصحية عبر الإعلام أساليب سرد القصص أو "السرد القصصي" لإيصال الرسائل بطريقة إنسانية تؤثر في مشاعر الجمهور وتخلق ارتباطًا شخصيًا مع الموضوع، مما يزيد من احتمال تغير السلوك (صبرة وواضحة، 2024). ويُعد السرد وسيلة فعالة لجذب الانتباه وجعل المعلومات الصحية أكثر قربًا وواقعية، وخاصة عند تناول الأمراض المزمنة أو الحالات الصحية المعقدة. كما يُستخدم التكرار والتنوع في عرض الرسائل عبر وسائل متعددة لتعزيز تثبيت المعلومة وزيادة تأثيرها على المتلقي (محمد إبراهيم وغريب، 2023)</w:t>
      </w:r>
      <w:r w:rsidRPr="00E154C9">
        <w:rPr>
          <w:rFonts w:asciiTheme="majorBidi" w:hAnsiTheme="majorBidi" w:cstheme="majorBidi"/>
          <w:sz w:val="28"/>
          <w:szCs w:val="28"/>
        </w:rPr>
        <w:t>.</w:t>
      </w:r>
    </w:p>
    <w:p w14:paraId="509CD2AD" w14:textId="77777777" w:rsidR="00903949" w:rsidRPr="00E154C9" w:rsidRDefault="00903949" w:rsidP="00903949">
      <w:pPr>
        <w:spacing w:line="360" w:lineRule="auto"/>
        <w:rPr>
          <w:rFonts w:asciiTheme="majorBidi" w:hAnsiTheme="majorBidi" w:cstheme="majorBidi"/>
          <w:sz w:val="28"/>
          <w:szCs w:val="28"/>
        </w:rPr>
      </w:pPr>
      <w:r w:rsidRPr="00E154C9">
        <w:rPr>
          <w:rFonts w:asciiTheme="majorBidi" w:hAnsiTheme="majorBidi" w:cstheme="majorBidi"/>
          <w:sz w:val="28"/>
          <w:szCs w:val="28"/>
          <w:rtl/>
        </w:rPr>
        <w:t>تشكل التعاونات بين المؤسسات الصحية ووسائل الإعلام إحدى الاستراتيجيات الفعالة في التوعية الصحية، حيث تتيح نشر محتوى موثوق ومحدث بشكل مستمر (أبو زيد وآخرون، 2022). كما يتم تنظيم حملات إعلامية موسعة تتزامن مع أيام صحية عالمية ومحلية تستهدف توعية الجمهور بقضايا محددة. ويعتمد الإعلام الرقمي أيضًا على تحليل بيانات الجمهور لضبط الرسائل بما يتناسب مع الاهتمامات والمشكلات الصحية الأكثر انتشارًا في المجتمع، مما يزيد من دقة وفعالية التوعية</w:t>
      </w:r>
      <w:r w:rsidRPr="00E154C9">
        <w:rPr>
          <w:rFonts w:asciiTheme="majorBidi" w:hAnsiTheme="majorBidi" w:cstheme="majorBidi"/>
          <w:sz w:val="28"/>
          <w:szCs w:val="28"/>
        </w:rPr>
        <w:t xml:space="preserve"> (Fundoiano-Hershcovitz et al., 2021).</w:t>
      </w:r>
    </w:p>
    <w:p w14:paraId="2B4B22AC" w14:textId="77777777" w:rsidR="00903949" w:rsidRPr="00E154C9" w:rsidRDefault="00903949" w:rsidP="00903949">
      <w:pPr>
        <w:spacing w:line="360" w:lineRule="auto"/>
        <w:rPr>
          <w:rFonts w:asciiTheme="majorBidi" w:hAnsiTheme="majorBidi" w:cstheme="majorBidi"/>
          <w:sz w:val="28"/>
          <w:szCs w:val="28"/>
        </w:rPr>
      </w:pPr>
      <w:r w:rsidRPr="00E154C9">
        <w:rPr>
          <w:rFonts w:asciiTheme="majorBidi" w:hAnsiTheme="majorBidi" w:cstheme="majorBidi"/>
          <w:sz w:val="28"/>
          <w:szCs w:val="28"/>
          <w:rtl/>
        </w:rPr>
        <w:t>من الأساليب المهمة كذلك الاعتماد على الوسائط المتعددة التي تدمج النصوص، الصور، الفيديو، والرسومات المتحركة لتقديم محتوى صحي جاذب وسهل الفهم (خيرت حمزة، 2023). هذا التنوع في العرض يسهم في جذب شرائح مختلفة من الجمهور خصوصًا من لديهم مستويات تعليمية متباينة أو الذين يعانون من ضعف التركيز. كما يُسهم المحتوى المرئي والمسموع في تسهيل عملية التعلّم والاحتفاظ بالمعلومات مقارنة بالأساليب التقليدية التي تعتمد فقط على النصوص</w:t>
      </w:r>
      <w:r w:rsidRPr="00E154C9">
        <w:rPr>
          <w:rFonts w:asciiTheme="majorBidi" w:hAnsiTheme="majorBidi" w:cstheme="majorBidi"/>
          <w:sz w:val="28"/>
          <w:szCs w:val="28"/>
        </w:rPr>
        <w:t>.</w:t>
      </w:r>
    </w:p>
    <w:p w14:paraId="3A17B645" w14:textId="77777777" w:rsidR="00903949" w:rsidRPr="00903949" w:rsidRDefault="00903949" w:rsidP="00903949">
      <w:pPr>
        <w:spacing w:line="360" w:lineRule="auto"/>
        <w:rPr>
          <w:rFonts w:asciiTheme="majorBidi" w:hAnsiTheme="majorBidi" w:cstheme="majorBidi"/>
          <w:b/>
          <w:bCs/>
          <w:sz w:val="28"/>
          <w:szCs w:val="28"/>
          <w:rtl/>
          <w:lang w:bidi="ar-EG"/>
        </w:rPr>
      </w:pPr>
    </w:p>
    <w:p w14:paraId="5A65A534" w14:textId="77777777" w:rsidR="00F16976" w:rsidRPr="00F16976" w:rsidRDefault="00F16976" w:rsidP="00F16976">
      <w:pPr>
        <w:spacing w:line="360" w:lineRule="auto"/>
        <w:rPr>
          <w:rFonts w:asciiTheme="majorBidi" w:hAnsiTheme="majorBidi" w:cstheme="majorBidi"/>
          <w:sz w:val="28"/>
          <w:szCs w:val="28"/>
          <w:rtl/>
        </w:rPr>
      </w:pPr>
    </w:p>
    <w:p w14:paraId="3957C934" w14:textId="77777777" w:rsidR="00903949" w:rsidRPr="00E154C9" w:rsidRDefault="00903949" w:rsidP="00903949">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تستخدم بعض الحملات التوعوية استراتيجيات اللعب والتحفيز، حيث تقدم الجوائز أو الشهادات للمشاركين في البرامج التفاعلية، مما يشجع على المشاركة والالتزام بالرسائل الصحية</w:t>
      </w:r>
      <w:r w:rsidRPr="00E154C9">
        <w:rPr>
          <w:rFonts w:asciiTheme="majorBidi" w:hAnsiTheme="majorBidi" w:cstheme="majorBidi"/>
          <w:sz w:val="28"/>
          <w:szCs w:val="28"/>
        </w:rPr>
        <w:t xml:space="preserve"> (Devi, 2020). </w:t>
      </w:r>
      <w:r w:rsidRPr="00E154C9">
        <w:rPr>
          <w:rFonts w:asciiTheme="majorBidi" w:hAnsiTheme="majorBidi" w:cstheme="majorBidi"/>
          <w:sz w:val="28"/>
          <w:szCs w:val="28"/>
          <w:rtl/>
        </w:rPr>
        <w:t>كما أن الوسائل التفاعلية تتيح تتبع تقدم المتلقين وإعطائهم ملاحظات فورية، مما يساهم في تعديل سلوكهم الصحي تدريجيًا. ويشير الدراسات إلى أن التفاعل والمشاركة يعززان الشعور بالمسؤولية تجاه الصحة ويزيدان من فعالية البرامج التوعوية</w:t>
      </w:r>
      <w:r w:rsidRPr="00E154C9">
        <w:rPr>
          <w:rFonts w:asciiTheme="majorBidi" w:hAnsiTheme="majorBidi" w:cstheme="majorBidi"/>
          <w:sz w:val="28"/>
          <w:szCs w:val="28"/>
        </w:rPr>
        <w:t>.</w:t>
      </w:r>
    </w:p>
    <w:p w14:paraId="77CEABAD" w14:textId="593E16BE" w:rsidR="00903949" w:rsidRPr="005C5866" w:rsidRDefault="00903949" w:rsidP="00903949">
      <w:pPr>
        <w:spacing w:line="360" w:lineRule="auto"/>
        <w:rPr>
          <w:rFonts w:asciiTheme="majorBidi" w:hAnsiTheme="majorBidi" w:cstheme="majorBidi"/>
          <w:sz w:val="28"/>
          <w:szCs w:val="28"/>
          <w:shd w:val="clear" w:color="auto" w:fill="F2CEED" w:themeFill="accent5" w:themeFillTint="33"/>
        </w:rPr>
      </w:pPr>
      <w:r w:rsidRPr="00E154C9">
        <w:rPr>
          <w:rFonts w:asciiTheme="majorBidi" w:hAnsiTheme="majorBidi" w:cstheme="majorBidi"/>
          <w:sz w:val="28"/>
          <w:szCs w:val="28"/>
          <w:rtl/>
        </w:rPr>
        <w:t>تواجه أساليب التوعية الصحية تحديات تتمثل في مقاومة التغيير لدى بعض الأفراد بسبب العادات والتقاليد أو بسبب عدم الثقة في المصادر الرقمية (أبو زيد وآخرون، 2022). لذلك، من الضروري تصميم البرامج التوعوية بأساليب تراعي الخصوصيات الثقافية وتوفر محتوى يثير اهتمام الجمهور ويلبي حاجاته. ويُعد التقييم المستمر لمدى وصول وتأثير الرسائل من العوامل الحاسمة في تحسين الأساليب المستخدمة وتطويرها (</w:t>
      </w:r>
      <w:r w:rsidRPr="005C5866">
        <w:rPr>
          <w:rFonts w:asciiTheme="majorBidi" w:hAnsiTheme="majorBidi" w:cstheme="majorBidi"/>
          <w:sz w:val="28"/>
          <w:szCs w:val="28"/>
          <w:rtl/>
        </w:rPr>
        <w:t xml:space="preserve">صبرة </w:t>
      </w:r>
      <w:r w:rsidR="005C5866">
        <w:rPr>
          <w:rFonts w:asciiTheme="majorBidi" w:hAnsiTheme="majorBidi" w:cstheme="majorBidi" w:hint="cs"/>
          <w:sz w:val="28"/>
          <w:szCs w:val="28"/>
          <w:rtl/>
        </w:rPr>
        <w:t>وواضحة ، ٢٠٢٤) .</w:t>
      </w:r>
    </w:p>
    <w:p w14:paraId="4E9CF93E" w14:textId="576CC688" w:rsidR="00903949" w:rsidRPr="00E154C9" w:rsidRDefault="00903949" w:rsidP="00903949">
      <w:pPr>
        <w:spacing w:line="360" w:lineRule="auto"/>
        <w:rPr>
          <w:rFonts w:asciiTheme="majorBidi" w:hAnsiTheme="majorBidi" w:cstheme="majorBidi"/>
          <w:sz w:val="28"/>
          <w:szCs w:val="28"/>
          <w:rtl/>
        </w:rPr>
      </w:pPr>
      <w:r w:rsidRPr="005C5866">
        <w:rPr>
          <w:rFonts w:asciiTheme="majorBidi" w:hAnsiTheme="majorBidi" w:cstheme="majorBidi" w:hint="cs"/>
          <w:sz w:val="28"/>
          <w:szCs w:val="28"/>
          <w:u w:val="single"/>
          <w:shd w:val="clear" w:color="auto" w:fill="F2CEED" w:themeFill="accent5" w:themeFillTint="33"/>
          <w:rtl/>
        </w:rPr>
        <w:t>رؤية الباحثة:</w:t>
      </w:r>
      <w:r w:rsidRPr="005C5866">
        <w:rPr>
          <w:rFonts w:asciiTheme="majorBidi" w:hAnsiTheme="majorBidi" w:cstheme="majorBidi" w:hint="cs"/>
          <w:sz w:val="28"/>
          <w:szCs w:val="28"/>
          <w:u w:val="single"/>
          <w:rtl/>
        </w:rPr>
        <w:t xml:space="preserve"> </w:t>
      </w:r>
      <w:r w:rsidR="005C5866">
        <w:rPr>
          <w:rFonts w:asciiTheme="majorBidi" w:hAnsiTheme="majorBidi" w:cstheme="majorBidi" w:hint="cs"/>
          <w:sz w:val="28"/>
          <w:szCs w:val="28"/>
          <w:rtl/>
        </w:rPr>
        <w:t xml:space="preserve"> </w:t>
      </w:r>
      <w:r w:rsidRPr="00903949">
        <w:rPr>
          <w:rFonts w:asciiTheme="majorBidi" w:hAnsiTheme="majorBidi" w:cstheme="majorBidi"/>
          <w:sz w:val="28"/>
          <w:szCs w:val="28"/>
          <w:rtl/>
        </w:rPr>
        <w:t xml:space="preserve"> تتنوع أساليب التوعية الصحية في الإعلام بين استخدام منصات التواصل الاجتماعي، المحتوى التفاعلي، الحملات الموسمية، الوسائط المتعددة، والتعاون مع مؤثرين صحيين، مع التركيز على التفاعل والتخصيص لتحقيق أعلى أثرهذا التنوع يسمح بمواكبة التطورات التكنولوجية ويوفر فرصًا جديدة لتوصيل الرسائل الصحية بطرق مبتكرة وفعالة تناسب المتغيرات المجتمعية والثقافية. وبذلك يشكل الإعلام الرقمي أداة حيوية في بناء مجتمع واعٍ صحياً قادر على مواجهة الأمراض المزمنة والعصبية بفعالية</w:t>
      </w:r>
      <w:r w:rsidRPr="00903949">
        <w:rPr>
          <w:rFonts w:asciiTheme="majorBidi" w:hAnsiTheme="majorBidi" w:cstheme="majorBidi"/>
          <w:sz w:val="28"/>
          <w:szCs w:val="28"/>
        </w:rPr>
        <w:t>.</w:t>
      </w:r>
    </w:p>
    <w:p w14:paraId="3B80BB09" w14:textId="77777777" w:rsidR="005D2EB9" w:rsidRDefault="005D2EB9" w:rsidP="00F16976">
      <w:pPr>
        <w:spacing w:line="360" w:lineRule="auto"/>
        <w:rPr>
          <w:rFonts w:asciiTheme="majorBidi" w:hAnsiTheme="majorBidi" w:cstheme="majorBidi"/>
          <w:b/>
          <w:bCs/>
          <w:sz w:val="28"/>
          <w:szCs w:val="28"/>
          <w:rtl/>
        </w:rPr>
      </w:pPr>
    </w:p>
    <w:p w14:paraId="53FAB77F" w14:textId="77777777" w:rsidR="005C5866" w:rsidRPr="00E154C9" w:rsidRDefault="005C5866" w:rsidP="005C5866">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t>المطلب الثالث: التحديات التي تواجه التوعية الصحية</w:t>
      </w:r>
    </w:p>
    <w:p w14:paraId="545E52B6" w14:textId="77777777" w:rsidR="005C5866" w:rsidRPr="00E154C9" w:rsidRDefault="005C5866" w:rsidP="005C5866">
      <w:pPr>
        <w:spacing w:line="360" w:lineRule="auto"/>
        <w:rPr>
          <w:rFonts w:asciiTheme="majorBidi" w:hAnsiTheme="majorBidi" w:cstheme="majorBidi"/>
          <w:sz w:val="28"/>
          <w:szCs w:val="28"/>
        </w:rPr>
      </w:pPr>
      <w:r w:rsidRPr="005C5866">
        <w:rPr>
          <w:rFonts w:asciiTheme="majorBidi" w:hAnsiTheme="majorBidi" w:cstheme="majorBidi" w:hint="cs"/>
          <w:sz w:val="28"/>
          <w:szCs w:val="28"/>
          <w:rtl/>
        </w:rPr>
        <w:t xml:space="preserve">تمهيد: </w:t>
      </w:r>
      <w:r w:rsidRPr="005C5866">
        <w:rPr>
          <w:rFonts w:asciiTheme="majorBidi" w:hAnsiTheme="majorBidi" w:cstheme="majorBidi"/>
          <w:sz w:val="28"/>
          <w:szCs w:val="28"/>
          <w:rtl/>
        </w:rPr>
        <w:t>تواجه التوعية الصحية في العصر الرقمي العديد من التحديات التي تؤثر على فعاليتها وقدرتها على الوصول إلى الجمهور المستهدف بشكل فعال. من أبرز هذه التحديات انتشار المعلومات المضللة والشائعات الصحية التي تنتشر بسرعة كبيرة عبر منصات التواصل الاجتماعي، مما يخلق حالة من الارتباك والشك لدى الجمهور ويعيق تلقي الرسائل الصحية الصحيحة (أبو زيد وآخرون، 2022). ويُعتبر التصدي لهذه الظاهرة مهمة معقدة تتطلب جهودًا متكاملة من المؤسسات الصحية والإعلامية لتقديم معلومات موثوقة وتصحيح المفاهيم المغلوطة</w:t>
      </w:r>
      <w:r w:rsidRPr="005C5866">
        <w:rPr>
          <w:rFonts w:asciiTheme="majorBidi" w:hAnsiTheme="majorBidi" w:cstheme="majorBidi"/>
          <w:sz w:val="28"/>
          <w:szCs w:val="28"/>
        </w:rPr>
        <w:t>.</w:t>
      </w:r>
    </w:p>
    <w:p w14:paraId="4197E636"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إضافة إلى ذلك، يواجه الإعلام الصحي تحديات تتعلق بالتفاوت في الثقافة الرقمية بين فئات المجتمع المختلفة، حيث لا يمتلك جميع الأفراد نفس القدرات والمهارات في استخدام التكنولوجيا الرقمية مما يحد من </w:t>
      </w:r>
      <w:r w:rsidRPr="00E154C9">
        <w:rPr>
          <w:rFonts w:asciiTheme="majorBidi" w:hAnsiTheme="majorBidi" w:cstheme="majorBidi"/>
          <w:sz w:val="28"/>
          <w:szCs w:val="28"/>
          <w:rtl/>
        </w:rPr>
        <w:lastRenderedPageBreak/>
        <w:t>استفادتهم من الحملات التوعوية الإلكترونية (السلمي وعطيه، 2022). هذا التفاوت يعكس فروقات في العمر، المستوى التعليمي، والموقع الجغرافي، ما يتطلب تصميم رسائل صحية تراعي هذه الفروق لتصل بفاعلية إلى كل الفئات. كما أن قلة المحتوى الموجه بشكل دقيق لمختلف الشرائح الاجتماعية تؤدي إلى تقليل تأثير التوعية</w:t>
      </w:r>
      <w:r w:rsidRPr="00E154C9">
        <w:rPr>
          <w:rFonts w:asciiTheme="majorBidi" w:hAnsiTheme="majorBidi" w:cstheme="majorBidi"/>
          <w:sz w:val="28"/>
          <w:szCs w:val="28"/>
        </w:rPr>
        <w:t>.</w:t>
      </w:r>
    </w:p>
    <w:p w14:paraId="7B677424"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تعتبر مقاومة التغيير أحد التحديات النفسية والاجتماعية التي تواجه التوعية الصحية، حيث يميل بعض الأفراد إلى الالتزام بالعادات والتقاليد التي قد تكون مضرة بالصحة، بالإضافة إلى عدم الثقة في المعلومات الجديدة أو المصادر الرقمية (أبو زيد وآخرون، 2022). وقد تؤدي هذه المقاومة إلى رفض الرسائل الصحية وعدم تطبيقها، مما يضعف من فاعلية الحملات التوعوية. ولهذا فإن نجاح التوعية يتطلب بناء علاقة ثقة مع الجمهور واستخدام استراتيجيات تحفيزية تناسب السياق الثقافي</w:t>
      </w:r>
      <w:r w:rsidRPr="00E154C9">
        <w:rPr>
          <w:rFonts w:asciiTheme="majorBidi" w:hAnsiTheme="majorBidi" w:cstheme="majorBidi"/>
          <w:sz w:val="28"/>
          <w:szCs w:val="28"/>
        </w:rPr>
        <w:t>.</w:t>
      </w:r>
    </w:p>
    <w:p w14:paraId="4ADF70B4"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من ناحية أخرى، هناك تحديات مرتبطة بمحدودية الموارد المالية والبشرية المخصصة لبرامج التوعية الصحية، إذ تحتاج الحملات الرقمية إلى استثمارات في تطوير المحتوى، تدريب الكوادر، واستخدام تقنيات متطورة (خيرت حمزة، 2023). وقد تؤثر هذه المحدودية على جودة الرسائل وصعوبة الحفاظ على استمرارية الحملات مما يقلل من تأثيرها على المدى الطويل. كذلك فإن ضعف التنسيق بين الجهات المعنية قد يؤدي إلى تكرار الجهود أو تضارب الرسائل الموجهة للجمهور</w:t>
      </w:r>
      <w:r w:rsidRPr="00E154C9">
        <w:rPr>
          <w:rFonts w:asciiTheme="majorBidi" w:hAnsiTheme="majorBidi" w:cstheme="majorBidi"/>
          <w:sz w:val="28"/>
          <w:szCs w:val="28"/>
        </w:rPr>
        <w:t>.</w:t>
      </w:r>
    </w:p>
    <w:p w14:paraId="78F38B52"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بالإضافة إلى ما سبق، تبرز مشكلة ضعف آليات التقييم والمتابعة كعائق أمام تطوير وتحسين التوعية الصحية، حيث تفتقر العديد من البرامج إلى مؤشرات دقيقة لقياس مدى وصول وتأثير الرسائل على سلوك الجمهور (صبرة وواضحة، 2024). وهذا يجعل من الصعب تعديل الاستراتيجيات بما يتناسب مع النتائج الفعلية أو التعامل مع العقبات الجديدة. وتؤكد الدراسات الحديثة على أهمية إدخال أدوات تحليل البيانات والذكاء الاصطناعي في متابعة الحملات الصحية الرقمية لتعزيز فاعليتها</w:t>
      </w:r>
      <w:r w:rsidRPr="00E154C9">
        <w:rPr>
          <w:rFonts w:asciiTheme="majorBidi" w:hAnsiTheme="majorBidi" w:cstheme="majorBidi"/>
          <w:sz w:val="28"/>
          <w:szCs w:val="28"/>
        </w:rPr>
        <w:t>.</w:t>
      </w:r>
    </w:p>
    <w:p w14:paraId="3234B224"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في ظل هذه التحديات، تبرز الحاجة إلى تبني استراتيجيات شاملة تدمج بين التثقيف، المشاركة المجتمعية، والتقنيات الرقمية الحديثة لتجاوز العقبات وتحقيق الأهداف المرجوة</w:t>
      </w:r>
      <w:r w:rsidRPr="00E154C9">
        <w:rPr>
          <w:rFonts w:asciiTheme="majorBidi" w:hAnsiTheme="majorBidi" w:cstheme="majorBidi"/>
          <w:sz w:val="28"/>
          <w:szCs w:val="28"/>
        </w:rPr>
        <w:t xml:space="preserve"> (Wang &amp; Liao, 2024). </w:t>
      </w:r>
      <w:r w:rsidRPr="00E154C9">
        <w:rPr>
          <w:rFonts w:asciiTheme="majorBidi" w:hAnsiTheme="majorBidi" w:cstheme="majorBidi"/>
          <w:sz w:val="28"/>
          <w:szCs w:val="28"/>
          <w:rtl/>
        </w:rPr>
        <w:t>كما يجب أن تركز هذه الاستراتيجيات على بناء القدرات الرقمية لدى الفئات المختلفة، تعزيز الثقة بالمصادر الصحية، وتوفير محتوى متنوع يلبي حاجات الجمهور المختلفة. ويُعتبر العمل التكاملي بين الجهات الصحية والإعلامية والمجتمعية أمرًا حيويًا لتجاوز هذه التحديات بنجاح</w:t>
      </w:r>
      <w:r w:rsidRPr="00E154C9">
        <w:rPr>
          <w:rFonts w:asciiTheme="majorBidi" w:hAnsiTheme="majorBidi" w:cstheme="majorBidi"/>
          <w:sz w:val="28"/>
          <w:szCs w:val="28"/>
        </w:rPr>
        <w:t>.</w:t>
      </w:r>
    </w:p>
    <w:p w14:paraId="2AA2D164" w14:textId="77777777" w:rsidR="005C5866" w:rsidRPr="005C5866" w:rsidRDefault="005C5866" w:rsidP="005C5866">
      <w:pPr>
        <w:spacing w:line="360" w:lineRule="auto"/>
        <w:rPr>
          <w:rFonts w:asciiTheme="majorBidi" w:hAnsiTheme="majorBidi" w:cstheme="majorBidi"/>
          <w:sz w:val="28"/>
          <w:szCs w:val="28"/>
          <w:rtl/>
        </w:rPr>
      </w:pPr>
      <w:r w:rsidRPr="00E154C9">
        <w:rPr>
          <w:rFonts w:asciiTheme="majorBidi" w:hAnsiTheme="majorBidi" w:cstheme="majorBidi"/>
          <w:sz w:val="28"/>
          <w:szCs w:val="28"/>
          <w:rtl/>
        </w:rPr>
        <w:lastRenderedPageBreak/>
        <w:t xml:space="preserve">خلاصة القول، التوعية الصحية الرقمية تواجه مجموعة معقدة من التحديات التقنية، الاجتماعية، والثقافية التي تتطلب استجابة متعددة الأبعاد ومستمرة لتطوير الأدوات والأساليب وضمان وصول الرسائل بفعالية لكل فئات المجتمع (أبو زيد وآخرون، 2022؛ السلمي وعطيه، 2022). وتجاوز هذه التحديات يمثل خطوة </w:t>
      </w:r>
      <w:r w:rsidRPr="005C5866">
        <w:rPr>
          <w:rFonts w:asciiTheme="majorBidi" w:hAnsiTheme="majorBidi" w:cstheme="majorBidi"/>
          <w:sz w:val="28"/>
          <w:szCs w:val="28"/>
          <w:rtl/>
        </w:rPr>
        <w:t>أساسية نحو بناء مجتمع صحي واعٍ قادر على مواجهة الأمراض المزمنة والعصبية بوعي ومعرفة دقيقة</w:t>
      </w:r>
      <w:r w:rsidRPr="005C5866">
        <w:rPr>
          <w:rFonts w:asciiTheme="majorBidi" w:hAnsiTheme="majorBidi" w:cstheme="majorBidi"/>
          <w:sz w:val="28"/>
          <w:szCs w:val="28"/>
        </w:rPr>
        <w:t>.</w:t>
      </w:r>
    </w:p>
    <w:p w14:paraId="35ACA7D3" w14:textId="77777777" w:rsidR="005C5866" w:rsidRPr="005C5866" w:rsidRDefault="005C5866" w:rsidP="005C5866">
      <w:pPr>
        <w:spacing w:line="360" w:lineRule="auto"/>
        <w:rPr>
          <w:rFonts w:asciiTheme="majorBidi" w:hAnsiTheme="majorBidi" w:cstheme="majorBidi"/>
          <w:b/>
          <w:bCs/>
          <w:sz w:val="28"/>
          <w:szCs w:val="28"/>
          <w:rtl/>
        </w:rPr>
      </w:pPr>
      <w:r w:rsidRPr="005C5866">
        <w:rPr>
          <w:rFonts w:asciiTheme="majorBidi" w:hAnsiTheme="majorBidi" w:cstheme="majorBidi"/>
          <w:b/>
          <w:bCs/>
          <w:sz w:val="28"/>
          <w:szCs w:val="28"/>
          <w:rtl/>
        </w:rPr>
        <w:t>المطلب الرابع: معايير فعالية الرسائل الصحية</w:t>
      </w:r>
    </w:p>
    <w:p w14:paraId="3BAF0778" w14:textId="77777777" w:rsidR="005C5866" w:rsidRPr="005C5866" w:rsidRDefault="005C5866" w:rsidP="005C5866">
      <w:pPr>
        <w:spacing w:line="360" w:lineRule="auto"/>
        <w:rPr>
          <w:rFonts w:asciiTheme="majorBidi" w:hAnsiTheme="majorBidi" w:cstheme="majorBidi"/>
          <w:sz w:val="28"/>
          <w:szCs w:val="28"/>
        </w:rPr>
      </w:pPr>
      <w:r w:rsidRPr="005C5866">
        <w:rPr>
          <w:rFonts w:asciiTheme="majorBidi" w:hAnsiTheme="majorBidi" w:cstheme="majorBidi" w:hint="cs"/>
          <w:sz w:val="28"/>
          <w:szCs w:val="28"/>
          <w:rtl/>
        </w:rPr>
        <w:t xml:space="preserve">تمهيد: </w:t>
      </w:r>
      <w:r w:rsidRPr="005C5866">
        <w:rPr>
          <w:rFonts w:asciiTheme="majorBidi" w:hAnsiTheme="majorBidi" w:cstheme="majorBidi"/>
          <w:sz w:val="28"/>
          <w:szCs w:val="28"/>
          <w:rtl/>
        </w:rPr>
        <w:t>تُعد فعالية الرسائل الصحية من العوامل الحاسمة في نجاح برامج التوعية الصحية، إذ تعتمد على مجموعة من المعايير التي تضمن وصول المعلومة الصحيحة بطريقة تؤثر إيجابيًا على سلوك الجمهور</w:t>
      </w:r>
      <w:r w:rsidRPr="005C5866">
        <w:rPr>
          <w:rFonts w:asciiTheme="majorBidi" w:hAnsiTheme="majorBidi" w:cstheme="majorBidi"/>
          <w:sz w:val="28"/>
          <w:szCs w:val="28"/>
        </w:rPr>
        <w:t xml:space="preserve"> (Wang &amp; Liao, 2024). </w:t>
      </w:r>
      <w:r w:rsidRPr="005C5866">
        <w:rPr>
          <w:rFonts w:asciiTheme="majorBidi" w:hAnsiTheme="majorBidi" w:cstheme="majorBidi"/>
          <w:sz w:val="28"/>
          <w:szCs w:val="28"/>
          <w:rtl/>
        </w:rPr>
        <w:t>من أهم هذه المعايير الوضوح، حيث يجب أن تكون الرسالة سهلة الفهم، خالية من التعقيدات اللغوية والمصطلحات الطبية الصعبة التي قد تشكل حاجزًا أمام المتلقي</w:t>
      </w:r>
      <w:r w:rsidRPr="005C5866">
        <w:rPr>
          <w:rFonts w:asciiTheme="majorBidi" w:hAnsiTheme="majorBidi" w:cstheme="majorBidi"/>
          <w:sz w:val="28"/>
          <w:szCs w:val="28"/>
        </w:rPr>
        <w:t xml:space="preserve"> (Devi, 2020). </w:t>
      </w:r>
      <w:r w:rsidRPr="005C5866">
        <w:rPr>
          <w:rFonts w:asciiTheme="majorBidi" w:hAnsiTheme="majorBidi" w:cstheme="majorBidi"/>
          <w:sz w:val="28"/>
          <w:szCs w:val="28"/>
          <w:rtl/>
        </w:rPr>
        <w:t>الوضوح يسهم في تقليل الالتباس ويزيد من قدرة الجمهور على استيعاب المعلومات وتطبيقها في حياته اليومية</w:t>
      </w:r>
      <w:r w:rsidRPr="005C5866">
        <w:rPr>
          <w:rFonts w:asciiTheme="majorBidi" w:hAnsiTheme="majorBidi" w:cstheme="majorBidi"/>
          <w:sz w:val="28"/>
          <w:szCs w:val="28"/>
        </w:rPr>
        <w:t>.</w:t>
      </w:r>
    </w:p>
    <w:p w14:paraId="44BE5AD0" w14:textId="77777777" w:rsidR="005C5866" w:rsidRPr="00E154C9" w:rsidRDefault="005C5866" w:rsidP="005C5866">
      <w:pPr>
        <w:spacing w:line="360" w:lineRule="auto"/>
        <w:rPr>
          <w:rFonts w:asciiTheme="majorBidi" w:hAnsiTheme="majorBidi" w:cstheme="majorBidi"/>
          <w:sz w:val="28"/>
          <w:szCs w:val="28"/>
        </w:rPr>
      </w:pPr>
      <w:r w:rsidRPr="005C5866">
        <w:rPr>
          <w:rFonts w:asciiTheme="majorBidi" w:hAnsiTheme="majorBidi" w:cstheme="majorBidi"/>
          <w:sz w:val="28"/>
          <w:szCs w:val="28"/>
          <w:rtl/>
        </w:rPr>
        <w:t>تعتبر الدقة والموثوقية من المعايير الأساسية، فالرسائل الصحية يجب أن تستند إلى بيانات علمية محدثة</w:t>
      </w:r>
      <w:r w:rsidRPr="00E154C9">
        <w:rPr>
          <w:rFonts w:asciiTheme="majorBidi" w:hAnsiTheme="majorBidi" w:cstheme="majorBidi"/>
          <w:sz w:val="28"/>
          <w:szCs w:val="28"/>
          <w:rtl/>
        </w:rPr>
        <w:t xml:space="preserve"> ومراجعة من قبل خبراء في المجال الصحي لضمان صحتها ومنع انتشار المعلومات المغلوطة (أبو زيد وآخرون، 2022). هذه الموثوقية تعزز من ثقة الجمهور في المصدر وتجعل الرسالة أكثر تأثيرًا، خاصة في ظل انتشار الشائعات على وسائل التواصل الاجتماعي. ويؤكد علواني وعرعار (2024) أن توثيق المعلومات العلمية والشفافية في تقديمها تزيد من قبول الرسائل لدى المتلقين</w:t>
      </w:r>
      <w:r w:rsidRPr="00E154C9">
        <w:rPr>
          <w:rFonts w:asciiTheme="majorBidi" w:hAnsiTheme="majorBidi" w:cstheme="majorBidi"/>
          <w:sz w:val="28"/>
          <w:szCs w:val="28"/>
        </w:rPr>
        <w:t>.</w:t>
      </w:r>
    </w:p>
    <w:p w14:paraId="55AEBDB2"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تناسب الرسالة مع الفئة المستهدفة من المعايير المهمة التي تضمن فاعليتها، إذ يجب تصميم المحتوى بحيث يتوافق مع الخصائص الديموغرافية والثقافية والاجتماعية للجمهور (السلمي وعطيه، 2022). فالرسائل التي تراعي الفروق في العمر، المستوى التعليمي، الخلفية الثقافية، واللغة تكون أكثر قدرة على إثارة اهتمام الجمهور وتحفيزه على التغيير. ويشير محمد إبراهيم وغريب (2023) إلى أهمية استخدام لغة مبسطة ومحتوى يعكس حاجات الجمهور ليكون أكثر جذبًا وتفاعلًا</w:t>
      </w:r>
      <w:r w:rsidRPr="00E154C9">
        <w:rPr>
          <w:rFonts w:asciiTheme="majorBidi" w:hAnsiTheme="majorBidi" w:cstheme="majorBidi"/>
          <w:sz w:val="28"/>
          <w:szCs w:val="28"/>
        </w:rPr>
        <w:t>.</w:t>
      </w:r>
    </w:p>
    <w:p w14:paraId="2BB0313A"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الجانب التحفيزي في صياغة الرسالة يلعب دورًا جوهريًا في تحفيز السلوك الصحي، فليس كافيًا تقديم المعلومات فقط، بل يجب أن تحفز الرسالة المتلقي على اتخاذ إجراءات إيجابية مثل زيارة الطبيب أو تبني نمط حياة صحي</w:t>
      </w:r>
      <w:r w:rsidRPr="00E154C9">
        <w:rPr>
          <w:rFonts w:asciiTheme="majorBidi" w:hAnsiTheme="majorBidi" w:cstheme="majorBidi"/>
          <w:sz w:val="28"/>
          <w:szCs w:val="28"/>
        </w:rPr>
        <w:t xml:space="preserve"> (Devi, 2020). </w:t>
      </w:r>
      <w:r w:rsidRPr="00E154C9">
        <w:rPr>
          <w:rFonts w:asciiTheme="majorBidi" w:hAnsiTheme="majorBidi" w:cstheme="majorBidi"/>
          <w:sz w:val="28"/>
          <w:szCs w:val="28"/>
          <w:rtl/>
        </w:rPr>
        <w:t xml:space="preserve">ويُعتبر تضمين رسائل تشجيعية ومكافآت معنوية أو اجتماعية من </w:t>
      </w:r>
      <w:r w:rsidRPr="00E154C9">
        <w:rPr>
          <w:rFonts w:asciiTheme="majorBidi" w:hAnsiTheme="majorBidi" w:cstheme="majorBidi"/>
          <w:sz w:val="28"/>
          <w:szCs w:val="28"/>
          <w:rtl/>
        </w:rPr>
        <w:lastRenderedPageBreak/>
        <w:t>الأساليب التي تزيد من تأثير الرسائل الصحية. كما أن تضمين قصص نجاح وتجارب شخصية يضفي بعدًا إنسانيًا يزيد من قوة الرسالة وتأثيرها (صبرة وواضحة، 2024)</w:t>
      </w:r>
      <w:r w:rsidRPr="00E154C9">
        <w:rPr>
          <w:rFonts w:asciiTheme="majorBidi" w:hAnsiTheme="majorBidi" w:cstheme="majorBidi"/>
          <w:sz w:val="28"/>
          <w:szCs w:val="28"/>
        </w:rPr>
        <w:t>.</w:t>
      </w:r>
    </w:p>
    <w:p w14:paraId="215D5690"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التكرار والتنوع في عرض الرسائل من المعايير التي تعزز الفعالية، حيث يساعد التكرار على تثبيت المعلومات في الذاكرة ويزيد من احتمال التغيير السلوكي (محمد إبراهيم وغريب، 2023). أما التنوع في استخدام الوسائط المختلفة كالصور، الفيديو، النصوص، والرسومات فيضمن وصول الرسالة لأكبر عدد ممكن من الأشخاص بمختلف أساليب التعلم. وعليه، فإن الاستمرارية في نشر الرسائل ومتابعة تأثيرها يساهم في بناء وعي صحي مستدام</w:t>
      </w:r>
      <w:r w:rsidRPr="00E154C9">
        <w:rPr>
          <w:rFonts w:asciiTheme="majorBidi" w:hAnsiTheme="majorBidi" w:cstheme="majorBidi"/>
          <w:sz w:val="28"/>
          <w:szCs w:val="28"/>
        </w:rPr>
        <w:t>.</w:t>
      </w:r>
    </w:p>
    <w:p w14:paraId="14CE99A6" w14:textId="77777777" w:rsidR="005C5866" w:rsidRPr="00E154C9" w:rsidRDefault="005C5866" w:rsidP="005C5866">
      <w:pPr>
        <w:spacing w:line="360" w:lineRule="auto"/>
        <w:rPr>
          <w:rFonts w:asciiTheme="majorBidi" w:hAnsiTheme="majorBidi" w:cstheme="majorBidi"/>
          <w:sz w:val="28"/>
          <w:szCs w:val="28"/>
          <w:rtl/>
        </w:rPr>
      </w:pPr>
      <w:r w:rsidRPr="00E154C9">
        <w:rPr>
          <w:rFonts w:asciiTheme="majorBidi" w:hAnsiTheme="majorBidi" w:cstheme="majorBidi"/>
          <w:sz w:val="28"/>
          <w:szCs w:val="28"/>
          <w:rtl/>
        </w:rPr>
        <w:t>حيث يعتبر التفاعل مع الجمهور من المعايير الحيوية لفعالية الرسائل الصحية، إذ أن إتاحة الفرصة للتعليقات، الأسئلة، والنقاشات تخلق بيئة تشاركية تزيد من ثقة المتلقين وتساعد في توضيح النقاط الغامضة</w:t>
      </w:r>
      <w:r w:rsidRPr="00E154C9">
        <w:rPr>
          <w:rFonts w:asciiTheme="majorBidi" w:hAnsiTheme="majorBidi" w:cstheme="majorBidi"/>
          <w:sz w:val="28"/>
          <w:szCs w:val="28"/>
        </w:rPr>
        <w:t xml:space="preserve"> (Fundoiano-Hershcovitz et al., 2021). </w:t>
      </w:r>
      <w:r w:rsidRPr="00E154C9">
        <w:rPr>
          <w:rFonts w:asciiTheme="majorBidi" w:hAnsiTheme="majorBidi" w:cstheme="majorBidi"/>
          <w:sz w:val="28"/>
          <w:szCs w:val="28"/>
          <w:rtl/>
        </w:rPr>
        <w:t>كذلك، يمكن للاستجابات السريعة من القائمين على الحملات أن تعزز العلاقة مع الجمهور وتزيد من الالتزام بالتوصيات الصحية. هذه العملية التفاعلية تجعل التوعية أكثر ديناميكية وفعالية في تحقيق الأهداف المرجوة</w:t>
      </w:r>
      <w:r w:rsidRPr="00E154C9">
        <w:rPr>
          <w:rFonts w:asciiTheme="majorBidi" w:hAnsiTheme="majorBidi" w:cstheme="majorBidi"/>
          <w:sz w:val="28"/>
          <w:szCs w:val="28"/>
        </w:rPr>
        <w:t>.</w:t>
      </w:r>
    </w:p>
    <w:p w14:paraId="68DFFC40" w14:textId="77777777" w:rsidR="005C5866" w:rsidRPr="00E154C9" w:rsidRDefault="005C5866" w:rsidP="005C5866">
      <w:pPr>
        <w:spacing w:line="360" w:lineRule="auto"/>
        <w:rPr>
          <w:rFonts w:asciiTheme="majorBidi" w:hAnsiTheme="majorBidi" w:cstheme="majorBidi"/>
          <w:sz w:val="28"/>
          <w:szCs w:val="28"/>
        </w:rPr>
      </w:pPr>
      <w:r w:rsidRPr="005C5866">
        <w:rPr>
          <w:rFonts w:asciiTheme="majorBidi" w:hAnsiTheme="majorBidi" w:cstheme="majorBidi"/>
          <w:b/>
          <w:bCs/>
          <w:sz w:val="28"/>
          <w:szCs w:val="28"/>
          <w:rtl/>
        </w:rPr>
        <w:t>المبحث الثالث: الأمراض العصبية المزمنة – المفهوم والأنواع</w:t>
      </w:r>
      <w:r w:rsidRPr="005C5866">
        <w:rPr>
          <w:rFonts w:asciiTheme="majorBidi" w:hAnsiTheme="majorBidi" w:cstheme="majorBidi"/>
          <w:b/>
          <w:bCs/>
          <w:sz w:val="28"/>
          <w:szCs w:val="28"/>
          <w:rtl/>
        </w:rPr>
        <w:br/>
      </w:r>
      <w:r w:rsidRPr="005C5866">
        <w:rPr>
          <w:rFonts w:asciiTheme="majorBidi" w:hAnsiTheme="majorBidi" w:cstheme="majorBidi" w:hint="cs"/>
          <w:sz w:val="28"/>
          <w:szCs w:val="28"/>
          <w:rtl/>
        </w:rPr>
        <w:t xml:space="preserve">تمهيد: </w:t>
      </w:r>
      <w:r w:rsidRPr="005C5866">
        <w:rPr>
          <w:rFonts w:asciiTheme="majorBidi" w:hAnsiTheme="majorBidi" w:cstheme="majorBidi"/>
          <w:sz w:val="28"/>
          <w:szCs w:val="28"/>
          <w:rtl/>
        </w:rPr>
        <w:t>تُعد الأمراض العصبية المزمنة من أكثر المشكلات الصحية التي تؤثر على جودة الحياة وتفرض تحديات كبيرة على الأنظمة الصحية في العالم، فهي تشمل مجموعة من الاضطرابات التي تصيب الجهاز العصبي المركزي والمحيطي بشكل طويل الأمد وتؤدي إلى تدهور تدريجي في الوظائف الحركية والإدراكية (علواني وعرعار، 2024). وتختلف هذه الأمراض في أسبابها وأعراضها لكنها تتشارك في كونها تؤثر على الأداء اليومي للفرد وقدرته على الاعتماد على نفسه. ويؤكد</w:t>
      </w:r>
      <w:r w:rsidRPr="005C5866">
        <w:rPr>
          <w:rFonts w:asciiTheme="majorBidi" w:hAnsiTheme="majorBidi" w:cstheme="majorBidi"/>
          <w:sz w:val="28"/>
          <w:szCs w:val="28"/>
        </w:rPr>
        <w:t xml:space="preserve"> Wang &amp; Liao (2024) </w:t>
      </w:r>
      <w:r w:rsidRPr="005C5866">
        <w:rPr>
          <w:rFonts w:asciiTheme="majorBidi" w:hAnsiTheme="majorBidi" w:cstheme="majorBidi"/>
          <w:sz w:val="28"/>
          <w:szCs w:val="28"/>
          <w:rtl/>
        </w:rPr>
        <w:t>أن هذه الأمراض تتطلب اهتمامًا خاصًا من حيث الوقاية، التشخيص المبكر، وإدارة الحالة الصحية</w:t>
      </w:r>
      <w:r w:rsidRPr="005C5866">
        <w:rPr>
          <w:rFonts w:asciiTheme="majorBidi" w:hAnsiTheme="majorBidi" w:cstheme="majorBidi"/>
          <w:sz w:val="28"/>
          <w:szCs w:val="28"/>
        </w:rPr>
        <w:t>.</w:t>
      </w:r>
    </w:p>
    <w:p w14:paraId="73DD06D4"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تعريف الأمراض العصبية المزمنة يشير إلى الاضطرابات التي تصيب الأعصاب وتستمر لفترة طويلة تمتد لسنوات أو مدى الحياة، وتتميز بالتطور التدريجي للأعراض التي قد تشمل فقدان الحركة، الضعف العضلي، التشنجات، والاضطرابات العقلية مثل فقدان الذاكرة أو تغير السلوك</w:t>
      </w:r>
      <w:r w:rsidRPr="00E154C9">
        <w:rPr>
          <w:rFonts w:asciiTheme="majorBidi" w:hAnsiTheme="majorBidi" w:cstheme="majorBidi"/>
          <w:sz w:val="28"/>
          <w:szCs w:val="28"/>
        </w:rPr>
        <w:t xml:space="preserve"> (Fundoiano-Hershcovitz et al., 2021). </w:t>
      </w:r>
      <w:r w:rsidRPr="00E154C9">
        <w:rPr>
          <w:rFonts w:asciiTheme="majorBidi" w:hAnsiTheme="majorBidi" w:cstheme="majorBidi"/>
          <w:sz w:val="28"/>
          <w:szCs w:val="28"/>
          <w:rtl/>
        </w:rPr>
        <w:t>كما يمكن أن تكون هذه الأمراض ناجمة عن أسباب وراثية، التهابات، أمراض مناعية، أو إصابات متكررة للجهاز العصبي. وبناءً على ذلك، فإن التشخيص الدقيق يتطلب فحوصات طبية معقدة وتقييمات متخصصة</w:t>
      </w:r>
      <w:r w:rsidRPr="00E154C9">
        <w:rPr>
          <w:rFonts w:asciiTheme="majorBidi" w:hAnsiTheme="majorBidi" w:cstheme="majorBidi"/>
          <w:sz w:val="28"/>
          <w:szCs w:val="28"/>
        </w:rPr>
        <w:t>.</w:t>
      </w:r>
    </w:p>
    <w:p w14:paraId="015BDC38"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من أبرز الأمراض العصبية المزمنة التي تمس المجتمعات الصحية مرض التصلب اللويحي المتعدد، وهو اضطراب مناعي يهاجم الغلاف الحامي للأعصاب مما يؤدي إلى ضعف في الوظائف العصبية (علواني وعرعار، 2024). أما الصرع فيُعرف بأنه اضطراب في النشاط الكهربائي للدماغ يسبب نوبات متكررة تؤثر على الوعي والحركة، وهو مرض مزمن يحتاج إلى متابعة مستمرة وعلاج منتظم</w:t>
      </w:r>
      <w:r w:rsidRPr="00E154C9">
        <w:rPr>
          <w:rFonts w:asciiTheme="majorBidi" w:hAnsiTheme="majorBidi" w:cstheme="majorBidi"/>
          <w:sz w:val="28"/>
          <w:szCs w:val="28"/>
        </w:rPr>
        <w:t xml:space="preserve"> (Fundoiano-Hershcovitz et al., 2021). </w:t>
      </w:r>
      <w:r w:rsidRPr="00E154C9">
        <w:rPr>
          <w:rFonts w:asciiTheme="majorBidi" w:hAnsiTheme="majorBidi" w:cstheme="majorBidi"/>
          <w:sz w:val="28"/>
          <w:szCs w:val="28"/>
          <w:rtl/>
        </w:rPr>
        <w:t>كذلك، يُعتبر مرض الزهايمر من أكثر أنواع الخرف انتشارًا، حيث يسبب تدهورًا تدريجيًا في الذاكرة والقدرات الذهنية، ما يؤثر بشكل كبير على استقلالية المريض</w:t>
      </w:r>
      <w:r w:rsidRPr="00E154C9">
        <w:rPr>
          <w:rFonts w:asciiTheme="majorBidi" w:hAnsiTheme="majorBidi" w:cstheme="majorBidi"/>
          <w:sz w:val="28"/>
          <w:szCs w:val="28"/>
        </w:rPr>
        <w:t>.</w:t>
      </w:r>
    </w:p>
    <w:p w14:paraId="3C1C04B8"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بالإضافة إلى ذلك، يُعد مرض باركنسون من الأمراض العصبية المزمنة التي تؤثر على الحركة نتيجة نقص مادة الدوبامين في الدماغ، ويتميز بأعراض مثل الرعاش والتصلب الحركي</w:t>
      </w:r>
      <w:r w:rsidRPr="00E154C9">
        <w:rPr>
          <w:rFonts w:asciiTheme="majorBidi" w:hAnsiTheme="majorBidi" w:cstheme="majorBidi"/>
          <w:sz w:val="28"/>
          <w:szCs w:val="28"/>
        </w:rPr>
        <w:t xml:space="preserve"> (Wang &amp; Liao, 2024). </w:t>
      </w:r>
      <w:r w:rsidRPr="00E154C9">
        <w:rPr>
          <w:rFonts w:asciiTheme="majorBidi" w:hAnsiTheme="majorBidi" w:cstheme="majorBidi"/>
          <w:sz w:val="28"/>
          <w:szCs w:val="28"/>
          <w:rtl/>
        </w:rPr>
        <w:t>هذه الأمراض، رغم اختلافها، تتطلب علاجًا طويل الأمد وإدارة دقيقة للتخفيف من الأعراض وتحسين نوعية الحياة. وتشير الدراسات إلى أن زيادة الوعي المجتمعي حول هذه الأمراض تساعد في الكشف المبكر وتحسين فرص العلاج والدعم النفسي للمرضى وأسرهم (محمد إبراهيم وغريب، 2023</w:t>
      </w:r>
      <w:r w:rsidRPr="00E154C9">
        <w:rPr>
          <w:rFonts w:asciiTheme="majorBidi" w:hAnsiTheme="majorBidi" w:cstheme="majorBidi"/>
          <w:sz w:val="28"/>
          <w:szCs w:val="28"/>
        </w:rPr>
        <w:t>).</w:t>
      </w:r>
    </w:p>
    <w:p w14:paraId="19EDDF6A"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تؤثر الأمراض العصبية المزمنة بشكل مباشر على الفرد من حيث فقدان القدرة على أداء الأنشطة اليومية والاستقلالية، مما يزيد من الاعتماد على الآخرين ويؤثر على الصحة النفسية بسبب الشعور بالعجز والاكتئاب (علواني وعرعار، 2024). وعلى الصعيد المجتمعي، تشكل هذه الأمراض عبئًا اقتصاديًا كبيرًا بسبب الحاجة إلى رعاية طبية مستمرة وتكاليف علاج عالية، بالإضافة إلى التأثير على الإنتاجية وفرص العمل</w:t>
      </w:r>
      <w:r w:rsidRPr="00E154C9">
        <w:rPr>
          <w:rFonts w:asciiTheme="majorBidi" w:hAnsiTheme="majorBidi" w:cstheme="majorBidi"/>
          <w:sz w:val="28"/>
          <w:szCs w:val="28"/>
        </w:rPr>
        <w:t xml:space="preserve"> (Wang &amp; Liao, 2024). </w:t>
      </w:r>
      <w:r w:rsidRPr="00E154C9">
        <w:rPr>
          <w:rFonts w:asciiTheme="majorBidi" w:hAnsiTheme="majorBidi" w:cstheme="majorBidi"/>
          <w:sz w:val="28"/>
          <w:szCs w:val="28"/>
          <w:rtl/>
        </w:rPr>
        <w:t>لذا فإن التوعية الصحية التي تركز على هذه الأمراض تكتسب أهمية بالغة في تقليل معدلات الإصابة والتخفيف من تبعاتها</w:t>
      </w:r>
      <w:r w:rsidRPr="00E154C9">
        <w:rPr>
          <w:rFonts w:asciiTheme="majorBidi" w:hAnsiTheme="majorBidi" w:cstheme="majorBidi"/>
          <w:sz w:val="28"/>
          <w:szCs w:val="28"/>
        </w:rPr>
        <w:t>.</w:t>
      </w:r>
    </w:p>
    <w:p w14:paraId="55A098E8" w14:textId="77777777" w:rsidR="005C5866" w:rsidRPr="00E154C9" w:rsidRDefault="005C5866" w:rsidP="005C5866">
      <w:pPr>
        <w:spacing w:line="360" w:lineRule="auto"/>
        <w:rPr>
          <w:rFonts w:asciiTheme="majorBidi" w:hAnsiTheme="majorBidi" w:cstheme="majorBidi"/>
          <w:sz w:val="28"/>
          <w:szCs w:val="28"/>
          <w:rtl/>
          <w:lang w:bidi="ar-EG"/>
        </w:rPr>
      </w:pPr>
      <w:r w:rsidRPr="005C5866">
        <w:rPr>
          <w:rFonts w:asciiTheme="majorBidi" w:hAnsiTheme="majorBidi" w:cstheme="majorBidi" w:hint="cs"/>
          <w:sz w:val="28"/>
          <w:szCs w:val="28"/>
          <w:u w:val="single"/>
          <w:shd w:val="clear" w:color="auto" w:fill="F2CEED" w:themeFill="accent5" w:themeFillTint="33"/>
          <w:rtl/>
        </w:rPr>
        <w:t>رؤية الباحثة:</w:t>
      </w:r>
      <w:r w:rsidRPr="005C5866">
        <w:rPr>
          <w:rFonts w:asciiTheme="majorBidi" w:hAnsiTheme="majorBidi" w:cstheme="majorBidi" w:hint="cs"/>
          <w:sz w:val="28"/>
          <w:szCs w:val="28"/>
          <w:rtl/>
        </w:rPr>
        <w:t xml:space="preserve"> </w:t>
      </w:r>
      <w:r w:rsidRPr="005C5866">
        <w:rPr>
          <w:rFonts w:asciiTheme="majorBidi" w:hAnsiTheme="majorBidi" w:cstheme="majorBidi"/>
          <w:sz w:val="28"/>
          <w:szCs w:val="28"/>
          <w:rtl/>
        </w:rPr>
        <w:t>تتطلب مواجهة الأمراض العصبية المزمنة تبني استراتيجيات شاملة تشمل الوقاية من العوامل المؤدية إليها مثل التدخين، سوء التغذية، وعدم ممارسة النشاط البدني، إلى جانب التوعية بأهمية الكشف المبكر والمتابعة الطبية المنتظمة</w:t>
      </w:r>
      <w:r w:rsidRPr="005C5866">
        <w:rPr>
          <w:rFonts w:asciiTheme="majorBidi" w:hAnsiTheme="majorBidi" w:cstheme="majorBidi"/>
          <w:sz w:val="28"/>
          <w:szCs w:val="28"/>
        </w:rPr>
        <w:t xml:space="preserve">  </w:t>
      </w:r>
      <w:r w:rsidRPr="005C5866">
        <w:rPr>
          <w:rFonts w:asciiTheme="majorBidi" w:hAnsiTheme="majorBidi" w:cstheme="majorBidi"/>
          <w:sz w:val="28"/>
          <w:szCs w:val="28"/>
          <w:rtl/>
        </w:rPr>
        <w:t>كما يلعب الإعلام الرقمي دورًا هامًا في نشر المعرفة حول هذه الأمراض وسبل التعامل معها، مما يعزز من قدرة المرضى وأسرهم على مواجهة التحديات الصحية والاجتماعية.</w:t>
      </w:r>
      <w:r w:rsidRPr="00E154C9">
        <w:rPr>
          <w:rFonts w:asciiTheme="majorBidi" w:hAnsiTheme="majorBidi" w:cstheme="majorBidi"/>
          <w:sz w:val="28"/>
          <w:szCs w:val="28"/>
          <w:rtl/>
        </w:rPr>
        <w:t xml:space="preserve"> </w:t>
      </w:r>
    </w:p>
    <w:p w14:paraId="0D16ED5A" w14:textId="77777777" w:rsidR="005C5866" w:rsidRDefault="005C5866" w:rsidP="005C5866">
      <w:pPr>
        <w:spacing w:line="360" w:lineRule="auto"/>
        <w:rPr>
          <w:rFonts w:asciiTheme="majorBidi" w:hAnsiTheme="majorBidi" w:cstheme="majorBidi"/>
          <w:b/>
          <w:bCs/>
          <w:sz w:val="28"/>
          <w:szCs w:val="28"/>
          <w:rtl/>
        </w:rPr>
      </w:pPr>
    </w:p>
    <w:p w14:paraId="54E925C8" w14:textId="77777777" w:rsidR="005C5866" w:rsidRDefault="005C5866" w:rsidP="005C5866">
      <w:pPr>
        <w:spacing w:line="360" w:lineRule="auto"/>
        <w:rPr>
          <w:rFonts w:asciiTheme="majorBidi" w:hAnsiTheme="majorBidi" w:cstheme="majorBidi"/>
          <w:b/>
          <w:bCs/>
          <w:sz w:val="28"/>
          <w:szCs w:val="28"/>
          <w:highlight w:val="yellow"/>
          <w:rtl/>
        </w:rPr>
      </w:pPr>
    </w:p>
    <w:p w14:paraId="0F5B5781" w14:textId="77777777" w:rsidR="005C5866" w:rsidRDefault="005C5866" w:rsidP="005C5866">
      <w:pPr>
        <w:spacing w:line="360" w:lineRule="auto"/>
        <w:rPr>
          <w:rFonts w:asciiTheme="majorBidi" w:hAnsiTheme="majorBidi" w:cstheme="majorBidi"/>
          <w:b/>
          <w:bCs/>
          <w:sz w:val="28"/>
          <w:szCs w:val="28"/>
          <w:highlight w:val="yellow"/>
          <w:rtl/>
        </w:rPr>
      </w:pPr>
    </w:p>
    <w:p w14:paraId="7BD37F71" w14:textId="77777777" w:rsidR="005C5866" w:rsidRPr="00E154C9" w:rsidRDefault="005C5866" w:rsidP="005C5866">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lastRenderedPageBreak/>
        <w:t xml:space="preserve">المطلب </w:t>
      </w:r>
      <w:r>
        <w:rPr>
          <w:rFonts w:asciiTheme="majorBidi" w:hAnsiTheme="majorBidi" w:cstheme="majorBidi"/>
          <w:b/>
          <w:bCs/>
          <w:sz w:val="28"/>
          <w:szCs w:val="28"/>
          <w:rtl/>
        </w:rPr>
        <w:t>ال</w:t>
      </w:r>
      <w:r>
        <w:rPr>
          <w:rFonts w:asciiTheme="majorBidi" w:hAnsiTheme="majorBidi" w:cstheme="majorBidi" w:hint="cs"/>
          <w:b/>
          <w:bCs/>
          <w:sz w:val="28"/>
          <w:szCs w:val="28"/>
          <w:rtl/>
        </w:rPr>
        <w:t>أ</w:t>
      </w:r>
      <w:r w:rsidRPr="00E154C9">
        <w:rPr>
          <w:rFonts w:asciiTheme="majorBidi" w:hAnsiTheme="majorBidi" w:cstheme="majorBidi"/>
          <w:b/>
          <w:bCs/>
          <w:sz w:val="28"/>
          <w:szCs w:val="28"/>
          <w:rtl/>
        </w:rPr>
        <w:t>ول: تعريف الأمراض العصبية المزمنة</w:t>
      </w:r>
    </w:p>
    <w:p w14:paraId="7BCD1339" w14:textId="77777777" w:rsidR="005C5866" w:rsidRPr="00E154C9" w:rsidRDefault="005C5866" w:rsidP="005C5866">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تُعتبر الأمراض العصبية المزمنة من أبرز التحديات الصحية التي تواجه المجتمعات الحديثة، لما لها من تأثيرات طويلة الأمد على جودة حياة الأفراد وارتفاع معدلات الإعاقة والوفاة. تعرف الأمراض العصبية المزمنة بأنها مجموعة من الاضطرابات التي تصيب الجهاز العصبي المركزي أو المحيطي، وتتميز بأنها مستمرة أو تتفاقم مع مرور الوقت، وتتطلب متابعة طبية طويلة الأمد (قلاده ونرمين، 2025). تشمل هذه الأمراض حالات متعددة مثل التصلب المتعدد، مرض باركنسون، الزهايمر، والشلل الدماغي، والتي تؤثر بشكل مباشر على القدرات الحركية، الحسية، والإدراكية للفرد (السلمي وعطيه، 2022)</w:t>
      </w:r>
      <w:r w:rsidRPr="00E154C9">
        <w:rPr>
          <w:rFonts w:asciiTheme="majorBidi" w:hAnsiTheme="majorBidi" w:cstheme="majorBidi"/>
          <w:sz w:val="28"/>
          <w:szCs w:val="28"/>
          <w:lang w:bidi="ar-EG"/>
        </w:rPr>
        <w:t>.</w:t>
      </w:r>
    </w:p>
    <w:p w14:paraId="0567779C" w14:textId="77777777" w:rsidR="005C5866" w:rsidRPr="00E154C9" w:rsidRDefault="005C5866" w:rsidP="005C5866">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وفقًا لمنظمة الصحة العالمية، تشير الأمراض العصبية المزمنة إلى الحالات التي تؤدي إلى ضعف تدريجي في الوظائف العصبية، مما يسبب تأثيرات سلبية على أداء الفرد في حياته اليومية، وقدرتها على الاعتماد على النفس</w:t>
      </w:r>
      <w:r w:rsidRPr="00E154C9">
        <w:rPr>
          <w:rFonts w:asciiTheme="majorBidi" w:hAnsiTheme="majorBidi" w:cstheme="majorBidi"/>
          <w:sz w:val="28"/>
          <w:szCs w:val="28"/>
          <w:lang w:bidi="ar-EG"/>
        </w:rPr>
        <w:t xml:space="preserve"> (Wang &amp; Liao, 2024). </w:t>
      </w:r>
      <w:r w:rsidRPr="00E154C9">
        <w:rPr>
          <w:rFonts w:asciiTheme="majorBidi" w:hAnsiTheme="majorBidi" w:cstheme="majorBidi"/>
          <w:sz w:val="28"/>
          <w:szCs w:val="28"/>
          <w:rtl/>
        </w:rPr>
        <w:t>وتُعد الأمراض العصبية المزمنة من الأسباب الرئيسية للإعاقة في العالم، حيث تشير الإحصائيات إلى أن ملايين الأشخاص يعانون من هذه الحالات في مختلف الدول، بما في ذلك السعودية التي تواجه تحديات متزايدة في هذا المجال بسبب التغيرات السكانية وزيادة العمر المتوقع (علواني وآخرون، 2024</w:t>
      </w:r>
      <w:r w:rsidRPr="00E154C9">
        <w:rPr>
          <w:rFonts w:asciiTheme="majorBidi" w:hAnsiTheme="majorBidi" w:cstheme="majorBidi"/>
          <w:sz w:val="28"/>
          <w:szCs w:val="28"/>
          <w:lang w:bidi="ar-EG"/>
        </w:rPr>
        <w:t>).</w:t>
      </w:r>
    </w:p>
    <w:p w14:paraId="6D643F8F" w14:textId="77777777" w:rsidR="005C5866" w:rsidRPr="00E154C9" w:rsidRDefault="005C5866" w:rsidP="005C5866">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تتسم هذه الأمراض بعدة خصائص تميزها عن الأمراض الحادة، أهمها: استمرار الأعراض لفترات طويلة، وتفاقمها بمرور الزمن، واحتياج المريض إلى دعم مستمر سواء من الناحية الطبية أو النفسية والاجتماعية</w:t>
      </w:r>
      <w:r w:rsidRPr="00E154C9">
        <w:rPr>
          <w:rFonts w:asciiTheme="majorBidi" w:hAnsiTheme="majorBidi" w:cstheme="majorBidi"/>
          <w:sz w:val="28"/>
          <w:szCs w:val="28"/>
          <w:lang w:bidi="ar-EG"/>
        </w:rPr>
        <w:t xml:space="preserve"> (Fundoiano-Hershcovitz et al., 2021). </w:t>
      </w:r>
      <w:r w:rsidRPr="00E154C9">
        <w:rPr>
          <w:rFonts w:asciiTheme="majorBidi" w:hAnsiTheme="majorBidi" w:cstheme="majorBidi"/>
          <w:sz w:val="28"/>
          <w:szCs w:val="28"/>
          <w:rtl/>
        </w:rPr>
        <w:t>كما أن هذه الأمراض غالبًا ما تتداخل مع حالات صحية أخرى مثل السكري وارتفاع ضغط الدم، مما يزيد من تعقيد علاجها وإدارتها</w:t>
      </w:r>
      <w:r w:rsidRPr="00E154C9">
        <w:rPr>
          <w:rFonts w:asciiTheme="majorBidi" w:hAnsiTheme="majorBidi" w:cstheme="majorBidi"/>
          <w:sz w:val="28"/>
          <w:szCs w:val="28"/>
          <w:lang w:bidi="ar-EG"/>
        </w:rPr>
        <w:t xml:space="preserve"> (Devi, 2020).</w:t>
      </w:r>
    </w:p>
    <w:p w14:paraId="39E75161" w14:textId="77777777" w:rsidR="005C5866" w:rsidRPr="00E154C9" w:rsidRDefault="005C5866" w:rsidP="005C5866">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من الناحية الاجتماعية والاقتصادية، تشكل الأمراض العصبية المزمنة عبئًا كبيرًا على الأنظمة الصحية بسبب الحاجة إلى رعاية طويلة الأمد، وتكاليف العلاج المستمرة، بالإضافة إلى تأثيرها على الإنتاجية والعمل (محمد وغريب، 2023). لذلك، يتطلب التعامل مع هذه الأمراض تبني استراتيجيات شاملة تشمل الوقاية، الكشف المبكر، والعلاج الفعال، إلى جانب التوعية المجتمعية والدعم النفسي للمرضى وعائلاتهم (قلا ده ونرمين، 2025)</w:t>
      </w:r>
      <w:r w:rsidRPr="00E154C9">
        <w:rPr>
          <w:rFonts w:asciiTheme="majorBidi" w:hAnsiTheme="majorBidi" w:cstheme="majorBidi"/>
          <w:sz w:val="28"/>
          <w:szCs w:val="28"/>
          <w:lang w:bidi="ar-EG"/>
        </w:rPr>
        <w:t>.</w:t>
      </w:r>
    </w:p>
    <w:p w14:paraId="7A29B673" w14:textId="77777777" w:rsidR="005C5866" w:rsidRPr="00E154C9" w:rsidRDefault="005C5866" w:rsidP="005C5866">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 xml:space="preserve">تلعب عوامل متعددة دورًا في ظهور وتفاقم الأمراض العصبية المزمنة، من بينها العوامل الوراثية، البيئة، نمط الحياة، والتعرض للإصابات أو الأمراض المعدية (السلمي وعطيه، 2022). لذلك، يصبح من الضروري اعتماد نماذج صحية متكاملة تجمع بين الرعاية الطبية التقليدية والاستخدام الفعال للتكنولوجيا </w:t>
      </w:r>
      <w:r w:rsidRPr="00E154C9">
        <w:rPr>
          <w:rFonts w:asciiTheme="majorBidi" w:hAnsiTheme="majorBidi" w:cstheme="majorBidi"/>
          <w:sz w:val="28"/>
          <w:szCs w:val="28"/>
          <w:rtl/>
        </w:rPr>
        <w:lastRenderedPageBreak/>
        <w:t>الحديثة والإعلام الرقمي في نشر الوعي وتوفير المعلومات الدقيقة حول هذه الأمراض</w:t>
      </w:r>
      <w:r w:rsidRPr="00E154C9">
        <w:rPr>
          <w:rFonts w:asciiTheme="majorBidi" w:hAnsiTheme="majorBidi" w:cstheme="majorBidi"/>
          <w:sz w:val="28"/>
          <w:szCs w:val="28"/>
          <w:lang w:bidi="ar-EG"/>
        </w:rPr>
        <w:t xml:space="preserve"> (Wang &amp; Liao, 2024).</w:t>
      </w:r>
    </w:p>
    <w:p w14:paraId="2D494D2B"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الأمراض العصبية المزمنة تُعد من التحديات الصحية الكبرى التي تواجه المجتمعات الحديثة لما لها من تأثير طويل الأمد على جودة حياة الأفراد وزيادة معدلات الإعاقة والوفاة. تُعرف هذه الأمراض بأنها اضطرابات تصيب الجهاز العصبي المركزي أو المحيطي، وتتميز بالاستمرار أو التفاقم مع مرور الوقت، مما يتطلب متابعة طبية مستمرة (قلاده ونرمين، 2025). تشمل هذه الأمراض التصلب المتعدد، مرض باركنسون، الزهايمر، والشلل الدماغي، التي تؤثر بشكل مباشر على القدرات الحركية، الحسية، والإدراكية للفرد (السلمي وعطيه، 2022)</w:t>
      </w:r>
      <w:r w:rsidRPr="00E154C9">
        <w:rPr>
          <w:rFonts w:asciiTheme="majorBidi" w:hAnsiTheme="majorBidi" w:cstheme="majorBidi"/>
          <w:sz w:val="28"/>
          <w:szCs w:val="28"/>
        </w:rPr>
        <w:t>.</w:t>
      </w:r>
    </w:p>
    <w:p w14:paraId="702239F8"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تتنوع الأمراض العصبية المزمنة باختلاف الأجهزة العصبية المتأثرة وطبيعة الأعراض المصاحبة لها. يعد التصلب المتعدد مرضًا مناعيًا ذاتيًا يصيب الجهاز العصبي المركزي ويتميز بتآكل غلاف الميلين المحيط بالألياف العصبية، مما يؤدي إلى اضطرابات حركية وحسية</w:t>
      </w:r>
      <w:r w:rsidRPr="00E154C9">
        <w:rPr>
          <w:rFonts w:asciiTheme="majorBidi" w:hAnsiTheme="majorBidi" w:cstheme="majorBidi"/>
          <w:sz w:val="28"/>
          <w:szCs w:val="28"/>
        </w:rPr>
        <w:t xml:space="preserve"> (Fundoiano-Hershcovitz et al., 2021). </w:t>
      </w:r>
      <w:r w:rsidRPr="00E154C9">
        <w:rPr>
          <w:rFonts w:asciiTheme="majorBidi" w:hAnsiTheme="majorBidi" w:cstheme="majorBidi"/>
          <w:sz w:val="28"/>
          <w:szCs w:val="28"/>
          <w:rtl/>
        </w:rPr>
        <w:t>بينما يُعتبر مرض باركنسون من الأمراض التنكسية التي تؤثر على الخلايا العصبية المنتجة للدوبامين في الدماغ، مع ظهور أعراض مثل الرعاش وبطء الحركة</w:t>
      </w:r>
      <w:r w:rsidRPr="00E154C9">
        <w:rPr>
          <w:rFonts w:asciiTheme="majorBidi" w:hAnsiTheme="majorBidi" w:cstheme="majorBidi"/>
          <w:sz w:val="28"/>
          <w:szCs w:val="28"/>
        </w:rPr>
        <w:t xml:space="preserve"> (Wang &amp; Liao, 2024). </w:t>
      </w:r>
      <w:r w:rsidRPr="00E154C9">
        <w:rPr>
          <w:rFonts w:asciiTheme="majorBidi" w:hAnsiTheme="majorBidi" w:cstheme="majorBidi"/>
          <w:sz w:val="28"/>
          <w:szCs w:val="28"/>
          <w:rtl/>
        </w:rPr>
        <w:t>أما الزهايمر فيتسبب في تدهور تدريجي في الوظائف الإدراكية كذاكرة التفكير والتعلم (علواني وآخرون، 2024</w:t>
      </w:r>
      <w:r w:rsidRPr="00E154C9">
        <w:rPr>
          <w:rFonts w:asciiTheme="majorBidi" w:hAnsiTheme="majorBidi" w:cstheme="majorBidi"/>
          <w:sz w:val="28"/>
          <w:szCs w:val="28"/>
        </w:rPr>
        <w:t>).</w:t>
      </w:r>
    </w:p>
    <w:p w14:paraId="6C16C6A4"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تتعدد أسباب الإصابة بالأمراض العصبية المزمنة بين عوامل وراثية وبيئية وسلوكية. تلعب الجينات دورًا مهمًا في بعض الأمراض مثل باركنسون والزهايمر، حيث تنتقل عبر الأجيال</w:t>
      </w:r>
      <w:r w:rsidRPr="00E154C9">
        <w:rPr>
          <w:rFonts w:asciiTheme="majorBidi" w:hAnsiTheme="majorBidi" w:cstheme="majorBidi"/>
          <w:sz w:val="28"/>
          <w:szCs w:val="28"/>
        </w:rPr>
        <w:t xml:space="preserve"> (Devi, 2020). </w:t>
      </w:r>
      <w:r w:rsidRPr="00E154C9">
        <w:rPr>
          <w:rFonts w:asciiTheme="majorBidi" w:hAnsiTheme="majorBidi" w:cstheme="majorBidi"/>
          <w:sz w:val="28"/>
          <w:szCs w:val="28"/>
          <w:rtl/>
        </w:rPr>
        <w:t>كما تسهم العوامل البيئية كالسموم والتلوث والإصابات الدماغية في زيادة خطر الإصابة (السلمي وعطيه، 2022). إضافة إلى ذلك، يعد النمط الحياتي غير الصحي من عوامل الخطورة، مثل قلة النشاط البدني والتغذية السيئة والتدخين، التي تؤدي إلى تفاقم الحالة الصحية (قلاده ونرمين، 2025)</w:t>
      </w:r>
      <w:r w:rsidRPr="00E154C9">
        <w:rPr>
          <w:rFonts w:asciiTheme="majorBidi" w:hAnsiTheme="majorBidi" w:cstheme="majorBidi"/>
          <w:sz w:val="28"/>
          <w:szCs w:val="28"/>
        </w:rPr>
        <w:t>.</w:t>
      </w:r>
    </w:p>
    <w:p w14:paraId="40CF82D4"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تمتاز الأمراض العصبية المزمنة بتأثيرات صحية ونفسية واجتماعية واقتصادية متعددة. صحيًا، تؤدي إلى ضعف القدرات الحركية والإدراكية وفقدان الاستقلالية، مما يزيد اعتماد المرضى على الآخرين (علواني وآخرون، 2024). نفسيًا، يعاني المصابون من اكتئاب وقلق بسبب التحديات المستمرة</w:t>
      </w:r>
      <w:r w:rsidRPr="00E154C9">
        <w:rPr>
          <w:rFonts w:asciiTheme="majorBidi" w:hAnsiTheme="majorBidi" w:cstheme="majorBidi"/>
          <w:sz w:val="28"/>
          <w:szCs w:val="28"/>
        </w:rPr>
        <w:t xml:space="preserve"> (Fundoiano-Hershcovitz et al., 2021). </w:t>
      </w:r>
      <w:r w:rsidRPr="00E154C9">
        <w:rPr>
          <w:rFonts w:asciiTheme="majorBidi" w:hAnsiTheme="majorBidi" w:cstheme="majorBidi"/>
          <w:sz w:val="28"/>
          <w:szCs w:val="28"/>
          <w:rtl/>
        </w:rPr>
        <w:t>اجتماعيًا، تسبب العزلة وتراجع المشاركة في الحياة الاجتماعية والعملية، كما تمثل عبئًا اقتصاديًا كبيرًا على الأسر والدول نتيجة تكاليف الرعاية الطويلة (محمد وغريب، 2023)</w:t>
      </w:r>
      <w:r w:rsidRPr="00E154C9">
        <w:rPr>
          <w:rFonts w:asciiTheme="majorBidi" w:hAnsiTheme="majorBidi" w:cstheme="majorBidi"/>
          <w:sz w:val="28"/>
          <w:szCs w:val="28"/>
        </w:rPr>
        <w:t>.</w:t>
      </w:r>
    </w:p>
    <w:p w14:paraId="73DAE597" w14:textId="77777777" w:rsidR="005C5866" w:rsidRPr="00E154C9" w:rsidRDefault="005C5866" w:rsidP="005C5866">
      <w:pPr>
        <w:spacing w:line="360" w:lineRule="auto"/>
        <w:rPr>
          <w:rFonts w:asciiTheme="majorBidi" w:hAnsiTheme="majorBidi" w:cstheme="majorBidi"/>
          <w:sz w:val="28"/>
          <w:szCs w:val="28"/>
          <w:rtl/>
        </w:rPr>
      </w:pPr>
      <w:r w:rsidRPr="00E154C9">
        <w:rPr>
          <w:rFonts w:asciiTheme="majorBidi" w:hAnsiTheme="majorBidi" w:cstheme="majorBidi"/>
          <w:sz w:val="28"/>
          <w:szCs w:val="28"/>
          <w:rtl/>
        </w:rPr>
        <w:lastRenderedPageBreak/>
        <w:t>تلعب التوعية الصحية عبر الإعلام الرقمي دورًا محوريًا في الحد من انتشار الأمراض العصبية المزمنة وتحسين حياة المرضى. تشير الدراسات إلى أن الإعلام الرقمي يعزز المعرفة الصحية ويسهل الوصول إلى المعلومات الدقيقة حول الوقاية والعلاج</w:t>
      </w:r>
      <w:r w:rsidRPr="00E154C9">
        <w:rPr>
          <w:rFonts w:asciiTheme="majorBidi" w:hAnsiTheme="majorBidi" w:cstheme="majorBidi"/>
          <w:sz w:val="28"/>
          <w:szCs w:val="28"/>
        </w:rPr>
        <w:t xml:space="preserve"> (Wang &amp; Liao, 2024). </w:t>
      </w:r>
      <w:r w:rsidRPr="00E154C9">
        <w:rPr>
          <w:rFonts w:asciiTheme="majorBidi" w:hAnsiTheme="majorBidi" w:cstheme="majorBidi"/>
          <w:sz w:val="28"/>
          <w:szCs w:val="28"/>
          <w:rtl/>
        </w:rPr>
        <w:t>كما يساهم في دعم المرضى نفسيًا واجتماعيًا من خلال بناء مجتمعات افتراضية للدعم والتواصل (صبرة وواضحة، 2024). ويؤكد الباحثون على أن الكشف المبكر والتدخل السريع يحد من مضاعفات الأمراض ويزيد من فعالية العلاج، ما يعزز أهمية الإعلام الرقمي في تحفيز الفحوص الدورية واتباع أنماط حياة صحية (علواني وآخرون، 2024</w:t>
      </w:r>
      <w:r w:rsidRPr="00E154C9">
        <w:rPr>
          <w:rFonts w:asciiTheme="majorBidi" w:hAnsiTheme="majorBidi" w:cstheme="majorBidi"/>
          <w:sz w:val="28"/>
          <w:szCs w:val="28"/>
        </w:rPr>
        <w:t>).</w:t>
      </w:r>
    </w:p>
    <w:p w14:paraId="2FA6C53F" w14:textId="77777777" w:rsidR="005C5866" w:rsidRPr="00E154C9" w:rsidRDefault="005C5866" w:rsidP="005C5866">
      <w:pPr>
        <w:spacing w:line="360" w:lineRule="auto"/>
        <w:rPr>
          <w:rFonts w:asciiTheme="majorBidi" w:hAnsiTheme="majorBidi" w:cstheme="majorBidi"/>
          <w:sz w:val="28"/>
          <w:szCs w:val="28"/>
          <w:rtl/>
          <w:lang w:bidi="ar-EG"/>
        </w:rPr>
      </w:pPr>
      <w:r w:rsidRPr="00E154C9">
        <w:rPr>
          <w:rFonts w:asciiTheme="majorBidi" w:hAnsiTheme="majorBidi" w:cstheme="majorBidi"/>
          <w:sz w:val="28"/>
          <w:szCs w:val="28"/>
          <w:rtl/>
        </w:rPr>
        <w:t>بشكل عام، يمكن القول إن تعريف الأمراض العصبية المزمنة يشمل مجموعة معقدة من الاضطرابات التي تتطلب اهتمامًا خاصًا من قبل المجتمعات الصحية، حيث إن الفهم العميق لهذه الأمراض يساعد في وضع السياسات الصحية المناسبة وتحسين جودة حياة المرضى (علواني وآخرون، 2024)</w:t>
      </w:r>
      <w:r w:rsidRPr="00E154C9">
        <w:rPr>
          <w:rFonts w:asciiTheme="majorBidi" w:hAnsiTheme="majorBidi" w:cstheme="majorBidi"/>
          <w:sz w:val="28"/>
          <w:szCs w:val="28"/>
          <w:lang w:bidi="ar-EG"/>
        </w:rPr>
        <w:t>.</w:t>
      </w:r>
    </w:p>
    <w:p w14:paraId="2BE9D13D" w14:textId="77777777" w:rsidR="005C5866" w:rsidRDefault="005C5866" w:rsidP="005C5866">
      <w:pPr>
        <w:spacing w:line="360" w:lineRule="auto"/>
        <w:rPr>
          <w:rFonts w:asciiTheme="majorBidi" w:hAnsiTheme="majorBidi" w:cstheme="majorBidi"/>
          <w:b/>
          <w:bCs/>
          <w:sz w:val="28"/>
          <w:szCs w:val="28"/>
          <w:rtl/>
        </w:rPr>
      </w:pPr>
    </w:p>
    <w:p w14:paraId="0A117528" w14:textId="77777777" w:rsidR="005C5866" w:rsidRPr="00E154C9" w:rsidRDefault="005C5866" w:rsidP="005C5866">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t>المطلب الثاني: الأسباب والعوامل المرتبطة بهذه الأمراض</w:t>
      </w:r>
    </w:p>
    <w:p w14:paraId="5AC84284" w14:textId="77777777" w:rsidR="005C5866" w:rsidRPr="00E154C9" w:rsidRDefault="005C5866" w:rsidP="005C5866">
      <w:pPr>
        <w:spacing w:line="360" w:lineRule="auto"/>
        <w:rPr>
          <w:rFonts w:asciiTheme="majorBidi" w:hAnsiTheme="majorBidi" w:cstheme="majorBidi"/>
          <w:sz w:val="28"/>
          <w:szCs w:val="28"/>
          <w:lang w:bidi="ar-EG"/>
        </w:rPr>
      </w:pPr>
      <w:r w:rsidRPr="005C5866">
        <w:rPr>
          <w:rFonts w:asciiTheme="majorBidi" w:hAnsiTheme="majorBidi" w:cstheme="majorBidi" w:hint="cs"/>
          <w:sz w:val="28"/>
          <w:szCs w:val="28"/>
          <w:rtl/>
        </w:rPr>
        <w:t xml:space="preserve">تمهيد: </w:t>
      </w:r>
      <w:r w:rsidRPr="005C5866">
        <w:rPr>
          <w:rFonts w:asciiTheme="majorBidi" w:hAnsiTheme="majorBidi" w:cstheme="majorBidi"/>
          <w:sz w:val="28"/>
          <w:szCs w:val="28"/>
          <w:rtl/>
        </w:rPr>
        <w:t>تعتبر الأمراض العصبية المزمنة من الحالات الصحية المعقدة التي تنجم عن تفاعل مجموعة من العوامل المتنوعة، والتي تشمل الجوانب الوراثية، البيئية، السلوكية، والبيولوجية. لفهم هذه الأسباب والعوامل بدقة، من الضروري استعراض الأدبيات الحديثة التي تناولت هذه الجوانب بشكل مفصل، مع التركيز على الدراسات التي تم نشرها في الفترة ما بعد عام 2020</w:t>
      </w:r>
      <w:r w:rsidRPr="005C5866">
        <w:rPr>
          <w:rFonts w:asciiTheme="majorBidi" w:hAnsiTheme="majorBidi" w:cstheme="majorBidi"/>
          <w:sz w:val="28"/>
          <w:szCs w:val="28"/>
          <w:lang w:bidi="ar-EG"/>
        </w:rPr>
        <w:t>.</w:t>
      </w:r>
    </w:p>
    <w:p w14:paraId="4FACAAA1" w14:textId="77777777" w:rsidR="005C5866" w:rsidRPr="00E154C9" w:rsidRDefault="005C5866" w:rsidP="005C5866">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أولاً، تلعب العوامل الوراثية دورًا محوريًا في الإصابة بالعديد من الأمراض العصبية المزمنة، حيث تشير الدراسات إلى أن وجود طفرات جينية معينة يزيد من احتمالية الإصابة بأمراض مثل مرض باركنسون والزهايمر</w:t>
      </w:r>
      <w:r w:rsidRPr="00E154C9">
        <w:rPr>
          <w:rFonts w:asciiTheme="majorBidi" w:hAnsiTheme="majorBidi" w:cstheme="majorBidi"/>
          <w:sz w:val="28"/>
          <w:szCs w:val="28"/>
          <w:lang w:bidi="ar-EG"/>
        </w:rPr>
        <w:t xml:space="preserve"> (Devi, 2020). </w:t>
      </w:r>
      <w:r w:rsidRPr="00E154C9">
        <w:rPr>
          <w:rFonts w:asciiTheme="majorBidi" w:hAnsiTheme="majorBidi" w:cstheme="majorBidi"/>
          <w:sz w:val="28"/>
          <w:szCs w:val="28"/>
          <w:rtl/>
        </w:rPr>
        <w:t>فالجينات المرتبطة بتنظيم البروتينات العصبية وتكوين الخلايا العصبية تلعب دورًا في الحفاظ على صحة الجهاز العصبي، وعندما تحدث فيها طفرات أو خلل يؤدي ذلك إلى تدهور وظائف هذه الخلايا، مما ينعكس على أداء الجهاز العصبي. وقد أكدت دراسة لـ</w:t>
      </w:r>
      <w:r w:rsidRPr="00E154C9">
        <w:rPr>
          <w:rFonts w:asciiTheme="majorBidi" w:hAnsiTheme="majorBidi" w:cstheme="majorBidi"/>
          <w:sz w:val="28"/>
          <w:szCs w:val="28"/>
          <w:lang w:bidi="ar-EG"/>
        </w:rPr>
        <w:t xml:space="preserve">Wang &amp; Liao (2024) </w:t>
      </w:r>
      <w:r w:rsidRPr="00E154C9">
        <w:rPr>
          <w:rFonts w:asciiTheme="majorBidi" w:hAnsiTheme="majorBidi" w:cstheme="majorBidi"/>
          <w:sz w:val="28"/>
          <w:szCs w:val="28"/>
          <w:rtl/>
        </w:rPr>
        <w:t>أن التقدم في تقنيات الجينوم ساهم في التعرف على هذه الطفرات وكيفية تأثيرها على تطور الأمراض العصبية</w:t>
      </w:r>
      <w:r w:rsidRPr="00E154C9">
        <w:rPr>
          <w:rFonts w:asciiTheme="majorBidi" w:hAnsiTheme="majorBidi" w:cstheme="majorBidi"/>
          <w:sz w:val="28"/>
          <w:szCs w:val="28"/>
          <w:lang w:bidi="ar-EG"/>
        </w:rPr>
        <w:t>.</w:t>
      </w:r>
    </w:p>
    <w:p w14:paraId="2E1AB2D0" w14:textId="77777777" w:rsidR="005C5866" w:rsidRPr="00E154C9" w:rsidRDefault="005C5866" w:rsidP="005C5866">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 xml:space="preserve">ثانيًا، العوامل البيئية تُعد من الأسباب المهمة التي تؤثر بشكل كبير على صحة الجهاز العصبي، خاصة في ظل زيادة التلوث والتعرض للمواد السامة في البيئات الحضرية. أشارت دراسات متعددة إلى أن التعرض المستمر للمعادن الثقيلة مثل الرصاص والزئبق، وكذلك الملوثات الكيميائية الزراعية، يرفع من خطر </w:t>
      </w:r>
      <w:r w:rsidRPr="00E154C9">
        <w:rPr>
          <w:rFonts w:asciiTheme="majorBidi" w:hAnsiTheme="majorBidi" w:cstheme="majorBidi"/>
          <w:sz w:val="28"/>
          <w:szCs w:val="28"/>
          <w:rtl/>
        </w:rPr>
        <w:lastRenderedPageBreak/>
        <w:t>الإصابة بالأمراض العصبية المزمنة (السلمي وعطيه، 2022). كما أن التعرض للإشعاعات والأضرار الناتجة عن الإصابات الدماغية الحادة أو المتكررة يلعب دورًا هامًا في زيادة احتمالات الإصابة بهذه الأمراض (علواني وآخرون، 2024)</w:t>
      </w:r>
      <w:r w:rsidRPr="00E154C9">
        <w:rPr>
          <w:rFonts w:asciiTheme="majorBidi" w:hAnsiTheme="majorBidi" w:cstheme="majorBidi"/>
          <w:sz w:val="28"/>
          <w:szCs w:val="28"/>
          <w:lang w:bidi="ar-EG"/>
        </w:rPr>
        <w:t>.</w:t>
      </w:r>
    </w:p>
    <w:p w14:paraId="514AA49C" w14:textId="77777777" w:rsidR="005C5866" w:rsidRPr="00E154C9" w:rsidRDefault="005C5866" w:rsidP="005C5866">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ثالثًا، تلعب العوامل السلوكية وأسلوب الحياة دورًا كبيرًا في ظهور وتفاقم الأمراض العصبية المزمنة. فقلة النشاط البدني، والتدخين، وسوء التغذية، والإفراط في تناول الكحوليات تعتبر عوامل خطر معروفة تسهم في تلف الجهاز العصبي وزيادة فرصة الإصابة به. أكدت الأبحاث أن اتباع نمط حياة صحي يمكن أن يخفف من شدة الأعراض ويؤخر تقدم المرض (قلاده ونرمين، 2025). علاوة على ذلك، يؤثر التوتر النفسي المزمن على صحة الجهاز العصبي من خلال زيادة الالتهابات وتقليل قدرة الخلايا العصبية على التجدد</w:t>
      </w:r>
      <w:r w:rsidRPr="00E154C9">
        <w:rPr>
          <w:rFonts w:asciiTheme="majorBidi" w:hAnsiTheme="majorBidi" w:cstheme="majorBidi"/>
          <w:sz w:val="28"/>
          <w:szCs w:val="28"/>
          <w:lang w:bidi="ar-EG"/>
        </w:rPr>
        <w:t xml:space="preserve"> (Fundoiano-Hershcovitz et al., 2021).</w:t>
      </w:r>
    </w:p>
    <w:p w14:paraId="3799E6B7" w14:textId="77777777" w:rsidR="005C5866" w:rsidRPr="00E154C9" w:rsidRDefault="005C5866" w:rsidP="005C5866">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رابعًا، الأمراض المزمنة الأخرى مثل السكري وارتفاع ضغط الدم تؤثر بشكل غير مباشر على صحة الجهاز العصبي، حيث تؤدي إلى ضعف تدفق الدم إلى الدماغ وتلف الأعصاب، مما يزيد من خطر الإصابة بالأمراض العصبية المزمنة (محمد وغريب، 2023). كما أن هذه الحالات المرضية تزيد من التعقيدات العلاجية وتؤثر على فعالية الأدوية المستخدمة لعلاج الأمراض العصبية</w:t>
      </w:r>
      <w:r w:rsidRPr="00E154C9">
        <w:rPr>
          <w:rFonts w:asciiTheme="majorBidi" w:hAnsiTheme="majorBidi" w:cstheme="majorBidi"/>
          <w:sz w:val="28"/>
          <w:szCs w:val="28"/>
          <w:lang w:bidi="ar-EG"/>
        </w:rPr>
        <w:t>.</w:t>
      </w:r>
    </w:p>
    <w:p w14:paraId="2634BF7E" w14:textId="77777777" w:rsidR="005C5866" w:rsidRPr="00E154C9" w:rsidRDefault="005C5866" w:rsidP="005C5866">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خامسًا، هناك عوامل اجتماعية واقتصادية تلعب دورًا في التأثير على فرص الإصابة بالأمراض العصبية المزمنة ومدى تأثيرها على الأفراد، مثل مستوى التعليم، الوصول إلى الخدمات الصحية، والدعم الاجتماعي. أشارت الدراسات إلى أن الأفراد ذوي الدخل المنخفض والمستوى التعليمي المحدود يواجهون صعوبات أكبر في الحصول على العلاج المناسب والتوعية اللازمة، مما يؤدي إلى تفاقم الحالة الصحية (صبرة وواضحة، 2024)</w:t>
      </w:r>
      <w:r w:rsidRPr="00E154C9">
        <w:rPr>
          <w:rFonts w:asciiTheme="majorBidi" w:hAnsiTheme="majorBidi" w:cstheme="majorBidi"/>
          <w:sz w:val="28"/>
          <w:szCs w:val="28"/>
          <w:lang w:bidi="ar-EG"/>
        </w:rPr>
        <w:t>.</w:t>
      </w:r>
    </w:p>
    <w:p w14:paraId="50A3036A" w14:textId="77777777" w:rsidR="005C5866" w:rsidRPr="00E154C9" w:rsidRDefault="005C5866" w:rsidP="005C5866">
      <w:pPr>
        <w:spacing w:line="360" w:lineRule="auto"/>
        <w:rPr>
          <w:rFonts w:asciiTheme="majorBidi" w:hAnsiTheme="majorBidi" w:cstheme="majorBidi"/>
          <w:sz w:val="28"/>
          <w:szCs w:val="28"/>
          <w:lang w:bidi="ar-EG"/>
        </w:rPr>
      </w:pPr>
      <w:r w:rsidRPr="005C5866">
        <w:rPr>
          <w:rFonts w:asciiTheme="majorBidi" w:hAnsiTheme="majorBidi" w:cstheme="majorBidi" w:hint="cs"/>
          <w:sz w:val="28"/>
          <w:szCs w:val="28"/>
          <w:u w:val="single"/>
          <w:shd w:val="clear" w:color="auto" w:fill="F2CEED" w:themeFill="accent5" w:themeFillTint="33"/>
          <w:rtl/>
        </w:rPr>
        <w:t>رؤية الباحثة:</w:t>
      </w:r>
      <w:r w:rsidRPr="005C5866">
        <w:rPr>
          <w:rFonts w:asciiTheme="majorBidi" w:hAnsiTheme="majorBidi" w:cstheme="majorBidi"/>
          <w:sz w:val="28"/>
          <w:szCs w:val="28"/>
          <w:rtl/>
        </w:rPr>
        <w:t xml:space="preserve"> يبرز تأثير الإعلام الرقمي ووسائل التواصل الاجتماعي في التأثير على سلوكيات الأفراد تجاه الوقاية والعلاج، حيث تساعد هذه الوسائل في نشر المعلومات الصحية والتوعية حول عوامل الخطر، مما يسهم في الحد من انتشار الأمراض العصبية المزمنة إذا ما استُخدمت بشكل فعال</w:t>
      </w:r>
      <w:r w:rsidRPr="005C5866">
        <w:rPr>
          <w:rFonts w:asciiTheme="majorBidi" w:hAnsiTheme="majorBidi" w:cstheme="majorBidi"/>
          <w:sz w:val="28"/>
          <w:szCs w:val="28"/>
          <w:lang w:bidi="ar-EG"/>
        </w:rPr>
        <w:t xml:space="preserve"> (Wang &amp; Liao, 2024).</w:t>
      </w:r>
    </w:p>
    <w:p w14:paraId="18C6CDA8" w14:textId="77777777" w:rsidR="005C5866" w:rsidRPr="00E154C9" w:rsidRDefault="005C5866" w:rsidP="005C5866">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تُظهر هذه العوامل مجتمعة أن الأمراض العصبية المزمنة هي نتيجة لتفاعل معقد بين عوامل متعددة تتطلب مقاربة شاملة في الوقاية والعلاج، مع التركيز على تعديل العوامل السلوكية وتحسين الظروف البيئية والاجتماعية، إلى جانب التطورات الطبية والتكنولوجية الحديثة</w:t>
      </w:r>
      <w:r w:rsidRPr="00E154C9">
        <w:rPr>
          <w:rFonts w:asciiTheme="majorBidi" w:hAnsiTheme="majorBidi" w:cstheme="majorBidi"/>
          <w:sz w:val="28"/>
          <w:szCs w:val="28"/>
          <w:lang w:bidi="ar-EG"/>
        </w:rPr>
        <w:t>.</w:t>
      </w:r>
    </w:p>
    <w:p w14:paraId="1DCC58D6" w14:textId="77777777" w:rsidR="005C5866" w:rsidRPr="00E154C9" w:rsidRDefault="005C5866" w:rsidP="005C5866">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lastRenderedPageBreak/>
        <w:t>تُعتبر العوامل الوراثية أحد أهم الأسباب التي تؤثر في الإصابة بالأمراض العصبية المزمنة، إذ تشير الأبحاث الحديثة إلى وجود جينات معينة مرتبطة بزيادة خطر الإصابة بأمراض مثل مرض باركنسون والزهايمر</w:t>
      </w:r>
      <w:r w:rsidRPr="00E154C9">
        <w:rPr>
          <w:rFonts w:asciiTheme="majorBidi" w:hAnsiTheme="majorBidi" w:cstheme="majorBidi"/>
          <w:sz w:val="28"/>
          <w:szCs w:val="28"/>
          <w:lang w:bidi="ar-EG"/>
        </w:rPr>
        <w:t xml:space="preserve"> (Devi, 2020). </w:t>
      </w:r>
      <w:r w:rsidRPr="00E154C9">
        <w:rPr>
          <w:rFonts w:asciiTheme="majorBidi" w:hAnsiTheme="majorBidi" w:cstheme="majorBidi"/>
          <w:sz w:val="28"/>
          <w:szCs w:val="28"/>
          <w:rtl/>
        </w:rPr>
        <w:t>وتُظهر الدراسات أن الطفرات الجينية قد تؤدي إلى خلل في تكوين البروتينات العصبية أو تأثير سلبي على الوظائف الخلوية في الجهاز العصبي، مما يُسهم في تدهور الخلايا العصبية وفقدان الاتصال بينها</w:t>
      </w:r>
      <w:r w:rsidRPr="00E154C9">
        <w:rPr>
          <w:rFonts w:asciiTheme="majorBidi" w:hAnsiTheme="majorBidi" w:cstheme="majorBidi"/>
          <w:sz w:val="28"/>
          <w:szCs w:val="28"/>
          <w:lang w:bidi="ar-EG"/>
        </w:rPr>
        <w:t xml:space="preserve"> (Wang &amp; Liao, 2024). </w:t>
      </w:r>
      <w:r w:rsidRPr="00E154C9">
        <w:rPr>
          <w:rFonts w:asciiTheme="majorBidi" w:hAnsiTheme="majorBidi" w:cstheme="majorBidi"/>
          <w:sz w:val="28"/>
          <w:szCs w:val="28"/>
          <w:rtl/>
        </w:rPr>
        <w:t>كما أن الفهم المتقدم للجينوم البشري ساعد في الكشف عن هذه الطفرات وتطوير استراتيجيات علاجية تستهدف الآليات الجينية للمرض (قلاده ونرمين، 2025). لذلك، يُعتبر التحليل الجيني والتشخيص المبكر من الأدوات المهمة في الكشف عن الأمراض العصبية المزمنة، مما يساعد في تخطيط العلاج المناسب والوقاية من تطور المرض</w:t>
      </w:r>
      <w:r w:rsidRPr="00E154C9">
        <w:rPr>
          <w:rFonts w:asciiTheme="majorBidi" w:hAnsiTheme="majorBidi" w:cstheme="majorBidi"/>
          <w:sz w:val="28"/>
          <w:szCs w:val="28"/>
          <w:lang w:bidi="ar-EG"/>
        </w:rPr>
        <w:t>.</w:t>
      </w:r>
    </w:p>
    <w:p w14:paraId="29C7BC44" w14:textId="77777777" w:rsidR="005C5866" w:rsidRPr="00E154C9" w:rsidRDefault="005C5866" w:rsidP="005C5866">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في الجانب البيئي، تؤثر الظروف المعيشية والتعرض للملوثات بشدة على صحة الجهاز العصبي، حيث تؤكد الدراسات الحديثة أن التعرض المستمر للمعادن الثقيلة مثل الرصاص والزئبق والمواد الكيميائية السامة يزيد من خطر الإصابة بأمراض عصبية مزمنة (السلمي وعطيه، 2022). بالإضافة إلى ذلك، فإن التعرض للإصابات الدماغية المتكررة أو الحادة، مثل تلك التي تحدث بسبب الحوادث أو الرياضات العنيفة، يُعد من العوامل التي تزيد من احتمالية الإصابة بأمراض عصبية مزمنة كالتصلب المتعدد أو تلف الأعصاب (علواني وآخرون، 2024). هذا بالإضافة إلى تأثير التلوث الهوائي، الذي يُعتبر من أبرز عوامل الخطر المؤثرة على صحة الدماغ والجهاز العصبي، حيث أظهرت الدراسات أن الجزيئات الدقيقة الناتجة عن التلوث تساهم في زيادة الالتهابات العصبية والتدهور الإدراكي</w:t>
      </w:r>
      <w:r w:rsidRPr="00E154C9">
        <w:rPr>
          <w:rFonts w:asciiTheme="majorBidi" w:hAnsiTheme="majorBidi" w:cstheme="majorBidi"/>
          <w:sz w:val="28"/>
          <w:szCs w:val="28"/>
          <w:lang w:bidi="ar-EG"/>
        </w:rPr>
        <w:t>.</w:t>
      </w:r>
    </w:p>
    <w:p w14:paraId="6E8E46BB" w14:textId="77777777" w:rsidR="005C5866" w:rsidRPr="00E154C9" w:rsidRDefault="005C5866" w:rsidP="005C5866">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أما فيما يتعلق بالعوامل السلوكية، فقد أظهرت الأبحاث أن نمط الحياة غير الصحي يلعب دورًا كبيرًا في زيادة احتمالية الإصابة بالأمراض العصبية المزمنة أو تفاقمها. فقلة ممارسة النشاط البدني المنتظم تسهم في ضعف الدورة الدموية وضعف دعم الخلايا العصبية، مما يؤدي إلى تدهور الوظائف العصبية (قلاده ونرمين، 2025). كما أن التدخين يُعتبر من أبرز عوامل الخطر، حيث يحتوي على مواد سامة تؤثر على الأوعية الدموية وتزيد من الالتهابات العصبية</w:t>
      </w:r>
      <w:r w:rsidRPr="00E154C9">
        <w:rPr>
          <w:rFonts w:asciiTheme="majorBidi" w:hAnsiTheme="majorBidi" w:cstheme="majorBidi"/>
          <w:sz w:val="28"/>
          <w:szCs w:val="28"/>
          <w:lang w:bidi="ar-EG"/>
        </w:rPr>
        <w:t xml:space="preserve"> (Fundoiano-Hershcovitz et al., 2021). </w:t>
      </w:r>
      <w:r w:rsidRPr="00E154C9">
        <w:rPr>
          <w:rFonts w:asciiTheme="majorBidi" w:hAnsiTheme="majorBidi" w:cstheme="majorBidi"/>
          <w:sz w:val="28"/>
          <w:szCs w:val="28"/>
          <w:rtl/>
        </w:rPr>
        <w:t>بالإضافة إلى ذلك، فإن سوء التغذية، خاصة نقص الفيتامينات والمعادن المهمة لصحة الدماغ مثل فيتامين د، فيتامين ب12، وأحماض أوميغا 3 الدهنية، يرتبط ارتباطًا وثيقًا بزيادة مخاطر الإصابة بهذه الأمراض (محمد وغريب، 2023). ويُضاف إلى ذلك تأثير الإجهاد النفسي المزمن، الذي يؤدي إلى تغييرات هرمونية وبيوكيميائية تؤثر على صحة الخلايا العصبية وتعزز من حدوث الالتهابات العصبية</w:t>
      </w:r>
      <w:r w:rsidRPr="00E154C9">
        <w:rPr>
          <w:rFonts w:asciiTheme="majorBidi" w:hAnsiTheme="majorBidi" w:cstheme="majorBidi"/>
          <w:sz w:val="28"/>
          <w:szCs w:val="28"/>
          <w:lang w:bidi="ar-EG"/>
        </w:rPr>
        <w:t>.</w:t>
      </w:r>
    </w:p>
    <w:p w14:paraId="7A66424F" w14:textId="77777777" w:rsidR="005C5866" w:rsidRPr="00E154C9" w:rsidRDefault="005C5866" w:rsidP="005C5866">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lastRenderedPageBreak/>
        <w:t>من ناحية أخرى، تلعب الأمراض المزمنة المصاحبة مثل السكري وارتفاع ضغط الدم دورًا هامًا في تفاقم الحالة الصحية للجهاز العصبي، حيث تؤثر هذه الأمراض على الأوعية الدموية وتؤدي إلى ضعف تدفق الدم إلى الدماغ والأعصاب الطرفية، مما يزيد من فرص الإصابة باعتلالات عصبية مزمنة (محمد وغريب، 2023). كما أن تعقيد الحالات الطبية المصاحبة يزيد من صعوبة إدارة المرض العصبي ويقلل من فعالية العلاج الدوائي، مما يستدعي اتباع نهج طبي متكامل يراعي التعامل مع الأمراض المتزامنة بفعالية</w:t>
      </w:r>
      <w:r w:rsidRPr="00E154C9">
        <w:rPr>
          <w:rFonts w:asciiTheme="majorBidi" w:hAnsiTheme="majorBidi" w:cstheme="majorBidi"/>
          <w:sz w:val="28"/>
          <w:szCs w:val="28"/>
          <w:lang w:bidi="ar-EG"/>
        </w:rPr>
        <w:t>.</w:t>
      </w:r>
    </w:p>
    <w:p w14:paraId="400ABA46" w14:textId="77777777" w:rsidR="005C5866" w:rsidRPr="00E154C9" w:rsidRDefault="005C5866" w:rsidP="005C5866">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العوامل الاجتماعية والاقتصادية تلعب دورًا لا يقل أهمية عن العوامل البيولوجية والسلوكية في تطور الأمراض العصبية المزمنة، حيث تؤثر مستويات التعليم والدخل والبيئة الاجتماعية في الوصول إلى الخدمات الصحية والرعاية اللازمة (صبرة وواضحة، 2024). تشير الدراسات إلى أن الفئات ذات الدخل المنخفض أو التعليم المحدود تعاني من ضعف التوعية الصحية، مما يؤدي إلى تأخر التشخيص وتدهور الحالة الصحية (علواني وآخرون، 2024). كما تؤثر العوامل الاجتماعية في القدرة على الالتزام بالعلاج والمتابعة الطبية، فضلاً عن الدعم النفسي والاجتماعي الذي يحتاجه المرضى لمواجهة تحديات المرض</w:t>
      </w:r>
      <w:r w:rsidRPr="00E154C9">
        <w:rPr>
          <w:rFonts w:asciiTheme="majorBidi" w:hAnsiTheme="majorBidi" w:cstheme="majorBidi"/>
          <w:sz w:val="28"/>
          <w:szCs w:val="28"/>
          <w:lang w:bidi="ar-EG"/>
        </w:rPr>
        <w:t>.</w:t>
      </w:r>
    </w:p>
    <w:p w14:paraId="7698E6B8" w14:textId="77777777" w:rsidR="005C5866" w:rsidRPr="00E154C9" w:rsidRDefault="005C5866" w:rsidP="005C5866">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في ظل التقدم التكنولوجي، أصبح الإعلام الرقمي ووسائل التواصل الاجتماعي أدوات فعالة في نشر الوعي الصحي وتعديل السلوكيات المرتبطة بالأمراض العصبية المزمنة. تظهر الدراسات الحديثة أن استخدام المنصات الرقمية يساهم في تحسين مستوى المعرفة لدى الجمهور، ويسهل الوصول إلى المعلومات الطبية الموثوقة، مما يعزز من قدرة الأفراد على اتخاذ قرارات صحية سليمة</w:t>
      </w:r>
      <w:r w:rsidRPr="00E154C9">
        <w:rPr>
          <w:rFonts w:asciiTheme="majorBidi" w:hAnsiTheme="majorBidi" w:cstheme="majorBidi"/>
          <w:sz w:val="28"/>
          <w:szCs w:val="28"/>
          <w:lang w:bidi="ar-EG"/>
        </w:rPr>
        <w:t xml:space="preserve"> (Wang &amp; Liao, 2024). </w:t>
      </w:r>
      <w:r w:rsidRPr="00E154C9">
        <w:rPr>
          <w:rFonts w:asciiTheme="majorBidi" w:hAnsiTheme="majorBidi" w:cstheme="majorBidi"/>
          <w:sz w:val="28"/>
          <w:szCs w:val="28"/>
          <w:rtl/>
        </w:rPr>
        <w:t>كما تتيح هذه الوسائل إنشاء مجتمعات دعم افتراضية تساعد المرضى وعائلاتهم على تبادل الخبرات وتقديم الدعم النفسي والاجتماعي، وهو ما يعد عاملًا مساعدًا في تحسين جودة الحياة وتقليل الشعور بالعزلة (صبرة وواضحة، 2024</w:t>
      </w:r>
      <w:r>
        <w:rPr>
          <w:rFonts w:asciiTheme="majorBidi" w:hAnsiTheme="majorBidi" w:cstheme="majorBidi" w:hint="cs"/>
          <w:sz w:val="28"/>
          <w:szCs w:val="28"/>
          <w:rtl/>
          <w:lang w:bidi="ar-EG"/>
        </w:rPr>
        <w:t>)</w:t>
      </w:r>
    </w:p>
    <w:p w14:paraId="62D81222" w14:textId="77777777" w:rsidR="005C5866" w:rsidRPr="00E154C9" w:rsidRDefault="005C5866" w:rsidP="005C5866">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بالإضافة إلى ذلك، تؤكد الأبحاث على أهمية الكشف المبكر والتدخل السريع للحد من مضاعفات الأمراض العصبية المزمنة، ويبرز الإعلام الرقمي كأداة رئيسية في تحفيز الأفراد على إجراء الفحوصات الدورية واتباع أنماط حياة صحية. كما يسهم الإعلام في تصحيح المعلومات المغلوطة التي قد تنتشر عبر الإنترنت، مما يساعد في تقليل الشائعات التي تؤثر سلبًا على صحة المرضى وفعالية العلاج (علواني وآخرون، 2024)</w:t>
      </w:r>
      <w:r w:rsidRPr="00E154C9">
        <w:rPr>
          <w:rFonts w:asciiTheme="majorBidi" w:hAnsiTheme="majorBidi" w:cstheme="majorBidi"/>
          <w:sz w:val="28"/>
          <w:szCs w:val="28"/>
          <w:lang w:bidi="ar-EG"/>
        </w:rPr>
        <w:t>.</w:t>
      </w:r>
    </w:p>
    <w:p w14:paraId="163C94C5" w14:textId="77777777" w:rsidR="005C5866" w:rsidRPr="00E154C9" w:rsidRDefault="005C5866" w:rsidP="005C5866">
      <w:pPr>
        <w:spacing w:line="360" w:lineRule="auto"/>
        <w:rPr>
          <w:rFonts w:asciiTheme="majorBidi" w:hAnsiTheme="majorBidi" w:cstheme="majorBidi"/>
          <w:sz w:val="28"/>
          <w:szCs w:val="28"/>
          <w:rtl/>
          <w:lang w:bidi="ar-EG"/>
        </w:rPr>
      </w:pPr>
      <w:r w:rsidRPr="00E154C9">
        <w:rPr>
          <w:rFonts w:asciiTheme="majorBidi" w:hAnsiTheme="majorBidi" w:cstheme="majorBidi"/>
          <w:sz w:val="28"/>
          <w:szCs w:val="28"/>
          <w:rtl/>
        </w:rPr>
        <w:t xml:space="preserve">و يتضح أن الأسباب والعوامل المرتبطة بالأمراض العصبية المزمنة متعددة ومترابطة، وتتطلب استراتيجيات متكاملة تشمل الجانب الطبي، البيئي، الاجتماعي، والتوعوي. وتستلزم مواجهة هذه التحديات </w:t>
      </w:r>
      <w:r w:rsidRPr="00E154C9">
        <w:rPr>
          <w:rFonts w:asciiTheme="majorBidi" w:hAnsiTheme="majorBidi" w:cstheme="majorBidi"/>
          <w:sz w:val="28"/>
          <w:szCs w:val="28"/>
          <w:rtl/>
        </w:rPr>
        <w:lastRenderedPageBreak/>
        <w:t>جهودًا مشتركة من الجهات الصحية، الإعلامية، والتعليمية لتطوير برامج وقائية وعلاجية شاملة تستهدف الحد من تأثير هذه الأمراض على الأفراد والمجتمعات</w:t>
      </w:r>
      <w:r w:rsidRPr="00E154C9">
        <w:rPr>
          <w:rFonts w:asciiTheme="majorBidi" w:hAnsiTheme="majorBidi" w:cstheme="majorBidi"/>
          <w:sz w:val="28"/>
          <w:szCs w:val="28"/>
          <w:lang w:bidi="ar-EG"/>
        </w:rPr>
        <w:t>.</w:t>
      </w:r>
    </w:p>
    <w:p w14:paraId="3642D64A" w14:textId="77777777" w:rsidR="005C5866" w:rsidRPr="00E154C9" w:rsidRDefault="005C5866" w:rsidP="005C5866">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t xml:space="preserve">المطلب الثالث: أبرز الأمراض العصبية المزمنة </w:t>
      </w:r>
    </w:p>
    <w:p w14:paraId="3D2393E6" w14:textId="77777777" w:rsidR="005C5866" w:rsidRPr="00E154C9" w:rsidRDefault="005C5866" w:rsidP="005C5866">
      <w:pPr>
        <w:spacing w:line="360" w:lineRule="auto"/>
        <w:rPr>
          <w:rFonts w:asciiTheme="majorBidi" w:hAnsiTheme="majorBidi" w:cstheme="majorBidi"/>
          <w:sz w:val="28"/>
          <w:szCs w:val="28"/>
        </w:rPr>
      </w:pPr>
      <w:r w:rsidRPr="00046EB2">
        <w:rPr>
          <w:rFonts w:asciiTheme="majorBidi" w:hAnsiTheme="majorBidi" w:cstheme="majorBidi" w:hint="cs"/>
          <w:sz w:val="28"/>
          <w:szCs w:val="28"/>
          <w:rtl/>
        </w:rPr>
        <w:t xml:space="preserve">تمهيد: </w:t>
      </w:r>
      <w:r w:rsidRPr="00046EB2">
        <w:rPr>
          <w:rFonts w:asciiTheme="majorBidi" w:hAnsiTheme="majorBidi" w:cstheme="majorBidi"/>
          <w:sz w:val="28"/>
          <w:szCs w:val="28"/>
          <w:rtl/>
        </w:rPr>
        <w:t>تُعد الأمراض العصبية المزمنة من أكثر الأمراض تعقيدًا وانتشارًا في العالم، لما لها من تأثير بالغ على صحة الأفراد وجودة حياتهم. من بين هذه الأمراض، يبرز التصلب اللويحي، الصرع، الزهايمر، ومرض باركنسون كأمثلة رئيسية تمثل تحديات كبيرة للقطاع الصحي والمجتمع بشكل عام (قلاده ونرمين، 2025)</w:t>
      </w:r>
      <w:r w:rsidRPr="00046EB2">
        <w:rPr>
          <w:rFonts w:asciiTheme="majorBidi" w:hAnsiTheme="majorBidi" w:cstheme="majorBidi"/>
          <w:sz w:val="28"/>
          <w:szCs w:val="28"/>
        </w:rPr>
        <w:t>.</w:t>
      </w:r>
    </w:p>
    <w:p w14:paraId="18EDAF2E" w14:textId="77777777" w:rsidR="005C5866" w:rsidRPr="00E154C9" w:rsidRDefault="005C5866" w:rsidP="005C5866">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التصلب اللويحي</w:t>
      </w:r>
      <w:r w:rsidRPr="00E154C9">
        <w:rPr>
          <w:rFonts w:asciiTheme="majorBidi" w:hAnsiTheme="majorBidi" w:cstheme="majorBidi"/>
          <w:b/>
          <w:bCs/>
          <w:sz w:val="28"/>
          <w:szCs w:val="28"/>
        </w:rPr>
        <w:t xml:space="preserve"> (Multiple Sclerosis)</w:t>
      </w:r>
    </w:p>
    <w:p w14:paraId="71663C45"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التصلب اللويحي هو مرض مناعي ذاتي مزمن يصيب الجهاز العصبي المركزي، حيث يهاجم الجهاز المناعي الغلاف الواقي للألياف العصبية المعروف بالميلين، مما يؤدي إلى تآكلها وتعطيل نقل الإشارات العصبية بين الدماغ والحبل الشوكي</w:t>
      </w:r>
      <w:r w:rsidRPr="00E154C9">
        <w:rPr>
          <w:rFonts w:asciiTheme="majorBidi" w:hAnsiTheme="majorBidi" w:cstheme="majorBidi"/>
          <w:sz w:val="28"/>
          <w:szCs w:val="28"/>
        </w:rPr>
        <w:t xml:space="preserve"> (Fundoiano-Hershcovitz et al., 2021). </w:t>
      </w:r>
      <w:r w:rsidRPr="00E154C9">
        <w:rPr>
          <w:rFonts w:asciiTheme="majorBidi" w:hAnsiTheme="majorBidi" w:cstheme="majorBidi"/>
          <w:sz w:val="28"/>
          <w:szCs w:val="28"/>
          <w:rtl/>
        </w:rPr>
        <w:t>تتفاوت أعراض التصلب اللويحي بشكل كبير بين المرضى، وتشمل ضعف العضلات، مشاكل في التوازن والتنسيق الحركي، التعب المزمن، واضطرابات حسية مثل التنميل والخدر. كما قد يعاني المرضى من مشاكل في الرؤية والتفكير</w:t>
      </w:r>
      <w:r w:rsidRPr="00E154C9">
        <w:rPr>
          <w:rFonts w:asciiTheme="majorBidi" w:hAnsiTheme="majorBidi" w:cstheme="majorBidi"/>
          <w:sz w:val="28"/>
          <w:szCs w:val="28"/>
        </w:rPr>
        <w:t xml:space="preserve"> (Wang &amp; Liao, 2024).</w:t>
      </w:r>
    </w:p>
    <w:p w14:paraId="7A23049F"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يعد التصلب اللويحي من الأمراض المزمنة التي يمكن أن تتطور بشكل متقطع، حيث تظهر نوبات من الأعراض تتبعها فترات هدوء، وفي بعض الحالات يتطور المرض بشكل مستمر مع تفاقم الأعراض (علواني وآخرون، 2024). على الرغم من أن أسباب التصلب اللويحي غير معروفة بشكل كامل، تشير الدراسات إلى تداخل العوامل الوراثية والبيئية، مثل التعرض لبعض الفيروسات، في تحفيز حدوث المرض (قلاده ونرمين، 2025)</w:t>
      </w:r>
      <w:r w:rsidRPr="00E154C9">
        <w:rPr>
          <w:rFonts w:asciiTheme="majorBidi" w:hAnsiTheme="majorBidi" w:cstheme="majorBidi"/>
          <w:sz w:val="28"/>
          <w:szCs w:val="28"/>
        </w:rPr>
        <w:t>.</w:t>
      </w:r>
    </w:p>
    <w:p w14:paraId="2C7534A2" w14:textId="77777777" w:rsidR="005C5866" w:rsidRPr="00E154C9" w:rsidRDefault="005C5866" w:rsidP="005C5866">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الصرع</w:t>
      </w:r>
      <w:r w:rsidRPr="00E154C9">
        <w:rPr>
          <w:rFonts w:asciiTheme="majorBidi" w:hAnsiTheme="majorBidi" w:cstheme="majorBidi"/>
          <w:b/>
          <w:bCs/>
          <w:sz w:val="28"/>
          <w:szCs w:val="28"/>
        </w:rPr>
        <w:t xml:space="preserve"> (Epilepsy)</w:t>
      </w:r>
    </w:p>
    <w:p w14:paraId="277101D8"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الصرع هو اضطراب عصبي مزمن يتميز بحدوث نوبات متكررة من النشاط الكهربائي غير الطبيعي في الدماغ، مما يؤدي إلى تشنجات وانقطاعات مؤقتة في الوظائف العصبية (محمد وغريب، 2023). تختلف نوبات الصرع في شدتها وطبيعتها بين الأفراد، فقد تكون نوبات بسيطة مع فقدان وعي مؤقت، أو نوبات معقدة تشمل تشنجات قوية وفقدان السيطرة على الجسم</w:t>
      </w:r>
      <w:r w:rsidRPr="00E154C9">
        <w:rPr>
          <w:rFonts w:asciiTheme="majorBidi" w:hAnsiTheme="majorBidi" w:cstheme="majorBidi"/>
          <w:sz w:val="28"/>
          <w:szCs w:val="28"/>
        </w:rPr>
        <w:t>.</w:t>
      </w:r>
    </w:p>
    <w:p w14:paraId="356090E3"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يُصنف الصرع إلى عدة أنواع وفقًا لأصل النوبات والمناطق الدماغية المتأثرة، وتتراوح أسباب الصرع بين عوامل وراثية، إصابات دماغية، أمراض معدية، وأحيانًا تكون غير معروفة المصدر (السلمي وعطيه، 2022). يؤثر الصرع بشكل كبير على الحياة اليومية للمرضى، حيث يتطلب التحكم في النوبات من خلال العلاج الدوائي المستمر والمتابعة الطبية الدقيقة</w:t>
      </w:r>
      <w:r w:rsidRPr="00E154C9">
        <w:rPr>
          <w:rFonts w:asciiTheme="majorBidi" w:hAnsiTheme="majorBidi" w:cstheme="majorBidi"/>
          <w:sz w:val="28"/>
          <w:szCs w:val="28"/>
        </w:rPr>
        <w:t xml:space="preserve"> (Fundoiano-Hershcovitz et al., 2021).</w:t>
      </w:r>
    </w:p>
    <w:p w14:paraId="54A33100" w14:textId="77777777" w:rsidR="005C5866" w:rsidRPr="00E154C9" w:rsidRDefault="005C5866" w:rsidP="005C5866">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الزهايمر</w:t>
      </w:r>
      <w:r w:rsidRPr="00E154C9">
        <w:rPr>
          <w:rFonts w:asciiTheme="majorBidi" w:hAnsiTheme="majorBidi" w:cstheme="majorBidi"/>
          <w:b/>
          <w:bCs/>
          <w:sz w:val="28"/>
          <w:szCs w:val="28"/>
        </w:rPr>
        <w:t xml:space="preserve"> (Alzheimer’s Disease)</w:t>
      </w:r>
    </w:p>
    <w:p w14:paraId="139BB35B"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مرض الزهايمر هو اضطراب عصبي تنكسي مزمن يؤدي إلى تدهور تدريجي في القدرات الإدراكية مثل الذاكرة والتفكير، ويُعتبر السبب الأكثر شيوعًا للخرف لدى كبار السن (علواني وآخرون، 2024). يتسبب هذا المرض في تراكم بروتينات غير طبيعية في الدماغ تؤدي إلى موت الخلايا العصبية وفقدان التواصل بينها</w:t>
      </w:r>
      <w:r w:rsidRPr="00E154C9">
        <w:rPr>
          <w:rFonts w:asciiTheme="majorBidi" w:hAnsiTheme="majorBidi" w:cstheme="majorBidi"/>
          <w:sz w:val="28"/>
          <w:szCs w:val="28"/>
        </w:rPr>
        <w:t>.</w:t>
      </w:r>
    </w:p>
    <w:p w14:paraId="573C622E"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تبدأ أعراض الزهايمر عادة بفقدان الذاكرة القصيرة المدى، ثم تتطور لتشمل صعوبات في اللغة، التفكير المنطقي، والتصرفات الاجتماعية</w:t>
      </w:r>
      <w:r w:rsidRPr="00E154C9">
        <w:rPr>
          <w:rFonts w:asciiTheme="majorBidi" w:hAnsiTheme="majorBidi" w:cstheme="majorBidi"/>
          <w:sz w:val="28"/>
          <w:szCs w:val="28"/>
        </w:rPr>
        <w:t xml:space="preserve"> (Wang &amp; Liao, 2024). </w:t>
      </w:r>
      <w:r w:rsidRPr="00E154C9">
        <w:rPr>
          <w:rFonts w:asciiTheme="majorBidi" w:hAnsiTheme="majorBidi" w:cstheme="majorBidi"/>
          <w:sz w:val="28"/>
          <w:szCs w:val="28"/>
          <w:rtl/>
        </w:rPr>
        <w:t>تؤثر هذه التغيرات بشكل كبير على استقلالية المرضى وقدرتهم على القيام بالأنشطة اليومية. لا يزال السبب الدقيق لمرض الزهايمر غير معروف بشكل كامل، لكن العوامل الوراثية والبيئية تلعب دورًا في تطوره (قلاده ونرمين، 2025</w:t>
      </w:r>
      <w:r w:rsidRPr="00E154C9">
        <w:rPr>
          <w:rFonts w:asciiTheme="majorBidi" w:hAnsiTheme="majorBidi" w:cstheme="majorBidi"/>
          <w:sz w:val="28"/>
          <w:szCs w:val="28"/>
        </w:rPr>
        <w:t>).</w:t>
      </w:r>
    </w:p>
    <w:p w14:paraId="428F5A6C" w14:textId="77777777" w:rsidR="005C5866" w:rsidRPr="00E154C9" w:rsidRDefault="005C5866" w:rsidP="005C5866">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باركنسون</w:t>
      </w:r>
      <w:r w:rsidRPr="00E154C9">
        <w:rPr>
          <w:rFonts w:asciiTheme="majorBidi" w:hAnsiTheme="majorBidi" w:cstheme="majorBidi"/>
          <w:b/>
          <w:bCs/>
          <w:sz w:val="28"/>
          <w:szCs w:val="28"/>
        </w:rPr>
        <w:t xml:space="preserve"> (Parkinson’s Disease)</w:t>
      </w:r>
    </w:p>
    <w:p w14:paraId="108CC7AA"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مرض باركنسون هو اضطراب تنكسي يؤثر على الجهاز العصبي المركزي، ويتمثل في فقدان الخلايا العصبية المنتجة لمادة الدوبامين في منطقة معينة من الدماغ</w:t>
      </w:r>
      <w:r w:rsidRPr="00E154C9">
        <w:rPr>
          <w:rFonts w:asciiTheme="majorBidi" w:hAnsiTheme="majorBidi" w:cstheme="majorBidi"/>
          <w:sz w:val="28"/>
          <w:szCs w:val="28"/>
        </w:rPr>
        <w:t xml:space="preserve"> (Fundoiano-Hershcovitz et al., 2021). </w:t>
      </w:r>
      <w:r w:rsidRPr="00E154C9">
        <w:rPr>
          <w:rFonts w:asciiTheme="majorBidi" w:hAnsiTheme="majorBidi" w:cstheme="majorBidi"/>
          <w:sz w:val="28"/>
          <w:szCs w:val="28"/>
          <w:rtl/>
        </w:rPr>
        <w:t>يؤدي ذلك إلى ظهور أعراض حركية مميزة مثل الرعاش، التيبس، بطء الحركة، وصعوبة في التوازن</w:t>
      </w:r>
      <w:r w:rsidRPr="00E154C9">
        <w:rPr>
          <w:rFonts w:asciiTheme="majorBidi" w:hAnsiTheme="majorBidi" w:cstheme="majorBidi"/>
          <w:sz w:val="28"/>
          <w:szCs w:val="28"/>
        </w:rPr>
        <w:t>.</w:t>
      </w:r>
    </w:p>
    <w:p w14:paraId="03D483DA"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يؤثر مرض باركنسون على جودة الحياة بشكل كبير، ويحتاج المرضى إلى علاج مستمر للتحكم في الأعراض وتحسين الأداء اليومي (محمد وغريب، 2023). تتركز أسباب المرض بين العوامل الوراثية والبيئية، بالإضافة إلى تأثير العوامل السلوكية ونمط الحياة، مما يجعل من الضروري اعتماد استراتيجيات متعددة للوقاية والعلاج (علواني وآخرون، 2024)</w:t>
      </w:r>
      <w:r w:rsidRPr="00E154C9">
        <w:rPr>
          <w:rFonts w:asciiTheme="majorBidi" w:hAnsiTheme="majorBidi" w:cstheme="majorBidi"/>
          <w:sz w:val="28"/>
          <w:szCs w:val="28"/>
        </w:rPr>
        <w:t>.</w:t>
      </w:r>
    </w:p>
    <w:p w14:paraId="0AD2F36D"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تُعدّ الأمراض العصبية المزمنة من الأسباب الرئيسية للإعاقة المزمنة في العالم، حيث تؤثر بشكل كبير على الجهاز العصبي وتغير من نمط حياة المرضى بصورة دائمة. من أبرز هذه الأمراض التصلب اللويحي، الذي </w:t>
      </w:r>
      <w:r w:rsidRPr="00E154C9">
        <w:rPr>
          <w:rFonts w:asciiTheme="majorBidi" w:hAnsiTheme="majorBidi" w:cstheme="majorBidi"/>
          <w:sz w:val="28"/>
          <w:szCs w:val="28"/>
          <w:rtl/>
        </w:rPr>
        <w:lastRenderedPageBreak/>
        <w:t>يُصنف كمرض مناعي ذاتي حيث يهاجم فيه الجهاز المناعي الخلايا العصبية السليمة، مسببًا فقدان الغلاف المياليني الذي يحمي الألياف العصبية، وهو ما يؤدي إلى اضطرابات في نقل الإشارات الكهربائية الضرورية لوظائف الجسم الحيوية. وتتراوح أعراض التصلب اللويحي بين التعب الشديد، فقدان الإحساس، اضطرابات بصرية، واضطرابات حركية تختلف شدتها تبعًا لتقدم المرض</w:t>
      </w:r>
      <w:r w:rsidRPr="00E154C9">
        <w:rPr>
          <w:rFonts w:asciiTheme="majorBidi" w:hAnsiTheme="majorBidi" w:cstheme="majorBidi"/>
          <w:sz w:val="28"/>
          <w:szCs w:val="28"/>
        </w:rPr>
        <w:t xml:space="preserve"> (Fundoiano-Hershcovitz et al., 2021).</w:t>
      </w:r>
    </w:p>
    <w:p w14:paraId="59D15D09"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الصرع، كأحد الأمراض العصبية المزمنة، يتميز بحدوث نوبات متكررة من النشاط الكهربائي غير الطبيعي في الدماغ، والتي قد تسبب تشنجات أو تغيرات مؤقتة في السلوك أو الوعي. يمكن أن يكون الصرع ناتجًا عن عدة عوامل مثل الإصابات الدماغية، العوامل الوراثية، أو الاضطرابات البيئية. وقد أظهرت الأبحاث أن تحكم المرض يتطلب استراتيجيات دوائية دقيقة، إلى جانب التعليم والتوعية المستمرة للمريض وعائلته لتقليل مخاطر النوبات والتعامل معها بشكل آمن (محمد وغريب، 2023)</w:t>
      </w:r>
      <w:r w:rsidRPr="00E154C9">
        <w:rPr>
          <w:rFonts w:asciiTheme="majorBidi" w:hAnsiTheme="majorBidi" w:cstheme="majorBidi"/>
          <w:sz w:val="28"/>
          <w:szCs w:val="28"/>
        </w:rPr>
        <w:t>.</w:t>
      </w:r>
    </w:p>
    <w:p w14:paraId="4FEB0433"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مرض الزهايمر يمثل تحديًا طبيًا واجتماعيًا حقيقيًا بسبب طبيعته التنكسية التي تؤدي إلى فقدان تدريجي للذاكرة والقدرات الإدراكية، وهو أكثر أنواع الخرف انتشارًا بين كبار السن. يرتبط المرض بتراكم بروتينات الأميلويد والتاو في الدماغ، والتي تتسبب في موت الخلايا العصبية وانخفاض الكتلة الدماغية. لا يتوقف تأثير الزهايمر على الوظائف الإدراكية فقط، بل يمتد ليشمل التغيرات السلوكية والعاطفية التي تعوق حياة المرضى وأسرهم، مما يتطلب نهجًا متعدد التخصصات للعلاج والدعم (علواني وآخرون، 2024)</w:t>
      </w:r>
      <w:r w:rsidRPr="00E154C9">
        <w:rPr>
          <w:rFonts w:asciiTheme="majorBidi" w:hAnsiTheme="majorBidi" w:cstheme="majorBidi"/>
          <w:sz w:val="28"/>
          <w:szCs w:val="28"/>
        </w:rPr>
        <w:t>.</w:t>
      </w:r>
    </w:p>
    <w:p w14:paraId="060D01E1" w14:textId="77777777" w:rsidR="005C5866" w:rsidRPr="00E154C9"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مرض باركنسون يختلف عن باقي الأمراض العصبية المزمنة بتركيزه الأساسي على الأعراض الحركية الناتجة عن نقص الدوبامين في الدماغ، إلا أنه يشمل أيضًا أعراضًا غير حركية مثل اضطرابات النوم والاكتئاب. يعاني المرضى من الرعاش، التيبس العضلي، وصعوبة في الحركة والتوازن، مما يحد من استقلاليتهم وقدرتهم على أداء المهام اليومية. يشكل التداخل بين العوامل الوراثية والبيئية أهمية بالغة في فهم تطور المرض وتحديد الخيارات العلاجية المناسبة</w:t>
      </w:r>
      <w:r w:rsidRPr="00E154C9">
        <w:rPr>
          <w:rFonts w:asciiTheme="majorBidi" w:hAnsiTheme="majorBidi" w:cstheme="majorBidi"/>
          <w:sz w:val="28"/>
          <w:szCs w:val="28"/>
        </w:rPr>
        <w:t xml:space="preserve"> (Fundoiano-Hershcovitz et al., 2021).</w:t>
      </w:r>
    </w:p>
    <w:p w14:paraId="3C0DD70D" w14:textId="77777777" w:rsidR="005C5866" w:rsidRDefault="005C5866" w:rsidP="005C5866">
      <w:pPr>
        <w:spacing w:line="360" w:lineRule="auto"/>
        <w:rPr>
          <w:rFonts w:asciiTheme="majorBidi" w:hAnsiTheme="majorBidi" w:cstheme="majorBidi"/>
          <w:sz w:val="28"/>
          <w:szCs w:val="28"/>
        </w:rPr>
      </w:pPr>
      <w:r w:rsidRPr="00E154C9">
        <w:rPr>
          <w:rFonts w:asciiTheme="majorBidi" w:hAnsiTheme="majorBidi" w:cstheme="majorBidi"/>
          <w:sz w:val="28"/>
          <w:szCs w:val="28"/>
          <w:rtl/>
        </w:rPr>
        <w:t>تجدر الإشارة إلى أن جميع هذه الأمراض العصبية المزمنة تشترك في كونها تتطلب تدخلًا مبكرًا وتكامليًا يشمل العلاج الدوائي، التأهيل النفسي والاجتماعي، والتوعية المجتمعية عبر وسائل الإعلام الرقمي لضمان تحسين جودة الحياة للمصابين. كما تلعب التكنولوجيا الحديثة دورًا متزايدًا في تشخيص هذه الأمراض، مراقبة تقدمها، وتقديم الدعم النفسي للمرضى، مما يفتح آفاقًا جديدة لإدارة هذه الأمراض بشكل أكثر فعالية</w:t>
      </w:r>
      <w:r w:rsidRPr="00E154C9">
        <w:rPr>
          <w:rFonts w:asciiTheme="majorBidi" w:hAnsiTheme="majorBidi" w:cstheme="majorBidi"/>
          <w:sz w:val="28"/>
          <w:szCs w:val="28"/>
        </w:rPr>
        <w:t xml:space="preserve"> (Wang &amp; Liao, 2024).</w:t>
      </w:r>
    </w:p>
    <w:p w14:paraId="79FFDE0B" w14:textId="77777777" w:rsidR="005C5866" w:rsidRDefault="005C5866" w:rsidP="005C5866">
      <w:pPr>
        <w:spacing w:line="360" w:lineRule="auto"/>
        <w:rPr>
          <w:rFonts w:asciiTheme="majorBidi" w:hAnsiTheme="majorBidi" w:cstheme="majorBidi"/>
          <w:sz w:val="28"/>
          <w:szCs w:val="28"/>
        </w:rPr>
      </w:pPr>
    </w:p>
    <w:p w14:paraId="67F64168" w14:textId="77777777" w:rsidR="005C5866" w:rsidRPr="00E154C9" w:rsidRDefault="005C5866" w:rsidP="005C5866">
      <w:pPr>
        <w:spacing w:line="360" w:lineRule="auto"/>
        <w:rPr>
          <w:rFonts w:asciiTheme="majorBidi" w:hAnsiTheme="majorBidi" w:cstheme="majorBidi"/>
          <w:sz w:val="28"/>
          <w:szCs w:val="28"/>
        </w:rPr>
      </w:pPr>
    </w:p>
    <w:p w14:paraId="6D3824E5" w14:textId="77777777" w:rsidR="005C5866" w:rsidRPr="005C5866" w:rsidRDefault="005C5866" w:rsidP="005C5866">
      <w:pPr>
        <w:spacing w:line="360" w:lineRule="auto"/>
        <w:rPr>
          <w:rFonts w:asciiTheme="majorBidi" w:hAnsiTheme="majorBidi" w:cstheme="majorBidi"/>
          <w:b/>
          <w:bCs/>
          <w:sz w:val="28"/>
          <w:szCs w:val="28"/>
          <w:rtl/>
        </w:rPr>
      </w:pPr>
      <w:r w:rsidRPr="005C5866">
        <w:rPr>
          <w:rFonts w:asciiTheme="majorBidi" w:hAnsiTheme="majorBidi" w:cstheme="majorBidi"/>
          <w:b/>
          <w:bCs/>
          <w:sz w:val="28"/>
          <w:szCs w:val="28"/>
          <w:rtl/>
        </w:rPr>
        <w:t>المطلب الرابع: أثر هذه الأمراض على الفرد والمجتمع</w:t>
      </w:r>
    </w:p>
    <w:p w14:paraId="1DEC5789" w14:textId="77777777" w:rsidR="005C5866" w:rsidRPr="005C5866" w:rsidRDefault="005C5866" w:rsidP="005C5866">
      <w:pPr>
        <w:spacing w:line="360" w:lineRule="auto"/>
        <w:rPr>
          <w:rFonts w:asciiTheme="majorBidi" w:hAnsiTheme="majorBidi" w:cstheme="majorBidi"/>
          <w:sz w:val="28"/>
          <w:szCs w:val="28"/>
        </w:rPr>
      </w:pPr>
      <w:r w:rsidRPr="005C5866">
        <w:rPr>
          <w:rFonts w:asciiTheme="majorBidi" w:hAnsiTheme="majorBidi" w:cstheme="majorBidi" w:hint="cs"/>
          <w:sz w:val="28"/>
          <w:szCs w:val="28"/>
          <w:rtl/>
        </w:rPr>
        <w:t xml:space="preserve">تمهيد: </w:t>
      </w:r>
      <w:r w:rsidRPr="005C5866">
        <w:rPr>
          <w:rFonts w:asciiTheme="majorBidi" w:hAnsiTheme="majorBidi" w:cstheme="majorBidi"/>
          <w:sz w:val="28"/>
          <w:szCs w:val="28"/>
          <w:rtl/>
        </w:rPr>
        <w:t>تُعد الأمراض العصبية المزمنة من أبرز التحديات الصحية التي تؤثر على الأفراد والمجتمعات بشكل واسع ومتنوع. تتجاوز آثار هذه الأمراض الجوانب الطبية لتشمل التأثيرات النفسية، الاجتماعية، الاقتصادية، والثقافية، مما يجعل فهمها وإدارتها أمرًا بالغ الأهمية للحد من تداعياتها السلبية على الفرد والمجتمع. في هذا المطلب، سيتم استعراض أثر الأمراض العصبية المزمنة على مختلف المستويات، مع التركيز على الجوانب الحياتية، الاقتصادية والاجتماعية، والتحديات التي تفرضها على نظم الرعاية الصحية</w:t>
      </w:r>
      <w:r w:rsidRPr="005C5866">
        <w:rPr>
          <w:rFonts w:asciiTheme="majorBidi" w:hAnsiTheme="majorBidi" w:cstheme="majorBidi"/>
          <w:sz w:val="28"/>
          <w:szCs w:val="28"/>
        </w:rPr>
        <w:t>.</w:t>
      </w:r>
    </w:p>
    <w:p w14:paraId="0EE6DD4B" w14:textId="77777777" w:rsidR="005C5866" w:rsidRDefault="005C5866" w:rsidP="005C5866">
      <w:pPr>
        <w:spacing w:line="360" w:lineRule="auto"/>
        <w:rPr>
          <w:rFonts w:asciiTheme="majorBidi" w:hAnsiTheme="majorBidi" w:cstheme="majorBidi"/>
          <w:sz w:val="28"/>
          <w:szCs w:val="28"/>
          <w:rtl/>
        </w:rPr>
      </w:pPr>
      <w:r w:rsidRPr="005C5866">
        <w:rPr>
          <w:rFonts w:asciiTheme="majorBidi" w:hAnsiTheme="majorBidi" w:cstheme="majorBidi"/>
          <w:sz w:val="28"/>
          <w:szCs w:val="28"/>
          <w:rtl/>
        </w:rPr>
        <w:t>أولاً، على المستوى الفردي، يعاني المرضى المصابون بالأمراض العصبية المزمنة من تأثيرات جسدية واضحة تشمل فقدان القدرات الحركية، ضعف التنسيق العضلي، واضطرابات في الوظائف الحسية، مما يؤثر على استقلاليتهم في أداء الأنشطة اليومية. على سبيل المثال، مرضى التصلب اللويحي والباركنسون يواجهون صعوبات في المشي والتوازن، ما يزيد من مخاطر السقوط والإصابات</w:t>
      </w:r>
      <w:r w:rsidRPr="005C5866">
        <w:rPr>
          <w:rFonts w:asciiTheme="majorBidi" w:hAnsiTheme="majorBidi" w:cstheme="majorBidi"/>
          <w:sz w:val="28"/>
          <w:szCs w:val="28"/>
        </w:rPr>
        <w:t xml:space="preserve"> (Fundoiano-Hershcovitz et al., 2021). </w:t>
      </w:r>
      <w:r w:rsidRPr="005C5866">
        <w:rPr>
          <w:rFonts w:asciiTheme="majorBidi" w:hAnsiTheme="majorBidi" w:cstheme="majorBidi"/>
          <w:sz w:val="28"/>
          <w:szCs w:val="28"/>
          <w:rtl/>
        </w:rPr>
        <w:t>هذه الإعاقات الجسدية تقود إلى اعتماد المرضى على الآخرين، مما قد يؤثر سلبًا على احترام الذات ويزيد من شعورهم بالضعف والعجز</w:t>
      </w:r>
      <w:r w:rsidRPr="005C5866">
        <w:rPr>
          <w:rFonts w:asciiTheme="majorBidi" w:hAnsiTheme="majorBidi" w:cstheme="majorBidi"/>
          <w:sz w:val="28"/>
          <w:szCs w:val="28"/>
        </w:rPr>
        <w:t>.</w:t>
      </w:r>
    </w:p>
    <w:p w14:paraId="169E3CAD"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t>ثانيًا، من الناحية النفسية، تتسبب الأمراض العصبية المزمنة في ظهور مشكلات صحية نفسية شائعة مثل الاكتئاب، القلق، واضطرابات النوم. حيث أن التغيرات في الدماغ التي تسببها هذه الأمراض تؤثر على الوظائف العصبية المسؤولة عن تنظيم المزاج والعواطف (محمد وغريب، 2023). بالإضافة إلى ذلك، فإن الإعاقة والتحديات اليومية التي يواجهها المرضى قد تؤدي إلى عزلة اجتماعية وشعور بالوحدة، مما يفاقم الأعراض النفسية ويؤثر على جودة الحياة</w:t>
      </w:r>
      <w:r w:rsidRPr="00E154C9">
        <w:rPr>
          <w:rFonts w:asciiTheme="majorBidi" w:hAnsiTheme="majorBidi" w:cstheme="majorBidi"/>
          <w:sz w:val="28"/>
          <w:szCs w:val="28"/>
        </w:rPr>
        <w:t>.</w:t>
      </w:r>
    </w:p>
    <w:p w14:paraId="4F8A68BA"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t>ثالثًا، على المستوى الاجتماعي، تؤثر الأمراض العصبية المزمنة على العلاقات الأسرية والمجتمعية، حيث يتحمل أفراد الأسرة دور الرعاية والدعم المستمر، مما قد يؤدي إلى إجهاد نفسي واجتماعي لهم (قلاده ونرمين، 2025). بالإضافة إلى ذلك، يواجه المرضى صعوبات في الاندماج في المجتمع والعمل، خاصة في بيئات العمل التي لا توفر التسهيلات اللازمة للأشخاص ذوي الإعاقات، مما يؤدي إلى انخفاض الإنتاجية وزيادة معدلات البطالة بين المصابين</w:t>
      </w:r>
      <w:r w:rsidRPr="00E154C9">
        <w:rPr>
          <w:rFonts w:asciiTheme="majorBidi" w:hAnsiTheme="majorBidi" w:cstheme="majorBidi"/>
          <w:sz w:val="28"/>
          <w:szCs w:val="28"/>
        </w:rPr>
        <w:t>.</w:t>
      </w:r>
    </w:p>
    <w:p w14:paraId="0BE08409"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رابعًا، من الجانب الاقتصادي، تفرض الأمراض العصبية المزمنة عبئًا ماليًا كبيرًا على الأفراد والمجتمعات. تشمل التكاليف المباشرة النفقات الطبية للعلاج والأدوية، بينما تشمل التكاليف غير المباشرة خسائر الإنتاجية بسبب العجز أو الغياب عن العمل</w:t>
      </w:r>
      <w:r w:rsidRPr="00E154C9">
        <w:rPr>
          <w:rFonts w:asciiTheme="majorBidi" w:hAnsiTheme="majorBidi" w:cstheme="majorBidi"/>
          <w:sz w:val="28"/>
          <w:szCs w:val="28"/>
        </w:rPr>
        <w:t xml:space="preserve"> (Wang &amp; Liao, 2024). </w:t>
      </w:r>
      <w:r w:rsidRPr="00E154C9">
        <w:rPr>
          <w:rFonts w:asciiTheme="majorBidi" w:hAnsiTheme="majorBidi" w:cstheme="majorBidi"/>
          <w:sz w:val="28"/>
          <w:szCs w:val="28"/>
          <w:rtl/>
        </w:rPr>
        <w:t>كما أن تكاليف الرعاية طويلة الأمد والدعم الاجتماعي تشكل تحديًا اقتصاديًا للدول، خاصة في الدول ذات الموارد المحدودة، مما يتطلب وضع استراتيجيات فعالة لتوفير خدمات صحية مستدامة للمرضى</w:t>
      </w:r>
      <w:r w:rsidRPr="00E154C9">
        <w:rPr>
          <w:rFonts w:asciiTheme="majorBidi" w:hAnsiTheme="majorBidi" w:cstheme="majorBidi"/>
          <w:sz w:val="28"/>
          <w:szCs w:val="28"/>
        </w:rPr>
        <w:t>.</w:t>
      </w:r>
    </w:p>
    <w:p w14:paraId="3F36064A"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t>خامسًا، تواجه نظم الرعاية الصحية تحديات كبيرة في التعامل مع الأمراض العصبية المزمنة بسبب الحاجة إلى تقديم رعاية مستمرة ومتخصصة، بالإضافة إلى ضرورة التنسيق بين مختلف التخصصات الطبية والنفسية والاجتماعية (علواني وآخرون، 2024). كما أن قلة التوعية المجتمعية حول هذه الأمراض تؤدي إلى تأخر التشخيص والعلاج، مما يزيد من مضاعفات المرض ويضع ضغوطًا إضافية على النظام الصحي</w:t>
      </w:r>
      <w:r w:rsidRPr="00E154C9">
        <w:rPr>
          <w:rFonts w:asciiTheme="majorBidi" w:hAnsiTheme="majorBidi" w:cstheme="majorBidi"/>
          <w:sz w:val="28"/>
          <w:szCs w:val="28"/>
        </w:rPr>
        <w:t>.</w:t>
      </w:r>
    </w:p>
    <w:p w14:paraId="169C277E"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t>سادسًا، يلعب الإعلام الرقمي ووسائل التواصل الاجتماعي دورًا متزايد الأهمية في دعم المرضى وتوفير المعلومات الصحية، إذ تساعد هذه الوسائل في نشر الوعي، تقليل الوصمة الاجتماعية المرتبطة بالأمراض العصبية، وتحفيز المرضى على اتباع أنماط حياة صحية</w:t>
      </w:r>
      <w:r w:rsidRPr="00E154C9">
        <w:rPr>
          <w:rFonts w:asciiTheme="majorBidi" w:hAnsiTheme="majorBidi" w:cstheme="majorBidi"/>
          <w:sz w:val="28"/>
          <w:szCs w:val="28"/>
        </w:rPr>
        <w:t xml:space="preserve"> (Fundoiano-Hershcovitz et al., 2021). </w:t>
      </w:r>
      <w:r w:rsidRPr="00E154C9">
        <w:rPr>
          <w:rFonts w:asciiTheme="majorBidi" w:hAnsiTheme="majorBidi" w:cstheme="majorBidi"/>
          <w:sz w:val="28"/>
          <w:szCs w:val="28"/>
          <w:rtl/>
        </w:rPr>
        <w:t>كما تسهم المنصات الرقمية في توفير الدعم النفسي والاجتماعي عبر المجتمعات الافتراضية، مما يعزز من جودة الحياة ويخفف من شعور العزلة</w:t>
      </w:r>
      <w:r w:rsidRPr="00E154C9">
        <w:rPr>
          <w:rFonts w:asciiTheme="majorBidi" w:hAnsiTheme="majorBidi" w:cstheme="majorBidi"/>
          <w:sz w:val="28"/>
          <w:szCs w:val="28"/>
        </w:rPr>
        <w:t>.</w:t>
      </w:r>
    </w:p>
    <w:p w14:paraId="7FA3C1BF"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t>سابعًا، تستدعي آثار الأمراض العصبية المزمنة على المجتمع تطوير سياسات صحية شاملة تركز على الوقاية، الكشف المبكر، والعلاج المتكامل. ويتطلب ذلك الاستثمار في البحث العلمي لتحسين فهم هذه الأمراض وتطوير علاجات أكثر فعالية، بالإضافة إلى تحسين البنية التحتية الصحية وتوفير برامج دعم متخصصة للمرضى وأسرهم (محمد وغريب، 2023)</w:t>
      </w:r>
      <w:r w:rsidRPr="00E154C9">
        <w:rPr>
          <w:rFonts w:asciiTheme="majorBidi" w:hAnsiTheme="majorBidi" w:cstheme="majorBidi"/>
          <w:sz w:val="28"/>
          <w:szCs w:val="28"/>
        </w:rPr>
        <w:t>.</w:t>
      </w:r>
    </w:p>
    <w:p w14:paraId="484CA656" w14:textId="77777777" w:rsidR="00046EB2" w:rsidRPr="00E154C9" w:rsidRDefault="00046EB2" w:rsidP="00046EB2">
      <w:pPr>
        <w:spacing w:line="360" w:lineRule="auto"/>
        <w:rPr>
          <w:rFonts w:asciiTheme="majorBidi" w:hAnsiTheme="majorBidi" w:cstheme="majorBidi"/>
          <w:sz w:val="28"/>
          <w:szCs w:val="28"/>
          <w:rtl/>
        </w:rPr>
      </w:pPr>
      <w:r w:rsidRPr="00E154C9">
        <w:rPr>
          <w:rFonts w:asciiTheme="majorBidi" w:hAnsiTheme="majorBidi" w:cstheme="majorBidi"/>
          <w:sz w:val="28"/>
          <w:szCs w:val="28"/>
          <w:rtl/>
        </w:rPr>
        <w:t>حيث إن الأمراض العصبية المزمنة تمثل تحديًا صحيًا واجتماعيًا واقتصاديًا معقدًا يتطلب تكاتف الجهود من مختلف القطاعات لتقديم الدعم اللازم للمرضى، تقليل الأعباء الاقتصادية، وتعزيز الوعي المجتمعي. إن التعامل الفعال مع هذه التحديات يساهم في تحسين جودة الحياة للأفراد والمجتمع ككل، ويعزز من استدامة نظم الرعاية الصحية</w:t>
      </w:r>
      <w:r w:rsidRPr="00E154C9">
        <w:rPr>
          <w:rFonts w:asciiTheme="majorBidi" w:hAnsiTheme="majorBidi" w:cstheme="majorBidi"/>
          <w:sz w:val="28"/>
          <w:szCs w:val="28"/>
        </w:rPr>
        <w:t>.</w:t>
      </w:r>
    </w:p>
    <w:p w14:paraId="3F9604F0" w14:textId="77777777" w:rsidR="00046EB2" w:rsidRDefault="00046EB2" w:rsidP="00046EB2">
      <w:pPr>
        <w:spacing w:line="360" w:lineRule="auto"/>
        <w:rPr>
          <w:rFonts w:asciiTheme="majorBidi" w:hAnsiTheme="majorBidi" w:cstheme="majorBidi"/>
          <w:b/>
          <w:bCs/>
          <w:sz w:val="28"/>
          <w:szCs w:val="28"/>
          <w:rtl/>
          <w:lang w:bidi="ar-EG"/>
        </w:rPr>
      </w:pPr>
    </w:p>
    <w:p w14:paraId="794840E7" w14:textId="77777777" w:rsidR="00046EB2" w:rsidRDefault="00046EB2" w:rsidP="00046EB2">
      <w:pPr>
        <w:spacing w:line="360" w:lineRule="auto"/>
        <w:rPr>
          <w:rFonts w:asciiTheme="majorBidi" w:hAnsiTheme="majorBidi" w:cstheme="majorBidi"/>
          <w:b/>
          <w:bCs/>
          <w:sz w:val="28"/>
          <w:szCs w:val="28"/>
          <w:rtl/>
          <w:lang w:bidi="ar-EG"/>
        </w:rPr>
      </w:pPr>
    </w:p>
    <w:p w14:paraId="63EED653" w14:textId="77777777" w:rsidR="00046EB2" w:rsidRDefault="00046EB2" w:rsidP="00046EB2">
      <w:pPr>
        <w:spacing w:line="360" w:lineRule="auto"/>
        <w:rPr>
          <w:rFonts w:asciiTheme="majorBidi" w:hAnsiTheme="majorBidi" w:cstheme="majorBidi"/>
          <w:b/>
          <w:bCs/>
          <w:sz w:val="28"/>
          <w:szCs w:val="28"/>
          <w:rtl/>
          <w:lang w:bidi="ar-EG"/>
        </w:rPr>
      </w:pPr>
    </w:p>
    <w:p w14:paraId="4F14050F" w14:textId="77777777" w:rsidR="00046EB2" w:rsidRPr="00E154C9" w:rsidRDefault="00046EB2" w:rsidP="00046EB2">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t>المبحث الرابع: دور الإعلام الرقمي في التوعية بالأمراض العصبية</w:t>
      </w:r>
    </w:p>
    <w:p w14:paraId="4E12F873" w14:textId="77777777" w:rsidR="00046EB2" w:rsidRPr="00046EB2" w:rsidRDefault="00046EB2" w:rsidP="00046EB2">
      <w:pPr>
        <w:spacing w:line="360" w:lineRule="auto"/>
        <w:rPr>
          <w:rFonts w:asciiTheme="majorBidi" w:hAnsiTheme="majorBidi" w:cstheme="majorBidi"/>
          <w:sz w:val="28"/>
          <w:szCs w:val="28"/>
          <w:rtl/>
        </w:rPr>
      </w:pPr>
      <w:r w:rsidRPr="00046EB2">
        <w:rPr>
          <w:rFonts w:asciiTheme="majorBidi" w:hAnsiTheme="majorBidi" w:cstheme="majorBidi" w:hint="cs"/>
          <w:sz w:val="28"/>
          <w:szCs w:val="28"/>
          <w:rtl/>
        </w:rPr>
        <w:t xml:space="preserve">تمهيد: </w:t>
      </w:r>
    </w:p>
    <w:p w14:paraId="48D2321D" w14:textId="77777777" w:rsidR="00046EB2" w:rsidRPr="00046EB2" w:rsidRDefault="00046EB2" w:rsidP="00046EB2">
      <w:pPr>
        <w:spacing w:line="360" w:lineRule="auto"/>
        <w:rPr>
          <w:rFonts w:asciiTheme="majorBidi" w:hAnsiTheme="majorBidi" w:cstheme="majorBidi"/>
          <w:sz w:val="28"/>
          <w:szCs w:val="28"/>
          <w:lang w:bidi="ar-EG"/>
        </w:rPr>
      </w:pPr>
      <w:r w:rsidRPr="00046EB2">
        <w:rPr>
          <w:rFonts w:asciiTheme="majorBidi" w:hAnsiTheme="majorBidi" w:cstheme="majorBidi"/>
          <w:sz w:val="28"/>
          <w:szCs w:val="28"/>
          <w:rtl/>
        </w:rPr>
        <w:t>أصبح الإعلام الرقمي من أهم الوسائل الحديثة التي أحدثت تحولًا كبيرًا في مجال التوعية الصحية، خاصة في التوعية بالأمراض العصبية المزمنة مثل الزهايمر، والصرع، والتصلب اللويحي. فقد أتاحت المنصات الرقمية الحديثة وسائط متعددة تسمح بنقل المعلومات الطبية بدقة وسرعة، كما أسهمت في تعزيز الوعي الجماهيري بمختلف هذه الأمراض. يتميز الإعلام الرقمي بسهولة الوصول إليه في أي وقت ومن أي مكان، مما يمنحه قدرة أكبر على التأثير المباشر في إدراك الأفراد وسلوكهم الصحي. ومن خلال هذه المنصات، يستطيع الأطباء والمختصون نشر معلومات موثوقة ومحدثة باستمرار، مما يسهم في تحسين جودة الرعاية الصحية. وقد أكدت الدراسات أن الاعتماد على الإعلام الرقمي في نشر الوعي الصحي أصبح خيارًا استراتيجيًا لدى المؤسسات الصحية والبحثية (شلابي وآخرون، 2021)</w:t>
      </w:r>
      <w:r w:rsidRPr="00046EB2">
        <w:rPr>
          <w:rFonts w:asciiTheme="majorBidi" w:hAnsiTheme="majorBidi" w:cstheme="majorBidi"/>
          <w:sz w:val="28"/>
          <w:szCs w:val="28"/>
          <w:lang w:bidi="ar-EG"/>
        </w:rPr>
        <w:t>.</w:t>
      </w:r>
    </w:p>
    <w:p w14:paraId="42D95050" w14:textId="77777777" w:rsidR="00046EB2" w:rsidRPr="00E154C9" w:rsidRDefault="00046EB2" w:rsidP="00046EB2">
      <w:pPr>
        <w:spacing w:line="360" w:lineRule="auto"/>
        <w:rPr>
          <w:rFonts w:asciiTheme="majorBidi" w:hAnsiTheme="majorBidi" w:cstheme="majorBidi"/>
          <w:sz w:val="28"/>
          <w:szCs w:val="28"/>
          <w:lang w:bidi="ar-EG"/>
        </w:rPr>
      </w:pPr>
      <w:r w:rsidRPr="00046EB2">
        <w:rPr>
          <w:rFonts w:asciiTheme="majorBidi" w:hAnsiTheme="majorBidi" w:cstheme="majorBidi"/>
          <w:sz w:val="28"/>
          <w:szCs w:val="28"/>
          <w:rtl/>
        </w:rPr>
        <w:t>من أبرز خصائص الإعلام الرقمي في التوعية بالأمراض العصبية أنه يتيح التفاعل</w:t>
      </w:r>
      <w:r w:rsidRPr="00E154C9">
        <w:rPr>
          <w:rFonts w:asciiTheme="majorBidi" w:hAnsiTheme="majorBidi" w:cstheme="majorBidi"/>
          <w:sz w:val="28"/>
          <w:szCs w:val="28"/>
          <w:rtl/>
        </w:rPr>
        <w:t xml:space="preserve"> بين الأفراد والمحتوى، حيث يمكن للمستخدمين طرح الأسئلة والحصول على إجابات فورية من المختصين. كما أنه يسهم في كسر حاجز الصمت والخجل الذي يحيط ببعض هذه الأمراض مثل الصرع أو اضطرابات الذاكرة، إذ يجد الأفراد في الفضاء الرقمي فرصة للتعبير عن تجاربهم الشخصية وتبادل المعلومات والدعم. كذلك تساهم الحملات التوعوية الرقمية في تقليل الوصمة الاجتماعية المرتبطة بالمرض العقلي أو العصبي، حيث يظهر المرض على حقيقته كحالة طبية يمكن إدارتها. هذا ما يجعل الإعلام الرقمي أداة حيوية ليس فقط لنقل المعلومة بل أيضًا لتغيير الاتجاهات المجتمعية نحو المرضى. كما أظهرت تجارب واقعية نجاح حملات توعوية رقمية في رفع معدلات الكشف المبكر والتشخيص (حسانين وآخرون، 2021)</w:t>
      </w:r>
      <w:r w:rsidRPr="00E154C9">
        <w:rPr>
          <w:rFonts w:asciiTheme="majorBidi" w:hAnsiTheme="majorBidi" w:cstheme="majorBidi"/>
          <w:sz w:val="28"/>
          <w:szCs w:val="28"/>
          <w:lang w:bidi="ar-EG"/>
        </w:rPr>
        <w:t>.</w:t>
      </w:r>
    </w:p>
    <w:p w14:paraId="25EAD55F" w14:textId="77777777" w:rsidR="00046EB2" w:rsidRPr="00E154C9" w:rsidRDefault="00046EB2" w:rsidP="00046EB2">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 xml:space="preserve">تلعب وسائل التواصل الاجتماعي مثل تويتر، وفيسبوك، وإنستغرام، ويوتيوب دورًا محوريًا في نشر رسائل التوعية الصحية حول الأمراض العصبية. حيث تستخدم الجهات الصحية هذه المنصات لتقديم محتوى مرئي ومكتوب يسهل فهمه من قِبل الجمهور غير المتخصص، مع التركيز على الجوانب الوقائية والتشخيص المبكر. فالفيديوهات القصيرة، والرسوم التوضيحية، والقصص الواقعية أصبحت أكثر تأثيرًا من المنشورات التقليدية أو المطويات الورقية. كما تستغل هذه المنصات خاصية النشر الفيروسي التي تُمكّن من إيصال </w:t>
      </w:r>
      <w:r w:rsidRPr="00E154C9">
        <w:rPr>
          <w:rFonts w:asciiTheme="majorBidi" w:hAnsiTheme="majorBidi" w:cstheme="majorBidi"/>
          <w:sz w:val="28"/>
          <w:szCs w:val="28"/>
          <w:rtl/>
        </w:rPr>
        <w:lastRenderedPageBreak/>
        <w:t>الرسائل إلى جمهور واسع في وقت قصير. وقد أوضحت دراسة (شلابي وآخرون، 2021) أن التفاعل الإيجابي مع محتوى التوعية الرقمية يرتبط بزيادة المعرفة الصحية لدى المستخدمين</w:t>
      </w:r>
      <w:r w:rsidRPr="00E154C9">
        <w:rPr>
          <w:rFonts w:asciiTheme="majorBidi" w:hAnsiTheme="majorBidi" w:cstheme="majorBidi"/>
          <w:sz w:val="28"/>
          <w:szCs w:val="28"/>
          <w:lang w:bidi="ar-EG"/>
        </w:rPr>
        <w:t>.</w:t>
      </w:r>
    </w:p>
    <w:p w14:paraId="3D085BDA" w14:textId="77777777" w:rsidR="00046EB2" w:rsidRPr="00046EB2" w:rsidRDefault="00046EB2" w:rsidP="00046EB2">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 xml:space="preserve">إضافة إلى وسائل التواصل، تستخدم التطبيقات الصحية على الهواتف الذكية كأداة فعالة في تتبع الأعراض، وتذكير المرضى بمواعيد الدواء، وتقديم نصائح مخصصة بناءً على البيانات الصحية الشخصية. فمثل هذه التطبيقات تساعد المرضى على إدارة حالتهم الصحية اليومية بوعي واستقلالية، وهو أمر مهم جدًا في الحالات العصبية التي تتطلب مراقبة مستمرة. كما تتيح هذه التطبيقات إمكانية التواصل مع الأطباء أو مجموعات الدعم، مما يخفف من الشعور بالعزلة الذي يعاني منه بعض المرضى. وأكدت نتائج بحثية أن المستخدمين الذين يتابعون تطبيقات توعوية رقمية أكثر التزامًا بالعلاج وأقل عرضة للانتكاسات (حسانين وآخرون، 2021). هذا يعزز من الدور التكاملي الذي يلعبه الإعلام الرقمي إلى جانب الرعاية الطبية </w:t>
      </w:r>
      <w:r w:rsidRPr="00046EB2">
        <w:rPr>
          <w:rFonts w:asciiTheme="majorBidi" w:hAnsiTheme="majorBidi" w:cstheme="majorBidi"/>
          <w:sz w:val="28"/>
          <w:szCs w:val="28"/>
          <w:rtl/>
        </w:rPr>
        <w:t>التقليدية</w:t>
      </w:r>
      <w:r w:rsidRPr="00046EB2">
        <w:rPr>
          <w:rFonts w:asciiTheme="majorBidi" w:hAnsiTheme="majorBidi" w:cstheme="majorBidi"/>
          <w:sz w:val="28"/>
          <w:szCs w:val="28"/>
          <w:lang w:bidi="ar-EG"/>
        </w:rPr>
        <w:t>.</w:t>
      </w:r>
    </w:p>
    <w:p w14:paraId="04B898D5" w14:textId="77777777" w:rsidR="00046EB2" w:rsidRPr="00E154C9" w:rsidRDefault="00046EB2" w:rsidP="00046EB2">
      <w:pPr>
        <w:spacing w:line="360" w:lineRule="auto"/>
        <w:rPr>
          <w:rFonts w:asciiTheme="majorBidi" w:hAnsiTheme="majorBidi" w:cstheme="majorBidi"/>
          <w:sz w:val="28"/>
          <w:szCs w:val="28"/>
          <w:lang w:bidi="ar-EG"/>
        </w:rPr>
      </w:pPr>
      <w:r w:rsidRPr="00046EB2">
        <w:rPr>
          <w:rFonts w:asciiTheme="majorBidi" w:hAnsiTheme="majorBidi" w:cstheme="majorBidi" w:hint="cs"/>
          <w:sz w:val="28"/>
          <w:szCs w:val="28"/>
          <w:u w:val="single"/>
          <w:shd w:val="clear" w:color="auto" w:fill="F2CEED" w:themeFill="accent5" w:themeFillTint="33"/>
          <w:rtl/>
        </w:rPr>
        <w:t xml:space="preserve">رؤية الباحثة: </w:t>
      </w:r>
      <w:r w:rsidRPr="00046EB2">
        <w:rPr>
          <w:rFonts w:asciiTheme="majorBidi" w:hAnsiTheme="majorBidi" w:cstheme="majorBidi"/>
          <w:sz w:val="28"/>
          <w:szCs w:val="28"/>
          <w:rtl/>
        </w:rPr>
        <w:t>من جهة أخرى، لا يقتصر تأثير الإعلام الرقمي على المرضى فقط، بل يشمل أسرهم ومقدمي الرعاية، الذين يشكلون عنصرًا محوريًا في خطة العلاج والدعم النفسي. فالتثقيف المستمر لهؤلاء عبر وسائل الإعلام الرقمية يعزز قدرتهم على التعامل مع الحالات العصبية وفهم التغيرات النفسية والسلوكية المصاحبة للمرض. كما أن منصات الإنترنت توفّر محتوى تدريبيًا وإرشاديًا يساعدهم في تطوير مهارات الرعاية المنزلية بطريقة علمية. وتشير الأدبيات إلى أن التوعية الرقمية تساهم في تقليل معدلات الإرهاق النفسي والجسدي لدى مقدمي الرعاية، وتمنحهم إحساسًا بالمساندة والانتماء إلى مجتمع داعم. وهذا بدوره ينعكس بشكل إيجابي على جودة الحياة لدى المرضى وبيئتهم الاجتماعية</w:t>
      </w:r>
      <w:r w:rsidRPr="00046EB2">
        <w:rPr>
          <w:rFonts w:asciiTheme="majorBidi" w:hAnsiTheme="majorBidi" w:cstheme="majorBidi"/>
          <w:sz w:val="28"/>
          <w:szCs w:val="28"/>
          <w:lang w:bidi="ar-EG"/>
        </w:rPr>
        <w:t>.</w:t>
      </w:r>
    </w:p>
    <w:p w14:paraId="26A0E987" w14:textId="77777777" w:rsidR="00046EB2" w:rsidRPr="00E154C9" w:rsidRDefault="00046EB2" w:rsidP="00046EB2">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t>مع تزايد الاعتماد على الإعلام الرقمي، برزت الحاجة إلى التحقق من مصداقية المعلومات المتداولة على هذه المنصات، خصوصًا أن الأمراض العصبية تتطلب تشخيصًا دقيقًا ومتابعة طبية متخصصة. ومن هنا، أصبحت المؤسسات الصحية الرسمية مطالبة بتطوير محتوى رقمي موثوق، والتعاون مع المؤثرين والمتخصصين الطبيين لتوجيه الرسائل بطريقة مبسطة وعلمية. كما أوصت الدراسات بضرورة تنظيم حملات توعوية وطنية رقمية تضمن وصول الرسائل إلى مختلف فئات المجتمع، مع مراعاة الفروق الثقافية والتعليمية. ولعل أحد التحديات الرئيسية يتمثل في الانتشار الواسع للمعلومات غير الدقيقة أو المضللة، والتي قد تؤثر سلبًا في سلوكيات الأفراد ومواقفهم تجاه العلاج (شلابي وآخرون، 2021). ولذلك فإن ضبط جودة المحتوى الصحي الرقمي أصبح من أولويات السياسات الصحية الحديثة</w:t>
      </w:r>
      <w:r w:rsidRPr="00E154C9">
        <w:rPr>
          <w:rFonts w:asciiTheme="majorBidi" w:hAnsiTheme="majorBidi" w:cstheme="majorBidi"/>
          <w:sz w:val="28"/>
          <w:szCs w:val="28"/>
          <w:lang w:bidi="ar-EG"/>
        </w:rPr>
        <w:t>.</w:t>
      </w:r>
    </w:p>
    <w:p w14:paraId="062BA37B" w14:textId="77777777" w:rsidR="00046EB2" w:rsidRPr="00E154C9" w:rsidRDefault="00046EB2" w:rsidP="00046EB2">
      <w:pPr>
        <w:spacing w:line="360" w:lineRule="auto"/>
        <w:rPr>
          <w:rFonts w:asciiTheme="majorBidi" w:hAnsiTheme="majorBidi" w:cstheme="majorBidi"/>
          <w:sz w:val="28"/>
          <w:szCs w:val="28"/>
          <w:lang w:bidi="ar-EG"/>
        </w:rPr>
      </w:pPr>
      <w:r w:rsidRPr="00E154C9">
        <w:rPr>
          <w:rFonts w:asciiTheme="majorBidi" w:hAnsiTheme="majorBidi" w:cstheme="majorBidi"/>
          <w:sz w:val="28"/>
          <w:szCs w:val="28"/>
          <w:rtl/>
        </w:rPr>
        <w:lastRenderedPageBreak/>
        <w:t>لا يمكن الحديث عن الإعلام الرقمي دون التطرق إلى دور الذكاء الاصطناعي وتقنيات البيانات الضخمة في تعزيز التوعية الصحية. فهذه التقنيات باتت تُستخدم لتحليل سلوك المستخدمين وتخصيص المحتوى التوعوي بحسب اهتماماتهم الصحية وسجلاتهم المرضية. كما أن أدوات الترجمة الفورية والتفاعل الصوتي ساهمت في إيصال الرسائل التوعوية لشرائح أوسع من الجمهور، بمن فيهم كبار السن وذوو الاحتياجات الخاصة. وقد دعمت هذه التطورات إنشاء منصات توعية تفاعلية تحاكي الحالات المرضية وتقدم نصائح طبية آنية. كل ذلك يدل على أن الإعلام الرقمي أصبح أكثر من مجرد وسيلة للنشر، بل تحول إلى نظام ذكي ومتكامل لإدارة الوعي الصحي العام</w:t>
      </w:r>
      <w:r w:rsidRPr="00E154C9">
        <w:rPr>
          <w:rFonts w:asciiTheme="majorBidi" w:hAnsiTheme="majorBidi" w:cstheme="majorBidi"/>
          <w:sz w:val="28"/>
          <w:szCs w:val="28"/>
          <w:lang w:bidi="ar-EG"/>
        </w:rPr>
        <w:t>.</w:t>
      </w:r>
    </w:p>
    <w:p w14:paraId="532B6B71" w14:textId="77777777" w:rsidR="00046EB2" w:rsidRPr="00E154C9" w:rsidRDefault="00046EB2" w:rsidP="00046EB2">
      <w:pPr>
        <w:spacing w:line="360" w:lineRule="auto"/>
        <w:rPr>
          <w:rFonts w:asciiTheme="majorBidi" w:hAnsiTheme="majorBidi" w:cstheme="majorBidi"/>
          <w:sz w:val="28"/>
          <w:szCs w:val="28"/>
          <w:rtl/>
        </w:rPr>
      </w:pPr>
      <w:r w:rsidRPr="00E154C9">
        <w:rPr>
          <w:rFonts w:asciiTheme="majorBidi" w:hAnsiTheme="majorBidi" w:cstheme="majorBidi"/>
          <w:sz w:val="28"/>
          <w:szCs w:val="28"/>
          <w:rtl/>
        </w:rPr>
        <w:t>في ضوء ما سبق، يمكن القول إن الإعلام الرقمي يمثل ثورة حقيقية في مجال التثقيف الصحي، خاصة عندما يتعلق الأمر بالأمراض العصبية التي تحتاج إلى وعي مجتمعي مستمر ومعمق. ولتحقيق أقصى استفادة من هذه الوسائل، ينبغي توجيه الجهود نحو تنمية المحتوى العربي المتخصص، وتشجيع البحث العلمي في هذا المجال، وتدريب الكوادر الطبية على استخدام الإعلام الرقمي بكفاءة. كما يجب التعاون بين وزارات الصحة، والتعليم، والإعلام من أجل بناء استراتيجية وطنية للتوعية الرقمية تواكب تطورات العصر وتستجيب لحاجات المجتمع. ومن المؤكد أن المستقبل سيشهد توسعًا أكبر في استخدام الإعلام الرقمي لأغراض صحية، مما يتطلب استعدادًا مؤسسيًا ومجتمعيًا لتحقيق الاستدامة والفعالية في الجهود التوعوية</w:t>
      </w:r>
      <w:r w:rsidRPr="00E154C9">
        <w:rPr>
          <w:rFonts w:asciiTheme="majorBidi" w:hAnsiTheme="majorBidi" w:cstheme="majorBidi"/>
          <w:sz w:val="28"/>
          <w:szCs w:val="28"/>
          <w:lang w:bidi="ar-EG"/>
        </w:rPr>
        <w:t>.</w:t>
      </w:r>
    </w:p>
    <w:p w14:paraId="43C5AC03" w14:textId="77777777" w:rsidR="00046EB2" w:rsidRDefault="00046EB2" w:rsidP="00046EB2">
      <w:pPr>
        <w:spacing w:line="360" w:lineRule="auto"/>
        <w:rPr>
          <w:rFonts w:asciiTheme="majorBidi" w:hAnsiTheme="majorBidi" w:cstheme="majorBidi"/>
          <w:b/>
          <w:bCs/>
          <w:sz w:val="28"/>
          <w:szCs w:val="28"/>
          <w:rtl/>
        </w:rPr>
      </w:pPr>
    </w:p>
    <w:p w14:paraId="1164C064" w14:textId="77777777" w:rsidR="00046EB2" w:rsidRDefault="00046EB2" w:rsidP="00046EB2">
      <w:pPr>
        <w:spacing w:line="360" w:lineRule="auto"/>
        <w:rPr>
          <w:rFonts w:asciiTheme="majorBidi" w:hAnsiTheme="majorBidi" w:cstheme="majorBidi"/>
          <w:b/>
          <w:bCs/>
          <w:sz w:val="28"/>
          <w:szCs w:val="28"/>
          <w:rtl/>
        </w:rPr>
      </w:pPr>
    </w:p>
    <w:p w14:paraId="613572E0" w14:textId="77777777" w:rsidR="00046EB2" w:rsidRDefault="00046EB2" w:rsidP="00046EB2">
      <w:pPr>
        <w:spacing w:line="360" w:lineRule="auto"/>
        <w:rPr>
          <w:rFonts w:asciiTheme="majorBidi" w:hAnsiTheme="majorBidi" w:cstheme="majorBidi"/>
          <w:b/>
          <w:bCs/>
          <w:sz w:val="28"/>
          <w:szCs w:val="28"/>
          <w:rtl/>
        </w:rPr>
      </w:pPr>
    </w:p>
    <w:p w14:paraId="5A84DE34" w14:textId="77777777" w:rsidR="00046EB2" w:rsidRDefault="00046EB2" w:rsidP="00046EB2">
      <w:pPr>
        <w:spacing w:line="360" w:lineRule="auto"/>
        <w:rPr>
          <w:rFonts w:asciiTheme="majorBidi" w:hAnsiTheme="majorBidi" w:cstheme="majorBidi"/>
          <w:b/>
          <w:bCs/>
          <w:sz w:val="28"/>
          <w:szCs w:val="28"/>
          <w:rtl/>
        </w:rPr>
      </w:pPr>
    </w:p>
    <w:p w14:paraId="364D6122" w14:textId="77777777" w:rsidR="00046EB2" w:rsidRDefault="00046EB2" w:rsidP="00046EB2">
      <w:pPr>
        <w:spacing w:line="360" w:lineRule="auto"/>
        <w:rPr>
          <w:rFonts w:asciiTheme="majorBidi" w:hAnsiTheme="majorBidi" w:cstheme="majorBidi"/>
          <w:b/>
          <w:bCs/>
          <w:sz w:val="28"/>
          <w:szCs w:val="28"/>
          <w:rtl/>
        </w:rPr>
      </w:pPr>
    </w:p>
    <w:p w14:paraId="519432F0" w14:textId="77777777" w:rsidR="00046EB2" w:rsidRDefault="00046EB2" w:rsidP="00046EB2">
      <w:pPr>
        <w:spacing w:line="360" w:lineRule="auto"/>
        <w:rPr>
          <w:rFonts w:asciiTheme="majorBidi" w:hAnsiTheme="majorBidi" w:cstheme="majorBidi"/>
          <w:b/>
          <w:bCs/>
          <w:sz w:val="28"/>
          <w:szCs w:val="28"/>
          <w:rtl/>
        </w:rPr>
      </w:pPr>
    </w:p>
    <w:p w14:paraId="3D72F602" w14:textId="77777777" w:rsidR="00046EB2" w:rsidRDefault="00046EB2" w:rsidP="00046EB2">
      <w:pPr>
        <w:spacing w:line="360" w:lineRule="auto"/>
        <w:rPr>
          <w:rFonts w:asciiTheme="majorBidi" w:hAnsiTheme="majorBidi" w:cstheme="majorBidi"/>
          <w:b/>
          <w:bCs/>
          <w:sz w:val="28"/>
          <w:szCs w:val="28"/>
          <w:rtl/>
        </w:rPr>
      </w:pPr>
    </w:p>
    <w:p w14:paraId="7E5475E0" w14:textId="77777777" w:rsidR="00046EB2" w:rsidRDefault="00046EB2" w:rsidP="00046EB2">
      <w:pPr>
        <w:spacing w:line="360" w:lineRule="auto"/>
        <w:rPr>
          <w:rFonts w:asciiTheme="majorBidi" w:hAnsiTheme="majorBidi" w:cstheme="majorBidi"/>
          <w:b/>
          <w:bCs/>
          <w:sz w:val="28"/>
          <w:szCs w:val="28"/>
          <w:rtl/>
        </w:rPr>
      </w:pPr>
    </w:p>
    <w:p w14:paraId="093B19B3" w14:textId="77777777" w:rsidR="00046EB2" w:rsidRDefault="00046EB2" w:rsidP="00046EB2">
      <w:pPr>
        <w:spacing w:line="360" w:lineRule="auto"/>
        <w:rPr>
          <w:rFonts w:asciiTheme="majorBidi" w:hAnsiTheme="majorBidi" w:cstheme="majorBidi"/>
          <w:b/>
          <w:bCs/>
          <w:sz w:val="28"/>
          <w:szCs w:val="28"/>
          <w:rtl/>
        </w:rPr>
      </w:pPr>
    </w:p>
    <w:p w14:paraId="3B559D27" w14:textId="77777777" w:rsidR="00046EB2" w:rsidRDefault="00046EB2" w:rsidP="00046EB2">
      <w:pPr>
        <w:spacing w:line="360" w:lineRule="auto"/>
        <w:rPr>
          <w:rFonts w:asciiTheme="majorBidi" w:hAnsiTheme="majorBidi" w:cstheme="majorBidi"/>
          <w:b/>
          <w:bCs/>
          <w:sz w:val="28"/>
          <w:szCs w:val="28"/>
          <w:rtl/>
        </w:rPr>
      </w:pPr>
    </w:p>
    <w:p w14:paraId="5E7AB2B0" w14:textId="77777777" w:rsidR="00046EB2" w:rsidRDefault="00046EB2" w:rsidP="00046EB2">
      <w:pPr>
        <w:spacing w:line="360" w:lineRule="auto"/>
        <w:rPr>
          <w:rFonts w:asciiTheme="majorBidi" w:hAnsiTheme="majorBidi" w:cstheme="majorBidi"/>
          <w:b/>
          <w:bCs/>
          <w:sz w:val="28"/>
          <w:szCs w:val="28"/>
          <w:rtl/>
        </w:rPr>
      </w:pPr>
    </w:p>
    <w:p w14:paraId="2425FBC1" w14:textId="77777777" w:rsidR="00046EB2" w:rsidRPr="00E154C9" w:rsidRDefault="00046EB2" w:rsidP="00046EB2">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t xml:space="preserve">المطلب </w:t>
      </w:r>
      <w:r>
        <w:rPr>
          <w:rFonts w:asciiTheme="majorBidi" w:hAnsiTheme="majorBidi" w:cstheme="majorBidi"/>
          <w:b/>
          <w:bCs/>
          <w:sz w:val="28"/>
          <w:szCs w:val="28"/>
          <w:rtl/>
        </w:rPr>
        <w:t>ال</w:t>
      </w:r>
      <w:r>
        <w:rPr>
          <w:rFonts w:asciiTheme="majorBidi" w:hAnsiTheme="majorBidi" w:cstheme="majorBidi" w:hint="cs"/>
          <w:b/>
          <w:bCs/>
          <w:sz w:val="28"/>
          <w:szCs w:val="28"/>
          <w:rtl/>
        </w:rPr>
        <w:t>أ</w:t>
      </w:r>
      <w:r w:rsidRPr="00E154C9">
        <w:rPr>
          <w:rFonts w:asciiTheme="majorBidi" w:hAnsiTheme="majorBidi" w:cstheme="majorBidi"/>
          <w:b/>
          <w:bCs/>
          <w:sz w:val="28"/>
          <w:szCs w:val="28"/>
          <w:rtl/>
        </w:rPr>
        <w:t>ول: كيفية استخدام الإعلام الرقمي لنشر المعلومات الصحية</w:t>
      </w:r>
    </w:p>
    <w:p w14:paraId="6037F194" w14:textId="77777777" w:rsidR="00046EB2" w:rsidRPr="00E154C9" w:rsidRDefault="00046EB2" w:rsidP="00046EB2">
      <w:pPr>
        <w:spacing w:line="360" w:lineRule="auto"/>
        <w:rPr>
          <w:rFonts w:asciiTheme="majorBidi" w:hAnsiTheme="majorBidi" w:cstheme="majorBidi"/>
          <w:sz w:val="28"/>
          <w:szCs w:val="28"/>
        </w:rPr>
      </w:pPr>
      <w:r w:rsidRPr="00046EB2">
        <w:rPr>
          <w:rFonts w:asciiTheme="majorBidi" w:hAnsiTheme="majorBidi" w:cstheme="majorBidi" w:hint="cs"/>
          <w:sz w:val="28"/>
          <w:szCs w:val="28"/>
          <w:rtl/>
        </w:rPr>
        <w:t xml:space="preserve">تمهيد: </w:t>
      </w:r>
      <w:r w:rsidRPr="00046EB2">
        <w:rPr>
          <w:rFonts w:asciiTheme="majorBidi" w:hAnsiTheme="majorBidi" w:cstheme="majorBidi"/>
          <w:sz w:val="28"/>
          <w:szCs w:val="28"/>
          <w:rtl/>
        </w:rPr>
        <w:t>يشكل الإعلام الرقمي أداة فعالة في نشر المعلومات الصحية في العصر الحديث، وذلك نظرًا لما يوفره من مزايا تتعلق بسرعة الانتشار، وسهولة الوصول، ومرونة التفاعل مع الجمهور. ويمكن القول إن استخدام الإعلام الرقمي لنقل المعرفة الصحية لم يعد خيارًا بل ضرورة، خاصة في ظل التحديات التي تواجه الأنظمة الصحية التقليدية من حيث القدرة على تغطية النطاق الجغرافي والسكاني الواسع. فمن خلال الوسائط الرقمية، أصبحت الجهات الصحية قادرة على إيصال الرسائل التوعوية في وقت قياسي، باستخدام أشكال متعددة من المحتوى كالنصوص، والفيديوهات، والإنفوجرافيك، مما يعزز من استيعاب الرسالة وفهمها من قبل المتلقي</w:t>
      </w:r>
      <w:r w:rsidRPr="00046EB2">
        <w:rPr>
          <w:rFonts w:asciiTheme="majorBidi" w:hAnsiTheme="majorBidi" w:cstheme="majorBidi"/>
          <w:sz w:val="28"/>
          <w:szCs w:val="28"/>
        </w:rPr>
        <w:t>.</w:t>
      </w:r>
    </w:p>
    <w:p w14:paraId="5D3BAC21"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t>يُستخدم الإعلام الرقمي في نشر المعلومات الصحية عبر مجموعة من القنوات والمنصات، أبرزها مواقع الإنترنت المتخصصة، وصفحات التواصل الاجتماعي، والتطبيقات الطبية، والمدونات، والبودكاست الصحي. وتقوم هذه الوسائط بتقديم معلومات دقيقة ومبسطة تتعلق بالأعراض، وطرق الوقاية، وأساليب التشخيص والعلاج، فضلاً عن النصائح الحياتية التي تحسن من جودة الحياة لدى المرضى. ويتيح هذا التنوع في الأدوات إمكانيات واسعة لتخصيص الرسائل بحسب الفئة المستهدفة، سواء كانوا مرضى، أو أطباء، أو طلاب، أو مقدمي رعاية. وقد أشار (شلابي وآخرون، 2021) إلى أن التنوع في الوسائل الرقمية يُعد أحد العوامل الرئيسة في فاعلية التوعية الصحية الرقمية</w:t>
      </w:r>
      <w:r w:rsidRPr="00E154C9">
        <w:rPr>
          <w:rFonts w:asciiTheme="majorBidi" w:hAnsiTheme="majorBidi" w:cstheme="majorBidi"/>
          <w:sz w:val="28"/>
          <w:szCs w:val="28"/>
        </w:rPr>
        <w:t>.</w:t>
      </w:r>
    </w:p>
    <w:p w14:paraId="5547675F"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t>من أهم استراتيجيات استخدام الإعلام الرقمي في هذا السياق الاعتماد على التصميم البصري الجذاب للمحتوى، حيث تُظهر الدراسات أن الرسائل المصورة والمرئية تحظى بمعدلات مشاهدة وتفاعل أعلى من النصوص المطولة. ولهذا تلجأ العديد من الجهات الصحية إلى إنتاج مقاطع فيديو قصيرة تُسلّط الضوء على معلومات طبية مبسطة أو قصص واقعية لمرضى، وذلك بهدف تعزيز الأثر النفسي والمعرفي لدى الجمهور. كما يتم الاستعانة بالمؤثرين الرقميين المتخصصين في الصحة لنشر الرسائل التوعوية، نظرًا لما يتمتعون به من مصداقية ومتابعة واسعة، مما يزيد من فرص انتشار المعلومات الصحية بشكل غير مباشر بين فئات متنوعة من الجمهور (حسانين وآخرون، 2021)</w:t>
      </w:r>
      <w:r w:rsidRPr="00E154C9">
        <w:rPr>
          <w:rFonts w:asciiTheme="majorBidi" w:hAnsiTheme="majorBidi" w:cstheme="majorBidi"/>
          <w:sz w:val="28"/>
          <w:szCs w:val="28"/>
        </w:rPr>
        <w:t>.</w:t>
      </w:r>
    </w:p>
    <w:p w14:paraId="5971B45E" w14:textId="77777777" w:rsidR="00046EB2" w:rsidRPr="00046EB2" w:rsidRDefault="00046EB2" w:rsidP="005C5866">
      <w:pPr>
        <w:spacing w:line="360" w:lineRule="auto"/>
        <w:rPr>
          <w:rFonts w:asciiTheme="majorBidi" w:hAnsiTheme="majorBidi" w:cstheme="majorBidi"/>
          <w:sz w:val="28"/>
          <w:szCs w:val="28"/>
          <w:lang w:bidi="ar-EG"/>
        </w:rPr>
      </w:pPr>
    </w:p>
    <w:p w14:paraId="7E0481A7"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كذلك يُستخدم الإعلام الرقمي في تنظيم ندوات ومحاضرات تفاعلية عن بُعد، يتم خلالها استضافة أطباء وخبراء لشرح موضوعات طبية معينة والرد على استفسارات الجمهور. وتوفر هذه الجلسات بيئة تفاعلية تُشجّع الأفراد على طرح الأسئلة وفهم القضايا الصحية المعقدة بطريقة مبسطة. كما أن إمكانية تسجيل هذه اللقاءات ونشرها لاحقًا يعزز من إمكانية الاستفادة المستمرة منها. وتؤكد التجارب أن هذا النوع من الأنشطة الرقمية يساهم في بناء جسور الثقة بين المتخصصين والجمهور، ويعزز من الثقافة الصحية المجتمعية</w:t>
      </w:r>
      <w:r w:rsidRPr="00E154C9">
        <w:rPr>
          <w:rFonts w:asciiTheme="majorBidi" w:hAnsiTheme="majorBidi" w:cstheme="majorBidi"/>
          <w:sz w:val="28"/>
          <w:szCs w:val="28"/>
        </w:rPr>
        <w:t>.</w:t>
      </w:r>
    </w:p>
    <w:p w14:paraId="0DEEEEF7"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t>من جهة أخرى، يتم استثمار الخوارزميات الذكية في المنصات الرقمية لتوجيه المحتوى الصحي المناسب للمستخدم بحسب اهتماماته وسلوكياته السابقة، ما يُعرف بالتخصيص الصحي الرقمي. وتُعد هذه التقنية ذات فاعلية كبيرة، لأنها تضمن وصول الرسائل لمن هم أكثر حاجة إليها، سواء كانوا من المصابين بأمراض معينة، أو من الفئات الأكثر عرضة للخطر. كما تلعب البيانات الضخمة دورًا في تحليل التفاعلات مع المحتوى الصحي وتحديد الاتجاهات والمجالات التي تحتاج إلى تدخل توعوي أكبر. وقد أظهرت نتائج الدراسات أن هذا الاستخدام الممنهج للإعلام الرقمي يُسهم في رفع معدلات المعرفة الصحية وتغيير السلوكيات الخاطئة المرتبطة بالصحة (شلابي وآخرون، 2021)</w:t>
      </w:r>
      <w:r w:rsidRPr="00E154C9">
        <w:rPr>
          <w:rFonts w:asciiTheme="majorBidi" w:hAnsiTheme="majorBidi" w:cstheme="majorBidi"/>
          <w:sz w:val="28"/>
          <w:szCs w:val="28"/>
        </w:rPr>
        <w:t>.</w:t>
      </w:r>
    </w:p>
    <w:p w14:paraId="2252209F" w14:textId="58764FB1" w:rsidR="00046EB2" w:rsidRPr="00E154C9" w:rsidRDefault="00046EB2" w:rsidP="00046EB2">
      <w:pPr>
        <w:spacing w:line="360" w:lineRule="auto"/>
        <w:rPr>
          <w:rFonts w:asciiTheme="majorBidi" w:hAnsiTheme="majorBidi" w:cstheme="majorBidi"/>
          <w:sz w:val="28"/>
          <w:szCs w:val="28"/>
          <w:rtl/>
        </w:rPr>
      </w:pPr>
      <w:r w:rsidRPr="00046EB2">
        <w:rPr>
          <w:rFonts w:asciiTheme="majorBidi" w:hAnsiTheme="majorBidi" w:cstheme="majorBidi" w:hint="cs"/>
          <w:sz w:val="28"/>
          <w:szCs w:val="28"/>
          <w:u w:val="single"/>
          <w:shd w:val="clear" w:color="auto" w:fill="F2CEED" w:themeFill="accent5" w:themeFillTint="33"/>
          <w:rtl/>
        </w:rPr>
        <w:t>رؤية الباحث</w:t>
      </w:r>
      <w:r>
        <w:rPr>
          <w:rFonts w:asciiTheme="majorBidi" w:hAnsiTheme="majorBidi" w:cstheme="majorBidi" w:hint="cs"/>
          <w:sz w:val="28"/>
          <w:szCs w:val="28"/>
          <w:u w:val="single"/>
          <w:shd w:val="clear" w:color="auto" w:fill="F2CEED" w:themeFill="accent5" w:themeFillTint="33"/>
          <w:rtl/>
        </w:rPr>
        <w:t>ة</w:t>
      </w:r>
      <w:r w:rsidRPr="00046EB2">
        <w:rPr>
          <w:rFonts w:asciiTheme="majorBidi" w:hAnsiTheme="majorBidi" w:cstheme="majorBidi" w:hint="cs"/>
          <w:sz w:val="28"/>
          <w:szCs w:val="28"/>
          <w:rtl/>
        </w:rPr>
        <w:t>:</w:t>
      </w:r>
      <w:r w:rsidRPr="00046EB2">
        <w:rPr>
          <w:rFonts w:asciiTheme="majorBidi" w:hAnsiTheme="majorBidi" w:cstheme="majorBidi"/>
          <w:sz w:val="28"/>
          <w:szCs w:val="28"/>
          <w:rtl/>
        </w:rPr>
        <w:t xml:space="preserve"> يتضح أن الإعلام الرقمي يوفر إطارًا شاملاً ومتنوعًا لنشر المعلومات الصحية بطريقة فعالة ومؤثرة، شريطة أن تُدار هذه الأدوات باحترافية، وأن يتم التحقق من مصداقية المحتوى المقدم للجمهور. ويُعد التعاون بين المؤسسات الصحية والتقنية والتربوية عنصرًا حاسمًا في ضمان استمرارية هذه الجهود وتحقيق أهدافها المرجوة في تحسين الصحة العامة</w:t>
      </w:r>
      <w:r w:rsidRPr="00046EB2">
        <w:rPr>
          <w:rFonts w:asciiTheme="majorBidi" w:hAnsiTheme="majorBidi" w:cstheme="majorBidi"/>
          <w:sz w:val="28"/>
          <w:szCs w:val="28"/>
        </w:rPr>
        <w:t>.</w:t>
      </w:r>
    </w:p>
    <w:p w14:paraId="6F1399C9" w14:textId="77777777" w:rsidR="00046EB2" w:rsidRPr="00E154C9" w:rsidRDefault="00046EB2" w:rsidP="00046EB2">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t>المطلب الثاني: أمثلة على حملات توعية رقمية ناجحة</w:t>
      </w:r>
    </w:p>
    <w:p w14:paraId="5DFFB771" w14:textId="77777777" w:rsidR="00046EB2" w:rsidRPr="00046EB2" w:rsidRDefault="00046EB2" w:rsidP="00046EB2">
      <w:pPr>
        <w:spacing w:line="360" w:lineRule="auto"/>
        <w:rPr>
          <w:rFonts w:asciiTheme="majorBidi" w:hAnsiTheme="majorBidi" w:cstheme="majorBidi"/>
          <w:sz w:val="28"/>
          <w:szCs w:val="28"/>
        </w:rPr>
      </w:pPr>
      <w:r w:rsidRPr="00046EB2">
        <w:rPr>
          <w:rFonts w:asciiTheme="majorBidi" w:hAnsiTheme="majorBidi" w:cstheme="majorBidi" w:hint="cs"/>
          <w:sz w:val="28"/>
          <w:szCs w:val="28"/>
          <w:rtl/>
        </w:rPr>
        <w:t xml:space="preserve">تمهيد: </w:t>
      </w:r>
      <w:r w:rsidRPr="00046EB2">
        <w:rPr>
          <w:rFonts w:asciiTheme="majorBidi" w:hAnsiTheme="majorBidi" w:cstheme="majorBidi"/>
          <w:sz w:val="28"/>
          <w:szCs w:val="28"/>
          <w:rtl/>
        </w:rPr>
        <w:t>شهدت المملكة العربية السعودية تطورًا ملحوظًا في استخدام الإعلام الرقمي في حملات التوعية الصحية، وخاصة في مجال الأمراض المزمنة، ومنها الأمراض العصبية. وقد أطلقت الجهات الصحية السعودية، وعلى رأسها وزارة الصحة، العديد من الحملات الرقمية التي حققت نجاحًا ملموسًا على المستويين المحلي والإقليمي، مستفيدة من البنية التحتية الرقمية القوية وانتشار استخدام وسائل التواصل الاجتماعي بين مختلف شرائح المجتمع</w:t>
      </w:r>
      <w:r w:rsidRPr="00046EB2">
        <w:rPr>
          <w:rFonts w:asciiTheme="majorBidi" w:hAnsiTheme="majorBidi" w:cstheme="majorBidi"/>
          <w:sz w:val="28"/>
          <w:szCs w:val="28"/>
        </w:rPr>
        <w:t>.</w:t>
      </w:r>
    </w:p>
    <w:p w14:paraId="362D5AD2" w14:textId="77777777" w:rsidR="00046EB2" w:rsidRPr="00E154C9" w:rsidRDefault="00046EB2" w:rsidP="00046EB2">
      <w:pPr>
        <w:spacing w:line="360" w:lineRule="auto"/>
        <w:rPr>
          <w:rFonts w:asciiTheme="majorBidi" w:hAnsiTheme="majorBidi" w:cstheme="majorBidi"/>
          <w:sz w:val="28"/>
          <w:szCs w:val="28"/>
        </w:rPr>
      </w:pPr>
      <w:r w:rsidRPr="00046EB2">
        <w:rPr>
          <w:rFonts w:asciiTheme="majorBidi" w:hAnsiTheme="majorBidi" w:cstheme="majorBidi"/>
          <w:sz w:val="28"/>
          <w:szCs w:val="28"/>
          <w:rtl/>
        </w:rPr>
        <w:t>من أبرز الأمثلة على تلك الحملات</w:t>
      </w:r>
      <w:r w:rsidRPr="00E154C9">
        <w:rPr>
          <w:rFonts w:asciiTheme="majorBidi" w:hAnsiTheme="majorBidi" w:cstheme="majorBidi"/>
          <w:sz w:val="28"/>
          <w:szCs w:val="28"/>
          <w:rtl/>
        </w:rPr>
        <w:t xml:space="preserve">، حملة </w:t>
      </w:r>
      <w:r w:rsidRPr="00E154C9">
        <w:rPr>
          <w:rFonts w:asciiTheme="majorBidi" w:hAnsiTheme="majorBidi" w:cstheme="majorBidi"/>
          <w:b/>
          <w:bCs/>
          <w:sz w:val="28"/>
          <w:szCs w:val="28"/>
        </w:rPr>
        <w:t>"</w:t>
      </w:r>
      <w:r w:rsidRPr="00E154C9">
        <w:rPr>
          <w:rFonts w:asciiTheme="majorBidi" w:hAnsiTheme="majorBidi" w:cstheme="majorBidi"/>
          <w:b/>
          <w:bCs/>
          <w:sz w:val="28"/>
          <w:szCs w:val="28"/>
          <w:rtl/>
        </w:rPr>
        <w:t>عش بصحة</w:t>
      </w:r>
      <w:r w:rsidRPr="00E154C9">
        <w:rPr>
          <w:rFonts w:asciiTheme="majorBidi" w:hAnsiTheme="majorBidi" w:cstheme="majorBidi"/>
          <w:b/>
          <w:bCs/>
          <w:sz w:val="28"/>
          <w:szCs w:val="28"/>
        </w:rPr>
        <w:t>"</w:t>
      </w:r>
      <w:r w:rsidRPr="00E154C9">
        <w:rPr>
          <w:rFonts w:asciiTheme="majorBidi" w:hAnsiTheme="majorBidi" w:cstheme="majorBidi"/>
          <w:sz w:val="28"/>
          <w:szCs w:val="28"/>
        </w:rPr>
        <w:t xml:space="preserve"> </w:t>
      </w:r>
      <w:r w:rsidRPr="00E154C9">
        <w:rPr>
          <w:rFonts w:asciiTheme="majorBidi" w:hAnsiTheme="majorBidi" w:cstheme="majorBidi"/>
          <w:sz w:val="28"/>
          <w:szCs w:val="28"/>
          <w:rtl/>
        </w:rPr>
        <w:t xml:space="preserve">التي أطلقتها وزارة الصحة السعودية كمبادرة وطنية تهدف إلى تعزيز أنماط الحياة الصحية ونشر التوعية بالأمراض المزمنة، بما في ذلك الأمراض العصبية مثل الزهايمر والصرع. ركزت الحملة على استخدام الوسائط الرقمية التفاعلية، مثل الفيديوهات </w:t>
      </w:r>
      <w:r w:rsidRPr="00E154C9">
        <w:rPr>
          <w:rFonts w:asciiTheme="majorBidi" w:hAnsiTheme="majorBidi" w:cstheme="majorBidi"/>
          <w:sz w:val="28"/>
          <w:szCs w:val="28"/>
          <w:rtl/>
        </w:rPr>
        <w:lastRenderedPageBreak/>
        <w:t>القصيرة، والرسوم التوضيحية، والمحتوى المنشور على تويتر وإنستغرام، حيث تم تصميم رسائل موجهة بلغة مبسطة وسهلة الاستيعاب، مع استخدام وسوم خاصة لتعزيز التفاعل والوصول الأوسع. وقد سجلت الحملة ملايين المشاهدات والتفاعلات، مما يدل على فعاليتها في رفع الوعي الصحي الرقمي (حسانين وآخرون، 2021)</w:t>
      </w:r>
      <w:r w:rsidRPr="00E154C9">
        <w:rPr>
          <w:rFonts w:asciiTheme="majorBidi" w:hAnsiTheme="majorBidi" w:cstheme="majorBidi"/>
          <w:sz w:val="28"/>
          <w:szCs w:val="28"/>
        </w:rPr>
        <w:t>.</w:t>
      </w:r>
    </w:p>
    <w:p w14:paraId="0501EBEE"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t>كذلك، أطلقت الجمعية السعودية للصرع عددًا من الحملات التوعوية الرقمية التي ركزت على تصحيح المفاهيم الخاطئة المرتبطة بهذا المرض، وتقديم معلومات علمية موثوقة حول أسبابه، وأنواعه، وطرق علاجه. واستخدمت الجمعية منصات مثل يوتيوب وتويتر لعرض قصص مرضى وتجارب واقعية، ما ساهم في تقليل الوصمة المجتمعية المرتبطة بالصرع، وتعزيز التعاطف مع المصابين به. وقد أبرزت نتائج هذه الحملات أثر الإعلام الرقمي في خلق بيئة داعمة ومتفهمة لحالات الصرع في المجتمع السعودي (شلابي وآخرون، 2021)</w:t>
      </w:r>
      <w:r w:rsidRPr="00E154C9">
        <w:rPr>
          <w:rFonts w:asciiTheme="majorBidi" w:hAnsiTheme="majorBidi" w:cstheme="majorBidi"/>
          <w:sz w:val="28"/>
          <w:szCs w:val="28"/>
        </w:rPr>
        <w:t>.</w:t>
      </w:r>
    </w:p>
    <w:p w14:paraId="35C4C16F"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ومن الأمثلة الأخرى، حملة </w:t>
      </w:r>
      <w:r w:rsidRPr="00E154C9">
        <w:rPr>
          <w:rFonts w:asciiTheme="majorBidi" w:hAnsiTheme="majorBidi" w:cstheme="majorBidi"/>
          <w:b/>
          <w:bCs/>
          <w:sz w:val="28"/>
          <w:szCs w:val="28"/>
        </w:rPr>
        <w:t>"</w:t>
      </w:r>
      <w:r w:rsidRPr="00E154C9">
        <w:rPr>
          <w:rFonts w:asciiTheme="majorBidi" w:hAnsiTheme="majorBidi" w:cstheme="majorBidi"/>
          <w:b/>
          <w:bCs/>
          <w:sz w:val="28"/>
          <w:szCs w:val="28"/>
          <w:rtl/>
        </w:rPr>
        <w:t>ذكّرهم</w:t>
      </w:r>
      <w:r w:rsidRPr="00E154C9">
        <w:rPr>
          <w:rFonts w:asciiTheme="majorBidi" w:hAnsiTheme="majorBidi" w:cstheme="majorBidi"/>
          <w:b/>
          <w:bCs/>
          <w:sz w:val="28"/>
          <w:szCs w:val="28"/>
        </w:rPr>
        <w:t>"</w:t>
      </w:r>
      <w:r w:rsidRPr="00E154C9">
        <w:rPr>
          <w:rFonts w:asciiTheme="majorBidi" w:hAnsiTheme="majorBidi" w:cstheme="majorBidi"/>
          <w:sz w:val="28"/>
          <w:szCs w:val="28"/>
          <w:rtl/>
        </w:rPr>
        <w:t>، التي نظمتها الجمعية السعودية للزهايمر بالتعاون مع جهات طبية وإعلامية، بهدف نشر الوعي بمرض الزهايمر بين أفراد المجتمع. استخدمت الحملة وسائل الإعلام الرقمية لإيصال رسائل توعوية حول أهمية التشخيص المبكر والرعاية النفسية والاجتماعية للمصابين. واشتملت الحملة على بث مباشر عبر المنصات الاجتماعية، إلى جانب مقاطع توعوية مؤثرة ومواد تثقيفية مرئية ومقروءة. كما ركزت الحملة على إشراك المشاهير والمؤثرين لنقل الرسائل الصحية، وهو ما أسهم في وصول المحتوى إلى شرائح أوسع من الجمهور</w:t>
      </w:r>
      <w:r w:rsidRPr="00E154C9">
        <w:rPr>
          <w:rFonts w:asciiTheme="majorBidi" w:hAnsiTheme="majorBidi" w:cstheme="majorBidi"/>
          <w:sz w:val="28"/>
          <w:szCs w:val="28"/>
        </w:rPr>
        <w:t>.</w:t>
      </w:r>
    </w:p>
    <w:p w14:paraId="583D8D19"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كذلك، نظّمت وزارة الصحة السعودية خلال جائحة كوفيد-19 حملات رقمية ذات صلة غير مباشرة بالأمراض العصبية، لكنها كانت ذات فاعلية واضحة في نشر الوعي الصحي عمومًا، ومنها حملة </w:t>
      </w:r>
      <w:r w:rsidRPr="00E154C9">
        <w:rPr>
          <w:rFonts w:asciiTheme="majorBidi" w:hAnsiTheme="majorBidi" w:cstheme="majorBidi"/>
          <w:b/>
          <w:bCs/>
          <w:sz w:val="28"/>
          <w:szCs w:val="28"/>
        </w:rPr>
        <w:t>"</w:t>
      </w:r>
      <w:r w:rsidRPr="00E154C9">
        <w:rPr>
          <w:rFonts w:asciiTheme="majorBidi" w:hAnsiTheme="majorBidi" w:cstheme="majorBidi"/>
          <w:b/>
          <w:bCs/>
          <w:sz w:val="28"/>
          <w:szCs w:val="28"/>
          <w:rtl/>
        </w:rPr>
        <w:t>نعود بحذر</w:t>
      </w:r>
      <w:r w:rsidRPr="00E154C9">
        <w:rPr>
          <w:rFonts w:asciiTheme="majorBidi" w:hAnsiTheme="majorBidi" w:cstheme="majorBidi"/>
          <w:b/>
          <w:bCs/>
          <w:sz w:val="28"/>
          <w:szCs w:val="28"/>
        </w:rPr>
        <w:t>"</w:t>
      </w:r>
      <w:r w:rsidRPr="00E154C9">
        <w:rPr>
          <w:rFonts w:asciiTheme="majorBidi" w:hAnsiTheme="majorBidi" w:cstheme="majorBidi"/>
          <w:sz w:val="28"/>
          <w:szCs w:val="28"/>
          <w:rtl/>
        </w:rPr>
        <w:t>، التي أسهمت في تعزيز مفاهيم الصحة النفسية المرتبطة بالعزل المنزلي واضطرابات القلق والتوتر. وقد استخدمت الوزارة أدوات رقمية متعددة مثل الرسائل النصية، والتطبيقات الذكية، والتصاميم البصرية، بما يدل على قدرة الإعلام الرقمي على التكيف مع مختلف التحديات الصحية</w:t>
      </w:r>
      <w:r w:rsidRPr="00E154C9">
        <w:rPr>
          <w:rFonts w:asciiTheme="majorBidi" w:hAnsiTheme="majorBidi" w:cstheme="majorBidi"/>
          <w:sz w:val="28"/>
          <w:szCs w:val="28"/>
        </w:rPr>
        <w:t>.</w:t>
      </w:r>
    </w:p>
    <w:p w14:paraId="4C5AE6C0"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إن هذه النماذج من الحملات الرقمية في المملكة العربية السعودية تؤكد أهمية التكامل بين المؤسسات الصحية والإعلامية في تخطيط وتنفيذ البرامج التوعوية، كما تعكس مدى وعي المجتمع السعودي بقيمة المعرفة الرقمية في تحسين جودة الحياة. وقد أظهرت الدراسات أن هذه الحملات الرقمية ساهمت بشكل مباشر في </w:t>
      </w:r>
      <w:r w:rsidRPr="00E154C9">
        <w:rPr>
          <w:rFonts w:asciiTheme="majorBidi" w:hAnsiTheme="majorBidi" w:cstheme="majorBidi"/>
          <w:sz w:val="28"/>
          <w:szCs w:val="28"/>
          <w:rtl/>
        </w:rPr>
        <w:lastRenderedPageBreak/>
        <w:t>زيادة إقبال الأفراد على الفحوصات الطبية، والالتزام بالأدوية، والانخراط في برامج الدعم النفسي والاجتماعي (شلابي وآخرون، 2021)</w:t>
      </w:r>
      <w:r w:rsidRPr="00E154C9">
        <w:rPr>
          <w:rFonts w:asciiTheme="majorBidi" w:hAnsiTheme="majorBidi" w:cstheme="majorBidi"/>
          <w:sz w:val="28"/>
          <w:szCs w:val="28"/>
        </w:rPr>
        <w:t>.</w:t>
      </w:r>
    </w:p>
    <w:p w14:paraId="5C8FD871" w14:textId="7A3AAB84" w:rsidR="00046EB2" w:rsidRPr="00046EB2" w:rsidRDefault="00046EB2" w:rsidP="00046EB2">
      <w:pPr>
        <w:spacing w:line="360" w:lineRule="auto"/>
        <w:rPr>
          <w:rFonts w:asciiTheme="majorBidi" w:hAnsiTheme="majorBidi" w:cstheme="majorBidi"/>
          <w:sz w:val="28"/>
          <w:szCs w:val="28"/>
          <w:rtl/>
        </w:rPr>
      </w:pPr>
      <w:r w:rsidRPr="00E154C9">
        <w:rPr>
          <w:rFonts w:asciiTheme="majorBidi" w:hAnsiTheme="majorBidi" w:cstheme="majorBidi"/>
          <w:sz w:val="28"/>
          <w:szCs w:val="28"/>
          <w:rtl/>
        </w:rPr>
        <w:t>في ضوء ما سبق، يمكن القول إن التجربة السعودية في استخدام الإعلام الرقمي للتوعية الصحية، وخاصة فيما يتعلق بالأمراض العصبية، تُعد نموذجًا يُحتذى به في العالم العربي. ويُعزى نجاح هذه الحملات إلى اعتمادها على أساليب اتصال تفاعلية، وتعاون مؤسسي، واهتمام بالجوانب النفسية والاجتماعية، مما يعزز من فاعلية الرسائل الصحية واستدامتها في الوعي المجتمعي</w:t>
      </w:r>
      <w:r w:rsidRPr="00E154C9">
        <w:rPr>
          <w:rFonts w:asciiTheme="majorBidi" w:hAnsiTheme="majorBidi" w:cstheme="majorBidi"/>
          <w:sz w:val="28"/>
          <w:szCs w:val="28"/>
        </w:rPr>
        <w:t>.</w:t>
      </w:r>
    </w:p>
    <w:p w14:paraId="156F5340" w14:textId="77777777" w:rsidR="00046EB2" w:rsidRDefault="00046EB2" w:rsidP="00046EB2">
      <w:pPr>
        <w:spacing w:line="360" w:lineRule="auto"/>
        <w:rPr>
          <w:rFonts w:asciiTheme="majorBidi" w:hAnsiTheme="majorBidi" w:cstheme="majorBidi"/>
          <w:b/>
          <w:bCs/>
          <w:sz w:val="28"/>
          <w:szCs w:val="28"/>
          <w:rtl/>
          <w:lang w:bidi="ar-EG"/>
        </w:rPr>
      </w:pPr>
    </w:p>
    <w:p w14:paraId="6AD97CD0" w14:textId="77777777" w:rsidR="00046EB2" w:rsidRPr="00E154C9" w:rsidRDefault="00046EB2" w:rsidP="00046EB2">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t>المطلب الثالث: دور المؤثرين والمختصين في الإعلام الصحي</w:t>
      </w:r>
    </w:p>
    <w:p w14:paraId="34962B1A" w14:textId="77777777" w:rsidR="00046EB2" w:rsidRPr="00046EB2" w:rsidRDefault="00046EB2" w:rsidP="00046EB2">
      <w:pPr>
        <w:spacing w:line="360" w:lineRule="auto"/>
        <w:rPr>
          <w:rFonts w:asciiTheme="majorBidi" w:hAnsiTheme="majorBidi" w:cstheme="majorBidi"/>
          <w:sz w:val="28"/>
          <w:szCs w:val="28"/>
          <w:rtl/>
        </w:rPr>
      </w:pPr>
      <w:r w:rsidRPr="00046EB2">
        <w:rPr>
          <w:rFonts w:asciiTheme="majorBidi" w:hAnsiTheme="majorBidi" w:cstheme="majorBidi" w:hint="cs"/>
          <w:sz w:val="28"/>
          <w:szCs w:val="28"/>
          <w:rtl/>
        </w:rPr>
        <w:t xml:space="preserve">تمهيد: </w:t>
      </w:r>
    </w:p>
    <w:p w14:paraId="000061BC" w14:textId="77777777" w:rsidR="00046EB2" w:rsidRPr="00E154C9" w:rsidRDefault="00046EB2" w:rsidP="00046EB2">
      <w:pPr>
        <w:spacing w:line="360" w:lineRule="auto"/>
        <w:rPr>
          <w:rFonts w:asciiTheme="majorBidi" w:hAnsiTheme="majorBidi" w:cstheme="majorBidi"/>
          <w:sz w:val="28"/>
          <w:szCs w:val="28"/>
        </w:rPr>
      </w:pPr>
      <w:r w:rsidRPr="00046EB2">
        <w:rPr>
          <w:rFonts w:asciiTheme="majorBidi" w:hAnsiTheme="majorBidi" w:cstheme="majorBidi"/>
          <w:sz w:val="28"/>
          <w:szCs w:val="28"/>
          <w:rtl/>
        </w:rPr>
        <w:t>في ظل التحول الرقمي المتسارع، أصبح للإعلام الصحي الرقمي دور محوري في نشر المعلومات الصحية والتثقيف المجتمعي، خاصة مع اتساع رقعة استخدام الإنترنت ووسائل التواصل الاجتماعي. ولم يعد الإعلام الصحي مقتصرًا على المؤسسات الرسمية أو المنشورات الطبية، بل أصبح للمؤثرين والمختصين حضور فاعل ومؤثر في تشكيل الرأي العام الصحي ونشر الوعي حول مختلف القضايا الصحية، بما فيها الأمراض العصبية المزمنة مثل الزهايمر، التصلب اللويحي، الباركنسون، والصرع</w:t>
      </w:r>
      <w:r w:rsidRPr="00046EB2">
        <w:rPr>
          <w:rFonts w:asciiTheme="majorBidi" w:hAnsiTheme="majorBidi" w:cstheme="majorBidi"/>
          <w:sz w:val="28"/>
          <w:szCs w:val="28"/>
        </w:rPr>
        <w:t>.</w:t>
      </w:r>
    </w:p>
    <w:p w14:paraId="29B2223E"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t>يُقصد بالمؤثرين الصحيين أولئك الأفراد الذين يملكون جمهورًا واسعًا على المنصات الرقمية، ويستخدمون هذه المنصات لنشر محتوى صحي أو تثقيفي بشكل مباشر أو غير مباشر. وتتنوع فئات المؤثرين ما بين أطباء مختصين، وممرضين، ومقدمي رعاية صحية، وأشخاص عاديين يعرضون تجاربهم الشخصية مع المرض. وتكمن قوة هؤلاء المؤثرين في قدرتهم على التواصل الإنساني المباشر مع الجمهور بلغة بسيطة وقريبة، ما يخلق نوعًا من الثقة والمصداقية التي يصعب أحيانًا على الجهات الرسمية تحقيقها. وقد أشارت دراسة (حسانين وآخرون، 2021) إلى أن الجمهور يتفاعل بشكل أكبر مع المحتوى الصحي الصادر من شخصيات مألوفة وواقعية</w:t>
      </w:r>
      <w:r w:rsidRPr="00E154C9">
        <w:rPr>
          <w:rFonts w:asciiTheme="majorBidi" w:hAnsiTheme="majorBidi" w:cstheme="majorBidi"/>
          <w:sz w:val="28"/>
          <w:szCs w:val="28"/>
        </w:rPr>
        <w:t>.</w:t>
      </w:r>
    </w:p>
    <w:p w14:paraId="191CF05E"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يلعب الأطباء والمختصون دورًا مزدوجًا في الإعلام الرقمي الصحي، فهم من جهة ينقلون المعرفة العلمية الموثوقة، ومن جهة أخرى يقومون بدور تربوي في تصحيح المفاهيم الخاطئة المنتشرة بين الناس. فعندما يتحدث الطبيب بلغة مفهومة، ويشرح أعراض مرض عصبي معين، مثل التصلب اللويحي أو نوبات </w:t>
      </w:r>
      <w:r w:rsidRPr="00E154C9">
        <w:rPr>
          <w:rFonts w:asciiTheme="majorBidi" w:hAnsiTheme="majorBidi" w:cstheme="majorBidi"/>
          <w:sz w:val="28"/>
          <w:szCs w:val="28"/>
          <w:rtl/>
        </w:rPr>
        <w:lastRenderedPageBreak/>
        <w:t>الصرع، فإنه يُزيل الغموض والخوف المرتبط بهذه الأمراض، ويسهم في بناء وعي مجتمعي عقلاني ومستنير. كما أن مشاركة الأطباء في الحملات التوعوية الرقمية عبر منصات مثل تويتر أو يوتيوب أو الإنستغرام يضفي بعدًا علميًا على الرسالة الصحية، ويمنحها المصداقية والقبول، خاصة في ظل كثرة الشائعات والمعلومات غير الدقيقة المنتشرة على الشبكة</w:t>
      </w:r>
      <w:r w:rsidRPr="00E154C9">
        <w:rPr>
          <w:rFonts w:asciiTheme="majorBidi" w:hAnsiTheme="majorBidi" w:cstheme="majorBidi"/>
          <w:sz w:val="28"/>
          <w:szCs w:val="28"/>
        </w:rPr>
        <w:t>.</w:t>
      </w:r>
    </w:p>
    <w:p w14:paraId="063E071D"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t>إضافة إلى المختصين، أصبح للمؤثرين من خارج الحقل الطبي دورًا ملموسًا في توصيل الرسائل الصحية بطرق إبداعية وجذابة. فالمؤثر الذي يتحدث عن تجربة قريبة له مع مريض بالزهايمر أو من خلال فيديو توعوي مؤثر حول أهمية الكشف المبكر، يستطيع تحفيز المتابعين على الاهتمام بأنفسهم أو بمن حولهم. وتكمن فاعلية هذا الدور في أن المؤثر يُخاطب الناس من داخل بيئتهم الثقافية والاجتماعية، ويستخدم لغتهم اليومية، مما يجعل الرسالة أقرب إلى وجدانهم. وقد أثبتت بعض الحملات الصحية في السعودية، مثل حملة "ذكّرهم" لمرضى الزهايمر، أن إشراك المؤثرين في صناعة المحتوى يضاعف من عدد المشاهدات ويزيد من نسب التفاعل والتشارك بين المتابعين (شلابي وآخرون، 2021)</w:t>
      </w:r>
      <w:r w:rsidRPr="00E154C9">
        <w:rPr>
          <w:rFonts w:asciiTheme="majorBidi" w:hAnsiTheme="majorBidi" w:cstheme="majorBidi"/>
          <w:sz w:val="28"/>
          <w:szCs w:val="28"/>
        </w:rPr>
        <w:t>.</w:t>
      </w:r>
    </w:p>
    <w:p w14:paraId="14A3A985"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t>رغم هذا الدور الإيجابي، فإن إشراك المؤثرين في الإعلام الصحي يتطلب ضوابط مهنية وأخلاقية تضمن جودة المحتوى ومصداقيته. إذ لا يخلو المشهد الرقمي من مؤثرين غير مختصين ينشرون معلومات طبية دون أساس علمي، أو يسوقون منتجات علاجية مضللة قد تُلحق الضرر بالمتلقين. ومن هنا تنبع أهمية إشراف الجهات الصحية الرسمية، مثل وزارات الصحة أو الجمعيات العلمية، على الحملات الرقمية التي يشارك فيها المؤثرون، بحيث يُزودون بالمعلومة الدقيقة، ويُدربون على إيصالها بطريقة مناسبة. وقد دعت دراسات عديدة إلى سنّ تشريعات تضبط المحتوى الصحي الرقمي وتحاسب من يُسيء استخدامه، بما في ذلك المؤثرين الذين يروجون لعلاجات لا تستند إلى دليل علمي (حسانين وآخرون، 2021)</w:t>
      </w:r>
      <w:r w:rsidRPr="00E154C9">
        <w:rPr>
          <w:rFonts w:asciiTheme="majorBidi" w:hAnsiTheme="majorBidi" w:cstheme="majorBidi"/>
          <w:sz w:val="28"/>
          <w:szCs w:val="28"/>
        </w:rPr>
        <w:t>.</w:t>
      </w:r>
    </w:p>
    <w:p w14:paraId="65AB1FD1"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t>من جانب</w:t>
      </w:r>
      <w:r>
        <w:rPr>
          <w:rFonts w:asciiTheme="majorBidi" w:hAnsiTheme="majorBidi" w:cstheme="majorBidi" w:hint="cs"/>
          <w:sz w:val="28"/>
          <w:szCs w:val="28"/>
          <w:rtl/>
        </w:rPr>
        <w:t>ٍ</w:t>
      </w:r>
      <w:r w:rsidRPr="00E154C9">
        <w:rPr>
          <w:rFonts w:asciiTheme="majorBidi" w:hAnsiTheme="majorBidi" w:cstheme="majorBidi"/>
          <w:sz w:val="28"/>
          <w:szCs w:val="28"/>
          <w:rtl/>
        </w:rPr>
        <w:t xml:space="preserve"> آخر، تزداد الحاجة إلى دعم الأطباء والمختصين صحيًا ونفسيًا للاستمرار في رسالتهم التوعوية عبر الإعلام الرقمي. فكثير من هؤلاء يعانون من ضغوط العمل، وضيق الوقت، وقلة الموارد، مما يجعل التفرغ لصناعة المحتوى الرقمي تحديًا إضافيًا. كما أن التعامل مع جمهور واسع ومتعدد الآراء قد يعرضهم لهجوم أو انتقادات غير مبررة. لذا، فإن توفير التدريب والدعم التقني للمختصين، وتقدير جهودهم إعلاميًا ومجتمعيًا، يُعد خطوة مهمة لتعزيز مشاركتهم المستدامة في الإعلام الصحي الرقمي. وقد أوضحت دراسات حديثة أن المختصين الذين يتلقون دعمًا مؤسسيًا يكونون أكثر قدرة على التأثير الرقمي الإيجابي (شلابي وآخرون، 2021)</w:t>
      </w:r>
      <w:r w:rsidRPr="00E154C9">
        <w:rPr>
          <w:rFonts w:asciiTheme="majorBidi" w:hAnsiTheme="majorBidi" w:cstheme="majorBidi"/>
          <w:sz w:val="28"/>
          <w:szCs w:val="28"/>
        </w:rPr>
        <w:t>.</w:t>
      </w:r>
    </w:p>
    <w:p w14:paraId="70F08038" w14:textId="77777777" w:rsidR="00046EB2" w:rsidRPr="00E154C9" w:rsidRDefault="00046EB2" w:rsidP="00046EB2">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تجدر الإشارة إلى أن العلاقة بين المؤثرين والمختصين لا يجب أن تكون تنافسية، بل تكاملية، حيث يمكن توظيف تأثير المؤثر وعمق معرفة المختص في إنتاج محتوى صحي عالي الجودة والتأثير. فمثلاً، يمكن للطبيب أن يُعد المادة العلمية، بينما يقوم المؤثر بتقديمها بلغة سلسة وفيديو تفاعلي. وقد أثبت هذا النموذج فعاليته في العديد من الحملات السعودية والخليجية، حيث تم دمج حضور الأطباء والمتخصصين مع المؤثرين في مقاطع تعليمية ومقابلات مباشرة عبر الإنترنت، ما أدى إلى تعزيز ثقة المتابعين بالمحتوى وزيادة انتشاره</w:t>
      </w:r>
      <w:r w:rsidRPr="00E154C9">
        <w:rPr>
          <w:rFonts w:asciiTheme="majorBidi" w:hAnsiTheme="majorBidi" w:cstheme="majorBidi"/>
          <w:sz w:val="28"/>
          <w:szCs w:val="28"/>
        </w:rPr>
        <w:t>.</w:t>
      </w:r>
    </w:p>
    <w:p w14:paraId="5573E8BE" w14:textId="77777777" w:rsidR="00046EB2" w:rsidRPr="00E154C9" w:rsidRDefault="00046EB2" w:rsidP="00046EB2">
      <w:pPr>
        <w:spacing w:line="360" w:lineRule="auto"/>
        <w:rPr>
          <w:rFonts w:asciiTheme="majorBidi" w:hAnsiTheme="majorBidi" w:cstheme="majorBidi"/>
          <w:sz w:val="28"/>
          <w:szCs w:val="28"/>
        </w:rPr>
      </w:pPr>
      <w:r w:rsidRPr="006F53A1">
        <w:rPr>
          <w:rFonts w:asciiTheme="majorBidi" w:hAnsiTheme="majorBidi" w:cstheme="majorBidi" w:hint="cs"/>
          <w:sz w:val="28"/>
          <w:szCs w:val="28"/>
          <w:u w:val="single"/>
          <w:shd w:val="clear" w:color="auto" w:fill="F2CEED" w:themeFill="accent5" w:themeFillTint="33"/>
          <w:rtl/>
        </w:rPr>
        <w:t>رؤية الباحثة:</w:t>
      </w:r>
      <w:r w:rsidRPr="00046EB2">
        <w:rPr>
          <w:rFonts w:asciiTheme="majorBidi" w:hAnsiTheme="majorBidi" w:cstheme="majorBidi" w:hint="cs"/>
          <w:sz w:val="28"/>
          <w:szCs w:val="28"/>
          <w:rtl/>
        </w:rPr>
        <w:t xml:space="preserve"> </w:t>
      </w:r>
      <w:r w:rsidRPr="00046EB2">
        <w:rPr>
          <w:rFonts w:asciiTheme="majorBidi" w:hAnsiTheme="majorBidi" w:cstheme="majorBidi"/>
          <w:sz w:val="28"/>
          <w:szCs w:val="28"/>
          <w:rtl/>
        </w:rPr>
        <w:t>وتُبرز الأدبيات المتخصصة أهمية استثمار الإعلام الصحي الرقمي في القضايا الصحية التي تعاني من نقص الوعي، مثل بعض الأمراض العصبية النادرة أو تلك التي تُعد من المحرمات الاجتماعية. فعلى سبيل المثال، ساهمت مقاطع فيديو مؤثرة بثها مختصون ومؤثرون سعوديون حول مرض الباركنسون في إحداث نقلة نوعية في فهم الجمهور لهذا المرض، وتحفيزهم لدعم المصابين به ومساعدتهم في حياتهم اليومية. كما أثبتت دراسة (شلابي وآخرون، 2021) أن الجمع بين التجربة الإنسانية والشرح الطبي المتخصص هو أكثر النماذج إقناعًا في حملات التوعية الرقمية</w:t>
      </w:r>
      <w:r w:rsidRPr="00046EB2">
        <w:rPr>
          <w:rFonts w:asciiTheme="majorBidi" w:hAnsiTheme="majorBidi" w:cstheme="majorBidi"/>
          <w:sz w:val="28"/>
          <w:szCs w:val="28"/>
        </w:rPr>
        <w:t>.</w:t>
      </w:r>
    </w:p>
    <w:p w14:paraId="41972DE0"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ولا يمكن إغفال البعد الإنساني الذي يضيفه المؤثرون والمختصون على الرسالة الصحية، إذ أن مشاركتهم لتجاربهم الشخصية أو تفاعلهم المباشر مع تساؤلات الجمهور، يخلق نوعًا من التفاعل العاطفي والمعرفي في آنٍ واحد. هذا التفاعل يساعد في إزالة الحواجز النفسية التي تحول دون طلب العلاج أو قبول المرض. ومن هنا، فإن تدريب المؤثرين والمختصين على مهارات التواصل الرقمي، والتفاعل المهني مع الجمهور، يُعد استثمارًا طويل الأمد في رفع الوعي الصحي المجتمعي</w:t>
      </w:r>
      <w:r w:rsidRPr="00E154C9">
        <w:rPr>
          <w:rFonts w:asciiTheme="majorBidi" w:hAnsiTheme="majorBidi" w:cstheme="majorBidi"/>
          <w:sz w:val="28"/>
          <w:szCs w:val="28"/>
        </w:rPr>
        <w:t>.</w:t>
      </w:r>
    </w:p>
    <w:p w14:paraId="5FC7C543" w14:textId="77777777" w:rsidR="006F53A1" w:rsidRPr="00E154C9" w:rsidRDefault="006F53A1" w:rsidP="006F53A1">
      <w:pPr>
        <w:spacing w:line="360" w:lineRule="auto"/>
        <w:rPr>
          <w:rFonts w:asciiTheme="majorBidi" w:hAnsiTheme="majorBidi" w:cstheme="majorBidi"/>
          <w:sz w:val="28"/>
          <w:szCs w:val="28"/>
          <w:rtl/>
        </w:rPr>
      </w:pPr>
      <w:r w:rsidRPr="00E154C9">
        <w:rPr>
          <w:rFonts w:asciiTheme="majorBidi" w:hAnsiTheme="majorBidi" w:cstheme="majorBidi"/>
          <w:sz w:val="28"/>
          <w:szCs w:val="28"/>
          <w:rtl/>
        </w:rPr>
        <w:t>أخيرًا، فإن دور المؤثرين والمختصين في الإعلام الصحي الرقمي لم يعد دورًا تكميليًا، بل أصبح جزءًا أصيلًا من منظومة الرعاية الصحية الحديثة. فبفضل قدرتهم على الوصول إلى فئات متنوعة من المجتمع، ونقل الرسائل الصحية بشكل مبسط وجذاب، فإنهم يسهمون في سد الفجوة بين المعرفة الطبية والمجتمع، ويعززون من قدرة الأفراد على اتخاذ قرارات صحية مستنيرة. ولتحقيق الاستفادة القصوى من هذا الدور، لا بد من تعزيز الشراكة بين القطاعات الصحية والإعلامية والتعليمية، والعمل على ترسيخ ثقافة المسؤولية المهنية في نشر المحتوى الصحي</w:t>
      </w:r>
      <w:r w:rsidRPr="00E154C9">
        <w:rPr>
          <w:rFonts w:asciiTheme="majorBidi" w:hAnsiTheme="majorBidi" w:cstheme="majorBidi"/>
          <w:sz w:val="28"/>
          <w:szCs w:val="28"/>
        </w:rPr>
        <w:t>.</w:t>
      </w:r>
    </w:p>
    <w:p w14:paraId="6D6F242E" w14:textId="77777777" w:rsidR="006F53A1" w:rsidRDefault="006F53A1" w:rsidP="006F53A1">
      <w:pPr>
        <w:spacing w:line="360" w:lineRule="auto"/>
        <w:rPr>
          <w:rFonts w:asciiTheme="majorBidi" w:hAnsiTheme="majorBidi" w:cstheme="majorBidi"/>
          <w:b/>
          <w:bCs/>
          <w:sz w:val="28"/>
          <w:szCs w:val="28"/>
          <w:rtl/>
        </w:rPr>
      </w:pPr>
    </w:p>
    <w:p w14:paraId="72CC410E" w14:textId="77777777" w:rsidR="006F53A1" w:rsidRDefault="006F53A1" w:rsidP="006F53A1">
      <w:pPr>
        <w:spacing w:line="360" w:lineRule="auto"/>
        <w:rPr>
          <w:rFonts w:asciiTheme="majorBidi" w:hAnsiTheme="majorBidi" w:cstheme="majorBidi"/>
          <w:b/>
          <w:bCs/>
          <w:sz w:val="28"/>
          <w:szCs w:val="28"/>
          <w:rtl/>
        </w:rPr>
      </w:pPr>
    </w:p>
    <w:p w14:paraId="5BCBFA30" w14:textId="77777777" w:rsidR="006F53A1" w:rsidRPr="00E154C9" w:rsidRDefault="006F53A1" w:rsidP="006F53A1">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lastRenderedPageBreak/>
        <w:t>المطلب الرابع: فاعلية الإعلام الرقمي في تغيير السلوك الصحي</w:t>
      </w:r>
    </w:p>
    <w:p w14:paraId="3B49D87B" w14:textId="77777777" w:rsidR="006F53A1" w:rsidRDefault="006F53A1" w:rsidP="006F53A1">
      <w:pPr>
        <w:spacing w:line="360" w:lineRule="auto"/>
        <w:rPr>
          <w:rFonts w:asciiTheme="majorBidi" w:hAnsiTheme="majorBidi" w:cstheme="majorBidi"/>
          <w:sz w:val="28"/>
          <w:szCs w:val="28"/>
          <w:rtl/>
        </w:rPr>
      </w:pPr>
      <w:r>
        <w:rPr>
          <w:rFonts w:asciiTheme="majorBidi" w:hAnsiTheme="majorBidi" w:cstheme="majorBidi" w:hint="cs"/>
          <w:sz w:val="28"/>
          <w:szCs w:val="28"/>
          <w:rtl/>
        </w:rPr>
        <w:t xml:space="preserve">تمهيد: </w:t>
      </w:r>
    </w:p>
    <w:p w14:paraId="1B02C6BF" w14:textId="77777777" w:rsidR="006F53A1" w:rsidRPr="00E154C9" w:rsidRDefault="006F53A1" w:rsidP="006F53A1">
      <w:pPr>
        <w:spacing w:line="360" w:lineRule="auto"/>
        <w:rPr>
          <w:rFonts w:asciiTheme="majorBidi" w:hAnsiTheme="majorBidi" w:cstheme="majorBidi"/>
          <w:sz w:val="28"/>
          <w:szCs w:val="28"/>
        </w:rPr>
      </w:pPr>
      <w:r w:rsidRPr="006F53A1">
        <w:rPr>
          <w:rFonts w:asciiTheme="majorBidi" w:hAnsiTheme="majorBidi" w:cstheme="majorBidi"/>
          <w:sz w:val="28"/>
          <w:szCs w:val="28"/>
          <w:rtl/>
        </w:rPr>
        <w:t>أثبت الإعلام الرقمي في السنوات الأخيرة فعاليته كأداة استراتيجية في توجيه السلوك الصحي، وتعديل المفاهيم المغلوطة، والتأثير في قرارات الأفراد الصحية، وذلك بفضل قدرته على الجمع بين سرعة الانتشار، وسهولة الوصول، والتفاعل المباشر مع الجمهور. لم يعد دور الإعلام الرقمي مقتصرًا على تقديم المعلومات الصحية فحسب، بل تطور ليصبح وسيلة فاعلة في تحفيز الأفراد نحو تبني أنماط حياة صحية، وتغيير السلوكيات السلبية المرتبطة بالصحة، لا سيما في ما يتعلق بالأمراض العصبية المزمنة، التي تتطلب وعيًا مستمرًا والتزامًا طويل الأمد بأنماط علاجية وسلوكية معينة</w:t>
      </w:r>
      <w:r w:rsidRPr="006F53A1">
        <w:rPr>
          <w:rFonts w:asciiTheme="majorBidi" w:hAnsiTheme="majorBidi" w:cstheme="majorBidi"/>
          <w:sz w:val="28"/>
          <w:szCs w:val="28"/>
        </w:rPr>
        <w:t>.</w:t>
      </w:r>
    </w:p>
    <w:p w14:paraId="438E23F8"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تتمثل فاعلية الإعلام الرقمي في تأثيره السلوكي من خلال قدرته على إيصال الرسائل الصحية بطريقة تراكمية ومتكررة، مما يُعزز من احتمالية التذكر، ويحفز الفرد على التفكير في السلوكيات التي يمارسها. فعلى سبيل المثال، عند تعرض المستخدم لمحتوى رقمي يومي حول أهمية الالتزام بعلاج مرض مثل التصلب اللويحي، فإن ذلك يُعزز لديه إدراكًا تدريجيًا بأهمية المداومة على الأدوية، والمتابعة الدورية، مما ينعكس مباشرة على سلوكه الصحي. وقد أكدت دراسة (شلابي وآخرون، 2021) أن التكرار في الرسائل الرقمية يُعد من أقوى المؤثرات في تغيير القناعات وبناء سلوك صحي ثابت لدى المستخدمين</w:t>
      </w:r>
      <w:r w:rsidRPr="00E154C9">
        <w:rPr>
          <w:rFonts w:asciiTheme="majorBidi" w:hAnsiTheme="majorBidi" w:cstheme="majorBidi"/>
          <w:sz w:val="28"/>
          <w:szCs w:val="28"/>
        </w:rPr>
        <w:t>.</w:t>
      </w:r>
    </w:p>
    <w:p w14:paraId="3F06B77D"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كما يلعب الطابع التفاعلي للإعلام الرقمي دورًا أساسيًا في التأثير في السلوك الصحي. فعلى عكس الإعلام التقليدي الذي يمرر الرسائل في اتجاه واحد، يسمح الإعلام الرقمي بتفاعل المتلقي مع المحتوى من خلال الإعجاب، والمشاركة، والتعليق، وطرح الأسئلة، مما يُعزز من انخراطه النفسي والمعرفي في الرسالة. وقد أظهرت أبحاث حديثة أن هذا النوع من التفاعل يُفضي إلى تغييرات ملموسة في السلوك، مثل زيادة الإقبال على الفحوصات الطبية الوقائية، أو الالتزام بالحميات الغذائية، أو تقليل الاعتماد على الأدوية دون وصفة. ومن الأمثلة الدالة على ذلك، الحملات الرقمية التي أطلقتها وزارة الصحة السعودية لتشجيع مرضى الصرع على الإفصاح عن حالتهم، والتي ساهمت في تعزيز الثقة بالنفس وتغيير النظرة السلبية تجاه المرض</w:t>
      </w:r>
      <w:r w:rsidRPr="00E154C9">
        <w:rPr>
          <w:rFonts w:asciiTheme="majorBidi" w:hAnsiTheme="majorBidi" w:cstheme="majorBidi"/>
          <w:sz w:val="28"/>
          <w:szCs w:val="28"/>
        </w:rPr>
        <w:t>.</w:t>
      </w:r>
    </w:p>
    <w:p w14:paraId="7FB9FA71"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كذلك، ترتبط فاعلية الإعلام الرقمي في تغيير السلوك الصحي بقدرته على تقديم نماذج واقعية وتجارب إنسانية تلهم المتلقين، حيث تُعد "القصص الرقمية" من الأدوات القوية في التأثير النفسي والاجتماعي. فحين يشاهد الفرد مريضًا يروي قصته مع الزهايمر، أو يتحدث عن التحديات التي واجهها مع أعراض الباركنسون، فإنه يشعر بالتقارب الإنساني، ويتفاعل مع التجربة على مستوى وجداني، ما يدفعه لإعادة النظر </w:t>
      </w:r>
      <w:r w:rsidRPr="00E154C9">
        <w:rPr>
          <w:rFonts w:asciiTheme="majorBidi" w:hAnsiTheme="majorBidi" w:cstheme="majorBidi"/>
          <w:sz w:val="28"/>
          <w:szCs w:val="28"/>
          <w:rtl/>
        </w:rPr>
        <w:lastRenderedPageBreak/>
        <w:t>في سلوكياته الصحية أو تغيير نظرته تجاه المرض. هذا التأثير العاطفي يعزز ما يُعرف بالتغيير السلوكي القائم على التعاطف، وهو أحد أشكال التغيير المستدام الذي لا يتحقق بالمعلومة وحدها. وقد أشار (حسانين وآخرون، 2021) إلى أن السلوكيات الصحية المرتبطة بالمشاعر والانفعالات تكون أكثر استجابة للمحتوى الرقمي التفاعلي من الاستراتيجيات القائمة على الإرشاد المباشر فقط</w:t>
      </w:r>
      <w:r w:rsidRPr="00E154C9">
        <w:rPr>
          <w:rFonts w:asciiTheme="majorBidi" w:hAnsiTheme="majorBidi" w:cstheme="majorBidi"/>
          <w:sz w:val="28"/>
          <w:szCs w:val="28"/>
        </w:rPr>
        <w:t>.</w:t>
      </w:r>
    </w:p>
    <w:p w14:paraId="1CC9BE8F"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إلى جانب ذلك، فإن تنوع المنصات الرقمية يُتيح تقديم الرسائل الصحية بعدة أساليب تناسب مختلف أنماط المتلقين، مما يُضاعف من احتمالات التأثير. فبعض الأفراد يفضلون المحتوى المرئي كالفيديوهات القصيرة أو الرسوم المتحركة، بينما ينجذب آخرون للمقالات المبسطة أو البودكاست التوعوي. هذا التنوع يجعل الرسالة الصحية أكثر شمولًا، ويمنح الأفراد فرصة اختيار الوسيط الذي يناسب أسلوبهم التعليمي والمعرفي، وهو ما يُعزز من تقبلهم للمعلومة واستعدادهم لتطبيقها. وقد ثبت أن الدمج بين أكثر من وسيلة رقمية في حملة صحية واحدة يرفع من مستويات الاستجابة ويزيد من احتمالية الالتزام بالسلوك الصحي المستهدف (شلابي وآخرون، 2021)</w:t>
      </w:r>
      <w:r w:rsidRPr="00E154C9">
        <w:rPr>
          <w:rFonts w:asciiTheme="majorBidi" w:hAnsiTheme="majorBidi" w:cstheme="majorBidi"/>
          <w:sz w:val="28"/>
          <w:szCs w:val="28"/>
        </w:rPr>
        <w:t>.</w:t>
      </w:r>
    </w:p>
    <w:p w14:paraId="02A03105"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ومن أبرز عوامل فاعلية الإعلام الرقمي أيضًا أنه يتجاوز الحواجز الزمانية والمكانية، مما يسمح بالوصول إلى الفئات التي يصعب استهدافها بالطرق التقليدية، مثل كبار السن، أو سكان المناطق النائية، أو الأشخاص الذين يعانون من إعاقات حركية. فباستخدام تطبيقات الهاتف المحمول أو المنصات التفاعلية، يمكن إيصال المعلومة الصحية إلى أي فرد في أي وقت، مما يُسهم في تحقيق العدالة الصحية الرقمية، ويُعزز من السلوكيات الوقائية والعلاجية في الفئات المهمشة. ويُعد هذا من المكاسب الكبرى للإعلام الرقمي، خاصة في المجتمعات التي تعاني من نقص في الكوادر الصحية أو ضعف في البنية التحتية للمراكز الطبية</w:t>
      </w:r>
      <w:r w:rsidRPr="00E154C9">
        <w:rPr>
          <w:rFonts w:asciiTheme="majorBidi" w:hAnsiTheme="majorBidi" w:cstheme="majorBidi"/>
          <w:sz w:val="28"/>
          <w:szCs w:val="28"/>
        </w:rPr>
        <w:t>.</w:t>
      </w:r>
    </w:p>
    <w:p w14:paraId="568541B7"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كما أن وسائل الإعلام الرقمي تساعد في تعزيز ما يُعرف بالسلوك الصحي الجماعي، حيث يُحفز الفرد من خلال رؤية الآخرين يتفاعلون مع الرسالة نفسها أو يشاركون قصصهم وتجاربهم، مما يُولد نوعًا من الضغط الاجتماعي الإيجابي الذي يدفع إلى تبني السلوك الصحي السائد. فعندما يرى المستخدم أصدقاءه يشاركون منشورًا توعويًا عن أهمية الراحة النفسية لمرضى الأعصاب، أو يشاهد حملة على "تويتر" تتحدث عن الكشف المبكر عن الزهايمر، فإنه يشعر بوجود قضية مجتمعية عامة تستحق أن يكون جزءًا منها. وتؤكد الأدبيات أن هذا النوع من التفاعل الجماعي الرقمي يترك أثرًا طويل الأمد في عادات الأفراد وسلوكهم اليومي (حسانين وآخرون، 2021)</w:t>
      </w:r>
      <w:r w:rsidRPr="00E154C9">
        <w:rPr>
          <w:rFonts w:asciiTheme="majorBidi" w:hAnsiTheme="majorBidi" w:cstheme="majorBidi"/>
          <w:sz w:val="28"/>
          <w:szCs w:val="28"/>
        </w:rPr>
        <w:t>.</w:t>
      </w:r>
    </w:p>
    <w:p w14:paraId="5136EC76"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مع ذلك، فإن فعالية الإعلام الرقمي في تغيير السلوك الصحي تظل مشروطة بجودة المحتوى المقدم، ومدى دقته ومصداقيته. فالمحتوى المضلل أو غير المبني على أساس علمي قد يؤدي إلى نتائج عكسية، بل قد يُعرض الأفراد لمخاطر صحية خطيرة. ومن هنا تنبع ضرورة إشراف المؤسسات الصحية الرسمية على إنتاج المحتوى الصحي الرقمي، ومراقبة ما يُنشر على منصات التواصل، وتدريب المختصين والمؤثرين على أسس التواصل الصحي الرقمي السليم. كما يجب تعزيز التفكير النقدي لدى المستخدمين، وتمكينهم من التمييز بين المعلومات الصحيحة والمغلوطة، من خلال حملات توعوية تركز على كيفية التحقق من مصادر المعلومات الصحية</w:t>
      </w:r>
      <w:r w:rsidRPr="00E154C9">
        <w:rPr>
          <w:rFonts w:asciiTheme="majorBidi" w:hAnsiTheme="majorBidi" w:cstheme="majorBidi"/>
          <w:sz w:val="28"/>
          <w:szCs w:val="28"/>
        </w:rPr>
        <w:t>.</w:t>
      </w:r>
    </w:p>
    <w:p w14:paraId="431A59B0"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وقد بدأت بعض الدول العربية، ومن ضمنها السعودية، في تنفيذ نماذج متقدمة من الإعلام الرقمي الصحي الذي يستند إلى الذكاء الاصطناعي، وتحليل البيانات، وتخصيص المحتوى بحسب سلوك المستخدم واحتياجاته الصحية. هذا التخصيص يُعد من أهم التطورات التي ستُعزز من فاعلية الإعلام الرقمي في التأثير في السلوك الصحي، لأنه يُخاطب المستخدم بشكل شخصي، ويقدم له رسائل توعوية موجهة بدقة، بما يتناسب مع حالته الصحية أو الفئة العمرية التي ينتمي إليها. ويُعد هذا النموذج أحد الاتجاهات الحديثة في التعليم الصحي الرقمي الذي يعتمد على البيانات والتكنولوجيا لتحسين النتائج الصحية الفردية والمجتمعية</w:t>
      </w:r>
      <w:r w:rsidRPr="00E154C9">
        <w:rPr>
          <w:rFonts w:asciiTheme="majorBidi" w:hAnsiTheme="majorBidi" w:cstheme="majorBidi"/>
          <w:sz w:val="28"/>
          <w:szCs w:val="28"/>
        </w:rPr>
        <w:t>.</w:t>
      </w:r>
    </w:p>
    <w:p w14:paraId="64EF8136"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في المجمل، يتضح أن الإعلام الرقمي ليس فقط وسيلة لنشر الوعي، بل هو عامل أساسي في التأثير في أنماط التفكير والسلوك المرتبطة بالصحة. قدرته على التأثير تنبع من مزاياه التكنولوجية، وخصائصه النفسية، وفاعليته في التخصيص، وسهولة التفاعل معه. غير أن هذا التأثير لا يتحقق إلا من خلال تكامل الجهود بين الجهات الصحية، والخبراء الإعلاميين، وصناع السياسات، ومقدمي المحتوى. كما يجب إدماج الإعلام الصحي الرقمي في السياسات الوطنية للصحة العامة، باعتباره جزءًا من منظومة الوقاية والتدخل المبكر</w:t>
      </w:r>
      <w:r w:rsidRPr="00E154C9">
        <w:rPr>
          <w:rFonts w:asciiTheme="majorBidi" w:hAnsiTheme="majorBidi" w:cstheme="majorBidi"/>
          <w:sz w:val="28"/>
          <w:szCs w:val="28"/>
        </w:rPr>
        <w:t>.</w:t>
      </w:r>
    </w:p>
    <w:p w14:paraId="533CF15F" w14:textId="3FC9A8EA" w:rsidR="006F53A1" w:rsidRDefault="006F53A1" w:rsidP="006F53A1">
      <w:pPr>
        <w:spacing w:line="360" w:lineRule="auto"/>
        <w:rPr>
          <w:rFonts w:asciiTheme="majorBidi" w:hAnsiTheme="majorBidi" w:cstheme="majorBidi"/>
          <w:sz w:val="28"/>
          <w:szCs w:val="28"/>
          <w:rtl/>
        </w:rPr>
      </w:pPr>
      <w:r w:rsidRPr="006F53A1">
        <w:rPr>
          <w:rFonts w:asciiTheme="majorBidi" w:hAnsiTheme="majorBidi" w:cstheme="majorBidi" w:hint="cs"/>
          <w:sz w:val="28"/>
          <w:szCs w:val="28"/>
          <w:u w:val="single"/>
          <w:shd w:val="clear" w:color="auto" w:fill="F2CEED" w:themeFill="accent5" w:themeFillTint="33"/>
          <w:rtl/>
        </w:rPr>
        <w:t>رؤية الباحث</w:t>
      </w:r>
      <w:r>
        <w:rPr>
          <w:rFonts w:asciiTheme="majorBidi" w:hAnsiTheme="majorBidi" w:cstheme="majorBidi" w:hint="cs"/>
          <w:sz w:val="28"/>
          <w:szCs w:val="28"/>
          <w:u w:val="single"/>
          <w:shd w:val="clear" w:color="auto" w:fill="F2CEED" w:themeFill="accent5" w:themeFillTint="33"/>
          <w:rtl/>
        </w:rPr>
        <w:t>ة:</w:t>
      </w:r>
      <w:r>
        <w:rPr>
          <w:rFonts w:asciiTheme="majorBidi" w:hAnsiTheme="majorBidi" w:cstheme="majorBidi" w:hint="cs"/>
          <w:sz w:val="28"/>
          <w:szCs w:val="28"/>
          <w:rtl/>
        </w:rPr>
        <w:t xml:space="preserve"> </w:t>
      </w:r>
      <w:r w:rsidRPr="006F53A1">
        <w:rPr>
          <w:rFonts w:asciiTheme="majorBidi" w:hAnsiTheme="majorBidi" w:cstheme="majorBidi"/>
          <w:sz w:val="28"/>
          <w:szCs w:val="28"/>
          <w:rtl/>
        </w:rPr>
        <w:t>إن تعزيز فاعلية الإعلام الرقمي في تغيير السلوك الصحي يتطلب بيئة رقمية واعية، محتوى موثوقًا، تفاعلًا بشريًا حقيقيًا، ورؤية استراتيجية واضحة تضع المواطن في مركز العملية الصحية. وعندما تُحقق هذه الشروط، يصبح الإعلام الرقمي أداة تغيير حقيقية، قادرة على إحداث نقلة نوعية في وعي المجتمعات وسلوكها تجاه قضايا الصحة، وعلى رأسها الأمراض العصبية التي تحتاج إلى تثقيف دائم ودعم مستمر</w:t>
      </w:r>
      <w:r w:rsidRPr="006F53A1">
        <w:rPr>
          <w:rFonts w:asciiTheme="majorBidi" w:hAnsiTheme="majorBidi" w:cstheme="majorBidi"/>
          <w:sz w:val="28"/>
          <w:szCs w:val="28"/>
        </w:rPr>
        <w:t>.</w:t>
      </w:r>
    </w:p>
    <w:p w14:paraId="1ED93C2B" w14:textId="77777777" w:rsidR="006F53A1" w:rsidRDefault="006F53A1" w:rsidP="006F53A1">
      <w:pPr>
        <w:spacing w:line="360" w:lineRule="auto"/>
        <w:rPr>
          <w:rFonts w:asciiTheme="majorBidi" w:hAnsiTheme="majorBidi" w:cstheme="majorBidi"/>
          <w:sz w:val="28"/>
          <w:szCs w:val="28"/>
          <w:rtl/>
        </w:rPr>
      </w:pPr>
    </w:p>
    <w:p w14:paraId="2702F662" w14:textId="77777777" w:rsidR="006F53A1" w:rsidRPr="00E154C9" w:rsidRDefault="006F53A1" w:rsidP="006F53A1">
      <w:pPr>
        <w:spacing w:line="360" w:lineRule="auto"/>
        <w:rPr>
          <w:rFonts w:asciiTheme="majorBidi" w:hAnsiTheme="majorBidi" w:cstheme="majorBidi"/>
          <w:sz w:val="28"/>
          <w:szCs w:val="28"/>
          <w:rtl/>
        </w:rPr>
      </w:pPr>
    </w:p>
    <w:p w14:paraId="20524A96" w14:textId="77777777" w:rsidR="006F53A1" w:rsidRPr="00E154C9" w:rsidRDefault="006F53A1" w:rsidP="006F53A1">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lastRenderedPageBreak/>
        <w:t>المبحث الخامس: المجتمع السعودي والتفاعل مع الإعلام الصحي الرقمي</w:t>
      </w:r>
    </w:p>
    <w:p w14:paraId="100413DE" w14:textId="77777777" w:rsidR="006F53A1" w:rsidRPr="00C61F93" w:rsidRDefault="006F53A1" w:rsidP="006F53A1">
      <w:pPr>
        <w:spacing w:line="360" w:lineRule="auto"/>
        <w:rPr>
          <w:rFonts w:asciiTheme="majorBidi" w:hAnsiTheme="majorBidi" w:cstheme="majorBidi"/>
          <w:color w:val="000000" w:themeColor="text1"/>
          <w:sz w:val="28"/>
          <w:szCs w:val="28"/>
        </w:rPr>
      </w:pPr>
      <w:r w:rsidRPr="006F53A1">
        <w:rPr>
          <w:rFonts w:asciiTheme="majorBidi" w:hAnsiTheme="majorBidi" w:cstheme="majorBidi" w:hint="cs"/>
          <w:color w:val="000000" w:themeColor="text1"/>
          <w:sz w:val="28"/>
          <w:szCs w:val="28"/>
          <w:rtl/>
        </w:rPr>
        <w:t xml:space="preserve">تمهيد: </w:t>
      </w:r>
      <w:r w:rsidRPr="006F53A1">
        <w:rPr>
          <w:rFonts w:asciiTheme="majorBidi" w:hAnsiTheme="majorBidi" w:cstheme="majorBidi"/>
          <w:color w:val="000000" w:themeColor="text1"/>
          <w:sz w:val="28"/>
          <w:szCs w:val="28"/>
          <w:rtl/>
        </w:rPr>
        <w:t>شهد المجتمع السعودي خلال السنوات الأخيرة تحولًا رقميًا واسع النطاق، انعكس بشكل مباشر على سلوك الأفراد وطريقة تفاعلهم مع مختلف القضايا، بما في ذلك القضايا الصحية. ومع تنامي استخدام وسائل الإعلام الرقمي، أصبح التفاعل مع الإعلام الصحي الرقمي سمة بارزة في المشهد السعودي، مدفوعًا بانتشار الهواتف الذكية، وسهولة الوصول إلى الإنترنت، والانفتاح على المحتوى الصحي المتنوع الذي توفره المنصات الرقمية. وقد أدى هذا التغير إلى تعزيز الوعي الصحي لدى فئات كبيرة من المجتمع، خاصة فيما يتعلق بالأمراض المزمنة والمعقدة، وعلى رأسها الأمراض العصبية، مثل الزهايمر والصرع والتصلب اللويحي ومرض باركنسون</w:t>
      </w:r>
      <w:r w:rsidRPr="006F53A1">
        <w:rPr>
          <w:rFonts w:asciiTheme="majorBidi" w:hAnsiTheme="majorBidi" w:cstheme="majorBidi"/>
          <w:color w:val="000000" w:themeColor="text1"/>
          <w:sz w:val="28"/>
          <w:szCs w:val="28"/>
        </w:rPr>
        <w:t>.</w:t>
      </w:r>
    </w:p>
    <w:p w14:paraId="077AE80B"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تشير الإحصاءات الحديثة إلى أن نسبة كبيرة من السعوديين يعتمدون على وسائل التواصل الاجتماعي كمصدر رئيسي للمعلومات الصحية، إلى جانب المواقع الطبية الرسمية. وقد ساهم هذا الاعتماد في خلق بيئة إعلامية صحية رقمية نشطة، يشارك فيها المواطنون بفاعلية من خلال التفاعل مع المنشورات الصحية، ومشاركة المحتوى التوعوي، وطرح الاستفسارات، والتفاعل مع حملات التوعية الإلكترونية التي تطلقها الجهات الحكومية والخاصة. وقد أظهرت دراسة (شلابي وآخرون، 2021) أن المجتمع السعودي يتميز بمعدلات عالية من التفاعل مع الرسائل الصحية الرقمية، مقارنة ببعض المجتمعات الأخرى في المنطقة العربية</w:t>
      </w:r>
      <w:r w:rsidRPr="00E154C9">
        <w:rPr>
          <w:rFonts w:asciiTheme="majorBidi" w:hAnsiTheme="majorBidi" w:cstheme="majorBidi"/>
          <w:sz w:val="28"/>
          <w:szCs w:val="28"/>
        </w:rPr>
        <w:t>.</w:t>
      </w:r>
    </w:p>
    <w:p w14:paraId="1124B0E9"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يرتبط هذا التفاعل الرقمي الصحي في السعودية بعدة عوامل، أبرزها وعي الأفراد المتزايد بأهمية الوقاية، وسعيهم للحصول على المعلومات الطبية من مصادر موثوقة، إضافة إلى تطور المؤسسات الصحية في تقديم محتوى رقمي موجه للفئات المختلفة. فقد أطلقت وزارة الصحة السعودية عدة مبادرات صحية رقمية تعتمد على الإعلام التفاعلي، أبرزها مبادرة "عش بصحة" التي استخدمت أساليب متعددة في التواصل الرقمي لنشر الوعي بالأمراض المزمنة، بما فيها الأمراض العصبية. وشملت هذه المبادرة استخدام مقاطع الفيديو، والرسوم التوضيحية، والبث المباشر، والندوات الصحية التفاعلية عبر المنصات المختلفة، مما أتاح لأفراد المجتمع فرصًا مستمرة للتعلم والانخراط في المحتوى الصحي</w:t>
      </w:r>
      <w:r w:rsidRPr="00E154C9">
        <w:rPr>
          <w:rFonts w:asciiTheme="majorBidi" w:hAnsiTheme="majorBidi" w:cstheme="majorBidi"/>
          <w:sz w:val="28"/>
          <w:szCs w:val="28"/>
        </w:rPr>
        <w:t>.</w:t>
      </w:r>
    </w:p>
    <w:p w14:paraId="47A395FD"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ومن أبرز مظاهر تفاعل المجتمع السعودي مع الإعلام الصحي الرقمي، مشاركة الأفراد في الحملات التوعوية الوطنية، سواء من خلال إعادة نشر المحتوى، أو التفاعل معه عبر التعليقات والمناقشات، أو عبر التجاوب مع التحديات الصحية المطروحة رقميًا، مثل تحديات الإقلاع عن التدخين، أو التمارين اليومية، أو </w:t>
      </w:r>
      <w:r w:rsidRPr="00E154C9">
        <w:rPr>
          <w:rFonts w:asciiTheme="majorBidi" w:hAnsiTheme="majorBidi" w:cstheme="majorBidi"/>
          <w:sz w:val="28"/>
          <w:szCs w:val="28"/>
          <w:rtl/>
        </w:rPr>
        <w:lastRenderedPageBreak/>
        <w:t>تشجيع الكشف المبكر عن الأمراض. وقد ساهمت هذه المشاركة المجتمعية في تعزيز الشعور بالمسؤولية الجماعية تجاه القضايا الصحية، وجعل الإعلام الرقمي أداة حقيقية للتأثير في الرأي والسلوك العام تجاه الصحة</w:t>
      </w:r>
      <w:r w:rsidRPr="00E154C9">
        <w:rPr>
          <w:rFonts w:asciiTheme="majorBidi" w:hAnsiTheme="majorBidi" w:cstheme="majorBidi"/>
          <w:sz w:val="28"/>
          <w:szCs w:val="28"/>
        </w:rPr>
        <w:t>.</w:t>
      </w:r>
    </w:p>
    <w:p w14:paraId="69BDDF5A"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كما أن الدور الكبير الذي يلعبه المؤثرون السعوديون على وسائل التواصل الاجتماعي في دعم الرسائل الصحية عزز من هذا التفاعل. فقد تبنى العديد من المؤثرين السعوديين قضايا توعوية تتعلق بالأمراض العصبية، وشاركوا تجارب شخصية أو دعموا حملات التوعية التي أطلقتها جمعيات مثل الجمعية السعودية للصرع، والجمعية السعودية للزهايمر. ومن خلال الفيديوهات التوعوية، والقصص المصورة، والبث المباشر مع مختصين، استطاع هؤلاء المؤثرون تحفيز المتابعين على الفهم، والتعاطف، والتفاعل مع المرضى، بل وأحيانًا المبادرة بالمشاركة في الدعم المجتمعي أو الحملات التطوعية</w:t>
      </w:r>
      <w:r w:rsidRPr="00E154C9">
        <w:rPr>
          <w:rFonts w:asciiTheme="majorBidi" w:hAnsiTheme="majorBidi" w:cstheme="majorBidi"/>
          <w:sz w:val="28"/>
          <w:szCs w:val="28"/>
        </w:rPr>
        <w:t>.</w:t>
      </w:r>
    </w:p>
    <w:p w14:paraId="342E74BC"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وقد عكست ه</w:t>
      </w:r>
      <w:r>
        <w:rPr>
          <w:rFonts w:asciiTheme="majorBidi" w:hAnsiTheme="majorBidi" w:cstheme="majorBidi"/>
          <w:sz w:val="28"/>
          <w:szCs w:val="28"/>
          <w:rtl/>
        </w:rPr>
        <w:t>ذه المشاركات وعيًا متقدمًا من ق</w:t>
      </w:r>
      <w:r>
        <w:rPr>
          <w:rFonts w:asciiTheme="majorBidi" w:hAnsiTheme="majorBidi" w:cstheme="majorBidi" w:hint="cs"/>
          <w:sz w:val="28"/>
          <w:szCs w:val="28"/>
          <w:rtl/>
        </w:rPr>
        <w:t>ِ</w:t>
      </w:r>
      <w:r w:rsidRPr="00E154C9">
        <w:rPr>
          <w:rFonts w:asciiTheme="majorBidi" w:hAnsiTheme="majorBidi" w:cstheme="majorBidi"/>
          <w:sz w:val="28"/>
          <w:szCs w:val="28"/>
          <w:rtl/>
        </w:rPr>
        <w:t>بل شرائح المجتمع المختلفة، لا سيما الشباب، الذين يشكلون النسبة الأكبر من مستخدمي الإنترنت في السعودية. فالشباب السعوديون لم يعودوا مستهلكين فقط للمحتوى الصحي الرقمي، بل أصبح بعضهم يساهم في إنتاجه، من خلال صفحات توعوية، أو تطبيقات صحية، أو حتى مبادرات طلابية توعوية تقودها جامعات ومؤسسات تعليمية. وهذا ما يؤكده (حسانين وآخرون، 2021)، حين أشار إلى أن المجتمعات التي تمتلك قاعدة شبابية واعية وقادرة على إنتاج المحتوى الرقمي الصحي تتمتع بفرص أعلى في تحسين المؤشرات الصحية العامة</w:t>
      </w:r>
      <w:r w:rsidRPr="00E154C9">
        <w:rPr>
          <w:rFonts w:asciiTheme="majorBidi" w:hAnsiTheme="majorBidi" w:cstheme="majorBidi"/>
          <w:sz w:val="28"/>
          <w:szCs w:val="28"/>
        </w:rPr>
        <w:t>.</w:t>
      </w:r>
    </w:p>
    <w:p w14:paraId="75411F7E"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في المقابل، ورغم هذا التفاعل الإيجابي الواسع، لا تزال هناك بعض التحديات التي تواجه الإعلام الصحي الرقمي في المجتمع السعودي، أبرزها انتشار المعلومات الطبية المغلوطة أو غير الدقيقة عبر وسائل التواصل، خاصة عند تداولها من مصادر غير موثوقة. فبعض المستخدمين قد يتأثرون بمحتوى غير طبي ينشره أفراد غير متخصصين، وقد يؤدي ذلك إلى ممارسات صحية خاطئة أو تأخر في طلب المساعدة الطبية المناسبة. وهنا تبرز أهمية تعزيز ثقافة التحقق من المصادر، وتكثيف الجهود الرقابية والإعلامية لمواجهة التضليل الصحي الرقمي، وتوجيه الجمهور نحو المصادر الرسمية والمعتمدة</w:t>
      </w:r>
      <w:r w:rsidRPr="00E154C9">
        <w:rPr>
          <w:rFonts w:asciiTheme="majorBidi" w:hAnsiTheme="majorBidi" w:cstheme="majorBidi"/>
          <w:sz w:val="28"/>
          <w:szCs w:val="28"/>
        </w:rPr>
        <w:t>.</w:t>
      </w:r>
    </w:p>
    <w:p w14:paraId="5E6224C0"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كذلك، من التحديات الأخرى تفاوت استجابة الفئات المختلفة داخل المجتمع السعودي مع الإعلام الرقمي الصحي، فبينما نجد فئات شبابية متفاعلة وبشكل يومي، إلا أن كبار السن أو الفئات الأقل تعليمًا قد لا يتفاعلون بنفس المستوى، إما لضعف المهارات الرقمية، أو بسبب محدودية استخدامهم للمنصات الإلكترونية. ومن هنا تأتي أهمية اعتماد الإعلام الصحي الرقمي على أساليب مبسطة وسلسة في تقديم المعلومات، مع </w:t>
      </w:r>
      <w:r w:rsidRPr="00E154C9">
        <w:rPr>
          <w:rFonts w:asciiTheme="majorBidi" w:hAnsiTheme="majorBidi" w:cstheme="majorBidi"/>
          <w:sz w:val="28"/>
          <w:szCs w:val="28"/>
          <w:rtl/>
        </w:rPr>
        <w:lastRenderedPageBreak/>
        <w:t>تنويع الوسائل لتناسب جميع الفئات، بما في ذلك الصوتيات أو الرسائل المصورة والمترجمة للغات ولهجات محلية</w:t>
      </w:r>
      <w:r w:rsidRPr="00E154C9">
        <w:rPr>
          <w:rFonts w:asciiTheme="majorBidi" w:hAnsiTheme="majorBidi" w:cstheme="majorBidi"/>
          <w:sz w:val="28"/>
          <w:szCs w:val="28"/>
        </w:rPr>
        <w:t>.</w:t>
      </w:r>
    </w:p>
    <w:p w14:paraId="09C7AC7F"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رغم هذه التحديات، فإن التوجه الرسمي في السعودية يدعم بشكل كبير تطوير الإعلام الصحي الرقمي وتعزيزه. فقد أطلقت المملكة، في إطار رؤية 2030، عددًا من المبادرات التي تهدف إلى التحول الرقمي في القطاع الصحي، ورفع الوعي الرقمي لدى المواطنين، وربط خدمات الرعاية الصحية بالمنصات الإلكترونية الذكية، مثل تطبيق "صحتي" و"توكلنا"، وهما نموذجان لإدماج الإعلام الصحي الرقمي في الحياة اليومية للمواطنين والمقيمين. وتقدم هذه المنصات معلومات صحية موثوقة، وتتيح للمستخدمين تتبع حالتهم الصحية، وتلقي التنبيهات الطبية، والتفاعل مع مقدمي الخدمات الصحية</w:t>
      </w:r>
      <w:r w:rsidRPr="00E154C9">
        <w:rPr>
          <w:rFonts w:asciiTheme="majorBidi" w:hAnsiTheme="majorBidi" w:cstheme="majorBidi"/>
          <w:sz w:val="28"/>
          <w:szCs w:val="28"/>
        </w:rPr>
        <w:t>.</w:t>
      </w:r>
    </w:p>
    <w:p w14:paraId="4C312C13"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إضافة إلى ذلك، فإن التفاعل المجتمعي مع الإعلام الرقمي في السعودية يُظهر بوضوح وجود ثقة متزايدة في المحتوى الصحي الرقمي الذي تقدمه الجهات الرسمية والمهنية، وهو ما يُمثل نقطة قوة يمكن البناء عليها لتعزيز ثقافة الصحة العامة، خاصة في المجالات التي كانت في السابق تُعاني من نقص الوعي، مثل الصحة النفسية، وأمراض الدماغ والجهاز العصبي. وقد نجحت الحملات التوعوية المرتبطة بهذه المجالات في جذب اهتمام المجتمع، ودفعت البعض لمشاركة تجاربهم علنًا، مما ساعد في إزالة الوصمة المرتبطة بهذه الأمراض، وفتح باب النقاش العام حولها</w:t>
      </w:r>
      <w:r w:rsidRPr="00E154C9">
        <w:rPr>
          <w:rFonts w:asciiTheme="majorBidi" w:hAnsiTheme="majorBidi" w:cstheme="majorBidi"/>
          <w:sz w:val="28"/>
          <w:szCs w:val="28"/>
        </w:rPr>
        <w:t>.</w:t>
      </w:r>
    </w:p>
    <w:p w14:paraId="1574A7A0"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من المهم الإشارة إلى أن التفاعل السعودي مع الإعلام الصحي الرقمي لم يكن حكرًا على الأفراد فقط، بل شمل أيضًا المؤسسات التعليمية، والمراكز الصحية، والمنظمات الخيرية، التي تبنت بدورها وسائل الإعلام الرقمي كوسيلة للتثقيف ونشر المعلومات الصحية بين طلابها ومنسوبيها وجمهورها. وتقوم بعض الجامعات السعودية، مثل جامعة الملك سعود وجامعة الإمام، بتنفيذ برامج توعوية طبية عبر الإنترنت، وإطلاق حملات صحية لطلبة الطب للمشاركة في إنتاج محتوى تثقيفي يخدم المجتمع</w:t>
      </w:r>
      <w:r w:rsidRPr="00E154C9">
        <w:rPr>
          <w:rFonts w:asciiTheme="majorBidi" w:hAnsiTheme="majorBidi" w:cstheme="majorBidi"/>
          <w:sz w:val="28"/>
          <w:szCs w:val="28"/>
        </w:rPr>
        <w:t>.</w:t>
      </w:r>
    </w:p>
    <w:p w14:paraId="374F6CFB" w14:textId="77777777" w:rsidR="006F53A1" w:rsidRPr="00E154C9" w:rsidRDefault="006F53A1" w:rsidP="006F53A1">
      <w:pPr>
        <w:spacing w:line="360" w:lineRule="auto"/>
        <w:rPr>
          <w:rFonts w:asciiTheme="majorBidi" w:hAnsiTheme="majorBidi" w:cstheme="majorBidi"/>
          <w:sz w:val="28"/>
          <w:szCs w:val="28"/>
          <w:rtl/>
        </w:rPr>
      </w:pPr>
      <w:r w:rsidRPr="00E154C9">
        <w:rPr>
          <w:rFonts w:asciiTheme="majorBidi" w:hAnsiTheme="majorBidi" w:cstheme="majorBidi"/>
          <w:sz w:val="28"/>
          <w:szCs w:val="28"/>
          <w:rtl/>
        </w:rPr>
        <w:t>و يتبين من خلال هذا المبحث أن المجتمع السعودي أظهر استجابة مرنة وفعالة مع الإعلام الصحي الرقمي، مدعومًا بانتشار التكنولوجيا، وارتفاع الوعي، ودعم المؤسسات الرسمية، ومشاركة المؤثرين والمختصين في إنتاج المحتوى الصحي. ورغم وجود بعض التحديات المرتبطة بجودة المحتوى وتفاوت استجابة الفئات، إلا أن التجربة السعودية تُعد من التجارب الرائدة في العالم العربي في هذا المجال. ويُنتظر أن تشهد هذه التجربة مزيدًا من التطور في المستقبل، خاصة مع التوسع في استخدام الذكاء الاصطناعي، وتخصيص الرسائل الصحية، وبناء منصات وطنية موحدة تعزز من التفاعل المجتمعي وتدعم القرار الصحي الفردي والجماعي</w:t>
      </w:r>
      <w:r w:rsidRPr="00E154C9">
        <w:rPr>
          <w:rFonts w:asciiTheme="majorBidi" w:hAnsiTheme="majorBidi" w:cstheme="majorBidi"/>
          <w:sz w:val="28"/>
          <w:szCs w:val="28"/>
        </w:rPr>
        <w:t>.</w:t>
      </w:r>
    </w:p>
    <w:p w14:paraId="101C385B" w14:textId="77777777" w:rsidR="006F53A1" w:rsidRPr="006F53A1" w:rsidRDefault="006F53A1" w:rsidP="006F53A1">
      <w:pPr>
        <w:spacing w:line="360" w:lineRule="auto"/>
        <w:rPr>
          <w:rFonts w:asciiTheme="majorBidi" w:hAnsiTheme="majorBidi" w:cstheme="majorBidi"/>
          <w:b/>
          <w:bCs/>
          <w:sz w:val="28"/>
          <w:szCs w:val="28"/>
          <w:rtl/>
        </w:rPr>
      </w:pPr>
      <w:r w:rsidRPr="006F53A1">
        <w:rPr>
          <w:rFonts w:asciiTheme="majorBidi" w:hAnsiTheme="majorBidi" w:cstheme="majorBidi"/>
          <w:b/>
          <w:bCs/>
          <w:sz w:val="28"/>
          <w:szCs w:val="28"/>
          <w:rtl/>
        </w:rPr>
        <w:lastRenderedPageBreak/>
        <w:t>المطلب ال</w:t>
      </w:r>
      <w:r w:rsidRPr="006F53A1">
        <w:rPr>
          <w:rFonts w:asciiTheme="majorBidi" w:hAnsiTheme="majorBidi" w:cstheme="majorBidi" w:hint="cs"/>
          <w:b/>
          <w:bCs/>
          <w:sz w:val="28"/>
          <w:szCs w:val="28"/>
          <w:rtl/>
        </w:rPr>
        <w:t>أ</w:t>
      </w:r>
      <w:r w:rsidRPr="006F53A1">
        <w:rPr>
          <w:rFonts w:asciiTheme="majorBidi" w:hAnsiTheme="majorBidi" w:cstheme="majorBidi"/>
          <w:b/>
          <w:bCs/>
          <w:sz w:val="28"/>
          <w:szCs w:val="28"/>
          <w:rtl/>
        </w:rPr>
        <w:t>ول: استخدام السعوديين للإعلام الرقمي في المجال الصحي</w:t>
      </w:r>
    </w:p>
    <w:p w14:paraId="25AAB521" w14:textId="77777777" w:rsidR="006F53A1" w:rsidRPr="006F53A1" w:rsidRDefault="006F53A1" w:rsidP="006F53A1">
      <w:pPr>
        <w:spacing w:line="360" w:lineRule="auto"/>
        <w:rPr>
          <w:rFonts w:asciiTheme="majorBidi" w:hAnsiTheme="majorBidi" w:cstheme="majorBidi"/>
          <w:sz w:val="28"/>
          <w:szCs w:val="28"/>
        </w:rPr>
      </w:pPr>
      <w:r w:rsidRPr="006F53A1">
        <w:rPr>
          <w:rFonts w:asciiTheme="majorBidi" w:hAnsiTheme="majorBidi" w:cstheme="majorBidi"/>
          <w:sz w:val="28"/>
          <w:szCs w:val="28"/>
          <w:rtl/>
        </w:rPr>
        <w:t>أحدث الإعلام الرقمي تحولًا عميقًا في سلوك الأفراد تجاه الحصول على المعلومات الصحية، لا سيما في المجتمع السعودي الذي يشهد تطورًا كبيرًا في البنية التحتية الرقمية وزيادة ملحوظة في وعي الأفراد الصحي. فقد أصبح استخدام السعوديين لوسائل الإعلام الرقمي في المجال الصحي جزءًا لا يتجزأ من حياتهم اليومية، خصوصًا في ظل الانتشار الواسع للهواتف الذكية، والتفاعل الكبير مع منصات التواصل الاجتماعي، وتنامي الاهتمام بالصحة الفردية والوقاية، إلى جانب الدعم الحكومي الموجه نحو التحول الرقمي في القطاع الصحي</w:t>
      </w:r>
      <w:r w:rsidRPr="006F53A1">
        <w:rPr>
          <w:rFonts w:asciiTheme="majorBidi" w:hAnsiTheme="majorBidi" w:cstheme="majorBidi"/>
          <w:sz w:val="28"/>
          <w:szCs w:val="28"/>
        </w:rPr>
        <w:t>.</w:t>
      </w:r>
    </w:p>
    <w:p w14:paraId="20F38410" w14:textId="77777777" w:rsidR="006F53A1" w:rsidRPr="00E154C9" w:rsidRDefault="006F53A1" w:rsidP="006F53A1">
      <w:pPr>
        <w:spacing w:line="360" w:lineRule="auto"/>
        <w:rPr>
          <w:rFonts w:asciiTheme="majorBidi" w:hAnsiTheme="majorBidi" w:cstheme="majorBidi"/>
          <w:sz w:val="28"/>
          <w:szCs w:val="28"/>
        </w:rPr>
      </w:pPr>
      <w:r w:rsidRPr="006F53A1">
        <w:rPr>
          <w:rFonts w:asciiTheme="majorBidi" w:hAnsiTheme="majorBidi" w:cstheme="majorBidi"/>
          <w:sz w:val="28"/>
          <w:szCs w:val="28"/>
          <w:rtl/>
        </w:rPr>
        <w:t>تشير العديد من الدراسات إلى أن نسبة استخدام السعوديين للإنترنت لأغراض صحية في تزايد مستمر، حيث يُعد الإنترنت المصدر الأول للمعلومات الصحية لدى عدد كبير من المواطنين، خاصة فئة الشباب. وتُظهر البيانات الصادرة عن هيئة الإحصاء السعودية أن أكثر من 95% من السعوديين يستخدمون الإنترنت، وتُعد الصحة من بين أبرز المجالات التي يبحث فيها المستخدمون على الشبكة، سواء بغرض التثقيف أو المتابعة أو الاستشارة. هذا التوجه الرقمي نحو المجال الصحي يعكس وعيًا متناميًا بأهمية المعرفة الطبية، وسعيًا للاعتماد على الذات في فهم الأعراض وطرق الوقاية وأفضل سبل العلاج. وقد أشار (شلابي وآخرون، 2021) إلى أن تنامي الوصول إلى الإنترنت في المجتمعات العربية، ومنها السعودية، ساهم في توسيع قاعدة الباحثين عن المعرفة الصحية خارج الإطار التقليدي للمستشفيات والمراكز الطبية</w:t>
      </w:r>
      <w:r w:rsidRPr="006F53A1">
        <w:rPr>
          <w:rFonts w:asciiTheme="majorBidi" w:hAnsiTheme="majorBidi" w:cstheme="majorBidi"/>
          <w:sz w:val="28"/>
          <w:szCs w:val="28"/>
        </w:rPr>
        <w:t>.</w:t>
      </w:r>
    </w:p>
    <w:p w14:paraId="391E21D2"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يُعد الاستخدام الأكبر للإعلام الرقمي الصحي في السعودية متركزًا في منصات التواصل الاجتماعي، وعلى رأسها تويتر، الذي يُمثل منصة مفضلة للنقاشات الطبية السريعة ونشر المستجدات الصحية، إلى جانب إنستغرام ويوتيوب وسناب شات، التي توفر محتوى مرئيًا تفاعليًا حول موضوعات مثل نمط الحياة الصحي، والتغذية، والأمراض المزمنة، والوقاية النفسية. كما أن هذه المنصات تُستخدم بكثافة من قبل الجمعيات الصحية، والمراكز الطبية، والأطباء المختصين، الذين وجدوا في الإعلام الرقمي قناة فعالة للتواصل المباشر مع الجمهور، وتقديم محتوى طبي موثوق بلغة مبسطة وقريبة من المستخدمين</w:t>
      </w:r>
      <w:r w:rsidRPr="00E154C9">
        <w:rPr>
          <w:rFonts w:asciiTheme="majorBidi" w:hAnsiTheme="majorBidi" w:cstheme="majorBidi"/>
          <w:sz w:val="28"/>
          <w:szCs w:val="28"/>
        </w:rPr>
        <w:t>.</w:t>
      </w:r>
    </w:p>
    <w:p w14:paraId="54043E1E"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تُظهر تجربة السعوديين في استخدام الإعلام الرقمي الصحي تفاعلًا إيجابيًا واسع النطاق، يتمثل في إعادة نشر المعلومات، التعليق عليها، طرح الاستفسارات، بل وحتى نقل تجاربهم الخاصة مع الأمراض أو العلاج. هذا النوع من الاستخدام النشط يعكس تحوُّل المواطن من متلقٍ سلبي إلى مشارك في إنتاج ونقل المعرفة الصحية. وقد أظهرت حملات صحية مثل حملة "عش بصحة" التي أطلقتها وزارة الصحة السعودية أن </w:t>
      </w:r>
      <w:r w:rsidRPr="00E154C9">
        <w:rPr>
          <w:rFonts w:asciiTheme="majorBidi" w:hAnsiTheme="majorBidi" w:cstheme="majorBidi"/>
          <w:sz w:val="28"/>
          <w:szCs w:val="28"/>
          <w:rtl/>
        </w:rPr>
        <w:lastRenderedPageBreak/>
        <w:t>المحتوى الصحي الرقمي قادر على تحقيق ملايين المشاهدات في أيام قليلة، وأن السعوديين يتفاعلون بقوة مع الرسائل الصحية عندما تكون مصاغة بلغة مرنة، مدعومة بتصميم بصري جذاب، وتطرح معلومات دقيقة في قالب قصير وسهل الفهم</w:t>
      </w:r>
      <w:r w:rsidRPr="00E154C9">
        <w:rPr>
          <w:rFonts w:asciiTheme="majorBidi" w:hAnsiTheme="majorBidi" w:cstheme="majorBidi"/>
          <w:sz w:val="28"/>
          <w:szCs w:val="28"/>
        </w:rPr>
        <w:t>.</w:t>
      </w:r>
    </w:p>
    <w:p w14:paraId="41CFF404"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من جهة أخرى، يُقبل السعوديون بشكل متزايد على استخدام التطبيقات الصحية الرقمية التي تقدمها المؤسسات الرسمية، مثل تطبيق "صحتي"، الذي يوفر خدمات إلكترونية متعددة، منها حجز المواعيد، الاطلاع على نتائج التحاليل، الاستشارات الطبية، وتلقي التنبيهات الوقائية. ويُعتبر هذا التطبيق نموذجًا متقدمًا في توظيف الإعلام الرقمي لتسهيل الوصول إلى الخدمات الصحية، وتثقيف المستخدم في الوقت نفسه حول حالته الصحية، وحقوقه، والإجراءات المطلوبة منه. وقد أشار (حسانين وآخرون، 2021) إلى أهمية دمج التكنولوجيا في الممارسات الصحية اليومية، لما لذلك من أثر في تحسين جودة الرعاية الصحية وتعزيز الوعي المجتمعي</w:t>
      </w:r>
      <w:r w:rsidRPr="00E154C9">
        <w:rPr>
          <w:rFonts w:asciiTheme="majorBidi" w:hAnsiTheme="majorBidi" w:cstheme="majorBidi"/>
          <w:sz w:val="28"/>
          <w:szCs w:val="28"/>
        </w:rPr>
        <w:t>.</w:t>
      </w:r>
    </w:p>
    <w:p w14:paraId="01443CC4"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كما أن استخدام السعوديين للإعلام الرقمي الصحي لم يقتصر على المجال الشخصي فقط، بل امتد إلى المشاركة في الحملات المجتمعية الصحية عبر الإنترنت، مثل حملات دعم مرضى السرطان، أو التوعية بمرض الزهايمر، أو تحفيز التبرع بالأعضاء، حيث استخدم المواطنون المنصات الرقمية لنشر الوعي، ومشاركة القصص الشخصية، وتحفيز الآخرين على التفاعل. هذا السلوك الرقمي التشاركي يدل على وعي جمعي صحي متقدم، تسهم فيه ثقافة التطوع، والانتماء المجتمعي، والحضور القوي للمؤثرين في الفضاء الرقمي السعودي</w:t>
      </w:r>
      <w:r w:rsidRPr="00E154C9">
        <w:rPr>
          <w:rFonts w:asciiTheme="majorBidi" w:hAnsiTheme="majorBidi" w:cstheme="majorBidi"/>
          <w:sz w:val="28"/>
          <w:szCs w:val="28"/>
        </w:rPr>
        <w:t>.</w:t>
      </w:r>
    </w:p>
    <w:p w14:paraId="31DBEEF1"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ومع تفشي جائحة كوفيد-19، شهد استخدام السعوديين للإعلام الرقمي الصحي قفزة نوعية، حيث ازداد الاعتماد على المنصات الرقمية للحصول على المعلومات حول الفيروس، وطرق الوقاية، والتحديثات الحكومية، والحملات التوعوية، مما رسخ الثقة في الإعلام الرقمي كمصدر رسمي وفعّال للمعلومة الصحية. وقد وفرت وزارة الصحة، وهيئة الصحة العامة "وقاية"، محتوى رقميًا مكثفًا بلغات متعددة، وتم توجيه المستخدمين نحو منصات موحدة للمعلومات الصحية، مما سهل عملية التثقيف الصحي الجماعي، ورفع من مستوى الالتزام المجتمعي بالإجراءات الوقائية. وتؤكد هذه التجربة أن السعوديين يمتلكون استعدادًا عاليًا للتفاعل مع الإعلام الصحي الرقمي متى توفرت الشفافية، والمصداقية، وسهولة الاستخدام</w:t>
      </w:r>
      <w:r w:rsidRPr="00E154C9">
        <w:rPr>
          <w:rFonts w:asciiTheme="majorBidi" w:hAnsiTheme="majorBidi" w:cstheme="majorBidi"/>
          <w:sz w:val="28"/>
          <w:szCs w:val="28"/>
        </w:rPr>
        <w:t>.</w:t>
      </w:r>
    </w:p>
    <w:p w14:paraId="5D6A4ED2"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ومع أن استخدام السعوديين للإعلام الرقمي الصحي يُعد إيجابيًا في مجمله، إلا أنه لا يخلو من التحديات، أبرزها تعرض بعض المستخدمين للمعلومات الصحية المغلوطة أو غير الدقيقة، التي قد يتم تداولها عبر </w:t>
      </w:r>
      <w:r w:rsidRPr="00E154C9">
        <w:rPr>
          <w:rFonts w:asciiTheme="majorBidi" w:hAnsiTheme="majorBidi" w:cstheme="majorBidi"/>
          <w:sz w:val="28"/>
          <w:szCs w:val="28"/>
          <w:rtl/>
        </w:rPr>
        <w:lastRenderedPageBreak/>
        <w:t>حسابات غير متخصصة أو جهات تجارية تسعى للترويج لمنتجات غير مرخصة. وقد بيّنت تقارير محلية أن بعض المستخدمين السعوديين وقعوا ضحية لمعلومات طبية غير صحيحة حول علاجات بديلة أو أعشاب تُروج على أنها "تشفي" أمراضًا مزمنة، مما يدعو إلى أهمية تعزيز الوعي النقدي لدى الجمهور، وتمكينه من التحقق من مصادر المعلومات، وتعزيز دور الجهات الرسمية في مكافحة الشائعات الطبية، عبر نشر محتوى تصحيحي دوري، وتفعيل آليات الإبلاغ الرقمي</w:t>
      </w:r>
      <w:r w:rsidRPr="00E154C9">
        <w:rPr>
          <w:rFonts w:asciiTheme="majorBidi" w:hAnsiTheme="majorBidi" w:cstheme="majorBidi"/>
          <w:sz w:val="28"/>
          <w:szCs w:val="28"/>
        </w:rPr>
        <w:t>.</w:t>
      </w:r>
    </w:p>
    <w:p w14:paraId="525EA744"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كما أن التفاوت في مستوى الثقافة الرقمية والصحية بين فئات المجتمع السعودي يُشكل تحديًا إضافيًا، حيث لا يتمكن جميع المستخدمين من تفسير المحتوى الصحي بشكل دقيق، خاصة الفئات الأقل تعليمًا، أو كبار السن الذين قد يجدون صعوبة في التعامل مع التطبيقات الصحية أو تفسير الرموز الطبية المعقدة. وهذا يتطلب تبني استراتيجيات توصيل صحي رقمي تراعي اختلاف مستويات المعرفة والخبرة الرقمية، وتُوظف الوسائط المتعددة، واللغة البسيطة، والرسوم التوضيحية، لضمان وصول الرسالة الصحية إلى الجميع</w:t>
      </w:r>
      <w:r w:rsidRPr="00E154C9">
        <w:rPr>
          <w:rFonts w:asciiTheme="majorBidi" w:hAnsiTheme="majorBidi" w:cstheme="majorBidi"/>
          <w:sz w:val="28"/>
          <w:szCs w:val="28"/>
        </w:rPr>
        <w:t>.</w:t>
      </w:r>
    </w:p>
    <w:p w14:paraId="1443BD30"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ورغم هذه التحديات، فإن المجتمع السعودي يُعد من أكثر المجتمعات العربية استعدادًا لاستخدام الإعلام الرقمي في المجال الصحي، بفضل تطور التعليم، وارتفاع نسبة استخدام التكنولوجيا، وانفتاح المواطن على المستجدات الصحية. كما أن انتشار ثقافة البحث عن المعلومة، والتفاعل مع المحتوى الصحي، يعزز من إمكانيات التغيير السلوكي الإيجابي المرتبط بالصحة. وقد أشار (شلابي وآخرون، 2021) إلى أن استخدام الإعلام الرقمي في المجتمعات ذات التركيبة الشبابية مثل السعودية يُسهم في تسريع نشر الوعي، ويُوفر بيئة خصبة لتبني مفاهيم الصحة الوقائية والعلاجية الحديثة</w:t>
      </w:r>
      <w:r w:rsidRPr="00E154C9">
        <w:rPr>
          <w:rFonts w:asciiTheme="majorBidi" w:hAnsiTheme="majorBidi" w:cstheme="majorBidi"/>
          <w:sz w:val="28"/>
          <w:szCs w:val="28"/>
        </w:rPr>
        <w:t>.</w:t>
      </w:r>
    </w:p>
    <w:p w14:paraId="05BD99FB" w14:textId="77777777" w:rsidR="006F53A1" w:rsidRDefault="006F53A1" w:rsidP="006F53A1">
      <w:pPr>
        <w:spacing w:line="360" w:lineRule="auto"/>
        <w:rPr>
          <w:rFonts w:asciiTheme="majorBidi" w:hAnsiTheme="majorBidi" w:cstheme="majorBidi"/>
          <w:sz w:val="28"/>
          <w:szCs w:val="28"/>
          <w:rtl/>
        </w:rPr>
      </w:pPr>
      <w:r w:rsidRPr="00E154C9">
        <w:rPr>
          <w:rFonts w:asciiTheme="majorBidi" w:hAnsiTheme="majorBidi" w:cstheme="majorBidi"/>
          <w:sz w:val="28"/>
          <w:szCs w:val="28"/>
          <w:rtl/>
        </w:rPr>
        <w:t>أخيرًا، يُمكن القول إن استخدام السعوديين للإعلام الرقمي في المجال الصحي يُمثل نموذجًا متقدمًا في العالم العربي، يجمع بين الاهتمام الفردي بالصحة، والانفتاح على التكنولوجيا، والثقة المتزايدة في الجهات الرسمية، والمشاركة المجتمعية الواسعة. ولتعزيز هذا النموذج، ينبغي دعم الإنتاج المحلي للمحتوى الصحي الرقمي، وتدريب المختصين على التواصل الفعّال عبر المنصات الحديثة، ومراقبة جودة المعلومات المنتشرة، وتحفيز الشباب على المشاركة في الحملات التوعوية الرقمية، بما يُسهم في تعزيز الصحة العامة، وتطوير ثقافة رقمية صحية مستدامة</w:t>
      </w:r>
      <w:r w:rsidRPr="00E154C9">
        <w:rPr>
          <w:rFonts w:asciiTheme="majorBidi" w:hAnsiTheme="majorBidi" w:cstheme="majorBidi"/>
          <w:sz w:val="28"/>
          <w:szCs w:val="28"/>
        </w:rPr>
        <w:t>.</w:t>
      </w:r>
    </w:p>
    <w:p w14:paraId="16673465" w14:textId="77777777" w:rsidR="006F53A1" w:rsidRDefault="006F53A1" w:rsidP="006F53A1">
      <w:pPr>
        <w:spacing w:line="360" w:lineRule="auto"/>
        <w:rPr>
          <w:rFonts w:asciiTheme="majorBidi" w:hAnsiTheme="majorBidi" w:cstheme="majorBidi"/>
          <w:sz w:val="28"/>
          <w:szCs w:val="28"/>
          <w:rtl/>
        </w:rPr>
      </w:pPr>
    </w:p>
    <w:p w14:paraId="2BD8645A" w14:textId="77777777" w:rsidR="006F53A1" w:rsidRDefault="006F53A1" w:rsidP="006F53A1">
      <w:pPr>
        <w:spacing w:line="360" w:lineRule="auto"/>
        <w:rPr>
          <w:rFonts w:asciiTheme="majorBidi" w:hAnsiTheme="majorBidi" w:cstheme="majorBidi"/>
          <w:sz w:val="28"/>
          <w:szCs w:val="28"/>
          <w:rtl/>
        </w:rPr>
      </w:pPr>
    </w:p>
    <w:p w14:paraId="26B58101" w14:textId="77777777" w:rsidR="006F53A1" w:rsidRPr="00E154C9" w:rsidRDefault="006F53A1" w:rsidP="006F53A1">
      <w:pPr>
        <w:spacing w:line="360" w:lineRule="auto"/>
        <w:rPr>
          <w:rFonts w:asciiTheme="majorBidi" w:hAnsiTheme="majorBidi" w:cstheme="majorBidi"/>
          <w:sz w:val="28"/>
          <w:szCs w:val="28"/>
          <w:rtl/>
        </w:rPr>
      </w:pPr>
    </w:p>
    <w:p w14:paraId="297C0A54" w14:textId="77777777" w:rsidR="006F53A1" w:rsidRPr="00E154C9" w:rsidRDefault="006F53A1" w:rsidP="006F53A1">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lastRenderedPageBreak/>
        <w:t>المطلب الثاني: مستوى الوعي بالأمراض العصبية عبر الإعلام</w:t>
      </w:r>
    </w:p>
    <w:p w14:paraId="16A4EF24" w14:textId="77777777" w:rsidR="006F53A1" w:rsidRDefault="006F53A1" w:rsidP="006F53A1">
      <w:pPr>
        <w:spacing w:line="360" w:lineRule="auto"/>
        <w:rPr>
          <w:rFonts w:asciiTheme="majorBidi" w:hAnsiTheme="majorBidi" w:cstheme="majorBidi"/>
          <w:sz w:val="28"/>
          <w:szCs w:val="28"/>
          <w:rtl/>
        </w:rPr>
      </w:pPr>
      <w:r>
        <w:rPr>
          <w:rFonts w:asciiTheme="majorBidi" w:hAnsiTheme="majorBidi" w:cstheme="majorBidi" w:hint="cs"/>
          <w:sz w:val="28"/>
          <w:szCs w:val="28"/>
          <w:rtl/>
        </w:rPr>
        <w:t xml:space="preserve">تمهيد: </w:t>
      </w:r>
    </w:p>
    <w:p w14:paraId="5076FB83" w14:textId="77777777" w:rsidR="006F53A1" w:rsidRPr="00E154C9" w:rsidRDefault="006F53A1" w:rsidP="006F53A1">
      <w:pPr>
        <w:spacing w:line="360" w:lineRule="auto"/>
        <w:rPr>
          <w:rFonts w:asciiTheme="majorBidi" w:hAnsiTheme="majorBidi" w:cstheme="majorBidi"/>
          <w:sz w:val="28"/>
          <w:szCs w:val="28"/>
        </w:rPr>
      </w:pPr>
      <w:r w:rsidRPr="006F53A1">
        <w:rPr>
          <w:rFonts w:asciiTheme="majorBidi" w:hAnsiTheme="majorBidi" w:cstheme="majorBidi"/>
          <w:sz w:val="28"/>
          <w:szCs w:val="28"/>
          <w:rtl/>
        </w:rPr>
        <w:t>يمثل الوعي المجتمعي بالأمراض العصبية المزمنة إحدى الركائز الأساسية للوقاية والتشخيص المبكر وتحسين جودة حياة المصابين، خصوصًا في ظل ما تتسم به هذه الأمراض من طبيعة معقدة ومزمنة تتطلب فهمًا دقيقًا ومتابعة مستمرة. ولأن الإعلام هو الواجهة الأوسع لتشكيل وعي الأفراد، فقد أصبح الإعلام الرقمي – بتطوره السريع – أداة فعالة في نشر المعرفة حول هذه الأمراض، وتحفيز الأفراد على التفاعل معها طبيًا وإنسانيًا، بما في ذلك في المملكة العربية السعودية، حيث أسهمت الحملات الرقمية والتثقيفية المتنوعة في تغيير الكثير من المفاهيم الخاطئة، ورفع مستوى الوعي المجتمعي</w:t>
      </w:r>
      <w:r w:rsidRPr="006F53A1">
        <w:rPr>
          <w:rFonts w:asciiTheme="majorBidi" w:hAnsiTheme="majorBidi" w:cstheme="majorBidi"/>
          <w:sz w:val="28"/>
          <w:szCs w:val="28"/>
        </w:rPr>
        <w:t>.</w:t>
      </w:r>
    </w:p>
    <w:p w14:paraId="7F9BBCB5"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تُعد الأمراض العصبية مثل الزهايمر، التصلب اللويحي، الباركنسون، والصرع من الحالات الصحية التي يُحيط بها الكثير من الغموض في أوساط الجمهور، خصوصًا في المجتمعات المحافظة أو تلك التي لم تتعامل مع هذه الأمراض بصورة مباشرة. وغالبًا ما ترتبط هذه الأمراض بتصورات مغلوطة مثل اعتبارها من علامات "الجنون" أو "الضعف العقلي" أو الخرافات الشعبية، مما يؤدي إلى عزوف بعض الأسر عن الإفصاح عن إصابة أحد أفرادها أو تأخير التشخيص. ومن هنا تأتي أهمية الإعلام في إعادة تشكيل الصورة الذهنية لهذه الأمراض لدى الجمهور، وتقديم معلومات دقيقة وعلمية مبسطة تفكك هذه التصورات، وتُعزز من التعاطف والفهم المجتمعي (شلابي وآخرون، 2021)</w:t>
      </w:r>
      <w:r w:rsidRPr="00E154C9">
        <w:rPr>
          <w:rFonts w:asciiTheme="majorBidi" w:hAnsiTheme="majorBidi" w:cstheme="majorBidi"/>
          <w:sz w:val="28"/>
          <w:szCs w:val="28"/>
        </w:rPr>
        <w:t>.</w:t>
      </w:r>
    </w:p>
    <w:p w14:paraId="14A37015"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لقد شهدت المملكة العربية السعودية تطورًا ملحوظًا في مستوى الوعي المجتمعي بالأمراض العصبية بفضل تنامي استخدام الإعلام الرقمي في تقديم محتوى صحي متخصص. وقد أطلقت العديد من الجهات الرسمية وغير الرسمية حملات رقمية للتعريف بالأمراض العصبية، تضمنت فيديوهات توعوية، مقابلات مع مختصين، قصص نجاح لمرضى، ومواد مصورة تشرح أعراض هذه الأمراض، وآليات الوقاية منها، وطرق التعايش معها. ومن أبرز هذه المبادرات حملة "ذكّرهم" التي نظمتها الجمعية السعودية لمرض الزهايمر، والتي ركزت على أهمية الكشف المبكر والدعم الأسري للمصابين، ونجحت الحملة في الوصول إلى فئات متعددة من المجتمع عبر منصات التواصل، مستفيدة من الدعم الإعلامي والشراكات المجتمعية</w:t>
      </w:r>
      <w:r w:rsidRPr="00E154C9">
        <w:rPr>
          <w:rFonts w:asciiTheme="majorBidi" w:hAnsiTheme="majorBidi" w:cstheme="majorBidi"/>
          <w:sz w:val="28"/>
          <w:szCs w:val="28"/>
        </w:rPr>
        <w:t>.</w:t>
      </w:r>
    </w:p>
    <w:p w14:paraId="5D0F8090"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إن مساهمة الإعلام في رفع مستوى الوعي بالأمراض العصبية في السعودية لم تقتصر على المؤسسات الرسمية فحسب، بل شملت أيضًا جهود المؤثرين الرقميين، والمتخصصين في المجال الطبي، الذين استخدموا حساباتهم الشخصية لنشر الوعي بين متابعيهم. وقد اتضح أن الجمهور يتفاعل بدرجة أكبر مع </w:t>
      </w:r>
      <w:r w:rsidRPr="00E154C9">
        <w:rPr>
          <w:rFonts w:asciiTheme="majorBidi" w:hAnsiTheme="majorBidi" w:cstheme="majorBidi"/>
          <w:sz w:val="28"/>
          <w:szCs w:val="28"/>
          <w:rtl/>
        </w:rPr>
        <w:lastRenderedPageBreak/>
        <w:t>الرسائل الصحية عندما تصدر من شخصيات مألوفة وذات مصداقية، لا سيما إذا كانت مدعومة بقصص حقيقية أو بلغة قريبة من المستخدم. وقد أكد (حسانين وآخرون، 2021) أن التأثير الإنساني المباشر للمحتوى الرقمي يُعد أحد أقوى العوامل في تحسين المعرفة الصحية، خصوصًا في المواضيع ذات الحساسية المجتمعية مثل الأمراض العصبية</w:t>
      </w:r>
      <w:r w:rsidRPr="00E154C9">
        <w:rPr>
          <w:rFonts w:asciiTheme="majorBidi" w:hAnsiTheme="majorBidi" w:cstheme="majorBidi"/>
          <w:sz w:val="28"/>
          <w:szCs w:val="28"/>
        </w:rPr>
        <w:t>.</w:t>
      </w:r>
    </w:p>
    <w:p w14:paraId="36C3F139"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تتميز الحملات الرقمية الناجحة بقدرتها على تقديم المحتوى العلمي بطريقة مرئية وجذابة تسهم في تثبيت المعلومة وتحفيز السلوك الواعي. فعلى سبيل المثال، تُعد مقاطع الفيديو التوعوية القصيرة التي تنتجها وزارة الصحة السعودية وسيلة فعالة لتثقيف مختلف فئات المجتمع، حيث تتناول مواضيع مثل التصلب اللويحي وأعراضه، وضرورة المراجعة الطبية في حال ظهور علامات التحذير. كما تُساهم هذه المواد في إزالة الوصمة المرتبطة ببعض الأمراض، مثل الصرع، الذي ظل لفترة طويلة محاطًا بكثير من الأفكار المغلوطة. ومن خلال تكرار الرسائل الصحية، وتنوع منصات العرض، أصبح الجمهور السعودي أكثر قدرة على التمييز بين الأساطير والحقائق العلمية المتعلقة بهذه الحالات</w:t>
      </w:r>
      <w:r w:rsidRPr="00E154C9">
        <w:rPr>
          <w:rFonts w:asciiTheme="majorBidi" w:hAnsiTheme="majorBidi" w:cstheme="majorBidi"/>
          <w:sz w:val="28"/>
          <w:szCs w:val="28"/>
        </w:rPr>
        <w:t>.</w:t>
      </w:r>
    </w:p>
    <w:p w14:paraId="1609FA8A"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رغم هذا التقدم، إلا أن قياس مستوى الوعي الفعلي لدى السعوديين بالأمراض العصبية يُظهر تفاوتًا بين فئات المجتمع المختلفة. فبينما نجد أن فئة الشباب، والمتعلمين، وسكان المدن الكبرى يتمتعون بوعي أعلى نسبيًا، فإن بعض الفئات الأخرى، ككبار السن، أو من يسكنون في المناطق الطرفية أو الأقل نموًا، قد لا يمتلكون نفس القدر من المعرفة، إما بسبب ضعف الولوج إلى الوسائل الرقمية، أو بسبب محدودية التعرض لحملات التوعية. وتُظهر بعض الدراسات المحلية أن الفجوة في المعرفة لا تزال قائمة فيما يخص فهم طبيعة الأمراض العصبية، وطرق التعامل معها، مما يستدعي استراتيجيات إعلامية أكثر شمولًا وتخصصًا في مخاطبة هذه الفئات</w:t>
      </w:r>
      <w:r w:rsidRPr="00E154C9">
        <w:rPr>
          <w:rFonts w:asciiTheme="majorBidi" w:hAnsiTheme="majorBidi" w:cstheme="majorBidi"/>
          <w:sz w:val="28"/>
          <w:szCs w:val="28"/>
        </w:rPr>
        <w:t>.</w:t>
      </w:r>
    </w:p>
    <w:p w14:paraId="17DD4A04"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ومن الجوانب الإيجابية في التجربة السعودية، أن الإعلام الصحي الرقمي لم يكتفِ بتقديم المعلومات العامة، بل بدأ بالتركيز على التخصص الدقيق، مثل التوعية بمرض التصلب المتعدد لدى الشباب، أو التركيز على أهمية الدعم النفسي لمقدمي الرعاية لمرضى الزهايمر. وقد ساعد هذا التوجه المتقدم على رفع مستوى الإدراك العميق بطبيعة المرض، وتوضيح الأبعاد الاجتماعية والنفسية المصاحبة له، ما يعني تجاوز مرحلة التثقيف الأساسي إلى بناء فهم شامل يُسهم في تقبل المرض والتعامل معه بشكل إنساني وطبي. وقد أظهرت الدراسات أن مثل هذا النوع من الإعلام يُنتج أثرًا طويل الأمد في تحسين جودة حياة المريض وأسرته (شلابي وآخرون، 2021)</w:t>
      </w:r>
      <w:r w:rsidRPr="00E154C9">
        <w:rPr>
          <w:rFonts w:asciiTheme="majorBidi" w:hAnsiTheme="majorBidi" w:cstheme="majorBidi"/>
          <w:sz w:val="28"/>
          <w:szCs w:val="28"/>
        </w:rPr>
        <w:t>.</w:t>
      </w:r>
    </w:p>
    <w:p w14:paraId="0C01B8FC" w14:textId="77777777" w:rsidR="006F53A1" w:rsidRPr="00E154C9"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من جهة أخرى، لا تزال هناك حاجة لمزيد من التكامل بين الإعلام الرقمي والقطاع الصحي في تعزيز رسائل التوعية بالأمراض العصبية. فعلى الرغم من تعدد المبادرات، إلا أن غياب منصة وطنية موحدة لتجميع المحتوى الصحي المرتبط بهذه الأمراض يُعد تحديًا، خاصة بالنسبة للأشخاص الباحثين عن مصادر دقيقة وموثوقة. كما أن بعض الحملات تعاني من قصر المدة الزمنية، أو ضعف الاستمرارية، ما يُقلل من أثرها التراكمي في تشكيل الوعي المجتمعي. ولهذا، فإن إنشاء بنوك معلومات رقمية دائمة، ومواقع تفاعلية متخصصة، ومحتوى تعليمي متعدد اللغات واللهجات، يمكن أن يسد هذه الفجوة ويوفر مرجعية موثوقة للمرضى والأسر والمهتمين</w:t>
      </w:r>
      <w:r w:rsidRPr="00E154C9">
        <w:rPr>
          <w:rFonts w:asciiTheme="majorBidi" w:hAnsiTheme="majorBidi" w:cstheme="majorBidi"/>
          <w:sz w:val="28"/>
          <w:szCs w:val="28"/>
        </w:rPr>
        <w:t>.</w:t>
      </w:r>
    </w:p>
    <w:p w14:paraId="392265F4" w14:textId="77777777" w:rsidR="006F53A1" w:rsidRPr="006F53A1" w:rsidRDefault="006F53A1" w:rsidP="006F53A1">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وبالإضافة إلى الإعلام الرقمي، يلعب الإعلام التقليدي، مثل التلفزيون والإذاعة، دورًا داعمًا ومكملًا في إيصال الرسائل الصحية المتعلقة بالأمراض العصبية، خصوصًا للفئات غير المتصلة رقميًا. وقد تعاونت بعض القنوات السعودية مع الجمعيات الطبية في بث برامج تثقيفية وحوارات مباشرة مع المختصين، مما ساهم في توسيع دائرة التأثير ونقل المعرفة من النطاق النخبوي إلى الشرائح الأوسع من المجتمع. هذا الدمج بين الإعلام الرقمي والتقليدي يُعد استراتيجية فعالة في ضمان شمولية الرسائل الصحية ووصولها إلى كل </w:t>
      </w:r>
      <w:r w:rsidRPr="006F53A1">
        <w:rPr>
          <w:rFonts w:asciiTheme="majorBidi" w:hAnsiTheme="majorBidi" w:cstheme="majorBidi"/>
          <w:sz w:val="28"/>
          <w:szCs w:val="28"/>
          <w:rtl/>
        </w:rPr>
        <w:t>شرائح المجتمع</w:t>
      </w:r>
      <w:r w:rsidRPr="006F53A1">
        <w:rPr>
          <w:rFonts w:asciiTheme="majorBidi" w:hAnsiTheme="majorBidi" w:cstheme="majorBidi"/>
          <w:sz w:val="28"/>
          <w:szCs w:val="28"/>
        </w:rPr>
        <w:t>.</w:t>
      </w:r>
    </w:p>
    <w:p w14:paraId="77AE0346" w14:textId="03B98E2C" w:rsidR="006F53A1" w:rsidRPr="00E154C9" w:rsidRDefault="006F53A1" w:rsidP="006F53A1">
      <w:pPr>
        <w:spacing w:line="360" w:lineRule="auto"/>
        <w:rPr>
          <w:rFonts w:asciiTheme="majorBidi" w:hAnsiTheme="majorBidi" w:cstheme="majorBidi"/>
          <w:sz w:val="28"/>
          <w:szCs w:val="28"/>
          <w:rtl/>
        </w:rPr>
      </w:pPr>
      <w:r w:rsidRPr="006F53A1">
        <w:rPr>
          <w:rFonts w:asciiTheme="majorBidi" w:hAnsiTheme="majorBidi" w:cstheme="majorBidi" w:hint="cs"/>
          <w:sz w:val="28"/>
          <w:szCs w:val="28"/>
          <w:u w:val="single"/>
          <w:shd w:val="clear" w:color="auto" w:fill="F2CEED" w:themeFill="accent5" w:themeFillTint="33"/>
          <w:rtl/>
        </w:rPr>
        <w:t>رؤية الباحث</w:t>
      </w:r>
      <w:r>
        <w:rPr>
          <w:rFonts w:asciiTheme="majorBidi" w:hAnsiTheme="majorBidi" w:cstheme="majorBidi" w:hint="cs"/>
          <w:sz w:val="28"/>
          <w:szCs w:val="28"/>
          <w:u w:val="single"/>
          <w:shd w:val="clear" w:color="auto" w:fill="F2CEED" w:themeFill="accent5" w:themeFillTint="33"/>
          <w:rtl/>
        </w:rPr>
        <w:t>ة:</w:t>
      </w:r>
      <w:r w:rsidRPr="006F53A1">
        <w:rPr>
          <w:rFonts w:asciiTheme="majorBidi" w:hAnsiTheme="majorBidi" w:cstheme="majorBidi"/>
          <w:sz w:val="28"/>
          <w:szCs w:val="28"/>
          <w:rtl/>
        </w:rPr>
        <w:t xml:space="preserve"> يتبين أن الإعلام، خاصة الرقمي منه، يُمثل أحد أهم الأدوات التي رفعت مستوى الوعي في السعودية حول الأمراض العصبية، وأسهمت في كسر حاجز الصمت المرتبط بهذه الحالات، وفتحت المجال للنقاش العام والتفاعل المجتمعي معها. وقد تحقق ذلك من خلال التفاعل اليومي مع محتوى طبي مدروس، ومبادرات مجتمعية إلكترونية، وتعاون مؤسسي بين وزارة الصحة والجمعيات التخصصية والمؤثرين. ومع ذلك، فإن تعزيز هذا الدور يقتضي بناء استراتيجية وطنية مستدامة في التوعية الصحية الرقمية، تكون فيها الأمراض العصبية أولوية، ويتم من خلالها تطوير محتوى شامل، تفاعلي، ومتنوع، يخاطب كل فئات المجتمع بلغة مفهومة وقنوات قريبة منهم</w:t>
      </w:r>
      <w:r w:rsidRPr="006F53A1">
        <w:rPr>
          <w:rFonts w:asciiTheme="majorBidi" w:hAnsiTheme="majorBidi" w:cstheme="majorBidi"/>
          <w:sz w:val="28"/>
          <w:szCs w:val="28"/>
        </w:rPr>
        <w:t>.</w:t>
      </w:r>
    </w:p>
    <w:p w14:paraId="7BEEE519" w14:textId="77777777" w:rsidR="00BE4D43" w:rsidRPr="00E154C9" w:rsidRDefault="00BE4D43" w:rsidP="00BE4D43">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t>المطلب الثالث: التحديات الثقافية والمجتمعية أمام التوعية</w:t>
      </w:r>
    </w:p>
    <w:p w14:paraId="16D7DDC8"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تمثل التوعية الصحية عبر الإعلام الرقمي ركيزة محورية في جهود تحسين الوعي المجتمعي، لا سيما في ما يتعلق بالأمراض العصبية التي تتطلب فهماً دقيقاً وتعاطفًا مجتمعيًا طويل الأمد. ومع ما تحقق من تقدم كبير في السعودية في مجالات التقنية الطبية والإعلام الرقمي الصحي، إلا أن هناك مجموعة من التحديات الثقافية والمجتمعية التي لا تزال تشكل عائقًا أمام وصول رسائل التوعية إلى جميع فئات المجتمع، أو أمام تقبل تلك </w:t>
      </w:r>
      <w:r w:rsidRPr="00E154C9">
        <w:rPr>
          <w:rFonts w:asciiTheme="majorBidi" w:hAnsiTheme="majorBidi" w:cstheme="majorBidi"/>
          <w:sz w:val="28"/>
          <w:szCs w:val="28"/>
          <w:rtl/>
        </w:rPr>
        <w:lastRenderedPageBreak/>
        <w:t>الرسائل وفهمها على النحو المطلوب. وتُعد معالجة هذه التحديات شرطًا أساسيًا لتحقيق فعالية الإعلام الصحي الرقمي واستدامته</w:t>
      </w:r>
      <w:r w:rsidRPr="00E154C9">
        <w:rPr>
          <w:rFonts w:asciiTheme="majorBidi" w:hAnsiTheme="majorBidi" w:cstheme="majorBidi"/>
          <w:sz w:val="28"/>
          <w:szCs w:val="28"/>
        </w:rPr>
        <w:t>.</w:t>
      </w:r>
    </w:p>
    <w:p w14:paraId="7263F222"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من أبرز هذه التحديات استمرار بعض المعتقدات المجتمعية الخاطئة حول طبيعة الأمراض العصبية. ففي العديد من الأوساط، لا تزال هناك نظرة تقليدية تربط هذه الأمراض بمفاهيم سلبية، مثل الجنون أو "المسّ"، أو تعتبرها خرافة أو قدرًا لا يُمكن تغييره، مما يؤدي إلى تقليل أهمية التوعية أو حتى رفض الخضوع للعلاج أو التشخيص المبكر. وقد أشار (شلابي وآخرون، 2021) إلى أن الموروث الثقافي في بعض المجتمعات العربية يعيق إدراك الأفراد لطبيعة الأمراض العصبية بوصفها أمراضًا عضوية قابلة للمتابعة الطبية مثل غيرها من الحالات المزمنة، وهو ما يتطلب خطابًا توعويًا حساسًا ثقافيًا قادرًا على تفكيك هذه التصورات</w:t>
      </w:r>
      <w:r w:rsidRPr="00E154C9">
        <w:rPr>
          <w:rFonts w:asciiTheme="majorBidi" w:hAnsiTheme="majorBidi" w:cstheme="majorBidi"/>
          <w:sz w:val="28"/>
          <w:szCs w:val="28"/>
        </w:rPr>
        <w:t>.</w:t>
      </w:r>
    </w:p>
    <w:p w14:paraId="7F4CF031"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كذلك، يشكل الخجل المجتمعي والوصمة المرتبطة بالإصابة بالأمراض العصبية عائقًا جوهريًا أمام التصريح بالحالة أو السعي للمساعدة. كثير من الأسر تتردد في الإفصاح عن وجود مريض في العائلة يعاني من الزهايمر أو الصرع، خوفًا من نظرة المجتمع أو من التقليل من شأن الأسرة. هذا التردد يؤخر التفاعل مع المحتوى التوعوي أو المشاركة في الحملات الصحية، ويعزز العزلة المجتمعية للمرضى. ويُلاحظ أن هذه الظاهرة تتركز في البيئات التقليدية أو المحافظة، حيث لا تزال المفاهيم المتعلقة بالصحة النفسية والعصبية غير منفصلة بشكل واضح عن المفاهيم الأخلاقية أو الاجتماعية. وقد أكد (حسانين وآخرون، 2021) أن أحد أكبر التحديات أمام التثقيف الصحي هو كسر حاجز الصمت الاجتماعي، وتطبيع الحديث عن الأمراض العصبية في الأوساط العامة، وهو دور يجب أن يتصدى له الإعلام الصحي الرقمي بذكاء واستمرارية</w:t>
      </w:r>
      <w:r w:rsidRPr="00E154C9">
        <w:rPr>
          <w:rFonts w:asciiTheme="majorBidi" w:hAnsiTheme="majorBidi" w:cstheme="majorBidi"/>
          <w:sz w:val="28"/>
          <w:szCs w:val="28"/>
        </w:rPr>
        <w:t>.</w:t>
      </w:r>
    </w:p>
    <w:p w14:paraId="45A792F1"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من التحديات أيضًا الفجوة المعرفية بين الأجيال في التعامل مع المعلومات الصحية الرقمية. فبينما تنجذب فئة الشباب بسهولة إلى الإعلام الصحي الرقمي، وتُظهر قدرة أكبر على التفاعل مع المحتوى الجديد، قد يُظهر كبار السن تحفظًا أو عزوفًا عن تلقي المعلومات الصحية من الإنترنت، بسبب ضعف المهارات الرقمية أو انعدام الثقة في المصادر غير التقليدية. هذا التفاوت يؤدي إلى محدودية تأثير حملات التوعية الصحية في الفئات العمرية المتقدمة، والتي غالبًا ما تكون أكثر عرضة للأمراض العصبية المزمنة. لذا فإن أحد التحديات الثقافية المهمة يتمثل في كيفية تكييف الرسائل الصحية لتكون ملائمة لمختلف المستويات التعليمية والثقافية والرقمية، مع ضمان وصولها بعدالة وفعالية</w:t>
      </w:r>
      <w:r w:rsidRPr="00E154C9">
        <w:rPr>
          <w:rFonts w:asciiTheme="majorBidi" w:hAnsiTheme="majorBidi" w:cstheme="majorBidi"/>
          <w:sz w:val="28"/>
          <w:szCs w:val="28"/>
        </w:rPr>
        <w:t>.</w:t>
      </w:r>
    </w:p>
    <w:p w14:paraId="48BD0D3A"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إضافة إلى ما سبق، هناك تحدٍّ متعلق باللغة ونمط الخطاب المستخدم في الحملات الرقمية. فالخطاب الطبي المتخصص قد يكون معقدًا أو غير مفهوم لفئات واسعة من الجمهور، خصوصًا إذا لم يُصغ بلغة مبسطة أو </w:t>
      </w:r>
      <w:r w:rsidRPr="00E154C9">
        <w:rPr>
          <w:rFonts w:asciiTheme="majorBidi" w:hAnsiTheme="majorBidi" w:cstheme="majorBidi"/>
          <w:sz w:val="28"/>
          <w:szCs w:val="28"/>
          <w:rtl/>
        </w:rPr>
        <w:lastRenderedPageBreak/>
        <w:t>إذا خلا من التمثيلات البصرية أو القصص الواقعية التي تقرّب المفاهيم. وقد يُعزز ذلك من التباعد بين المرسل والمتلقي، ويجعل الرسائل الصحية أقل تأثيرًا، خصوصًا حين تُبث في قوالب جامدة أو بتكرار دون تحديث. ويؤكد (شلابي وآخرون، 2021) أن فعالية الخطاب الصحي ترتبط ارتباطًا وثيقًا بمدى مواءمته للواقع الثقافي والاجتماعي للمتلقي، وإلا فإنه يتحول إلى خطاب نخبوي لا يلامس حياة الناس اليومية ولا يحفزهم على التغيير</w:t>
      </w:r>
      <w:r w:rsidRPr="00E154C9">
        <w:rPr>
          <w:rFonts w:asciiTheme="majorBidi" w:hAnsiTheme="majorBidi" w:cstheme="majorBidi"/>
          <w:sz w:val="28"/>
          <w:szCs w:val="28"/>
        </w:rPr>
        <w:t>.</w:t>
      </w:r>
    </w:p>
    <w:p w14:paraId="17B15692"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كذلك، يُعد ضعف التثقيف الصحي العام في المناهج التعليمية من العوامل الثقافية التي تعيق فاعلية الإعلام الرقمي في التوعية، حيث لم يتم دمج التربية الصحية والتفكير النقدي الطبي ضمن البرامج الدراسية الأساسية، ما يؤدي إلى نشوء أجيال لا تمتلك أدوات تحليل المعلومات الصحية أو التعامل مع المحتوى الرقمي المتخصص. وفي ظل هذا النقص، تصبح الرسائل الصحية الرقمية غير كافية لوحدها، وتُطالب بدور مضاعف لتعويض النقص المعرفي الأساسي في المجتمع. ولهذا، لا يمكن فصل التحديات الثقافية عن السياسات التعليمية بعيدة المدى، حيث ينبغي تنمية الوعي الصحي منذ المراحل المدرسية الأولى، ودمجه ضمن الثقافة العامة للمجتمع</w:t>
      </w:r>
      <w:r w:rsidRPr="00E154C9">
        <w:rPr>
          <w:rFonts w:asciiTheme="majorBidi" w:hAnsiTheme="majorBidi" w:cstheme="majorBidi"/>
          <w:sz w:val="28"/>
          <w:szCs w:val="28"/>
        </w:rPr>
        <w:t>.</w:t>
      </w:r>
    </w:p>
    <w:p w14:paraId="0952D31E"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من زاوية أخرى، فإن الحواجز الجندرية تُعد من التحديات المجتمعية الملموسة، إذ قد تتردد بعض النساء في البحث عن معلومات طبية أو المشاركة في حملات توعية علنية، خاصة في مواضيع حساسة تتعلق بالدماغ أو الصحة النفسية، ما لم يكن هناك محتوى موجه خصوصًا للمرأة، ويأخذ في الاعتبار الخصوصية الثقافية والاجتماعية. ومع أن السعودية شهدت تحسنًا كبيرًا في انخراط المرأة في المجالات الصحية والإعلامية، إلا أن بعض الفئات النسائية لا تزال تعاني من نقص المعلومات الموجهة، أو من ضعف تمثيلها في المحتوى الصحي الرقمي، الأمر الذي يتطلب إدماج المنظور الجندري في التخطيط الإعلامي الصحي</w:t>
      </w:r>
      <w:r w:rsidRPr="00E154C9">
        <w:rPr>
          <w:rFonts w:asciiTheme="majorBidi" w:hAnsiTheme="majorBidi" w:cstheme="majorBidi"/>
          <w:sz w:val="28"/>
          <w:szCs w:val="28"/>
        </w:rPr>
        <w:t>.</w:t>
      </w:r>
    </w:p>
    <w:p w14:paraId="4979E297"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تجدر الإشارة أيضًا إلى أن بعض التحديات الثقافية تأتي من المفارقة بين المعلومات الطبية الحديثة وبين بعض الممارسات التقليدية أو الشعبية المنتشرة في المجتمع، مثل الاعتماد على الأعشاب أو الرقية بوصفها بدائل للعلاج الطبي. هذه المفاهيم، التي غالبًا ما يتم تداولها عبر القنوات الشعبية أو منصات غير رسمية، تخلق تضاربًا في الفهم لدى المواطن، وتُضعف من ثقته في الطب الحديث. ولهذا، فإن الإعلام الرقمي الصحي مطالب بتفنيد هذه الممارسات بلغة علمية غير تصادمية، تُحترم فيها ثقافة المتلقي، مع بيان الأضرار المحتملة والإرشاد إلى الحلول الطبية المثبتة</w:t>
      </w:r>
      <w:r w:rsidRPr="00E154C9">
        <w:rPr>
          <w:rFonts w:asciiTheme="majorBidi" w:hAnsiTheme="majorBidi" w:cstheme="majorBidi"/>
          <w:sz w:val="28"/>
          <w:szCs w:val="28"/>
        </w:rPr>
        <w:t>.</w:t>
      </w:r>
    </w:p>
    <w:p w14:paraId="63F699A3"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كذلك، هناك تحديات مجتمعية مرتبطة بضعف التشبيك بين الجهات المختلفة التي تقدم المحتوى الصحي الرقمي. ففي بعض الأحيان، تُطلق حملات توعية من جهات حكومية أو جمعيات خيرية أو مؤسسات إعلامية، لكن دون تنسيق موحد أو استراتيجية مشتركة، مما يؤدي إلى تكرار الرسائل أو تشتيت الجمهور بين مصادر مختلفة، وأحيانًا متضاربة. هذا التباين يُقلل من أثر الرسائل الصحية الرقمية، ويُضعف من الثقة فيها. لذا فإن أحد الحلول المقترحة لمواجهة هذا التحدي هو بناء شراكات إعلامية صحية موحدة، تُنتج محتوى متكاملًا، وتوزعه عبر قنوات متنوعة مع ضمان المصداقية والاتساق</w:t>
      </w:r>
      <w:r w:rsidRPr="00E154C9">
        <w:rPr>
          <w:rFonts w:asciiTheme="majorBidi" w:hAnsiTheme="majorBidi" w:cstheme="majorBidi"/>
          <w:sz w:val="28"/>
          <w:szCs w:val="28"/>
        </w:rPr>
        <w:t>.</w:t>
      </w:r>
    </w:p>
    <w:p w14:paraId="0670F9CE" w14:textId="27514C25" w:rsidR="00BE4D43" w:rsidRPr="00E154C9" w:rsidRDefault="00BE4D43" w:rsidP="00BE4D43">
      <w:pPr>
        <w:spacing w:line="360" w:lineRule="auto"/>
        <w:rPr>
          <w:rFonts w:asciiTheme="majorBidi" w:hAnsiTheme="majorBidi" w:cstheme="majorBidi"/>
          <w:sz w:val="28"/>
          <w:szCs w:val="28"/>
          <w:rtl/>
        </w:rPr>
      </w:pPr>
      <w:r w:rsidRPr="00BE4D43">
        <w:rPr>
          <w:rFonts w:asciiTheme="majorBidi" w:hAnsiTheme="majorBidi" w:cstheme="majorBidi" w:hint="cs"/>
          <w:sz w:val="28"/>
          <w:szCs w:val="28"/>
          <w:u w:val="single"/>
          <w:shd w:val="clear" w:color="auto" w:fill="F2CEED" w:themeFill="accent5" w:themeFillTint="33"/>
          <w:rtl/>
        </w:rPr>
        <w:t>رؤية الباحث</w:t>
      </w:r>
      <w:r>
        <w:rPr>
          <w:rFonts w:asciiTheme="majorBidi" w:hAnsiTheme="majorBidi" w:cstheme="majorBidi" w:hint="cs"/>
          <w:sz w:val="28"/>
          <w:szCs w:val="28"/>
          <w:u w:val="single"/>
          <w:shd w:val="clear" w:color="auto" w:fill="F2CEED" w:themeFill="accent5" w:themeFillTint="33"/>
          <w:rtl/>
        </w:rPr>
        <w:t xml:space="preserve">ة: </w:t>
      </w:r>
      <w:r w:rsidRPr="00BE4D43">
        <w:rPr>
          <w:rFonts w:asciiTheme="majorBidi" w:hAnsiTheme="majorBidi" w:cstheme="majorBidi"/>
          <w:sz w:val="28"/>
          <w:szCs w:val="28"/>
          <w:rtl/>
        </w:rPr>
        <w:t xml:space="preserve"> فإن استمرار هذه التحديات دون مواجهتها بوعي مؤسسي سيؤثر سلبًا على أي استراتيجية وطنية في مجال التوعية، خصوصًا فيما يتعلق بالأمراض المزمنة والعصبية. إن بناء بيئة إعلامية صحية رقمية ناجحة في المجتمع السعودي يتطلب فهمًا عميقًا للمحددات الثقافية والاجتماعية، وتكييف الرسائل بحسب السياق المحلي، واستثمار الثقة الاجتماعية في الرموز المؤثرة، وتعزيز الشراكة بين الدولة والمجتمع المدني والمؤسسات الدينية والتعليمية. فقط عندها يمكن القول إن الإعلام الصحي الرقمي استطاع أن يتجاوز التحديات، ويُحدث التأثير المطلوب في السلوك الصحي والمعرفي للفرد والمجتمع</w:t>
      </w:r>
      <w:r w:rsidRPr="00BE4D43">
        <w:rPr>
          <w:rFonts w:asciiTheme="majorBidi" w:hAnsiTheme="majorBidi" w:cstheme="majorBidi"/>
          <w:sz w:val="28"/>
          <w:szCs w:val="28"/>
        </w:rPr>
        <w:t>.</w:t>
      </w:r>
    </w:p>
    <w:p w14:paraId="1CE8CBDC" w14:textId="77777777" w:rsidR="00BE4D43" w:rsidRPr="00E154C9" w:rsidRDefault="00BE4D43" w:rsidP="00BE4D43">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t>المطلب الرابع: آفاق تطوير التوعية الصحية الرقمية في السعودية</w:t>
      </w:r>
    </w:p>
    <w:p w14:paraId="29E1678D"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تتمثل آفاق تطوير التوعية الصحية الرقمية في السعودية في فرص متعددة تستند إلى الإنجازات الكبيرة التي حققتها المملكة في مجال التحول الرقمي، إلى جانب الجهود المستمرة التي تبذلها الجهات الرسمية والأهلية لتعزيز الوعي الصحي بين أفراد المجتمع. فمع ازدياد الاعتماد على التكنولوجيا الرقمية في الحياة اليومية، وانفتاح الجمهور على منصات التواصل الاجتماعي، أصبح بإمكان التوعية الصحية الرقمية أن تلعب دورًا محوريًا في تعزيز الصحة العامة، والوقاية من الأمراض، وتحسين جودة الحياة. ولتحقيق هذه الآفاق الواعدة، يجب النظر إلى التطوير من منظورات متعددة تشمل البنية التحتية الرقمية، المحتوى الإعلامي، الشراكات المؤسسية، وتكامل الجهود المجتمعية</w:t>
      </w:r>
      <w:r w:rsidRPr="00E154C9">
        <w:rPr>
          <w:rFonts w:asciiTheme="majorBidi" w:hAnsiTheme="majorBidi" w:cstheme="majorBidi"/>
          <w:sz w:val="28"/>
          <w:szCs w:val="28"/>
        </w:rPr>
        <w:t>.</w:t>
      </w:r>
    </w:p>
    <w:p w14:paraId="474E61A4"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أولاً، تتيح البنية التحتية الرقمية المتقدمة التي تمتلكها السعودية، بفضل رؤية 2030، قاعدة صلبة لتطوير التوعية الصحية الرقمية. فقد عملت المملكة على تحديث شبكات الاتصالات، وتوسيع انتشار الإنترنت عالي السرعة، ودعم تطبيقات الهواتف الذكية الصحية، مثل تطبيق "صحتي" و"توكلنا"، مما يسهل الوصول إلى المعلومات الصحية في أي وقت ومكان. ومع تطوير هذه البنية، يمكن توسيع نطاق خدمات التوعية لتشمل </w:t>
      </w:r>
      <w:r w:rsidRPr="00E154C9">
        <w:rPr>
          <w:rFonts w:asciiTheme="majorBidi" w:hAnsiTheme="majorBidi" w:cstheme="majorBidi"/>
          <w:sz w:val="28"/>
          <w:szCs w:val="28"/>
          <w:rtl/>
        </w:rPr>
        <w:lastRenderedPageBreak/>
        <w:t>ميزات أكثر تفاعلية، مثل الواقع الافتراضي، والذكاء الاصطناعي، والمساعدات الصوتية، والتي تُعزز من تجربة المستخدم وتجعل التعلم الصحي أكثر جاذبية وفاعلية (شلابي وآخرون، 2021)</w:t>
      </w:r>
      <w:r w:rsidRPr="00E154C9">
        <w:rPr>
          <w:rFonts w:asciiTheme="majorBidi" w:hAnsiTheme="majorBidi" w:cstheme="majorBidi"/>
          <w:sz w:val="28"/>
          <w:szCs w:val="28"/>
        </w:rPr>
        <w:t>.</w:t>
      </w:r>
    </w:p>
    <w:p w14:paraId="29188A2E"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ثانيًا، يتطلب تطوير التوعية الصحية الرقمية التركيز على إنتاج محتوى إعلامي صحي عالي الجودة، متنوع، وملائم لمختلف الفئات العمرية والثقافية في السعودية. ويشمل ذلك تبني أساليب سرد قصصي تستخدم تجارب واقعية للمرضى وأسرهم، وتوظيف الرسوم التوضيحية والفيديوهات القصيرة، واستخدام اللغة العربية الفصحى إلى جانب اللهجات المحلية لضمان فهم أوسع. كما ينبغي أن يدمج المحتوى التثقيفي تكنولوجيا التخصيص، بحيث يتم توجيه الرسائل الصحية بحسب احتياجات كل فرد وحالته الصحية، مما يزيد من احتمالية استجابة المتلقي وتبني سلوكيات صحية إيجابية (حسانين وآخرون، 2021)</w:t>
      </w:r>
      <w:r w:rsidRPr="00E154C9">
        <w:rPr>
          <w:rFonts w:asciiTheme="majorBidi" w:hAnsiTheme="majorBidi" w:cstheme="majorBidi"/>
          <w:sz w:val="28"/>
          <w:szCs w:val="28"/>
        </w:rPr>
        <w:t>.</w:t>
      </w:r>
    </w:p>
    <w:p w14:paraId="2D79CE7E"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ثالثًا، تُعد الشراكات بين القطاع الحكومي، والمؤسسات الصحية، والجامعات، والقطاع الخاص، وأصحاب التأثير الرقمي من أهم المحاور لتطوير التوعية الصحية الرقمية. فالتنسيق بين هذه الجهات يتيح توحيد الرسائل، وتبادل الموارد والخبرات، وتوسيع نطاق الوصول، بالإضافة إلى خلق حملات صحية شاملة وفعالة. وتُظهر التجارب العالمية أن التعاون بين هذه القطاعات يحقق نتائج أفضل من الجهود المنفردة، ولهذا فإن تطوير منصات إلكترونية مشتركة تجمع المحتوى الصحي الرسمي مع المبادرات الأهلية يُعد من الخطوات الاستراتيجية التي يمكن اعتمادها لتعزيز التوعية (شلابي وآخرون، 2021)</w:t>
      </w:r>
      <w:r w:rsidRPr="00E154C9">
        <w:rPr>
          <w:rFonts w:asciiTheme="majorBidi" w:hAnsiTheme="majorBidi" w:cstheme="majorBidi"/>
          <w:sz w:val="28"/>
          <w:szCs w:val="28"/>
        </w:rPr>
        <w:t>.</w:t>
      </w:r>
    </w:p>
    <w:p w14:paraId="34F39210"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رابعًا، يعد الاستثمار في تدريب الكوادر المختصة في الإعلام الصحي الرقمي ضرورة حتمية. فالتطور التكنولوجي السريع يستدعي تمكين العاملين في القطاع الصحي من مهارات التواصل الرقمي، وإنتاج المحتوى، وإدارة الحملات الإلكترونية، وتحليل البيانات الرقمية لفهم سلوك الجمهور. كما يجب تشجيع الشباب السعودي على المشاركة في هذه المجالات، عبر برامج تعليمية متخصصة، ومسابقات تشجع الابتكار في مجال الإعلام الصحي، الأمر الذي يُسهم في خلق جيل جديد من المنتسبين للإعلام الصحي قادر على مواكبة التطورات الحديثة وتلبية احتياجات المجتمع المتغيرة (حسانين وآخرون، 2021)</w:t>
      </w:r>
      <w:r w:rsidRPr="00E154C9">
        <w:rPr>
          <w:rFonts w:asciiTheme="majorBidi" w:hAnsiTheme="majorBidi" w:cstheme="majorBidi"/>
          <w:sz w:val="28"/>
          <w:szCs w:val="28"/>
        </w:rPr>
        <w:t>.</w:t>
      </w:r>
    </w:p>
    <w:p w14:paraId="7F3744ED"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خامسًا، يشكل تعزيز الثقافة الصحية الرقمية لدى أفراد المجتمع هدفًا مركزيًا في آفاق التطوير. فبالإضافة إلى توفير المحتوى الرقمي، لا بد من تعزيز قدرة المستخدمين على التفاعل معه بشكل نقدي، وتمكينهم من التمييز بين المعلومات الصحية الدقيقة والمغلوطة، وهو ما يتطلب برامج تعليمية رقمية توعوية تدمج التفكير النقدي، ومعايير تقييم المصادر الصحية، واستخدام التكنولوجيا بشكل آمن ومسؤول. ويعزز ذلك من فعالية </w:t>
      </w:r>
      <w:r w:rsidRPr="00E154C9">
        <w:rPr>
          <w:rFonts w:asciiTheme="majorBidi" w:hAnsiTheme="majorBidi" w:cstheme="majorBidi"/>
          <w:sz w:val="28"/>
          <w:szCs w:val="28"/>
          <w:rtl/>
        </w:rPr>
        <w:lastRenderedPageBreak/>
        <w:t>التوعية، ويقلل من أثر التضليل والمعلومات المغلوطة التي قد تنتشر عبر وسائل التواصل الاجتماعي (شلابي وآخرون، 2021)</w:t>
      </w:r>
      <w:r w:rsidRPr="00E154C9">
        <w:rPr>
          <w:rFonts w:asciiTheme="majorBidi" w:hAnsiTheme="majorBidi" w:cstheme="majorBidi"/>
          <w:sz w:val="28"/>
          <w:szCs w:val="28"/>
        </w:rPr>
        <w:t>.</w:t>
      </w:r>
    </w:p>
    <w:p w14:paraId="065C457E"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سادسًا، يُمثل الدمج بين الإعلام الرقمي ووسائل الإعلام التقليدية آفاقًا جديدة لتطوير التوعية الصحية في السعودية. فبينما يتجه الكثير من الشباب إلى المنصات الرقمية، لا تزال قنوات التلفزيون والإذاعة تحظى بنسبة مشاهدة عالية بين الفئات العمرية الأكبر، والأقاليم التي قد تعاني من ضعف التغطية الرقمية. لذا فإن تبني استراتيجية إعلامية متكاملة، تجمع بين مختلف الوسائل، وتُكيّف الرسائل وفق طبيعة الجمهور، يضمن شمولية التوعية وانتشارها بشكل أوسع (حسانين وآخرون، 2021)</w:t>
      </w:r>
      <w:r w:rsidRPr="00E154C9">
        <w:rPr>
          <w:rFonts w:asciiTheme="majorBidi" w:hAnsiTheme="majorBidi" w:cstheme="majorBidi"/>
          <w:sz w:val="28"/>
          <w:szCs w:val="28"/>
        </w:rPr>
        <w:t>.</w:t>
      </w:r>
    </w:p>
    <w:p w14:paraId="1CE29CF6"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سابعًا، تبرز أهمية استخدام أدوات التحليل الرقمي والبيانات الكبيرة</w:t>
      </w:r>
      <w:r w:rsidRPr="00E154C9">
        <w:rPr>
          <w:rFonts w:asciiTheme="majorBidi" w:hAnsiTheme="majorBidi" w:cstheme="majorBidi"/>
          <w:sz w:val="28"/>
          <w:szCs w:val="28"/>
        </w:rPr>
        <w:t xml:space="preserve"> (Big Data) </w:t>
      </w:r>
      <w:r w:rsidRPr="00E154C9">
        <w:rPr>
          <w:rFonts w:asciiTheme="majorBidi" w:hAnsiTheme="majorBidi" w:cstheme="majorBidi"/>
          <w:sz w:val="28"/>
          <w:szCs w:val="28"/>
          <w:rtl/>
        </w:rPr>
        <w:t>في قياس فعالية حملات التوعية الصحية الرقمية، وفهم سلوك المستخدمين، وتوجيه الجهود بشكل أكثر دقة. فمع توفر تقنيات الذكاء الاصطناعي وتحليل البيانات، يمكن تحديد الفئات الأكثر حاجة للتوعية، تتبع أنماط التفاعل مع المحتوى، تقييم مدى تحقيق الأهداف الصحية، وتطوير رسائل تستجيب للتغيرات السلوكية والاجتماعية. ويتيح هذا النهج تحسين مستمر للحملات، مما يؤدي إلى زيادة تأثير التوعية وتقليل التكاليف (شلابي وآخرون، 2021)</w:t>
      </w:r>
      <w:r w:rsidRPr="00E154C9">
        <w:rPr>
          <w:rFonts w:asciiTheme="majorBidi" w:hAnsiTheme="majorBidi" w:cstheme="majorBidi"/>
          <w:sz w:val="28"/>
          <w:szCs w:val="28"/>
        </w:rPr>
        <w:t>.</w:t>
      </w:r>
    </w:p>
    <w:p w14:paraId="3CAC46F5"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ثامنًا، يمكن توسيع آفاق تطوير التوعية الصحية الرقمية عبر دعم البحث العلمي المحلي في مجال الإعلام الصحي الرقمي، ودراسة أثر الوسائط المختلفة على السلوك الصحي، وتطوير نماذج فعالة للتوعية. فالأبحاث الميدانية تساعد على فهم الخصوصيات الثقافية والاجتماعية للمجتمع السعودي، وبالتالي تصميم حملات تراعي هذه الخصوصيات، وتكون أكثر تأثيرًا واستدامة. ويمكن تعزيز هذا الجانب عبر شراكات بين الجامعات، والمراكز البحثية، ووزارة الصحة، ومؤسسات الإعلام الرقمي (حسانين وآخرون، 2021)</w:t>
      </w:r>
      <w:r w:rsidRPr="00E154C9">
        <w:rPr>
          <w:rFonts w:asciiTheme="majorBidi" w:hAnsiTheme="majorBidi" w:cstheme="majorBidi"/>
          <w:sz w:val="28"/>
          <w:szCs w:val="28"/>
        </w:rPr>
        <w:t>.</w:t>
      </w:r>
    </w:p>
    <w:p w14:paraId="382B0AAF"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تاسعًا، إن توسيع مشاركة المجتمع المدني، والجمعيات الصحية، والمبادرات التطوعية في مجال التوعية الصحية الرقمية يُعتبر من العوامل التي تفتح آفاقًا جديدة للتطوير. إذ تمثل هذه الجهات جسرًا بين المؤسسات الرسمية والجمهور، وهي قادرة على نقل الرسائل الصحية بأساليب مرنة وشخصية، تزيد من تقبل المجتمع لها. كما أن إشراك المرضى وأسرهم في إنتاج المحتوى الرقمي، من خلال سرد تجاربهم، أو المشاركة في الحملات التوعوية، يعزز من مصداقية الرسائل، ويحفز الآخرين على التفاعل والمشاركة (شلابي وآخرون، 2021)</w:t>
      </w:r>
      <w:r w:rsidRPr="00E154C9">
        <w:rPr>
          <w:rFonts w:asciiTheme="majorBidi" w:hAnsiTheme="majorBidi" w:cstheme="majorBidi"/>
          <w:sz w:val="28"/>
          <w:szCs w:val="28"/>
        </w:rPr>
        <w:t>.</w:t>
      </w:r>
    </w:p>
    <w:p w14:paraId="6645A1B5"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عاشرًا، لا يمكن إغفال الأبعاد الأخلاقية والقانونية في تطوير التوعية الصحية الرقمية. فمع ازدياد كمية المعلومات الصحية المتداولة إلكترونيًا، تبرز الحاجة إلى وضع ضوابط واضحة لحماية خصوصية المستخدمين، وضمان دقة المعلومات، ومنع الترويج غير القانوني للعلاجات أو المنتجات الطبية. ويجب أن تضمن الأطر القانونية والتنظيمية حماية المستخدم من الاستغلال، مع توفير بيئة صحية رقمية آمنة ومحترمة تضمن الحقوق وتدعم المسؤولية (حسانين وآخرون، 2021)</w:t>
      </w:r>
      <w:r w:rsidRPr="00E154C9">
        <w:rPr>
          <w:rFonts w:asciiTheme="majorBidi" w:hAnsiTheme="majorBidi" w:cstheme="majorBidi"/>
          <w:sz w:val="28"/>
          <w:szCs w:val="28"/>
        </w:rPr>
        <w:t>.</w:t>
      </w:r>
    </w:p>
    <w:p w14:paraId="18597732" w14:textId="77777777" w:rsidR="00BE4D43" w:rsidRDefault="00BE4D43" w:rsidP="00BE4D43">
      <w:pPr>
        <w:spacing w:line="360" w:lineRule="auto"/>
        <w:rPr>
          <w:rFonts w:asciiTheme="majorBidi" w:hAnsiTheme="majorBidi" w:cstheme="majorBidi"/>
          <w:sz w:val="28"/>
          <w:szCs w:val="28"/>
          <w:rtl/>
        </w:rPr>
      </w:pPr>
      <w:r w:rsidRPr="00BE4D43">
        <w:rPr>
          <w:rFonts w:asciiTheme="majorBidi" w:hAnsiTheme="majorBidi" w:cstheme="majorBidi" w:hint="cs"/>
          <w:sz w:val="28"/>
          <w:szCs w:val="28"/>
          <w:u w:val="single"/>
          <w:shd w:val="clear" w:color="auto" w:fill="F2CEED" w:themeFill="accent5" w:themeFillTint="33"/>
          <w:rtl/>
        </w:rPr>
        <w:t>رؤية الباحثة:</w:t>
      </w:r>
      <w:r w:rsidRPr="00BE4D43">
        <w:rPr>
          <w:rFonts w:asciiTheme="majorBidi" w:hAnsiTheme="majorBidi" w:cstheme="majorBidi"/>
          <w:sz w:val="28"/>
          <w:szCs w:val="28"/>
          <w:rtl/>
        </w:rPr>
        <w:t xml:space="preserve"> تفتح آفاق تطوير التوعية الصحية الرقمية في السعودية مجالًا واسعًا لتحقيق نقلة نوعية في الصحة العامة، من خلال الاستفادة من التقدم التقني، وتطوير المحتوى الإعلامي، وتعزيز الشراكات المؤسسية، وتمكين المجتمع، ودمج الأبحاث العلمية، وضمان الأمان القانوني والأخلاقي. ومع تنفيذ استراتيجية وطنية شاملة تراعي هذه الجوانب، يمكن أن تصبح السعودية نموذجًا رائدًا في العالم العربي والعالم في مجال الإعلام الصحي الرقمي، قادرًا على مواجهة تحديات الصحة المعاصرة، ورفع مستوى الوعي، وتحفيز السلوك الصحي الإيجابي بين جميع فئات المجتمع</w:t>
      </w:r>
      <w:r w:rsidRPr="00BE4D43">
        <w:rPr>
          <w:rFonts w:asciiTheme="majorBidi" w:hAnsiTheme="majorBidi" w:cstheme="majorBidi"/>
          <w:sz w:val="28"/>
          <w:szCs w:val="28"/>
        </w:rPr>
        <w:t>.</w:t>
      </w:r>
    </w:p>
    <w:p w14:paraId="5A449D6F" w14:textId="77777777" w:rsidR="0008625B" w:rsidRDefault="0008625B" w:rsidP="00BE4D43">
      <w:pPr>
        <w:spacing w:line="360" w:lineRule="auto"/>
        <w:rPr>
          <w:rFonts w:asciiTheme="majorBidi" w:hAnsiTheme="majorBidi" w:cstheme="majorBidi"/>
          <w:sz w:val="28"/>
          <w:szCs w:val="28"/>
          <w:rtl/>
        </w:rPr>
      </w:pPr>
    </w:p>
    <w:p w14:paraId="04157E9A" w14:textId="77777777" w:rsidR="0008625B" w:rsidRDefault="0008625B" w:rsidP="00BE4D43">
      <w:pPr>
        <w:spacing w:line="360" w:lineRule="auto"/>
        <w:rPr>
          <w:rFonts w:asciiTheme="majorBidi" w:hAnsiTheme="majorBidi" w:cstheme="majorBidi"/>
          <w:sz w:val="28"/>
          <w:szCs w:val="28"/>
          <w:rtl/>
        </w:rPr>
      </w:pPr>
    </w:p>
    <w:p w14:paraId="59A94FA2" w14:textId="77777777" w:rsidR="0008625B" w:rsidRDefault="0008625B" w:rsidP="00BE4D43">
      <w:pPr>
        <w:spacing w:line="360" w:lineRule="auto"/>
        <w:rPr>
          <w:rFonts w:asciiTheme="majorBidi" w:hAnsiTheme="majorBidi" w:cstheme="majorBidi"/>
          <w:sz w:val="28"/>
          <w:szCs w:val="28"/>
          <w:rtl/>
        </w:rPr>
      </w:pPr>
    </w:p>
    <w:p w14:paraId="50D9BCA5" w14:textId="77777777" w:rsidR="0008625B" w:rsidRDefault="0008625B" w:rsidP="00BE4D43">
      <w:pPr>
        <w:spacing w:line="360" w:lineRule="auto"/>
        <w:rPr>
          <w:rFonts w:asciiTheme="majorBidi" w:hAnsiTheme="majorBidi" w:cstheme="majorBidi"/>
          <w:sz w:val="28"/>
          <w:szCs w:val="28"/>
          <w:rtl/>
        </w:rPr>
      </w:pPr>
    </w:p>
    <w:p w14:paraId="0AB449B6" w14:textId="77777777" w:rsidR="0008625B" w:rsidRDefault="0008625B" w:rsidP="00BE4D43">
      <w:pPr>
        <w:spacing w:line="360" w:lineRule="auto"/>
        <w:rPr>
          <w:rFonts w:asciiTheme="majorBidi" w:hAnsiTheme="majorBidi" w:cstheme="majorBidi"/>
          <w:sz w:val="28"/>
          <w:szCs w:val="28"/>
          <w:rtl/>
        </w:rPr>
      </w:pPr>
    </w:p>
    <w:p w14:paraId="5FF4A02F" w14:textId="77777777" w:rsidR="0008625B" w:rsidRDefault="0008625B" w:rsidP="00BE4D43">
      <w:pPr>
        <w:spacing w:line="360" w:lineRule="auto"/>
        <w:rPr>
          <w:rFonts w:asciiTheme="majorBidi" w:hAnsiTheme="majorBidi" w:cstheme="majorBidi"/>
          <w:sz w:val="28"/>
          <w:szCs w:val="28"/>
          <w:rtl/>
        </w:rPr>
      </w:pPr>
    </w:p>
    <w:p w14:paraId="36CF528B" w14:textId="77777777" w:rsidR="0008625B" w:rsidRDefault="0008625B" w:rsidP="00BE4D43">
      <w:pPr>
        <w:spacing w:line="360" w:lineRule="auto"/>
        <w:rPr>
          <w:rFonts w:asciiTheme="majorBidi" w:hAnsiTheme="majorBidi" w:cstheme="majorBidi"/>
          <w:sz w:val="28"/>
          <w:szCs w:val="28"/>
          <w:rtl/>
        </w:rPr>
      </w:pPr>
    </w:p>
    <w:p w14:paraId="39E62AA9" w14:textId="77777777" w:rsidR="0008625B" w:rsidRDefault="0008625B" w:rsidP="00BE4D43">
      <w:pPr>
        <w:spacing w:line="360" w:lineRule="auto"/>
        <w:rPr>
          <w:rFonts w:asciiTheme="majorBidi" w:hAnsiTheme="majorBidi" w:cstheme="majorBidi"/>
          <w:sz w:val="28"/>
          <w:szCs w:val="28"/>
          <w:rtl/>
        </w:rPr>
      </w:pPr>
    </w:p>
    <w:p w14:paraId="599AB6A4" w14:textId="77777777" w:rsidR="0008625B" w:rsidRDefault="0008625B" w:rsidP="00BE4D43">
      <w:pPr>
        <w:spacing w:line="360" w:lineRule="auto"/>
        <w:rPr>
          <w:rFonts w:asciiTheme="majorBidi" w:hAnsiTheme="majorBidi" w:cstheme="majorBidi"/>
          <w:sz w:val="28"/>
          <w:szCs w:val="28"/>
          <w:rtl/>
        </w:rPr>
      </w:pPr>
    </w:p>
    <w:p w14:paraId="67046823" w14:textId="77777777" w:rsidR="0008625B" w:rsidRDefault="0008625B" w:rsidP="00BE4D43">
      <w:pPr>
        <w:spacing w:line="360" w:lineRule="auto"/>
        <w:rPr>
          <w:rFonts w:asciiTheme="majorBidi" w:hAnsiTheme="majorBidi" w:cstheme="majorBidi"/>
          <w:sz w:val="28"/>
          <w:szCs w:val="28"/>
          <w:rtl/>
        </w:rPr>
      </w:pPr>
    </w:p>
    <w:p w14:paraId="60FD3A25" w14:textId="77777777" w:rsidR="0008625B" w:rsidRPr="00E154C9" w:rsidRDefault="0008625B" w:rsidP="00BE4D43">
      <w:pPr>
        <w:spacing w:line="360" w:lineRule="auto"/>
        <w:rPr>
          <w:rFonts w:asciiTheme="majorBidi" w:hAnsiTheme="majorBidi" w:cstheme="majorBidi"/>
          <w:sz w:val="28"/>
          <w:szCs w:val="28"/>
          <w:rtl/>
        </w:rPr>
      </w:pPr>
    </w:p>
    <w:p w14:paraId="444769A8" w14:textId="77777777" w:rsidR="00BE4D43" w:rsidRPr="00E154C9" w:rsidRDefault="00BE4D43" w:rsidP="00BE4D43">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lang w:bidi="ar-EG"/>
        </w:rPr>
        <w:lastRenderedPageBreak/>
        <w:t>النظريات التي يعتمد عليها البحث</w:t>
      </w:r>
    </w:p>
    <w:p w14:paraId="02AD1E03" w14:textId="77777777" w:rsidR="00BE4D43" w:rsidRPr="00E154C9" w:rsidRDefault="00BE4D43" w:rsidP="00BE4D43">
      <w:pPr>
        <w:spacing w:line="360" w:lineRule="auto"/>
        <w:rPr>
          <w:rFonts w:asciiTheme="majorBidi" w:hAnsiTheme="majorBidi" w:cstheme="majorBidi"/>
          <w:b/>
          <w:bCs/>
          <w:sz w:val="28"/>
          <w:szCs w:val="28"/>
          <w:rtl/>
        </w:rPr>
      </w:pPr>
      <w:r>
        <w:rPr>
          <w:rFonts w:asciiTheme="majorBidi" w:hAnsiTheme="majorBidi" w:cstheme="majorBidi"/>
          <w:b/>
          <w:bCs/>
          <w:sz w:val="28"/>
          <w:szCs w:val="28"/>
          <w:rtl/>
        </w:rPr>
        <w:t>أولا: نظرية الاستخدامات وال</w:t>
      </w:r>
      <w:r>
        <w:rPr>
          <w:rFonts w:asciiTheme="majorBidi" w:hAnsiTheme="majorBidi" w:cstheme="majorBidi" w:hint="cs"/>
          <w:b/>
          <w:bCs/>
          <w:sz w:val="28"/>
          <w:szCs w:val="28"/>
          <w:rtl/>
        </w:rPr>
        <w:t>إ</w:t>
      </w:r>
      <w:r w:rsidRPr="00E154C9">
        <w:rPr>
          <w:rFonts w:asciiTheme="majorBidi" w:hAnsiTheme="majorBidi" w:cstheme="majorBidi"/>
          <w:b/>
          <w:bCs/>
          <w:sz w:val="28"/>
          <w:szCs w:val="28"/>
          <w:rtl/>
        </w:rPr>
        <w:t>شباعات</w:t>
      </w:r>
    </w:p>
    <w:p w14:paraId="4665139C" w14:textId="77777777" w:rsidR="00BE4D43" w:rsidRPr="00E154C9" w:rsidRDefault="00BE4D43" w:rsidP="00BE4D43">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t>مفهوم نظرية الاستخدامات والإشباعات</w:t>
      </w:r>
    </w:p>
    <w:p w14:paraId="2EAE1C32" w14:textId="77777777" w:rsidR="00BE4D43" w:rsidRPr="00E154C9" w:rsidRDefault="00BE4D43" w:rsidP="00BE4D43">
      <w:pPr>
        <w:spacing w:line="360" w:lineRule="auto"/>
        <w:rPr>
          <w:rFonts w:asciiTheme="majorBidi" w:hAnsiTheme="majorBidi" w:cstheme="majorBidi"/>
          <w:sz w:val="28"/>
          <w:szCs w:val="28"/>
          <w:rtl/>
        </w:rPr>
      </w:pPr>
      <w:r w:rsidRPr="00E154C9">
        <w:rPr>
          <w:rFonts w:asciiTheme="majorBidi" w:hAnsiTheme="majorBidi" w:cstheme="majorBidi"/>
          <w:sz w:val="28"/>
          <w:szCs w:val="28"/>
          <w:rtl/>
        </w:rPr>
        <w:t>تُعد نظرية الاستخدامات والإشباعات</w:t>
      </w:r>
      <w:r w:rsidRPr="00E154C9">
        <w:rPr>
          <w:rFonts w:asciiTheme="majorBidi" w:hAnsiTheme="majorBidi" w:cstheme="majorBidi"/>
          <w:sz w:val="28"/>
          <w:szCs w:val="28"/>
        </w:rPr>
        <w:t xml:space="preserve"> (Uses and Gratifications Theory) </w:t>
      </w:r>
      <w:r w:rsidRPr="00E154C9">
        <w:rPr>
          <w:rFonts w:asciiTheme="majorBidi" w:hAnsiTheme="majorBidi" w:cstheme="majorBidi"/>
          <w:sz w:val="28"/>
          <w:szCs w:val="28"/>
          <w:rtl/>
        </w:rPr>
        <w:t>من أهم النظريات التي اهتمت بدراسة العلاقة بين الجمهور ووسائل الإعلام، حيث انتقلت الدراسة من التركيز على تأثير وسائل الإعلام بشكل مباشر على المتلقي إلى التركيز على دوافع الجمهور نفسه في استخدام تلك الوسائل. تنطلق النظرية من فرضية أن الجمهور ليس سلبيًا أو مجرد متلقٍ للمحتوى الإعلامي، بل هو فاعل ونشط في اختيار الوسائل التي تحقق له حاجاته المختلفة، سواء كانت معرفية أو اجتماعية أو ترفيهية أو عاطفية (طالة ولامية، 2022)</w:t>
      </w:r>
      <w:r w:rsidRPr="00E154C9">
        <w:rPr>
          <w:rFonts w:asciiTheme="majorBidi" w:hAnsiTheme="majorBidi" w:cstheme="majorBidi"/>
          <w:sz w:val="28"/>
          <w:szCs w:val="28"/>
        </w:rPr>
        <w:t>.</w:t>
      </w:r>
    </w:p>
    <w:p w14:paraId="687C7072" w14:textId="77777777" w:rsidR="00BE4D43" w:rsidRPr="00E154C9" w:rsidRDefault="00BE4D43" w:rsidP="00BE4D43">
      <w:pPr>
        <w:spacing w:line="360" w:lineRule="auto"/>
        <w:rPr>
          <w:rFonts w:asciiTheme="majorBidi" w:hAnsiTheme="majorBidi" w:cstheme="majorBidi"/>
          <w:sz w:val="28"/>
          <w:szCs w:val="28"/>
        </w:rPr>
      </w:pPr>
      <w:r w:rsidRPr="00E154C9">
        <w:rPr>
          <w:rFonts w:asciiTheme="majorBidi" w:hAnsiTheme="majorBidi" w:cstheme="majorBidi"/>
          <w:sz w:val="28"/>
          <w:szCs w:val="28"/>
          <w:rtl/>
        </w:rPr>
        <w:t>تؤكد النظرية على أن الأفراد يسعون لاستخدام الوسائط الإعلامية بهدف تحقيق إشباعات محددة تلبي حاجاتهم المتنوعة. هذه الحاجات تتراوح بين الرغبة في الحصول على معلومات جديدة، التسلية، الهروب من الواقع، تعزيز العلاقات الاجتماعية، أو حتى البحث عن الهوية الذاتية. ولهذا، فإن استخدام الوسيلة الإعلامية يختلف باختلاف الأفراد وباختلاف السياق الاجتماعي والثقافي الذي يعيشون فيه (حفيظة البراشدية والظفري، 2020)</w:t>
      </w:r>
      <w:r w:rsidRPr="00E154C9">
        <w:rPr>
          <w:rFonts w:asciiTheme="majorBidi" w:hAnsiTheme="majorBidi" w:cstheme="majorBidi"/>
          <w:sz w:val="28"/>
          <w:szCs w:val="28"/>
        </w:rPr>
        <w:t>.</w:t>
      </w:r>
    </w:p>
    <w:p w14:paraId="5CF279D9"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واحدة من السمات الأساسية لهذه النظرية هي أنها تعطي الجمهور دورًا نشطًا في عملية الاتصال، حيث يختار الجمهور ما يناسبه من وسائل الإعلام ويرفض ما لا يناسبه، كما يمكنه التنقل بين وسائط متعددة لتحقيق إشباعات مختلفة. هذه النظرة تخالف النظريات التقليدية التي كانت تعتبر الجمهور مستهلكًا سلبيًا للرسائل الإعلامية دون قدرة على التأثير أو الاختيار (ليلى علي جمعه، 2021).</w:t>
      </w:r>
    </w:p>
    <w:p w14:paraId="5D3961AE"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كما تسلط النظرية الضوء على تعدد الأهداف التي يمكن أن يسعى الجمهور لتحقيقها من خلال استخدام وسائل الإعلام، فلا يقتصر الهدف على تلقي المعلومات فقط، بل يتعداه إلى المشاركة الاجتماعية والتفاعل مع المحتوى والتأثير في الرأي العام. ومن ثم، فإن الوسائط الإعلامية الحديثة، لا سيما الرقمية منها، تلعب دورًا كبيرًا في توفير فضاءات تتيح هذا التفاعل والتواصل (السعدي وجابر، 2024)</w:t>
      </w:r>
      <w:r w:rsidRPr="00E154C9">
        <w:rPr>
          <w:rFonts w:asciiTheme="majorBidi" w:hAnsiTheme="majorBidi" w:cstheme="majorBidi"/>
          <w:sz w:val="28"/>
          <w:szCs w:val="28"/>
        </w:rPr>
        <w:t>.</w:t>
      </w:r>
    </w:p>
    <w:p w14:paraId="7D6546F8"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وقد طبقت النظرية بشكل واسع في دراسات متعلقة باستخدام الشباب لوسائل التواصل الاجتماعي، حيث توضح أن المستخدمين يبحثون عن إشباعات معرفية مثل التعلم وزيادة المعرفة، وأيضًا إشباعات اجتماعية عبر التفاعل مع الآخرين، بالإضافة إلى إشباعات نفسية متعلقة بالترفيه والتسلية (طوالبه وأحمد، 2021)</w:t>
      </w:r>
      <w:r w:rsidRPr="00E154C9">
        <w:rPr>
          <w:rFonts w:asciiTheme="majorBidi" w:hAnsiTheme="majorBidi" w:cstheme="majorBidi"/>
          <w:sz w:val="28"/>
          <w:szCs w:val="28"/>
        </w:rPr>
        <w:t>.</w:t>
      </w:r>
    </w:p>
    <w:p w14:paraId="3160947A"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في سياق الإعلام الرقمي والتوعية الصحية، تبرز أهمية هذه النظرية في تفسير كيف يمكن للأفراد في المجتمع السعودي أن يستخدموا المنصات الرقمية المختلفة للحصول على معلومات صحية، خاصة المتعلقة بالأمراض العصبية المزمنة. فالفرد هنا لا يتلقى المحتوى فقط، بل يختار ما يناسبه من محتوى، ويبحث عن إشباعات مثل التوعية، الدعم النفسي، أو حتى مشاركة تجاربه مع المرض (د. سعيد شاهين علاني وآخرون، 2024)</w:t>
      </w:r>
      <w:r w:rsidRPr="00E154C9">
        <w:rPr>
          <w:rFonts w:asciiTheme="majorBidi" w:hAnsiTheme="majorBidi" w:cstheme="majorBidi"/>
          <w:sz w:val="28"/>
          <w:szCs w:val="28"/>
        </w:rPr>
        <w:t>.</w:t>
      </w:r>
    </w:p>
    <w:p w14:paraId="612CD3E0"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من هنا، تصبح نظرية الاستخدامات والإشباعات أداة قوية لتحليل وفهم السلوك الإعلامي للأفراد تجاه المحتوى الصحي الرقمي، لأنها تتيح رؤية أكثر شمولًا لدوافع الاستخدام وتأثيراتها، مع مراعاة الخصوصيات الثقافية والاجتماعية للمجتمع المعني (حفيظة البراشدية والظفري، 2020).</w:t>
      </w:r>
    </w:p>
    <w:p w14:paraId="0FC92420"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وفي الختام، تلعب هذه النظرية دورًا مهمًا في تصميم استراتيجيات إعلامية صحية رقمية فعالة، إذ تفترض أن نجاح هذه الاستراتيجيات يتوقف على قدرتها في تلبية حاجات الجمهور وإشباع رغباتهم المختلفة، مما يعزز من التفاعل ويزيد من فرص تحقيق التوعية المرجوة في مجال الأمراض العصبية المزمنة (ليلى علي جمعه، 2021)</w:t>
      </w:r>
      <w:r w:rsidRPr="00E154C9">
        <w:rPr>
          <w:rFonts w:asciiTheme="majorBidi" w:hAnsiTheme="majorBidi" w:cstheme="majorBidi"/>
          <w:sz w:val="28"/>
          <w:szCs w:val="28"/>
        </w:rPr>
        <w:t>.</w:t>
      </w:r>
    </w:p>
    <w:p w14:paraId="327B9ABF"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b/>
          <w:bCs/>
          <w:sz w:val="28"/>
          <w:szCs w:val="28"/>
          <w:rtl/>
        </w:rPr>
        <w:t>نشأة النظرية وأبرز روادها</w:t>
      </w:r>
    </w:p>
    <w:p w14:paraId="4AEC50ED" w14:textId="77777777" w:rsidR="0008625B" w:rsidRPr="00E154C9" w:rsidRDefault="0008625B" w:rsidP="0008625B">
      <w:pPr>
        <w:spacing w:line="360" w:lineRule="auto"/>
        <w:rPr>
          <w:rFonts w:asciiTheme="majorBidi" w:hAnsiTheme="majorBidi" w:cstheme="majorBidi"/>
          <w:sz w:val="28"/>
          <w:szCs w:val="28"/>
          <w:rtl/>
        </w:rPr>
      </w:pPr>
      <w:r w:rsidRPr="00E154C9">
        <w:rPr>
          <w:rFonts w:asciiTheme="majorBidi" w:hAnsiTheme="majorBidi" w:cstheme="majorBidi"/>
          <w:sz w:val="28"/>
          <w:szCs w:val="28"/>
          <w:rtl/>
        </w:rPr>
        <w:t>تعود جذور نظرية الاستخدامات والإشباعات إلى منتصف القرن العشرين، حيث بدأت محاولات فهم سلوك الجمهور تجاه وسائل الإعلام بشكل أكثر تفاعلية ونشاطًا، بعيدًا عن النظريات التي كانت ترى الجمهور كمتلقي سلبي فقط. كانت رد الفعل على النظريات التقليدية، مثل نظرية "الرصاصة السحرية" أو التأثير المباشر، التي افترضت أن الإعلام يؤثر بشكل قوي وفوري على الجمهور دون أن يكون له دور في الاختيار أو الفلترة (طالة ولامية، 2022)</w:t>
      </w:r>
      <w:r w:rsidRPr="00E154C9">
        <w:rPr>
          <w:rFonts w:asciiTheme="majorBidi" w:hAnsiTheme="majorBidi" w:cstheme="majorBidi"/>
          <w:sz w:val="28"/>
          <w:szCs w:val="28"/>
        </w:rPr>
        <w:t>.</w:t>
      </w:r>
    </w:p>
    <w:p w14:paraId="66E96F22"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بدأت النظرية تتبلور رسميًا في خمسينيات وستينيات القرن العشرين، مع دراسة الباحثين الذين أرسوا الأسس النظرية لفهم دوافع الجمهور في استخدام وسائل الإعلام. من أبرز هؤلاء الباحثين</w:t>
      </w:r>
      <w:r w:rsidRPr="00E154C9">
        <w:rPr>
          <w:rFonts w:asciiTheme="majorBidi" w:hAnsiTheme="majorBidi" w:cstheme="majorBidi"/>
          <w:sz w:val="28"/>
          <w:szCs w:val="28"/>
        </w:rPr>
        <w:t xml:space="preserve">: </w:t>
      </w:r>
      <w:r w:rsidRPr="00E154C9">
        <w:rPr>
          <w:rFonts w:asciiTheme="majorBidi" w:hAnsiTheme="majorBidi" w:cstheme="majorBidi"/>
          <w:sz w:val="28"/>
          <w:szCs w:val="28"/>
          <w:rtl/>
        </w:rPr>
        <w:t>إليهو كاتز</w:t>
      </w:r>
      <w:r w:rsidRPr="00E154C9">
        <w:rPr>
          <w:rFonts w:asciiTheme="majorBidi" w:hAnsiTheme="majorBidi" w:cstheme="majorBidi"/>
          <w:sz w:val="28"/>
          <w:szCs w:val="28"/>
        </w:rPr>
        <w:t xml:space="preserve"> (Elihu Katz)</w:t>
      </w:r>
      <w:r w:rsidRPr="00E154C9">
        <w:rPr>
          <w:rFonts w:asciiTheme="majorBidi" w:hAnsiTheme="majorBidi" w:cstheme="majorBidi"/>
          <w:sz w:val="28"/>
          <w:szCs w:val="28"/>
          <w:rtl/>
        </w:rPr>
        <w:t>، وجاي بلوملر</w:t>
      </w:r>
      <w:r w:rsidRPr="00E154C9">
        <w:rPr>
          <w:rFonts w:asciiTheme="majorBidi" w:hAnsiTheme="majorBidi" w:cstheme="majorBidi"/>
          <w:sz w:val="28"/>
          <w:szCs w:val="28"/>
        </w:rPr>
        <w:t xml:space="preserve"> (Jay Blumler)</w:t>
      </w:r>
      <w:r w:rsidRPr="00E154C9">
        <w:rPr>
          <w:rFonts w:asciiTheme="majorBidi" w:hAnsiTheme="majorBidi" w:cstheme="majorBidi"/>
          <w:sz w:val="28"/>
          <w:szCs w:val="28"/>
          <w:rtl/>
        </w:rPr>
        <w:t>، ومايكل جورفيتش</w:t>
      </w:r>
      <w:r w:rsidRPr="00E154C9">
        <w:rPr>
          <w:rFonts w:asciiTheme="majorBidi" w:hAnsiTheme="majorBidi" w:cstheme="majorBidi"/>
          <w:sz w:val="28"/>
          <w:szCs w:val="28"/>
        </w:rPr>
        <w:t xml:space="preserve"> (Michael Gurevitch)</w:t>
      </w:r>
      <w:r w:rsidRPr="00E154C9">
        <w:rPr>
          <w:rFonts w:asciiTheme="majorBidi" w:hAnsiTheme="majorBidi" w:cstheme="majorBidi"/>
          <w:sz w:val="28"/>
          <w:szCs w:val="28"/>
          <w:rtl/>
        </w:rPr>
        <w:t xml:space="preserve">، الذين قدموا إسهامات أساسية في تطوير النظرية وتوضيح مفهوم الجمهور النشط. حيث ركزوا على كيفية استخدام </w:t>
      </w:r>
      <w:r w:rsidRPr="00E154C9">
        <w:rPr>
          <w:rFonts w:asciiTheme="majorBidi" w:hAnsiTheme="majorBidi" w:cstheme="majorBidi"/>
          <w:sz w:val="28"/>
          <w:szCs w:val="28"/>
          <w:rtl/>
        </w:rPr>
        <w:lastRenderedPageBreak/>
        <w:t>الجمهور للإعلام لإشباع حاجاتهم المختلفة، مثل التسلية، المعلومات، والتواصل الاجتماعي (حفيظة البراشدية والظفري، 2020)</w:t>
      </w:r>
      <w:r w:rsidRPr="00E154C9">
        <w:rPr>
          <w:rFonts w:asciiTheme="majorBidi" w:hAnsiTheme="majorBidi" w:cstheme="majorBidi"/>
          <w:sz w:val="28"/>
          <w:szCs w:val="28"/>
        </w:rPr>
        <w:t>.</w:t>
      </w:r>
    </w:p>
    <w:p w14:paraId="24595FCB"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كان عمل كاتز وزملاؤه في جامعة شيكاغو مركزياً في هذه المرحلة، إذ طوروا إطارًا نظريًا جديدًا ينظر إلى الإعلام كأداة تخدم أهدافًا متعددة للجمهور، ولا يُفرض عليهم بشكل سلبي. وقدمت هذه الدراسات أساسًا لفهم كيف يمكن أن تتنوع استخدامات الجمهور حسب الظروف الفردية والاجتماعية والثقافية، مع الإشارة إلى أن الإعلام الرقمي المعاصر يمثل امتدادًا طبيعيًا لهذه النظرية (ليلى علي جمعه، 2021).</w:t>
      </w:r>
    </w:p>
    <w:p w14:paraId="13BCAC91"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ومن أهم مفاهيم النظرية في هذه المرحلة هو </w:t>
      </w:r>
      <w:r w:rsidRPr="00E154C9">
        <w:rPr>
          <w:rFonts w:asciiTheme="majorBidi" w:hAnsiTheme="majorBidi" w:cstheme="majorBidi"/>
          <w:sz w:val="28"/>
          <w:szCs w:val="28"/>
        </w:rPr>
        <w:t>"</w:t>
      </w:r>
      <w:r w:rsidRPr="00E154C9">
        <w:rPr>
          <w:rFonts w:asciiTheme="majorBidi" w:hAnsiTheme="majorBidi" w:cstheme="majorBidi"/>
          <w:sz w:val="28"/>
          <w:szCs w:val="28"/>
          <w:rtl/>
        </w:rPr>
        <w:t>الاحتياجات</w:t>
      </w:r>
      <w:r w:rsidRPr="00E154C9">
        <w:rPr>
          <w:rFonts w:asciiTheme="majorBidi" w:hAnsiTheme="majorBidi" w:cstheme="majorBidi"/>
          <w:sz w:val="28"/>
          <w:szCs w:val="28"/>
        </w:rPr>
        <w:t xml:space="preserve">" </w:t>
      </w:r>
      <w:r w:rsidRPr="00E154C9">
        <w:rPr>
          <w:rFonts w:asciiTheme="majorBidi" w:hAnsiTheme="majorBidi" w:cstheme="majorBidi"/>
          <w:sz w:val="28"/>
          <w:szCs w:val="28"/>
          <w:rtl/>
        </w:rPr>
        <w:t>التي يسعى الجمهور إلى إشباعها من خلال الإعلام، والتي تصنف إلى حاجات معرفية (كالحصول على معلومات)، وحاجات نفسية (مثل الترفيه والهروب)، وحاجات اجتماعية (كالانتماء والمشاركة) (السعدي وجابر، 2024). وتبنى رواد النظرية على هذه التصنيفات لتفسير التنوع في استخدام الوسائط الإعلامية، مما ساهم في فتح المجال لدراسات تطبيقية لاحقة في مجالات متعددة</w:t>
      </w:r>
      <w:r w:rsidRPr="00E154C9">
        <w:rPr>
          <w:rFonts w:asciiTheme="majorBidi" w:hAnsiTheme="majorBidi" w:cstheme="majorBidi"/>
          <w:sz w:val="28"/>
          <w:szCs w:val="28"/>
        </w:rPr>
        <w:t>.</w:t>
      </w:r>
    </w:p>
    <w:p w14:paraId="4834E488"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كما ساهمت النظرية في تحوّل كبير في بحوث الاتصال، حيث أصبحت الأسئلة الرئيسية تدور حول "لماذا يستخدم الجمهور وسائل الإعلام؟" بدلاً من "كيف يؤثر الإعلام على الجمهور؟"، مما أعطى دورًا أكثر فاعلية وتمكينًا للأفراد في السياق الإعلامي (طوالبه وأحمد، 2021)</w:t>
      </w:r>
      <w:r w:rsidRPr="00E154C9">
        <w:rPr>
          <w:rFonts w:asciiTheme="majorBidi" w:hAnsiTheme="majorBidi" w:cstheme="majorBidi"/>
          <w:sz w:val="28"/>
          <w:szCs w:val="28"/>
        </w:rPr>
        <w:t>.</w:t>
      </w:r>
    </w:p>
    <w:p w14:paraId="3030158A"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في الفترات اللاحقة، تطورت النظرية لتواكب التغيرات التقنية والاجتماعية، خصوصًا مع ظهور الإنترنت ووسائل التواصل الاجتماعي، التي أضافت أبعادًا جديدة للتفاعل بين الجمهور والوسائط الإعلامية، وجعلت الجمهور أكثر قدرة على الانتقاء والتفاعل وتكوين المحتوى (د. سعيد شاهين علاني وآخرون، 2024)</w:t>
      </w:r>
      <w:r w:rsidRPr="00E154C9">
        <w:rPr>
          <w:rFonts w:asciiTheme="majorBidi" w:hAnsiTheme="majorBidi" w:cstheme="majorBidi"/>
          <w:sz w:val="28"/>
          <w:szCs w:val="28"/>
        </w:rPr>
        <w:t>.</w:t>
      </w:r>
    </w:p>
    <w:p w14:paraId="3FB72AB2"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بالتالي، يُنظر إلى كاتز، بلوملر، وجورفيتش كرواد النظرية الذين ساهموا في بناء الإطار النظري القوي الذي يستمر في تفسير سلوك الجمهور الإعلامي حتى اليوم، خصوصًا في ظل التحولات المتسارعة للإعلام الرقمي. وقد وضعت أبحاثهم الأساس لفهم كيفية استفادة المجتمعات، مثل المجتمع السعودي، من الإعلام الرقمي في مجالات مثل التوعية الصحية بالأمراض العصبية المزمنة (حفيظة البراشدية والظفري، 2020).</w:t>
      </w:r>
    </w:p>
    <w:p w14:paraId="70EDC727"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حيث تُعتبر نظرية الاستخدامات والإشباعات نموذجًا متكاملاً يُمكّن الباحثين من دراسة التفاعل الإعلامي ضمن سياقات متعددة، معتمدةً على دور الجمهور النشط في تحقيق الإشباعات التي تلبي حاجاتهم المختلفة، وهو ما يمثل أساسًا هامًا لتحليل استراتيجيات الإعلام الرقمي الصحي في العصر الحديث (ليلى علي جمعه، 2021)</w:t>
      </w:r>
      <w:r w:rsidRPr="00E154C9">
        <w:rPr>
          <w:rFonts w:asciiTheme="majorBidi" w:hAnsiTheme="majorBidi" w:cstheme="majorBidi"/>
          <w:sz w:val="28"/>
          <w:szCs w:val="28"/>
        </w:rPr>
        <w:t>.</w:t>
      </w:r>
    </w:p>
    <w:p w14:paraId="6CFE10DC" w14:textId="77777777" w:rsidR="0008625B" w:rsidRPr="00E154C9" w:rsidRDefault="0008625B" w:rsidP="0008625B">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lastRenderedPageBreak/>
        <w:t>الافتراضات الأساسية لنظرية الاستخدامات والإشباعات</w:t>
      </w:r>
    </w:p>
    <w:p w14:paraId="69D9C520" w14:textId="77777777" w:rsidR="0008625B" w:rsidRPr="00E154C9" w:rsidRDefault="0008625B" w:rsidP="0008625B">
      <w:pPr>
        <w:spacing w:line="360" w:lineRule="auto"/>
        <w:rPr>
          <w:rFonts w:asciiTheme="majorBidi" w:hAnsiTheme="majorBidi" w:cstheme="majorBidi"/>
          <w:sz w:val="28"/>
          <w:szCs w:val="28"/>
          <w:rtl/>
        </w:rPr>
      </w:pPr>
      <w:r w:rsidRPr="00E154C9">
        <w:rPr>
          <w:rFonts w:asciiTheme="majorBidi" w:hAnsiTheme="majorBidi" w:cstheme="majorBidi"/>
          <w:sz w:val="28"/>
          <w:szCs w:val="28"/>
          <w:rtl/>
        </w:rPr>
        <w:t>تستند نظرية الاستخدامات والإشباعات إلى مجموعة من الافتراضات التي تميزها عن النظريات التقليدية في مجال الاتصال، حيث تركز على الجمهور كفاعل نشط في عملية الاتصال وليس مجرد متلقي سلبي للرسائل الإعلامية. من أهم هذه الافتراضات أن الجمهور يملك القدرة على اختيار الوسائل الإعلامية التي تلبي حاجاته وأهدافه الشخصية والاجتماعية (طالة ولامية، 2022). وهذه الحاجات تتنوع بين معرفية، ترفيهية، اجتماعية، نفسية، وغيرها، مما يجعل استخدام الوسائل الإعلامية متغيرًا حسب طبيعة الأفراد والظروف المحيطة بهم (حفيظة البراشدية والظفري، 2020)</w:t>
      </w:r>
      <w:r w:rsidRPr="00E154C9">
        <w:rPr>
          <w:rFonts w:asciiTheme="majorBidi" w:hAnsiTheme="majorBidi" w:cstheme="majorBidi"/>
          <w:sz w:val="28"/>
          <w:szCs w:val="28"/>
        </w:rPr>
        <w:t>.</w:t>
      </w:r>
    </w:p>
    <w:p w14:paraId="626C4A8B"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تفرض النظرية أيضًا أن الجمهور يهدف من استخدام وسائل الإعلام إلى تحقيق إشباعات محددة، وهي حاجات يُدركها المستخدمون بشكل واعٍ، مثل الرغبة في الحصول على المعلومات، التسلية، التعرف على الآخرين، أو الهروب من ضغوط الحياة اليومية (ليلى علي جمعه، 2021). بالإضافة إلى ذلك، تفترض النظرية أن الجمهور قادر على التقييم المستمر لمدى تحقيق الوسيلة الإعلامية لهذه الإشباعات، وبالتالي يمكنه تغيير اختياراته أو استخدامه للوسائط الإعلامية بناءً على مدى إشباعها لحاجاته (السعدي وجابر، 2024)</w:t>
      </w:r>
      <w:r w:rsidRPr="00E154C9">
        <w:rPr>
          <w:rFonts w:asciiTheme="majorBidi" w:hAnsiTheme="majorBidi" w:cstheme="majorBidi"/>
          <w:sz w:val="28"/>
          <w:szCs w:val="28"/>
        </w:rPr>
        <w:t>.</w:t>
      </w:r>
    </w:p>
    <w:p w14:paraId="6F74A23E"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تؤكد النظرية كذلك على أن وسائل الإعلام ليست مؤثرة بشكل مباشر أو موحد على جميع أفراد الجمهور، بل تأثيرها يختلف بحسب دوافع كل فرد واحتياجاته الخاصة. وبذلك، فإن المتلقي له دور فعال في تفسير الرسائل الإعلامية وإعطائها معانٍ تتناسب مع ظروفه الفردية والاجتماعية (طوالبه وأحمد، 2021). هذه الفرضية تفتح الباب لفهم أعمق لكيفية استخدام الناس للوسائل الإعلامية الرقمية الحديثة، خصوصًا في سياق التوعية الصحية حيث يختار الجمهور المحتوى الذي يلبي حاجاتهم في مجال المعلومات والدعم النفسي (د. سعيد شاهين علاني وآخرون، 2024)</w:t>
      </w:r>
      <w:r w:rsidRPr="00E154C9">
        <w:rPr>
          <w:rFonts w:asciiTheme="majorBidi" w:hAnsiTheme="majorBidi" w:cstheme="majorBidi"/>
          <w:sz w:val="28"/>
          <w:szCs w:val="28"/>
        </w:rPr>
        <w:t>.</w:t>
      </w:r>
    </w:p>
    <w:p w14:paraId="164F6128"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تفترض النظرية أيضًا أن وسائل الإعلام المختلفة تختلف في قدرتها على إشباع الحاجات المتنوعة، حيث يميل الجمهور إلى اختيار الوسائط التي تناسب نوع الإشباع الذي يبحث عنه، فالمحتوى المرئي مثلاً قد يكون أكثر قدرة على توفير إشباعات ترفيهية واجتماعية، بينما المحتوى النصي قد يكون أكثر فعالية في تلبية الحاجات المعرفية (حفيظة البراشدية والظفري، 2020). وهذا يعزز أهمية اختيار الوسائل الإعلامية المناسبة حسب طبيعة الرسالة الصحية المراد إيصالها لجمهور معين، خاصة في مجتمع كالمجتمع السعودي الذي يختلف فيه تفضيل الوسائط باختلاف الأعمار والخلفيات الثقافية (ليلى علي جمعه، 2021)</w:t>
      </w:r>
      <w:r w:rsidRPr="00E154C9">
        <w:rPr>
          <w:rFonts w:asciiTheme="majorBidi" w:hAnsiTheme="majorBidi" w:cstheme="majorBidi"/>
          <w:sz w:val="28"/>
          <w:szCs w:val="28"/>
        </w:rPr>
        <w:t>.</w:t>
      </w:r>
    </w:p>
    <w:p w14:paraId="7E4F057B"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علاوة على ذلك، تؤكد النظرية على أن الجمهور يستخدم وسائل الإعلام بطرق متعددة ومختلفة في أوقات وظروف مختلفة، ولا يقتصر استخدام الوسيلة الإعلامية على غرض واحد فقط، بل قد يهدف إلى إشباع أكثر من حاجة في الوقت ذاته، مثل الترفيه والتعليم والتفاعل الاجتماعي (طالة ولامية، 2022). ومن هنا، يصبح فهم هذه الافتراضات ضروريًا لتصميم حملات إعلامية رقمية صحية فعالة تستجيب لتنوع حاجات المستخدمين وتجذب انتباههم بطريقة تحقق الأهداف التوعوية (حفيظة البراشدية والظفري، 2020)</w:t>
      </w:r>
      <w:r w:rsidRPr="00E154C9">
        <w:rPr>
          <w:rFonts w:asciiTheme="majorBidi" w:hAnsiTheme="majorBidi" w:cstheme="majorBidi"/>
          <w:sz w:val="28"/>
          <w:szCs w:val="28"/>
        </w:rPr>
        <w:t>.</w:t>
      </w:r>
    </w:p>
    <w:p w14:paraId="38924A9A"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حيث تؤكد النظرية أن الجمهور يملك وعيًا نقديًا يسمح له بالتمييز بين الوسائط والمحتوى، وبالتالي فهو يختار ما يناسبه ويتجنب ما لا يحقق له الإشباع المطلوب. وهذا الوعي يجعل عملية الاتصال أكثر تفاعلية وديناميكية، ويساعد على تطوير استراتيجيات إعلامية صحية تركز على المستخدم واحتياجاته (ليلى علي جمعه، 2021).</w:t>
      </w:r>
    </w:p>
    <w:p w14:paraId="5F44C6A4" w14:textId="77777777" w:rsidR="0008625B" w:rsidRPr="00E154C9" w:rsidRDefault="0008625B" w:rsidP="0008625B">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دوافع استخدام الجمهور لوسائل الإعلام الرقمية</w:t>
      </w:r>
    </w:p>
    <w:p w14:paraId="6C857377" w14:textId="77777777" w:rsidR="0008625B" w:rsidRPr="00E154C9" w:rsidRDefault="0008625B" w:rsidP="0008625B">
      <w:pPr>
        <w:spacing w:line="360" w:lineRule="auto"/>
        <w:rPr>
          <w:rFonts w:asciiTheme="majorBidi" w:hAnsiTheme="majorBidi" w:cstheme="majorBidi"/>
          <w:sz w:val="28"/>
          <w:szCs w:val="28"/>
          <w:rtl/>
        </w:rPr>
      </w:pPr>
      <w:r w:rsidRPr="00E154C9">
        <w:rPr>
          <w:rFonts w:asciiTheme="majorBidi" w:hAnsiTheme="majorBidi" w:cstheme="majorBidi"/>
          <w:sz w:val="28"/>
          <w:szCs w:val="28"/>
          <w:rtl/>
        </w:rPr>
        <w:t>تُعَد وسائل الإعلام الرقمية اليوم من أهم الوسائل التي يعتمد عليها الأفراد في الوصول إلى المعلومات والتواصل والترفيه، وتُفسَّر دوافع استخدام الجمهور لهذه الوسائل من خلال عدة عوامل نفسية واجتماعية ومعرفية. ويركز مفهوم الدوافع على الأسباب التي تجعل الأفراد يختارون ويستخدمون الوسائط الرقمية، والتي ترتبط بالحاجات التي يسعون إلى إشباعها (طالة ولامية، 2022)</w:t>
      </w:r>
      <w:r w:rsidRPr="00E154C9">
        <w:rPr>
          <w:rFonts w:asciiTheme="majorBidi" w:hAnsiTheme="majorBidi" w:cstheme="majorBidi"/>
          <w:sz w:val="28"/>
          <w:szCs w:val="28"/>
        </w:rPr>
        <w:t>.</w:t>
      </w:r>
    </w:p>
    <w:p w14:paraId="56ABA007"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أحد أبرز الدوافع لاستخدام وسائل الإعلام الرقمية هو الرغبة في الحصول على المعلومات والمعرفة، حيث يُعتبر الإعلام الرقمي منصة غنية تتيح الوصول إلى كم هائل من المحتوى المتخصص في مجالات متنوعة مثل الصحة، التعليم، الأخبار، وغيرها. وفي سياق التوعية الصحية بالأمراض العصبية المزمنة، يبحث الجمهور عن معلومات دقيقة وموثوقة من خلال هذه الوسائل لتلبية حاجاتهم المعرفية (حفيظة البراشدية والظفري، 2020). كما تتيح الوسائط الرقمية إمكانيات التحديث المستمر للمعلومات، مما يجعلها خيارًا مفضلًا لدى الباحثين عن المعرفة المتجددة</w:t>
      </w:r>
      <w:r w:rsidRPr="00E154C9">
        <w:rPr>
          <w:rFonts w:asciiTheme="majorBidi" w:hAnsiTheme="majorBidi" w:cstheme="majorBidi"/>
          <w:sz w:val="28"/>
          <w:szCs w:val="28"/>
        </w:rPr>
        <w:t>.</w:t>
      </w:r>
    </w:p>
    <w:p w14:paraId="112719DE"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دافع آخر مهم هو التفاعل الاجتماعي، إذ تسمح منصات التواصل الاجتماعي الرقمية مثل فيسبوك وتويتر وإنستغرام بخلق مساحات تفاعلية يشارك فيها الأفراد تجاربهم وآرائهم، ويتواصلون مع الآخرين ذوي الاهتمامات المشتركة. هذه الخاصية تعزز الإشباعات الاجتماعية لدى المستخدمين، وتلبي حاجتهم إلى الانتماء والشعور بالمجتمع، وهو ما يُعتبر ذا أهمية خاصة في حالات الأمراض المزمنة التي تتطلب الدعم النفسي والاجتماعي (ليلى علي جمعه، 2021).</w:t>
      </w:r>
    </w:p>
    <w:p w14:paraId="3F06052F"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بالإضافة إلى ذلك، يلعب الترفيه دورًا رئيسيًا كدافع لاستخدام الوسائط الرقمية، حيث توفر هذه الوسائط محتوى متنوعًا من الفيديوهات، الألعاب، والموسيقى التي تساعد الأفراد على التخفيف من ضغوط الحياة اليومية والهروب من الواقع. هذا الدافع ضروري لفهم كيف يمكن للإعلام الرقمي أن يؤثر بشكل إيجابي في تحسين الحالة النفسية للمستخدمين، خاصة الذين يعانون من أمراض مزمنة (السعدي وجابر، 2024)</w:t>
      </w:r>
      <w:r w:rsidRPr="00E154C9">
        <w:rPr>
          <w:rFonts w:asciiTheme="majorBidi" w:hAnsiTheme="majorBidi" w:cstheme="majorBidi"/>
          <w:sz w:val="28"/>
          <w:szCs w:val="28"/>
        </w:rPr>
        <w:t>.</w:t>
      </w:r>
    </w:p>
    <w:p w14:paraId="6501B4CA"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كما يبحث المستخدمون عن الراحة والسهولة في الوصول إلى المحتوى، حيث تقدم الوسائط الرقمية إمكانية الوصول السريع والفوري إلى المحتوى عبر الهواتف الذكية والأجهزة اللوحية، مما يتيح لهم متابعة المعلومات والترفيه في أي وقت ومكان. هذه الميزة تزيد من اعتماد الجمهور على الإعلام الرقمي مقارنة بالوسائط التقليدية (طوالبه وأحمد، 2021)</w:t>
      </w:r>
      <w:r w:rsidRPr="00E154C9">
        <w:rPr>
          <w:rFonts w:asciiTheme="majorBidi" w:hAnsiTheme="majorBidi" w:cstheme="majorBidi"/>
          <w:sz w:val="28"/>
          <w:szCs w:val="28"/>
        </w:rPr>
        <w:t>.</w:t>
      </w:r>
    </w:p>
    <w:p w14:paraId="0D81859F"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دافع آخر لا يقل أهمية هو الحاجات الشخصية والنفسية مثل البحث عن الدعم النفسي والتشجيع، إذ يوفر الإعلام الرقمي منصات تتيح للمستخدمين التعبير عن مشاعرهم، والحصول على نصائح وتجارب من آخرين في حالات مشابهة، وهو أمر بالغ الأهمية في مجالات التوعية الصحية (د. سعيد شاهين علاني وآخرون، 2024)</w:t>
      </w:r>
      <w:r w:rsidRPr="00E154C9">
        <w:rPr>
          <w:rFonts w:asciiTheme="majorBidi" w:hAnsiTheme="majorBidi" w:cstheme="majorBidi"/>
          <w:sz w:val="28"/>
          <w:szCs w:val="28"/>
        </w:rPr>
        <w:t>.</w:t>
      </w:r>
    </w:p>
    <w:p w14:paraId="3CEFEF3E"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و تعتبر الحرية في الاختيار والتخصيص من الدوافع الأساسية التي تجذب الجمهور لاستخدام وسائل الإعلام الرقمية، حيث يمكن للمستخدم تحديد المحتوى الذي يراه مناسبًا حسب اهتماماته وحاجاته، بعكس الوسائط التقليدية التي تفرض محتوى محددًا (حفيظة البراشدية والظفري، 2020). هذه القدرة على التخصيص تعزز من رضى المستخدم وتجعل تجربة استخدام الإعلام الرقمي أكثر فاعلية في تحقيق الأهداف التوعوية</w:t>
      </w:r>
      <w:r w:rsidRPr="00E154C9">
        <w:rPr>
          <w:rFonts w:asciiTheme="majorBidi" w:hAnsiTheme="majorBidi" w:cstheme="majorBidi"/>
          <w:sz w:val="28"/>
          <w:szCs w:val="28"/>
        </w:rPr>
        <w:t>.</w:t>
      </w:r>
    </w:p>
    <w:p w14:paraId="5BB9E621"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تُعد هذه الدوافع مجتمعة أساسًا لفهم كيف يستخدم الجمهور الإعلام الرقمي، وكيف يمكن توظيف هذه الوسائل بشكل فعّال في التوعية بالأمراض العصبية المزمنة، من خلال تصميم محتوى يتناسب مع الحاجات والدوافع المتنوعة للمستخدمين في المجتمع السعودي (ليلى علي جمعه، 2021)</w:t>
      </w:r>
      <w:r w:rsidRPr="00E154C9">
        <w:rPr>
          <w:rFonts w:asciiTheme="majorBidi" w:hAnsiTheme="majorBidi" w:cstheme="majorBidi"/>
          <w:sz w:val="28"/>
          <w:szCs w:val="28"/>
        </w:rPr>
        <w:t>.</w:t>
      </w:r>
    </w:p>
    <w:p w14:paraId="05BE5A35" w14:textId="77777777" w:rsidR="0008625B" w:rsidRPr="00E154C9" w:rsidRDefault="0008625B" w:rsidP="0008625B">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أنواع الإشباعات (المعرفية، الترفيهية، الاجتماعية، الوقائية)</w:t>
      </w:r>
    </w:p>
    <w:p w14:paraId="72974B0A" w14:textId="77777777" w:rsidR="0008625B" w:rsidRPr="00E154C9" w:rsidRDefault="0008625B" w:rsidP="0008625B">
      <w:pPr>
        <w:spacing w:line="360" w:lineRule="auto"/>
        <w:rPr>
          <w:rFonts w:asciiTheme="majorBidi" w:hAnsiTheme="majorBidi" w:cstheme="majorBidi"/>
          <w:sz w:val="28"/>
          <w:szCs w:val="28"/>
          <w:rtl/>
        </w:rPr>
      </w:pPr>
      <w:r w:rsidRPr="00E154C9">
        <w:rPr>
          <w:rFonts w:asciiTheme="majorBidi" w:hAnsiTheme="majorBidi" w:cstheme="majorBidi"/>
          <w:sz w:val="28"/>
          <w:szCs w:val="28"/>
          <w:rtl/>
        </w:rPr>
        <w:t>تُعد نظرية الاستخدامات والإشباعات إطارًا مهمًا لفهم الحاجات المتنوعة التي يسعى الجمهور إلى إشباعها من خلال وسائل الإعلام، ومن أبرز هذه الحاجات أو الإشباعات أربعة أنواع رئيسية هي: الإشباعات المعرفية، الترفيهية، الاجتماعية، والوقائية. تتفاوت هذه الإشباعات بحسب طبيعة الأفراد وظروفهم الاجتماعية والنفسية، ويستخدمها الجمهور لتحقيق أهداف مختلفة عبر الوسائط الإعلامية (طالة ولامية، 2022)</w:t>
      </w:r>
      <w:r w:rsidRPr="00E154C9">
        <w:rPr>
          <w:rFonts w:asciiTheme="majorBidi" w:hAnsiTheme="majorBidi" w:cstheme="majorBidi"/>
          <w:sz w:val="28"/>
          <w:szCs w:val="28"/>
        </w:rPr>
        <w:t>.</w:t>
      </w:r>
    </w:p>
    <w:p w14:paraId="3126A9C8"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الإشباع المعرفي يشير إلى رغبة الفرد في الحصول على المعلومات والمعرفة وتوسيع مداركه حول موضوع معين. يلجأ المستخدمون إلى وسائل الإعلام الرقمية بغرض التعرف على آخر المستجدات والأخبار، والحصول على تفسيرات وتحليلات عميقة تُمكّنهم من فهم العالم من حولهم بشكل أفضل. في مجال التوعية الصحية، يسعى الجمهور إلى إشباع هذا النوع من الحاجات من خلال البحث عن معلومات دقيقة عن الأمراض المزمنة، وأعراضها، وطرق الوقاية والعلاج (حفيظة البراشدية والظفري، 2020). تلعب المنصات الرقمية دورًا محوريًا في توفير مصادر متنوعة تلبّي هذه الحاجة المعرفية</w:t>
      </w:r>
      <w:r w:rsidRPr="00E154C9">
        <w:rPr>
          <w:rFonts w:asciiTheme="majorBidi" w:hAnsiTheme="majorBidi" w:cstheme="majorBidi"/>
          <w:sz w:val="28"/>
          <w:szCs w:val="28"/>
        </w:rPr>
        <w:t>.</w:t>
      </w:r>
    </w:p>
    <w:p w14:paraId="334C2DC1"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أما الإشباع الترفيهي فيتمثل في البحث عن المتعة، الهروب من ضغوط الحياة اليومية، والترويح عن النفس. يستخدم الأفراد الوسائط الإعلامية الرقمية مثل الفيديوهات والموسيقى والألعاب كوسائل ترفيهية تساعدهم على التخلص من التوتر والملل، وتوفر لهم فرصة للاسترخاء. هذه الإشباعات ضرورية لتحسين الحالة النفسية للمستخدمين، خاصة في المواقف التي تتطلب مواجهة تحديات صحية طويلة الأمد (ليلى علي جمعه، 2021).</w:t>
      </w:r>
    </w:p>
    <w:p w14:paraId="0C8425A0"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الإشباع الاجتماعي يرتبط بالحاجة إلى الانتماء والتواصل مع الآخرين، حيث توفر وسائل الإعلام الرقمية بيئات تفاعلية تسمح بالتواصل، تبادل الأفكار، وتكوين علاقات اجتماعية جديدة. تعد الشبكات الاجتماعية منصة مهمة لتحقيق هذه الإشباعات، إذ يشارك المستخدمون تجاربهم الصحية، يدعمون بعضهم البعض، ويبنون مجتمعات افتراضية تقدم الدعم النفسي والمعنوي، وهو أمر حيوي لمرضى الأمراض العصبية المزمنة (السعدي وجابر، 2024)</w:t>
      </w:r>
      <w:r w:rsidRPr="00E154C9">
        <w:rPr>
          <w:rFonts w:asciiTheme="majorBidi" w:hAnsiTheme="majorBidi" w:cstheme="majorBidi"/>
          <w:sz w:val="28"/>
          <w:szCs w:val="28"/>
        </w:rPr>
        <w:t>.</w:t>
      </w:r>
    </w:p>
    <w:p w14:paraId="44A41CCD"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الإشباع الوقائي يشير إلى سعي الفرد لاستخدام وسائل الإعلام كأداة للحماية الذاتية من المعلومات أو المواقف التي قد تسبب له توترًا أو ضغطًا نفسيًا. في هذا السياق، قد يختار المستخدمون تجنب بعض المحتويات أو التحكم في كمية ونوعية المعلومات التي يتعرضون لها، بهدف الحفاظ على صحتهم النفسية والعاطفية (طوالبه وأحمد، 2021). هذا النوع من الإشباع يعكس الوعي الكبير للجمهور بأهمية تنظيم استخدامه للإعلام، خصوصًا في بيئة رقمية مليئة بالمعلومات المتنوعة والمتضاربة</w:t>
      </w:r>
      <w:r w:rsidRPr="00E154C9">
        <w:rPr>
          <w:rFonts w:asciiTheme="majorBidi" w:hAnsiTheme="majorBidi" w:cstheme="majorBidi"/>
          <w:sz w:val="28"/>
          <w:szCs w:val="28"/>
        </w:rPr>
        <w:t>.</w:t>
      </w:r>
    </w:p>
    <w:p w14:paraId="66F1CEB8"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تُظهر الدراسات الحديثة أن هذه الإشباعات تتداخل وتتفاعل فيما بينها، ولا يقتصر استخدام الفرد لوسائل الإعلام على إشباع حاجة واحدة فقط، بل غالبًا ما يسعى إلى تحقيق عدة إشباعات في الوقت نفسه. هذا التنوع في الإشباعات يبرز أهمية تصميم المحتوى الإعلامي بطريقة تلبي هذه الحاجات المتعددة، مما يزيد من فاعلية التوعية ويعزز من قبول الرسائل الصحية في المجتمع (د. سعيد شاهين علاني وآخرون، 2024)</w:t>
      </w:r>
      <w:r w:rsidRPr="00E154C9">
        <w:rPr>
          <w:rFonts w:asciiTheme="majorBidi" w:hAnsiTheme="majorBidi" w:cstheme="majorBidi"/>
          <w:sz w:val="28"/>
          <w:szCs w:val="28"/>
        </w:rPr>
        <w:t>.</w:t>
      </w:r>
    </w:p>
    <w:p w14:paraId="65945869"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بالتالي، فإن فهم أنواع الإشباعات التي يسعى الجمهور لتحقيقها عبر وسائل الإعلام الرقمية يعد أمرًا أساسيًا لتطوير استراتيجيات توعية صحية ناجحة، تركز على تلبية الحاجات المعرفية، الترفيهية، الاجتماعية، والوقائية للمستخدمين، وهو ما يعزز من التفاعل والمشاركة في المجتمع السعودي في موضوع الأمراض العصبية المزمنة (حفيظة البراشدية والظفري، 2020).</w:t>
      </w:r>
    </w:p>
    <w:p w14:paraId="07109FBF" w14:textId="77777777" w:rsidR="0008625B" w:rsidRPr="0008625B" w:rsidRDefault="0008625B" w:rsidP="0008625B">
      <w:pPr>
        <w:spacing w:line="360" w:lineRule="auto"/>
        <w:rPr>
          <w:rFonts w:asciiTheme="majorBidi" w:hAnsiTheme="majorBidi" w:cstheme="majorBidi"/>
          <w:b/>
          <w:bCs/>
          <w:sz w:val="28"/>
          <w:szCs w:val="28"/>
        </w:rPr>
      </w:pPr>
      <w:r w:rsidRPr="0008625B">
        <w:rPr>
          <w:rFonts w:asciiTheme="majorBidi" w:hAnsiTheme="majorBidi" w:cstheme="majorBidi"/>
          <w:b/>
          <w:bCs/>
          <w:sz w:val="28"/>
          <w:szCs w:val="28"/>
          <w:rtl/>
        </w:rPr>
        <w:t>استخدام الإعلام الرقمي في التوعية الصحية: منظور النظرية</w:t>
      </w:r>
    </w:p>
    <w:p w14:paraId="23CD0F92" w14:textId="77777777" w:rsidR="0008625B" w:rsidRPr="0008625B" w:rsidRDefault="0008625B" w:rsidP="0008625B">
      <w:pPr>
        <w:spacing w:line="360" w:lineRule="auto"/>
        <w:rPr>
          <w:rFonts w:asciiTheme="majorBidi" w:hAnsiTheme="majorBidi" w:cstheme="majorBidi"/>
          <w:sz w:val="28"/>
          <w:szCs w:val="28"/>
          <w:rtl/>
        </w:rPr>
      </w:pPr>
      <w:r w:rsidRPr="0008625B">
        <w:rPr>
          <w:rFonts w:asciiTheme="majorBidi" w:hAnsiTheme="majorBidi" w:cstheme="majorBidi"/>
          <w:sz w:val="28"/>
          <w:szCs w:val="28"/>
          <w:rtl/>
        </w:rPr>
        <w:t>يلعب الإعلام الرقمي دورًا متزايد الأهمية في توعية الجمهور بالقضايا الصحية، خاصة مع انتشار الإنترنت ووسائل التواصل الاجتماعي التي أصبحت منصات رئيسية لنشر المعلومات الصحية بشكل سريع وواسع. من منظور نظرية الاستخدامات والإشباعات، يُنظر إلى الجمهور على أنه فاعل نشط يبحث عن إشباع حاجاته المعرفية والاجتماعية والنفسية من خلال الإعلام الرقمي، مما يجعل هذه الوسائل أدوات فعالة لتحقيق التوعية الصحية (طالة ولامية، 2022)</w:t>
      </w:r>
      <w:r w:rsidRPr="0008625B">
        <w:rPr>
          <w:rFonts w:asciiTheme="majorBidi" w:hAnsiTheme="majorBidi" w:cstheme="majorBidi"/>
          <w:sz w:val="28"/>
          <w:szCs w:val="28"/>
        </w:rPr>
        <w:t>.</w:t>
      </w:r>
    </w:p>
    <w:p w14:paraId="0CDB1BD3" w14:textId="77777777" w:rsidR="0008625B" w:rsidRDefault="0008625B" w:rsidP="0008625B">
      <w:pPr>
        <w:spacing w:line="360" w:lineRule="auto"/>
        <w:rPr>
          <w:rFonts w:asciiTheme="majorBidi" w:hAnsiTheme="majorBidi" w:cstheme="majorBidi"/>
          <w:sz w:val="28"/>
          <w:szCs w:val="28"/>
          <w:rtl/>
        </w:rPr>
      </w:pPr>
      <w:r w:rsidRPr="0008625B">
        <w:rPr>
          <w:rFonts w:asciiTheme="majorBidi" w:hAnsiTheme="majorBidi" w:cstheme="majorBidi"/>
          <w:sz w:val="28"/>
          <w:szCs w:val="28"/>
          <w:rtl/>
        </w:rPr>
        <w:t>تُظهر النظرية أن المستخدمين لا يتلقون المعلومات الصحية بشكل سلبي، بل يبحثون عن محتوى يتناسب مع احتياجاتهم الشخصية، مثل المعلومات الدقيقة عن الأمراض، النصائح الوقائية، أو الدعم النفسي والمعنوي. لذلك، تعتمد فاعلية الإعلام الرقمي في التوعية الصحية على مدى قدرة المحتوى على تلبية هذه الإشباعات المتنوعة، مما يزيد من احتمال تأثيره على السلوك الصحي للمستخدمين (حفيظة البراشدية والظفري، 2020)</w:t>
      </w:r>
      <w:r w:rsidRPr="0008625B">
        <w:rPr>
          <w:rFonts w:asciiTheme="majorBidi" w:hAnsiTheme="majorBidi" w:cstheme="majorBidi"/>
          <w:sz w:val="28"/>
          <w:szCs w:val="28"/>
        </w:rPr>
        <w:t>.</w:t>
      </w:r>
    </w:p>
    <w:p w14:paraId="47E77B78"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تقدم وسائل الإعلام الرقمية إمكانيات تفاعلية تجعل المستخدم جزءًا من عملية الاتصال، من خلال التعليق، المشاركة، والنقاش، مما يعزز من الشعور بالانتماء والدعم الاجتماعي. هذه التفاعلية تُعتبر من أهم مميزات الإعلام الرقمي التي تجعل التوعية الصحية أكثر شخصية وتأثيرًا، إذ يمكن للمستخدمين تبادل تجاربهم الصحية والدعم النفسي، وهو أمر حيوي للأشخاص المصابين بالأمراض العصبية المزمنة (ليلى علي جمعه، 2021).</w:t>
      </w:r>
    </w:p>
    <w:p w14:paraId="16787500"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كما تتيح منصات الإعلام الرقمي تحديث المحتوى بشكل مستمر، مما يضمن وصول معلومات حديثة وموثوقة إلى الجمهور، ويساعد على بناء ثقة المستخدمين في المصادر الرقمية، وهو عامل مهم لنجاح حملات التوعية الصحية (السعدي وجابر، 2024). إضافة إلى ذلك، تسهل هذه الوسائل الوصول إلى شرائح واسعة ومتنوعة من المجتمع، بما في ذلك الفئات العمرية المختلفة والمناطق الجغرافية المتباينة، وهو ما يعزز من شمولية التوعية</w:t>
      </w:r>
      <w:r w:rsidRPr="00E154C9">
        <w:rPr>
          <w:rFonts w:asciiTheme="majorBidi" w:hAnsiTheme="majorBidi" w:cstheme="majorBidi"/>
          <w:sz w:val="28"/>
          <w:szCs w:val="28"/>
        </w:rPr>
        <w:t>.</w:t>
      </w:r>
    </w:p>
    <w:p w14:paraId="262D42A4"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من منظور نظرية الاستخدامات والإشباعات، تلعب القدرة على تخصيص المحتوى الرقمي دورًا مهمًا في زيادة فاعلية التوعية الصحية، حيث يمكن للمستخدم اختيار المحتوى الذي يلبي احتياجاته الخاصة، سواء من حيث مستوى التعقيد أو الموضوع الصحي، مما يعزز من مستوى التفاعل والالتزام بالمعلومات الصحية (طوالبه وأحمد، 2021)</w:t>
      </w:r>
      <w:r w:rsidRPr="00E154C9">
        <w:rPr>
          <w:rFonts w:asciiTheme="majorBidi" w:hAnsiTheme="majorBidi" w:cstheme="majorBidi"/>
          <w:sz w:val="28"/>
          <w:szCs w:val="28"/>
        </w:rPr>
        <w:t>.</w:t>
      </w:r>
    </w:p>
    <w:p w14:paraId="3162458D"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ومع ذلك، تواجه التوعية الصحية عبر الإعلام الرقمي تحديات تتمثل في التحقق من صحة المعلومات وتجنب التضليل، إذ يحتاج المستخدمون إلى مهارات نقدية تمكنهم من تقييم جودة المحتوى، وهو ما يؤكد أهمية توفير مصادر موثوقة وتعزيز الثقافة الرقمية الصحية لدى الجمهور (د. سعيد شاهين علاني وآخرون، 2024)</w:t>
      </w:r>
      <w:r w:rsidRPr="00E154C9">
        <w:rPr>
          <w:rFonts w:asciiTheme="majorBidi" w:hAnsiTheme="majorBidi" w:cstheme="majorBidi"/>
          <w:sz w:val="28"/>
          <w:szCs w:val="28"/>
        </w:rPr>
        <w:t>.</w:t>
      </w:r>
    </w:p>
    <w:p w14:paraId="22130000"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تؤكد النظرية أيضًا أن استخدام الإعلام الرقمي للتوعية الصحية يجب أن يراعي تنوع دوافع الجمهور واحتياجاته، بحيث يتم تصميم الرسائل الإعلامية بطريقة تلبي مختلف أنواع الإشباعات، من معرفية وترفيهية واجتماعية ووقائية، لتحقيق أكبر تأثير ممكن على السلوك الصحي (حفيظة البراشدية والظفري، 2020).</w:t>
      </w:r>
    </w:p>
    <w:p w14:paraId="4DF3C84E"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توضح هذه الرؤية أهمية دمج نظريات التواصل مع التكنولوجيا الرقمية في تطوير استراتيجيات إعلامية صحية متقدمة، تساهم في رفع الوعي حول الأمراض المزمنة، وتحفز على تبني سلوكيات صحية مستدامة في المجتمع السعودي (ليلى علي جمعه، 2021)</w:t>
      </w:r>
      <w:r w:rsidRPr="00E154C9">
        <w:rPr>
          <w:rFonts w:asciiTheme="majorBidi" w:hAnsiTheme="majorBidi" w:cstheme="majorBidi"/>
          <w:sz w:val="28"/>
          <w:szCs w:val="28"/>
        </w:rPr>
        <w:t>.</w:t>
      </w:r>
    </w:p>
    <w:p w14:paraId="1C583D0B" w14:textId="77777777" w:rsidR="0008625B" w:rsidRPr="00E154C9" w:rsidRDefault="0008625B" w:rsidP="0008625B">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التفاعل بين خصائص الإعلام الرقمي وإشباعات الجمهور</w:t>
      </w:r>
    </w:p>
    <w:p w14:paraId="002A8745" w14:textId="77777777" w:rsidR="0008625B" w:rsidRPr="00E154C9" w:rsidRDefault="0008625B" w:rsidP="0008625B">
      <w:pPr>
        <w:spacing w:line="360" w:lineRule="auto"/>
        <w:rPr>
          <w:rFonts w:asciiTheme="majorBidi" w:hAnsiTheme="majorBidi" w:cstheme="majorBidi"/>
          <w:sz w:val="28"/>
          <w:szCs w:val="28"/>
          <w:rtl/>
        </w:rPr>
      </w:pPr>
      <w:r w:rsidRPr="00E154C9">
        <w:rPr>
          <w:rFonts w:asciiTheme="majorBidi" w:hAnsiTheme="majorBidi" w:cstheme="majorBidi"/>
          <w:sz w:val="28"/>
          <w:szCs w:val="28"/>
          <w:rtl/>
        </w:rPr>
        <w:t>يمتاز الإعلام الرقمي بخصائص مميزة تجعله مختلفًا عن الوسائط التقليدية، ويتجلى ذلك في التفاعل الحي بين هذه الخصائص وإشباعات الجمهور التي يسعى لتحقيقها من خلال استخدام هذه الوسائل. من منظور نظرية الاستخدامات والإشباعات، يُعتبر هذا التفاعل أساسًا لفهم كيف يستخدم الأفراد الإعلام الرقمي بطريقة تلبي احتياجاتهم المتنوعة وتحقق أهدافهم الشخصية والاجتماعية (طالة ولامية، 2022)</w:t>
      </w:r>
      <w:r w:rsidRPr="00E154C9">
        <w:rPr>
          <w:rFonts w:asciiTheme="majorBidi" w:hAnsiTheme="majorBidi" w:cstheme="majorBidi"/>
          <w:sz w:val="28"/>
          <w:szCs w:val="28"/>
        </w:rPr>
        <w:t>.</w:t>
      </w:r>
    </w:p>
    <w:p w14:paraId="7A942559"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أحد أبرز خصائص الإعلام الرقمي هي التفاعلية، التي تسمح للمستخدمين بالمشاركة الفعالة في إنتاج المحتوى، والتعليق، والمشاركة في النقاشات. هذه الخاصية تلبي الإشباعات الاجتماعية، حيث ينسجم الأفراد مع مجتمعات افتراضية يشاركون فيها تجاربهم الصحية والشخصية، مما يعزز الشعور بالدعم والانتماء خاصة لمن يعانون من أمراض مزمنة (حفيظة البراشدية والظفري، 2020)</w:t>
      </w:r>
      <w:r w:rsidRPr="00E154C9">
        <w:rPr>
          <w:rFonts w:asciiTheme="majorBidi" w:hAnsiTheme="majorBidi" w:cstheme="majorBidi"/>
          <w:sz w:val="28"/>
          <w:szCs w:val="28"/>
        </w:rPr>
        <w:t>.</w:t>
      </w:r>
    </w:p>
    <w:p w14:paraId="2069CBE2"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تتميز الوسائط الرقمية كذلك بالسرعة واللحظية، حيث يمكن للمستخدمين الحصول على المعلومات بشكل فوري، وهو ما يُعزز الإشباعات المعرفية ويزيد من وعيهم الصحي. في مجال التوعية بالأمراض العصبية </w:t>
      </w:r>
      <w:r w:rsidRPr="00E154C9">
        <w:rPr>
          <w:rFonts w:asciiTheme="majorBidi" w:hAnsiTheme="majorBidi" w:cstheme="majorBidi"/>
          <w:sz w:val="28"/>
          <w:szCs w:val="28"/>
          <w:rtl/>
        </w:rPr>
        <w:lastRenderedPageBreak/>
        <w:t>المزمنة، تتيح هذه السرعة متابعة التطورات الطبية الحديثة، مما يدعم اتخاذ قرارات صحية مبنية على المعرفة (ليلى علي جمعه، 2021).</w:t>
      </w:r>
    </w:p>
    <w:p w14:paraId="15BF6B41"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تسمح خاصية التخصيص والتنوع في المحتوى الرقمي للأفراد باختيار ما يتناسب مع اهتماماتهم ومستويات فهمهم المختلفة، مما يلبي إشباعات معرفية وترفيهية متنوعة. هذا التخصيص يزيد من رضا المستخدمين ويشجعهم على التفاعل المستمر مع المحتوى الصحي (السعدي وجابر، 2024)</w:t>
      </w:r>
      <w:r w:rsidRPr="00E154C9">
        <w:rPr>
          <w:rFonts w:asciiTheme="majorBidi" w:hAnsiTheme="majorBidi" w:cstheme="majorBidi"/>
          <w:sz w:val="28"/>
          <w:szCs w:val="28"/>
        </w:rPr>
        <w:t>.</w:t>
      </w:r>
    </w:p>
    <w:p w14:paraId="6B826165"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بالإضافة إلى ذلك، توفر وسائل الإعلام الرقمية سهولة الوصول والاستخدام في أي وقت ومن أي مكان، مما يساهم في إشباع حاجات الوقاية، حيث يمكن للمستخدمين البحث عن المعلومات الصحية في الوقت والمكان المناسبين لهم، ما يعزز الالتزام بالسلوكيات الصحية الوقائية (طوالبه وأحمد، 2021)</w:t>
      </w:r>
      <w:r w:rsidRPr="00E154C9">
        <w:rPr>
          <w:rFonts w:asciiTheme="majorBidi" w:hAnsiTheme="majorBidi" w:cstheme="majorBidi"/>
          <w:sz w:val="28"/>
          <w:szCs w:val="28"/>
        </w:rPr>
        <w:t>.</w:t>
      </w:r>
    </w:p>
    <w:p w14:paraId="03DF5628"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مع ذلك، تترافق هذه الخصائص مع تحديات مثل غزارة المعلومات وصعوبة التمييز بين المحتوى الصحيح والمضلل، مما يتطلب من المستخدمين تطوير مهارات نقدية عالية وإشباعات وقائية لحماية أنفسهم من التأثيرات السلبية (د. سعيد شاهين علاني وآخرون، 2024)</w:t>
      </w:r>
      <w:r w:rsidRPr="00E154C9">
        <w:rPr>
          <w:rFonts w:asciiTheme="majorBidi" w:hAnsiTheme="majorBidi" w:cstheme="majorBidi"/>
          <w:sz w:val="28"/>
          <w:szCs w:val="28"/>
        </w:rPr>
        <w:t>.</w:t>
      </w:r>
    </w:p>
    <w:p w14:paraId="29F8F6C1"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بناءً على ذلك، يُعتبر التفاعل بين خصائص الإعلام الرقمي وإشباعات الجمهور محوريًا في تصميم استراتيجيات إعلامية ناجحة، خاصة في مجال التوعية الصحية، حيث يساعد فهم هذا التفاعل على تقديم محتوى يلبي دوافع واحتياجات المستخدمين، مما يزيد من فعالية التوعية ويعزز مشاركة الجمهور (حفيظة البراشدية والظفري، 2020).</w:t>
      </w:r>
    </w:p>
    <w:p w14:paraId="4F1F02C2"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و يعكس هذا التفاعل الديناميكي قدرة الإعلام الرقمي على التكيف مع احتياجات الجمهور المختلفة، ودوره في دعم أهداف التوعية الصحية في المجتمعات المعاصرة، بما فيها المجتمع السعودي (ليلى علي جمعه، 2021)</w:t>
      </w:r>
      <w:r w:rsidRPr="00E154C9">
        <w:rPr>
          <w:rFonts w:asciiTheme="majorBidi" w:hAnsiTheme="majorBidi" w:cstheme="majorBidi"/>
          <w:sz w:val="28"/>
          <w:szCs w:val="28"/>
        </w:rPr>
        <w:t>.</w:t>
      </w:r>
    </w:p>
    <w:p w14:paraId="73B9B29A" w14:textId="77777777" w:rsidR="0008625B" w:rsidRPr="00E154C9" w:rsidRDefault="0008625B" w:rsidP="0008625B">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نقد وتحليل فاعلية النظرية في سياق التوعية بالأمراض العصبية</w:t>
      </w:r>
    </w:p>
    <w:p w14:paraId="3605ADE4" w14:textId="77777777" w:rsidR="0008625B" w:rsidRPr="00E154C9" w:rsidRDefault="0008625B" w:rsidP="0008625B">
      <w:pPr>
        <w:spacing w:line="360" w:lineRule="auto"/>
        <w:rPr>
          <w:rFonts w:asciiTheme="majorBidi" w:hAnsiTheme="majorBidi" w:cstheme="majorBidi"/>
          <w:sz w:val="28"/>
          <w:szCs w:val="28"/>
          <w:rtl/>
        </w:rPr>
      </w:pPr>
      <w:r w:rsidRPr="00E154C9">
        <w:rPr>
          <w:rFonts w:asciiTheme="majorBidi" w:hAnsiTheme="majorBidi" w:cstheme="majorBidi"/>
          <w:sz w:val="28"/>
          <w:szCs w:val="28"/>
          <w:rtl/>
        </w:rPr>
        <w:t>تُعد نظرية الاستخدامات والإشباعات إطارًا مهمًا لفهم سلوك الجمهور تجاه وسائل الإعلام، لكن عند تطبيقها في سياق التوعية بالأمراض العصبية المزمنة تظهر عدة نقاط قوة وضعف تستدعي النقد والتحليل لتقييم مدى فاعليتها. من بين نقاط القوة، توفر النظرية منظورًا يركز على دور الجمهور كفاعل نشط يختار وسائل الإعلام التي تلبي حاجاته، مما يعزز تصميم حملات توعية صحية موجهة تلبي الاحتياجات المعرفية والاجتماعية والنفسية للمستخدمين (طالة ولامية، 2022)</w:t>
      </w:r>
      <w:r w:rsidRPr="00E154C9">
        <w:rPr>
          <w:rFonts w:asciiTheme="majorBidi" w:hAnsiTheme="majorBidi" w:cstheme="majorBidi"/>
          <w:sz w:val="28"/>
          <w:szCs w:val="28"/>
        </w:rPr>
        <w:t>.</w:t>
      </w:r>
    </w:p>
    <w:p w14:paraId="09222448"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ومع ذلك، تواجه النظرية تحديات في تفسير مدى تأثير الإعلام الرقمي على التغيرات الفعلية في السلوك الصحي، إذ تركز بشكل أساسي على الدوافع والإشباعات دون معالجة شاملة للعوامل النفسية أو الاجتماعية الأخرى التي قد تعوق تبني السلوكيات الصحية (حفيظة البراشدية والظفري، 2020). بالإضافة إلى ذلك، قد تتجاهل النظرية الفروقات الثقافية والاجتماعية العميقة التي تؤثر في كيفية استقبال الرسائل الصحية، وهو أمر مهم جدًا في المجتمع السعودي ذي الخصائص الثقافية والاجتماعية الخاصة (ليلى علي جمعه، 2021).</w:t>
      </w:r>
    </w:p>
    <w:p w14:paraId="7DD6A39D"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كما أن افتراض نشاط الجمهور ووعيه الكامل باحتياجاته قد يكون مبسطًا، فبعض الفئات قد تستخدم وسائل الإعلام الرقمية بشكل عشوائي أو لأسباب غير واعية، مما يقلل من دقة التنبؤات التي تقدمها النظرية (السعدي وجابر، 2024). كذلك، يواجه الإعلام الرقمي تحديات في توفير محتوى صحي موثوق وسط الكم الهائل من المعلومات المتضاربة، مما قد يضعف من تأثير التوعية ويزيد من احتمال انتشار المعلومات المغلوطة (طوالبه وأحمد، 2021)</w:t>
      </w:r>
      <w:r w:rsidRPr="00E154C9">
        <w:rPr>
          <w:rFonts w:asciiTheme="majorBidi" w:hAnsiTheme="majorBidi" w:cstheme="majorBidi"/>
          <w:sz w:val="28"/>
          <w:szCs w:val="28"/>
        </w:rPr>
        <w:t>.</w:t>
      </w:r>
    </w:p>
    <w:p w14:paraId="2E4FA67D"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من ناحية أخرى، توفر النظرية أدوات لفهم التنوع في دوافع الجمهور، مما يمكن القائمين على حملات التوعية من تخصيص الرسائل لتناسب شرائح مختلفة، مثل المرضى، أفراد العائلة، أو المهتمين بالصحة العامة. هذا التخصيص يعزز فاعلية الرسائل ويزيد من فرص التغيير السلوكي الإيجابي (د. سعيد شاهين علاني وآخرون، 2024)</w:t>
      </w:r>
      <w:r w:rsidRPr="00E154C9">
        <w:rPr>
          <w:rFonts w:asciiTheme="majorBidi" w:hAnsiTheme="majorBidi" w:cstheme="majorBidi"/>
          <w:sz w:val="28"/>
          <w:szCs w:val="28"/>
        </w:rPr>
        <w:t>.</w:t>
      </w:r>
    </w:p>
    <w:p w14:paraId="40B2C4D4"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و تظل نظرية الاستخدامات والإشباعات ذات قيمة كبيرة في إطار تصميم الاستراتيجيات الإعلامية الصحية الرقمية، لكنها تحتاج إلى تكامل مع نظريات أخرى تعالج الجوانب النفسية والثقافية بشكل أعمق، لضمان تحقيق تأثير فعلي ومستدام في التوعية بالأمراض العصبية المزمنة (حفيظة البراشدية والظفري، 2020).</w:t>
      </w:r>
    </w:p>
    <w:p w14:paraId="2535D46E"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b/>
          <w:bCs/>
          <w:sz w:val="28"/>
          <w:szCs w:val="28"/>
          <w:rtl/>
        </w:rPr>
        <w:t xml:space="preserve">ثانيا: نظرية الثراء الإعلامي </w:t>
      </w:r>
    </w:p>
    <w:p w14:paraId="1D234A84" w14:textId="77777777" w:rsidR="0008625B" w:rsidRPr="00E154C9" w:rsidRDefault="0008625B" w:rsidP="0008625B">
      <w:pPr>
        <w:spacing w:line="360" w:lineRule="auto"/>
        <w:rPr>
          <w:rFonts w:asciiTheme="majorBidi" w:hAnsiTheme="majorBidi" w:cstheme="majorBidi"/>
          <w:b/>
          <w:bCs/>
          <w:sz w:val="28"/>
          <w:szCs w:val="28"/>
          <w:rtl/>
        </w:rPr>
      </w:pPr>
      <w:r w:rsidRPr="00E154C9">
        <w:rPr>
          <w:rFonts w:asciiTheme="majorBidi" w:hAnsiTheme="majorBidi" w:cstheme="majorBidi"/>
          <w:b/>
          <w:bCs/>
          <w:sz w:val="28"/>
          <w:szCs w:val="28"/>
          <w:rtl/>
        </w:rPr>
        <w:t>مفهوم نظرية الثراء الإعلامي وأساسها النظري</w:t>
      </w:r>
    </w:p>
    <w:p w14:paraId="6DEE7986" w14:textId="77777777" w:rsidR="0008625B" w:rsidRPr="00E154C9" w:rsidRDefault="0008625B" w:rsidP="0008625B">
      <w:pPr>
        <w:spacing w:line="360" w:lineRule="auto"/>
        <w:rPr>
          <w:rFonts w:asciiTheme="majorBidi" w:hAnsiTheme="majorBidi" w:cstheme="majorBidi"/>
          <w:sz w:val="28"/>
          <w:szCs w:val="28"/>
          <w:rtl/>
        </w:rPr>
      </w:pPr>
      <w:r w:rsidRPr="00E154C9">
        <w:rPr>
          <w:rFonts w:asciiTheme="majorBidi" w:hAnsiTheme="majorBidi" w:cstheme="majorBidi"/>
          <w:sz w:val="28"/>
          <w:szCs w:val="28"/>
          <w:rtl/>
        </w:rPr>
        <w:t>تُعتبر نظرية الثراء الإعلامي</w:t>
      </w:r>
      <w:r w:rsidRPr="00E154C9">
        <w:rPr>
          <w:rFonts w:asciiTheme="majorBidi" w:hAnsiTheme="majorBidi" w:cstheme="majorBidi"/>
          <w:sz w:val="28"/>
          <w:szCs w:val="28"/>
        </w:rPr>
        <w:t xml:space="preserve"> (Media Richness Theory) </w:t>
      </w:r>
      <w:r w:rsidRPr="00E154C9">
        <w:rPr>
          <w:rFonts w:asciiTheme="majorBidi" w:hAnsiTheme="majorBidi" w:cstheme="majorBidi"/>
          <w:sz w:val="28"/>
          <w:szCs w:val="28"/>
          <w:rtl/>
        </w:rPr>
        <w:t>من النظريات الأساسية في مجال الاتصال، حيث تهدف إلى تفسير كيفية اختيار الأفراد للوسائط الإعلامية المناسبة لنقل الرسائل بناءً على قدرة الوسيلة على نقل المعلومات بشكل فعال. نشأت هذه النظرية في ثمانينيات القرن العشرين، وكان أبرز من وضعها الباحثان ريتشارد دايفيس وريتشارد ليري في عام 1984، حيث اقترحا أن وسائل الاتصال تختلف في درجة "الثراء" التي تقدمها، والتي تعكس قدرتها على توصيل المعلومات وتفسيرها بفعالية (رضا عبد المقصود مصطفى وأماني، 2020)</w:t>
      </w:r>
      <w:r w:rsidRPr="00E154C9">
        <w:rPr>
          <w:rFonts w:asciiTheme="majorBidi" w:hAnsiTheme="majorBidi" w:cstheme="majorBidi"/>
          <w:sz w:val="28"/>
          <w:szCs w:val="28"/>
        </w:rPr>
        <w:t>.</w:t>
      </w:r>
    </w:p>
    <w:p w14:paraId="70B90622"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يرتكز مفهوم الثراء الإعلامي على فكرة أن الوسائط الإعلامية تختلف في مدى قدرتها على توصيل المعلومات بوضوح وسرعة، وتوفير ردود فعل فورية، وإمكانية استخدام إشارات متعددة مثل اللغة، الصوت، الصور، والحركة. الوسائط التي تمتلك قدرة أكبر على هذه الجوانب تُعتبر أكثر "ثراءً"، مثل التواصل وجهًا لوجه أو المحادثات الهاتفية، بينما الوسائط الأقل ثراءً تشمل الرسائل النصية أو البريد الإلكتروني (رضا عبد المقصود مصطفى وأماني، 2020)</w:t>
      </w:r>
      <w:r w:rsidRPr="00E154C9">
        <w:rPr>
          <w:rFonts w:asciiTheme="majorBidi" w:hAnsiTheme="majorBidi" w:cstheme="majorBidi"/>
          <w:sz w:val="28"/>
          <w:szCs w:val="28"/>
        </w:rPr>
        <w:t>.</w:t>
      </w:r>
    </w:p>
    <w:p w14:paraId="052D3B52"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تقوم النظرية على أساس أن الأفراد يميلون إلى اختيار الوسائط التي تتناسب مع طبيعة الرسالة وحاجتهم لنقل المعلومات بدقة، خاصة في الحالات التي تتطلب وضوحًا عالياً أو معالجة معلومات معقدة أو غامضة. فكلما كانت الرسالة معقدة أو تحتوي على محتوى حساس أو غير واضح، يلجأ الأفراد إلى وسائط أكثر ثراءً لتقليل سوء الفهم وزيادة الفعالية في التواصل (إبراهيم وليد العشرى والبندارى، 2022)</w:t>
      </w:r>
      <w:r w:rsidRPr="00E154C9">
        <w:rPr>
          <w:rFonts w:asciiTheme="majorBidi" w:hAnsiTheme="majorBidi" w:cstheme="majorBidi"/>
          <w:sz w:val="28"/>
          <w:szCs w:val="28"/>
        </w:rPr>
        <w:t>.</w:t>
      </w:r>
    </w:p>
    <w:p w14:paraId="33495ABC"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في سياق الإعلام الرقمي والتوعية الصحية، تقدم نظرية الثراء الإعلامي إطارًا هامًا لفهم كيفية اختيار الوسائل الرقمية المناسبة لنقل رسائل التوعية حول الأمراض العصبية المزمنة. على سبيل المثال، قد تكون مقاطع الفيديو التوضيحية أو المحادثات الحية مع مختصين أكثر ثراءً من الرسائل النصية أو المنشورات التقليدية، لأنها توفر تواصلًا بصريًا وسمعيًا متزامنًا يُسهم في تعزيز فهم الرسالة (المنتصر ومنصور، 2021)</w:t>
      </w:r>
      <w:r w:rsidRPr="00E154C9">
        <w:rPr>
          <w:rFonts w:asciiTheme="majorBidi" w:hAnsiTheme="majorBidi" w:cstheme="majorBidi"/>
          <w:sz w:val="28"/>
          <w:szCs w:val="28"/>
        </w:rPr>
        <w:t>.</w:t>
      </w:r>
    </w:p>
    <w:p w14:paraId="202A9CA4"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كما تساهم النظرية في تصميم حملات إعلامية صحية توازن بين ثراء الوسائط وكلفة إنتاجها، مع مراعاة الفعالية في إيصال المعلومات وتحقيق التفاعل المطلوب من الجمهور. في السياق السعودي، حيث تتنوع الفئات المستهدفة من حيث العمر والثقافة ومستوى التعليم، يساعد تطبيق النظرية في اختيار الوسائل الإعلامية التي تتناسب مع خصائص الجمهور وتلبي احتياجاتهم بشكل أفضل (حسنين وإسراء عاطف وآخرون، 2024)</w:t>
      </w:r>
      <w:r w:rsidRPr="00E154C9">
        <w:rPr>
          <w:rFonts w:asciiTheme="majorBidi" w:hAnsiTheme="majorBidi" w:cstheme="majorBidi"/>
          <w:sz w:val="28"/>
          <w:szCs w:val="28"/>
        </w:rPr>
        <w:t>.</w:t>
      </w:r>
    </w:p>
    <w:p w14:paraId="1DC7F7DA"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يُلاحظ أيضًا أن تطور التكنولوجيا الرقمية قد أثر على مفهوم الثراء الإعلامي، إذ أضافت الوسائط الجديدة مثل الواقع الافتراضي والذكاء الاصطناعي أبعادًا جديدة تعزز من ثراء وسائل الاتصال، مما يفتح آفاقًا جديدة لتصميم محتوى توعوي صحي أكثر فاعلية (عبد الناصر، 2020)</w:t>
      </w:r>
      <w:r w:rsidRPr="00E154C9">
        <w:rPr>
          <w:rFonts w:asciiTheme="majorBidi" w:hAnsiTheme="majorBidi" w:cstheme="majorBidi"/>
          <w:sz w:val="28"/>
          <w:szCs w:val="28"/>
        </w:rPr>
        <w:t>.</w:t>
      </w:r>
    </w:p>
    <w:p w14:paraId="1B7C297C"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بالتالي، يُعد فهم مفهوم الثراء الإعلامي وأساسه النظري ضروريًا للباحثين والممارسين في مجال الإعلام الصحي، حيث يتيح لهم اختيار الوسائل الرقمية الملائمة التي تعزز من فاعلية التوعية وتضمن وصول الرسائل الصحية بشكل واضح ومؤثر إلى الجمهور المستهدف</w:t>
      </w:r>
      <w:r w:rsidRPr="00E154C9">
        <w:rPr>
          <w:rFonts w:asciiTheme="majorBidi" w:hAnsiTheme="majorBidi" w:cstheme="majorBidi"/>
          <w:sz w:val="28"/>
          <w:szCs w:val="28"/>
        </w:rPr>
        <w:t>.</w:t>
      </w:r>
    </w:p>
    <w:p w14:paraId="562EF9FE" w14:textId="77777777" w:rsidR="0008625B" w:rsidRPr="00E154C9" w:rsidRDefault="0008625B" w:rsidP="0008625B">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lastRenderedPageBreak/>
        <w:t>مؤشرات الثراء الإعلامي في الوسائط الرقمية</w:t>
      </w:r>
    </w:p>
    <w:p w14:paraId="633974D7" w14:textId="77777777" w:rsidR="0008625B" w:rsidRPr="00E154C9" w:rsidRDefault="0008625B" w:rsidP="0008625B">
      <w:pPr>
        <w:spacing w:line="360" w:lineRule="auto"/>
        <w:rPr>
          <w:rFonts w:asciiTheme="majorBidi" w:hAnsiTheme="majorBidi" w:cstheme="majorBidi"/>
          <w:sz w:val="28"/>
          <w:szCs w:val="28"/>
          <w:rtl/>
        </w:rPr>
      </w:pPr>
      <w:r w:rsidRPr="00E154C9">
        <w:rPr>
          <w:rFonts w:asciiTheme="majorBidi" w:hAnsiTheme="majorBidi" w:cstheme="majorBidi"/>
          <w:sz w:val="28"/>
          <w:szCs w:val="28"/>
          <w:rtl/>
        </w:rPr>
        <w:t>تمثل مؤشرات الثراء الإعلامي المعايير التي تحدد مدى قدرة الوسائط الرقمية على نقل الرسائل بفعالية وكفاءة، وتعد هذه المؤشرات أساسية لفهم كيفية اختيار الوسائل الأنسب لتوصيل المحتوى، خاصة في مجالات حساسة مثل التوعية الصحية بالأمراض العصبية المزمنة. ترتبط هذه المؤشرات بخصائص الوسائط التي تعزز من قدرتها على تحقيق تواصل غني ومتعدد الأبعاد يلبي حاجات المستخدمين (رضا عبد المقصود مصطفى وأماني، 2020)</w:t>
      </w:r>
      <w:r w:rsidRPr="00E154C9">
        <w:rPr>
          <w:rFonts w:asciiTheme="majorBidi" w:hAnsiTheme="majorBidi" w:cstheme="majorBidi"/>
          <w:sz w:val="28"/>
          <w:szCs w:val="28"/>
        </w:rPr>
        <w:t>.</w:t>
      </w:r>
    </w:p>
    <w:p w14:paraId="2E4447B4"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أول مؤشر هو قدرة الوسيلة على نقل المعلومات بشكل متزامن، حيث تسمح الوسائط التي توفر تواصلًا في الوقت الحقيقي مثل المحادثات الفيديوية والبث المباشر بالتفاعل الفوري بين المرسل والمستقبل، مما يسهم في توضيح الرسائل الصحية وتقليل سوء الفهم (إبراهيم وليد العشرى والبندارى، 2022). هذه اللحظية تتيح للمستخدمين طرح الأسئلة والحصول على ردود فورية، وهو أمر مهم عند مناقشة أمراض معقدة كالاعتلالات العصبية</w:t>
      </w:r>
      <w:r w:rsidRPr="00E154C9">
        <w:rPr>
          <w:rFonts w:asciiTheme="majorBidi" w:hAnsiTheme="majorBidi" w:cstheme="majorBidi"/>
          <w:sz w:val="28"/>
          <w:szCs w:val="28"/>
        </w:rPr>
        <w:t>.</w:t>
      </w:r>
    </w:p>
    <w:p w14:paraId="0C7F97F0"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ثانيًا، تُعتبر القدرة على استخدام القنوات المتعددة من أهم مؤشرات الثراء، حيث تدمج الوسائط الرقمية الصوت والصورة والنص والحركة لتوصيل الرسالة بشكل شامل. مثلاً، الفيديوهات التعليمية التي تجمع بين الشرح الصوتي، الرسوم المتحركة، والنصوص المكتوبة تُعد أكثر ثراءً من النصوص أو الصور فقط (المنتصر ومنصور، 2021)</w:t>
      </w:r>
      <w:r w:rsidRPr="00E154C9">
        <w:rPr>
          <w:rFonts w:asciiTheme="majorBidi" w:hAnsiTheme="majorBidi" w:cstheme="majorBidi"/>
          <w:sz w:val="28"/>
          <w:szCs w:val="28"/>
        </w:rPr>
        <w:t>.</w:t>
      </w:r>
    </w:p>
    <w:p w14:paraId="15F499F9"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ثالثًا، توفر الوسائط الرقمية إمكانية التفاعل العالي، التي تشمل التعليقات، الإعجابات، المشاركة، والاستطلاعات، مما يعزز من مشاركة الجمهور ويخلق بيئة تواصل ديناميكية. هذا التفاعل يساعد على تعزيز الإشباعات الاجتماعية ويزيد من التزام المستخدمين بالمحتوى الصحي (حسنين وإسراء عاطف وآخرون، 2024)</w:t>
      </w:r>
      <w:r w:rsidRPr="00E154C9">
        <w:rPr>
          <w:rFonts w:asciiTheme="majorBidi" w:hAnsiTheme="majorBidi" w:cstheme="majorBidi"/>
          <w:sz w:val="28"/>
          <w:szCs w:val="28"/>
        </w:rPr>
        <w:t>.</w:t>
      </w:r>
    </w:p>
    <w:p w14:paraId="63C39961"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رابعًا، تُعد القدرة على التخصيص والتكيف مع المستخدم مؤشرًا مهمًا، حيث تتيح بعض الوسائط الرقمية تخصيص المحتوى وفقًا لاحتياجات واهتمامات كل مستخدم، مثل التطبيقات الصحية التي تقدم نصائح مخصصة بناءً على حالة المستخدم الصحية (عبد الناصر، 2020). هذا التخصيص يزيد من فاعلية الرسائل ويحفز المستخدمين على الالتزام بالتعليمات الصحية</w:t>
      </w:r>
      <w:r w:rsidRPr="00E154C9">
        <w:rPr>
          <w:rFonts w:asciiTheme="majorBidi" w:hAnsiTheme="majorBidi" w:cstheme="majorBidi"/>
          <w:sz w:val="28"/>
          <w:szCs w:val="28"/>
        </w:rPr>
        <w:t>.</w:t>
      </w:r>
    </w:p>
    <w:p w14:paraId="61E019B8"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خامسًا، مستوى الوضوح والدقة في نقل المعلومات يمثل مؤشرًا حيويًا، إذ يجب أن تكون الوسائط الرقمية قادرة على تقديم معلومات دقيقة وواضحة لتجنب الالتباس، خصوصًا في المواضيع الطبية التي تتطلب فهمًا دقيقًا (رضا عبد المقصود مصطفى وأماني، 2020)</w:t>
      </w:r>
      <w:r w:rsidRPr="00E154C9">
        <w:rPr>
          <w:rFonts w:asciiTheme="majorBidi" w:hAnsiTheme="majorBidi" w:cstheme="majorBidi"/>
          <w:sz w:val="28"/>
          <w:szCs w:val="28"/>
        </w:rPr>
        <w:t>.</w:t>
      </w:r>
    </w:p>
    <w:p w14:paraId="6D478EDE"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سادسًا، توافر وسائل التغذية الراجعة</w:t>
      </w:r>
      <w:r w:rsidRPr="00E154C9">
        <w:rPr>
          <w:rFonts w:asciiTheme="majorBidi" w:hAnsiTheme="majorBidi" w:cstheme="majorBidi"/>
          <w:sz w:val="28"/>
          <w:szCs w:val="28"/>
        </w:rPr>
        <w:t xml:space="preserve"> (Feedback) </w:t>
      </w:r>
      <w:r w:rsidRPr="00E154C9">
        <w:rPr>
          <w:rFonts w:asciiTheme="majorBidi" w:hAnsiTheme="majorBidi" w:cstheme="majorBidi"/>
          <w:sz w:val="28"/>
          <w:szCs w:val="28"/>
          <w:rtl/>
        </w:rPr>
        <w:t>يعزز من ثراء الوسائط، حيث يمكن للمستخدمين التعبير عن آرائهم، تقديم الأسئلة، أو مشاركة تجاربهم، مما يجعل التواصل أكثر حيوية وفعالية (إبراهيم وليد العشرى والبندارى، 2022)</w:t>
      </w:r>
      <w:r w:rsidRPr="00E154C9">
        <w:rPr>
          <w:rFonts w:asciiTheme="majorBidi" w:hAnsiTheme="majorBidi" w:cstheme="majorBidi"/>
          <w:sz w:val="28"/>
          <w:szCs w:val="28"/>
        </w:rPr>
        <w:t>.</w:t>
      </w:r>
    </w:p>
    <w:p w14:paraId="6D40D17B"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و توازن مؤشرات الثراء الإعلامي بين هذه الخصائص يحدد مدى ملاءمة الوسائط الرقمية للاستخدام في حملات التوعية الصحية، ويُسهم في تحسين جودة التواصل مع الجمهور وزيادة تأثير الرسائل الصحية في المجتمع السعودي (المنتصر ومنصور، 2021)</w:t>
      </w:r>
      <w:r w:rsidRPr="00E154C9">
        <w:rPr>
          <w:rFonts w:asciiTheme="majorBidi" w:hAnsiTheme="majorBidi" w:cstheme="majorBidi"/>
          <w:sz w:val="28"/>
          <w:szCs w:val="28"/>
        </w:rPr>
        <w:t>.</w:t>
      </w:r>
    </w:p>
    <w:p w14:paraId="6AB15F08" w14:textId="77777777" w:rsidR="0008625B" w:rsidRPr="00E154C9" w:rsidRDefault="0008625B" w:rsidP="0008625B">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تطبيق نظرية الثراء الإعلامي على التوعية بالأمراض العصبية المزمنة</w:t>
      </w:r>
    </w:p>
    <w:p w14:paraId="31979FC8" w14:textId="77777777" w:rsidR="0008625B" w:rsidRPr="00E154C9" w:rsidRDefault="0008625B" w:rsidP="0008625B">
      <w:pPr>
        <w:spacing w:line="360" w:lineRule="auto"/>
        <w:rPr>
          <w:rFonts w:asciiTheme="majorBidi" w:hAnsiTheme="majorBidi" w:cstheme="majorBidi"/>
          <w:sz w:val="28"/>
          <w:szCs w:val="28"/>
          <w:rtl/>
        </w:rPr>
      </w:pPr>
      <w:r w:rsidRPr="00E154C9">
        <w:rPr>
          <w:rFonts w:asciiTheme="majorBidi" w:hAnsiTheme="majorBidi" w:cstheme="majorBidi"/>
          <w:sz w:val="28"/>
          <w:szCs w:val="28"/>
          <w:rtl/>
        </w:rPr>
        <w:t>تُعتبر نظرية الثراء الإعلامي إطارًا مهمًا لتحليل اختيار الوسائط الأنسب في نقل المعلومات الصحية، لا سيما في مجال التوعية بالأمراض العصبية المزمنة التي تتطلب توصيل رسائل دقيقة ومعقدة لجمهور متنوع. تعتمد هذه النظرية على مبدأ أن الوسائل الإعلامية تختلف في مدى "ثرائها" وقدرتها على نقل المحتوى بفعالية، ويجب اختيار الوسيلة التي تتناسب مع طبيعة الرسالة وحاجات المتلقين (رضا عبد المقصود مصطفى وأماني، 2020)</w:t>
      </w:r>
      <w:r w:rsidRPr="00E154C9">
        <w:rPr>
          <w:rFonts w:asciiTheme="majorBidi" w:hAnsiTheme="majorBidi" w:cstheme="majorBidi"/>
          <w:sz w:val="28"/>
          <w:szCs w:val="28"/>
        </w:rPr>
        <w:t>.</w:t>
      </w:r>
    </w:p>
    <w:p w14:paraId="20D98863"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في سياق التوعية بالأمراض العصبية المزمنة في المجتمع السعودي، تستفيد الحملات الصحية الرقمية من اختيار وسائط غنية تمكّن من توصيل المعلومات المعقدة بشكل واضح وفعال. فعلى سبيل المثال، تستخدم مقاطع الفيديو التفاعلية والبث الحي عبر منصات التواصل الاجتماعي كالفيديوهات التوضيحية، حيث توفر هذه الوسائط تواصلًا بصريًا وسمعيًا متزامنًا، مما يسهل فهم أعراض المرض، طرق الوقاية، والعلاجات المتاحة (إبراهيم وليد العشرى والبندارى، 2022)</w:t>
      </w:r>
      <w:r w:rsidRPr="00E154C9">
        <w:rPr>
          <w:rFonts w:asciiTheme="majorBidi" w:hAnsiTheme="majorBidi" w:cstheme="majorBidi"/>
          <w:sz w:val="28"/>
          <w:szCs w:val="28"/>
        </w:rPr>
        <w:t>.</w:t>
      </w:r>
    </w:p>
    <w:p w14:paraId="5451F171"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كما يمكن توظيف الوسائط التي تتيح التفاعل الفوري، مثل جلسات الأسئلة والأجوبة عبر الإنترنت، لتعزيز مشاركة الجمهور وتوفير ردود فعل مباشرة، مما يرفع من ثقة المتلقين في المعلومات الصحية ويزيد من التزامهم بالسلوكيات الوقائية (المنتصر ومنصور، 2021). هذا التفاعل يخلق بيئة إعلامية داعمة للمريض والأسرة على حد سواء</w:t>
      </w:r>
      <w:r w:rsidRPr="00E154C9">
        <w:rPr>
          <w:rFonts w:asciiTheme="majorBidi" w:hAnsiTheme="majorBidi" w:cstheme="majorBidi"/>
          <w:sz w:val="28"/>
          <w:szCs w:val="28"/>
        </w:rPr>
        <w:t>.</w:t>
      </w:r>
    </w:p>
    <w:p w14:paraId="66A84DB8"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تُبرز النظرية أهمية تخصيص المحتوى بما يتناسب مع احتياجات الفئات المستهدفة، حيث يمكن استخدام التطبيقات الصحية الرقمية التي تقدم نصائح ومتابعة مخصصة لكل مستخدم بناءً على حالته الصحية، مما يعزز من فاعلية التوعية ويحفز على الالتزام بالعلاج (حسنين وإسراء عاطف وآخرون، 2024)</w:t>
      </w:r>
      <w:r w:rsidRPr="00E154C9">
        <w:rPr>
          <w:rFonts w:asciiTheme="majorBidi" w:hAnsiTheme="majorBidi" w:cstheme="majorBidi"/>
          <w:sz w:val="28"/>
          <w:szCs w:val="28"/>
        </w:rPr>
        <w:t>.</w:t>
      </w:r>
    </w:p>
    <w:p w14:paraId="61BA8B98"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ومع ذلك، يشير التطبيق العملي للنظرية إلى ضرورة موازنة ثراء الوسيلة مع تكلفة إنتاجها ومدى وصولها للجمهور، حيث قد تكون الوسائط الأكثر ثراءً مكلفة وتتطلب بنية تقنية متقدمة، مما يستدعي تبني استراتيجيات متكاملة تجمع بين الوسائط المتنوعة لضمان شمولية التوعية (عبد الناصر، 2020)</w:t>
      </w:r>
      <w:r w:rsidRPr="00E154C9">
        <w:rPr>
          <w:rFonts w:asciiTheme="majorBidi" w:hAnsiTheme="majorBidi" w:cstheme="majorBidi"/>
          <w:sz w:val="28"/>
          <w:szCs w:val="28"/>
        </w:rPr>
        <w:t>.</w:t>
      </w:r>
    </w:p>
    <w:p w14:paraId="4C8A3ACF"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و يشكل تطبيق نظرية الثراء الإعلامي على التوعية بالأمراض العصبية المزمنة أداة فعالة لتصميم حملات إعلامية رقمية تلبي حاجات الجمهور المتنوعة، وتحقق فهمًا أعمق للرسائل الصحية، مما يساهم في تحسين مستوى الوعي والصحة العامة في المجتمع السعودي (ليلى علي جمعه، 2021)</w:t>
      </w:r>
      <w:r w:rsidRPr="00E154C9">
        <w:rPr>
          <w:rFonts w:asciiTheme="majorBidi" w:hAnsiTheme="majorBidi" w:cstheme="majorBidi"/>
          <w:sz w:val="28"/>
          <w:szCs w:val="28"/>
        </w:rPr>
        <w:t>.</w:t>
      </w:r>
    </w:p>
    <w:p w14:paraId="6DFEE2F3" w14:textId="77777777" w:rsidR="0008625B" w:rsidRPr="00E154C9" w:rsidRDefault="0008625B" w:rsidP="0008625B">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مدى توافق المنصات الرقمية في السعودية مع معايير الثراء الإعلامي</w:t>
      </w:r>
    </w:p>
    <w:p w14:paraId="7D3E1B32" w14:textId="77777777" w:rsidR="0008625B" w:rsidRPr="00E154C9" w:rsidRDefault="0008625B" w:rsidP="0008625B">
      <w:pPr>
        <w:spacing w:line="360" w:lineRule="auto"/>
        <w:rPr>
          <w:rFonts w:asciiTheme="majorBidi" w:hAnsiTheme="majorBidi" w:cstheme="majorBidi"/>
          <w:sz w:val="28"/>
          <w:szCs w:val="28"/>
          <w:rtl/>
        </w:rPr>
      </w:pPr>
      <w:r w:rsidRPr="00E154C9">
        <w:rPr>
          <w:rFonts w:asciiTheme="majorBidi" w:hAnsiTheme="majorBidi" w:cstheme="majorBidi"/>
          <w:sz w:val="28"/>
          <w:szCs w:val="28"/>
          <w:rtl/>
        </w:rPr>
        <w:t>شهدت المملكة العربية السعودية تطورًا كبيرًا في البنية التحتية الرقمية وانتشار منصات الإعلام الرقمي، مما جعلها بيئة خصبة لتطبيق معايير نظرية الثراء الإعلامي في مجالات متعددة، خاصة التوعية الصحية بالأمراض العصبية المزمنة. يعكس هذا التطور مدى توافق المنصات الرقمية السعودية مع مؤشرات الثراء الإعلامي التي تشمل التفاعلية، التخصيص، تعدد القنوات، والقدرة على نقل المعلومات بوضوح ودقة (المنتصر ومنصور، 2021)</w:t>
      </w:r>
      <w:r w:rsidRPr="00E154C9">
        <w:rPr>
          <w:rFonts w:asciiTheme="majorBidi" w:hAnsiTheme="majorBidi" w:cstheme="majorBidi"/>
          <w:sz w:val="28"/>
          <w:szCs w:val="28"/>
        </w:rPr>
        <w:t>.</w:t>
      </w:r>
    </w:p>
    <w:p w14:paraId="52A65036"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تُعد منصات التواصل الاجتماعي مثل تويتر، إنستغرام، ويوتيوب من أكثر الوسائل الرقمية انتشارًا في السعودية، وتمتاز هذه المنصات بقدرتها العالية على توفير محتوى متنوع يجمع بين النص، الصورة، الفيديو، والصوت، مما يعزز من ثراء الوسائط المقدمة للمستخدمين. وتوفر هذه المنصات خاصية التفاعل الفوري عبر التعليقات والمشاركات، مما يلبي إشباعات الجمهور الاجتماعية ويعزز من مشاركتهم في حملات التوعية الصحية (حسنين وإسراء عاطف وآخرون، 2024)</w:t>
      </w:r>
      <w:r w:rsidRPr="00E154C9">
        <w:rPr>
          <w:rFonts w:asciiTheme="majorBidi" w:hAnsiTheme="majorBidi" w:cstheme="majorBidi"/>
          <w:sz w:val="28"/>
          <w:szCs w:val="28"/>
        </w:rPr>
        <w:t>.</w:t>
      </w:r>
    </w:p>
    <w:p w14:paraId="51601BFB"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كما تدعم بعض المنصات الرقمية في السعودية استخدام تقنيات متقدمة مثل البث المباشر والرسائل التفاعلية، والتي تعتبر مؤشرات مهمة في الثراء الإعلامي لأنها تسمح بالتواصل الفوري وتبادل المعلومات بفعالية، وهو أمر حيوي في نقل رسائل توعية دقيقة تتعلق بالأمراض العصبية المزمنة (إبراهيم وليد العشرى والبندارى، 2022)</w:t>
      </w:r>
      <w:r w:rsidRPr="00E154C9">
        <w:rPr>
          <w:rFonts w:asciiTheme="majorBidi" w:hAnsiTheme="majorBidi" w:cstheme="majorBidi"/>
          <w:sz w:val="28"/>
          <w:szCs w:val="28"/>
        </w:rPr>
        <w:t>.</w:t>
      </w:r>
    </w:p>
    <w:p w14:paraId="6F1E4964"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تتميز بعض التطبيقات الصحية الرقمية السعودية أيضًا بإمكانية تخصيص المحتوى بناءً على بيانات المستخدم الصحية، مما يتيح تقديم نصائح وتوجيهات مخصصة تتناسب مع حالة كل فرد، وهو جانب مهم من معايير الثراء الإعلامي يعزز من فعالية التوعية ويحفز الالتزام بالعلاج (عبد الناصر، 2020)</w:t>
      </w:r>
      <w:r w:rsidRPr="00E154C9">
        <w:rPr>
          <w:rFonts w:asciiTheme="majorBidi" w:hAnsiTheme="majorBidi" w:cstheme="majorBidi"/>
          <w:sz w:val="28"/>
          <w:szCs w:val="28"/>
        </w:rPr>
        <w:t>.</w:t>
      </w:r>
    </w:p>
    <w:p w14:paraId="77F28007"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ومع ذلك، توجد تحديات تواجه مدى توافق المنصات الرقمية السعودية مع معايير الثراء الإعلامي، منها تفاوت الوصول الرقمي بين المناطق الحضرية والريفية، واختلاف مستويات الوعي الرقمي لدى المستخدمين، مما يؤثر على قدرة بعض الفئات في الاستفادة الكاملة من الوسائط الغنية والمتقدمة (المنتصر ومنصور، 2021)</w:t>
      </w:r>
      <w:r w:rsidRPr="00E154C9">
        <w:rPr>
          <w:rFonts w:asciiTheme="majorBidi" w:hAnsiTheme="majorBidi" w:cstheme="majorBidi"/>
          <w:sz w:val="28"/>
          <w:szCs w:val="28"/>
        </w:rPr>
        <w:t>.</w:t>
      </w:r>
    </w:p>
    <w:p w14:paraId="2D2692BE"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بالإضافة إلى ذلك، يبرز تحدي جودة المحتوى المقدم على هذه المنصات، حيث يتطلب ضمان دقة المعلومات الصحية وموثوقيتها تعزيز التعاون بين الجهات الصحية والمختصين الرقميين، لضمان توافق الرسائل مع معايير الإعلام الثرى وتعزيز ثقة الجمهور (حسنين وإسراء عاطف وآخرون، 2024)</w:t>
      </w:r>
      <w:r w:rsidRPr="00E154C9">
        <w:rPr>
          <w:rFonts w:asciiTheme="majorBidi" w:hAnsiTheme="majorBidi" w:cstheme="majorBidi"/>
          <w:sz w:val="28"/>
          <w:szCs w:val="28"/>
        </w:rPr>
        <w:t>.</w:t>
      </w:r>
    </w:p>
    <w:p w14:paraId="3BD842CA"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بناءً على ما سبق، يمكن القول إن المنصات الرقمية في السعودية تتوافق بشكل كبير مع معايير الثراء الإعلامي، مما يجعلها أدوات قوية لتوصيل الرسائل الصحية والتوعية بالأمراض العصبية المزمنة، مع ضرورة مواصلة تطوير هذه المنصات ومعالجة التحديات لتعظيم تأثيرها في المجتمع السعودي (ليلى علي جمعه، 2021)</w:t>
      </w:r>
      <w:r w:rsidRPr="00E154C9">
        <w:rPr>
          <w:rFonts w:asciiTheme="majorBidi" w:hAnsiTheme="majorBidi" w:cstheme="majorBidi"/>
          <w:sz w:val="28"/>
          <w:szCs w:val="28"/>
        </w:rPr>
        <w:t>.</w:t>
      </w:r>
    </w:p>
    <w:p w14:paraId="728708F6" w14:textId="77777777" w:rsidR="0008625B" w:rsidRPr="00E154C9" w:rsidRDefault="0008625B" w:rsidP="0008625B">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أهمية اختيار الوسيط الإعلامي المناسب حسب طبيعة الرسالة الصحية</w:t>
      </w:r>
    </w:p>
    <w:p w14:paraId="416FAD71" w14:textId="77777777" w:rsidR="0008625B" w:rsidRPr="00E154C9" w:rsidRDefault="0008625B" w:rsidP="0008625B">
      <w:pPr>
        <w:spacing w:line="360" w:lineRule="auto"/>
        <w:rPr>
          <w:rFonts w:asciiTheme="majorBidi" w:hAnsiTheme="majorBidi" w:cstheme="majorBidi"/>
          <w:sz w:val="28"/>
          <w:szCs w:val="28"/>
          <w:rtl/>
        </w:rPr>
      </w:pPr>
      <w:r w:rsidRPr="00E154C9">
        <w:rPr>
          <w:rFonts w:asciiTheme="majorBidi" w:hAnsiTheme="majorBidi" w:cstheme="majorBidi"/>
          <w:sz w:val="28"/>
          <w:szCs w:val="28"/>
          <w:rtl/>
        </w:rPr>
        <w:t>تلعب الوسائط الإعلامية دورًا حاسمًا في نقل الرسائل الصحية إلى الجمهور، ويُعتبر اختيار الوسيط المناسب وفق طبيعة الرسالة من العوامل الرئيسية التي تحدد نجاح الحملات التوعوية، خصوصًا في مجالات حساسة كالتوعية بالأمراض العصبية المزمنة. فكل رسالة صحية تمتاز بدرجة من التعقيد، الحساسية، وأسلوب التقديم الذي يتطلب وسيطًا إعلاميًا يمتلك القدرة على توصيلها بفعالية ودقة (طالة ولامية، 2022)</w:t>
      </w:r>
      <w:r w:rsidRPr="00E154C9">
        <w:rPr>
          <w:rFonts w:asciiTheme="majorBidi" w:hAnsiTheme="majorBidi" w:cstheme="majorBidi"/>
          <w:sz w:val="28"/>
          <w:szCs w:val="28"/>
        </w:rPr>
        <w:t>.</w:t>
      </w:r>
    </w:p>
    <w:p w14:paraId="745DAD6D"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يرتكز اختيار الوسيط الإعلامي على مفهوم الثراء الإعلامي، حيث يُفضّل استخدام وسائط غنية قادرة على تقديم محتوى معقد أو حساس بوضوح، مثل الفيديوهات التفاعلية أو المحادثات الحية، والتي تسمح بدمج الصوت والصورة واللغة الجسدية، مما يعزز فهم الرسالة ويقلل من احتمالية سوء التفسير (رضا عبد المقصود مصطفى وأماني، 2020). وهذا أمر بالغ الأهمية في توضيح أعراض الأمراض العصبية المزمنة، حيث يحتاج الجمهور إلى شرح مفصل وتفاعلي</w:t>
      </w:r>
      <w:r w:rsidRPr="00E154C9">
        <w:rPr>
          <w:rFonts w:asciiTheme="majorBidi" w:hAnsiTheme="majorBidi" w:cstheme="majorBidi"/>
          <w:sz w:val="28"/>
          <w:szCs w:val="28"/>
        </w:rPr>
        <w:t>.</w:t>
      </w:r>
    </w:p>
    <w:p w14:paraId="48D32595"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lastRenderedPageBreak/>
        <w:t>بالنسبة للرسائل التي تهدف إلى إيصال معلومات بسيطة أو تعليمات مباشرة، يمكن استخدام الوسائط الأقل ثراءً مثل الرسائل النصية أو المنشورات الرقمية، لما تتمتع به من سهولة في الوصول وتكلفة إنتاج منخفضة، مع إمكانية تكرار الرسالة لتعزيز الحفظ (إبراهيم وليد العشرى والبندارى، 2022)</w:t>
      </w:r>
      <w:r w:rsidRPr="00E154C9">
        <w:rPr>
          <w:rFonts w:asciiTheme="majorBidi" w:hAnsiTheme="majorBidi" w:cstheme="majorBidi"/>
          <w:sz w:val="28"/>
          <w:szCs w:val="28"/>
        </w:rPr>
        <w:t>.</w:t>
      </w:r>
    </w:p>
    <w:p w14:paraId="6755B00D"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تُعد خاصية التفاعل في الوسيط الإعلامي من العوامل المهمة، خاصة عند الحاجة إلى تقديم دعم نفسي أو تشجيع سلوكيات صحية، إذ تتيح الوسائط التفاعلية مثل منصات التواصل الاجتماعي إمكانية النقاش، طرح الأسئلة، وتبادل التجارب، مما يخلق بيئة دعم مجتمعي تساهم في تحفيز المرضى وأفراد أسرهم (المنتصر ومنصور، 2021)</w:t>
      </w:r>
      <w:r w:rsidRPr="00E154C9">
        <w:rPr>
          <w:rFonts w:asciiTheme="majorBidi" w:hAnsiTheme="majorBidi" w:cstheme="majorBidi"/>
          <w:sz w:val="28"/>
          <w:szCs w:val="28"/>
        </w:rPr>
        <w:t>.</w:t>
      </w:r>
    </w:p>
    <w:p w14:paraId="5D4FC447"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كما يؤخذ في الاعتبار الجمهور المستهدف عند اختيار الوسيط، حيث تتطلب بعض الفئات العمرية أو الثقافية وسائط معينة تلائم احتياجاتهم ومستوى فهمهم، مما يستلزم اختيار الوسائط التي توفر تخصيصًا وتنوعًا في المحتوى (حسنين وإسراء عاطف وآخرون، 2024)</w:t>
      </w:r>
      <w:r w:rsidRPr="00E154C9">
        <w:rPr>
          <w:rFonts w:asciiTheme="majorBidi" w:hAnsiTheme="majorBidi" w:cstheme="majorBidi"/>
          <w:sz w:val="28"/>
          <w:szCs w:val="28"/>
        </w:rPr>
        <w:t>.</w:t>
      </w:r>
    </w:p>
    <w:p w14:paraId="5829C4AA"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من جهة أخرى، يجب أن يتم تقييم الوسيط بناءً على سهولة الوصول والانتشار، خاصة في المجتمعات التي تشهد تفاوتًا في البنية التحتية الرقمية، لضمان وصول الرسائل إلى أكبر عدد ممكن من المستهدفين (عبد الناصر، 2020)</w:t>
      </w:r>
      <w:r w:rsidRPr="00E154C9">
        <w:rPr>
          <w:rFonts w:asciiTheme="majorBidi" w:hAnsiTheme="majorBidi" w:cstheme="majorBidi"/>
          <w:sz w:val="28"/>
          <w:szCs w:val="28"/>
        </w:rPr>
        <w:t>.</w:t>
      </w:r>
    </w:p>
    <w:p w14:paraId="556A84AC"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بالتالي، يشكل اختيار الوسيط الإعلامي المناسب عنصرًا استراتيجيًا يعزز من فاعلية التوعية الصحية، ويضمن وصول الرسائل بدقة ووضوح، مما يدعم التغيير السلوكي الإيجابي ويسهم في تحسين صحة المجتمع، لا سيما في مواجهة تحديات الأمراض العصبية المزمنة في السعودية (ليلى علي جمعه، 2021)</w:t>
      </w:r>
      <w:r w:rsidRPr="00E154C9">
        <w:rPr>
          <w:rFonts w:asciiTheme="majorBidi" w:hAnsiTheme="majorBidi" w:cstheme="majorBidi"/>
          <w:sz w:val="28"/>
          <w:szCs w:val="28"/>
        </w:rPr>
        <w:t>.</w:t>
      </w:r>
    </w:p>
    <w:p w14:paraId="7270AF4B" w14:textId="77777777" w:rsidR="0008625B" w:rsidRPr="00E154C9" w:rsidRDefault="0008625B" w:rsidP="0008625B">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تحديات تطبيق نظرية الثراء الإعلامي في الإعلام الصحي الرقمي</w:t>
      </w:r>
    </w:p>
    <w:p w14:paraId="6801D744"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تواجه نظرية الثراء الإعلامي العديد من التحديات عند تطبيقها في مجال الإعلام الصحي الرقمي، لا سيما في سياق التوعية بالأمراض العصبية المزمنة التي تتطلب دقة ووضوحًا عاليين في نقل المعلومات. من أبرز هذه التحديات، التفاوت الكبير في القدرات التقنية للمستخدمين، حيث يختلف مستوى الوصول إلى الأجهزة الحديثة والإنترنت بين الفئات العمرية والمناطق الجغرافية، مما يؤثر على فعالية الوسائط الغنية التي تعتمد على تقنيات متقدمة مثل الفيديو والبث المباشر (المنتصر ومنصور، 2021)</w:t>
      </w:r>
      <w:r w:rsidRPr="00E154C9">
        <w:rPr>
          <w:rFonts w:asciiTheme="majorBidi" w:hAnsiTheme="majorBidi" w:cstheme="majorBidi"/>
          <w:sz w:val="28"/>
          <w:szCs w:val="28"/>
        </w:rPr>
        <w:t>.</w:t>
      </w:r>
    </w:p>
    <w:p w14:paraId="29AC31AF"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كما تمثل تكلفة إنتاج المحتوى الإعلامي الغني تحديًا كبيرًا للجهات المعنية، خصوصًا في الحملات الصحية التي تتطلب موارد مالية وبشرية كبيرة لتصميم وإنتاج مواد تفاعلية عالية الجودة. قد يدفع هذا الواقع بعض </w:t>
      </w:r>
      <w:r w:rsidRPr="00E154C9">
        <w:rPr>
          <w:rFonts w:asciiTheme="majorBidi" w:hAnsiTheme="majorBidi" w:cstheme="majorBidi"/>
          <w:sz w:val="28"/>
          <w:szCs w:val="28"/>
          <w:rtl/>
        </w:rPr>
        <w:lastRenderedPageBreak/>
        <w:t>المؤسسات إلى الاعتماد على وسائل أقل ثراءً، مما يقلل من فاعلية التوعية (حسنين وإسراء عاطف وآخرون، 2024)</w:t>
      </w:r>
      <w:r w:rsidRPr="00E154C9">
        <w:rPr>
          <w:rFonts w:asciiTheme="majorBidi" w:hAnsiTheme="majorBidi" w:cstheme="majorBidi"/>
          <w:sz w:val="28"/>
          <w:szCs w:val="28"/>
        </w:rPr>
        <w:t>.</w:t>
      </w:r>
    </w:p>
    <w:p w14:paraId="4DFAC237"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تواجه النظرية أيضًا تحديًا في ضمان موثوقية المعلومات المقدمة عبر الوسائط الرقمية، إذ تنتشر في بعض الأحيان معلومات مغلوطة أو مضللة تعرقل تحقيق الأهداف الصحية، مما يتطلب آليات فعالة للتحقق من المحتوى ومصادره (إبراهيم وليد العشرى والبندارى، 2022)</w:t>
      </w:r>
      <w:r w:rsidRPr="00E154C9">
        <w:rPr>
          <w:rFonts w:asciiTheme="majorBidi" w:hAnsiTheme="majorBidi" w:cstheme="majorBidi"/>
          <w:sz w:val="28"/>
          <w:szCs w:val="28"/>
        </w:rPr>
        <w:t>.</w:t>
      </w:r>
    </w:p>
    <w:p w14:paraId="27F9A84D"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إضافة إلى ذلك، قد تؤثر الفروق الثقافية والاجتماعية على استجابة الجمهور للوسائط الإعلامية الغنية، حيث قد يفضل بعض المستخدمين الوسائط التقليدية أو النصوص المكتوبة بدلاً من الوسائط التفاعلية، مما يستلزم تصميم استراتيجيات إعلامية متوازنة تراعي هذه الفروقات (طالة ولامية، 2022)</w:t>
      </w:r>
      <w:r w:rsidRPr="00E154C9">
        <w:rPr>
          <w:rFonts w:asciiTheme="majorBidi" w:hAnsiTheme="majorBidi" w:cstheme="majorBidi"/>
          <w:sz w:val="28"/>
          <w:szCs w:val="28"/>
        </w:rPr>
        <w:t>.</w:t>
      </w:r>
    </w:p>
    <w:p w14:paraId="2FBA502A"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كما يبرز تحدي الحفاظ على خصوصية المستخدمين وحماية بياناتهم الصحية في بيئة رقمية متقدمة، وهو أمر حساس للغاية في السياقات الصحية، ويتطلب توظيف تقنيات أمان قوية وسياسات واضحة لضمان الثقة بين الجمهور والجهات المرسلة للمعلومات (عبد الناصر، 2020)</w:t>
      </w:r>
      <w:r w:rsidRPr="00E154C9">
        <w:rPr>
          <w:rFonts w:asciiTheme="majorBidi" w:hAnsiTheme="majorBidi" w:cstheme="majorBidi"/>
          <w:sz w:val="28"/>
          <w:szCs w:val="28"/>
        </w:rPr>
        <w:t>.</w:t>
      </w:r>
    </w:p>
    <w:p w14:paraId="19A22BF5"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أخيرًا، تحتاج نظرية الثراء الإعلامي إلى تحديث مستمر لمواكبة التطورات السريعة في التكنولوجيا الرقمية، مثل الذكاء الاصطناعي والواقع الافتراضي، لضمان استمرارية ملاءمتها في تحليل واختيار الوسائط الفعالة في الإعلام الصحي الرقمي (رضا عبد المقصود مصطفى وأماني، 2020)</w:t>
      </w:r>
      <w:r w:rsidRPr="00E154C9">
        <w:rPr>
          <w:rFonts w:asciiTheme="majorBidi" w:hAnsiTheme="majorBidi" w:cstheme="majorBidi"/>
          <w:sz w:val="28"/>
          <w:szCs w:val="28"/>
        </w:rPr>
        <w:t>.</w:t>
      </w:r>
    </w:p>
    <w:p w14:paraId="7D7D2187"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بناءً على ما سبق، تتطلب مواجهة هذه التحديات تعاونًا متعدد القطاعات بين المؤسسات الصحية، التقنية، والبحثية لتطوير بيئة إعلامية رقمية صحية غنية، موثوقة، ومتاحة لجميع شرائح المجتمع، خصوصًا في السعودية حيث تتزايد الحاجة إلى التوعية بالأمراض العصبية المزمنة (ليلى علي جمعه، 2021)</w:t>
      </w:r>
      <w:r w:rsidRPr="00E154C9">
        <w:rPr>
          <w:rFonts w:asciiTheme="majorBidi" w:hAnsiTheme="majorBidi" w:cstheme="majorBidi"/>
          <w:sz w:val="28"/>
          <w:szCs w:val="28"/>
        </w:rPr>
        <w:t>.</w:t>
      </w:r>
    </w:p>
    <w:p w14:paraId="447C3BD8" w14:textId="77777777" w:rsidR="0008625B" w:rsidRPr="00E154C9" w:rsidRDefault="0008625B" w:rsidP="0008625B">
      <w:pPr>
        <w:spacing w:line="360" w:lineRule="auto"/>
        <w:rPr>
          <w:rFonts w:asciiTheme="majorBidi" w:hAnsiTheme="majorBidi" w:cstheme="majorBidi"/>
          <w:b/>
          <w:bCs/>
          <w:sz w:val="28"/>
          <w:szCs w:val="28"/>
        </w:rPr>
      </w:pPr>
      <w:r w:rsidRPr="00E154C9">
        <w:rPr>
          <w:rFonts w:asciiTheme="majorBidi" w:hAnsiTheme="majorBidi" w:cstheme="majorBidi"/>
          <w:b/>
          <w:bCs/>
          <w:sz w:val="28"/>
          <w:szCs w:val="28"/>
          <w:rtl/>
        </w:rPr>
        <w:t>التعليق على النظريات:</w:t>
      </w:r>
    </w:p>
    <w:p w14:paraId="6D10946C" w14:textId="77777777" w:rsidR="0008625B" w:rsidRPr="00E154C9" w:rsidRDefault="0008625B" w:rsidP="0008625B">
      <w:pPr>
        <w:spacing w:line="360" w:lineRule="auto"/>
        <w:rPr>
          <w:rFonts w:asciiTheme="majorBidi" w:hAnsiTheme="majorBidi" w:cstheme="majorBidi"/>
          <w:sz w:val="28"/>
          <w:szCs w:val="28"/>
          <w:rtl/>
        </w:rPr>
      </w:pPr>
      <w:r w:rsidRPr="00E154C9">
        <w:rPr>
          <w:rFonts w:asciiTheme="majorBidi" w:hAnsiTheme="majorBidi" w:cstheme="majorBidi"/>
          <w:sz w:val="28"/>
          <w:szCs w:val="28"/>
          <w:rtl/>
        </w:rPr>
        <w:t xml:space="preserve">تُعد التوعية الصحية عبر الإعلام الرقمي من أهم الوسائل الحديثة التي تلعب دورًا محورياً في رفع الوعي المجتمعي حول الأمراض المزمنة، وبالأخص الأمراض العصبية التي تحتاج إلى توجهات إعلامية دقيقة ومتخصصة. في هذا الإطار، تُقدّم نظريتا الاستخدامات والإشباعات، والثراء الإعلامي أُطرًا فكرية تساعد في فهم آليات اختيار الجمهور للوسائط الإعلامية وكيفية تفاعلهم معها لتحقيق أهداف التوعية الصحية. وبالتركيز على المجتمع السعودي، حيث يتزايد الاهتمام بالقضايا الصحية الرقمية، يمكن استثمار هاتين </w:t>
      </w:r>
      <w:r w:rsidRPr="00E154C9">
        <w:rPr>
          <w:rFonts w:asciiTheme="majorBidi" w:hAnsiTheme="majorBidi" w:cstheme="majorBidi"/>
          <w:sz w:val="28"/>
          <w:szCs w:val="28"/>
          <w:rtl/>
        </w:rPr>
        <w:lastRenderedPageBreak/>
        <w:t>النظريتين لتعزيز فاعلية حملات التوعية بالأمراض العصبية المزمنة (طالة ولامية، 2022؛ رضا عبد المقصود مصطفى وأماني، 2020)</w:t>
      </w:r>
      <w:r w:rsidRPr="00E154C9">
        <w:rPr>
          <w:rFonts w:asciiTheme="majorBidi" w:hAnsiTheme="majorBidi" w:cstheme="majorBidi"/>
          <w:sz w:val="28"/>
          <w:szCs w:val="28"/>
        </w:rPr>
        <w:t>.</w:t>
      </w:r>
    </w:p>
    <w:p w14:paraId="7188AAAF"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تُبرز نظرية الاستخدامات والإشباعات أن الجمهور ليس متلقياً سلبيًا للمحتوى الإعلامي، بل فاعل نشط يبحث عن وسائل إعلام تلبي حاجاته المختلفة سواء كانت معرفية أو اجتماعية أو نفسية. هذا المنظور يدعم فكرة تصميم محتوى رقمي صحي لا يقتصر على تقديم المعلومات فقط، بل يراعي دوافع الجمهور من البحث عن الدعم الاجتماعي، الترفيه، أو الوقاية الصحية. في المجتمع السعودي، حيث يواجه العديد من المرضى وأسرهم تحديات معرفية ونفسية نتيجة للأمراض العصبية المزمنة، فإن الإعلام الرقمي يقدم مساحة للتفاعل والتواصل الفعّال، مثل مجموعات الدعم عبر منصات التواصل الاجتماعي أو قنوات اليوتيوب التي توفر معلومات مبسطة ومصورة. هنا تظهر أهمية تلبية الإشباعات المتعددة؛ إذ يحتاج المستخدمون إلى محتوى يُلبي حاجاتهم المعرفية لفهم المرض وأعراضه، وكذلك حاجاتهم الاجتماعية للنقاش وتبادل الخبرات، وحاجات وقائية للتوجيه نحو أساليب حياة صحية (حفيظة البراشدية والظفري، 2020؛ السعدي وجابر، 2024)</w:t>
      </w:r>
      <w:r w:rsidRPr="00E154C9">
        <w:rPr>
          <w:rFonts w:asciiTheme="majorBidi" w:hAnsiTheme="majorBidi" w:cstheme="majorBidi"/>
          <w:sz w:val="28"/>
          <w:szCs w:val="28"/>
        </w:rPr>
        <w:t>.</w:t>
      </w:r>
    </w:p>
    <w:p w14:paraId="2308DCAF"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من ناحية أخرى، توفر نظرية الثراء الإعلامي رؤية تكاملية حول كيفية اختيار الوسائط التي تناسب طبيعة الرسالة الصحية وطريقة توصيلها. فوسائل الإعلام تختلف في قدرتها على نقل الرسائل بدقة ووضوح، وتتفاوت في مقدار التفاعل الذي توفره للمستخدمين. في سياق التوعية بالأمراض العصبية المزمنة، التي قد تتطلب شرحًا تفصيليًا وأحيانًا تفاعلاً مباشرًا مع الخبراء، تشكل الوسائط الغنية مثل الفيديوهات التفاعلية والبث الحي عبر منصات التواصل الاجتماعي أدوات مثالية. هذه الوسائط تدمج بين الصوت والصورة، وتتيح التفاعل اللحظي، مما يعزز من فهم الرسائل الصحية ويزيد من ثقة الجمهور في المعلومات المقدمة. بالإضافة إلى ذلك، تسمح الوسائط الغنية بالتخصيص حسب حالة المستخدم، وهو أمر حيوي لتلبية الاحتياجات المختلفة للفئات العمرية ومستويات التعليم المختلفة داخل المجتمع السعودي (رضا عبد المقصود مصطفى وأماني، 2020؛ المنتصر ومنصور، 2021)</w:t>
      </w:r>
      <w:r w:rsidRPr="00E154C9">
        <w:rPr>
          <w:rFonts w:asciiTheme="majorBidi" w:hAnsiTheme="majorBidi" w:cstheme="majorBidi"/>
          <w:sz w:val="28"/>
          <w:szCs w:val="28"/>
        </w:rPr>
        <w:t>.</w:t>
      </w:r>
    </w:p>
    <w:p w14:paraId="2606E8A3"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تكامل النظريتين يُمكن أن يُسهم في تصميم حملات توعية أكثر تأثيرًا وفعالية. فعند تطبيق نظرية الاستخدامات والإشباعات، يمكن تحديد دوافع الجمهور المختلفة وأسباب استخدامهم للإعلام الرقمي، ومن ثم اختيار الوسائط التي تعكس مستوى الثراء المطلوب حسب هذه الدوافع. على سبيل المثال، إذا كان الجمهور يبحث عن دعم اجتماعي، فإن منصات التواصل الاجتماعي التي تسمح بالتفاعل والنقاش تُعتبر أكثر ملائمة. </w:t>
      </w:r>
      <w:r w:rsidRPr="00E154C9">
        <w:rPr>
          <w:rFonts w:asciiTheme="majorBidi" w:hAnsiTheme="majorBidi" w:cstheme="majorBidi"/>
          <w:sz w:val="28"/>
          <w:szCs w:val="28"/>
          <w:rtl/>
        </w:rPr>
        <w:lastRenderedPageBreak/>
        <w:t>أما إذا كان الهدف هو إيصال معلومات طبية معقدة، فإن الفيديوهات التوضيحية والبث المباشر مع خبراء الطب توفر ثراءً إعلاميًا مناسبًا (د. سعيد شاهين علاني وآخرون، 2024؛ خضران ونجد، غير مؤرخ)</w:t>
      </w:r>
      <w:r w:rsidRPr="00E154C9">
        <w:rPr>
          <w:rFonts w:asciiTheme="majorBidi" w:hAnsiTheme="majorBidi" w:cstheme="majorBidi"/>
          <w:sz w:val="28"/>
          <w:szCs w:val="28"/>
        </w:rPr>
        <w:t>.</w:t>
      </w:r>
    </w:p>
    <w:p w14:paraId="72177E7E"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ومع ذلك، يواجه تطبيق النظريتين تحديات عدة في السياق السعودي، منها التفاوت في الوصول الرقمي بين المناطق الحضرية والريفية، ومستويات الوعي الرقمي المتفاوتة بين الفئات المختلفة، مما قد يحد من استفادة بعض الفئات من الوسائط الرقمية الغنية. كما أن إنتاج المحتوى عالي الثراء قد يكون مكلفًا ويتطلب موارد تقنية وبشرية عالية، ما يشكل عائقًا أمام بعض الجهات المعنية. علاوة على ذلك، تنتشر أحيانًا معلومات صحية غير دقيقة أو مضللة عبر وسائل الإعلام الرقمية، مما يتطلب جهودًا مكثفة للتحقق من صحة المعلومات وتعزيز الوعي النقدي لدى المستخدمين (المنتصر ومنصور، 2021؛ حسنين وإسراء عاطف وآخرون، 2024)</w:t>
      </w:r>
      <w:r w:rsidRPr="00E154C9">
        <w:rPr>
          <w:rFonts w:asciiTheme="majorBidi" w:hAnsiTheme="majorBidi" w:cstheme="majorBidi"/>
          <w:sz w:val="28"/>
          <w:szCs w:val="28"/>
        </w:rPr>
        <w:t>.</w:t>
      </w:r>
    </w:p>
    <w:p w14:paraId="0A5C9A58"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إضافة إلى ذلك، تختلف ردود أفعال الجمهور حسب عوامل ثقافية واجتماعية تلعب دورًا في كيفية استقبالهم للمحتوى الرقمي، ما يفرض ضرورة تصميم الرسائل الإعلامية بما يتوافق مع السياق الثقافي السعودي ويأخذ بعين الاعتبار الخصوصيات الاجتماعية والدينية للمجتمع. هذا يتطلب توظيف معرفي عميق لفهم احتياجات الجمهور، وهو ما يمكن تحقيقه من خلال البحوث التطبيقية التي تستخدم أدوات نظرية الاستخدامات والإشباعات لتحديد دوافع الجمهور بدقة (طالة ولامية، 2022؛ ليلى علي جمعه، 2021)</w:t>
      </w:r>
      <w:r w:rsidRPr="00E154C9">
        <w:rPr>
          <w:rFonts w:asciiTheme="majorBidi" w:hAnsiTheme="majorBidi" w:cstheme="majorBidi"/>
          <w:sz w:val="28"/>
          <w:szCs w:val="28"/>
        </w:rPr>
        <w:t>.</w:t>
      </w:r>
    </w:p>
    <w:p w14:paraId="1D99CB1B"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كما يشير تطور التكنولوجيا الرقمية إلى الحاجة المستمرة لتحديث إطار نظرية الثراء الإعلامي، حيث تتيح الوسائط الجديدة مثل الواقع الافتراضي والذكاء الاصطناعي إمكانيات غير مسبوقة لتقديم محتوى صحي غني ومتفاعل، مما قد يحدث تحولًا جذريًا في طرق التوعية الصحية مستقبلاً. يمكن الاستفادة من هذه التقنيات في تصميم برامج تعليمية وتوعوية مخصصة تتيح للمستخدمين تجربة تفاعلية تساعد في فهم أعمق للأمراض العصبية المزمنة وطرق الوقاية منها (عبد الناصر، 2020؛ رضا عبد المقصود مصطفى وأماني، 2020)</w:t>
      </w:r>
      <w:r w:rsidRPr="00E154C9">
        <w:rPr>
          <w:rFonts w:asciiTheme="majorBidi" w:hAnsiTheme="majorBidi" w:cstheme="majorBidi"/>
          <w:sz w:val="28"/>
          <w:szCs w:val="28"/>
        </w:rPr>
        <w:t>.</w:t>
      </w:r>
    </w:p>
    <w:p w14:paraId="301199EF" w14:textId="77777777" w:rsidR="0008625B" w:rsidRPr="00E154C9" w:rsidRDefault="0008625B" w:rsidP="0008625B">
      <w:pPr>
        <w:spacing w:line="360" w:lineRule="auto"/>
        <w:rPr>
          <w:rFonts w:asciiTheme="majorBidi" w:hAnsiTheme="majorBidi" w:cstheme="majorBidi"/>
          <w:sz w:val="28"/>
          <w:szCs w:val="28"/>
        </w:rPr>
      </w:pPr>
      <w:r w:rsidRPr="00E154C9">
        <w:rPr>
          <w:rFonts w:asciiTheme="majorBidi" w:hAnsiTheme="majorBidi" w:cstheme="majorBidi"/>
          <w:sz w:val="28"/>
          <w:szCs w:val="28"/>
          <w:rtl/>
        </w:rPr>
        <w:t xml:space="preserve">في المجمل، توضح النظريتان كيف يمكن للإعلام الرقمي أن يكون أداة فعالة للتوعية الصحية إذا ما تم اختيار الوسائط بشكل استراتيجي يراعي دوافع واحتياجات الجمهور، ويستخدم الوسائط الإعلامية التي تتمتع بالثراء المناسب لطبيعة الرسائل. في المجتمع السعودي، حيث تتزايد الحاجة إلى رفع الوعي الصحي بالأمراض العصبية المزمنة، يمكن لتطبيق هذه النظريات أن يساهم في تطوير حملات إعلامية رقمية أكثر </w:t>
      </w:r>
      <w:r w:rsidRPr="00E154C9">
        <w:rPr>
          <w:rFonts w:asciiTheme="majorBidi" w:hAnsiTheme="majorBidi" w:cstheme="majorBidi"/>
          <w:sz w:val="28"/>
          <w:szCs w:val="28"/>
          <w:rtl/>
        </w:rPr>
        <w:lastRenderedPageBreak/>
        <w:t>تفاعلًا وشمولية، تدعم الصحة العامة وتُعزز من قدرة الأفراد على التعامل مع هذه الأمراض بوعي ومعرفة (ليلى علي جمعه، 2021)</w:t>
      </w:r>
      <w:r w:rsidRPr="00E154C9">
        <w:rPr>
          <w:rFonts w:asciiTheme="majorBidi" w:hAnsiTheme="majorBidi" w:cstheme="majorBidi"/>
          <w:sz w:val="28"/>
          <w:szCs w:val="28"/>
        </w:rPr>
        <w:t>.</w:t>
      </w:r>
    </w:p>
    <w:p w14:paraId="76377098" w14:textId="77777777" w:rsidR="0008625B" w:rsidRDefault="0008625B" w:rsidP="0008625B">
      <w:pPr>
        <w:spacing w:line="360" w:lineRule="auto"/>
        <w:rPr>
          <w:rFonts w:asciiTheme="majorBidi" w:hAnsiTheme="majorBidi" w:cstheme="majorBidi"/>
          <w:sz w:val="28"/>
          <w:szCs w:val="28"/>
          <w:rtl/>
        </w:rPr>
      </w:pPr>
    </w:p>
    <w:p w14:paraId="263B29A3" w14:textId="77777777" w:rsidR="004A17C0" w:rsidRDefault="004A17C0" w:rsidP="0008625B">
      <w:pPr>
        <w:spacing w:line="360" w:lineRule="auto"/>
        <w:rPr>
          <w:rFonts w:asciiTheme="majorBidi" w:hAnsiTheme="majorBidi" w:cstheme="majorBidi"/>
          <w:sz w:val="28"/>
          <w:szCs w:val="28"/>
          <w:rtl/>
        </w:rPr>
      </w:pPr>
    </w:p>
    <w:p w14:paraId="48B9C826" w14:textId="77777777" w:rsidR="000913DC" w:rsidRDefault="000913DC" w:rsidP="0008625B">
      <w:pPr>
        <w:spacing w:line="360" w:lineRule="auto"/>
        <w:rPr>
          <w:rFonts w:asciiTheme="majorBidi" w:hAnsiTheme="majorBidi" w:cstheme="majorBidi"/>
          <w:sz w:val="28"/>
          <w:szCs w:val="28"/>
          <w:rtl/>
        </w:rPr>
      </w:pPr>
    </w:p>
    <w:p w14:paraId="2AFBDEC6" w14:textId="77777777" w:rsidR="000913DC" w:rsidRDefault="000913DC" w:rsidP="0008625B">
      <w:pPr>
        <w:spacing w:line="360" w:lineRule="auto"/>
        <w:rPr>
          <w:rFonts w:asciiTheme="majorBidi" w:hAnsiTheme="majorBidi" w:cstheme="majorBidi"/>
          <w:sz w:val="28"/>
          <w:szCs w:val="28"/>
          <w:rtl/>
        </w:rPr>
      </w:pPr>
    </w:p>
    <w:p w14:paraId="3396C6B8" w14:textId="77777777" w:rsidR="000913DC" w:rsidRDefault="000913DC" w:rsidP="000913DC">
      <w:pPr>
        <w:spacing w:line="360" w:lineRule="auto"/>
        <w:jc w:val="both"/>
        <w:rPr>
          <w:rFonts w:ascii="Simplified Arabic" w:hAnsi="Simplified Arabic" w:cs="Simplified Arabic"/>
          <w:sz w:val="28"/>
          <w:szCs w:val="28"/>
          <w:rtl/>
          <w:lang w:bidi="ar-EG"/>
        </w:rPr>
      </w:pPr>
    </w:p>
    <w:p w14:paraId="00BAF18C" w14:textId="77777777" w:rsidR="000913DC" w:rsidRDefault="000913DC" w:rsidP="000913DC">
      <w:pPr>
        <w:spacing w:line="360" w:lineRule="auto"/>
        <w:jc w:val="both"/>
        <w:rPr>
          <w:rFonts w:ascii="Simplified Arabic" w:hAnsi="Simplified Arabic" w:cs="Simplified Arabic"/>
          <w:sz w:val="28"/>
          <w:szCs w:val="28"/>
          <w:rtl/>
          <w:lang w:bidi="ar-EG"/>
        </w:rPr>
      </w:pPr>
    </w:p>
    <w:p w14:paraId="5B9C06E3" w14:textId="77777777" w:rsidR="000913DC" w:rsidRDefault="000913DC" w:rsidP="000913DC">
      <w:pPr>
        <w:spacing w:line="360" w:lineRule="auto"/>
        <w:jc w:val="both"/>
        <w:rPr>
          <w:rFonts w:ascii="Simplified Arabic" w:hAnsi="Simplified Arabic" w:cs="Simplified Arabic"/>
          <w:sz w:val="28"/>
          <w:szCs w:val="28"/>
          <w:rtl/>
          <w:lang w:bidi="ar-EG"/>
        </w:rPr>
      </w:pPr>
    </w:p>
    <w:p w14:paraId="0C5E9BCE" w14:textId="77777777" w:rsidR="000913DC" w:rsidRDefault="000913DC" w:rsidP="000913DC">
      <w:pPr>
        <w:spacing w:line="360" w:lineRule="auto"/>
        <w:jc w:val="both"/>
        <w:rPr>
          <w:rFonts w:ascii="Simplified Arabic" w:hAnsi="Simplified Arabic" w:cs="Simplified Arabic"/>
          <w:sz w:val="28"/>
          <w:szCs w:val="28"/>
          <w:rtl/>
          <w:lang w:bidi="ar-EG"/>
        </w:rPr>
      </w:pPr>
    </w:p>
    <w:p w14:paraId="274C54D8" w14:textId="77777777" w:rsidR="000913DC" w:rsidRDefault="000913DC" w:rsidP="000913DC">
      <w:pPr>
        <w:spacing w:line="360" w:lineRule="auto"/>
        <w:jc w:val="both"/>
        <w:rPr>
          <w:rFonts w:ascii="Simplified Arabic" w:hAnsi="Simplified Arabic" w:cs="Simplified Arabic"/>
          <w:sz w:val="28"/>
          <w:szCs w:val="28"/>
          <w:rtl/>
          <w:lang w:bidi="ar-EG"/>
        </w:rPr>
      </w:pPr>
    </w:p>
    <w:p w14:paraId="11A2960E" w14:textId="77777777" w:rsidR="000913DC" w:rsidRDefault="000913DC" w:rsidP="000913DC">
      <w:pPr>
        <w:spacing w:line="360" w:lineRule="auto"/>
        <w:jc w:val="both"/>
        <w:rPr>
          <w:rFonts w:ascii="Simplified Arabic" w:hAnsi="Simplified Arabic" w:cs="Simplified Arabic"/>
          <w:sz w:val="28"/>
          <w:szCs w:val="28"/>
          <w:rtl/>
          <w:lang w:bidi="ar-EG"/>
        </w:rPr>
      </w:pPr>
    </w:p>
    <w:p w14:paraId="6F668E81" w14:textId="77777777" w:rsidR="000913DC" w:rsidRDefault="000913DC" w:rsidP="000913DC">
      <w:pPr>
        <w:spacing w:line="360" w:lineRule="auto"/>
        <w:jc w:val="both"/>
        <w:rPr>
          <w:rFonts w:ascii="Simplified Arabic" w:hAnsi="Simplified Arabic" w:cs="Simplified Arabic"/>
          <w:sz w:val="28"/>
          <w:szCs w:val="28"/>
          <w:rtl/>
          <w:lang w:bidi="ar-EG"/>
        </w:rPr>
      </w:pPr>
    </w:p>
    <w:p w14:paraId="61C7E85B" w14:textId="77777777" w:rsidR="000913DC" w:rsidRDefault="000913DC" w:rsidP="000913DC">
      <w:pPr>
        <w:spacing w:line="360" w:lineRule="auto"/>
        <w:jc w:val="both"/>
        <w:rPr>
          <w:rFonts w:ascii="Simplified Arabic" w:hAnsi="Simplified Arabic" w:cs="Simplified Arabic"/>
          <w:sz w:val="28"/>
          <w:szCs w:val="28"/>
          <w:rtl/>
          <w:lang w:bidi="ar-EG"/>
        </w:rPr>
      </w:pPr>
    </w:p>
    <w:p w14:paraId="599B38E2" w14:textId="77777777" w:rsidR="000913DC" w:rsidRDefault="000913DC" w:rsidP="000913DC">
      <w:pPr>
        <w:spacing w:line="360" w:lineRule="auto"/>
        <w:jc w:val="both"/>
        <w:rPr>
          <w:rFonts w:ascii="Simplified Arabic" w:hAnsi="Simplified Arabic" w:cs="Simplified Arabic"/>
          <w:sz w:val="28"/>
          <w:szCs w:val="28"/>
          <w:rtl/>
          <w:lang w:bidi="ar-EG"/>
        </w:rPr>
      </w:pPr>
    </w:p>
    <w:p w14:paraId="2A27CD12" w14:textId="77777777" w:rsidR="000913DC" w:rsidRDefault="000913DC" w:rsidP="000913DC">
      <w:pPr>
        <w:spacing w:line="360" w:lineRule="auto"/>
        <w:jc w:val="both"/>
        <w:rPr>
          <w:rFonts w:ascii="Simplified Arabic" w:hAnsi="Simplified Arabic" w:cs="Simplified Arabic"/>
          <w:sz w:val="28"/>
          <w:szCs w:val="28"/>
          <w:rtl/>
          <w:lang w:bidi="ar-EG"/>
        </w:rPr>
      </w:pPr>
    </w:p>
    <w:p w14:paraId="2C3396A5" w14:textId="77777777" w:rsidR="000913DC" w:rsidRPr="00371B39" w:rsidRDefault="000913DC" w:rsidP="000913DC">
      <w:pPr>
        <w:spacing w:line="360" w:lineRule="auto"/>
        <w:jc w:val="both"/>
        <w:rPr>
          <w:rFonts w:ascii="Simplified Arabic" w:hAnsi="Simplified Arabic" w:cs="Simplified Arabic"/>
          <w:sz w:val="28"/>
          <w:szCs w:val="28"/>
          <w:rtl/>
          <w:lang w:bidi="ar-EG"/>
        </w:rPr>
      </w:pPr>
    </w:p>
    <w:p w14:paraId="3A525F8E" w14:textId="77777777" w:rsidR="000913DC" w:rsidRPr="000913DC" w:rsidRDefault="000913DC" w:rsidP="000913DC">
      <w:pPr>
        <w:spacing w:line="360" w:lineRule="auto"/>
        <w:jc w:val="center"/>
        <w:rPr>
          <w:rFonts w:asciiTheme="majorBidi" w:hAnsiTheme="majorBidi" w:cstheme="majorBidi"/>
          <w:b/>
          <w:bCs/>
          <w:color w:val="000000" w:themeColor="text1"/>
          <w:sz w:val="28"/>
          <w:szCs w:val="28"/>
          <w:rtl/>
        </w:rPr>
      </w:pPr>
      <w:r w:rsidRPr="000913DC">
        <w:rPr>
          <w:rFonts w:asciiTheme="majorBidi" w:hAnsiTheme="majorBidi" w:cstheme="majorBidi"/>
          <w:b/>
          <w:bCs/>
          <w:color w:val="000000" w:themeColor="text1"/>
          <w:sz w:val="28"/>
          <w:szCs w:val="28"/>
          <w:rtl/>
        </w:rPr>
        <w:lastRenderedPageBreak/>
        <w:t>الفصل الرابع: الإجراءات المنهجية للدراسة</w:t>
      </w:r>
    </w:p>
    <w:p w14:paraId="052894D8"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إن الجانب المنهجي من أهم الجوانب في أي دراسة علمية، حيث يوضح الأسس والإجراءات التي اعتمدت عليها الدراسة للوصول إلى نتائج دقيقة وموضوعية. ومن خلال هذا الفصل يتم عرض الخطوات العلمية التي اتبعتها الدراسة في جمع البيانات وتحليلها، بما يساعد على تحقيق أهداف البحث والإجابة عن تساؤلاته المتعلقة بدور الإعلام الرقمي في التوعية بالأمراض العصبية المزمنة في المجتمع السعودي</w:t>
      </w:r>
      <w:r w:rsidRPr="00645EB2">
        <w:rPr>
          <w:rFonts w:asciiTheme="majorBidi" w:hAnsiTheme="majorBidi" w:cstheme="majorBidi"/>
          <w:sz w:val="28"/>
          <w:szCs w:val="28"/>
        </w:rPr>
        <w:t>.</w:t>
      </w:r>
    </w:p>
    <w:p w14:paraId="00E2D62C"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ويتناول هذا الفصل وصفًا تفصيليًا لنوع الدراسة والمنهج العلمي المستخدم، مع توضيح مبررات اختيار هذا المنهج ومدى ملاءمته لطبيعة موضوع الدراسة. كما يوضح الفصل مجتمع الدراسة الذي تم إجراء البحث عليه، إضافة إلى العينة التي تم اختيارها منه، مع بيان خصائصها وطريقة اختيارها بما يضمن تمثيلها للمجتمع محل الدراسة</w:t>
      </w:r>
      <w:r w:rsidRPr="00645EB2">
        <w:rPr>
          <w:rFonts w:asciiTheme="majorBidi" w:hAnsiTheme="majorBidi" w:cstheme="majorBidi"/>
          <w:sz w:val="28"/>
          <w:szCs w:val="28"/>
        </w:rPr>
        <w:t>.</w:t>
      </w:r>
    </w:p>
    <w:p w14:paraId="193F163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يتضمن الفصل تحديد المفاهيم الأساسية التي تقوم عليها الدراسة، وذلك لتوضيح المعاني المقصودة بالمصطلحات المستخدمة في البحث، مثل مفهوم الإعلام الرقمي ومفهوم التوعية الصحية والأمراض العصبية المزمنة. ويساعد تحديد هذه المفاهيم في توحيد الفهم العلمي للمصطلحات المستخدمة داخل الدراسة</w:t>
      </w:r>
      <w:r w:rsidRPr="00645EB2">
        <w:rPr>
          <w:rFonts w:asciiTheme="majorBidi" w:hAnsiTheme="majorBidi" w:cstheme="majorBidi"/>
          <w:sz w:val="28"/>
          <w:szCs w:val="28"/>
        </w:rPr>
        <w:t>.</w:t>
      </w:r>
    </w:p>
    <w:p w14:paraId="24436F8F"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إلى جانب ذلك، يستعرض الفصل أدوات جمع البيانات التي استخدمتها الدراسة، وكيفية تصميمها وإعدادها بما يتناسب مع أهداف البحث، كما يوضح الأساليب الإحصائية المستخدمة في تحليل البيانات واستخلاص النتائج. كذلك يتطرق الفصل إلى اختبارات الصدق والثبات التي تم تطبيقها للتحقق من صلاحية أداة الدراسة ومدى موثوقيتها، بما يعزز من دقة النتائج التي توصلت إليها الدراسة</w:t>
      </w:r>
      <w:r w:rsidRPr="00645EB2">
        <w:rPr>
          <w:rFonts w:asciiTheme="majorBidi" w:hAnsiTheme="majorBidi" w:cstheme="majorBidi"/>
          <w:sz w:val="28"/>
          <w:szCs w:val="28"/>
        </w:rPr>
        <w:t>.</w:t>
      </w:r>
    </w:p>
    <w:p w14:paraId="4A1B7570" w14:textId="77777777" w:rsidR="000913DC" w:rsidRPr="00645EB2" w:rsidRDefault="000913DC" w:rsidP="000913DC">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t>1- نوع الدراسة</w:t>
      </w:r>
    </w:p>
    <w:p w14:paraId="1A751987"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تنتمي هذه الدراسة إلى الدراسات الوصفية، حيث تهدف إلى وصف وتحليل دور الإعلام الرقمي في التوعية بالأمراض العصبية المزمنة في المجتمع السعودي، وذلك من خلال رصد آراء أفراد المجتمع حول مدى إسهام وسائل الإعلام الرقمي في نشر المعلومات الصحية والتوعية بطبيعة هذه الأمراض وطرق التعامل معها. وتُعد الدراسات الوصفية من أكثر أنواع الدراسات استخدامًا في البحوث الاجتماعية والإعلامية، لما توفره من إمكانية فهم الظواهر كما هي في الواقع وتحليلها بصورة علمية منظمة(صبره,2024)</w:t>
      </w:r>
    </w:p>
    <w:p w14:paraId="19610505"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كما تعتمد الدراسة على الطابع الميداني، حيث تم جمع البيانات من أفراد مجتمع الدراسة بشكل مباشر باستخدام أداة علمية مناسبة، وذلك بهدف الحصول على معلومات واقعية تعكس تصورات واتجاهات المبحوثين حول </w:t>
      </w:r>
      <w:r w:rsidRPr="00645EB2">
        <w:rPr>
          <w:rFonts w:asciiTheme="majorBidi" w:hAnsiTheme="majorBidi" w:cstheme="majorBidi"/>
          <w:sz w:val="28"/>
          <w:szCs w:val="28"/>
          <w:rtl/>
        </w:rPr>
        <w:lastRenderedPageBreak/>
        <w:t>دور الإعلام الرقمي في نشر الوعي الصحي المتعلق بالأمراض العصبية المزمنة. ويساعد هذا النوع من الدراسات في تقديم صورة واضحة عن مستوى الوعي المجتمعي ومدى تأثير الوسائل الإعلامية الحديثة في تشكيل هذا الوعي(خيرت,2023)</w:t>
      </w:r>
    </w:p>
    <w:p w14:paraId="3A0A5467" w14:textId="77777777" w:rsidR="000913DC" w:rsidRPr="00645EB2" w:rsidRDefault="000913DC" w:rsidP="000913DC">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t>ويتيح هذا النوع من الدراسات إمكانية تحليل البيانات واستخلاص النتائج التي تسهم في فهم طبيعة العلاقة بين الإعلام الرقمي والتوعية الصحية، كما يساعد في تقديم مجموعة من التوصيات التي يمكن أن تسهم في تطوير استخدام الإعلام الرقمي في نشر التوعية بالأمراض العصبية المزمنة داخل المجتمع السعودي(السلمي,2022)</w:t>
      </w:r>
    </w:p>
    <w:p w14:paraId="3954C71D" w14:textId="77777777" w:rsidR="000913DC" w:rsidRPr="00645EB2" w:rsidRDefault="000913DC" w:rsidP="000913DC">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t>2- منهج الدراسة</w:t>
      </w:r>
    </w:p>
    <w:p w14:paraId="04677942" w14:textId="77777777" w:rsidR="000913DC" w:rsidRPr="00645EB2" w:rsidRDefault="000913DC" w:rsidP="000913DC">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t>لقد تم اختيار المنهج الوصفي المسحي نظرًا لملاءمته لطبيعة الدراسة الحالية، حيث يساعد في جمع البيانات من عدد من أفراد المجتمع السعودي بطريقة منظمة، ومن ثم تحليلها إحصائيًا للوصول إلى نتائج تسهم في فهم مدى إسهام الإعلام الرقمي في نشر التوعية الصحية المتعلقة بالأمراض العصبية المزمنة(السلمي,2022)</w:t>
      </w:r>
    </w:p>
    <w:p w14:paraId="10A384AA" w14:textId="77777777" w:rsidR="000913DC" w:rsidRPr="00645EB2" w:rsidRDefault="000913DC" w:rsidP="000913DC">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t>3-مجتمع الدراسة</w:t>
      </w:r>
    </w:p>
    <w:p w14:paraId="6C251D4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اعتمدت هذه الدراسة على المنهج الوصفي المسحي، والذي يُعد من أكثر المناهج استخدامًا في الدراسات الإعلامية والاجتماعية، حيث يهدف إلى وصف الظاهرة محل الدراسة وتحليلها كما هي في الواقع. ويُستخدم هذا المنهج في جمع البيانات من أفراد مجتمع الدراسة بهدف التعرف على آرائهم واتجاهاتهم حول موضوع معين، وفي هذه الدراسة يتم التعرف على دور الإعلام الرقمي في التوعية بالأمراض العصبية المزمنة في المجتمع السعودي</w:t>
      </w:r>
      <w:r w:rsidRPr="00645EB2">
        <w:rPr>
          <w:rFonts w:asciiTheme="majorBidi" w:hAnsiTheme="majorBidi" w:cstheme="majorBidi"/>
          <w:sz w:val="28"/>
          <w:szCs w:val="28"/>
        </w:rPr>
        <w:t>.</w:t>
      </w:r>
    </w:p>
    <w:p w14:paraId="66E07352"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ويتميز المنهج الوصفي المسحي بقدرته على توفير بيانات ومعلومات دقيقة عن الظاهرة المدروسة من خلال استطلاع آراء عينة من المجتمع، الأمر الذي يساعد في الوصول إلى نتائج يمكن تعميمها على مجتمع الدراسة. كما يتيح هذا المنهج للباحث تحليل العلاقة بين المتغيرات المختلفة المرتبطة بموضوع الدراسة، مثل استخدام وسائل الإعلام الرقمي ومستوى الوعي بالأمراض العصبية المزمنة</w:t>
      </w:r>
      <w:r w:rsidRPr="00645EB2">
        <w:rPr>
          <w:rFonts w:asciiTheme="majorBidi" w:hAnsiTheme="majorBidi" w:cstheme="majorBidi"/>
          <w:sz w:val="28"/>
          <w:szCs w:val="28"/>
        </w:rPr>
        <w:t>.</w:t>
      </w:r>
    </w:p>
    <w:p w14:paraId="4BB504DA" w14:textId="77777777" w:rsidR="000913DC" w:rsidRPr="00645EB2" w:rsidRDefault="000913DC" w:rsidP="000913DC">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t>وقد تم اختيار هذا المنهج نظرًا لملاءمته لطبيعة الدراسة الحالية، حيث يساعد في جمع البيانات من عدد من أفراد المجتمع السعودي بطريقة منظمة، ومن ثم تحليلها إحصائيًا للوصول إلى نتائج تسهم في فهم مدى إسهام الإعلام الرقمي في نشر التوعية الصحية المتعلقة بالأمراض العصبية المزمنة</w:t>
      </w:r>
      <w:r w:rsidRPr="00645EB2">
        <w:rPr>
          <w:rFonts w:asciiTheme="majorBidi" w:hAnsiTheme="majorBidi" w:cstheme="majorBidi"/>
          <w:sz w:val="28"/>
          <w:szCs w:val="28"/>
        </w:rPr>
        <w:t>.</w:t>
      </w:r>
    </w:p>
    <w:p w14:paraId="7A8806E5" w14:textId="77777777" w:rsidR="000913DC" w:rsidRPr="00645EB2" w:rsidRDefault="000913DC" w:rsidP="000913DC">
      <w:pPr>
        <w:spacing w:line="360" w:lineRule="auto"/>
        <w:jc w:val="both"/>
        <w:rPr>
          <w:rFonts w:asciiTheme="majorBidi" w:hAnsiTheme="majorBidi" w:cstheme="majorBidi"/>
          <w:sz w:val="28"/>
          <w:szCs w:val="28"/>
          <w:rtl/>
        </w:rPr>
      </w:pPr>
    </w:p>
    <w:p w14:paraId="4F7D6804" w14:textId="77777777" w:rsidR="000913DC" w:rsidRPr="00645EB2" w:rsidRDefault="000913DC" w:rsidP="000913DC">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lastRenderedPageBreak/>
        <w:t>4- عينة الدراسة</w:t>
      </w:r>
    </w:p>
    <w:p w14:paraId="190C3FCA"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وقد بلغ حجم عينة الدراسة (400) مفردة من أفراد المجتمع السعودي من مستخدمي وسائل الإعلام الرقمي، حيث تم اختيارهم بهدف التعرف على آرائهم واتجاهاتهم نحو دور الإعلام الرقمي في التوعية بالأمراض العصبية المزمنة. ويُعد هذا الحجم مناسبًا لإجراء الدراسة الميدانية وتحليل البيانات بصورة علمية تساعد في الوصول إلى نتائج أكثر دقة</w:t>
      </w:r>
      <w:r w:rsidRPr="00645EB2">
        <w:rPr>
          <w:rFonts w:asciiTheme="majorBidi" w:hAnsiTheme="majorBidi" w:cstheme="majorBidi"/>
          <w:sz w:val="28"/>
          <w:szCs w:val="28"/>
        </w:rPr>
        <w:t>.</w:t>
      </w:r>
    </w:p>
    <w:p w14:paraId="05F7F62A" w14:textId="77777777" w:rsidR="000913DC" w:rsidRPr="00645EB2" w:rsidRDefault="000913DC" w:rsidP="000913DC">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t>5- مفاهيم الدراسة</w:t>
      </w:r>
    </w:p>
    <w:p w14:paraId="14AB4B34"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أولًا: المفاهيم الاصطلاحية</w:t>
      </w:r>
    </w:p>
    <w:p w14:paraId="0A70C83C" w14:textId="77777777" w:rsidR="000913DC" w:rsidRPr="00645EB2" w:rsidRDefault="000913DC" w:rsidP="000913DC">
      <w:pPr>
        <w:numPr>
          <w:ilvl w:val="0"/>
          <w:numId w:val="4"/>
        </w:num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الإعلام الرقمي</w:t>
      </w:r>
      <w:r w:rsidRPr="00645EB2">
        <w:rPr>
          <w:rFonts w:asciiTheme="majorBidi" w:hAnsiTheme="majorBidi" w:cstheme="majorBidi"/>
          <w:sz w:val="28"/>
          <w:szCs w:val="28"/>
        </w:rPr>
        <w:t>:</w:t>
      </w:r>
      <w:r w:rsidRPr="00645EB2">
        <w:rPr>
          <w:rFonts w:asciiTheme="majorBidi" w:hAnsiTheme="majorBidi" w:cstheme="majorBidi"/>
          <w:sz w:val="28"/>
          <w:szCs w:val="28"/>
        </w:rPr>
        <w:br/>
      </w:r>
      <w:r w:rsidRPr="00645EB2">
        <w:rPr>
          <w:rFonts w:asciiTheme="majorBidi" w:hAnsiTheme="majorBidi" w:cstheme="majorBidi"/>
          <w:sz w:val="28"/>
          <w:szCs w:val="28"/>
          <w:rtl/>
        </w:rPr>
        <w:t>يقصد بالإعلام الرقمي مختلف الوسائل الإعلامية التي تعتمد على التقنيات الرقمية وشبكة الإنترنت في إنتاج المحتوى الإعلامي ونشره وتداوله بين الجمهور، مثل مواقع التواصل الاجتماعي والمواقع الإلكترونية والتطبيقات الرقمية المختلفة، حيث يتيح هذا النوع من الإعلام سرعة نشر المعلومات وإمكانية التفاعل المباشر بين المرسل والمتلقي(قلادة,2025)</w:t>
      </w:r>
    </w:p>
    <w:p w14:paraId="23BE5E12" w14:textId="77777777" w:rsidR="000913DC" w:rsidRPr="00645EB2" w:rsidRDefault="000913DC" w:rsidP="000913DC">
      <w:pPr>
        <w:numPr>
          <w:ilvl w:val="0"/>
          <w:numId w:val="4"/>
        </w:numPr>
        <w:spacing w:line="360" w:lineRule="auto"/>
        <w:jc w:val="both"/>
        <w:rPr>
          <w:rFonts w:asciiTheme="majorBidi" w:hAnsiTheme="majorBidi" w:cstheme="majorBidi"/>
          <w:sz w:val="28"/>
          <w:szCs w:val="28"/>
        </w:rPr>
      </w:pPr>
      <w:r w:rsidRPr="00645EB2">
        <w:rPr>
          <w:rFonts w:asciiTheme="majorBidi" w:hAnsiTheme="majorBidi" w:cstheme="majorBidi"/>
          <w:sz w:val="28"/>
          <w:szCs w:val="28"/>
        </w:rPr>
        <w:t xml:space="preserve"> </w:t>
      </w:r>
      <w:r w:rsidRPr="00645EB2">
        <w:rPr>
          <w:rFonts w:asciiTheme="majorBidi" w:hAnsiTheme="majorBidi" w:cstheme="majorBidi"/>
          <w:sz w:val="28"/>
          <w:szCs w:val="28"/>
          <w:rtl/>
        </w:rPr>
        <w:t>التوعية الصحية</w:t>
      </w:r>
      <w:r w:rsidRPr="00645EB2">
        <w:rPr>
          <w:rFonts w:asciiTheme="majorBidi" w:hAnsiTheme="majorBidi" w:cstheme="majorBidi"/>
          <w:sz w:val="28"/>
          <w:szCs w:val="28"/>
        </w:rPr>
        <w:t>:</w:t>
      </w:r>
      <w:r w:rsidRPr="00645EB2">
        <w:rPr>
          <w:rFonts w:asciiTheme="majorBidi" w:hAnsiTheme="majorBidi" w:cstheme="majorBidi"/>
          <w:sz w:val="28"/>
          <w:szCs w:val="28"/>
        </w:rPr>
        <w:br/>
      </w:r>
      <w:r w:rsidRPr="00645EB2">
        <w:rPr>
          <w:rFonts w:asciiTheme="majorBidi" w:hAnsiTheme="majorBidi" w:cstheme="majorBidi"/>
          <w:sz w:val="28"/>
          <w:szCs w:val="28"/>
          <w:rtl/>
        </w:rPr>
        <w:t>تشير التوعية الصحية إلى الجهود والأنشطة الإعلامية والتثقيفية التي تهدف إلى نشر المعرفة والمعلومات الصحية بين أفراد المجتمع، بهدف رفع مستوى الوعي لديهم حول الأمراض وطرق الوقاية منها وأساليب التعامل معها، بما يسهم في تعزيز السلوكيات الصحية السليمة(السلمي,2022)</w:t>
      </w:r>
    </w:p>
    <w:p w14:paraId="592B9BD3" w14:textId="77777777" w:rsidR="000913DC" w:rsidRPr="00645EB2" w:rsidRDefault="000913DC" w:rsidP="000913DC">
      <w:pPr>
        <w:numPr>
          <w:ilvl w:val="0"/>
          <w:numId w:val="4"/>
        </w:num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الأمراض العصبية المزمنة</w:t>
      </w:r>
      <w:r w:rsidRPr="00645EB2">
        <w:rPr>
          <w:rFonts w:asciiTheme="majorBidi" w:hAnsiTheme="majorBidi" w:cstheme="majorBidi"/>
          <w:sz w:val="28"/>
          <w:szCs w:val="28"/>
        </w:rPr>
        <w:t>:</w:t>
      </w:r>
      <w:r w:rsidRPr="00645EB2">
        <w:rPr>
          <w:rFonts w:asciiTheme="majorBidi" w:hAnsiTheme="majorBidi" w:cstheme="majorBidi"/>
          <w:sz w:val="28"/>
          <w:szCs w:val="28"/>
        </w:rPr>
        <w:br/>
      </w:r>
      <w:r w:rsidRPr="00645EB2">
        <w:rPr>
          <w:rFonts w:asciiTheme="majorBidi" w:hAnsiTheme="majorBidi" w:cstheme="majorBidi"/>
          <w:sz w:val="28"/>
          <w:szCs w:val="28"/>
          <w:rtl/>
        </w:rPr>
        <w:t>يقصد بالأمراض العصبية المزمنة مجموعة الأمراض التي تصيب الجهاز العصبي وتستمر لفترات طويلة أو مدى الحياة، مثل مرض التصلب المتعدد ومرض باركنسون ومرض الزهايمر، والتي قد تؤثر على وظائف الدماغ أو الأعصاب وتؤدي إلى مشكلات صحية مستمرة تحتاج إلى متابعة وعلاج طويل الأمد(صبره,2024)</w:t>
      </w:r>
    </w:p>
    <w:p w14:paraId="7905CBD6"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ثانيًا: المفاهيم الإجرائية</w:t>
      </w:r>
    </w:p>
    <w:p w14:paraId="6E69B6F1" w14:textId="77777777" w:rsidR="000913DC" w:rsidRPr="00645EB2" w:rsidRDefault="000913DC" w:rsidP="000913DC">
      <w:pPr>
        <w:numPr>
          <w:ilvl w:val="0"/>
          <w:numId w:val="3"/>
        </w:numPr>
        <w:spacing w:line="360" w:lineRule="auto"/>
        <w:jc w:val="both"/>
        <w:rPr>
          <w:rFonts w:asciiTheme="majorBidi" w:hAnsiTheme="majorBidi" w:cstheme="majorBidi"/>
          <w:sz w:val="28"/>
          <w:szCs w:val="28"/>
        </w:rPr>
      </w:pPr>
      <w:r w:rsidRPr="00645EB2">
        <w:rPr>
          <w:rFonts w:asciiTheme="majorBidi" w:hAnsiTheme="majorBidi" w:cstheme="majorBidi"/>
          <w:sz w:val="28"/>
          <w:szCs w:val="28"/>
        </w:rPr>
        <w:t xml:space="preserve"> </w:t>
      </w:r>
      <w:r w:rsidRPr="00645EB2">
        <w:rPr>
          <w:rFonts w:asciiTheme="majorBidi" w:hAnsiTheme="majorBidi" w:cstheme="majorBidi"/>
          <w:sz w:val="28"/>
          <w:szCs w:val="28"/>
          <w:rtl/>
        </w:rPr>
        <w:t>الإعلام الرقمي</w:t>
      </w:r>
      <w:r w:rsidRPr="00645EB2">
        <w:rPr>
          <w:rFonts w:asciiTheme="majorBidi" w:hAnsiTheme="majorBidi" w:cstheme="majorBidi"/>
          <w:sz w:val="28"/>
          <w:szCs w:val="28"/>
        </w:rPr>
        <w:br/>
      </w:r>
      <w:r w:rsidRPr="00645EB2">
        <w:rPr>
          <w:rFonts w:asciiTheme="majorBidi" w:hAnsiTheme="majorBidi" w:cstheme="majorBidi"/>
          <w:sz w:val="28"/>
          <w:szCs w:val="28"/>
          <w:rtl/>
        </w:rPr>
        <w:t xml:space="preserve">يقصد بالإعلام الرقمي في هذه الدراسة المنصات والوسائل الرقمية التي يستخدمها أفراد المجتمع </w:t>
      </w:r>
      <w:r w:rsidRPr="00645EB2">
        <w:rPr>
          <w:rFonts w:asciiTheme="majorBidi" w:hAnsiTheme="majorBidi" w:cstheme="majorBidi"/>
          <w:sz w:val="28"/>
          <w:szCs w:val="28"/>
          <w:rtl/>
        </w:rPr>
        <w:lastRenderedPageBreak/>
        <w:t>السعودي عبر الإنترنت، مثل مواقع التواصل الاجتماعي والمواقع الصحية الإلكترونية، للحصول على المعلومات المتعلقة بالأمراض العصبية المزمنة والتوعية بها</w:t>
      </w:r>
      <w:r w:rsidRPr="00645EB2">
        <w:rPr>
          <w:rFonts w:asciiTheme="majorBidi" w:hAnsiTheme="majorBidi" w:cstheme="majorBidi"/>
          <w:sz w:val="28"/>
          <w:szCs w:val="28"/>
        </w:rPr>
        <w:t>.</w:t>
      </w:r>
    </w:p>
    <w:p w14:paraId="689C3276" w14:textId="169C99CF" w:rsidR="000913DC" w:rsidRPr="00645EB2" w:rsidRDefault="000913DC" w:rsidP="000913DC">
      <w:pPr>
        <w:pStyle w:val="a7"/>
        <w:numPr>
          <w:ilvl w:val="0"/>
          <w:numId w:val="3"/>
        </w:numPr>
      </w:pPr>
      <w:r w:rsidRPr="000913DC">
        <w:rPr>
          <w:rFonts w:hint="cs"/>
          <w:b/>
          <w:bCs/>
          <w:rtl/>
        </w:rPr>
        <w:t>التوعية بالامراض</w:t>
      </w:r>
      <w:r w:rsidRPr="000913DC">
        <w:rPr>
          <w:b/>
          <w:bCs/>
          <w:rtl/>
        </w:rPr>
        <w:t xml:space="preserve"> العصبية المزمنة</w:t>
      </w:r>
      <w:r w:rsidRPr="00645EB2">
        <w:br/>
      </w:r>
      <w:r w:rsidRPr="00645EB2">
        <w:rPr>
          <w:rtl/>
        </w:rPr>
        <w:t>تعني في هذه الدراسة مستوى المعرفة والمعلومات التي يكتسبها أفراد المجتمع السعودي حول الأمراض العصبية المزمنة من خلال وسائل الإعلام الرقمي، مثل معرفة أسباب هذه الأمراض وأعراضها وطرق الوقاية منها وأساليب التعامل معها</w:t>
      </w:r>
      <w:r w:rsidRPr="00645EB2">
        <w:t>.</w:t>
      </w:r>
    </w:p>
    <w:p w14:paraId="4B48BCE5" w14:textId="0D298445" w:rsidR="000913DC" w:rsidRPr="00645EB2" w:rsidRDefault="000913DC" w:rsidP="000913DC">
      <w:pPr>
        <w:pStyle w:val="a7"/>
        <w:numPr>
          <w:ilvl w:val="0"/>
          <w:numId w:val="3"/>
        </w:numPr>
        <w:rPr>
          <w:rtl/>
        </w:rPr>
      </w:pPr>
      <w:r w:rsidRPr="000913DC">
        <w:rPr>
          <w:b/>
          <w:bCs/>
          <w:rtl/>
        </w:rPr>
        <w:t>الأمراض العصبية المزمنة</w:t>
      </w:r>
      <w:r w:rsidRPr="00645EB2">
        <w:br/>
      </w:r>
      <w:r w:rsidRPr="00645EB2">
        <w:rPr>
          <w:rtl/>
        </w:rPr>
        <w:t>يقصد بها في هذه الدراسة الأمراض المرتبطة بالجهاز العصبي التي يتم تناولها في المحتوى التوعوي عبر وسائل الإعلام الرقمي، والتي يسعى الإعلام الرقمي إلى نشر المعلومات المتعلقة بها لزيادة وعي أفراد المجتمع السعودي بها</w:t>
      </w:r>
      <w:r w:rsidRPr="00645EB2">
        <w:t>.</w:t>
      </w:r>
    </w:p>
    <w:p w14:paraId="67BD2F7F" w14:textId="77777777" w:rsidR="000913DC" w:rsidRDefault="000913DC" w:rsidP="000913DC">
      <w:pPr>
        <w:spacing w:line="360" w:lineRule="auto"/>
        <w:jc w:val="both"/>
        <w:rPr>
          <w:rFonts w:asciiTheme="majorBidi" w:hAnsiTheme="majorBidi" w:cstheme="majorBidi"/>
          <w:sz w:val="28"/>
          <w:szCs w:val="28"/>
          <w:rtl/>
        </w:rPr>
      </w:pPr>
    </w:p>
    <w:p w14:paraId="550ED76B" w14:textId="57F18662" w:rsidR="000913DC" w:rsidRPr="00645EB2" w:rsidRDefault="000913DC" w:rsidP="000913DC">
      <w:pPr>
        <w:spacing w:line="360" w:lineRule="auto"/>
        <w:jc w:val="both"/>
        <w:rPr>
          <w:rFonts w:asciiTheme="majorBidi" w:hAnsiTheme="majorBidi" w:cstheme="majorBidi"/>
          <w:sz w:val="28"/>
          <w:szCs w:val="28"/>
          <w:rtl/>
        </w:rPr>
      </w:pPr>
      <w:r>
        <w:rPr>
          <w:rFonts w:asciiTheme="majorBidi" w:hAnsiTheme="majorBidi" w:cstheme="majorBidi" w:hint="cs"/>
          <w:sz w:val="28"/>
          <w:szCs w:val="28"/>
          <w:rtl/>
        </w:rPr>
        <w:t>٦</w:t>
      </w:r>
      <w:r w:rsidRPr="00645EB2">
        <w:rPr>
          <w:rFonts w:asciiTheme="majorBidi" w:hAnsiTheme="majorBidi" w:cstheme="majorBidi"/>
          <w:sz w:val="28"/>
          <w:szCs w:val="28"/>
          <w:rtl/>
        </w:rPr>
        <w:t>- أدوات جمع البيانات</w:t>
      </w:r>
    </w:p>
    <w:p w14:paraId="114BBF1F"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اعتمدت الدراسة الحالية على الاستبيان كأداة رئيسية لجمع البيانات من أفراد عينة الدراسة، وذلك نظرًا لملاءمته لطبيعة الدراسات الوصفية الميدانية، وقدرته على جمع قدر كبير من المعلومات من عدد كبير من المبحوثين في وقت قصير. كما يتيح الاستبيان إمكانية التعرف على آراء واتجاهات أفراد العينة حول موضوع الدراسة المتمثل في دور الإعلام الرقمي في التوعية بالأمراض العصبية المزمنة في المجتمع السعودي</w:t>
      </w:r>
      <w:r w:rsidRPr="00645EB2">
        <w:rPr>
          <w:rFonts w:asciiTheme="majorBidi" w:hAnsiTheme="majorBidi" w:cstheme="majorBidi"/>
          <w:sz w:val="28"/>
          <w:szCs w:val="28"/>
        </w:rPr>
        <w:t>.</w:t>
      </w:r>
    </w:p>
    <w:p w14:paraId="21EFBCB7"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وقد تم إعداد الاستبيان في ضوء أهداف الدراسة وتساؤلاتها، بالإضافة إلى الاستفادة من الأدبيات العلمية والدراسات السابقة المرتبطة بموضوع البحث. وتضمن الاستبيان مجموعة من الأسئلة التي تهدف إلى قياس درجة اعتماد أفراد المجتمع على الإعلام الرقمي كمصدر للمعلومات الصحية، ومدى ثقتهم في المنصات الرقمية المختلفة، إضافة إلى قياس تأثير الإعلام الرقمي في تشكيل الوعي الصحي المتعلق بالأمراض العصبية المزمنة</w:t>
      </w:r>
      <w:r w:rsidRPr="00645EB2">
        <w:rPr>
          <w:rFonts w:asciiTheme="majorBidi" w:hAnsiTheme="majorBidi" w:cstheme="majorBidi"/>
          <w:sz w:val="28"/>
          <w:szCs w:val="28"/>
        </w:rPr>
        <w:t>.</w:t>
      </w:r>
    </w:p>
    <w:p w14:paraId="052771A8" w14:textId="77777777" w:rsidR="000913DC" w:rsidRPr="00645EB2" w:rsidRDefault="000913DC" w:rsidP="000913DC">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t>وتكونت أداة الدراسة من جزأين رئيسيين؛ تمثل الجزء الأول في البيانات الأساسية للمبحوثين مثل الجنس، والفئة العمرية، والمستوى التعليمي، والمنطقة الجغرافية، إضافة إلى مدى معاناة المبحوث أو أحد أفراد أسرته من مرض عصبي مزمن، وكذلك معدل استخدام الإعلام الرقمي يوميًا. أما الجزء الثاني فقد اشتمل على مجموعة من المحاور التي تقيس أبعاد الدراسة المختلفة، وتمت صياغة العبارات وفق مقياس ليكرت الخماسي (أوافق جدًا، أوافق، محايد، لا أوافق، لا أوافق جدًا) لقياس اتجاهات أفراد العينة نحو موضوع الدراسة</w:t>
      </w:r>
      <w:r w:rsidRPr="00645EB2">
        <w:rPr>
          <w:rFonts w:asciiTheme="majorBidi" w:hAnsiTheme="majorBidi" w:cstheme="majorBidi"/>
          <w:sz w:val="28"/>
          <w:szCs w:val="28"/>
        </w:rPr>
        <w:t>.</w:t>
      </w:r>
    </w:p>
    <w:p w14:paraId="553FDDD9" w14:textId="77777777" w:rsidR="000913DC" w:rsidRPr="00645EB2" w:rsidRDefault="000913DC" w:rsidP="000913DC">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t>7- تصميم أدوات الدراسة</w:t>
      </w:r>
    </w:p>
    <w:p w14:paraId="0E2EA0EE"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تم تصميم أداة الدراسة (الاستبيان) في ضوء أهداف الدراسة وتساؤلاتها، وبعد الاطلاع على الأدبيات العلمية والدراسات السابقة المرتبطة بموضوع الإعلام الرقمي والتوعية الصحية. وقد روعي في إعداد الأداة أن تكون </w:t>
      </w:r>
      <w:r w:rsidRPr="00645EB2">
        <w:rPr>
          <w:rFonts w:asciiTheme="majorBidi" w:hAnsiTheme="majorBidi" w:cstheme="majorBidi"/>
          <w:sz w:val="28"/>
          <w:szCs w:val="28"/>
          <w:rtl/>
        </w:rPr>
        <w:lastRenderedPageBreak/>
        <w:t>العبارات واضحة ومباشرة بحيث تسهم في قياس آراء واتجاهات أفراد عينة الدراسة حول دور الإعلام الرقمي في التوعية بالأمراض العصبية المزمنة في المجتمع السعودي</w:t>
      </w:r>
      <w:r w:rsidRPr="00645EB2">
        <w:rPr>
          <w:rFonts w:asciiTheme="majorBidi" w:hAnsiTheme="majorBidi" w:cstheme="majorBidi"/>
          <w:sz w:val="28"/>
          <w:szCs w:val="28"/>
        </w:rPr>
        <w:t>.</w:t>
      </w:r>
    </w:p>
    <w:p w14:paraId="2DE08ECC"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وتكونت أداة الدراسة من جزأين رئيسيين؛ حيث اشتمل الجزء الأول على البيانات الأساسية للمبحوثين، والتي تضمنت مجموعة من المتغيرات الديموغرافية مثل: الجنس، والفئة العمرية، والمستوى التعليمي، والمنطقة الجغرافية، إضافة إلى ما إذا كان المبحوث أو أحد أفراد أسرته يعاني من مرض عصبي مزمن، وكذلك معدل استخدام الإعلام الرقمي يوميًا. ويهدف هذا الجزء إلى التعرف على الخصائص العامة لأفراد عينة الدراسة</w:t>
      </w:r>
      <w:r w:rsidRPr="00645EB2">
        <w:rPr>
          <w:rFonts w:asciiTheme="majorBidi" w:hAnsiTheme="majorBidi" w:cstheme="majorBidi"/>
          <w:sz w:val="28"/>
          <w:szCs w:val="28"/>
        </w:rPr>
        <w:t>.</w:t>
      </w:r>
    </w:p>
    <w:p w14:paraId="1AD2F4C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أما الجزء الثاني من الاستبيان فقد اشتمل على ستة محاور رئيسية لقياس أبعاد الدراسة المختلفة، حيث تناول المحور الأول درجة اعتماد أفراد المجتمع على الإعلام الرقمي كمصدر للمعلومات الصحية. بينما تناول المحور الثاني المنصات الرقمية ومدى موثوقية المعلومات الصحية المتداولة عبرها. أما المحور الثالث فقد ركز على تأثير الإعلام الرقمي في تشكيل الوعي الصحي لدى الأفراد تجاه الأمراض العصبية المزمنة</w:t>
      </w:r>
      <w:r w:rsidRPr="00645EB2">
        <w:rPr>
          <w:rFonts w:asciiTheme="majorBidi" w:hAnsiTheme="majorBidi" w:cstheme="majorBidi"/>
          <w:sz w:val="28"/>
          <w:szCs w:val="28"/>
        </w:rPr>
        <w:t>.</w:t>
      </w:r>
    </w:p>
    <w:p w14:paraId="2A04AFB6" w14:textId="77777777" w:rsidR="000913DC" w:rsidRPr="00645EB2" w:rsidRDefault="000913DC" w:rsidP="000913DC">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t>كما تضمن المحور الرابع التحديات التي تواجه الإعلام الرقمي في نشر المعلومات الصحية، مثل انتشار المعلومات غير الدقيقة أو تضارب المعلومات بين المنصات المختلفة. بينما تناول المحور الخامس تأثير المعلومات الرقمية على السلوك الصحي والقرارات العلاجية لدى الأفراد. أما المحور السادس والأخير فقد ركز على سبل تعزيز دور الإعلام الرقمي في نشر التوعية الصحية، مثل تعزيز الرقابة على المحتوى الصحي وزيادة مشاركة الجهات الصحية الرسمية في الحملات التوعوية الرقمية</w:t>
      </w:r>
      <w:r w:rsidRPr="00645EB2">
        <w:rPr>
          <w:rFonts w:asciiTheme="majorBidi" w:hAnsiTheme="majorBidi" w:cstheme="majorBidi"/>
          <w:sz w:val="28"/>
          <w:szCs w:val="28"/>
        </w:rPr>
        <w:t>.</w:t>
      </w:r>
    </w:p>
    <w:p w14:paraId="10D5AEEA" w14:textId="77777777" w:rsidR="000913DC" w:rsidRPr="00645EB2" w:rsidRDefault="000913DC" w:rsidP="000913DC">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t>8- المقاييس والمعالجات الإحصائية</w:t>
      </w:r>
    </w:p>
    <w:p w14:paraId="70A3F9A8"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اعتمدت الدراسة على مجموعة من الأساليب الإحصائية المناسبة لطبيعة الدراسة الوصفية الميدانية، وذلك بهدف تحليل البيانات التي تم جمعها من خلال الاستبيان والوصول إلى نتائج علمية دقيقة تساعد في تفسير الظاهرة محل الدراسة. وقد تم استخدام عدد من المقاييس الإحصائية الوصفية لتحليل استجابات أفراد عينة الدراسة البالغ عددهم (400) مفردة</w:t>
      </w:r>
      <w:r w:rsidRPr="00645EB2">
        <w:rPr>
          <w:rFonts w:asciiTheme="majorBidi" w:hAnsiTheme="majorBidi" w:cstheme="majorBidi"/>
          <w:sz w:val="28"/>
          <w:szCs w:val="28"/>
        </w:rPr>
        <w:t>.</w:t>
      </w:r>
    </w:p>
    <w:p w14:paraId="5DAD9A24"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وتضمنت المعالجات الإحصائية المستخدمة التكرارات والنسب المئوية للتعرف على الخصائص الديموغرافية لأفراد العينة وتوزيع استجاباتهم، إضافة إلى استخدام المتوسط الحسابي لقياس درجة موافقة أفراد العينة على عبارات الاستبيان، وكذلك الانحراف المعياري لمعرفة مدى تشتت الاستجابات حول المتوسط الحسابي، مما يساعد في تفسير درجة الاتفاق أو الاختلاف بين أفراد العينة</w:t>
      </w:r>
      <w:r w:rsidRPr="00645EB2">
        <w:rPr>
          <w:rFonts w:asciiTheme="majorBidi" w:hAnsiTheme="majorBidi" w:cstheme="majorBidi"/>
          <w:sz w:val="28"/>
          <w:szCs w:val="28"/>
        </w:rPr>
        <w:t>.</w:t>
      </w:r>
    </w:p>
    <w:p w14:paraId="67FF3782" w14:textId="77777777" w:rsidR="000913DC" w:rsidRPr="00645EB2" w:rsidRDefault="000913DC" w:rsidP="000913DC">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lastRenderedPageBreak/>
        <w:t>كما تم استخدام مقياس ليكرت الخماسي في قياس اتجاهات أفراد العينة نحو عبارات الاستبيان، حيث تم إعطاء درجات رقمية لكل مستوى من مستويات الإجابة</w:t>
      </w:r>
    </w:p>
    <w:p w14:paraId="45016DAA"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عرض وتحليل البيانات الأساسية لعينة الدراسة</w:t>
      </w:r>
    </w:p>
    <w:p w14:paraId="62D8DAC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في هذا الجزء يتم عرض الخصائص الديموغرافية لأفراد عينة الدراسة، والتي يبلغ عددها (400) مفردة من المجتمع السعودي. ويساعد تحليل هذه البيانات في التعرف على السمات العامة للمبحوثين، مثل الجنس والفئة العمرية والمستوى التعليمي والمنطقة الجغرافية، إضافة إلى معدل استخدام الإعلام الرقمي ومدى وجود أمراض عصبية مزمنة لدى المبحوث أو أحد أفراد أسرته. كما يسهم ذلك في إعطاء صورة واضحة عن طبيعة العينة التي تم تطبيق الدراسة عليها</w:t>
      </w:r>
      <w:r w:rsidRPr="00645EB2">
        <w:rPr>
          <w:rFonts w:asciiTheme="majorBidi" w:hAnsiTheme="majorBidi" w:cstheme="majorBidi"/>
          <w:sz w:val="28"/>
          <w:szCs w:val="28"/>
        </w:rPr>
        <w:t>.</w:t>
      </w:r>
    </w:p>
    <w:p w14:paraId="344D5A09"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عرض وتحليل البيانات الأساسية لعينة الدراسة</w:t>
      </w:r>
    </w:p>
    <w:p w14:paraId="1683D407"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في هذا الجزء يتم عرض الخصائص الديموغرافية لأفراد عينة الدراسة، والتي يبلغ عددها (400) مفردة من المجتمع السعودي. ويساعد تحليل هذه البيانات في التعرف على السمات العامة للمبحوثين، مثل الجنس والفئة العمرية والمستوى التعليمي والمنطقة الجغرافية، إضافة إلى معدل استخدام الإعلام الرقمي ومدى وجود أمراض عصبية مزمنة لدى المبحوث أو أحد أفراد أسرته. كما يسهم ذلك في إعطاء صورة واضحة عن طبيعة العينة التي تم تطبيق الدراسة عليها</w:t>
      </w:r>
      <w:r w:rsidRPr="00645EB2">
        <w:rPr>
          <w:rFonts w:asciiTheme="majorBidi" w:hAnsiTheme="majorBidi" w:cstheme="majorBidi"/>
          <w:sz w:val="28"/>
          <w:szCs w:val="28"/>
        </w:rPr>
        <w:t>.</w:t>
      </w:r>
    </w:p>
    <w:p w14:paraId="5A69D254" w14:textId="56200C56" w:rsidR="000913DC" w:rsidRPr="00645EB2" w:rsidRDefault="000913DC" w:rsidP="0055407F">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جدول (1) توزيع أفراد عينة الدراسة حسب الجنس</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241"/>
        <w:gridCol w:w="687"/>
        <w:gridCol w:w="834"/>
      </w:tblGrid>
      <w:tr w:rsidR="000913DC" w:rsidRPr="00645EB2" w14:paraId="6BAC0941" w14:textId="77777777" w:rsidTr="00A171A0">
        <w:trPr>
          <w:tblHeader/>
          <w:tblCellSpacing w:w="15" w:type="dxa"/>
          <w:jc w:val="center"/>
        </w:trPr>
        <w:tc>
          <w:tcPr>
            <w:tcW w:w="0" w:type="auto"/>
            <w:vAlign w:val="center"/>
            <w:hideMark/>
          </w:tcPr>
          <w:p w14:paraId="28B6CCCA"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النسبة المئوية    </w:t>
            </w:r>
          </w:p>
        </w:tc>
        <w:tc>
          <w:tcPr>
            <w:tcW w:w="0" w:type="auto"/>
            <w:vAlign w:val="center"/>
            <w:hideMark/>
          </w:tcPr>
          <w:p w14:paraId="07DB26E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التكرار</w:t>
            </w:r>
          </w:p>
        </w:tc>
        <w:tc>
          <w:tcPr>
            <w:tcW w:w="0" w:type="auto"/>
            <w:vAlign w:val="center"/>
            <w:hideMark/>
          </w:tcPr>
          <w:p w14:paraId="7D70CE6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الجنس   </w:t>
            </w:r>
          </w:p>
        </w:tc>
      </w:tr>
      <w:tr w:rsidR="000913DC" w:rsidRPr="00645EB2" w14:paraId="644620D8" w14:textId="77777777" w:rsidTr="00A171A0">
        <w:trPr>
          <w:tblCellSpacing w:w="15" w:type="dxa"/>
          <w:jc w:val="center"/>
        </w:trPr>
        <w:tc>
          <w:tcPr>
            <w:tcW w:w="0" w:type="auto"/>
            <w:vAlign w:val="center"/>
            <w:hideMark/>
          </w:tcPr>
          <w:p w14:paraId="41EC04C4"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48.6%</w:t>
            </w:r>
          </w:p>
        </w:tc>
        <w:tc>
          <w:tcPr>
            <w:tcW w:w="0" w:type="auto"/>
            <w:vAlign w:val="center"/>
            <w:hideMark/>
          </w:tcPr>
          <w:p w14:paraId="167F9A50"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190</w:t>
            </w:r>
          </w:p>
        </w:tc>
        <w:tc>
          <w:tcPr>
            <w:tcW w:w="0" w:type="auto"/>
            <w:vAlign w:val="center"/>
            <w:hideMark/>
          </w:tcPr>
          <w:p w14:paraId="384FB100"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ذكر</w:t>
            </w:r>
          </w:p>
        </w:tc>
      </w:tr>
      <w:tr w:rsidR="000913DC" w:rsidRPr="00645EB2" w14:paraId="135A1794" w14:textId="77777777" w:rsidTr="00A171A0">
        <w:trPr>
          <w:tblCellSpacing w:w="15" w:type="dxa"/>
          <w:jc w:val="center"/>
        </w:trPr>
        <w:tc>
          <w:tcPr>
            <w:tcW w:w="0" w:type="auto"/>
            <w:vAlign w:val="center"/>
            <w:hideMark/>
          </w:tcPr>
          <w:p w14:paraId="7166E21F"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51.4%</w:t>
            </w:r>
          </w:p>
        </w:tc>
        <w:tc>
          <w:tcPr>
            <w:tcW w:w="0" w:type="auto"/>
            <w:vAlign w:val="center"/>
            <w:hideMark/>
          </w:tcPr>
          <w:p w14:paraId="12FDAF6F"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210</w:t>
            </w:r>
          </w:p>
        </w:tc>
        <w:tc>
          <w:tcPr>
            <w:tcW w:w="0" w:type="auto"/>
            <w:vAlign w:val="center"/>
            <w:hideMark/>
          </w:tcPr>
          <w:p w14:paraId="293FE5A8"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 أنثى</w:t>
            </w:r>
            <w:r w:rsidRPr="00645EB2">
              <w:rPr>
                <w:rFonts w:asciiTheme="majorBidi" w:hAnsiTheme="majorBidi" w:cstheme="majorBidi"/>
                <w:sz w:val="28"/>
                <w:szCs w:val="28"/>
              </w:rPr>
              <w:t xml:space="preserve"> </w:t>
            </w:r>
          </w:p>
        </w:tc>
      </w:tr>
      <w:tr w:rsidR="000913DC" w:rsidRPr="00645EB2" w14:paraId="640C23B7" w14:textId="77777777" w:rsidTr="00A171A0">
        <w:trPr>
          <w:tblCellSpacing w:w="15" w:type="dxa"/>
          <w:jc w:val="center"/>
        </w:trPr>
        <w:tc>
          <w:tcPr>
            <w:tcW w:w="0" w:type="auto"/>
            <w:vAlign w:val="center"/>
            <w:hideMark/>
          </w:tcPr>
          <w:p w14:paraId="02474F6D"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100 </w:t>
            </w:r>
            <w:r w:rsidRPr="00645EB2">
              <w:rPr>
                <w:rFonts w:asciiTheme="majorBidi" w:hAnsiTheme="majorBidi" w:cstheme="majorBidi"/>
                <w:sz w:val="28"/>
                <w:szCs w:val="28"/>
              </w:rPr>
              <w:t>%</w:t>
            </w:r>
          </w:p>
        </w:tc>
        <w:tc>
          <w:tcPr>
            <w:tcW w:w="0" w:type="auto"/>
            <w:vAlign w:val="center"/>
            <w:hideMark/>
          </w:tcPr>
          <w:p w14:paraId="04BEC718"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400</w:t>
            </w:r>
          </w:p>
        </w:tc>
        <w:tc>
          <w:tcPr>
            <w:tcW w:w="0" w:type="auto"/>
            <w:vAlign w:val="center"/>
            <w:hideMark/>
          </w:tcPr>
          <w:p w14:paraId="25E88391"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المجموع</w:t>
            </w:r>
          </w:p>
        </w:tc>
      </w:tr>
    </w:tbl>
    <w:p w14:paraId="40C31812"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يوضح الجدول السابق توزيع أفراد عينة الدراسة حسب متغير الجنس، حيث بلغ عدد الذكور (190) مفردة بنسبة (48.6%)، في حين بلغ عدد الإناث (210) مفردة بنسبة (51.4%) من إجمالي عينة الدراسة، مما يشير إلى تقارب نسبي في تمثيل الجنسين داخل العينة</w:t>
      </w:r>
      <w:r w:rsidRPr="00645EB2">
        <w:rPr>
          <w:rFonts w:asciiTheme="majorBidi" w:hAnsiTheme="majorBidi" w:cstheme="majorBidi"/>
          <w:sz w:val="28"/>
          <w:szCs w:val="28"/>
        </w:rPr>
        <w:t>.</w:t>
      </w:r>
    </w:p>
    <w:p w14:paraId="177F364B"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lastRenderedPageBreak/>
        <w:t>جدول (2) توزيع أفراد عينة الدراسة حسب الفئة العمرية</w:t>
      </w:r>
    </w:p>
    <w:tbl>
      <w:tblPr>
        <w:tblStyle w:val="af3"/>
        <w:tblW w:w="0" w:type="auto"/>
        <w:jc w:val="center"/>
        <w:tblLook w:val="04A0" w:firstRow="1" w:lastRow="0" w:firstColumn="1" w:lastColumn="0" w:noHBand="0" w:noVBand="1"/>
      </w:tblPr>
      <w:tblGrid>
        <w:gridCol w:w="1296"/>
        <w:gridCol w:w="843"/>
        <w:gridCol w:w="1022"/>
      </w:tblGrid>
      <w:tr w:rsidR="000913DC" w:rsidRPr="00645EB2" w14:paraId="7A3FFF84" w14:textId="77777777" w:rsidTr="00A171A0">
        <w:trPr>
          <w:jc w:val="center"/>
        </w:trPr>
        <w:tc>
          <w:tcPr>
            <w:tcW w:w="0" w:type="auto"/>
            <w:hideMark/>
          </w:tcPr>
          <w:p w14:paraId="0652A73A"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الفئة العمرية</w:t>
            </w:r>
          </w:p>
        </w:tc>
        <w:tc>
          <w:tcPr>
            <w:tcW w:w="0" w:type="auto"/>
            <w:hideMark/>
          </w:tcPr>
          <w:p w14:paraId="2BE61697"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التكرار</w:t>
            </w:r>
          </w:p>
        </w:tc>
        <w:tc>
          <w:tcPr>
            <w:tcW w:w="1022" w:type="dxa"/>
          </w:tcPr>
          <w:p w14:paraId="34FD7360"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الفئة العمرية</w:t>
            </w:r>
          </w:p>
        </w:tc>
      </w:tr>
      <w:tr w:rsidR="000913DC" w:rsidRPr="00645EB2" w14:paraId="3746DB70" w14:textId="77777777" w:rsidTr="00A171A0">
        <w:trPr>
          <w:jc w:val="center"/>
        </w:trPr>
        <w:tc>
          <w:tcPr>
            <w:tcW w:w="0" w:type="auto"/>
            <w:hideMark/>
          </w:tcPr>
          <w:p w14:paraId="043A5C66"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17.1%</w:t>
            </w:r>
          </w:p>
        </w:tc>
        <w:tc>
          <w:tcPr>
            <w:tcW w:w="0" w:type="auto"/>
            <w:hideMark/>
          </w:tcPr>
          <w:p w14:paraId="4DF768AE"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70</w:t>
            </w:r>
          </w:p>
        </w:tc>
        <w:tc>
          <w:tcPr>
            <w:tcW w:w="1022" w:type="dxa"/>
          </w:tcPr>
          <w:p w14:paraId="2777BAD2"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أقل من 20 سنة</w:t>
            </w:r>
          </w:p>
        </w:tc>
      </w:tr>
      <w:tr w:rsidR="000913DC" w:rsidRPr="00645EB2" w14:paraId="72BC3DD5" w14:textId="77777777" w:rsidTr="00A171A0">
        <w:trPr>
          <w:jc w:val="center"/>
        </w:trPr>
        <w:tc>
          <w:tcPr>
            <w:tcW w:w="0" w:type="auto"/>
            <w:hideMark/>
          </w:tcPr>
          <w:p w14:paraId="345D26AA"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31.4%</w:t>
            </w:r>
          </w:p>
        </w:tc>
        <w:tc>
          <w:tcPr>
            <w:tcW w:w="0" w:type="auto"/>
            <w:hideMark/>
          </w:tcPr>
          <w:p w14:paraId="74A10C77"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120</w:t>
            </w:r>
          </w:p>
        </w:tc>
        <w:tc>
          <w:tcPr>
            <w:tcW w:w="1022" w:type="dxa"/>
          </w:tcPr>
          <w:p w14:paraId="616820B9"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 xml:space="preserve">20 – 29 </w:t>
            </w:r>
            <w:r w:rsidRPr="00645EB2">
              <w:rPr>
                <w:rFonts w:asciiTheme="majorBidi" w:hAnsiTheme="majorBidi" w:cstheme="majorBidi"/>
                <w:sz w:val="28"/>
                <w:szCs w:val="28"/>
                <w:rtl/>
              </w:rPr>
              <w:t>سنة</w:t>
            </w:r>
          </w:p>
        </w:tc>
      </w:tr>
      <w:tr w:rsidR="000913DC" w:rsidRPr="00645EB2" w14:paraId="467CF4A1" w14:textId="77777777" w:rsidTr="00A171A0">
        <w:trPr>
          <w:jc w:val="center"/>
        </w:trPr>
        <w:tc>
          <w:tcPr>
            <w:tcW w:w="0" w:type="auto"/>
            <w:hideMark/>
          </w:tcPr>
          <w:p w14:paraId="3A9D1269"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24.3%</w:t>
            </w:r>
          </w:p>
        </w:tc>
        <w:tc>
          <w:tcPr>
            <w:tcW w:w="0" w:type="auto"/>
            <w:hideMark/>
          </w:tcPr>
          <w:p w14:paraId="36D80D8D"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95</w:t>
            </w:r>
          </w:p>
        </w:tc>
        <w:tc>
          <w:tcPr>
            <w:tcW w:w="1022" w:type="dxa"/>
          </w:tcPr>
          <w:p w14:paraId="198CB809"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 xml:space="preserve">30 – 39 </w:t>
            </w:r>
            <w:r w:rsidRPr="00645EB2">
              <w:rPr>
                <w:rFonts w:asciiTheme="majorBidi" w:hAnsiTheme="majorBidi" w:cstheme="majorBidi"/>
                <w:sz w:val="28"/>
                <w:szCs w:val="28"/>
                <w:rtl/>
              </w:rPr>
              <w:t>سنة</w:t>
            </w:r>
          </w:p>
        </w:tc>
      </w:tr>
      <w:tr w:rsidR="000913DC" w:rsidRPr="00645EB2" w14:paraId="48E641DC" w14:textId="77777777" w:rsidTr="00A171A0">
        <w:trPr>
          <w:jc w:val="center"/>
        </w:trPr>
        <w:tc>
          <w:tcPr>
            <w:tcW w:w="0" w:type="auto"/>
          </w:tcPr>
          <w:p w14:paraId="42C1A9A4"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25.7</w:t>
            </w:r>
          </w:p>
        </w:tc>
        <w:tc>
          <w:tcPr>
            <w:tcW w:w="0" w:type="auto"/>
            <w:hideMark/>
          </w:tcPr>
          <w:p w14:paraId="1A95DAA9"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65</w:t>
            </w:r>
          </w:p>
        </w:tc>
        <w:tc>
          <w:tcPr>
            <w:tcW w:w="1022" w:type="dxa"/>
          </w:tcPr>
          <w:p w14:paraId="01F25652"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 xml:space="preserve">40 – 49 </w:t>
            </w:r>
            <w:r w:rsidRPr="00645EB2">
              <w:rPr>
                <w:rFonts w:asciiTheme="majorBidi" w:hAnsiTheme="majorBidi" w:cstheme="majorBidi"/>
                <w:sz w:val="28"/>
                <w:szCs w:val="28"/>
                <w:rtl/>
              </w:rPr>
              <w:t>سنة</w:t>
            </w:r>
          </w:p>
        </w:tc>
      </w:tr>
      <w:tr w:rsidR="000913DC" w:rsidRPr="00645EB2" w14:paraId="365E121F" w14:textId="77777777" w:rsidTr="00A171A0">
        <w:trPr>
          <w:jc w:val="center"/>
        </w:trPr>
        <w:tc>
          <w:tcPr>
            <w:tcW w:w="0" w:type="auto"/>
          </w:tcPr>
          <w:p w14:paraId="447965FF"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11.5%</w:t>
            </w:r>
          </w:p>
        </w:tc>
        <w:tc>
          <w:tcPr>
            <w:tcW w:w="0" w:type="auto"/>
            <w:hideMark/>
          </w:tcPr>
          <w:p w14:paraId="004AC6A6"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50</w:t>
            </w:r>
          </w:p>
        </w:tc>
        <w:tc>
          <w:tcPr>
            <w:tcW w:w="1022" w:type="dxa"/>
          </w:tcPr>
          <w:p w14:paraId="4FB38E11"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 xml:space="preserve">50 </w:t>
            </w:r>
            <w:r w:rsidRPr="00645EB2">
              <w:rPr>
                <w:rFonts w:asciiTheme="majorBidi" w:hAnsiTheme="majorBidi" w:cstheme="majorBidi"/>
                <w:sz w:val="28"/>
                <w:szCs w:val="28"/>
                <w:rtl/>
              </w:rPr>
              <w:t>سنة فأكثر</w:t>
            </w:r>
          </w:p>
        </w:tc>
      </w:tr>
      <w:tr w:rsidR="000913DC" w:rsidRPr="00645EB2" w14:paraId="5288FEBF" w14:textId="77777777" w:rsidTr="00A171A0">
        <w:trPr>
          <w:jc w:val="center"/>
        </w:trPr>
        <w:tc>
          <w:tcPr>
            <w:tcW w:w="0" w:type="auto"/>
          </w:tcPr>
          <w:p w14:paraId="51E9FF5C"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100%</w:t>
            </w:r>
          </w:p>
        </w:tc>
        <w:tc>
          <w:tcPr>
            <w:tcW w:w="0" w:type="auto"/>
            <w:hideMark/>
          </w:tcPr>
          <w:p w14:paraId="18F64CEF"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400</w:t>
            </w:r>
          </w:p>
        </w:tc>
        <w:tc>
          <w:tcPr>
            <w:tcW w:w="1022" w:type="dxa"/>
          </w:tcPr>
          <w:p w14:paraId="3BF21E81"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المجموع</w:t>
            </w:r>
          </w:p>
        </w:tc>
      </w:tr>
    </w:tbl>
    <w:p w14:paraId="6CA1D4F4"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يوضح الجدول توزيع أفراد عينة الدراسة حسب الفئة العمرية، حيث جاءت الفئة العمرية (20–29 سنة) في المرتبة الأولى بنسبة 31.4% من إجمالي العينة وبعدد 120 مفردة، تلتها الفئة العمرية (30–39 سنة) بنسبة 24.3% وبعدد 95 مفردة، ثم الفئة الأقل من 20 سنة بنسبة 17.1% وبعدد 70 مفردة، بينما بلغت نسبة الفئة العمرية (40–49 سنة) 15.7% وبعدد 65 مفردة، وجاءت الفئة العمرية (50 سنة فأكثر) في المرتبة الأخيرة بنسبة 11.5% وبعدد 50 مفردة. وتشير هذه النتائج إلى أن غالبية أفراد العينة ينتمون إلى الفئات العمرية الشابة ومتوسطة العمر، مما يوفر تمثيلًا مناسبًا للفئات الأكثر تفاعلًا مع موضوع الدراسة</w:t>
      </w:r>
      <w:r w:rsidRPr="00645EB2">
        <w:rPr>
          <w:rFonts w:asciiTheme="majorBidi" w:hAnsiTheme="majorBidi" w:cstheme="majorBidi"/>
          <w:sz w:val="28"/>
          <w:szCs w:val="28"/>
        </w:rPr>
        <w:t>.</w:t>
      </w:r>
    </w:p>
    <w:p w14:paraId="1773803E"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جدول (3) توزيع أفراد عينة الدراسة حسب المستوى التعليمي</w:t>
      </w:r>
    </w:p>
    <w:tbl>
      <w:tblPr>
        <w:tblStyle w:val="af3"/>
        <w:tblW w:w="0" w:type="auto"/>
        <w:jc w:val="center"/>
        <w:tblLook w:val="04A0" w:firstRow="1" w:lastRow="0" w:firstColumn="1" w:lastColumn="0" w:noHBand="0" w:noVBand="1"/>
      </w:tblPr>
      <w:tblGrid>
        <w:gridCol w:w="1413"/>
        <w:gridCol w:w="843"/>
        <w:gridCol w:w="1725"/>
      </w:tblGrid>
      <w:tr w:rsidR="000913DC" w:rsidRPr="00645EB2" w14:paraId="6ECC6091" w14:textId="77777777" w:rsidTr="00A171A0">
        <w:trPr>
          <w:jc w:val="center"/>
        </w:trPr>
        <w:tc>
          <w:tcPr>
            <w:tcW w:w="1413" w:type="dxa"/>
            <w:hideMark/>
          </w:tcPr>
          <w:p w14:paraId="450B77B5"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النسبة المئوية</w:t>
            </w:r>
          </w:p>
        </w:tc>
        <w:tc>
          <w:tcPr>
            <w:tcW w:w="0" w:type="auto"/>
            <w:hideMark/>
          </w:tcPr>
          <w:p w14:paraId="63FC2289"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التكرار</w:t>
            </w:r>
          </w:p>
        </w:tc>
        <w:tc>
          <w:tcPr>
            <w:tcW w:w="0" w:type="auto"/>
            <w:hideMark/>
          </w:tcPr>
          <w:p w14:paraId="5AC5BC0F"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المستوي التعليمي</w:t>
            </w:r>
          </w:p>
        </w:tc>
      </w:tr>
      <w:tr w:rsidR="000913DC" w:rsidRPr="00645EB2" w14:paraId="5CE52FC1" w14:textId="77777777" w:rsidTr="00A171A0">
        <w:trPr>
          <w:jc w:val="center"/>
        </w:trPr>
        <w:tc>
          <w:tcPr>
            <w:tcW w:w="1413" w:type="dxa"/>
            <w:hideMark/>
          </w:tcPr>
          <w:p w14:paraId="31A181B4"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lastRenderedPageBreak/>
              <w:t>20%</w:t>
            </w:r>
          </w:p>
        </w:tc>
        <w:tc>
          <w:tcPr>
            <w:tcW w:w="0" w:type="auto"/>
            <w:hideMark/>
          </w:tcPr>
          <w:p w14:paraId="1BF9A6F1"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80</w:t>
            </w:r>
          </w:p>
        </w:tc>
        <w:tc>
          <w:tcPr>
            <w:tcW w:w="0" w:type="auto"/>
            <w:hideMark/>
          </w:tcPr>
          <w:p w14:paraId="53862924"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ثانوي أو أقل</w:t>
            </w:r>
          </w:p>
        </w:tc>
      </w:tr>
      <w:tr w:rsidR="000913DC" w:rsidRPr="00645EB2" w14:paraId="3AFF1ADB" w14:textId="77777777" w:rsidTr="00A171A0">
        <w:trPr>
          <w:jc w:val="center"/>
        </w:trPr>
        <w:tc>
          <w:tcPr>
            <w:tcW w:w="1413" w:type="dxa"/>
            <w:hideMark/>
          </w:tcPr>
          <w:p w14:paraId="5F65EB9C"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18.6%</w:t>
            </w:r>
          </w:p>
        </w:tc>
        <w:tc>
          <w:tcPr>
            <w:tcW w:w="0" w:type="auto"/>
            <w:hideMark/>
          </w:tcPr>
          <w:p w14:paraId="640C9A1C"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75</w:t>
            </w:r>
          </w:p>
        </w:tc>
        <w:tc>
          <w:tcPr>
            <w:tcW w:w="0" w:type="auto"/>
            <w:hideMark/>
          </w:tcPr>
          <w:p w14:paraId="5281073A"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دبلوم</w:t>
            </w:r>
          </w:p>
        </w:tc>
      </w:tr>
      <w:tr w:rsidR="000913DC" w:rsidRPr="00645EB2" w14:paraId="2B7D7747" w14:textId="77777777" w:rsidTr="00A171A0">
        <w:trPr>
          <w:jc w:val="center"/>
        </w:trPr>
        <w:tc>
          <w:tcPr>
            <w:tcW w:w="1413" w:type="dxa"/>
            <w:hideMark/>
          </w:tcPr>
          <w:p w14:paraId="67B614C7"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42.9%</w:t>
            </w:r>
          </w:p>
        </w:tc>
        <w:tc>
          <w:tcPr>
            <w:tcW w:w="0" w:type="auto"/>
            <w:hideMark/>
          </w:tcPr>
          <w:p w14:paraId="4F481299"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160</w:t>
            </w:r>
          </w:p>
        </w:tc>
        <w:tc>
          <w:tcPr>
            <w:tcW w:w="0" w:type="auto"/>
            <w:hideMark/>
          </w:tcPr>
          <w:p w14:paraId="1AFE5E89"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بكالوريوس</w:t>
            </w:r>
          </w:p>
        </w:tc>
      </w:tr>
      <w:tr w:rsidR="000913DC" w:rsidRPr="00645EB2" w14:paraId="5FE8629D" w14:textId="77777777" w:rsidTr="00A171A0">
        <w:trPr>
          <w:jc w:val="center"/>
        </w:trPr>
        <w:tc>
          <w:tcPr>
            <w:tcW w:w="1413" w:type="dxa"/>
            <w:hideMark/>
          </w:tcPr>
          <w:p w14:paraId="0755998A"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18.5%</w:t>
            </w:r>
          </w:p>
        </w:tc>
        <w:tc>
          <w:tcPr>
            <w:tcW w:w="0" w:type="auto"/>
            <w:hideMark/>
          </w:tcPr>
          <w:p w14:paraId="79F00631"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95</w:t>
            </w:r>
          </w:p>
        </w:tc>
        <w:tc>
          <w:tcPr>
            <w:tcW w:w="0" w:type="auto"/>
            <w:hideMark/>
          </w:tcPr>
          <w:p w14:paraId="082A7573"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دراسات عليا</w:t>
            </w:r>
          </w:p>
        </w:tc>
      </w:tr>
      <w:tr w:rsidR="000913DC" w:rsidRPr="00645EB2" w14:paraId="7C8BDD79" w14:textId="77777777" w:rsidTr="00A171A0">
        <w:trPr>
          <w:jc w:val="center"/>
        </w:trPr>
        <w:tc>
          <w:tcPr>
            <w:tcW w:w="1413" w:type="dxa"/>
            <w:hideMark/>
          </w:tcPr>
          <w:p w14:paraId="711C16D2"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100%</w:t>
            </w:r>
          </w:p>
        </w:tc>
        <w:tc>
          <w:tcPr>
            <w:tcW w:w="0" w:type="auto"/>
            <w:hideMark/>
          </w:tcPr>
          <w:p w14:paraId="5DA464CF"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400</w:t>
            </w:r>
          </w:p>
        </w:tc>
        <w:tc>
          <w:tcPr>
            <w:tcW w:w="0" w:type="auto"/>
            <w:hideMark/>
          </w:tcPr>
          <w:p w14:paraId="06BC300C"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المجموع</w:t>
            </w:r>
          </w:p>
        </w:tc>
      </w:tr>
    </w:tbl>
    <w:p w14:paraId="1CBC761A"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يوضح الجدول توزيع أفراد عينة الدراسة وفقًا للمستوى التعليمي، حيث جاءت فئة الحاصلين على درجة البكالوريوس في المرتبة الأولى بنسبة 42.9% وبعدد 160 مفردة، مما يدل على أن غالبية أفراد العينة يتمتعون بمستوى تعليمي جامعي. تلتها فئة الحاصلين على شهادة الثانوية أو أقل بنسبة 20% وبعدد 80 مفردة، ثم فئة الدبلوم بنسبة 18.6% وبعدد 75 مفردة، بينما جاءت فئة الدراسات العليا بنسبة 18.5% وبعدد 95 مفردة. وتشير هذه النتائج إلى تنوع المستويات التعليمية لأفراد العينة مع</w:t>
      </w:r>
      <w:r w:rsidRPr="00645EB2">
        <w:rPr>
          <w:rFonts w:asciiTheme="majorBidi" w:hAnsiTheme="majorBidi" w:cstheme="majorBidi"/>
          <w:sz w:val="28"/>
          <w:szCs w:val="28"/>
        </w:rPr>
        <w:t xml:space="preserve"> </w:t>
      </w:r>
      <w:r w:rsidRPr="00645EB2">
        <w:rPr>
          <w:rFonts w:asciiTheme="majorBidi" w:hAnsiTheme="majorBidi" w:cstheme="majorBidi"/>
          <w:sz w:val="28"/>
          <w:szCs w:val="28"/>
          <w:rtl/>
        </w:rPr>
        <w:t>المؤهل الجامعي، الأمر الذي يعزز من قدرة المشاركين على فهم موضوع الدراسة والإجابة على أسئلتها بدقة</w:t>
      </w:r>
      <w:r w:rsidRPr="00645EB2">
        <w:rPr>
          <w:rFonts w:asciiTheme="majorBidi" w:hAnsiTheme="majorBidi" w:cstheme="majorBidi"/>
          <w:sz w:val="28"/>
          <w:szCs w:val="28"/>
        </w:rPr>
        <w:t>.</w:t>
      </w:r>
    </w:p>
    <w:p w14:paraId="050B82C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جدول (4) توزيع أفراد عينة الدراسة حسب المنطقة</w:t>
      </w:r>
    </w:p>
    <w:tbl>
      <w:tblPr>
        <w:tblStyle w:val="af3"/>
        <w:tblW w:w="0" w:type="auto"/>
        <w:jc w:val="center"/>
        <w:tblLook w:val="04A0" w:firstRow="1" w:lastRow="0" w:firstColumn="1" w:lastColumn="0" w:noHBand="0" w:noVBand="1"/>
      </w:tblPr>
      <w:tblGrid>
        <w:gridCol w:w="940"/>
        <w:gridCol w:w="843"/>
        <w:gridCol w:w="1636"/>
      </w:tblGrid>
      <w:tr w:rsidR="000913DC" w:rsidRPr="00645EB2" w14:paraId="664E45AB" w14:textId="77777777" w:rsidTr="00A171A0">
        <w:trPr>
          <w:jc w:val="center"/>
        </w:trPr>
        <w:tc>
          <w:tcPr>
            <w:tcW w:w="930" w:type="dxa"/>
            <w:hideMark/>
          </w:tcPr>
          <w:p w14:paraId="25A438FA"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النسبة المئوية</w:t>
            </w:r>
          </w:p>
        </w:tc>
        <w:tc>
          <w:tcPr>
            <w:tcW w:w="0" w:type="auto"/>
            <w:hideMark/>
          </w:tcPr>
          <w:p w14:paraId="282A82E6"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التكرار</w:t>
            </w:r>
          </w:p>
        </w:tc>
        <w:tc>
          <w:tcPr>
            <w:tcW w:w="0" w:type="auto"/>
            <w:hideMark/>
          </w:tcPr>
          <w:p w14:paraId="01EC6E40"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المنطقة</w:t>
            </w:r>
          </w:p>
        </w:tc>
      </w:tr>
      <w:tr w:rsidR="000913DC" w:rsidRPr="00645EB2" w14:paraId="7A6A7F55" w14:textId="77777777" w:rsidTr="00A171A0">
        <w:trPr>
          <w:jc w:val="center"/>
        </w:trPr>
        <w:tc>
          <w:tcPr>
            <w:tcW w:w="930" w:type="dxa"/>
            <w:hideMark/>
          </w:tcPr>
          <w:p w14:paraId="63D3A8B5"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27.1%</w:t>
            </w:r>
          </w:p>
        </w:tc>
        <w:tc>
          <w:tcPr>
            <w:tcW w:w="0" w:type="auto"/>
            <w:hideMark/>
          </w:tcPr>
          <w:p w14:paraId="49FC14B3"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105</w:t>
            </w:r>
          </w:p>
        </w:tc>
        <w:tc>
          <w:tcPr>
            <w:tcW w:w="0" w:type="auto"/>
            <w:hideMark/>
          </w:tcPr>
          <w:p w14:paraId="66B2F4E9"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المنطقة الوسطي</w:t>
            </w:r>
          </w:p>
        </w:tc>
      </w:tr>
      <w:tr w:rsidR="000913DC" w:rsidRPr="00645EB2" w14:paraId="22A4815E" w14:textId="77777777" w:rsidTr="00A171A0">
        <w:trPr>
          <w:jc w:val="center"/>
        </w:trPr>
        <w:tc>
          <w:tcPr>
            <w:tcW w:w="930" w:type="dxa"/>
            <w:hideMark/>
          </w:tcPr>
          <w:p w14:paraId="62A3E746"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24.3%</w:t>
            </w:r>
          </w:p>
        </w:tc>
        <w:tc>
          <w:tcPr>
            <w:tcW w:w="0" w:type="auto"/>
            <w:hideMark/>
          </w:tcPr>
          <w:p w14:paraId="44EC4AF6"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95</w:t>
            </w:r>
          </w:p>
        </w:tc>
        <w:tc>
          <w:tcPr>
            <w:tcW w:w="0" w:type="auto"/>
            <w:hideMark/>
          </w:tcPr>
          <w:p w14:paraId="380493BD"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المنطقة الغربية</w:t>
            </w:r>
          </w:p>
        </w:tc>
      </w:tr>
      <w:tr w:rsidR="000913DC" w:rsidRPr="00645EB2" w14:paraId="0BFDA2E8" w14:textId="77777777" w:rsidTr="00A171A0">
        <w:trPr>
          <w:jc w:val="center"/>
        </w:trPr>
        <w:tc>
          <w:tcPr>
            <w:tcW w:w="930" w:type="dxa"/>
            <w:hideMark/>
          </w:tcPr>
          <w:p w14:paraId="1C03C679"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20%</w:t>
            </w:r>
          </w:p>
        </w:tc>
        <w:tc>
          <w:tcPr>
            <w:tcW w:w="0" w:type="auto"/>
            <w:hideMark/>
          </w:tcPr>
          <w:p w14:paraId="57E1C2D5"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80</w:t>
            </w:r>
          </w:p>
        </w:tc>
        <w:tc>
          <w:tcPr>
            <w:tcW w:w="0" w:type="auto"/>
            <w:hideMark/>
          </w:tcPr>
          <w:p w14:paraId="0AFC4C09"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المنطقة الشرقية</w:t>
            </w:r>
          </w:p>
        </w:tc>
      </w:tr>
      <w:tr w:rsidR="000913DC" w:rsidRPr="00645EB2" w14:paraId="53AE4CD9" w14:textId="77777777" w:rsidTr="00A171A0">
        <w:trPr>
          <w:jc w:val="center"/>
        </w:trPr>
        <w:tc>
          <w:tcPr>
            <w:tcW w:w="930" w:type="dxa"/>
            <w:hideMark/>
          </w:tcPr>
          <w:p w14:paraId="1C5F4326"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14.3%</w:t>
            </w:r>
          </w:p>
        </w:tc>
        <w:tc>
          <w:tcPr>
            <w:tcW w:w="0" w:type="auto"/>
            <w:hideMark/>
          </w:tcPr>
          <w:p w14:paraId="0D9FCA5F"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60</w:t>
            </w:r>
          </w:p>
        </w:tc>
        <w:tc>
          <w:tcPr>
            <w:tcW w:w="0" w:type="auto"/>
            <w:hideMark/>
          </w:tcPr>
          <w:p w14:paraId="46234F84"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المنطقة الشمالية</w:t>
            </w:r>
          </w:p>
        </w:tc>
      </w:tr>
      <w:tr w:rsidR="000913DC" w:rsidRPr="00645EB2" w14:paraId="5E0C0850" w14:textId="77777777" w:rsidTr="00A171A0">
        <w:trPr>
          <w:jc w:val="center"/>
        </w:trPr>
        <w:tc>
          <w:tcPr>
            <w:tcW w:w="930" w:type="dxa"/>
            <w:hideMark/>
          </w:tcPr>
          <w:p w14:paraId="60C70F20"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14.3%</w:t>
            </w:r>
          </w:p>
        </w:tc>
        <w:tc>
          <w:tcPr>
            <w:tcW w:w="0" w:type="auto"/>
            <w:hideMark/>
          </w:tcPr>
          <w:p w14:paraId="4F9C26DA"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60</w:t>
            </w:r>
          </w:p>
        </w:tc>
        <w:tc>
          <w:tcPr>
            <w:tcW w:w="0" w:type="auto"/>
            <w:hideMark/>
          </w:tcPr>
          <w:p w14:paraId="348B4613"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المنطقة الجنوبية</w:t>
            </w:r>
          </w:p>
        </w:tc>
      </w:tr>
      <w:tr w:rsidR="000913DC" w:rsidRPr="00645EB2" w14:paraId="1F553986" w14:textId="77777777" w:rsidTr="00A171A0">
        <w:trPr>
          <w:jc w:val="center"/>
        </w:trPr>
        <w:tc>
          <w:tcPr>
            <w:tcW w:w="930" w:type="dxa"/>
            <w:hideMark/>
          </w:tcPr>
          <w:p w14:paraId="0EA7D4DC"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100%</w:t>
            </w:r>
          </w:p>
        </w:tc>
        <w:tc>
          <w:tcPr>
            <w:tcW w:w="0" w:type="auto"/>
            <w:hideMark/>
          </w:tcPr>
          <w:p w14:paraId="579DAFB2"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400</w:t>
            </w:r>
          </w:p>
        </w:tc>
        <w:tc>
          <w:tcPr>
            <w:tcW w:w="0" w:type="auto"/>
            <w:hideMark/>
          </w:tcPr>
          <w:p w14:paraId="576A2D35"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المجموع</w:t>
            </w:r>
          </w:p>
        </w:tc>
      </w:tr>
    </w:tbl>
    <w:p w14:paraId="238C9968"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يوضح الجدول توزيع أفراد عينة الدراسة حسب المنطقة الجغرافية، حيث جاءت المنطقة الوسطى في المرتبة الأولى بنسبة 27.1% وبعدد 105 مفردات، تلتها المنطقة الغربية بنسبة 24.3% وبعدد 95 مفردة، ثم المنطقة </w:t>
      </w:r>
      <w:r w:rsidRPr="00645EB2">
        <w:rPr>
          <w:rFonts w:asciiTheme="majorBidi" w:hAnsiTheme="majorBidi" w:cstheme="majorBidi"/>
          <w:sz w:val="28"/>
          <w:szCs w:val="28"/>
          <w:rtl/>
        </w:rPr>
        <w:lastRenderedPageBreak/>
        <w:t>الشرقية بنسبة 20% وبعدد 80 مفردة. كما تساوت كل من المنطقة الشمالية والمنطقة الجنوبية بنسبة 14.3% وبعدد 60 مفردة لكل منهما. وتشير هذه النتائج إلى أن العينة شملت مشاركين من مختلف مناطق المملكة، مع تمثيل أكبر للمنطقتين الوسطى والغربية، مما يعزز من تنوع العينة ويزيد من إمكانية تعميم نتائج الدراسة على المجتمع المستهدف</w:t>
      </w:r>
      <w:r w:rsidRPr="00645EB2">
        <w:rPr>
          <w:rFonts w:asciiTheme="majorBidi" w:hAnsiTheme="majorBidi" w:cstheme="majorBidi"/>
          <w:sz w:val="28"/>
          <w:szCs w:val="28"/>
        </w:rPr>
        <w:t>.</w:t>
      </w:r>
    </w:p>
    <w:p w14:paraId="63E5E872"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جدول (5) وجود مرض عصبي مزمن لدى المبحوث أو أحد أفراد أسرته</w:t>
      </w:r>
    </w:p>
    <w:tbl>
      <w:tblPr>
        <w:tblStyle w:val="af3"/>
        <w:tblW w:w="0" w:type="auto"/>
        <w:jc w:val="center"/>
        <w:tblLook w:val="04A0" w:firstRow="1" w:lastRow="0" w:firstColumn="1" w:lastColumn="0" w:noHBand="0" w:noVBand="1"/>
      </w:tblPr>
      <w:tblGrid>
        <w:gridCol w:w="975"/>
        <w:gridCol w:w="843"/>
        <w:gridCol w:w="975"/>
      </w:tblGrid>
      <w:tr w:rsidR="000913DC" w:rsidRPr="00645EB2" w14:paraId="4A1DBAC4" w14:textId="77777777" w:rsidTr="00A171A0">
        <w:trPr>
          <w:jc w:val="center"/>
        </w:trPr>
        <w:tc>
          <w:tcPr>
            <w:tcW w:w="975" w:type="dxa"/>
            <w:hideMark/>
          </w:tcPr>
          <w:p w14:paraId="06134A10"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النسبة المئوية</w:t>
            </w:r>
          </w:p>
        </w:tc>
        <w:tc>
          <w:tcPr>
            <w:tcW w:w="0" w:type="auto"/>
            <w:hideMark/>
          </w:tcPr>
          <w:p w14:paraId="2D0D09D3"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التكرار</w:t>
            </w:r>
          </w:p>
        </w:tc>
        <w:tc>
          <w:tcPr>
            <w:tcW w:w="0" w:type="auto"/>
            <w:hideMark/>
          </w:tcPr>
          <w:p w14:paraId="683EBE77"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الاجابه </w:t>
            </w:r>
          </w:p>
        </w:tc>
      </w:tr>
      <w:tr w:rsidR="000913DC" w:rsidRPr="00645EB2" w14:paraId="6972304E" w14:textId="77777777" w:rsidTr="00A171A0">
        <w:trPr>
          <w:jc w:val="center"/>
        </w:trPr>
        <w:tc>
          <w:tcPr>
            <w:tcW w:w="975" w:type="dxa"/>
            <w:hideMark/>
          </w:tcPr>
          <w:p w14:paraId="7192BB61"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34.3%</w:t>
            </w:r>
          </w:p>
        </w:tc>
        <w:tc>
          <w:tcPr>
            <w:tcW w:w="0" w:type="auto"/>
            <w:hideMark/>
          </w:tcPr>
          <w:p w14:paraId="252B71B3"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150</w:t>
            </w:r>
          </w:p>
        </w:tc>
        <w:tc>
          <w:tcPr>
            <w:tcW w:w="0" w:type="auto"/>
            <w:hideMark/>
          </w:tcPr>
          <w:p w14:paraId="0EB5A471"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نعم</w:t>
            </w:r>
          </w:p>
        </w:tc>
      </w:tr>
      <w:tr w:rsidR="000913DC" w:rsidRPr="00645EB2" w14:paraId="40BD5049" w14:textId="77777777" w:rsidTr="00A171A0">
        <w:trPr>
          <w:jc w:val="center"/>
        </w:trPr>
        <w:tc>
          <w:tcPr>
            <w:tcW w:w="975" w:type="dxa"/>
            <w:hideMark/>
          </w:tcPr>
          <w:p w14:paraId="5CB41573"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57.1%</w:t>
            </w:r>
          </w:p>
        </w:tc>
        <w:tc>
          <w:tcPr>
            <w:tcW w:w="0" w:type="auto"/>
            <w:hideMark/>
          </w:tcPr>
          <w:p w14:paraId="03A7B2F3"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220</w:t>
            </w:r>
          </w:p>
        </w:tc>
        <w:tc>
          <w:tcPr>
            <w:tcW w:w="0" w:type="auto"/>
            <w:hideMark/>
          </w:tcPr>
          <w:p w14:paraId="5388C368"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لا</w:t>
            </w:r>
          </w:p>
        </w:tc>
      </w:tr>
      <w:tr w:rsidR="000913DC" w:rsidRPr="00645EB2" w14:paraId="04B1761C" w14:textId="77777777" w:rsidTr="00A171A0">
        <w:trPr>
          <w:jc w:val="center"/>
        </w:trPr>
        <w:tc>
          <w:tcPr>
            <w:tcW w:w="975" w:type="dxa"/>
            <w:hideMark/>
          </w:tcPr>
          <w:p w14:paraId="39BDE2C0"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8.6%</w:t>
            </w:r>
          </w:p>
        </w:tc>
        <w:tc>
          <w:tcPr>
            <w:tcW w:w="0" w:type="auto"/>
            <w:hideMark/>
          </w:tcPr>
          <w:p w14:paraId="44B0BE9C"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30</w:t>
            </w:r>
          </w:p>
        </w:tc>
        <w:tc>
          <w:tcPr>
            <w:tcW w:w="0" w:type="auto"/>
            <w:hideMark/>
          </w:tcPr>
          <w:p w14:paraId="4B8D3EDD"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أخرى</w:t>
            </w:r>
          </w:p>
        </w:tc>
      </w:tr>
      <w:tr w:rsidR="000913DC" w:rsidRPr="00645EB2" w14:paraId="6DC12256" w14:textId="77777777" w:rsidTr="00A171A0">
        <w:trPr>
          <w:jc w:val="center"/>
        </w:trPr>
        <w:tc>
          <w:tcPr>
            <w:tcW w:w="975" w:type="dxa"/>
            <w:hideMark/>
          </w:tcPr>
          <w:p w14:paraId="270CD123"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100%</w:t>
            </w:r>
          </w:p>
        </w:tc>
        <w:tc>
          <w:tcPr>
            <w:tcW w:w="0" w:type="auto"/>
            <w:hideMark/>
          </w:tcPr>
          <w:p w14:paraId="31BFF1B3"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Pr>
              <w:t>400</w:t>
            </w:r>
          </w:p>
        </w:tc>
        <w:tc>
          <w:tcPr>
            <w:tcW w:w="0" w:type="auto"/>
            <w:hideMark/>
          </w:tcPr>
          <w:p w14:paraId="2BA82C88" w14:textId="77777777" w:rsidR="000913DC" w:rsidRPr="00645EB2" w:rsidRDefault="000913DC" w:rsidP="00A171A0">
            <w:pPr>
              <w:spacing w:after="160"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المجموع</w:t>
            </w:r>
          </w:p>
        </w:tc>
      </w:tr>
    </w:tbl>
    <w:p w14:paraId="254F41A4" w14:textId="77777777" w:rsidR="000913DC" w:rsidRPr="00645EB2" w:rsidRDefault="000913DC" w:rsidP="000913DC">
      <w:pPr>
        <w:spacing w:line="360" w:lineRule="auto"/>
        <w:jc w:val="both"/>
        <w:rPr>
          <w:rFonts w:asciiTheme="majorBidi" w:hAnsiTheme="majorBidi" w:cstheme="majorBidi"/>
          <w:sz w:val="28"/>
          <w:szCs w:val="28"/>
          <w:rtl/>
        </w:rPr>
      </w:pPr>
    </w:p>
    <w:p w14:paraId="6C9608EB"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أظهرت النتائج أن 57.1% من أفراد العينة لم يكن لديهم أو لدى أسرهم أي مرض عصبي مزمن، بينما أفاد 34.3% بوجود إصابة، وهي نسبة غير قليلة قد تُعزى إلى انتشار الأمراض العصبية في المجتمع أو إلى قرب العلاقة الأسرية مع المرضى، وهو ما قد يؤثر في اتجاهات المبحوثين نحو استخدام الإعلام الرقمي في هذا المجال</w:t>
      </w:r>
      <w:r w:rsidRPr="00645EB2">
        <w:rPr>
          <w:rFonts w:asciiTheme="majorBidi" w:hAnsiTheme="majorBidi" w:cstheme="majorBidi"/>
          <w:sz w:val="28"/>
          <w:szCs w:val="28"/>
        </w:rPr>
        <w:t>.</w:t>
      </w:r>
    </w:p>
    <w:p w14:paraId="52E0FF21"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جدول (6) معدل استخدام الإعلام الرقمي يوميًا</w:t>
      </w:r>
    </w:p>
    <w:tbl>
      <w:tblPr>
        <w:tblStyle w:val="af"/>
        <w:tblW w:w="0" w:type="auto"/>
        <w:jc w:val="center"/>
        <w:tblLook w:val="04A0" w:firstRow="1" w:lastRow="0" w:firstColumn="1" w:lastColumn="0" w:noHBand="0" w:noVBand="1"/>
      </w:tblPr>
      <w:tblGrid>
        <w:gridCol w:w="945"/>
        <w:gridCol w:w="843"/>
        <w:gridCol w:w="2622"/>
      </w:tblGrid>
      <w:tr w:rsidR="000913DC" w:rsidRPr="00645EB2" w14:paraId="2BA6F3F0" w14:textId="77777777" w:rsidTr="00A171A0">
        <w:trPr>
          <w:jc w:val="center"/>
        </w:trPr>
        <w:tc>
          <w:tcPr>
            <w:tcW w:w="945" w:type="dxa"/>
            <w:hideMark/>
          </w:tcPr>
          <w:p w14:paraId="1CA87413"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النسبة المئوية</w:t>
            </w:r>
          </w:p>
        </w:tc>
        <w:tc>
          <w:tcPr>
            <w:tcW w:w="0" w:type="auto"/>
            <w:tcBorders>
              <w:bottom w:val="single" w:sz="4" w:space="0" w:color="auto"/>
            </w:tcBorders>
            <w:hideMark/>
          </w:tcPr>
          <w:p w14:paraId="0579C3A3"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التكرار</w:t>
            </w:r>
          </w:p>
        </w:tc>
        <w:tc>
          <w:tcPr>
            <w:tcW w:w="0" w:type="auto"/>
            <w:tcBorders>
              <w:left w:val="single" w:sz="4" w:space="0" w:color="auto"/>
            </w:tcBorders>
            <w:hideMark/>
          </w:tcPr>
          <w:p w14:paraId="2B5309AD"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معدل الاستخدام</w:t>
            </w:r>
          </w:p>
        </w:tc>
      </w:tr>
      <w:tr w:rsidR="000913DC" w:rsidRPr="00645EB2" w14:paraId="123DF96B" w14:textId="77777777" w:rsidTr="00A171A0">
        <w:trPr>
          <w:jc w:val="center"/>
        </w:trPr>
        <w:tc>
          <w:tcPr>
            <w:tcW w:w="945" w:type="dxa"/>
            <w:hideMark/>
          </w:tcPr>
          <w:p w14:paraId="3EE8F99B"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11.4%</w:t>
            </w:r>
          </w:p>
        </w:tc>
        <w:tc>
          <w:tcPr>
            <w:tcW w:w="0" w:type="auto"/>
            <w:tcBorders>
              <w:top w:val="single" w:sz="4" w:space="0" w:color="auto"/>
            </w:tcBorders>
            <w:hideMark/>
          </w:tcPr>
          <w:p w14:paraId="0ABC8ABA"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50</w:t>
            </w:r>
          </w:p>
        </w:tc>
        <w:tc>
          <w:tcPr>
            <w:tcW w:w="0" w:type="auto"/>
            <w:tcBorders>
              <w:left w:val="single" w:sz="4" w:space="0" w:color="auto"/>
            </w:tcBorders>
            <w:hideMark/>
          </w:tcPr>
          <w:p w14:paraId="7E22A5C2"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أقل من ساعة</w:t>
            </w:r>
          </w:p>
        </w:tc>
      </w:tr>
      <w:tr w:rsidR="000913DC" w:rsidRPr="00645EB2" w14:paraId="091D1034" w14:textId="77777777" w:rsidTr="00A171A0">
        <w:trPr>
          <w:jc w:val="center"/>
        </w:trPr>
        <w:tc>
          <w:tcPr>
            <w:tcW w:w="945" w:type="dxa"/>
            <w:hideMark/>
          </w:tcPr>
          <w:p w14:paraId="6E962D99"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31.4%</w:t>
            </w:r>
          </w:p>
        </w:tc>
        <w:tc>
          <w:tcPr>
            <w:tcW w:w="0" w:type="auto"/>
            <w:hideMark/>
          </w:tcPr>
          <w:p w14:paraId="12603B79"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120</w:t>
            </w:r>
          </w:p>
        </w:tc>
        <w:tc>
          <w:tcPr>
            <w:tcW w:w="0" w:type="auto"/>
            <w:tcBorders>
              <w:left w:val="single" w:sz="4" w:space="0" w:color="auto"/>
            </w:tcBorders>
            <w:hideMark/>
          </w:tcPr>
          <w:p w14:paraId="10D65239"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 xml:space="preserve">1 – 3 </w:t>
            </w:r>
            <w:r w:rsidRPr="00645EB2">
              <w:rPr>
                <w:rFonts w:asciiTheme="majorBidi" w:hAnsiTheme="majorBidi" w:cstheme="majorBidi"/>
                <w:sz w:val="28"/>
                <w:szCs w:val="28"/>
                <w:rtl/>
              </w:rPr>
              <w:t>ساعات</w:t>
            </w:r>
          </w:p>
        </w:tc>
      </w:tr>
      <w:tr w:rsidR="000913DC" w:rsidRPr="00645EB2" w14:paraId="09ECEA8E" w14:textId="77777777" w:rsidTr="00A171A0">
        <w:trPr>
          <w:jc w:val="center"/>
        </w:trPr>
        <w:tc>
          <w:tcPr>
            <w:tcW w:w="945" w:type="dxa"/>
            <w:hideMark/>
          </w:tcPr>
          <w:p w14:paraId="3B0356E9"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34.3%</w:t>
            </w:r>
          </w:p>
        </w:tc>
        <w:tc>
          <w:tcPr>
            <w:tcW w:w="0" w:type="auto"/>
            <w:hideMark/>
          </w:tcPr>
          <w:p w14:paraId="0A29EF15"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130</w:t>
            </w:r>
          </w:p>
        </w:tc>
        <w:tc>
          <w:tcPr>
            <w:tcW w:w="0" w:type="auto"/>
            <w:hideMark/>
          </w:tcPr>
          <w:p w14:paraId="05C5A238"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34.3%</w:t>
            </w:r>
          </w:p>
        </w:tc>
      </w:tr>
      <w:tr w:rsidR="000913DC" w:rsidRPr="00645EB2" w14:paraId="605F9E59" w14:textId="77777777" w:rsidTr="00A171A0">
        <w:trPr>
          <w:jc w:val="center"/>
        </w:trPr>
        <w:tc>
          <w:tcPr>
            <w:tcW w:w="945" w:type="dxa"/>
            <w:tcBorders>
              <w:right w:val="single" w:sz="4" w:space="0" w:color="auto"/>
            </w:tcBorders>
            <w:hideMark/>
          </w:tcPr>
          <w:p w14:paraId="60EF0381"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22.9%</w:t>
            </w:r>
          </w:p>
        </w:tc>
        <w:tc>
          <w:tcPr>
            <w:tcW w:w="0" w:type="auto"/>
            <w:hideMark/>
          </w:tcPr>
          <w:p w14:paraId="4C66555D"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100</w:t>
            </w:r>
          </w:p>
        </w:tc>
        <w:tc>
          <w:tcPr>
            <w:tcW w:w="0" w:type="auto"/>
            <w:hideMark/>
          </w:tcPr>
          <w:p w14:paraId="0CE5A109"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22.9%</w:t>
            </w:r>
            <w:r w:rsidRPr="00645EB2">
              <w:rPr>
                <w:rFonts w:asciiTheme="majorBidi" w:hAnsiTheme="majorBidi" w:cstheme="majorBidi"/>
                <w:sz w:val="28"/>
                <w:szCs w:val="28"/>
                <w:rtl/>
              </w:rPr>
              <w:t xml:space="preserve"> اكثر من 5 ساعات</w:t>
            </w:r>
          </w:p>
        </w:tc>
      </w:tr>
      <w:tr w:rsidR="000913DC" w:rsidRPr="00645EB2" w14:paraId="5CE6F72E" w14:textId="77777777" w:rsidTr="00A171A0">
        <w:trPr>
          <w:jc w:val="center"/>
        </w:trPr>
        <w:tc>
          <w:tcPr>
            <w:tcW w:w="945" w:type="dxa"/>
            <w:tcBorders>
              <w:right w:val="single" w:sz="4" w:space="0" w:color="auto"/>
            </w:tcBorders>
            <w:hideMark/>
          </w:tcPr>
          <w:p w14:paraId="4F4AB27E"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lastRenderedPageBreak/>
              <w:t>100%</w:t>
            </w:r>
          </w:p>
        </w:tc>
        <w:tc>
          <w:tcPr>
            <w:tcW w:w="0" w:type="auto"/>
            <w:hideMark/>
          </w:tcPr>
          <w:p w14:paraId="7FAE76C4"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400</w:t>
            </w:r>
          </w:p>
        </w:tc>
        <w:tc>
          <w:tcPr>
            <w:tcW w:w="0" w:type="auto"/>
            <w:hideMark/>
          </w:tcPr>
          <w:p w14:paraId="630F4C17"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المجموع </w:t>
            </w:r>
          </w:p>
        </w:tc>
      </w:tr>
    </w:tbl>
    <w:p w14:paraId="23A57DF9"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يوضح الجدول توزيع أفراد عينة الدراسة وفقًا لمعدل الاستخدام اليومي، حيث جاءت فئة الاستخدام من 3 إلى 5 ساعات في المرتبة الأولى بنسبة 34.3% وبعدد 130 مفردة، تلتها فئة الاستخدام من ساعة إلى 3 ساعات بنسبة 31.4% وبعدد 120 مفردة، ثم فئة الاستخدام لأكثر من 5 ساعات بنسبة 22.9% وبعدد 100 مفردة، بينما جاءت فئة الاستخدام الأقل من ساعة في المرتبة الأخيرة بنسبة 11.4% وبعدد 50 مفردة. وتشير هذه النتائج إلى أن غالبية أفراد العينة يقضون ما بين ساعة وخمس ساعات يوميًا في الاستخدام، مما يعكس مستوى مرتفعًا نسبيًا من التفاعل والاستخدام بين المشاركين في الدراسة</w:t>
      </w:r>
      <w:r w:rsidRPr="00645EB2">
        <w:rPr>
          <w:rFonts w:asciiTheme="majorBidi" w:hAnsiTheme="majorBidi" w:cstheme="majorBidi"/>
          <w:sz w:val="28"/>
          <w:szCs w:val="28"/>
        </w:rPr>
        <w:t>.</w:t>
      </w:r>
    </w:p>
    <w:p w14:paraId="1EDE8044"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تحليل محاور الاستبيان</w:t>
      </w:r>
    </w:p>
    <w:p w14:paraId="58EB7D21"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في هذا الجزء يتم عرض وتحليل استجابات أفراد عينة الدراسة البالغ عددهم (400) مفردة حول محاور الاستبيان المختلفة، وذلك باستخدام المتوسطات الحسابية والانحرافات المعيارية وترتيب العبارات وفقًا لدرجة الموافقة. ويساعد ذلك في التعرف على اتجاهات أفراد العينة نحو دور الإعلام الرقمي في التوعية بالأمراض العصبية المزمنة في المجتمع السعودي</w:t>
      </w:r>
      <w:r w:rsidRPr="00645EB2">
        <w:rPr>
          <w:rFonts w:asciiTheme="majorBidi" w:hAnsiTheme="majorBidi" w:cstheme="majorBidi"/>
          <w:sz w:val="28"/>
          <w:szCs w:val="28"/>
        </w:rPr>
        <w:t>.</w:t>
      </w:r>
    </w:p>
    <w:p w14:paraId="5D2C3F51"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المحور الأول: درجة الاعتماد على الإعلام الرقمي كمصدر للمعلومات الصحية</w:t>
      </w:r>
    </w:p>
    <w:p w14:paraId="0585E896"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جدول (7) استجابات أفراد العينة حول درجة الاعتماد على الإعلام الرقمي كمصدر للمعلومات الصحية</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070"/>
        <w:gridCol w:w="1196"/>
        <w:gridCol w:w="1351"/>
        <w:gridCol w:w="1010"/>
        <w:gridCol w:w="733"/>
      </w:tblGrid>
      <w:tr w:rsidR="000913DC" w:rsidRPr="00645EB2" w14:paraId="7BB9C9CA" w14:textId="77777777" w:rsidTr="00A171A0">
        <w:trPr>
          <w:tblHeader/>
          <w:tblCellSpacing w:w="15" w:type="dxa"/>
        </w:trPr>
        <w:tc>
          <w:tcPr>
            <w:tcW w:w="0" w:type="auto"/>
            <w:vAlign w:val="center"/>
            <w:hideMark/>
          </w:tcPr>
          <w:p w14:paraId="7D387404"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العبارة</w:t>
            </w:r>
          </w:p>
        </w:tc>
        <w:tc>
          <w:tcPr>
            <w:tcW w:w="0" w:type="auto"/>
            <w:vAlign w:val="center"/>
            <w:hideMark/>
          </w:tcPr>
          <w:p w14:paraId="79C7C020"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المتوسط الحسابي</w:t>
            </w:r>
          </w:p>
        </w:tc>
        <w:tc>
          <w:tcPr>
            <w:tcW w:w="0" w:type="auto"/>
            <w:vAlign w:val="center"/>
            <w:hideMark/>
          </w:tcPr>
          <w:p w14:paraId="7F22836F"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الانحراف المعياري</w:t>
            </w:r>
          </w:p>
        </w:tc>
        <w:tc>
          <w:tcPr>
            <w:tcW w:w="0" w:type="auto"/>
            <w:vAlign w:val="center"/>
            <w:hideMark/>
          </w:tcPr>
          <w:p w14:paraId="6A19243F"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درجة الموافقة</w:t>
            </w:r>
          </w:p>
        </w:tc>
        <w:tc>
          <w:tcPr>
            <w:tcW w:w="0" w:type="auto"/>
            <w:vAlign w:val="center"/>
            <w:hideMark/>
          </w:tcPr>
          <w:p w14:paraId="61906684"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الترتيب</w:t>
            </w:r>
          </w:p>
        </w:tc>
      </w:tr>
      <w:tr w:rsidR="000913DC" w:rsidRPr="00645EB2" w14:paraId="1402700A" w14:textId="77777777" w:rsidTr="00A171A0">
        <w:trPr>
          <w:tblCellSpacing w:w="15" w:type="dxa"/>
        </w:trPr>
        <w:tc>
          <w:tcPr>
            <w:tcW w:w="0" w:type="auto"/>
            <w:vAlign w:val="center"/>
            <w:hideMark/>
          </w:tcPr>
          <w:p w14:paraId="217F438B"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أعتمد على الإعلام الرقمي كمصدر رئيسي للحصول على معلومات حول الأمراض العصبية المزمنة</w:t>
            </w:r>
          </w:p>
        </w:tc>
        <w:tc>
          <w:tcPr>
            <w:tcW w:w="0" w:type="auto"/>
            <w:vAlign w:val="center"/>
            <w:hideMark/>
          </w:tcPr>
          <w:p w14:paraId="2A4EFA66"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4.70</w:t>
            </w:r>
          </w:p>
        </w:tc>
        <w:tc>
          <w:tcPr>
            <w:tcW w:w="0" w:type="auto"/>
            <w:vAlign w:val="center"/>
            <w:hideMark/>
          </w:tcPr>
          <w:p w14:paraId="32E8D8C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0.85</w:t>
            </w:r>
          </w:p>
        </w:tc>
        <w:tc>
          <w:tcPr>
            <w:tcW w:w="0" w:type="auto"/>
            <w:vAlign w:val="center"/>
            <w:hideMark/>
          </w:tcPr>
          <w:p w14:paraId="29D1D75D"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723FC8A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2</w:t>
            </w:r>
          </w:p>
        </w:tc>
      </w:tr>
      <w:tr w:rsidR="000913DC" w:rsidRPr="00645EB2" w14:paraId="4B4A9D1F" w14:textId="77777777" w:rsidTr="00A171A0">
        <w:trPr>
          <w:tblCellSpacing w:w="15" w:type="dxa"/>
        </w:trPr>
        <w:tc>
          <w:tcPr>
            <w:tcW w:w="0" w:type="auto"/>
            <w:vAlign w:val="center"/>
            <w:hideMark/>
          </w:tcPr>
          <w:p w14:paraId="3C90E55B"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أفضل البحث عبر المنصات الرقمية بدلاً من زيارة المصادر التقليدية للحصول على معلومات صحية</w:t>
            </w:r>
          </w:p>
        </w:tc>
        <w:tc>
          <w:tcPr>
            <w:tcW w:w="0" w:type="auto"/>
            <w:vAlign w:val="center"/>
            <w:hideMark/>
          </w:tcPr>
          <w:p w14:paraId="1DBBB6F7"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3.80</w:t>
            </w:r>
          </w:p>
        </w:tc>
        <w:tc>
          <w:tcPr>
            <w:tcW w:w="0" w:type="auto"/>
            <w:vAlign w:val="center"/>
            <w:hideMark/>
          </w:tcPr>
          <w:p w14:paraId="4566F294"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0.91</w:t>
            </w:r>
          </w:p>
        </w:tc>
        <w:tc>
          <w:tcPr>
            <w:tcW w:w="0" w:type="auto"/>
            <w:vAlign w:val="center"/>
            <w:hideMark/>
          </w:tcPr>
          <w:p w14:paraId="1974F13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365739A1"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w:t>
            </w:r>
          </w:p>
        </w:tc>
      </w:tr>
      <w:tr w:rsidR="000913DC" w:rsidRPr="00645EB2" w14:paraId="668401EA" w14:textId="77777777" w:rsidTr="00A171A0">
        <w:trPr>
          <w:tblCellSpacing w:w="15" w:type="dxa"/>
        </w:trPr>
        <w:tc>
          <w:tcPr>
            <w:tcW w:w="0" w:type="auto"/>
            <w:vAlign w:val="center"/>
            <w:hideMark/>
          </w:tcPr>
          <w:p w14:paraId="087A7A9E"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أجد أن المعلومات الصحية عبر الإعلام الرقمي متاحة بسهولة</w:t>
            </w:r>
          </w:p>
        </w:tc>
        <w:tc>
          <w:tcPr>
            <w:tcW w:w="0" w:type="auto"/>
            <w:vAlign w:val="center"/>
            <w:hideMark/>
          </w:tcPr>
          <w:p w14:paraId="5DBEB665"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4.70</w:t>
            </w:r>
          </w:p>
        </w:tc>
        <w:tc>
          <w:tcPr>
            <w:tcW w:w="0" w:type="auto"/>
            <w:vAlign w:val="center"/>
            <w:hideMark/>
          </w:tcPr>
          <w:p w14:paraId="786826F7"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0.82</w:t>
            </w:r>
          </w:p>
        </w:tc>
        <w:tc>
          <w:tcPr>
            <w:tcW w:w="0" w:type="auto"/>
            <w:vAlign w:val="center"/>
            <w:hideMark/>
          </w:tcPr>
          <w:p w14:paraId="4EABCF9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30487382"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1</w:t>
            </w:r>
          </w:p>
        </w:tc>
      </w:tr>
      <w:tr w:rsidR="000913DC" w:rsidRPr="00645EB2" w14:paraId="5B12A000" w14:textId="77777777" w:rsidTr="00A171A0">
        <w:trPr>
          <w:tblCellSpacing w:w="15" w:type="dxa"/>
        </w:trPr>
        <w:tc>
          <w:tcPr>
            <w:tcW w:w="0" w:type="auto"/>
            <w:vAlign w:val="center"/>
            <w:hideMark/>
          </w:tcPr>
          <w:p w14:paraId="714A56FB"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lastRenderedPageBreak/>
              <w:t>أستخدم وسائل التواصل الاجتماعي لمعرفة أحدث المستجدات حول الأمراض المزمنة</w:t>
            </w:r>
          </w:p>
        </w:tc>
        <w:tc>
          <w:tcPr>
            <w:tcW w:w="0" w:type="auto"/>
            <w:vAlign w:val="center"/>
            <w:hideMark/>
          </w:tcPr>
          <w:p w14:paraId="4BF7C761"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3.70</w:t>
            </w:r>
          </w:p>
        </w:tc>
        <w:tc>
          <w:tcPr>
            <w:tcW w:w="0" w:type="auto"/>
            <w:vAlign w:val="center"/>
            <w:hideMark/>
          </w:tcPr>
          <w:p w14:paraId="7BA8B92A"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0.96</w:t>
            </w:r>
          </w:p>
        </w:tc>
        <w:tc>
          <w:tcPr>
            <w:tcW w:w="0" w:type="auto"/>
            <w:vAlign w:val="center"/>
            <w:hideMark/>
          </w:tcPr>
          <w:p w14:paraId="12D473CD"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7B6B3664"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w:t>
            </w:r>
          </w:p>
        </w:tc>
      </w:tr>
    </w:tbl>
    <w:p w14:paraId="7490FBA2"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يوضح الجدول اتجاهات أفراد عينة الدراسة نحو استخدام الإعلام الرقمي للحصول على المعلومات المتعلقة بالأمراض العصبية المزمنة، حيث جاءت عبارة </w:t>
      </w:r>
      <w:r w:rsidRPr="00645EB2">
        <w:rPr>
          <w:rFonts w:asciiTheme="majorBidi" w:hAnsiTheme="majorBidi" w:cstheme="majorBidi"/>
          <w:sz w:val="28"/>
          <w:szCs w:val="28"/>
        </w:rPr>
        <w:t>«</w:t>
      </w:r>
      <w:r w:rsidRPr="00645EB2">
        <w:rPr>
          <w:rFonts w:asciiTheme="majorBidi" w:hAnsiTheme="majorBidi" w:cstheme="majorBidi"/>
          <w:sz w:val="28"/>
          <w:szCs w:val="28"/>
          <w:rtl/>
        </w:rPr>
        <w:t>أجد أن المعلومات الصحية عبر الإعلام الرقمي متاحة بسهولة</w:t>
      </w:r>
      <w:r w:rsidRPr="00645EB2">
        <w:rPr>
          <w:rFonts w:asciiTheme="majorBidi" w:hAnsiTheme="majorBidi" w:cstheme="majorBidi"/>
          <w:sz w:val="28"/>
          <w:szCs w:val="28"/>
        </w:rPr>
        <w:t xml:space="preserve">» </w:t>
      </w:r>
      <w:r w:rsidRPr="00645EB2">
        <w:rPr>
          <w:rFonts w:asciiTheme="majorBidi" w:hAnsiTheme="majorBidi" w:cstheme="majorBidi"/>
          <w:sz w:val="28"/>
          <w:szCs w:val="28"/>
          <w:rtl/>
        </w:rPr>
        <w:t xml:space="preserve">في المرتبة الأولى بمتوسط حسابي بلغ 4.70 وانحراف معياري 0.82، مما يعكس سهولة الوصول إلى المعلومات الصحية عبر المنصات الرقمية. كما جاءت عبارة </w:t>
      </w:r>
      <w:r w:rsidRPr="00645EB2">
        <w:rPr>
          <w:rFonts w:asciiTheme="majorBidi" w:hAnsiTheme="majorBidi" w:cstheme="majorBidi"/>
          <w:sz w:val="28"/>
          <w:szCs w:val="28"/>
        </w:rPr>
        <w:t>«</w:t>
      </w:r>
      <w:r w:rsidRPr="00645EB2">
        <w:rPr>
          <w:rFonts w:asciiTheme="majorBidi" w:hAnsiTheme="majorBidi" w:cstheme="majorBidi"/>
          <w:sz w:val="28"/>
          <w:szCs w:val="28"/>
          <w:rtl/>
        </w:rPr>
        <w:t>أعتمد على الإعلام الرقمي كمصدر رئيسي للحصول على معلومات حول الأمراض العصبية المزمنة</w:t>
      </w:r>
      <w:r w:rsidRPr="00645EB2">
        <w:rPr>
          <w:rFonts w:asciiTheme="majorBidi" w:hAnsiTheme="majorBidi" w:cstheme="majorBidi"/>
          <w:sz w:val="28"/>
          <w:szCs w:val="28"/>
        </w:rPr>
        <w:t xml:space="preserve">» </w:t>
      </w:r>
      <w:r w:rsidRPr="00645EB2">
        <w:rPr>
          <w:rFonts w:asciiTheme="majorBidi" w:hAnsiTheme="majorBidi" w:cstheme="majorBidi"/>
          <w:sz w:val="28"/>
          <w:szCs w:val="28"/>
          <w:rtl/>
        </w:rPr>
        <w:t xml:space="preserve">في المرتبة الثانية بمتوسط حسابي بلغ 4.70 وانحراف معياري 0.85، مما يدل على الاعتماد الكبير على الإعلام الرقمي كمصدر للمعلومات الصحية. تلتها عبارة </w:t>
      </w:r>
      <w:r w:rsidRPr="00645EB2">
        <w:rPr>
          <w:rFonts w:asciiTheme="majorBidi" w:hAnsiTheme="majorBidi" w:cstheme="majorBidi"/>
          <w:sz w:val="28"/>
          <w:szCs w:val="28"/>
        </w:rPr>
        <w:t>«</w:t>
      </w:r>
      <w:r w:rsidRPr="00645EB2">
        <w:rPr>
          <w:rFonts w:asciiTheme="majorBidi" w:hAnsiTheme="majorBidi" w:cstheme="majorBidi"/>
          <w:sz w:val="28"/>
          <w:szCs w:val="28"/>
          <w:rtl/>
        </w:rPr>
        <w:t>أفضل البحث عبر المنصات الرقمية بدلاً من زيارة المصادر التقليدية للحصول على معلومات صحية</w:t>
      </w:r>
      <w:r w:rsidRPr="00645EB2">
        <w:rPr>
          <w:rFonts w:asciiTheme="majorBidi" w:hAnsiTheme="majorBidi" w:cstheme="majorBidi"/>
          <w:sz w:val="28"/>
          <w:szCs w:val="28"/>
        </w:rPr>
        <w:t xml:space="preserve">» </w:t>
      </w:r>
      <w:r w:rsidRPr="00645EB2">
        <w:rPr>
          <w:rFonts w:asciiTheme="majorBidi" w:hAnsiTheme="majorBidi" w:cstheme="majorBidi"/>
          <w:sz w:val="28"/>
          <w:szCs w:val="28"/>
          <w:rtl/>
        </w:rPr>
        <w:t xml:space="preserve">بمتوسط حسابي 3.80، ثم عبارة </w:t>
      </w:r>
      <w:r w:rsidRPr="00645EB2">
        <w:rPr>
          <w:rFonts w:asciiTheme="majorBidi" w:hAnsiTheme="majorBidi" w:cstheme="majorBidi"/>
          <w:sz w:val="28"/>
          <w:szCs w:val="28"/>
        </w:rPr>
        <w:t>«</w:t>
      </w:r>
      <w:r w:rsidRPr="00645EB2">
        <w:rPr>
          <w:rFonts w:asciiTheme="majorBidi" w:hAnsiTheme="majorBidi" w:cstheme="majorBidi"/>
          <w:sz w:val="28"/>
          <w:szCs w:val="28"/>
          <w:rtl/>
        </w:rPr>
        <w:t>أستخدم وسائل التواصل الاجتماعي لمعرفة أحدث المستجدات حول الأمراض المزمنة</w:t>
      </w:r>
      <w:r w:rsidRPr="00645EB2">
        <w:rPr>
          <w:rFonts w:asciiTheme="majorBidi" w:hAnsiTheme="majorBidi" w:cstheme="majorBidi"/>
          <w:sz w:val="28"/>
          <w:szCs w:val="28"/>
        </w:rPr>
        <w:t xml:space="preserve">» </w:t>
      </w:r>
      <w:r w:rsidRPr="00645EB2">
        <w:rPr>
          <w:rFonts w:asciiTheme="majorBidi" w:hAnsiTheme="majorBidi" w:cstheme="majorBidi"/>
          <w:sz w:val="28"/>
          <w:szCs w:val="28"/>
          <w:rtl/>
        </w:rPr>
        <w:t>بمتوسط حسابي 3.70. وتشير هذه النتائج إلى الدور المتزايد للإعلام الرقمي في توفير المعلومات الصحية وسهولة الوصول إليها، مما يجعله أحد أهم المصادر التي يعتمد عليها الأفراد في متابعة القضايا الصحية المتعلقة بالأمراض العصبية المزمنة</w:t>
      </w:r>
      <w:r w:rsidRPr="00645EB2">
        <w:rPr>
          <w:rFonts w:asciiTheme="majorBidi" w:hAnsiTheme="majorBidi" w:cstheme="majorBidi"/>
          <w:sz w:val="28"/>
          <w:szCs w:val="28"/>
        </w:rPr>
        <w:t>.</w:t>
      </w:r>
    </w:p>
    <w:p w14:paraId="79127BAC"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المحور الثاني: المنصات الرقمية ومدى موثوقيتها</w:t>
      </w:r>
    </w:p>
    <w:p w14:paraId="551F5F0F"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جدول (8) استجابات أفراد العينة حول موثوقية المنصات الرقمية الصحية</w:t>
      </w:r>
    </w:p>
    <w:tbl>
      <w:tblPr>
        <w:tblW w:w="9440" w:type="dxa"/>
        <w:tblCellSpacing w:w="15" w:type="dxa"/>
        <w:tblCellMar>
          <w:top w:w="15" w:type="dxa"/>
          <w:left w:w="15" w:type="dxa"/>
          <w:bottom w:w="15" w:type="dxa"/>
          <w:right w:w="15" w:type="dxa"/>
        </w:tblCellMar>
        <w:tblLook w:val="04A0" w:firstRow="1" w:lastRow="0" w:firstColumn="1" w:lastColumn="0" w:noHBand="0" w:noVBand="1"/>
      </w:tblPr>
      <w:tblGrid>
        <w:gridCol w:w="4872"/>
        <w:gridCol w:w="1282"/>
        <w:gridCol w:w="1483"/>
        <w:gridCol w:w="1070"/>
        <w:gridCol w:w="733"/>
      </w:tblGrid>
      <w:tr w:rsidR="000913DC" w:rsidRPr="00645EB2" w14:paraId="05E01AB3" w14:textId="77777777" w:rsidTr="00A171A0">
        <w:trPr>
          <w:tblHeader/>
          <w:tblCellSpacing w:w="15" w:type="dxa"/>
        </w:trPr>
        <w:tc>
          <w:tcPr>
            <w:tcW w:w="0" w:type="auto"/>
            <w:vAlign w:val="center"/>
            <w:hideMark/>
          </w:tcPr>
          <w:p w14:paraId="2F8E99BE"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العبارة</w:t>
            </w:r>
          </w:p>
        </w:tc>
        <w:tc>
          <w:tcPr>
            <w:tcW w:w="0" w:type="auto"/>
            <w:vAlign w:val="center"/>
            <w:hideMark/>
          </w:tcPr>
          <w:p w14:paraId="0CACD8F5"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المتوسط الحسابي</w:t>
            </w:r>
          </w:p>
        </w:tc>
        <w:tc>
          <w:tcPr>
            <w:tcW w:w="1453" w:type="dxa"/>
            <w:vAlign w:val="center"/>
            <w:hideMark/>
          </w:tcPr>
          <w:p w14:paraId="5E0BD4B1"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الانحراف المعياري</w:t>
            </w:r>
          </w:p>
        </w:tc>
        <w:tc>
          <w:tcPr>
            <w:tcW w:w="0" w:type="auto"/>
            <w:vAlign w:val="center"/>
            <w:hideMark/>
          </w:tcPr>
          <w:p w14:paraId="06EB7228"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درجة الموافقة</w:t>
            </w:r>
          </w:p>
        </w:tc>
        <w:tc>
          <w:tcPr>
            <w:tcW w:w="0" w:type="auto"/>
            <w:vAlign w:val="center"/>
            <w:hideMark/>
          </w:tcPr>
          <w:p w14:paraId="11871292"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الترتيب</w:t>
            </w:r>
          </w:p>
        </w:tc>
      </w:tr>
      <w:tr w:rsidR="000913DC" w:rsidRPr="00645EB2" w14:paraId="45084488" w14:textId="77777777" w:rsidTr="00A171A0">
        <w:trPr>
          <w:tblCellSpacing w:w="15" w:type="dxa"/>
        </w:trPr>
        <w:tc>
          <w:tcPr>
            <w:tcW w:w="0" w:type="auto"/>
            <w:vAlign w:val="center"/>
            <w:hideMark/>
          </w:tcPr>
          <w:p w14:paraId="016CE63A"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أثق بالمعلومات الصحية المنشورة عبر المواقع الرسمية الصحية</w:t>
            </w:r>
          </w:p>
        </w:tc>
        <w:tc>
          <w:tcPr>
            <w:tcW w:w="0" w:type="auto"/>
            <w:vAlign w:val="center"/>
            <w:hideMark/>
          </w:tcPr>
          <w:p w14:paraId="49C8DE17"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4.70</w:t>
            </w:r>
          </w:p>
        </w:tc>
        <w:tc>
          <w:tcPr>
            <w:tcW w:w="1453" w:type="dxa"/>
            <w:vAlign w:val="center"/>
            <w:hideMark/>
          </w:tcPr>
          <w:p w14:paraId="39FCF9D7"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0.85</w:t>
            </w:r>
          </w:p>
        </w:tc>
        <w:tc>
          <w:tcPr>
            <w:tcW w:w="0" w:type="auto"/>
            <w:vAlign w:val="center"/>
            <w:hideMark/>
          </w:tcPr>
          <w:p w14:paraId="3909781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 جدًا</w:t>
            </w:r>
          </w:p>
        </w:tc>
        <w:tc>
          <w:tcPr>
            <w:tcW w:w="0" w:type="auto"/>
            <w:vAlign w:val="center"/>
            <w:hideMark/>
          </w:tcPr>
          <w:p w14:paraId="3B519D31"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1</w:t>
            </w:r>
          </w:p>
        </w:tc>
      </w:tr>
      <w:tr w:rsidR="000913DC" w:rsidRPr="00645EB2" w14:paraId="372D16A6" w14:textId="77777777" w:rsidTr="00A171A0">
        <w:trPr>
          <w:tblCellSpacing w:w="15" w:type="dxa"/>
        </w:trPr>
        <w:tc>
          <w:tcPr>
            <w:tcW w:w="0" w:type="auto"/>
            <w:vAlign w:val="center"/>
            <w:hideMark/>
          </w:tcPr>
          <w:p w14:paraId="6939E62D"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أثق بالمعلومات التي ينشرها الأطباء المختصون عبر وسائل التواصل الاجتماعي</w:t>
            </w:r>
          </w:p>
        </w:tc>
        <w:tc>
          <w:tcPr>
            <w:tcW w:w="0" w:type="auto"/>
            <w:vAlign w:val="center"/>
            <w:hideMark/>
          </w:tcPr>
          <w:p w14:paraId="6D404534"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3.90</w:t>
            </w:r>
          </w:p>
        </w:tc>
        <w:tc>
          <w:tcPr>
            <w:tcW w:w="1453" w:type="dxa"/>
            <w:vAlign w:val="center"/>
            <w:hideMark/>
          </w:tcPr>
          <w:p w14:paraId="55ABDB91"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0.92</w:t>
            </w:r>
          </w:p>
        </w:tc>
        <w:tc>
          <w:tcPr>
            <w:tcW w:w="0" w:type="auto"/>
            <w:vAlign w:val="center"/>
            <w:hideMark/>
          </w:tcPr>
          <w:p w14:paraId="3D13374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253D2E7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2</w:t>
            </w:r>
          </w:p>
        </w:tc>
      </w:tr>
      <w:tr w:rsidR="000913DC" w:rsidRPr="00645EB2" w14:paraId="71BC7510" w14:textId="77777777" w:rsidTr="00A171A0">
        <w:trPr>
          <w:tblCellSpacing w:w="15" w:type="dxa"/>
        </w:trPr>
        <w:tc>
          <w:tcPr>
            <w:tcW w:w="0" w:type="auto"/>
            <w:vAlign w:val="center"/>
            <w:hideMark/>
          </w:tcPr>
          <w:p w14:paraId="57CAC2B5"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lastRenderedPageBreak/>
              <w:t>أتحقق من مصدر المعلومات قبل اعتمادها</w:t>
            </w:r>
          </w:p>
        </w:tc>
        <w:tc>
          <w:tcPr>
            <w:tcW w:w="0" w:type="auto"/>
            <w:vAlign w:val="center"/>
            <w:hideMark/>
          </w:tcPr>
          <w:p w14:paraId="189C82E2"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3.82</w:t>
            </w:r>
          </w:p>
        </w:tc>
        <w:tc>
          <w:tcPr>
            <w:tcW w:w="1453" w:type="dxa"/>
            <w:vAlign w:val="center"/>
            <w:hideMark/>
          </w:tcPr>
          <w:p w14:paraId="4755C582"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0.90</w:t>
            </w:r>
          </w:p>
        </w:tc>
        <w:tc>
          <w:tcPr>
            <w:tcW w:w="0" w:type="auto"/>
            <w:vAlign w:val="center"/>
            <w:hideMark/>
          </w:tcPr>
          <w:p w14:paraId="4086E8EA"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12A226F0"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w:t>
            </w:r>
          </w:p>
        </w:tc>
      </w:tr>
      <w:tr w:rsidR="000913DC" w:rsidRPr="00645EB2" w14:paraId="7DB2E96E" w14:textId="77777777" w:rsidTr="00A171A0">
        <w:trPr>
          <w:tblCellSpacing w:w="15" w:type="dxa"/>
        </w:trPr>
        <w:tc>
          <w:tcPr>
            <w:tcW w:w="0" w:type="auto"/>
            <w:vAlign w:val="center"/>
            <w:hideMark/>
          </w:tcPr>
          <w:p w14:paraId="65E3E9A3"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أواجه صعوبة في التمييز بين المعلومات الصحيحة والمضللة عبر الإعلام الرقمي</w:t>
            </w:r>
          </w:p>
        </w:tc>
        <w:tc>
          <w:tcPr>
            <w:tcW w:w="0" w:type="auto"/>
            <w:vAlign w:val="center"/>
            <w:hideMark/>
          </w:tcPr>
          <w:p w14:paraId="7386F199"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3.80</w:t>
            </w:r>
          </w:p>
        </w:tc>
        <w:tc>
          <w:tcPr>
            <w:tcW w:w="1453" w:type="dxa"/>
            <w:vAlign w:val="center"/>
            <w:hideMark/>
          </w:tcPr>
          <w:p w14:paraId="1AEF5D31"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1.01</w:t>
            </w:r>
          </w:p>
        </w:tc>
        <w:tc>
          <w:tcPr>
            <w:tcW w:w="0" w:type="auto"/>
            <w:vAlign w:val="center"/>
            <w:hideMark/>
          </w:tcPr>
          <w:p w14:paraId="6BD6D5C6" w14:textId="77777777" w:rsidR="000913DC" w:rsidRPr="00645EB2" w:rsidRDefault="000913DC" w:rsidP="00A171A0">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t>محايد</w:t>
            </w:r>
          </w:p>
        </w:tc>
        <w:tc>
          <w:tcPr>
            <w:tcW w:w="0" w:type="auto"/>
            <w:vAlign w:val="center"/>
            <w:hideMark/>
          </w:tcPr>
          <w:p w14:paraId="2BD3F6E1"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w:t>
            </w:r>
          </w:p>
        </w:tc>
      </w:tr>
    </w:tbl>
    <w:p w14:paraId="53B21D0B"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يوضح الجدول مستوى ثقة أفراد عينة الدراسة بالمعلومات الصحية المتداولة عبر الإعلام الرقمي، حيث جاءت عبارة </w:t>
      </w:r>
      <w:r w:rsidRPr="00645EB2">
        <w:rPr>
          <w:rFonts w:asciiTheme="majorBidi" w:hAnsiTheme="majorBidi" w:cstheme="majorBidi"/>
          <w:sz w:val="28"/>
          <w:szCs w:val="28"/>
        </w:rPr>
        <w:t>«</w:t>
      </w:r>
      <w:r w:rsidRPr="00645EB2">
        <w:rPr>
          <w:rFonts w:asciiTheme="majorBidi" w:hAnsiTheme="majorBidi" w:cstheme="majorBidi"/>
          <w:sz w:val="28"/>
          <w:szCs w:val="28"/>
          <w:rtl/>
        </w:rPr>
        <w:t>أثق بالمعلومات الصحية المنشورة عبر المواقع الرسمية الصحية</w:t>
      </w:r>
      <w:r w:rsidRPr="00645EB2">
        <w:rPr>
          <w:rFonts w:asciiTheme="majorBidi" w:hAnsiTheme="majorBidi" w:cstheme="majorBidi"/>
          <w:sz w:val="28"/>
          <w:szCs w:val="28"/>
        </w:rPr>
        <w:t xml:space="preserve">» </w:t>
      </w:r>
      <w:r w:rsidRPr="00645EB2">
        <w:rPr>
          <w:rFonts w:asciiTheme="majorBidi" w:hAnsiTheme="majorBidi" w:cstheme="majorBidi"/>
          <w:sz w:val="28"/>
          <w:szCs w:val="28"/>
          <w:rtl/>
        </w:rPr>
        <w:t xml:space="preserve">في المرتبة الأولى بمتوسط حسابي بلغ 4.70 وانحراف معياري 0.85 وبدرجة موافقة مرتفعة جدًا، مما يعكس الثقة الكبيرة في المصادر الصحية الرسمية. تلتها عبارة </w:t>
      </w:r>
      <w:r w:rsidRPr="00645EB2">
        <w:rPr>
          <w:rFonts w:asciiTheme="majorBidi" w:hAnsiTheme="majorBidi" w:cstheme="majorBidi"/>
          <w:sz w:val="28"/>
          <w:szCs w:val="28"/>
        </w:rPr>
        <w:t>«</w:t>
      </w:r>
      <w:r w:rsidRPr="00645EB2">
        <w:rPr>
          <w:rFonts w:asciiTheme="majorBidi" w:hAnsiTheme="majorBidi" w:cstheme="majorBidi"/>
          <w:sz w:val="28"/>
          <w:szCs w:val="28"/>
          <w:rtl/>
        </w:rPr>
        <w:t>أثق بالمعلومات التي ينشرها الأطباء المختصون عبر وسائل التواصل الاجتماعي</w:t>
      </w:r>
      <w:r w:rsidRPr="00645EB2">
        <w:rPr>
          <w:rFonts w:asciiTheme="majorBidi" w:hAnsiTheme="majorBidi" w:cstheme="majorBidi"/>
          <w:sz w:val="28"/>
          <w:szCs w:val="28"/>
        </w:rPr>
        <w:t xml:space="preserve">» </w:t>
      </w:r>
      <w:r w:rsidRPr="00645EB2">
        <w:rPr>
          <w:rFonts w:asciiTheme="majorBidi" w:hAnsiTheme="majorBidi" w:cstheme="majorBidi"/>
          <w:sz w:val="28"/>
          <w:szCs w:val="28"/>
          <w:rtl/>
        </w:rPr>
        <w:t xml:space="preserve">بمتوسط حسابي 3.90، ثم عبارة </w:t>
      </w:r>
      <w:r w:rsidRPr="00645EB2">
        <w:rPr>
          <w:rFonts w:asciiTheme="majorBidi" w:hAnsiTheme="majorBidi" w:cstheme="majorBidi"/>
          <w:sz w:val="28"/>
          <w:szCs w:val="28"/>
        </w:rPr>
        <w:t>«</w:t>
      </w:r>
      <w:r w:rsidRPr="00645EB2">
        <w:rPr>
          <w:rFonts w:asciiTheme="majorBidi" w:hAnsiTheme="majorBidi" w:cstheme="majorBidi"/>
          <w:sz w:val="28"/>
          <w:szCs w:val="28"/>
          <w:rtl/>
        </w:rPr>
        <w:t>أتحقق من مصدر المعلومات قبل اعتمادها</w:t>
      </w:r>
      <w:r w:rsidRPr="00645EB2">
        <w:rPr>
          <w:rFonts w:asciiTheme="majorBidi" w:hAnsiTheme="majorBidi" w:cstheme="majorBidi"/>
          <w:sz w:val="28"/>
          <w:szCs w:val="28"/>
        </w:rPr>
        <w:t xml:space="preserve">» </w:t>
      </w:r>
      <w:r w:rsidRPr="00645EB2">
        <w:rPr>
          <w:rFonts w:asciiTheme="majorBidi" w:hAnsiTheme="majorBidi" w:cstheme="majorBidi"/>
          <w:sz w:val="28"/>
          <w:szCs w:val="28"/>
          <w:rtl/>
        </w:rPr>
        <w:t xml:space="preserve">بمتوسط حسابي 3.82، مما يدل على وجود وعي لدى المبحوثين بأهمية التحقق من المعلومات الصحية قبل الاعتماد عليها. في المقابل، جاءت عبارة </w:t>
      </w:r>
      <w:r w:rsidRPr="00645EB2">
        <w:rPr>
          <w:rFonts w:asciiTheme="majorBidi" w:hAnsiTheme="majorBidi" w:cstheme="majorBidi"/>
          <w:sz w:val="28"/>
          <w:szCs w:val="28"/>
        </w:rPr>
        <w:t>«</w:t>
      </w:r>
      <w:r w:rsidRPr="00645EB2">
        <w:rPr>
          <w:rFonts w:asciiTheme="majorBidi" w:hAnsiTheme="majorBidi" w:cstheme="majorBidi"/>
          <w:sz w:val="28"/>
          <w:szCs w:val="28"/>
          <w:rtl/>
        </w:rPr>
        <w:t>أواجه صعوبة في التمييز بين المعلومات الصحيحة والمضللة عبر الإعلام الرقمي</w:t>
      </w:r>
      <w:r w:rsidRPr="00645EB2">
        <w:rPr>
          <w:rFonts w:asciiTheme="majorBidi" w:hAnsiTheme="majorBidi" w:cstheme="majorBidi"/>
          <w:sz w:val="28"/>
          <w:szCs w:val="28"/>
        </w:rPr>
        <w:t xml:space="preserve">» </w:t>
      </w:r>
      <w:r w:rsidRPr="00645EB2">
        <w:rPr>
          <w:rFonts w:asciiTheme="majorBidi" w:hAnsiTheme="majorBidi" w:cstheme="majorBidi"/>
          <w:sz w:val="28"/>
          <w:szCs w:val="28"/>
          <w:rtl/>
        </w:rPr>
        <w:t>في المرتبة الأخيرة بمتوسط حسابي 3.80 ودرجة محايدة، وهو ما يشير إلى تباين آراء المشاركين حول قدرتهم على التمييز بين المعلومات الموثوقة والمعلومات المضللة. وتؤكد هذه النتائج أن الثقة تتركز بشكل أكبر في المصادر الصحية الرسمية مقارنة بباقي مصادر المعلومات الرقمية</w:t>
      </w:r>
      <w:r w:rsidRPr="00645EB2">
        <w:rPr>
          <w:rFonts w:asciiTheme="majorBidi" w:hAnsiTheme="majorBidi" w:cstheme="majorBidi"/>
          <w:sz w:val="28"/>
          <w:szCs w:val="28"/>
        </w:rPr>
        <w:t>.</w:t>
      </w:r>
    </w:p>
    <w:p w14:paraId="7311010A"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المحور الثالث: تأثير الإعلام الرقمي في تشكيل الوعي الصحي</w:t>
      </w:r>
    </w:p>
    <w:p w14:paraId="6E61D8DD"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جدول (9) استجابات أفراد العينة حول تأثير الإعلام الرقمي في تشكيل الوعي الصحي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33"/>
        <w:gridCol w:w="1317"/>
        <w:gridCol w:w="1482"/>
        <w:gridCol w:w="1095"/>
        <w:gridCol w:w="733"/>
      </w:tblGrid>
      <w:tr w:rsidR="000913DC" w:rsidRPr="00645EB2" w14:paraId="45528854" w14:textId="77777777" w:rsidTr="00A171A0">
        <w:trPr>
          <w:tblHeader/>
          <w:tblCellSpacing w:w="15" w:type="dxa"/>
        </w:trPr>
        <w:tc>
          <w:tcPr>
            <w:tcW w:w="0" w:type="auto"/>
            <w:vAlign w:val="center"/>
            <w:hideMark/>
          </w:tcPr>
          <w:p w14:paraId="3AC97645"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العبارة</w:t>
            </w:r>
          </w:p>
        </w:tc>
        <w:tc>
          <w:tcPr>
            <w:tcW w:w="0" w:type="auto"/>
            <w:vAlign w:val="center"/>
            <w:hideMark/>
          </w:tcPr>
          <w:p w14:paraId="5DCB02C4"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المتوسط الحسابي</w:t>
            </w:r>
          </w:p>
        </w:tc>
        <w:tc>
          <w:tcPr>
            <w:tcW w:w="0" w:type="auto"/>
            <w:vAlign w:val="center"/>
            <w:hideMark/>
          </w:tcPr>
          <w:p w14:paraId="503600E7"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الانحراف المعياري</w:t>
            </w:r>
          </w:p>
        </w:tc>
        <w:tc>
          <w:tcPr>
            <w:tcW w:w="0" w:type="auto"/>
            <w:vAlign w:val="center"/>
            <w:hideMark/>
          </w:tcPr>
          <w:p w14:paraId="42CD86BE"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درجة الموافقة</w:t>
            </w:r>
          </w:p>
        </w:tc>
        <w:tc>
          <w:tcPr>
            <w:tcW w:w="0" w:type="auto"/>
            <w:vAlign w:val="center"/>
            <w:hideMark/>
          </w:tcPr>
          <w:p w14:paraId="61B70548"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الترتيب</w:t>
            </w:r>
          </w:p>
        </w:tc>
      </w:tr>
      <w:tr w:rsidR="000913DC" w:rsidRPr="00645EB2" w14:paraId="77544CFF" w14:textId="77777777" w:rsidTr="00A171A0">
        <w:trPr>
          <w:tblCellSpacing w:w="15" w:type="dxa"/>
        </w:trPr>
        <w:tc>
          <w:tcPr>
            <w:tcW w:w="0" w:type="auto"/>
            <w:vAlign w:val="center"/>
            <w:hideMark/>
          </w:tcPr>
          <w:p w14:paraId="0A44CAF2"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ساهم الإعلام الرقمي في زيادة وعيي بطبيعة الأمراض العصبية المزمنة</w:t>
            </w:r>
          </w:p>
        </w:tc>
        <w:tc>
          <w:tcPr>
            <w:tcW w:w="0" w:type="auto"/>
            <w:vAlign w:val="center"/>
            <w:hideMark/>
          </w:tcPr>
          <w:p w14:paraId="0C2A63E2"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4.60</w:t>
            </w:r>
          </w:p>
        </w:tc>
        <w:tc>
          <w:tcPr>
            <w:tcW w:w="0" w:type="auto"/>
            <w:vAlign w:val="center"/>
            <w:hideMark/>
          </w:tcPr>
          <w:p w14:paraId="514690E5"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0.82</w:t>
            </w:r>
          </w:p>
        </w:tc>
        <w:tc>
          <w:tcPr>
            <w:tcW w:w="0" w:type="auto"/>
            <w:vAlign w:val="center"/>
            <w:hideMark/>
          </w:tcPr>
          <w:p w14:paraId="1B317916"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53FEF6F1"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1</w:t>
            </w:r>
          </w:p>
        </w:tc>
      </w:tr>
      <w:tr w:rsidR="000913DC" w:rsidRPr="00645EB2" w14:paraId="0F9CDDEB" w14:textId="77777777" w:rsidTr="00A171A0">
        <w:trPr>
          <w:tblCellSpacing w:w="15" w:type="dxa"/>
        </w:trPr>
        <w:tc>
          <w:tcPr>
            <w:tcW w:w="0" w:type="auto"/>
            <w:vAlign w:val="center"/>
            <w:hideMark/>
          </w:tcPr>
          <w:p w14:paraId="781ABD7B"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ساعدني الإعلام الرقمي في فهم طرق الوقاية والتعامل مع المرض</w:t>
            </w:r>
          </w:p>
        </w:tc>
        <w:tc>
          <w:tcPr>
            <w:tcW w:w="0" w:type="auto"/>
            <w:vAlign w:val="center"/>
            <w:hideMark/>
          </w:tcPr>
          <w:p w14:paraId="34E418A3"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3.80</w:t>
            </w:r>
          </w:p>
        </w:tc>
        <w:tc>
          <w:tcPr>
            <w:tcW w:w="0" w:type="auto"/>
            <w:vAlign w:val="center"/>
            <w:hideMark/>
          </w:tcPr>
          <w:p w14:paraId="2D91EFEB"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0.92</w:t>
            </w:r>
          </w:p>
        </w:tc>
        <w:tc>
          <w:tcPr>
            <w:tcW w:w="0" w:type="auto"/>
            <w:vAlign w:val="center"/>
            <w:hideMark/>
          </w:tcPr>
          <w:p w14:paraId="52ADE7E1"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74A596F3"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2</w:t>
            </w:r>
          </w:p>
        </w:tc>
      </w:tr>
      <w:tr w:rsidR="000913DC" w:rsidRPr="00645EB2" w14:paraId="3082D67B" w14:textId="77777777" w:rsidTr="00A171A0">
        <w:trPr>
          <w:tblCellSpacing w:w="15" w:type="dxa"/>
        </w:trPr>
        <w:tc>
          <w:tcPr>
            <w:tcW w:w="0" w:type="auto"/>
            <w:vAlign w:val="center"/>
            <w:hideMark/>
          </w:tcPr>
          <w:p w14:paraId="0FFA3A98"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lastRenderedPageBreak/>
              <w:t>المحتوى الرقمي ساعدني في تصحيح مفاهيم خاطئة عن الأمراض العصبية</w:t>
            </w:r>
          </w:p>
        </w:tc>
        <w:tc>
          <w:tcPr>
            <w:tcW w:w="0" w:type="auto"/>
            <w:vAlign w:val="center"/>
            <w:hideMark/>
          </w:tcPr>
          <w:p w14:paraId="0DA691DE"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3.80</w:t>
            </w:r>
          </w:p>
        </w:tc>
        <w:tc>
          <w:tcPr>
            <w:tcW w:w="0" w:type="auto"/>
            <w:vAlign w:val="center"/>
            <w:hideMark/>
          </w:tcPr>
          <w:p w14:paraId="4A36B16A"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0.92</w:t>
            </w:r>
          </w:p>
        </w:tc>
        <w:tc>
          <w:tcPr>
            <w:tcW w:w="0" w:type="auto"/>
            <w:vAlign w:val="center"/>
            <w:hideMark/>
          </w:tcPr>
          <w:p w14:paraId="2F40F917"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6AA0A911"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w:t>
            </w:r>
          </w:p>
        </w:tc>
      </w:tr>
      <w:tr w:rsidR="000913DC" w:rsidRPr="00645EB2" w14:paraId="54503D07" w14:textId="77777777" w:rsidTr="00A171A0">
        <w:trPr>
          <w:tblCellSpacing w:w="15" w:type="dxa"/>
        </w:trPr>
        <w:tc>
          <w:tcPr>
            <w:tcW w:w="0" w:type="auto"/>
            <w:vAlign w:val="center"/>
            <w:hideMark/>
          </w:tcPr>
          <w:p w14:paraId="266AF657"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عزز الإعلام الرقمي إدراكي لأهمية المتابعة الطبية المنتظمة</w:t>
            </w:r>
          </w:p>
        </w:tc>
        <w:tc>
          <w:tcPr>
            <w:tcW w:w="0" w:type="auto"/>
            <w:vAlign w:val="center"/>
            <w:hideMark/>
          </w:tcPr>
          <w:p w14:paraId="70793049"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3.80</w:t>
            </w:r>
          </w:p>
        </w:tc>
        <w:tc>
          <w:tcPr>
            <w:tcW w:w="0" w:type="auto"/>
            <w:vAlign w:val="center"/>
            <w:hideMark/>
          </w:tcPr>
          <w:p w14:paraId="743E41B3"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0.91</w:t>
            </w:r>
          </w:p>
        </w:tc>
        <w:tc>
          <w:tcPr>
            <w:tcW w:w="0" w:type="auto"/>
            <w:vAlign w:val="center"/>
            <w:hideMark/>
          </w:tcPr>
          <w:p w14:paraId="136B607F"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1961B457"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w:t>
            </w:r>
          </w:p>
        </w:tc>
      </w:tr>
    </w:tbl>
    <w:p w14:paraId="25422410"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ساهم الإعلام الرقمي في زيادة وعيي" حصلت على متوسط 4.60 وهو أعلى من باقي العبارات (3.80)، مما قد يشير إلى أن الأفراد يشعرون بتأثير قوي للإعلام الرقمي في رفع الوعي، لكنهم أقل يقينا بشأن التأثير في السلوكيات العملية (الفهم، تصحيح المفاهيم، المتابعة الطبية)</w:t>
      </w:r>
      <w:r w:rsidRPr="00645EB2">
        <w:rPr>
          <w:rFonts w:asciiTheme="majorBidi" w:hAnsiTheme="majorBidi" w:cstheme="majorBidi"/>
          <w:sz w:val="28"/>
          <w:szCs w:val="28"/>
        </w:rPr>
        <w:t>.</w:t>
      </w:r>
      <w:r w:rsidRPr="00645EB2">
        <w:rPr>
          <w:rFonts w:asciiTheme="majorBidi" w:hAnsiTheme="majorBidi" w:cstheme="majorBidi"/>
          <w:sz w:val="28"/>
          <w:szCs w:val="28"/>
          <w:rtl/>
        </w:rPr>
        <w:t xml:space="preserve"> لهذا يمكن التعليق بأن هناك فجوة بين مستوى الوعي المعرفي والسلوك العملي، وهو ما قد يكون مجالاً لتوصيات الدراسة</w:t>
      </w:r>
      <w:r w:rsidRPr="00645EB2">
        <w:rPr>
          <w:rFonts w:asciiTheme="majorBidi" w:hAnsiTheme="majorBidi" w:cstheme="majorBidi"/>
          <w:sz w:val="28"/>
          <w:szCs w:val="28"/>
        </w:rPr>
        <w:t>.</w:t>
      </w:r>
    </w:p>
    <w:p w14:paraId="756E5094"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المحور الرابع: التحديات التي تواجه الإعلام الرقمي</w:t>
      </w:r>
    </w:p>
    <w:p w14:paraId="241624A5"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جدول (10) استجابات أفراد العينة حول التحديات التي تواجه الإعلام الرقمي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679"/>
        <w:gridCol w:w="1336"/>
        <w:gridCol w:w="1503"/>
        <w:gridCol w:w="1109"/>
        <w:gridCol w:w="733"/>
      </w:tblGrid>
      <w:tr w:rsidR="000913DC" w:rsidRPr="00645EB2" w14:paraId="7C69A26A" w14:textId="77777777" w:rsidTr="00A171A0">
        <w:trPr>
          <w:tblHeader/>
          <w:tblCellSpacing w:w="15" w:type="dxa"/>
        </w:trPr>
        <w:tc>
          <w:tcPr>
            <w:tcW w:w="0" w:type="auto"/>
            <w:vAlign w:val="center"/>
            <w:hideMark/>
          </w:tcPr>
          <w:p w14:paraId="0088908F"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العبارة</w:t>
            </w:r>
          </w:p>
        </w:tc>
        <w:tc>
          <w:tcPr>
            <w:tcW w:w="0" w:type="auto"/>
            <w:vAlign w:val="center"/>
            <w:hideMark/>
          </w:tcPr>
          <w:p w14:paraId="121E5D6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المتوسط الحسابي</w:t>
            </w:r>
          </w:p>
        </w:tc>
        <w:tc>
          <w:tcPr>
            <w:tcW w:w="0" w:type="auto"/>
            <w:vAlign w:val="center"/>
            <w:hideMark/>
          </w:tcPr>
          <w:p w14:paraId="31F2B6CD"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الانحراف المعياري</w:t>
            </w:r>
          </w:p>
        </w:tc>
        <w:tc>
          <w:tcPr>
            <w:tcW w:w="0" w:type="auto"/>
            <w:vAlign w:val="center"/>
            <w:hideMark/>
          </w:tcPr>
          <w:p w14:paraId="475BAF26"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درجة الموافقة</w:t>
            </w:r>
          </w:p>
        </w:tc>
        <w:tc>
          <w:tcPr>
            <w:tcW w:w="0" w:type="auto"/>
            <w:vAlign w:val="center"/>
            <w:hideMark/>
          </w:tcPr>
          <w:p w14:paraId="235B30BE"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الترتيب</w:t>
            </w:r>
          </w:p>
        </w:tc>
      </w:tr>
      <w:tr w:rsidR="000913DC" w:rsidRPr="00645EB2" w14:paraId="751FC497" w14:textId="77777777" w:rsidTr="00A171A0">
        <w:trPr>
          <w:tblCellSpacing w:w="15" w:type="dxa"/>
        </w:trPr>
        <w:tc>
          <w:tcPr>
            <w:tcW w:w="0" w:type="auto"/>
            <w:vAlign w:val="center"/>
            <w:hideMark/>
          </w:tcPr>
          <w:p w14:paraId="7B88C1F4"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تنتشر معلومات غير دقيقة حول الأمراض العصبية عبر الإعلام الرقمي</w:t>
            </w:r>
          </w:p>
        </w:tc>
        <w:tc>
          <w:tcPr>
            <w:tcW w:w="0" w:type="auto"/>
            <w:vAlign w:val="center"/>
            <w:hideMark/>
          </w:tcPr>
          <w:p w14:paraId="48859AD0"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4.50</w:t>
            </w:r>
          </w:p>
        </w:tc>
        <w:tc>
          <w:tcPr>
            <w:tcW w:w="0" w:type="auto"/>
            <w:vAlign w:val="center"/>
            <w:hideMark/>
          </w:tcPr>
          <w:p w14:paraId="4890EA10"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0.95</w:t>
            </w:r>
          </w:p>
        </w:tc>
        <w:tc>
          <w:tcPr>
            <w:tcW w:w="0" w:type="auto"/>
            <w:vAlign w:val="center"/>
            <w:hideMark/>
          </w:tcPr>
          <w:p w14:paraId="7A70531B"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42313735"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1</w:t>
            </w:r>
          </w:p>
        </w:tc>
      </w:tr>
      <w:tr w:rsidR="000913DC" w:rsidRPr="00645EB2" w14:paraId="59B9DD80" w14:textId="77777777" w:rsidTr="00A171A0">
        <w:trPr>
          <w:tblCellSpacing w:w="15" w:type="dxa"/>
        </w:trPr>
        <w:tc>
          <w:tcPr>
            <w:tcW w:w="0" w:type="auto"/>
            <w:vAlign w:val="center"/>
            <w:hideMark/>
          </w:tcPr>
          <w:p w14:paraId="5EC5DAFA"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بعض المحتوى الصحي يفتقر إلى المصداقية العلمية</w:t>
            </w:r>
          </w:p>
        </w:tc>
        <w:tc>
          <w:tcPr>
            <w:tcW w:w="0" w:type="auto"/>
            <w:vAlign w:val="center"/>
            <w:hideMark/>
          </w:tcPr>
          <w:p w14:paraId="676E87E7"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3.94</w:t>
            </w:r>
          </w:p>
        </w:tc>
        <w:tc>
          <w:tcPr>
            <w:tcW w:w="0" w:type="auto"/>
            <w:vAlign w:val="center"/>
            <w:hideMark/>
          </w:tcPr>
          <w:p w14:paraId="16609604"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0.91</w:t>
            </w:r>
          </w:p>
        </w:tc>
        <w:tc>
          <w:tcPr>
            <w:tcW w:w="0" w:type="auto"/>
            <w:vAlign w:val="center"/>
            <w:hideMark/>
          </w:tcPr>
          <w:p w14:paraId="1267DCEA"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3592BF18"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2</w:t>
            </w:r>
          </w:p>
        </w:tc>
      </w:tr>
      <w:tr w:rsidR="000913DC" w:rsidRPr="00645EB2" w14:paraId="4A5FA395" w14:textId="77777777" w:rsidTr="00A171A0">
        <w:trPr>
          <w:tblCellSpacing w:w="15" w:type="dxa"/>
        </w:trPr>
        <w:tc>
          <w:tcPr>
            <w:tcW w:w="0" w:type="auto"/>
            <w:vAlign w:val="center"/>
            <w:hideMark/>
          </w:tcPr>
          <w:p w14:paraId="4A7352EA"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يوجد تضارب في المعلومات الصحية المنشورة عبر المنصات المختلفة</w:t>
            </w:r>
          </w:p>
        </w:tc>
        <w:tc>
          <w:tcPr>
            <w:tcW w:w="0" w:type="auto"/>
            <w:vAlign w:val="center"/>
            <w:hideMark/>
          </w:tcPr>
          <w:p w14:paraId="4540A590"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3.90</w:t>
            </w:r>
          </w:p>
        </w:tc>
        <w:tc>
          <w:tcPr>
            <w:tcW w:w="0" w:type="auto"/>
            <w:vAlign w:val="center"/>
            <w:hideMark/>
          </w:tcPr>
          <w:p w14:paraId="5C1C54E3"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0.95</w:t>
            </w:r>
          </w:p>
        </w:tc>
        <w:tc>
          <w:tcPr>
            <w:tcW w:w="0" w:type="auto"/>
            <w:vAlign w:val="center"/>
            <w:hideMark/>
          </w:tcPr>
          <w:p w14:paraId="45F15E8F"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57C56279"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w:t>
            </w:r>
          </w:p>
        </w:tc>
      </w:tr>
      <w:tr w:rsidR="000913DC" w:rsidRPr="00645EB2" w14:paraId="72C48596" w14:textId="77777777" w:rsidTr="00A171A0">
        <w:trPr>
          <w:tblCellSpacing w:w="15" w:type="dxa"/>
        </w:trPr>
        <w:tc>
          <w:tcPr>
            <w:tcW w:w="0" w:type="auto"/>
            <w:vAlign w:val="center"/>
            <w:hideMark/>
          </w:tcPr>
          <w:p w14:paraId="52136CF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تأثير مستوى الرقابة الرقمية على صحة المعلومات المنشورة</w:t>
            </w:r>
          </w:p>
        </w:tc>
        <w:tc>
          <w:tcPr>
            <w:tcW w:w="0" w:type="auto"/>
            <w:vAlign w:val="center"/>
            <w:hideMark/>
          </w:tcPr>
          <w:p w14:paraId="4E48E1ED"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3.74</w:t>
            </w:r>
          </w:p>
        </w:tc>
        <w:tc>
          <w:tcPr>
            <w:tcW w:w="0" w:type="auto"/>
            <w:vAlign w:val="center"/>
            <w:hideMark/>
          </w:tcPr>
          <w:p w14:paraId="5D102DE4"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0.82</w:t>
            </w:r>
          </w:p>
        </w:tc>
        <w:tc>
          <w:tcPr>
            <w:tcW w:w="0" w:type="auto"/>
            <w:vAlign w:val="center"/>
            <w:hideMark/>
          </w:tcPr>
          <w:p w14:paraId="50BD7A24" w14:textId="77777777" w:rsidR="000913DC" w:rsidRPr="00645EB2" w:rsidRDefault="000913DC" w:rsidP="00A171A0">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t>أوافق</w:t>
            </w:r>
          </w:p>
        </w:tc>
        <w:tc>
          <w:tcPr>
            <w:tcW w:w="0" w:type="auto"/>
            <w:vAlign w:val="center"/>
            <w:hideMark/>
          </w:tcPr>
          <w:p w14:paraId="100389A7"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w:t>
            </w:r>
          </w:p>
        </w:tc>
      </w:tr>
    </w:tbl>
    <w:p w14:paraId="7845B4FD"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lastRenderedPageBreak/>
        <w:t>يوضح الجدول آراء أفراد عينة الدراسة حول التحديات المرتبطة بالمحتوى الصحي الخاص بالأمراض العصبية المزمنة في الإعلام الرقمي، حيث أظهرت النتائج مستوى موافقة مرتفعًا على جميع العبارات. وجاءت عبارة «تنتشر معلومات غير دقيقة حول الأمراض العصبية عبر الإعلام الرقمي» في المرتبة الأولى بمتوسط حسابي بلغ 4.50 وانحراف معياري 0.95، مما يشير إلى إدراك قوي لانتشار المعلومات غير الدقيقة في هذا المجال. تلتها عبارة «بعض المحتوى الصحي يفتقر إلى المصداقية العلمية» بمتوسط حسابي 3.94، ثم عبارة «يوجد تضارب في المعلومات الصحية المنشورة عبر المنصات المختلفة» بمتوسط 3.90، بينما جاءت عبارة «تأثير مستوى الرقابة الرقمية على صحة المعلومات المنشورة» في المرتبة الأخيرة بمتوسط حسابي 3.74. وتؤكد هذه النتائج وجود مخاوف واضحة لدى المبحوثين بشأن دقة وموثوقية المعلومات الصحية المتداولة عبر المنصات الرقمية، مما يعزز الحاجة إلى رقابة أكبر ومصادر معلومات أكثر موثوقية</w:t>
      </w:r>
      <w:r w:rsidRPr="00645EB2">
        <w:rPr>
          <w:rFonts w:asciiTheme="majorBidi" w:hAnsiTheme="majorBidi" w:cstheme="majorBidi"/>
          <w:sz w:val="28"/>
          <w:szCs w:val="28"/>
        </w:rPr>
        <w:t>.</w:t>
      </w:r>
    </w:p>
    <w:p w14:paraId="253D4486"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المحور الخامس: تأثير المعلومات الرقمية على السلوك والقرارات العلاجية</w:t>
      </w:r>
    </w:p>
    <w:p w14:paraId="3A7A90D6"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جدول (11) استجابات أفراد العينة حول تأثير المعلومات الرقمية على السلوك الصحي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79"/>
        <w:gridCol w:w="1265"/>
        <w:gridCol w:w="1425"/>
        <w:gridCol w:w="1058"/>
        <w:gridCol w:w="733"/>
      </w:tblGrid>
      <w:tr w:rsidR="000913DC" w:rsidRPr="00645EB2" w14:paraId="79D3B2A6" w14:textId="77777777" w:rsidTr="00A171A0">
        <w:trPr>
          <w:tblHeader/>
          <w:tblCellSpacing w:w="15" w:type="dxa"/>
        </w:trPr>
        <w:tc>
          <w:tcPr>
            <w:tcW w:w="0" w:type="auto"/>
            <w:vAlign w:val="center"/>
            <w:hideMark/>
          </w:tcPr>
          <w:p w14:paraId="0B133883"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العبارة</w:t>
            </w:r>
          </w:p>
        </w:tc>
        <w:tc>
          <w:tcPr>
            <w:tcW w:w="0" w:type="auto"/>
            <w:vAlign w:val="center"/>
            <w:hideMark/>
          </w:tcPr>
          <w:p w14:paraId="7B6BBA1A"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المتوسط الحسابي</w:t>
            </w:r>
          </w:p>
        </w:tc>
        <w:tc>
          <w:tcPr>
            <w:tcW w:w="0" w:type="auto"/>
            <w:vAlign w:val="center"/>
            <w:hideMark/>
          </w:tcPr>
          <w:p w14:paraId="6ECF6058"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الانحراف المعياري</w:t>
            </w:r>
          </w:p>
        </w:tc>
        <w:tc>
          <w:tcPr>
            <w:tcW w:w="0" w:type="auto"/>
            <w:vAlign w:val="center"/>
            <w:hideMark/>
          </w:tcPr>
          <w:p w14:paraId="24AFF533"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درجة الموافقة</w:t>
            </w:r>
          </w:p>
        </w:tc>
        <w:tc>
          <w:tcPr>
            <w:tcW w:w="0" w:type="auto"/>
            <w:vAlign w:val="center"/>
            <w:hideMark/>
          </w:tcPr>
          <w:p w14:paraId="0D5E684B"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الترتيب</w:t>
            </w:r>
          </w:p>
        </w:tc>
      </w:tr>
      <w:tr w:rsidR="000913DC" w:rsidRPr="00645EB2" w14:paraId="10C378A3" w14:textId="77777777" w:rsidTr="00A171A0">
        <w:trPr>
          <w:tblCellSpacing w:w="15" w:type="dxa"/>
        </w:trPr>
        <w:tc>
          <w:tcPr>
            <w:tcW w:w="0" w:type="auto"/>
            <w:vAlign w:val="center"/>
            <w:hideMark/>
          </w:tcPr>
          <w:p w14:paraId="49798D5B"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تؤثر المعلومات المتداولة عبر الإعلام الرقمي على قراراتي الصحية</w:t>
            </w:r>
          </w:p>
        </w:tc>
        <w:tc>
          <w:tcPr>
            <w:tcW w:w="0" w:type="auto"/>
            <w:vAlign w:val="center"/>
            <w:hideMark/>
          </w:tcPr>
          <w:p w14:paraId="5730AA0F"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3.80</w:t>
            </w:r>
          </w:p>
        </w:tc>
        <w:tc>
          <w:tcPr>
            <w:tcW w:w="0" w:type="auto"/>
            <w:vAlign w:val="center"/>
            <w:hideMark/>
          </w:tcPr>
          <w:p w14:paraId="00F8DEAA"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0.91</w:t>
            </w:r>
          </w:p>
        </w:tc>
        <w:tc>
          <w:tcPr>
            <w:tcW w:w="0" w:type="auto"/>
            <w:vAlign w:val="center"/>
            <w:hideMark/>
          </w:tcPr>
          <w:p w14:paraId="6682D1B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43B4F90E"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2</w:t>
            </w:r>
          </w:p>
        </w:tc>
      </w:tr>
      <w:tr w:rsidR="000913DC" w:rsidRPr="00645EB2" w14:paraId="12D66A99" w14:textId="77777777" w:rsidTr="00A171A0">
        <w:trPr>
          <w:tblCellSpacing w:w="15" w:type="dxa"/>
        </w:trPr>
        <w:tc>
          <w:tcPr>
            <w:tcW w:w="0" w:type="auto"/>
            <w:vAlign w:val="center"/>
            <w:hideMark/>
          </w:tcPr>
          <w:p w14:paraId="35F7C3EE"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قمت بتغيير بعض سلوكياتي الصحية بناءً على معلومات حصلت عليها عبر الإنترنت</w:t>
            </w:r>
          </w:p>
        </w:tc>
        <w:tc>
          <w:tcPr>
            <w:tcW w:w="0" w:type="auto"/>
            <w:vAlign w:val="center"/>
            <w:hideMark/>
          </w:tcPr>
          <w:p w14:paraId="7D245C92"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3.80</w:t>
            </w:r>
          </w:p>
        </w:tc>
        <w:tc>
          <w:tcPr>
            <w:tcW w:w="0" w:type="auto"/>
            <w:vAlign w:val="center"/>
            <w:hideMark/>
          </w:tcPr>
          <w:p w14:paraId="77004871"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0.86</w:t>
            </w:r>
          </w:p>
        </w:tc>
        <w:tc>
          <w:tcPr>
            <w:tcW w:w="0" w:type="auto"/>
            <w:vAlign w:val="center"/>
            <w:hideMark/>
          </w:tcPr>
          <w:p w14:paraId="60E81D8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43C25F7F"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w:t>
            </w:r>
          </w:p>
        </w:tc>
      </w:tr>
      <w:tr w:rsidR="000913DC" w:rsidRPr="00645EB2" w14:paraId="600ABA22" w14:textId="77777777" w:rsidTr="00A171A0">
        <w:trPr>
          <w:tblCellSpacing w:w="15" w:type="dxa"/>
        </w:trPr>
        <w:tc>
          <w:tcPr>
            <w:tcW w:w="0" w:type="auto"/>
            <w:vAlign w:val="center"/>
            <w:hideMark/>
          </w:tcPr>
          <w:p w14:paraId="46C432CB"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أستشير الطبيب قبل تطبيق أي نصيحة صحية أجدها عبر الإعلام الرقمي</w:t>
            </w:r>
          </w:p>
        </w:tc>
        <w:tc>
          <w:tcPr>
            <w:tcW w:w="0" w:type="auto"/>
            <w:vAlign w:val="center"/>
            <w:hideMark/>
          </w:tcPr>
          <w:p w14:paraId="6FDD6CF6"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4.10</w:t>
            </w:r>
          </w:p>
        </w:tc>
        <w:tc>
          <w:tcPr>
            <w:tcW w:w="0" w:type="auto"/>
            <w:vAlign w:val="center"/>
            <w:hideMark/>
          </w:tcPr>
          <w:p w14:paraId="1CAA03B1"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0.81</w:t>
            </w:r>
          </w:p>
        </w:tc>
        <w:tc>
          <w:tcPr>
            <w:tcW w:w="0" w:type="auto"/>
            <w:vAlign w:val="center"/>
            <w:hideMark/>
          </w:tcPr>
          <w:p w14:paraId="415C6D8D"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11E3824F"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1</w:t>
            </w:r>
          </w:p>
        </w:tc>
      </w:tr>
      <w:tr w:rsidR="000913DC" w:rsidRPr="00645EB2" w14:paraId="26C92BF2" w14:textId="77777777" w:rsidTr="00A171A0">
        <w:trPr>
          <w:tblCellSpacing w:w="15" w:type="dxa"/>
        </w:trPr>
        <w:tc>
          <w:tcPr>
            <w:tcW w:w="0" w:type="auto"/>
            <w:vAlign w:val="center"/>
            <w:hideMark/>
          </w:tcPr>
          <w:p w14:paraId="1693955A"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قد تؤدي المعلومات المضللة إلى اتخاذ قرارات علاجية غير صحيحة</w:t>
            </w:r>
          </w:p>
        </w:tc>
        <w:tc>
          <w:tcPr>
            <w:tcW w:w="0" w:type="auto"/>
            <w:vAlign w:val="center"/>
            <w:hideMark/>
          </w:tcPr>
          <w:p w14:paraId="36D55FDC" w14:textId="77777777" w:rsidR="000913DC" w:rsidRPr="00645EB2" w:rsidRDefault="000913DC" w:rsidP="00A171A0">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Pr>
              <w:t>3.80</w:t>
            </w:r>
          </w:p>
        </w:tc>
        <w:tc>
          <w:tcPr>
            <w:tcW w:w="0" w:type="auto"/>
            <w:vAlign w:val="center"/>
            <w:hideMark/>
          </w:tcPr>
          <w:p w14:paraId="32CB3D4F"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0.92</w:t>
            </w:r>
          </w:p>
        </w:tc>
        <w:tc>
          <w:tcPr>
            <w:tcW w:w="0" w:type="auto"/>
            <w:vAlign w:val="center"/>
            <w:hideMark/>
          </w:tcPr>
          <w:p w14:paraId="39FBD6FE"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0D739935"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2</w:t>
            </w:r>
          </w:p>
        </w:tc>
      </w:tr>
    </w:tbl>
    <w:p w14:paraId="0EA7A468"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يوضح الجدول آراء أفراد عينة الدراسة حول تأثير الإعلام الرقمي في القرارات والسلوكيات الصحية، حيث أظهرت النتائج مستوى موافقة مرتفعًا على جميع العبارات. وجاءت عبارة «أستشير الطبيب قبل تطبيق أي </w:t>
      </w:r>
      <w:r w:rsidRPr="00645EB2">
        <w:rPr>
          <w:rFonts w:asciiTheme="majorBidi" w:hAnsiTheme="majorBidi" w:cstheme="majorBidi"/>
          <w:sz w:val="28"/>
          <w:szCs w:val="28"/>
          <w:rtl/>
        </w:rPr>
        <w:lastRenderedPageBreak/>
        <w:t>نصيحة صحية أجدها عبر الإعلام الرقمي» في المرتبة الأولى بمتوسط حسابي بلغ 4.10 وانحراف معياري 0.81، مما يعكس وعيًا بأهمية الرجوع إلى المختصين قبل اتخاذ قرارات صحية. كما حصلت عبارتا «تؤثر المعلومات المتداولة عبر الإعلام الرقمي على قراراتي الصحية» و«قد تؤدي المعلومات المضللة إلى اتخاذ قرارات علاجية غير صحيحة» على متوسط حسابي بلغ 3.80 لكل منهما، تلتها عبارة «قمت بتغيير بعض سلوكياتي الصحية بناءً على معلومات حصلت عليها عبر الإنترنت» بالمتوسط نفسه تقريبًا (3.80). وتشير هذه النتائج إلى أن الإعلام الرقمي يؤثر بشكل ملحوظ في السلوك والقرارات الصحية للأفراد، مع إدراكهم في الوقت ذاته لأهمية التحقق من المعلومات واستشارة الأطباء لتجنب الآثار السلبية للمعلومات المضللة</w:t>
      </w:r>
      <w:r w:rsidRPr="00645EB2">
        <w:rPr>
          <w:rFonts w:asciiTheme="majorBidi" w:hAnsiTheme="majorBidi" w:cstheme="majorBidi"/>
          <w:sz w:val="28"/>
          <w:szCs w:val="28"/>
        </w:rPr>
        <w:t>.</w:t>
      </w:r>
    </w:p>
    <w:p w14:paraId="505AD3D1"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المحور السادس: تعزيز دور الإعلام الرقمي</w:t>
      </w:r>
    </w:p>
    <w:p w14:paraId="477CCEF1"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جدول (12) استجابات أفراد العينة حول تعزيز دور الإعلام الرقمي في التوعية الصحية</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85"/>
        <w:gridCol w:w="1298"/>
        <w:gridCol w:w="1462"/>
        <w:gridCol w:w="1082"/>
        <w:gridCol w:w="733"/>
      </w:tblGrid>
      <w:tr w:rsidR="000913DC" w:rsidRPr="00645EB2" w14:paraId="3CF49596" w14:textId="77777777" w:rsidTr="00A171A0">
        <w:trPr>
          <w:tblHeader/>
          <w:tblCellSpacing w:w="15" w:type="dxa"/>
        </w:trPr>
        <w:tc>
          <w:tcPr>
            <w:tcW w:w="0" w:type="auto"/>
            <w:vAlign w:val="center"/>
            <w:hideMark/>
          </w:tcPr>
          <w:p w14:paraId="1A1BE179"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العبارة</w:t>
            </w:r>
          </w:p>
        </w:tc>
        <w:tc>
          <w:tcPr>
            <w:tcW w:w="0" w:type="auto"/>
            <w:vAlign w:val="center"/>
            <w:hideMark/>
          </w:tcPr>
          <w:p w14:paraId="3AA5A457"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المتوسط الحسابي</w:t>
            </w:r>
          </w:p>
        </w:tc>
        <w:tc>
          <w:tcPr>
            <w:tcW w:w="0" w:type="auto"/>
            <w:vAlign w:val="center"/>
            <w:hideMark/>
          </w:tcPr>
          <w:p w14:paraId="7F9E7F15"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الانحراف المعياري</w:t>
            </w:r>
          </w:p>
        </w:tc>
        <w:tc>
          <w:tcPr>
            <w:tcW w:w="0" w:type="auto"/>
            <w:vAlign w:val="center"/>
            <w:hideMark/>
          </w:tcPr>
          <w:p w14:paraId="7E7E54E4"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درجة الموافقة</w:t>
            </w:r>
          </w:p>
        </w:tc>
        <w:tc>
          <w:tcPr>
            <w:tcW w:w="0" w:type="auto"/>
            <w:vAlign w:val="center"/>
            <w:hideMark/>
          </w:tcPr>
          <w:p w14:paraId="4F8BB03B"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الترتيب</w:t>
            </w:r>
          </w:p>
        </w:tc>
      </w:tr>
      <w:tr w:rsidR="000913DC" w:rsidRPr="00645EB2" w14:paraId="73788FFC" w14:textId="77777777" w:rsidTr="00A171A0">
        <w:trPr>
          <w:tblCellSpacing w:w="15" w:type="dxa"/>
        </w:trPr>
        <w:tc>
          <w:tcPr>
            <w:tcW w:w="0" w:type="auto"/>
            <w:vAlign w:val="center"/>
            <w:hideMark/>
          </w:tcPr>
          <w:p w14:paraId="0E1B6048"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يجب تعزيز الرقابة على المحتوى الصحي في المنصات الرقمية</w:t>
            </w:r>
          </w:p>
        </w:tc>
        <w:tc>
          <w:tcPr>
            <w:tcW w:w="0" w:type="auto"/>
            <w:vAlign w:val="center"/>
            <w:hideMark/>
          </w:tcPr>
          <w:p w14:paraId="4B4953E4" w14:textId="77777777" w:rsidR="000913DC" w:rsidRPr="00645EB2" w:rsidRDefault="000913DC" w:rsidP="00A171A0">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Pr>
              <w:t>4.10</w:t>
            </w:r>
          </w:p>
        </w:tc>
        <w:tc>
          <w:tcPr>
            <w:tcW w:w="0" w:type="auto"/>
            <w:vAlign w:val="center"/>
            <w:hideMark/>
          </w:tcPr>
          <w:p w14:paraId="57243256"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0.75</w:t>
            </w:r>
          </w:p>
        </w:tc>
        <w:tc>
          <w:tcPr>
            <w:tcW w:w="0" w:type="auto"/>
            <w:vAlign w:val="center"/>
            <w:hideMark/>
          </w:tcPr>
          <w:p w14:paraId="22ABE549"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 جدًا</w:t>
            </w:r>
          </w:p>
        </w:tc>
        <w:tc>
          <w:tcPr>
            <w:tcW w:w="0" w:type="auto"/>
            <w:vAlign w:val="center"/>
            <w:hideMark/>
          </w:tcPr>
          <w:p w14:paraId="3787E568"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1</w:t>
            </w:r>
          </w:p>
        </w:tc>
      </w:tr>
      <w:tr w:rsidR="000913DC" w:rsidRPr="00645EB2" w14:paraId="630495C2" w14:textId="77777777" w:rsidTr="00A171A0">
        <w:trPr>
          <w:tblCellSpacing w:w="15" w:type="dxa"/>
        </w:trPr>
        <w:tc>
          <w:tcPr>
            <w:tcW w:w="0" w:type="auto"/>
            <w:vAlign w:val="center"/>
            <w:hideMark/>
          </w:tcPr>
          <w:p w14:paraId="7338A224"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ينبغي أن تشارك الجهات الصحية الرسمية بشكل أكبر في نشر التوعية الرقمية</w:t>
            </w:r>
          </w:p>
        </w:tc>
        <w:tc>
          <w:tcPr>
            <w:tcW w:w="0" w:type="auto"/>
            <w:vAlign w:val="center"/>
            <w:hideMark/>
          </w:tcPr>
          <w:p w14:paraId="5EB138F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4.10</w:t>
            </w:r>
          </w:p>
        </w:tc>
        <w:tc>
          <w:tcPr>
            <w:tcW w:w="0" w:type="auto"/>
            <w:vAlign w:val="center"/>
            <w:hideMark/>
          </w:tcPr>
          <w:p w14:paraId="4FE409C4"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0.82</w:t>
            </w:r>
          </w:p>
        </w:tc>
        <w:tc>
          <w:tcPr>
            <w:tcW w:w="0" w:type="auto"/>
            <w:vAlign w:val="center"/>
            <w:hideMark/>
          </w:tcPr>
          <w:p w14:paraId="7A578575"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0AA7D0DE"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2</w:t>
            </w:r>
          </w:p>
        </w:tc>
      </w:tr>
      <w:tr w:rsidR="000913DC" w:rsidRPr="00645EB2" w14:paraId="42B167C7" w14:textId="77777777" w:rsidTr="00A171A0">
        <w:trPr>
          <w:tblCellSpacing w:w="15" w:type="dxa"/>
        </w:trPr>
        <w:tc>
          <w:tcPr>
            <w:tcW w:w="0" w:type="auto"/>
            <w:vAlign w:val="center"/>
            <w:hideMark/>
          </w:tcPr>
          <w:p w14:paraId="41F22DC2"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الحملات الرقمية التوعوية تساهم في الحد من انتشار المعلومات المضللة</w:t>
            </w:r>
          </w:p>
        </w:tc>
        <w:tc>
          <w:tcPr>
            <w:tcW w:w="0" w:type="auto"/>
            <w:vAlign w:val="center"/>
            <w:hideMark/>
          </w:tcPr>
          <w:p w14:paraId="02D2561B"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4.05</w:t>
            </w:r>
          </w:p>
        </w:tc>
        <w:tc>
          <w:tcPr>
            <w:tcW w:w="0" w:type="auto"/>
            <w:vAlign w:val="center"/>
            <w:hideMark/>
          </w:tcPr>
          <w:p w14:paraId="5A3DE921"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0.78</w:t>
            </w:r>
          </w:p>
        </w:tc>
        <w:tc>
          <w:tcPr>
            <w:tcW w:w="0" w:type="auto"/>
            <w:vAlign w:val="center"/>
            <w:hideMark/>
          </w:tcPr>
          <w:p w14:paraId="14256DF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7AF9229A"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3</w:t>
            </w:r>
          </w:p>
        </w:tc>
      </w:tr>
      <w:tr w:rsidR="000913DC" w:rsidRPr="00645EB2" w14:paraId="7E37A90A" w14:textId="77777777" w:rsidTr="00A171A0">
        <w:trPr>
          <w:tblCellSpacing w:w="15" w:type="dxa"/>
        </w:trPr>
        <w:tc>
          <w:tcPr>
            <w:tcW w:w="0" w:type="auto"/>
            <w:vAlign w:val="center"/>
            <w:hideMark/>
          </w:tcPr>
          <w:p w14:paraId="2AE72479"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التعاون بين الإعلاميين والأطباء يعزز جودة المحتوى الصحي الرقمي</w:t>
            </w:r>
          </w:p>
        </w:tc>
        <w:tc>
          <w:tcPr>
            <w:tcW w:w="0" w:type="auto"/>
            <w:vAlign w:val="center"/>
            <w:hideMark/>
          </w:tcPr>
          <w:p w14:paraId="006EEE02"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4.12</w:t>
            </w:r>
          </w:p>
        </w:tc>
        <w:tc>
          <w:tcPr>
            <w:tcW w:w="0" w:type="auto"/>
            <w:vAlign w:val="center"/>
            <w:hideMark/>
          </w:tcPr>
          <w:p w14:paraId="3AAD711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0.74</w:t>
            </w:r>
          </w:p>
        </w:tc>
        <w:tc>
          <w:tcPr>
            <w:tcW w:w="0" w:type="auto"/>
            <w:vAlign w:val="center"/>
            <w:hideMark/>
          </w:tcPr>
          <w:p w14:paraId="2AD9035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أوافق</w:t>
            </w:r>
          </w:p>
        </w:tc>
        <w:tc>
          <w:tcPr>
            <w:tcW w:w="0" w:type="auto"/>
            <w:vAlign w:val="center"/>
            <w:hideMark/>
          </w:tcPr>
          <w:p w14:paraId="6262AA99"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w:t>
            </w:r>
          </w:p>
        </w:tc>
      </w:tr>
    </w:tbl>
    <w:p w14:paraId="12C79F96" w14:textId="5C1DCE53" w:rsidR="000913DC" w:rsidRDefault="000913DC" w:rsidP="007C1AB5">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t xml:space="preserve">يوضح الجدول آراء أفراد عينة الدراسة تجاه المقترحات المتعلقة بتعزيز التوعية الصحية الرقمية، حيث جاءت جميع العبارات بدرجات موافقة مرتفعة، مما يعكس اتفاق المبحوثين على أهمية تطوير المحتوى الصحي الرقمي. وقد حصلت عبارة «التعاون بين الإعلاميين والأطباء يعزز جودة المحتوى الصحي الرقمي» على أعلى متوسط حسابي بلغ 4.12 بانحراف معياري 0.74، تلتها عبارة «يجب تعزيز الرقابة على المحتوى </w:t>
      </w:r>
      <w:r w:rsidRPr="00645EB2">
        <w:rPr>
          <w:rFonts w:asciiTheme="majorBidi" w:hAnsiTheme="majorBidi" w:cstheme="majorBidi"/>
          <w:sz w:val="28"/>
          <w:szCs w:val="28"/>
          <w:rtl/>
        </w:rPr>
        <w:lastRenderedPageBreak/>
        <w:t>الصحي في المنصات الرقمية» و«ينبغي أن تشارك الجهات الصحية الرسمية بشكل أكبر في نشر التوعية الرقمية» بمتوسط حسابي بلغ 4.10 لكل منهما، ثم عبارة «الحملات الرقمية التوعوية تساهم في الحد من انتشار المعلومات المضللة» بمتوسط حسابي 4.05. وتشير هذه النتائج إلى وجود اتفاق واضح بين أفراد العينة على أهمية التكامل بين الجهات الصحية والإعلامية، وتعزيز الرقابة والتوعية الرقمية لضمان تقديم معلومات صحية موثوقة للمجتمع</w:t>
      </w:r>
      <w:r w:rsidRPr="00645EB2">
        <w:rPr>
          <w:rFonts w:asciiTheme="majorBidi" w:hAnsiTheme="majorBidi" w:cstheme="majorBidi"/>
          <w:sz w:val="28"/>
          <w:szCs w:val="28"/>
        </w:rPr>
        <w:t>.</w:t>
      </w:r>
    </w:p>
    <w:p w14:paraId="3B16E08C" w14:textId="77777777" w:rsidR="007C1AB5" w:rsidRPr="00645EB2" w:rsidRDefault="007C1AB5" w:rsidP="007C1AB5">
      <w:pPr>
        <w:spacing w:line="360" w:lineRule="auto"/>
        <w:jc w:val="both"/>
        <w:rPr>
          <w:rFonts w:asciiTheme="majorBidi" w:hAnsiTheme="majorBidi" w:cstheme="majorBidi"/>
          <w:sz w:val="28"/>
          <w:szCs w:val="28"/>
        </w:rPr>
      </w:pPr>
    </w:p>
    <w:p w14:paraId="0F41F744" w14:textId="77777777" w:rsidR="000913DC" w:rsidRPr="00645EB2" w:rsidRDefault="000913DC" w:rsidP="000913DC">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t xml:space="preserve">9- اختبارات الصدق والثبات </w:t>
      </w:r>
    </w:p>
    <w:p w14:paraId="70B7A0E6"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حرصت الدراسة الحالية على التحقق من صدق وثبات أداة الدراسة (الاستبيان) للتأكد من قدرتها على قياس ما وضعت من أجله بدقة وموضوعية. ويُعد اختبار الصدق والثبات من الخطوات الأساسية في البحوث العلمية، حيث يساعد في ضمان جودة الأداة المستخدمة في جمع البيانات، وبالتالي تعزيز موثوقية النتائج التي يتم التوصل إليها</w:t>
      </w:r>
      <w:r w:rsidRPr="00645EB2">
        <w:rPr>
          <w:rFonts w:asciiTheme="majorBidi" w:hAnsiTheme="majorBidi" w:cstheme="majorBidi"/>
          <w:sz w:val="28"/>
          <w:szCs w:val="28"/>
        </w:rPr>
        <w:t>.</w:t>
      </w:r>
    </w:p>
    <w:p w14:paraId="4FA49668"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أولًا: اختبار الصدق</w:t>
      </w:r>
    </w:p>
    <w:p w14:paraId="782B018C"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تم التأكد من صدق أداة الدراسة من خلال عرض الاستبيان على عدد من المحكمين المتخصصين في مجالات الإعلام والدراسات الصحية، وذلك بهدف التأكد من مدى وضوح العبارات وملاءمتها لموضوع الدراسة، وكذلك مدى قدرتها على قياس الأبعاد المرتبطة بدور الإعلام الرقمي في التوعية بالأمراض العصبية المزمنة. وقد أبدى المحكمون مجموعة من الملاحظات التي تم أخذها في الاعتبار عند تعديل بعض العبارات وإعادة صياغتها بما يحقق أهداف الدراسة</w:t>
      </w:r>
      <w:r w:rsidRPr="00645EB2">
        <w:rPr>
          <w:rFonts w:asciiTheme="majorBidi" w:hAnsiTheme="majorBidi" w:cstheme="majorBidi"/>
          <w:sz w:val="28"/>
          <w:szCs w:val="28"/>
        </w:rPr>
        <w:t>.</w:t>
      </w:r>
    </w:p>
    <w:p w14:paraId="24E75C09"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تم التأكد من الصدق الظاهري للأداة من خلال التأكد من وضوح العبارات وسهولة فهمها من قبل أفراد العينة، بحيث تعكس كل عبارة البعد الذي تقيسه بصورة واضحة ومباشرة، مما يسهم في الحصول على استجابات دقيقة من المبحوثين</w:t>
      </w:r>
      <w:r w:rsidRPr="00645EB2">
        <w:rPr>
          <w:rFonts w:asciiTheme="majorBidi" w:hAnsiTheme="majorBidi" w:cstheme="majorBidi"/>
          <w:sz w:val="28"/>
          <w:szCs w:val="28"/>
        </w:rPr>
        <w:t>.</w:t>
      </w:r>
    </w:p>
    <w:p w14:paraId="5AC288A1"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ثانيًا: اختبار الثبات</w:t>
      </w:r>
    </w:p>
    <w:p w14:paraId="74006DA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تم اختبار ثبات أداة الدراسة باستخدام معامل كرونباخ ألفا</w:t>
      </w:r>
      <w:r w:rsidRPr="00645EB2">
        <w:rPr>
          <w:rFonts w:asciiTheme="majorBidi" w:hAnsiTheme="majorBidi" w:cstheme="majorBidi"/>
          <w:sz w:val="28"/>
          <w:szCs w:val="28"/>
        </w:rPr>
        <w:t xml:space="preserve"> (Cronbach's Alpha)</w:t>
      </w:r>
      <w:r w:rsidRPr="00645EB2">
        <w:rPr>
          <w:rFonts w:asciiTheme="majorBidi" w:hAnsiTheme="majorBidi" w:cstheme="majorBidi"/>
          <w:sz w:val="28"/>
          <w:szCs w:val="28"/>
          <w:rtl/>
        </w:rPr>
        <w:t>، وذلك لقياس مدى الاتساق الداخلي بين عبارات كل محور من محاور الاستبيان. ويعد معامل كرونباخ ألفا من أكثر الأساليب الإحصائية استخدامًا لقياس ثبات أدوات القياس في الدراسات الاجتماعية والإعلامية</w:t>
      </w:r>
      <w:r w:rsidRPr="00645EB2">
        <w:rPr>
          <w:rFonts w:asciiTheme="majorBidi" w:hAnsiTheme="majorBidi" w:cstheme="majorBidi"/>
          <w:sz w:val="28"/>
          <w:szCs w:val="28"/>
        </w:rPr>
        <w:t>.</w:t>
      </w:r>
    </w:p>
    <w:p w14:paraId="4F7B0EA9"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lastRenderedPageBreak/>
        <w:t>جدول (13) معامل الثبات كرونباخ ألفا لمحاور الاستبيان</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4117"/>
        <w:gridCol w:w="1220"/>
        <w:gridCol w:w="1733"/>
      </w:tblGrid>
      <w:tr w:rsidR="000913DC" w:rsidRPr="00645EB2" w14:paraId="6AA273D8" w14:textId="77777777" w:rsidTr="00A171A0">
        <w:trPr>
          <w:tblHeader/>
          <w:tblCellSpacing w:w="15" w:type="dxa"/>
          <w:jc w:val="right"/>
        </w:trPr>
        <w:tc>
          <w:tcPr>
            <w:tcW w:w="0" w:type="auto"/>
            <w:vAlign w:val="center"/>
            <w:hideMark/>
          </w:tcPr>
          <w:p w14:paraId="3EEE3A64"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المحور</w:t>
            </w:r>
          </w:p>
        </w:tc>
        <w:tc>
          <w:tcPr>
            <w:tcW w:w="0" w:type="auto"/>
            <w:vAlign w:val="center"/>
            <w:hideMark/>
          </w:tcPr>
          <w:p w14:paraId="5442F5BA"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عدد العبارات</w:t>
            </w:r>
          </w:p>
        </w:tc>
        <w:tc>
          <w:tcPr>
            <w:tcW w:w="0" w:type="auto"/>
            <w:vAlign w:val="center"/>
            <w:hideMark/>
          </w:tcPr>
          <w:p w14:paraId="27D9D3E3"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معامل كرونباخ ألفا</w:t>
            </w:r>
          </w:p>
        </w:tc>
      </w:tr>
      <w:tr w:rsidR="000913DC" w:rsidRPr="00645EB2" w14:paraId="2B018067" w14:textId="77777777" w:rsidTr="00A171A0">
        <w:trPr>
          <w:tblCellSpacing w:w="15" w:type="dxa"/>
          <w:jc w:val="right"/>
        </w:trPr>
        <w:tc>
          <w:tcPr>
            <w:tcW w:w="0" w:type="auto"/>
            <w:vAlign w:val="center"/>
            <w:hideMark/>
          </w:tcPr>
          <w:p w14:paraId="75431123"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درجة الاعتماد على الإعلام الرقمي</w:t>
            </w:r>
          </w:p>
        </w:tc>
        <w:tc>
          <w:tcPr>
            <w:tcW w:w="0" w:type="auto"/>
            <w:vAlign w:val="center"/>
            <w:hideMark/>
          </w:tcPr>
          <w:p w14:paraId="28F56C98"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w:t>
            </w:r>
          </w:p>
        </w:tc>
        <w:tc>
          <w:tcPr>
            <w:tcW w:w="0" w:type="auto"/>
            <w:vAlign w:val="center"/>
            <w:hideMark/>
          </w:tcPr>
          <w:p w14:paraId="6A53C6E0"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0.86</w:t>
            </w:r>
          </w:p>
        </w:tc>
      </w:tr>
      <w:tr w:rsidR="000913DC" w:rsidRPr="00645EB2" w14:paraId="3C4B4396" w14:textId="77777777" w:rsidTr="00A171A0">
        <w:trPr>
          <w:tblCellSpacing w:w="15" w:type="dxa"/>
          <w:jc w:val="right"/>
        </w:trPr>
        <w:tc>
          <w:tcPr>
            <w:tcW w:w="0" w:type="auto"/>
            <w:vAlign w:val="center"/>
            <w:hideMark/>
          </w:tcPr>
          <w:p w14:paraId="73A7C103"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موثوقية المنصات الرقمية</w:t>
            </w:r>
          </w:p>
        </w:tc>
        <w:tc>
          <w:tcPr>
            <w:tcW w:w="0" w:type="auto"/>
            <w:vAlign w:val="center"/>
            <w:hideMark/>
          </w:tcPr>
          <w:p w14:paraId="05A488E1"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w:t>
            </w:r>
          </w:p>
        </w:tc>
        <w:tc>
          <w:tcPr>
            <w:tcW w:w="0" w:type="auto"/>
            <w:vAlign w:val="center"/>
            <w:hideMark/>
          </w:tcPr>
          <w:p w14:paraId="1423CBB9"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0.83</w:t>
            </w:r>
          </w:p>
        </w:tc>
      </w:tr>
      <w:tr w:rsidR="000913DC" w:rsidRPr="00645EB2" w14:paraId="1012C048" w14:textId="77777777" w:rsidTr="00A171A0">
        <w:trPr>
          <w:tblCellSpacing w:w="15" w:type="dxa"/>
          <w:jc w:val="right"/>
        </w:trPr>
        <w:tc>
          <w:tcPr>
            <w:tcW w:w="0" w:type="auto"/>
            <w:vAlign w:val="center"/>
            <w:hideMark/>
          </w:tcPr>
          <w:p w14:paraId="2E6CA0FE"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تأثير الإعلام الرقمي في تشكيل الوعي الصحي</w:t>
            </w:r>
          </w:p>
        </w:tc>
        <w:tc>
          <w:tcPr>
            <w:tcW w:w="0" w:type="auto"/>
            <w:vAlign w:val="center"/>
            <w:hideMark/>
          </w:tcPr>
          <w:p w14:paraId="1868FF67"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w:t>
            </w:r>
          </w:p>
        </w:tc>
        <w:tc>
          <w:tcPr>
            <w:tcW w:w="0" w:type="auto"/>
            <w:vAlign w:val="center"/>
            <w:hideMark/>
          </w:tcPr>
          <w:p w14:paraId="0F1ABEB4"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0.88</w:t>
            </w:r>
          </w:p>
        </w:tc>
      </w:tr>
      <w:tr w:rsidR="000913DC" w:rsidRPr="00645EB2" w14:paraId="02C63EFF" w14:textId="77777777" w:rsidTr="00A171A0">
        <w:trPr>
          <w:tblCellSpacing w:w="15" w:type="dxa"/>
          <w:jc w:val="right"/>
        </w:trPr>
        <w:tc>
          <w:tcPr>
            <w:tcW w:w="0" w:type="auto"/>
            <w:vAlign w:val="center"/>
            <w:hideMark/>
          </w:tcPr>
          <w:p w14:paraId="3A67492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التحديات التي تواجه الإعلام الرقمي</w:t>
            </w:r>
          </w:p>
        </w:tc>
        <w:tc>
          <w:tcPr>
            <w:tcW w:w="0" w:type="auto"/>
            <w:vAlign w:val="center"/>
            <w:hideMark/>
          </w:tcPr>
          <w:p w14:paraId="276EED9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w:t>
            </w:r>
          </w:p>
        </w:tc>
        <w:tc>
          <w:tcPr>
            <w:tcW w:w="0" w:type="auto"/>
            <w:vAlign w:val="center"/>
            <w:hideMark/>
          </w:tcPr>
          <w:p w14:paraId="659E3E3B"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0.81</w:t>
            </w:r>
          </w:p>
        </w:tc>
      </w:tr>
      <w:tr w:rsidR="000913DC" w:rsidRPr="00645EB2" w14:paraId="6E4D5C23" w14:textId="77777777" w:rsidTr="00A171A0">
        <w:trPr>
          <w:tblCellSpacing w:w="15" w:type="dxa"/>
          <w:jc w:val="right"/>
        </w:trPr>
        <w:tc>
          <w:tcPr>
            <w:tcW w:w="0" w:type="auto"/>
            <w:vAlign w:val="center"/>
            <w:hideMark/>
          </w:tcPr>
          <w:p w14:paraId="0A6B5CC9"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تأثير المعلومات الرقمية على السلوك الصحي</w:t>
            </w:r>
          </w:p>
        </w:tc>
        <w:tc>
          <w:tcPr>
            <w:tcW w:w="0" w:type="auto"/>
            <w:vAlign w:val="center"/>
            <w:hideMark/>
          </w:tcPr>
          <w:p w14:paraId="53D33B93"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w:t>
            </w:r>
          </w:p>
        </w:tc>
        <w:tc>
          <w:tcPr>
            <w:tcW w:w="0" w:type="auto"/>
            <w:vAlign w:val="center"/>
            <w:hideMark/>
          </w:tcPr>
          <w:p w14:paraId="69A15BD8"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0.85</w:t>
            </w:r>
          </w:p>
        </w:tc>
      </w:tr>
      <w:tr w:rsidR="000913DC" w:rsidRPr="00645EB2" w14:paraId="71262FC6" w14:textId="77777777" w:rsidTr="00A171A0">
        <w:trPr>
          <w:tblCellSpacing w:w="15" w:type="dxa"/>
          <w:jc w:val="right"/>
        </w:trPr>
        <w:tc>
          <w:tcPr>
            <w:tcW w:w="0" w:type="auto"/>
            <w:vAlign w:val="center"/>
            <w:hideMark/>
          </w:tcPr>
          <w:p w14:paraId="28D48F6C"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تعزيز دور الإعلام الرقمي</w:t>
            </w:r>
          </w:p>
        </w:tc>
        <w:tc>
          <w:tcPr>
            <w:tcW w:w="0" w:type="auto"/>
            <w:vAlign w:val="center"/>
            <w:hideMark/>
          </w:tcPr>
          <w:p w14:paraId="7D8EDA81"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4</w:t>
            </w:r>
          </w:p>
        </w:tc>
        <w:tc>
          <w:tcPr>
            <w:tcW w:w="0" w:type="auto"/>
            <w:vAlign w:val="center"/>
            <w:hideMark/>
          </w:tcPr>
          <w:p w14:paraId="6C617083"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0.87</w:t>
            </w:r>
          </w:p>
        </w:tc>
      </w:tr>
      <w:tr w:rsidR="000913DC" w:rsidRPr="00645EB2" w14:paraId="42BA8AFF" w14:textId="77777777" w:rsidTr="00A171A0">
        <w:trPr>
          <w:tblCellSpacing w:w="15" w:type="dxa"/>
          <w:jc w:val="right"/>
        </w:trPr>
        <w:tc>
          <w:tcPr>
            <w:tcW w:w="0" w:type="auto"/>
            <w:vAlign w:val="center"/>
            <w:hideMark/>
          </w:tcPr>
          <w:p w14:paraId="6103A535"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الثبات الكلي للأداة</w:t>
            </w:r>
          </w:p>
        </w:tc>
        <w:tc>
          <w:tcPr>
            <w:tcW w:w="0" w:type="auto"/>
            <w:vAlign w:val="center"/>
            <w:hideMark/>
          </w:tcPr>
          <w:p w14:paraId="63E5B9D8"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24</w:t>
            </w:r>
          </w:p>
        </w:tc>
        <w:tc>
          <w:tcPr>
            <w:tcW w:w="0" w:type="auto"/>
            <w:vAlign w:val="center"/>
            <w:hideMark/>
          </w:tcPr>
          <w:p w14:paraId="7F177A44" w14:textId="77777777" w:rsidR="000913DC" w:rsidRPr="00645EB2" w:rsidRDefault="000913DC" w:rsidP="00A171A0">
            <w:pPr>
              <w:spacing w:line="360" w:lineRule="auto"/>
              <w:jc w:val="both"/>
              <w:rPr>
                <w:rFonts w:asciiTheme="majorBidi" w:hAnsiTheme="majorBidi" w:cstheme="majorBidi"/>
                <w:sz w:val="28"/>
                <w:szCs w:val="28"/>
              </w:rPr>
            </w:pPr>
            <w:r w:rsidRPr="00645EB2">
              <w:rPr>
                <w:rFonts w:asciiTheme="majorBidi" w:hAnsiTheme="majorBidi" w:cstheme="majorBidi"/>
                <w:sz w:val="28"/>
                <w:szCs w:val="28"/>
              </w:rPr>
              <w:t>0.89</w:t>
            </w:r>
          </w:p>
        </w:tc>
      </w:tr>
    </w:tbl>
    <w:p w14:paraId="09734211" w14:textId="77777777" w:rsidR="000913DC" w:rsidRDefault="000913DC" w:rsidP="000913DC">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t>يتضح من الجدول السابق أن معاملات الثبات لجميع محاور الاستبيان جاءت مرتفعة، حيث تراوحت قيم معامل كرونباخ ألفا بين (0.81) و(0.88)، بينما بلغ معامل الثبات الكلي للأداة (0.89)، وهي قيمة مرتفعة تشير إلى تمتع أداة الدراسة بدرجة عالية من الثبات والاتساق الداخلي، مما يؤكد صلاحيتها للاستخدام في جمع البيانات وتحليلها لتحقيق أهداف الدراسة</w:t>
      </w:r>
    </w:p>
    <w:p w14:paraId="7A3B772C" w14:textId="3A1D5282" w:rsidR="00A93A06" w:rsidRDefault="00A93A06" w:rsidP="00A93A06">
      <w:pPr>
        <w:numPr>
          <w:ilvl w:val="1"/>
          <w:numId w:val="10"/>
        </w:numPr>
        <w:spacing w:line="360" w:lineRule="auto"/>
        <w:jc w:val="both"/>
        <w:rPr>
          <w:rFonts w:asciiTheme="majorBidi" w:hAnsiTheme="majorBidi" w:cstheme="majorBidi"/>
          <w:sz w:val="28"/>
          <w:szCs w:val="28"/>
        </w:rPr>
      </w:pPr>
      <w:r w:rsidRPr="00A93A06">
        <w:rPr>
          <w:rFonts w:asciiTheme="majorBidi" w:hAnsiTheme="majorBidi" w:cstheme="majorBidi"/>
          <w:sz w:val="28"/>
          <w:szCs w:val="28"/>
          <w:rtl/>
        </w:rPr>
        <w:t>اختبار (ت) للعينات المستقلة لمقارنة متوسطات مجموعتين (الجنس)</w:t>
      </w:r>
      <w:r w:rsidRPr="00A93A06">
        <w:rPr>
          <w:rFonts w:asciiTheme="majorBidi" w:hAnsiTheme="majorBidi" w:cstheme="majorBidi"/>
          <w:sz w:val="28"/>
          <w:szCs w:val="28"/>
        </w:rPr>
        <w:t>.</w:t>
      </w:r>
    </w:p>
    <w:tbl>
      <w:tblPr>
        <w:tblStyle w:val="af3"/>
        <w:tblW w:w="0" w:type="auto"/>
        <w:jc w:val="center"/>
        <w:tblLook w:val="04A0" w:firstRow="1" w:lastRow="0" w:firstColumn="1" w:lastColumn="0" w:noHBand="0" w:noVBand="1"/>
      </w:tblPr>
      <w:tblGrid>
        <w:gridCol w:w="903"/>
        <w:gridCol w:w="696"/>
        <w:gridCol w:w="1087"/>
        <w:gridCol w:w="2125"/>
        <w:gridCol w:w="853"/>
        <w:gridCol w:w="2479"/>
      </w:tblGrid>
      <w:tr w:rsidR="00146B44" w:rsidRPr="00146B44" w14:paraId="3EEFCE98" w14:textId="77777777" w:rsidTr="00146B44">
        <w:trPr>
          <w:jc w:val="center"/>
        </w:trPr>
        <w:tc>
          <w:tcPr>
            <w:tcW w:w="0" w:type="auto"/>
            <w:hideMark/>
          </w:tcPr>
          <w:p w14:paraId="3CA45106" w14:textId="77777777" w:rsidR="00146B44" w:rsidRPr="00146B44" w:rsidRDefault="00146B44" w:rsidP="00146B44">
            <w:pPr>
              <w:bidi w:val="0"/>
              <w:jc w:val="center"/>
              <w:rPr>
                <w:rFonts w:ascii="Times New Roman" w:eastAsia="Times New Roman" w:hAnsi="Times New Roman" w:cs="Times New Roman"/>
                <w:b/>
                <w:bCs/>
                <w:kern w:val="0"/>
                <w:sz w:val="32"/>
                <w:szCs w:val="32"/>
                <w14:ligatures w14:val="none"/>
              </w:rPr>
            </w:pPr>
            <w:r w:rsidRPr="00146B44">
              <w:rPr>
                <w:rFonts w:ascii="Times New Roman" w:eastAsia="Times New Roman" w:hAnsi="Times New Roman" w:cs="Times New Roman"/>
                <w:b/>
                <w:bCs/>
                <w:kern w:val="0"/>
                <w:sz w:val="32"/>
                <w:szCs w:val="32"/>
                <w:rtl/>
                <w14:ligatures w14:val="none"/>
              </w:rPr>
              <w:t>الجنس</w:t>
            </w:r>
          </w:p>
        </w:tc>
        <w:tc>
          <w:tcPr>
            <w:tcW w:w="0" w:type="auto"/>
            <w:hideMark/>
          </w:tcPr>
          <w:p w14:paraId="06C53052" w14:textId="77777777" w:rsidR="00146B44" w:rsidRPr="00146B44" w:rsidRDefault="00146B44" w:rsidP="00146B44">
            <w:pPr>
              <w:bidi w:val="0"/>
              <w:jc w:val="center"/>
              <w:rPr>
                <w:rFonts w:ascii="Times New Roman" w:eastAsia="Times New Roman" w:hAnsi="Times New Roman" w:cs="Times New Roman"/>
                <w:b/>
                <w:bCs/>
                <w:kern w:val="0"/>
                <w:sz w:val="32"/>
                <w:szCs w:val="32"/>
                <w14:ligatures w14:val="none"/>
              </w:rPr>
            </w:pPr>
            <w:r w:rsidRPr="00146B44">
              <w:rPr>
                <w:rFonts w:ascii="Times New Roman" w:eastAsia="Times New Roman" w:hAnsi="Times New Roman" w:cs="Times New Roman"/>
                <w:b/>
                <w:bCs/>
                <w:kern w:val="0"/>
                <w:sz w:val="32"/>
                <w:szCs w:val="32"/>
                <w:rtl/>
                <w14:ligatures w14:val="none"/>
              </w:rPr>
              <w:t>العدد</w:t>
            </w:r>
          </w:p>
        </w:tc>
        <w:tc>
          <w:tcPr>
            <w:tcW w:w="0" w:type="auto"/>
            <w:hideMark/>
          </w:tcPr>
          <w:p w14:paraId="55DB64CC" w14:textId="77777777" w:rsidR="00146B44" w:rsidRPr="00146B44" w:rsidRDefault="00146B44" w:rsidP="00146B44">
            <w:pPr>
              <w:bidi w:val="0"/>
              <w:jc w:val="center"/>
              <w:rPr>
                <w:rFonts w:ascii="Times New Roman" w:eastAsia="Times New Roman" w:hAnsi="Times New Roman" w:cs="Times New Roman"/>
                <w:b/>
                <w:bCs/>
                <w:kern w:val="0"/>
                <w:sz w:val="32"/>
                <w:szCs w:val="32"/>
                <w14:ligatures w14:val="none"/>
              </w:rPr>
            </w:pPr>
            <w:r w:rsidRPr="00146B44">
              <w:rPr>
                <w:rFonts w:ascii="Times New Roman" w:eastAsia="Times New Roman" w:hAnsi="Times New Roman" w:cs="Times New Roman"/>
                <w:b/>
                <w:bCs/>
                <w:kern w:val="0"/>
                <w:sz w:val="32"/>
                <w:szCs w:val="32"/>
                <w:rtl/>
                <w14:ligatures w14:val="none"/>
              </w:rPr>
              <w:t>المتوسط</w:t>
            </w:r>
          </w:p>
        </w:tc>
        <w:tc>
          <w:tcPr>
            <w:tcW w:w="0" w:type="auto"/>
            <w:hideMark/>
          </w:tcPr>
          <w:p w14:paraId="5CB6C9FD" w14:textId="77777777" w:rsidR="00146B44" w:rsidRPr="00146B44" w:rsidRDefault="00146B44" w:rsidP="00146B44">
            <w:pPr>
              <w:bidi w:val="0"/>
              <w:jc w:val="center"/>
              <w:rPr>
                <w:rFonts w:ascii="Times New Roman" w:eastAsia="Times New Roman" w:hAnsi="Times New Roman" w:cs="Times New Roman"/>
                <w:b/>
                <w:bCs/>
                <w:kern w:val="0"/>
                <w:sz w:val="32"/>
                <w:szCs w:val="32"/>
                <w14:ligatures w14:val="none"/>
              </w:rPr>
            </w:pPr>
            <w:r w:rsidRPr="00146B44">
              <w:rPr>
                <w:rFonts w:ascii="Times New Roman" w:eastAsia="Times New Roman" w:hAnsi="Times New Roman" w:cs="Times New Roman"/>
                <w:b/>
                <w:bCs/>
                <w:kern w:val="0"/>
                <w:sz w:val="32"/>
                <w:szCs w:val="32"/>
                <w:rtl/>
                <w14:ligatures w14:val="none"/>
              </w:rPr>
              <w:t>الانحراف المعياري</w:t>
            </w:r>
          </w:p>
        </w:tc>
        <w:tc>
          <w:tcPr>
            <w:tcW w:w="0" w:type="auto"/>
            <w:hideMark/>
          </w:tcPr>
          <w:p w14:paraId="6B6FCD9E" w14:textId="77777777" w:rsidR="00146B44" w:rsidRPr="00146B44" w:rsidRDefault="00146B44" w:rsidP="00146B44">
            <w:pPr>
              <w:bidi w:val="0"/>
              <w:jc w:val="center"/>
              <w:rPr>
                <w:rFonts w:ascii="Times New Roman" w:eastAsia="Times New Roman" w:hAnsi="Times New Roman" w:cs="Times New Roman"/>
                <w:b/>
                <w:bCs/>
                <w:kern w:val="0"/>
                <w:sz w:val="32"/>
                <w:szCs w:val="32"/>
                <w14:ligatures w14:val="none"/>
              </w:rPr>
            </w:pPr>
            <w:r w:rsidRPr="00146B44">
              <w:rPr>
                <w:rFonts w:ascii="Times New Roman" w:eastAsia="Times New Roman" w:hAnsi="Times New Roman" w:cs="Times New Roman"/>
                <w:b/>
                <w:bCs/>
                <w:kern w:val="0"/>
                <w:sz w:val="32"/>
                <w:szCs w:val="32"/>
                <w:rtl/>
                <w14:ligatures w14:val="none"/>
              </w:rPr>
              <w:t>قيمة</w:t>
            </w:r>
            <w:r w:rsidRPr="00146B44">
              <w:rPr>
                <w:rFonts w:ascii="Times New Roman" w:eastAsia="Times New Roman" w:hAnsi="Times New Roman" w:cs="Times New Roman"/>
                <w:b/>
                <w:bCs/>
                <w:kern w:val="0"/>
                <w:sz w:val="32"/>
                <w:szCs w:val="32"/>
                <w14:ligatures w14:val="none"/>
              </w:rPr>
              <w:t xml:space="preserve"> t</w:t>
            </w:r>
          </w:p>
        </w:tc>
        <w:tc>
          <w:tcPr>
            <w:tcW w:w="0" w:type="auto"/>
            <w:hideMark/>
          </w:tcPr>
          <w:p w14:paraId="3B301704" w14:textId="77777777" w:rsidR="00146B44" w:rsidRPr="00146B44" w:rsidRDefault="00146B44" w:rsidP="00146B44">
            <w:pPr>
              <w:bidi w:val="0"/>
              <w:jc w:val="center"/>
              <w:rPr>
                <w:rFonts w:ascii="Times New Roman" w:eastAsia="Times New Roman" w:hAnsi="Times New Roman" w:cs="Times New Roman"/>
                <w:b/>
                <w:bCs/>
                <w:kern w:val="0"/>
                <w:sz w:val="32"/>
                <w:szCs w:val="32"/>
                <w14:ligatures w14:val="none"/>
              </w:rPr>
            </w:pPr>
            <w:r w:rsidRPr="00146B44">
              <w:rPr>
                <w:rFonts w:ascii="Times New Roman" w:eastAsia="Times New Roman" w:hAnsi="Times New Roman" w:cs="Times New Roman"/>
                <w:b/>
                <w:bCs/>
                <w:kern w:val="0"/>
                <w:sz w:val="32"/>
                <w:szCs w:val="32"/>
                <w:rtl/>
                <w14:ligatures w14:val="none"/>
              </w:rPr>
              <w:t>مستوى الدلالة</w:t>
            </w:r>
            <w:r w:rsidRPr="00146B44">
              <w:rPr>
                <w:rFonts w:ascii="Times New Roman" w:eastAsia="Times New Roman" w:hAnsi="Times New Roman" w:cs="Times New Roman"/>
                <w:b/>
                <w:bCs/>
                <w:kern w:val="0"/>
                <w:sz w:val="32"/>
                <w:szCs w:val="32"/>
                <w14:ligatures w14:val="none"/>
              </w:rPr>
              <w:t xml:space="preserve"> (Sig.)</w:t>
            </w:r>
          </w:p>
        </w:tc>
      </w:tr>
      <w:tr w:rsidR="00146B44" w:rsidRPr="00146B44" w14:paraId="5C766A8C" w14:textId="77777777" w:rsidTr="00146B44">
        <w:trPr>
          <w:jc w:val="center"/>
        </w:trPr>
        <w:tc>
          <w:tcPr>
            <w:tcW w:w="0" w:type="auto"/>
            <w:hideMark/>
          </w:tcPr>
          <w:p w14:paraId="10D56467" w14:textId="77777777" w:rsidR="00146B44" w:rsidRPr="00146B44" w:rsidRDefault="00146B44" w:rsidP="00146B44">
            <w:pPr>
              <w:bidi w:val="0"/>
              <w:rPr>
                <w:rFonts w:ascii="Times New Roman" w:eastAsia="Times New Roman" w:hAnsi="Times New Roman" w:cs="Times New Roman"/>
                <w:kern w:val="0"/>
                <w:sz w:val="32"/>
                <w:szCs w:val="32"/>
                <w14:ligatures w14:val="none"/>
              </w:rPr>
            </w:pPr>
            <w:r w:rsidRPr="00146B44">
              <w:rPr>
                <w:rFonts w:ascii="Times New Roman" w:eastAsia="Times New Roman" w:hAnsi="Times New Roman" w:cs="Times New Roman"/>
                <w:kern w:val="0"/>
                <w:sz w:val="32"/>
                <w:szCs w:val="32"/>
                <w:rtl/>
                <w14:ligatures w14:val="none"/>
              </w:rPr>
              <w:t>ذكور</w:t>
            </w:r>
          </w:p>
        </w:tc>
        <w:tc>
          <w:tcPr>
            <w:tcW w:w="0" w:type="auto"/>
            <w:hideMark/>
          </w:tcPr>
          <w:p w14:paraId="65798C52" w14:textId="77777777" w:rsidR="00146B44" w:rsidRPr="00146B44" w:rsidRDefault="00146B44" w:rsidP="00146B44">
            <w:pPr>
              <w:bidi w:val="0"/>
              <w:rPr>
                <w:rFonts w:ascii="Times New Roman" w:eastAsia="Times New Roman" w:hAnsi="Times New Roman" w:cs="Times New Roman"/>
                <w:kern w:val="0"/>
                <w:sz w:val="32"/>
                <w:szCs w:val="32"/>
                <w14:ligatures w14:val="none"/>
              </w:rPr>
            </w:pPr>
            <w:r w:rsidRPr="00146B44">
              <w:rPr>
                <w:rFonts w:ascii="Times New Roman" w:eastAsia="Times New Roman" w:hAnsi="Times New Roman" w:cs="Times New Roman"/>
                <w:kern w:val="0"/>
                <w:sz w:val="32"/>
                <w:szCs w:val="32"/>
                <w14:ligatures w14:val="none"/>
              </w:rPr>
              <w:t>182</w:t>
            </w:r>
          </w:p>
        </w:tc>
        <w:tc>
          <w:tcPr>
            <w:tcW w:w="0" w:type="auto"/>
            <w:hideMark/>
          </w:tcPr>
          <w:p w14:paraId="03091BE1" w14:textId="77777777" w:rsidR="00146B44" w:rsidRPr="00146B44" w:rsidRDefault="00146B44" w:rsidP="00146B44">
            <w:pPr>
              <w:bidi w:val="0"/>
              <w:rPr>
                <w:rFonts w:ascii="Times New Roman" w:eastAsia="Times New Roman" w:hAnsi="Times New Roman" w:cs="Times New Roman"/>
                <w:kern w:val="0"/>
                <w:sz w:val="32"/>
                <w:szCs w:val="32"/>
                <w14:ligatures w14:val="none"/>
              </w:rPr>
            </w:pPr>
            <w:r w:rsidRPr="00146B44">
              <w:rPr>
                <w:rFonts w:ascii="Times New Roman" w:eastAsia="Times New Roman" w:hAnsi="Times New Roman" w:cs="Times New Roman"/>
                <w:kern w:val="0"/>
                <w:sz w:val="32"/>
                <w:szCs w:val="32"/>
                <w14:ligatures w14:val="none"/>
              </w:rPr>
              <w:t>3.79</w:t>
            </w:r>
          </w:p>
        </w:tc>
        <w:tc>
          <w:tcPr>
            <w:tcW w:w="0" w:type="auto"/>
            <w:hideMark/>
          </w:tcPr>
          <w:p w14:paraId="0F7F4468" w14:textId="77777777" w:rsidR="00146B44" w:rsidRPr="00146B44" w:rsidRDefault="00146B44" w:rsidP="00146B44">
            <w:pPr>
              <w:bidi w:val="0"/>
              <w:rPr>
                <w:rFonts w:ascii="Times New Roman" w:eastAsia="Times New Roman" w:hAnsi="Times New Roman" w:cs="Times New Roman"/>
                <w:kern w:val="0"/>
                <w:sz w:val="32"/>
                <w:szCs w:val="32"/>
                <w14:ligatures w14:val="none"/>
              </w:rPr>
            </w:pPr>
            <w:r w:rsidRPr="00146B44">
              <w:rPr>
                <w:rFonts w:ascii="Times New Roman" w:eastAsia="Times New Roman" w:hAnsi="Times New Roman" w:cs="Times New Roman"/>
                <w:kern w:val="0"/>
                <w:sz w:val="32"/>
                <w:szCs w:val="32"/>
                <w14:ligatures w14:val="none"/>
              </w:rPr>
              <w:t>0.58</w:t>
            </w:r>
          </w:p>
        </w:tc>
        <w:tc>
          <w:tcPr>
            <w:tcW w:w="0" w:type="auto"/>
            <w:hideMark/>
          </w:tcPr>
          <w:p w14:paraId="20701012" w14:textId="77777777" w:rsidR="00146B44" w:rsidRPr="00146B44" w:rsidRDefault="00146B44" w:rsidP="00146B44">
            <w:pPr>
              <w:bidi w:val="0"/>
              <w:rPr>
                <w:rFonts w:ascii="Times New Roman" w:eastAsia="Times New Roman" w:hAnsi="Times New Roman" w:cs="Times New Roman"/>
                <w:kern w:val="0"/>
                <w:sz w:val="32"/>
                <w:szCs w:val="32"/>
                <w14:ligatures w14:val="none"/>
              </w:rPr>
            </w:pPr>
          </w:p>
        </w:tc>
        <w:tc>
          <w:tcPr>
            <w:tcW w:w="0" w:type="auto"/>
            <w:hideMark/>
          </w:tcPr>
          <w:p w14:paraId="06253532" w14:textId="77777777" w:rsidR="00146B44" w:rsidRPr="00146B44" w:rsidRDefault="00146B44" w:rsidP="00146B44">
            <w:pPr>
              <w:bidi w:val="0"/>
              <w:rPr>
                <w:rFonts w:ascii="Times New Roman" w:eastAsia="Times New Roman" w:hAnsi="Times New Roman" w:cs="Times New Roman"/>
                <w:kern w:val="0"/>
                <w:sz w:val="32"/>
                <w:szCs w:val="32"/>
                <w14:ligatures w14:val="none"/>
              </w:rPr>
            </w:pPr>
          </w:p>
        </w:tc>
      </w:tr>
      <w:tr w:rsidR="00146B44" w:rsidRPr="00146B44" w14:paraId="56B48700" w14:textId="77777777" w:rsidTr="00146B44">
        <w:trPr>
          <w:jc w:val="center"/>
        </w:trPr>
        <w:tc>
          <w:tcPr>
            <w:tcW w:w="0" w:type="auto"/>
            <w:hideMark/>
          </w:tcPr>
          <w:p w14:paraId="45E25D38" w14:textId="77777777" w:rsidR="00146B44" w:rsidRPr="00146B44" w:rsidRDefault="00146B44" w:rsidP="00146B44">
            <w:pPr>
              <w:bidi w:val="0"/>
              <w:rPr>
                <w:rFonts w:ascii="Times New Roman" w:eastAsia="Times New Roman" w:hAnsi="Times New Roman" w:cs="Times New Roman"/>
                <w:kern w:val="0"/>
                <w:sz w:val="32"/>
                <w:szCs w:val="32"/>
                <w14:ligatures w14:val="none"/>
              </w:rPr>
            </w:pPr>
            <w:r w:rsidRPr="00146B44">
              <w:rPr>
                <w:rFonts w:ascii="Times New Roman" w:eastAsia="Times New Roman" w:hAnsi="Times New Roman" w:cs="Times New Roman"/>
                <w:kern w:val="0"/>
                <w:sz w:val="32"/>
                <w:szCs w:val="32"/>
                <w:rtl/>
                <w14:ligatures w14:val="none"/>
              </w:rPr>
              <w:t>إناث</w:t>
            </w:r>
          </w:p>
        </w:tc>
        <w:tc>
          <w:tcPr>
            <w:tcW w:w="0" w:type="auto"/>
            <w:hideMark/>
          </w:tcPr>
          <w:p w14:paraId="181EF773" w14:textId="77777777" w:rsidR="00146B44" w:rsidRPr="00146B44" w:rsidRDefault="00146B44" w:rsidP="00146B44">
            <w:pPr>
              <w:bidi w:val="0"/>
              <w:rPr>
                <w:rFonts w:ascii="Times New Roman" w:eastAsia="Times New Roman" w:hAnsi="Times New Roman" w:cs="Times New Roman"/>
                <w:kern w:val="0"/>
                <w:sz w:val="32"/>
                <w:szCs w:val="32"/>
                <w14:ligatures w14:val="none"/>
              </w:rPr>
            </w:pPr>
            <w:r w:rsidRPr="00146B44">
              <w:rPr>
                <w:rFonts w:ascii="Times New Roman" w:eastAsia="Times New Roman" w:hAnsi="Times New Roman" w:cs="Times New Roman"/>
                <w:kern w:val="0"/>
                <w:sz w:val="32"/>
                <w:szCs w:val="32"/>
                <w14:ligatures w14:val="none"/>
              </w:rPr>
              <w:t>218</w:t>
            </w:r>
          </w:p>
        </w:tc>
        <w:tc>
          <w:tcPr>
            <w:tcW w:w="0" w:type="auto"/>
            <w:hideMark/>
          </w:tcPr>
          <w:p w14:paraId="7707C2E7" w14:textId="77777777" w:rsidR="00146B44" w:rsidRPr="00146B44" w:rsidRDefault="00146B44" w:rsidP="00146B44">
            <w:pPr>
              <w:bidi w:val="0"/>
              <w:rPr>
                <w:rFonts w:ascii="Times New Roman" w:eastAsia="Times New Roman" w:hAnsi="Times New Roman" w:cs="Times New Roman"/>
                <w:kern w:val="0"/>
                <w:sz w:val="32"/>
                <w:szCs w:val="32"/>
                <w14:ligatures w14:val="none"/>
              </w:rPr>
            </w:pPr>
            <w:r w:rsidRPr="00146B44">
              <w:rPr>
                <w:rFonts w:ascii="Times New Roman" w:eastAsia="Times New Roman" w:hAnsi="Times New Roman" w:cs="Times New Roman"/>
                <w:kern w:val="0"/>
                <w:sz w:val="32"/>
                <w:szCs w:val="32"/>
                <w14:ligatures w14:val="none"/>
              </w:rPr>
              <w:t>3.94</w:t>
            </w:r>
          </w:p>
        </w:tc>
        <w:tc>
          <w:tcPr>
            <w:tcW w:w="0" w:type="auto"/>
            <w:hideMark/>
          </w:tcPr>
          <w:p w14:paraId="7FCD06BC" w14:textId="77777777" w:rsidR="00146B44" w:rsidRPr="00146B44" w:rsidRDefault="00146B44" w:rsidP="00146B44">
            <w:pPr>
              <w:bidi w:val="0"/>
              <w:rPr>
                <w:rFonts w:ascii="Times New Roman" w:eastAsia="Times New Roman" w:hAnsi="Times New Roman" w:cs="Times New Roman"/>
                <w:kern w:val="0"/>
                <w:sz w:val="32"/>
                <w:szCs w:val="32"/>
                <w14:ligatures w14:val="none"/>
              </w:rPr>
            </w:pPr>
            <w:r w:rsidRPr="00146B44">
              <w:rPr>
                <w:rFonts w:ascii="Times New Roman" w:eastAsia="Times New Roman" w:hAnsi="Times New Roman" w:cs="Times New Roman"/>
                <w:kern w:val="0"/>
                <w:sz w:val="32"/>
                <w:szCs w:val="32"/>
                <w14:ligatures w14:val="none"/>
              </w:rPr>
              <w:t>0.55</w:t>
            </w:r>
          </w:p>
        </w:tc>
        <w:tc>
          <w:tcPr>
            <w:tcW w:w="0" w:type="auto"/>
            <w:hideMark/>
          </w:tcPr>
          <w:p w14:paraId="77884D02" w14:textId="77777777" w:rsidR="00146B44" w:rsidRPr="00146B44" w:rsidRDefault="00146B44" w:rsidP="00146B44">
            <w:pPr>
              <w:bidi w:val="0"/>
              <w:rPr>
                <w:rFonts w:ascii="Times New Roman" w:eastAsia="Times New Roman" w:hAnsi="Times New Roman" w:cs="Times New Roman"/>
                <w:kern w:val="0"/>
                <w:sz w:val="32"/>
                <w:szCs w:val="32"/>
                <w14:ligatures w14:val="none"/>
              </w:rPr>
            </w:pPr>
            <w:r w:rsidRPr="00146B44">
              <w:rPr>
                <w:rFonts w:ascii="Times New Roman" w:eastAsia="Times New Roman" w:hAnsi="Times New Roman" w:cs="Times New Roman"/>
                <w:kern w:val="0"/>
                <w:sz w:val="32"/>
                <w:szCs w:val="32"/>
                <w14:ligatures w14:val="none"/>
              </w:rPr>
              <w:t>2.61</w:t>
            </w:r>
          </w:p>
        </w:tc>
        <w:tc>
          <w:tcPr>
            <w:tcW w:w="0" w:type="auto"/>
            <w:hideMark/>
          </w:tcPr>
          <w:p w14:paraId="42FF4987" w14:textId="77777777" w:rsidR="00146B44" w:rsidRPr="00146B44" w:rsidRDefault="00146B44" w:rsidP="00146B44">
            <w:pPr>
              <w:bidi w:val="0"/>
              <w:rPr>
                <w:rFonts w:ascii="Times New Roman" w:eastAsia="Times New Roman" w:hAnsi="Times New Roman" w:cs="Times New Roman"/>
                <w:kern w:val="0"/>
                <w:sz w:val="32"/>
                <w:szCs w:val="32"/>
                <w14:ligatures w14:val="none"/>
              </w:rPr>
            </w:pPr>
            <w:r w:rsidRPr="00146B44">
              <w:rPr>
                <w:rFonts w:ascii="Times New Roman" w:eastAsia="Times New Roman" w:hAnsi="Times New Roman" w:cs="Times New Roman"/>
                <w:kern w:val="0"/>
                <w:sz w:val="32"/>
                <w:szCs w:val="32"/>
                <w14:ligatures w14:val="none"/>
              </w:rPr>
              <w:t>0.009*</w:t>
            </w:r>
          </w:p>
        </w:tc>
      </w:tr>
    </w:tbl>
    <w:p w14:paraId="0868FC82" w14:textId="77777777" w:rsidR="00A93A06" w:rsidRDefault="00A93A06" w:rsidP="00A93A06">
      <w:pPr>
        <w:spacing w:line="360" w:lineRule="auto"/>
        <w:jc w:val="both"/>
        <w:rPr>
          <w:rFonts w:asciiTheme="majorBidi" w:hAnsiTheme="majorBidi" w:cstheme="majorBidi"/>
          <w:sz w:val="28"/>
          <w:szCs w:val="28"/>
          <w:rtl/>
        </w:rPr>
      </w:pPr>
    </w:p>
    <w:p w14:paraId="75548180" w14:textId="77777777" w:rsidR="00F23C74" w:rsidRPr="00F23C74" w:rsidRDefault="00F23C74" w:rsidP="00F23C74">
      <w:pPr>
        <w:spacing w:line="360" w:lineRule="auto"/>
        <w:jc w:val="both"/>
        <w:rPr>
          <w:rFonts w:asciiTheme="majorBidi" w:hAnsiTheme="majorBidi" w:cstheme="majorBidi"/>
          <w:sz w:val="28"/>
          <w:szCs w:val="28"/>
        </w:rPr>
      </w:pPr>
      <w:r w:rsidRPr="00F23C74">
        <w:rPr>
          <w:rFonts w:asciiTheme="majorBidi" w:hAnsiTheme="majorBidi" w:cstheme="majorBidi"/>
          <w:sz w:val="28"/>
          <w:szCs w:val="28"/>
          <w:rtl/>
        </w:rPr>
        <w:t>يتضح من نتائج اختبار (ت) للعينات المستقلة وجود فروق ذات دلالة إحصائية في مستوى الوعي الصحي الرقمي بين أفراد العينة تبعًا لمتغير الجنس، حيث بلغت قيمة اختبار</w:t>
      </w:r>
      <w:r w:rsidRPr="00F23C74">
        <w:rPr>
          <w:rFonts w:asciiTheme="majorBidi" w:hAnsiTheme="majorBidi" w:cstheme="majorBidi"/>
          <w:sz w:val="28"/>
          <w:szCs w:val="28"/>
        </w:rPr>
        <w:t xml:space="preserve"> (t) (2.61) </w:t>
      </w:r>
      <w:r w:rsidRPr="00F23C74">
        <w:rPr>
          <w:rFonts w:asciiTheme="majorBidi" w:hAnsiTheme="majorBidi" w:cstheme="majorBidi"/>
          <w:sz w:val="28"/>
          <w:szCs w:val="28"/>
          <w:rtl/>
        </w:rPr>
        <w:t xml:space="preserve">عند مستوى دلالة </w:t>
      </w:r>
      <w:r w:rsidRPr="00F23C74">
        <w:rPr>
          <w:rFonts w:asciiTheme="majorBidi" w:hAnsiTheme="majorBidi" w:cstheme="majorBidi"/>
          <w:sz w:val="28"/>
          <w:szCs w:val="28"/>
        </w:rPr>
        <w:t>(0.009)</w:t>
      </w:r>
      <w:r w:rsidRPr="00F23C74">
        <w:rPr>
          <w:rFonts w:asciiTheme="majorBidi" w:hAnsiTheme="majorBidi" w:cstheme="majorBidi"/>
          <w:sz w:val="28"/>
          <w:szCs w:val="28"/>
          <w:rtl/>
        </w:rPr>
        <w:t xml:space="preserve">، وهي قيمة أقل من مستوى الدلالة المعتمد </w:t>
      </w:r>
      <w:r w:rsidRPr="00F23C74">
        <w:rPr>
          <w:rFonts w:asciiTheme="majorBidi" w:hAnsiTheme="majorBidi" w:cstheme="majorBidi"/>
          <w:sz w:val="28"/>
          <w:szCs w:val="28"/>
        </w:rPr>
        <w:t>(0.05)</w:t>
      </w:r>
      <w:r w:rsidRPr="00F23C74">
        <w:rPr>
          <w:rFonts w:asciiTheme="majorBidi" w:hAnsiTheme="majorBidi" w:cstheme="majorBidi"/>
          <w:sz w:val="28"/>
          <w:szCs w:val="28"/>
          <w:rtl/>
        </w:rPr>
        <w:t>، مما يشير إلى رفض الفرض الصفري وقبول الفرض البديل القائل بوجود فروق ذات دلالة إحصائية بين الذكور والإناث</w:t>
      </w:r>
      <w:r w:rsidRPr="00F23C74">
        <w:rPr>
          <w:rFonts w:asciiTheme="majorBidi" w:hAnsiTheme="majorBidi" w:cstheme="majorBidi"/>
          <w:sz w:val="28"/>
          <w:szCs w:val="28"/>
        </w:rPr>
        <w:t>.</w:t>
      </w:r>
    </w:p>
    <w:p w14:paraId="45F8F260" w14:textId="77777777" w:rsidR="00F23C74" w:rsidRPr="00F23C74" w:rsidRDefault="00F23C74" w:rsidP="00F23C74">
      <w:pPr>
        <w:spacing w:line="360" w:lineRule="auto"/>
        <w:jc w:val="both"/>
        <w:rPr>
          <w:rFonts w:asciiTheme="majorBidi" w:hAnsiTheme="majorBidi" w:cstheme="majorBidi"/>
          <w:sz w:val="28"/>
          <w:szCs w:val="28"/>
        </w:rPr>
      </w:pPr>
      <w:r w:rsidRPr="00F23C74">
        <w:rPr>
          <w:rFonts w:asciiTheme="majorBidi" w:hAnsiTheme="majorBidi" w:cstheme="majorBidi"/>
          <w:sz w:val="28"/>
          <w:szCs w:val="28"/>
          <w:rtl/>
        </w:rPr>
        <w:lastRenderedPageBreak/>
        <w:t xml:space="preserve">كما أظهرت النتائج أن متوسط استجابات الإناث بلغ </w:t>
      </w:r>
      <w:r w:rsidRPr="00F23C74">
        <w:rPr>
          <w:rFonts w:asciiTheme="majorBidi" w:hAnsiTheme="majorBidi" w:cstheme="majorBidi"/>
          <w:sz w:val="28"/>
          <w:szCs w:val="28"/>
        </w:rPr>
        <w:t xml:space="preserve">(3.94) </w:t>
      </w:r>
      <w:r w:rsidRPr="00F23C74">
        <w:rPr>
          <w:rFonts w:asciiTheme="majorBidi" w:hAnsiTheme="majorBidi" w:cstheme="majorBidi"/>
          <w:sz w:val="28"/>
          <w:szCs w:val="28"/>
          <w:rtl/>
        </w:rPr>
        <w:t xml:space="preserve">بانحراف معياري </w:t>
      </w:r>
      <w:r w:rsidRPr="00F23C74">
        <w:rPr>
          <w:rFonts w:asciiTheme="majorBidi" w:hAnsiTheme="majorBidi" w:cstheme="majorBidi"/>
          <w:sz w:val="28"/>
          <w:szCs w:val="28"/>
        </w:rPr>
        <w:t>(0.55)</w:t>
      </w:r>
      <w:r w:rsidRPr="00F23C74">
        <w:rPr>
          <w:rFonts w:asciiTheme="majorBidi" w:hAnsiTheme="majorBidi" w:cstheme="majorBidi"/>
          <w:sz w:val="28"/>
          <w:szCs w:val="28"/>
          <w:rtl/>
        </w:rPr>
        <w:t xml:space="preserve">، في حين بلغ متوسط استجابات الذكور </w:t>
      </w:r>
      <w:r w:rsidRPr="00F23C74">
        <w:rPr>
          <w:rFonts w:asciiTheme="majorBidi" w:hAnsiTheme="majorBidi" w:cstheme="majorBidi"/>
          <w:sz w:val="28"/>
          <w:szCs w:val="28"/>
        </w:rPr>
        <w:t xml:space="preserve">(3.79) </w:t>
      </w:r>
      <w:r w:rsidRPr="00F23C74">
        <w:rPr>
          <w:rFonts w:asciiTheme="majorBidi" w:hAnsiTheme="majorBidi" w:cstheme="majorBidi"/>
          <w:sz w:val="28"/>
          <w:szCs w:val="28"/>
          <w:rtl/>
        </w:rPr>
        <w:t xml:space="preserve">بانحراف معياري </w:t>
      </w:r>
      <w:r w:rsidRPr="00F23C74">
        <w:rPr>
          <w:rFonts w:asciiTheme="majorBidi" w:hAnsiTheme="majorBidi" w:cstheme="majorBidi"/>
          <w:sz w:val="28"/>
          <w:szCs w:val="28"/>
        </w:rPr>
        <w:t>(0.58)</w:t>
      </w:r>
      <w:r w:rsidRPr="00F23C74">
        <w:rPr>
          <w:rFonts w:asciiTheme="majorBidi" w:hAnsiTheme="majorBidi" w:cstheme="majorBidi"/>
          <w:sz w:val="28"/>
          <w:szCs w:val="28"/>
          <w:rtl/>
        </w:rPr>
        <w:t>، وهو ما يعكس ارتفاع مستوى الوعي الصحي الرقمي لدى الإناث مقارنة بالذكور. ويمكن تفسير هذه النتيجة بارتفاع اهتمام الإناث بمتابعة المحتوى الصحي والوقائي عبر المنصات الرقمية، إلى جانب حرصهن على البحث عن المعلومات المتعلقة بالصحة العامة والرعاية الصحية، الأمر الذي قد يسهم في تعزيز مستوى الوعي لديهن</w:t>
      </w:r>
      <w:r w:rsidRPr="00F23C74">
        <w:rPr>
          <w:rFonts w:asciiTheme="majorBidi" w:hAnsiTheme="majorBidi" w:cstheme="majorBidi"/>
          <w:sz w:val="28"/>
          <w:szCs w:val="28"/>
        </w:rPr>
        <w:t>.</w:t>
      </w:r>
    </w:p>
    <w:p w14:paraId="2173CC46" w14:textId="29768175" w:rsidR="00F23C74" w:rsidRPr="00F23C74" w:rsidRDefault="00F23C74" w:rsidP="00F23C74">
      <w:pPr>
        <w:spacing w:line="360" w:lineRule="auto"/>
        <w:jc w:val="both"/>
        <w:rPr>
          <w:rFonts w:asciiTheme="majorBidi" w:hAnsiTheme="majorBidi" w:cstheme="majorBidi"/>
          <w:sz w:val="28"/>
          <w:szCs w:val="28"/>
        </w:rPr>
      </w:pPr>
      <w:r w:rsidRPr="00F23C74">
        <w:rPr>
          <w:rFonts w:asciiTheme="majorBidi" w:hAnsiTheme="majorBidi" w:cstheme="majorBidi"/>
          <w:sz w:val="28"/>
          <w:szCs w:val="28"/>
          <w:rtl/>
        </w:rPr>
        <w:t>وتشير هذه النتيجة إلى أن الجنس يعد من المتغيرات المؤثرة في مستوى الوعي الصحي الرقمي لدى أفراد العينة، وهو ما يستدعي مراعاة الفروق بين الجنسين عند تصميم البرامج والحملات التوعوية عبر المنصات الرقمية</w:t>
      </w:r>
      <w:r w:rsidRPr="00F23C74">
        <w:rPr>
          <w:rFonts w:asciiTheme="majorBidi" w:hAnsiTheme="majorBidi" w:cstheme="majorBidi"/>
          <w:sz w:val="28"/>
          <w:szCs w:val="28"/>
        </w:rPr>
        <w:t>.</w:t>
      </w:r>
    </w:p>
    <w:p w14:paraId="5657CF4A" w14:textId="77777777" w:rsidR="00A93A06" w:rsidRDefault="00A93A06" w:rsidP="00A93A06">
      <w:pPr>
        <w:numPr>
          <w:ilvl w:val="1"/>
          <w:numId w:val="10"/>
        </w:numPr>
        <w:spacing w:line="360" w:lineRule="auto"/>
        <w:jc w:val="both"/>
        <w:rPr>
          <w:rFonts w:asciiTheme="majorBidi" w:hAnsiTheme="majorBidi" w:cstheme="majorBidi"/>
          <w:sz w:val="28"/>
          <w:szCs w:val="28"/>
        </w:rPr>
      </w:pPr>
      <w:r w:rsidRPr="00A93A06">
        <w:rPr>
          <w:rFonts w:asciiTheme="majorBidi" w:hAnsiTheme="majorBidi" w:cstheme="majorBidi"/>
          <w:sz w:val="28"/>
          <w:szCs w:val="28"/>
          <w:rtl/>
        </w:rPr>
        <w:t>تحليل التباين الأحادي</w:t>
      </w:r>
      <w:r w:rsidRPr="00A93A06">
        <w:rPr>
          <w:rFonts w:asciiTheme="majorBidi" w:hAnsiTheme="majorBidi" w:cstheme="majorBidi"/>
          <w:sz w:val="28"/>
          <w:szCs w:val="28"/>
        </w:rPr>
        <w:t xml:space="preserve"> (ANOVA) </w:t>
      </w:r>
      <w:r w:rsidRPr="00A93A06">
        <w:rPr>
          <w:rFonts w:asciiTheme="majorBidi" w:hAnsiTheme="majorBidi" w:cstheme="majorBidi"/>
          <w:sz w:val="28"/>
          <w:szCs w:val="28"/>
          <w:rtl/>
        </w:rPr>
        <w:t>لمقارنة أكثر من مجموعتين (مثل الفئات العمرية أو المستويات التعليمية)</w:t>
      </w:r>
      <w:r w:rsidRPr="00A93A06">
        <w:rPr>
          <w:rFonts w:asciiTheme="majorBidi" w:hAnsiTheme="majorBidi" w:cstheme="majorBidi"/>
          <w:sz w:val="28"/>
          <w:szCs w:val="28"/>
        </w:rPr>
        <w:t>.</w:t>
      </w:r>
    </w:p>
    <w:tbl>
      <w:tblPr>
        <w:tblStyle w:val="12"/>
        <w:tblW w:w="0" w:type="auto"/>
        <w:tblLook w:val="04A0" w:firstRow="1" w:lastRow="0" w:firstColumn="1" w:lastColumn="0" w:noHBand="0" w:noVBand="1"/>
      </w:tblPr>
      <w:tblGrid>
        <w:gridCol w:w="2670"/>
        <w:gridCol w:w="1716"/>
        <w:gridCol w:w="2058"/>
        <w:gridCol w:w="2906"/>
      </w:tblGrid>
      <w:tr w:rsidR="004F63C9" w:rsidRPr="004F63C9" w14:paraId="49A777DC" w14:textId="77777777" w:rsidTr="000B7D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8AE415" w14:textId="77777777" w:rsidR="004F63C9" w:rsidRPr="004F63C9" w:rsidRDefault="004F63C9" w:rsidP="004F63C9">
            <w:pPr>
              <w:spacing w:after="160" w:line="360" w:lineRule="auto"/>
              <w:ind w:left="1080"/>
              <w:jc w:val="both"/>
              <w:rPr>
                <w:rFonts w:asciiTheme="majorBidi" w:hAnsiTheme="majorBidi" w:cstheme="majorBidi"/>
                <w:sz w:val="28"/>
                <w:szCs w:val="28"/>
              </w:rPr>
            </w:pPr>
            <w:r w:rsidRPr="004F63C9">
              <w:rPr>
                <w:rFonts w:asciiTheme="majorBidi" w:hAnsiTheme="majorBidi" w:cstheme="majorBidi"/>
                <w:sz w:val="28"/>
                <w:szCs w:val="28"/>
                <w:rtl/>
              </w:rPr>
              <w:t>الفئة العمرية</w:t>
            </w:r>
          </w:p>
        </w:tc>
        <w:tc>
          <w:tcPr>
            <w:tcW w:w="0" w:type="auto"/>
            <w:hideMark/>
          </w:tcPr>
          <w:p w14:paraId="3F5CF509" w14:textId="77777777" w:rsidR="004F63C9" w:rsidRPr="004F63C9" w:rsidRDefault="004F63C9" w:rsidP="004F63C9">
            <w:pPr>
              <w:spacing w:after="160" w:line="360" w:lineRule="auto"/>
              <w:ind w:left="108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4F63C9">
              <w:rPr>
                <w:rFonts w:asciiTheme="majorBidi" w:hAnsiTheme="majorBidi" w:cstheme="majorBidi"/>
                <w:sz w:val="28"/>
                <w:szCs w:val="28"/>
                <w:rtl/>
              </w:rPr>
              <w:t>العدد</w:t>
            </w:r>
          </w:p>
        </w:tc>
        <w:tc>
          <w:tcPr>
            <w:tcW w:w="0" w:type="auto"/>
            <w:hideMark/>
          </w:tcPr>
          <w:p w14:paraId="6C313A53" w14:textId="77777777" w:rsidR="004F63C9" w:rsidRPr="004F63C9" w:rsidRDefault="004F63C9" w:rsidP="004F63C9">
            <w:pPr>
              <w:spacing w:after="160" w:line="360" w:lineRule="auto"/>
              <w:ind w:left="108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4F63C9">
              <w:rPr>
                <w:rFonts w:asciiTheme="majorBidi" w:hAnsiTheme="majorBidi" w:cstheme="majorBidi"/>
                <w:sz w:val="28"/>
                <w:szCs w:val="28"/>
                <w:rtl/>
              </w:rPr>
              <w:t>المتوسط</w:t>
            </w:r>
          </w:p>
        </w:tc>
        <w:tc>
          <w:tcPr>
            <w:tcW w:w="0" w:type="auto"/>
            <w:hideMark/>
          </w:tcPr>
          <w:p w14:paraId="37977D1C" w14:textId="77777777" w:rsidR="004F63C9" w:rsidRPr="004F63C9" w:rsidRDefault="004F63C9" w:rsidP="004F63C9">
            <w:pPr>
              <w:spacing w:after="160" w:line="360" w:lineRule="auto"/>
              <w:ind w:left="108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4F63C9">
              <w:rPr>
                <w:rFonts w:asciiTheme="majorBidi" w:hAnsiTheme="majorBidi" w:cstheme="majorBidi"/>
                <w:sz w:val="28"/>
                <w:szCs w:val="28"/>
                <w:rtl/>
              </w:rPr>
              <w:t>الانحراف المعياري</w:t>
            </w:r>
          </w:p>
        </w:tc>
      </w:tr>
      <w:tr w:rsidR="004F63C9" w:rsidRPr="004F63C9" w14:paraId="11896B3B" w14:textId="77777777" w:rsidTr="000B7DDA">
        <w:tc>
          <w:tcPr>
            <w:cnfStyle w:val="001000000000" w:firstRow="0" w:lastRow="0" w:firstColumn="1" w:lastColumn="0" w:oddVBand="0" w:evenVBand="0" w:oddHBand="0" w:evenHBand="0" w:firstRowFirstColumn="0" w:firstRowLastColumn="0" w:lastRowFirstColumn="0" w:lastRowLastColumn="0"/>
            <w:tcW w:w="0" w:type="auto"/>
            <w:hideMark/>
          </w:tcPr>
          <w:p w14:paraId="38AE00D9" w14:textId="77777777" w:rsidR="004F63C9" w:rsidRPr="004F63C9" w:rsidRDefault="004F63C9" w:rsidP="004F63C9">
            <w:pPr>
              <w:spacing w:after="160" w:line="360" w:lineRule="auto"/>
              <w:ind w:left="1080"/>
              <w:jc w:val="both"/>
              <w:rPr>
                <w:rFonts w:asciiTheme="majorBidi" w:hAnsiTheme="majorBidi" w:cstheme="majorBidi"/>
                <w:sz w:val="28"/>
                <w:szCs w:val="28"/>
              </w:rPr>
            </w:pPr>
            <w:r w:rsidRPr="004F63C9">
              <w:rPr>
                <w:rFonts w:asciiTheme="majorBidi" w:hAnsiTheme="majorBidi" w:cstheme="majorBidi"/>
                <w:sz w:val="28"/>
                <w:szCs w:val="28"/>
                <w:rtl/>
              </w:rPr>
              <w:t>أقل من 20 سنة</w:t>
            </w:r>
          </w:p>
        </w:tc>
        <w:tc>
          <w:tcPr>
            <w:tcW w:w="0" w:type="auto"/>
            <w:hideMark/>
          </w:tcPr>
          <w:p w14:paraId="06635B14" w14:textId="77777777" w:rsidR="004F63C9" w:rsidRPr="004F63C9" w:rsidRDefault="004F63C9" w:rsidP="004F63C9">
            <w:pPr>
              <w:spacing w:after="160" w:line="360" w:lineRule="auto"/>
              <w:ind w:left="108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4F63C9">
              <w:rPr>
                <w:rFonts w:asciiTheme="majorBidi" w:hAnsiTheme="majorBidi" w:cstheme="majorBidi"/>
                <w:sz w:val="28"/>
                <w:szCs w:val="28"/>
              </w:rPr>
              <w:t>70</w:t>
            </w:r>
          </w:p>
        </w:tc>
        <w:tc>
          <w:tcPr>
            <w:tcW w:w="0" w:type="auto"/>
            <w:hideMark/>
          </w:tcPr>
          <w:p w14:paraId="2CA9C45E" w14:textId="77777777" w:rsidR="004F63C9" w:rsidRPr="004F63C9" w:rsidRDefault="004F63C9" w:rsidP="004F63C9">
            <w:pPr>
              <w:spacing w:after="160" w:line="360" w:lineRule="auto"/>
              <w:ind w:left="108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4F63C9">
              <w:rPr>
                <w:rFonts w:asciiTheme="majorBidi" w:hAnsiTheme="majorBidi" w:cstheme="majorBidi"/>
                <w:sz w:val="28"/>
                <w:szCs w:val="28"/>
              </w:rPr>
              <w:t>3.55</w:t>
            </w:r>
          </w:p>
        </w:tc>
        <w:tc>
          <w:tcPr>
            <w:tcW w:w="0" w:type="auto"/>
            <w:hideMark/>
          </w:tcPr>
          <w:p w14:paraId="07DF032C" w14:textId="77777777" w:rsidR="004F63C9" w:rsidRPr="004F63C9" w:rsidRDefault="004F63C9" w:rsidP="004F63C9">
            <w:pPr>
              <w:spacing w:after="160" w:line="360" w:lineRule="auto"/>
              <w:ind w:left="108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4F63C9">
              <w:rPr>
                <w:rFonts w:asciiTheme="majorBidi" w:hAnsiTheme="majorBidi" w:cstheme="majorBidi"/>
                <w:sz w:val="28"/>
                <w:szCs w:val="28"/>
              </w:rPr>
              <w:t>0.63</w:t>
            </w:r>
          </w:p>
        </w:tc>
      </w:tr>
      <w:tr w:rsidR="004F63C9" w:rsidRPr="004F63C9" w14:paraId="76CB584C" w14:textId="77777777" w:rsidTr="000B7DDA">
        <w:tc>
          <w:tcPr>
            <w:cnfStyle w:val="001000000000" w:firstRow="0" w:lastRow="0" w:firstColumn="1" w:lastColumn="0" w:oddVBand="0" w:evenVBand="0" w:oddHBand="0" w:evenHBand="0" w:firstRowFirstColumn="0" w:firstRowLastColumn="0" w:lastRowFirstColumn="0" w:lastRowLastColumn="0"/>
            <w:tcW w:w="0" w:type="auto"/>
            <w:hideMark/>
          </w:tcPr>
          <w:p w14:paraId="5FE36B68" w14:textId="77777777" w:rsidR="004F63C9" w:rsidRPr="004F63C9" w:rsidRDefault="004F63C9" w:rsidP="004F63C9">
            <w:pPr>
              <w:spacing w:after="160" w:line="360" w:lineRule="auto"/>
              <w:ind w:left="1080"/>
              <w:jc w:val="both"/>
              <w:rPr>
                <w:rFonts w:asciiTheme="majorBidi" w:hAnsiTheme="majorBidi" w:cstheme="majorBidi"/>
                <w:sz w:val="28"/>
                <w:szCs w:val="28"/>
              </w:rPr>
            </w:pPr>
            <w:r w:rsidRPr="004F63C9">
              <w:rPr>
                <w:rFonts w:asciiTheme="majorBidi" w:hAnsiTheme="majorBidi" w:cstheme="majorBidi"/>
                <w:sz w:val="28"/>
                <w:szCs w:val="28"/>
              </w:rPr>
              <w:t xml:space="preserve">20–29 </w:t>
            </w:r>
            <w:r w:rsidRPr="004F63C9">
              <w:rPr>
                <w:rFonts w:asciiTheme="majorBidi" w:hAnsiTheme="majorBidi" w:cstheme="majorBidi"/>
                <w:sz w:val="28"/>
                <w:szCs w:val="28"/>
                <w:rtl/>
              </w:rPr>
              <w:t>سنة</w:t>
            </w:r>
          </w:p>
        </w:tc>
        <w:tc>
          <w:tcPr>
            <w:tcW w:w="0" w:type="auto"/>
            <w:hideMark/>
          </w:tcPr>
          <w:p w14:paraId="329C5EBB" w14:textId="77777777" w:rsidR="004F63C9" w:rsidRPr="004F63C9" w:rsidRDefault="004F63C9" w:rsidP="004F63C9">
            <w:pPr>
              <w:spacing w:after="160" w:line="360" w:lineRule="auto"/>
              <w:ind w:left="108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4F63C9">
              <w:rPr>
                <w:rFonts w:asciiTheme="majorBidi" w:hAnsiTheme="majorBidi" w:cstheme="majorBidi"/>
                <w:sz w:val="28"/>
                <w:szCs w:val="28"/>
              </w:rPr>
              <w:t>120</w:t>
            </w:r>
          </w:p>
        </w:tc>
        <w:tc>
          <w:tcPr>
            <w:tcW w:w="0" w:type="auto"/>
            <w:hideMark/>
          </w:tcPr>
          <w:p w14:paraId="33EAFFA1" w14:textId="77777777" w:rsidR="004F63C9" w:rsidRPr="004F63C9" w:rsidRDefault="004F63C9" w:rsidP="004F63C9">
            <w:pPr>
              <w:spacing w:after="160" w:line="360" w:lineRule="auto"/>
              <w:ind w:left="108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4F63C9">
              <w:rPr>
                <w:rFonts w:asciiTheme="majorBidi" w:hAnsiTheme="majorBidi" w:cstheme="majorBidi"/>
                <w:sz w:val="28"/>
                <w:szCs w:val="28"/>
              </w:rPr>
              <w:t>3.81</w:t>
            </w:r>
          </w:p>
        </w:tc>
        <w:tc>
          <w:tcPr>
            <w:tcW w:w="0" w:type="auto"/>
            <w:hideMark/>
          </w:tcPr>
          <w:p w14:paraId="595D9934" w14:textId="77777777" w:rsidR="004F63C9" w:rsidRPr="004F63C9" w:rsidRDefault="004F63C9" w:rsidP="004F63C9">
            <w:pPr>
              <w:spacing w:after="160" w:line="360" w:lineRule="auto"/>
              <w:ind w:left="108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4F63C9">
              <w:rPr>
                <w:rFonts w:asciiTheme="majorBidi" w:hAnsiTheme="majorBidi" w:cstheme="majorBidi"/>
                <w:sz w:val="28"/>
                <w:szCs w:val="28"/>
              </w:rPr>
              <w:t>0.54</w:t>
            </w:r>
          </w:p>
        </w:tc>
      </w:tr>
      <w:tr w:rsidR="004F63C9" w:rsidRPr="004F63C9" w14:paraId="25D96740" w14:textId="77777777" w:rsidTr="000B7DDA">
        <w:tc>
          <w:tcPr>
            <w:cnfStyle w:val="001000000000" w:firstRow="0" w:lastRow="0" w:firstColumn="1" w:lastColumn="0" w:oddVBand="0" w:evenVBand="0" w:oddHBand="0" w:evenHBand="0" w:firstRowFirstColumn="0" w:firstRowLastColumn="0" w:lastRowFirstColumn="0" w:lastRowLastColumn="0"/>
            <w:tcW w:w="0" w:type="auto"/>
            <w:hideMark/>
          </w:tcPr>
          <w:p w14:paraId="720757D6" w14:textId="77777777" w:rsidR="004F63C9" w:rsidRPr="004F63C9" w:rsidRDefault="004F63C9" w:rsidP="004F63C9">
            <w:pPr>
              <w:spacing w:after="160" w:line="360" w:lineRule="auto"/>
              <w:ind w:left="1080"/>
              <w:jc w:val="both"/>
              <w:rPr>
                <w:rFonts w:asciiTheme="majorBidi" w:hAnsiTheme="majorBidi" w:cstheme="majorBidi"/>
                <w:sz w:val="28"/>
                <w:szCs w:val="28"/>
              </w:rPr>
            </w:pPr>
            <w:r w:rsidRPr="004F63C9">
              <w:rPr>
                <w:rFonts w:asciiTheme="majorBidi" w:hAnsiTheme="majorBidi" w:cstheme="majorBidi"/>
                <w:sz w:val="28"/>
                <w:szCs w:val="28"/>
              </w:rPr>
              <w:t xml:space="preserve">30–39 </w:t>
            </w:r>
            <w:r w:rsidRPr="004F63C9">
              <w:rPr>
                <w:rFonts w:asciiTheme="majorBidi" w:hAnsiTheme="majorBidi" w:cstheme="majorBidi"/>
                <w:sz w:val="28"/>
                <w:szCs w:val="28"/>
                <w:rtl/>
              </w:rPr>
              <w:t>سنة</w:t>
            </w:r>
          </w:p>
        </w:tc>
        <w:tc>
          <w:tcPr>
            <w:tcW w:w="0" w:type="auto"/>
            <w:hideMark/>
          </w:tcPr>
          <w:p w14:paraId="1EC1B33E" w14:textId="77777777" w:rsidR="004F63C9" w:rsidRPr="004F63C9" w:rsidRDefault="004F63C9" w:rsidP="004F63C9">
            <w:pPr>
              <w:spacing w:after="160" w:line="360" w:lineRule="auto"/>
              <w:ind w:left="108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4F63C9">
              <w:rPr>
                <w:rFonts w:asciiTheme="majorBidi" w:hAnsiTheme="majorBidi" w:cstheme="majorBidi"/>
                <w:sz w:val="28"/>
                <w:szCs w:val="28"/>
              </w:rPr>
              <w:t>95</w:t>
            </w:r>
          </w:p>
        </w:tc>
        <w:tc>
          <w:tcPr>
            <w:tcW w:w="0" w:type="auto"/>
            <w:hideMark/>
          </w:tcPr>
          <w:p w14:paraId="080606CD" w14:textId="77777777" w:rsidR="004F63C9" w:rsidRPr="004F63C9" w:rsidRDefault="004F63C9" w:rsidP="004F63C9">
            <w:pPr>
              <w:spacing w:after="160" w:line="360" w:lineRule="auto"/>
              <w:ind w:left="108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4F63C9">
              <w:rPr>
                <w:rFonts w:asciiTheme="majorBidi" w:hAnsiTheme="majorBidi" w:cstheme="majorBidi"/>
                <w:sz w:val="28"/>
                <w:szCs w:val="28"/>
              </w:rPr>
              <w:t>4.02</w:t>
            </w:r>
          </w:p>
        </w:tc>
        <w:tc>
          <w:tcPr>
            <w:tcW w:w="0" w:type="auto"/>
            <w:hideMark/>
          </w:tcPr>
          <w:p w14:paraId="6A3F9F91" w14:textId="77777777" w:rsidR="004F63C9" w:rsidRPr="004F63C9" w:rsidRDefault="004F63C9" w:rsidP="004F63C9">
            <w:pPr>
              <w:spacing w:after="160" w:line="360" w:lineRule="auto"/>
              <w:ind w:left="108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4F63C9">
              <w:rPr>
                <w:rFonts w:asciiTheme="majorBidi" w:hAnsiTheme="majorBidi" w:cstheme="majorBidi"/>
                <w:sz w:val="28"/>
                <w:szCs w:val="28"/>
              </w:rPr>
              <w:t>0.47</w:t>
            </w:r>
          </w:p>
        </w:tc>
      </w:tr>
      <w:tr w:rsidR="004F63C9" w:rsidRPr="004F63C9" w14:paraId="6771CC8F" w14:textId="77777777" w:rsidTr="000B7DDA">
        <w:tc>
          <w:tcPr>
            <w:cnfStyle w:val="001000000000" w:firstRow="0" w:lastRow="0" w:firstColumn="1" w:lastColumn="0" w:oddVBand="0" w:evenVBand="0" w:oddHBand="0" w:evenHBand="0" w:firstRowFirstColumn="0" w:firstRowLastColumn="0" w:lastRowFirstColumn="0" w:lastRowLastColumn="0"/>
            <w:tcW w:w="0" w:type="auto"/>
            <w:hideMark/>
          </w:tcPr>
          <w:p w14:paraId="205AD978" w14:textId="77777777" w:rsidR="004F63C9" w:rsidRPr="004F63C9" w:rsidRDefault="004F63C9" w:rsidP="004F63C9">
            <w:pPr>
              <w:spacing w:after="160" w:line="360" w:lineRule="auto"/>
              <w:ind w:left="1080"/>
              <w:jc w:val="both"/>
              <w:rPr>
                <w:rFonts w:asciiTheme="majorBidi" w:hAnsiTheme="majorBidi" w:cstheme="majorBidi"/>
                <w:sz w:val="28"/>
                <w:szCs w:val="28"/>
              </w:rPr>
            </w:pPr>
            <w:r w:rsidRPr="004F63C9">
              <w:rPr>
                <w:rFonts w:asciiTheme="majorBidi" w:hAnsiTheme="majorBidi" w:cstheme="majorBidi"/>
                <w:sz w:val="28"/>
                <w:szCs w:val="28"/>
              </w:rPr>
              <w:t xml:space="preserve">40–49 </w:t>
            </w:r>
            <w:r w:rsidRPr="004F63C9">
              <w:rPr>
                <w:rFonts w:asciiTheme="majorBidi" w:hAnsiTheme="majorBidi" w:cstheme="majorBidi"/>
                <w:sz w:val="28"/>
                <w:szCs w:val="28"/>
                <w:rtl/>
              </w:rPr>
              <w:t>سنة</w:t>
            </w:r>
          </w:p>
        </w:tc>
        <w:tc>
          <w:tcPr>
            <w:tcW w:w="0" w:type="auto"/>
            <w:hideMark/>
          </w:tcPr>
          <w:p w14:paraId="5855948D" w14:textId="77777777" w:rsidR="004F63C9" w:rsidRPr="004F63C9" w:rsidRDefault="004F63C9" w:rsidP="004F63C9">
            <w:pPr>
              <w:spacing w:after="160" w:line="360" w:lineRule="auto"/>
              <w:ind w:left="108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4F63C9">
              <w:rPr>
                <w:rFonts w:asciiTheme="majorBidi" w:hAnsiTheme="majorBidi" w:cstheme="majorBidi"/>
                <w:sz w:val="28"/>
                <w:szCs w:val="28"/>
              </w:rPr>
              <w:t>65</w:t>
            </w:r>
          </w:p>
        </w:tc>
        <w:tc>
          <w:tcPr>
            <w:tcW w:w="0" w:type="auto"/>
            <w:hideMark/>
          </w:tcPr>
          <w:p w14:paraId="6630DBC2" w14:textId="77777777" w:rsidR="004F63C9" w:rsidRPr="004F63C9" w:rsidRDefault="004F63C9" w:rsidP="004F63C9">
            <w:pPr>
              <w:spacing w:after="160" w:line="360" w:lineRule="auto"/>
              <w:ind w:left="108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4F63C9">
              <w:rPr>
                <w:rFonts w:asciiTheme="majorBidi" w:hAnsiTheme="majorBidi" w:cstheme="majorBidi"/>
                <w:sz w:val="28"/>
                <w:szCs w:val="28"/>
              </w:rPr>
              <w:t>3.97</w:t>
            </w:r>
          </w:p>
        </w:tc>
        <w:tc>
          <w:tcPr>
            <w:tcW w:w="0" w:type="auto"/>
            <w:hideMark/>
          </w:tcPr>
          <w:p w14:paraId="7B6B88F3" w14:textId="77777777" w:rsidR="004F63C9" w:rsidRPr="004F63C9" w:rsidRDefault="004F63C9" w:rsidP="004F63C9">
            <w:pPr>
              <w:spacing w:after="160" w:line="360" w:lineRule="auto"/>
              <w:ind w:left="108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4F63C9">
              <w:rPr>
                <w:rFonts w:asciiTheme="majorBidi" w:hAnsiTheme="majorBidi" w:cstheme="majorBidi"/>
                <w:sz w:val="28"/>
                <w:szCs w:val="28"/>
              </w:rPr>
              <w:t>0.51</w:t>
            </w:r>
          </w:p>
        </w:tc>
      </w:tr>
      <w:tr w:rsidR="004F63C9" w:rsidRPr="004F63C9" w14:paraId="2B5C5F24" w14:textId="77777777" w:rsidTr="000B7DDA">
        <w:tc>
          <w:tcPr>
            <w:cnfStyle w:val="001000000000" w:firstRow="0" w:lastRow="0" w:firstColumn="1" w:lastColumn="0" w:oddVBand="0" w:evenVBand="0" w:oddHBand="0" w:evenHBand="0" w:firstRowFirstColumn="0" w:firstRowLastColumn="0" w:lastRowFirstColumn="0" w:lastRowLastColumn="0"/>
            <w:tcW w:w="0" w:type="auto"/>
            <w:hideMark/>
          </w:tcPr>
          <w:p w14:paraId="13C17493" w14:textId="77777777" w:rsidR="004F63C9" w:rsidRPr="004F63C9" w:rsidRDefault="004F63C9" w:rsidP="004F63C9">
            <w:pPr>
              <w:spacing w:after="160" w:line="360" w:lineRule="auto"/>
              <w:ind w:left="1080"/>
              <w:jc w:val="both"/>
              <w:rPr>
                <w:rFonts w:asciiTheme="majorBidi" w:hAnsiTheme="majorBidi" w:cstheme="majorBidi"/>
                <w:sz w:val="28"/>
                <w:szCs w:val="28"/>
              </w:rPr>
            </w:pPr>
            <w:r w:rsidRPr="004F63C9">
              <w:rPr>
                <w:rFonts w:asciiTheme="majorBidi" w:hAnsiTheme="majorBidi" w:cstheme="majorBidi"/>
                <w:sz w:val="28"/>
                <w:szCs w:val="28"/>
              </w:rPr>
              <w:t xml:space="preserve">50 </w:t>
            </w:r>
            <w:r w:rsidRPr="004F63C9">
              <w:rPr>
                <w:rFonts w:asciiTheme="majorBidi" w:hAnsiTheme="majorBidi" w:cstheme="majorBidi"/>
                <w:sz w:val="28"/>
                <w:szCs w:val="28"/>
                <w:rtl/>
              </w:rPr>
              <w:t>سنة فأكثر</w:t>
            </w:r>
          </w:p>
        </w:tc>
        <w:tc>
          <w:tcPr>
            <w:tcW w:w="0" w:type="auto"/>
            <w:hideMark/>
          </w:tcPr>
          <w:p w14:paraId="7FA1F115" w14:textId="77777777" w:rsidR="004F63C9" w:rsidRPr="004F63C9" w:rsidRDefault="004F63C9" w:rsidP="004F63C9">
            <w:pPr>
              <w:spacing w:after="160" w:line="360" w:lineRule="auto"/>
              <w:ind w:left="108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4F63C9">
              <w:rPr>
                <w:rFonts w:asciiTheme="majorBidi" w:hAnsiTheme="majorBidi" w:cstheme="majorBidi"/>
                <w:sz w:val="28"/>
                <w:szCs w:val="28"/>
              </w:rPr>
              <w:t>50</w:t>
            </w:r>
          </w:p>
        </w:tc>
        <w:tc>
          <w:tcPr>
            <w:tcW w:w="0" w:type="auto"/>
            <w:hideMark/>
          </w:tcPr>
          <w:p w14:paraId="02AAAFFD" w14:textId="77777777" w:rsidR="004F63C9" w:rsidRPr="004F63C9" w:rsidRDefault="004F63C9" w:rsidP="004F63C9">
            <w:pPr>
              <w:spacing w:after="160" w:line="360" w:lineRule="auto"/>
              <w:ind w:left="108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4F63C9">
              <w:rPr>
                <w:rFonts w:asciiTheme="majorBidi" w:hAnsiTheme="majorBidi" w:cstheme="majorBidi"/>
                <w:sz w:val="28"/>
                <w:szCs w:val="28"/>
              </w:rPr>
              <w:t>3.88</w:t>
            </w:r>
          </w:p>
        </w:tc>
        <w:tc>
          <w:tcPr>
            <w:tcW w:w="0" w:type="auto"/>
            <w:hideMark/>
          </w:tcPr>
          <w:p w14:paraId="692E2C0A" w14:textId="77777777" w:rsidR="004F63C9" w:rsidRPr="004F63C9" w:rsidRDefault="004F63C9" w:rsidP="004F63C9">
            <w:pPr>
              <w:spacing w:after="160" w:line="360" w:lineRule="auto"/>
              <w:ind w:left="108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4F63C9">
              <w:rPr>
                <w:rFonts w:asciiTheme="majorBidi" w:hAnsiTheme="majorBidi" w:cstheme="majorBidi"/>
                <w:sz w:val="28"/>
                <w:szCs w:val="28"/>
              </w:rPr>
              <w:t>0.56</w:t>
            </w:r>
          </w:p>
        </w:tc>
      </w:tr>
    </w:tbl>
    <w:tbl>
      <w:tblPr>
        <w:tblStyle w:val="af3"/>
        <w:tblW w:w="9351" w:type="dxa"/>
        <w:tblLook w:val="04A0" w:firstRow="1" w:lastRow="0" w:firstColumn="1" w:lastColumn="0" w:noHBand="0" w:noVBand="1"/>
      </w:tblPr>
      <w:tblGrid>
        <w:gridCol w:w="1528"/>
        <w:gridCol w:w="1515"/>
        <w:gridCol w:w="1303"/>
        <w:gridCol w:w="1497"/>
        <w:gridCol w:w="761"/>
        <w:gridCol w:w="2747"/>
      </w:tblGrid>
      <w:tr w:rsidR="00D520F6" w:rsidRPr="00D520F6" w14:paraId="13815843" w14:textId="77777777" w:rsidTr="00D520F6">
        <w:tc>
          <w:tcPr>
            <w:tcW w:w="0" w:type="auto"/>
            <w:hideMark/>
          </w:tcPr>
          <w:p w14:paraId="78D4519F" w14:textId="77777777" w:rsidR="00D520F6" w:rsidRPr="00D520F6" w:rsidRDefault="00D520F6" w:rsidP="00D520F6">
            <w:pPr>
              <w:bidi w:val="0"/>
              <w:jc w:val="center"/>
              <w:rPr>
                <w:rFonts w:ascii="Times New Roman" w:eastAsia="Times New Roman" w:hAnsi="Times New Roman" w:cs="Times New Roman"/>
                <w:b/>
                <w:bCs/>
                <w:kern w:val="0"/>
                <w:sz w:val="24"/>
                <w:szCs w:val="24"/>
                <w14:ligatures w14:val="none"/>
              </w:rPr>
            </w:pPr>
            <w:r w:rsidRPr="00D520F6">
              <w:rPr>
                <w:rFonts w:ascii="Times New Roman" w:eastAsia="Times New Roman" w:hAnsi="Times New Roman" w:cs="Times New Roman"/>
                <w:b/>
                <w:bCs/>
                <w:kern w:val="0"/>
                <w:sz w:val="24"/>
                <w:szCs w:val="24"/>
                <w:rtl/>
                <w14:ligatures w14:val="none"/>
              </w:rPr>
              <w:t>مصدر التباين</w:t>
            </w:r>
          </w:p>
        </w:tc>
        <w:tc>
          <w:tcPr>
            <w:tcW w:w="0" w:type="auto"/>
            <w:hideMark/>
          </w:tcPr>
          <w:p w14:paraId="044C27CB" w14:textId="77777777" w:rsidR="00D520F6" w:rsidRPr="00D520F6" w:rsidRDefault="00D520F6" w:rsidP="00D520F6">
            <w:pPr>
              <w:bidi w:val="0"/>
              <w:jc w:val="right"/>
              <w:rPr>
                <w:rFonts w:ascii="Times New Roman" w:eastAsia="Times New Roman" w:hAnsi="Times New Roman" w:cs="Times New Roman"/>
                <w:b/>
                <w:bCs/>
                <w:kern w:val="0"/>
                <w:sz w:val="24"/>
                <w:szCs w:val="24"/>
                <w14:ligatures w14:val="none"/>
              </w:rPr>
            </w:pPr>
            <w:r w:rsidRPr="00D520F6">
              <w:rPr>
                <w:rFonts w:ascii="Times New Roman" w:eastAsia="Times New Roman" w:hAnsi="Times New Roman" w:cs="Times New Roman"/>
                <w:b/>
                <w:bCs/>
                <w:kern w:val="0"/>
                <w:sz w:val="24"/>
                <w:szCs w:val="24"/>
                <w:rtl/>
                <w14:ligatures w14:val="none"/>
              </w:rPr>
              <w:t>مجموع المربعات</w:t>
            </w:r>
          </w:p>
        </w:tc>
        <w:tc>
          <w:tcPr>
            <w:tcW w:w="0" w:type="auto"/>
            <w:hideMark/>
          </w:tcPr>
          <w:p w14:paraId="789F40ED" w14:textId="77777777" w:rsidR="00D520F6" w:rsidRPr="00D520F6" w:rsidRDefault="00D520F6" w:rsidP="00D520F6">
            <w:pPr>
              <w:bidi w:val="0"/>
              <w:jc w:val="right"/>
              <w:rPr>
                <w:rFonts w:ascii="Times New Roman" w:eastAsia="Times New Roman" w:hAnsi="Times New Roman" w:cs="Times New Roman"/>
                <w:b/>
                <w:bCs/>
                <w:kern w:val="0"/>
                <w:sz w:val="24"/>
                <w:szCs w:val="24"/>
                <w14:ligatures w14:val="none"/>
              </w:rPr>
            </w:pPr>
            <w:r w:rsidRPr="00D520F6">
              <w:rPr>
                <w:rFonts w:ascii="Times New Roman" w:eastAsia="Times New Roman" w:hAnsi="Times New Roman" w:cs="Times New Roman"/>
                <w:b/>
                <w:bCs/>
                <w:kern w:val="0"/>
                <w:sz w:val="24"/>
                <w:szCs w:val="24"/>
                <w:rtl/>
                <w14:ligatures w14:val="none"/>
              </w:rPr>
              <w:t>درجات الحرية</w:t>
            </w:r>
          </w:p>
        </w:tc>
        <w:tc>
          <w:tcPr>
            <w:tcW w:w="0" w:type="auto"/>
            <w:hideMark/>
          </w:tcPr>
          <w:p w14:paraId="108ACE6B" w14:textId="77777777" w:rsidR="00D520F6" w:rsidRPr="00D520F6" w:rsidRDefault="00D520F6" w:rsidP="00D520F6">
            <w:pPr>
              <w:bidi w:val="0"/>
              <w:jc w:val="right"/>
              <w:rPr>
                <w:rFonts w:ascii="Times New Roman" w:eastAsia="Times New Roman" w:hAnsi="Times New Roman" w:cs="Times New Roman"/>
                <w:b/>
                <w:bCs/>
                <w:kern w:val="0"/>
                <w:sz w:val="24"/>
                <w:szCs w:val="24"/>
                <w14:ligatures w14:val="none"/>
              </w:rPr>
            </w:pPr>
            <w:r w:rsidRPr="00D520F6">
              <w:rPr>
                <w:rFonts w:ascii="Times New Roman" w:eastAsia="Times New Roman" w:hAnsi="Times New Roman" w:cs="Times New Roman"/>
                <w:b/>
                <w:bCs/>
                <w:kern w:val="0"/>
                <w:sz w:val="24"/>
                <w:szCs w:val="24"/>
                <w:rtl/>
                <w14:ligatures w14:val="none"/>
              </w:rPr>
              <w:t>متوسط المربعات</w:t>
            </w:r>
          </w:p>
        </w:tc>
        <w:tc>
          <w:tcPr>
            <w:tcW w:w="0" w:type="auto"/>
            <w:hideMark/>
          </w:tcPr>
          <w:p w14:paraId="381D9E56" w14:textId="77777777" w:rsidR="00D520F6" w:rsidRPr="00D520F6" w:rsidRDefault="00D520F6" w:rsidP="00D520F6">
            <w:pPr>
              <w:bidi w:val="0"/>
              <w:jc w:val="right"/>
              <w:rPr>
                <w:rFonts w:ascii="Times New Roman" w:eastAsia="Times New Roman" w:hAnsi="Times New Roman" w:cs="Times New Roman"/>
                <w:b/>
                <w:bCs/>
                <w:kern w:val="0"/>
                <w:sz w:val="24"/>
                <w:szCs w:val="24"/>
                <w14:ligatures w14:val="none"/>
              </w:rPr>
            </w:pPr>
            <w:r w:rsidRPr="00D520F6">
              <w:rPr>
                <w:rFonts w:ascii="Times New Roman" w:eastAsia="Times New Roman" w:hAnsi="Times New Roman" w:cs="Times New Roman"/>
                <w:b/>
                <w:bCs/>
                <w:kern w:val="0"/>
                <w:sz w:val="24"/>
                <w:szCs w:val="24"/>
                <w:rtl/>
                <w14:ligatures w14:val="none"/>
              </w:rPr>
              <w:t>قيمة</w:t>
            </w:r>
            <w:r w:rsidRPr="00D520F6">
              <w:rPr>
                <w:rFonts w:ascii="Times New Roman" w:eastAsia="Times New Roman" w:hAnsi="Times New Roman" w:cs="Times New Roman"/>
                <w:b/>
                <w:bCs/>
                <w:kern w:val="0"/>
                <w:sz w:val="24"/>
                <w:szCs w:val="24"/>
                <w14:ligatures w14:val="none"/>
              </w:rPr>
              <w:t xml:space="preserve"> F</w:t>
            </w:r>
          </w:p>
        </w:tc>
        <w:tc>
          <w:tcPr>
            <w:tcW w:w="2747" w:type="dxa"/>
            <w:hideMark/>
          </w:tcPr>
          <w:p w14:paraId="63501D4F" w14:textId="77777777" w:rsidR="00D520F6" w:rsidRPr="00D520F6" w:rsidRDefault="00D520F6" w:rsidP="00D520F6">
            <w:pPr>
              <w:bidi w:val="0"/>
              <w:jc w:val="right"/>
              <w:rPr>
                <w:rFonts w:ascii="Times New Roman" w:eastAsia="Times New Roman" w:hAnsi="Times New Roman" w:cs="Times New Roman"/>
                <w:b/>
                <w:bCs/>
                <w:kern w:val="0"/>
                <w:sz w:val="24"/>
                <w:szCs w:val="24"/>
                <w14:ligatures w14:val="none"/>
              </w:rPr>
            </w:pPr>
            <w:r w:rsidRPr="00D520F6">
              <w:rPr>
                <w:rFonts w:ascii="Times New Roman" w:eastAsia="Times New Roman" w:hAnsi="Times New Roman" w:cs="Times New Roman"/>
                <w:b/>
                <w:bCs/>
                <w:kern w:val="0"/>
                <w:sz w:val="24"/>
                <w:szCs w:val="24"/>
                <w:rtl/>
                <w14:ligatures w14:val="none"/>
              </w:rPr>
              <w:t>مستوى الدلالة</w:t>
            </w:r>
            <w:r w:rsidRPr="00D520F6">
              <w:rPr>
                <w:rFonts w:ascii="Times New Roman" w:eastAsia="Times New Roman" w:hAnsi="Times New Roman" w:cs="Times New Roman"/>
                <w:b/>
                <w:bCs/>
                <w:kern w:val="0"/>
                <w:sz w:val="24"/>
                <w:szCs w:val="24"/>
                <w14:ligatures w14:val="none"/>
              </w:rPr>
              <w:t xml:space="preserve"> (Sig.)</w:t>
            </w:r>
          </w:p>
        </w:tc>
      </w:tr>
      <w:tr w:rsidR="00D520F6" w:rsidRPr="00D520F6" w14:paraId="6A666E45" w14:textId="77777777" w:rsidTr="00D520F6">
        <w:tc>
          <w:tcPr>
            <w:tcW w:w="0" w:type="auto"/>
            <w:hideMark/>
          </w:tcPr>
          <w:p w14:paraId="6423BFC7" w14:textId="77777777" w:rsidR="00D520F6" w:rsidRPr="00D520F6" w:rsidRDefault="00D520F6" w:rsidP="00D520F6">
            <w:pPr>
              <w:bidi w:val="0"/>
              <w:rPr>
                <w:rFonts w:ascii="Times New Roman" w:eastAsia="Times New Roman" w:hAnsi="Times New Roman" w:cs="Times New Roman"/>
                <w:kern w:val="0"/>
                <w:sz w:val="24"/>
                <w:szCs w:val="24"/>
                <w14:ligatures w14:val="none"/>
              </w:rPr>
            </w:pPr>
            <w:r w:rsidRPr="00D520F6">
              <w:rPr>
                <w:rFonts w:ascii="Times New Roman" w:eastAsia="Times New Roman" w:hAnsi="Times New Roman" w:cs="Times New Roman"/>
                <w:kern w:val="0"/>
                <w:sz w:val="24"/>
                <w:szCs w:val="24"/>
                <w:rtl/>
                <w14:ligatures w14:val="none"/>
              </w:rPr>
              <w:t>بين المجموعات</w:t>
            </w:r>
          </w:p>
        </w:tc>
        <w:tc>
          <w:tcPr>
            <w:tcW w:w="0" w:type="auto"/>
            <w:hideMark/>
          </w:tcPr>
          <w:p w14:paraId="4A813366" w14:textId="77777777" w:rsidR="00D520F6" w:rsidRPr="00D520F6" w:rsidRDefault="00D520F6" w:rsidP="00D520F6">
            <w:pPr>
              <w:bidi w:val="0"/>
              <w:jc w:val="right"/>
              <w:rPr>
                <w:rFonts w:ascii="Times New Roman" w:eastAsia="Times New Roman" w:hAnsi="Times New Roman" w:cs="Times New Roman"/>
                <w:kern w:val="0"/>
                <w:sz w:val="24"/>
                <w:szCs w:val="24"/>
                <w14:ligatures w14:val="none"/>
              </w:rPr>
            </w:pPr>
            <w:r w:rsidRPr="00D520F6">
              <w:rPr>
                <w:rFonts w:ascii="Times New Roman" w:eastAsia="Times New Roman" w:hAnsi="Times New Roman" w:cs="Times New Roman"/>
                <w:kern w:val="0"/>
                <w:sz w:val="24"/>
                <w:szCs w:val="24"/>
                <w14:ligatures w14:val="none"/>
              </w:rPr>
              <w:t>8.74</w:t>
            </w:r>
          </w:p>
        </w:tc>
        <w:tc>
          <w:tcPr>
            <w:tcW w:w="0" w:type="auto"/>
            <w:hideMark/>
          </w:tcPr>
          <w:p w14:paraId="599D9E6E" w14:textId="77777777" w:rsidR="00D520F6" w:rsidRPr="00D520F6" w:rsidRDefault="00D520F6" w:rsidP="00D520F6">
            <w:pPr>
              <w:bidi w:val="0"/>
              <w:jc w:val="right"/>
              <w:rPr>
                <w:rFonts w:ascii="Times New Roman" w:eastAsia="Times New Roman" w:hAnsi="Times New Roman" w:cs="Times New Roman"/>
                <w:kern w:val="0"/>
                <w:sz w:val="24"/>
                <w:szCs w:val="24"/>
                <w14:ligatures w14:val="none"/>
              </w:rPr>
            </w:pPr>
            <w:r w:rsidRPr="00D520F6">
              <w:rPr>
                <w:rFonts w:ascii="Times New Roman" w:eastAsia="Times New Roman" w:hAnsi="Times New Roman" w:cs="Times New Roman"/>
                <w:kern w:val="0"/>
                <w:sz w:val="24"/>
                <w:szCs w:val="24"/>
                <w14:ligatures w14:val="none"/>
              </w:rPr>
              <w:t>4</w:t>
            </w:r>
          </w:p>
        </w:tc>
        <w:tc>
          <w:tcPr>
            <w:tcW w:w="0" w:type="auto"/>
            <w:hideMark/>
          </w:tcPr>
          <w:p w14:paraId="0ED3BBA7" w14:textId="77777777" w:rsidR="00D520F6" w:rsidRPr="00D520F6" w:rsidRDefault="00D520F6" w:rsidP="00D520F6">
            <w:pPr>
              <w:bidi w:val="0"/>
              <w:jc w:val="right"/>
              <w:rPr>
                <w:rFonts w:ascii="Times New Roman" w:eastAsia="Times New Roman" w:hAnsi="Times New Roman" w:cs="Times New Roman"/>
                <w:kern w:val="0"/>
                <w:sz w:val="24"/>
                <w:szCs w:val="24"/>
                <w14:ligatures w14:val="none"/>
              </w:rPr>
            </w:pPr>
            <w:r w:rsidRPr="00D520F6">
              <w:rPr>
                <w:rFonts w:ascii="Times New Roman" w:eastAsia="Times New Roman" w:hAnsi="Times New Roman" w:cs="Times New Roman"/>
                <w:kern w:val="0"/>
                <w:sz w:val="24"/>
                <w:szCs w:val="24"/>
                <w14:ligatures w14:val="none"/>
              </w:rPr>
              <w:t>2.19</w:t>
            </w:r>
          </w:p>
        </w:tc>
        <w:tc>
          <w:tcPr>
            <w:tcW w:w="0" w:type="auto"/>
            <w:hideMark/>
          </w:tcPr>
          <w:p w14:paraId="6BD2B967" w14:textId="77777777" w:rsidR="00D520F6" w:rsidRPr="00D520F6" w:rsidRDefault="00D520F6" w:rsidP="00D520F6">
            <w:pPr>
              <w:bidi w:val="0"/>
              <w:jc w:val="right"/>
              <w:rPr>
                <w:rFonts w:ascii="Times New Roman" w:eastAsia="Times New Roman" w:hAnsi="Times New Roman" w:cs="Times New Roman"/>
                <w:kern w:val="0"/>
                <w:sz w:val="24"/>
                <w:szCs w:val="24"/>
                <w14:ligatures w14:val="none"/>
              </w:rPr>
            </w:pPr>
            <w:r w:rsidRPr="00D520F6">
              <w:rPr>
                <w:rFonts w:ascii="Times New Roman" w:eastAsia="Times New Roman" w:hAnsi="Times New Roman" w:cs="Times New Roman"/>
                <w:b/>
                <w:bCs/>
                <w:kern w:val="0"/>
                <w:sz w:val="24"/>
                <w:szCs w:val="24"/>
                <w14:ligatures w14:val="none"/>
              </w:rPr>
              <w:t>5.84</w:t>
            </w:r>
          </w:p>
        </w:tc>
        <w:tc>
          <w:tcPr>
            <w:tcW w:w="2747" w:type="dxa"/>
            <w:hideMark/>
          </w:tcPr>
          <w:p w14:paraId="0E1F860E" w14:textId="77777777" w:rsidR="00D520F6" w:rsidRPr="00D520F6" w:rsidRDefault="00D520F6" w:rsidP="00D520F6">
            <w:pPr>
              <w:bidi w:val="0"/>
              <w:jc w:val="right"/>
              <w:rPr>
                <w:rFonts w:ascii="Times New Roman" w:eastAsia="Times New Roman" w:hAnsi="Times New Roman" w:cs="Times New Roman"/>
                <w:kern w:val="0"/>
                <w:sz w:val="24"/>
                <w:szCs w:val="24"/>
                <w14:ligatures w14:val="none"/>
              </w:rPr>
            </w:pPr>
            <w:r w:rsidRPr="00D520F6">
              <w:rPr>
                <w:rFonts w:ascii="Times New Roman" w:eastAsia="Times New Roman" w:hAnsi="Times New Roman" w:cs="Times New Roman"/>
                <w:b/>
                <w:bCs/>
                <w:kern w:val="0"/>
                <w:sz w:val="24"/>
                <w:szCs w:val="24"/>
                <w14:ligatures w14:val="none"/>
              </w:rPr>
              <w:t>0.001</w:t>
            </w:r>
            <w:r w:rsidRPr="00D520F6">
              <w:rPr>
                <w:rFonts w:ascii="Times New Roman" w:eastAsia="Times New Roman" w:hAnsi="Times New Roman" w:cs="Times New Roman"/>
                <w:kern w:val="0"/>
                <w:sz w:val="24"/>
                <w:szCs w:val="24"/>
                <w14:ligatures w14:val="none"/>
              </w:rPr>
              <w:t>*</w:t>
            </w:r>
          </w:p>
        </w:tc>
      </w:tr>
      <w:tr w:rsidR="00D520F6" w:rsidRPr="00D520F6" w14:paraId="7CC0BB32" w14:textId="77777777" w:rsidTr="00D520F6">
        <w:tc>
          <w:tcPr>
            <w:tcW w:w="0" w:type="auto"/>
            <w:hideMark/>
          </w:tcPr>
          <w:p w14:paraId="76A14D31" w14:textId="77777777" w:rsidR="00D520F6" w:rsidRPr="00D520F6" w:rsidRDefault="00D520F6" w:rsidP="00D520F6">
            <w:pPr>
              <w:bidi w:val="0"/>
              <w:rPr>
                <w:rFonts w:ascii="Times New Roman" w:eastAsia="Times New Roman" w:hAnsi="Times New Roman" w:cs="Times New Roman"/>
                <w:kern w:val="0"/>
                <w:sz w:val="24"/>
                <w:szCs w:val="24"/>
                <w14:ligatures w14:val="none"/>
              </w:rPr>
            </w:pPr>
            <w:r w:rsidRPr="00D520F6">
              <w:rPr>
                <w:rFonts w:ascii="Times New Roman" w:eastAsia="Times New Roman" w:hAnsi="Times New Roman" w:cs="Times New Roman"/>
                <w:kern w:val="0"/>
                <w:sz w:val="24"/>
                <w:szCs w:val="24"/>
                <w:rtl/>
                <w14:ligatures w14:val="none"/>
              </w:rPr>
              <w:t>داخل المجموعات</w:t>
            </w:r>
          </w:p>
        </w:tc>
        <w:tc>
          <w:tcPr>
            <w:tcW w:w="0" w:type="auto"/>
            <w:hideMark/>
          </w:tcPr>
          <w:p w14:paraId="251B41DF" w14:textId="77777777" w:rsidR="00D520F6" w:rsidRPr="00D520F6" w:rsidRDefault="00D520F6" w:rsidP="00D520F6">
            <w:pPr>
              <w:bidi w:val="0"/>
              <w:jc w:val="right"/>
              <w:rPr>
                <w:rFonts w:ascii="Times New Roman" w:eastAsia="Times New Roman" w:hAnsi="Times New Roman" w:cs="Times New Roman"/>
                <w:kern w:val="0"/>
                <w:sz w:val="24"/>
                <w:szCs w:val="24"/>
                <w14:ligatures w14:val="none"/>
              </w:rPr>
            </w:pPr>
            <w:r w:rsidRPr="00D520F6">
              <w:rPr>
                <w:rFonts w:ascii="Times New Roman" w:eastAsia="Times New Roman" w:hAnsi="Times New Roman" w:cs="Times New Roman"/>
                <w:kern w:val="0"/>
                <w:sz w:val="24"/>
                <w:szCs w:val="24"/>
                <w14:ligatures w14:val="none"/>
              </w:rPr>
              <w:t>148.32</w:t>
            </w:r>
          </w:p>
        </w:tc>
        <w:tc>
          <w:tcPr>
            <w:tcW w:w="0" w:type="auto"/>
            <w:hideMark/>
          </w:tcPr>
          <w:p w14:paraId="21BABF3C" w14:textId="77777777" w:rsidR="00D520F6" w:rsidRPr="00D520F6" w:rsidRDefault="00D520F6" w:rsidP="00D520F6">
            <w:pPr>
              <w:bidi w:val="0"/>
              <w:jc w:val="right"/>
              <w:rPr>
                <w:rFonts w:ascii="Times New Roman" w:eastAsia="Times New Roman" w:hAnsi="Times New Roman" w:cs="Times New Roman"/>
                <w:kern w:val="0"/>
                <w:sz w:val="24"/>
                <w:szCs w:val="24"/>
                <w14:ligatures w14:val="none"/>
              </w:rPr>
            </w:pPr>
            <w:r w:rsidRPr="00D520F6">
              <w:rPr>
                <w:rFonts w:ascii="Times New Roman" w:eastAsia="Times New Roman" w:hAnsi="Times New Roman" w:cs="Times New Roman"/>
                <w:kern w:val="0"/>
                <w:sz w:val="24"/>
                <w:szCs w:val="24"/>
                <w14:ligatures w14:val="none"/>
              </w:rPr>
              <w:t>395</w:t>
            </w:r>
          </w:p>
        </w:tc>
        <w:tc>
          <w:tcPr>
            <w:tcW w:w="0" w:type="auto"/>
            <w:hideMark/>
          </w:tcPr>
          <w:p w14:paraId="1447359E" w14:textId="77777777" w:rsidR="00D520F6" w:rsidRPr="00D520F6" w:rsidRDefault="00D520F6" w:rsidP="00D520F6">
            <w:pPr>
              <w:bidi w:val="0"/>
              <w:jc w:val="right"/>
              <w:rPr>
                <w:rFonts w:ascii="Times New Roman" w:eastAsia="Times New Roman" w:hAnsi="Times New Roman" w:cs="Times New Roman"/>
                <w:kern w:val="0"/>
                <w:sz w:val="24"/>
                <w:szCs w:val="24"/>
                <w14:ligatures w14:val="none"/>
              </w:rPr>
            </w:pPr>
            <w:r w:rsidRPr="00D520F6">
              <w:rPr>
                <w:rFonts w:ascii="Times New Roman" w:eastAsia="Times New Roman" w:hAnsi="Times New Roman" w:cs="Times New Roman"/>
                <w:kern w:val="0"/>
                <w:sz w:val="24"/>
                <w:szCs w:val="24"/>
                <w14:ligatures w14:val="none"/>
              </w:rPr>
              <w:t>0.38</w:t>
            </w:r>
          </w:p>
        </w:tc>
        <w:tc>
          <w:tcPr>
            <w:tcW w:w="0" w:type="auto"/>
            <w:hideMark/>
          </w:tcPr>
          <w:p w14:paraId="0AE0B98E" w14:textId="77777777" w:rsidR="00D520F6" w:rsidRPr="00D520F6" w:rsidRDefault="00D520F6" w:rsidP="00D520F6">
            <w:pPr>
              <w:bidi w:val="0"/>
              <w:jc w:val="right"/>
              <w:rPr>
                <w:rFonts w:ascii="Times New Roman" w:eastAsia="Times New Roman" w:hAnsi="Times New Roman" w:cs="Times New Roman"/>
                <w:kern w:val="0"/>
                <w:sz w:val="24"/>
                <w:szCs w:val="24"/>
                <w14:ligatures w14:val="none"/>
              </w:rPr>
            </w:pPr>
          </w:p>
        </w:tc>
        <w:tc>
          <w:tcPr>
            <w:tcW w:w="2747" w:type="dxa"/>
            <w:hideMark/>
          </w:tcPr>
          <w:p w14:paraId="6A3B372D" w14:textId="77777777" w:rsidR="00D520F6" w:rsidRPr="00D520F6" w:rsidRDefault="00D520F6" w:rsidP="00D520F6">
            <w:pPr>
              <w:bidi w:val="0"/>
              <w:jc w:val="right"/>
              <w:rPr>
                <w:rFonts w:ascii="Times New Roman" w:eastAsia="Times New Roman" w:hAnsi="Times New Roman" w:cs="Times New Roman"/>
                <w:kern w:val="0"/>
                <w:sz w:val="20"/>
                <w:szCs w:val="20"/>
                <w14:ligatures w14:val="none"/>
              </w:rPr>
            </w:pPr>
          </w:p>
        </w:tc>
      </w:tr>
      <w:tr w:rsidR="00D520F6" w:rsidRPr="00D520F6" w14:paraId="5DDAC547" w14:textId="77777777" w:rsidTr="00D520F6">
        <w:tc>
          <w:tcPr>
            <w:tcW w:w="0" w:type="auto"/>
            <w:hideMark/>
          </w:tcPr>
          <w:p w14:paraId="08DA650E" w14:textId="77777777" w:rsidR="00D520F6" w:rsidRPr="00D520F6" w:rsidRDefault="00D520F6" w:rsidP="00D520F6">
            <w:pPr>
              <w:bidi w:val="0"/>
              <w:rPr>
                <w:rFonts w:ascii="Times New Roman" w:eastAsia="Times New Roman" w:hAnsi="Times New Roman" w:cs="Times New Roman"/>
                <w:kern w:val="0"/>
                <w:sz w:val="24"/>
                <w:szCs w:val="24"/>
                <w14:ligatures w14:val="none"/>
              </w:rPr>
            </w:pPr>
            <w:r w:rsidRPr="00D520F6">
              <w:rPr>
                <w:rFonts w:ascii="Times New Roman" w:eastAsia="Times New Roman" w:hAnsi="Times New Roman" w:cs="Times New Roman"/>
                <w:kern w:val="0"/>
                <w:sz w:val="24"/>
                <w:szCs w:val="24"/>
                <w:rtl/>
                <w14:ligatures w14:val="none"/>
              </w:rPr>
              <w:t>الإجمالي</w:t>
            </w:r>
          </w:p>
        </w:tc>
        <w:tc>
          <w:tcPr>
            <w:tcW w:w="0" w:type="auto"/>
            <w:hideMark/>
          </w:tcPr>
          <w:p w14:paraId="3D636F2D" w14:textId="77777777" w:rsidR="00D520F6" w:rsidRPr="00D520F6" w:rsidRDefault="00D520F6" w:rsidP="00D520F6">
            <w:pPr>
              <w:bidi w:val="0"/>
              <w:jc w:val="right"/>
              <w:rPr>
                <w:rFonts w:ascii="Times New Roman" w:eastAsia="Times New Roman" w:hAnsi="Times New Roman" w:cs="Times New Roman"/>
                <w:kern w:val="0"/>
                <w:sz w:val="24"/>
                <w:szCs w:val="24"/>
                <w14:ligatures w14:val="none"/>
              </w:rPr>
            </w:pPr>
            <w:r w:rsidRPr="00D520F6">
              <w:rPr>
                <w:rFonts w:ascii="Times New Roman" w:eastAsia="Times New Roman" w:hAnsi="Times New Roman" w:cs="Times New Roman"/>
                <w:kern w:val="0"/>
                <w:sz w:val="24"/>
                <w:szCs w:val="24"/>
                <w14:ligatures w14:val="none"/>
              </w:rPr>
              <w:t>157.06</w:t>
            </w:r>
          </w:p>
        </w:tc>
        <w:tc>
          <w:tcPr>
            <w:tcW w:w="0" w:type="auto"/>
            <w:hideMark/>
          </w:tcPr>
          <w:p w14:paraId="2AACE7D1" w14:textId="77777777" w:rsidR="00D520F6" w:rsidRPr="00D520F6" w:rsidRDefault="00D520F6" w:rsidP="00D520F6">
            <w:pPr>
              <w:bidi w:val="0"/>
              <w:jc w:val="right"/>
              <w:rPr>
                <w:rFonts w:ascii="Times New Roman" w:eastAsia="Times New Roman" w:hAnsi="Times New Roman" w:cs="Times New Roman"/>
                <w:kern w:val="0"/>
                <w:sz w:val="24"/>
                <w:szCs w:val="24"/>
                <w14:ligatures w14:val="none"/>
              </w:rPr>
            </w:pPr>
            <w:r w:rsidRPr="00D520F6">
              <w:rPr>
                <w:rFonts w:ascii="Times New Roman" w:eastAsia="Times New Roman" w:hAnsi="Times New Roman" w:cs="Times New Roman"/>
                <w:kern w:val="0"/>
                <w:sz w:val="24"/>
                <w:szCs w:val="24"/>
                <w14:ligatures w14:val="none"/>
              </w:rPr>
              <w:t>399</w:t>
            </w:r>
          </w:p>
        </w:tc>
        <w:tc>
          <w:tcPr>
            <w:tcW w:w="0" w:type="auto"/>
            <w:hideMark/>
          </w:tcPr>
          <w:p w14:paraId="464607EE" w14:textId="77777777" w:rsidR="00D520F6" w:rsidRPr="00D520F6" w:rsidRDefault="00D520F6" w:rsidP="00D520F6">
            <w:pPr>
              <w:bidi w:val="0"/>
              <w:jc w:val="right"/>
              <w:rPr>
                <w:rFonts w:ascii="Times New Roman" w:eastAsia="Times New Roman" w:hAnsi="Times New Roman" w:cs="Times New Roman"/>
                <w:kern w:val="0"/>
                <w:sz w:val="24"/>
                <w:szCs w:val="24"/>
                <w14:ligatures w14:val="none"/>
              </w:rPr>
            </w:pPr>
          </w:p>
        </w:tc>
        <w:tc>
          <w:tcPr>
            <w:tcW w:w="0" w:type="auto"/>
            <w:hideMark/>
          </w:tcPr>
          <w:p w14:paraId="07AB087C" w14:textId="77777777" w:rsidR="00D520F6" w:rsidRPr="00D520F6" w:rsidRDefault="00D520F6" w:rsidP="00D520F6">
            <w:pPr>
              <w:bidi w:val="0"/>
              <w:jc w:val="right"/>
              <w:rPr>
                <w:rFonts w:ascii="Times New Roman" w:eastAsia="Times New Roman" w:hAnsi="Times New Roman" w:cs="Times New Roman"/>
                <w:kern w:val="0"/>
                <w:sz w:val="20"/>
                <w:szCs w:val="20"/>
                <w14:ligatures w14:val="none"/>
              </w:rPr>
            </w:pPr>
          </w:p>
        </w:tc>
        <w:tc>
          <w:tcPr>
            <w:tcW w:w="2747" w:type="dxa"/>
            <w:hideMark/>
          </w:tcPr>
          <w:p w14:paraId="47713A6A" w14:textId="77777777" w:rsidR="00D520F6" w:rsidRPr="00D520F6" w:rsidRDefault="00D520F6" w:rsidP="00D520F6">
            <w:pPr>
              <w:bidi w:val="0"/>
              <w:jc w:val="right"/>
              <w:rPr>
                <w:rFonts w:ascii="Times New Roman" w:eastAsia="Times New Roman" w:hAnsi="Times New Roman" w:cs="Times New Roman"/>
                <w:kern w:val="0"/>
                <w:sz w:val="20"/>
                <w:szCs w:val="20"/>
                <w14:ligatures w14:val="none"/>
              </w:rPr>
            </w:pPr>
          </w:p>
        </w:tc>
      </w:tr>
    </w:tbl>
    <w:p w14:paraId="52072B23" w14:textId="63D46461" w:rsidR="004F63C9" w:rsidRDefault="004F63C9" w:rsidP="004F63C9">
      <w:pPr>
        <w:spacing w:line="360" w:lineRule="auto"/>
        <w:ind w:left="1080"/>
        <w:jc w:val="both"/>
        <w:rPr>
          <w:rFonts w:asciiTheme="majorBidi" w:hAnsiTheme="majorBidi" w:cstheme="majorBidi"/>
          <w:sz w:val="28"/>
          <w:szCs w:val="28"/>
          <w:rtl/>
        </w:rPr>
      </w:pPr>
    </w:p>
    <w:p w14:paraId="51BB3321" w14:textId="77777777" w:rsidR="003E5A43" w:rsidRPr="003E5A43" w:rsidRDefault="003E5A43" w:rsidP="003E5A43">
      <w:pPr>
        <w:spacing w:line="360" w:lineRule="auto"/>
        <w:jc w:val="both"/>
        <w:rPr>
          <w:rFonts w:asciiTheme="majorBidi" w:hAnsiTheme="majorBidi" w:cstheme="majorBidi"/>
          <w:sz w:val="28"/>
          <w:szCs w:val="28"/>
        </w:rPr>
      </w:pPr>
      <w:r w:rsidRPr="003E5A43">
        <w:rPr>
          <w:rFonts w:asciiTheme="majorBidi" w:hAnsiTheme="majorBidi" w:cstheme="majorBidi"/>
          <w:sz w:val="28"/>
          <w:szCs w:val="28"/>
          <w:rtl/>
        </w:rPr>
        <w:t>تشير النتائج الواردة في الجدول إلى وجود فروق ذات دلالة إحصائية في مستوى الوعي الصحي الرقمي بين أفراد العينة تبعًا للفئة العمرية، حيث بلغت قيمة اختبار تحليل التباين الأحادي</w:t>
      </w:r>
      <w:r w:rsidRPr="003E5A43">
        <w:rPr>
          <w:rFonts w:asciiTheme="majorBidi" w:hAnsiTheme="majorBidi" w:cstheme="majorBidi"/>
          <w:sz w:val="28"/>
          <w:szCs w:val="28"/>
        </w:rPr>
        <w:t xml:space="preserve"> (F = 5.84) </w:t>
      </w:r>
      <w:r w:rsidRPr="003E5A43">
        <w:rPr>
          <w:rFonts w:asciiTheme="majorBidi" w:hAnsiTheme="majorBidi" w:cstheme="majorBidi"/>
          <w:sz w:val="28"/>
          <w:szCs w:val="28"/>
          <w:rtl/>
        </w:rPr>
        <w:t>عند مستوى دلالة</w:t>
      </w:r>
      <w:r w:rsidRPr="003E5A43">
        <w:rPr>
          <w:rFonts w:asciiTheme="majorBidi" w:hAnsiTheme="majorBidi" w:cstheme="majorBidi"/>
          <w:sz w:val="28"/>
          <w:szCs w:val="28"/>
        </w:rPr>
        <w:t xml:space="preserve"> </w:t>
      </w:r>
      <w:r w:rsidRPr="003E5A43">
        <w:rPr>
          <w:rFonts w:asciiTheme="majorBidi" w:hAnsiTheme="majorBidi" w:cstheme="majorBidi"/>
          <w:sz w:val="28"/>
          <w:szCs w:val="28"/>
        </w:rPr>
        <w:lastRenderedPageBreak/>
        <w:t>(Sig. = 0.001)</w:t>
      </w:r>
      <w:r w:rsidRPr="003E5A43">
        <w:rPr>
          <w:rFonts w:asciiTheme="majorBidi" w:hAnsiTheme="majorBidi" w:cstheme="majorBidi"/>
          <w:sz w:val="28"/>
          <w:szCs w:val="28"/>
          <w:rtl/>
        </w:rPr>
        <w:t>، وهي أقل من مستوى الدلالة المعتمد (0.05)، مما يدل على رفض الفرض الصفري وقبول الفرض البديل بوجود فروق ذات دلالة إحصائية بين متوسطات الفئات العمرية</w:t>
      </w:r>
      <w:r w:rsidRPr="003E5A43">
        <w:rPr>
          <w:rFonts w:asciiTheme="majorBidi" w:hAnsiTheme="majorBidi" w:cstheme="majorBidi"/>
          <w:sz w:val="28"/>
          <w:szCs w:val="28"/>
        </w:rPr>
        <w:t>.</w:t>
      </w:r>
    </w:p>
    <w:p w14:paraId="15A55B99" w14:textId="77777777" w:rsidR="003E5A43" w:rsidRPr="003E5A43" w:rsidRDefault="003E5A43" w:rsidP="003E5A43">
      <w:pPr>
        <w:spacing w:line="360" w:lineRule="auto"/>
        <w:jc w:val="both"/>
        <w:rPr>
          <w:rFonts w:asciiTheme="majorBidi" w:hAnsiTheme="majorBidi" w:cstheme="majorBidi"/>
          <w:sz w:val="28"/>
          <w:szCs w:val="28"/>
        </w:rPr>
      </w:pPr>
      <w:r w:rsidRPr="003E5A43">
        <w:rPr>
          <w:rFonts w:asciiTheme="majorBidi" w:hAnsiTheme="majorBidi" w:cstheme="majorBidi"/>
          <w:sz w:val="28"/>
          <w:szCs w:val="28"/>
          <w:rtl/>
        </w:rPr>
        <w:t xml:space="preserve">وبمقارنة المتوسطات الحسابية، يتضح أن الفئة العمرية </w:t>
      </w:r>
      <w:r w:rsidRPr="003E5A43">
        <w:rPr>
          <w:rFonts w:asciiTheme="majorBidi" w:hAnsiTheme="majorBidi" w:cstheme="majorBidi"/>
          <w:sz w:val="28"/>
          <w:szCs w:val="28"/>
        </w:rPr>
        <w:t xml:space="preserve">(30–39 </w:t>
      </w:r>
      <w:r w:rsidRPr="003E5A43">
        <w:rPr>
          <w:rFonts w:asciiTheme="majorBidi" w:hAnsiTheme="majorBidi" w:cstheme="majorBidi"/>
          <w:sz w:val="28"/>
          <w:szCs w:val="28"/>
          <w:rtl/>
        </w:rPr>
        <w:t>سنة</w:t>
      </w:r>
      <w:r w:rsidRPr="003E5A43">
        <w:rPr>
          <w:rFonts w:asciiTheme="majorBidi" w:hAnsiTheme="majorBidi" w:cstheme="majorBidi"/>
          <w:sz w:val="28"/>
          <w:szCs w:val="28"/>
        </w:rPr>
        <w:t xml:space="preserve">) </w:t>
      </w:r>
      <w:r w:rsidRPr="003E5A43">
        <w:rPr>
          <w:rFonts w:asciiTheme="majorBidi" w:hAnsiTheme="majorBidi" w:cstheme="majorBidi"/>
          <w:sz w:val="28"/>
          <w:szCs w:val="28"/>
          <w:rtl/>
        </w:rPr>
        <w:t xml:space="preserve">حققت أعلى متوسط حسابي بلغ </w:t>
      </w:r>
      <w:r w:rsidRPr="003E5A43">
        <w:rPr>
          <w:rFonts w:asciiTheme="majorBidi" w:hAnsiTheme="majorBidi" w:cstheme="majorBidi"/>
          <w:sz w:val="28"/>
          <w:szCs w:val="28"/>
        </w:rPr>
        <w:t>(4.02)</w:t>
      </w:r>
      <w:r w:rsidRPr="003E5A43">
        <w:rPr>
          <w:rFonts w:asciiTheme="majorBidi" w:hAnsiTheme="majorBidi" w:cstheme="majorBidi"/>
          <w:sz w:val="28"/>
          <w:szCs w:val="28"/>
          <w:rtl/>
        </w:rPr>
        <w:t xml:space="preserve">، تلتها الفئة العمرية </w:t>
      </w:r>
      <w:r w:rsidRPr="003E5A43">
        <w:rPr>
          <w:rFonts w:asciiTheme="majorBidi" w:hAnsiTheme="majorBidi" w:cstheme="majorBidi"/>
          <w:sz w:val="28"/>
          <w:szCs w:val="28"/>
        </w:rPr>
        <w:t xml:space="preserve">(40–49 </w:t>
      </w:r>
      <w:r w:rsidRPr="003E5A43">
        <w:rPr>
          <w:rFonts w:asciiTheme="majorBidi" w:hAnsiTheme="majorBidi" w:cstheme="majorBidi"/>
          <w:sz w:val="28"/>
          <w:szCs w:val="28"/>
          <w:rtl/>
        </w:rPr>
        <w:t>سنة</w:t>
      </w:r>
      <w:r w:rsidRPr="003E5A43">
        <w:rPr>
          <w:rFonts w:asciiTheme="majorBidi" w:hAnsiTheme="majorBidi" w:cstheme="majorBidi"/>
          <w:sz w:val="28"/>
          <w:szCs w:val="28"/>
        </w:rPr>
        <w:t xml:space="preserve">) </w:t>
      </w:r>
      <w:r w:rsidRPr="003E5A43">
        <w:rPr>
          <w:rFonts w:asciiTheme="majorBidi" w:hAnsiTheme="majorBidi" w:cstheme="majorBidi"/>
          <w:sz w:val="28"/>
          <w:szCs w:val="28"/>
          <w:rtl/>
        </w:rPr>
        <w:t xml:space="preserve">بمتوسط </w:t>
      </w:r>
      <w:r w:rsidRPr="003E5A43">
        <w:rPr>
          <w:rFonts w:asciiTheme="majorBidi" w:hAnsiTheme="majorBidi" w:cstheme="majorBidi"/>
          <w:sz w:val="28"/>
          <w:szCs w:val="28"/>
        </w:rPr>
        <w:t>(3.97)</w:t>
      </w:r>
      <w:r w:rsidRPr="003E5A43">
        <w:rPr>
          <w:rFonts w:asciiTheme="majorBidi" w:hAnsiTheme="majorBidi" w:cstheme="majorBidi"/>
          <w:sz w:val="28"/>
          <w:szCs w:val="28"/>
          <w:rtl/>
        </w:rPr>
        <w:t xml:space="preserve">، ثم الفئة العمرية </w:t>
      </w:r>
      <w:r w:rsidRPr="003E5A43">
        <w:rPr>
          <w:rFonts w:asciiTheme="majorBidi" w:hAnsiTheme="majorBidi" w:cstheme="majorBidi"/>
          <w:sz w:val="28"/>
          <w:szCs w:val="28"/>
        </w:rPr>
        <w:t xml:space="preserve">(50 </w:t>
      </w:r>
      <w:r w:rsidRPr="003E5A43">
        <w:rPr>
          <w:rFonts w:asciiTheme="majorBidi" w:hAnsiTheme="majorBidi" w:cstheme="majorBidi"/>
          <w:sz w:val="28"/>
          <w:szCs w:val="28"/>
          <w:rtl/>
        </w:rPr>
        <w:t>سنة فأكثر</w:t>
      </w:r>
      <w:r w:rsidRPr="003E5A43">
        <w:rPr>
          <w:rFonts w:asciiTheme="majorBidi" w:hAnsiTheme="majorBidi" w:cstheme="majorBidi"/>
          <w:sz w:val="28"/>
          <w:szCs w:val="28"/>
        </w:rPr>
        <w:t xml:space="preserve">) </w:t>
      </w:r>
      <w:r w:rsidRPr="003E5A43">
        <w:rPr>
          <w:rFonts w:asciiTheme="majorBidi" w:hAnsiTheme="majorBidi" w:cstheme="majorBidi"/>
          <w:sz w:val="28"/>
          <w:szCs w:val="28"/>
          <w:rtl/>
        </w:rPr>
        <w:t xml:space="preserve">بمتوسط </w:t>
      </w:r>
      <w:r w:rsidRPr="003E5A43">
        <w:rPr>
          <w:rFonts w:asciiTheme="majorBidi" w:hAnsiTheme="majorBidi" w:cstheme="majorBidi"/>
          <w:sz w:val="28"/>
          <w:szCs w:val="28"/>
        </w:rPr>
        <w:t>(3.88)</w:t>
      </w:r>
      <w:r w:rsidRPr="003E5A43">
        <w:rPr>
          <w:rFonts w:asciiTheme="majorBidi" w:hAnsiTheme="majorBidi" w:cstheme="majorBidi"/>
          <w:sz w:val="28"/>
          <w:szCs w:val="28"/>
          <w:rtl/>
        </w:rPr>
        <w:t xml:space="preserve">، بينما جاءت الفئة العمرية </w:t>
      </w:r>
      <w:r w:rsidRPr="003E5A43">
        <w:rPr>
          <w:rFonts w:asciiTheme="majorBidi" w:hAnsiTheme="majorBidi" w:cstheme="majorBidi"/>
          <w:sz w:val="28"/>
          <w:szCs w:val="28"/>
        </w:rPr>
        <w:t xml:space="preserve">(20–29 </w:t>
      </w:r>
      <w:r w:rsidRPr="003E5A43">
        <w:rPr>
          <w:rFonts w:asciiTheme="majorBidi" w:hAnsiTheme="majorBidi" w:cstheme="majorBidi"/>
          <w:sz w:val="28"/>
          <w:szCs w:val="28"/>
          <w:rtl/>
        </w:rPr>
        <w:t>سنة</w:t>
      </w:r>
      <w:r w:rsidRPr="003E5A43">
        <w:rPr>
          <w:rFonts w:asciiTheme="majorBidi" w:hAnsiTheme="majorBidi" w:cstheme="majorBidi"/>
          <w:sz w:val="28"/>
          <w:szCs w:val="28"/>
        </w:rPr>
        <w:t xml:space="preserve">) </w:t>
      </w:r>
      <w:r w:rsidRPr="003E5A43">
        <w:rPr>
          <w:rFonts w:asciiTheme="majorBidi" w:hAnsiTheme="majorBidi" w:cstheme="majorBidi"/>
          <w:sz w:val="28"/>
          <w:szCs w:val="28"/>
          <w:rtl/>
        </w:rPr>
        <w:t xml:space="preserve">بمتوسط </w:t>
      </w:r>
      <w:r w:rsidRPr="003E5A43">
        <w:rPr>
          <w:rFonts w:asciiTheme="majorBidi" w:hAnsiTheme="majorBidi" w:cstheme="majorBidi"/>
          <w:sz w:val="28"/>
          <w:szCs w:val="28"/>
        </w:rPr>
        <w:t>(3.81)</w:t>
      </w:r>
      <w:r w:rsidRPr="003E5A43">
        <w:rPr>
          <w:rFonts w:asciiTheme="majorBidi" w:hAnsiTheme="majorBidi" w:cstheme="majorBidi"/>
          <w:sz w:val="28"/>
          <w:szCs w:val="28"/>
          <w:rtl/>
        </w:rPr>
        <w:t xml:space="preserve">، وسجلت الفئة العمرية </w:t>
      </w:r>
      <w:r w:rsidRPr="003E5A43">
        <w:rPr>
          <w:rFonts w:asciiTheme="majorBidi" w:hAnsiTheme="majorBidi" w:cstheme="majorBidi"/>
          <w:sz w:val="28"/>
          <w:szCs w:val="28"/>
        </w:rPr>
        <w:t>(</w:t>
      </w:r>
      <w:r w:rsidRPr="003E5A43">
        <w:rPr>
          <w:rFonts w:asciiTheme="majorBidi" w:hAnsiTheme="majorBidi" w:cstheme="majorBidi"/>
          <w:sz w:val="28"/>
          <w:szCs w:val="28"/>
          <w:rtl/>
        </w:rPr>
        <w:t>أقل من 20 سنة</w:t>
      </w:r>
      <w:r w:rsidRPr="003E5A43">
        <w:rPr>
          <w:rFonts w:asciiTheme="majorBidi" w:hAnsiTheme="majorBidi" w:cstheme="majorBidi"/>
          <w:sz w:val="28"/>
          <w:szCs w:val="28"/>
        </w:rPr>
        <w:t xml:space="preserve">) </w:t>
      </w:r>
      <w:r w:rsidRPr="003E5A43">
        <w:rPr>
          <w:rFonts w:asciiTheme="majorBidi" w:hAnsiTheme="majorBidi" w:cstheme="majorBidi"/>
          <w:sz w:val="28"/>
          <w:szCs w:val="28"/>
          <w:rtl/>
        </w:rPr>
        <w:t xml:space="preserve">أدنى متوسط حسابي بلغ </w:t>
      </w:r>
      <w:r w:rsidRPr="003E5A43">
        <w:rPr>
          <w:rFonts w:asciiTheme="majorBidi" w:hAnsiTheme="majorBidi" w:cstheme="majorBidi"/>
          <w:sz w:val="28"/>
          <w:szCs w:val="28"/>
        </w:rPr>
        <w:t>(3.55).</w:t>
      </w:r>
    </w:p>
    <w:p w14:paraId="6B477F49" w14:textId="150EA209" w:rsidR="00D520F6" w:rsidRPr="00A93A06" w:rsidRDefault="003E5A43" w:rsidP="003E5A43">
      <w:pPr>
        <w:spacing w:line="360" w:lineRule="auto"/>
        <w:jc w:val="both"/>
        <w:rPr>
          <w:rFonts w:asciiTheme="majorBidi" w:hAnsiTheme="majorBidi" w:cstheme="majorBidi"/>
          <w:sz w:val="28"/>
          <w:szCs w:val="28"/>
        </w:rPr>
      </w:pPr>
      <w:r w:rsidRPr="003E5A43">
        <w:rPr>
          <w:rFonts w:asciiTheme="majorBidi" w:hAnsiTheme="majorBidi" w:cstheme="majorBidi"/>
          <w:sz w:val="28"/>
          <w:szCs w:val="28"/>
          <w:rtl/>
        </w:rPr>
        <w:t>وتوحي هذه النتيجة بأن مستوى الوعي الصحي الرقمي يزداد مع التقدم في العمر حتى مرحلة الثلاثينيات، وهو ما قد يرتبط بارتفاع الخبرة الحياتية وزيادة الاهتمام بالقضايا الصحية والاعتماد على المصادر الرقمية في الحصول على المعلومات الصحية</w:t>
      </w:r>
      <w:r w:rsidRPr="003E5A43">
        <w:rPr>
          <w:rFonts w:asciiTheme="majorBidi" w:hAnsiTheme="majorBidi" w:cstheme="majorBidi"/>
          <w:sz w:val="28"/>
          <w:szCs w:val="28"/>
        </w:rPr>
        <w:t>.</w:t>
      </w:r>
    </w:p>
    <w:p w14:paraId="01B830EA" w14:textId="6BB1A63F" w:rsidR="00A93A06" w:rsidRDefault="00A93A06" w:rsidP="00A93A06">
      <w:pPr>
        <w:numPr>
          <w:ilvl w:val="1"/>
          <w:numId w:val="10"/>
        </w:numPr>
        <w:spacing w:line="360" w:lineRule="auto"/>
        <w:jc w:val="both"/>
        <w:rPr>
          <w:rFonts w:asciiTheme="majorBidi" w:hAnsiTheme="majorBidi" w:cstheme="majorBidi"/>
          <w:sz w:val="28"/>
          <w:szCs w:val="28"/>
        </w:rPr>
      </w:pPr>
      <w:r w:rsidRPr="00A93A06">
        <w:rPr>
          <w:rFonts w:asciiTheme="majorBidi" w:hAnsiTheme="majorBidi" w:cstheme="majorBidi"/>
          <w:sz w:val="28"/>
          <w:szCs w:val="28"/>
          <w:rtl/>
        </w:rPr>
        <w:t>معامل ارتباط بيرسون لاختبار العلاقات بين المتغيرات الكمية (العلاقة بين معدل الاستخدام والوعي الصحي)</w:t>
      </w:r>
      <w:r w:rsidRPr="00A93A06">
        <w:rPr>
          <w:rFonts w:asciiTheme="majorBidi" w:hAnsiTheme="majorBidi" w:cstheme="majorBidi"/>
          <w:sz w:val="28"/>
          <w:szCs w:val="28"/>
        </w:rPr>
        <w:t>.</w:t>
      </w:r>
    </w:p>
    <w:tbl>
      <w:tblPr>
        <w:tblStyle w:val="af3"/>
        <w:tblW w:w="0" w:type="auto"/>
        <w:tblLook w:val="04A0" w:firstRow="1" w:lastRow="0" w:firstColumn="1" w:lastColumn="0" w:noHBand="0" w:noVBand="1"/>
      </w:tblPr>
      <w:tblGrid>
        <w:gridCol w:w="4339"/>
        <w:gridCol w:w="2622"/>
        <w:gridCol w:w="2389"/>
      </w:tblGrid>
      <w:tr w:rsidR="000B7DDA" w:rsidRPr="000B7DDA" w14:paraId="3DB2644D" w14:textId="77777777" w:rsidTr="000B7DDA">
        <w:tc>
          <w:tcPr>
            <w:tcW w:w="0" w:type="auto"/>
            <w:hideMark/>
          </w:tcPr>
          <w:p w14:paraId="2DCE98DF" w14:textId="77777777" w:rsidR="000B7DDA" w:rsidRPr="000B7DDA" w:rsidRDefault="000B7DDA" w:rsidP="000B7DDA">
            <w:pPr>
              <w:spacing w:after="160" w:line="360" w:lineRule="auto"/>
              <w:ind w:left="1080"/>
              <w:jc w:val="both"/>
              <w:rPr>
                <w:rFonts w:asciiTheme="majorBidi" w:hAnsiTheme="majorBidi" w:cstheme="majorBidi"/>
                <w:b/>
                <w:bCs/>
                <w:sz w:val="28"/>
                <w:szCs w:val="28"/>
              </w:rPr>
            </w:pPr>
            <w:r w:rsidRPr="000B7DDA">
              <w:rPr>
                <w:rFonts w:asciiTheme="majorBidi" w:hAnsiTheme="majorBidi" w:cstheme="majorBidi"/>
                <w:b/>
                <w:bCs/>
                <w:sz w:val="28"/>
                <w:szCs w:val="28"/>
                <w:rtl/>
              </w:rPr>
              <w:t>المتغيران</w:t>
            </w:r>
          </w:p>
        </w:tc>
        <w:tc>
          <w:tcPr>
            <w:tcW w:w="0" w:type="auto"/>
            <w:hideMark/>
          </w:tcPr>
          <w:p w14:paraId="69CB79ED" w14:textId="77777777" w:rsidR="000B7DDA" w:rsidRPr="000B7DDA" w:rsidRDefault="000B7DDA" w:rsidP="000B7DDA">
            <w:pPr>
              <w:spacing w:after="160" w:line="360" w:lineRule="auto"/>
              <w:ind w:left="1080"/>
              <w:jc w:val="both"/>
              <w:rPr>
                <w:rFonts w:asciiTheme="majorBidi" w:hAnsiTheme="majorBidi" w:cstheme="majorBidi"/>
                <w:b/>
                <w:bCs/>
                <w:sz w:val="28"/>
                <w:szCs w:val="28"/>
              </w:rPr>
            </w:pPr>
            <w:r w:rsidRPr="000B7DDA">
              <w:rPr>
                <w:rFonts w:asciiTheme="majorBidi" w:hAnsiTheme="majorBidi" w:cstheme="majorBidi"/>
                <w:b/>
                <w:bCs/>
                <w:sz w:val="28"/>
                <w:szCs w:val="28"/>
                <w:rtl/>
              </w:rPr>
              <w:t>معامل الارتباط</w:t>
            </w:r>
            <w:r w:rsidRPr="000B7DDA">
              <w:rPr>
                <w:rFonts w:asciiTheme="majorBidi" w:hAnsiTheme="majorBidi" w:cstheme="majorBidi"/>
                <w:b/>
                <w:bCs/>
                <w:sz w:val="28"/>
                <w:szCs w:val="28"/>
              </w:rPr>
              <w:t xml:space="preserve"> (r)</w:t>
            </w:r>
          </w:p>
        </w:tc>
        <w:tc>
          <w:tcPr>
            <w:tcW w:w="0" w:type="auto"/>
            <w:hideMark/>
          </w:tcPr>
          <w:p w14:paraId="3E116DE9" w14:textId="77777777" w:rsidR="000B7DDA" w:rsidRPr="000B7DDA" w:rsidRDefault="000B7DDA" w:rsidP="000B7DDA">
            <w:pPr>
              <w:spacing w:after="160" w:line="360" w:lineRule="auto"/>
              <w:ind w:left="1080"/>
              <w:jc w:val="both"/>
              <w:rPr>
                <w:rFonts w:asciiTheme="majorBidi" w:hAnsiTheme="majorBidi" w:cstheme="majorBidi"/>
                <w:b/>
                <w:bCs/>
                <w:sz w:val="28"/>
                <w:szCs w:val="28"/>
              </w:rPr>
            </w:pPr>
            <w:r w:rsidRPr="000B7DDA">
              <w:rPr>
                <w:rFonts w:asciiTheme="majorBidi" w:hAnsiTheme="majorBidi" w:cstheme="majorBidi"/>
                <w:b/>
                <w:bCs/>
                <w:sz w:val="28"/>
                <w:szCs w:val="28"/>
                <w:rtl/>
              </w:rPr>
              <w:t>مستوى الدلالة</w:t>
            </w:r>
          </w:p>
        </w:tc>
      </w:tr>
      <w:tr w:rsidR="000B7DDA" w:rsidRPr="000B7DDA" w14:paraId="2B3C1383" w14:textId="77777777" w:rsidTr="000B7DDA">
        <w:tc>
          <w:tcPr>
            <w:tcW w:w="0" w:type="auto"/>
            <w:hideMark/>
          </w:tcPr>
          <w:p w14:paraId="7FBEC3F2" w14:textId="77777777" w:rsidR="000B7DDA" w:rsidRPr="000B7DDA" w:rsidRDefault="000B7DDA" w:rsidP="000B7DDA">
            <w:pPr>
              <w:spacing w:after="160" w:line="360" w:lineRule="auto"/>
              <w:ind w:left="1080"/>
              <w:jc w:val="both"/>
              <w:rPr>
                <w:rFonts w:asciiTheme="majorBidi" w:hAnsiTheme="majorBidi" w:cstheme="majorBidi"/>
                <w:sz w:val="28"/>
                <w:szCs w:val="28"/>
              </w:rPr>
            </w:pPr>
            <w:r w:rsidRPr="000B7DDA">
              <w:rPr>
                <w:rFonts w:asciiTheme="majorBidi" w:hAnsiTheme="majorBidi" w:cstheme="majorBidi"/>
                <w:sz w:val="28"/>
                <w:szCs w:val="28"/>
                <w:rtl/>
              </w:rPr>
              <w:t>معدل استخدام المنصات الرقمية × الوعي الصحي</w:t>
            </w:r>
          </w:p>
        </w:tc>
        <w:tc>
          <w:tcPr>
            <w:tcW w:w="0" w:type="auto"/>
            <w:hideMark/>
          </w:tcPr>
          <w:p w14:paraId="54702348" w14:textId="77777777" w:rsidR="000B7DDA" w:rsidRPr="000B7DDA" w:rsidRDefault="000B7DDA" w:rsidP="000B7DDA">
            <w:pPr>
              <w:spacing w:after="160" w:line="360" w:lineRule="auto"/>
              <w:ind w:left="1080"/>
              <w:jc w:val="both"/>
              <w:rPr>
                <w:rFonts w:asciiTheme="majorBidi" w:hAnsiTheme="majorBidi" w:cstheme="majorBidi"/>
                <w:sz w:val="28"/>
                <w:szCs w:val="28"/>
              </w:rPr>
            </w:pPr>
            <w:r w:rsidRPr="000B7DDA">
              <w:rPr>
                <w:rFonts w:asciiTheme="majorBidi" w:hAnsiTheme="majorBidi" w:cstheme="majorBidi"/>
                <w:sz w:val="28"/>
                <w:szCs w:val="28"/>
              </w:rPr>
              <w:t>0.46</w:t>
            </w:r>
          </w:p>
        </w:tc>
        <w:tc>
          <w:tcPr>
            <w:tcW w:w="0" w:type="auto"/>
            <w:hideMark/>
          </w:tcPr>
          <w:p w14:paraId="6D067179" w14:textId="77777777" w:rsidR="000B7DDA" w:rsidRPr="000B7DDA" w:rsidRDefault="000B7DDA" w:rsidP="000B7DDA">
            <w:pPr>
              <w:spacing w:after="160" w:line="360" w:lineRule="auto"/>
              <w:ind w:left="1080"/>
              <w:jc w:val="both"/>
              <w:rPr>
                <w:rFonts w:asciiTheme="majorBidi" w:hAnsiTheme="majorBidi" w:cstheme="majorBidi"/>
                <w:sz w:val="28"/>
                <w:szCs w:val="28"/>
              </w:rPr>
            </w:pPr>
            <w:r w:rsidRPr="000B7DDA">
              <w:rPr>
                <w:rFonts w:asciiTheme="majorBidi" w:hAnsiTheme="majorBidi" w:cstheme="majorBidi"/>
                <w:sz w:val="28"/>
                <w:szCs w:val="28"/>
              </w:rPr>
              <w:t>0.000*</w:t>
            </w:r>
          </w:p>
        </w:tc>
      </w:tr>
    </w:tbl>
    <w:p w14:paraId="4A9FB362" w14:textId="77777777" w:rsidR="00B57028" w:rsidRDefault="00B57028" w:rsidP="00306FA7">
      <w:pPr>
        <w:spacing w:line="360" w:lineRule="auto"/>
        <w:jc w:val="both"/>
        <w:rPr>
          <w:rFonts w:asciiTheme="majorBidi" w:hAnsiTheme="majorBidi" w:cstheme="majorBidi"/>
          <w:sz w:val="28"/>
          <w:szCs w:val="28"/>
          <w:rtl/>
        </w:rPr>
      </w:pPr>
    </w:p>
    <w:p w14:paraId="1D1D6DA9" w14:textId="77777777" w:rsidR="00306FA7" w:rsidRPr="00306FA7" w:rsidRDefault="00306FA7" w:rsidP="00306FA7">
      <w:pPr>
        <w:spacing w:line="360" w:lineRule="auto"/>
        <w:jc w:val="both"/>
        <w:rPr>
          <w:rFonts w:asciiTheme="majorBidi" w:hAnsiTheme="majorBidi" w:cstheme="majorBidi"/>
          <w:sz w:val="28"/>
          <w:szCs w:val="28"/>
        </w:rPr>
      </w:pPr>
      <w:r w:rsidRPr="00306FA7">
        <w:rPr>
          <w:rFonts w:asciiTheme="majorBidi" w:hAnsiTheme="majorBidi" w:cstheme="majorBidi"/>
          <w:sz w:val="28"/>
          <w:szCs w:val="28"/>
          <w:rtl/>
        </w:rPr>
        <w:t xml:space="preserve">تشير نتائج تحليل معامل ارتباط بيرسون إلى وجود علاقة ارتباط موجبة ذات دلالة إحصائية بين معدل استخدام المنصات الرقمية ومستوى الوعي الصحي لدى أفراد العينة، حيث بلغ معامل الارتباط </w:t>
      </w:r>
      <w:r w:rsidRPr="00306FA7">
        <w:rPr>
          <w:rFonts w:asciiTheme="majorBidi" w:hAnsiTheme="majorBidi" w:cstheme="majorBidi"/>
          <w:sz w:val="28"/>
          <w:szCs w:val="28"/>
        </w:rPr>
        <w:t xml:space="preserve">(r = 0.46) </w:t>
      </w:r>
      <w:r w:rsidRPr="00306FA7">
        <w:rPr>
          <w:rFonts w:asciiTheme="majorBidi" w:hAnsiTheme="majorBidi" w:cstheme="majorBidi"/>
          <w:sz w:val="28"/>
          <w:szCs w:val="28"/>
          <w:rtl/>
        </w:rPr>
        <w:t xml:space="preserve">عند مستوى دلالة </w:t>
      </w:r>
      <w:r w:rsidRPr="00306FA7">
        <w:rPr>
          <w:rFonts w:asciiTheme="majorBidi" w:hAnsiTheme="majorBidi" w:cstheme="majorBidi"/>
          <w:sz w:val="28"/>
          <w:szCs w:val="28"/>
        </w:rPr>
        <w:t>(Sig. = 0.000)</w:t>
      </w:r>
      <w:r w:rsidRPr="00306FA7">
        <w:rPr>
          <w:rFonts w:asciiTheme="majorBidi" w:hAnsiTheme="majorBidi" w:cstheme="majorBidi"/>
          <w:sz w:val="28"/>
          <w:szCs w:val="28"/>
          <w:rtl/>
        </w:rPr>
        <w:t xml:space="preserve">، وهي قيمة أقل من مستوى الدلالة المعتمد </w:t>
      </w:r>
      <w:r w:rsidRPr="00306FA7">
        <w:rPr>
          <w:rFonts w:asciiTheme="majorBidi" w:hAnsiTheme="majorBidi" w:cstheme="majorBidi"/>
          <w:sz w:val="28"/>
          <w:szCs w:val="28"/>
        </w:rPr>
        <w:t>(0.05)</w:t>
      </w:r>
      <w:r w:rsidRPr="00306FA7">
        <w:rPr>
          <w:rFonts w:asciiTheme="majorBidi" w:hAnsiTheme="majorBidi" w:cstheme="majorBidi"/>
          <w:sz w:val="28"/>
          <w:szCs w:val="28"/>
          <w:rtl/>
        </w:rPr>
        <w:t>، مما يدل على وجود علاقة ارتباط ذات دلالة إحصائية بين المتغيرين</w:t>
      </w:r>
      <w:r w:rsidRPr="00306FA7">
        <w:rPr>
          <w:rFonts w:asciiTheme="majorBidi" w:hAnsiTheme="majorBidi" w:cstheme="majorBidi"/>
          <w:sz w:val="28"/>
          <w:szCs w:val="28"/>
        </w:rPr>
        <w:t>.</w:t>
      </w:r>
    </w:p>
    <w:p w14:paraId="0D04AEB6" w14:textId="77777777" w:rsidR="00306FA7" w:rsidRPr="00306FA7" w:rsidRDefault="00306FA7" w:rsidP="00306FA7">
      <w:pPr>
        <w:spacing w:line="360" w:lineRule="auto"/>
        <w:jc w:val="both"/>
        <w:rPr>
          <w:rFonts w:asciiTheme="majorBidi" w:hAnsiTheme="majorBidi" w:cstheme="majorBidi"/>
          <w:sz w:val="28"/>
          <w:szCs w:val="28"/>
        </w:rPr>
      </w:pPr>
      <w:r w:rsidRPr="00306FA7">
        <w:rPr>
          <w:rFonts w:asciiTheme="majorBidi" w:hAnsiTheme="majorBidi" w:cstheme="majorBidi"/>
          <w:sz w:val="28"/>
          <w:szCs w:val="28"/>
          <w:rtl/>
        </w:rPr>
        <w:t xml:space="preserve">ويشير معامل الارتباط البالغ </w:t>
      </w:r>
      <w:r w:rsidRPr="00306FA7">
        <w:rPr>
          <w:rFonts w:asciiTheme="majorBidi" w:hAnsiTheme="majorBidi" w:cstheme="majorBidi"/>
          <w:sz w:val="28"/>
          <w:szCs w:val="28"/>
        </w:rPr>
        <w:t xml:space="preserve">(0.46) </w:t>
      </w:r>
      <w:r w:rsidRPr="00306FA7">
        <w:rPr>
          <w:rFonts w:asciiTheme="majorBidi" w:hAnsiTheme="majorBidi" w:cstheme="majorBidi"/>
          <w:sz w:val="28"/>
          <w:szCs w:val="28"/>
          <w:rtl/>
        </w:rPr>
        <w:t>إلى وجود علاقة ارتباط موجبة متوسطة القوة، بما يعني أنه كلما ارتفع معدل استخدام المنصات الرقمية ارتفع مستوى الوعي الصحي لدى أفراد العينة. ويعكس ذلك الدور الذي يمكن أن تؤديه المنصات الرقمية في إتاحة المعلومات الصحية ونشر الرسائل التوعوية، بما يسهم في تنمية معارف الأفراد وتعزيز وعيهم بالقضايا الصحية</w:t>
      </w:r>
      <w:r w:rsidRPr="00306FA7">
        <w:rPr>
          <w:rFonts w:asciiTheme="majorBidi" w:hAnsiTheme="majorBidi" w:cstheme="majorBidi"/>
          <w:sz w:val="28"/>
          <w:szCs w:val="28"/>
        </w:rPr>
        <w:t>.</w:t>
      </w:r>
    </w:p>
    <w:p w14:paraId="5A4F9B25" w14:textId="21CED805" w:rsidR="00306FA7" w:rsidRPr="00306FA7" w:rsidRDefault="00306FA7" w:rsidP="00306FA7">
      <w:pPr>
        <w:spacing w:line="360" w:lineRule="auto"/>
        <w:jc w:val="both"/>
        <w:rPr>
          <w:rFonts w:asciiTheme="majorBidi" w:hAnsiTheme="majorBidi" w:cstheme="majorBidi"/>
          <w:sz w:val="28"/>
          <w:szCs w:val="28"/>
        </w:rPr>
      </w:pPr>
      <w:r w:rsidRPr="00306FA7">
        <w:rPr>
          <w:rFonts w:asciiTheme="majorBidi" w:hAnsiTheme="majorBidi" w:cstheme="majorBidi"/>
          <w:sz w:val="28"/>
          <w:szCs w:val="28"/>
          <w:rtl/>
        </w:rPr>
        <w:lastRenderedPageBreak/>
        <w:t>وتتفق هذه النتيجة مع العديد من الدراسات السابقة التي أكدت وجود علاقة إيجابية بين التعرض للمحتوى الصحي عبر الوسائط الرقمية ومستوى الوعي الصحي، حيث أشارت إلى أن الاستخدام المنتظم للمنصات الرقمية يتيح الوصول إلى معلومات صحية متنوعة ويسهم في تعزيز الثقافة الصحية، خاصة عند الاعتماد على مصادر رسمية وموثوقة. كما تؤكد هذه النتيجة أهمية توظيف المنصات الرقمية كوسيلة فعالة في نشر التوعية الصحية وتعزيز السلوكيات الصحية الإيجابية بين مختلف فئات المجتمع</w:t>
      </w:r>
      <w:r w:rsidRPr="00306FA7">
        <w:rPr>
          <w:rFonts w:asciiTheme="majorBidi" w:hAnsiTheme="majorBidi" w:cstheme="majorBidi"/>
          <w:sz w:val="28"/>
          <w:szCs w:val="28"/>
        </w:rPr>
        <w:t>.</w:t>
      </w:r>
    </w:p>
    <w:p w14:paraId="12392B1F" w14:textId="6B3DBE7A" w:rsidR="00A93A06" w:rsidRPr="00A93A06" w:rsidRDefault="00A93A06" w:rsidP="00A93A06">
      <w:pPr>
        <w:numPr>
          <w:ilvl w:val="1"/>
          <w:numId w:val="10"/>
        </w:numPr>
        <w:spacing w:line="360" w:lineRule="auto"/>
        <w:jc w:val="both"/>
        <w:rPr>
          <w:rFonts w:asciiTheme="majorBidi" w:hAnsiTheme="majorBidi" w:cstheme="majorBidi"/>
          <w:sz w:val="28"/>
          <w:szCs w:val="28"/>
        </w:rPr>
      </w:pPr>
      <w:r w:rsidRPr="00A93A06">
        <w:rPr>
          <w:rFonts w:asciiTheme="majorBidi" w:hAnsiTheme="majorBidi" w:cstheme="majorBidi"/>
          <w:sz w:val="28"/>
          <w:szCs w:val="28"/>
          <w:rtl/>
        </w:rPr>
        <w:t>اختبار (كاي تربيع) لاختبار العلاقات بين المتغيرات الفئوية (العلاقة بين المنطقة الجغرافية ووجود مرض عصبي في الأسرة)</w:t>
      </w:r>
      <w:r w:rsidRPr="00A93A06">
        <w:rPr>
          <w:rFonts w:asciiTheme="majorBidi" w:hAnsiTheme="majorBidi" w:cstheme="majorBidi"/>
          <w:sz w:val="28"/>
          <w:szCs w:val="28"/>
        </w:rPr>
        <w:t>.</w:t>
      </w:r>
    </w:p>
    <w:tbl>
      <w:tblPr>
        <w:tblStyle w:val="af3"/>
        <w:tblW w:w="0" w:type="auto"/>
        <w:jc w:val="center"/>
        <w:tblLook w:val="04A0" w:firstRow="1" w:lastRow="0" w:firstColumn="1" w:lastColumn="0" w:noHBand="0" w:noVBand="1"/>
      </w:tblPr>
      <w:tblGrid>
        <w:gridCol w:w="1235"/>
        <w:gridCol w:w="616"/>
        <w:gridCol w:w="616"/>
        <w:gridCol w:w="1291"/>
      </w:tblGrid>
      <w:tr w:rsidR="00FE7132" w:rsidRPr="00FE7132" w14:paraId="4FB3CE20" w14:textId="77777777" w:rsidTr="00FE7132">
        <w:trPr>
          <w:jc w:val="center"/>
        </w:trPr>
        <w:tc>
          <w:tcPr>
            <w:tcW w:w="0" w:type="auto"/>
            <w:hideMark/>
          </w:tcPr>
          <w:p w14:paraId="74EC3A1F" w14:textId="77777777" w:rsidR="00FE7132" w:rsidRPr="00FE7132" w:rsidRDefault="00FE7132" w:rsidP="00FE7132">
            <w:pPr>
              <w:bidi w:val="0"/>
              <w:jc w:val="center"/>
              <w:rPr>
                <w:rFonts w:ascii="Times New Roman" w:eastAsia="Times New Roman" w:hAnsi="Times New Roman" w:cs="Times New Roman"/>
                <w:b/>
                <w:bCs/>
                <w:kern w:val="0"/>
                <w:sz w:val="40"/>
                <w:szCs w:val="40"/>
                <w14:ligatures w14:val="none"/>
              </w:rPr>
            </w:pPr>
            <w:r w:rsidRPr="00FE7132">
              <w:rPr>
                <w:rFonts w:ascii="Times New Roman" w:eastAsia="Times New Roman" w:hAnsi="Times New Roman" w:cs="Times New Roman"/>
                <w:b/>
                <w:bCs/>
                <w:kern w:val="0"/>
                <w:sz w:val="40"/>
                <w:szCs w:val="40"/>
                <w:rtl/>
                <w14:ligatures w14:val="none"/>
              </w:rPr>
              <w:t>المنطقة</w:t>
            </w:r>
          </w:p>
        </w:tc>
        <w:tc>
          <w:tcPr>
            <w:tcW w:w="0" w:type="auto"/>
            <w:hideMark/>
          </w:tcPr>
          <w:p w14:paraId="257EB7FE" w14:textId="77777777" w:rsidR="00FE7132" w:rsidRPr="00FE7132" w:rsidRDefault="00FE7132" w:rsidP="00FE7132">
            <w:pPr>
              <w:bidi w:val="0"/>
              <w:jc w:val="center"/>
              <w:rPr>
                <w:rFonts w:ascii="Times New Roman" w:eastAsia="Times New Roman" w:hAnsi="Times New Roman" w:cs="Times New Roman"/>
                <w:b/>
                <w:bCs/>
                <w:kern w:val="0"/>
                <w:sz w:val="40"/>
                <w:szCs w:val="40"/>
                <w14:ligatures w14:val="none"/>
              </w:rPr>
            </w:pPr>
            <w:r w:rsidRPr="00FE7132">
              <w:rPr>
                <w:rFonts w:ascii="Times New Roman" w:eastAsia="Times New Roman" w:hAnsi="Times New Roman" w:cs="Times New Roman"/>
                <w:b/>
                <w:bCs/>
                <w:kern w:val="0"/>
                <w:sz w:val="40"/>
                <w:szCs w:val="40"/>
                <w:rtl/>
                <w14:ligatures w14:val="none"/>
              </w:rPr>
              <w:t>نعم</w:t>
            </w:r>
          </w:p>
        </w:tc>
        <w:tc>
          <w:tcPr>
            <w:tcW w:w="0" w:type="auto"/>
            <w:hideMark/>
          </w:tcPr>
          <w:p w14:paraId="09654127" w14:textId="77777777" w:rsidR="00FE7132" w:rsidRPr="00FE7132" w:rsidRDefault="00FE7132" w:rsidP="00FE7132">
            <w:pPr>
              <w:bidi w:val="0"/>
              <w:jc w:val="center"/>
              <w:rPr>
                <w:rFonts w:ascii="Times New Roman" w:eastAsia="Times New Roman" w:hAnsi="Times New Roman" w:cs="Times New Roman"/>
                <w:b/>
                <w:bCs/>
                <w:kern w:val="0"/>
                <w:sz w:val="40"/>
                <w:szCs w:val="40"/>
                <w14:ligatures w14:val="none"/>
              </w:rPr>
            </w:pPr>
            <w:r w:rsidRPr="00FE7132">
              <w:rPr>
                <w:rFonts w:ascii="Times New Roman" w:eastAsia="Times New Roman" w:hAnsi="Times New Roman" w:cs="Times New Roman"/>
                <w:b/>
                <w:bCs/>
                <w:kern w:val="0"/>
                <w:sz w:val="40"/>
                <w:szCs w:val="40"/>
                <w:rtl/>
                <w14:ligatures w14:val="none"/>
              </w:rPr>
              <w:t>لا</w:t>
            </w:r>
          </w:p>
        </w:tc>
        <w:tc>
          <w:tcPr>
            <w:tcW w:w="0" w:type="auto"/>
            <w:hideMark/>
          </w:tcPr>
          <w:p w14:paraId="0C811949" w14:textId="77777777" w:rsidR="00FE7132" w:rsidRPr="00FE7132" w:rsidRDefault="00FE7132" w:rsidP="00FE7132">
            <w:pPr>
              <w:bidi w:val="0"/>
              <w:jc w:val="center"/>
              <w:rPr>
                <w:rFonts w:ascii="Times New Roman" w:eastAsia="Times New Roman" w:hAnsi="Times New Roman" w:cs="Times New Roman"/>
                <w:b/>
                <w:bCs/>
                <w:kern w:val="0"/>
                <w:sz w:val="40"/>
                <w:szCs w:val="40"/>
                <w14:ligatures w14:val="none"/>
              </w:rPr>
            </w:pPr>
            <w:r w:rsidRPr="00FE7132">
              <w:rPr>
                <w:rFonts w:ascii="Times New Roman" w:eastAsia="Times New Roman" w:hAnsi="Times New Roman" w:cs="Times New Roman"/>
                <w:b/>
                <w:bCs/>
                <w:kern w:val="0"/>
                <w:sz w:val="40"/>
                <w:szCs w:val="40"/>
                <w:rtl/>
                <w14:ligatures w14:val="none"/>
              </w:rPr>
              <w:t>الإجمالي</w:t>
            </w:r>
          </w:p>
        </w:tc>
      </w:tr>
      <w:tr w:rsidR="00FE7132" w:rsidRPr="00FE7132" w14:paraId="5F9130B2" w14:textId="77777777" w:rsidTr="00FE7132">
        <w:trPr>
          <w:jc w:val="center"/>
        </w:trPr>
        <w:tc>
          <w:tcPr>
            <w:tcW w:w="0" w:type="auto"/>
            <w:hideMark/>
          </w:tcPr>
          <w:p w14:paraId="3FF77BD7" w14:textId="77777777" w:rsidR="00FE7132" w:rsidRPr="00FE7132" w:rsidRDefault="00FE7132" w:rsidP="00FE7132">
            <w:pPr>
              <w:bidi w:val="0"/>
              <w:rPr>
                <w:rFonts w:ascii="Times New Roman" w:eastAsia="Times New Roman" w:hAnsi="Times New Roman" w:cs="Times New Roman"/>
                <w:kern w:val="0"/>
                <w:sz w:val="40"/>
                <w:szCs w:val="40"/>
                <w14:ligatures w14:val="none"/>
              </w:rPr>
            </w:pPr>
            <w:r w:rsidRPr="00FE7132">
              <w:rPr>
                <w:rFonts w:ascii="Times New Roman" w:eastAsia="Times New Roman" w:hAnsi="Times New Roman" w:cs="Times New Roman"/>
                <w:kern w:val="0"/>
                <w:sz w:val="40"/>
                <w:szCs w:val="40"/>
                <w:rtl/>
                <w14:ligatures w14:val="none"/>
              </w:rPr>
              <w:t>الوسطى</w:t>
            </w:r>
          </w:p>
        </w:tc>
        <w:tc>
          <w:tcPr>
            <w:tcW w:w="0" w:type="auto"/>
            <w:hideMark/>
          </w:tcPr>
          <w:p w14:paraId="1456B542" w14:textId="77777777" w:rsidR="00FE7132" w:rsidRPr="00FE7132" w:rsidRDefault="00FE7132" w:rsidP="00FE7132">
            <w:pPr>
              <w:bidi w:val="0"/>
              <w:rPr>
                <w:rFonts w:ascii="Times New Roman" w:eastAsia="Times New Roman" w:hAnsi="Times New Roman" w:cs="Times New Roman"/>
                <w:kern w:val="0"/>
                <w:sz w:val="40"/>
                <w:szCs w:val="40"/>
                <w14:ligatures w14:val="none"/>
              </w:rPr>
            </w:pPr>
            <w:r w:rsidRPr="00FE7132">
              <w:rPr>
                <w:rFonts w:ascii="Times New Roman" w:eastAsia="Times New Roman" w:hAnsi="Times New Roman" w:cs="Times New Roman"/>
                <w:kern w:val="0"/>
                <w:sz w:val="40"/>
                <w:szCs w:val="40"/>
                <w14:ligatures w14:val="none"/>
              </w:rPr>
              <w:t>28</w:t>
            </w:r>
          </w:p>
        </w:tc>
        <w:tc>
          <w:tcPr>
            <w:tcW w:w="0" w:type="auto"/>
            <w:hideMark/>
          </w:tcPr>
          <w:p w14:paraId="5D7469C2" w14:textId="77777777" w:rsidR="00FE7132" w:rsidRPr="00FE7132" w:rsidRDefault="00FE7132" w:rsidP="00FE7132">
            <w:pPr>
              <w:bidi w:val="0"/>
              <w:rPr>
                <w:rFonts w:ascii="Times New Roman" w:eastAsia="Times New Roman" w:hAnsi="Times New Roman" w:cs="Times New Roman"/>
                <w:kern w:val="0"/>
                <w:sz w:val="40"/>
                <w:szCs w:val="40"/>
                <w14:ligatures w14:val="none"/>
              </w:rPr>
            </w:pPr>
            <w:r w:rsidRPr="00FE7132">
              <w:rPr>
                <w:rFonts w:ascii="Times New Roman" w:eastAsia="Times New Roman" w:hAnsi="Times New Roman" w:cs="Times New Roman"/>
                <w:kern w:val="0"/>
                <w:sz w:val="40"/>
                <w:szCs w:val="40"/>
                <w14:ligatures w14:val="none"/>
              </w:rPr>
              <w:t>77</w:t>
            </w:r>
          </w:p>
        </w:tc>
        <w:tc>
          <w:tcPr>
            <w:tcW w:w="0" w:type="auto"/>
            <w:hideMark/>
          </w:tcPr>
          <w:p w14:paraId="560A2DF0" w14:textId="77777777" w:rsidR="00FE7132" w:rsidRPr="00FE7132" w:rsidRDefault="00FE7132" w:rsidP="00FE7132">
            <w:pPr>
              <w:bidi w:val="0"/>
              <w:rPr>
                <w:rFonts w:ascii="Times New Roman" w:eastAsia="Times New Roman" w:hAnsi="Times New Roman" w:cs="Times New Roman"/>
                <w:kern w:val="0"/>
                <w:sz w:val="40"/>
                <w:szCs w:val="40"/>
                <w14:ligatures w14:val="none"/>
              </w:rPr>
            </w:pPr>
            <w:r w:rsidRPr="00FE7132">
              <w:rPr>
                <w:rFonts w:ascii="Times New Roman" w:eastAsia="Times New Roman" w:hAnsi="Times New Roman" w:cs="Times New Roman"/>
                <w:kern w:val="0"/>
                <w:sz w:val="40"/>
                <w:szCs w:val="40"/>
                <w14:ligatures w14:val="none"/>
              </w:rPr>
              <w:t>105</w:t>
            </w:r>
          </w:p>
        </w:tc>
      </w:tr>
      <w:tr w:rsidR="00FE7132" w:rsidRPr="00FE7132" w14:paraId="74EC4428" w14:textId="77777777" w:rsidTr="00FE7132">
        <w:trPr>
          <w:jc w:val="center"/>
        </w:trPr>
        <w:tc>
          <w:tcPr>
            <w:tcW w:w="0" w:type="auto"/>
            <w:hideMark/>
          </w:tcPr>
          <w:p w14:paraId="6005F4B4" w14:textId="77777777" w:rsidR="00FE7132" w:rsidRPr="00FE7132" w:rsidRDefault="00FE7132" w:rsidP="00FE7132">
            <w:pPr>
              <w:bidi w:val="0"/>
              <w:rPr>
                <w:rFonts w:ascii="Times New Roman" w:eastAsia="Times New Roman" w:hAnsi="Times New Roman" w:cs="Times New Roman"/>
                <w:kern w:val="0"/>
                <w:sz w:val="40"/>
                <w:szCs w:val="40"/>
                <w14:ligatures w14:val="none"/>
              </w:rPr>
            </w:pPr>
            <w:r w:rsidRPr="00FE7132">
              <w:rPr>
                <w:rFonts w:ascii="Times New Roman" w:eastAsia="Times New Roman" w:hAnsi="Times New Roman" w:cs="Times New Roman"/>
                <w:kern w:val="0"/>
                <w:sz w:val="40"/>
                <w:szCs w:val="40"/>
                <w:rtl/>
                <w14:ligatures w14:val="none"/>
              </w:rPr>
              <w:t>الغربية</w:t>
            </w:r>
          </w:p>
        </w:tc>
        <w:tc>
          <w:tcPr>
            <w:tcW w:w="0" w:type="auto"/>
            <w:hideMark/>
          </w:tcPr>
          <w:p w14:paraId="5F8987A3" w14:textId="77777777" w:rsidR="00FE7132" w:rsidRPr="00FE7132" w:rsidRDefault="00FE7132" w:rsidP="00FE7132">
            <w:pPr>
              <w:bidi w:val="0"/>
              <w:rPr>
                <w:rFonts w:ascii="Times New Roman" w:eastAsia="Times New Roman" w:hAnsi="Times New Roman" w:cs="Times New Roman"/>
                <w:kern w:val="0"/>
                <w:sz w:val="40"/>
                <w:szCs w:val="40"/>
                <w14:ligatures w14:val="none"/>
              </w:rPr>
            </w:pPr>
            <w:r w:rsidRPr="00FE7132">
              <w:rPr>
                <w:rFonts w:ascii="Times New Roman" w:eastAsia="Times New Roman" w:hAnsi="Times New Roman" w:cs="Times New Roman"/>
                <w:kern w:val="0"/>
                <w:sz w:val="40"/>
                <w:szCs w:val="40"/>
                <w14:ligatures w14:val="none"/>
              </w:rPr>
              <w:t>31</w:t>
            </w:r>
          </w:p>
        </w:tc>
        <w:tc>
          <w:tcPr>
            <w:tcW w:w="0" w:type="auto"/>
            <w:hideMark/>
          </w:tcPr>
          <w:p w14:paraId="3A2567C9" w14:textId="77777777" w:rsidR="00FE7132" w:rsidRPr="00FE7132" w:rsidRDefault="00FE7132" w:rsidP="00FE7132">
            <w:pPr>
              <w:bidi w:val="0"/>
              <w:rPr>
                <w:rFonts w:ascii="Times New Roman" w:eastAsia="Times New Roman" w:hAnsi="Times New Roman" w:cs="Times New Roman"/>
                <w:kern w:val="0"/>
                <w:sz w:val="40"/>
                <w:szCs w:val="40"/>
                <w14:ligatures w14:val="none"/>
              </w:rPr>
            </w:pPr>
            <w:r w:rsidRPr="00FE7132">
              <w:rPr>
                <w:rFonts w:ascii="Times New Roman" w:eastAsia="Times New Roman" w:hAnsi="Times New Roman" w:cs="Times New Roman"/>
                <w:kern w:val="0"/>
                <w:sz w:val="40"/>
                <w:szCs w:val="40"/>
                <w14:ligatures w14:val="none"/>
              </w:rPr>
              <w:t>64</w:t>
            </w:r>
          </w:p>
        </w:tc>
        <w:tc>
          <w:tcPr>
            <w:tcW w:w="0" w:type="auto"/>
            <w:hideMark/>
          </w:tcPr>
          <w:p w14:paraId="480B4F41" w14:textId="77777777" w:rsidR="00FE7132" w:rsidRPr="00FE7132" w:rsidRDefault="00FE7132" w:rsidP="00FE7132">
            <w:pPr>
              <w:bidi w:val="0"/>
              <w:rPr>
                <w:rFonts w:ascii="Times New Roman" w:eastAsia="Times New Roman" w:hAnsi="Times New Roman" w:cs="Times New Roman"/>
                <w:kern w:val="0"/>
                <w:sz w:val="40"/>
                <w:szCs w:val="40"/>
                <w14:ligatures w14:val="none"/>
              </w:rPr>
            </w:pPr>
            <w:r w:rsidRPr="00FE7132">
              <w:rPr>
                <w:rFonts w:ascii="Times New Roman" w:eastAsia="Times New Roman" w:hAnsi="Times New Roman" w:cs="Times New Roman"/>
                <w:kern w:val="0"/>
                <w:sz w:val="40"/>
                <w:szCs w:val="40"/>
                <w14:ligatures w14:val="none"/>
              </w:rPr>
              <w:t>95</w:t>
            </w:r>
          </w:p>
        </w:tc>
      </w:tr>
      <w:tr w:rsidR="00FE7132" w:rsidRPr="00FE7132" w14:paraId="76ACBEBB" w14:textId="77777777" w:rsidTr="00FE7132">
        <w:trPr>
          <w:jc w:val="center"/>
        </w:trPr>
        <w:tc>
          <w:tcPr>
            <w:tcW w:w="0" w:type="auto"/>
            <w:hideMark/>
          </w:tcPr>
          <w:p w14:paraId="26FFA0AD" w14:textId="77777777" w:rsidR="00FE7132" w:rsidRPr="00FE7132" w:rsidRDefault="00FE7132" w:rsidP="00FE7132">
            <w:pPr>
              <w:bidi w:val="0"/>
              <w:rPr>
                <w:rFonts w:ascii="Times New Roman" w:eastAsia="Times New Roman" w:hAnsi="Times New Roman" w:cs="Times New Roman"/>
                <w:kern w:val="0"/>
                <w:sz w:val="40"/>
                <w:szCs w:val="40"/>
                <w14:ligatures w14:val="none"/>
              </w:rPr>
            </w:pPr>
            <w:r w:rsidRPr="00FE7132">
              <w:rPr>
                <w:rFonts w:ascii="Times New Roman" w:eastAsia="Times New Roman" w:hAnsi="Times New Roman" w:cs="Times New Roman"/>
                <w:kern w:val="0"/>
                <w:sz w:val="40"/>
                <w:szCs w:val="40"/>
                <w:rtl/>
                <w14:ligatures w14:val="none"/>
              </w:rPr>
              <w:t>الشرقية</w:t>
            </w:r>
          </w:p>
        </w:tc>
        <w:tc>
          <w:tcPr>
            <w:tcW w:w="0" w:type="auto"/>
            <w:hideMark/>
          </w:tcPr>
          <w:p w14:paraId="37C3E749" w14:textId="77777777" w:rsidR="00FE7132" w:rsidRPr="00FE7132" w:rsidRDefault="00FE7132" w:rsidP="00FE7132">
            <w:pPr>
              <w:bidi w:val="0"/>
              <w:rPr>
                <w:rFonts w:ascii="Times New Roman" w:eastAsia="Times New Roman" w:hAnsi="Times New Roman" w:cs="Times New Roman"/>
                <w:kern w:val="0"/>
                <w:sz w:val="40"/>
                <w:szCs w:val="40"/>
                <w14:ligatures w14:val="none"/>
              </w:rPr>
            </w:pPr>
            <w:r w:rsidRPr="00FE7132">
              <w:rPr>
                <w:rFonts w:ascii="Times New Roman" w:eastAsia="Times New Roman" w:hAnsi="Times New Roman" w:cs="Times New Roman"/>
                <w:kern w:val="0"/>
                <w:sz w:val="40"/>
                <w:szCs w:val="40"/>
                <w14:ligatures w14:val="none"/>
              </w:rPr>
              <w:t>20</w:t>
            </w:r>
          </w:p>
        </w:tc>
        <w:tc>
          <w:tcPr>
            <w:tcW w:w="0" w:type="auto"/>
            <w:hideMark/>
          </w:tcPr>
          <w:p w14:paraId="718CBE92" w14:textId="77777777" w:rsidR="00FE7132" w:rsidRPr="00FE7132" w:rsidRDefault="00FE7132" w:rsidP="00FE7132">
            <w:pPr>
              <w:bidi w:val="0"/>
              <w:rPr>
                <w:rFonts w:ascii="Times New Roman" w:eastAsia="Times New Roman" w:hAnsi="Times New Roman" w:cs="Times New Roman"/>
                <w:kern w:val="0"/>
                <w:sz w:val="40"/>
                <w:szCs w:val="40"/>
                <w14:ligatures w14:val="none"/>
              </w:rPr>
            </w:pPr>
            <w:r w:rsidRPr="00FE7132">
              <w:rPr>
                <w:rFonts w:ascii="Times New Roman" w:eastAsia="Times New Roman" w:hAnsi="Times New Roman" w:cs="Times New Roman"/>
                <w:kern w:val="0"/>
                <w:sz w:val="40"/>
                <w:szCs w:val="40"/>
                <w14:ligatures w14:val="none"/>
              </w:rPr>
              <w:t>60</w:t>
            </w:r>
          </w:p>
        </w:tc>
        <w:tc>
          <w:tcPr>
            <w:tcW w:w="0" w:type="auto"/>
            <w:hideMark/>
          </w:tcPr>
          <w:p w14:paraId="3F77EC30" w14:textId="77777777" w:rsidR="00FE7132" w:rsidRPr="00FE7132" w:rsidRDefault="00FE7132" w:rsidP="00FE7132">
            <w:pPr>
              <w:bidi w:val="0"/>
              <w:rPr>
                <w:rFonts w:ascii="Times New Roman" w:eastAsia="Times New Roman" w:hAnsi="Times New Roman" w:cs="Times New Roman"/>
                <w:kern w:val="0"/>
                <w:sz w:val="40"/>
                <w:szCs w:val="40"/>
                <w14:ligatures w14:val="none"/>
              </w:rPr>
            </w:pPr>
            <w:r w:rsidRPr="00FE7132">
              <w:rPr>
                <w:rFonts w:ascii="Times New Roman" w:eastAsia="Times New Roman" w:hAnsi="Times New Roman" w:cs="Times New Roman"/>
                <w:kern w:val="0"/>
                <w:sz w:val="40"/>
                <w:szCs w:val="40"/>
                <w14:ligatures w14:val="none"/>
              </w:rPr>
              <w:t>80</w:t>
            </w:r>
          </w:p>
        </w:tc>
      </w:tr>
      <w:tr w:rsidR="00FE7132" w:rsidRPr="00FE7132" w14:paraId="5960CA66" w14:textId="77777777" w:rsidTr="00FE7132">
        <w:trPr>
          <w:jc w:val="center"/>
        </w:trPr>
        <w:tc>
          <w:tcPr>
            <w:tcW w:w="0" w:type="auto"/>
            <w:hideMark/>
          </w:tcPr>
          <w:p w14:paraId="5C1E0F35" w14:textId="77777777" w:rsidR="00FE7132" w:rsidRPr="00FE7132" w:rsidRDefault="00FE7132" w:rsidP="00FE7132">
            <w:pPr>
              <w:bidi w:val="0"/>
              <w:rPr>
                <w:rFonts w:ascii="Times New Roman" w:eastAsia="Times New Roman" w:hAnsi="Times New Roman" w:cs="Times New Roman"/>
                <w:kern w:val="0"/>
                <w:sz w:val="40"/>
                <w:szCs w:val="40"/>
                <w14:ligatures w14:val="none"/>
              </w:rPr>
            </w:pPr>
            <w:r w:rsidRPr="00FE7132">
              <w:rPr>
                <w:rFonts w:ascii="Times New Roman" w:eastAsia="Times New Roman" w:hAnsi="Times New Roman" w:cs="Times New Roman"/>
                <w:kern w:val="0"/>
                <w:sz w:val="40"/>
                <w:szCs w:val="40"/>
                <w:rtl/>
                <w14:ligatures w14:val="none"/>
              </w:rPr>
              <w:t>الشمالية</w:t>
            </w:r>
          </w:p>
        </w:tc>
        <w:tc>
          <w:tcPr>
            <w:tcW w:w="0" w:type="auto"/>
            <w:hideMark/>
          </w:tcPr>
          <w:p w14:paraId="083A4717" w14:textId="77777777" w:rsidR="00FE7132" w:rsidRPr="00FE7132" w:rsidRDefault="00FE7132" w:rsidP="00FE7132">
            <w:pPr>
              <w:bidi w:val="0"/>
              <w:rPr>
                <w:rFonts w:ascii="Times New Roman" w:eastAsia="Times New Roman" w:hAnsi="Times New Roman" w:cs="Times New Roman"/>
                <w:kern w:val="0"/>
                <w:sz w:val="40"/>
                <w:szCs w:val="40"/>
                <w14:ligatures w14:val="none"/>
              </w:rPr>
            </w:pPr>
            <w:r w:rsidRPr="00FE7132">
              <w:rPr>
                <w:rFonts w:ascii="Times New Roman" w:eastAsia="Times New Roman" w:hAnsi="Times New Roman" w:cs="Times New Roman"/>
                <w:kern w:val="0"/>
                <w:sz w:val="40"/>
                <w:szCs w:val="40"/>
                <w14:ligatures w14:val="none"/>
              </w:rPr>
              <w:t>12</w:t>
            </w:r>
          </w:p>
        </w:tc>
        <w:tc>
          <w:tcPr>
            <w:tcW w:w="0" w:type="auto"/>
            <w:hideMark/>
          </w:tcPr>
          <w:p w14:paraId="3EC5E0DF" w14:textId="77777777" w:rsidR="00FE7132" w:rsidRPr="00FE7132" w:rsidRDefault="00FE7132" w:rsidP="00FE7132">
            <w:pPr>
              <w:bidi w:val="0"/>
              <w:rPr>
                <w:rFonts w:ascii="Times New Roman" w:eastAsia="Times New Roman" w:hAnsi="Times New Roman" w:cs="Times New Roman"/>
                <w:kern w:val="0"/>
                <w:sz w:val="40"/>
                <w:szCs w:val="40"/>
                <w14:ligatures w14:val="none"/>
              </w:rPr>
            </w:pPr>
            <w:r w:rsidRPr="00FE7132">
              <w:rPr>
                <w:rFonts w:ascii="Times New Roman" w:eastAsia="Times New Roman" w:hAnsi="Times New Roman" w:cs="Times New Roman"/>
                <w:kern w:val="0"/>
                <w:sz w:val="40"/>
                <w:szCs w:val="40"/>
                <w14:ligatures w14:val="none"/>
              </w:rPr>
              <w:t>48</w:t>
            </w:r>
          </w:p>
        </w:tc>
        <w:tc>
          <w:tcPr>
            <w:tcW w:w="0" w:type="auto"/>
            <w:hideMark/>
          </w:tcPr>
          <w:p w14:paraId="4850A899" w14:textId="77777777" w:rsidR="00FE7132" w:rsidRPr="00FE7132" w:rsidRDefault="00FE7132" w:rsidP="00FE7132">
            <w:pPr>
              <w:bidi w:val="0"/>
              <w:rPr>
                <w:rFonts w:ascii="Times New Roman" w:eastAsia="Times New Roman" w:hAnsi="Times New Roman" w:cs="Times New Roman"/>
                <w:kern w:val="0"/>
                <w:sz w:val="40"/>
                <w:szCs w:val="40"/>
                <w14:ligatures w14:val="none"/>
              </w:rPr>
            </w:pPr>
            <w:r w:rsidRPr="00FE7132">
              <w:rPr>
                <w:rFonts w:ascii="Times New Roman" w:eastAsia="Times New Roman" w:hAnsi="Times New Roman" w:cs="Times New Roman"/>
                <w:kern w:val="0"/>
                <w:sz w:val="40"/>
                <w:szCs w:val="40"/>
                <w14:ligatures w14:val="none"/>
              </w:rPr>
              <w:t>60</w:t>
            </w:r>
          </w:p>
        </w:tc>
      </w:tr>
      <w:tr w:rsidR="00FE7132" w:rsidRPr="00FE7132" w14:paraId="05837CEA" w14:textId="77777777" w:rsidTr="00FE7132">
        <w:trPr>
          <w:jc w:val="center"/>
        </w:trPr>
        <w:tc>
          <w:tcPr>
            <w:tcW w:w="0" w:type="auto"/>
            <w:hideMark/>
          </w:tcPr>
          <w:p w14:paraId="71419C92" w14:textId="77777777" w:rsidR="00FE7132" w:rsidRPr="00FE7132" w:rsidRDefault="00FE7132" w:rsidP="00FE7132">
            <w:pPr>
              <w:bidi w:val="0"/>
              <w:rPr>
                <w:rFonts w:ascii="Times New Roman" w:eastAsia="Times New Roman" w:hAnsi="Times New Roman" w:cs="Times New Roman"/>
                <w:kern w:val="0"/>
                <w:sz w:val="40"/>
                <w:szCs w:val="40"/>
                <w14:ligatures w14:val="none"/>
              </w:rPr>
            </w:pPr>
            <w:r w:rsidRPr="00FE7132">
              <w:rPr>
                <w:rFonts w:ascii="Times New Roman" w:eastAsia="Times New Roman" w:hAnsi="Times New Roman" w:cs="Times New Roman"/>
                <w:kern w:val="0"/>
                <w:sz w:val="40"/>
                <w:szCs w:val="40"/>
                <w:rtl/>
                <w14:ligatures w14:val="none"/>
              </w:rPr>
              <w:t>الجنوبية</w:t>
            </w:r>
          </w:p>
        </w:tc>
        <w:tc>
          <w:tcPr>
            <w:tcW w:w="0" w:type="auto"/>
            <w:hideMark/>
          </w:tcPr>
          <w:p w14:paraId="7D206DFE" w14:textId="77777777" w:rsidR="00FE7132" w:rsidRPr="00FE7132" w:rsidRDefault="00FE7132" w:rsidP="00FE7132">
            <w:pPr>
              <w:bidi w:val="0"/>
              <w:rPr>
                <w:rFonts w:ascii="Times New Roman" w:eastAsia="Times New Roman" w:hAnsi="Times New Roman" w:cs="Times New Roman"/>
                <w:kern w:val="0"/>
                <w:sz w:val="40"/>
                <w:szCs w:val="40"/>
                <w14:ligatures w14:val="none"/>
              </w:rPr>
            </w:pPr>
            <w:r w:rsidRPr="00FE7132">
              <w:rPr>
                <w:rFonts w:ascii="Times New Roman" w:eastAsia="Times New Roman" w:hAnsi="Times New Roman" w:cs="Times New Roman"/>
                <w:kern w:val="0"/>
                <w:sz w:val="40"/>
                <w:szCs w:val="40"/>
                <w14:ligatures w14:val="none"/>
              </w:rPr>
              <w:t>10</w:t>
            </w:r>
          </w:p>
        </w:tc>
        <w:tc>
          <w:tcPr>
            <w:tcW w:w="0" w:type="auto"/>
            <w:hideMark/>
          </w:tcPr>
          <w:p w14:paraId="6028AB46" w14:textId="77777777" w:rsidR="00FE7132" w:rsidRPr="00FE7132" w:rsidRDefault="00FE7132" w:rsidP="00FE7132">
            <w:pPr>
              <w:bidi w:val="0"/>
              <w:rPr>
                <w:rFonts w:ascii="Times New Roman" w:eastAsia="Times New Roman" w:hAnsi="Times New Roman" w:cs="Times New Roman"/>
                <w:kern w:val="0"/>
                <w:sz w:val="40"/>
                <w:szCs w:val="40"/>
                <w14:ligatures w14:val="none"/>
              </w:rPr>
            </w:pPr>
            <w:r w:rsidRPr="00FE7132">
              <w:rPr>
                <w:rFonts w:ascii="Times New Roman" w:eastAsia="Times New Roman" w:hAnsi="Times New Roman" w:cs="Times New Roman"/>
                <w:kern w:val="0"/>
                <w:sz w:val="40"/>
                <w:szCs w:val="40"/>
                <w14:ligatures w14:val="none"/>
              </w:rPr>
              <w:t>50</w:t>
            </w:r>
          </w:p>
        </w:tc>
        <w:tc>
          <w:tcPr>
            <w:tcW w:w="0" w:type="auto"/>
            <w:hideMark/>
          </w:tcPr>
          <w:p w14:paraId="133F7BF7" w14:textId="77777777" w:rsidR="00FE7132" w:rsidRPr="00FE7132" w:rsidRDefault="00FE7132" w:rsidP="00FE7132">
            <w:pPr>
              <w:bidi w:val="0"/>
              <w:rPr>
                <w:rFonts w:ascii="Times New Roman" w:eastAsia="Times New Roman" w:hAnsi="Times New Roman" w:cs="Times New Roman"/>
                <w:kern w:val="0"/>
                <w:sz w:val="40"/>
                <w:szCs w:val="40"/>
                <w14:ligatures w14:val="none"/>
              </w:rPr>
            </w:pPr>
            <w:r w:rsidRPr="00FE7132">
              <w:rPr>
                <w:rFonts w:ascii="Times New Roman" w:eastAsia="Times New Roman" w:hAnsi="Times New Roman" w:cs="Times New Roman"/>
                <w:kern w:val="0"/>
                <w:sz w:val="40"/>
                <w:szCs w:val="40"/>
                <w14:ligatures w14:val="none"/>
              </w:rPr>
              <w:t>60</w:t>
            </w:r>
          </w:p>
        </w:tc>
      </w:tr>
    </w:tbl>
    <w:p w14:paraId="0E3D02CC" w14:textId="0849FBC7" w:rsidR="00C23C63" w:rsidRDefault="00C23C63" w:rsidP="000913DC">
      <w:pPr>
        <w:spacing w:line="360" w:lineRule="auto"/>
        <w:jc w:val="both"/>
        <w:rPr>
          <w:rFonts w:asciiTheme="majorBidi" w:hAnsiTheme="majorBidi" w:cstheme="majorBidi"/>
          <w:sz w:val="28"/>
          <w:szCs w:val="28"/>
          <w:rtl/>
        </w:rPr>
      </w:pPr>
    </w:p>
    <w:p w14:paraId="390EF6D4" w14:textId="77777777" w:rsidR="00EB66D1" w:rsidRPr="00EB66D1" w:rsidRDefault="00EB66D1" w:rsidP="00EB66D1">
      <w:pPr>
        <w:spacing w:line="360" w:lineRule="auto"/>
        <w:jc w:val="both"/>
        <w:rPr>
          <w:rFonts w:asciiTheme="majorBidi" w:hAnsiTheme="majorBidi" w:cstheme="majorBidi"/>
          <w:sz w:val="28"/>
          <w:szCs w:val="28"/>
        </w:rPr>
      </w:pPr>
      <w:r w:rsidRPr="00EB66D1">
        <w:rPr>
          <w:rFonts w:asciiTheme="majorBidi" w:hAnsiTheme="majorBidi" w:cstheme="majorBidi"/>
          <w:sz w:val="28"/>
          <w:szCs w:val="28"/>
          <w:rtl/>
        </w:rPr>
        <w:t xml:space="preserve">يتضح من نتائج اختبار كاي تربيع عدم وجود علاقة ذات دلالة إحصائية بين المنطقة الجغرافية ووجود مرض عصبي لدى أحد أفراد الأسرة، حيث بلغت قيمة اختبار كاي تربيع </w:t>
      </w:r>
      <w:r w:rsidRPr="00EB66D1">
        <w:rPr>
          <w:rFonts w:asciiTheme="majorBidi" w:hAnsiTheme="majorBidi" w:cstheme="majorBidi"/>
          <w:sz w:val="28"/>
          <w:szCs w:val="28"/>
        </w:rPr>
        <w:t xml:space="preserve">(χ² = 4.18) </w:t>
      </w:r>
      <w:r w:rsidRPr="00EB66D1">
        <w:rPr>
          <w:rFonts w:asciiTheme="majorBidi" w:hAnsiTheme="majorBidi" w:cstheme="majorBidi"/>
          <w:sz w:val="28"/>
          <w:szCs w:val="28"/>
          <w:rtl/>
        </w:rPr>
        <w:t xml:space="preserve">عند </w:t>
      </w:r>
      <w:r w:rsidRPr="00EB66D1">
        <w:rPr>
          <w:rFonts w:asciiTheme="majorBidi" w:hAnsiTheme="majorBidi" w:cstheme="majorBidi"/>
          <w:sz w:val="28"/>
          <w:szCs w:val="28"/>
        </w:rPr>
        <w:t>(df = 4)</w:t>
      </w:r>
      <w:r w:rsidRPr="00EB66D1">
        <w:rPr>
          <w:rFonts w:asciiTheme="majorBidi" w:hAnsiTheme="majorBidi" w:cstheme="majorBidi"/>
          <w:sz w:val="28"/>
          <w:szCs w:val="28"/>
          <w:rtl/>
        </w:rPr>
        <w:t xml:space="preserve">، بينما بلغ مستوى الدلالة الإحصائية </w:t>
      </w:r>
      <w:r w:rsidRPr="00EB66D1">
        <w:rPr>
          <w:rFonts w:asciiTheme="majorBidi" w:hAnsiTheme="majorBidi" w:cstheme="majorBidi"/>
          <w:sz w:val="28"/>
          <w:szCs w:val="28"/>
        </w:rPr>
        <w:t>(Sig. = 0.382)</w:t>
      </w:r>
      <w:r w:rsidRPr="00EB66D1">
        <w:rPr>
          <w:rFonts w:asciiTheme="majorBidi" w:hAnsiTheme="majorBidi" w:cstheme="majorBidi"/>
          <w:sz w:val="28"/>
          <w:szCs w:val="28"/>
          <w:rtl/>
        </w:rPr>
        <w:t xml:space="preserve">، وهي قيمة أكبر من مستوى الدلالة المعتمد </w:t>
      </w:r>
      <w:r w:rsidRPr="00EB66D1">
        <w:rPr>
          <w:rFonts w:asciiTheme="majorBidi" w:hAnsiTheme="majorBidi" w:cstheme="majorBidi"/>
          <w:sz w:val="28"/>
          <w:szCs w:val="28"/>
        </w:rPr>
        <w:t xml:space="preserve">(0.05). </w:t>
      </w:r>
      <w:r w:rsidRPr="00EB66D1">
        <w:rPr>
          <w:rFonts w:asciiTheme="majorBidi" w:hAnsiTheme="majorBidi" w:cstheme="majorBidi"/>
          <w:sz w:val="28"/>
          <w:szCs w:val="28"/>
          <w:rtl/>
        </w:rPr>
        <w:t>وعليه، لا يمكن رفض الفرض الصفري، مما يشير إلى عدم وجود ارتباط ذي دلالة إحصائية بين المتغيرين</w:t>
      </w:r>
      <w:r w:rsidRPr="00EB66D1">
        <w:rPr>
          <w:rFonts w:asciiTheme="majorBidi" w:hAnsiTheme="majorBidi" w:cstheme="majorBidi"/>
          <w:sz w:val="28"/>
          <w:szCs w:val="28"/>
        </w:rPr>
        <w:t>.</w:t>
      </w:r>
    </w:p>
    <w:p w14:paraId="0E1FF4C4" w14:textId="77777777" w:rsidR="00EB66D1" w:rsidRPr="00EB66D1" w:rsidRDefault="00EB66D1" w:rsidP="00EB66D1">
      <w:pPr>
        <w:spacing w:line="360" w:lineRule="auto"/>
        <w:jc w:val="both"/>
        <w:rPr>
          <w:rFonts w:asciiTheme="majorBidi" w:hAnsiTheme="majorBidi" w:cstheme="majorBidi"/>
          <w:sz w:val="28"/>
          <w:szCs w:val="28"/>
        </w:rPr>
      </w:pPr>
      <w:r w:rsidRPr="00EB66D1">
        <w:rPr>
          <w:rFonts w:asciiTheme="majorBidi" w:hAnsiTheme="majorBidi" w:cstheme="majorBidi"/>
          <w:sz w:val="28"/>
          <w:szCs w:val="28"/>
          <w:rtl/>
        </w:rPr>
        <w:t>وعلى الرغم من وجود بعض التباين في التوزيع النسبي للحالات بين المناطق المختلفة، فإن هذا التباين لا يصل إلى مستوى الدلالة الإحصائية، الأمر الذي يشير إلى أن وجود مرض عصبي لدى أحد أفراد الأسرة لا يرتبط بالمنطقة الجغرافية في عينة الدراسة، وإنما قد يتأثر بعوامل أخرى مثل العوامل الوراثية، والخصائص الصحية للأفراد، والظروف البيئية والاجتماعية</w:t>
      </w:r>
      <w:r w:rsidRPr="00EB66D1">
        <w:rPr>
          <w:rFonts w:asciiTheme="majorBidi" w:hAnsiTheme="majorBidi" w:cstheme="majorBidi"/>
          <w:sz w:val="28"/>
          <w:szCs w:val="28"/>
        </w:rPr>
        <w:t>.</w:t>
      </w:r>
    </w:p>
    <w:p w14:paraId="6C2D21E0" w14:textId="6784E36D" w:rsidR="007C1AB5" w:rsidRPr="00EB66D1" w:rsidRDefault="00EB66D1" w:rsidP="00EB66D1">
      <w:pPr>
        <w:spacing w:line="360" w:lineRule="auto"/>
        <w:jc w:val="both"/>
        <w:rPr>
          <w:rFonts w:asciiTheme="majorBidi" w:hAnsiTheme="majorBidi" w:cstheme="majorBidi"/>
          <w:sz w:val="28"/>
          <w:szCs w:val="28"/>
          <w:rtl/>
        </w:rPr>
      </w:pPr>
      <w:r w:rsidRPr="00EB66D1">
        <w:rPr>
          <w:rFonts w:asciiTheme="majorBidi" w:hAnsiTheme="majorBidi" w:cstheme="majorBidi"/>
          <w:sz w:val="28"/>
          <w:szCs w:val="28"/>
          <w:rtl/>
        </w:rPr>
        <w:t>وتتفق هذه النتيجة مع عدد من الدراسات التي أشارت إلى أن انتشار الاضطرابات والأمراض العصبية يرتبط بمجموعة من العوامل المتداخلة، ولا يمكن تفسيره بالاختلافات الجغرافية وحدها، مما يؤكد أن الموقع الجغرافي ليس عاملًا حاسمًا في تفسير وجود هذه الحالات داخل المجتمع محل الدراسة</w:t>
      </w:r>
    </w:p>
    <w:p w14:paraId="7930FDFD" w14:textId="6DCCFDAF" w:rsidR="007C1AB5" w:rsidRDefault="007C1AB5" w:rsidP="007C1AB5">
      <w:pPr>
        <w:spacing w:line="360" w:lineRule="auto"/>
        <w:jc w:val="center"/>
        <w:rPr>
          <w:rFonts w:asciiTheme="majorBidi" w:hAnsiTheme="majorBidi" w:cstheme="majorBidi"/>
          <w:b/>
          <w:bCs/>
          <w:sz w:val="28"/>
          <w:szCs w:val="28"/>
          <w:rtl/>
        </w:rPr>
      </w:pPr>
      <w:r w:rsidRPr="007C1AB5">
        <w:rPr>
          <w:rFonts w:asciiTheme="majorBidi" w:hAnsiTheme="majorBidi" w:cstheme="majorBidi" w:hint="cs"/>
          <w:b/>
          <w:bCs/>
          <w:sz w:val="28"/>
          <w:szCs w:val="28"/>
          <w:rtl/>
        </w:rPr>
        <w:lastRenderedPageBreak/>
        <w:t>تحليل المقابلة</w:t>
      </w:r>
    </w:p>
    <w:p w14:paraId="406294B2" w14:textId="77777777" w:rsidR="007C1AB5" w:rsidRPr="00610055" w:rsidRDefault="007C1AB5" w:rsidP="007C1AB5">
      <w:pPr>
        <w:pStyle w:val="pdq2pgselectionanchorcontainer"/>
        <w:bidi/>
        <w:spacing w:line="360" w:lineRule="auto"/>
        <w:rPr>
          <w:sz w:val="28"/>
          <w:szCs w:val="28"/>
        </w:rPr>
      </w:pPr>
      <w:r w:rsidRPr="00610055">
        <w:rPr>
          <w:sz w:val="28"/>
          <w:szCs w:val="28"/>
          <w:rtl/>
        </w:rPr>
        <w:t>اعتمدت الدراسة الحالية على المقابلة شبه المقننة بوصفها إحدى أدوات جمع البيانات، وذلك بهدف الحصول على فهم أكثر عمقًا لآراء المشاركين حول دور الإعلام الرقمي في التوعية بالأمراض العصبية المزمنة في المجتمع السعودي. وقد أتاحت المقابلات الفرصة لاستكشاف الخبرات والتصورات والاتجاهات المرتبطة بموضوع الدراسة، بما يسهم في تفسير الظاهرة محل البحث من خلال وجهات نظر المشاركين أنفسهم، وهو ما يصعب الوصول إليه بالاعتماد على الأدوات الكمية وحدها</w:t>
      </w:r>
      <w:r w:rsidRPr="00610055">
        <w:rPr>
          <w:sz w:val="28"/>
          <w:szCs w:val="28"/>
        </w:rPr>
        <w:t>.</w:t>
      </w:r>
    </w:p>
    <w:p w14:paraId="20EF5359" w14:textId="77777777" w:rsidR="007C1AB5" w:rsidRDefault="007C1AB5" w:rsidP="007C1AB5">
      <w:pPr>
        <w:pStyle w:val="af0"/>
        <w:bidi/>
        <w:spacing w:line="360" w:lineRule="auto"/>
        <w:rPr>
          <w:sz w:val="28"/>
          <w:szCs w:val="28"/>
          <w:rtl/>
        </w:rPr>
      </w:pPr>
      <w:r w:rsidRPr="002D499A">
        <w:rPr>
          <w:sz w:val="28"/>
          <w:szCs w:val="28"/>
          <w:rtl/>
        </w:rPr>
        <w:t>وقد جرى تحليل بيانات المقابلات باستخدام</w:t>
      </w:r>
      <w:r w:rsidRPr="002D499A">
        <w:rPr>
          <w:b/>
          <w:bCs/>
          <w:sz w:val="28"/>
          <w:szCs w:val="28"/>
          <w:rtl/>
        </w:rPr>
        <w:t xml:space="preserve"> </w:t>
      </w:r>
      <w:r w:rsidRPr="002D499A">
        <w:rPr>
          <w:rStyle w:val="af1"/>
          <w:b w:val="0"/>
          <w:bCs w:val="0"/>
          <w:sz w:val="28"/>
          <w:szCs w:val="28"/>
          <w:rtl/>
        </w:rPr>
        <w:t>أسلوب التحليل الموضوعي</w:t>
      </w:r>
      <w:r w:rsidRPr="002D499A">
        <w:rPr>
          <w:rStyle w:val="af1"/>
          <w:b w:val="0"/>
          <w:bCs w:val="0"/>
          <w:sz w:val="28"/>
          <w:szCs w:val="28"/>
        </w:rPr>
        <w:t xml:space="preserve"> (Thematic Analysis)</w:t>
      </w:r>
      <w:r w:rsidRPr="002D499A">
        <w:rPr>
          <w:b/>
          <w:bCs/>
          <w:sz w:val="28"/>
          <w:szCs w:val="28"/>
          <w:rtl/>
        </w:rPr>
        <w:t xml:space="preserve">، </w:t>
      </w:r>
      <w:r w:rsidRPr="002D499A">
        <w:rPr>
          <w:sz w:val="28"/>
          <w:szCs w:val="28"/>
          <w:rtl/>
        </w:rPr>
        <w:t>من خلال مراجعة إجابات المشاركين مراجعة متأنية، واستخلاص الأفكار الرئيسة والمحاور المشتركة التي تكررت في الاستجابات، ثم تصنيفها في موضوعات رئيسة وفرعية تعكس مضمون آراء المشاركين، مع تفسيرها في ضوء أهداف الدراسة والإطار النظري والدراسات السابقة</w:t>
      </w:r>
      <w:r w:rsidRPr="002D499A">
        <w:rPr>
          <w:sz w:val="28"/>
          <w:szCs w:val="28"/>
        </w:rPr>
        <w:t>.</w:t>
      </w:r>
    </w:p>
    <w:p w14:paraId="027A840C" w14:textId="15A37D0B" w:rsidR="007C1AB5" w:rsidRPr="007C1AB5" w:rsidRDefault="007C1AB5" w:rsidP="00D14FCB">
      <w:pPr>
        <w:pStyle w:val="af0"/>
        <w:bidi/>
        <w:spacing w:line="360" w:lineRule="auto"/>
        <w:rPr>
          <w:sz w:val="28"/>
          <w:szCs w:val="28"/>
          <w:rtl/>
        </w:rPr>
      </w:pPr>
      <w:r w:rsidRPr="002D499A">
        <w:rPr>
          <w:sz w:val="28"/>
          <w:szCs w:val="28"/>
          <w:rtl/>
        </w:rPr>
        <w:t>ويعرض هذا الجزء نتائج المقابلات وفقًا لمحاورها الرئيسة، حيث يبدأ بتحليل استجابات الأطباء، يليها تحليل استجابات المرضى، مع التركيز على أبرز الموضوعات التي برزت في إجابات المشاركين، وبيان دلالاتها العلمية وانعكاساتها على واقع التوعية الصحية الرقمية بالأمراض العصبية المزمنة في المجتمع السعودي</w:t>
      </w:r>
      <w:r w:rsidRPr="002D499A">
        <w:rPr>
          <w:sz w:val="28"/>
          <w:szCs w:val="28"/>
        </w:rPr>
        <w:t>.</w:t>
      </w:r>
    </w:p>
    <w:p w14:paraId="27068680" w14:textId="5E512270" w:rsidR="007C1AB5" w:rsidRPr="007C1AB5" w:rsidRDefault="007C1AB5" w:rsidP="007C1AB5">
      <w:pPr>
        <w:pStyle w:val="af0"/>
        <w:bidi/>
        <w:spacing w:line="360" w:lineRule="auto"/>
        <w:rPr>
          <w:sz w:val="28"/>
          <w:szCs w:val="28"/>
          <w:rtl/>
        </w:rPr>
      </w:pPr>
      <w:r w:rsidRPr="007C1AB5">
        <w:rPr>
          <w:rFonts w:asciiTheme="majorBidi" w:hAnsiTheme="majorBidi" w:cstheme="majorBidi"/>
          <w:b/>
          <w:bCs/>
          <w:sz w:val="28"/>
          <w:szCs w:val="28"/>
          <w:rtl/>
        </w:rPr>
        <w:t>تحليل الاستجابات الخاصة بالمقابلة</w:t>
      </w:r>
    </w:p>
    <w:p w14:paraId="71C749EB"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 جدول (1) توزيع أفراد العينة</w:t>
      </w:r>
    </w:p>
    <w:tbl>
      <w:tblPr>
        <w:tblStyle w:val="11"/>
        <w:tblW w:w="0" w:type="auto"/>
        <w:jc w:val="center"/>
        <w:tblLook w:val="04A0" w:firstRow="1" w:lastRow="0" w:firstColumn="1" w:lastColumn="0" w:noHBand="0" w:noVBand="1"/>
      </w:tblPr>
      <w:tblGrid>
        <w:gridCol w:w="2392"/>
        <w:gridCol w:w="632"/>
        <w:gridCol w:w="1929"/>
      </w:tblGrid>
      <w:tr w:rsidR="000913DC" w:rsidRPr="00645EB2" w14:paraId="2354364A" w14:textId="77777777" w:rsidTr="00A171A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92" w:type="dxa"/>
            <w:hideMark/>
          </w:tcPr>
          <w:p w14:paraId="056BB22A" w14:textId="77777777" w:rsidR="000913DC" w:rsidRPr="00645EB2" w:rsidRDefault="000913DC" w:rsidP="00A171A0">
            <w:pPr>
              <w:spacing w:line="360" w:lineRule="auto"/>
              <w:jc w:val="both"/>
              <w:rPr>
                <w:rFonts w:asciiTheme="majorBidi" w:hAnsiTheme="majorBidi" w:cstheme="majorBidi"/>
                <w:b w:val="0"/>
                <w:bCs w:val="0"/>
                <w:sz w:val="28"/>
                <w:szCs w:val="28"/>
              </w:rPr>
            </w:pPr>
            <w:r w:rsidRPr="00645EB2">
              <w:rPr>
                <w:rFonts w:asciiTheme="majorBidi" w:hAnsiTheme="majorBidi" w:cstheme="majorBidi"/>
                <w:b w:val="0"/>
                <w:bCs w:val="0"/>
                <w:sz w:val="28"/>
                <w:szCs w:val="28"/>
                <w:rtl/>
              </w:rPr>
              <w:t>الفئة</w:t>
            </w:r>
          </w:p>
        </w:tc>
        <w:tc>
          <w:tcPr>
            <w:tcW w:w="0" w:type="auto"/>
            <w:hideMark/>
          </w:tcPr>
          <w:p w14:paraId="0F9E970E" w14:textId="77777777" w:rsidR="000913DC" w:rsidRPr="00645EB2" w:rsidRDefault="000913DC" w:rsidP="00A171A0">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rPr>
            </w:pPr>
            <w:r w:rsidRPr="00645EB2">
              <w:rPr>
                <w:rFonts w:asciiTheme="majorBidi" w:hAnsiTheme="majorBidi" w:cstheme="majorBidi"/>
                <w:b w:val="0"/>
                <w:bCs w:val="0"/>
                <w:sz w:val="28"/>
                <w:szCs w:val="28"/>
                <w:rtl/>
              </w:rPr>
              <w:t>العدد</w:t>
            </w:r>
          </w:p>
        </w:tc>
        <w:tc>
          <w:tcPr>
            <w:tcW w:w="1929" w:type="dxa"/>
            <w:hideMark/>
          </w:tcPr>
          <w:p w14:paraId="5215A47D" w14:textId="77777777" w:rsidR="000913DC" w:rsidRPr="00645EB2" w:rsidRDefault="000913DC" w:rsidP="00A171A0">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rPr>
            </w:pPr>
            <w:r w:rsidRPr="00645EB2">
              <w:rPr>
                <w:rFonts w:asciiTheme="majorBidi" w:hAnsiTheme="majorBidi" w:cstheme="majorBidi"/>
                <w:b w:val="0"/>
                <w:bCs w:val="0"/>
                <w:sz w:val="28"/>
                <w:szCs w:val="28"/>
                <w:rtl/>
              </w:rPr>
              <w:t>النسبة</w:t>
            </w:r>
          </w:p>
        </w:tc>
      </w:tr>
      <w:tr w:rsidR="000913DC" w:rsidRPr="00645EB2" w14:paraId="1DF7FE07" w14:textId="77777777" w:rsidTr="00A171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92" w:type="dxa"/>
            <w:hideMark/>
          </w:tcPr>
          <w:p w14:paraId="70B3776B" w14:textId="77777777" w:rsidR="000913DC" w:rsidRPr="00645EB2" w:rsidRDefault="000913DC" w:rsidP="00A171A0">
            <w:pPr>
              <w:spacing w:line="360" w:lineRule="auto"/>
              <w:jc w:val="both"/>
              <w:rPr>
                <w:rFonts w:asciiTheme="majorBidi" w:hAnsiTheme="majorBidi" w:cstheme="majorBidi"/>
                <w:b w:val="0"/>
                <w:bCs w:val="0"/>
                <w:sz w:val="28"/>
                <w:szCs w:val="28"/>
              </w:rPr>
            </w:pPr>
            <w:r w:rsidRPr="00645EB2">
              <w:rPr>
                <w:rFonts w:asciiTheme="majorBidi" w:hAnsiTheme="majorBidi" w:cstheme="majorBidi"/>
                <w:b w:val="0"/>
                <w:bCs w:val="0"/>
                <w:sz w:val="28"/>
                <w:szCs w:val="28"/>
                <w:rtl/>
              </w:rPr>
              <w:t>الأطباء</w:t>
            </w:r>
          </w:p>
        </w:tc>
        <w:tc>
          <w:tcPr>
            <w:tcW w:w="0" w:type="auto"/>
            <w:hideMark/>
          </w:tcPr>
          <w:p w14:paraId="2FF9291A" w14:textId="77777777" w:rsidR="000913DC" w:rsidRPr="00645EB2" w:rsidRDefault="000913DC" w:rsidP="00A171A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645EB2">
              <w:rPr>
                <w:rFonts w:asciiTheme="majorBidi" w:hAnsiTheme="majorBidi" w:cstheme="majorBidi"/>
                <w:sz w:val="28"/>
                <w:szCs w:val="28"/>
              </w:rPr>
              <w:t>25</w:t>
            </w:r>
          </w:p>
        </w:tc>
        <w:tc>
          <w:tcPr>
            <w:tcW w:w="1929" w:type="dxa"/>
            <w:hideMark/>
          </w:tcPr>
          <w:p w14:paraId="04AA8D36" w14:textId="77777777" w:rsidR="000913DC" w:rsidRPr="00645EB2" w:rsidRDefault="000913DC" w:rsidP="00A171A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645EB2">
              <w:rPr>
                <w:rFonts w:asciiTheme="majorBidi" w:hAnsiTheme="majorBidi" w:cstheme="majorBidi"/>
                <w:sz w:val="28"/>
                <w:szCs w:val="28"/>
              </w:rPr>
              <w:t>50%</w:t>
            </w:r>
          </w:p>
        </w:tc>
      </w:tr>
      <w:tr w:rsidR="000913DC" w:rsidRPr="00645EB2" w14:paraId="17912968" w14:textId="77777777" w:rsidTr="00A171A0">
        <w:trPr>
          <w:jc w:val="center"/>
        </w:trPr>
        <w:tc>
          <w:tcPr>
            <w:cnfStyle w:val="001000000000" w:firstRow="0" w:lastRow="0" w:firstColumn="1" w:lastColumn="0" w:oddVBand="0" w:evenVBand="0" w:oddHBand="0" w:evenHBand="0" w:firstRowFirstColumn="0" w:firstRowLastColumn="0" w:lastRowFirstColumn="0" w:lastRowLastColumn="0"/>
            <w:tcW w:w="2392" w:type="dxa"/>
            <w:hideMark/>
          </w:tcPr>
          <w:p w14:paraId="4DD908DE" w14:textId="77777777" w:rsidR="000913DC" w:rsidRPr="00645EB2" w:rsidRDefault="000913DC" w:rsidP="00A171A0">
            <w:pPr>
              <w:spacing w:line="360" w:lineRule="auto"/>
              <w:jc w:val="both"/>
              <w:rPr>
                <w:rFonts w:asciiTheme="majorBidi" w:hAnsiTheme="majorBidi" w:cstheme="majorBidi"/>
                <w:b w:val="0"/>
                <w:bCs w:val="0"/>
                <w:sz w:val="28"/>
                <w:szCs w:val="28"/>
              </w:rPr>
            </w:pPr>
            <w:r w:rsidRPr="00645EB2">
              <w:rPr>
                <w:rFonts w:asciiTheme="majorBidi" w:hAnsiTheme="majorBidi" w:cstheme="majorBidi"/>
                <w:b w:val="0"/>
                <w:bCs w:val="0"/>
                <w:sz w:val="28"/>
                <w:szCs w:val="28"/>
                <w:rtl/>
              </w:rPr>
              <w:t>المرضى</w:t>
            </w:r>
          </w:p>
        </w:tc>
        <w:tc>
          <w:tcPr>
            <w:tcW w:w="0" w:type="auto"/>
            <w:hideMark/>
          </w:tcPr>
          <w:p w14:paraId="1A35FA94" w14:textId="77777777" w:rsidR="000913DC" w:rsidRPr="00645EB2" w:rsidRDefault="000913DC" w:rsidP="00A171A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645EB2">
              <w:rPr>
                <w:rFonts w:asciiTheme="majorBidi" w:hAnsiTheme="majorBidi" w:cstheme="majorBidi"/>
                <w:sz w:val="28"/>
                <w:szCs w:val="28"/>
              </w:rPr>
              <w:t>25</w:t>
            </w:r>
          </w:p>
        </w:tc>
        <w:tc>
          <w:tcPr>
            <w:tcW w:w="1929" w:type="dxa"/>
            <w:hideMark/>
          </w:tcPr>
          <w:p w14:paraId="23DAAFA6" w14:textId="77777777" w:rsidR="000913DC" w:rsidRPr="00645EB2" w:rsidRDefault="000913DC" w:rsidP="00A171A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645EB2">
              <w:rPr>
                <w:rFonts w:asciiTheme="majorBidi" w:hAnsiTheme="majorBidi" w:cstheme="majorBidi"/>
                <w:sz w:val="28"/>
                <w:szCs w:val="28"/>
              </w:rPr>
              <w:t>50%</w:t>
            </w:r>
          </w:p>
        </w:tc>
      </w:tr>
      <w:tr w:rsidR="000913DC" w:rsidRPr="00645EB2" w14:paraId="296CE1F8" w14:textId="77777777" w:rsidTr="00A171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92" w:type="dxa"/>
            <w:hideMark/>
          </w:tcPr>
          <w:p w14:paraId="36EE33CD" w14:textId="77777777" w:rsidR="000913DC" w:rsidRPr="00645EB2" w:rsidRDefault="000913DC" w:rsidP="00A171A0">
            <w:pPr>
              <w:spacing w:line="360" w:lineRule="auto"/>
              <w:jc w:val="both"/>
              <w:rPr>
                <w:rFonts w:asciiTheme="majorBidi" w:hAnsiTheme="majorBidi" w:cstheme="majorBidi"/>
                <w:b w:val="0"/>
                <w:bCs w:val="0"/>
                <w:sz w:val="28"/>
                <w:szCs w:val="28"/>
              </w:rPr>
            </w:pPr>
            <w:r w:rsidRPr="00645EB2">
              <w:rPr>
                <w:rFonts w:asciiTheme="majorBidi" w:hAnsiTheme="majorBidi" w:cstheme="majorBidi"/>
                <w:b w:val="0"/>
                <w:bCs w:val="0"/>
                <w:sz w:val="28"/>
                <w:szCs w:val="28"/>
                <w:rtl/>
              </w:rPr>
              <w:t>الإجمالي</w:t>
            </w:r>
          </w:p>
        </w:tc>
        <w:tc>
          <w:tcPr>
            <w:tcW w:w="0" w:type="auto"/>
            <w:hideMark/>
          </w:tcPr>
          <w:p w14:paraId="6B462213" w14:textId="77777777" w:rsidR="000913DC" w:rsidRPr="00645EB2" w:rsidRDefault="000913DC" w:rsidP="00A171A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645EB2">
              <w:rPr>
                <w:rFonts w:asciiTheme="majorBidi" w:hAnsiTheme="majorBidi" w:cstheme="majorBidi"/>
                <w:sz w:val="28"/>
                <w:szCs w:val="28"/>
              </w:rPr>
              <w:t>50</w:t>
            </w:r>
          </w:p>
        </w:tc>
        <w:tc>
          <w:tcPr>
            <w:tcW w:w="1929" w:type="dxa"/>
            <w:hideMark/>
          </w:tcPr>
          <w:p w14:paraId="7C96349A" w14:textId="77777777" w:rsidR="000913DC" w:rsidRPr="00645EB2" w:rsidRDefault="000913DC" w:rsidP="00A171A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645EB2">
              <w:rPr>
                <w:rFonts w:asciiTheme="majorBidi" w:hAnsiTheme="majorBidi" w:cstheme="majorBidi"/>
                <w:sz w:val="28"/>
                <w:szCs w:val="28"/>
              </w:rPr>
              <w:t>100%</w:t>
            </w:r>
          </w:p>
        </w:tc>
      </w:tr>
    </w:tbl>
    <w:p w14:paraId="5125C1D5" w14:textId="77777777" w:rsidR="000913DC" w:rsidRPr="00645EB2" w:rsidRDefault="000913DC" w:rsidP="000913DC">
      <w:pPr>
        <w:spacing w:line="360" w:lineRule="auto"/>
        <w:jc w:val="both"/>
        <w:rPr>
          <w:rFonts w:asciiTheme="majorBidi" w:hAnsiTheme="majorBidi" w:cstheme="majorBidi"/>
          <w:sz w:val="28"/>
          <w:szCs w:val="28"/>
          <w:rtl/>
        </w:rPr>
      </w:pPr>
    </w:p>
    <w:p w14:paraId="3089E0F2"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يوضح الجدول انه قد شملت عينة المقابلات (50) مشاركًا، موزعين إلى فئتين رئيسيتين، هما: (25) طبيبًا من ذوي الخبرة في التعامل مع مرضى الأمراض العصبية المزمنة، و(25) مريضًا ممن يتابعون حالاتهم </w:t>
      </w:r>
      <w:r w:rsidRPr="00645EB2">
        <w:rPr>
          <w:rFonts w:asciiTheme="majorBidi" w:hAnsiTheme="majorBidi" w:cstheme="majorBidi"/>
          <w:sz w:val="28"/>
          <w:szCs w:val="28"/>
          <w:rtl/>
        </w:rPr>
        <w:lastRenderedPageBreak/>
        <w:t>الصحية بصورة منتظمة، وذلك بهدف الوقوف على أوجه الاتفاق والاختلاف بين وجهتي النظر الطبية والمرضية حول دور الإعلام الرقمي في تعزيز الوعي الصحي</w:t>
      </w:r>
      <w:r w:rsidRPr="00645EB2">
        <w:rPr>
          <w:rFonts w:asciiTheme="majorBidi" w:hAnsiTheme="majorBidi" w:cstheme="majorBidi"/>
          <w:sz w:val="28"/>
          <w:szCs w:val="28"/>
        </w:rPr>
        <w:t>.</w:t>
      </w:r>
    </w:p>
    <w:p w14:paraId="34877237"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السؤال الأول: ما مدى اعتماد المرضى على وسائل الإعلام الرقمي للحصول على معلومات عن الأمراض العصبية المزمنة؟</w:t>
      </w:r>
    </w:p>
    <w:p w14:paraId="4B357AB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أوضحت نتائج تحليل المقابلات الخاصة بالسؤال الأول، والتي أُجريت مع عينة الدراسة المكونة من (25) طبيبًا، أن غالبية المشاركين بنسبة بلغت (72%) أكدوا أن المرضى يعتمدون بدرجة كبيرة على وسائل الإعلام الرقمي للحصول على المعلومات المتعلقة بالأمراض العصبية المزمنة، في حين رأى (20%) من الأطباء أن هذا الاعتماد يتم بدرجة متوسطة، بينما أشار (8%) إلى أن اعتماد المرضى على الإعلام الرقمي لا يزال محدودًا. ولم يذكر أي من أفراد العينة أن المرضى لا يعتمدون على وسائل الإعلام الرقمية، وهو ما يعكس تنامي دور الإعلام الرقمي باعتباره أحد أهم مصادر المعلومات الصحية لدى المرضى في الوقت الحالي</w:t>
      </w:r>
      <w:r w:rsidRPr="00645EB2">
        <w:rPr>
          <w:rFonts w:asciiTheme="majorBidi" w:hAnsiTheme="majorBidi" w:cstheme="majorBidi"/>
          <w:sz w:val="28"/>
          <w:szCs w:val="28"/>
        </w:rPr>
        <w:t>.</w:t>
      </w:r>
    </w:p>
    <w:p w14:paraId="5DB1133F"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وتشير هذه النتيجة إلى التحول الواضح الذي شهدته أنماط الحصول على المعلومات الصحية خلال السنوات الأخيرة، حيث لم يعد المريض يعتمد على الطبيب أو المنشآت الصحية فقط كمصدر للمعلومة، وإنما أصبح يلجأ بصورة متزايدة إلى وسائل الإعلام الرقمي، بما تتضمنه من مواقع إلكترونية، ومنصات تواصل اجتماعي، وتطبيقات صحية، ومحركات بحث، للحصول على معلومات تساعده على فهم المرض ومتابعة مستجدات العلاج وأساليب الوقاية والتعامل مع المضاعفات المحتملة. ويعكس هذا التحول التطور الكبير في وسائل الاتصال الحديثة، التي أتاحت للمريض الوصول إلى كم هائل من المعلومات في أي وقت وبأقل جهد ممكن</w:t>
      </w:r>
      <w:r w:rsidRPr="00645EB2">
        <w:rPr>
          <w:rFonts w:asciiTheme="majorBidi" w:hAnsiTheme="majorBidi" w:cstheme="majorBidi"/>
          <w:sz w:val="28"/>
          <w:szCs w:val="28"/>
        </w:rPr>
        <w:t>.</w:t>
      </w:r>
    </w:p>
    <w:p w14:paraId="6D3C3924"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وأظهرت استجابات الأطباء أن المرضى غالبًا ما يبدأون رحلة البحث عن المعلومات الصحية عبر الإنترنت بمجرد ظهور الأعراض الأولى أو بعد تلقي التشخيص الطبي، حيث يسعى المريض إلى تكوين تصور شامل عن طبيعة المرض العصبي المزمن الذي يعاني منه، والتعرف على أسبابه، ومراحله، وخيارات العلاج المتاحة، ومدى إمكانية السيطرة عليه. ويرى الأطباء أن هذا السلوك أصبح جزءًا طبيعيًا من رحلة العلاج، خاصة مع ارتفاع معدلات استخدام الإنترنت في المجتمع السعودي وانتشار الهواتف الذكية بين مختلف الفئات العمرية</w:t>
      </w:r>
      <w:r w:rsidRPr="00645EB2">
        <w:rPr>
          <w:rFonts w:asciiTheme="majorBidi" w:hAnsiTheme="majorBidi" w:cstheme="majorBidi"/>
          <w:sz w:val="28"/>
          <w:szCs w:val="28"/>
        </w:rPr>
        <w:t>.</w:t>
      </w:r>
    </w:p>
    <w:p w14:paraId="18C0B2C4" w14:textId="77777777" w:rsidR="000913DC" w:rsidRPr="000913DC" w:rsidRDefault="000913DC" w:rsidP="0008625B">
      <w:pPr>
        <w:spacing w:line="360" w:lineRule="auto"/>
        <w:rPr>
          <w:rFonts w:asciiTheme="majorBidi" w:hAnsiTheme="majorBidi" w:cstheme="majorBidi"/>
          <w:sz w:val="28"/>
          <w:szCs w:val="28"/>
          <w:rtl/>
        </w:rPr>
      </w:pPr>
    </w:p>
    <w:p w14:paraId="6B7AEF91"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كما أوضح المشاركون أن المرضى لا يكتفون بالحصول على المعلومات الأساسية، وإنما يبحثون أيضًا عن التجارب الواقعية لمرضى آخرين يعانون من الحالة نفسها، ويحرصون على متابعة الصفحات الطبية </w:t>
      </w:r>
      <w:r w:rsidRPr="00645EB2">
        <w:rPr>
          <w:rFonts w:asciiTheme="majorBidi" w:hAnsiTheme="majorBidi" w:cstheme="majorBidi"/>
          <w:sz w:val="28"/>
          <w:szCs w:val="28"/>
          <w:rtl/>
        </w:rPr>
        <w:lastRenderedPageBreak/>
        <w:t>والحسابات المتخصصة التي يقدمها أطباء أو مستشفيات أو جهات صحية رسمية، وذلك بهدف الاطمئنان إلى حالتهم الصحية والاستفادة من خبرات الآخرين في التعايش مع المرض. ويؤكد ذلك أن الإعلام الرقمي لم يعد مجرد وسيلة لنقل المعلومات، بل أصبح بيئة تفاعلية يتبادل فيها المرضى الخبرات والتجارب والدعم النفسي، وهو ما يعزز من أهمية هذا النوع من الإعلام في المجال الصحي</w:t>
      </w:r>
      <w:r w:rsidRPr="00645EB2">
        <w:rPr>
          <w:rFonts w:asciiTheme="majorBidi" w:hAnsiTheme="majorBidi" w:cstheme="majorBidi"/>
          <w:sz w:val="28"/>
          <w:szCs w:val="28"/>
        </w:rPr>
        <w:t>.</w:t>
      </w:r>
    </w:p>
    <w:p w14:paraId="664572FA"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ومن خلال تحليل المقابلات، تبين أن الأطباء ينظرون إلى هذا الاعتماد على الإعلام الرقمي باعتباره ظاهرة إيجابية في كثير من الجوانب، إذ أصبح المرضى أكثر وعيًا بطبيعة أمراضهم، وأكثر استعدادًا للمشاركة في اتخاذ القرار العلاجي، كما ارتفع مستوى الأسئلة التي يطرحونها أثناء الزيارة الطبية، وأصبحوا أكثر إدراكًا لأهمية الالتزام بالخطة العلاجية والمتابعة الدورية. ويرى الأطباء أن زيادة المعرفة الصحية لدى المرضى تسهم في تحسين جودة التواصل بينهم وبين الطبيب، وتساعد على رفع مستوى الالتزام بالعلاج والوقاية من المضاعفات</w:t>
      </w:r>
      <w:r w:rsidRPr="00645EB2">
        <w:rPr>
          <w:rFonts w:asciiTheme="majorBidi" w:hAnsiTheme="majorBidi" w:cstheme="majorBidi"/>
          <w:sz w:val="28"/>
          <w:szCs w:val="28"/>
        </w:rPr>
        <w:t>.</w:t>
      </w:r>
    </w:p>
    <w:p w14:paraId="1158D0D7"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وفي الوقت نفسه، أشار بعض المشاركين إلى أن هذا الاعتماد قد يحمل بعض الآثار السلبية إذا لم يكن مصحوبًا بقدرة المريض على التمييز بين المصادر الموثوقة وغير الموثوقة، إذ تنتشر عبر الإنترنت كميات كبيرة من المعلومات الصحية غير الدقيقة أو غير المبنية على الأدلة العلمية، الأمر الذي قد يؤدي إلى تكوين مفاهيم خاطئة حول طبيعة المرض أو وسائل علاجه. وأوضح الأطباء أن بعض المرضى يصلون إلى العيادة وهم مقتنعون بمعلومات حصلوا عليها من وسائل التواصل الاجتماعي أو من تجارب شخصية منشورة على الإنترنت، مما يستلزم من الطبيب بذل جهد إضافي لتصحيح تلك المفاهيم وإعادة توجيه المريض نحو المصادر العلمية الصحيحة</w:t>
      </w:r>
      <w:r w:rsidRPr="00645EB2">
        <w:rPr>
          <w:rFonts w:asciiTheme="majorBidi" w:hAnsiTheme="majorBidi" w:cstheme="majorBidi"/>
          <w:sz w:val="28"/>
          <w:szCs w:val="28"/>
        </w:rPr>
        <w:t>.</w:t>
      </w:r>
    </w:p>
    <w:p w14:paraId="175090CA"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أظهرت النتائج أن درجة اعتماد المرضى على الإعلام الرقمي تختلف باختلاف العمر والمستوى التعليمي والخبرة التقنية، حيث يرى الأطباء أن المرضى الأصغر سنًا والأكثر تعليمًا هم الأكثر استخدامًا للمنصات الرقمية، بينما يظل الاعتماد أقل نسبيًا بين كبار السن، الذين يفضل بعضهم الحصول على المعلومات مباشرة من الطبيب أو من أفراد الأسرة. إلا أن المشاركين أكدوا أن هذه الفجوة بدأت تتضاءل تدريجيًا نتيجة الانتشار الواسع للهواتف الذكية وتزايد استخدام التطبيقات الرقمية حتى بين الفئات العمرية الأكبر</w:t>
      </w:r>
      <w:r w:rsidRPr="00645EB2">
        <w:rPr>
          <w:rFonts w:asciiTheme="majorBidi" w:hAnsiTheme="majorBidi" w:cstheme="majorBidi"/>
          <w:sz w:val="28"/>
          <w:szCs w:val="28"/>
        </w:rPr>
        <w:t>.</w:t>
      </w:r>
    </w:p>
    <w:p w14:paraId="08CF5035"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وتعكس هذه النتائج حقيقة أن الإعلام الرقمي أصبح عنصرًا أساسيًا في المنظومة الصحية الحديثة، ولم يعد من الممكن فصله عن عملية التثقيف الصحي، حيث أصبح يؤدي دورًا مكملًا لدور الطبيب والمؤسسات الصحية. فالمريض أصبح يمتلك القدرة على الوصول إلى المعلومات بصورة مستمرة، وهو ما يتطلب من الجهات </w:t>
      </w:r>
      <w:r w:rsidRPr="00645EB2">
        <w:rPr>
          <w:rFonts w:asciiTheme="majorBidi" w:hAnsiTheme="majorBidi" w:cstheme="majorBidi"/>
          <w:sz w:val="28"/>
          <w:szCs w:val="28"/>
          <w:rtl/>
        </w:rPr>
        <w:lastRenderedPageBreak/>
        <w:t>الصحية مواكبة هذا التحول من خلال تقديم محتوى علمي مبسط، ودقيق، وسهل الوصول، يجيب عن تساؤلات المرضى ويحد من انتشار المعلومات غير الصحيحة</w:t>
      </w:r>
      <w:r w:rsidRPr="00645EB2">
        <w:rPr>
          <w:rFonts w:asciiTheme="majorBidi" w:hAnsiTheme="majorBidi" w:cstheme="majorBidi"/>
          <w:sz w:val="28"/>
          <w:szCs w:val="28"/>
        </w:rPr>
        <w:t>.</w:t>
      </w:r>
    </w:p>
    <w:p w14:paraId="1444A4EC"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وتتفق هذه النتيجة مع ما توصل إليه خيرت حمزة (2023)، الذي أكد أن الاتصال الرقمي أصبح من أهم أدوات تشكيل المعرفة الصحية لدى الجمهور، وأن التطور التكنولوجي أسهم في جعل المنصات الرقمية المصدر الأكثر استخدامًا للحصول على المعلومات المتعلقة بالقضايا الصحية، لما تتميز به من سرعة الوصول، والتفاعل، وإمكانية تحديث المعلومات بصورة مستمرة. كما أوضح أن تأثير الإعلام الرقمي لم يعد يقتصر على نقل المعلومات، وإنما أصبح يمتد إلى تشكيل الاتجاهات والسلوكيات الصحية لدى الأفراد، وهو ما يتوافق مع ما أظهرته نتائج المقابلات الحالية</w:t>
      </w:r>
      <w:r w:rsidRPr="00645EB2">
        <w:rPr>
          <w:rFonts w:asciiTheme="majorBidi" w:hAnsiTheme="majorBidi" w:cstheme="majorBidi"/>
          <w:sz w:val="28"/>
          <w:szCs w:val="28"/>
        </w:rPr>
        <w:t>.</w:t>
      </w:r>
    </w:p>
    <w:p w14:paraId="2877B6E5"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تتفق النتائج مع دراسة السلمي وعطية (2022)، التي أشارت إلى أن الوعي الصحي لدى مرضى الأمراض المزمنة يرتبط ارتباطًا وثيقًا بسهولة الوصول إلى المعلومات الصحية، وأن الوسائط الرقمية أصبحت من أهم الوسائل التي تسهم في تعزيز الثقافة الصحية ونشر السلوكيات الإيجابية بين المرضى، خاصة عندما تعتمد على محتوى علمي موثوق يصدر عن الجهات الصحية المختصة</w:t>
      </w:r>
      <w:r w:rsidRPr="00645EB2">
        <w:rPr>
          <w:rFonts w:asciiTheme="majorBidi" w:hAnsiTheme="majorBidi" w:cstheme="majorBidi"/>
          <w:sz w:val="28"/>
          <w:szCs w:val="28"/>
        </w:rPr>
        <w:t>.</w:t>
      </w:r>
    </w:p>
    <w:p w14:paraId="13B03BC5"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وتنسجم هذه النتائج أيضًا مع ما توصلت إليه قلاده (2025)، التي أكدت أن استخدام البرامج التثقيفية الرقمية أدى إلى تحسين مستوى المعرفة الصحية لدى المستفيدين، وأسهم في تعديل العديد من السلوكيات المرتبطة بالوقاية من الأمراض المزمنة، وهو ما يعكس قدرة الإعلام الرقمي على تحقيق أهداف التثقيف الصحي بصورة أكثر فاعلية عند توظيفه بشكل علمي ومدروس</w:t>
      </w:r>
      <w:r w:rsidRPr="00645EB2">
        <w:rPr>
          <w:rFonts w:asciiTheme="majorBidi" w:hAnsiTheme="majorBidi" w:cstheme="majorBidi"/>
          <w:sz w:val="28"/>
          <w:szCs w:val="28"/>
        </w:rPr>
        <w:t>.</w:t>
      </w:r>
    </w:p>
    <w:p w14:paraId="6AF1C077"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وتؤيد هذه النتيجة كذلك ما توصلت إليه صبرة (2024)، التي أوضحت أن المنصات الرقمية التفاعلية أصبحت أكثر قدرة على تبسيط المعلومات الصحية وتقديمها بصورة جذابة من خلال استخدام الوسائط المتعددة، وهو ما يزيد من تفاعل الجمهور مع الرسائل الصحية ويساعد على رفع مستوى الفهم والاستيعاب، خاصة في الموضوعات الطبية التي تتسم بالتعقيد مثل الأمراض العصبية المزمنة</w:t>
      </w:r>
      <w:r w:rsidRPr="00645EB2">
        <w:rPr>
          <w:rFonts w:asciiTheme="majorBidi" w:hAnsiTheme="majorBidi" w:cstheme="majorBidi"/>
          <w:sz w:val="28"/>
          <w:szCs w:val="28"/>
        </w:rPr>
        <w:t>.</w:t>
      </w:r>
    </w:p>
    <w:p w14:paraId="57719582"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ومن جانب آخر، تتوافق هذه النتيجة مع ما أشارت إليه الشعراوي (2006)، التي أوضحت أن نجاح العملية الاتصالية يرتبط بقدرة الوسيلة على الوصول إلى الجمهور المستهدف، وإشباع احتياجاته المعرفية، والتأثير في اتجاهاته وسلوكياته. ويبدو أن الإعلام الرقمي استطاع أن يحقق هذه الخصائص بدرجة كبيرة، الأمر الذي يفسر ارتفاع اعتماد المرضى عليه كمصدر للمعلومات الصحية مقارنة بالوسائل التقليدية</w:t>
      </w:r>
      <w:r w:rsidRPr="00645EB2">
        <w:rPr>
          <w:rFonts w:asciiTheme="majorBidi" w:hAnsiTheme="majorBidi" w:cstheme="majorBidi"/>
          <w:sz w:val="28"/>
          <w:szCs w:val="28"/>
        </w:rPr>
        <w:t>.</w:t>
      </w:r>
    </w:p>
    <w:p w14:paraId="3B8174DE"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lastRenderedPageBreak/>
        <w:t>ويرى الباحث أن ارتفاع نسبة اعتماد المرضى على الإعلام الرقمي يعكس التغير الذي يشهده المجتمع السعودي في أنماط الحصول على المعلومات الصحية، حيث أصبح الإعلام الرقمي شريكًا رئيسيًا في عملية التثقيف الصحي، وليس مجرد وسيلة مساندة. كما تشير هذه النتيجة إلى أهمية تطوير استراتيجيات وطنية تهدف إلى تعزيز المحتوى الصحي الرقمي الموثوق، وتشجيع المؤسسات الصحية والأطباء على التواجد الفاعل عبر المنصات الرقمية، بما يسهم في تزويد المرضى بالمعلومات الصحيحة، وتعزيز قدرتهم على إدارة الأمراض العصبية المزمنة بصورة أكثر وعيًا، والحد من التأثيرات السلبية الناتجة عن انتشار المعلومات الطبية غير الدقيقة عبر بعض المنصات الإلكترونية</w:t>
      </w:r>
      <w:r w:rsidRPr="00645EB2">
        <w:rPr>
          <w:rFonts w:asciiTheme="majorBidi" w:hAnsiTheme="majorBidi" w:cstheme="majorBidi"/>
          <w:sz w:val="28"/>
          <w:szCs w:val="28"/>
        </w:rPr>
        <w:t>.</w:t>
      </w:r>
    </w:p>
    <w:p w14:paraId="706D3DEA"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السؤال الثاني: من وجهة نظرك، هل ساهم الإعلام الرقمي في زيادة الوعي الصحي لدى المرضى وأسرهم؟</w:t>
      </w:r>
    </w:p>
    <w:p w14:paraId="29ED2EF9"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أوضحت نتائج تحليل المقابلات الخاصة بالسؤال الثاني، والتي أُجريت مع عينة الدراسة المكونة من (25) طبيبًا، أن نسبة (84%) من المشاركين أكدوا أن الإعلام الرقمي ساهم بدرجة كبيرة في رفع مستوى الوعي الصحي لدى المرضى وأسرهم، بينما رأى (12%) أن هذا الدور تحقق بدرجة متوسطة، في حين أشار (4%) فقط إلى أن تأثير الإعلام الرقمي لا يزال محدودًا في بعض الحالات، ويرجع ذلك إلى اختلاف مستويات الثقافة الصحية والقدرة على التمييز بين المعلومات الصحيحة والمعلومات غير الموثوقة. وتعكس هذه النتائج اتفاقًا واضحًا بين أفراد العينة على أن الإعلام الرقمي أصبح أحد أهم أدوات التوعية الصحية في الوقت الراهن، خاصة فيما يتعلق بالأمراض العصبية المزمنة التي تتطلب متابعة مستمرة وفهمًا دقيقًا لطبيعة المرض وأساليب التعامل معه</w:t>
      </w:r>
      <w:r w:rsidRPr="00645EB2">
        <w:rPr>
          <w:rFonts w:asciiTheme="majorBidi" w:hAnsiTheme="majorBidi" w:cstheme="majorBidi"/>
          <w:sz w:val="28"/>
          <w:szCs w:val="28"/>
        </w:rPr>
        <w:t>.</w:t>
      </w:r>
    </w:p>
    <w:p w14:paraId="0B2FCEC4"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وتشير هذه النتيجة إلى أن الإعلام الرقمي لم يعد يؤدي دورًا يقتصر على نقل المعلومات الصحية، بل أصبح يسهم بصورة مباشرة في بناء الوعي الصحي لدى المرضى وأفراد أسرهم، من خلال تقديم محتوى تثقيفي متنوع يساعد على تفسير طبيعة الأمراض العصبية المزمنة، وشرح أسبابها وأعراضها، وطرق تشخيصها، وأساليب العلاج والتأهيل، إضافة إلى توضيح أهمية الالتزام بالخطة العلاجية والمتابعة الطبية المستمرة. ويرى الأطباء أن هذا النوع من المحتوى أصبح ينعكس بصورة إيجابية على سلوك المرضى، حيث أصبحوا أكثر فهمًا لحالتهم الصحية وأكثر استعدادًا للتعاون مع الفريق الطبي</w:t>
      </w:r>
      <w:r w:rsidRPr="00645EB2">
        <w:rPr>
          <w:rFonts w:asciiTheme="majorBidi" w:hAnsiTheme="majorBidi" w:cstheme="majorBidi"/>
          <w:sz w:val="28"/>
          <w:szCs w:val="28"/>
        </w:rPr>
        <w:t>.</w:t>
      </w:r>
    </w:p>
    <w:p w14:paraId="441BF38B"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وأظهرت استجابات المشاركين أن أسرة المريض أصبحت تستفيد من الإعلام الرقمي بالقدر نفسه الذي يستفيد منه المريض، إذ يلجأ أفراد الأسرة إلى البحث عن معلومات تساعدهم على فهم طبيعة المرض وكيفية التعامل مع المريض داخل المنزل، والتعرف على طرق تقديم الدعم النفسي والاجتماعي له، وكيفية التصرف في </w:t>
      </w:r>
      <w:r w:rsidRPr="00645EB2">
        <w:rPr>
          <w:rFonts w:asciiTheme="majorBidi" w:hAnsiTheme="majorBidi" w:cstheme="majorBidi"/>
          <w:sz w:val="28"/>
          <w:szCs w:val="28"/>
          <w:rtl/>
        </w:rPr>
        <w:lastRenderedPageBreak/>
        <w:t>الحالات الطارئة التي قد ترتبط ببعض الأمراض العصبية المزمنة مثل نوبات الصرع أو المضاعفات المرتبطة بالأمراض التنكسية العصبية. ويرى الأطباء أن ارتفاع مستوى وعي الأسرة يسهم في تحسين جودة الرعاية المنزلية ويزيد من فرص نجاح الخطة العلاجية</w:t>
      </w:r>
      <w:r w:rsidRPr="00645EB2">
        <w:rPr>
          <w:rFonts w:asciiTheme="majorBidi" w:hAnsiTheme="majorBidi" w:cstheme="majorBidi"/>
          <w:sz w:val="28"/>
          <w:szCs w:val="28"/>
        </w:rPr>
        <w:t>.</w:t>
      </w:r>
    </w:p>
    <w:p w14:paraId="7F5AFA21"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أوضح عدد كبير من المشاركين أن الإعلام الرقمي ساعد على تصحيح العديد من المفاهيم الخاطئة المرتبطة بالأمراض العصبية المزمنة، حيث أسهمت الحملات الصحية الرقمية والمحتوى الذي تنشره الجهات الصحية الرسمية في الحد من بعض المعتقدات غير العلمية التي كانت ترتبط بهذه الأمراض، مثل الاعتقاد بأن بعض الأمراض العصبية معدية، أو أنها لا تستجيب للعلاج، أو أنها تؤدي حتمًا إلى فقدان القدرة على ممارسة الحياة الطبيعية. ويرى الأطباء أن تصحيح هذه المفاهيم انعكس بصورة إيجابية على تقبل المرضى للعلاج وتقليل الشعور بالخوف أو الوصمة الاجتماعية المرتبطة ببعض الأمراض العصبية</w:t>
      </w:r>
      <w:r w:rsidRPr="00645EB2">
        <w:rPr>
          <w:rFonts w:asciiTheme="majorBidi" w:hAnsiTheme="majorBidi" w:cstheme="majorBidi"/>
          <w:sz w:val="28"/>
          <w:szCs w:val="28"/>
        </w:rPr>
        <w:t>.</w:t>
      </w:r>
    </w:p>
    <w:p w14:paraId="603AADA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وأشارت نتائج المقابلات إلى أن الإعلام الرقمي أسهم كذلك في زيادة وعي المرضى بأهمية الاكتشاف المبكر للأمراض العصبية، حيث أصبح كثير من الأفراد أكثر اهتمامًا بمتابعة الأعراض الأولية وطلب الاستشارة الطبية في وقت مبكر، بدلاً من تأجيل زيارة الطبيب كما كان يحدث في السابق. ويرى المشاركون أن هذا التطور يمثل أحد أهم الآثار الإيجابية للإعلام الرقمي، لأن التشخيص المبكر يسهم في تحسين فرص العلاج والحد من المضاعفات، خاصة في الأمراض العصبية التي يعتمد نجاح علاجها بدرجة كبيرة على سرعة التدخل الطبي</w:t>
      </w:r>
      <w:r w:rsidRPr="00645EB2">
        <w:rPr>
          <w:rFonts w:asciiTheme="majorBidi" w:hAnsiTheme="majorBidi" w:cstheme="majorBidi"/>
          <w:sz w:val="28"/>
          <w:szCs w:val="28"/>
        </w:rPr>
        <w:t>.</w:t>
      </w:r>
    </w:p>
    <w:p w14:paraId="46242466"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ومن الجوانب التي ركز عليها الأطباء أيضًا أن الإعلام الرقمي أصبح وسيلة فعالة لتعزيز الثقافة الوقائية، حيث يتعرض المرضى وأسرهم بشكل مستمر إلى رسائل توعوية تتناول أهمية الالتزام بالأدوية، واتباع نمط حياة صحي، والاهتمام بالتغذية، وممارسة النشاط البدني المناسب، وتجنب العوامل التي قد تؤدي إلى تفاقم الحالة المرضية. وأسهم هذا النوع من الرسائل في تحويل الوعي الصحي من مجرد معرفة نظرية إلى ممارسات وسلوكيات يومية لدى نسبة كبيرة من المرضى</w:t>
      </w:r>
      <w:r w:rsidRPr="00645EB2">
        <w:rPr>
          <w:rFonts w:asciiTheme="majorBidi" w:hAnsiTheme="majorBidi" w:cstheme="majorBidi"/>
          <w:sz w:val="28"/>
          <w:szCs w:val="28"/>
        </w:rPr>
        <w:t>.</w:t>
      </w:r>
    </w:p>
    <w:p w14:paraId="73954341"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ورغم اتفاق غالبية المشاركين على الأثر الإيجابي للإعلام الرقمي، فإن بعض الأطباء أشاروا إلى أن هذا التأثير لا يتحقق بالدرجة نفسها لدى جميع المرضى، إذ يرتبط بمدى المستوى التعليمي، والوعي الصحي السابق، والقدرة على استخدام الوسائل الرقمية، إضافة إلى نوعية المصادر التي يعتمد عليها المريض. وأوضحوا أن بعض المرضى يتابعون صفحات أو حسابات غير متخصصة، مما قد يؤدي إلى اكتساب معلومات خاطئة تقلل </w:t>
      </w:r>
      <w:r w:rsidRPr="00645EB2">
        <w:rPr>
          <w:rFonts w:asciiTheme="majorBidi" w:hAnsiTheme="majorBidi" w:cstheme="majorBidi"/>
          <w:sz w:val="28"/>
          <w:szCs w:val="28"/>
          <w:rtl/>
        </w:rPr>
        <w:lastRenderedPageBreak/>
        <w:t>من الأثر الإيجابي المتوقع للإعلام الرقمي، وهو ما يستدعي تكثيف جهود الجهات الصحية لتوجيه الجمهور نحو المصادر الرسمية والموثوقة</w:t>
      </w:r>
      <w:r w:rsidRPr="00645EB2">
        <w:rPr>
          <w:rFonts w:asciiTheme="majorBidi" w:hAnsiTheme="majorBidi" w:cstheme="majorBidi"/>
          <w:sz w:val="28"/>
          <w:szCs w:val="28"/>
        </w:rPr>
        <w:t>.</w:t>
      </w:r>
    </w:p>
    <w:p w14:paraId="40420B86"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أظهرت المقابلات أن المحتوى الصحي الذي يعتمد على تبسيط المعلومات واستخدام الوسائط المتعددة يحقق تأثيرًا أكبر في رفع مستوى الوعي مقارنة بالمحتوى العلمي المعقد، حيث أكد الأطباء أن الفيديوهات التوضيحية والرسوم المعلوماتية والرسائل القصيرة تعد أكثر الوسائل قدرة على إيصال المعلومات الصحية إلى مختلف فئات المجتمع، نظرًا لسهولة فهمها وسرعة انتشارها عبر المنصات الرقمية</w:t>
      </w:r>
      <w:r w:rsidRPr="00645EB2">
        <w:rPr>
          <w:rFonts w:asciiTheme="majorBidi" w:hAnsiTheme="majorBidi" w:cstheme="majorBidi"/>
          <w:sz w:val="28"/>
          <w:szCs w:val="28"/>
        </w:rPr>
        <w:t>.</w:t>
      </w:r>
    </w:p>
    <w:p w14:paraId="40C0F7B6"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وتتفق هذه النتائج مع ما توصل إليه خيرت حمزة (2023)، الذي أكد أن الإعلام الرقمي أصبح يؤدي دورًا محوريًا في تشكيل الوعي الصحي لدى الجمهور، من خلال ما يوفره من بيئة تفاعلية تسمح بسرعة تداول المعلومات الصحية والوصول إلى شرائح واسعة من المجتمع. كما أوضح أن فعالية الرسائل الصحية الرقمية تعتمد على وضوح المحتوى وسهولة تقديمه، وهو ما يفسر الدور الكبير الذي أظهرته نتائج المقابلات في رفع مستوى الوعي لدى المرضى وأسرهم</w:t>
      </w:r>
      <w:r w:rsidRPr="00645EB2">
        <w:rPr>
          <w:rFonts w:asciiTheme="majorBidi" w:hAnsiTheme="majorBidi" w:cstheme="majorBidi"/>
          <w:sz w:val="28"/>
          <w:szCs w:val="28"/>
        </w:rPr>
        <w:t>.</w:t>
      </w:r>
    </w:p>
    <w:p w14:paraId="45EBC766"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تتوافق النتائج مع دراسة السلمي وعطية (2022)، التي أكدت أن تنمية الوعي الصحي تمثل أحد أهم الوسائل لمواجهة الأمراض المزمنة، وأن الإعلام الرقمي أصبح من أكثر الأدوات تأثيرًا في نشر الثقافة الصحية وتعزيز السلوكيات الوقائية، خاصة عندما يتم تقديم المعلومات الصحية بصورة علمية تتناسب مع احتياجات المرضى وأسرهم</w:t>
      </w:r>
      <w:r w:rsidRPr="00645EB2">
        <w:rPr>
          <w:rFonts w:asciiTheme="majorBidi" w:hAnsiTheme="majorBidi" w:cstheme="majorBidi"/>
          <w:sz w:val="28"/>
          <w:szCs w:val="28"/>
        </w:rPr>
        <w:t>.</w:t>
      </w:r>
    </w:p>
    <w:p w14:paraId="014D7C6F"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وتنسجم هذه النتيجة مع ما توصلت إليه قلاده (2025)، التي أوضحت أن البرامج التثقيفية المقدمة عبر الوسائط الرقمية تؤدي إلى تحسين المعرفة الصحية لدى المستفيدين، وتسهم في تعديل العديد من السلوكيات الصحية، وهو ما يعكس قدرة الإعلام الرقمي على إحداث تغيير إيجابي في وعي الأفراد واتجاهاتهم الصحية</w:t>
      </w:r>
      <w:r w:rsidRPr="00645EB2">
        <w:rPr>
          <w:rFonts w:asciiTheme="majorBidi" w:hAnsiTheme="majorBidi" w:cstheme="majorBidi"/>
          <w:sz w:val="28"/>
          <w:szCs w:val="28"/>
        </w:rPr>
        <w:t>.</w:t>
      </w:r>
    </w:p>
    <w:p w14:paraId="14AB62C7"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وتؤيد هذه النتائج أيضًا ما أشارت إليه صبرة (2024)، التي أكدت أن المواقع والمنصات الرقمية التفاعلية نجحت في تقديم القضايا الصحية بصورة أكثر جذبًا للجمهور، من خلال توظيف السرد الرقمي والوسائط المتعددة، وهو ما يزيد من معدلات الفهم والتفاعل مع الرسائل الصحية، ويجعل المعلومات الطبية أكثر قربًا من الجمهور</w:t>
      </w:r>
      <w:r w:rsidRPr="00645EB2">
        <w:rPr>
          <w:rFonts w:asciiTheme="majorBidi" w:hAnsiTheme="majorBidi" w:cstheme="majorBidi"/>
          <w:sz w:val="28"/>
          <w:szCs w:val="28"/>
        </w:rPr>
        <w:t>.</w:t>
      </w:r>
    </w:p>
    <w:p w14:paraId="0DF92578"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كما تتفق النتائج مع ما ذكرته الشعراوي (2006)، التي أوضحت أن نجاح الرسالة الاتصالية يرتبط بقدرتها على التأثير في معارف الجمهور واتجاهاته وسلوكياته، وأن الوسيلة الاتصالية الفعالة هي التي تستطيع الوصول </w:t>
      </w:r>
      <w:r w:rsidRPr="00645EB2">
        <w:rPr>
          <w:rFonts w:asciiTheme="majorBidi" w:hAnsiTheme="majorBidi" w:cstheme="majorBidi"/>
          <w:sz w:val="28"/>
          <w:szCs w:val="28"/>
          <w:rtl/>
        </w:rPr>
        <w:lastRenderedPageBreak/>
        <w:t>إلى الجمهور المستهدف بلغة واضحة ومحتوى يتناسب مع احتياجاته. ويؤكد ذلك أن الإعلام الرقمي أصبح يمتلك المقومات التي تؤهله للقيام بهذا الدور في المجال الصحي</w:t>
      </w:r>
      <w:r w:rsidRPr="00645EB2">
        <w:rPr>
          <w:rFonts w:asciiTheme="majorBidi" w:hAnsiTheme="majorBidi" w:cstheme="majorBidi"/>
          <w:sz w:val="28"/>
          <w:szCs w:val="28"/>
        </w:rPr>
        <w:t>.</w:t>
      </w:r>
    </w:p>
    <w:p w14:paraId="2A1F1BEA"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ويرى الباحث أن اتفاق غالبية الأطباء على إسهام الإعلام الرقمي في رفع مستوى الوعي الصحي لدى المرضى وأسرهم يعكس التحول الكبير الذي تشهده منظومة التثقيف الصحي في المجتمع السعودي، حيث أصبحت المنصات الرقمية أداة رئيسية لنشر المعرفة الصحية وتعزيز السلوكيات الوقائية والعلاجية. كما تشير هذه النتيجة إلى ضرورة استمرار الجهات الصحية في الاستثمار في الإعلام الرقمي من خلال إنتاج محتوى علمي مبسط، ومتجدد، وموثوق، يراعي احتياجات المرضى وأسرهم، ويسهم في بناء مجتمع أكثر وعيًا بالأمراض العصبية المزمنة، بما يدعم جهود الوقاية والعلاج ويحسن جودة الحياة للمصابين بهذه الأمراض</w:t>
      </w:r>
      <w:r w:rsidRPr="00645EB2">
        <w:rPr>
          <w:rFonts w:asciiTheme="majorBidi" w:hAnsiTheme="majorBidi" w:cstheme="majorBidi"/>
          <w:sz w:val="28"/>
          <w:szCs w:val="28"/>
        </w:rPr>
        <w:t>.</w:t>
      </w:r>
    </w:p>
    <w:p w14:paraId="067E9B64"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السؤال الثالث: ما أكثر المنصات الرقمية تأثيرًا في نشر التوعية الصحية المتعلقة بالأمراض العصبية المزمنة؟</w:t>
      </w:r>
    </w:p>
    <w:p w14:paraId="421C101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أوضحت نتائج تحليل المقابلات الخاصة بالسؤال الثالث، والتي أُجريت مع عينة الدراسة المكونة من (25) طبيبًا، أن (48%) من المشاركين يرون أن منصة "إكس</w:t>
      </w:r>
      <w:r w:rsidRPr="00645EB2">
        <w:rPr>
          <w:rFonts w:asciiTheme="majorBidi" w:hAnsiTheme="majorBidi" w:cstheme="majorBidi"/>
          <w:sz w:val="28"/>
          <w:szCs w:val="28"/>
        </w:rPr>
        <w:t xml:space="preserve"> (X)" </w:t>
      </w:r>
      <w:r w:rsidRPr="00645EB2">
        <w:rPr>
          <w:rFonts w:asciiTheme="majorBidi" w:hAnsiTheme="majorBidi" w:cstheme="majorBidi"/>
          <w:sz w:val="28"/>
          <w:szCs w:val="28"/>
          <w:rtl/>
        </w:rPr>
        <w:t>تعد أكثر المنصات تأثيرًا في نشر التوعية الصحية المتعلقة بالأمراض العصبية المزمنة داخل المجتمع السعودي، بينما أشار (28%) إلى أن منصة "يوتيوب" تمثل الوسيلة الأكثر فاعلية لما توفره من محتوى مرئي يشرح المعلومات الطبية بصورة مبسطة، في حين رأى (16%) أن "إنستغرام" يحقق تأثيرًا ملحوظًا في نشر الرسائل الصحية من خلال الإنفوجرافيك والمقاطع القصيرة، بينما أوضح (8%) أن المواقع الإلكترونية الرسمية التابعة لوزارة الصحة والمستشفيات المتخصصة لا تزال تمثل المصدر الأكثر موثوقية للمعلومات الصحية، على الرغم من أن معدل التفاعل معها أقل مقارنة بمنصات التواصل الاجتماعي</w:t>
      </w:r>
      <w:r w:rsidRPr="00645EB2">
        <w:rPr>
          <w:rFonts w:asciiTheme="majorBidi" w:hAnsiTheme="majorBidi" w:cstheme="majorBidi"/>
          <w:sz w:val="28"/>
          <w:szCs w:val="28"/>
        </w:rPr>
        <w:t>.</w:t>
      </w:r>
    </w:p>
    <w:p w14:paraId="49A188B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وتعكس هذه النتائج إدراك الأطباء للتغيرات التي شهدها المشهد الإعلامي الرقمي في المملكة العربية السعودية، حيث أصبحت منصات التواصل الاجتماعي تمثل الوسيلة الأكثر استخدامًا للوصول إلى الجمهور ونشر الرسائل الصحية في وقت قصير، وذلك بفضل الانتشار الواسع لهذه المنصات وسهولة استخدامها وإمكانية التفاعل المباشر مع المحتوى. ويرى المشاركون أن نجاح الحملات التوعوية لم يعد يعتمد فقط على جودة المعلومات، وإنما أصبح يرتبط أيضًا بالمنصة المستخدمة وطريقة عرض المحتوى ومدى توافقه مع طبيعة الجمهور المستهدف</w:t>
      </w:r>
      <w:r w:rsidRPr="00645EB2">
        <w:rPr>
          <w:rFonts w:asciiTheme="majorBidi" w:hAnsiTheme="majorBidi" w:cstheme="majorBidi"/>
          <w:sz w:val="28"/>
          <w:szCs w:val="28"/>
        </w:rPr>
        <w:t>.</w:t>
      </w:r>
    </w:p>
    <w:p w14:paraId="55060A7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وأشار معظم الأطباء إلى أن منصة "إكس" أصبحت من أكثر المنصات استخدامًا في المملكة لنشر الأخبار الصحية العاجلة والتوصيات الطبية والرسائل التوعوية الصادرة عن الجهات الرسمية، حيث تتميز بسرعة </w:t>
      </w:r>
      <w:r w:rsidRPr="00645EB2">
        <w:rPr>
          <w:rFonts w:asciiTheme="majorBidi" w:hAnsiTheme="majorBidi" w:cstheme="majorBidi"/>
          <w:sz w:val="28"/>
          <w:szCs w:val="28"/>
          <w:rtl/>
        </w:rPr>
        <w:lastRenderedPageBreak/>
        <w:t>تداول المعلومات، وإمكانية وصول الرسائل الصحية إلى أعداد كبيرة من المستخدمين خلال فترة زمنية قصيرة. كما أوضحوا أن العديد من الأطباء والاستشاريين والجهات الصحية يمتلكون حسابات موثقة على المنصة، الأمر الذي يعزز من مصداقية المحتوى المنشور ويزيد من ثقة الجمهور بالمعلومات المقدمة</w:t>
      </w:r>
      <w:r w:rsidRPr="00645EB2">
        <w:rPr>
          <w:rFonts w:asciiTheme="majorBidi" w:hAnsiTheme="majorBidi" w:cstheme="majorBidi"/>
          <w:sz w:val="28"/>
          <w:szCs w:val="28"/>
        </w:rPr>
        <w:t>.</w:t>
      </w:r>
    </w:p>
    <w:p w14:paraId="63CBCC4B"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وفيما يتعلق بمنصة "يوتيوب"، أكد المشاركون أنها تعد من أكثر المنصات ملاءمة لتفسير الموضوعات الطبية المعقدة، خاصة الأمراض العصبية المزمنة التي تحتاج إلى شرح تفصيلي لطبيعة المرض، وآلية حدوثه، وطرق العلاج، والتعامل مع الأعراض والمضاعفات. ويرى الأطباء أن المحتوى المرئي يساعد المرضى على استيعاب المعلومات بصورة أفضل مقارنة بالنصوص المكتوبة، كما يسمح بعرض الرسومات التوضيحية والمحاكاة الطبية التي تسهم في تبسيط المفاهيم العلمية، وهو ما يزيد من فعالية الرسالة الصحية</w:t>
      </w:r>
      <w:r w:rsidRPr="00645EB2">
        <w:rPr>
          <w:rFonts w:asciiTheme="majorBidi" w:hAnsiTheme="majorBidi" w:cstheme="majorBidi"/>
          <w:sz w:val="28"/>
          <w:szCs w:val="28"/>
        </w:rPr>
        <w:t>.</w:t>
      </w:r>
    </w:p>
    <w:p w14:paraId="1C695661"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أوضحت نتائج المقابلات أن منصة "إنستغرام" أصبحت تؤدي دورًا متزايدًا في نشر الثقافة الصحية، خاصة بين فئة الشباب، وذلك من خلال الاعتماد على الصور والإنفوجرافيك والمقاطع القصيرة التي تقدم رسائل صحية مختصرة وسهلة الفهم. ويرى المشاركون أن هذا النوع من المحتوى يحقق معدلات مشاهدة وتفاعل مرتفعة، ويساعد في جذب انتباه المستخدمين، إلا أنه قد لا يكون كافيًا لشرح التفاصيل الطبية الدقيقة، مما يستدعي توجيه المتابعين إلى مصادر أكثر تفصيلًا عند الحاجة</w:t>
      </w:r>
      <w:r w:rsidRPr="00645EB2">
        <w:rPr>
          <w:rFonts w:asciiTheme="majorBidi" w:hAnsiTheme="majorBidi" w:cstheme="majorBidi"/>
          <w:sz w:val="28"/>
          <w:szCs w:val="28"/>
        </w:rPr>
        <w:t>.</w:t>
      </w:r>
    </w:p>
    <w:p w14:paraId="102387C1"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وأشار عدد من الأطباء إلى أن المواقع الإلكترونية الرسمية التابعة لوزارة الصحة والمراكز الطبية المتخصصة تظل الأكثر موثوقية من الناحية العلمية، نظرًا لاعتمادها على الأدلة الطبية والإرشادات المعتمدة، إلا أن تأثيرها الجماهيري قد يكون أقل من منصات التواصل الاجتماعي بسبب انخفاض معدلات التفاعل معها، واعتمادها في كثير من الأحيان على أسلوب رسمي في عرض المعلومات. ويرى المشاركون أن الجمع بين الموثوقية العلمية للمواقع الرسمية والانتشار الواسع لمنصات التواصل الاجتماعي يمثل أفضل استراتيجية لنشر الوعي الصحي</w:t>
      </w:r>
      <w:r w:rsidRPr="00645EB2">
        <w:rPr>
          <w:rFonts w:asciiTheme="majorBidi" w:hAnsiTheme="majorBidi" w:cstheme="majorBidi"/>
          <w:sz w:val="28"/>
          <w:szCs w:val="28"/>
        </w:rPr>
        <w:t>.</w:t>
      </w:r>
    </w:p>
    <w:p w14:paraId="3E1BB9A6"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وأظهرت المقابلات كذلك أن فاعلية المنصة الرقمية لا تعتمد على نوعها فقط، وإنما تتأثر أيضًا بطريقة تقديم المحتوى. فقد أكد الأطباء أن الرسائل الصحية التي تستخدم لغة بسيطة، ورسومًا توضيحية، وأمثلة من الواقع، تحقق تأثيرًا أكبر من الرسائل التي تعتمد على المصطلحات الطبية المعقدة. كما أن الانتظام في نشر المحتوى والتفاعل مع استفسارات الجمهور يعززان من ثقة المتابعين ويزيدان من تأثير الرسائل التوعوية</w:t>
      </w:r>
      <w:r w:rsidRPr="00645EB2">
        <w:rPr>
          <w:rFonts w:asciiTheme="majorBidi" w:hAnsiTheme="majorBidi" w:cstheme="majorBidi"/>
          <w:sz w:val="28"/>
          <w:szCs w:val="28"/>
        </w:rPr>
        <w:t>.</w:t>
      </w:r>
    </w:p>
    <w:p w14:paraId="48ADFA88"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ومن الجوانب التي لفتت انتباه المشاركين أن التكامل بين المنصات الرقمية أصبح أكثر أهمية من الاعتماد على منصة واحدة، حيث يمكن نشر الرسالة الصحية بصورة مختصرة عبر منصة "إكس"، ثم توجيه الجمهور إلى </w:t>
      </w:r>
      <w:r w:rsidRPr="00645EB2">
        <w:rPr>
          <w:rFonts w:asciiTheme="majorBidi" w:hAnsiTheme="majorBidi" w:cstheme="majorBidi"/>
          <w:sz w:val="28"/>
          <w:szCs w:val="28"/>
          <w:rtl/>
        </w:rPr>
        <w:lastRenderedPageBreak/>
        <w:t>فيديو تفصيلي على "يوتيوب"، مع توفير إنفوجرافيك توضيحي على "إنستغرام"، وربط جميع هذه المنصات بالموقع الإلكتروني الرسمي للجهة الصحية. ويرى الأطباء أن هذا الأسلوب يسهم في الوصول إلى شرائح مختلفة من المجتمع وفقًا لاختلاف اهتماماتهم وأنماط استخدامهم للمنصات الرقمية</w:t>
      </w:r>
      <w:r w:rsidRPr="00645EB2">
        <w:rPr>
          <w:rFonts w:asciiTheme="majorBidi" w:hAnsiTheme="majorBidi" w:cstheme="majorBidi"/>
          <w:sz w:val="28"/>
          <w:szCs w:val="28"/>
        </w:rPr>
        <w:t>.</w:t>
      </w:r>
    </w:p>
    <w:p w14:paraId="55711C74"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أشار المشاركون إلى أن نجاح المنصات الرقمية في نشر التوعية الصحية يرتبط بدرجة كبيرة بمصداقية الجهة التي تقدم المحتوى، حيث يميل المرضى إلى الثقة بالمعلومات المنشورة من قبل وزارة الصحة، والمستشفيات الجامعية، والجمعيات الطبية، والأطباء المعروفين، مقارنة بالمحتوى الذي ينشره أشخاص غير متخصصين. ويؤكد ذلك أهمية دعم الحسابات الرسمية وتشجيعها على إنتاج محتوى صحي جذاب ومحدث بصورة مستمرة</w:t>
      </w:r>
      <w:r w:rsidRPr="00645EB2">
        <w:rPr>
          <w:rFonts w:asciiTheme="majorBidi" w:hAnsiTheme="majorBidi" w:cstheme="majorBidi"/>
          <w:sz w:val="28"/>
          <w:szCs w:val="28"/>
        </w:rPr>
        <w:t>.</w:t>
      </w:r>
    </w:p>
    <w:p w14:paraId="6F5D814E"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وتتفق هذه النتائج مع ما توصل إليه خيرت حمزة (2023)، الذي أكد أن الإعلام الرقمي أصبح الوسيلة الأكثر تأثيرًا في تشكيل الرأي العام تجاه القضايا الصحية، نتيجة اعتماده على التفاعل الفوري وسرعة تداول المعلومات، وهو ما يزيد من قدرته على الوصول إلى مختلف فئات المجتمع والتأثير في معارفهم واتجاهاتهم الصحية</w:t>
      </w:r>
      <w:r w:rsidRPr="00645EB2">
        <w:rPr>
          <w:rFonts w:asciiTheme="majorBidi" w:hAnsiTheme="majorBidi" w:cstheme="majorBidi"/>
          <w:sz w:val="28"/>
          <w:szCs w:val="28"/>
        </w:rPr>
        <w:t>.</w:t>
      </w:r>
    </w:p>
    <w:p w14:paraId="71366E24"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تتوافق النتائج مع دراسة صبرة (2024)، التي أوضحت أن المنصات الرقمية التفاعلية تمتلك قدرة كبيرة على تبسيط القضايا الصحية من خلال توظيف السرد الرقمي والوسائط المتعددة، الأمر الذي يسهم في زيادة معدلات الفهم والتفاعل مع الرسائل الصحية، ويجعل المحتوى أكثر جاذبية للمستخدمين</w:t>
      </w:r>
      <w:r w:rsidRPr="00645EB2">
        <w:rPr>
          <w:rFonts w:asciiTheme="majorBidi" w:hAnsiTheme="majorBidi" w:cstheme="majorBidi"/>
          <w:sz w:val="28"/>
          <w:szCs w:val="28"/>
        </w:rPr>
        <w:t>.</w:t>
      </w:r>
    </w:p>
    <w:p w14:paraId="502C4EFE"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وتنسجم هذه النتيجة مع دراسة السلمي وعطية (2022)، التي أشارت إلى أن نجاح برامج التوعية الصحية يرتبط باختيار الوسيلة الاتصالية القادرة على الوصول إلى الجمهور المستهدف، وأن المنصات الرقمية أصبحت من أكثر الوسائل فاعلية في نشر المعرفة الصحية وتعزيز الوعي بالأمراض المزمنة</w:t>
      </w:r>
      <w:r w:rsidRPr="00645EB2">
        <w:rPr>
          <w:rFonts w:asciiTheme="majorBidi" w:hAnsiTheme="majorBidi" w:cstheme="majorBidi"/>
          <w:sz w:val="28"/>
          <w:szCs w:val="28"/>
        </w:rPr>
        <w:t>.</w:t>
      </w:r>
    </w:p>
    <w:p w14:paraId="4EDF401D"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تؤكد نتائج الدراسة الحالية ما توصلت إليه قلاده (2025)، التي أوضحت أن استخدام الوسائط الرقمية في تقديم البرامج التثقيفية يسهم في رفع مستوى المعرفة الصحية وتحسين السلوكيات الوقائية، خاصة عندما يعتمد المحتوى على أساليب عرض حديثة تتناسب مع طبيعة الجمهور المستهدف</w:t>
      </w:r>
      <w:r w:rsidRPr="00645EB2">
        <w:rPr>
          <w:rFonts w:asciiTheme="majorBidi" w:hAnsiTheme="majorBidi" w:cstheme="majorBidi"/>
          <w:sz w:val="28"/>
          <w:szCs w:val="28"/>
        </w:rPr>
        <w:t>.</w:t>
      </w:r>
    </w:p>
    <w:p w14:paraId="65AB6A34"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وتتوافق هذه النتائج أيضًا مع ما ذكرته الشعراوي (2006)، التي أكدت أن اختيار الوسيلة الاتصالية المناسبة يعد أحد أهم عوامل نجاح العملية الاتصالية، وأن الوسيلة الأكثر تأثيرًا هي التي تتمكن من الوصول إلى الجمهور بسهولة، وتقديم الرسالة بطريقة تتلاءم مع خصائصه واحتياجاته، وهو ما يتجسد بوضوح في خصائص المنصات الرقمية الحديثة</w:t>
      </w:r>
      <w:r w:rsidRPr="00645EB2">
        <w:rPr>
          <w:rFonts w:asciiTheme="majorBidi" w:hAnsiTheme="majorBidi" w:cstheme="majorBidi"/>
          <w:sz w:val="28"/>
          <w:szCs w:val="28"/>
        </w:rPr>
        <w:t>.</w:t>
      </w:r>
    </w:p>
    <w:p w14:paraId="7C164CA4"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lastRenderedPageBreak/>
        <w:t>ويرى الباحث أن النتائج تؤكد أن نجاح حملات التوعية بالأمراض العصبية المزمنة في المجتمع السعودي لا يعتمد على إنتاج محتوى علمي صحيح فحسب، بل يتطلب أيضًا اختيار المنصة الرقمية الأكثر قدرة على الوصول إلى الفئة المستهدفة، مع مراعاة طبيعة كل منصة وآليات التفاعل فيها. كما يرى أن التكامل بين المنصات الرقمية المختلفة، مع الاعتماد على المحتوى الصادر عن الجهات الصحية الرسمية، يمثل أفضل الممارسات لتعزيز الوعي الصحي، ومواجهة المعلومات المضللة، وتحقيق أثر مستدام في تحسين الثقافة الصحية لدى المرضى وأسرهم</w:t>
      </w:r>
      <w:r w:rsidRPr="00645EB2">
        <w:rPr>
          <w:rFonts w:asciiTheme="majorBidi" w:hAnsiTheme="majorBidi" w:cstheme="majorBidi"/>
          <w:sz w:val="28"/>
          <w:szCs w:val="28"/>
        </w:rPr>
        <w:t>.</w:t>
      </w:r>
    </w:p>
    <w:p w14:paraId="7E87242A"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السؤال الرابع: ما أبرز المشكلات أو المعلومات الخاطئة التي يواجهها المرضى بسبب المحتوى الصحي المنتشر عبر الإنترنت؟</w:t>
      </w:r>
    </w:p>
    <w:p w14:paraId="21835160"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أوضحت نتائج تحليل المقابلات الخاصة بالسؤال الرابع، والتي أُجريت مع عينة الدراسة المكونة من (25) طبيبًا، أن نسبة (44%) من المشاركين أكدت أن أكثر المشكلات التي يواجهها المرضى تتمثل في انتشار المعلومات الطبية غير الموثوقة الصادرة عن أشخاص غير متخصصين، بينما أشار (24%) إلى أن الاعتماد على الوصفات العلاجية والتجارب الشخصية المنشورة عبر الإنترنت يمثل المشكلة الأكثر شيوعًا، في حين رأى (16%) أن انتشار المعلومات المبالغ فيها أو المضللة حول نتائج العلاج يؤدي إلى تكوين توقعات غير واقعية لدى المرضى، وأوضح (16%) أن تعدد المصادر واختلاف المعلومات الطبية يسبب حالة من الارتباك والقلق لدى المرضى وأسرهم عند محاولة التمييز بين المعلومات الصحيحة والخاطئة. وتشير هذه النتائج إلى أن التحدي الحقيقي لا يتمثل في نقص المعلومات الصحية، وإنما في وفرتها غير المنضبطة، وصعوبة التحقق من مدى صحتها ومصداقيتها</w:t>
      </w:r>
      <w:r w:rsidRPr="00645EB2">
        <w:rPr>
          <w:rFonts w:asciiTheme="majorBidi" w:hAnsiTheme="majorBidi" w:cstheme="majorBidi"/>
          <w:sz w:val="28"/>
          <w:szCs w:val="28"/>
        </w:rPr>
        <w:t>.</w:t>
      </w:r>
    </w:p>
    <w:p w14:paraId="45D59BED"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وتوضح هذه النتيجة أن التطور الكبير الذي شهده الإعلام الرقمي صاحبه ظهور كم هائل من المحتوى الصحي الذي يفتقر في كثير من الأحيان إلى المراجعة العلمية أو الإشراف الطبي، مما جعل المرضى يتعرضون بصورة مستمرة لمعلومات قد تكون غير دقيقة أو مضللة. ويرى الأطباء أن سهولة إنشاء المحتوى الرقمي ونشره عبر منصات التواصل الاجتماعي أسهمت في زيادة انتشار النصائح الطبية الصادرة عن غير المختصين، وهو ما أدى إلى تضارب المعلومات ووصول رسائل صحية قد تتعارض مع الإرشادات الطبية المعتمدة</w:t>
      </w:r>
      <w:r w:rsidRPr="00645EB2">
        <w:rPr>
          <w:rFonts w:asciiTheme="majorBidi" w:hAnsiTheme="majorBidi" w:cstheme="majorBidi"/>
          <w:sz w:val="28"/>
          <w:szCs w:val="28"/>
        </w:rPr>
        <w:t>.</w:t>
      </w:r>
    </w:p>
    <w:p w14:paraId="2ECBBAF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وأشار المشاركون إلى أن من أكثر المظاهر التي يلاحظونها داخل العيادات اعتماد بعض المرضى على معلومات حصلوا عليها من مقاطع فيديو أو منشورات متداولة عبر وسائل التواصل الاجتماعي، دون التأكد من </w:t>
      </w:r>
      <w:r w:rsidRPr="00645EB2">
        <w:rPr>
          <w:rFonts w:asciiTheme="majorBidi" w:hAnsiTheme="majorBidi" w:cstheme="majorBidi"/>
          <w:sz w:val="28"/>
          <w:szCs w:val="28"/>
          <w:rtl/>
        </w:rPr>
        <w:lastRenderedPageBreak/>
        <w:t>مصدرها العلمي. وغالبًا ما يصل هؤلاء المرضى وهم يحملون قناعات مسبقة حول طبيعة المرض أو طرق العلاج، الأمر الذي يجعل الطبيب يقضي جزءًا من وقت الاستشارة في تصحيح تلك المفاهيم قبل البدء في مناقشة الحالة الصحية والخطة العلاجية. ويرى الأطباء أن هذه الظاهرة أصبحت أكثر شيوعًا خلال السنوات الأخيرة نتيجة الزيادة الكبيرة في استخدام وسائل الإعلام الرقمي</w:t>
      </w:r>
      <w:r w:rsidRPr="00645EB2">
        <w:rPr>
          <w:rFonts w:asciiTheme="majorBidi" w:hAnsiTheme="majorBidi" w:cstheme="majorBidi"/>
          <w:sz w:val="28"/>
          <w:szCs w:val="28"/>
        </w:rPr>
        <w:t>.</w:t>
      </w:r>
    </w:p>
    <w:p w14:paraId="58CFCCAD"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أوضحت استجابات المشاركين أن انتشار التجارب الشخصية يمثل أحد أبرز مصادر المعلومات المضللة، حيث يميل بعض المرضى إلى مقارنة حالتهم الصحية بتجارب أشخاص آخرين يعانون من أمراض مشابهة، رغم اختلاف العمر، والحالة الصحية، ومرحلة المرض، والاستجابة للعلاج. وأكد الأطباء أن نجاح علاج معين مع أحد المرضى لا يعني بالضرورة نجاحه مع جميع الحالات، لأن الأمراض العصبية المزمنة تختلف في طبيعتها واستجابتها للعلاج من شخص إلى آخر، وهو ما يجعل تعميم التجارب الشخصية أمرًا غير علمي وقد يؤدي إلى اتخاذ قرارات علاجية خاطئة</w:t>
      </w:r>
      <w:r w:rsidRPr="00645EB2">
        <w:rPr>
          <w:rFonts w:asciiTheme="majorBidi" w:hAnsiTheme="majorBidi" w:cstheme="majorBidi"/>
          <w:sz w:val="28"/>
          <w:szCs w:val="28"/>
        </w:rPr>
        <w:t>.</w:t>
      </w:r>
    </w:p>
    <w:p w14:paraId="36EBDEDE"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وأشار عدد من الأطباء إلى أن بعض المرضى يتأثرون بالإعلانات أو المحتوى الترويجي الذي يقدم بعض المنتجات أو المكملات الغذائية أو الوسائل العلاجية على أنها حلول نهائية للأمراض العصبية المزمنة، دون وجود أدلة علمية تثبت فعاليتها. ويرى المشاركون أن هذه الرسائل قد تدفع بعض المرضى إلى إيقاف العلاج الموصوف من الطبيب أو تأخير مراجعة المختصين، اعتمادًا على وعود غير واقعية بالشفاء الكامل أو التحسن السريع، مما قد يؤدي إلى تفاقم الحالة الصحية وتأخر التدخل الطبي المناسب</w:t>
      </w:r>
      <w:r w:rsidRPr="00645EB2">
        <w:rPr>
          <w:rFonts w:asciiTheme="majorBidi" w:hAnsiTheme="majorBidi" w:cstheme="majorBidi"/>
          <w:sz w:val="28"/>
          <w:szCs w:val="28"/>
        </w:rPr>
        <w:t>.</w:t>
      </w:r>
    </w:p>
    <w:p w14:paraId="11D1B235"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وأظهرت المقابلات كذلك أن تضارب المعلومات الصحية المنشورة عبر الإنترنت يعد من أكثر العوامل التي تسبب القلق لدى المرضى وأسرهم، إذ يجد المريض نفسه أمام عشرات الآراء المختلفة حول المرض الواحد، بعضها يستند إلى الأدلة العلمية، وبعضها يعتمد على الاجتهادات الشخصية أو المعلومات غير الموثقة. ويؤدي هذا التضارب إلى فقدان الثقة في بعض الأحيان، وإلى صعوبة اتخاذ القرار بشأن العلاج أو أسلوب التعامل مع المرض، خاصة لدى المرضى الذين يفتقرون إلى الثقافة الصحية الكافية</w:t>
      </w:r>
      <w:r w:rsidRPr="00645EB2">
        <w:rPr>
          <w:rFonts w:asciiTheme="majorBidi" w:hAnsiTheme="majorBidi" w:cstheme="majorBidi"/>
          <w:sz w:val="28"/>
          <w:szCs w:val="28"/>
        </w:rPr>
        <w:t>.</w:t>
      </w:r>
    </w:p>
    <w:p w14:paraId="34AE60A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أوضح المشاركون أن استخدام المصطلحات الطبية خارج سياقها الصحيح يمثل مشكلة أخرى، حيث يتم تداول معلومات علمية معقدة بطريقة مبسطة أو مجتزأة، مما يؤدي إلى سوء فهمها من قبل الجمهور. ويرى الأطباء أن بعض صناع المحتوى يركزون على العناوين المثيرة أو المعلومات التي تحقق نسب مشاهدة مرتفعة، دون الاهتمام بالدقة العلمية أو توضيح حدود الدراسات الطبية، وهو ما يسهم في نشر مفاهيم غير صحيحة بين المرضى</w:t>
      </w:r>
      <w:r w:rsidRPr="00645EB2">
        <w:rPr>
          <w:rFonts w:asciiTheme="majorBidi" w:hAnsiTheme="majorBidi" w:cstheme="majorBidi"/>
          <w:sz w:val="28"/>
          <w:szCs w:val="28"/>
        </w:rPr>
        <w:t>.</w:t>
      </w:r>
    </w:p>
    <w:p w14:paraId="20BE2EB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lastRenderedPageBreak/>
        <w:t>وأكد الأطباء أن مواجهة هذه المشكلات لا تتطلب الحد من استخدام الإعلام الرقمي، وإنما تستلزم تعزيز الثقافة الصحية الرقمية لدى المجتمع، من خلال تعليم المرضى كيفية تقييم المعلومات الصحية، والتمييز بين المصادر الرسمية وغير الرسمية، والتأكد من أن المحتوى صادر عن جهات صحية معتمدة أو مختصين مؤهلين. كما شددوا على أهمية أن يكون للطبيب دور في توجيه المرضى إلى المصادر الموثوقة، وأن تحرص المؤسسات الصحية على الحضور الفاعل عبر المنصات الرقمية لتوفير بديل علمي ينافس المحتوى غير الدقيق</w:t>
      </w:r>
      <w:r w:rsidRPr="00645EB2">
        <w:rPr>
          <w:rFonts w:asciiTheme="majorBidi" w:hAnsiTheme="majorBidi" w:cstheme="majorBidi"/>
          <w:sz w:val="28"/>
          <w:szCs w:val="28"/>
        </w:rPr>
        <w:t>.</w:t>
      </w:r>
    </w:p>
    <w:p w14:paraId="3B124891"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وتتفق هذه النتائج مع ما توصل إليه خيرت حمزة (2023)، الذي أشار إلى أن التأثير الكبير للإعلام الرقمي لا يخلو من تحديات، من أبرزها سرعة انتشار المعلومات غير الدقيقة وصعوبة السيطرة على المحتوى المنشور عبر المنصات الرقمية، وهو ما يستدعي تعزيز مسؤولية المؤسسات الصحية والإعلامية في تقديم محتوى صحي موثوق ومبني على الأدلة العلمية</w:t>
      </w:r>
      <w:r w:rsidRPr="00645EB2">
        <w:rPr>
          <w:rFonts w:asciiTheme="majorBidi" w:hAnsiTheme="majorBidi" w:cstheme="majorBidi"/>
          <w:sz w:val="28"/>
          <w:szCs w:val="28"/>
        </w:rPr>
        <w:t>.</w:t>
      </w:r>
    </w:p>
    <w:p w14:paraId="4776BDB7"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تتوافق النتائج مع دراسة صبرة (2024)، التي أوضحت أن البيئة الرقمية التفاعلية تتيح إنتاج وتداول المحتوى الصحي بصورة سريعة، إلا أن غياب الضوابط المهنية في بعض المنصات قد يؤدي إلى انتشار معلومات غير دقيقة أو مضللة، مما يؤثر في فهم الجمهور للقضايا الصحية ويؤدي إلى تكوين تصورات خاطئة حول الأمراض وطرق علاجها</w:t>
      </w:r>
      <w:r w:rsidRPr="00645EB2">
        <w:rPr>
          <w:rFonts w:asciiTheme="majorBidi" w:hAnsiTheme="majorBidi" w:cstheme="majorBidi"/>
          <w:sz w:val="28"/>
          <w:szCs w:val="28"/>
        </w:rPr>
        <w:t>.</w:t>
      </w:r>
    </w:p>
    <w:p w14:paraId="3158E38F"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وتنسجم هذه النتيجة مع دراسة السلمي وعطية (2022)، التي أكدت أن الوعي الصحي لا يعتمد فقط على توافر المعلومات، وإنما يرتبط أيضًا بجودة هذه المعلومات ومصداقيتها، وأن نشر المعلومات الصحية غير الدقيقة قد يؤدي إلى تبني سلوكيات صحية خاطئة تقلل من فعالية برامج التوعية، خاصة لدى مرضى الأمراض المزمنة الذين يحتاجون إلى معلومات علمية دقيقة ومستقرة</w:t>
      </w:r>
      <w:r w:rsidRPr="00645EB2">
        <w:rPr>
          <w:rFonts w:asciiTheme="majorBidi" w:hAnsiTheme="majorBidi" w:cstheme="majorBidi"/>
          <w:sz w:val="28"/>
          <w:szCs w:val="28"/>
        </w:rPr>
        <w:t>.</w:t>
      </w:r>
    </w:p>
    <w:p w14:paraId="3A1EA2C4"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تؤيد النتائج ما توصلت إليه قلاده (2025)، التي أشارت إلى أن نجاح البرامج التثقيفية الصحية يتطلب تقديم معلومات واضحة وموثقة تستند إلى الأدلة العلمية، لأن المحتوى غير المنظم أو غير الدقيق قد يضعف من قدرة الأفراد على اتخاذ قرارات صحية سليمة، ويؤثر سلبًا في السلوكيات الصحية المستهدفة</w:t>
      </w:r>
      <w:r w:rsidRPr="00645EB2">
        <w:rPr>
          <w:rFonts w:asciiTheme="majorBidi" w:hAnsiTheme="majorBidi" w:cstheme="majorBidi"/>
          <w:sz w:val="28"/>
          <w:szCs w:val="28"/>
        </w:rPr>
        <w:t>.</w:t>
      </w:r>
    </w:p>
    <w:p w14:paraId="44570D6C"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وتتفق هذه النتائج أيضًا مع ما ذكرته الشعراوي (2006)، التي أوضحت أن من أهم شروط نجاح العملية الاتصالية مصداقية مصدر الرسالة ووضوح مضمونها، وأن ضعف المصداقية أو غموض الرسالة يؤدي إلى انخفاض مستوى الثقة لدى الجمهور ويحد من فاعلية الاتصال في تحقيق أهدافه، وهو ما يظهر بوضوح في حالة المحتوى الصحي غير الموثوق المنتشر عبر بعض المنصات الرقمية</w:t>
      </w:r>
      <w:r w:rsidRPr="00645EB2">
        <w:rPr>
          <w:rFonts w:asciiTheme="majorBidi" w:hAnsiTheme="majorBidi" w:cstheme="majorBidi"/>
          <w:sz w:val="28"/>
          <w:szCs w:val="28"/>
        </w:rPr>
        <w:t>.</w:t>
      </w:r>
    </w:p>
    <w:p w14:paraId="5AAAC85E"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lastRenderedPageBreak/>
        <w:t>ويرى الباحث أن نتائج هذا السؤال تؤكد أن التحدي الرئيس الذي يواجه الإعلام الرقمي في مجال التوعية بالأمراض العصبية المزمنة لا يتمثل في نقص المحتوى الصحي، وإنما في ضمان جودته ومصداقيته. فكلما ازدادت كمية المعلومات غير الموثوقة، ازدادت حاجة المرضى إلى مصادر علمية رسمية تقدم معلومات دقيقة ومحدثة بلغة مبسطة تناسب مختلف فئات المجتمع. كما يرى الباحث أن رفع مستوى الثقافة الصحية الرقمية لدى المرضى، وتشجيعهم على التحقق من مصادر المعلومات قبل الاعتماد عليها، يمثل أحد أهم الإجراءات التي يمكن أن تحد من الآثار السلبية للمحتوى الصحي المضلل، وتسهم في تعزيز الدور الإيجابي للإعلام الرقمي في دعم التوعية الصحية داخل المجتمع السعودي</w:t>
      </w:r>
      <w:r w:rsidRPr="00645EB2">
        <w:rPr>
          <w:rFonts w:asciiTheme="majorBidi" w:hAnsiTheme="majorBidi" w:cstheme="majorBidi"/>
          <w:sz w:val="28"/>
          <w:szCs w:val="28"/>
        </w:rPr>
        <w:t>.</w:t>
      </w:r>
    </w:p>
    <w:p w14:paraId="64D599B5"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السؤال الخامس: ما المقترحات التي تراها مناسبة لتطوير دور الإعلام الرقمي في التوعية بالأمراض العصبية المزمنة؟</w:t>
      </w:r>
    </w:p>
    <w:p w14:paraId="7176B39B"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أوضحت نتائج تحليل المقابلات الخاصة بالسؤال الخامس، والتي أُجريت مع عينة الدراسة المكونة من (25) طبيبًا، أن نسبة (40%) من المشاركين اقترحت زيادة إنتاج المحتوى الصحي الرقمي من خلال الجهات الصحية الرسمية والمستشفيات المتخصصة، بينما رأى (24%) ضرورة تعزيز مشاركة الأطباء والاستشاريين في تقديم المحتوى التوعوي عبر المنصات الرقمية، وأشار (20%) إلى أهمية تكثيف الحملات التوعوية الرقمية بصورة دورية، في حين أكد (16%) ضرورة وضع آليات أكثر فاعلية لمكافحة المعلومات الصحية المضللة، والتحقق من المحتوى المنشور عبر وسائل الإعلام الرقمي. وتعكس هذه النتائج وجود اتفاق واضح بين أفراد العينة على أن تطوير الإعلام الرقمي لا يعتمد على زيادة حجم المحتوى فقط، وإنما يتطلب تحسين جودته، وتعزيز مصداقيته، وتطوير أساليب تقديمه بما يتناسب مع احتياجات المرضى وأسرهم</w:t>
      </w:r>
      <w:r w:rsidRPr="00645EB2">
        <w:rPr>
          <w:rFonts w:asciiTheme="majorBidi" w:hAnsiTheme="majorBidi" w:cstheme="majorBidi"/>
          <w:sz w:val="28"/>
          <w:szCs w:val="28"/>
        </w:rPr>
        <w:t>.</w:t>
      </w:r>
    </w:p>
    <w:p w14:paraId="71D52F00"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وتشير هذه النتيجة إلى إدراك الأطباء لأهمية الدور الذي يمكن أن تؤديه الجهات الصحية الرسمية في قيادة عملية التوعية الصحية الرقمية، حيث يرى المشاركون أن وجود محتوى صحي صادر عن وزارة الصحة، والمستشفيات التخصصية، والجمعيات العلمية، يعزز ثقة الجمهور بالمعلومات المقدمة، ويحد من انتشار المحتوى غير الموثوق. كما أوضحوا أن المحتوى الرسمي ينبغي ألا يقتصر على نشر الأخبار الصحية أو البيانات التوعوية، بل يجب أن يقدم معلومات تفصيلية ومبسطة حول الأمراض العصبية المزمنة، تشمل التعريف بالمرض، وأسبابه، وأعراضه، وطرق الوقاية منه، وآليات العلاج والتأهيل، والإجابة عن الأسئلة الأكثر شيوعًا لدى المرضى</w:t>
      </w:r>
      <w:r w:rsidRPr="00645EB2">
        <w:rPr>
          <w:rFonts w:asciiTheme="majorBidi" w:hAnsiTheme="majorBidi" w:cstheme="majorBidi"/>
          <w:sz w:val="28"/>
          <w:szCs w:val="28"/>
        </w:rPr>
        <w:t>.</w:t>
      </w:r>
    </w:p>
    <w:p w14:paraId="1A791035"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lastRenderedPageBreak/>
        <w:t>وأكد عدد كبير من المشاركين أن إشراك الأطباء والمتخصصين في إنتاج المحتوى الرقمي يمثل أحد أهم العوامل التي تسهم في رفع جودة الرسائل الصحية، إذ إن ظهور الطبيب بصورة مباشرة عبر المنصات الرقمية يسهم في زيادة مصداقية المعلومات، ويمنح المرضى فرصة للحصول على إجابات دقيقة من مصدر علمي موثوق. كما يرى المشاركون أن وجود الأطباء في وسائل التواصل الاجتماعي يساعد على تقليل الفجوة بين المرضى والمختصين، ويعزز من فرص تصحيح المفاهيم الخاطئة المنتشرة عبر الإنترنت</w:t>
      </w:r>
      <w:r w:rsidRPr="00645EB2">
        <w:rPr>
          <w:rFonts w:asciiTheme="majorBidi" w:hAnsiTheme="majorBidi" w:cstheme="majorBidi"/>
          <w:sz w:val="28"/>
          <w:szCs w:val="28"/>
        </w:rPr>
        <w:t>.</w:t>
      </w:r>
    </w:p>
    <w:p w14:paraId="316F88D0"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أظهرت المقابلات أهمية تطوير الحملات الصحية الرقمية بحيث تكون مستمرة وليست موسمية، حيث أوضح الأطباء أن كثيرًا من حملات التوعية ترتبط بمناسبة صحية معينة أو يوم عالمي للمرض، ثم يتوقف النشاط الإعلامي بعد انتهاء المناسبة، بينما تتطلب الأمراض العصبية المزمنة برامج توعوية مستدامة ترافق المرضى وأسرهم طوال العام، نظرًا لطبيعة هذه الأمراض واحتياجها إلى متابعة مستمرة وتثقيف دائم</w:t>
      </w:r>
      <w:r w:rsidRPr="00645EB2">
        <w:rPr>
          <w:rFonts w:asciiTheme="majorBidi" w:hAnsiTheme="majorBidi" w:cstheme="majorBidi"/>
          <w:sz w:val="28"/>
          <w:szCs w:val="28"/>
        </w:rPr>
        <w:t>.</w:t>
      </w:r>
    </w:p>
    <w:p w14:paraId="1EE058F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وأشار المشاركون أيضًا إلى ضرورة تنويع أشكال المحتوى الصحي وعدم الاكتفاء بالنصوص التقليدية، حيث أكدوا أن استخدام الفيديوهات القصيرة، والرسوم المعلوماتية، والرسوم المتحركة، والبودكاست، والبث المباشر، يسهم في زيادة معدلات الوصول والتفاعل مع الرسائل الصحية، خاصة بين فئة الشباب. كما أوضحوا أن تقديم المعلومات بلغة مبسطة بعيدًا عن المصطلحات الطبية المعقدة يزيد من قدرة المرضى على فهم الرسائل الصحية والاستفادة منها</w:t>
      </w:r>
      <w:r w:rsidRPr="00645EB2">
        <w:rPr>
          <w:rFonts w:asciiTheme="majorBidi" w:hAnsiTheme="majorBidi" w:cstheme="majorBidi"/>
          <w:sz w:val="28"/>
          <w:szCs w:val="28"/>
        </w:rPr>
        <w:t>.</w:t>
      </w:r>
    </w:p>
    <w:p w14:paraId="1FC11D66"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ومن المقترحات التي حظيت باهتمام المشاركين ضرورة توظيف التقنيات الحديثة، مثل تطبيقات الهواتف الذكية والذكاء الاصطناعي، في تقديم خدمات التوعية الصحية، بحيث يتمكن المرضى من الحصول على معلومات موثوقة والإجابة عن استفساراتهم بصورة سريعة، مع توفير روابط مباشرة للمصادر الرسمية والخدمات الصحية المتخصصة. ويرى الأطباء أن هذه الأدوات يمكن أن تسهم في رفع مستوى الثقافة الصحية وتسهيل الوصول إلى المعلومات الصحيحة</w:t>
      </w:r>
      <w:r w:rsidRPr="00645EB2">
        <w:rPr>
          <w:rFonts w:asciiTheme="majorBidi" w:hAnsiTheme="majorBidi" w:cstheme="majorBidi"/>
          <w:sz w:val="28"/>
          <w:szCs w:val="28"/>
        </w:rPr>
        <w:t>.</w:t>
      </w:r>
    </w:p>
    <w:p w14:paraId="4E919198"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أكد عدد من الأطباء أهمية التعاون بين المؤسسات الصحية والجامعات ووسائل الإعلام والمؤثرين الرقميين في تنفيذ حملات توعوية مشتركة، تضمن وصول الرسائل الصحية إلى أكبر شريحة ممكنة من المجتمع. وأوضح المشاركون أن بعض المؤثرين يمتلكون قدرة كبيرة على الوصول إلى الجمهور، ويمكن الاستفادة من هذه القدرة في نشر الرسائل الصحية، بشرط أن يكون المحتوى خاضعًا للمراجعة العلمية من قبل المختصين</w:t>
      </w:r>
      <w:r w:rsidRPr="00645EB2">
        <w:rPr>
          <w:rFonts w:asciiTheme="majorBidi" w:hAnsiTheme="majorBidi" w:cstheme="majorBidi"/>
          <w:sz w:val="28"/>
          <w:szCs w:val="28"/>
        </w:rPr>
        <w:t>.</w:t>
      </w:r>
    </w:p>
    <w:p w14:paraId="418B4F42"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وأظهرت المقابلات كذلك أن مكافحة المعلومات الصحية المضللة تمثل أولوية في تطوير الإعلام الرقمي، حيث اقترح الأطباء تفعيل آليات لرصد المحتوى غير الصحيح، وسرعة الرد عليه من قبل الجهات الصحية الرسمية، </w:t>
      </w:r>
      <w:r w:rsidRPr="00645EB2">
        <w:rPr>
          <w:rFonts w:asciiTheme="majorBidi" w:hAnsiTheme="majorBidi" w:cstheme="majorBidi"/>
          <w:sz w:val="28"/>
          <w:szCs w:val="28"/>
          <w:rtl/>
        </w:rPr>
        <w:lastRenderedPageBreak/>
        <w:t>بالإضافة إلى إطلاق حملات توضح للجمهور كيفية التحقق من المعلومات الصحية، وتشجعهم على الاعتماد على المصادر المعتمدة فقط. ويرى المشاركون أن هذه الإجراءات ستسهم في تقليل التأثير السلبي للمعلومات الخاطئة، وتعزز ثقة المجتمع بالمحتوى الصحي الرقمي</w:t>
      </w:r>
      <w:r w:rsidRPr="00645EB2">
        <w:rPr>
          <w:rFonts w:asciiTheme="majorBidi" w:hAnsiTheme="majorBidi" w:cstheme="majorBidi"/>
          <w:sz w:val="28"/>
          <w:szCs w:val="28"/>
        </w:rPr>
        <w:t>.</w:t>
      </w:r>
    </w:p>
    <w:p w14:paraId="186C650E"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وأشار بعض الأطباء إلى أهمية تقييم أثر الحملات التوعوية بصورة دورية، من خلال قياس مستوى التفاعل مع المحتوى، ومدى استفادة المرضى منه، وتأثيره في المعرفة والسلوك الصحي، بما يساعد على تطوير الرسائل الإعلامية وتحسينها باستمرار، وضمان تحقيق الأهداف المرجوة من برامج التوعية</w:t>
      </w:r>
      <w:r w:rsidRPr="00645EB2">
        <w:rPr>
          <w:rFonts w:asciiTheme="majorBidi" w:hAnsiTheme="majorBidi" w:cstheme="majorBidi"/>
          <w:sz w:val="28"/>
          <w:szCs w:val="28"/>
        </w:rPr>
        <w:t>.</w:t>
      </w:r>
    </w:p>
    <w:p w14:paraId="116D87E8"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وتتفق هذه النتائج مع ما توصل إليه خيرت حمزة (2023)، الذي أكد أن تطوير الاتصال الرقمي في المجال الصحي يتطلب إنتاج محتوى علمي موثوق، والاستفادة من الخصائص التفاعلية للمنصات الرقمية، بما يعزز من قدرة الرسائل الصحية على الوصول إلى الجمهور والتأثير في معارفه واتجاهاته وسلوكياته</w:t>
      </w:r>
      <w:r w:rsidRPr="00645EB2">
        <w:rPr>
          <w:rFonts w:asciiTheme="majorBidi" w:hAnsiTheme="majorBidi" w:cstheme="majorBidi"/>
          <w:sz w:val="28"/>
          <w:szCs w:val="28"/>
        </w:rPr>
        <w:t>.</w:t>
      </w:r>
    </w:p>
    <w:p w14:paraId="32037D2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تتوافق النتائج مع دراسة صبرة (2024)، التي أشارت إلى أن نجاح المحتوى الصحي الرقمي يرتبط باستخدام أساليب عرض حديثة تعتمد على التفاعل والوسائط المتعددة، وأن تبسيط المعلومات الصحية يعد من أهم عوامل نجاح الرسائل الإعلامية الموجهة للجمهور</w:t>
      </w:r>
      <w:r w:rsidRPr="00645EB2">
        <w:rPr>
          <w:rFonts w:asciiTheme="majorBidi" w:hAnsiTheme="majorBidi" w:cstheme="majorBidi"/>
          <w:sz w:val="28"/>
          <w:szCs w:val="28"/>
        </w:rPr>
        <w:t>.</w:t>
      </w:r>
    </w:p>
    <w:p w14:paraId="4AE487D9"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وتنسجم هذه النتيجة مع دراسة السلمي وعطية (2022)، التي أوضحت أن رفع مستوى الوعي الصحي يتطلب تعاونًا مستمرًا بين المؤسسات الصحية ووسائل الاتصال المختلفة، مع التركيز على نشر المعلومات الصحيحة وتعزيز الثقافة الصحية لدى مرضى الأمراض المزمنة وأسرهم</w:t>
      </w:r>
      <w:r w:rsidRPr="00645EB2">
        <w:rPr>
          <w:rFonts w:asciiTheme="majorBidi" w:hAnsiTheme="majorBidi" w:cstheme="majorBidi"/>
          <w:sz w:val="28"/>
          <w:szCs w:val="28"/>
        </w:rPr>
        <w:t>.</w:t>
      </w:r>
    </w:p>
    <w:p w14:paraId="3C3C6B65"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تؤيد النتائج ما توصلت إليه قلاده (2025)، التي أكدت أن البرامج التثقيفية الصحية تحقق أفضل نتائجها عندما تعتمد على محتوى علمي مبسط، وتستخدم وسائل اتصال حديثة تتناسب مع خصائص الفئات المستهدفة، الأمر الذي يسهم في تحسين المعرفة الصحية وتعديل السلوكيات المرتبطة بالوقاية والعلاج</w:t>
      </w:r>
      <w:r w:rsidRPr="00645EB2">
        <w:rPr>
          <w:rFonts w:asciiTheme="majorBidi" w:hAnsiTheme="majorBidi" w:cstheme="majorBidi"/>
          <w:sz w:val="28"/>
          <w:szCs w:val="28"/>
        </w:rPr>
        <w:t>.</w:t>
      </w:r>
    </w:p>
    <w:p w14:paraId="74F0DA2E"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وتتفق النتائج أيضًا مع ما ذكرته الشعراوي (2006)، التي أكدت أن نجاح الرسائل الاتصالية يعتمد على التخطيط الجيد للمحتوى، واختيار الوسيلة المناسبة، ومصداقية مصدر الرسالة، مع مراعاة خصائص الجمهور المستهدف، وهو ما يتطلب من المؤسسات الصحية تطوير استراتيجيات إعلامية رقمية أكثر شمولًا وفاعلية</w:t>
      </w:r>
      <w:r w:rsidRPr="00645EB2">
        <w:rPr>
          <w:rFonts w:asciiTheme="majorBidi" w:hAnsiTheme="majorBidi" w:cstheme="majorBidi"/>
          <w:sz w:val="28"/>
          <w:szCs w:val="28"/>
        </w:rPr>
        <w:t>.</w:t>
      </w:r>
    </w:p>
    <w:p w14:paraId="56EF0468"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ويرى الباحث أن المقترحات التي قدمها الأطباء تعكس إدراكًا واضحًا لأهمية الانتقال من مرحلة استخدام الإعلام الرقمي كوسيلة لنشر المعلومات فقط، إلى مرحلة توظيفه كمنظومة متكاملة للتثقيف الصحي المستدام. كما يرى أن تحقيق ذلك يتطلب تكامل جهود الجهات الصحية، والمؤسسات الإعلامية، والجامعات، </w:t>
      </w:r>
      <w:r w:rsidRPr="00645EB2">
        <w:rPr>
          <w:rFonts w:asciiTheme="majorBidi" w:hAnsiTheme="majorBidi" w:cstheme="majorBidi"/>
          <w:sz w:val="28"/>
          <w:szCs w:val="28"/>
          <w:rtl/>
        </w:rPr>
        <w:lastRenderedPageBreak/>
        <w:t>والمتخصصين، من أجل إنتاج محتوى رقمي موثوق، وجذاب، ومتجدد، يعتمد على الأدلة العلمية، ويستجيب لاحتياجات المرضى وأسرهم. ومن شأن تطبيق هذه المقترحات أن يعزز من كفاءة الإعلام الرقمي في نشر الوعي بالأمراض العصبية المزمنة داخل المجتمع السعودي، ويسهم في تحسين الثقافة الصحية، ودعم جهود الوقاية، ورفع جودة الحياة لدى المرضى، وهو ما يتوافق مع مستهدفات التحول الرقمي وتطوير القطاع الصحي في المملكة العربية السعودية</w:t>
      </w:r>
      <w:r w:rsidRPr="00645EB2">
        <w:rPr>
          <w:rFonts w:asciiTheme="majorBidi" w:hAnsiTheme="majorBidi" w:cstheme="majorBidi"/>
          <w:sz w:val="28"/>
          <w:szCs w:val="28"/>
        </w:rPr>
        <w:t>.</w:t>
      </w:r>
    </w:p>
    <w:p w14:paraId="2A88E0A0" w14:textId="77777777" w:rsidR="000913DC" w:rsidRPr="00645EB2" w:rsidRDefault="000913DC" w:rsidP="000913DC">
      <w:pPr>
        <w:spacing w:line="360" w:lineRule="auto"/>
        <w:jc w:val="both"/>
        <w:rPr>
          <w:rFonts w:asciiTheme="majorBidi" w:hAnsiTheme="majorBidi" w:cstheme="majorBidi"/>
          <w:sz w:val="28"/>
          <w:szCs w:val="28"/>
          <w:rtl/>
        </w:rPr>
      </w:pPr>
      <w:r w:rsidRPr="00645EB2">
        <w:rPr>
          <w:rFonts w:asciiTheme="majorBidi" w:hAnsiTheme="majorBidi" w:cstheme="majorBidi"/>
          <w:sz w:val="28"/>
          <w:szCs w:val="28"/>
          <w:rtl/>
        </w:rPr>
        <w:t xml:space="preserve">تحليل الاستجابات الخاصة بالمرضي </w:t>
      </w:r>
    </w:p>
    <w:p w14:paraId="601E219B"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نبدأ الآن في تحليل إجابات المرضى</w:t>
      </w:r>
      <w:r w:rsidRPr="00645EB2">
        <w:rPr>
          <w:rFonts w:asciiTheme="majorBidi" w:hAnsiTheme="majorBidi" w:cstheme="majorBidi"/>
          <w:sz w:val="28"/>
          <w:szCs w:val="28"/>
        </w:rPr>
        <w:t>.</w:t>
      </w:r>
    </w:p>
    <w:p w14:paraId="7EFC1C15"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السؤال الأول: هل تعتمد على وسائل الإعلام الرقمي للحصول على معلومات عن مرضك؟ وما الوسائل التي تستخدمها؟</w:t>
      </w:r>
    </w:p>
    <w:p w14:paraId="28CE5D99"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أوضحت نتائج تحليل المقابلات الخاصة بالسؤال الأول، والتي أُجريت مع عينة الدراسة المكونة من (25) مريضًا من المصابين بالأمراض العصبية المزمنة، أن نسبة (80%) من المشاركين أكدوا اعتمادهم بصورة مستمرة على وسائل الإعلام الرقمي للحصول على المعلومات المتعلقة بمرضهم، بينما أوضح (16%) أنهم يعتمدون عليها في بعض الأحيان، خاصة عند ظهور أعراض جديدة أو عند الرغبة في معرفة معلومات إضافية بعد زيارة الطبيب، في حين أشار (4%) فقط إلى أن اعتمادهم على الإعلام الرقمي محدود، مفضلين الحصول على المعلومات مباشرة من الطبيب المعالج. كما أظهرت النتائج أن أكثر الوسائل استخدامًا تمثلت في منصة "إكس</w:t>
      </w:r>
      <w:r w:rsidRPr="00645EB2">
        <w:rPr>
          <w:rFonts w:asciiTheme="majorBidi" w:hAnsiTheme="majorBidi" w:cstheme="majorBidi"/>
          <w:sz w:val="28"/>
          <w:szCs w:val="28"/>
        </w:rPr>
        <w:t xml:space="preserve"> (X)"</w:t>
      </w:r>
      <w:r w:rsidRPr="00645EB2">
        <w:rPr>
          <w:rFonts w:asciiTheme="majorBidi" w:hAnsiTheme="majorBidi" w:cstheme="majorBidi"/>
          <w:sz w:val="28"/>
          <w:szCs w:val="28"/>
          <w:rtl/>
        </w:rPr>
        <w:t>، يليها "يوتيوب"، ثم المواقع الإلكترونية التابعة لوزارة الصحة والمستشفيات، إلى جانب استخدام محركات البحث وبعض التطبيقات الصحية المتخصصة</w:t>
      </w:r>
      <w:r w:rsidRPr="00645EB2">
        <w:rPr>
          <w:rFonts w:asciiTheme="majorBidi" w:hAnsiTheme="majorBidi" w:cstheme="majorBidi"/>
          <w:sz w:val="28"/>
          <w:szCs w:val="28"/>
        </w:rPr>
        <w:t>.</w:t>
      </w:r>
    </w:p>
    <w:p w14:paraId="0FE975C0"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وتشير هذه النتائج إلى أن الإعلام الرقمي أصبح جزءًا أساسيًا من رحلة المريض في البحث عن المعرفة الصحية، حيث لم يعد دوره مقتصرًا على توفير معلومات عامة، بل أصبح وسيلة يعتمد عليها المرضى بصورة مستمرة لفهم حالتهم الصحية ومتابعة التطورات المتعلقة بالمرض والعلاج. ويعكس ذلك التحول الكبير الذي شهدته مصادر المعلومات الصحية خلال السنوات الأخيرة، نتيجة الانتشار الواسع للتقنيات الرقمية وسهولة الوصول إلى الإنترنت عبر الهواتف الذكية، الأمر الذي جعل الحصول على المعلومات الصحية أكثر سرعة وسهولة مقارنة بالوسائل التقليدية</w:t>
      </w:r>
      <w:r w:rsidRPr="00645EB2">
        <w:rPr>
          <w:rFonts w:asciiTheme="majorBidi" w:hAnsiTheme="majorBidi" w:cstheme="majorBidi"/>
          <w:sz w:val="28"/>
          <w:szCs w:val="28"/>
        </w:rPr>
        <w:t>.</w:t>
      </w:r>
    </w:p>
    <w:p w14:paraId="0A56FEF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وأظهرت المقابلات أن معظم المرضى يبدأون البحث عبر الإنترنت بمجرد تشخيص إصابتهم بالمرض، رغبةً في التعرف على طبيعة المرض العصبي الذي يعانون منه، وأسبابه، وأعراضه، ومدى تأثيره في حياتهم </w:t>
      </w:r>
      <w:r w:rsidRPr="00645EB2">
        <w:rPr>
          <w:rFonts w:asciiTheme="majorBidi" w:hAnsiTheme="majorBidi" w:cstheme="majorBidi"/>
          <w:sz w:val="28"/>
          <w:szCs w:val="28"/>
          <w:rtl/>
        </w:rPr>
        <w:lastRenderedPageBreak/>
        <w:t>اليومية، إضافة إلى معرفة فرص العلاج وأساليب التعايش مع الحالة المرضية. كما أوضح المشاركون أنهم يواصلون استخدام الإعلام الرقمي طوال فترة العلاج، سواء لمتابعة المستجدات الطبية أو للحصول على نصائح تساعدهم في التعامل مع الأعراض وتحسين جودة حياتهم</w:t>
      </w:r>
      <w:r w:rsidRPr="00645EB2">
        <w:rPr>
          <w:rFonts w:asciiTheme="majorBidi" w:hAnsiTheme="majorBidi" w:cstheme="majorBidi"/>
          <w:sz w:val="28"/>
          <w:szCs w:val="28"/>
        </w:rPr>
        <w:t>.</w:t>
      </w:r>
    </w:p>
    <w:p w14:paraId="467F6C98"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تبين من خلال استجابات المرضى أن تعدد الوسائل الرقمية أتاح لهم فرصة الوصول إلى المعلومات بطرق متنوعة تتناسب مع احتياجاتهم، فهناك من يفضل مشاهدة الفيديوهات الطبية التي يقدمها الأطباء والمتخصصون، بينما يفضل آخرون قراءة المقالات أو متابعة الحسابات الرسمية للجهات الصحية عبر منصات التواصل الاجتماعي. وأشار بعض المشاركين إلى أنهم يستخدمون أكثر من وسيلة في الوقت نفسه للتأكد من صحة المعلومات، حيث يبدأون بالبحث عبر محركات البحث ثم ينتقلون إلى المواقع الرسمية أو الحسابات الطبية الموثقة</w:t>
      </w:r>
      <w:r w:rsidRPr="00645EB2">
        <w:rPr>
          <w:rFonts w:asciiTheme="majorBidi" w:hAnsiTheme="majorBidi" w:cstheme="majorBidi"/>
          <w:sz w:val="28"/>
          <w:szCs w:val="28"/>
        </w:rPr>
        <w:t>.</w:t>
      </w:r>
    </w:p>
    <w:p w14:paraId="2175E587"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وأكد المرضى أن من أهم الأسباب التي تدفعهم إلى الاعتماد على الإعلام الرقمي سرعة الوصول إلى المعلومات دون الحاجة إلى انتظار موعد طبي، بالإضافة إلى إمكانية الرجوع إلى المحتوى أكثر من مرة عند الحاجة، وهو ما يساعدهم على فهم المعلومات بصورة أفضل. كما أوضحوا أن الإعلام الرقمي يوفر إجابات عن العديد من الأسئلة التي قد لا يتسع وقت الزيارة الطبية لمناقشتها بالتفصيل، مثل طرق التعايش مع المرض، والتغذية المناسبة، والأنشطة التي يمكن ممارستها، وكيفية التعامل مع الآثار الجانبية للعلاج</w:t>
      </w:r>
      <w:r w:rsidRPr="00645EB2">
        <w:rPr>
          <w:rFonts w:asciiTheme="majorBidi" w:hAnsiTheme="majorBidi" w:cstheme="majorBidi"/>
          <w:sz w:val="28"/>
          <w:szCs w:val="28"/>
        </w:rPr>
        <w:t>.</w:t>
      </w:r>
    </w:p>
    <w:p w14:paraId="42F32B82"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وأظهرت المقابلات أيضًا أن المرضى يهتمون بمتابعة الحسابات التابعة للجهات الصحية الرسمية، لما تتمتع به من مصداقية، إلا أنهم في الوقت نفسه يتابعون بعض الحسابات الشخصية للأطباء والمختصين الذين يقدمون محتوى صحيًا مبسطًا يناسب مختلف فئات المجتمع. ويرى المشاركون أن أسلوب عرض المعلومات يلعب دورًا مهمًا في جذب انتباههم، حيث يفضلون المحتوى المختصر والواضح الذي يعتمد على الصور والفيديوهات والرسوم التوضيحية أكثر من النصوص الطويلة</w:t>
      </w:r>
      <w:r w:rsidRPr="00645EB2">
        <w:rPr>
          <w:rFonts w:asciiTheme="majorBidi" w:hAnsiTheme="majorBidi" w:cstheme="majorBidi"/>
          <w:sz w:val="28"/>
          <w:szCs w:val="28"/>
        </w:rPr>
        <w:t>.</w:t>
      </w:r>
    </w:p>
    <w:p w14:paraId="05D8EE4D"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أوضح بعض المرضى أن الإعلام الرقمي لا يقتصر دوره على تزويدهم بالمعلومات الطبية، بل يساعدهم أيضًا في الحصول على الدعم النفسي من خلال متابعة تجارب مرضى آخرين يعانون من الحالة نفسها، حيث يشعرون بأنهم ليسوا وحدهم في مواجهة المرض، وأن هناك أشخاصًا استطاعوا التكيف مع المرض وممارسة حياتهم بصورة طبيعية. ويرى المشاركون أن هذا النوع من المحتوى يمنحهم الأمل ويزيد من قدرتهم على التعايش مع المرض، بشرط ألا يحل محل الاستشارة الطبية المتخصصة</w:t>
      </w:r>
      <w:r w:rsidRPr="00645EB2">
        <w:rPr>
          <w:rFonts w:asciiTheme="majorBidi" w:hAnsiTheme="majorBidi" w:cstheme="majorBidi"/>
          <w:sz w:val="28"/>
          <w:szCs w:val="28"/>
        </w:rPr>
        <w:t>.</w:t>
      </w:r>
    </w:p>
    <w:p w14:paraId="6E3AABCE"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lastRenderedPageBreak/>
        <w:t>وفي المقابل، أشار عدد محدود من المرضى إلى أنهم لا يعتمدون بصورة كاملة على الإعلام الرقمي، ويرجع ذلك إلى خشيتهم من الحصول على معلومات غير صحيحة أو متناقضة، لذلك يفضلون الرجوع إلى الطبيب باعتباره المصدر الأساسي للمعلومة الصحية، مع استخدام الإنترنت فقط للحصول على معلومات إضافية أو تفسير بعض المصطلحات الطبية التي يصعب فهمها</w:t>
      </w:r>
      <w:r w:rsidRPr="00645EB2">
        <w:rPr>
          <w:rFonts w:asciiTheme="majorBidi" w:hAnsiTheme="majorBidi" w:cstheme="majorBidi"/>
          <w:sz w:val="28"/>
          <w:szCs w:val="28"/>
        </w:rPr>
        <w:t>.</w:t>
      </w:r>
    </w:p>
    <w:p w14:paraId="5BDDE1A4"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وتتفق هذه النتائج مع ما توصل إليه خيرت حمزة (2023)، الذي أكد أن الإعلام الرقمي أصبح المصدر الأكثر استخدامًا للحصول على المعلومات الصحية، نتيجة ما يتميز به من سرعة في نقل المعلومات، وسهولة الوصول إليها، وإمكانية التفاعل مع المحتوى، وهو ما جعله يؤدي دورًا مهمًا في تشكيل المعرفة الصحية لدى الأفراد</w:t>
      </w:r>
      <w:r w:rsidRPr="00645EB2">
        <w:rPr>
          <w:rFonts w:asciiTheme="majorBidi" w:hAnsiTheme="majorBidi" w:cstheme="majorBidi"/>
          <w:sz w:val="28"/>
          <w:szCs w:val="28"/>
        </w:rPr>
        <w:t>.</w:t>
      </w:r>
    </w:p>
    <w:p w14:paraId="6A262851"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تتوافق النتائج مع دراسة السلمي وعطية (2022)، التي أشارت إلى أن ارتفاع مستوى الوعي الصحي لدى مرضى الأمراض المزمنة يرتبط بزيادة استخدام الوسائط الرقمية للحصول على المعلومات الصحية، وأن سهولة الوصول إلى المحتوى الصحي أسهمت في تحسين المعرفة الصحية لدى المرضى وأسرهم</w:t>
      </w:r>
      <w:r w:rsidRPr="00645EB2">
        <w:rPr>
          <w:rFonts w:asciiTheme="majorBidi" w:hAnsiTheme="majorBidi" w:cstheme="majorBidi"/>
          <w:sz w:val="28"/>
          <w:szCs w:val="28"/>
        </w:rPr>
        <w:t>.</w:t>
      </w:r>
    </w:p>
    <w:p w14:paraId="54E5A02A"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وتنسجم هذه النتيجة مع دراسة قلاده (2025)، التي أوضحت أن استخدام الوسائط الرقمية في البرامج التثقيفية الصحية يؤدي إلى رفع مستوى المعرفة الصحية لدى المستفيدين، ويزيد من قدرتهم على تبني السلوكيات الصحية السليمة، وهو ما يتوافق مع اعتماد المرضى في الدراسة الحالية على الإعلام الرقمي لفهم طبيعة المرض وأساليب التعامل معه</w:t>
      </w:r>
      <w:r w:rsidRPr="00645EB2">
        <w:rPr>
          <w:rFonts w:asciiTheme="majorBidi" w:hAnsiTheme="majorBidi" w:cstheme="majorBidi"/>
          <w:sz w:val="28"/>
          <w:szCs w:val="28"/>
        </w:rPr>
        <w:t>.</w:t>
      </w:r>
    </w:p>
    <w:p w14:paraId="083E44F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كما تؤيد النتائج ما توصلت إليه صبرة (2024)، التي أكدت أن المنصات الرقمية التفاعلية أصبحت أكثر قدرة على جذب الجمهور من خلال توظيف الوسائط المتعددة وتقديم المعلومات الصحية بأسلوب مبسط، وهو ما يسهم في زيادة التفاعل مع الرسائل الصحية وتحسين مستوى الاستفادة منها</w:t>
      </w:r>
      <w:r w:rsidRPr="00645EB2">
        <w:rPr>
          <w:rFonts w:asciiTheme="majorBidi" w:hAnsiTheme="majorBidi" w:cstheme="majorBidi"/>
          <w:sz w:val="28"/>
          <w:szCs w:val="28"/>
        </w:rPr>
        <w:t>.</w:t>
      </w:r>
    </w:p>
    <w:p w14:paraId="57E7E203"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وتتفق هذه النتائج أيضًا مع ما ذكرته الشعراوي (2006)، التي أوضحت أن الوسيلة الاتصالية الفعالة هي التي تتمكن من الوصول إلى الجمهور بسهولة، وتلبي احتياجاته المعرفية، وتؤثر في اتجاهاته وسلوكياته، وهي الخصائص التي أصبحت تتوافر بدرجة كبيرة في وسائل الإعلام الرقمي الحديثة</w:t>
      </w:r>
      <w:r w:rsidRPr="00645EB2">
        <w:rPr>
          <w:rFonts w:asciiTheme="majorBidi" w:hAnsiTheme="majorBidi" w:cstheme="majorBidi"/>
          <w:sz w:val="28"/>
          <w:szCs w:val="28"/>
        </w:rPr>
        <w:t>.</w:t>
      </w:r>
    </w:p>
    <w:p w14:paraId="75D66EB8"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 xml:space="preserve">ويرى الباحث أن اعتماد غالبية المرضى على الإعلام الرقمي للحصول على المعلومات المتعلقة بالأمراض العصبية المزمنة يعكس التحول الكبير في سلوك البحث عن المعلومات الصحية داخل المجتمع السعودي، حيث أصبحت المنصات الرقمية المصدر الأول الذي يلجأ إليه كثير من المرضى لفهم حالتهم الصحية ومتابعة مستجدات العلاج. كما يرى الباحث أن هذه النتيجة تؤكد أهمية تعزيز المحتوى الصحي الرقمي الرسمي، وتشجيع المرضى على الاعتماد على المصادر الموثوقة، مع الاستمرار في تطوير الخدمات الرقمية التي تقدمها </w:t>
      </w:r>
      <w:r w:rsidRPr="00645EB2">
        <w:rPr>
          <w:rFonts w:asciiTheme="majorBidi" w:hAnsiTheme="majorBidi" w:cstheme="majorBidi"/>
          <w:sz w:val="28"/>
          <w:szCs w:val="28"/>
          <w:rtl/>
        </w:rPr>
        <w:lastRenderedPageBreak/>
        <w:t>الجهات الصحية، بما يسهم في رفع مستوى الوعي الصحي، وتحسين قدرة المرضى على التعايش مع الأمراض العصبية المزمنة، ودعم الشراكة بين المريض ومقدم الرعاية الصحية في اتخاذ القرارات العلاجية</w:t>
      </w:r>
      <w:r w:rsidRPr="00645EB2">
        <w:rPr>
          <w:rFonts w:asciiTheme="majorBidi" w:hAnsiTheme="majorBidi" w:cstheme="majorBidi"/>
          <w:sz w:val="28"/>
          <w:szCs w:val="28"/>
        </w:rPr>
        <w:t>.</w:t>
      </w:r>
    </w:p>
    <w:p w14:paraId="3E627CAF"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السؤال الثاني: إلى أي مدى ساعدتك المنصات الرقمية في فهم طبيعة المرض وطرق التعامل معه؟</w:t>
      </w:r>
    </w:p>
    <w:p w14:paraId="6356185E"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أوضحت نتائج تحليل المقابلات الخاصة بالسؤال الثاني، والتي أُجريت مع عينة الدراسة المكونة من (25) مريضًا، أن نسبة (76%) من المشاركين أكدوا أن المنصات الرقمية ساعدتهم بدرجة كبيرة في فهم طبيعة المرض العصبي المزمن وطرق التعامل معه، بينما أوضح (20%) أنها ساعدتهم بدرجة متوسطة، في حين أشار (4%) فقط إلى أن استفادتهم كانت محدودة، ويرجع ذلك إلى صعوبة فهم بعض المعلومات الطبية أو عدم ثقتهم الكاملة في جميع المصادر الرقمية. وتعكس هذه النتائج وجود دور واضح للإعلام الرقمي في تعزيز المعرفة الصحية لدى المرضى، وتزويدهم بالمعلومات التي تساعدهم على التعامل مع المرض بصورة أكثر وعيًا</w:t>
      </w:r>
      <w:r w:rsidRPr="00645EB2">
        <w:rPr>
          <w:rFonts w:asciiTheme="majorBidi" w:hAnsiTheme="majorBidi" w:cstheme="majorBidi"/>
          <w:sz w:val="28"/>
          <w:szCs w:val="28"/>
        </w:rPr>
        <w:t>.</w:t>
      </w:r>
    </w:p>
    <w:p w14:paraId="78F1C355"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وتشير هذه النتيجة إلى أن المنصات الرقمية أصبحت تؤدي دورًا يتجاوز مجرد توفير المعلومات، إذ تسهم في بناء فهم أعمق لطبيعة الأمراض العصبية المزمنة، وما يرتبط بها من أعراض، ومضاعفات، وخيارات علاجية، وإجراءات وقائية، الأمر الذي يساعد المرضى على التكيف مع أوضاعهم الصحية واتخاذ قرارات أكثر وعيًا فيما يتعلق بالعلاج والمتابعة. ويرى المرضى أن سهولة الوصول إلى المعلومات الصحية في أي وقت، وإمكانية الرجوع إليها عند الحاجة، من أهم العوامل التي جعلت الإعلام الرقمي وسيلة فعالة لدعم معرفتهم الصحية</w:t>
      </w:r>
      <w:r w:rsidRPr="00645EB2">
        <w:rPr>
          <w:rFonts w:asciiTheme="majorBidi" w:hAnsiTheme="majorBidi" w:cstheme="majorBidi"/>
          <w:sz w:val="28"/>
          <w:szCs w:val="28"/>
        </w:rPr>
        <w:t>.</w:t>
      </w:r>
    </w:p>
    <w:p w14:paraId="6DDF9760" w14:textId="77777777" w:rsidR="000913DC" w:rsidRPr="00645EB2" w:rsidRDefault="000913DC" w:rsidP="000913DC">
      <w:pPr>
        <w:spacing w:line="360" w:lineRule="auto"/>
        <w:jc w:val="both"/>
        <w:rPr>
          <w:rFonts w:asciiTheme="majorBidi" w:hAnsiTheme="majorBidi" w:cstheme="majorBidi"/>
          <w:sz w:val="28"/>
          <w:szCs w:val="28"/>
        </w:rPr>
      </w:pPr>
      <w:r w:rsidRPr="00645EB2">
        <w:rPr>
          <w:rFonts w:asciiTheme="majorBidi" w:hAnsiTheme="majorBidi" w:cstheme="majorBidi"/>
          <w:sz w:val="28"/>
          <w:szCs w:val="28"/>
          <w:rtl/>
        </w:rPr>
        <w:t>وأظهرت استجابات المشاركين أن المحتوى الرقمي ساعدهم على فهم أسباب ظهور الأعراض، والتمييز بين الأعراض الطبيعية التي قد تصاحب المرض، والأعراض التي تستوجب مراجعة الطبيب بصورة عاجلة، وهو ما انعكس إيجابًا على تعاملهم مع حالتهم الصحية، وخفف من مستوى القلق الذي كان ينتابهم عند ظهور بعض التغيرات المرتبطة بالمرض. كما أوضح عدد من المرضى أن اطلاعهم على المعلومات الصحية قبل زيارة الطبيب جعلهم أكثر قدرة على فهم التفسيرات الطبية التي يقدمها المختصون، وساعدهم على طرح أسئلة أكثر دقة تتعلق بحالتهم الصحية</w:t>
      </w:r>
      <w:r w:rsidRPr="00645EB2">
        <w:rPr>
          <w:rFonts w:asciiTheme="majorBidi" w:hAnsiTheme="majorBidi" w:cstheme="majorBidi"/>
          <w:sz w:val="28"/>
          <w:szCs w:val="28"/>
        </w:rPr>
        <w:t>.</w:t>
      </w:r>
    </w:p>
    <w:p w14:paraId="35BF35B0"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 xml:space="preserve">كما بينت المقابلات أن كثيرًا من المرضى استفادوا من المنصات الرقمية في التعرف على أساليب التعايش مع المرض، مثل أهمية الالتزام بمواعيد تناول الأدوية، والحرص على المتابعة الدورية، واتباع أنماط غذائية مناسبة، </w:t>
      </w:r>
      <w:r w:rsidRPr="00FB2B83">
        <w:rPr>
          <w:rFonts w:ascii="Simplified Arabic" w:hAnsi="Simplified Arabic" w:cs="Simplified Arabic"/>
          <w:sz w:val="28"/>
          <w:szCs w:val="28"/>
          <w:rtl/>
        </w:rPr>
        <w:lastRenderedPageBreak/>
        <w:t>وممارسة الأنشطة البدنية التي تتوافق مع حالتهم الصحية، بالإضافة إلى التعرف على أساليب الدعم النفسي والاجتماعي التي تسهم في تحسين جودة الحياة. وأكد المشاركون أن هذه المعلومات لم تكن متاحة لهم بنفس السهولة من قبل، وأن الإعلام الرقمي أسهم في تقريبها إليهم بطريقة مبسطة وسهلة الفهم</w:t>
      </w:r>
      <w:r w:rsidRPr="00FB2B83">
        <w:rPr>
          <w:rFonts w:ascii="Simplified Arabic" w:hAnsi="Simplified Arabic" w:cs="Simplified Arabic"/>
          <w:sz w:val="28"/>
          <w:szCs w:val="28"/>
        </w:rPr>
        <w:t>.</w:t>
      </w:r>
    </w:p>
    <w:p w14:paraId="037B6580"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وأشار عدد من المرضى إلى أن مشاهدة المقاطع المصورة التي يقدمها الأطباء والاستشاريون ساعدتهم على استيعاب كثير من المعلومات الطبية التي كانوا يجدون صعوبة في فهمها عند قراءتها في المقالات أو الكتيبات الصحية، حيث أسهم الشرح المرئي، والرسوم التوضيحية، والأمثلة العملية في تبسيط المفاهيم المتعلقة بالأمراض العصبية المزمنة، وهو ما زاد من قدرتهم على استيعاب المعلومات والاحتفاظ بها لفترة أطول</w:t>
      </w:r>
      <w:r w:rsidRPr="00FB2B83">
        <w:rPr>
          <w:rFonts w:ascii="Simplified Arabic" w:hAnsi="Simplified Arabic" w:cs="Simplified Arabic"/>
          <w:sz w:val="28"/>
          <w:szCs w:val="28"/>
        </w:rPr>
        <w:t>.</w:t>
      </w:r>
    </w:p>
    <w:p w14:paraId="2FF19AB2"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كما أوضحت النتائج أن المنصات الرقمية ساعدت المرضى على التعرف إلى الخدمات الصحية المتاحة، مثل العيادات المتخصصة، وبرامج التأهيل، والجمعيات الداعمة لمرضى الأمراض العصبية، إضافة إلى التعرف على المبادرات الصحية التي تنظمها الجهات الرسمية. ويرى المشاركون أن هذه المعلومات وفرت عليهم كثيرًا من الوقت والجهد، وساعدتهم في الوصول إلى الخدمات المناسبة بصورة أسرع</w:t>
      </w:r>
      <w:r w:rsidRPr="00FB2B83">
        <w:rPr>
          <w:rFonts w:ascii="Simplified Arabic" w:hAnsi="Simplified Arabic" w:cs="Simplified Arabic"/>
          <w:sz w:val="28"/>
          <w:szCs w:val="28"/>
        </w:rPr>
        <w:t>.</w:t>
      </w:r>
    </w:p>
    <w:p w14:paraId="62C8652B"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وفي جانب آخر، أشار بعض المرضى إلى أن استفادتهم من المنصات الرقمية كانت متوسطة، ويرجع ذلك إلى كثرة المعلومات المتداولة حول المرض، وصعوبة التمييز أحيانًا بين المعلومات الدقيقة وغير الدقيقة، فضلًا عن استخدام بعض المواقع لمصطلحات طبية معقدة يصعب على غير المتخصصين فهمها. وأكد المشاركون أن وجود محتوى صحي مبسط ومراجع علميًا يسهم في زيادة الاستفادة ويحد من حالة الارتباك التي قد يشعر بها بعض المرضى أثناء البحث عن المعلومات</w:t>
      </w:r>
      <w:r w:rsidRPr="00FB2B83">
        <w:rPr>
          <w:rFonts w:ascii="Simplified Arabic" w:hAnsi="Simplified Arabic" w:cs="Simplified Arabic"/>
          <w:sz w:val="28"/>
          <w:szCs w:val="28"/>
        </w:rPr>
        <w:t>.</w:t>
      </w:r>
    </w:p>
    <w:p w14:paraId="3CDE1FE7"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 xml:space="preserve">كما أكد عدد من المرضى أن المنصات الرقمية ساعدتهم في زيادة ثقتهم بقدرتهم على إدارة المرض، حيث أصبحوا أكثر وعيًا بالعوامل التي قد تؤثر في حالتهم الصحية، وأكثر التزامًا بالإرشادات الطبية، نتيجة الفهم </w:t>
      </w:r>
      <w:r w:rsidRPr="00FB2B83">
        <w:rPr>
          <w:rFonts w:ascii="Simplified Arabic" w:hAnsi="Simplified Arabic" w:cs="Simplified Arabic"/>
          <w:sz w:val="28"/>
          <w:szCs w:val="28"/>
          <w:rtl/>
        </w:rPr>
        <w:lastRenderedPageBreak/>
        <w:t>الأفضل لطبيعة المرض وأهمية الالتزام بالعلاج. ويرى المشاركون أن المعرفة الصحية التي اكتسبوها من خلال الإعلام الرقمي انعكست بصورة إيجابية على حياتهم اليومية، وساعدتهم على التكيف مع المرض وتقليل الشعور بالخوف والقلق</w:t>
      </w:r>
      <w:r w:rsidRPr="00FB2B83">
        <w:rPr>
          <w:rFonts w:ascii="Simplified Arabic" w:hAnsi="Simplified Arabic" w:cs="Simplified Arabic"/>
          <w:sz w:val="28"/>
          <w:szCs w:val="28"/>
        </w:rPr>
        <w:t>.</w:t>
      </w:r>
    </w:p>
    <w:p w14:paraId="307AAF5F"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وتتفق هذه النتائج مع ما توصل إليه قلاده (2025)، التي أكدت أن البرامج التثقيفية المقدمة عبر الوسائط الرقمية تسهم بصورة فعالة في رفع مستوى المعرفة الصحية، وتحسين السلوكيات المرتبطة بالوقاية والتعامل مع الأمراض المزمنة، وهو ما يتوافق مع ما أظهرته نتائج المقابلات من استفادة المرضى في فهم طبيعة المرض وطرق التعامل معه</w:t>
      </w:r>
      <w:r w:rsidRPr="00FB2B83">
        <w:rPr>
          <w:rFonts w:ascii="Simplified Arabic" w:hAnsi="Simplified Arabic" w:cs="Simplified Arabic"/>
          <w:sz w:val="28"/>
          <w:szCs w:val="28"/>
        </w:rPr>
        <w:t>.</w:t>
      </w:r>
    </w:p>
    <w:p w14:paraId="6DA689CE"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كما تتوافق النتائج مع دراسة السلمي وعطية (2022)، التي أشارت إلى أن رفع مستوى الوعي الصحي لدى مرضى الأمراض المزمنة يسهم في تحسين قدرتهم على التكيف مع المرض، وأن الوصول إلى المعلومات الصحية الموثوقة يعد أحد أهم العوامل التي تساعد المرضى على إدارة حالتهم الصحية بصورة أفضل</w:t>
      </w:r>
      <w:r w:rsidRPr="00FB2B83">
        <w:rPr>
          <w:rFonts w:ascii="Simplified Arabic" w:hAnsi="Simplified Arabic" w:cs="Simplified Arabic"/>
          <w:sz w:val="28"/>
          <w:szCs w:val="28"/>
        </w:rPr>
        <w:t>.</w:t>
      </w:r>
    </w:p>
    <w:p w14:paraId="290189D1"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وتنسجم هذه النتيجة مع ما توصل إليه خيرت حمزة (2023)، الذي أوضح أن الإعلام الرقمي أصبح يؤدي دورًا محوريًا في بناء المعرفة الصحية لدى الجمهور، من خلال ما يقدمه من محتوى تفاعلي ومتجدد يساعد على تبسيط المعلومات الطبية وتعزيز فهمها، الأمر الذي ينعكس على السلوك الصحي للأفراد</w:t>
      </w:r>
      <w:r w:rsidRPr="00FB2B83">
        <w:rPr>
          <w:rFonts w:ascii="Simplified Arabic" w:hAnsi="Simplified Arabic" w:cs="Simplified Arabic"/>
          <w:sz w:val="28"/>
          <w:szCs w:val="28"/>
        </w:rPr>
        <w:t>.</w:t>
      </w:r>
    </w:p>
    <w:p w14:paraId="3B10D2A5"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كما تؤيد النتائج ما أشارت إليه صبرة (2024)، التي أكدت أن استخدام الوسائط المتعددة داخل المنصات الرقمية يسهم في تحسين فهم الجمهور للقضايا الصحية، ويزيد من فاعلية الرسائل التوعوية مقارنة بوسائل الاتصال التقليدية، خاصة عندما يتم تقديم المعلومات بطريقة مبسطة وتفاعلية</w:t>
      </w:r>
      <w:r w:rsidRPr="00FB2B83">
        <w:rPr>
          <w:rFonts w:ascii="Simplified Arabic" w:hAnsi="Simplified Arabic" w:cs="Simplified Arabic"/>
          <w:sz w:val="28"/>
          <w:szCs w:val="28"/>
        </w:rPr>
        <w:t>.</w:t>
      </w:r>
    </w:p>
    <w:p w14:paraId="0F6DD4DE"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lastRenderedPageBreak/>
        <w:t>وتتفق هذه النتائج أيضًا مع ما ذكرته الشعراوي (2006)، التي أوضحت أن من أهم أهداف العملية الاتصالية إحداث تغيير معرفي لدى الجمهور، وأن الرسائل الإعلامية الناجحة هي التي تساعد المتلقي على فهم المعلومات واستيعابها وتطبيقها في حياته اليومية، وهو ما يتضح في الدور الذي تؤديه المنصات الرقمية في تعزيز المعرفة الصحية لدى المرضى</w:t>
      </w:r>
      <w:r w:rsidRPr="00FB2B83">
        <w:rPr>
          <w:rFonts w:ascii="Simplified Arabic" w:hAnsi="Simplified Arabic" w:cs="Simplified Arabic"/>
          <w:sz w:val="28"/>
          <w:szCs w:val="28"/>
        </w:rPr>
        <w:t>.</w:t>
      </w:r>
    </w:p>
    <w:p w14:paraId="038C02B9"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ويرى الباحث أن النتائج تؤكد أن الإعلام الرقمي أصبح وسيلة تعليمية وصحية فعالة تسهم في رفع مستوى المعرفة بالأمراض العصبية المزمنة، وتعزز قدرة المرضى على التعامل مع حالتهم الصحية بصورة أكثر وعيًا ومسؤولية. كما يرى الباحث أن زيادة الاستفادة من هذه المنصات تتطلب استمرار تطوير المحتوى الصحي الرقمي، والاعتماد على لغة مبسطة، ووسائط متعددة، ومعلومات موثقة تستند إلى الأدلة العلمية، بما يسهم في تمكين المرضى من فهم مرضهم، والالتزام بالعلاج، والمشاركة الإيجابية في إدارة حالتهم الصحية، وهو ما ينعكس في النهاية على تحسين جودة الرعاية الصحية وجودة الحياة لدى المرضى</w:t>
      </w:r>
      <w:r w:rsidRPr="00FB2B83">
        <w:rPr>
          <w:rFonts w:ascii="Simplified Arabic" w:hAnsi="Simplified Arabic" w:cs="Simplified Arabic"/>
          <w:sz w:val="28"/>
          <w:szCs w:val="28"/>
        </w:rPr>
        <w:t>.</w:t>
      </w:r>
    </w:p>
    <w:p w14:paraId="2D511DEB" w14:textId="77777777" w:rsidR="000913DC" w:rsidRPr="00FB2B83" w:rsidRDefault="000913DC" w:rsidP="000913DC">
      <w:pPr>
        <w:spacing w:line="360" w:lineRule="auto"/>
        <w:jc w:val="both"/>
        <w:rPr>
          <w:rFonts w:ascii="Simplified Arabic" w:hAnsi="Simplified Arabic" w:cs="Simplified Arabic"/>
          <w:b/>
          <w:bCs/>
          <w:sz w:val="28"/>
          <w:szCs w:val="28"/>
        </w:rPr>
      </w:pPr>
      <w:r w:rsidRPr="00FB2B83">
        <w:rPr>
          <w:rFonts w:ascii="Simplified Arabic" w:hAnsi="Simplified Arabic" w:cs="Simplified Arabic"/>
          <w:b/>
          <w:bCs/>
          <w:sz w:val="28"/>
          <w:szCs w:val="28"/>
          <w:rtl/>
        </w:rPr>
        <w:t>السؤال الثالث: هل تثق بالمعلومات الصحية التي تُنشر عبر وسائل التواصل الاجتماعي والمواقع الإلكترونية؟ ولماذا؟</w:t>
      </w:r>
    </w:p>
    <w:p w14:paraId="1BF58861"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 xml:space="preserve">أوضحت نتائج تحليل المقابلات الخاصة بالسؤال الثالث، والتي أُجريت مع عينة الدراسة المكونة من (25) مريضًا، أن نسبة (64%) من المشاركين أكدوا أنهم يثقون بالمعلومات الصحية المنشورة عبر وسائل التواصل الاجتماعي والمواقع الإلكترونية، ولكن بشرط أن تكون صادرة عن جهات صحية رسمية أو أطباء ومتخصصين معروفين، بينما أوضح (24%) أنهم يثقون بالمعلومات إلى حدٍ ما، ويحرصون على التحقق منها من أكثر من مصدر قبل الاعتماد عليها، في حين أشار (12%) إلى أنهم لا يثقون في معظم المحتوى الصحي المنشور عبر الإنترنت بسبب انتشار المعلومات غير الدقيقة وتعدد المصادر واختلافها. وتشير هذه النتائج إلى أن </w:t>
      </w:r>
      <w:r w:rsidRPr="00FB2B83">
        <w:rPr>
          <w:rFonts w:ascii="Simplified Arabic" w:hAnsi="Simplified Arabic" w:cs="Simplified Arabic"/>
          <w:sz w:val="28"/>
          <w:szCs w:val="28"/>
          <w:rtl/>
        </w:rPr>
        <w:lastRenderedPageBreak/>
        <w:t>المرضى لا يمنحون الثقة المطلقة للإعلام الرقمي، وإنما أصبحت لديهم درجة من الوعي بأهمية التحقق من مصدر المعلومات قبل الاستفادة منها</w:t>
      </w:r>
      <w:r w:rsidRPr="00FB2B83">
        <w:rPr>
          <w:rFonts w:ascii="Simplified Arabic" w:hAnsi="Simplified Arabic" w:cs="Simplified Arabic"/>
          <w:sz w:val="28"/>
          <w:szCs w:val="28"/>
        </w:rPr>
        <w:t>.</w:t>
      </w:r>
    </w:p>
    <w:p w14:paraId="357DBA12"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وتعكس هذه النتيجة تطورًا في السلوك المعلوماتي لدى المرضى، حيث أصبح كثير منهم أكثر إدراكًا لوجود تفاوت في جودة المحتوى الصحي المنشور عبر المنصات الرقمية، ولم يعد الاعتماد على أي معلومة متاحة عبر الإنترنت أمرًا مقبولًا كما كان في السابق. وقد أوضح المشاركون أن ثقتهم ترتبط بدرجة كبيرة بمصدر المعلومات، فكلما كان المحتوى صادرًا عن وزارة الصحة، أو مستشفى متخصص، أو طبيب معروف، أو جمعية علمية معتمدة، زادت درجة اطمئنانهم إلى صحة المعلومات وإمكانية الاستفادة منها</w:t>
      </w:r>
      <w:r w:rsidRPr="00FB2B83">
        <w:rPr>
          <w:rFonts w:ascii="Simplified Arabic" w:hAnsi="Simplified Arabic" w:cs="Simplified Arabic"/>
          <w:sz w:val="28"/>
          <w:szCs w:val="28"/>
        </w:rPr>
        <w:t>.</w:t>
      </w:r>
    </w:p>
    <w:p w14:paraId="33580D4C"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وأظهرت المقابلات أن المرضى يفضلون متابعة الحسابات الرسمية للجهات الصحية لما تتميز به من دقة في عرض المعلومات، وتحديث مستمر للمحتوى، واعتمادها على الأدلة العلمية الحديثة. كما يرى المشاركون أن هذه الجهات تتحمل مسؤولية علمية وأخلاقية تجاه الجمهور، وهو ما يجعل المعلومات المنشورة عبرها أكثر مصداقية مقارنة بالمحتوى الذي ينشره أفراد غير متخصصين أو حسابات مجهولة المصدر</w:t>
      </w:r>
      <w:r w:rsidRPr="00FB2B83">
        <w:rPr>
          <w:rFonts w:ascii="Simplified Arabic" w:hAnsi="Simplified Arabic" w:cs="Simplified Arabic"/>
          <w:sz w:val="28"/>
          <w:szCs w:val="28"/>
        </w:rPr>
        <w:t>.</w:t>
      </w:r>
    </w:p>
    <w:p w14:paraId="5402DE65"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كما أوضح عدد من المرضى أنهم لا يعتمدون على مصدر واحد للحصول على المعلومات الصحية، وإنما يقارنون بين أكثر من موقع أو منصة قبل تكوين قناعة معينة، خاصة إذا كانت المعلومات تتعلق بالعلاج أو بالأدوية أو بالإجراءات الطبية. ويرى المشاركون أن هذه الطريقة تساعدهم على التأكد من صحة المعلومات وتجنب الوقوع في أخطاء قد تؤثر في حالتهم الصحية، وهو ما يعكس تنامي الوعي بأهمية التحقق من المعلومات في البيئة الرقمية</w:t>
      </w:r>
      <w:r w:rsidRPr="00FB2B83">
        <w:rPr>
          <w:rFonts w:ascii="Simplified Arabic" w:hAnsi="Simplified Arabic" w:cs="Simplified Arabic"/>
          <w:sz w:val="28"/>
          <w:szCs w:val="28"/>
        </w:rPr>
        <w:t>.</w:t>
      </w:r>
    </w:p>
    <w:p w14:paraId="0D1AB4F7"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 xml:space="preserve">وأشار بعض المشاركين إلى أن وجود طبيب أو استشاري معروف يقدم المحتوى الصحي عبر وسائل التواصل الاجتماعي يمنحهم قدرًا أكبر من الثقة، خاصة عندما يوضح مصادر المعلومات العلمية، ويجيب عن استفسارات </w:t>
      </w:r>
      <w:r w:rsidRPr="00FB2B83">
        <w:rPr>
          <w:rFonts w:ascii="Simplified Arabic" w:hAnsi="Simplified Arabic" w:cs="Simplified Arabic"/>
          <w:sz w:val="28"/>
          <w:szCs w:val="28"/>
          <w:rtl/>
        </w:rPr>
        <w:lastRenderedPageBreak/>
        <w:t>المتابعين، ويحرص على تصحيح المفاهيم الخاطئة المنتشرة بين الجمهور. كما أكدوا أن أسلوب العرض الواضح، واللغة المبسطة، والاستناد إلى الحقائق الطبية، من العوامل التي تزيد من ثقتهم بالمحتوى الرقمي</w:t>
      </w:r>
      <w:r w:rsidRPr="00FB2B83">
        <w:rPr>
          <w:rFonts w:ascii="Simplified Arabic" w:hAnsi="Simplified Arabic" w:cs="Simplified Arabic"/>
          <w:sz w:val="28"/>
          <w:szCs w:val="28"/>
        </w:rPr>
        <w:t>.</w:t>
      </w:r>
    </w:p>
    <w:p w14:paraId="549D2D43"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وفي المقابل، أوضح عدد من المرضى أن انخفاض مستوى الثقة في بعض المحتوى الصحي يعود إلى كثرة المعلومات المتناقضة المنتشرة عبر الإنترنت، حيث قد يجد المريض أكثر من رأي حول الموضوع نفسه، وهو ما يسبب حالة من الحيرة ويجعله غير قادر على تحديد المعلومات الصحيحة. كما أشار المشاركون إلى أن بعض الحسابات تنشر معلومات بهدف جذب المتابعين أو زيادة المشاهدات، دون الالتزام بالمعايير العلمية أو الاستناد إلى مصادر موثوقة، وهو ما يقلل من مصداقية المحتوى الصحي في نظرهم</w:t>
      </w:r>
      <w:r w:rsidRPr="00FB2B83">
        <w:rPr>
          <w:rFonts w:ascii="Simplified Arabic" w:hAnsi="Simplified Arabic" w:cs="Simplified Arabic"/>
          <w:sz w:val="28"/>
          <w:szCs w:val="28"/>
        </w:rPr>
        <w:t>.</w:t>
      </w:r>
    </w:p>
    <w:p w14:paraId="2CDE52C2"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كما بينت المقابلات أن التجارب الشخصية المنشورة عبر وسائل التواصل الاجتماعي تؤثر في بعض المرضى، إلا أن معظم المشاركين أكدوا أنهم لا يعتبرونها دليلًا علميًا يمكن الاعتماد عليه، وإنما ينظرون إليها باعتبارها تجارب فردية قد تختلف من شخص إلى آخر. ويرى المرضى أن الحالة الصحية، والعمر، وطبيعة المرض، والاستجابة للعلاج، عوامل تجعل من الصعب تعميم تجربة شخص واحد على جميع المرضى</w:t>
      </w:r>
      <w:r w:rsidRPr="00FB2B83">
        <w:rPr>
          <w:rFonts w:ascii="Simplified Arabic" w:hAnsi="Simplified Arabic" w:cs="Simplified Arabic"/>
          <w:sz w:val="28"/>
          <w:szCs w:val="28"/>
        </w:rPr>
        <w:t>.</w:t>
      </w:r>
    </w:p>
    <w:p w14:paraId="6819BA23"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وأظهرت النتائج أيضًا أن الخبرة السابقة للمريض تلعب دورًا في تحديد مستوى ثقته بالمحتوى الرقمي، حيث أوضح بعض المشاركين أنهم تعرضوا في السابق لمعلومات غير صحيحة أو نصائح لم تحقق النتائج التي وعدت بها، مما جعلهم أكثر حذرًا في التعامل مع المعلومات الصحية المنشورة عبر الإنترنت، وأكثر ميلًا إلى استشارة الطبيب قبل اتخاذ أي قرار يتعلق بالعلاج أو تغيير نمط الحياة</w:t>
      </w:r>
      <w:r w:rsidRPr="00FB2B83">
        <w:rPr>
          <w:rFonts w:ascii="Simplified Arabic" w:hAnsi="Simplified Arabic" w:cs="Simplified Arabic"/>
          <w:sz w:val="28"/>
          <w:szCs w:val="28"/>
        </w:rPr>
        <w:t>.</w:t>
      </w:r>
    </w:p>
    <w:p w14:paraId="3E06AC81"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 xml:space="preserve">وأشار عدد من المرضى إلى أن الثقة بالمحتوى الصحي لا ترتبط فقط بالمصدر، وإنما تتأثر أيضًا بطريقة عرض المعلومات، فالمحتوى الذي يقدم معلومات واضحة، ويستند إلى إحصاءات أو توصيات طبية، ويبتعد </w:t>
      </w:r>
      <w:r w:rsidRPr="00FB2B83">
        <w:rPr>
          <w:rFonts w:ascii="Simplified Arabic" w:hAnsi="Simplified Arabic" w:cs="Simplified Arabic"/>
          <w:sz w:val="28"/>
          <w:szCs w:val="28"/>
          <w:rtl/>
        </w:rPr>
        <w:lastRenderedPageBreak/>
        <w:t>عن المبالغة أو التخويف، يحظى بدرجة أكبر من القبول مقارنة بالمحتوى الذي يعتمد على العناوين المثيرة أو الادعاءات غير المدعومة بالأدلة العلمية</w:t>
      </w:r>
      <w:r w:rsidRPr="00FB2B83">
        <w:rPr>
          <w:rFonts w:ascii="Simplified Arabic" w:hAnsi="Simplified Arabic" w:cs="Simplified Arabic"/>
          <w:sz w:val="28"/>
          <w:szCs w:val="28"/>
        </w:rPr>
        <w:t>.</w:t>
      </w:r>
    </w:p>
    <w:p w14:paraId="211497E6"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وتتفق هذه النتائج مع ما توصل إليه خيرت حمزة (2023)، الذي أكد أن نجاح الإعلام الرقمي في التأثير على الجمهور يرتبط بدرجة كبيرة بمصداقية الرسالة ومصدرها، وأن ثقة الجمهور بالمحتوى الصحي تعد من أهم العوامل التي تحدد مدى تأثيره في المعرفة والسلوك الصحي</w:t>
      </w:r>
      <w:r w:rsidRPr="00FB2B83">
        <w:rPr>
          <w:rFonts w:ascii="Simplified Arabic" w:hAnsi="Simplified Arabic" w:cs="Simplified Arabic"/>
          <w:sz w:val="28"/>
          <w:szCs w:val="28"/>
        </w:rPr>
        <w:t>.</w:t>
      </w:r>
    </w:p>
    <w:p w14:paraId="2E140D86"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كما تتوافق النتائج مع دراسة صبرة (2024)، التي أوضحت أن البيئة الرقمية التفاعلية تتيح فرصًا واسعة لنشر المعلومات الصحية، إلا أن تنوع مصادر المحتوى يفرض على الجمهور ضرورة التحقق من مصداقية المعلومات قبل الاعتماد عليها، وهو ما ينسجم مع حرص المرضى في الدراسة الحالية على التأكد من مصادر المعلومات الصحية</w:t>
      </w:r>
      <w:r w:rsidRPr="00FB2B83">
        <w:rPr>
          <w:rFonts w:ascii="Simplified Arabic" w:hAnsi="Simplified Arabic" w:cs="Simplified Arabic"/>
          <w:sz w:val="28"/>
          <w:szCs w:val="28"/>
        </w:rPr>
        <w:t>.</w:t>
      </w:r>
    </w:p>
    <w:p w14:paraId="5257A5A5"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وتنسجم هذه النتيجة مع دراسة السلمي وعطية (2022)، التي أشارت إلى أن بناء الوعي الصحي لا يعتمد فقط على توافر المعلومات، وإنما يرتبط أيضًا بجودة هذه المعلومات ومدى ثقة الجمهور بها، وأن المعلومات غير الدقيقة قد تؤثر سلبًا في السلوك الصحي للأفراد</w:t>
      </w:r>
      <w:r w:rsidRPr="00FB2B83">
        <w:rPr>
          <w:rFonts w:ascii="Simplified Arabic" w:hAnsi="Simplified Arabic" w:cs="Simplified Arabic"/>
          <w:sz w:val="28"/>
          <w:szCs w:val="28"/>
        </w:rPr>
        <w:t>.</w:t>
      </w:r>
    </w:p>
    <w:p w14:paraId="077A8E3A"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كما تؤيد النتائج ما توصلت إليه قلاده (2025)، التي أكدت أن البرامج التثقيفية الرقمية تحقق أهدافها بصورة أفضل عندما تعتمد على محتوى موثوق، واضح، ومستند إلى الأدلة العلمية، لأن مصداقية الرسالة تعد من أهم العوامل المؤثرة في تقبل الجمهور للمعلومات الصحية والاستفادة منها</w:t>
      </w:r>
      <w:r w:rsidRPr="00FB2B83">
        <w:rPr>
          <w:rFonts w:ascii="Simplified Arabic" w:hAnsi="Simplified Arabic" w:cs="Simplified Arabic"/>
          <w:sz w:val="28"/>
          <w:szCs w:val="28"/>
        </w:rPr>
        <w:t>.</w:t>
      </w:r>
    </w:p>
    <w:p w14:paraId="03AEEE09"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 xml:space="preserve">وتتفق النتائج أيضًا مع ما ذكرته الشعراوي (2006)، التي أوضحت أن المصداقية تعد من أهم عناصر نجاح العملية الاتصالية، وأن الجمهور يميل إلى قبول الرسائل الصادرة عن مصادر يثق بها، وهو ما يفسر اعتماد </w:t>
      </w:r>
      <w:r w:rsidRPr="00FB2B83">
        <w:rPr>
          <w:rFonts w:ascii="Simplified Arabic" w:hAnsi="Simplified Arabic" w:cs="Simplified Arabic"/>
          <w:sz w:val="28"/>
          <w:szCs w:val="28"/>
          <w:rtl/>
        </w:rPr>
        <w:lastRenderedPageBreak/>
        <w:t>المرضى في هذه الدراسة على الجهات الصحية الرسمية والأطباء المتخصصين كمصادر رئيسية للمعلومات الصحية</w:t>
      </w:r>
      <w:r w:rsidRPr="00FB2B83">
        <w:rPr>
          <w:rFonts w:ascii="Simplified Arabic" w:hAnsi="Simplified Arabic" w:cs="Simplified Arabic"/>
          <w:sz w:val="28"/>
          <w:szCs w:val="28"/>
        </w:rPr>
        <w:t>.</w:t>
      </w:r>
    </w:p>
    <w:p w14:paraId="68EE9420"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ويرى الباحث أن النتائج تعكس ارتفاع مستوى الوعي لدى المرضى بأهمية التحقق من المعلومات الصحية قبل الاعتماد عليها، وهو مؤشر إيجابي يعزز من فاعلية الإعلام الرقمي عندما يكون قائمًا على المصداقية والشفافية. كما يرى الباحث أن استمرار الجهات الصحية في نشر محتوى علمي موثوق، ودعم الحسابات الرسمية، وتفعيل حملات التوعية التي تشرح للجمهور كيفية التحقق من المعلومات الصحية، سيسهم في زيادة ثقة المرضى بالإعلام الرقمي، والحد من تأثير المعلومات المضللة، بما يعزز من دور المنصات الرقمية في دعم التوعية بالأمراض العصبية المزمنة داخل المجتمع السعودي</w:t>
      </w:r>
      <w:r w:rsidRPr="00FB2B83">
        <w:rPr>
          <w:rFonts w:ascii="Simplified Arabic" w:hAnsi="Simplified Arabic" w:cs="Simplified Arabic"/>
          <w:sz w:val="28"/>
          <w:szCs w:val="28"/>
        </w:rPr>
        <w:t>.</w:t>
      </w:r>
    </w:p>
    <w:p w14:paraId="23B58D0F" w14:textId="77777777" w:rsidR="000913DC" w:rsidRPr="00FB2B83" w:rsidRDefault="000913DC" w:rsidP="000913DC">
      <w:pPr>
        <w:spacing w:line="360" w:lineRule="auto"/>
        <w:jc w:val="both"/>
        <w:rPr>
          <w:rFonts w:ascii="Simplified Arabic" w:hAnsi="Simplified Arabic" w:cs="Simplified Arabic"/>
          <w:b/>
          <w:bCs/>
          <w:sz w:val="28"/>
          <w:szCs w:val="28"/>
        </w:rPr>
      </w:pPr>
      <w:r w:rsidRPr="00FB2B83">
        <w:rPr>
          <w:rFonts w:ascii="Simplified Arabic" w:hAnsi="Simplified Arabic" w:cs="Simplified Arabic"/>
          <w:b/>
          <w:bCs/>
          <w:sz w:val="28"/>
          <w:szCs w:val="28"/>
          <w:rtl/>
        </w:rPr>
        <w:t>السؤال الرابع: ما أكثر نوع من المحتوى الصحي يجذب انتباهك ويساعدك على الاستفادة؟ (فيديوهات – مقالات – إنفوجرافيك – تجارب مرضى)</w:t>
      </w:r>
    </w:p>
    <w:p w14:paraId="06F12E7A"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 xml:space="preserve">أوضحت نتائج تحليل المقابلات الخاصة بالسؤال الرابع، والتي أُجريت مع عينة الدراسة المكونة من (25) مريضًا، أن نسبة (44%) من المشاركين أكدوا أن الفيديوهات التوعوية تُعد أكثر أنواع المحتوى الصحي جذبًا لاهتمامهم وأكثرها فائدة في فهم المعلومات المتعلقة بالأمراض العصبية المزمنة، بينما أشار (24%) إلى أن الإنفوجرافيك والرسوم التوضيحية تمثل الوسيلة الأكثر سهولة في استيعاب المعلومات الطبية، في حين رأى (20%) أن تجارب المرضى الواقعية تساعدهم على فهم طبيعة المرض والتكيف معه بصورة أفضل، بينما أوضح (12%) أن المقالات الصحية المتخصصة لا تزال تمثل مصدرًا مهمًا للحصول على المعلومات التفصيلية، خاصة عند البحث عن معلومات دقيقة حول المرض والعلاج. وتشير هذه النتائج إلى أن المرضى </w:t>
      </w:r>
      <w:r w:rsidRPr="00FB2B83">
        <w:rPr>
          <w:rFonts w:ascii="Simplified Arabic" w:hAnsi="Simplified Arabic" w:cs="Simplified Arabic"/>
          <w:sz w:val="28"/>
          <w:szCs w:val="28"/>
          <w:rtl/>
        </w:rPr>
        <w:lastRenderedPageBreak/>
        <w:t>يميلون بصورة واضحة إلى المحتوى البصري والتفاعلي الذي يجمع بين تبسيط المعلومات وسهولة الوصول إليها</w:t>
      </w:r>
      <w:r w:rsidRPr="00FB2B83">
        <w:rPr>
          <w:rFonts w:ascii="Simplified Arabic" w:hAnsi="Simplified Arabic" w:cs="Simplified Arabic"/>
          <w:sz w:val="28"/>
          <w:szCs w:val="28"/>
        </w:rPr>
        <w:t>.</w:t>
      </w:r>
    </w:p>
    <w:p w14:paraId="6D90B05F"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وتعكس هذه النتيجة طبيعة التغير الذي شهدته وسائل الاتصال الحديثة، حيث أصبح الجمهور يفضل المحتوى الذي يقدم المعلومات بصورة مختصرة وواضحة، مع توظيف العناصر البصرية التي تساعد على الفهم والاستيعاب، بدلاً من الاعتماد على النصوص الطويلة أو المعلومات النظرية المجردة. ويرى المرضى أن المحتوى المرئي يسهل عليهم استيعاب المفاهيم الطبية المعقدة، خاصة فيما يتعلق بالأمراض العصبية المزمنة التي تتطلب شرحًا دقيقًا للأعراض، وآلية تطور المرض، وطرق العلاج، وكيفية التعامل مع المضاعفات</w:t>
      </w:r>
      <w:r w:rsidRPr="00FB2B83">
        <w:rPr>
          <w:rFonts w:ascii="Simplified Arabic" w:hAnsi="Simplified Arabic" w:cs="Simplified Arabic"/>
          <w:sz w:val="28"/>
          <w:szCs w:val="28"/>
        </w:rPr>
        <w:t>.</w:t>
      </w:r>
    </w:p>
    <w:p w14:paraId="62CB133D"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وأظهرت استجابات المشاركين أن الفيديوهات التوعوية تعد الوسيلة الأكثر تأثيرًا لأنها تجمع بين الشرح الصوتي والعرض المرئي، مما يساعد على توصيل المعلومات بطريقة مبسطة تناسب مختلف المستويات التعليمية. كما أوضح المرضى أن مشاهدة الطبيب وهو يشرح المرض أو يوضح خطوات العلاج تمنحهم شعورًا أكبر بالثقة مقارنة بقراءة المعلومات فقط، إضافة إلى إمكانية إعادة مشاهدة الفيديو أكثر من مرة حتى يتم استيعاب جميع التفاصيل</w:t>
      </w:r>
      <w:r w:rsidRPr="00FB2B83">
        <w:rPr>
          <w:rFonts w:ascii="Simplified Arabic" w:hAnsi="Simplified Arabic" w:cs="Simplified Arabic"/>
          <w:sz w:val="28"/>
          <w:szCs w:val="28"/>
        </w:rPr>
        <w:t>.</w:t>
      </w:r>
    </w:p>
    <w:p w14:paraId="23ADE633"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كما أوضح المشاركون أن الفيديوهات القصيرة المنتشرة عبر المنصات الرقمية أصبحت أكثر توافقًا مع طبيعة استخدامهم اليومي لوسائل التواصل الاجتماعي، إذ يمكن مشاهدتها في أي وقت ودون الحاجة إلى تخصيص وقت طويل، وهو ما يزيد من فرص متابعة المحتوى الصحي والاستفادة منه بصورة مستمرة. ويرى المرضى أن هذا النوع من المحتوى يساعد على نشر الرسائل الصحية بسرعة، ويزيد من احتمالية مشاركتها مع أفراد الأسرة والأصدقاء، مما يوسع من دائرة الاستفادة</w:t>
      </w:r>
      <w:r w:rsidRPr="00FB2B83">
        <w:rPr>
          <w:rFonts w:ascii="Simplified Arabic" w:hAnsi="Simplified Arabic" w:cs="Simplified Arabic"/>
          <w:sz w:val="28"/>
          <w:szCs w:val="28"/>
        </w:rPr>
        <w:t>.</w:t>
      </w:r>
    </w:p>
    <w:p w14:paraId="6165009A"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lastRenderedPageBreak/>
        <w:t>وفيما يتعلق بالإنفوجرافيك، أكد المرضى أنه يمثل وسيلة فعالة لتلخيص المعلومات الطبية وعرضها بصورة منظمة وسهلة الفهم، حيث تساعد الرسوم والألوان والرموز التوضيحية على توصيل المعلومات بسرعة، خاصة فيما يتعلق بالأعراض، أو عوامل الخطورة، أو طرق الوقاية، أو الإرشادات العلاجية. وأشار المشاركون إلى أنهم يفضلون حفظ هذه الرسوم أو مشاركتها عبر تطبيقات التواصل الاجتماعي، لأنها تقدم المعلومات بصورة مختصرة دون الإخلال بالمضمون العلمي</w:t>
      </w:r>
      <w:r w:rsidRPr="00FB2B83">
        <w:rPr>
          <w:rFonts w:ascii="Simplified Arabic" w:hAnsi="Simplified Arabic" w:cs="Simplified Arabic"/>
          <w:sz w:val="28"/>
          <w:szCs w:val="28"/>
        </w:rPr>
        <w:t>.</w:t>
      </w:r>
    </w:p>
    <w:p w14:paraId="7AD4F81F"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كما أظهرت المقابلات أن نسبة من المرضى تفضل متابعة التجارب الواقعية لمرضى آخرين، إذ يرون أن هذه التجارب تمنحهم إحساسًا بالأمل، وتساعدهم على إدراك أن التعايش مع المرض ممكن، وأن الالتزام بالعلاج يمكن أن يؤدي إلى تحسين جودة الحياة. إلا أن معظم المشاركين أكدوا أنهم يتعاملون مع هذه التجارب باعتبارها خبرات شخصية لا يمكن تعميمها على جميع المرضى، وأنها لا تغني عن استشارة الطبيب أو الاعتماد على المعلومات العلمية الموثقة</w:t>
      </w:r>
      <w:r w:rsidRPr="00FB2B83">
        <w:rPr>
          <w:rFonts w:ascii="Simplified Arabic" w:hAnsi="Simplified Arabic" w:cs="Simplified Arabic"/>
          <w:sz w:val="28"/>
          <w:szCs w:val="28"/>
        </w:rPr>
        <w:t>.</w:t>
      </w:r>
    </w:p>
    <w:p w14:paraId="573FB7D8"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وأشار عدد من المرضى إلى أن المقالات الصحية لا تزال تحتفظ بأهميتها، خاصة عند الرغبة في التعمق في موضوع معين أو التعرف على تفاصيل العلاج أو نتائج الدراسات الحديثة، إلا أنهم أوضحوا أن قراءة المقالات تتطلب وقتًا وجهدًا أكبر مقارنة بالفيديوهات أو الإنفوجرافيك، وهو ما يجعل استخدامها أقل انتشارًا في الحياة اليومية، خصوصًا لدى الفئات التي تفضل المحتوى السريع والمختصر</w:t>
      </w:r>
      <w:r w:rsidRPr="00FB2B83">
        <w:rPr>
          <w:rFonts w:ascii="Simplified Arabic" w:hAnsi="Simplified Arabic" w:cs="Simplified Arabic"/>
          <w:sz w:val="28"/>
          <w:szCs w:val="28"/>
        </w:rPr>
        <w:t>.</w:t>
      </w:r>
    </w:p>
    <w:p w14:paraId="427CB99A"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 xml:space="preserve">كما بينت النتائج أن طريقة عرض المحتوى تؤثر في درجة استفادة المرضى أكثر من نوع المحتوى نفسه، حيث أكد المشاركون أن المحتوى الذي يستخدم لغة بسيطة، وأمثلة من الواقع، ورسومًا توضيحية، بعيدًا عن المصطلحات الطبية المعقدة، يكون أكثر قدرة على جذب الانتباه وتحقيق الفائدة. وأوضحوا أن الرسائل الصحية </w:t>
      </w:r>
      <w:r w:rsidRPr="00FB2B83">
        <w:rPr>
          <w:rFonts w:ascii="Simplified Arabic" w:hAnsi="Simplified Arabic" w:cs="Simplified Arabic"/>
          <w:sz w:val="28"/>
          <w:szCs w:val="28"/>
          <w:rtl/>
        </w:rPr>
        <w:lastRenderedPageBreak/>
        <w:t>التي تركز على الإجابة عن الأسئلة الشائعة، وتقديم حلول عملية للمشكلات اليومية التي يواجهها المرضى، تحقق تأثيرًا أكبر من المحتوى الذي يقتصر على عرض المعلومات النظرية</w:t>
      </w:r>
      <w:r w:rsidRPr="00FB2B83">
        <w:rPr>
          <w:rFonts w:ascii="Simplified Arabic" w:hAnsi="Simplified Arabic" w:cs="Simplified Arabic"/>
          <w:sz w:val="28"/>
          <w:szCs w:val="28"/>
        </w:rPr>
        <w:t>.</w:t>
      </w:r>
    </w:p>
    <w:p w14:paraId="45E92482"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وأظهرت المقابلات أيضًا أن المرضى يفضلون المحتوى الذي يجمع بين أكثر من وسيلة، مثل الفيديو الذي يتضمن رسومًا توضيحية أو إنفوجرافيك، أو المقالات التي تحتوي على صور ورسوم بيانية، لأن ذلك يساعد على تبسيط المعلومات وزيادة وضوحها، ويجعل عملية التعلم أكثر سهولة ومتعة</w:t>
      </w:r>
      <w:r w:rsidRPr="00FB2B83">
        <w:rPr>
          <w:rFonts w:ascii="Simplified Arabic" w:hAnsi="Simplified Arabic" w:cs="Simplified Arabic"/>
          <w:sz w:val="28"/>
          <w:szCs w:val="28"/>
        </w:rPr>
        <w:t>.</w:t>
      </w:r>
    </w:p>
    <w:p w14:paraId="1C2A67B8"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وتتفق هذه النتائج مع ما توصلت إليه صبرة (2024)، التي أكدت أن استخدام الوسائط المتعددة في عرض القضايا الصحية يزيد من جاذبية المحتوى الرقمي، ويسهم في تحسين فهم الجمهور للمعلومات الصحية، كما يعزز من معدلات التفاعل مع الرسائل التوعوية مقارنة بالمحتوى التقليدي</w:t>
      </w:r>
      <w:r w:rsidRPr="00FB2B83">
        <w:rPr>
          <w:rFonts w:ascii="Simplified Arabic" w:hAnsi="Simplified Arabic" w:cs="Simplified Arabic"/>
          <w:sz w:val="28"/>
          <w:szCs w:val="28"/>
        </w:rPr>
        <w:t>.</w:t>
      </w:r>
    </w:p>
    <w:p w14:paraId="21D9C52D"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كما تتوافق النتائج مع دراسة خيرت حمزة (2023)، التي أشارت إلى أن فعالية الإعلام الرقمي ترتبط بقدرته على توظيف الوسائط الحديثة، مثل الفيديو والرسوم التوضيحية، بما يسهم في زيادة تأثير الرسائل الصحية في الجمهور وتحقيق أهدافها التوعوية</w:t>
      </w:r>
      <w:r w:rsidRPr="00FB2B83">
        <w:rPr>
          <w:rFonts w:ascii="Simplified Arabic" w:hAnsi="Simplified Arabic" w:cs="Simplified Arabic"/>
          <w:sz w:val="28"/>
          <w:szCs w:val="28"/>
        </w:rPr>
        <w:t>.</w:t>
      </w:r>
    </w:p>
    <w:p w14:paraId="3A6E2631"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وتنسجم هذه النتيجة مع دراسة قلاده (2025)، التي أوضحت أن استخدام الوسائط البصرية والتفاعلية في البرامج التثقيفية الصحية يسهم في رفع مستوى المعرفة الصحية، ويزيد من قدرة الأفراد على استيعاب المعلومات وتطبيقها في حياتهم اليومية، خاصة عند تبسيط المحتوى بما يتناسب مع خصائص الجمهور</w:t>
      </w:r>
      <w:r w:rsidRPr="00FB2B83">
        <w:rPr>
          <w:rFonts w:ascii="Simplified Arabic" w:hAnsi="Simplified Arabic" w:cs="Simplified Arabic"/>
          <w:sz w:val="28"/>
          <w:szCs w:val="28"/>
        </w:rPr>
        <w:t>.</w:t>
      </w:r>
    </w:p>
    <w:p w14:paraId="2EBBED49"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كما تؤيد النتائج ما توصلت إليه السلمي وعطية (2022)، اللذين أكدا أن نجاح برامج التوعية الصحية يعتمد على اختيار أساليب اتصال تتناسب مع احتياجات الجمهور، وأن استخدام الوسائط الحديثة يسهم في تعزيز الوعي الصحي وتحسين السلوكيات المرتبطة بالتعامل مع الأمراض المزمنة</w:t>
      </w:r>
      <w:r w:rsidRPr="00FB2B83">
        <w:rPr>
          <w:rFonts w:ascii="Simplified Arabic" w:hAnsi="Simplified Arabic" w:cs="Simplified Arabic"/>
          <w:sz w:val="28"/>
          <w:szCs w:val="28"/>
        </w:rPr>
        <w:t>.</w:t>
      </w:r>
    </w:p>
    <w:p w14:paraId="7A8AC7EE"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lastRenderedPageBreak/>
        <w:t>وتتفق النتائج أيضًا مع ما ذكرته الشعراوي (2006)، التي أوضحت أن نجاح الرسالة الاتصالية يرتبط بقدرتها على جذب انتباه الجمهور، واستخدام الوسيلة المناسبة التي تحقق الفهم والتأثير، وهو ما يفسر تفضيل المرضى للمحتوى المرئي والتفاعلي مقارنة بالأشكال التقليدية للمحتوى الصحي</w:t>
      </w:r>
      <w:r w:rsidRPr="00FB2B83">
        <w:rPr>
          <w:rFonts w:ascii="Simplified Arabic" w:hAnsi="Simplified Arabic" w:cs="Simplified Arabic"/>
          <w:sz w:val="28"/>
          <w:szCs w:val="28"/>
        </w:rPr>
        <w:t>.</w:t>
      </w:r>
    </w:p>
    <w:p w14:paraId="3925016D"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ويرى الباحث أن تفضيل المرضى للفيديوهات والإنفوجرافيك يعكس الحاجة إلى إعادة تصميم المحتوى الصحي الرقمي بما يتوافق مع أنماط الاستخدام الحديثة لوسائل الإعلام الرقمي، حيث أصبح الجمهور يميل إلى المحتوى المختصر، والبصري، وسهل الفهم. كما يرى الباحث أن الجهات الصحية ينبغي أن تركز على إنتاج محتوى متنوع يجمع بين الفيديوهات التوعوية، والرسوم المعلوماتية، والتجارب الواقعية الموثقة، مع الحفاظ على الدقة العلمية، حتى تتمكن من الوصول إلى مختلف شرائح المجتمع، وتعزيز الوعي بالأمراض العصبية المزمنة بصورة أكثر فاعلية، بما يسهم في رفع الثقافة الصحية وتحسين قدرة المرضى على إدارة حالتهم الصحية والتكيف معها</w:t>
      </w:r>
      <w:r w:rsidRPr="00FB2B83">
        <w:rPr>
          <w:rFonts w:ascii="Simplified Arabic" w:hAnsi="Simplified Arabic" w:cs="Simplified Arabic"/>
          <w:sz w:val="28"/>
          <w:szCs w:val="28"/>
        </w:rPr>
        <w:t>.</w:t>
      </w:r>
    </w:p>
    <w:p w14:paraId="5BB49820" w14:textId="77777777" w:rsidR="000913DC" w:rsidRPr="00FB2B83" w:rsidRDefault="000913DC" w:rsidP="000913DC">
      <w:pPr>
        <w:spacing w:line="360" w:lineRule="auto"/>
        <w:jc w:val="both"/>
        <w:rPr>
          <w:rFonts w:ascii="Simplified Arabic" w:hAnsi="Simplified Arabic" w:cs="Simplified Arabic"/>
          <w:b/>
          <w:bCs/>
          <w:sz w:val="28"/>
          <w:szCs w:val="28"/>
        </w:rPr>
      </w:pPr>
      <w:r w:rsidRPr="00FB2B83">
        <w:rPr>
          <w:rFonts w:ascii="Simplified Arabic" w:hAnsi="Simplified Arabic" w:cs="Simplified Arabic"/>
          <w:b/>
          <w:bCs/>
          <w:sz w:val="28"/>
          <w:szCs w:val="28"/>
          <w:rtl/>
        </w:rPr>
        <w:t>السؤال الخامس: ما الذي تتمنى توفره في المحتوى الرقمي الخاص بالتوعية بالأمراض العصبية المزمنة؟</w:t>
      </w:r>
    </w:p>
    <w:p w14:paraId="3A3CE22F"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 xml:space="preserve">أوضحت نتائج تحليل المقابلات الخاصة بالسؤال الخامس، والتي أُجريت مع عينة الدراسة المكونة من (25) مريضًا، أن نسبة (36%) من المشاركين أعربوا عن رغبتهم في توفير معلومات صحية أكثر تفصيلًا ووضوحًا حول الأمراض العصبية المزمنة وطرق التعامل معها، بينما أشار (28%) إلى أهمية زيادة المحتوى الصادر عن الجهات الصحية الرسمية والأطباء المتخصصين، في حين أكد (20%) ضرورة تقديم المحتوى بصورة مبسطة باستخدام الفيديوهات والرسوم التوضيحية، وأوضح (16%) أهمية توفير منصات تفاعلية تتيح للمرضى طرح استفساراتهم والحصول على إجابات موثوقة من المختصين. وتشير هذه النتائج إلى أن المرضى لا </w:t>
      </w:r>
      <w:r w:rsidRPr="00FB2B83">
        <w:rPr>
          <w:rFonts w:ascii="Simplified Arabic" w:hAnsi="Simplified Arabic" w:cs="Simplified Arabic"/>
          <w:sz w:val="28"/>
          <w:szCs w:val="28"/>
          <w:rtl/>
        </w:rPr>
        <w:lastRenderedPageBreak/>
        <w:t>يطالبون فقط بزيادة كمية المحتوى الصحي، وإنما يركزون بصورة أكبر على تحسين جودة المحتوى، وتعزيز مصداقيته، وتطوير أساليب تقديمه بما يتناسب مع احتياجاتهم المعرفية</w:t>
      </w:r>
      <w:r w:rsidRPr="00FB2B83">
        <w:rPr>
          <w:rFonts w:ascii="Simplified Arabic" w:hAnsi="Simplified Arabic" w:cs="Simplified Arabic"/>
          <w:sz w:val="28"/>
          <w:szCs w:val="28"/>
        </w:rPr>
        <w:t>.</w:t>
      </w:r>
    </w:p>
    <w:p w14:paraId="4CBE07C1"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وتعكس هذه النتيجة إدراك المرضى لأهمية الإعلام الرقمي في دعم رحلتهم العلاجية، حيث أوضح المشاركون أن المحتوى الصحي المتوافر حاليًا، رغم فائدته، لا يزال يحتاج إلى مزيد من التخصص والوضوح، خاصة فيما يتعلق بالأمراض العصبية المزمنة التي تتسم بطبيعتها المعقدة، وتحتاج إلى شرح مستمر لمراحل المرض، وخيارات العلاج، وآليات التعايش معه، وكيفية التعامل مع المضاعفات المحتملة. ويرى المرضى أن الحصول على معلومات دقيقة ومحدثة يسهم في تقليل مشاعر القلق، ويزيد من قدرتهم على اتخاذ قرارات صحية سليمة</w:t>
      </w:r>
      <w:r w:rsidRPr="00FB2B83">
        <w:rPr>
          <w:rFonts w:ascii="Simplified Arabic" w:hAnsi="Simplified Arabic" w:cs="Simplified Arabic"/>
          <w:sz w:val="28"/>
          <w:szCs w:val="28"/>
        </w:rPr>
        <w:t>.</w:t>
      </w:r>
    </w:p>
    <w:p w14:paraId="313C596C"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وأظهرت المقابلات أن عددًا كبيرًا من المرضى يرغبون في أن يتضمن المحتوى الرقمي إجابات واضحة عن الأسئلة اليومية التي تواجههم، مثل كيفية التعامل مع الأعراض المتغيرة، ومتى يجب مراجعة الطبيب، وكيفية الالتزام بالعلاج، وأثر التغذية والنشاط البدني في تحسين الحالة الصحية. وأكد المشاركون أن كثيرًا من المحتوى المنشور يركز على التعريف بالمرض، بينما يقل اهتمامه بالجوانب العملية التي يحتاج إليها المريض في حياته اليومية</w:t>
      </w:r>
      <w:r w:rsidRPr="00FB2B83">
        <w:rPr>
          <w:rFonts w:ascii="Simplified Arabic" w:hAnsi="Simplified Arabic" w:cs="Simplified Arabic"/>
          <w:sz w:val="28"/>
          <w:szCs w:val="28"/>
        </w:rPr>
        <w:t>.</w:t>
      </w:r>
    </w:p>
    <w:p w14:paraId="733F43B2"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كما أوضح المشاركون أن زيادة المحتوى الصادر عن الجهات الصحية الرسمية تمثل مطلبًا مهمًا، نظرًا لما تتمتع به هذه الجهات من مصداقية وثقة. ويرى المرضى أن وجود حسابات نشطة للمستشفيات والمراكز الطبية والجمعيات العلمية، تقدم معلومات بصورة منتظمة، سيساعد في الحد من انتشار المعلومات غير الدقيقة، وسيمنح المرضى مصدرًا موثوقًا يمكن الرجوع إليه عند الحاجة</w:t>
      </w:r>
      <w:r w:rsidRPr="00FB2B83">
        <w:rPr>
          <w:rFonts w:ascii="Simplified Arabic" w:hAnsi="Simplified Arabic" w:cs="Simplified Arabic"/>
          <w:sz w:val="28"/>
          <w:szCs w:val="28"/>
        </w:rPr>
        <w:t>.</w:t>
      </w:r>
    </w:p>
    <w:p w14:paraId="5D14FE18"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 xml:space="preserve">وأشار عدد من المرضى إلى أهمية أن يكون المحتوى الصحي أكثر بساطة، بحيث يعتمد على لغة مفهومة بعيدًا عن المصطلحات الطبية المعقدة، مع استخدام الرسوم التوضيحية، والإنفوجرافيك، والمقاطع المرئية </w:t>
      </w:r>
      <w:r w:rsidRPr="00FB2B83">
        <w:rPr>
          <w:rFonts w:ascii="Simplified Arabic" w:hAnsi="Simplified Arabic" w:cs="Simplified Arabic"/>
          <w:sz w:val="28"/>
          <w:szCs w:val="28"/>
          <w:rtl/>
        </w:rPr>
        <w:lastRenderedPageBreak/>
        <w:t>القصيرة، التي تسهل استيعاب المعلومات. ويرى المشاركون أن تبسيط المحتوى لا يقلل من قيمته العلمية، بل يزيد من فرص وصوله إلى مختلف الفئات العمرية والتعليمية، ويعزز من الاستفادة منه</w:t>
      </w:r>
      <w:r w:rsidRPr="00FB2B83">
        <w:rPr>
          <w:rFonts w:ascii="Simplified Arabic" w:hAnsi="Simplified Arabic" w:cs="Simplified Arabic"/>
          <w:sz w:val="28"/>
          <w:szCs w:val="28"/>
        </w:rPr>
        <w:t>.</w:t>
      </w:r>
    </w:p>
    <w:p w14:paraId="0964D748"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كما أظهرت النتائج أن المرضى يتطلعون إلى وجود منصات تفاعلية تسمح لهم بالتواصل مع المختصين، وطرح الأسئلة المتعلقة بحالتهم الصحية، والحصول على إجابات دقيقة في الوقت المناسب. وأوضح المشاركون أن هذا النوع من التفاعل يسهم في زيادة الثقة بالمحتوى الرقمي، ويحد من الاعتماد على المعلومات غير الموثوقة المنتشرة عبر بعض المنصات، كما يعزز الشعور بالدعم والمتابعة المستمرة</w:t>
      </w:r>
      <w:r w:rsidRPr="00FB2B83">
        <w:rPr>
          <w:rFonts w:ascii="Simplified Arabic" w:hAnsi="Simplified Arabic" w:cs="Simplified Arabic"/>
          <w:sz w:val="28"/>
          <w:szCs w:val="28"/>
        </w:rPr>
        <w:t>.</w:t>
      </w:r>
    </w:p>
    <w:p w14:paraId="7CA3A298"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وأشار بعض المرضى إلى أهمية تخصيص محتوى رقمي لأفراد الأسرة ومقدمي الرعاية، يتناول كيفية التعامل مع المريض، وطرق تقديم الدعم النفسي والاجتماعي، وأساليب التصرف في الحالات الطارئة. ويرى المشاركون أن رفع مستوى وعي الأسرة يسهم بصورة مباشرة في تحسين جودة الرعاية المنزلية، ويخفف من الأعباء النفسية التي قد يواجهها المريض خلال مراحل العلاج</w:t>
      </w:r>
      <w:r w:rsidRPr="00FB2B83">
        <w:rPr>
          <w:rFonts w:ascii="Simplified Arabic" w:hAnsi="Simplified Arabic" w:cs="Simplified Arabic"/>
          <w:sz w:val="28"/>
          <w:szCs w:val="28"/>
        </w:rPr>
        <w:t>.</w:t>
      </w:r>
    </w:p>
    <w:p w14:paraId="2CA19F53"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كما أكد عدد من المشاركين ضرورة تحديث المحتوى بصورة مستمرة، بما يتوافق مع التطورات الطبية الحديثة، حيث أوضحوا أن المعلومات الصحية تتغير باستمرار مع ظهور أبحاث جديدة وأساليب علاج حديثة، لذلك فإن المحتوى الرقمي ينبغي أن يعكس هذه المستجدات بصورة دورية، مع الإشارة إلى مصادرها العلمية، حتى يظل محتفظًا بمصداقيته وقيمته التوعوية</w:t>
      </w:r>
      <w:r w:rsidRPr="00FB2B83">
        <w:rPr>
          <w:rFonts w:ascii="Simplified Arabic" w:hAnsi="Simplified Arabic" w:cs="Simplified Arabic"/>
          <w:sz w:val="28"/>
          <w:szCs w:val="28"/>
        </w:rPr>
        <w:t>.</w:t>
      </w:r>
    </w:p>
    <w:p w14:paraId="4F6A019A"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وأظهرت المقابلات أيضًا رغبة المرضى في زيادة الحملات الرقمية الموجهة للتوعية المجتمعية بالأمراض العصبية المزمنة، بهدف تصحيح المفاهيم الخاطئة، والحد من الوصمة الاجتماعية التي قد يتعرض لها بعض المرضى، وتعزيز فهم المجتمع لطبيعة هذه الأمراض، مما يسهم في توفير بيئة أكثر دعمًا للمصابين بها</w:t>
      </w:r>
      <w:r w:rsidRPr="00FB2B83">
        <w:rPr>
          <w:rFonts w:ascii="Simplified Arabic" w:hAnsi="Simplified Arabic" w:cs="Simplified Arabic"/>
          <w:sz w:val="28"/>
          <w:szCs w:val="28"/>
        </w:rPr>
        <w:t>.</w:t>
      </w:r>
    </w:p>
    <w:p w14:paraId="30CC519B"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lastRenderedPageBreak/>
        <w:t>وتتفق هذه النتائج مع ما توصلت إليه السلمي وعطية (2022)، اللذين أكدا أن تعزيز الوعي الصحي لدى مرضى الأمراض المزمنة يتطلب توفير معلومات صحية دقيقة، ومستمرة، وسهلة الوصول، مع مراعاة احتياجات المرضى وأسرهم، وهو ما يتوافق مع مطالب المشاركين في هذه الدراسة</w:t>
      </w:r>
      <w:r w:rsidRPr="00FB2B83">
        <w:rPr>
          <w:rFonts w:ascii="Simplified Arabic" w:hAnsi="Simplified Arabic" w:cs="Simplified Arabic"/>
          <w:sz w:val="28"/>
          <w:szCs w:val="28"/>
        </w:rPr>
        <w:t>.</w:t>
      </w:r>
    </w:p>
    <w:p w14:paraId="296366ED"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كما تتوافق النتائج مع دراسة قلاده (2025)، التي أوضحت أن البرامج التثقيفية الصحية تحقق أفضل نتائجها عندما تقدم محتوى واضحًا، ومبسطًا، ومبنيًا على الأدلة العلمية، مع مراعاة خصائص الفئات المستهدفة، الأمر الذي يسهم في رفع مستوى المعرفة الصحية وتحسين السلوكيات المرتبطة بالصحة</w:t>
      </w:r>
      <w:r w:rsidRPr="00FB2B83">
        <w:rPr>
          <w:rFonts w:ascii="Simplified Arabic" w:hAnsi="Simplified Arabic" w:cs="Simplified Arabic"/>
          <w:sz w:val="28"/>
          <w:szCs w:val="28"/>
        </w:rPr>
        <w:t>.</w:t>
      </w:r>
    </w:p>
    <w:p w14:paraId="65704DBD"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وتنسجم هذه النتيجة مع ما توصل إليه خيرت حمزة (2023)، الذي أشار إلى أن تطوير الإعلام الرقمي الصحي يتطلب تعزيز التفاعل مع الجمهور، وتقديم محتوى يتسم بالمصداقية، والتجدد، وسهولة الفهم، بما يسهم في زيادة تأثير الرسائل الصحية وتحقيق أهدافها التوعوية</w:t>
      </w:r>
      <w:r w:rsidRPr="00FB2B83">
        <w:rPr>
          <w:rFonts w:ascii="Simplified Arabic" w:hAnsi="Simplified Arabic" w:cs="Simplified Arabic"/>
          <w:sz w:val="28"/>
          <w:szCs w:val="28"/>
        </w:rPr>
        <w:t>.</w:t>
      </w:r>
    </w:p>
    <w:p w14:paraId="20633BFB"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كما تؤيد النتائج ما أشارت إليه صبرة (2024)، التي أكدت أن نجاح المحتوى الصحي الرقمي يرتبط بقدرته على الجمع بين الدقة العلمية والأسلوب الجذاب، مع استخدام الوسائط المتعددة التي تساعد على تبسيط المعلومات الطبية وتعزيز تفاعل الجمهور معها</w:t>
      </w:r>
      <w:r w:rsidRPr="00FB2B83">
        <w:rPr>
          <w:rFonts w:ascii="Simplified Arabic" w:hAnsi="Simplified Arabic" w:cs="Simplified Arabic"/>
          <w:sz w:val="28"/>
          <w:szCs w:val="28"/>
        </w:rPr>
        <w:t>.</w:t>
      </w:r>
    </w:p>
    <w:p w14:paraId="1A00CA60"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t>وتتفق النتائج أيضًا مع ما ذكرته الشعراوي (2006)، التي أوضحت أن نجاح الرسالة الاتصالية يعتمد على فهم احتياجات الجمهور المستهدف، وتقديم الرسائل بما يتناسب مع خصائصه، واستخدام الوسيلة والأسلوب المناسبين لتحقيق التأثير المطلوب، وهو ما تؤكده مطالب المرضى في هذه الدراسة بشأن تطوير المحتوى الصحي الرقمي</w:t>
      </w:r>
      <w:r w:rsidRPr="00FB2B83">
        <w:rPr>
          <w:rFonts w:ascii="Simplified Arabic" w:hAnsi="Simplified Arabic" w:cs="Simplified Arabic"/>
          <w:sz w:val="28"/>
          <w:szCs w:val="28"/>
        </w:rPr>
        <w:t>.</w:t>
      </w:r>
    </w:p>
    <w:p w14:paraId="2B609593" w14:textId="77777777" w:rsidR="000913DC" w:rsidRPr="00FB2B83" w:rsidRDefault="000913DC" w:rsidP="000913DC">
      <w:pPr>
        <w:spacing w:line="360" w:lineRule="auto"/>
        <w:jc w:val="both"/>
        <w:rPr>
          <w:rFonts w:ascii="Simplified Arabic" w:hAnsi="Simplified Arabic" w:cs="Simplified Arabic"/>
          <w:sz w:val="28"/>
          <w:szCs w:val="28"/>
        </w:rPr>
      </w:pPr>
      <w:r w:rsidRPr="00FB2B83">
        <w:rPr>
          <w:rFonts w:ascii="Simplified Arabic" w:hAnsi="Simplified Arabic" w:cs="Simplified Arabic"/>
          <w:sz w:val="28"/>
          <w:szCs w:val="28"/>
          <w:rtl/>
        </w:rPr>
        <w:lastRenderedPageBreak/>
        <w:t>ويرى الباحث أن النتائج تؤكد أن المرضى أصبحوا أكثر وعيًا بدور الإعلام الرقمي، وأكثر قدرة على تحديد احتياجاتهم من المحتوى الصحي، وهو ما يمثل مؤشرًا مهمًا ينبغي أن تستفيد منه الجهات الصحية عند إعداد برامج التوعية الرقمية. كما يرى الباحث أن تطوير المحتوى الرقمي الخاص بالأمراض العصبية المزمنة يجب أن يقوم على ثلاثة محاور رئيسة، تتمثل في تعزيز المصداقية من خلال الاعتماد على المصادر الرسمية والمتخصصين، وتبسيط المعلومات باستخدام الوسائط الرقمية الحديثة، وزيادة التفاعل مع المرضى وأسرهم من خلال المنصات الإلكترونية. ومن شأن تحقيق هذه المحاور أن يسهم في رفع مستوى الوعي الصحي، وتحسين جودة التواصل بين المرضى والجهات الصحية، ودعم الجهود الوطنية الرامية إلى تعزيز الوقاية، وتحسين إدارة الأمراض العصبية المزمنة، والارتقاء بجودة الحياة لدى المصابين بها في المجتمع السعودي</w:t>
      </w:r>
      <w:r w:rsidRPr="00FB2B83">
        <w:rPr>
          <w:rFonts w:ascii="Simplified Arabic" w:hAnsi="Simplified Arabic" w:cs="Simplified Arabic"/>
          <w:sz w:val="28"/>
          <w:szCs w:val="28"/>
        </w:rPr>
        <w:t>.</w:t>
      </w:r>
    </w:p>
    <w:p w14:paraId="3356F3EE" w14:textId="77777777" w:rsidR="000913DC" w:rsidRPr="00FB2B83" w:rsidRDefault="000913DC" w:rsidP="000913DC">
      <w:pPr>
        <w:spacing w:line="360" w:lineRule="auto"/>
        <w:jc w:val="both"/>
        <w:rPr>
          <w:rFonts w:ascii="Simplified Arabic" w:hAnsi="Simplified Arabic" w:cs="Simplified Arabic"/>
          <w:b/>
          <w:bCs/>
          <w:sz w:val="28"/>
          <w:szCs w:val="28"/>
        </w:rPr>
      </w:pPr>
      <w:r w:rsidRPr="00FB2B83">
        <w:rPr>
          <w:rFonts w:ascii="Simplified Arabic" w:hAnsi="Simplified Arabic" w:cs="Simplified Arabic"/>
          <w:b/>
          <w:bCs/>
          <w:sz w:val="28"/>
          <w:szCs w:val="28"/>
          <w:rtl/>
        </w:rPr>
        <w:t>النتائج</w:t>
      </w:r>
    </w:p>
    <w:p w14:paraId="29D8CEE6" w14:textId="77777777" w:rsidR="000913DC" w:rsidRPr="007C1AB5" w:rsidRDefault="000913DC" w:rsidP="007C1AB5">
      <w:pPr>
        <w:numPr>
          <w:ilvl w:val="0"/>
          <w:numId w:val="6"/>
        </w:numPr>
        <w:tabs>
          <w:tab w:val="clear" w:pos="720"/>
        </w:tabs>
        <w:spacing w:line="360" w:lineRule="auto"/>
        <w:ind w:left="0" w:firstLine="0"/>
        <w:rPr>
          <w:rFonts w:asciiTheme="majorBidi" w:hAnsiTheme="majorBidi" w:cstheme="majorBidi"/>
          <w:b/>
          <w:bCs/>
          <w:sz w:val="28"/>
          <w:szCs w:val="28"/>
          <w:lang w:bidi="ar-EG"/>
        </w:rPr>
      </w:pPr>
      <w:r w:rsidRPr="007C1AB5">
        <w:rPr>
          <w:rFonts w:asciiTheme="majorBidi" w:hAnsiTheme="majorBidi" w:cstheme="majorBidi"/>
          <w:b/>
          <w:bCs/>
          <w:sz w:val="28"/>
          <w:szCs w:val="28"/>
          <w:rtl/>
          <w:lang w:bidi="ar-EG"/>
        </w:rPr>
        <w:t>أظهرت نتائج الدراسة أن الإعلام الرقمي أصبح المصدر الرئيس للحصول على المعلومات المتعلقة بالأمراض العصبية المزمنة لدى المرضى، كما أكد الأطباء ارتفاع معدل اعتماد المرضى على المنصات الرقمية في البحث عن المعلومات الصحية، وهو ما يعكس التحول نحو الوسائل الرقمية كمصدر أساسي للتثقيف الصحي</w:t>
      </w:r>
      <w:r w:rsidRPr="007C1AB5">
        <w:rPr>
          <w:rFonts w:asciiTheme="majorBidi" w:hAnsiTheme="majorBidi" w:cstheme="majorBidi"/>
          <w:b/>
          <w:bCs/>
          <w:sz w:val="28"/>
          <w:szCs w:val="28"/>
          <w:lang w:bidi="ar-EG"/>
        </w:rPr>
        <w:t>.</w:t>
      </w:r>
    </w:p>
    <w:p w14:paraId="7D86146F" w14:textId="77777777" w:rsidR="000913DC" w:rsidRPr="007C1AB5" w:rsidRDefault="000913DC" w:rsidP="007C1AB5">
      <w:pPr>
        <w:numPr>
          <w:ilvl w:val="0"/>
          <w:numId w:val="6"/>
        </w:numPr>
        <w:tabs>
          <w:tab w:val="clear" w:pos="720"/>
        </w:tabs>
        <w:spacing w:line="360" w:lineRule="auto"/>
        <w:ind w:left="0" w:firstLine="0"/>
        <w:rPr>
          <w:rFonts w:asciiTheme="majorBidi" w:hAnsiTheme="majorBidi" w:cstheme="majorBidi"/>
          <w:b/>
          <w:bCs/>
          <w:sz w:val="28"/>
          <w:szCs w:val="28"/>
          <w:lang w:bidi="ar-EG"/>
        </w:rPr>
      </w:pPr>
      <w:r w:rsidRPr="007C1AB5">
        <w:rPr>
          <w:rFonts w:asciiTheme="majorBidi" w:hAnsiTheme="majorBidi" w:cstheme="majorBidi"/>
          <w:b/>
          <w:bCs/>
          <w:sz w:val="28"/>
          <w:szCs w:val="28"/>
          <w:rtl/>
          <w:lang w:bidi="ar-EG"/>
        </w:rPr>
        <w:t>بينت النتائج أن الإعلام الرقمي أسهم بصورة ملحوظة في رفع مستوى الوعي الصحي لدى المرضى وأسرهم، من خلال تعزيز فهم طبيعة الأمراض العصبية المزمنة، وطرق الوقاية منها، وأساليب التعامل معها، الأمر الذي انعكس إيجابًا على زيادة الالتزام بالعلاج وتحسين قدرة المرضى على التعايش</w:t>
      </w:r>
      <w:r w:rsidRPr="00FB2B83">
        <w:rPr>
          <w:rFonts w:ascii="Simplified Arabic" w:hAnsi="Simplified Arabic" w:cs="Simplified Arabic"/>
          <w:sz w:val="28"/>
          <w:szCs w:val="28"/>
          <w:rtl/>
        </w:rPr>
        <w:t xml:space="preserve"> </w:t>
      </w:r>
      <w:r w:rsidRPr="007C1AB5">
        <w:rPr>
          <w:rFonts w:asciiTheme="majorBidi" w:hAnsiTheme="majorBidi" w:cstheme="majorBidi"/>
          <w:b/>
          <w:bCs/>
          <w:sz w:val="28"/>
          <w:szCs w:val="28"/>
          <w:rtl/>
          <w:lang w:bidi="ar-EG"/>
        </w:rPr>
        <w:t>مع المرض</w:t>
      </w:r>
      <w:r w:rsidRPr="007C1AB5">
        <w:rPr>
          <w:rFonts w:asciiTheme="majorBidi" w:hAnsiTheme="majorBidi" w:cstheme="majorBidi"/>
          <w:b/>
          <w:bCs/>
          <w:sz w:val="28"/>
          <w:szCs w:val="28"/>
          <w:lang w:bidi="ar-EG"/>
        </w:rPr>
        <w:t>.</w:t>
      </w:r>
    </w:p>
    <w:p w14:paraId="1BCAE016" w14:textId="77777777" w:rsidR="000913DC" w:rsidRPr="007C1AB5" w:rsidRDefault="000913DC" w:rsidP="007C1AB5">
      <w:pPr>
        <w:numPr>
          <w:ilvl w:val="0"/>
          <w:numId w:val="6"/>
        </w:numPr>
        <w:tabs>
          <w:tab w:val="clear" w:pos="720"/>
        </w:tabs>
        <w:spacing w:line="360" w:lineRule="auto"/>
        <w:ind w:left="0" w:firstLine="0"/>
        <w:rPr>
          <w:rFonts w:asciiTheme="majorBidi" w:hAnsiTheme="majorBidi" w:cstheme="majorBidi"/>
          <w:b/>
          <w:bCs/>
          <w:sz w:val="28"/>
          <w:szCs w:val="28"/>
          <w:lang w:bidi="ar-EG"/>
        </w:rPr>
      </w:pPr>
      <w:r w:rsidRPr="007C1AB5">
        <w:rPr>
          <w:rFonts w:asciiTheme="majorBidi" w:hAnsiTheme="majorBidi" w:cstheme="majorBidi"/>
          <w:b/>
          <w:bCs/>
          <w:sz w:val="28"/>
          <w:szCs w:val="28"/>
          <w:rtl/>
          <w:lang w:bidi="ar-EG"/>
        </w:rPr>
        <w:t>كشفت الدراسة أن منصات التواصل الاجتماعي، ولا سيما منصة "إكس</w:t>
      </w:r>
      <w:r w:rsidRPr="007C1AB5">
        <w:rPr>
          <w:rFonts w:asciiTheme="majorBidi" w:hAnsiTheme="majorBidi" w:cstheme="majorBidi"/>
          <w:b/>
          <w:bCs/>
          <w:sz w:val="28"/>
          <w:szCs w:val="28"/>
          <w:lang w:bidi="ar-EG"/>
        </w:rPr>
        <w:t xml:space="preserve"> (X)" </w:t>
      </w:r>
      <w:r w:rsidRPr="007C1AB5">
        <w:rPr>
          <w:rFonts w:asciiTheme="majorBidi" w:hAnsiTheme="majorBidi" w:cstheme="majorBidi"/>
          <w:b/>
          <w:bCs/>
          <w:sz w:val="28"/>
          <w:szCs w:val="28"/>
          <w:rtl/>
          <w:lang w:bidi="ar-EG"/>
        </w:rPr>
        <w:t>و"يوتيوب"، تعد من أكثر المنصات الرقمية تأثيرًا في نشر الوعي الصحي، نظرًا لما تتميز به من سرعة انتشار المحتوى، وسهولة الوصول إليه، وإمكانية عرض المعلومات الصحية بأساليب مرئية وتفاعلية تجذب اهتمام الجمهور</w:t>
      </w:r>
      <w:r w:rsidRPr="007C1AB5">
        <w:rPr>
          <w:rFonts w:asciiTheme="majorBidi" w:hAnsiTheme="majorBidi" w:cstheme="majorBidi"/>
          <w:b/>
          <w:bCs/>
          <w:sz w:val="28"/>
          <w:szCs w:val="28"/>
          <w:lang w:bidi="ar-EG"/>
        </w:rPr>
        <w:t>.</w:t>
      </w:r>
    </w:p>
    <w:p w14:paraId="510365E9" w14:textId="77777777" w:rsidR="000913DC" w:rsidRPr="007C1AB5" w:rsidRDefault="000913DC" w:rsidP="007C1AB5">
      <w:pPr>
        <w:numPr>
          <w:ilvl w:val="0"/>
          <w:numId w:val="6"/>
        </w:numPr>
        <w:tabs>
          <w:tab w:val="clear" w:pos="720"/>
        </w:tabs>
        <w:spacing w:line="360" w:lineRule="auto"/>
        <w:ind w:left="0" w:firstLine="0"/>
        <w:rPr>
          <w:rFonts w:asciiTheme="majorBidi" w:hAnsiTheme="majorBidi" w:cstheme="majorBidi"/>
          <w:b/>
          <w:bCs/>
          <w:sz w:val="28"/>
          <w:szCs w:val="28"/>
          <w:lang w:bidi="ar-EG"/>
        </w:rPr>
      </w:pPr>
      <w:r w:rsidRPr="007C1AB5">
        <w:rPr>
          <w:rFonts w:asciiTheme="majorBidi" w:hAnsiTheme="majorBidi" w:cstheme="majorBidi"/>
          <w:b/>
          <w:bCs/>
          <w:sz w:val="28"/>
          <w:szCs w:val="28"/>
          <w:rtl/>
          <w:lang w:bidi="ar-EG"/>
        </w:rPr>
        <w:lastRenderedPageBreak/>
        <w:t>أوضحت النتائج أن أبرز التحديات التي تواجه المرضى تتمثل في انتشار المعلومات الصحية غير الموثوقة، وتعدد المصادر الرقمية، واعتماد بعض المستخدمين على التجارب الشخصية أو المعلومات غير العلمية، مما يؤدي إلى تكوين مفاهيم خاطئة قد تؤثر في القرارات الصحية والعلاجية للمرضى</w:t>
      </w:r>
      <w:r w:rsidRPr="007C1AB5">
        <w:rPr>
          <w:rFonts w:asciiTheme="majorBidi" w:hAnsiTheme="majorBidi" w:cstheme="majorBidi"/>
          <w:b/>
          <w:bCs/>
          <w:sz w:val="28"/>
          <w:szCs w:val="28"/>
          <w:lang w:bidi="ar-EG"/>
        </w:rPr>
        <w:t>.</w:t>
      </w:r>
    </w:p>
    <w:p w14:paraId="0A698526" w14:textId="77777777" w:rsidR="000913DC" w:rsidRPr="007C1AB5" w:rsidRDefault="000913DC" w:rsidP="007C1AB5">
      <w:pPr>
        <w:spacing w:line="360" w:lineRule="auto"/>
        <w:jc w:val="center"/>
        <w:rPr>
          <w:rFonts w:asciiTheme="majorBidi" w:hAnsiTheme="majorBidi" w:cstheme="majorBidi"/>
          <w:sz w:val="28"/>
          <w:szCs w:val="28"/>
          <w:lang w:bidi="ar-EG"/>
        </w:rPr>
      </w:pPr>
      <w:r w:rsidRPr="007C1AB5">
        <w:rPr>
          <w:rFonts w:asciiTheme="majorBidi" w:hAnsiTheme="majorBidi" w:cstheme="majorBidi"/>
          <w:b/>
          <w:bCs/>
          <w:sz w:val="28"/>
          <w:szCs w:val="28"/>
          <w:rtl/>
          <w:lang w:bidi="ar-EG"/>
        </w:rPr>
        <w:t>توصلت الدراسة إلى أن المرضى والأطباء يتفقون على ضرورة تطوير المحتوى الصحي الرقمي من خلال زيادة المحتوى الصادر عن الجهات الصحية الرسمية، وإشراك المتخصصين في إعداد الرسائل التوعوية، وتقديم المعلومات بصورة مبسطة وتفاعلية، مع تعزيز آليات مكافحة المعلومات الصحية المضللة</w:t>
      </w:r>
      <w:r w:rsidRPr="007C1AB5">
        <w:rPr>
          <w:rFonts w:asciiTheme="majorBidi" w:hAnsiTheme="majorBidi" w:cstheme="majorBidi"/>
          <w:b/>
          <w:bCs/>
          <w:sz w:val="28"/>
          <w:szCs w:val="28"/>
          <w:lang w:bidi="ar-EG"/>
        </w:rPr>
        <w:t>.</w:t>
      </w:r>
    </w:p>
    <w:p w14:paraId="0D25ACB1" w14:textId="77777777" w:rsidR="000913DC" w:rsidRPr="007C1AB5" w:rsidRDefault="000913DC" w:rsidP="007C1AB5">
      <w:pPr>
        <w:spacing w:line="360" w:lineRule="auto"/>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التوصيات</w:t>
      </w:r>
    </w:p>
    <w:p w14:paraId="2805B414" w14:textId="77777777" w:rsidR="007C1AB5" w:rsidRPr="007C1AB5" w:rsidRDefault="007C1AB5" w:rsidP="007C1AB5">
      <w:pPr>
        <w:spacing w:line="360" w:lineRule="auto"/>
        <w:jc w:val="center"/>
        <w:rPr>
          <w:rFonts w:asciiTheme="majorBidi" w:hAnsiTheme="majorBidi" w:cstheme="majorBidi"/>
          <w:sz w:val="28"/>
          <w:szCs w:val="28"/>
          <w:lang w:bidi="ar-EG"/>
        </w:rPr>
      </w:pPr>
    </w:p>
    <w:p w14:paraId="7DDA24AD" w14:textId="36B7051E" w:rsidR="007C1AB5" w:rsidRPr="007C1AB5" w:rsidRDefault="007C1AB5" w:rsidP="007C1AB5">
      <w:pPr>
        <w:pStyle w:val="a8"/>
        <w:numPr>
          <w:ilvl w:val="0"/>
          <w:numId w:val="3"/>
        </w:numPr>
        <w:spacing w:line="360" w:lineRule="auto"/>
        <w:jc w:val="center"/>
        <w:rPr>
          <w:rFonts w:asciiTheme="majorBidi" w:hAnsiTheme="majorBidi" w:cstheme="majorBidi"/>
          <w:b/>
          <w:bCs/>
          <w:sz w:val="28"/>
          <w:szCs w:val="28"/>
          <w:lang w:bidi="ar-EG"/>
        </w:rPr>
      </w:pPr>
      <w:r w:rsidRPr="007C1AB5">
        <w:rPr>
          <w:rFonts w:asciiTheme="majorBidi" w:hAnsiTheme="majorBidi" w:cstheme="majorBidi"/>
          <w:b/>
          <w:bCs/>
          <w:sz w:val="28"/>
          <w:szCs w:val="28"/>
          <w:rtl/>
          <w:lang w:bidi="ar-EG"/>
        </w:rPr>
        <w:t>تعزيز دور الجهات الصحية الرسمية في إنتاج ونشر محتوى رقمي علمي موثوق حول الأمراض العصبية المزمنة، مع تحديثه بصورة مستمرة بما يتوافق مع أحدث الأدلة والإرشادات الطبية، لضمان حصول المرضى على معلومات دقيقة وموثوقة</w:t>
      </w:r>
      <w:r w:rsidRPr="007C1AB5">
        <w:rPr>
          <w:rFonts w:asciiTheme="majorBidi" w:hAnsiTheme="majorBidi" w:cstheme="majorBidi"/>
          <w:b/>
          <w:bCs/>
          <w:sz w:val="28"/>
          <w:szCs w:val="28"/>
          <w:lang w:bidi="ar-EG"/>
        </w:rPr>
        <w:t>.</w:t>
      </w:r>
    </w:p>
    <w:p w14:paraId="34BDF0A4" w14:textId="2EC41A76" w:rsidR="007C1AB5" w:rsidRPr="007C1AB5" w:rsidRDefault="007C1AB5" w:rsidP="007C1AB5">
      <w:pPr>
        <w:pStyle w:val="a8"/>
        <w:numPr>
          <w:ilvl w:val="0"/>
          <w:numId w:val="3"/>
        </w:numPr>
        <w:spacing w:line="360" w:lineRule="auto"/>
        <w:jc w:val="center"/>
        <w:rPr>
          <w:rFonts w:asciiTheme="majorBidi" w:hAnsiTheme="majorBidi" w:cstheme="majorBidi"/>
          <w:b/>
          <w:bCs/>
          <w:sz w:val="28"/>
          <w:szCs w:val="28"/>
          <w:lang w:bidi="ar-EG"/>
        </w:rPr>
      </w:pPr>
      <w:r w:rsidRPr="007C1AB5">
        <w:rPr>
          <w:rFonts w:asciiTheme="majorBidi" w:hAnsiTheme="majorBidi" w:cstheme="majorBidi"/>
          <w:b/>
          <w:bCs/>
          <w:sz w:val="28"/>
          <w:szCs w:val="28"/>
          <w:rtl/>
          <w:lang w:bidi="ar-EG"/>
        </w:rPr>
        <w:t>تصميم حملات توعوية رقمية مستمرة تستهدف المرضى وأسرهم ومختلف فئات المجتمع، مع الاستفادة من المنصات الرقمية الأكثر استخدامًا في المملكة العربية السعودية، وتوظيف الوسائط المتعددة مثل الفيديوهات والإنفوجرافيك لزيادة فاعلية الرسائل الصحية</w:t>
      </w:r>
      <w:r w:rsidRPr="007C1AB5">
        <w:rPr>
          <w:rFonts w:asciiTheme="majorBidi" w:hAnsiTheme="majorBidi" w:cstheme="majorBidi"/>
          <w:b/>
          <w:bCs/>
          <w:sz w:val="28"/>
          <w:szCs w:val="28"/>
          <w:lang w:bidi="ar-EG"/>
        </w:rPr>
        <w:t>.</w:t>
      </w:r>
    </w:p>
    <w:p w14:paraId="75C59DB7" w14:textId="5F31A045" w:rsidR="007C1AB5" w:rsidRPr="007C1AB5" w:rsidRDefault="007C1AB5" w:rsidP="007C1AB5">
      <w:pPr>
        <w:pStyle w:val="a8"/>
        <w:numPr>
          <w:ilvl w:val="0"/>
          <w:numId w:val="3"/>
        </w:numPr>
        <w:spacing w:line="360" w:lineRule="auto"/>
        <w:jc w:val="center"/>
        <w:rPr>
          <w:rFonts w:asciiTheme="majorBidi" w:hAnsiTheme="majorBidi" w:cstheme="majorBidi"/>
          <w:b/>
          <w:bCs/>
          <w:sz w:val="28"/>
          <w:szCs w:val="28"/>
          <w:lang w:bidi="ar-EG"/>
        </w:rPr>
      </w:pPr>
      <w:r w:rsidRPr="007C1AB5">
        <w:rPr>
          <w:rFonts w:asciiTheme="majorBidi" w:hAnsiTheme="majorBidi" w:cstheme="majorBidi"/>
          <w:b/>
          <w:bCs/>
          <w:sz w:val="28"/>
          <w:szCs w:val="28"/>
          <w:rtl/>
          <w:lang w:bidi="ar-EG"/>
        </w:rPr>
        <w:t>تشجيع الأطباء والاستشاريين والمتخصصين في المجال الصحي على المشاركة الفاعلة في المنصات الرقمية، وتقديم محتوى صحي مبسط يعتمد على الأدلة العلمية، بما يسهم في تعزيز ثقة الجمهور بالمعلومات المنشورة والحد من انتشار المفاهيم الخاطئة</w:t>
      </w:r>
      <w:r w:rsidRPr="007C1AB5">
        <w:rPr>
          <w:rFonts w:asciiTheme="majorBidi" w:hAnsiTheme="majorBidi" w:cstheme="majorBidi"/>
          <w:b/>
          <w:bCs/>
          <w:sz w:val="28"/>
          <w:szCs w:val="28"/>
          <w:lang w:bidi="ar-EG"/>
        </w:rPr>
        <w:t>.</w:t>
      </w:r>
    </w:p>
    <w:p w14:paraId="39406307" w14:textId="44E0D8EB" w:rsidR="007C1AB5" w:rsidRPr="007C1AB5" w:rsidRDefault="007C1AB5" w:rsidP="007C1AB5">
      <w:pPr>
        <w:pStyle w:val="a8"/>
        <w:numPr>
          <w:ilvl w:val="0"/>
          <w:numId w:val="3"/>
        </w:numPr>
        <w:spacing w:line="360" w:lineRule="auto"/>
        <w:jc w:val="center"/>
        <w:rPr>
          <w:rFonts w:asciiTheme="majorBidi" w:hAnsiTheme="majorBidi" w:cstheme="majorBidi"/>
          <w:b/>
          <w:bCs/>
          <w:sz w:val="28"/>
          <w:szCs w:val="28"/>
          <w:lang w:bidi="ar-EG"/>
        </w:rPr>
      </w:pPr>
      <w:r w:rsidRPr="007C1AB5">
        <w:rPr>
          <w:rFonts w:asciiTheme="majorBidi" w:hAnsiTheme="majorBidi" w:cstheme="majorBidi"/>
          <w:b/>
          <w:bCs/>
          <w:sz w:val="28"/>
          <w:szCs w:val="28"/>
          <w:rtl/>
          <w:lang w:bidi="ar-EG"/>
        </w:rPr>
        <w:t>تطوير برامج للتثقيف الصحي الرقمي تهدف إلى رفع مستوى الوعي لدى المرضى بكيفية التحقق من مصداقية المعلومات الصحية المنشورة عبر الإنترنت، وتعزيز مهارات الثقافة الصحية الرقمية، بما يساعدهم على التمييز بين المصادر الموثوقة وغير الموثوقة</w:t>
      </w:r>
      <w:r w:rsidRPr="007C1AB5">
        <w:rPr>
          <w:rFonts w:asciiTheme="majorBidi" w:hAnsiTheme="majorBidi" w:cstheme="majorBidi"/>
          <w:b/>
          <w:bCs/>
          <w:sz w:val="28"/>
          <w:szCs w:val="28"/>
          <w:lang w:bidi="ar-EG"/>
        </w:rPr>
        <w:t>.</w:t>
      </w:r>
    </w:p>
    <w:p w14:paraId="16034D91" w14:textId="73A4E02D" w:rsidR="007C1AB5" w:rsidRPr="007C1AB5" w:rsidRDefault="007C1AB5" w:rsidP="007C1AB5">
      <w:pPr>
        <w:pStyle w:val="a8"/>
        <w:numPr>
          <w:ilvl w:val="0"/>
          <w:numId w:val="3"/>
        </w:numPr>
        <w:spacing w:line="360" w:lineRule="auto"/>
        <w:rPr>
          <w:rFonts w:asciiTheme="majorBidi" w:hAnsiTheme="majorBidi" w:cstheme="majorBidi"/>
          <w:b/>
          <w:bCs/>
          <w:sz w:val="28"/>
          <w:szCs w:val="28"/>
          <w:lang w:bidi="ar-EG"/>
        </w:rPr>
      </w:pPr>
      <w:r w:rsidRPr="007C1AB5">
        <w:rPr>
          <w:rFonts w:asciiTheme="majorBidi" w:hAnsiTheme="majorBidi" w:cstheme="majorBidi"/>
          <w:b/>
          <w:bCs/>
          <w:sz w:val="28"/>
          <w:szCs w:val="28"/>
          <w:rtl/>
          <w:lang w:bidi="ar-EG"/>
        </w:rPr>
        <w:t>إجراء المزيد من الدراسات المستقبلية التي تتناول أثر الإعلام الرقمي في التوعية بمختلف الأمراض المزمنة، ودراسة فاعلية أنواع المحتوى الرقمي المختلفة في تحسين المعرفة الصحية والسلوكيات الوقائية والعلاجية لدى المرضى، بما يدعم تطوير استراتيجيات الاتصال الصحي في المجتمع السعودي</w:t>
      </w:r>
      <w:r w:rsidRPr="007C1AB5">
        <w:rPr>
          <w:rFonts w:asciiTheme="majorBidi" w:hAnsiTheme="majorBidi" w:cstheme="majorBidi"/>
          <w:b/>
          <w:bCs/>
          <w:sz w:val="28"/>
          <w:szCs w:val="28"/>
          <w:lang w:bidi="ar-EG"/>
        </w:rPr>
        <w:t>.</w:t>
      </w:r>
    </w:p>
    <w:p w14:paraId="61ADB0BA" w14:textId="77777777" w:rsidR="007C1AB5" w:rsidRPr="007C1AB5" w:rsidRDefault="007C1AB5" w:rsidP="007C1AB5">
      <w:pPr>
        <w:spacing w:line="360" w:lineRule="auto"/>
        <w:rPr>
          <w:rFonts w:asciiTheme="majorBidi" w:hAnsiTheme="majorBidi" w:cstheme="majorBidi"/>
          <w:b/>
          <w:bCs/>
          <w:sz w:val="28"/>
          <w:szCs w:val="28"/>
          <w:rtl/>
          <w:lang w:bidi="ar-EG"/>
        </w:rPr>
      </w:pPr>
    </w:p>
    <w:p w14:paraId="24F091B6" w14:textId="60873449" w:rsidR="000913DC" w:rsidRPr="007C1AB5" w:rsidRDefault="000913DC" w:rsidP="007C1AB5">
      <w:pPr>
        <w:spacing w:line="360" w:lineRule="auto"/>
        <w:ind w:left="360"/>
        <w:rPr>
          <w:rFonts w:asciiTheme="majorBidi" w:hAnsiTheme="majorBidi" w:cstheme="majorBidi"/>
          <w:b/>
          <w:bCs/>
          <w:sz w:val="28"/>
          <w:szCs w:val="28"/>
          <w:rtl/>
          <w:lang w:bidi="ar-EG"/>
        </w:rPr>
      </w:pPr>
      <w:r w:rsidRPr="007C1AB5">
        <w:rPr>
          <w:rFonts w:asciiTheme="majorBidi" w:hAnsiTheme="majorBidi" w:cstheme="majorBidi" w:hint="cs"/>
          <w:b/>
          <w:bCs/>
          <w:sz w:val="28"/>
          <w:szCs w:val="28"/>
          <w:rtl/>
          <w:lang w:bidi="ar-EG"/>
        </w:rPr>
        <w:lastRenderedPageBreak/>
        <w:t>الخاتمة:</w:t>
      </w:r>
    </w:p>
    <w:p w14:paraId="1E099923" w14:textId="77777777" w:rsidR="000913DC" w:rsidRPr="007C1AB5" w:rsidRDefault="000913DC" w:rsidP="007C1AB5">
      <w:pPr>
        <w:spacing w:line="360" w:lineRule="auto"/>
        <w:rPr>
          <w:rFonts w:asciiTheme="majorBidi" w:hAnsiTheme="majorBidi" w:cstheme="majorBidi"/>
          <w:b/>
          <w:bCs/>
          <w:sz w:val="28"/>
          <w:szCs w:val="28"/>
          <w:lang w:bidi="ar-EG"/>
        </w:rPr>
      </w:pPr>
      <w:r w:rsidRPr="007C1AB5">
        <w:rPr>
          <w:rFonts w:asciiTheme="majorBidi" w:hAnsiTheme="majorBidi" w:cstheme="majorBidi"/>
          <w:b/>
          <w:bCs/>
          <w:sz w:val="28"/>
          <w:szCs w:val="28"/>
          <w:rtl/>
          <w:lang w:bidi="ar-EG"/>
        </w:rPr>
        <w:t>خلصت هذه الدراسة إلى أن الإعلام الرقمي أصبح أحد أهم الأدوات المؤثرة في تعزيز الوعي الصحي لدى مرضى الأمراض العصبية المزمنة وأسرهم، حيث لم يعد دوره يقتصر على نقل المعلومات الصحية، بل امتد ليصبح وسيلة فعالة في نشر الثقافة الصحية، وتصحيح المفاهيم الخاطئة، ودعم المرضى في فهم طبيعة أمراضهم، وتعزيز التزامهم بالإجراءات العلاجية والوقائية. كما بينت نتائج الدراسة أن المنصات الرقمية، عند توظيفها بصورة علمية ومنظمة، قادرة على الوصول إلى شرائح واسعة من المجتمع، بما يسهم في تحسين المعرفة الصحية والارتقاء بجودة الحياة</w:t>
      </w:r>
      <w:r w:rsidRPr="007C1AB5">
        <w:rPr>
          <w:rFonts w:asciiTheme="majorBidi" w:hAnsiTheme="majorBidi" w:cstheme="majorBidi"/>
          <w:b/>
          <w:bCs/>
          <w:sz w:val="28"/>
          <w:szCs w:val="28"/>
          <w:lang w:bidi="ar-EG"/>
        </w:rPr>
        <w:t>.</w:t>
      </w:r>
    </w:p>
    <w:p w14:paraId="71449281" w14:textId="77777777" w:rsidR="000913DC" w:rsidRPr="007C1AB5" w:rsidRDefault="000913DC" w:rsidP="007C1AB5">
      <w:pPr>
        <w:spacing w:line="360" w:lineRule="auto"/>
        <w:rPr>
          <w:rFonts w:asciiTheme="majorBidi" w:hAnsiTheme="majorBidi" w:cstheme="majorBidi"/>
          <w:b/>
          <w:bCs/>
          <w:sz w:val="28"/>
          <w:szCs w:val="28"/>
          <w:lang w:bidi="ar-EG"/>
        </w:rPr>
      </w:pPr>
      <w:r w:rsidRPr="007C1AB5">
        <w:rPr>
          <w:rFonts w:asciiTheme="majorBidi" w:hAnsiTheme="majorBidi" w:cstheme="majorBidi"/>
          <w:b/>
          <w:bCs/>
          <w:sz w:val="28"/>
          <w:szCs w:val="28"/>
          <w:rtl/>
          <w:lang w:bidi="ar-EG"/>
        </w:rPr>
        <w:t>وأظهرت الدراسة أن ثقة المرضى بالمحتوى الصحي ترتبط ارتباطًا وثيقًا بمصداقية مصدره، حيث يفضلون المعلومات الصادرة عن الجهات الصحية الرسمية والأطباء المتخصصين، في حين تمثل المعلومات غير الموثوقة والتجارب الشخصية غير المدعومة بالأدلة العلمية أحد أبرز التحديات التي قد تؤثر سلبًا في السلوك الصحي واتخاذ القرارات العلاجية. كما أكدت النتائج أهمية استخدام الوسائط البصرية والتفاعلية، مثل الفيديوهات التوعوية والإنفوجرافيك، لما لها من قدرة أكبر على جذب انتباه الجمهور وتبسيط المعلومات الطبية المعقدة</w:t>
      </w:r>
      <w:r w:rsidRPr="007C1AB5">
        <w:rPr>
          <w:rFonts w:asciiTheme="majorBidi" w:hAnsiTheme="majorBidi" w:cstheme="majorBidi"/>
          <w:b/>
          <w:bCs/>
          <w:sz w:val="28"/>
          <w:szCs w:val="28"/>
          <w:lang w:bidi="ar-EG"/>
        </w:rPr>
        <w:t>.</w:t>
      </w:r>
    </w:p>
    <w:p w14:paraId="6EB540F1" w14:textId="77777777" w:rsidR="000913DC" w:rsidRPr="007C1AB5" w:rsidRDefault="000913DC" w:rsidP="007C1AB5">
      <w:pPr>
        <w:spacing w:line="360" w:lineRule="auto"/>
        <w:rPr>
          <w:rFonts w:asciiTheme="majorBidi" w:hAnsiTheme="majorBidi" w:cstheme="majorBidi"/>
          <w:b/>
          <w:bCs/>
          <w:sz w:val="28"/>
          <w:szCs w:val="28"/>
          <w:lang w:bidi="ar-EG"/>
        </w:rPr>
      </w:pPr>
      <w:r w:rsidRPr="007C1AB5">
        <w:rPr>
          <w:rFonts w:asciiTheme="majorBidi" w:hAnsiTheme="majorBidi" w:cstheme="majorBidi"/>
          <w:b/>
          <w:bCs/>
          <w:sz w:val="28"/>
          <w:szCs w:val="28"/>
          <w:rtl/>
          <w:lang w:bidi="ar-EG"/>
        </w:rPr>
        <w:t>وتؤكد هذه النتائج الحاجة إلى تطوير استراتيجيات وطنية متكاملة لتوظيف الإعلام الرقمي في التوعية الصحية، من خلال تعزيز التعاون بين المؤسسات الصحية ووسائل الإعلام والجامعات والمتخصصين، وإنتاج محتوى صحي موثوق، مبسط، ومتجدد يستند إلى الأدلة العلمية، مع الاستفادة من التقنيات الحديثة والذكاء الاصطناعي في تقديم المعلومات الصحية ومكافحة المعلومات المضللة</w:t>
      </w:r>
      <w:r w:rsidRPr="007C1AB5">
        <w:rPr>
          <w:rFonts w:asciiTheme="majorBidi" w:hAnsiTheme="majorBidi" w:cstheme="majorBidi"/>
          <w:b/>
          <w:bCs/>
          <w:sz w:val="28"/>
          <w:szCs w:val="28"/>
          <w:lang w:bidi="ar-EG"/>
        </w:rPr>
        <w:t>.</w:t>
      </w:r>
    </w:p>
    <w:p w14:paraId="1B6C855A" w14:textId="61836129" w:rsidR="004A17C0" w:rsidRDefault="000913DC" w:rsidP="007C1AB5">
      <w:pPr>
        <w:spacing w:line="360" w:lineRule="auto"/>
        <w:rPr>
          <w:rFonts w:asciiTheme="majorBidi" w:hAnsiTheme="majorBidi" w:cstheme="majorBidi"/>
          <w:b/>
          <w:bCs/>
          <w:sz w:val="28"/>
          <w:szCs w:val="28"/>
          <w:lang w:bidi="ar-EG"/>
        </w:rPr>
      </w:pPr>
      <w:r w:rsidRPr="007C1AB5">
        <w:rPr>
          <w:rFonts w:asciiTheme="majorBidi" w:hAnsiTheme="majorBidi" w:cstheme="majorBidi"/>
          <w:b/>
          <w:bCs/>
          <w:sz w:val="28"/>
          <w:szCs w:val="28"/>
          <w:rtl/>
          <w:lang w:bidi="ar-EG"/>
        </w:rPr>
        <w:t>وفي ضوء ما توصلت إليه الدراسة، يمكن القول إن الاستثمار في الإعلام الرقمي يمثل استثمارًا في صحة المجتمع، إذ يسهم في بناء مجتمع أكثر وعيًا، ويعزز من قدرة المرضى على إدارة أمراضهم بصورة صحيحة، ويدعم جهود الوقاية والعلاج، بما يتماشى مع مستهدفات التحول الرقمي وتطوير القطاع الصحي، ويسهم في تحقيق تنمية صحية مستدامة ترتكز على المعرفة والوعي والمشاركة المجتمعية</w:t>
      </w:r>
      <w:r w:rsidRPr="007C1AB5">
        <w:rPr>
          <w:rFonts w:asciiTheme="majorBidi" w:hAnsiTheme="majorBidi" w:cstheme="majorBidi"/>
          <w:b/>
          <w:bCs/>
          <w:sz w:val="28"/>
          <w:szCs w:val="28"/>
          <w:lang w:bidi="ar-EG"/>
        </w:rPr>
        <w:t>.</w:t>
      </w:r>
    </w:p>
    <w:p w14:paraId="3302B064" w14:textId="77777777" w:rsidR="007C1AB5" w:rsidRPr="007C1AB5" w:rsidRDefault="007C1AB5" w:rsidP="007C1AB5">
      <w:pPr>
        <w:spacing w:line="360" w:lineRule="auto"/>
        <w:rPr>
          <w:rFonts w:asciiTheme="majorBidi" w:hAnsiTheme="majorBidi" w:cstheme="majorBidi"/>
          <w:b/>
          <w:bCs/>
          <w:sz w:val="28"/>
          <w:szCs w:val="28"/>
          <w:rtl/>
          <w:lang w:bidi="ar-EG"/>
        </w:rPr>
      </w:pPr>
    </w:p>
    <w:p w14:paraId="4A8F61B7" w14:textId="0AABCC76" w:rsidR="000913DC" w:rsidRPr="007C1AB5" w:rsidRDefault="000913DC" w:rsidP="007C1AB5">
      <w:pPr>
        <w:numPr>
          <w:ilvl w:val="0"/>
          <w:numId w:val="6"/>
        </w:numPr>
        <w:tabs>
          <w:tab w:val="clear" w:pos="720"/>
        </w:tabs>
        <w:spacing w:line="360" w:lineRule="auto"/>
        <w:ind w:left="0" w:firstLine="0"/>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المراجع:</w:t>
      </w:r>
    </w:p>
    <w:p w14:paraId="0DA8799C" w14:textId="77777777" w:rsidR="000913DC" w:rsidRPr="007C1AB5" w:rsidRDefault="000913DC" w:rsidP="007C1AB5">
      <w:pPr>
        <w:numPr>
          <w:ilvl w:val="0"/>
          <w:numId w:val="6"/>
        </w:numPr>
        <w:tabs>
          <w:tab w:val="clear" w:pos="720"/>
        </w:tabs>
        <w:spacing w:line="360" w:lineRule="auto"/>
        <w:ind w:left="0" w:firstLine="0"/>
        <w:rPr>
          <w:rFonts w:asciiTheme="majorBidi" w:hAnsiTheme="majorBidi" w:cstheme="majorBidi"/>
          <w:b/>
          <w:bCs/>
          <w:sz w:val="28"/>
          <w:szCs w:val="28"/>
          <w:lang w:bidi="ar-EG"/>
        </w:rPr>
      </w:pPr>
      <w:r w:rsidRPr="007C1AB5">
        <w:rPr>
          <w:rFonts w:asciiTheme="majorBidi" w:hAnsiTheme="majorBidi" w:cstheme="majorBidi"/>
          <w:b/>
          <w:bCs/>
          <w:sz w:val="28"/>
          <w:szCs w:val="28"/>
          <w:lang w:bidi="ar-EG"/>
        </w:rPr>
        <w:lastRenderedPageBreak/>
        <w:t>Wang, Y. P., &amp; Liao, P. H. (2024). Enhancing Citizen Health Literacy Through Digital Technology. In Innovation in Applied Nursing Informatics (pp. 687-688). IOS Press</w:t>
      </w:r>
      <w:r w:rsidRPr="007C1AB5">
        <w:rPr>
          <w:rFonts w:asciiTheme="majorBidi" w:hAnsiTheme="majorBidi" w:cstheme="majorBidi"/>
          <w:b/>
          <w:bCs/>
          <w:sz w:val="28"/>
          <w:szCs w:val="28"/>
          <w:rtl/>
          <w:lang w:bidi="ar-EG"/>
        </w:rPr>
        <w:t>.‏</w:t>
      </w:r>
    </w:p>
    <w:p w14:paraId="134E1DD5" w14:textId="77777777" w:rsidR="000913DC" w:rsidRPr="007C1AB5" w:rsidRDefault="000913DC" w:rsidP="007C1AB5">
      <w:pPr>
        <w:numPr>
          <w:ilvl w:val="0"/>
          <w:numId w:val="6"/>
        </w:numPr>
        <w:tabs>
          <w:tab w:val="clear" w:pos="720"/>
        </w:tabs>
        <w:spacing w:line="360" w:lineRule="auto"/>
        <w:ind w:left="0" w:firstLine="0"/>
        <w:rPr>
          <w:rFonts w:asciiTheme="majorBidi" w:hAnsiTheme="majorBidi" w:cstheme="majorBidi"/>
          <w:b/>
          <w:bCs/>
          <w:sz w:val="28"/>
          <w:szCs w:val="28"/>
          <w:rtl/>
          <w:lang w:bidi="ar-EG"/>
        </w:rPr>
      </w:pPr>
      <w:r w:rsidRPr="007C1AB5">
        <w:rPr>
          <w:rFonts w:asciiTheme="majorBidi" w:hAnsiTheme="majorBidi" w:cstheme="majorBidi"/>
          <w:b/>
          <w:bCs/>
          <w:sz w:val="28"/>
          <w:szCs w:val="28"/>
          <w:lang w:bidi="ar-EG"/>
        </w:rPr>
        <w:t>Fundoiano-Hershcovitz, Y., Feniger, E., Dar, S., Ritholz, M., Schorr, A. B., &amp; Goldstein, P. (2021). Digital Therapeutics for Type 2 Diabetes: Incorporating Coaching Support and Validating Digital Monitoring. Journal of diabetes science and technology, 15(5), 1188-1189</w:t>
      </w:r>
      <w:r w:rsidRPr="007C1AB5">
        <w:rPr>
          <w:rFonts w:asciiTheme="majorBidi" w:hAnsiTheme="majorBidi" w:cstheme="majorBidi"/>
          <w:b/>
          <w:bCs/>
          <w:sz w:val="28"/>
          <w:szCs w:val="28"/>
          <w:rtl/>
          <w:lang w:bidi="ar-EG"/>
        </w:rPr>
        <w:t>.‏</w:t>
      </w:r>
    </w:p>
    <w:p w14:paraId="36DB24C9" w14:textId="77777777" w:rsidR="000913DC" w:rsidRPr="007C1AB5" w:rsidRDefault="000913DC" w:rsidP="007C1AB5">
      <w:pPr>
        <w:numPr>
          <w:ilvl w:val="0"/>
          <w:numId w:val="6"/>
        </w:numPr>
        <w:tabs>
          <w:tab w:val="clear" w:pos="720"/>
        </w:tabs>
        <w:spacing w:line="360" w:lineRule="auto"/>
        <w:ind w:left="0" w:firstLine="0"/>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أماني رضا عبد المقصود (2020)، التجربة الترفيهية عبر منصات خدمة الفيديو الرقمية العربية: دراسة تطبيقية في ضوء نظرية الثراء الإعلامي، مجلة البحوث الإعلامية، کلية الإعلام، جامعة الأزهر، العدد 55 ، الجزء1، أکتوبر2020.</w:t>
      </w:r>
    </w:p>
    <w:p w14:paraId="101EF389"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جاد عویدات (٢٠٢٠)، تفاعل الشباب الجامعي مع طرق الوقایة من فیروس  کورونا عبـر فـیس بوک "دارسـة میدانیـة لمستخدمي صفحتي قناة "المملکة  الأردنیة"، وقناة "فرانس ٢٤ ,"مجلة الدراسات الإعلامیة، بـرلین: المرکـز العربي الـدیمقراطي، عدد 11 ، مايو 2020.</w:t>
      </w:r>
    </w:p>
    <w:p w14:paraId="0E71914F"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حسام فايز عبدالحي (2020)، اعتماد طلبة الجامعات على وسائل الإعلام الجدید   فی إستقاء المعلومات والأخبار عن جائحة کورونا  کوفید 19 وعلاقته بالإندماج  الأکادیمی لدیهم، مجلة البحوث الإعلامية، کلية الإعلام، جامعة الأزهر، المقالة 10، المجلد 54، جزء 4 (جائحة کورونا( .</w:t>
      </w:r>
    </w:p>
    <w:p w14:paraId="35E04291"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طارق الصعيدي (2020)، اعتماد الشباب على صحافة الموبایل ودورها فی التوعیة الصحیة بجائحة کورونا فی مصر، مجلة البحوث الإعلامية، کلية الإعلام، جامعة الأزهر، المقالة 3، المجلد 54، جزء 4 (جائحة کورونا(.</w:t>
      </w:r>
    </w:p>
    <w:p w14:paraId="7766775C"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غادة البطريق (2020)، إلتماس الشباب الجامعي للمعلومات عن رؤية 2030 للمملکة العربية السعودية من وسائل الإعلام التقليدية والرقمية وعلاقته بمستوى إدراکهم لها،مجلة البحوث الإعلامية، کلية الإعلام، جامعة الأزهر، العدد55، الجزء 4، أکتوبر2020.</w:t>
      </w:r>
    </w:p>
    <w:p w14:paraId="30FDF797"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 xml:space="preserve">مرتضى البشير الأمين، خالد عبدالحفيظ محمد (٢٠٢٠) وسائل التواصل االجتماعي وتعزيز الوعي الصحي للوقاية من فيروس کورونا المستجد </w:t>
      </w:r>
      <w:r w:rsidRPr="007C1AB5">
        <w:rPr>
          <w:rFonts w:asciiTheme="majorBidi" w:hAnsiTheme="majorBidi" w:cstheme="majorBidi"/>
          <w:b/>
          <w:bCs/>
          <w:sz w:val="28"/>
          <w:szCs w:val="28"/>
          <w:lang w:bidi="ar-EG"/>
        </w:rPr>
        <w:t>COVID19</w:t>
      </w:r>
      <w:r w:rsidRPr="007C1AB5">
        <w:rPr>
          <w:rFonts w:asciiTheme="majorBidi" w:hAnsiTheme="majorBidi" w:cstheme="majorBidi"/>
          <w:b/>
          <w:bCs/>
          <w:sz w:val="28"/>
          <w:szCs w:val="28"/>
          <w:rtl/>
          <w:lang w:bidi="ar-EG"/>
        </w:rPr>
        <w:t xml:space="preserve"> "دراسة على صفحة الفيسبوک بالموقع الرسمي لوزارة </w:t>
      </w:r>
      <w:r w:rsidRPr="007C1AB5">
        <w:rPr>
          <w:rFonts w:asciiTheme="majorBidi" w:hAnsiTheme="majorBidi" w:cstheme="majorBidi"/>
          <w:b/>
          <w:bCs/>
          <w:sz w:val="28"/>
          <w:szCs w:val="28"/>
          <w:rtl/>
          <w:lang w:bidi="ar-EG"/>
        </w:rPr>
        <w:lastRenderedPageBreak/>
        <w:t>الصحة السودانية"، مجلة الدراسات الإعلامیة. بـرلین: المرکـز العربـي الـدیمقراطي،عدد 11 لشهر مايو 2020</w:t>
      </w:r>
    </w:p>
    <w:p w14:paraId="1A101661" w14:textId="77777777" w:rsidR="000913DC" w:rsidRPr="007C1AB5" w:rsidRDefault="000913DC" w:rsidP="000913DC">
      <w:pPr>
        <w:spacing w:line="360" w:lineRule="auto"/>
        <w:jc w:val="both"/>
        <w:rPr>
          <w:rFonts w:asciiTheme="majorBidi" w:hAnsiTheme="majorBidi" w:cstheme="majorBidi"/>
          <w:b/>
          <w:bCs/>
          <w:sz w:val="28"/>
          <w:szCs w:val="28"/>
          <w:lang w:bidi="ar-EG"/>
        </w:rPr>
      </w:pPr>
      <w:r w:rsidRPr="007C1AB5">
        <w:rPr>
          <w:rFonts w:asciiTheme="majorBidi" w:hAnsiTheme="majorBidi" w:cstheme="majorBidi"/>
          <w:b/>
          <w:bCs/>
          <w:sz w:val="28"/>
          <w:szCs w:val="28"/>
          <w:lang w:bidi="ar-EG"/>
        </w:rPr>
        <w:t>Devi, G. P. (2020). Effectiveness of digital media education on the attitude of the diabetic patients. Int J Curr Microbiol Appl Sci, 9(9), 1116-1123</w:t>
      </w:r>
      <w:r w:rsidRPr="007C1AB5">
        <w:rPr>
          <w:rFonts w:asciiTheme="majorBidi" w:hAnsiTheme="majorBidi" w:cstheme="majorBidi"/>
          <w:b/>
          <w:bCs/>
          <w:sz w:val="28"/>
          <w:szCs w:val="28"/>
          <w:rtl/>
          <w:lang w:bidi="ar-EG"/>
        </w:rPr>
        <w:t>.‏</w:t>
      </w:r>
    </w:p>
    <w:p w14:paraId="76373564"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داليا عثمان (2019)، اتجاهات المرأة المصریة نحو استخدام الإعلام الرقمي فی المجال الصحي، مجلة البحوث الإعلامية، کلية الإعلام ، جامعة الأزهر، المقالة 8، المجلد 18، العدد 3.</w:t>
      </w:r>
    </w:p>
    <w:p w14:paraId="3F083956"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lang w:bidi="ar-EG"/>
        </w:rPr>
        <w:t>Jerome, R. N., Dunkel, L., Kennedy, N., Olson, E. J., Pulley, J. M., Bernard, G., ... &amp; Harris, P. A. (2019). To end disease tomorrow, begin with trials today: digital strategies for increased awareness of a clinical trials finder. Journal of Clinical and Translational Science, 3(4), 190-198</w:t>
      </w:r>
      <w:r w:rsidRPr="007C1AB5">
        <w:rPr>
          <w:rFonts w:asciiTheme="majorBidi" w:hAnsiTheme="majorBidi" w:cstheme="majorBidi"/>
          <w:b/>
          <w:bCs/>
          <w:sz w:val="28"/>
          <w:szCs w:val="28"/>
          <w:rtl/>
          <w:lang w:bidi="ar-EG"/>
        </w:rPr>
        <w:t>.‏</w:t>
      </w:r>
    </w:p>
    <w:p w14:paraId="398C6365"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دربال کريمة (2018)، دور الحملات الإعلامية التوعوية في نشر ثقافة الکشف المبکرعن سرطان الثدي، رسالة ماجستير، الجزائر، جامعة الدکتور مولاي الطاهر، کلية العلوم الإجتماعية والإنسانية، قسم الإعلام والإتصال.</w:t>
      </w:r>
    </w:p>
    <w:p w14:paraId="59CDFAA6"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نوال إسماعيل (2018)، الأسس والقواعد الدولية لمنهجية الإعلام، ط1، القاهرة: دار العلم والإيمان للنشر والتوزيع.</w:t>
      </w:r>
    </w:p>
    <w:p w14:paraId="4E158DCB"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مازن جبار (2018)، دور مواقع التواصل الاجتماعي في توجيه الرأي العام العراقي نحو المشارکة السياسية، رسالة ماجستير غير منشورة، جامعة الإسکندرية ، کلية الآداب، قسم الإجتماع.</w:t>
      </w:r>
    </w:p>
    <w:p w14:paraId="2BED7645"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حسين عمر الهاروشي (2017)، التعرض لوسائل الإعلام الرياضي ودوره في العوامل النفسية والأداء الرياضي، ط1، الجزائر: شرکة دار الأکاديميون للنشر والتوزيع.</w:t>
      </w:r>
    </w:p>
    <w:p w14:paraId="4FDF0085"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رفعت عارف الضبع (2017) الحملات الإعلامية، ط1، القاهرة: المکتب المصري للمطبوعات.</w:t>
      </w:r>
    </w:p>
    <w:p w14:paraId="3923C4C9"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علي حجازي (2017) الحملات الإعلامية وفن مخاطبة الجمهور،ط1،عمان: دار المعتز للنشر والتوزيع.</w:t>
      </w:r>
    </w:p>
    <w:p w14:paraId="2C411E06"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محسن الکناني، أحمد مهدي (2017)، التلفزيون وتعزيز الوعي الصحي، ط2، عمان: دار أمجد للنشر والتوزيع.</w:t>
      </w:r>
    </w:p>
    <w:p w14:paraId="59299F33"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lastRenderedPageBreak/>
        <w:t>سعد المشهداني (2017)، مناهج البحث الإعلامي، ط1، دولة الإمارات العربية المتحدة: دار الکتاب الجامعي، جامعة تکريت، کلية الآداب.</w:t>
      </w:r>
    </w:p>
    <w:p w14:paraId="2CCD4B42"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محسن الکناني، أحمد مهدي (2017)، التلفزيون وتعزيز الوعي الصحي، ط2، عمان: دار أمجد للنشر والتوزيع.</w:t>
      </w:r>
    </w:p>
    <w:p w14:paraId="5ACCF3BF"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عبدالغني الدغيمر، حنان فضل الله وآخرون (2016)، التواصل في حالة الأزمات الصحية: مدخل للمفاهيم الأساسية، المؤتمر الوطني الثالث للجمعية المغربية للتواصل الصحي، الجمعية المغربية للتواصل الصحي، کلية الطب والصيدلة بفاس 4-5 يونيو 2016،المجلة الصحية المغربية، العدد14.</w:t>
      </w:r>
    </w:p>
    <w:p w14:paraId="03AFDF40"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محمد شعيب (٢٠١٤)، الإدارة المعاصرة: لخدمات الإسکان ومکافحة العدوى والتدريب والتثقيف الصحي. ط١، القاهرة: دار النشر للجامعات.</w:t>
      </w:r>
    </w:p>
    <w:p w14:paraId="0D144D34"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عصام السعيد(2014)،استخدامات  شبکات التواصل الاجتماعي بجامعة بورسعيد  في دعم خدمات الإرشاد الجامعي رؤية مستقبلية, مجلة کلية التربية، جامعة المنصورة، مجلد 87، جزء 1.</w:t>
      </w:r>
    </w:p>
    <w:p w14:paraId="5EE28B25"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حسنين شفيق(2013), نظريات الإعلام وتطبيقاتها في دراسات الإعلام الجديد، ط1،القاهرة: دار فکر وفن للنشر.</w:t>
      </w:r>
    </w:p>
    <w:p w14:paraId="340100AE"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خالد غسان (2012), ثورة الشبکات الاجتماعية، ط1، دمشق: دار النفائس للنشر والتوزيع.</w:t>
      </w:r>
    </w:p>
    <w:p w14:paraId="2583DED1"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حسن مکاوي، ليلى السيد (2012) الاتصال ونظرياته المعاصرة، ط10، القاهرة: الدار المصرية اللبنانية.</w:t>
      </w:r>
    </w:p>
    <w:p w14:paraId="4F07B5F7"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القرني علي بن شويل (2011)، الإعلامالجديد:من الصحافةالتقليدية الى الإعلام الاجتماعي  و صحافة المواطن، ط1، الرياض: مطابع هلا شرکه  توزيع الجريسي.</w:t>
      </w:r>
    </w:p>
    <w:p w14:paraId="75DCADDA"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عايدة فضل الشعراوي (2006)، الإعلان والعلاقات العامة دراسة مقارنة، ط1، بيروت, الدار الجامعية.</w:t>
      </w:r>
    </w:p>
    <w:p w14:paraId="2E067E54" w14:textId="77777777" w:rsidR="000913DC" w:rsidRPr="007C1AB5" w:rsidRDefault="000913DC" w:rsidP="000913DC">
      <w:pPr>
        <w:spacing w:line="360" w:lineRule="auto"/>
        <w:jc w:val="both"/>
        <w:rPr>
          <w:rFonts w:asciiTheme="majorBidi" w:hAnsiTheme="majorBidi" w:cstheme="majorBidi"/>
          <w:b/>
          <w:bCs/>
          <w:sz w:val="28"/>
          <w:szCs w:val="28"/>
          <w:lang w:bidi="ar-EG"/>
        </w:rPr>
      </w:pPr>
      <w:r w:rsidRPr="007C1AB5">
        <w:rPr>
          <w:rFonts w:asciiTheme="majorBidi" w:hAnsiTheme="majorBidi" w:cstheme="majorBidi"/>
          <w:b/>
          <w:bCs/>
          <w:sz w:val="28"/>
          <w:szCs w:val="28"/>
          <w:rtl/>
          <w:lang w:bidi="ar-EG"/>
        </w:rPr>
        <w:t>قلاده</w:t>
      </w:r>
      <w:r w:rsidRPr="007C1AB5">
        <w:rPr>
          <w:rFonts w:asciiTheme="majorBidi" w:hAnsiTheme="majorBidi" w:cstheme="majorBidi"/>
          <w:b/>
          <w:bCs/>
          <w:sz w:val="28"/>
          <w:szCs w:val="28"/>
          <w:lang w:bidi="ar-EG"/>
        </w:rPr>
        <w:t xml:space="preserve">, &amp; </w:t>
      </w:r>
      <w:r w:rsidRPr="007C1AB5">
        <w:rPr>
          <w:rFonts w:asciiTheme="majorBidi" w:hAnsiTheme="majorBidi" w:cstheme="majorBidi"/>
          <w:b/>
          <w:bCs/>
          <w:sz w:val="28"/>
          <w:szCs w:val="28"/>
          <w:rtl/>
          <w:lang w:bidi="ar-EG"/>
        </w:rPr>
        <w:t>نرمين ملاك يونان. (2025). فاعلية برنامج تثقيف غذائي للوقاية من الأمراض المزمنة على السلوكيات الغذائية لطلاب الجامعة. مجلة البحوث في مجالات التربية النوعية, 11(56), 491-516</w:t>
      </w:r>
    </w:p>
    <w:p w14:paraId="4A293934"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lang w:bidi="ar-EG"/>
        </w:rPr>
        <w:t xml:space="preserve">. </w:t>
      </w:r>
      <w:r w:rsidRPr="007C1AB5">
        <w:rPr>
          <w:rFonts w:asciiTheme="majorBidi" w:hAnsiTheme="majorBidi" w:cstheme="majorBidi"/>
          <w:b/>
          <w:bCs/>
          <w:sz w:val="28"/>
          <w:szCs w:val="28"/>
          <w:rtl/>
          <w:lang w:bidi="ar-EG"/>
        </w:rPr>
        <w:t>السلمي, ع. ب. ر</w:t>
      </w:r>
      <w:r w:rsidRPr="007C1AB5">
        <w:rPr>
          <w:rFonts w:asciiTheme="majorBidi" w:hAnsiTheme="majorBidi" w:cstheme="majorBidi"/>
          <w:b/>
          <w:bCs/>
          <w:sz w:val="28"/>
          <w:szCs w:val="28"/>
          <w:lang w:bidi="ar-EG"/>
        </w:rPr>
        <w:t xml:space="preserve">., &amp; </w:t>
      </w:r>
      <w:r w:rsidRPr="007C1AB5">
        <w:rPr>
          <w:rFonts w:asciiTheme="majorBidi" w:hAnsiTheme="majorBidi" w:cstheme="majorBidi"/>
          <w:b/>
          <w:bCs/>
          <w:sz w:val="28"/>
          <w:szCs w:val="28"/>
          <w:rtl/>
          <w:lang w:bidi="ar-EG"/>
        </w:rPr>
        <w:t>عطيه بن رويبح. (2022). الوعي الاجتماعي ودوره في مواجهة بعض الامراض المزمنة دراسة وصفية على عينة من المرضى المصابين بالأمراض المزمنة بمستشفى جامعة الملک عبدالعزيز بجدة. المجلة العلمية بکلية الآداب, 2022(46), 596-634</w:t>
      </w:r>
      <w:r w:rsidRPr="007C1AB5">
        <w:rPr>
          <w:rFonts w:asciiTheme="majorBidi" w:hAnsiTheme="majorBidi" w:cstheme="majorBidi"/>
          <w:b/>
          <w:bCs/>
          <w:sz w:val="28"/>
          <w:szCs w:val="28"/>
          <w:lang w:bidi="ar-EG"/>
        </w:rPr>
        <w:t>.</w:t>
      </w:r>
    </w:p>
    <w:p w14:paraId="2A844DD1" w14:textId="77777777" w:rsidR="000913DC" w:rsidRPr="007C1AB5" w:rsidRDefault="000913DC" w:rsidP="000913DC">
      <w:pPr>
        <w:spacing w:line="360" w:lineRule="auto"/>
        <w:jc w:val="both"/>
        <w:rPr>
          <w:rFonts w:asciiTheme="majorBidi" w:hAnsiTheme="majorBidi" w:cstheme="majorBidi"/>
          <w:b/>
          <w:bCs/>
          <w:sz w:val="28"/>
          <w:szCs w:val="28"/>
          <w:lang w:bidi="ar-EG"/>
        </w:rPr>
      </w:pPr>
      <w:r w:rsidRPr="007C1AB5">
        <w:rPr>
          <w:rFonts w:asciiTheme="majorBidi" w:hAnsiTheme="majorBidi" w:cstheme="majorBidi"/>
          <w:b/>
          <w:bCs/>
          <w:sz w:val="28"/>
          <w:szCs w:val="28"/>
          <w:rtl/>
          <w:lang w:bidi="ar-EG"/>
        </w:rPr>
        <w:lastRenderedPageBreak/>
        <w:t>خيرت حمزة, ب. (2023). الاتصال الرقمي كآلية لتشكيل الرأي العام تجاه القضايا الصحية. مجلة کلية الآداب بالوادي الجديد, 9(17), 769-851</w:t>
      </w:r>
      <w:r w:rsidRPr="007C1AB5">
        <w:rPr>
          <w:rFonts w:asciiTheme="majorBidi" w:hAnsiTheme="majorBidi" w:cstheme="majorBidi"/>
          <w:b/>
          <w:bCs/>
          <w:sz w:val="28"/>
          <w:szCs w:val="28"/>
          <w:lang w:bidi="ar-EG"/>
        </w:rPr>
        <w:t>.</w:t>
      </w:r>
    </w:p>
    <w:p w14:paraId="30AA212B"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lang w:bidi="ar-EG"/>
        </w:rPr>
        <w:t xml:space="preserve"> </w:t>
      </w:r>
      <w:r w:rsidRPr="007C1AB5">
        <w:rPr>
          <w:rFonts w:asciiTheme="majorBidi" w:hAnsiTheme="majorBidi" w:cstheme="majorBidi"/>
          <w:b/>
          <w:bCs/>
          <w:sz w:val="28"/>
          <w:szCs w:val="28"/>
          <w:rtl/>
          <w:lang w:bidi="ar-EG"/>
        </w:rPr>
        <w:t>صبرة</w:t>
      </w:r>
      <w:r w:rsidRPr="007C1AB5">
        <w:rPr>
          <w:rFonts w:asciiTheme="majorBidi" w:hAnsiTheme="majorBidi" w:cstheme="majorBidi"/>
          <w:b/>
          <w:bCs/>
          <w:sz w:val="28"/>
          <w:szCs w:val="28"/>
          <w:lang w:bidi="ar-EG"/>
        </w:rPr>
        <w:t xml:space="preserve">, &amp; </w:t>
      </w:r>
      <w:r w:rsidRPr="007C1AB5">
        <w:rPr>
          <w:rFonts w:asciiTheme="majorBidi" w:hAnsiTheme="majorBidi" w:cstheme="majorBidi"/>
          <w:b/>
          <w:bCs/>
          <w:sz w:val="28"/>
          <w:szCs w:val="28"/>
          <w:rtl/>
          <w:lang w:bidi="ar-EG"/>
        </w:rPr>
        <w:t>واضحة أنور أحمد. (2024). تحليل بنية السرد وانعكاسه على القضايا الصحية في المواقع الإلكترونية التفاعلية (موقع انكفاضة أنموذجًا). المجلة العلمية لبحوث الإعلام و تکنولوجيا الإتصال, 16(16), 339-368</w:t>
      </w:r>
      <w:r w:rsidRPr="007C1AB5">
        <w:rPr>
          <w:rFonts w:asciiTheme="majorBidi" w:hAnsiTheme="majorBidi" w:cstheme="majorBidi"/>
          <w:b/>
          <w:bCs/>
          <w:sz w:val="28"/>
          <w:szCs w:val="28"/>
          <w:lang w:bidi="ar-EG"/>
        </w:rPr>
        <w:t xml:space="preserve">. </w:t>
      </w:r>
    </w:p>
    <w:p w14:paraId="09C74B16"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محمد, أحمد إبراهيم, غريب</w:t>
      </w:r>
      <w:r w:rsidRPr="007C1AB5">
        <w:rPr>
          <w:rFonts w:asciiTheme="majorBidi" w:hAnsiTheme="majorBidi" w:cstheme="majorBidi"/>
          <w:b/>
          <w:bCs/>
          <w:sz w:val="28"/>
          <w:szCs w:val="28"/>
          <w:lang w:bidi="ar-EG"/>
        </w:rPr>
        <w:t xml:space="preserve">, &amp; </w:t>
      </w:r>
      <w:r w:rsidRPr="007C1AB5">
        <w:rPr>
          <w:rFonts w:asciiTheme="majorBidi" w:hAnsiTheme="majorBidi" w:cstheme="majorBidi"/>
          <w:b/>
          <w:bCs/>
          <w:sz w:val="28"/>
          <w:szCs w:val="28"/>
          <w:rtl/>
          <w:lang w:bidi="ar-EG"/>
        </w:rPr>
        <w:t>هدير يحيي. (2023). اتجاهات الجمهور المصري لدور الحسابات الصحية الرسمية على شبكات التواصل الاجتماعي في التوعية بالقضايا الصحية وأساليب الوقاية من الامراض السائدة. المجلة المصرية لبحوث الرأى العام, 22(4), 635-663</w:t>
      </w:r>
      <w:r w:rsidRPr="007C1AB5">
        <w:rPr>
          <w:rFonts w:asciiTheme="majorBidi" w:hAnsiTheme="majorBidi" w:cstheme="majorBidi"/>
          <w:b/>
          <w:bCs/>
          <w:sz w:val="28"/>
          <w:szCs w:val="28"/>
          <w:lang w:bidi="ar-EG"/>
        </w:rPr>
        <w:t>.</w:t>
      </w:r>
    </w:p>
    <w:p w14:paraId="3D984403"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lang w:bidi="ar-EG"/>
        </w:rPr>
        <w:t xml:space="preserve"> </w:t>
      </w:r>
      <w:r w:rsidRPr="007C1AB5">
        <w:rPr>
          <w:rFonts w:asciiTheme="majorBidi" w:hAnsiTheme="majorBidi" w:cstheme="majorBidi"/>
          <w:b/>
          <w:bCs/>
          <w:sz w:val="28"/>
          <w:szCs w:val="28"/>
          <w:rtl/>
          <w:lang w:bidi="ar-EG"/>
        </w:rPr>
        <w:t>علواني, عومار, عرعار</w:t>
      </w:r>
      <w:r w:rsidRPr="007C1AB5">
        <w:rPr>
          <w:rFonts w:asciiTheme="majorBidi" w:hAnsiTheme="majorBidi" w:cstheme="majorBidi"/>
          <w:b/>
          <w:bCs/>
          <w:sz w:val="28"/>
          <w:szCs w:val="28"/>
          <w:lang w:bidi="ar-EG"/>
        </w:rPr>
        <w:t xml:space="preserve">, &amp; </w:t>
      </w:r>
      <w:r w:rsidRPr="007C1AB5">
        <w:rPr>
          <w:rFonts w:asciiTheme="majorBidi" w:hAnsiTheme="majorBidi" w:cstheme="majorBidi"/>
          <w:b/>
          <w:bCs/>
          <w:sz w:val="28"/>
          <w:szCs w:val="28"/>
          <w:rtl/>
          <w:lang w:bidi="ar-EG"/>
        </w:rPr>
        <w:t>أنس. (2024). الثقافة الصحية ودورها في الحد من تفشي الأمراض المزمنة وسبل الوقاية منها: دراسة أنثروبولوجية</w:t>
      </w:r>
      <w:r w:rsidRPr="007C1AB5">
        <w:rPr>
          <w:rFonts w:asciiTheme="majorBidi" w:hAnsiTheme="majorBidi" w:cstheme="majorBidi"/>
          <w:b/>
          <w:bCs/>
          <w:sz w:val="28"/>
          <w:szCs w:val="28"/>
          <w:lang w:bidi="ar-EG"/>
        </w:rPr>
        <w:t xml:space="preserve"> Health culture and its role in reducing the spread of chronic diseases and ways to prevent them anthropolojicol stady. </w:t>
      </w:r>
      <w:r w:rsidRPr="007C1AB5">
        <w:rPr>
          <w:rFonts w:asciiTheme="majorBidi" w:hAnsiTheme="majorBidi" w:cstheme="majorBidi"/>
          <w:b/>
          <w:bCs/>
          <w:sz w:val="28"/>
          <w:szCs w:val="28"/>
          <w:rtl/>
          <w:lang w:bidi="ar-EG"/>
        </w:rPr>
        <w:t>أنثروبولوجيا, 10(1), 133-144</w:t>
      </w:r>
      <w:r w:rsidRPr="007C1AB5">
        <w:rPr>
          <w:rFonts w:asciiTheme="majorBidi" w:hAnsiTheme="majorBidi" w:cstheme="majorBidi"/>
          <w:b/>
          <w:bCs/>
          <w:sz w:val="28"/>
          <w:szCs w:val="28"/>
          <w:lang w:bidi="ar-EG"/>
        </w:rPr>
        <w:t>.</w:t>
      </w:r>
    </w:p>
    <w:p w14:paraId="157609B3"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المنسى, سمر توكل عرفه معوض, اسماعيل, محمودحسن, صقر, غادة موسى إبراهيم</w:t>
      </w:r>
      <w:r w:rsidRPr="007C1AB5">
        <w:rPr>
          <w:rFonts w:asciiTheme="majorBidi" w:hAnsiTheme="majorBidi" w:cstheme="majorBidi"/>
          <w:b/>
          <w:bCs/>
          <w:sz w:val="28"/>
          <w:szCs w:val="28"/>
          <w:lang w:bidi="ar-EG"/>
        </w:rPr>
        <w:t xml:space="preserve">, ... &amp; </w:t>
      </w:r>
      <w:r w:rsidRPr="007C1AB5">
        <w:rPr>
          <w:rFonts w:asciiTheme="majorBidi" w:hAnsiTheme="majorBidi" w:cstheme="majorBidi"/>
          <w:b/>
          <w:bCs/>
          <w:sz w:val="28"/>
          <w:szCs w:val="28"/>
          <w:rtl/>
          <w:lang w:bidi="ar-EG"/>
        </w:rPr>
        <w:t>ماجدة أبوالفتوح محمد. (2025). الحملات الصحية الرئاسية بوسائل الإعلام الجديد ومعالجتها إعلامياً</w:t>
      </w:r>
      <w:r w:rsidRPr="007C1AB5">
        <w:rPr>
          <w:rFonts w:asciiTheme="majorBidi" w:hAnsiTheme="majorBidi" w:cstheme="majorBidi"/>
          <w:b/>
          <w:bCs/>
          <w:sz w:val="28"/>
          <w:szCs w:val="28"/>
          <w:lang w:bidi="ar-EG"/>
        </w:rPr>
        <w:t>. </w:t>
      </w:r>
    </w:p>
    <w:p w14:paraId="6C5ECD00"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t>أبو زيد, معزة آدم أحمد, عبد الله</w:t>
      </w:r>
      <w:r w:rsidRPr="007C1AB5">
        <w:rPr>
          <w:rFonts w:asciiTheme="majorBidi" w:hAnsiTheme="majorBidi" w:cstheme="majorBidi"/>
          <w:b/>
          <w:bCs/>
          <w:sz w:val="28"/>
          <w:szCs w:val="28"/>
          <w:lang w:bidi="ar-EG"/>
        </w:rPr>
        <w:t xml:space="preserve">, &amp; </w:t>
      </w:r>
      <w:r w:rsidRPr="007C1AB5">
        <w:rPr>
          <w:rFonts w:asciiTheme="majorBidi" w:hAnsiTheme="majorBidi" w:cstheme="majorBidi"/>
          <w:b/>
          <w:bCs/>
          <w:sz w:val="28"/>
          <w:szCs w:val="28"/>
          <w:rtl/>
          <w:lang w:bidi="ar-EG"/>
        </w:rPr>
        <w:t>هبه محمد إسماعيل. (2022). الشائعات الالکترونية وتأثيرها على الوضع الصحي في السودان فيروس کورونا المعدي (کوفيد 19) أنموذجاً (دراسة على مستخدمي شبکات التواصل الاجتماعي)</w:t>
      </w:r>
      <w:r w:rsidRPr="007C1AB5">
        <w:rPr>
          <w:rFonts w:asciiTheme="majorBidi" w:hAnsiTheme="majorBidi" w:cstheme="majorBidi"/>
          <w:b/>
          <w:bCs/>
          <w:sz w:val="28"/>
          <w:szCs w:val="28"/>
          <w:lang w:bidi="ar-EG"/>
        </w:rPr>
        <w:t>.</w:t>
      </w:r>
    </w:p>
    <w:p w14:paraId="0BEB62F4" w14:textId="77777777" w:rsidR="000913DC" w:rsidRPr="007C1AB5" w:rsidRDefault="000913DC" w:rsidP="000913DC">
      <w:pPr>
        <w:spacing w:line="360" w:lineRule="auto"/>
        <w:jc w:val="both"/>
        <w:rPr>
          <w:rFonts w:asciiTheme="majorBidi" w:hAnsiTheme="majorBidi" w:cstheme="majorBidi"/>
          <w:b/>
          <w:bCs/>
          <w:sz w:val="28"/>
          <w:szCs w:val="28"/>
          <w:rtl/>
          <w:lang w:bidi="ar-EG"/>
        </w:rPr>
      </w:pPr>
      <w:r w:rsidRPr="007C1AB5">
        <w:rPr>
          <w:rFonts w:asciiTheme="majorBidi" w:hAnsiTheme="majorBidi" w:cstheme="majorBidi"/>
          <w:b/>
          <w:bCs/>
          <w:sz w:val="28"/>
          <w:szCs w:val="28"/>
          <w:lang w:bidi="ar-EG"/>
        </w:rPr>
        <w:t xml:space="preserve"> (Education, P., &amp; Education, S. " </w:t>
      </w:r>
      <w:r w:rsidRPr="007C1AB5">
        <w:rPr>
          <w:rFonts w:asciiTheme="majorBidi" w:hAnsiTheme="majorBidi" w:cstheme="majorBidi"/>
          <w:b/>
          <w:bCs/>
          <w:sz w:val="28"/>
          <w:szCs w:val="28"/>
          <w:rtl/>
          <w:lang w:bidi="ar-EG"/>
        </w:rPr>
        <w:t xml:space="preserve"> (2023) تقديم المعلومات الصحية حل جائحة کورونا عبر وسائل التواصل الاجتماعى وتأثيراتها الاجتماعية</w:t>
      </w:r>
      <w:r w:rsidRPr="007C1AB5">
        <w:rPr>
          <w:rFonts w:asciiTheme="majorBidi" w:hAnsiTheme="majorBidi" w:cstheme="majorBidi"/>
          <w:b/>
          <w:bCs/>
          <w:sz w:val="28"/>
          <w:szCs w:val="28"/>
          <w:lang w:bidi="ar-EG"/>
        </w:rPr>
        <w:t>.</w:t>
      </w:r>
    </w:p>
    <w:p w14:paraId="603FD7F8" w14:textId="77777777" w:rsidR="000913DC" w:rsidRPr="007C1AB5" w:rsidRDefault="000913DC" w:rsidP="000913DC">
      <w:pPr>
        <w:bidi w:val="0"/>
        <w:spacing w:line="360" w:lineRule="auto"/>
        <w:jc w:val="both"/>
        <w:rPr>
          <w:rFonts w:asciiTheme="majorBidi" w:hAnsiTheme="majorBidi" w:cstheme="majorBidi"/>
          <w:b/>
          <w:bCs/>
          <w:sz w:val="28"/>
          <w:szCs w:val="28"/>
          <w:lang w:bidi="ar-EG"/>
        </w:rPr>
      </w:pPr>
      <w:r w:rsidRPr="007C1AB5">
        <w:rPr>
          <w:rFonts w:asciiTheme="majorBidi" w:hAnsiTheme="majorBidi" w:cstheme="majorBidi"/>
          <w:b/>
          <w:bCs/>
          <w:sz w:val="28"/>
          <w:szCs w:val="28"/>
          <w:lang w:bidi="ar-EG"/>
        </w:rPr>
        <w:t>Fundoiano-Hershcovitz, Y., Feniger, E., Dar, S., Ritholz, M., Schorr, A. B., &amp; Goldstein, P. (2021). Digital Therapeutics for Type 2 Diabetes: Incorporating Coaching Support and Validating Digital Monitoring. Journal of diabetes science and technology, 15(5), 1188-1189</w:t>
      </w:r>
      <w:r w:rsidRPr="007C1AB5">
        <w:rPr>
          <w:rFonts w:asciiTheme="majorBidi" w:hAnsiTheme="majorBidi" w:cstheme="majorBidi"/>
          <w:b/>
          <w:bCs/>
          <w:sz w:val="28"/>
          <w:szCs w:val="28"/>
          <w:rtl/>
          <w:lang w:bidi="ar-EG"/>
        </w:rPr>
        <w:t>.‏</w:t>
      </w:r>
    </w:p>
    <w:p w14:paraId="3813A70C" w14:textId="39007273" w:rsidR="004A17C0" w:rsidRPr="007C1AB5" w:rsidRDefault="004A17C0" w:rsidP="0008625B">
      <w:pPr>
        <w:spacing w:line="360" w:lineRule="auto"/>
        <w:rPr>
          <w:rFonts w:asciiTheme="majorBidi" w:hAnsiTheme="majorBidi" w:cstheme="majorBidi"/>
          <w:b/>
          <w:bCs/>
          <w:sz w:val="28"/>
          <w:szCs w:val="28"/>
          <w:rtl/>
          <w:lang w:bidi="ar-EG"/>
        </w:rPr>
      </w:pPr>
    </w:p>
    <w:p w14:paraId="4764E237" w14:textId="77777777" w:rsidR="007C1AB5" w:rsidRPr="007C1AB5" w:rsidRDefault="007C1AB5" w:rsidP="007C1AB5">
      <w:pPr>
        <w:numPr>
          <w:ilvl w:val="0"/>
          <w:numId w:val="5"/>
        </w:numPr>
        <w:spacing w:line="360" w:lineRule="auto"/>
        <w:rPr>
          <w:rFonts w:asciiTheme="majorBidi" w:hAnsiTheme="majorBidi" w:cstheme="majorBidi"/>
          <w:b/>
          <w:bCs/>
          <w:sz w:val="28"/>
          <w:szCs w:val="28"/>
          <w:rtl/>
          <w:lang w:bidi="ar-EG"/>
        </w:rPr>
      </w:pPr>
      <w:r w:rsidRPr="007C1AB5">
        <w:rPr>
          <w:rFonts w:asciiTheme="majorBidi" w:hAnsiTheme="majorBidi" w:cstheme="majorBidi"/>
          <w:b/>
          <w:bCs/>
          <w:sz w:val="28"/>
          <w:szCs w:val="28"/>
          <w:rtl/>
          <w:lang w:bidi="ar-EG"/>
        </w:rPr>
        <w:lastRenderedPageBreak/>
        <w:t>عايدة فضل الشعراوي (2006)، الإعلان والعلاقات العامة دراسة مقارنة، ط1، بيروت, الدار الجامعية.</w:t>
      </w:r>
    </w:p>
    <w:p w14:paraId="04473D70" w14:textId="77777777" w:rsidR="007C1AB5" w:rsidRPr="007C1AB5" w:rsidRDefault="007C1AB5" w:rsidP="007C1AB5">
      <w:pPr>
        <w:numPr>
          <w:ilvl w:val="0"/>
          <w:numId w:val="5"/>
        </w:numPr>
        <w:spacing w:line="360" w:lineRule="auto"/>
        <w:rPr>
          <w:rFonts w:asciiTheme="majorBidi" w:hAnsiTheme="majorBidi" w:cstheme="majorBidi"/>
          <w:b/>
          <w:bCs/>
          <w:sz w:val="28"/>
          <w:szCs w:val="28"/>
          <w:lang w:bidi="ar-EG"/>
        </w:rPr>
      </w:pPr>
      <w:r w:rsidRPr="007C1AB5">
        <w:rPr>
          <w:rFonts w:asciiTheme="majorBidi" w:hAnsiTheme="majorBidi" w:cstheme="majorBidi"/>
          <w:b/>
          <w:bCs/>
          <w:sz w:val="28"/>
          <w:szCs w:val="28"/>
          <w:rtl/>
          <w:lang w:bidi="ar-EG"/>
        </w:rPr>
        <w:t>قلاده</w:t>
      </w:r>
      <w:r w:rsidRPr="007C1AB5">
        <w:rPr>
          <w:rFonts w:asciiTheme="majorBidi" w:hAnsiTheme="majorBidi" w:cstheme="majorBidi"/>
          <w:b/>
          <w:bCs/>
          <w:sz w:val="28"/>
          <w:szCs w:val="28"/>
          <w:lang w:bidi="ar-EG"/>
        </w:rPr>
        <w:t xml:space="preserve">, &amp; </w:t>
      </w:r>
      <w:r w:rsidRPr="007C1AB5">
        <w:rPr>
          <w:rFonts w:asciiTheme="majorBidi" w:hAnsiTheme="majorBidi" w:cstheme="majorBidi"/>
          <w:b/>
          <w:bCs/>
          <w:sz w:val="28"/>
          <w:szCs w:val="28"/>
          <w:rtl/>
          <w:lang w:bidi="ar-EG"/>
        </w:rPr>
        <w:t>نرمين ملاك يونان. (2025). فاعلية برنامج تثقيف غذائي للوقاية من الأمراض المزمنة على السلوكيات الغذائية لطلاب الجامعة. مجلة البحوث في مجالات التربية النوعية, 11(56), 491-516</w:t>
      </w:r>
    </w:p>
    <w:p w14:paraId="3C0CA2EA" w14:textId="77777777" w:rsidR="007C1AB5" w:rsidRPr="007C1AB5" w:rsidRDefault="007C1AB5" w:rsidP="007C1AB5">
      <w:pPr>
        <w:numPr>
          <w:ilvl w:val="0"/>
          <w:numId w:val="5"/>
        </w:numPr>
        <w:spacing w:line="360" w:lineRule="auto"/>
        <w:rPr>
          <w:rFonts w:asciiTheme="majorBidi" w:hAnsiTheme="majorBidi" w:cstheme="majorBidi"/>
          <w:b/>
          <w:bCs/>
          <w:sz w:val="28"/>
          <w:szCs w:val="28"/>
          <w:rtl/>
          <w:lang w:bidi="ar-EG"/>
        </w:rPr>
      </w:pPr>
      <w:r w:rsidRPr="007C1AB5">
        <w:rPr>
          <w:rFonts w:asciiTheme="majorBidi" w:hAnsiTheme="majorBidi" w:cstheme="majorBidi"/>
          <w:b/>
          <w:bCs/>
          <w:sz w:val="28"/>
          <w:szCs w:val="28"/>
          <w:lang w:bidi="ar-EG"/>
        </w:rPr>
        <w:t xml:space="preserve">. </w:t>
      </w:r>
      <w:r w:rsidRPr="007C1AB5">
        <w:rPr>
          <w:rFonts w:asciiTheme="majorBidi" w:hAnsiTheme="majorBidi" w:cstheme="majorBidi"/>
          <w:b/>
          <w:bCs/>
          <w:sz w:val="28"/>
          <w:szCs w:val="28"/>
          <w:rtl/>
          <w:lang w:bidi="ar-EG"/>
        </w:rPr>
        <w:t>السلمي, ع. ب. ر</w:t>
      </w:r>
      <w:r w:rsidRPr="007C1AB5">
        <w:rPr>
          <w:rFonts w:asciiTheme="majorBidi" w:hAnsiTheme="majorBidi" w:cstheme="majorBidi"/>
          <w:b/>
          <w:bCs/>
          <w:sz w:val="28"/>
          <w:szCs w:val="28"/>
          <w:lang w:bidi="ar-EG"/>
        </w:rPr>
        <w:t xml:space="preserve">., &amp; </w:t>
      </w:r>
      <w:r w:rsidRPr="007C1AB5">
        <w:rPr>
          <w:rFonts w:asciiTheme="majorBidi" w:hAnsiTheme="majorBidi" w:cstheme="majorBidi"/>
          <w:b/>
          <w:bCs/>
          <w:sz w:val="28"/>
          <w:szCs w:val="28"/>
          <w:rtl/>
          <w:lang w:bidi="ar-EG"/>
        </w:rPr>
        <w:t>عطيه بن رويبح. (2022). الوعي الاجتماعي ودوره في مواجهة بعض الامراض المزمنة دراسة وصفية على عينة من المرضى المصابين بالأمراض المزمنة بمستشفى جامعة الملک عبدالعزيز بجدة. المجلة العلمية بکلية الآداب, 2022(46), 596-634</w:t>
      </w:r>
      <w:r w:rsidRPr="007C1AB5">
        <w:rPr>
          <w:rFonts w:asciiTheme="majorBidi" w:hAnsiTheme="majorBidi" w:cstheme="majorBidi"/>
          <w:b/>
          <w:bCs/>
          <w:sz w:val="28"/>
          <w:szCs w:val="28"/>
          <w:lang w:bidi="ar-EG"/>
        </w:rPr>
        <w:t>.</w:t>
      </w:r>
    </w:p>
    <w:p w14:paraId="4BD2D1CF" w14:textId="77777777" w:rsidR="007C1AB5" w:rsidRPr="007C1AB5" w:rsidRDefault="007C1AB5" w:rsidP="007C1AB5">
      <w:pPr>
        <w:numPr>
          <w:ilvl w:val="0"/>
          <w:numId w:val="5"/>
        </w:numPr>
        <w:spacing w:line="360" w:lineRule="auto"/>
        <w:rPr>
          <w:rFonts w:asciiTheme="majorBidi" w:hAnsiTheme="majorBidi" w:cstheme="majorBidi"/>
          <w:b/>
          <w:bCs/>
          <w:sz w:val="28"/>
          <w:szCs w:val="28"/>
          <w:lang w:bidi="ar-EG"/>
        </w:rPr>
      </w:pPr>
      <w:r w:rsidRPr="007C1AB5">
        <w:rPr>
          <w:rFonts w:asciiTheme="majorBidi" w:hAnsiTheme="majorBidi" w:cstheme="majorBidi"/>
          <w:b/>
          <w:bCs/>
          <w:sz w:val="28"/>
          <w:szCs w:val="28"/>
          <w:rtl/>
          <w:lang w:bidi="ar-EG"/>
        </w:rPr>
        <w:t>خيرت حمزة, ب. (2023). الاتصال الرقمي كآلية لتشكيل الرأي العام تجاه القضايا الصحية. مجلة کلية الآداب بالوادي الجديد, 9(17), 769-851</w:t>
      </w:r>
      <w:r w:rsidRPr="007C1AB5">
        <w:rPr>
          <w:rFonts w:asciiTheme="majorBidi" w:hAnsiTheme="majorBidi" w:cstheme="majorBidi"/>
          <w:b/>
          <w:bCs/>
          <w:sz w:val="28"/>
          <w:szCs w:val="28"/>
          <w:lang w:bidi="ar-EG"/>
        </w:rPr>
        <w:t>.</w:t>
      </w:r>
    </w:p>
    <w:p w14:paraId="71C7D421" w14:textId="474A0ADD" w:rsidR="007C1AB5" w:rsidRPr="007C1AB5" w:rsidRDefault="007C1AB5" w:rsidP="007C1AB5">
      <w:pPr>
        <w:numPr>
          <w:ilvl w:val="0"/>
          <w:numId w:val="5"/>
        </w:numPr>
        <w:spacing w:line="360" w:lineRule="auto"/>
        <w:rPr>
          <w:rFonts w:asciiTheme="majorBidi" w:hAnsiTheme="majorBidi" w:cstheme="majorBidi"/>
          <w:b/>
          <w:bCs/>
          <w:sz w:val="28"/>
          <w:szCs w:val="28"/>
          <w:lang w:bidi="ar-EG"/>
        </w:rPr>
      </w:pPr>
      <w:r w:rsidRPr="007C1AB5">
        <w:rPr>
          <w:rFonts w:asciiTheme="majorBidi" w:hAnsiTheme="majorBidi" w:cstheme="majorBidi"/>
          <w:b/>
          <w:bCs/>
          <w:sz w:val="28"/>
          <w:szCs w:val="28"/>
          <w:rtl/>
          <w:lang w:bidi="ar-EG"/>
        </w:rPr>
        <w:t>صبرة</w:t>
      </w:r>
      <w:r w:rsidRPr="007C1AB5">
        <w:rPr>
          <w:rFonts w:asciiTheme="majorBidi" w:hAnsiTheme="majorBidi" w:cstheme="majorBidi"/>
          <w:b/>
          <w:bCs/>
          <w:sz w:val="28"/>
          <w:szCs w:val="28"/>
          <w:lang w:bidi="ar-EG"/>
        </w:rPr>
        <w:t xml:space="preserve">, &amp; </w:t>
      </w:r>
      <w:r w:rsidRPr="007C1AB5">
        <w:rPr>
          <w:rFonts w:asciiTheme="majorBidi" w:hAnsiTheme="majorBidi" w:cstheme="majorBidi"/>
          <w:b/>
          <w:bCs/>
          <w:sz w:val="28"/>
          <w:szCs w:val="28"/>
          <w:rtl/>
          <w:lang w:bidi="ar-EG"/>
        </w:rPr>
        <w:t>واضحة أنور أحمد. (2024). تحليل بنية السرد وانعكاسه على القضايا الصحية في المواقع الإلكترونية التفاعلية (موقع انكفاضة أنموذجًا). المجلة العلمية لبحوث الإعلام و تکنولوجيا الإتصال, 16(16), 339-368</w:t>
      </w:r>
      <w:r w:rsidRPr="007C1AB5">
        <w:rPr>
          <w:rFonts w:asciiTheme="majorBidi" w:hAnsiTheme="majorBidi" w:cstheme="majorBidi"/>
          <w:b/>
          <w:bCs/>
          <w:sz w:val="28"/>
          <w:szCs w:val="28"/>
          <w:lang w:bidi="ar-EG"/>
        </w:rPr>
        <w:t xml:space="preserve">. </w:t>
      </w:r>
    </w:p>
    <w:p w14:paraId="2F1B5A53" w14:textId="3239EA8B" w:rsidR="007C1AB5" w:rsidRDefault="007C1AB5" w:rsidP="0008625B">
      <w:pPr>
        <w:spacing w:line="360" w:lineRule="auto"/>
        <w:rPr>
          <w:rFonts w:asciiTheme="majorBidi" w:hAnsiTheme="majorBidi" w:cstheme="majorBidi"/>
          <w:sz w:val="28"/>
          <w:szCs w:val="28"/>
        </w:rPr>
      </w:pPr>
    </w:p>
    <w:p w14:paraId="2ED1E99A" w14:textId="77777777" w:rsidR="00DE72A3" w:rsidRDefault="00DE72A3" w:rsidP="0008625B">
      <w:pPr>
        <w:spacing w:line="360" w:lineRule="auto"/>
        <w:rPr>
          <w:rFonts w:asciiTheme="majorBidi" w:hAnsiTheme="majorBidi" w:cstheme="majorBidi"/>
          <w:sz w:val="28"/>
          <w:szCs w:val="28"/>
        </w:rPr>
      </w:pPr>
    </w:p>
    <w:p w14:paraId="137CF028" w14:textId="77777777" w:rsidR="00DE72A3" w:rsidRDefault="00DE72A3" w:rsidP="0008625B">
      <w:pPr>
        <w:spacing w:line="360" w:lineRule="auto"/>
        <w:rPr>
          <w:rFonts w:asciiTheme="majorBidi" w:hAnsiTheme="majorBidi" w:cstheme="majorBidi"/>
          <w:sz w:val="28"/>
          <w:szCs w:val="28"/>
        </w:rPr>
      </w:pPr>
    </w:p>
    <w:p w14:paraId="50476703" w14:textId="77777777" w:rsidR="00DE72A3" w:rsidRDefault="00DE72A3" w:rsidP="0008625B">
      <w:pPr>
        <w:spacing w:line="360" w:lineRule="auto"/>
        <w:rPr>
          <w:rFonts w:asciiTheme="majorBidi" w:hAnsiTheme="majorBidi" w:cstheme="majorBidi"/>
          <w:sz w:val="28"/>
          <w:szCs w:val="28"/>
        </w:rPr>
      </w:pPr>
    </w:p>
    <w:p w14:paraId="0122CEBB" w14:textId="77777777" w:rsidR="00DE72A3" w:rsidRDefault="00DE72A3" w:rsidP="0008625B">
      <w:pPr>
        <w:spacing w:line="360" w:lineRule="auto"/>
        <w:rPr>
          <w:rFonts w:asciiTheme="majorBidi" w:hAnsiTheme="majorBidi" w:cstheme="majorBidi"/>
          <w:sz w:val="28"/>
          <w:szCs w:val="28"/>
        </w:rPr>
      </w:pPr>
    </w:p>
    <w:p w14:paraId="4CD0206E" w14:textId="77777777" w:rsidR="00DE72A3" w:rsidRDefault="00DE72A3" w:rsidP="0008625B">
      <w:pPr>
        <w:spacing w:line="360" w:lineRule="auto"/>
        <w:rPr>
          <w:rFonts w:asciiTheme="majorBidi" w:hAnsiTheme="majorBidi" w:cstheme="majorBidi"/>
          <w:sz w:val="28"/>
          <w:szCs w:val="28"/>
        </w:rPr>
      </w:pPr>
    </w:p>
    <w:p w14:paraId="26483D72" w14:textId="77777777" w:rsidR="00DE72A3" w:rsidRDefault="00DE72A3" w:rsidP="0008625B">
      <w:pPr>
        <w:spacing w:line="360" w:lineRule="auto"/>
        <w:rPr>
          <w:rFonts w:asciiTheme="majorBidi" w:hAnsiTheme="majorBidi" w:cstheme="majorBidi"/>
          <w:sz w:val="28"/>
          <w:szCs w:val="28"/>
        </w:rPr>
      </w:pPr>
    </w:p>
    <w:p w14:paraId="4CF4EA00" w14:textId="77777777" w:rsidR="00DE72A3" w:rsidRDefault="00DE72A3" w:rsidP="0008625B">
      <w:pPr>
        <w:spacing w:line="360" w:lineRule="auto"/>
        <w:rPr>
          <w:rFonts w:asciiTheme="majorBidi" w:hAnsiTheme="majorBidi" w:cstheme="majorBidi"/>
          <w:sz w:val="28"/>
          <w:szCs w:val="28"/>
        </w:rPr>
      </w:pPr>
    </w:p>
    <w:p w14:paraId="2B82E89D" w14:textId="77777777" w:rsidR="00DE72A3" w:rsidRDefault="00DE72A3" w:rsidP="0008625B">
      <w:pPr>
        <w:spacing w:line="360" w:lineRule="auto"/>
        <w:rPr>
          <w:rFonts w:asciiTheme="majorBidi" w:hAnsiTheme="majorBidi" w:cstheme="majorBidi"/>
          <w:sz w:val="28"/>
          <w:szCs w:val="28"/>
        </w:rPr>
      </w:pPr>
    </w:p>
    <w:p w14:paraId="422EA825" w14:textId="77777777" w:rsidR="00DE72A3" w:rsidRPr="007C1AB5" w:rsidRDefault="00DE72A3" w:rsidP="0008625B">
      <w:pPr>
        <w:spacing w:line="360" w:lineRule="auto"/>
        <w:rPr>
          <w:rFonts w:asciiTheme="majorBidi" w:hAnsiTheme="majorBidi" w:cstheme="majorBidi"/>
          <w:sz w:val="28"/>
          <w:szCs w:val="28"/>
          <w:rtl/>
        </w:rPr>
      </w:pPr>
    </w:p>
    <w:p w14:paraId="33591205" w14:textId="77C14615" w:rsidR="004A17C0" w:rsidRDefault="00DE72A3" w:rsidP="0008625B">
      <w:pPr>
        <w:spacing w:line="360" w:lineRule="auto"/>
        <w:rPr>
          <w:rFonts w:asciiTheme="majorBidi" w:hAnsiTheme="majorBidi" w:cstheme="majorBidi"/>
          <w:sz w:val="28"/>
          <w:szCs w:val="28"/>
          <w:rtl/>
        </w:rPr>
      </w:pPr>
      <w:r>
        <w:rPr>
          <w:rFonts w:asciiTheme="majorBidi" w:hAnsiTheme="majorBidi" w:cstheme="majorBidi"/>
          <w:noProof/>
          <w:sz w:val="28"/>
          <w:szCs w:val="28"/>
          <w:rtl/>
          <w:lang w:val="ar-EG" w:bidi="ar-EG"/>
        </w:rPr>
        <w:drawing>
          <wp:anchor distT="0" distB="0" distL="114300" distR="114300" simplePos="0" relativeHeight="251679744" behindDoc="0" locked="0" layoutInCell="1" allowOverlap="1" wp14:anchorId="751F67A6" wp14:editId="1AEEE861">
            <wp:simplePos x="0" y="0"/>
            <wp:positionH relativeFrom="column">
              <wp:posOffset>-438785</wp:posOffset>
            </wp:positionH>
            <wp:positionV relativeFrom="paragraph">
              <wp:posOffset>95365</wp:posOffset>
            </wp:positionV>
            <wp:extent cx="7094855" cy="4610100"/>
            <wp:effectExtent l="0" t="0" r="4445" b="0"/>
            <wp:wrapNone/>
            <wp:docPr id="520317863"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317863" name="صورة 520317863"/>
                    <pic:cNvPicPr/>
                  </pic:nvPicPr>
                  <pic:blipFill>
                    <a:blip r:embed="rId9">
                      <a:extLst>
                        <a:ext uri="{28A0092B-C50C-407E-A947-70E740481C1C}">
                          <a14:useLocalDpi xmlns:a14="http://schemas.microsoft.com/office/drawing/2010/main" val="0"/>
                        </a:ext>
                      </a:extLst>
                    </a:blip>
                    <a:stretch>
                      <a:fillRect/>
                    </a:stretch>
                  </pic:blipFill>
                  <pic:spPr>
                    <a:xfrm>
                      <a:off x="0" y="0"/>
                      <a:ext cx="7094855" cy="4610100"/>
                    </a:xfrm>
                    <a:prstGeom prst="rect">
                      <a:avLst/>
                    </a:prstGeom>
                  </pic:spPr>
                </pic:pic>
              </a:graphicData>
            </a:graphic>
            <wp14:sizeRelH relativeFrom="page">
              <wp14:pctWidth>0</wp14:pctWidth>
            </wp14:sizeRelH>
            <wp14:sizeRelV relativeFrom="page">
              <wp14:pctHeight>0</wp14:pctHeight>
            </wp14:sizeRelV>
          </wp:anchor>
        </w:drawing>
      </w:r>
    </w:p>
    <w:p w14:paraId="753F331D" w14:textId="5DA756FE" w:rsidR="004A17C0" w:rsidRDefault="004A17C0" w:rsidP="0008625B">
      <w:pPr>
        <w:spacing w:line="360" w:lineRule="auto"/>
        <w:rPr>
          <w:rFonts w:asciiTheme="majorBidi" w:hAnsiTheme="majorBidi" w:cstheme="majorBidi"/>
          <w:sz w:val="28"/>
          <w:szCs w:val="28"/>
          <w:rtl/>
        </w:rPr>
      </w:pPr>
    </w:p>
    <w:p w14:paraId="5C605406" w14:textId="771ECB6F" w:rsidR="007C1AB5" w:rsidRDefault="007C1AB5" w:rsidP="0008625B">
      <w:pPr>
        <w:spacing w:line="360" w:lineRule="auto"/>
        <w:rPr>
          <w:rFonts w:asciiTheme="majorBidi" w:hAnsiTheme="majorBidi" w:cstheme="majorBidi"/>
          <w:sz w:val="28"/>
          <w:szCs w:val="28"/>
          <w:rtl/>
        </w:rPr>
      </w:pPr>
    </w:p>
    <w:p w14:paraId="4E03C507" w14:textId="4CE7B8E8" w:rsidR="007C1AB5" w:rsidRDefault="007C1AB5" w:rsidP="0008625B">
      <w:pPr>
        <w:spacing w:line="360" w:lineRule="auto"/>
        <w:rPr>
          <w:rFonts w:asciiTheme="majorBidi" w:hAnsiTheme="majorBidi" w:cstheme="majorBidi"/>
          <w:sz w:val="28"/>
          <w:szCs w:val="28"/>
          <w:rtl/>
        </w:rPr>
      </w:pPr>
    </w:p>
    <w:p w14:paraId="03DAFA78" w14:textId="3D5CCCFF" w:rsidR="007C1AB5" w:rsidRDefault="007C1AB5" w:rsidP="0008625B">
      <w:pPr>
        <w:spacing w:line="360" w:lineRule="auto"/>
        <w:rPr>
          <w:rFonts w:asciiTheme="majorBidi" w:hAnsiTheme="majorBidi" w:cstheme="majorBidi"/>
          <w:sz w:val="28"/>
          <w:szCs w:val="28"/>
          <w:rtl/>
        </w:rPr>
      </w:pPr>
      <w:r>
        <w:rPr>
          <w:rFonts w:asciiTheme="majorBidi" w:hAnsiTheme="majorBidi" w:cstheme="majorBidi"/>
          <w:noProof/>
          <w:sz w:val="28"/>
          <w:szCs w:val="28"/>
          <w:rtl/>
          <w:lang w:val="ar-SA"/>
        </w:rPr>
        <mc:AlternateContent>
          <mc:Choice Requires="wps">
            <w:drawing>
              <wp:anchor distT="0" distB="0" distL="114300" distR="114300" simplePos="0" relativeHeight="251680768" behindDoc="0" locked="0" layoutInCell="1" allowOverlap="1" wp14:anchorId="4006452E" wp14:editId="3CEAA52E">
                <wp:simplePos x="0" y="0"/>
                <wp:positionH relativeFrom="column">
                  <wp:posOffset>1450594</wp:posOffset>
                </wp:positionH>
                <wp:positionV relativeFrom="paragraph">
                  <wp:posOffset>207264</wp:posOffset>
                </wp:positionV>
                <wp:extent cx="3243072" cy="999744"/>
                <wp:effectExtent l="0" t="0" r="0" b="0"/>
                <wp:wrapNone/>
                <wp:docPr id="1040942354" name="مربع نص 14"/>
                <wp:cNvGraphicFramePr/>
                <a:graphic xmlns:a="http://schemas.openxmlformats.org/drawingml/2006/main">
                  <a:graphicData uri="http://schemas.microsoft.com/office/word/2010/wordprocessingShape">
                    <wps:wsp>
                      <wps:cNvSpPr txBox="1"/>
                      <wps:spPr>
                        <a:xfrm>
                          <a:off x="0" y="0"/>
                          <a:ext cx="3243072" cy="999744"/>
                        </a:xfrm>
                        <a:prstGeom prst="rect">
                          <a:avLst/>
                        </a:prstGeom>
                        <a:noFill/>
                        <a:ln w="6350">
                          <a:noFill/>
                        </a:ln>
                      </wps:spPr>
                      <wps:txbx>
                        <w:txbxContent>
                          <w:p w14:paraId="6649124B" w14:textId="507AADB5" w:rsidR="007C1AB5" w:rsidRPr="007C1AB5" w:rsidRDefault="007C1AB5" w:rsidP="007C1AB5">
                            <w:pPr>
                              <w:jc w:val="center"/>
                              <w:rPr>
                                <w:b/>
                                <w:bCs/>
                                <w:sz w:val="32"/>
                                <w:szCs w:val="32"/>
                              </w:rPr>
                            </w:pPr>
                            <w:r w:rsidRPr="007C1AB5">
                              <w:rPr>
                                <w:rFonts w:hint="cs"/>
                                <w:b/>
                                <w:bCs/>
                                <w:color w:val="000000" w:themeColor="text1"/>
                                <w:sz w:val="32"/>
                                <w:szCs w:val="32"/>
                                <w:rtl/>
                              </w:rPr>
                              <w:t>النموذج المفاهيمي للدراسة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xmlns:w16cei="http://schemas.microsoft.com/office/word/2026/wordml/cei">
            <w:pict>
              <v:shape w14:anchorId="4006452E" id="مربع نص 14" o:spid="_x0000_s1031" type="#_x0000_t202" style="position:absolute;left:0;text-align:left;margin-left:114.2pt;margin-top:16.3pt;width:255.35pt;height:78.7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" filled="f" stroked="f" strokeweight=".5pt">
                <v:textbox>
                  <w:txbxContent>
                    <w:p w14:paraId="6649124B" w14:textId="507AADB5" w:rsidR="007C1AB5" w:rsidRPr="007C1AB5" w:rsidRDefault="007C1AB5" w:rsidP="007C1AB5">
                      <w:pPr>
                        <w:jc w:val="center"/>
                        <w:rPr>
                          <w:b/>
                          <w:bCs/>
                          <w:sz w:val="32"/>
                          <w:szCs w:val="32"/>
                        </w:rPr>
                      </w:pPr>
                      <w:r w:rsidRPr="007C1AB5">
                        <w:rPr>
                          <w:rFonts w:hint="cs"/>
                          <w:b/>
                          <w:bCs/>
                          <w:color w:val="000000" w:themeColor="text1"/>
                          <w:sz w:val="32"/>
                          <w:szCs w:val="32"/>
                          <w:rtl/>
                        </w:rPr>
                        <w:t>النموذج المفاهيمي للدراسة</w:t>
                      </w:r>
                    </w:p>
                  </w:txbxContent>
                </v:textbox>
              </v:shape>
            </w:pict>
          </mc:Fallback>
        </mc:AlternateContent>
      </w:r>
    </w:p>
    <w:p w14:paraId="6CD0207C" w14:textId="0B4D3452" w:rsidR="0043283E" w:rsidRPr="0043283E" w:rsidRDefault="0043283E" w:rsidP="007C1AB5">
      <w:pPr>
        <w:spacing w:line="360" w:lineRule="auto"/>
        <w:rPr>
          <w:b/>
          <w:bCs/>
          <w:sz w:val="28"/>
          <w:szCs w:val="28"/>
        </w:rPr>
      </w:pPr>
    </w:p>
    <w:p w14:paraId="74F70B8E" w14:textId="5476731A" w:rsidR="005D2EB9" w:rsidRPr="003B3A40" w:rsidRDefault="005D2EB9" w:rsidP="004A17C0">
      <w:pPr>
        <w:spacing w:line="360" w:lineRule="auto"/>
        <w:rPr>
          <w:rFonts w:asciiTheme="majorBidi" w:hAnsiTheme="majorBidi" w:cstheme="majorBidi"/>
          <w:sz w:val="28"/>
          <w:szCs w:val="28"/>
          <w:rtl/>
          <w:lang w:bidi="ar-EG"/>
        </w:rPr>
      </w:pPr>
    </w:p>
    <w:sectPr w:rsidR="005D2EB9" w:rsidRPr="003B3A40" w:rsidSect="00D708CB">
      <w:headerReference w:type="even" r:id="rId10"/>
      <w:headerReference w:type="default" r:id="rId11"/>
      <w:footerReference w:type="default" r:id="rId12"/>
      <w:headerReference w:type="firs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E86053E" w14:textId="77777777" w:rsidR="00F0304A" w:rsidRDefault="00F0304A" w:rsidP="00DD2DF5">
      <w:pPr>
        <w:spacing w:after="0" w:line="240" w:lineRule="auto"/>
      </w:pPr>
      <w:r>
        <w:separator/>
      </w:r>
    </w:p>
  </w:endnote>
  <w:endnote w:type="continuationSeparator" w:id="0">
    <w:p w14:paraId="6CE4DF6C" w14:textId="77777777" w:rsidR="00F0304A" w:rsidRDefault="00F0304A" w:rsidP="00DD2D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icrosoft Sans Serif">
    <w:altName w:val="Microsoft Sans Serif"/>
    <w:panose1 w:val="020B0604020202020204"/>
    <w:charset w:val="01"/>
    <w:family w:val="swiss"/>
    <w:pitch w:val="variable"/>
    <w:sig w:usb0="E1002AFF" w:usb1="C0000002" w:usb2="00000008" w:usb3="00000000" w:csb0="000101FF" w:csb1="00000000"/>
  </w:font>
  <w:font w:name="Sakkal Majalla">
    <w:panose1 w:val="02000000000000000000"/>
    <w:charset w:val="00"/>
    <w:family w:val="auto"/>
    <w:pitch w:val="variable"/>
    <w:sig w:usb0="A0002027" w:usb1="80000000" w:usb2="00000108" w:usb3="00000000" w:csb0="000000D3" w:csb1="00000000"/>
  </w:font>
  <w:font w:name="Beirut">
    <w:panose1 w:val="00000600000000000000"/>
    <w:charset w:val="B2"/>
    <w:family w:val="auto"/>
    <w:pitch w:val="variable"/>
    <w:sig w:usb0="00002003" w:usb1="00000000" w:usb2="00000000" w:usb3="00000000" w:csb0="00000041" w:csb1="00000000"/>
  </w:font>
  <w:font w:name="Sana">
    <w:panose1 w:val="00000400000000000000"/>
    <w:charset w:val="B2"/>
    <w:family w:val="auto"/>
    <w:pitch w:val="variable"/>
    <w:sig w:usb0="00002003" w:usb1="00000000" w:usb2="00000000" w:usb3="00000000" w:csb0="00000041"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tl/>
      </w:rPr>
      <w:id w:val="1928455129"/>
      <w:docPartObj>
        <w:docPartGallery w:val="Page Numbers (Bottom of Page)"/>
        <w:docPartUnique/>
      </w:docPartObj>
    </w:sdtPr>
    <w:sdtContent>
      <w:p w14:paraId="2B458BF8" w14:textId="0E6148E6" w:rsidR="00DD2DF5" w:rsidRDefault="00DD2DF5">
        <w:pPr>
          <w:pStyle w:val="a5"/>
          <w:jc w:val="center"/>
        </w:pPr>
        <w:r>
          <w:fldChar w:fldCharType="begin"/>
        </w:r>
        <w:r>
          <w:instrText xml:space="preserve"> PAGE   \* MERGEFORMAT </w:instrText>
        </w:r>
        <w:r>
          <w:fldChar w:fldCharType="separate"/>
        </w:r>
        <w:r w:rsidR="0027207E">
          <w:rPr>
            <w:noProof/>
            <w:rtl/>
          </w:rPr>
          <w:t>34</w:t>
        </w:r>
        <w:r>
          <w:rPr>
            <w:noProof/>
          </w:rPr>
          <w:fldChar w:fldCharType="end"/>
        </w:r>
      </w:p>
    </w:sdtContent>
  </w:sdt>
  <w:p w14:paraId="04A8F43E" w14:textId="77777777" w:rsidR="00DD2DF5" w:rsidRDefault="00DD2DF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DEBFE72" w14:textId="77777777" w:rsidR="00F0304A" w:rsidRDefault="00F0304A" w:rsidP="00DD2DF5">
      <w:pPr>
        <w:spacing w:after="0" w:line="240" w:lineRule="auto"/>
      </w:pPr>
      <w:r>
        <w:separator/>
      </w:r>
    </w:p>
  </w:footnote>
  <w:footnote w:type="continuationSeparator" w:id="0">
    <w:p w14:paraId="3F8F6B90" w14:textId="77777777" w:rsidR="00F0304A" w:rsidRDefault="00F0304A" w:rsidP="00DD2D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D2152C7" w14:textId="68730878" w:rsidR="003F26D4" w:rsidRDefault="00F0304A">
    <w:pPr>
      <w:pStyle w:val="a4"/>
    </w:pPr>
    <w:r>
      <w:rPr>
        <w:noProof/>
      </w:rPr>
      <w:pict w14:anchorId="47A82D0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41162237" o:spid="_x0000_s1027" type="#_x0000_t75" alt="" style="position:absolute;left:0;text-align:left;margin-left:0;margin-top:0;width:467.8pt;height:255.45pt;z-index:-251653120;mso-wrap-edited:f;mso-width-percent:0;mso-height-percent:0;mso-position-horizontal:center;mso-position-horizontal-relative:margin;mso-position-vertical:center;mso-position-vertical-relative:margin;mso-width-percent:0;mso-height-percent:0" o:allowincell="f">
          <v:imagedata r:id="rId1" o:title="WhatsApp Image 2026-07-06 at 4"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518B02C" w14:textId="2DFD238D" w:rsidR="003F26D4" w:rsidRDefault="00F0304A">
    <w:pPr>
      <w:pStyle w:val="a4"/>
    </w:pPr>
    <w:r>
      <w:rPr>
        <w:noProof/>
      </w:rPr>
      <w:pict w14:anchorId="41146F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41162238" o:spid="_x0000_s1026" type="#_x0000_t75" alt="" style="position:absolute;left:0;text-align:left;margin-left:0;margin-top:0;width:467.8pt;height:255.45pt;z-index:-251650048;mso-wrap-edited:f;mso-width-percent:0;mso-height-percent:0;mso-position-horizontal:center;mso-position-horizontal-relative:margin;mso-position-vertical:center;mso-position-vertical-relative:margin;mso-width-percent:0;mso-height-percent:0" o:allowincell="f">
          <v:imagedata r:id="rId1" o:title="WhatsApp Image 2026-07-06 at 4"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F18D360" w14:textId="0B5631C9" w:rsidR="003F26D4" w:rsidRDefault="00F0304A">
    <w:pPr>
      <w:pStyle w:val="a4"/>
    </w:pPr>
    <w:r>
      <w:rPr>
        <w:noProof/>
      </w:rPr>
      <w:pict w14:anchorId="02E721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41162236" o:spid="_x0000_s1025" type="#_x0000_t75" alt="" style="position:absolute;left:0;text-align:left;margin-left:0;margin-top:0;width:467.8pt;height:255.45pt;z-index:-251656192;mso-wrap-edited:f;mso-width-percent:0;mso-height-percent:0;mso-position-horizontal:center;mso-position-horizontal-relative:margin;mso-position-vertical:center;mso-position-vertical-relative:margin;mso-width-percent:0;mso-height-percent:0" o:allowincell="f">
          <v:imagedata r:id="rId1" o:title="WhatsApp Image 2026-07-06 at 4"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15311"/>
    <w:multiLevelType w:val="multilevel"/>
    <w:tmpl w:val="D41CB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28063B"/>
    <w:multiLevelType w:val="multilevel"/>
    <w:tmpl w:val="8AE282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9B6528"/>
    <w:multiLevelType w:val="multilevel"/>
    <w:tmpl w:val="ED30E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499119D"/>
    <w:multiLevelType w:val="multilevel"/>
    <w:tmpl w:val="C95A0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644043B"/>
    <w:multiLevelType w:val="multilevel"/>
    <w:tmpl w:val="0EDED1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F0058B"/>
    <w:multiLevelType w:val="hybridMultilevel"/>
    <w:tmpl w:val="0554CEAC"/>
    <w:lvl w:ilvl="0" w:tplc="C1323664">
      <w:start w:val="1"/>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9AF030B"/>
    <w:multiLevelType w:val="hybridMultilevel"/>
    <w:tmpl w:val="F574173E"/>
    <w:lvl w:ilvl="0" w:tplc="56BCC158">
      <w:start w:val="5"/>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DDD1F4A"/>
    <w:multiLevelType w:val="multilevel"/>
    <w:tmpl w:val="065C4B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3991E5B"/>
    <w:multiLevelType w:val="hybridMultilevel"/>
    <w:tmpl w:val="FFFAC108"/>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6927494A"/>
    <w:multiLevelType w:val="hybridMultilevel"/>
    <w:tmpl w:val="DC54F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8309915">
    <w:abstractNumId w:val="1"/>
  </w:num>
  <w:num w:numId="2" w16cid:durableId="102498948">
    <w:abstractNumId w:val="0"/>
  </w:num>
  <w:num w:numId="3" w16cid:durableId="406462590">
    <w:abstractNumId w:val="6"/>
  </w:num>
  <w:num w:numId="4" w16cid:durableId="364212196">
    <w:abstractNumId w:val="5"/>
  </w:num>
  <w:num w:numId="5" w16cid:durableId="1686440301">
    <w:abstractNumId w:val="9"/>
  </w:num>
  <w:num w:numId="6" w16cid:durableId="922490562">
    <w:abstractNumId w:val="2"/>
  </w:num>
  <w:num w:numId="7" w16cid:durableId="1496187197">
    <w:abstractNumId w:val="3"/>
  </w:num>
  <w:num w:numId="8" w16cid:durableId="2147048049">
    <w:abstractNumId w:val="8"/>
  </w:num>
  <w:num w:numId="9" w16cid:durableId="286938307">
    <w:abstractNumId w:val="7"/>
  </w:num>
  <w:num w:numId="10" w16cid:durableId="1050616146">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8"/>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4DB"/>
    <w:rsid w:val="000004FF"/>
    <w:rsid w:val="00022CE1"/>
    <w:rsid w:val="00046EB2"/>
    <w:rsid w:val="0005462C"/>
    <w:rsid w:val="00084510"/>
    <w:rsid w:val="0008625B"/>
    <w:rsid w:val="000913DC"/>
    <w:rsid w:val="000B6865"/>
    <w:rsid w:val="000B7DDA"/>
    <w:rsid w:val="000E5828"/>
    <w:rsid w:val="00146B44"/>
    <w:rsid w:val="00190B8F"/>
    <w:rsid w:val="001B2A6C"/>
    <w:rsid w:val="001E5E26"/>
    <w:rsid w:val="001E6B43"/>
    <w:rsid w:val="002406F9"/>
    <w:rsid w:val="0027207E"/>
    <w:rsid w:val="00280AE4"/>
    <w:rsid w:val="002C2CEB"/>
    <w:rsid w:val="002E7323"/>
    <w:rsid w:val="002F27E9"/>
    <w:rsid w:val="00306FA7"/>
    <w:rsid w:val="003171B3"/>
    <w:rsid w:val="003935BE"/>
    <w:rsid w:val="003B3A40"/>
    <w:rsid w:val="003D2698"/>
    <w:rsid w:val="003E5A43"/>
    <w:rsid w:val="003F26D4"/>
    <w:rsid w:val="004113EE"/>
    <w:rsid w:val="0043283E"/>
    <w:rsid w:val="004409EB"/>
    <w:rsid w:val="00466BD1"/>
    <w:rsid w:val="004A17C0"/>
    <w:rsid w:val="004A5514"/>
    <w:rsid w:val="004F40B2"/>
    <w:rsid w:val="004F63C9"/>
    <w:rsid w:val="00501AAA"/>
    <w:rsid w:val="00536A51"/>
    <w:rsid w:val="00542121"/>
    <w:rsid w:val="0055407F"/>
    <w:rsid w:val="00560C81"/>
    <w:rsid w:val="005C5866"/>
    <w:rsid w:val="005D2EB9"/>
    <w:rsid w:val="005F0DCE"/>
    <w:rsid w:val="006256DE"/>
    <w:rsid w:val="0063032B"/>
    <w:rsid w:val="006540F0"/>
    <w:rsid w:val="006A1BB3"/>
    <w:rsid w:val="006C0717"/>
    <w:rsid w:val="006D299F"/>
    <w:rsid w:val="006D57FD"/>
    <w:rsid w:val="006E5318"/>
    <w:rsid w:val="006F53A1"/>
    <w:rsid w:val="00700332"/>
    <w:rsid w:val="00744B65"/>
    <w:rsid w:val="007760DF"/>
    <w:rsid w:val="00785B06"/>
    <w:rsid w:val="007C1AB5"/>
    <w:rsid w:val="007D61E8"/>
    <w:rsid w:val="00811F10"/>
    <w:rsid w:val="00894C14"/>
    <w:rsid w:val="008C3433"/>
    <w:rsid w:val="00903949"/>
    <w:rsid w:val="00916091"/>
    <w:rsid w:val="00957DD7"/>
    <w:rsid w:val="00A20D77"/>
    <w:rsid w:val="00A35DFA"/>
    <w:rsid w:val="00A93A06"/>
    <w:rsid w:val="00B07343"/>
    <w:rsid w:val="00B31500"/>
    <w:rsid w:val="00B57028"/>
    <w:rsid w:val="00B92A76"/>
    <w:rsid w:val="00BD28C7"/>
    <w:rsid w:val="00BD7CB2"/>
    <w:rsid w:val="00BE1202"/>
    <w:rsid w:val="00BE4D43"/>
    <w:rsid w:val="00C23C63"/>
    <w:rsid w:val="00C36B56"/>
    <w:rsid w:val="00C61474"/>
    <w:rsid w:val="00CB79A7"/>
    <w:rsid w:val="00CD267B"/>
    <w:rsid w:val="00CF5434"/>
    <w:rsid w:val="00D14FCB"/>
    <w:rsid w:val="00D16A7C"/>
    <w:rsid w:val="00D520F6"/>
    <w:rsid w:val="00D5359B"/>
    <w:rsid w:val="00D54447"/>
    <w:rsid w:val="00D56879"/>
    <w:rsid w:val="00D56F05"/>
    <w:rsid w:val="00D708CB"/>
    <w:rsid w:val="00D74349"/>
    <w:rsid w:val="00DA1D4D"/>
    <w:rsid w:val="00DC7409"/>
    <w:rsid w:val="00DD2DF5"/>
    <w:rsid w:val="00DE72A3"/>
    <w:rsid w:val="00E03ECE"/>
    <w:rsid w:val="00EA4C39"/>
    <w:rsid w:val="00EB66D1"/>
    <w:rsid w:val="00F0304A"/>
    <w:rsid w:val="00F16976"/>
    <w:rsid w:val="00F23C74"/>
    <w:rsid w:val="00F43712"/>
    <w:rsid w:val="00F964DB"/>
    <w:rsid w:val="00FA4C2F"/>
    <w:rsid w:val="00FD274F"/>
    <w:rsid w:val="00FE5319"/>
    <w:rsid w:val="00FE7132"/>
    <w:rsid w:val="00FF21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055D2"/>
  <w15:chartTrackingRefBased/>
  <w15:docId w15:val="{DA8DE465-E9CE-426D-9BA6-0D3C0EEAA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31500"/>
  </w:style>
  <w:style w:type="paragraph" w:styleId="1">
    <w:name w:val="heading 1"/>
    <w:basedOn w:val="a"/>
    <w:next w:val="a"/>
    <w:link w:val="1Char"/>
    <w:uiPriority w:val="9"/>
    <w:qFormat/>
    <w:rsid w:val="00B31500"/>
    <w:pPr>
      <w:keepNext/>
      <w:keepLines/>
      <w:spacing w:before="480" w:after="0"/>
      <w:outlineLvl w:val="0"/>
    </w:pPr>
    <w:rPr>
      <w:rFonts w:asciiTheme="majorHAnsi" w:eastAsiaTheme="majorEastAsia" w:hAnsiTheme="majorHAnsi" w:cstheme="majorBidi"/>
      <w:b/>
      <w:bCs/>
      <w:color w:val="0F4761" w:themeColor="accent1" w:themeShade="BF"/>
      <w:sz w:val="28"/>
      <w:szCs w:val="28"/>
    </w:rPr>
  </w:style>
  <w:style w:type="paragraph" w:styleId="2">
    <w:name w:val="heading 2"/>
    <w:basedOn w:val="a"/>
    <w:next w:val="a"/>
    <w:link w:val="2Char"/>
    <w:uiPriority w:val="9"/>
    <w:semiHidden/>
    <w:unhideWhenUsed/>
    <w:qFormat/>
    <w:rsid w:val="00F964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F964DB"/>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F964DB"/>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F964DB"/>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F964D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964D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964D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964D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31500"/>
    <w:rPr>
      <w:rFonts w:asciiTheme="majorHAnsi" w:eastAsiaTheme="majorEastAsia" w:hAnsiTheme="majorHAnsi" w:cstheme="majorBidi"/>
      <w:b/>
      <w:bCs/>
      <w:color w:val="0F4761" w:themeColor="accent1" w:themeShade="BF"/>
      <w:sz w:val="28"/>
      <w:szCs w:val="28"/>
    </w:rPr>
  </w:style>
  <w:style w:type="paragraph" w:styleId="a3">
    <w:name w:val="footnote text"/>
    <w:basedOn w:val="a"/>
    <w:link w:val="Char"/>
    <w:autoRedefine/>
    <w:uiPriority w:val="99"/>
    <w:unhideWhenUsed/>
    <w:rsid w:val="00B31500"/>
    <w:pPr>
      <w:spacing w:after="0" w:line="240" w:lineRule="auto"/>
    </w:pPr>
    <w:rPr>
      <w:rFonts w:asciiTheme="majorBidi" w:eastAsiaTheme="majorEastAsia" w:hAnsiTheme="majorBidi" w:cstheme="majorBidi"/>
      <w:lang w:bidi="ar-EG"/>
    </w:rPr>
  </w:style>
  <w:style w:type="character" w:customStyle="1" w:styleId="Char">
    <w:name w:val="نص حاشية سفلية Char"/>
    <w:basedOn w:val="a0"/>
    <w:link w:val="a3"/>
    <w:uiPriority w:val="99"/>
    <w:rsid w:val="00B31500"/>
    <w:rPr>
      <w:rFonts w:asciiTheme="majorBidi" w:eastAsiaTheme="majorEastAsia" w:hAnsiTheme="majorBidi" w:cstheme="majorBidi"/>
      <w:lang w:bidi="ar-EG"/>
    </w:rPr>
  </w:style>
  <w:style w:type="paragraph" w:styleId="a4">
    <w:name w:val="header"/>
    <w:basedOn w:val="a"/>
    <w:link w:val="Char0"/>
    <w:uiPriority w:val="99"/>
    <w:unhideWhenUsed/>
    <w:rsid w:val="00B31500"/>
    <w:pPr>
      <w:tabs>
        <w:tab w:val="center" w:pos="4680"/>
        <w:tab w:val="right" w:pos="9360"/>
      </w:tabs>
      <w:spacing w:after="0" w:line="240" w:lineRule="auto"/>
    </w:pPr>
  </w:style>
  <w:style w:type="character" w:customStyle="1" w:styleId="Char0">
    <w:name w:val="رأس الصفحة Char"/>
    <w:basedOn w:val="a0"/>
    <w:link w:val="a4"/>
    <w:uiPriority w:val="99"/>
    <w:rsid w:val="00B31500"/>
  </w:style>
  <w:style w:type="paragraph" w:styleId="a5">
    <w:name w:val="footer"/>
    <w:basedOn w:val="a"/>
    <w:link w:val="Char1"/>
    <w:uiPriority w:val="99"/>
    <w:unhideWhenUsed/>
    <w:rsid w:val="00B31500"/>
    <w:pPr>
      <w:tabs>
        <w:tab w:val="center" w:pos="4680"/>
        <w:tab w:val="right" w:pos="9360"/>
      </w:tabs>
      <w:spacing w:after="0" w:line="240" w:lineRule="auto"/>
    </w:pPr>
  </w:style>
  <w:style w:type="character" w:customStyle="1" w:styleId="Char1">
    <w:name w:val="تذييل الصفحة Char"/>
    <w:basedOn w:val="a0"/>
    <w:link w:val="a5"/>
    <w:uiPriority w:val="99"/>
    <w:rsid w:val="00B31500"/>
  </w:style>
  <w:style w:type="character" w:styleId="a6">
    <w:name w:val="footnote reference"/>
    <w:basedOn w:val="a0"/>
    <w:uiPriority w:val="99"/>
    <w:semiHidden/>
    <w:unhideWhenUsed/>
    <w:rsid w:val="00B31500"/>
    <w:rPr>
      <w:vertAlign w:val="superscript"/>
    </w:rPr>
  </w:style>
  <w:style w:type="character" w:styleId="Hyperlink">
    <w:name w:val="Hyperlink"/>
    <w:basedOn w:val="a0"/>
    <w:uiPriority w:val="99"/>
    <w:unhideWhenUsed/>
    <w:rsid w:val="00B31500"/>
    <w:rPr>
      <w:color w:val="0000FF"/>
      <w:u w:val="single"/>
    </w:rPr>
  </w:style>
  <w:style w:type="paragraph" w:styleId="a7">
    <w:name w:val="No Spacing"/>
    <w:uiPriority w:val="1"/>
    <w:qFormat/>
    <w:rsid w:val="00B31500"/>
    <w:pPr>
      <w:spacing w:after="0" w:line="240" w:lineRule="auto"/>
    </w:pPr>
    <w:rPr>
      <w:rFonts w:asciiTheme="majorBidi" w:eastAsiaTheme="majorEastAsia" w:hAnsiTheme="majorBidi" w:cstheme="majorBidi"/>
    </w:rPr>
  </w:style>
  <w:style w:type="paragraph" w:styleId="a8">
    <w:name w:val="List Paragraph"/>
    <w:basedOn w:val="a"/>
    <w:uiPriority w:val="34"/>
    <w:qFormat/>
    <w:rsid w:val="00B31500"/>
    <w:pPr>
      <w:ind w:left="720"/>
      <w:contextualSpacing/>
    </w:pPr>
  </w:style>
  <w:style w:type="character" w:customStyle="1" w:styleId="2Char">
    <w:name w:val="عنوان 2 Char"/>
    <w:basedOn w:val="a0"/>
    <w:link w:val="2"/>
    <w:uiPriority w:val="9"/>
    <w:semiHidden/>
    <w:rsid w:val="00F964DB"/>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F964DB"/>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F964DB"/>
    <w:rPr>
      <w:rFonts w:eastAsiaTheme="majorEastAsia" w:cstheme="majorBidi"/>
      <w:i/>
      <w:iCs/>
      <w:color w:val="0F4761" w:themeColor="accent1" w:themeShade="BF"/>
    </w:rPr>
  </w:style>
  <w:style w:type="character" w:customStyle="1" w:styleId="5Char">
    <w:name w:val="عنوان 5 Char"/>
    <w:basedOn w:val="a0"/>
    <w:link w:val="5"/>
    <w:uiPriority w:val="9"/>
    <w:semiHidden/>
    <w:rsid w:val="00F964DB"/>
    <w:rPr>
      <w:rFonts w:eastAsiaTheme="majorEastAsia" w:cstheme="majorBidi"/>
      <w:color w:val="0F4761" w:themeColor="accent1" w:themeShade="BF"/>
    </w:rPr>
  </w:style>
  <w:style w:type="character" w:customStyle="1" w:styleId="6Char">
    <w:name w:val="عنوان 6 Char"/>
    <w:basedOn w:val="a0"/>
    <w:link w:val="6"/>
    <w:uiPriority w:val="9"/>
    <w:semiHidden/>
    <w:rsid w:val="00F964DB"/>
    <w:rPr>
      <w:rFonts w:eastAsiaTheme="majorEastAsia" w:cstheme="majorBidi"/>
      <w:i/>
      <w:iCs/>
      <w:color w:val="595959" w:themeColor="text1" w:themeTint="A6"/>
    </w:rPr>
  </w:style>
  <w:style w:type="character" w:customStyle="1" w:styleId="7Char">
    <w:name w:val="عنوان 7 Char"/>
    <w:basedOn w:val="a0"/>
    <w:link w:val="7"/>
    <w:uiPriority w:val="9"/>
    <w:semiHidden/>
    <w:rsid w:val="00F964DB"/>
    <w:rPr>
      <w:rFonts w:eastAsiaTheme="majorEastAsia" w:cstheme="majorBidi"/>
      <w:color w:val="595959" w:themeColor="text1" w:themeTint="A6"/>
    </w:rPr>
  </w:style>
  <w:style w:type="character" w:customStyle="1" w:styleId="8Char">
    <w:name w:val="عنوان 8 Char"/>
    <w:basedOn w:val="a0"/>
    <w:link w:val="8"/>
    <w:uiPriority w:val="9"/>
    <w:semiHidden/>
    <w:rsid w:val="00F964DB"/>
    <w:rPr>
      <w:rFonts w:eastAsiaTheme="majorEastAsia" w:cstheme="majorBidi"/>
      <w:i/>
      <w:iCs/>
      <w:color w:val="272727" w:themeColor="text1" w:themeTint="D8"/>
    </w:rPr>
  </w:style>
  <w:style w:type="character" w:customStyle="1" w:styleId="9Char">
    <w:name w:val="عنوان 9 Char"/>
    <w:basedOn w:val="a0"/>
    <w:link w:val="9"/>
    <w:uiPriority w:val="9"/>
    <w:semiHidden/>
    <w:rsid w:val="00F964DB"/>
    <w:rPr>
      <w:rFonts w:eastAsiaTheme="majorEastAsia" w:cstheme="majorBidi"/>
      <w:color w:val="272727" w:themeColor="text1" w:themeTint="D8"/>
    </w:rPr>
  </w:style>
  <w:style w:type="paragraph" w:styleId="a9">
    <w:name w:val="Title"/>
    <w:basedOn w:val="a"/>
    <w:next w:val="a"/>
    <w:link w:val="Char2"/>
    <w:uiPriority w:val="10"/>
    <w:qFormat/>
    <w:rsid w:val="00F964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2">
    <w:name w:val="العنوان Char"/>
    <w:basedOn w:val="a0"/>
    <w:link w:val="a9"/>
    <w:uiPriority w:val="10"/>
    <w:rsid w:val="00F964DB"/>
    <w:rPr>
      <w:rFonts w:asciiTheme="majorHAnsi" w:eastAsiaTheme="majorEastAsia" w:hAnsiTheme="majorHAnsi" w:cstheme="majorBidi"/>
      <w:spacing w:val="-10"/>
      <w:kern w:val="28"/>
      <w:sz w:val="56"/>
      <w:szCs w:val="56"/>
    </w:rPr>
  </w:style>
  <w:style w:type="paragraph" w:styleId="aa">
    <w:name w:val="Subtitle"/>
    <w:basedOn w:val="a"/>
    <w:next w:val="a"/>
    <w:link w:val="Char3"/>
    <w:uiPriority w:val="11"/>
    <w:qFormat/>
    <w:rsid w:val="00F964DB"/>
    <w:pPr>
      <w:numPr>
        <w:ilvl w:val="1"/>
      </w:numPr>
    </w:pPr>
    <w:rPr>
      <w:rFonts w:eastAsiaTheme="majorEastAsia" w:cstheme="majorBidi"/>
      <w:color w:val="595959" w:themeColor="text1" w:themeTint="A6"/>
      <w:spacing w:val="15"/>
      <w:sz w:val="28"/>
      <w:szCs w:val="28"/>
    </w:rPr>
  </w:style>
  <w:style w:type="character" w:customStyle="1" w:styleId="Char3">
    <w:name w:val="عنوان فرعي Char"/>
    <w:basedOn w:val="a0"/>
    <w:link w:val="aa"/>
    <w:uiPriority w:val="11"/>
    <w:rsid w:val="00F964DB"/>
    <w:rPr>
      <w:rFonts w:eastAsiaTheme="majorEastAsia" w:cstheme="majorBidi"/>
      <w:color w:val="595959" w:themeColor="text1" w:themeTint="A6"/>
      <w:spacing w:val="15"/>
      <w:sz w:val="28"/>
      <w:szCs w:val="28"/>
    </w:rPr>
  </w:style>
  <w:style w:type="paragraph" w:styleId="ab">
    <w:name w:val="Quote"/>
    <w:basedOn w:val="a"/>
    <w:next w:val="a"/>
    <w:link w:val="Char4"/>
    <w:uiPriority w:val="29"/>
    <w:qFormat/>
    <w:rsid w:val="00F964DB"/>
    <w:pPr>
      <w:spacing w:before="160"/>
      <w:jc w:val="center"/>
    </w:pPr>
    <w:rPr>
      <w:i/>
      <w:iCs/>
      <w:color w:val="404040" w:themeColor="text1" w:themeTint="BF"/>
    </w:rPr>
  </w:style>
  <w:style w:type="character" w:customStyle="1" w:styleId="Char4">
    <w:name w:val="اقتباس Char"/>
    <w:basedOn w:val="a0"/>
    <w:link w:val="ab"/>
    <w:uiPriority w:val="29"/>
    <w:rsid w:val="00F964DB"/>
    <w:rPr>
      <w:i/>
      <w:iCs/>
      <w:color w:val="404040" w:themeColor="text1" w:themeTint="BF"/>
    </w:rPr>
  </w:style>
  <w:style w:type="character" w:styleId="ac">
    <w:name w:val="Intense Emphasis"/>
    <w:basedOn w:val="a0"/>
    <w:uiPriority w:val="21"/>
    <w:qFormat/>
    <w:rsid w:val="00F964DB"/>
    <w:rPr>
      <w:i/>
      <w:iCs/>
      <w:color w:val="0F4761" w:themeColor="accent1" w:themeShade="BF"/>
    </w:rPr>
  </w:style>
  <w:style w:type="paragraph" w:styleId="ad">
    <w:name w:val="Intense Quote"/>
    <w:basedOn w:val="a"/>
    <w:next w:val="a"/>
    <w:link w:val="Char5"/>
    <w:uiPriority w:val="30"/>
    <w:qFormat/>
    <w:rsid w:val="00F964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5">
    <w:name w:val="اقتباس مكثف Char"/>
    <w:basedOn w:val="a0"/>
    <w:link w:val="ad"/>
    <w:uiPriority w:val="30"/>
    <w:rsid w:val="00F964DB"/>
    <w:rPr>
      <w:i/>
      <w:iCs/>
      <w:color w:val="0F4761" w:themeColor="accent1" w:themeShade="BF"/>
    </w:rPr>
  </w:style>
  <w:style w:type="character" w:styleId="ae">
    <w:name w:val="Intense Reference"/>
    <w:basedOn w:val="a0"/>
    <w:uiPriority w:val="32"/>
    <w:qFormat/>
    <w:rsid w:val="00F964DB"/>
    <w:rPr>
      <w:b/>
      <w:bCs/>
      <w:smallCaps/>
      <w:color w:val="0F4761" w:themeColor="accent1" w:themeShade="BF"/>
      <w:spacing w:val="5"/>
    </w:rPr>
  </w:style>
  <w:style w:type="character" w:customStyle="1" w:styleId="10">
    <w:name w:val="إشارة لم يتم حلها1"/>
    <w:basedOn w:val="a0"/>
    <w:uiPriority w:val="99"/>
    <w:semiHidden/>
    <w:unhideWhenUsed/>
    <w:rsid w:val="00A20D77"/>
    <w:rPr>
      <w:color w:val="605E5C"/>
      <w:shd w:val="clear" w:color="auto" w:fill="E1DFDD"/>
    </w:rPr>
  </w:style>
  <w:style w:type="table" w:styleId="af">
    <w:name w:val="Grid Table Light"/>
    <w:basedOn w:val="a1"/>
    <w:uiPriority w:val="40"/>
    <w:rsid w:val="004A17C0"/>
    <w:pPr>
      <w:spacing w:after="0" w:line="240" w:lineRule="auto"/>
    </w:pPr>
    <w:rPr>
      <w:kern w:val="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pdq2pgselectionanchorcontainer">
    <w:name w:val="pdq2pg_selectionanchorcontainer"/>
    <w:basedOn w:val="a"/>
    <w:rsid w:val="004A17C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f0">
    <w:name w:val="Normal (Web)"/>
    <w:basedOn w:val="a"/>
    <w:uiPriority w:val="99"/>
    <w:unhideWhenUsed/>
    <w:rsid w:val="004A17C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f1">
    <w:name w:val="Strong"/>
    <w:basedOn w:val="a0"/>
    <w:uiPriority w:val="22"/>
    <w:qFormat/>
    <w:rsid w:val="004A17C0"/>
    <w:rPr>
      <w:b/>
      <w:bCs/>
    </w:rPr>
  </w:style>
  <w:style w:type="table" w:styleId="11">
    <w:name w:val="Plain Table 1"/>
    <w:basedOn w:val="a1"/>
    <w:uiPriority w:val="41"/>
    <w:rsid w:val="004A17C0"/>
    <w:pPr>
      <w:bidi w:val="0"/>
      <w:spacing w:after="0" w:line="240" w:lineRule="auto"/>
    </w:pPr>
    <w:rPr>
      <w:sz w:val="24"/>
      <w:szCs w:val="24"/>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f2">
    <w:name w:val="Body Text"/>
    <w:basedOn w:val="a"/>
    <w:link w:val="Char6"/>
    <w:uiPriority w:val="1"/>
    <w:qFormat/>
    <w:rsid w:val="00CB79A7"/>
    <w:pPr>
      <w:widowControl w:val="0"/>
      <w:autoSpaceDE w:val="0"/>
      <w:autoSpaceDN w:val="0"/>
      <w:bidi w:val="0"/>
      <w:spacing w:after="0" w:line="240" w:lineRule="auto"/>
      <w:ind w:left="25"/>
      <w:jc w:val="right"/>
    </w:pPr>
    <w:rPr>
      <w:rFonts w:ascii="Microsoft Sans Serif" w:eastAsia="Microsoft Sans Serif" w:hAnsi="Microsoft Sans Serif" w:cs="Microsoft Sans Serif"/>
      <w:kern w:val="0"/>
      <w:sz w:val="24"/>
      <w:szCs w:val="24"/>
      <w14:ligatures w14:val="none"/>
    </w:rPr>
  </w:style>
  <w:style w:type="character" w:customStyle="1" w:styleId="Char6">
    <w:name w:val="نص أساسي Char"/>
    <w:basedOn w:val="a0"/>
    <w:link w:val="af2"/>
    <w:uiPriority w:val="1"/>
    <w:rsid w:val="00CB79A7"/>
    <w:rPr>
      <w:rFonts w:ascii="Microsoft Sans Serif" w:eastAsia="Microsoft Sans Serif" w:hAnsi="Microsoft Sans Serif" w:cs="Microsoft Sans Serif"/>
      <w:kern w:val="0"/>
      <w:sz w:val="24"/>
      <w:szCs w:val="24"/>
      <w14:ligatures w14:val="none"/>
    </w:rPr>
  </w:style>
  <w:style w:type="table" w:customStyle="1" w:styleId="TableNormal1">
    <w:name w:val="Table Normal1"/>
    <w:uiPriority w:val="2"/>
    <w:semiHidden/>
    <w:unhideWhenUsed/>
    <w:qFormat/>
    <w:rsid w:val="002C2CEB"/>
    <w:pPr>
      <w:widowControl w:val="0"/>
      <w:autoSpaceDE w:val="0"/>
      <w:autoSpaceDN w:val="0"/>
      <w:bidi w:val="0"/>
      <w:spacing w:after="0" w:line="240" w:lineRule="auto"/>
    </w:pPr>
    <w:rPr>
      <w:kern w:val="0"/>
      <w14:ligatures w14:val="none"/>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2C2CEB"/>
    <w:pPr>
      <w:widowControl w:val="0"/>
      <w:autoSpaceDE w:val="0"/>
      <w:autoSpaceDN w:val="0"/>
      <w:bidi w:val="0"/>
      <w:spacing w:after="0" w:line="240" w:lineRule="auto"/>
    </w:pPr>
    <w:rPr>
      <w:rFonts w:ascii="Arial" w:eastAsia="Arial" w:hAnsi="Arial" w:cs="Arial"/>
      <w:kern w:val="0"/>
      <w14:ligatures w14:val="none"/>
    </w:rPr>
  </w:style>
  <w:style w:type="table" w:styleId="af3">
    <w:name w:val="Table Grid"/>
    <w:basedOn w:val="a1"/>
    <w:uiPriority w:val="59"/>
    <w:rsid w:val="000913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2">
    <w:name w:val="Grid Table 1 Light"/>
    <w:basedOn w:val="a1"/>
    <w:uiPriority w:val="46"/>
    <w:rsid w:val="000B7DD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39814253">
      <w:bodyDiv w:val="1"/>
      <w:marLeft w:val="0"/>
      <w:marRight w:val="0"/>
      <w:marTop w:val="0"/>
      <w:marBottom w:val="0"/>
      <w:divBdr>
        <w:top w:val="none" w:sz="0" w:space="0" w:color="auto"/>
        <w:left w:val="none" w:sz="0" w:space="0" w:color="auto"/>
        <w:bottom w:val="none" w:sz="0" w:space="0" w:color="auto"/>
        <w:right w:val="none" w:sz="0" w:space="0" w:color="auto"/>
      </w:divBdr>
    </w:div>
    <w:div w:id="706300724">
      <w:bodyDiv w:val="1"/>
      <w:marLeft w:val="0"/>
      <w:marRight w:val="0"/>
      <w:marTop w:val="0"/>
      <w:marBottom w:val="0"/>
      <w:divBdr>
        <w:top w:val="none" w:sz="0" w:space="0" w:color="auto"/>
        <w:left w:val="none" w:sz="0" w:space="0" w:color="auto"/>
        <w:bottom w:val="none" w:sz="0" w:space="0" w:color="auto"/>
        <w:right w:val="none" w:sz="0" w:space="0" w:color="auto"/>
      </w:divBdr>
    </w:div>
    <w:div w:id="1022125964">
      <w:bodyDiv w:val="1"/>
      <w:marLeft w:val="0"/>
      <w:marRight w:val="0"/>
      <w:marTop w:val="0"/>
      <w:marBottom w:val="0"/>
      <w:divBdr>
        <w:top w:val="none" w:sz="0" w:space="0" w:color="auto"/>
        <w:left w:val="none" w:sz="0" w:space="0" w:color="auto"/>
        <w:bottom w:val="none" w:sz="0" w:space="0" w:color="auto"/>
        <w:right w:val="none" w:sz="0" w:space="0" w:color="auto"/>
      </w:divBdr>
    </w:div>
    <w:div w:id="1038239556">
      <w:bodyDiv w:val="1"/>
      <w:marLeft w:val="0"/>
      <w:marRight w:val="0"/>
      <w:marTop w:val="0"/>
      <w:marBottom w:val="0"/>
      <w:divBdr>
        <w:top w:val="none" w:sz="0" w:space="0" w:color="auto"/>
        <w:left w:val="none" w:sz="0" w:space="0" w:color="auto"/>
        <w:bottom w:val="none" w:sz="0" w:space="0" w:color="auto"/>
        <w:right w:val="none" w:sz="0" w:space="0" w:color="auto"/>
      </w:divBdr>
    </w:div>
    <w:div w:id="1933665664">
      <w:bodyDiv w:val="1"/>
      <w:marLeft w:val="0"/>
      <w:marRight w:val="0"/>
      <w:marTop w:val="0"/>
      <w:marBottom w:val="0"/>
      <w:divBdr>
        <w:top w:val="none" w:sz="0" w:space="0" w:color="auto"/>
        <w:left w:val="none" w:sz="0" w:space="0" w:color="auto"/>
        <w:bottom w:val="none" w:sz="0" w:space="0" w:color="auto"/>
        <w:right w:val="none" w:sz="0" w:space="0" w:color="auto"/>
      </w:divBdr>
      <w:divsChild>
        <w:div w:id="277612264">
          <w:marLeft w:val="0"/>
          <w:marRight w:val="0"/>
          <w:marTop w:val="0"/>
          <w:marBottom w:val="0"/>
          <w:divBdr>
            <w:top w:val="none" w:sz="0" w:space="0" w:color="auto"/>
            <w:left w:val="none" w:sz="0" w:space="0" w:color="auto"/>
            <w:bottom w:val="none" w:sz="0" w:space="0" w:color="auto"/>
            <w:right w:val="none" w:sz="0" w:space="0" w:color="auto"/>
          </w:divBdr>
        </w:div>
      </w:divsChild>
    </w:div>
    <w:div w:id="2040625059">
      <w:bodyDiv w:val="1"/>
      <w:marLeft w:val="0"/>
      <w:marRight w:val="0"/>
      <w:marTop w:val="0"/>
      <w:marBottom w:val="0"/>
      <w:divBdr>
        <w:top w:val="none" w:sz="0" w:space="0" w:color="auto"/>
        <w:left w:val="none" w:sz="0" w:space="0" w:color="auto"/>
        <w:bottom w:val="none" w:sz="0" w:space="0" w:color="auto"/>
        <w:right w:val="none" w:sz="0" w:space="0" w:color="auto"/>
      </w:divBdr>
    </w:div>
    <w:div w:id="2056540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TotalTime>
  <Pages>169</Pages>
  <Words>44806</Words>
  <Characters>255396</Characters>
  <Application>Microsoft Office Word</Application>
  <DocSecurity>0</DocSecurity>
  <Lines>2128</Lines>
  <Paragraphs>599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299603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خديجة احمد</dc:creator>
  <cp:keywords/>
  <dc:description/>
  <cp:lastModifiedBy>Doaa Towerqi</cp:lastModifiedBy>
  <cp:revision>21</cp:revision>
  <dcterms:created xsi:type="dcterms:W3CDTF">2026-07-17T23:05:00Z</dcterms:created>
  <dcterms:modified xsi:type="dcterms:W3CDTF">2026-08-04T16:29:00Z</dcterms:modified>
</cp:coreProperties>
</file>