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40F5532" w:rsidR="009125CE" w:rsidRPr="003F5BA3" w:rsidRDefault="00EA789F" w:rsidP="00EA789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3F5BA3">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3F53824">
            <wp:simplePos x="0" y="0"/>
            <wp:positionH relativeFrom="margin">
              <wp:posOffset>339090</wp:posOffset>
            </wp:positionH>
            <wp:positionV relativeFrom="margin">
              <wp:posOffset>-95250</wp:posOffset>
            </wp:positionV>
            <wp:extent cx="1716405" cy="15925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6405" cy="1592580"/>
                    </a:xfrm>
                    <a:prstGeom prst="rect">
                      <a:avLst/>
                    </a:prstGeom>
                  </pic:spPr>
                </pic:pic>
              </a:graphicData>
            </a:graphic>
            <wp14:sizeRelH relativeFrom="margin">
              <wp14:pctWidth>0</wp14:pctWidth>
            </wp14:sizeRelH>
            <wp14:sizeRelV relativeFrom="margin">
              <wp14:pctHeight>0</wp14:pctHeight>
            </wp14:sizeRelV>
          </wp:anchor>
        </w:drawing>
      </w:r>
      <w:r w:rsidR="009125CE" w:rsidRPr="003F5BA3">
        <w:rPr>
          <w:rFonts w:ascii="Simplified Arabic" w:hAnsi="Simplified Arabic" w:cs="Simplified Arabic"/>
          <w:b/>
          <w:bCs/>
          <w:color w:val="000000" w:themeColor="text1"/>
          <w:sz w:val="32"/>
          <w:szCs w:val="32"/>
          <w:rtl/>
          <w:lang w:bidi="ar-EG"/>
        </w:rPr>
        <w:t xml:space="preserve">جامعة ميدأوشن </w:t>
      </w:r>
    </w:p>
    <w:p w14:paraId="1E957002" w14:textId="158B1773" w:rsidR="00F546CE" w:rsidRPr="003F5BA3" w:rsidRDefault="009125CE" w:rsidP="00EA789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F5BA3">
        <w:rPr>
          <w:rFonts w:ascii="Simplified Arabic" w:hAnsi="Simplified Arabic" w:cs="Simplified Arabic"/>
          <w:b/>
          <w:bCs/>
          <w:color w:val="000000" w:themeColor="text1"/>
          <w:sz w:val="32"/>
          <w:szCs w:val="32"/>
          <w:rtl/>
          <w:lang w:bidi="ar-EG"/>
        </w:rPr>
        <w:t xml:space="preserve">كلية </w:t>
      </w:r>
      <w:r w:rsidR="008C42C1" w:rsidRPr="003F5BA3">
        <w:rPr>
          <w:rFonts w:ascii="Simplified Arabic" w:hAnsi="Simplified Arabic" w:cs="Simplified Arabic"/>
          <w:b/>
          <w:bCs/>
          <w:color w:val="000000" w:themeColor="text1"/>
          <w:sz w:val="32"/>
          <w:szCs w:val="32"/>
          <w:rtl/>
          <w:lang w:bidi="ar-EG"/>
        </w:rPr>
        <w:t>الإدارة</w:t>
      </w:r>
      <w:r w:rsidRPr="003F5BA3">
        <w:rPr>
          <w:rFonts w:ascii="Simplified Arabic" w:hAnsi="Simplified Arabic" w:cs="Simplified Arabic"/>
          <w:b/>
          <w:bCs/>
          <w:color w:val="000000" w:themeColor="text1"/>
          <w:sz w:val="32"/>
          <w:szCs w:val="32"/>
          <w:rtl/>
          <w:lang w:bidi="ar-EG"/>
        </w:rPr>
        <w:t xml:space="preserve"> </w:t>
      </w:r>
    </w:p>
    <w:p w14:paraId="5F6542BF" w14:textId="69021216" w:rsidR="009125CE" w:rsidRPr="003F5BA3" w:rsidRDefault="00F86421" w:rsidP="00EA789F">
      <w:pPr>
        <w:spacing w:before="100" w:beforeAutospacing="1" w:after="100" w:afterAutospacing="1" w:line="276" w:lineRule="auto"/>
        <w:jc w:val="both"/>
        <w:rPr>
          <w:rFonts w:ascii="Simplified Arabic" w:hAnsi="Simplified Arabic" w:cs="Simplified Arabic" w:hint="cs"/>
          <w:b/>
          <w:bCs/>
          <w:color w:val="000000" w:themeColor="text1"/>
          <w:sz w:val="32"/>
          <w:szCs w:val="32"/>
          <w:rtl/>
        </w:rPr>
      </w:pPr>
      <w:r w:rsidRPr="003F5BA3">
        <w:rPr>
          <w:rFonts w:ascii="Simplified Arabic" w:hAnsi="Simplified Arabic" w:cs="Simplified Arabic"/>
          <w:b/>
          <w:bCs/>
          <w:color w:val="000000" w:themeColor="text1"/>
          <w:sz w:val="32"/>
          <w:szCs w:val="32"/>
          <w:rtl/>
          <w:lang w:bidi="ar-EG"/>
        </w:rPr>
        <w:t xml:space="preserve">ماجستير </w:t>
      </w:r>
      <w:r w:rsidR="007A0DA9">
        <w:rPr>
          <w:rFonts w:ascii="Simplified Arabic" w:hAnsi="Simplified Arabic" w:cs="Simplified Arabic" w:hint="cs"/>
          <w:b/>
          <w:bCs/>
          <w:color w:val="000000" w:themeColor="text1"/>
          <w:sz w:val="32"/>
          <w:szCs w:val="32"/>
          <w:rtl/>
          <w:lang w:bidi="ar-EG"/>
        </w:rPr>
        <w:t>الإدارة العقارية</w:t>
      </w:r>
    </w:p>
    <w:p w14:paraId="6B449BCF" w14:textId="77777777" w:rsidR="00CC6261" w:rsidRPr="003F5BA3" w:rsidRDefault="00CC6261" w:rsidP="00EA789F">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3D012692" w14:textId="77777777" w:rsidR="004E5030" w:rsidRPr="003F5BA3" w:rsidRDefault="004E5030" w:rsidP="00EA789F">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3F5BA3">
        <w:rPr>
          <w:rFonts w:ascii="Simplified Arabic" w:hAnsi="Simplified Arabic" w:cs="Simplified Arabic"/>
          <w:b/>
          <w:bCs/>
          <w:color w:val="000000" w:themeColor="text1"/>
          <w:sz w:val="40"/>
          <w:szCs w:val="40"/>
          <w:rtl/>
        </w:rPr>
        <w:t>أثر تطوير العقار (التشطيبات والصيانة والتحسينات) على القيمة الإيجارية وسرعة التأجير: دراسة تطبيقية على العقارات التجارية في مدينة الرياض</w:t>
      </w:r>
    </w:p>
    <w:p w14:paraId="751A7E65" w14:textId="05F724E3" w:rsidR="009125CE" w:rsidRPr="003F5BA3" w:rsidRDefault="009125CE" w:rsidP="00EA789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5BA3">
        <w:rPr>
          <w:rFonts w:ascii="Simplified Arabic" w:hAnsi="Simplified Arabic" w:cs="Simplified Arabic"/>
          <w:b/>
          <w:bCs/>
          <w:color w:val="000000" w:themeColor="text1"/>
          <w:sz w:val="36"/>
          <w:szCs w:val="36"/>
          <w:rtl/>
          <w:lang w:bidi="ar-EG"/>
        </w:rPr>
        <w:t>إعداد الطالب/</w:t>
      </w:r>
    </w:p>
    <w:p w14:paraId="76299D9F" w14:textId="21FA99B9" w:rsidR="00EA789F" w:rsidRPr="003F5BA3" w:rsidRDefault="007A0DA9" w:rsidP="00EA789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سعد علي القحطاني</w:t>
      </w:r>
    </w:p>
    <w:p w14:paraId="3590DFF6" w14:textId="77777777" w:rsidR="00EA789F" w:rsidRPr="003F5BA3" w:rsidRDefault="00EA789F" w:rsidP="00EA789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EA789F" w:rsidRPr="003F5BA3" w14:paraId="170B010D" w14:textId="77777777" w:rsidTr="00EA789F">
        <w:tc>
          <w:tcPr>
            <w:tcW w:w="4530" w:type="dxa"/>
          </w:tcPr>
          <w:p w14:paraId="64F6ED3C" w14:textId="77777777" w:rsidR="00EA789F" w:rsidRPr="003F5BA3" w:rsidRDefault="00EA789F" w:rsidP="00EA789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5BA3">
              <w:rPr>
                <w:rFonts w:ascii="Simplified Arabic" w:hAnsi="Simplified Arabic" w:cs="Simplified Arabic" w:hint="cs"/>
                <w:b/>
                <w:bCs/>
                <w:color w:val="000000" w:themeColor="text1"/>
                <w:sz w:val="36"/>
                <w:szCs w:val="36"/>
                <w:rtl/>
                <w:lang w:bidi="ar-EG"/>
              </w:rPr>
              <w:t>المشرف الرئيسي/</w:t>
            </w:r>
          </w:p>
        </w:tc>
        <w:tc>
          <w:tcPr>
            <w:tcW w:w="4531" w:type="dxa"/>
          </w:tcPr>
          <w:p w14:paraId="6FF7F8A7" w14:textId="77777777" w:rsidR="00EA789F" w:rsidRPr="003F5BA3" w:rsidRDefault="00EA789F" w:rsidP="00EA789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5BA3">
              <w:rPr>
                <w:rFonts w:ascii="Simplified Arabic" w:hAnsi="Simplified Arabic" w:cs="Simplified Arabic" w:hint="cs"/>
                <w:b/>
                <w:bCs/>
                <w:color w:val="000000" w:themeColor="text1"/>
                <w:sz w:val="36"/>
                <w:szCs w:val="36"/>
                <w:rtl/>
                <w:lang w:bidi="ar-EG"/>
              </w:rPr>
              <w:t>المشرف الثاني/</w:t>
            </w:r>
          </w:p>
        </w:tc>
      </w:tr>
      <w:tr w:rsidR="00EA789F" w:rsidRPr="003F5BA3" w14:paraId="2CF1C726" w14:textId="77777777" w:rsidTr="00EA789F">
        <w:tc>
          <w:tcPr>
            <w:tcW w:w="4530" w:type="dxa"/>
          </w:tcPr>
          <w:p w14:paraId="1C34163C" w14:textId="77777777" w:rsidR="00EA789F" w:rsidRPr="003F5BA3" w:rsidRDefault="00EA789F" w:rsidP="00EA789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5BA3">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545AC5A" w14:textId="77777777" w:rsidR="00EA789F" w:rsidRPr="003F5BA3" w:rsidRDefault="00EA789F" w:rsidP="00EA789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3F5BA3">
              <w:rPr>
                <w:rFonts w:ascii="Simplified Arabic" w:eastAsia="Calibri" w:hAnsi="Simplified Arabic" w:cs="Simplified Arabic"/>
                <w:color w:val="000000" w:themeColor="text1"/>
                <w:kern w:val="0"/>
                <w:sz w:val="36"/>
                <w:szCs w:val="36"/>
                <w:rtl/>
                <w:lang w:bidi="ar-EG"/>
                <w14:ligatures w14:val="none"/>
              </w:rPr>
              <w:t>د.فايز</w:t>
            </w:r>
            <w:proofErr w:type="spellEnd"/>
            <w:r w:rsidRPr="003F5BA3">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5271B719" w14:textId="77777777" w:rsidR="00EA789F" w:rsidRPr="003F5BA3" w:rsidRDefault="00EA789F" w:rsidP="00EA789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5BA3">
        <w:rPr>
          <w:rFonts w:ascii="Simplified Arabic" w:hAnsi="Simplified Arabic" w:cs="Simplified Arabic"/>
          <w:b/>
          <w:bCs/>
          <w:color w:val="000000" w:themeColor="text1"/>
          <w:sz w:val="36"/>
          <w:szCs w:val="36"/>
          <w:rtl/>
          <w:lang w:bidi="ar-EG"/>
        </w:rPr>
        <w:t>العام الدراسي:</w:t>
      </w:r>
    </w:p>
    <w:p w14:paraId="6F8A200F" w14:textId="77777777" w:rsidR="00EA789F" w:rsidRPr="003F5BA3" w:rsidRDefault="00EA789F" w:rsidP="00EA789F">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3F5BA3">
        <w:rPr>
          <w:rFonts w:ascii="Simplified Arabic" w:hAnsi="Simplified Arabic" w:cs="Simplified Arabic" w:hint="cs"/>
          <w:color w:val="000000" w:themeColor="text1"/>
          <w:sz w:val="36"/>
          <w:szCs w:val="36"/>
          <w:rtl/>
          <w:lang w:bidi="ar-EG"/>
        </w:rPr>
        <w:t xml:space="preserve">1448 </w:t>
      </w:r>
      <w:r w:rsidRPr="003F5BA3">
        <w:rPr>
          <w:rFonts w:ascii="Simplified Arabic" w:hAnsi="Simplified Arabic" w:cs="Simplified Arabic"/>
          <w:color w:val="000000" w:themeColor="text1"/>
          <w:sz w:val="36"/>
          <w:szCs w:val="36"/>
          <w:rtl/>
          <w:lang w:bidi="ar-EG"/>
        </w:rPr>
        <w:t>–</w:t>
      </w:r>
      <w:r w:rsidRPr="003F5BA3">
        <w:rPr>
          <w:rFonts w:ascii="Simplified Arabic" w:hAnsi="Simplified Arabic" w:cs="Simplified Arabic" w:hint="cs"/>
          <w:color w:val="000000" w:themeColor="text1"/>
          <w:sz w:val="36"/>
          <w:szCs w:val="36"/>
          <w:rtl/>
          <w:lang w:bidi="ar-EG"/>
        </w:rPr>
        <w:t xml:space="preserve"> 2026</w:t>
      </w:r>
    </w:p>
    <w:p w14:paraId="4C1417F6" w14:textId="77777777" w:rsidR="00EA789F" w:rsidRPr="003F5BA3" w:rsidRDefault="00EA789F" w:rsidP="00EA789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EA789F" w:rsidRPr="003F5BA3" w:rsidSect="00EA789F">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774A3D96" w14:textId="28F98CF5" w:rsidR="00EA789F" w:rsidRPr="003F5BA3" w:rsidRDefault="006C11ED" w:rsidP="006C11ED">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932446"/>
      <w:bookmarkStart w:id="1" w:name="_Hlk172151144"/>
      <w:bookmarkStart w:id="2" w:name="_Toc169790489"/>
      <w:r w:rsidRPr="003F5BA3">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08A15578" w14:textId="42DF5390" w:rsidR="006C11ED" w:rsidRPr="003F5BA3" w:rsidRDefault="006C11ED" w:rsidP="006C11ED">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932447"/>
      <w:r w:rsidRPr="003F5BA3">
        <w:rPr>
          <w:rFonts w:ascii="Simplified Arabic" w:hAnsi="Simplified Arabic" w:cs="Simplified Arabic" w:hint="cs"/>
          <w:b/>
          <w:bCs/>
          <w:color w:val="000000" w:themeColor="text1"/>
          <w:sz w:val="36"/>
          <w:szCs w:val="36"/>
          <w:rtl/>
        </w:rPr>
        <w:t>1.1 المقدمة</w:t>
      </w:r>
      <w:bookmarkEnd w:id="3"/>
    </w:p>
    <w:p w14:paraId="582D11C1" w14:textId="1246B45C" w:rsidR="005E3552" w:rsidRPr="003F5BA3" w:rsidRDefault="005E3552" w:rsidP="006C11ED">
      <w:pPr>
        <w:pStyle w:val="a8"/>
        <w:bidi/>
        <w:spacing w:line="276" w:lineRule="auto"/>
        <w:ind w:firstLine="424"/>
        <w:jc w:val="both"/>
        <w:rPr>
          <w:rFonts w:ascii="Simplified Arabic" w:hAnsi="Simplified Arabic" w:cs="Simplified Arabic"/>
          <w:color w:val="000000" w:themeColor="text1"/>
          <w:sz w:val="28"/>
          <w:szCs w:val="28"/>
          <w:rtl/>
        </w:rPr>
      </w:pPr>
      <w:r w:rsidRPr="003F5BA3">
        <w:rPr>
          <w:rFonts w:ascii="Simplified Arabic" w:hAnsi="Simplified Arabic" w:cs="Simplified Arabic"/>
          <w:color w:val="000000" w:themeColor="text1"/>
          <w:sz w:val="28"/>
          <w:szCs w:val="28"/>
          <w:rtl/>
        </w:rPr>
        <w:t xml:space="preserve">يحتل القطاع العقاري مكانة محورية في البنية الاقتصادية للدول المتقدمة والنامية على حدٍّ سواء، إذ يُسهم بنسبة كبيرة في الناتج المحلي الإجمالي ويُوفّر فرصاً استثمارية متنوعة تستقطب رؤوس الأموال المحلية والأجنبية، فضلاً عن دوره الاجتماعي في توفير المسكن الملائم وتحقيق الاستقرار الحضري، وقد شهدت الأسواق العقارية في السنوات الأخيرة تحولات جوهرية فرضتها المتغيرات الاقتصادية والتكنولوجية والديموغرافية، مما أعاد تشكيل معايير الجودة والتنافسية في هذا القطاع وجعل من تطوير العقار القائم ضرورة استثمارية لا ترفاً اختيارياً (البداح </w:t>
      </w:r>
      <w:proofErr w:type="spellStart"/>
      <w:r w:rsidRPr="003F5BA3">
        <w:rPr>
          <w:rFonts w:ascii="Simplified Arabic" w:hAnsi="Simplified Arabic" w:cs="Simplified Arabic"/>
          <w:color w:val="000000" w:themeColor="text1"/>
          <w:sz w:val="28"/>
          <w:szCs w:val="28"/>
          <w:rtl/>
        </w:rPr>
        <w:t>والحاثلول</w:t>
      </w:r>
      <w:proofErr w:type="spellEnd"/>
      <w:r w:rsidRPr="003F5BA3">
        <w:rPr>
          <w:rFonts w:ascii="Simplified Arabic" w:hAnsi="Simplified Arabic" w:cs="Simplified Arabic"/>
          <w:color w:val="000000" w:themeColor="text1"/>
          <w:sz w:val="28"/>
          <w:szCs w:val="28"/>
          <w:rtl/>
        </w:rPr>
        <w:t>، 2022)</w:t>
      </w:r>
    </w:p>
    <w:p w14:paraId="540F0EC0" w14:textId="77777777" w:rsidR="005E3552" w:rsidRPr="003F5BA3" w:rsidRDefault="005E3552" w:rsidP="006C11ED">
      <w:pPr>
        <w:pStyle w:val="a8"/>
        <w:bidi/>
        <w:spacing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 تُمثّل القيمة الإيجارية المحصّلة والمدة الزمنية اللازمة لتأجير الوحدة الشاغرة المؤشرين الأكثر مباشرة لقياس الأداء المالي للأصل العقاري المُدِرّ للدخل. وتتأثر هذه المؤشرات بمجموعة واسعة من العوامل تتجاوز الموقع الجغرافي والعرض والطلب لتشمل خصائص المبنى ذاته ومستوى جودته وصيانته. وقد أثبتت الدراسات أن جزءاً معتبراً مما يُفسَّر تقليدياً بوصفه تحركات سوقية في الأسعار والإيجارات هو في حقيقته انعكاس لعمليات التطوير والتحسين التي أُجريت على العقار ولم تُحتسب بشكل منفصل في نماذج التقييم</w:t>
      </w:r>
      <w:r w:rsidRPr="003F5BA3">
        <w:rPr>
          <w:rFonts w:ascii="Simplified Arabic" w:hAnsi="Simplified Arabic" w:cs="Simplified Arabic"/>
          <w:color w:val="000000" w:themeColor="text1"/>
          <w:sz w:val="28"/>
          <w:szCs w:val="28"/>
        </w:rPr>
        <w:t xml:space="preserve"> (Caloia &amp; Mastrogiacomo, 2022). </w:t>
      </w:r>
    </w:p>
    <w:p w14:paraId="60B5BC55" w14:textId="77777777" w:rsidR="005E3552" w:rsidRPr="003F5BA3" w:rsidRDefault="005E3552" w:rsidP="006C11ED">
      <w:pPr>
        <w:pStyle w:val="a8"/>
        <w:bidi/>
        <w:spacing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وعلى الرغم من وضوح العلاقة المنطقية بين تطوير العقار ومخرجاته الإيجارية، إلا أن الربط المنهجي بين هذين المتغيرين لا يزال يفتقر إلى أُطر تحليلية متكاملة تجمع بين أبعاد التطوير المتعددة</w:t>
      </w:r>
      <w:r w:rsidRPr="003F5BA3">
        <w:rPr>
          <w:rFonts w:ascii="Simplified Arabic" w:hAnsi="Simplified Arabic" w:cs="Simplified Arabic"/>
          <w:color w:val="000000" w:themeColor="text1"/>
          <w:sz w:val="28"/>
          <w:szCs w:val="28"/>
        </w:rPr>
        <w:t xml:space="preserve"> — </w:t>
      </w:r>
      <w:r w:rsidRPr="003F5BA3">
        <w:rPr>
          <w:rFonts w:ascii="Simplified Arabic" w:hAnsi="Simplified Arabic" w:cs="Simplified Arabic"/>
          <w:color w:val="000000" w:themeColor="text1"/>
          <w:sz w:val="28"/>
          <w:szCs w:val="28"/>
          <w:rtl/>
        </w:rPr>
        <w:t>تشطيبات وصيانة وتحسينات وتحديث بنية تحتية وبين أثرها المشترك والنسبي على القيمة الإيجارية وسرعة التأجير. فمعظم الدراسات السابقة تناولت كل بُعد على حدة أو ركّزت على سياق قطاعي أو جغرافي ضيق، مما يحدّ من إمكانية بناء رؤية شاملة تُرشد صانع القرار العقاري</w:t>
      </w:r>
      <w:r w:rsidRPr="003F5BA3">
        <w:rPr>
          <w:rFonts w:ascii="Simplified Arabic" w:hAnsi="Simplified Arabic" w:cs="Simplified Arabic"/>
          <w:color w:val="000000" w:themeColor="text1"/>
          <w:sz w:val="28"/>
          <w:szCs w:val="28"/>
        </w:rPr>
        <w:t xml:space="preserve"> (Rose &amp; Harris, 2022).</w:t>
      </w:r>
    </w:p>
    <w:p w14:paraId="3706E7E4" w14:textId="77777777" w:rsidR="005E3552" w:rsidRPr="003F5BA3" w:rsidRDefault="005E3552" w:rsidP="006C11ED">
      <w:pPr>
        <w:pStyle w:val="a8"/>
        <w:bidi/>
        <w:spacing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ومن هذا المنطلق، تأتي هذه الدراسة لتتناول أثر تطوير العقار بأبعاده الأربعة (جودة التشطيبات الداخلية والخارجية، كفاءة الصيانة الدورية والوقائية، التحسينات الوظيفية والجمالية، تحديث الأنظمة والبنية التحتية للمبنى) على القيمة الإيجارية وسرعة التأجير في السوق العقاري.</w:t>
      </w:r>
    </w:p>
    <w:p w14:paraId="5475DEDE" w14:textId="205B2B6D" w:rsidR="006C11ED" w:rsidRPr="003F5BA3" w:rsidRDefault="006C11ED" w:rsidP="006C11ED">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932448"/>
      <w:bookmarkStart w:id="5" w:name="_Toc169790500"/>
      <w:bookmarkEnd w:id="1"/>
      <w:bookmarkEnd w:id="2"/>
      <w:r w:rsidRPr="003F5BA3">
        <w:rPr>
          <w:rFonts w:ascii="Simplified Arabic" w:hAnsi="Simplified Arabic" w:cs="Simplified Arabic"/>
          <w:b/>
          <w:bCs/>
          <w:color w:val="000000" w:themeColor="text1"/>
          <w:sz w:val="36"/>
          <w:szCs w:val="36"/>
          <w:rtl/>
        </w:rPr>
        <w:t>2.1 مشكلة الدراسة</w:t>
      </w:r>
      <w:bookmarkEnd w:id="4"/>
    </w:p>
    <w:p w14:paraId="17E0F1CD" w14:textId="77777777" w:rsidR="005E3552" w:rsidRPr="003F5BA3" w:rsidRDefault="005E3552" w:rsidP="006C11ED">
      <w:pPr>
        <w:pStyle w:val="a8"/>
        <w:bidi/>
        <w:spacing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lastRenderedPageBreak/>
        <w:t>يُمثّل القطاع العقاري أحد أهم الركائز الاقتصادية في مختلف الدول، إذ يستأثر بنسبة كبيرة من الناتج المحلي الإجمالي ويُشكّل قناة استثمارية رئيسية تستقطب رؤوس الأموال المحلية والأجنبية على حدٍّ سواء. وتتوقف قدرة هذا القطاع على تحقيق عوائد مستدامة على جملة من المحددات، يأتي في مقدمتها مستوى التطوير الذي يخضع له العقار عبر مراحل عمره التشغيلي، غير أن الواقع الميداني يكشف عن مفارقة لافتة تتجلى في أن كثيراً من المُلّاك والمستثمرين العقاريين يُنفقون مبالغ طائلة على شراء العقارات واقتنائها دون أن يُولوا اهتماماً مكافئاً لعمليات التطوير والصيانة والتحسين المستمرة، مما يُفضي بمرور الوقت إلى تدهور الحالة الفيزيائية والوظيفية للمبنى وانخفاض جاذبيته في السوق الإيجاري وتراجع قيمته الإيجارية وإطالة فترات الشغور بصورة تُرهق التدفقات النقدية وتُقلّص العائد على الاستثمار</w:t>
      </w:r>
      <w:r w:rsidRPr="003F5BA3">
        <w:rPr>
          <w:rFonts w:ascii="Simplified Arabic" w:hAnsi="Simplified Arabic" w:cs="Simplified Arabic"/>
          <w:color w:val="000000" w:themeColor="text1"/>
          <w:sz w:val="28"/>
          <w:szCs w:val="28"/>
        </w:rPr>
        <w:t>.</w:t>
      </w:r>
    </w:p>
    <w:p w14:paraId="2BA90730" w14:textId="77777777" w:rsidR="005E3552" w:rsidRPr="003F5BA3" w:rsidRDefault="005E3552" w:rsidP="006C11ED">
      <w:pPr>
        <w:pStyle w:val="a8"/>
        <w:bidi/>
        <w:spacing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وتتفاقم هذه الإشكالية في ظل التحولات المتسارعة التي يشهدها السوق العقاري على المستويين الإقليمي والدولي، حيث تتصاعد توقعات المستأجرين فيما يتعلق بجودة التشطيبات وكفاءة أنظمة المبنى ومستوى الخدمات المرافقة، فضلاً عن اشتداد المنافسة بين العقارات المعروضة للإيجار نتيجة التوسع في المشاريع العقارية الجديدة ذات المواصفات العالية. وفي المقابل، تعاني شريحة واسعة من المخزون العقاري القائم وبخاصة المباني التي مضى على إنشائها عقدان أو أكثر من تقادم التشطيبات وتهالك الأنظمة الكهربائية والميكانيكية وغياب الصيانة الوقائية المنتظمة وقصور التحسينات الوظيفية والجمالية، وهو ما يجعلها في موقع تنافسي ضعيف أمام العقارات الحديثة ويُعرّض مُلّاكها لخسائر مالية متراكمة تتمثل في انخفاض الإيجارات وارتفاع معدلات دوران المستأجرين وطول فترات الشغور</w:t>
      </w:r>
      <w:r w:rsidRPr="003F5BA3">
        <w:rPr>
          <w:rFonts w:ascii="Simplified Arabic" w:hAnsi="Simplified Arabic" w:cs="Simplified Arabic"/>
          <w:color w:val="000000" w:themeColor="text1"/>
          <w:sz w:val="28"/>
          <w:szCs w:val="28"/>
        </w:rPr>
        <w:t>.</w:t>
      </w:r>
    </w:p>
    <w:p w14:paraId="0E857B61" w14:textId="77777777" w:rsidR="005E3552" w:rsidRPr="003F5BA3" w:rsidRDefault="005E3552" w:rsidP="006C11ED">
      <w:pPr>
        <w:pStyle w:val="a8"/>
        <w:bidi/>
        <w:spacing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وعلى الرغم من أن الأدبيات الأجنبية قد بدأت في السنوات الأخيرة بتناول جوانب متفرقة من هذه العلاقة كأثر التجديد على قيمة المباني المكتبية، ودور نوع الملكية في قرارات الصيانة والتسعير الإيجاري، والعوائق الاقتصادية والتنظيمية أمام تجديد المباني القائمة</w:t>
      </w:r>
      <w:r w:rsidRPr="003F5BA3">
        <w:rPr>
          <w:rFonts w:ascii="Simplified Arabic" w:hAnsi="Simplified Arabic" w:cs="Simplified Arabic"/>
          <w:color w:val="000000" w:themeColor="text1"/>
          <w:sz w:val="28"/>
          <w:szCs w:val="28"/>
        </w:rPr>
        <w:t xml:space="preserve">  </w:t>
      </w:r>
      <w:r w:rsidRPr="003F5BA3">
        <w:rPr>
          <w:rFonts w:ascii="Simplified Arabic" w:hAnsi="Simplified Arabic" w:cs="Simplified Arabic"/>
          <w:color w:val="000000" w:themeColor="text1"/>
          <w:sz w:val="28"/>
          <w:szCs w:val="28"/>
          <w:rtl/>
        </w:rPr>
        <w:t xml:space="preserve">إلا أن هذه الدراسات جاءت مُجزَّأة ومحصورة في سياقات جغرافية وقطاعية محددة، ولم تتناول العلاقة بين أبعاد التطوير العقاري مجتمعة والقيمة الإيجارية وسرعة التأجير في إطار نموذج تحليلي شامل. </w:t>
      </w:r>
    </w:p>
    <w:p w14:paraId="31DB01E5" w14:textId="77777777" w:rsidR="005E3552" w:rsidRPr="003F5BA3" w:rsidRDefault="005E3552" w:rsidP="006C11ED">
      <w:pPr>
        <w:pStyle w:val="a8"/>
        <w:bidi/>
        <w:spacing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ومن هنا تبلورت مشكلة الدراسة الحالية التي تسعى إلى الإجابة عن التساؤل الجوهري التالي</w:t>
      </w:r>
      <w:r w:rsidRPr="003F5BA3">
        <w:rPr>
          <w:rFonts w:ascii="Simplified Arabic" w:hAnsi="Simplified Arabic" w:cs="Simplified Arabic"/>
          <w:color w:val="000000" w:themeColor="text1"/>
          <w:sz w:val="28"/>
          <w:szCs w:val="28"/>
        </w:rPr>
        <w:t xml:space="preserve">: </w:t>
      </w:r>
      <w:r w:rsidRPr="003F5BA3">
        <w:rPr>
          <w:rStyle w:val="a9"/>
          <w:rFonts w:ascii="Simplified Arabic" w:hAnsi="Simplified Arabic" w:cs="Simplified Arabic"/>
          <w:b w:val="0"/>
          <w:bCs w:val="0"/>
          <w:color w:val="000000" w:themeColor="text1"/>
          <w:sz w:val="28"/>
          <w:szCs w:val="28"/>
          <w:rtl/>
        </w:rPr>
        <w:t>ما أثر تطوير العقار بأبعاده (جودة التشطيبات الداخلية والخارجية، كفاءة الصيانة الدورية والوقائية، التحسينات الوظيفية والجمالية، تحديث الأنظمة والبنية التحتية للمبنى) على القيمة الإيجارية وسرعة التأجير في السوق العقاري؟</w:t>
      </w:r>
    </w:p>
    <w:p w14:paraId="47356A54" w14:textId="49BA2FA8" w:rsidR="006C11ED" w:rsidRPr="003F5BA3" w:rsidRDefault="006C11ED" w:rsidP="006C11E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932449"/>
      <w:r w:rsidRPr="003F5BA3">
        <w:rPr>
          <w:rFonts w:ascii="Simplified Arabic" w:eastAsia="Times New Roman" w:hAnsi="Simplified Arabic" w:cs="Simplified Arabic"/>
          <w:b/>
          <w:bCs/>
          <w:color w:val="000000" w:themeColor="text1"/>
          <w:kern w:val="0"/>
          <w:sz w:val="36"/>
          <w:szCs w:val="36"/>
          <w:rtl/>
          <w14:ligatures w14:val="none"/>
        </w:rPr>
        <w:lastRenderedPageBreak/>
        <w:t>3.1 أهداف الدراسة</w:t>
      </w:r>
      <w:bookmarkEnd w:id="6"/>
    </w:p>
    <w:p w14:paraId="0CB12A32" w14:textId="77777777" w:rsidR="005E3552" w:rsidRPr="003F5BA3" w:rsidRDefault="005E3552" w:rsidP="006C11E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تطوير العقار بأبعاده الأربعة (جودة التشطيبات الداخلية والخارجية، كفاءة الصيانة الدورية والوقائية، التحسينات الوظيفية والجمالية، تحديث الأنظمة والبنية التحتية للمبنى) على القيمة الإيجارية وسرعة التأجير في السوق العقاري</w:t>
      </w:r>
    </w:p>
    <w:p w14:paraId="03AC8A32" w14:textId="77777777" w:rsidR="005E3552" w:rsidRPr="003F5BA3" w:rsidRDefault="005E3552" w:rsidP="00EA7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5BA3">
        <w:rPr>
          <w:rFonts w:ascii="Simplified Arabic" w:eastAsia="Times New Roman" w:hAnsi="Simplified Arabic" w:cs="Simplified Arabic"/>
          <w:b/>
          <w:bCs/>
          <w:color w:val="000000" w:themeColor="text1"/>
          <w:kern w:val="0"/>
          <w:sz w:val="28"/>
          <w:szCs w:val="28"/>
          <w14:ligatures w14:val="none"/>
        </w:rPr>
        <w:t xml:space="preserve"> </w:t>
      </w:r>
      <w:r w:rsidRPr="003F5BA3">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3F5BA3">
        <w:rPr>
          <w:rFonts w:ascii="Simplified Arabic" w:eastAsia="Times New Roman" w:hAnsi="Simplified Arabic" w:cs="Simplified Arabic"/>
          <w:b/>
          <w:bCs/>
          <w:color w:val="000000" w:themeColor="text1"/>
          <w:kern w:val="0"/>
          <w:sz w:val="28"/>
          <w:szCs w:val="28"/>
          <w14:ligatures w14:val="none"/>
        </w:rPr>
        <w:t>:</w:t>
      </w:r>
    </w:p>
    <w:p w14:paraId="0D3E6554" w14:textId="77777777" w:rsidR="005E3552" w:rsidRPr="003F5BA3" w:rsidRDefault="005E3552" w:rsidP="006C11ED">
      <w:pPr>
        <w:pStyle w:val="a6"/>
        <w:numPr>
          <w:ilvl w:val="0"/>
          <w:numId w:val="1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التعرف على أثر جودة التشطيبات الداخلية والخارجية (مواد التشطيب، مستوى الدهانات والأرضيات، واجهات المبنى، العزل الحراري والصوتي) على القيمة الإيجارية للوحدات العقارية ومدى إسهامها في تقليص فترة الشغور وتسريع عملية التأجير</w:t>
      </w:r>
      <w:r w:rsidRPr="003F5BA3">
        <w:rPr>
          <w:rFonts w:ascii="Simplified Arabic" w:eastAsia="Times New Roman" w:hAnsi="Simplified Arabic" w:cs="Simplified Arabic"/>
          <w:color w:val="000000" w:themeColor="text1"/>
          <w:kern w:val="0"/>
          <w:sz w:val="28"/>
          <w:szCs w:val="28"/>
          <w14:ligatures w14:val="none"/>
        </w:rPr>
        <w:t>.</w:t>
      </w:r>
    </w:p>
    <w:p w14:paraId="2DC1EDBB" w14:textId="77777777" w:rsidR="005E3552" w:rsidRPr="003F5BA3" w:rsidRDefault="005E3552" w:rsidP="006C11ED">
      <w:pPr>
        <w:pStyle w:val="a6"/>
        <w:numPr>
          <w:ilvl w:val="0"/>
          <w:numId w:val="1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التعرف على أثر كفاءة الصيانة الدورية والوقائية (صيانة الأنظمة الكهربائية والميكانيكية، معالجة التشققات والرطوبة، صيانة المصاعد والمناطق المشتركة، الاستجابة لطلبات الإصلاح) على رضا المستأجرين واستعدادهم لدفع إيجارات أعلى ومعدلات تجديد عقود الإيجار</w:t>
      </w:r>
      <w:r w:rsidRPr="003F5BA3">
        <w:rPr>
          <w:rFonts w:ascii="Simplified Arabic" w:eastAsia="Times New Roman" w:hAnsi="Simplified Arabic" w:cs="Simplified Arabic"/>
          <w:color w:val="000000" w:themeColor="text1"/>
          <w:kern w:val="0"/>
          <w:sz w:val="28"/>
          <w:szCs w:val="28"/>
          <w14:ligatures w14:val="none"/>
        </w:rPr>
        <w:t>.</w:t>
      </w:r>
    </w:p>
    <w:p w14:paraId="03C9EAD7" w14:textId="77777777" w:rsidR="005E3552" w:rsidRPr="003F5BA3" w:rsidRDefault="005E3552" w:rsidP="006C11ED">
      <w:pPr>
        <w:pStyle w:val="a6"/>
        <w:numPr>
          <w:ilvl w:val="0"/>
          <w:numId w:val="1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التعرف على أثر التحسينات الوظيفية والجمالية (إعادة توزيع المساحات الداخلية، تحسين الإضاءة والتهوية الطبيعية، تجميل المداخل والمساحات الخضراء، إضافة مرافق خدمية كمواقف السيارات والأمن) على جاذبية العقار في السوق الإيجاري وتحقيق ميزة تنافسية تُسرّع من عملية التأجير</w:t>
      </w:r>
      <w:r w:rsidRPr="003F5BA3">
        <w:rPr>
          <w:rFonts w:ascii="Simplified Arabic" w:eastAsia="Times New Roman" w:hAnsi="Simplified Arabic" w:cs="Simplified Arabic"/>
          <w:color w:val="000000" w:themeColor="text1"/>
          <w:kern w:val="0"/>
          <w:sz w:val="28"/>
          <w:szCs w:val="28"/>
          <w14:ligatures w14:val="none"/>
        </w:rPr>
        <w:t>.</w:t>
      </w:r>
    </w:p>
    <w:p w14:paraId="7442EDA7" w14:textId="77777777" w:rsidR="005E3552" w:rsidRPr="003F5BA3" w:rsidRDefault="005E3552" w:rsidP="006C11ED">
      <w:pPr>
        <w:pStyle w:val="a6"/>
        <w:numPr>
          <w:ilvl w:val="0"/>
          <w:numId w:val="1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التعرف على أثر تحديث الأنظمة والبنية التحتية للمبنى (تطوير شبكات المياه والصرف، ترقية الأنظمة الكهربائية، تركيب أنظمة مكافحة الحريق والسلامة، اعتماد حلول ذكية لإدارة الطاقة والمبنى) على القيمة الإيجارية طويلة الأجل وتقليل معدل دوران المستأجرين</w:t>
      </w:r>
      <w:r w:rsidRPr="003F5BA3">
        <w:rPr>
          <w:rFonts w:ascii="Simplified Arabic" w:eastAsia="Times New Roman" w:hAnsi="Simplified Arabic" w:cs="Simplified Arabic"/>
          <w:color w:val="000000" w:themeColor="text1"/>
          <w:kern w:val="0"/>
          <w:sz w:val="28"/>
          <w:szCs w:val="28"/>
          <w14:ligatures w14:val="none"/>
        </w:rPr>
        <w:t>.</w:t>
      </w:r>
    </w:p>
    <w:p w14:paraId="46A41EAC" w14:textId="77777777" w:rsidR="005E3552" w:rsidRPr="003F5BA3" w:rsidRDefault="005E3552" w:rsidP="006C11ED">
      <w:pPr>
        <w:pStyle w:val="a6"/>
        <w:numPr>
          <w:ilvl w:val="0"/>
          <w:numId w:val="1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تقديم إطار مقترح لتوجيه قرارات الاستثمار في تطوير العقار بما يُعظّم العائد الإيجاري ويُقلّص فترة الشغور في ضوء الممارسات المثلى المستخلصة من نتائج الدراسة</w:t>
      </w:r>
      <w:r w:rsidRPr="003F5BA3">
        <w:rPr>
          <w:rFonts w:ascii="Simplified Arabic" w:eastAsia="Times New Roman" w:hAnsi="Simplified Arabic" w:cs="Simplified Arabic"/>
          <w:color w:val="000000" w:themeColor="text1"/>
          <w:kern w:val="0"/>
          <w:sz w:val="28"/>
          <w:szCs w:val="28"/>
          <w14:ligatures w14:val="none"/>
        </w:rPr>
        <w:t>.</w:t>
      </w:r>
    </w:p>
    <w:p w14:paraId="02700D6C" w14:textId="77777777" w:rsidR="006C11ED" w:rsidRPr="003F5BA3" w:rsidRDefault="006C11ED" w:rsidP="006C11E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932450"/>
      <w:r w:rsidRPr="003F5BA3">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213981D4" w14:textId="1FBFA8D3" w:rsidR="005E3552" w:rsidRPr="003F5BA3" w:rsidRDefault="006C11ED" w:rsidP="006C11E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F5BA3">
        <w:rPr>
          <w:rFonts w:ascii="Simplified Arabic" w:eastAsia="Times New Roman" w:hAnsi="Simplified Arabic" w:cs="Simplified Arabic"/>
          <w:b/>
          <w:bCs/>
          <w:color w:val="000000" w:themeColor="text1"/>
          <w:kern w:val="0"/>
          <w:sz w:val="32"/>
          <w:szCs w:val="32"/>
          <w:rtl/>
          <w14:ligatures w14:val="none"/>
        </w:rPr>
        <w:t>السؤال الرئيسي</w:t>
      </w:r>
    </w:p>
    <w:p w14:paraId="41C3E70E" w14:textId="77777777" w:rsidR="005E3552" w:rsidRPr="003F5BA3" w:rsidRDefault="005E3552" w:rsidP="006C11E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lastRenderedPageBreak/>
        <w:t>ما أثر تطوير العقار بأبعاده (جودة التشطيبات الداخلية والخارجية، كفاءة الصيانة الدورية والوقائية، التحسينات الوظيفية والجمالية، تحديث الأنظمة والبنية التحتية للمبنى) على القيمة الإيجارية وسرعة التأجير في السوق العقاري؟</w:t>
      </w:r>
    </w:p>
    <w:p w14:paraId="1383E353" w14:textId="77777777" w:rsidR="005E3552" w:rsidRPr="003F5BA3" w:rsidRDefault="005E3552" w:rsidP="006C11E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503412"/>
      <w:r w:rsidRPr="003F5BA3">
        <w:rPr>
          <w:rFonts w:ascii="Simplified Arabic" w:eastAsia="Times New Roman" w:hAnsi="Simplified Arabic" w:cs="Simplified Arabic"/>
          <w:b/>
          <w:bCs/>
          <w:color w:val="000000" w:themeColor="text1"/>
          <w:kern w:val="0"/>
          <w:sz w:val="32"/>
          <w:szCs w:val="32"/>
          <w:rtl/>
          <w14:ligatures w14:val="none"/>
        </w:rPr>
        <w:t>الأسئلة الفرعية</w:t>
      </w:r>
      <w:bookmarkEnd w:id="8"/>
    </w:p>
    <w:p w14:paraId="45B49575" w14:textId="77777777" w:rsidR="005E3552" w:rsidRPr="003F5BA3" w:rsidRDefault="005E3552" w:rsidP="00D103B0">
      <w:pPr>
        <w:pStyle w:val="a6"/>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س1</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ما أثر جودة التشطيبات الداخلية والخارجية على القيمة الإيجارية للوحدات العقارية؟ وهل تُسهم في تقليص فترة الشغور وتسريع عملية التأجير؟</w:t>
      </w:r>
    </w:p>
    <w:p w14:paraId="3BD68D16" w14:textId="77777777" w:rsidR="005E3552" w:rsidRPr="003F5BA3" w:rsidRDefault="005E3552" w:rsidP="00D103B0">
      <w:pPr>
        <w:pStyle w:val="a6"/>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س2</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ما أثر كفاءة الصيانة الدورية والوقائية على رضا المستأجرين واستعدادهم لدفع إيجارات أعلى وتجديد عقود الإيجار؟</w:t>
      </w:r>
    </w:p>
    <w:p w14:paraId="30EF47D4" w14:textId="77777777" w:rsidR="005E3552" w:rsidRPr="003F5BA3" w:rsidRDefault="005E3552" w:rsidP="00D103B0">
      <w:pPr>
        <w:pStyle w:val="a6"/>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س3</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ما أثر التحسينات الوظيفية والجمالية على جاذبية العقار في السوق الإيجاري وعلى سرعة تأجير الوحدات الشاغرة؟</w:t>
      </w:r>
    </w:p>
    <w:p w14:paraId="66A36AC0" w14:textId="77777777" w:rsidR="005E3552" w:rsidRPr="003F5BA3" w:rsidRDefault="005E3552" w:rsidP="00D103B0">
      <w:pPr>
        <w:pStyle w:val="a6"/>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س4</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ما أثر تحديث الأنظمة والبنية التحتية للمبنى على القيمة الإيجارية طويلة الأجل وعلى تقليل معدل دوران المستأجرين؟</w:t>
      </w:r>
    </w:p>
    <w:p w14:paraId="1B933A9D" w14:textId="77777777" w:rsidR="00D103B0" w:rsidRPr="003F5BA3" w:rsidRDefault="00D103B0" w:rsidP="00D103B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932451"/>
      <w:r w:rsidRPr="003F5BA3">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1EEA7C0E" w14:textId="7A3C4CCF" w:rsidR="00D103B0" w:rsidRPr="003F5BA3" w:rsidRDefault="00D103B0" w:rsidP="00D103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F5BA3">
        <w:rPr>
          <w:rFonts w:ascii="Simplified Arabic" w:eastAsia="Times New Roman" w:hAnsi="Simplified Arabic" w:cs="Simplified Arabic"/>
          <w:b/>
          <w:bCs/>
          <w:color w:val="000000" w:themeColor="text1"/>
          <w:kern w:val="0"/>
          <w:sz w:val="32"/>
          <w:szCs w:val="32"/>
          <w:rtl/>
          <w14:ligatures w14:val="none"/>
        </w:rPr>
        <w:t>الفرض الرئيسي</w:t>
      </w:r>
    </w:p>
    <w:p w14:paraId="2D262750"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Cambria" w:eastAsia="Times New Roman" w:hAnsi="Cambria" w:cs="Cambria"/>
          <w:color w:val="000000" w:themeColor="text1"/>
          <w:kern w:val="0"/>
          <w:sz w:val="28"/>
          <w:szCs w:val="28"/>
          <w14:ligatures w14:val="none"/>
        </w:rPr>
        <w:t>α</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Times New Roman" w:eastAsia="Times New Roman" w:hAnsi="Times New Roman" w:cs="Times New Roman"/>
          <w:color w:val="000000" w:themeColor="text1"/>
          <w:kern w:val="0"/>
          <w:sz w:val="28"/>
          <w:szCs w:val="28"/>
          <w14:ligatures w14:val="none"/>
        </w:rPr>
        <w:t>≤</w:t>
      </w:r>
      <w:r w:rsidRPr="003F5BA3">
        <w:rPr>
          <w:rFonts w:ascii="Simplified Arabic" w:eastAsia="Times New Roman" w:hAnsi="Simplified Arabic" w:cs="Simplified Arabic"/>
          <w:color w:val="000000" w:themeColor="text1"/>
          <w:kern w:val="0"/>
          <w:sz w:val="28"/>
          <w:szCs w:val="28"/>
          <w14:ligatures w14:val="none"/>
        </w:rPr>
        <w:t xml:space="preserve"> 0.05) </w:t>
      </w:r>
      <w:r w:rsidRPr="003F5BA3">
        <w:rPr>
          <w:rFonts w:ascii="Simplified Arabic" w:eastAsia="Times New Roman" w:hAnsi="Simplified Arabic" w:cs="Simplified Arabic"/>
          <w:color w:val="000000" w:themeColor="text1"/>
          <w:kern w:val="0"/>
          <w:sz w:val="28"/>
          <w:szCs w:val="28"/>
          <w:rtl/>
          <w14:ligatures w14:val="none"/>
        </w:rPr>
        <w:t>لتطوير العقار بأبعاده (جودة التشطيبات الداخلية والخارجية، كفاءة الصيانة الدورية والوقائية، التحسينات الوظيفية والجمالية، تحديث الأنظمة والبنية التحتية للمبنى) على القيمة الإيجارية وسرعة التأجير في السوق العقاري</w:t>
      </w:r>
      <w:r w:rsidRPr="003F5BA3">
        <w:rPr>
          <w:rFonts w:ascii="Simplified Arabic" w:eastAsia="Times New Roman" w:hAnsi="Simplified Arabic" w:cs="Simplified Arabic"/>
          <w:color w:val="000000" w:themeColor="text1"/>
          <w:kern w:val="0"/>
          <w:sz w:val="28"/>
          <w:szCs w:val="28"/>
          <w14:ligatures w14:val="none"/>
        </w:rPr>
        <w:t>.</w:t>
      </w:r>
    </w:p>
    <w:p w14:paraId="2BBEEFEC" w14:textId="77777777" w:rsidR="005E3552" w:rsidRPr="003F5BA3" w:rsidRDefault="005E3552" w:rsidP="00D103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503415"/>
      <w:r w:rsidRPr="003F5BA3">
        <w:rPr>
          <w:rFonts w:ascii="Simplified Arabic" w:eastAsia="Times New Roman" w:hAnsi="Simplified Arabic" w:cs="Simplified Arabic"/>
          <w:b/>
          <w:bCs/>
          <w:color w:val="000000" w:themeColor="text1"/>
          <w:kern w:val="0"/>
          <w:sz w:val="32"/>
          <w:szCs w:val="32"/>
          <w:rtl/>
          <w14:ligatures w14:val="none"/>
        </w:rPr>
        <w:t>الفروض الفرعية</w:t>
      </w:r>
      <w:bookmarkEnd w:id="10"/>
    </w:p>
    <w:p w14:paraId="5706EBA0" w14:textId="77777777" w:rsidR="005E3552" w:rsidRPr="003F5BA3" w:rsidRDefault="005E3552" w:rsidP="00D103B0">
      <w:pPr>
        <w:pStyle w:val="a6"/>
        <w:numPr>
          <w:ilvl w:val="0"/>
          <w:numId w:val="1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Cambria" w:eastAsia="Times New Roman" w:hAnsi="Cambria" w:cs="Cambria"/>
          <w:color w:val="000000" w:themeColor="text1"/>
          <w:kern w:val="0"/>
          <w:sz w:val="28"/>
          <w:szCs w:val="28"/>
          <w14:ligatures w14:val="none"/>
        </w:rPr>
        <w:t>α</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Times New Roman" w:eastAsia="Times New Roman" w:hAnsi="Times New Roman" w:cs="Times New Roman"/>
          <w:color w:val="000000" w:themeColor="text1"/>
          <w:kern w:val="0"/>
          <w:sz w:val="28"/>
          <w:szCs w:val="28"/>
          <w14:ligatures w14:val="none"/>
        </w:rPr>
        <w:t>≤</w:t>
      </w:r>
      <w:r w:rsidRPr="003F5BA3">
        <w:rPr>
          <w:rFonts w:ascii="Simplified Arabic" w:eastAsia="Times New Roman" w:hAnsi="Simplified Arabic" w:cs="Simplified Arabic"/>
          <w:color w:val="000000" w:themeColor="text1"/>
          <w:kern w:val="0"/>
          <w:sz w:val="28"/>
          <w:szCs w:val="28"/>
          <w14:ligatures w14:val="none"/>
        </w:rPr>
        <w:t xml:space="preserve"> 0.05) </w:t>
      </w:r>
      <w:r w:rsidRPr="003F5BA3">
        <w:rPr>
          <w:rFonts w:ascii="Simplified Arabic" w:eastAsia="Times New Roman" w:hAnsi="Simplified Arabic" w:cs="Simplified Arabic"/>
          <w:color w:val="000000" w:themeColor="text1"/>
          <w:kern w:val="0"/>
          <w:sz w:val="28"/>
          <w:szCs w:val="28"/>
          <w:rtl/>
          <w14:ligatures w14:val="none"/>
        </w:rPr>
        <w:t>لجودة التشطيبات الداخلية والخارجية على القيمة الإيجارية وسرعة التأجير في السوق العقاري</w:t>
      </w:r>
      <w:r w:rsidRPr="003F5BA3">
        <w:rPr>
          <w:rFonts w:ascii="Simplified Arabic" w:eastAsia="Times New Roman" w:hAnsi="Simplified Arabic" w:cs="Simplified Arabic"/>
          <w:color w:val="000000" w:themeColor="text1"/>
          <w:kern w:val="0"/>
          <w:sz w:val="28"/>
          <w:szCs w:val="28"/>
          <w14:ligatures w14:val="none"/>
        </w:rPr>
        <w:t>.</w:t>
      </w:r>
    </w:p>
    <w:p w14:paraId="3F8A507C" w14:textId="77777777" w:rsidR="005E3552" w:rsidRPr="003F5BA3" w:rsidRDefault="005E3552" w:rsidP="00D103B0">
      <w:pPr>
        <w:pStyle w:val="a6"/>
        <w:numPr>
          <w:ilvl w:val="0"/>
          <w:numId w:val="1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Cambria" w:eastAsia="Times New Roman" w:hAnsi="Cambria" w:cs="Cambria"/>
          <w:color w:val="000000" w:themeColor="text1"/>
          <w:kern w:val="0"/>
          <w:sz w:val="28"/>
          <w:szCs w:val="28"/>
          <w14:ligatures w14:val="none"/>
        </w:rPr>
        <w:t>α</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Times New Roman" w:eastAsia="Times New Roman" w:hAnsi="Times New Roman" w:cs="Times New Roman"/>
          <w:color w:val="000000" w:themeColor="text1"/>
          <w:kern w:val="0"/>
          <w:sz w:val="28"/>
          <w:szCs w:val="28"/>
          <w14:ligatures w14:val="none"/>
        </w:rPr>
        <w:t>≤</w:t>
      </w:r>
      <w:r w:rsidRPr="003F5BA3">
        <w:rPr>
          <w:rFonts w:ascii="Simplified Arabic" w:eastAsia="Times New Roman" w:hAnsi="Simplified Arabic" w:cs="Simplified Arabic"/>
          <w:color w:val="000000" w:themeColor="text1"/>
          <w:kern w:val="0"/>
          <w:sz w:val="28"/>
          <w:szCs w:val="28"/>
          <w14:ligatures w14:val="none"/>
        </w:rPr>
        <w:t xml:space="preserve"> 0.05) </w:t>
      </w:r>
      <w:r w:rsidRPr="003F5BA3">
        <w:rPr>
          <w:rFonts w:ascii="Simplified Arabic" w:eastAsia="Times New Roman" w:hAnsi="Simplified Arabic" w:cs="Simplified Arabic"/>
          <w:color w:val="000000" w:themeColor="text1"/>
          <w:kern w:val="0"/>
          <w:sz w:val="28"/>
          <w:szCs w:val="28"/>
          <w:rtl/>
          <w14:ligatures w14:val="none"/>
        </w:rPr>
        <w:t>لكفاءة الصيانة الدورية والوقائية على القيمة الإيجارية وسرعة التأجير في السوق العقاري.</w:t>
      </w:r>
    </w:p>
    <w:p w14:paraId="383E8C73" w14:textId="77777777" w:rsidR="005E3552" w:rsidRPr="003F5BA3" w:rsidRDefault="005E3552" w:rsidP="00D103B0">
      <w:pPr>
        <w:pStyle w:val="a6"/>
        <w:numPr>
          <w:ilvl w:val="0"/>
          <w:numId w:val="1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lastRenderedPageBreak/>
        <w:t>يوجد أثر ذو دلالة إحصائية عند مستوى معنوية</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Cambria" w:eastAsia="Times New Roman" w:hAnsi="Cambria" w:cs="Cambria"/>
          <w:color w:val="000000" w:themeColor="text1"/>
          <w:kern w:val="0"/>
          <w:sz w:val="28"/>
          <w:szCs w:val="28"/>
          <w14:ligatures w14:val="none"/>
        </w:rPr>
        <w:t>α</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Times New Roman" w:eastAsia="Times New Roman" w:hAnsi="Times New Roman" w:cs="Times New Roman"/>
          <w:color w:val="000000" w:themeColor="text1"/>
          <w:kern w:val="0"/>
          <w:sz w:val="28"/>
          <w:szCs w:val="28"/>
          <w14:ligatures w14:val="none"/>
        </w:rPr>
        <w:t>≤</w:t>
      </w:r>
      <w:r w:rsidRPr="003F5BA3">
        <w:rPr>
          <w:rFonts w:ascii="Simplified Arabic" w:eastAsia="Times New Roman" w:hAnsi="Simplified Arabic" w:cs="Simplified Arabic"/>
          <w:color w:val="000000" w:themeColor="text1"/>
          <w:kern w:val="0"/>
          <w:sz w:val="28"/>
          <w:szCs w:val="28"/>
          <w14:ligatures w14:val="none"/>
        </w:rPr>
        <w:t xml:space="preserve"> 0.05) </w:t>
      </w:r>
      <w:r w:rsidRPr="003F5BA3">
        <w:rPr>
          <w:rFonts w:ascii="Simplified Arabic" w:eastAsia="Times New Roman" w:hAnsi="Simplified Arabic" w:cs="Simplified Arabic"/>
          <w:color w:val="000000" w:themeColor="text1"/>
          <w:kern w:val="0"/>
          <w:sz w:val="28"/>
          <w:szCs w:val="28"/>
          <w:rtl/>
          <w14:ligatures w14:val="none"/>
        </w:rPr>
        <w:t>للتحسينات الوظيفية والجمالية على القيمة الإيجارية وسرعة التأجير في السوق العقاري</w:t>
      </w:r>
      <w:r w:rsidRPr="003F5BA3">
        <w:rPr>
          <w:rFonts w:ascii="Simplified Arabic" w:eastAsia="Times New Roman" w:hAnsi="Simplified Arabic" w:cs="Simplified Arabic"/>
          <w:color w:val="000000" w:themeColor="text1"/>
          <w:kern w:val="0"/>
          <w:sz w:val="28"/>
          <w:szCs w:val="28"/>
          <w14:ligatures w14:val="none"/>
        </w:rPr>
        <w:t>.</w:t>
      </w:r>
    </w:p>
    <w:p w14:paraId="529EE4BA" w14:textId="77777777" w:rsidR="005E3552" w:rsidRPr="003F5BA3" w:rsidRDefault="005E3552" w:rsidP="00D103B0">
      <w:pPr>
        <w:pStyle w:val="a6"/>
        <w:numPr>
          <w:ilvl w:val="0"/>
          <w:numId w:val="1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Cambria" w:eastAsia="Times New Roman" w:hAnsi="Cambria" w:cs="Cambria"/>
          <w:color w:val="000000" w:themeColor="text1"/>
          <w:kern w:val="0"/>
          <w:sz w:val="28"/>
          <w:szCs w:val="28"/>
          <w14:ligatures w14:val="none"/>
        </w:rPr>
        <w:t>α</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Times New Roman" w:eastAsia="Times New Roman" w:hAnsi="Times New Roman" w:cs="Times New Roman"/>
          <w:color w:val="000000" w:themeColor="text1"/>
          <w:kern w:val="0"/>
          <w:sz w:val="28"/>
          <w:szCs w:val="28"/>
          <w14:ligatures w14:val="none"/>
        </w:rPr>
        <w:t>≤</w:t>
      </w:r>
      <w:r w:rsidRPr="003F5BA3">
        <w:rPr>
          <w:rFonts w:ascii="Simplified Arabic" w:eastAsia="Times New Roman" w:hAnsi="Simplified Arabic" w:cs="Simplified Arabic"/>
          <w:color w:val="000000" w:themeColor="text1"/>
          <w:kern w:val="0"/>
          <w:sz w:val="28"/>
          <w:szCs w:val="28"/>
          <w14:ligatures w14:val="none"/>
        </w:rPr>
        <w:t xml:space="preserve"> 0.05) </w:t>
      </w:r>
      <w:r w:rsidRPr="003F5BA3">
        <w:rPr>
          <w:rFonts w:ascii="Simplified Arabic" w:eastAsia="Times New Roman" w:hAnsi="Simplified Arabic" w:cs="Simplified Arabic"/>
          <w:color w:val="000000" w:themeColor="text1"/>
          <w:kern w:val="0"/>
          <w:sz w:val="28"/>
          <w:szCs w:val="28"/>
          <w:rtl/>
          <w14:ligatures w14:val="none"/>
        </w:rPr>
        <w:t>لتحديث الأنظمة والبنية التحتية للمبنى على القيمة الإيجارية وسرعة التأجير في السوق العقاري</w:t>
      </w:r>
      <w:r w:rsidRPr="003F5BA3">
        <w:rPr>
          <w:rFonts w:ascii="Simplified Arabic" w:eastAsia="Times New Roman" w:hAnsi="Simplified Arabic" w:cs="Simplified Arabic"/>
          <w:color w:val="000000" w:themeColor="text1"/>
          <w:kern w:val="0"/>
          <w:sz w:val="28"/>
          <w:szCs w:val="28"/>
          <w14:ligatures w14:val="none"/>
        </w:rPr>
        <w:t>.</w:t>
      </w:r>
    </w:p>
    <w:p w14:paraId="43455F2F" w14:textId="77777777" w:rsidR="00D103B0" w:rsidRPr="003F5BA3" w:rsidRDefault="00D103B0" w:rsidP="00D103B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932452"/>
      <w:r w:rsidRPr="003F5BA3">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56E9AD47" w14:textId="57615D0C" w:rsidR="00D103B0" w:rsidRPr="003F5BA3" w:rsidRDefault="00D103B0" w:rsidP="00D103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F5BA3">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75FF80CF" w14:textId="77777777" w:rsidR="005E3552" w:rsidRPr="003F5BA3" w:rsidRDefault="005E3552" w:rsidP="00D103B0">
      <w:pPr>
        <w:pStyle w:val="a6"/>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تسدّ هذه الدراسة فجوة بحثية واضحة في الأدبيات العربية والأجنبية التي تفتقر إلى نموذج تحليلي متكامل يربط بشكل مباشر بين أبعاد تطوير العقار الأربعة (جودة التشطيبات الداخلية والخارجية، كفاءة الصيانة الدورية والوقائية، التحسينات الوظيفية والجمالية، تحديث الأنظمة والبنية التحتية) وبين القيمة الإيجارية وسرعة التأجير ضمن إطار بحثي واحد، إذ إن معظم الدراسات السابقة تناولت كل بُعد على حدة دون دمجها في نموذج شامل يكشف عن التأثيرات المتبادلة والأهمية النسبية لكل بُعد</w:t>
      </w:r>
      <w:r w:rsidRPr="003F5BA3">
        <w:rPr>
          <w:rFonts w:ascii="Simplified Arabic" w:eastAsia="Times New Roman" w:hAnsi="Simplified Arabic" w:cs="Simplified Arabic"/>
          <w:color w:val="000000" w:themeColor="text1"/>
          <w:kern w:val="0"/>
          <w:sz w:val="28"/>
          <w:szCs w:val="28"/>
          <w14:ligatures w14:val="none"/>
        </w:rPr>
        <w:t>.</w:t>
      </w:r>
    </w:p>
    <w:p w14:paraId="65FD6F39" w14:textId="77777777" w:rsidR="005E3552" w:rsidRPr="003F5BA3" w:rsidRDefault="005E3552" w:rsidP="00D103B0">
      <w:pPr>
        <w:pStyle w:val="a6"/>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تُثري الدراسة الإطار النظري لإدارة الأصول العقارية والاقتصاد العقاري من خلال توسيع نطاق النظريات القائمة — كنظرية رسملة الدخل ونظرية التسعير </w:t>
      </w:r>
      <w:proofErr w:type="spellStart"/>
      <w:r w:rsidRPr="003F5BA3">
        <w:rPr>
          <w:rFonts w:ascii="Simplified Arabic" w:eastAsia="Times New Roman" w:hAnsi="Simplified Arabic" w:cs="Simplified Arabic"/>
          <w:color w:val="000000" w:themeColor="text1"/>
          <w:kern w:val="0"/>
          <w:sz w:val="28"/>
          <w:szCs w:val="28"/>
          <w:rtl/>
          <w14:ligatures w14:val="none"/>
        </w:rPr>
        <w:t>الهيدوني</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ونظرية إدارة دورة حياة المبنى — بإدراج متغيرات التطوير والتحسين كمحددات بنيوية أساسية للقيمة الإيجارية، وليس مجرد عوامل هامشية كما عُوملت في كثير من الأطر التقليدية</w:t>
      </w:r>
      <w:r w:rsidRPr="003F5BA3">
        <w:rPr>
          <w:rFonts w:ascii="Simplified Arabic" w:eastAsia="Times New Roman" w:hAnsi="Simplified Arabic" w:cs="Simplified Arabic"/>
          <w:color w:val="000000" w:themeColor="text1"/>
          <w:kern w:val="0"/>
          <w:sz w:val="28"/>
          <w:szCs w:val="28"/>
          <w14:ligatures w14:val="none"/>
        </w:rPr>
        <w:t>.</w:t>
      </w:r>
    </w:p>
    <w:p w14:paraId="46A0B872" w14:textId="77777777" w:rsidR="005E3552" w:rsidRPr="003F5BA3" w:rsidRDefault="005E3552" w:rsidP="00D103B0">
      <w:pPr>
        <w:pStyle w:val="a6"/>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تُقدّم الدراسة مساهمة منهجية بارزة من خلال تصميم أداة قياس (استبانة) محكّمة تقيس أبعاد تطوير العقار الأربعة وتأثيرها على القيمة الإيجارية وسرعة التأجير، مما يُتيح للباحثين اللاحقين أداة موثوقة وصادقة قابلة للتطبيق والتكرار في بيئات عقارية وسياقات جغرافية وثقافية متنوعة سواء في الدول العربية أو الأسواق العالمية</w:t>
      </w:r>
      <w:r w:rsidRPr="003F5BA3">
        <w:rPr>
          <w:rFonts w:ascii="Simplified Arabic" w:eastAsia="Times New Roman" w:hAnsi="Simplified Arabic" w:cs="Simplified Arabic"/>
          <w:color w:val="000000" w:themeColor="text1"/>
          <w:kern w:val="0"/>
          <w:sz w:val="28"/>
          <w:szCs w:val="28"/>
          <w14:ligatures w14:val="none"/>
        </w:rPr>
        <w:t>.</w:t>
      </w:r>
    </w:p>
    <w:p w14:paraId="1ED0C5FB" w14:textId="77777777" w:rsidR="005E3552" w:rsidRPr="003F5BA3" w:rsidRDefault="005E3552" w:rsidP="00D103B0">
      <w:pPr>
        <w:pStyle w:val="a6"/>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تُسهم الدراسة في بناء قاعدة معرفية مُوثَّقة بالأدلة الكمّية حول الأهمية النسبية لكل بُعد من أبعاد التطوير العقاري في تحديد القيمة الإيجارية وسرعة شغل الوحدات، وهو ما يُمكّن الباحثين مستقبلاً من إجراء دراسات مقارنة عابرة للثقافات بين أسواق عقارية مختلفة والكشف عن الثوابت والمتغيرات عبر السياقات الاقتصادية والتشريعية المتباينة</w:t>
      </w:r>
      <w:r w:rsidRPr="003F5BA3">
        <w:rPr>
          <w:rFonts w:ascii="Simplified Arabic" w:eastAsia="Times New Roman" w:hAnsi="Simplified Arabic" w:cs="Simplified Arabic"/>
          <w:color w:val="000000" w:themeColor="text1"/>
          <w:kern w:val="0"/>
          <w:sz w:val="28"/>
          <w:szCs w:val="28"/>
          <w14:ligatures w14:val="none"/>
        </w:rPr>
        <w:t>.</w:t>
      </w:r>
    </w:p>
    <w:p w14:paraId="4A47FC7C" w14:textId="77777777" w:rsidR="005E3552" w:rsidRPr="003F5BA3" w:rsidRDefault="005E3552" w:rsidP="00D103B0">
      <w:pPr>
        <w:pStyle w:val="a6"/>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تفتح الدراسة آفاقاً بحثية جديدة ومتشعبة أمام المتخصصين في مجالات التخطيط العمراني وإدارة المرافق والتقييم العقاري والتمويل العقاري، وذلك من خلال تحديد الفجوات المعرفية التي قد تكشف </w:t>
      </w:r>
      <w:r w:rsidRPr="003F5BA3">
        <w:rPr>
          <w:rFonts w:ascii="Simplified Arabic" w:eastAsia="Times New Roman" w:hAnsi="Simplified Arabic" w:cs="Simplified Arabic"/>
          <w:color w:val="000000" w:themeColor="text1"/>
          <w:kern w:val="0"/>
          <w:sz w:val="28"/>
          <w:szCs w:val="28"/>
          <w:rtl/>
          <w14:ligatures w14:val="none"/>
        </w:rPr>
        <w:lastRenderedPageBreak/>
        <w:t>عنها نتائجها، مثل دراسة أثر حلول المباني الذكية والاستدامة البيئية على سرعة التأجير، أو قياس العلاقة بين الإنفاق على الصيانة الوقائية والقيمة الإيجارية طويلة الأجل، أو تأثير التحول الرقمي في إدارة العقارات على سلوك المستأجرين</w:t>
      </w:r>
      <w:r w:rsidRPr="003F5BA3">
        <w:rPr>
          <w:rFonts w:ascii="Simplified Arabic" w:eastAsia="Times New Roman" w:hAnsi="Simplified Arabic" w:cs="Simplified Arabic"/>
          <w:color w:val="000000" w:themeColor="text1"/>
          <w:kern w:val="0"/>
          <w:sz w:val="28"/>
          <w:szCs w:val="28"/>
          <w14:ligatures w14:val="none"/>
        </w:rPr>
        <w:t>.</w:t>
      </w:r>
    </w:p>
    <w:p w14:paraId="46ADF3C5" w14:textId="77777777" w:rsidR="005E3552" w:rsidRPr="003F5BA3" w:rsidRDefault="005E3552" w:rsidP="00D103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503418"/>
      <w:r w:rsidRPr="003F5BA3">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2"/>
    </w:p>
    <w:p w14:paraId="1A6D946D" w14:textId="77777777" w:rsidR="005E3552" w:rsidRPr="003F5BA3" w:rsidRDefault="005E3552" w:rsidP="00D103B0">
      <w:pPr>
        <w:pStyle w:val="a6"/>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تُزوّد الدراسة المستثمرين العقاريين وشركات التطوير بمؤشرات كمّية واضحة ومبنية على أدلة ميدانية حول العائد المتوقع من كل نوع من أنواع التطوير، مما يُمكّنهم من ترتيب أولويات الإنفاق الرأسمالي وتوجيه الاستثمار نحو الأبعاد الأعلى عائداً على القيمة الإيجارية بدلاً من اتخاذ قرارات مبنية على الحدس أو الخبرة الشخصية فحسب، وهو ما ينعكس مباشرة على تحسين هوامش الربحية وتعظيم العائد على الاستثمار العقاري</w:t>
      </w:r>
      <w:r w:rsidRPr="003F5BA3">
        <w:rPr>
          <w:rFonts w:ascii="Simplified Arabic" w:eastAsia="Times New Roman" w:hAnsi="Simplified Arabic" w:cs="Simplified Arabic"/>
          <w:color w:val="000000" w:themeColor="text1"/>
          <w:kern w:val="0"/>
          <w:sz w:val="28"/>
          <w:szCs w:val="28"/>
          <w14:ligatures w14:val="none"/>
        </w:rPr>
        <w:t>.</w:t>
      </w:r>
    </w:p>
    <w:p w14:paraId="78E3D47D" w14:textId="77777777" w:rsidR="005E3552" w:rsidRPr="003F5BA3" w:rsidRDefault="005E3552" w:rsidP="00D103B0">
      <w:pPr>
        <w:pStyle w:val="a6"/>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تُساعد الدراسة شركات إدارة الأملاك والمرافق في تصميم خطط صيانة وقائية ودورية قائمة على تحليل التكلفة والعائد، بحيث يُمكنها تحديد المستوى الأمثل من الإنفاق على الصيانة الذي يُحقّق أقصى أثر على رضا المستأجرين ومعدلات تجديد العقود وتقليل فترات الشغور، مما يُترجم إلى تحسين مباشر وملموس في التدفقات النقدية التشغيلية والقيمة الرأسمالية للعقار</w:t>
      </w:r>
      <w:r w:rsidRPr="003F5BA3">
        <w:rPr>
          <w:rFonts w:ascii="Simplified Arabic" w:eastAsia="Times New Roman" w:hAnsi="Simplified Arabic" w:cs="Simplified Arabic"/>
          <w:color w:val="000000" w:themeColor="text1"/>
          <w:kern w:val="0"/>
          <w:sz w:val="28"/>
          <w:szCs w:val="28"/>
          <w14:ligatures w14:val="none"/>
        </w:rPr>
        <w:t>.</w:t>
      </w:r>
    </w:p>
    <w:p w14:paraId="575BB6C5" w14:textId="77777777" w:rsidR="005E3552" w:rsidRPr="003F5BA3" w:rsidRDefault="005E3552" w:rsidP="00D103B0">
      <w:pPr>
        <w:pStyle w:val="a6"/>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تُوفّر الدراسة لصانعي السياسات والجهات التنظيمية العقارية — كهيئات تنظيم الإيجار وبلديات المدن ووزارات الإسكان — قاعدة بيانات ونتائج ميدانية تُسهم في صياغة تشريعات وأنظمة تُلزم المُلّاك بمعايير صيانة دنيا واشتراطات جودة للتشطيبات.</w:t>
      </w:r>
    </w:p>
    <w:p w14:paraId="6E16D9DA" w14:textId="77777777" w:rsidR="00D103B0" w:rsidRPr="003F5BA3" w:rsidRDefault="00D103B0" w:rsidP="00D103B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932453"/>
      <w:bookmarkStart w:id="14" w:name="_Toc169790501"/>
      <w:bookmarkEnd w:id="5"/>
      <w:r w:rsidRPr="003F5BA3">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777A6A49" w14:textId="7DB06F03" w:rsidR="00D103B0" w:rsidRPr="003F5BA3" w:rsidRDefault="00D103B0" w:rsidP="00D103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F5BA3">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 تطوير العقار (التشطيبات، الصيانة، التحسينات) وعلاقته بمتغيرات أخرى</w:t>
      </w:r>
    </w:p>
    <w:p w14:paraId="1A21E899" w14:textId="77777777" w:rsidR="00D103B0" w:rsidRPr="003F5BA3" w:rsidRDefault="00D103B0"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دراسة الرحيلي</w:t>
      </w:r>
      <w:r w:rsidRPr="003F5BA3">
        <w:rPr>
          <w:rFonts w:ascii="Simplified Arabic" w:eastAsia="Times New Roman" w:hAnsi="Simplified Arabic" w:cs="Simplified Arabic"/>
          <w:color w:val="000000" w:themeColor="text1"/>
          <w:kern w:val="0"/>
          <w:sz w:val="28"/>
          <w:szCs w:val="28"/>
          <w14:ligatures w14:val="none"/>
        </w:rPr>
        <w:t xml:space="preserve"> (2020): "</w:t>
      </w:r>
      <w:r w:rsidRPr="003F5BA3">
        <w:rPr>
          <w:rFonts w:ascii="Simplified Arabic" w:eastAsia="Times New Roman" w:hAnsi="Simplified Arabic" w:cs="Simplified Arabic"/>
          <w:color w:val="000000" w:themeColor="text1"/>
          <w:kern w:val="0"/>
          <w:sz w:val="28"/>
          <w:szCs w:val="28"/>
          <w:rtl/>
          <w14:ligatures w14:val="none"/>
        </w:rPr>
        <w:t xml:space="preserve">تطوير قطاع الإيجار العقاري بما يتماشى مع التحول الرقمي للمملكة العربية السعودية: دراسة مقترحة لتطبيق تقنية البلوك تشين". هدفت هذه الدراسة إلى التعرف على إمكانية تطبيق تقنية البلوك تشين بأبعادها (إدارة المعاملات، الشفافية والموثوقية، تقليل الوساطة، كفاءة إدارة المعلومات) في تطوير قطاع الإيجار العقاري بالمملكة العربية السعودية. واستخدمت الدراسة منهج دراسة الحالة للتعرف على الآلية الحالية لإدارة قطاع الإيجار ثم تقديم نموذج مقترح لتطبيق تقنية البلوك تشين. وتكوّنت العينة </w:t>
      </w:r>
      <w:r w:rsidRPr="003F5BA3">
        <w:rPr>
          <w:rFonts w:ascii="Simplified Arabic" w:eastAsia="Times New Roman" w:hAnsi="Simplified Arabic" w:cs="Simplified Arabic"/>
          <w:color w:val="000000" w:themeColor="text1"/>
          <w:kern w:val="0"/>
          <w:sz w:val="28"/>
          <w:szCs w:val="28"/>
          <w:rtl/>
          <w14:ligatures w14:val="none"/>
        </w:rPr>
        <w:lastRenderedPageBreak/>
        <w:t>من تحليل الإطار التنظيمي والتشريعي القائم لنظام الإيجار العقاري السعودي والمعاملات المنفّذة عبر منصة "إيجار" الحكومية. وتوصلت النتائج إلى أن تقنية البلوك تشين تسهم في تحقيق الشفافية والدقة في معاملات الإيجار، وتتغلب على مركزية الآلية الحالية التي تعتمد على الوسيط العقاري، وتوفر بيئة آمنة لحفظ المعلومات وتنظيمها وتبادلها واسترجاعها. وأوصت الدراسة بتبني تطبيقات البلوك تشين في شتى المجالات بالمملكة لمواكبة رؤية 2030 وتحقيق التحول الرقمي</w:t>
      </w:r>
      <w:r w:rsidRPr="003F5BA3">
        <w:rPr>
          <w:rFonts w:ascii="Simplified Arabic" w:eastAsia="Times New Roman" w:hAnsi="Simplified Arabic" w:cs="Simplified Arabic"/>
          <w:color w:val="000000" w:themeColor="text1"/>
          <w:kern w:val="0"/>
          <w:sz w:val="28"/>
          <w:szCs w:val="28"/>
          <w14:ligatures w14:val="none"/>
        </w:rPr>
        <w:t>.</w:t>
      </w:r>
    </w:p>
    <w:p w14:paraId="6C2B13A1"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دراسة البداح </w:t>
      </w:r>
      <w:proofErr w:type="spellStart"/>
      <w:r w:rsidRPr="003F5BA3">
        <w:rPr>
          <w:rFonts w:ascii="Simplified Arabic" w:eastAsia="Times New Roman" w:hAnsi="Simplified Arabic" w:cs="Simplified Arabic"/>
          <w:color w:val="000000" w:themeColor="text1"/>
          <w:kern w:val="0"/>
          <w:sz w:val="28"/>
          <w:szCs w:val="28"/>
          <w:rtl/>
          <w14:ligatures w14:val="none"/>
        </w:rPr>
        <w:t>والحاثلول</w:t>
      </w:r>
      <w:proofErr w:type="spellEnd"/>
      <w:r w:rsidRPr="003F5BA3">
        <w:rPr>
          <w:rFonts w:ascii="Simplified Arabic" w:eastAsia="Times New Roman" w:hAnsi="Simplified Arabic" w:cs="Simplified Arabic"/>
          <w:color w:val="000000" w:themeColor="text1"/>
          <w:kern w:val="0"/>
          <w:sz w:val="28"/>
          <w:szCs w:val="28"/>
          <w14:ligatures w14:val="none"/>
        </w:rPr>
        <w:t xml:space="preserve"> (2022): "</w:t>
      </w:r>
      <w:r w:rsidRPr="003F5BA3">
        <w:rPr>
          <w:rFonts w:ascii="Simplified Arabic" w:eastAsia="Times New Roman" w:hAnsi="Simplified Arabic" w:cs="Simplified Arabic"/>
          <w:color w:val="000000" w:themeColor="text1"/>
          <w:kern w:val="0"/>
          <w:sz w:val="28"/>
          <w:szCs w:val="28"/>
          <w:rtl/>
          <w14:ligatures w14:val="none"/>
        </w:rPr>
        <w:t>دراسة مقارنة لتكلفة التطوير العقاري السكني بين الشركات الكبرى والمؤسسات الصغيرة: مدينة الرياض نموذجاً (2013–2015)". هدفت هذه الدراسة إلى التعرف على الفروق في تكاليف التطوير العقاري السكني بأبعاده (تكلفة الأرض، تكلفة البناء والتشطيبات، تكلفة التصميم والإشراف، المصاريف الإدارية والتسويقية، وهامش الربح) بين الشركات الكبرى والمؤسسات الفردية الصغيرة في مدينة الرياض بالمملكة العربية السعودية. واستخدمت الدراسة المنهج الوصفي التحليلي من خلال دراسة حالة لأربعة مشاريع سكنية (شركة كبرى واحدة وثلاث مؤسسات فردية) في الفترة 2013–2015. وتكوّنت العينة من بيانات مالية وتشغيلية مفصّلة لهذه المشاريع الأربعة التي تضم ما يزيد عن 1300 وحدة سكنية. وقد توصلت نتائج الدراسة إلى أن تكلفة التطوير لدى الشركات الكبرى أعلى بنسبة 33% مقارنة بالمؤسسات الفردية، وأن الفرق يعود بشكل أساسي إلى ارتفاع تكاليف الأراضي والمصاريف الإدارية، في حين أن تكلفة البناء والتشطيبات لا تختلف جوهرياً. كما بيّنت الدراسة أن تكلفة المتر المربع لدى المؤسسات الفردية تراوحت بين 1273 و1320 ريالاً مقابل نحو 1500 ريال للشركة الكبرى. وأوصت الدراسة بتطوير نموذج لخفض تكاليف التطوير العقاري لدى الشركات الكبرى، وتشجيع المطورين الأفراد على التحوّل إلى العمل المؤسسي المنظّم بما يُسهم في زيادة المعروض السكني وإعادة التوازن لسوق الإسكان</w:t>
      </w:r>
      <w:r w:rsidRPr="003F5BA3">
        <w:rPr>
          <w:rFonts w:ascii="Simplified Arabic" w:eastAsia="Times New Roman" w:hAnsi="Simplified Arabic" w:cs="Simplified Arabic"/>
          <w:color w:val="000000" w:themeColor="text1"/>
          <w:kern w:val="0"/>
          <w:sz w:val="28"/>
          <w:szCs w:val="28"/>
          <w14:ligatures w14:val="none"/>
        </w:rPr>
        <w:t>.</w:t>
      </w:r>
    </w:p>
    <w:p w14:paraId="32134BF7" w14:textId="77777777" w:rsidR="00D103B0" w:rsidRPr="003F5BA3" w:rsidRDefault="00D103B0"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دراسة</w:t>
      </w:r>
      <w:r w:rsidRPr="003F5BA3">
        <w:rPr>
          <w:rFonts w:ascii="Simplified Arabic" w:eastAsia="Times New Roman" w:hAnsi="Simplified Arabic" w:cs="Simplified Arabic"/>
          <w:color w:val="000000" w:themeColor="text1"/>
          <w:kern w:val="0"/>
          <w:sz w:val="28"/>
          <w:szCs w:val="28"/>
          <w14:ligatures w14:val="none"/>
        </w:rPr>
        <w:t xml:space="preserve"> Pannier et al. (2021): "Identifying Optimal Renovation Schedules for Building Portfolios: Application in a Social Housing Context under Multi-Year Funding Constraints". </w:t>
      </w:r>
      <w:r w:rsidRPr="003F5BA3">
        <w:rPr>
          <w:rFonts w:ascii="Simplified Arabic" w:eastAsia="Times New Roman" w:hAnsi="Simplified Arabic" w:cs="Simplified Arabic"/>
          <w:color w:val="000000" w:themeColor="text1"/>
          <w:kern w:val="0"/>
          <w:sz w:val="28"/>
          <w:szCs w:val="28"/>
          <w:rtl/>
          <w14:ligatures w14:val="none"/>
        </w:rPr>
        <w:t>هدفت هذه الدراسة إلى التعرف على أفضل جداول التجديد لمحافظ المباني بأبعادها الثلاثة (أي إجراء تجديدي يُنفَّذ؟ أي مبنى يُجدَّد أولاً؟ في أي سنة؟) في ظل قيود التمويل متعدد السنوات. واستخدمت الدراسة منهج التحسين متعدد الأهداف</w:t>
      </w:r>
      <w:r w:rsidRPr="003F5BA3">
        <w:rPr>
          <w:rFonts w:ascii="Simplified Arabic" w:eastAsia="Times New Roman" w:hAnsi="Simplified Arabic" w:cs="Simplified Arabic"/>
          <w:color w:val="000000" w:themeColor="text1"/>
          <w:kern w:val="0"/>
          <w:sz w:val="28"/>
          <w:szCs w:val="28"/>
          <w14:ligatures w14:val="none"/>
        </w:rPr>
        <w:t xml:space="preserve"> (MOO) </w:t>
      </w:r>
      <w:r w:rsidRPr="003F5BA3">
        <w:rPr>
          <w:rFonts w:ascii="Simplified Arabic" w:eastAsia="Times New Roman" w:hAnsi="Simplified Arabic" w:cs="Simplified Arabic"/>
          <w:color w:val="000000" w:themeColor="text1"/>
          <w:kern w:val="0"/>
          <w:sz w:val="28"/>
          <w:szCs w:val="28"/>
          <w:rtl/>
          <w14:ligatures w14:val="none"/>
        </w:rPr>
        <w:t>باستخدام خوارزمية</w:t>
      </w:r>
      <w:r w:rsidRPr="003F5BA3">
        <w:rPr>
          <w:rFonts w:ascii="Simplified Arabic" w:eastAsia="Times New Roman" w:hAnsi="Simplified Arabic" w:cs="Simplified Arabic"/>
          <w:color w:val="000000" w:themeColor="text1"/>
          <w:kern w:val="0"/>
          <w:sz w:val="28"/>
          <w:szCs w:val="28"/>
          <w14:ligatures w14:val="none"/>
        </w:rPr>
        <w:t xml:space="preserve"> NSGA-II </w:t>
      </w:r>
      <w:r w:rsidRPr="003F5BA3">
        <w:rPr>
          <w:rFonts w:ascii="Simplified Arabic" w:eastAsia="Times New Roman" w:hAnsi="Simplified Arabic" w:cs="Simplified Arabic"/>
          <w:color w:val="000000" w:themeColor="text1"/>
          <w:kern w:val="0"/>
          <w:sz w:val="28"/>
          <w:szCs w:val="28"/>
          <w:rtl/>
          <w14:ligatures w14:val="none"/>
        </w:rPr>
        <w:t xml:space="preserve">المُعدَّلة، إلى جانب المحاكاة الديناميكية لاستهلاك الطاقة في المباني ونماذج تقدير التكلفة. وتكوّنت العينة من محفظة مباني إسكان اجتماعي في منطقة باريس الكبرى تضم عدة مبانٍ سكنية متنوعة من حيث سنة البناء ونوع العزل ونظام التدفئة. وتوصلت النتائج إلى أن التحسين المشترك لثلاثة أسئلة (ماذا، أين، متى) </w:t>
      </w:r>
      <w:r w:rsidRPr="003F5BA3">
        <w:rPr>
          <w:rFonts w:ascii="Simplified Arabic" w:eastAsia="Times New Roman" w:hAnsi="Simplified Arabic" w:cs="Simplified Arabic"/>
          <w:color w:val="000000" w:themeColor="text1"/>
          <w:kern w:val="0"/>
          <w:sz w:val="28"/>
          <w:szCs w:val="28"/>
          <w:rtl/>
          <w14:ligatures w14:val="none"/>
        </w:rPr>
        <w:lastRenderedPageBreak/>
        <w:t xml:space="preserve">في خطوة تحسين واحدة يُنتج جداول تجديد أكثر كفاءة من التحسين المنفصل، وأن المباني ذات الأداء </w:t>
      </w:r>
      <w:proofErr w:type="spellStart"/>
      <w:r w:rsidRPr="003F5BA3">
        <w:rPr>
          <w:rFonts w:ascii="Simplified Arabic" w:eastAsia="Times New Roman" w:hAnsi="Simplified Arabic" w:cs="Simplified Arabic"/>
          <w:color w:val="000000" w:themeColor="text1"/>
          <w:kern w:val="0"/>
          <w:sz w:val="28"/>
          <w:szCs w:val="28"/>
          <w:rtl/>
          <w14:ligatures w14:val="none"/>
        </w:rPr>
        <w:t>الطاقوي</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الأضعف ينبغي أن تحظى بالأولوية في الجداول، وأن التدخل على مستوى الغلاف الخارجي والأنظمة الميكانيكية معاً يحقق أقصى وفر في الطاقة والتكلفة. وأوصت الدراسة بتعميم هذا النموذج على مُلّاك المحافظ العقارية والبلديات لتوجيه استثماراتهم في التجديد، مع إدراج معايير بيئية واجتماعية في عملية اتخاذ القرار</w:t>
      </w:r>
      <w:r w:rsidRPr="003F5BA3">
        <w:rPr>
          <w:rFonts w:ascii="Simplified Arabic" w:eastAsia="Times New Roman" w:hAnsi="Simplified Arabic" w:cs="Simplified Arabic"/>
          <w:color w:val="000000" w:themeColor="text1"/>
          <w:kern w:val="0"/>
          <w:sz w:val="28"/>
          <w:szCs w:val="28"/>
          <w14:ligatures w14:val="none"/>
        </w:rPr>
        <w:t>.</w:t>
      </w:r>
    </w:p>
    <w:p w14:paraId="2956092A" w14:textId="77777777" w:rsidR="00D103B0" w:rsidRPr="003F5BA3" w:rsidRDefault="00D103B0"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دراسة</w:t>
      </w:r>
      <w:r w:rsidRPr="003F5BA3">
        <w:rPr>
          <w:rFonts w:ascii="Simplified Arabic" w:eastAsia="Times New Roman" w:hAnsi="Simplified Arabic" w:cs="Simplified Arabic"/>
          <w:color w:val="000000" w:themeColor="text1"/>
          <w:kern w:val="0"/>
          <w:sz w:val="28"/>
          <w:szCs w:val="28"/>
          <w14:ligatures w14:val="none"/>
        </w:rPr>
        <w:t xml:space="preserve"> Lang et al. (2021): "Systematic Review: Landlords' Willingness to Retrofit Energy Efficiency Improvements". </w:t>
      </w:r>
      <w:r w:rsidRPr="003F5BA3">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العوامل المؤثرة في استعداد المُلّاك لتنفيذ تحسينات كفاءة الطاقة في العقارات المؤجرة بأبعادها (العوامل </w:t>
      </w:r>
      <w:proofErr w:type="spellStart"/>
      <w:r w:rsidRPr="003F5BA3">
        <w:rPr>
          <w:rFonts w:ascii="Simplified Arabic" w:eastAsia="Times New Roman" w:hAnsi="Simplified Arabic" w:cs="Simplified Arabic"/>
          <w:color w:val="000000" w:themeColor="text1"/>
          <w:kern w:val="0"/>
          <w:sz w:val="28"/>
          <w:szCs w:val="28"/>
          <w:rtl/>
          <w14:ligatures w14:val="none"/>
        </w:rPr>
        <w:t>الموقفية</w:t>
      </w:r>
      <w:proofErr w:type="spellEnd"/>
      <w:r w:rsidRPr="003F5BA3">
        <w:rPr>
          <w:rFonts w:ascii="Simplified Arabic" w:eastAsia="Times New Roman" w:hAnsi="Simplified Arabic" w:cs="Simplified Arabic"/>
          <w:color w:val="000000" w:themeColor="text1"/>
          <w:kern w:val="0"/>
          <w:sz w:val="28"/>
          <w:szCs w:val="28"/>
          <w:rtl/>
          <w14:ligatures w14:val="none"/>
        </w:rPr>
        <w:t>/السياقية، خصائص المسكن، العوامل الاجتماعية-الديموغرافية، والعوامل النفسية). واستخدمت الدراسة منهج المراجعة المنهجية</w:t>
      </w:r>
      <w:r w:rsidRPr="003F5BA3">
        <w:rPr>
          <w:rFonts w:ascii="Simplified Arabic" w:eastAsia="Times New Roman" w:hAnsi="Simplified Arabic" w:cs="Simplified Arabic"/>
          <w:color w:val="000000" w:themeColor="text1"/>
          <w:kern w:val="0"/>
          <w:sz w:val="28"/>
          <w:szCs w:val="28"/>
          <w14:ligatures w14:val="none"/>
        </w:rPr>
        <w:t xml:space="preserve"> (Metasummary) </w:t>
      </w:r>
      <w:r w:rsidRPr="003F5BA3">
        <w:rPr>
          <w:rFonts w:ascii="Simplified Arabic" w:eastAsia="Times New Roman" w:hAnsi="Simplified Arabic" w:cs="Simplified Arabic"/>
          <w:color w:val="000000" w:themeColor="text1"/>
          <w:kern w:val="0"/>
          <w:sz w:val="28"/>
          <w:szCs w:val="28"/>
          <w:rtl/>
          <w14:ligatures w14:val="none"/>
        </w:rPr>
        <w:t>وفق بروتوكول مُسجَّل مسبقاً لضمان الشمولية والتكرارية. وتكوّنت العينة من الأدبيات الأكاديمية والرمادية المنشورة في الدول المتقدمة (أستراليا، بريطانيا، ألمانيا، الولايات المتحدة، وغيرها)، حيث حُدِّد 47 عاملاً مؤثراً من خلال التحليل الكمي والنوعي للدراسات المشمولة. وتوصلت النتائج إلى أن 20 عاملاً يزيد من استعداد المُلّاك و29 عاملاً يُقلّله، وأن العوائق المالية هي الأكثر تكراراً كعامل مثبّط، في حين أن تحسين القيمة المالية للعقار هو المُحفّز الأبرز. كما أظهرت الدراسة أن ستة عوامل فقط وردت في أكثر من خمس دراسات، مما يدل على حداثة هذا الحقل البحثي. وأوصت الدراسة بتطوير نموذج مفاهيمي تكاملي لسلوك المُلّاك يجمع بين العوامل الاقتصادية والاجتماعية والنفسية، وبضرورة صياغة سياسات تتجاوز الحوافز المالية لتشمل التثقيف والتيسير الإداري</w:t>
      </w:r>
      <w:r w:rsidRPr="003F5BA3">
        <w:rPr>
          <w:rFonts w:ascii="Simplified Arabic" w:eastAsia="Times New Roman" w:hAnsi="Simplified Arabic" w:cs="Simplified Arabic"/>
          <w:color w:val="000000" w:themeColor="text1"/>
          <w:kern w:val="0"/>
          <w:sz w:val="28"/>
          <w:szCs w:val="28"/>
          <w14:ligatures w14:val="none"/>
        </w:rPr>
        <w:t>.</w:t>
      </w:r>
    </w:p>
    <w:p w14:paraId="2D3DAC9A" w14:textId="794EB5EF" w:rsidR="00D103B0" w:rsidRPr="003F5BA3" w:rsidRDefault="00D103B0"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F5BA3">
        <w:rPr>
          <w:rFonts w:ascii="Simplified Arabic" w:eastAsia="Times New Roman" w:hAnsi="Simplified Arabic" w:cs="Simplified Arabic"/>
          <w:color w:val="000000" w:themeColor="text1"/>
          <w:kern w:val="0"/>
          <w:sz w:val="28"/>
          <w:szCs w:val="28"/>
          <w:rtl/>
          <w14:ligatures w14:val="none"/>
        </w:rPr>
        <w:t>دراسة</w:t>
      </w:r>
      <w:r w:rsidRPr="003F5BA3">
        <w:rPr>
          <w:rFonts w:ascii="Simplified Arabic" w:eastAsia="Times New Roman" w:hAnsi="Simplified Arabic" w:cs="Simplified Arabic"/>
          <w:color w:val="000000" w:themeColor="text1"/>
          <w:kern w:val="0"/>
          <w:sz w:val="28"/>
          <w:szCs w:val="28"/>
          <w14:ligatures w14:val="none"/>
        </w:rPr>
        <w:t xml:space="preserve"> Rose &amp; Harris (2022): "The Three Tenures: A Case of Property Maintenance". </w:t>
      </w:r>
      <w:r w:rsidRPr="003F5BA3">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العلاقة بين نوع حيازة العقار (ملكية خاصة، إيجار خاص، إيجار اجتماعي) وممارسات صيانة الممتلكات بأبعادها (نمط الصيانة، حالة المبنى، الصحة والسلامة، القيمة السوقية، وديناميكيات الحي). واستخدمت الدراسة المنهج الوصفي التحليلي بالاعتماد على بيانات كندية ثانوية من التعدادات السكنية ومسوحات الإسكان الوطنية. وتكوّنت العينة من بيانات المخزون السكني الكندي على مستوى الأحياء في مدن كبرى متعددة. وتوصلت النتائج إلى أن المستأجرين من القطاع الخاص يقطنون العقارات الأقل صيانةً مقارنة بالمُلّاك والمستأجرين الاجتماعيين، وأن هناك فجوة صيانة واضحة في قطاع الإيجار الخاص تؤثر سلباً على صحة المستأجرين وقيمة الحي. كما أكدت الدراسة أن نوع الحيازة يُشكّل عاملاً بنيوياً في تحديد مستوى صيانة المباني ولا يمكن اختزاله في العوامل </w:t>
      </w:r>
      <w:r w:rsidRPr="003F5BA3">
        <w:rPr>
          <w:rFonts w:ascii="Simplified Arabic" w:eastAsia="Times New Roman" w:hAnsi="Simplified Arabic" w:cs="Simplified Arabic"/>
          <w:color w:val="000000" w:themeColor="text1"/>
          <w:kern w:val="0"/>
          <w:sz w:val="28"/>
          <w:szCs w:val="28"/>
          <w:rtl/>
          <w14:ligatures w14:val="none"/>
        </w:rPr>
        <w:lastRenderedPageBreak/>
        <w:t>الاقتصادية وحدها. وأوصت الدراسة بتبني سياسات تنظيمية تُلزم مُلّاك العقارات المؤجرة بمعايير صيانة دنيا، وبإنشاء برامج دعم لصيانة المساكن في قطاع الإيجار الخاص</w:t>
      </w:r>
      <w:r w:rsidRPr="003F5BA3">
        <w:rPr>
          <w:rFonts w:ascii="Simplified Arabic" w:eastAsia="Times New Roman" w:hAnsi="Simplified Arabic" w:cs="Simplified Arabic"/>
          <w:color w:val="000000" w:themeColor="text1"/>
          <w:kern w:val="0"/>
          <w:sz w:val="28"/>
          <w:szCs w:val="28"/>
          <w14:ligatures w14:val="none"/>
        </w:rPr>
        <w:t>.</w:t>
      </w:r>
    </w:p>
    <w:p w14:paraId="5F37A5E9"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دراسة</w:t>
      </w:r>
      <w:r w:rsidRPr="003F5BA3">
        <w:rPr>
          <w:rFonts w:ascii="Simplified Arabic" w:eastAsia="Times New Roman" w:hAnsi="Simplified Arabic" w:cs="Simplified Arabic"/>
          <w:color w:val="000000" w:themeColor="text1"/>
          <w:kern w:val="0"/>
          <w:sz w:val="28"/>
          <w:szCs w:val="28"/>
          <w14:ligatures w14:val="none"/>
        </w:rPr>
        <w:t xml:space="preserve"> Cho, Kim, &amp; Kim (2022): "Critical Review on Economic Effect of Renovation Works for Sustainable Office Building Based on Opinions of Real-Estate Appraisers". </w:t>
      </w:r>
      <w:r w:rsidRPr="003F5BA3">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أثر أعمال التجديد على القيمة الاقتصادية للمباني المكتبية بأبعادها (العوامل الفيزيائية 18 عاملاً، العوامل البيئية 8 عوامل، العوامل التبادلية 12 عاملاً) من خلال تحليل آراء المُقيّمين العقاريين في كوريا الجنوبية. واستخدمت الدراسة المنهج الوصفي التحليلي مع تطبيق أساليب إحصائية متعددة تشمل الإحصاء الوصفي، وتحليل مربع كاي </w:t>
      </w:r>
      <w:r w:rsidRPr="003F5BA3">
        <w:rPr>
          <w:rFonts w:ascii="Simplified Arabic" w:eastAsia="Times New Roman" w:hAnsi="Simplified Arabic" w:cs="Simplified Arabic"/>
          <w:color w:val="000000" w:themeColor="text1"/>
          <w:kern w:val="0"/>
          <w:sz w:val="28"/>
          <w:szCs w:val="28"/>
          <w14:ligatures w14:val="none"/>
        </w:rPr>
        <w:t>(Chi-square)</w:t>
      </w:r>
      <w:r w:rsidRPr="003F5BA3">
        <w:rPr>
          <w:rFonts w:ascii="Simplified Arabic" w:eastAsia="Times New Roman" w:hAnsi="Simplified Arabic" w:cs="Simplified Arabic"/>
          <w:color w:val="000000" w:themeColor="text1"/>
          <w:kern w:val="0"/>
          <w:sz w:val="28"/>
          <w:szCs w:val="28"/>
          <w:rtl/>
          <w14:ligatures w14:val="none"/>
        </w:rPr>
        <w:t>، وعملية التحليل الهرمي</w:t>
      </w:r>
      <w:r w:rsidRPr="003F5BA3">
        <w:rPr>
          <w:rFonts w:ascii="Simplified Arabic" w:eastAsia="Times New Roman" w:hAnsi="Simplified Arabic" w:cs="Simplified Arabic"/>
          <w:color w:val="000000" w:themeColor="text1"/>
          <w:kern w:val="0"/>
          <w:sz w:val="28"/>
          <w:szCs w:val="28"/>
          <w14:ligatures w14:val="none"/>
        </w:rPr>
        <w:t xml:space="preserve"> (AHP)</w:t>
      </w:r>
      <w:r w:rsidRPr="003F5BA3">
        <w:rPr>
          <w:rFonts w:ascii="Simplified Arabic" w:eastAsia="Times New Roman" w:hAnsi="Simplified Arabic" w:cs="Simplified Arabic"/>
          <w:color w:val="000000" w:themeColor="text1"/>
          <w:kern w:val="0"/>
          <w:sz w:val="28"/>
          <w:szCs w:val="28"/>
          <w:rtl/>
          <w14:ligatures w14:val="none"/>
        </w:rPr>
        <w:t xml:space="preserve">، ونمذجة المعادلات الهيكلية </w:t>
      </w:r>
      <w:r w:rsidRPr="003F5BA3">
        <w:rPr>
          <w:rFonts w:ascii="Simplified Arabic" w:eastAsia="Times New Roman" w:hAnsi="Simplified Arabic" w:cs="Simplified Arabic"/>
          <w:color w:val="000000" w:themeColor="text1"/>
          <w:kern w:val="0"/>
          <w:sz w:val="28"/>
          <w:szCs w:val="28"/>
          <w14:ligatures w14:val="none"/>
        </w:rPr>
        <w:t xml:space="preserve">(SEM). </w:t>
      </w:r>
      <w:r w:rsidRPr="003F5BA3">
        <w:rPr>
          <w:rFonts w:ascii="Simplified Arabic" w:eastAsia="Times New Roman" w:hAnsi="Simplified Arabic" w:cs="Simplified Arabic"/>
          <w:color w:val="000000" w:themeColor="text1"/>
          <w:kern w:val="0"/>
          <w:sz w:val="28"/>
          <w:szCs w:val="28"/>
          <w:rtl/>
          <w14:ligatures w14:val="none"/>
        </w:rPr>
        <w:t>وتكوّنت العينة من 227 مُقيّماً عقارياً مرخصاً، وبعد اختبار الموثوقية</w:t>
      </w:r>
      <w:r w:rsidRPr="003F5BA3">
        <w:rPr>
          <w:rFonts w:ascii="Simplified Arabic" w:eastAsia="Times New Roman" w:hAnsi="Simplified Arabic" w:cs="Simplified Arabic"/>
          <w:color w:val="000000" w:themeColor="text1"/>
          <w:kern w:val="0"/>
          <w:sz w:val="28"/>
          <w:szCs w:val="28"/>
          <w14:ligatures w14:val="none"/>
        </w:rPr>
        <w:t xml:space="preserve"> (CR) </w:t>
      </w:r>
      <w:r w:rsidRPr="003F5BA3">
        <w:rPr>
          <w:rFonts w:ascii="Simplified Arabic" w:eastAsia="Times New Roman" w:hAnsi="Simplified Arabic" w:cs="Simplified Arabic"/>
          <w:color w:val="000000" w:themeColor="text1"/>
          <w:kern w:val="0"/>
          <w:sz w:val="28"/>
          <w:szCs w:val="28"/>
          <w:rtl/>
          <w14:ligatures w14:val="none"/>
        </w:rPr>
        <w:t>تم اعتماد 118 استبانة صالحة للتحليل الإحصائي. وتوصلت النتائج إلى أن أعمال التجديد تؤثر إيجابياً في زيادة قيمة المباني المكتبية بنسبة تتراوح بين 21% و30% وفقاً لإجابات الأغلبية (39.83%)، غير أن أساليب التقييم الحالية (أسلوب التكلفة، أسلوب المقارنة بالمبيعات، أسلوب رسملة الدخل) محدودة الفاعلية في تقييم المباني المُجدَّدة وفقاً لرأي 72.88% من المُقيّمين. كما أظهرت نتائج نمذجة المعادلات الهيكلية أن العوامل المرتبطة بتحسين بيئة العمل والمسطحات الخضراء والمساحة القابلة للتأجير وعدد الطوابق وأماكن وقوف السيارات هي العوامل الأكثر تأثيراً في زيادة قيمة المبنى المُجدَّد. وأوصت الدراسة بتطوير أساليب التقييم العقاري بما يتناسب مع خصوصية المباني المُجدَّدة، وبناء قاعدة بيانات لحالات التجديد لدعم قرارات المُلّاك</w:t>
      </w:r>
      <w:r w:rsidRPr="003F5BA3">
        <w:rPr>
          <w:rFonts w:ascii="Simplified Arabic" w:eastAsia="Times New Roman" w:hAnsi="Simplified Arabic" w:cs="Simplified Arabic"/>
          <w:color w:val="000000" w:themeColor="text1"/>
          <w:kern w:val="0"/>
          <w:sz w:val="28"/>
          <w:szCs w:val="28"/>
          <w14:ligatures w14:val="none"/>
        </w:rPr>
        <w:t>.</w:t>
      </w:r>
    </w:p>
    <w:p w14:paraId="74E4BEFF"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دراسة</w:t>
      </w:r>
      <w:r w:rsidRPr="003F5BA3">
        <w:rPr>
          <w:rFonts w:ascii="Simplified Arabic" w:eastAsia="Times New Roman" w:hAnsi="Simplified Arabic" w:cs="Simplified Arabic"/>
          <w:color w:val="000000" w:themeColor="text1"/>
          <w:kern w:val="0"/>
          <w:sz w:val="28"/>
          <w:szCs w:val="28"/>
          <w14:ligatures w14:val="none"/>
        </w:rPr>
        <w:t xml:space="preserve"> Liao, Ren, &amp; Li (2023): "Existing Building Renovation: A Review of Barriers to Economic and Environmental Benefits". </w:t>
      </w:r>
      <w:r w:rsidRPr="003F5BA3">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العوائق التي تحول دون تحقيق الفوائد الاقتصادية والبيئية لتجديد المباني القائمة بأبعادها (العوائق المالية، العوائق التنظيمية والتشريعية، العوائق التقنية، وعوائق أصحاب المصلحة). واستخدمت الدراسة منهج المراجعة المنهجية باستخدام التحليل </w:t>
      </w:r>
      <w:proofErr w:type="spellStart"/>
      <w:r w:rsidRPr="003F5BA3">
        <w:rPr>
          <w:rFonts w:ascii="Simplified Arabic" w:eastAsia="Times New Roman" w:hAnsi="Simplified Arabic" w:cs="Simplified Arabic"/>
          <w:color w:val="000000" w:themeColor="text1"/>
          <w:kern w:val="0"/>
          <w:sz w:val="28"/>
          <w:szCs w:val="28"/>
          <w:rtl/>
          <w14:ligatures w14:val="none"/>
        </w:rPr>
        <w:t>الببليومتري</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عبر برنامج</w:t>
      </w:r>
      <w:r w:rsidRPr="003F5BA3">
        <w:rPr>
          <w:rFonts w:ascii="Simplified Arabic" w:eastAsia="Times New Roman" w:hAnsi="Simplified Arabic" w:cs="Simplified Arabic"/>
          <w:color w:val="000000" w:themeColor="text1"/>
          <w:kern w:val="0"/>
          <w:sz w:val="28"/>
          <w:szCs w:val="28"/>
          <w14:ligatures w14:val="none"/>
        </w:rPr>
        <w:t xml:space="preserve"> </w:t>
      </w:r>
      <w:proofErr w:type="spellStart"/>
      <w:r w:rsidRPr="003F5BA3">
        <w:rPr>
          <w:rFonts w:ascii="Simplified Arabic" w:eastAsia="Times New Roman" w:hAnsi="Simplified Arabic" w:cs="Simplified Arabic"/>
          <w:color w:val="000000" w:themeColor="text1"/>
          <w:kern w:val="0"/>
          <w:sz w:val="28"/>
          <w:szCs w:val="28"/>
          <w14:ligatures w14:val="none"/>
        </w:rPr>
        <w:t>VOSviewer</w:t>
      </w:r>
      <w:proofErr w:type="spellEnd"/>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 xml:space="preserve">وتكوّنت العينة من </w:t>
      </w:r>
      <w:r w:rsidRPr="003F5BA3">
        <w:rPr>
          <w:rFonts w:ascii="Simplified Arabic" w:eastAsia="Times New Roman" w:hAnsi="Simplified Arabic" w:cs="Simplified Arabic"/>
          <w:color w:val="000000" w:themeColor="text1"/>
          <w:kern w:val="0"/>
          <w:sz w:val="28"/>
          <w:szCs w:val="28"/>
          <w14:ligatures w14:val="none"/>
        </w:rPr>
        <w:t xml:space="preserve">1402 </w:t>
      </w:r>
      <w:r w:rsidRPr="003F5BA3">
        <w:rPr>
          <w:rFonts w:ascii="Simplified Arabic" w:eastAsia="Times New Roman" w:hAnsi="Simplified Arabic" w:cs="Simplified Arabic"/>
          <w:color w:val="000000" w:themeColor="text1"/>
          <w:kern w:val="0"/>
          <w:sz w:val="28"/>
          <w:szCs w:val="28"/>
          <w:rtl/>
          <w14:ligatures w14:val="none"/>
        </w:rPr>
        <w:t>ورقة بحثية مستخرجة من قاعدة بيانات</w:t>
      </w:r>
      <w:r w:rsidRPr="003F5BA3">
        <w:rPr>
          <w:rFonts w:ascii="Simplified Arabic" w:eastAsia="Times New Roman" w:hAnsi="Simplified Arabic" w:cs="Simplified Arabic"/>
          <w:color w:val="000000" w:themeColor="text1"/>
          <w:kern w:val="0"/>
          <w:sz w:val="28"/>
          <w:szCs w:val="28"/>
          <w14:ligatures w14:val="none"/>
        </w:rPr>
        <w:t xml:space="preserve"> Web of Science </w:t>
      </w:r>
      <w:r w:rsidRPr="003F5BA3">
        <w:rPr>
          <w:rFonts w:ascii="Simplified Arabic" w:eastAsia="Times New Roman" w:hAnsi="Simplified Arabic" w:cs="Simplified Arabic"/>
          <w:color w:val="000000" w:themeColor="text1"/>
          <w:kern w:val="0"/>
          <w:sz w:val="28"/>
          <w:szCs w:val="28"/>
          <w:rtl/>
          <w14:ligatures w14:val="none"/>
        </w:rPr>
        <w:t xml:space="preserve">الأساسية، حيث أُجري تحليل كمي للنصوص وخرائط الكلمات المفتاحية المشتركة وشبكات التعاون الدولي. وتوصلت النتائج إلى أن أبرز العوائق هي: عدم قدرة نحو نصف الأسر المالكة على تمويل تكاليف التجديد (كما في حالة بلجيكا)، وأن أزمة كوفيد-19 زادت نسبة الأسر التي تواجه عجزاً تمويلياً بنحو 8%، فضلاً عن أن المعماريين يمانعون استخدام مواد </w:t>
      </w:r>
      <w:r w:rsidRPr="003F5BA3">
        <w:rPr>
          <w:rFonts w:ascii="Simplified Arabic" w:eastAsia="Times New Roman" w:hAnsi="Simplified Arabic" w:cs="Simplified Arabic"/>
          <w:color w:val="000000" w:themeColor="text1"/>
          <w:kern w:val="0"/>
          <w:sz w:val="28"/>
          <w:szCs w:val="28"/>
          <w:rtl/>
          <w14:ligatures w14:val="none"/>
        </w:rPr>
        <w:lastRenderedPageBreak/>
        <w:t>غير مألوفة بسبب ثقافة تجنب المخاطر. كما بيّنت الدراسة أن إيطاليا والصين والولايات المتحدة وإسبانيا والسويد هي الأكثر إنتاجاً بحثياً في هذا المجال. وأوصت الدراسة بضرورة تصميم سياسات تحفيزية من أعلى إلى أسفل</w:t>
      </w:r>
      <w:r w:rsidRPr="003F5BA3">
        <w:rPr>
          <w:rFonts w:ascii="Simplified Arabic" w:eastAsia="Times New Roman" w:hAnsi="Simplified Arabic" w:cs="Simplified Arabic"/>
          <w:color w:val="000000" w:themeColor="text1"/>
          <w:kern w:val="0"/>
          <w:sz w:val="28"/>
          <w:szCs w:val="28"/>
          <w14:ligatures w14:val="none"/>
        </w:rPr>
        <w:t xml:space="preserve"> (top-down) </w:t>
      </w:r>
      <w:r w:rsidRPr="003F5BA3">
        <w:rPr>
          <w:rFonts w:ascii="Simplified Arabic" w:eastAsia="Times New Roman" w:hAnsi="Simplified Arabic" w:cs="Simplified Arabic"/>
          <w:color w:val="000000" w:themeColor="text1"/>
          <w:kern w:val="0"/>
          <w:sz w:val="28"/>
          <w:szCs w:val="28"/>
          <w:rtl/>
          <w14:ligatures w14:val="none"/>
        </w:rPr>
        <w:t>لتسريع وتيرة تجديد المباني، وتطوير آليات تمويل مبتكرة، وتكثيف التعاون بين المطورين والجهات الحكومية والمستفيدين</w:t>
      </w:r>
      <w:r w:rsidRPr="003F5BA3">
        <w:rPr>
          <w:rFonts w:ascii="Simplified Arabic" w:eastAsia="Times New Roman" w:hAnsi="Simplified Arabic" w:cs="Simplified Arabic"/>
          <w:color w:val="000000" w:themeColor="text1"/>
          <w:kern w:val="0"/>
          <w:sz w:val="28"/>
          <w:szCs w:val="28"/>
          <w14:ligatures w14:val="none"/>
        </w:rPr>
        <w:t>.</w:t>
      </w:r>
    </w:p>
    <w:p w14:paraId="59A29EAF" w14:textId="77777777" w:rsidR="005E3552" w:rsidRPr="003F5BA3" w:rsidRDefault="005E3552" w:rsidP="00D103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3503421"/>
      <w:r w:rsidRPr="003F5BA3">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 القيمة الإيجارية وسرعة التأجير وعلاقتهما بمتغيرات أخرى</w:t>
      </w:r>
      <w:bookmarkEnd w:id="15"/>
    </w:p>
    <w:p w14:paraId="540AC4A8" w14:textId="5C07DFA0" w:rsidR="00D103B0" w:rsidRPr="003F5BA3" w:rsidRDefault="00D103B0"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F5BA3">
        <w:rPr>
          <w:rFonts w:ascii="Simplified Arabic" w:eastAsia="Times New Roman" w:hAnsi="Simplified Arabic" w:cs="Simplified Arabic"/>
          <w:color w:val="000000" w:themeColor="text1"/>
          <w:kern w:val="0"/>
          <w:sz w:val="28"/>
          <w:szCs w:val="28"/>
          <w:rtl/>
          <w14:ligatures w14:val="none"/>
        </w:rPr>
        <w:t>دراسة</w:t>
      </w:r>
      <w:r w:rsidRPr="003F5BA3">
        <w:rPr>
          <w:rFonts w:ascii="Simplified Arabic" w:eastAsia="Times New Roman" w:hAnsi="Simplified Arabic" w:cs="Simplified Arabic"/>
          <w:color w:val="000000" w:themeColor="text1"/>
          <w:kern w:val="0"/>
          <w:sz w:val="28"/>
          <w:szCs w:val="28"/>
          <w14:ligatures w14:val="none"/>
        </w:rPr>
        <w:t xml:space="preserve"> Bourassa, Hoesli, Scognamiglio, &amp; Zhang (2020): "Property Renovations and Their Impact on House Price Index Construction". </w:t>
      </w:r>
      <w:r w:rsidRPr="003F5BA3">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تحيُّز التجديد </w:t>
      </w:r>
      <w:r w:rsidRPr="003F5BA3">
        <w:rPr>
          <w:rFonts w:ascii="Simplified Arabic" w:eastAsia="Times New Roman" w:hAnsi="Simplified Arabic" w:cs="Simplified Arabic"/>
          <w:color w:val="000000" w:themeColor="text1"/>
          <w:kern w:val="0"/>
          <w:sz w:val="28"/>
          <w:szCs w:val="28"/>
          <w14:ligatures w14:val="none"/>
        </w:rPr>
        <w:t xml:space="preserve">(Renovation Bias) </w:t>
      </w:r>
      <w:r w:rsidRPr="003F5BA3">
        <w:rPr>
          <w:rFonts w:ascii="Simplified Arabic" w:eastAsia="Times New Roman" w:hAnsi="Simplified Arabic" w:cs="Simplified Arabic"/>
          <w:color w:val="000000" w:themeColor="text1"/>
          <w:kern w:val="0"/>
          <w:sz w:val="28"/>
          <w:szCs w:val="28"/>
          <w:rtl/>
          <w14:ligatures w14:val="none"/>
        </w:rPr>
        <w:t>في بناء مؤشرات أسعار المساكن بأبعاده (تكرار المبيعات، تأثير التحسينات على أسعار البيع، التباين الجغرافي في التحيز) في الولايات المتحدة الأمريكية. واستخدمت الدراسة المنهج الكمي باستخدام منهجية تكرار المبيعات المُعدَّلة</w:t>
      </w:r>
      <w:r w:rsidRPr="003F5BA3">
        <w:rPr>
          <w:rFonts w:ascii="Simplified Arabic" w:eastAsia="Times New Roman" w:hAnsi="Simplified Arabic" w:cs="Simplified Arabic"/>
          <w:color w:val="000000" w:themeColor="text1"/>
          <w:kern w:val="0"/>
          <w:sz w:val="28"/>
          <w:szCs w:val="28"/>
          <w14:ligatures w14:val="none"/>
        </w:rPr>
        <w:t xml:space="preserve"> (Repeat-Sales Method) </w:t>
      </w:r>
      <w:r w:rsidRPr="003F5BA3">
        <w:rPr>
          <w:rFonts w:ascii="Simplified Arabic" w:eastAsia="Times New Roman" w:hAnsi="Simplified Arabic" w:cs="Simplified Arabic"/>
          <w:color w:val="000000" w:themeColor="text1"/>
          <w:kern w:val="0"/>
          <w:sz w:val="28"/>
          <w:szCs w:val="28"/>
          <w:rtl/>
          <w14:ligatures w14:val="none"/>
        </w:rPr>
        <w:t>مع مراعاة بيانات التجديدات</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وتكوّنت العينة من بيانات معاملات بيع عقارية واسعة النطاق عبر مناطق جغرافية متعددة في الولايات المتحدة مستقاة من سجلات الوكالة الفيدرالية لتمويل الإسكان</w:t>
      </w:r>
      <w:r w:rsidRPr="003F5BA3">
        <w:rPr>
          <w:rFonts w:ascii="Simplified Arabic" w:eastAsia="Times New Roman" w:hAnsi="Simplified Arabic" w:cs="Simplified Arabic"/>
          <w:color w:val="000000" w:themeColor="text1"/>
          <w:kern w:val="0"/>
          <w:sz w:val="28"/>
          <w:szCs w:val="28"/>
          <w14:ligatures w14:val="none"/>
        </w:rPr>
        <w:t xml:space="preserve"> (FHFA). </w:t>
      </w:r>
      <w:r w:rsidRPr="003F5BA3">
        <w:rPr>
          <w:rFonts w:ascii="Simplified Arabic" w:eastAsia="Times New Roman" w:hAnsi="Simplified Arabic" w:cs="Simplified Arabic"/>
          <w:color w:val="000000" w:themeColor="text1"/>
          <w:kern w:val="0"/>
          <w:sz w:val="28"/>
          <w:szCs w:val="28"/>
          <w:rtl/>
          <w14:ligatures w14:val="none"/>
        </w:rPr>
        <w:t>وتوصلت النتائج إلى أن تجاهل التجديدات يُحدث تحيزاً تصاعدياً في مؤشرات أسعار المساكن، حيث تُعزى جزء من الزيادة في السعر بين البيع الأول والبيع الثاني إلى التحسينات المُنفَّذة وليس إلى تحركات السوق الحقيقية. وتتفاوت درجة التحيز بحسب المنطقة الجغرافية ونوع العقار. وأوصت الدراسة بتطوير منهجيات بناء مؤشرات الأسعار العقارية بحيث تتضمن متغيرات التجديد والتحسين، لتقديم صورة أكثر دقة عن تحركات الأسعار الحقيقية في السوق</w:t>
      </w:r>
      <w:r w:rsidRPr="003F5BA3">
        <w:rPr>
          <w:rFonts w:ascii="Simplified Arabic" w:eastAsia="Times New Roman" w:hAnsi="Simplified Arabic" w:cs="Simplified Arabic"/>
          <w:color w:val="000000" w:themeColor="text1"/>
          <w:kern w:val="0"/>
          <w:sz w:val="28"/>
          <w:szCs w:val="28"/>
          <w14:ligatures w14:val="none"/>
        </w:rPr>
        <w:t>.</w:t>
      </w:r>
    </w:p>
    <w:p w14:paraId="60A08BA5" w14:textId="77777777" w:rsidR="00D103B0" w:rsidRPr="003F5BA3" w:rsidRDefault="00D103B0"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دراسة بابو وكريم</w:t>
      </w:r>
      <w:r w:rsidRPr="003F5BA3">
        <w:rPr>
          <w:rFonts w:ascii="Simplified Arabic" w:eastAsia="Times New Roman" w:hAnsi="Simplified Arabic" w:cs="Simplified Arabic"/>
          <w:color w:val="000000" w:themeColor="text1"/>
          <w:kern w:val="0"/>
          <w:sz w:val="28"/>
          <w:szCs w:val="28"/>
          <w14:ligatures w14:val="none"/>
        </w:rPr>
        <w:t xml:space="preserve"> (2021): "</w:t>
      </w:r>
      <w:r w:rsidRPr="003F5BA3">
        <w:rPr>
          <w:rFonts w:ascii="Simplified Arabic" w:eastAsia="Times New Roman" w:hAnsi="Simplified Arabic" w:cs="Simplified Arabic"/>
          <w:color w:val="000000" w:themeColor="text1"/>
          <w:kern w:val="0"/>
          <w:sz w:val="28"/>
          <w:szCs w:val="28"/>
          <w:rtl/>
          <w14:ligatures w14:val="none"/>
        </w:rPr>
        <w:t xml:space="preserve">الإيجار كآلية جديدة لبيع العقارات: دراسة مقارنة بين القانون الجزائري والقانون المغربي". هدفت هذه الدراسة إلى التعرف على النظام القانوني لعقد الإيجار المفضي إلى التملك (البيع بالإيجار) بأبعاده (الإطار التشريعي، حقوق والتزامات الطرفين، شروط العقد، آليات التنفيذ) في كل من التشريع الجزائري والتشريع المغربي. واستخدمت الدراسة المنهج المقارن التحليلي لدراسة النصوص القانونية والتنظيمية في كلا البلدين. وتكوّنت العينة من النصوص التشريعية والتنظيمية المتعلقة بالإيجار المفضي إلى التملك في الجزائر والمغرب. وتوصلت النتائج إلى أن كلا التشريعين يهدفان إلى تمكين ذوي الدخل المحدود من التملك السكني عبر آلية تبدأ بالإيجار وتنتهي بالتملك، غير أن هناك اختلافات جوهرية </w:t>
      </w:r>
      <w:r w:rsidRPr="003F5BA3">
        <w:rPr>
          <w:rFonts w:ascii="Simplified Arabic" w:eastAsia="Times New Roman" w:hAnsi="Simplified Arabic" w:cs="Simplified Arabic"/>
          <w:color w:val="000000" w:themeColor="text1"/>
          <w:kern w:val="0"/>
          <w:sz w:val="28"/>
          <w:szCs w:val="28"/>
          <w:rtl/>
          <w14:ligatures w14:val="none"/>
        </w:rPr>
        <w:lastRenderedPageBreak/>
        <w:t>في شروط التنفيذ والضمانات الممنوحة للمستأجر-المشتري بين البلدين. وأوصت الدراسة بتطوير الأطر التشريعية بما يعزز الحماية القانونية للمستأجرين ويُوسّع نطاق الاستفادة من هذه الآلية التعاقدية</w:t>
      </w:r>
      <w:r w:rsidRPr="003F5BA3">
        <w:rPr>
          <w:rFonts w:ascii="Simplified Arabic" w:eastAsia="Times New Roman" w:hAnsi="Simplified Arabic" w:cs="Simplified Arabic"/>
          <w:color w:val="000000" w:themeColor="text1"/>
          <w:kern w:val="0"/>
          <w:sz w:val="28"/>
          <w:szCs w:val="28"/>
          <w14:ligatures w14:val="none"/>
        </w:rPr>
        <w:t>.</w:t>
      </w:r>
    </w:p>
    <w:p w14:paraId="6D875011" w14:textId="77777777" w:rsidR="00D103B0" w:rsidRPr="003F5BA3" w:rsidRDefault="00D103B0"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دراسة</w:t>
      </w:r>
      <w:r w:rsidRPr="003F5BA3">
        <w:rPr>
          <w:rFonts w:ascii="Simplified Arabic" w:eastAsia="Times New Roman" w:hAnsi="Simplified Arabic" w:cs="Simplified Arabic"/>
          <w:color w:val="000000" w:themeColor="text1"/>
          <w:kern w:val="0"/>
          <w:sz w:val="28"/>
          <w:szCs w:val="28"/>
          <w14:ligatures w14:val="none"/>
        </w:rPr>
        <w:t xml:space="preserve"> Caloia &amp; Mastrogiacomo (2022): "The Housing Wealth Effect: The Role of Renovations and Home Improvements". </w:t>
      </w:r>
      <w:r w:rsidRPr="003F5BA3">
        <w:rPr>
          <w:rFonts w:ascii="Simplified Arabic" w:eastAsia="Times New Roman" w:hAnsi="Simplified Arabic" w:cs="Simplified Arabic"/>
          <w:color w:val="000000" w:themeColor="text1"/>
          <w:kern w:val="0"/>
          <w:sz w:val="28"/>
          <w:szCs w:val="28"/>
          <w:rtl/>
          <w14:ligatures w14:val="none"/>
        </w:rPr>
        <w:t>هدفت هذه الدراسة إلى التعرف على ما إذا كان تجاهل التحسينات المنزلية يُحدث تحيزاً في أثر الثروة العقارية بأبعاده (الميل الحدي للاستهلاك من الثروة العقارية، أثر التجديدات على أسعار المساكن، العلاقة بين التحسينات والإنفاق الاستهلاكي) في إيطاليا وهولندا. واستخدمت الدراسة المنهج الكمي التجريبي باستخدام نماذج الانحدار على بيانات مسحية طولية</w:t>
      </w:r>
      <w:r w:rsidRPr="003F5BA3">
        <w:rPr>
          <w:rFonts w:ascii="Simplified Arabic" w:eastAsia="Times New Roman" w:hAnsi="Simplified Arabic" w:cs="Simplified Arabic"/>
          <w:color w:val="000000" w:themeColor="text1"/>
          <w:kern w:val="0"/>
          <w:sz w:val="28"/>
          <w:szCs w:val="28"/>
          <w14:ligatures w14:val="none"/>
        </w:rPr>
        <w:t xml:space="preserve"> (Panel Data) </w:t>
      </w:r>
      <w:r w:rsidRPr="003F5BA3">
        <w:rPr>
          <w:rFonts w:ascii="Simplified Arabic" w:eastAsia="Times New Roman" w:hAnsi="Simplified Arabic" w:cs="Simplified Arabic"/>
          <w:color w:val="000000" w:themeColor="text1"/>
          <w:kern w:val="0"/>
          <w:sz w:val="28"/>
          <w:szCs w:val="28"/>
          <w:rtl/>
          <w14:ligatures w14:val="none"/>
        </w:rPr>
        <w:t>من مسح الثروة الأسرية في البلدين. وتكوّنت العينة من بيانات آلاف الأسر الإيطالية والهولندية على مدى عدة سنوات، مع ربط بيانات التجديدات المنزلية المُصرَّح بها ببيانات أسعار المساكن والإنفاق الاستهلاكي. وتوصلت النتائج إلى أن تجاهل التحسينات المنزلية يُبالغ في تقدير أثر الثروة العقارية على الاستهلاك بنسبة ملحوظة، وأن جزءاً كبيراً مما يُعتقد أنه "أثر ثروة" هو في الواقع ناتج عن إنفاق التجديد ذاته وليس عن ارتفاع القيمة السوقية. وأوصت الدراسة بضرورة إدراج بيانات التحسينات المنزلية في نماذج تقدير أسعار المساكن وأثر الثروة العقارية، وبتطوير مؤشرات أسعار عقارية تأخذ في الاعتبار تكاليف التجديد</w:t>
      </w:r>
      <w:r w:rsidRPr="003F5BA3">
        <w:rPr>
          <w:rFonts w:ascii="Simplified Arabic" w:eastAsia="Times New Roman" w:hAnsi="Simplified Arabic" w:cs="Simplified Arabic"/>
          <w:color w:val="000000" w:themeColor="text1"/>
          <w:kern w:val="0"/>
          <w:sz w:val="28"/>
          <w:szCs w:val="28"/>
          <w14:ligatures w14:val="none"/>
        </w:rPr>
        <w:t>.</w:t>
      </w:r>
    </w:p>
    <w:p w14:paraId="4EAE8A1F"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دراسة </w:t>
      </w:r>
      <w:proofErr w:type="spellStart"/>
      <w:r w:rsidRPr="003F5BA3">
        <w:rPr>
          <w:rFonts w:ascii="Simplified Arabic" w:eastAsia="Times New Roman" w:hAnsi="Simplified Arabic" w:cs="Simplified Arabic"/>
          <w:color w:val="000000" w:themeColor="text1"/>
          <w:kern w:val="0"/>
          <w:sz w:val="28"/>
          <w:szCs w:val="28"/>
          <w:rtl/>
          <w14:ligatures w14:val="none"/>
        </w:rPr>
        <w:t>خوقير</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والزامل</w:t>
      </w:r>
      <w:r w:rsidRPr="003F5BA3">
        <w:rPr>
          <w:rFonts w:ascii="Simplified Arabic" w:eastAsia="Times New Roman" w:hAnsi="Simplified Arabic" w:cs="Simplified Arabic"/>
          <w:color w:val="000000" w:themeColor="text1"/>
          <w:kern w:val="0"/>
          <w:sz w:val="28"/>
          <w:szCs w:val="28"/>
          <w14:ligatures w14:val="none"/>
        </w:rPr>
        <w:t xml:space="preserve"> (2023): "</w:t>
      </w:r>
      <w:r w:rsidRPr="003F5BA3">
        <w:rPr>
          <w:rFonts w:ascii="Simplified Arabic" w:eastAsia="Times New Roman" w:hAnsi="Simplified Arabic" w:cs="Simplified Arabic"/>
          <w:color w:val="000000" w:themeColor="text1"/>
          <w:kern w:val="0"/>
          <w:sz w:val="28"/>
          <w:szCs w:val="28"/>
          <w:rtl/>
          <w14:ligatures w14:val="none"/>
        </w:rPr>
        <w:t>أثر الاستعمالات التعليمية على أسعار إيجارات العقارات السكنية المجاورة</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دراسة حالة حي العقيق بالرياض". هدفت هذه الدراسة إلى التعرف على أثر القُرب من المنشآت التعليمية بأبعاده (المسافة من المدرسة، نوع المدرسة، مساحة الأرض، مساحة البناء) على أسعار الإيجارات السكنية في حي العقيق بمدينة الرياض. واستخدمت الدراسة المنهج الوصفي التحليلي باستخدام أسلوب معامل الارتباط</w:t>
      </w:r>
      <w:r w:rsidRPr="003F5BA3">
        <w:rPr>
          <w:rFonts w:ascii="Simplified Arabic" w:eastAsia="Times New Roman" w:hAnsi="Simplified Arabic" w:cs="Simplified Arabic"/>
          <w:color w:val="000000" w:themeColor="text1"/>
          <w:kern w:val="0"/>
          <w:sz w:val="28"/>
          <w:szCs w:val="28"/>
          <w14:ligatures w14:val="none"/>
        </w:rPr>
        <w:t xml:space="preserve"> (Correlation) </w:t>
      </w:r>
      <w:r w:rsidRPr="003F5BA3">
        <w:rPr>
          <w:rFonts w:ascii="Simplified Arabic" w:eastAsia="Times New Roman" w:hAnsi="Simplified Arabic" w:cs="Simplified Arabic"/>
          <w:color w:val="000000" w:themeColor="text1"/>
          <w:kern w:val="0"/>
          <w:sz w:val="28"/>
          <w:szCs w:val="28"/>
          <w:rtl/>
          <w14:ligatures w14:val="none"/>
        </w:rPr>
        <w:t>لقياس العلاقة بين المتغيرات. وتكوّنت العينة من 12 عقاراً سكنياً مجاوراً لمنشآت تعليمية مختلفة (8 مدارس أهلية و7 مدارس حكومية) داخل حي العقيق الذي يضم نحو 150 قطعة سكنية. وتوصلت النتائج إلى وجود علاقة عكسية بين المسافة من المنشأة التعليمية وسعر إيجار العقار، حيث تنخفض الإيجارات بالقرب من المدارس بسبب الإزعاج والازدحام المروري، في حين ترتفع مع الابتعاد عنها. كما أظهرت الدراسة أن العقارات الأقرب من 42 متراً تحقق إيجارات تتراوح بين 17,000 و34,000 ريال، بينما تحقق العقارات الأبعد (100–132 متراً) إيجارات أعلى تصل إلى 40,000–115,000 ريال. وأوصت الدراسة بمراعاة معايير التخطيط العمراني في تحديد مواقع المنشآت التعليمية داخل الأحياء السكنية، والتحكم في الآثار السلبية للازدحام المروري المصاحب</w:t>
      </w:r>
      <w:r w:rsidRPr="003F5BA3">
        <w:rPr>
          <w:rFonts w:ascii="Simplified Arabic" w:eastAsia="Times New Roman" w:hAnsi="Simplified Arabic" w:cs="Simplified Arabic"/>
          <w:color w:val="000000" w:themeColor="text1"/>
          <w:kern w:val="0"/>
          <w:sz w:val="28"/>
          <w:szCs w:val="28"/>
          <w14:ligatures w14:val="none"/>
        </w:rPr>
        <w:t>.</w:t>
      </w:r>
    </w:p>
    <w:p w14:paraId="184847E4"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lastRenderedPageBreak/>
        <w:t>دراسة</w:t>
      </w:r>
      <w:r w:rsidRPr="003F5BA3">
        <w:rPr>
          <w:rFonts w:ascii="Simplified Arabic" w:eastAsia="Times New Roman" w:hAnsi="Simplified Arabic" w:cs="Simplified Arabic"/>
          <w:color w:val="000000" w:themeColor="text1"/>
          <w:kern w:val="0"/>
          <w:sz w:val="28"/>
          <w:szCs w:val="28"/>
          <w14:ligatures w14:val="none"/>
        </w:rPr>
        <w:t xml:space="preserve"> Mangold, Johansson, </w:t>
      </w:r>
      <w:proofErr w:type="spellStart"/>
      <w:r w:rsidRPr="003F5BA3">
        <w:rPr>
          <w:rFonts w:ascii="Cambria" w:eastAsia="Times New Roman" w:hAnsi="Cambria" w:cs="Cambria"/>
          <w:color w:val="000000" w:themeColor="text1"/>
          <w:kern w:val="0"/>
          <w:sz w:val="28"/>
          <w:szCs w:val="28"/>
          <w14:ligatures w14:val="none"/>
        </w:rPr>
        <w:t>Ö</w:t>
      </w:r>
      <w:r w:rsidRPr="003F5BA3">
        <w:rPr>
          <w:rFonts w:ascii="Simplified Arabic" w:eastAsia="Times New Roman" w:hAnsi="Simplified Arabic" w:cs="Simplified Arabic"/>
          <w:color w:val="000000" w:themeColor="text1"/>
          <w:kern w:val="0"/>
          <w:sz w:val="28"/>
          <w:szCs w:val="28"/>
          <w14:ligatures w14:val="none"/>
        </w:rPr>
        <w:t>sterbring</w:t>
      </w:r>
      <w:proofErr w:type="spellEnd"/>
      <w:r w:rsidRPr="003F5BA3">
        <w:rPr>
          <w:rFonts w:ascii="Simplified Arabic" w:eastAsia="Times New Roman" w:hAnsi="Simplified Arabic" w:cs="Simplified Arabic"/>
          <w:color w:val="000000" w:themeColor="text1"/>
          <w:kern w:val="0"/>
          <w:sz w:val="28"/>
          <w:szCs w:val="28"/>
          <w14:ligatures w14:val="none"/>
        </w:rPr>
        <w:t xml:space="preserve">, &amp; von Platten (2023): "Increased Rent Misspent? How Ownership Matters for Renovation and Rent Increases in Rental Housing in Sweden". </w:t>
      </w:r>
      <w:r w:rsidRPr="003F5BA3">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نوع ملكية العقار المؤجَّر (عامة مقابل خاصة) على قرارات التجديد وزيادات الإيجار بأبعادها (حجم التجديد الأصغر والأكبر، نسبة الزيادة في الإيجار، شريحة الدخل للسكان) في السويد خلال الفترة 2014–2020. واستخدمت الدراسة المنهج الكمي التحليلي باستخدام الانحدار اللوجستي</w:t>
      </w:r>
      <w:r w:rsidRPr="003F5BA3">
        <w:rPr>
          <w:rFonts w:ascii="Simplified Arabic" w:eastAsia="Times New Roman" w:hAnsi="Simplified Arabic" w:cs="Simplified Arabic"/>
          <w:color w:val="000000" w:themeColor="text1"/>
          <w:kern w:val="0"/>
          <w:sz w:val="28"/>
          <w:szCs w:val="28"/>
          <w14:ligatures w14:val="none"/>
        </w:rPr>
        <w:t xml:space="preserve"> (Logistic Regression) </w:t>
      </w:r>
      <w:r w:rsidRPr="003F5BA3">
        <w:rPr>
          <w:rFonts w:ascii="Simplified Arabic" w:eastAsia="Times New Roman" w:hAnsi="Simplified Arabic" w:cs="Simplified Arabic"/>
          <w:color w:val="000000" w:themeColor="text1"/>
          <w:kern w:val="0"/>
          <w:sz w:val="28"/>
          <w:szCs w:val="28"/>
          <w:rtl/>
          <w14:ligatures w14:val="none"/>
        </w:rPr>
        <w:t>لتحليل احتمالات التجديد، والانحدار الخطي المتعدد</w:t>
      </w:r>
      <w:r w:rsidRPr="003F5BA3">
        <w:rPr>
          <w:rFonts w:ascii="Simplified Arabic" w:eastAsia="Times New Roman" w:hAnsi="Simplified Arabic" w:cs="Simplified Arabic"/>
          <w:color w:val="000000" w:themeColor="text1"/>
          <w:kern w:val="0"/>
          <w:sz w:val="28"/>
          <w:szCs w:val="28"/>
          <w14:ligatures w14:val="none"/>
        </w:rPr>
        <w:t xml:space="preserve"> (OLS) </w:t>
      </w:r>
      <w:r w:rsidRPr="003F5BA3">
        <w:rPr>
          <w:rFonts w:ascii="Simplified Arabic" w:eastAsia="Times New Roman" w:hAnsi="Simplified Arabic" w:cs="Simplified Arabic"/>
          <w:color w:val="000000" w:themeColor="text1"/>
          <w:kern w:val="0"/>
          <w:sz w:val="28"/>
          <w:szCs w:val="28"/>
          <w:rtl/>
          <w14:ligatures w14:val="none"/>
        </w:rPr>
        <w:t xml:space="preserve">لتحليل زيادات الإيجار. وتكوّنت العينة من سجلات الضرائب العقارية الشاملة لجميع المباني السكنية متعددة الأسر في السويد عبر ثلاث فترات ضريبية </w:t>
      </w:r>
      <w:r w:rsidRPr="003F5BA3">
        <w:rPr>
          <w:rFonts w:ascii="Simplified Arabic" w:eastAsia="Times New Roman" w:hAnsi="Simplified Arabic" w:cs="Simplified Arabic"/>
          <w:color w:val="000000" w:themeColor="text1"/>
          <w:kern w:val="0"/>
          <w:sz w:val="28"/>
          <w:szCs w:val="28"/>
          <w14:ligatures w14:val="none"/>
        </w:rPr>
        <w:t>(2014–2016</w:t>
      </w:r>
      <w:r w:rsidRPr="003F5BA3">
        <w:rPr>
          <w:rFonts w:ascii="Simplified Arabic" w:eastAsia="Times New Roman" w:hAnsi="Simplified Arabic" w:cs="Simplified Arabic"/>
          <w:color w:val="000000" w:themeColor="text1"/>
          <w:kern w:val="0"/>
          <w:sz w:val="28"/>
          <w:szCs w:val="28"/>
          <w:rtl/>
          <w14:ligatures w14:val="none"/>
        </w:rPr>
        <w:t>، 2017</w:t>
      </w:r>
      <w:r w:rsidRPr="003F5BA3">
        <w:rPr>
          <w:rFonts w:ascii="Simplified Arabic" w:eastAsia="Times New Roman" w:hAnsi="Simplified Arabic" w:cs="Simplified Arabic"/>
          <w:color w:val="000000" w:themeColor="text1"/>
          <w:kern w:val="0"/>
          <w:sz w:val="28"/>
          <w:szCs w:val="28"/>
          <w14:ligatures w14:val="none"/>
        </w:rPr>
        <w:t>–2019</w:t>
      </w:r>
      <w:r w:rsidRPr="003F5BA3">
        <w:rPr>
          <w:rFonts w:ascii="Simplified Arabic" w:eastAsia="Times New Roman" w:hAnsi="Simplified Arabic" w:cs="Simplified Arabic"/>
          <w:color w:val="000000" w:themeColor="text1"/>
          <w:kern w:val="0"/>
          <w:sz w:val="28"/>
          <w:szCs w:val="28"/>
          <w:rtl/>
          <w14:ligatures w14:val="none"/>
        </w:rPr>
        <w:t>، 2020</w:t>
      </w:r>
      <w:r w:rsidRPr="003F5BA3">
        <w:rPr>
          <w:rFonts w:ascii="Simplified Arabic" w:eastAsia="Times New Roman" w:hAnsi="Simplified Arabic" w:cs="Simplified Arabic"/>
          <w:color w:val="000000" w:themeColor="text1"/>
          <w:kern w:val="0"/>
          <w:sz w:val="28"/>
          <w:szCs w:val="28"/>
          <w14:ligatures w14:val="none"/>
        </w:rPr>
        <w:t>–2022)</w:t>
      </w:r>
      <w:r w:rsidRPr="003F5BA3">
        <w:rPr>
          <w:rFonts w:ascii="Simplified Arabic" w:eastAsia="Times New Roman" w:hAnsi="Simplified Arabic" w:cs="Simplified Arabic"/>
          <w:color w:val="000000" w:themeColor="text1"/>
          <w:kern w:val="0"/>
          <w:sz w:val="28"/>
          <w:szCs w:val="28"/>
          <w:rtl/>
          <w14:ligatures w14:val="none"/>
        </w:rPr>
        <w:t>، مع بيانات مساعدة من هيئة الإحصاء السويدية عن الدخل المتاح للسكان. وتوصلت النتائج إلى أن شركات الإسكان العام أجرت تجديدات أصغر أكثر ورفعت الإيجارات بنسب أقل من الشركات الخاصة، وأن الفرق يتّسع بشكل ملحوظ في شرائح الدخل الأدنى حيث رفعت الشركات الخاصة الإيجارات أكثر دون إجراء تجديدات كبيرة. كما أن أكبر عشر شركات خاصة رفعت الإيجارات أكثر من أي مجموعة ملكية أخرى. وأوصت الدراسة بإعادة النظر في سياسات خصخصة الإسكان العام، وتبني ضوابط تضمن ألا تؤدي التجديدات إلى تهجير الفئات الأقل دخلاً، وتعزيز دور الشركات العامة في حماية القدرة الإيجارية للمستأجرين</w:t>
      </w:r>
      <w:r w:rsidRPr="003F5BA3">
        <w:rPr>
          <w:rFonts w:ascii="Simplified Arabic" w:eastAsia="Times New Roman" w:hAnsi="Simplified Arabic" w:cs="Simplified Arabic"/>
          <w:color w:val="000000" w:themeColor="text1"/>
          <w:kern w:val="0"/>
          <w:sz w:val="28"/>
          <w:szCs w:val="28"/>
          <w14:ligatures w14:val="none"/>
        </w:rPr>
        <w:t>.</w:t>
      </w:r>
    </w:p>
    <w:p w14:paraId="572C7C46"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دراسة</w:t>
      </w:r>
      <w:r w:rsidRPr="003F5BA3">
        <w:rPr>
          <w:rFonts w:ascii="Simplified Arabic" w:eastAsia="Times New Roman" w:hAnsi="Simplified Arabic" w:cs="Simplified Arabic"/>
          <w:color w:val="000000" w:themeColor="text1"/>
          <w:kern w:val="0"/>
          <w:sz w:val="28"/>
          <w:szCs w:val="28"/>
          <w14:ligatures w14:val="none"/>
        </w:rPr>
        <w:t xml:space="preserve"> Hu, Kok, &amp; Palacios (2024): "Tenant Satisfaction and Commercial Building Performance". </w:t>
      </w:r>
      <w:r w:rsidRPr="003F5BA3">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العلاقة بين رضا المستأجرين وأداء المباني التجارية بأبعادها (خصائص المبنى الحسية، معدلات الإيجار، معدلات الشغور، جودة الخدمات) في الولايات المتحدة. واستخدمت الدراسة المنهج الكمي باستخدام نماذج الانحدار </w:t>
      </w:r>
      <w:proofErr w:type="spellStart"/>
      <w:r w:rsidRPr="003F5BA3">
        <w:rPr>
          <w:rFonts w:ascii="Simplified Arabic" w:eastAsia="Times New Roman" w:hAnsi="Simplified Arabic" w:cs="Simplified Arabic"/>
          <w:color w:val="000000" w:themeColor="text1"/>
          <w:kern w:val="0"/>
          <w:sz w:val="28"/>
          <w:szCs w:val="28"/>
          <w:rtl/>
          <w14:ligatures w14:val="none"/>
        </w:rPr>
        <w:t>الهيدوني</w:t>
      </w:r>
      <w:proofErr w:type="spellEnd"/>
      <w:r w:rsidRPr="003F5BA3">
        <w:rPr>
          <w:rFonts w:ascii="Simplified Arabic" w:eastAsia="Times New Roman" w:hAnsi="Simplified Arabic" w:cs="Simplified Arabic"/>
          <w:color w:val="000000" w:themeColor="text1"/>
          <w:kern w:val="0"/>
          <w:sz w:val="28"/>
          <w:szCs w:val="28"/>
          <w14:ligatures w14:val="none"/>
        </w:rPr>
        <w:t xml:space="preserve"> (Hedonic Regression) </w:t>
      </w:r>
      <w:r w:rsidRPr="003F5BA3">
        <w:rPr>
          <w:rFonts w:ascii="Simplified Arabic" w:eastAsia="Times New Roman" w:hAnsi="Simplified Arabic" w:cs="Simplified Arabic"/>
          <w:color w:val="000000" w:themeColor="text1"/>
          <w:kern w:val="0"/>
          <w:sz w:val="28"/>
          <w:szCs w:val="28"/>
          <w:rtl/>
          <w14:ligatures w14:val="none"/>
        </w:rPr>
        <w:t>لتحليل العلاقة بين مؤشرات الرضا والأداء المالي للمباني. وتكوّنت العينة من بيانات عينة كبيرة من المباني التجارية الأمريكية تتضمن مسوحات رضا المستأجرين المقرونة ببيانات الإيجار والشغور والخصائص الفيزيائية للمبنى. وتوصلت النتائج إلى أن المباني ذات مستويات الرضا الأعلى تحقق إيجارات أعلى ومعدلات شغور أقل، مما يؤكد أن الاستثمار في تحسين جودة المبنى وخدماته ينعكس مباشرة على الأداء المالي. وأوصت الدراسة بتبني مقاييس دورية لرضا المستأجرين كأداة لاتخاذ قرارات الاستثمار في الصيانة والتحسينات، وبإدراج هذه المقاييس ضمن معايير التقييم العقاري</w:t>
      </w:r>
      <w:r w:rsidRPr="003F5BA3">
        <w:rPr>
          <w:rFonts w:ascii="Simplified Arabic" w:eastAsia="Times New Roman" w:hAnsi="Simplified Arabic" w:cs="Simplified Arabic"/>
          <w:color w:val="000000" w:themeColor="text1"/>
          <w:kern w:val="0"/>
          <w:sz w:val="28"/>
          <w:szCs w:val="28"/>
          <w14:ligatures w14:val="none"/>
        </w:rPr>
        <w:t>.</w:t>
      </w:r>
    </w:p>
    <w:p w14:paraId="0C2A856D" w14:textId="77777777" w:rsidR="00D103B0" w:rsidRPr="003F5BA3" w:rsidRDefault="00D103B0" w:rsidP="00D103B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932454"/>
      <w:r w:rsidRPr="003F5BA3">
        <w:rPr>
          <w:rFonts w:ascii="Simplified Arabic" w:eastAsia="Times New Roman" w:hAnsi="Simplified Arabic" w:cs="Simplified Arabic"/>
          <w:b/>
          <w:bCs/>
          <w:color w:val="000000" w:themeColor="text1"/>
          <w:kern w:val="0"/>
          <w:sz w:val="36"/>
          <w:szCs w:val="36"/>
          <w:rtl/>
          <w14:ligatures w14:val="none"/>
        </w:rPr>
        <w:t>8.1 الفجوة البحثية</w:t>
      </w:r>
      <w:bookmarkEnd w:id="16"/>
    </w:p>
    <w:p w14:paraId="058C3056" w14:textId="564D50B5" w:rsidR="00D103B0" w:rsidRPr="003F5BA3" w:rsidRDefault="00D103B0" w:rsidP="00D103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F5BA3">
        <w:rPr>
          <w:rFonts w:ascii="Simplified Arabic" w:eastAsia="Times New Roman" w:hAnsi="Simplified Arabic" w:cs="Simplified Arabic"/>
          <w:b/>
          <w:bCs/>
          <w:color w:val="000000" w:themeColor="text1"/>
          <w:kern w:val="0"/>
          <w:sz w:val="32"/>
          <w:szCs w:val="32"/>
          <w:rtl/>
          <w14:ligatures w14:val="none"/>
        </w:rPr>
        <w:lastRenderedPageBreak/>
        <w:t>أولاً: أوجه الاتفاق</w:t>
      </w:r>
    </w:p>
    <w:p w14:paraId="64FCBD01"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F5BA3">
        <w:rPr>
          <w:rFonts w:ascii="Simplified Arabic" w:eastAsia="Times New Roman" w:hAnsi="Simplified Arabic" w:cs="Simplified Arabic"/>
          <w:color w:val="000000" w:themeColor="text1"/>
          <w:kern w:val="0"/>
          <w:sz w:val="28"/>
          <w:szCs w:val="28"/>
          <w:rtl/>
          <w14:ligatures w14:val="none"/>
        </w:rPr>
        <w:t>تتفق الدراسة الحالية مع عدد من الدراسات السابقة في جوانب متعددة تشمل الهدف والمنهج وبيئة التطبيق.</w:t>
      </w:r>
    </w:p>
    <w:p w14:paraId="4EEBAB73"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 فمن حيث الهدف، تلتقي الدراسة الحالية مع دراسة</w:t>
      </w:r>
      <w:r w:rsidRPr="003F5BA3">
        <w:rPr>
          <w:rFonts w:ascii="Simplified Arabic" w:eastAsia="Times New Roman" w:hAnsi="Simplified Arabic" w:cs="Simplified Arabic"/>
          <w:color w:val="000000" w:themeColor="text1"/>
          <w:kern w:val="0"/>
          <w:sz w:val="28"/>
          <w:szCs w:val="28"/>
          <w14:ligatures w14:val="none"/>
        </w:rPr>
        <w:t xml:space="preserve"> Cho, Kim &amp; Kim (2022) </w:t>
      </w:r>
      <w:r w:rsidRPr="003F5BA3">
        <w:rPr>
          <w:rFonts w:ascii="Simplified Arabic" w:eastAsia="Times New Roman" w:hAnsi="Simplified Arabic" w:cs="Simplified Arabic"/>
          <w:color w:val="000000" w:themeColor="text1"/>
          <w:kern w:val="0"/>
          <w:sz w:val="28"/>
          <w:szCs w:val="28"/>
          <w:rtl/>
          <w14:ligatures w14:val="none"/>
        </w:rPr>
        <w:t>في السعي إلى الكشف عن أثر التجديدات والتحسينات العقارية على القيمة المالية للعقار، كما تتفق مع دراسة</w:t>
      </w:r>
      <w:r w:rsidRPr="003F5BA3">
        <w:rPr>
          <w:rFonts w:ascii="Simplified Arabic" w:eastAsia="Times New Roman" w:hAnsi="Simplified Arabic" w:cs="Simplified Arabic"/>
          <w:color w:val="000000" w:themeColor="text1"/>
          <w:kern w:val="0"/>
          <w:sz w:val="28"/>
          <w:szCs w:val="28"/>
          <w14:ligatures w14:val="none"/>
        </w:rPr>
        <w:t xml:space="preserve"> Caloia &amp; Mastrogiacomo (2022) </w:t>
      </w:r>
      <w:r w:rsidRPr="003F5BA3">
        <w:rPr>
          <w:rFonts w:ascii="Simplified Arabic" w:eastAsia="Times New Roman" w:hAnsi="Simplified Arabic" w:cs="Simplified Arabic"/>
          <w:color w:val="000000" w:themeColor="text1"/>
          <w:kern w:val="0"/>
          <w:sz w:val="28"/>
          <w:szCs w:val="28"/>
          <w:rtl/>
          <w14:ligatures w14:val="none"/>
        </w:rPr>
        <w:t>في التركيز على العلاقة بين التحسينات المادية التي يُجريها المالك وانعكاسها على العوائد الإيجارية. وتتقاطع أيضاً مع دراسة</w:t>
      </w:r>
      <w:r w:rsidRPr="003F5BA3">
        <w:rPr>
          <w:rFonts w:ascii="Simplified Arabic" w:eastAsia="Times New Roman" w:hAnsi="Simplified Arabic" w:cs="Simplified Arabic"/>
          <w:color w:val="000000" w:themeColor="text1"/>
          <w:kern w:val="0"/>
          <w:sz w:val="28"/>
          <w:szCs w:val="28"/>
          <w14:ligatures w14:val="none"/>
        </w:rPr>
        <w:t xml:space="preserve"> Mangold et al. (2023) </w:t>
      </w:r>
      <w:r w:rsidRPr="003F5BA3">
        <w:rPr>
          <w:rFonts w:ascii="Simplified Arabic" w:eastAsia="Times New Roman" w:hAnsi="Simplified Arabic" w:cs="Simplified Arabic"/>
          <w:color w:val="000000" w:themeColor="text1"/>
          <w:kern w:val="0"/>
          <w:sz w:val="28"/>
          <w:szCs w:val="28"/>
          <w:rtl/>
          <w14:ligatures w14:val="none"/>
        </w:rPr>
        <w:t>في استهداف فهم الكيفية التي يؤثر بها نمط التطوير والصيانة على مستويات الإيجار ومعدلات الشغور.</w:t>
      </w:r>
    </w:p>
    <w:p w14:paraId="421D3DAF"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 ومن حيث المنهج، تشترك الدراسة الحالية مع أغلب الدراسات المستعرَضة في تبنّي المنهج الوصفي التحليلي القائم على جمع بيانات كمّية وتحليلها إحصائياً، وهو المنهج ذاته الذي اعتمدته دراسة </w:t>
      </w:r>
      <w:proofErr w:type="spellStart"/>
      <w:r w:rsidRPr="003F5BA3">
        <w:rPr>
          <w:rFonts w:ascii="Simplified Arabic" w:eastAsia="Times New Roman" w:hAnsi="Simplified Arabic" w:cs="Simplified Arabic"/>
          <w:color w:val="000000" w:themeColor="text1"/>
          <w:kern w:val="0"/>
          <w:sz w:val="28"/>
          <w:szCs w:val="28"/>
          <w:rtl/>
          <w14:ligatures w14:val="none"/>
        </w:rPr>
        <w:t>خوقير</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والزامل (2023) في رصد أثر الموقع على القيمة الإيجارية، ودراسة</w:t>
      </w:r>
      <w:r w:rsidRPr="003F5BA3">
        <w:rPr>
          <w:rFonts w:ascii="Simplified Arabic" w:eastAsia="Times New Roman" w:hAnsi="Simplified Arabic" w:cs="Simplified Arabic"/>
          <w:color w:val="000000" w:themeColor="text1"/>
          <w:kern w:val="0"/>
          <w:sz w:val="28"/>
          <w:szCs w:val="28"/>
          <w14:ligatures w14:val="none"/>
        </w:rPr>
        <w:t xml:space="preserve"> Rose &amp; Harris (2022) </w:t>
      </w:r>
      <w:r w:rsidRPr="003F5BA3">
        <w:rPr>
          <w:rFonts w:ascii="Simplified Arabic" w:eastAsia="Times New Roman" w:hAnsi="Simplified Arabic" w:cs="Simplified Arabic"/>
          <w:color w:val="000000" w:themeColor="text1"/>
          <w:kern w:val="0"/>
          <w:sz w:val="28"/>
          <w:szCs w:val="28"/>
          <w:rtl/>
          <w14:ligatures w14:val="none"/>
        </w:rPr>
        <w:t xml:space="preserve">في تحليل بيانات التعداد لقياس جودة الصيانة وفقاً لنوع الملكية. كما تتفق مع دراسة البدّاح </w:t>
      </w:r>
      <w:proofErr w:type="spellStart"/>
      <w:r w:rsidRPr="003F5BA3">
        <w:rPr>
          <w:rFonts w:ascii="Simplified Arabic" w:eastAsia="Times New Roman" w:hAnsi="Simplified Arabic" w:cs="Simplified Arabic"/>
          <w:color w:val="000000" w:themeColor="text1"/>
          <w:kern w:val="0"/>
          <w:sz w:val="28"/>
          <w:szCs w:val="28"/>
          <w:rtl/>
          <w14:ligatures w14:val="none"/>
        </w:rPr>
        <w:t>والحثلول</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(2022) في استخدام أسلوب المقارنة الكمّية بين فئات مختلفة داخل القطاع العقاري السكني.</w:t>
      </w:r>
    </w:p>
    <w:p w14:paraId="76D4336B"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 ومن حيث بيئة التطبيق، تتقاطع الدراسة الحالية مع دراسة البدّاح </w:t>
      </w:r>
      <w:proofErr w:type="spellStart"/>
      <w:r w:rsidRPr="003F5BA3">
        <w:rPr>
          <w:rFonts w:ascii="Simplified Arabic" w:eastAsia="Times New Roman" w:hAnsi="Simplified Arabic" w:cs="Simplified Arabic"/>
          <w:color w:val="000000" w:themeColor="text1"/>
          <w:kern w:val="0"/>
          <w:sz w:val="28"/>
          <w:szCs w:val="28"/>
          <w:rtl/>
          <w14:ligatures w14:val="none"/>
        </w:rPr>
        <w:t>والحثلول</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(2022) ودراسة </w:t>
      </w:r>
      <w:proofErr w:type="spellStart"/>
      <w:r w:rsidRPr="003F5BA3">
        <w:rPr>
          <w:rFonts w:ascii="Simplified Arabic" w:eastAsia="Times New Roman" w:hAnsi="Simplified Arabic" w:cs="Simplified Arabic"/>
          <w:color w:val="000000" w:themeColor="text1"/>
          <w:kern w:val="0"/>
          <w:sz w:val="28"/>
          <w:szCs w:val="28"/>
          <w:rtl/>
          <w14:ligatures w14:val="none"/>
        </w:rPr>
        <w:t>خوقير</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والزامل (2023) ودراسة الرحيلي (2020) في تطبيقها ضمن البيئة العقارية السعودية، مما يعني اشتراكها في السياق التشريعي والاقتصادي والاجتماعي ذاته، وهو ما يُتيح مقارنة النتائج وتراكم المعرفة حول سوق الإيجار المحلي</w:t>
      </w:r>
      <w:r w:rsidRPr="003F5BA3">
        <w:rPr>
          <w:rFonts w:ascii="Simplified Arabic" w:eastAsia="Times New Roman" w:hAnsi="Simplified Arabic" w:cs="Simplified Arabic"/>
          <w:color w:val="000000" w:themeColor="text1"/>
          <w:kern w:val="0"/>
          <w:sz w:val="28"/>
          <w:szCs w:val="28"/>
          <w14:ligatures w14:val="none"/>
        </w:rPr>
        <w:t>.</w:t>
      </w:r>
    </w:p>
    <w:p w14:paraId="45C58FB3" w14:textId="77777777" w:rsidR="005E3552" w:rsidRPr="003F5BA3" w:rsidRDefault="005E3552" w:rsidP="00D103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3503424"/>
      <w:r w:rsidRPr="003F5BA3">
        <w:rPr>
          <w:rFonts w:ascii="Simplified Arabic" w:eastAsia="Times New Roman" w:hAnsi="Simplified Arabic" w:cs="Simplified Arabic"/>
          <w:b/>
          <w:bCs/>
          <w:color w:val="000000" w:themeColor="text1"/>
          <w:kern w:val="0"/>
          <w:sz w:val="32"/>
          <w:szCs w:val="32"/>
          <w:rtl/>
          <w14:ligatures w14:val="none"/>
        </w:rPr>
        <w:t>ثانياً: أوجه الاختلاف</w:t>
      </w:r>
      <w:bookmarkEnd w:id="17"/>
    </w:p>
    <w:p w14:paraId="47269B5F"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على الرغم من أوجه التقاطع المذكورة، تتميّز الدراسة الحالية عن الدراسات السابقة في عدة نقاط جوهرية تتعلق بالهدف والمنهج وبيئة التطبيق. </w:t>
      </w:r>
    </w:p>
    <w:p w14:paraId="2F236115"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F5BA3">
        <w:rPr>
          <w:rFonts w:ascii="Simplified Arabic" w:eastAsia="Times New Roman" w:hAnsi="Simplified Arabic" w:cs="Simplified Arabic"/>
          <w:color w:val="000000" w:themeColor="text1"/>
          <w:kern w:val="0"/>
          <w:sz w:val="28"/>
          <w:szCs w:val="28"/>
          <w:rtl/>
          <w14:ligatures w14:val="none"/>
        </w:rPr>
        <w:t>فمن حيث الهدف، ركّزت معظم الدراسات السابقة على بُعد واحد من أبعاد التطوير العقاري؛ فدراسة</w:t>
      </w:r>
      <w:r w:rsidRPr="003F5BA3">
        <w:rPr>
          <w:rFonts w:ascii="Simplified Arabic" w:eastAsia="Times New Roman" w:hAnsi="Simplified Arabic" w:cs="Simplified Arabic"/>
          <w:color w:val="000000" w:themeColor="text1"/>
          <w:kern w:val="0"/>
          <w:sz w:val="28"/>
          <w:szCs w:val="28"/>
          <w14:ligatures w14:val="none"/>
        </w:rPr>
        <w:t xml:space="preserve"> Cho et al. (2022) </w:t>
      </w:r>
      <w:r w:rsidRPr="003F5BA3">
        <w:rPr>
          <w:rFonts w:ascii="Simplified Arabic" w:eastAsia="Times New Roman" w:hAnsi="Simplified Arabic" w:cs="Simplified Arabic"/>
          <w:color w:val="000000" w:themeColor="text1"/>
          <w:kern w:val="0"/>
          <w:sz w:val="28"/>
          <w:szCs w:val="28"/>
          <w:rtl/>
          <w14:ligatures w14:val="none"/>
        </w:rPr>
        <w:t>اقتصرت على التجديدات في المباني المكتبية، ودراسة</w:t>
      </w:r>
      <w:r w:rsidRPr="003F5BA3">
        <w:rPr>
          <w:rFonts w:ascii="Simplified Arabic" w:eastAsia="Times New Roman" w:hAnsi="Simplified Arabic" w:cs="Simplified Arabic"/>
          <w:color w:val="000000" w:themeColor="text1"/>
          <w:kern w:val="0"/>
          <w:sz w:val="28"/>
          <w:szCs w:val="28"/>
          <w14:ligatures w14:val="none"/>
        </w:rPr>
        <w:t xml:space="preserve"> Lang et al. (2021) </w:t>
      </w:r>
      <w:r w:rsidRPr="003F5BA3">
        <w:rPr>
          <w:rFonts w:ascii="Simplified Arabic" w:eastAsia="Times New Roman" w:hAnsi="Simplified Arabic" w:cs="Simplified Arabic"/>
          <w:color w:val="000000" w:themeColor="text1"/>
          <w:kern w:val="0"/>
          <w:sz w:val="28"/>
          <w:szCs w:val="28"/>
          <w:rtl/>
          <w14:ligatures w14:val="none"/>
        </w:rPr>
        <w:t xml:space="preserve">تناولت الاستعداد للتحسين في كفاءة الطاقة فقط، ودراسة عبد الصبور </w:t>
      </w:r>
      <w:r w:rsidRPr="003F5BA3">
        <w:rPr>
          <w:rFonts w:ascii="Simplified Arabic" w:eastAsia="Times New Roman" w:hAnsi="Simplified Arabic" w:cs="Simplified Arabic"/>
          <w:color w:val="000000" w:themeColor="text1"/>
          <w:kern w:val="0"/>
          <w:sz w:val="28"/>
          <w:szCs w:val="28"/>
          <w14:ligatures w14:val="none"/>
        </w:rPr>
        <w:t xml:space="preserve">(2024) </w:t>
      </w:r>
      <w:r w:rsidRPr="003F5BA3">
        <w:rPr>
          <w:rFonts w:ascii="Simplified Arabic" w:eastAsia="Times New Roman" w:hAnsi="Simplified Arabic" w:cs="Simplified Arabic"/>
          <w:color w:val="000000" w:themeColor="text1"/>
          <w:kern w:val="0"/>
          <w:sz w:val="28"/>
          <w:szCs w:val="28"/>
          <w:rtl/>
          <w14:ligatures w14:val="none"/>
        </w:rPr>
        <w:t xml:space="preserve">عالجت الصيانة بمعزل </w:t>
      </w:r>
      <w:r w:rsidRPr="003F5BA3">
        <w:rPr>
          <w:rFonts w:ascii="Simplified Arabic" w:eastAsia="Times New Roman" w:hAnsi="Simplified Arabic" w:cs="Simplified Arabic"/>
          <w:color w:val="000000" w:themeColor="text1"/>
          <w:kern w:val="0"/>
          <w:sz w:val="28"/>
          <w:szCs w:val="28"/>
          <w:rtl/>
          <w14:ligatures w14:val="none"/>
        </w:rPr>
        <w:lastRenderedPageBreak/>
        <w:t>عن المتغيرات الإيجارية، بينما تتبنى الدراسة الحالية نموذجاً تكاملياً يجمع أربعة أبعاد للتطوير (جودة التشطيبات، كفاءة الصيانة، التحسينات الوظيفية والجمالية، تحديث الأنظمة والبنية التحتية</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 xml:space="preserve">ويقيس أثرها المشترك والمنفرد على متغيرين تابعين هما القيمة الإيجارية وسرعة التأجير معاً، وهو ما لم تتناوله أيٌّ من الدراسات المستعرَضة بهذا الشمول. </w:t>
      </w:r>
    </w:p>
    <w:p w14:paraId="7B5026BC"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F5BA3">
        <w:rPr>
          <w:rFonts w:ascii="Simplified Arabic" w:eastAsia="Times New Roman" w:hAnsi="Simplified Arabic" w:cs="Simplified Arabic"/>
          <w:color w:val="000000" w:themeColor="text1"/>
          <w:kern w:val="0"/>
          <w:sz w:val="28"/>
          <w:szCs w:val="28"/>
          <w:rtl/>
          <w14:ligatures w14:val="none"/>
        </w:rPr>
        <w:t>ومن حيث المنهج، اعتمدت دراسات مثل</w:t>
      </w:r>
      <w:r w:rsidRPr="003F5BA3">
        <w:rPr>
          <w:rFonts w:ascii="Simplified Arabic" w:eastAsia="Times New Roman" w:hAnsi="Simplified Arabic" w:cs="Simplified Arabic"/>
          <w:color w:val="000000" w:themeColor="text1"/>
          <w:kern w:val="0"/>
          <w:sz w:val="28"/>
          <w:szCs w:val="28"/>
          <w14:ligatures w14:val="none"/>
        </w:rPr>
        <w:t xml:space="preserve"> Mangold et al. (2023) </w:t>
      </w:r>
      <w:r w:rsidRPr="003F5BA3">
        <w:rPr>
          <w:rFonts w:ascii="Simplified Arabic" w:eastAsia="Times New Roman" w:hAnsi="Simplified Arabic" w:cs="Simplified Arabic"/>
          <w:color w:val="000000" w:themeColor="text1"/>
          <w:kern w:val="0"/>
          <w:sz w:val="28"/>
          <w:szCs w:val="28"/>
          <w:rtl/>
          <w14:ligatures w14:val="none"/>
        </w:rPr>
        <w:t>على بيانات ثانوية من سجلات ضريبية، ودراسة</w:t>
      </w:r>
      <w:r w:rsidRPr="003F5BA3">
        <w:rPr>
          <w:rFonts w:ascii="Simplified Arabic" w:eastAsia="Times New Roman" w:hAnsi="Simplified Arabic" w:cs="Simplified Arabic"/>
          <w:color w:val="000000" w:themeColor="text1"/>
          <w:kern w:val="0"/>
          <w:sz w:val="28"/>
          <w:szCs w:val="28"/>
          <w14:ligatures w14:val="none"/>
        </w:rPr>
        <w:t xml:space="preserve"> Pannier et al. (2021) </w:t>
      </w:r>
      <w:r w:rsidRPr="003F5BA3">
        <w:rPr>
          <w:rFonts w:ascii="Simplified Arabic" w:eastAsia="Times New Roman" w:hAnsi="Simplified Arabic" w:cs="Simplified Arabic"/>
          <w:color w:val="000000" w:themeColor="text1"/>
          <w:kern w:val="0"/>
          <w:sz w:val="28"/>
          <w:szCs w:val="28"/>
          <w:rtl/>
          <w14:ligatures w14:val="none"/>
        </w:rPr>
        <w:t>على نمذجة رياضية متعددة الأهداف، ودراسة</w:t>
      </w:r>
      <w:r w:rsidRPr="003F5BA3">
        <w:rPr>
          <w:rFonts w:ascii="Simplified Arabic" w:eastAsia="Times New Roman" w:hAnsi="Simplified Arabic" w:cs="Simplified Arabic"/>
          <w:color w:val="000000" w:themeColor="text1"/>
          <w:kern w:val="0"/>
          <w:sz w:val="28"/>
          <w:szCs w:val="28"/>
          <w14:ligatures w14:val="none"/>
        </w:rPr>
        <w:t xml:space="preserve"> Caloia &amp; Mastrogiacomo (2022) </w:t>
      </w:r>
      <w:r w:rsidRPr="003F5BA3">
        <w:rPr>
          <w:rFonts w:ascii="Simplified Arabic" w:eastAsia="Times New Roman" w:hAnsi="Simplified Arabic" w:cs="Simplified Arabic"/>
          <w:color w:val="000000" w:themeColor="text1"/>
          <w:kern w:val="0"/>
          <w:sz w:val="28"/>
          <w:szCs w:val="28"/>
          <w:rtl/>
          <w14:ligatures w14:val="none"/>
        </w:rPr>
        <w:t>على بيانات طولية من مسوح أُسَرية، في حين تعتمد الدراسة الحالية على بيانات أولية تُجمع بأداة استبانة مصمَّمة خصيصاً وموجَّهة إلى المهنيين العقاريين مباشرة، مع توظيف حزمة إحصائية متكاملة تشمل الانحدار المتعدد وتحليل التباين وتحليل المسار، مما يُتيح قياس الأثر المباشر وغير المباشر لكل بُعد.</w:t>
      </w:r>
    </w:p>
    <w:p w14:paraId="4CEAFEC5"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 ومن حيث بيئة التطبيق، أُجريت الدراسات الأجنبية في سياقات مختلفة كالسوق السويدي</w:t>
      </w:r>
      <w:r w:rsidRPr="003F5BA3">
        <w:rPr>
          <w:rFonts w:ascii="Simplified Arabic" w:eastAsia="Times New Roman" w:hAnsi="Simplified Arabic" w:cs="Simplified Arabic"/>
          <w:color w:val="000000" w:themeColor="text1"/>
          <w:kern w:val="0"/>
          <w:sz w:val="28"/>
          <w:szCs w:val="28"/>
          <w14:ligatures w14:val="none"/>
        </w:rPr>
        <w:t xml:space="preserve"> (Mangold et al., 2023) </w:t>
      </w:r>
      <w:r w:rsidRPr="003F5BA3">
        <w:rPr>
          <w:rFonts w:ascii="Simplified Arabic" w:eastAsia="Times New Roman" w:hAnsi="Simplified Arabic" w:cs="Simplified Arabic"/>
          <w:color w:val="000000" w:themeColor="text1"/>
          <w:kern w:val="0"/>
          <w:sz w:val="28"/>
          <w:szCs w:val="28"/>
          <w:rtl/>
          <w14:ligatures w14:val="none"/>
        </w:rPr>
        <w:t>والأسترالي</w:t>
      </w:r>
      <w:r w:rsidRPr="003F5BA3">
        <w:rPr>
          <w:rFonts w:ascii="Simplified Arabic" w:eastAsia="Times New Roman" w:hAnsi="Simplified Arabic" w:cs="Simplified Arabic"/>
          <w:color w:val="000000" w:themeColor="text1"/>
          <w:kern w:val="0"/>
          <w:sz w:val="28"/>
          <w:szCs w:val="28"/>
          <w14:ligatures w14:val="none"/>
        </w:rPr>
        <w:t xml:space="preserve"> (Lang et al., 2021) </w:t>
      </w:r>
      <w:r w:rsidRPr="003F5BA3">
        <w:rPr>
          <w:rFonts w:ascii="Simplified Arabic" w:eastAsia="Times New Roman" w:hAnsi="Simplified Arabic" w:cs="Simplified Arabic"/>
          <w:color w:val="000000" w:themeColor="text1"/>
          <w:kern w:val="0"/>
          <w:sz w:val="28"/>
          <w:szCs w:val="28"/>
          <w:rtl/>
          <w14:ligatures w14:val="none"/>
        </w:rPr>
        <w:t>والكوري</w:t>
      </w:r>
      <w:r w:rsidRPr="003F5BA3">
        <w:rPr>
          <w:rFonts w:ascii="Simplified Arabic" w:eastAsia="Times New Roman" w:hAnsi="Simplified Arabic" w:cs="Simplified Arabic"/>
          <w:color w:val="000000" w:themeColor="text1"/>
          <w:kern w:val="0"/>
          <w:sz w:val="28"/>
          <w:szCs w:val="28"/>
          <w14:ligatures w14:val="none"/>
        </w:rPr>
        <w:t xml:space="preserve"> (Cho et al., 2022) </w:t>
      </w:r>
      <w:r w:rsidRPr="003F5BA3">
        <w:rPr>
          <w:rFonts w:ascii="Simplified Arabic" w:eastAsia="Times New Roman" w:hAnsi="Simplified Arabic" w:cs="Simplified Arabic"/>
          <w:color w:val="000000" w:themeColor="text1"/>
          <w:kern w:val="0"/>
          <w:sz w:val="28"/>
          <w:szCs w:val="28"/>
          <w:rtl/>
          <w14:ligatures w14:val="none"/>
        </w:rPr>
        <w:t>والإيطالي</w:t>
      </w:r>
      <w:r w:rsidRPr="003F5BA3">
        <w:rPr>
          <w:rFonts w:ascii="Simplified Arabic" w:eastAsia="Times New Roman" w:hAnsi="Simplified Arabic" w:cs="Simplified Arabic"/>
          <w:color w:val="000000" w:themeColor="text1"/>
          <w:kern w:val="0"/>
          <w:sz w:val="28"/>
          <w:szCs w:val="28"/>
          <w:rtl/>
          <w14:ligatures w14:val="none"/>
        </w:rPr>
        <w:noBreakHyphen/>
        <w:t>الهولندي</w:t>
      </w:r>
      <w:r w:rsidRPr="003F5BA3">
        <w:rPr>
          <w:rFonts w:ascii="Simplified Arabic" w:eastAsia="Times New Roman" w:hAnsi="Simplified Arabic" w:cs="Simplified Arabic"/>
          <w:color w:val="000000" w:themeColor="text1"/>
          <w:kern w:val="0"/>
          <w:sz w:val="28"/>
          <w:szCs w:val="28"/>
          <w14:ligatures w14:val="none"/>
        </w:rPr>
        <w:t xml:space="preserve"> (Caloia &amp; Mastrogiacomo, 2022) </w:t>
      </w:r>
      <w:r w:rsidRPr="003F5BA3">
        <w:rPr>
          <w:rFonts w:ascii="Simplified Arabic" w:eastAsia="Times New Roman" w:hAnsi="Simplified Arabic" w:cs="Simplified Arabic"/>
          <w:color w:val="000000" w:themeColor="text1"/>
          <w:kern w:val="0"/>
          <w:sz w:val="28"/>
          <w:szCs w:val="28"/>
          <w:rtl/>
          <w14:ligatures w14:val="none"/>
        </w:rPr>
        <w:t>والكندي</w:t>
      </w:r>
      <w:r w:rsidRPr="003F5BA3">
        <w:rPr>
          <w:rFonts w:ascii="Simplified Arabic" w:eastAsia="Times New Roman" w:hAnsi="Simplified Arabic" w:cs="Simplified Arabic"/>
          <w:color w:val="000000" w:themeColor="text1"/>
          <w:kern w:val="0"/>
          <w:sz w:val="28"/>
          <w:szCs w:val="28"/>
          <w14:ligatures w14:val="none"/>
        </w:rPr>
        <w:t xml:space="preserve"> (Rose &amp; Harris, 2022)</w:t>
      </w:r>
      <w:r w:rsidRPr="003F5BA3">
        <w:rPr>
          <w:rFonts w:ascii="Simplified Arabic" w:eastAsia="Times New Roman" w:hAnsi="Simplified Arabic" w:cs="Simplified Arabic"/>
          <w:color w:val="000000" w:themeColor="text1"/>
          <w:kern w:val="0"/>
          <w:sz w:val="28"/>
          <w:szCs w:val="28"/>
          <w:rtl/>
          <w14:ligatures w14:val="none"/>
        </w:rPr>
        <w:t xml:space="preserve">، بينما تستهدف الدراسة الحالية سوق الإيجار السعودي تحديداً بخصوصياته التنظيمية والثقافية المرتبطة برؤية المملكة 2030 وبرنامج الإسكان، كما تتميّز عن الدراسات العربية السابقة — التي اقتصرت على المقارنة القانونية كدراسة بابو وكريم (2021) أو على تكاليف التطوير كدراسة البدّاح </w:t>
      </w:r>
      <w:proofErr w:type="spellStart"/>
      <w:r w:rsidRPr="003F5BA3">
        <w:rPr>
          <w:rFonts w:ascii="Simplified Arabic" w:eastAsia="Times New Roman" w:hAnsi="Simplified Arabic" w:cs="Simplified Arabic"/>
          <w:color w:val="000000" w:themeColor="text1"/>
          <w:kern w:val="0"/>
          <w:sz w:val="28"/>
          <w:szCs w:val="28"/>
          <w:rtl/>
          <w14:ligatures w14:val="none"/>
        </w:rPr>
        <w:t>والحثلول</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(2022) — بأنها تربط أبعاد التطوير بالعوائد الإيجارية ربطاً كمّياً مباشراً في إطار تحليلي واحد</w:t>
      </w:r>
      <w:r w:rsidRPr="003F5BA3">
        <w:rPr>
          <w:rFonts w:ascii="Simplified Arabic" w:eastAsia="Times New Roman" w:hAnsi="Simplified Arabic" w:cs="Simplified Arabic"/>
          <w:color w:val="000000" w:themeColor="text1"/>
          <w:kern w:val="0"/>
          <w:sz w:val="28"/>
          <w:szCs w:val="28"/>
          <w14:ligatures w14:val="none"/>
        </w:rPr>
        <w:t>.</w:t>
      </w:r>
    </w:p>
    <w:p w14:paraId="3FCF1D06" w14:textId="77777777" w:rsidR="00D103B0" w:rsidRPr="003F5BA3" w:rsidRDefault="00D103B0" w:rsidP="00D103B0">
      <w:pPr>
        <w:spacing w:before="100" w:beforeAutospacing="1" w:after="100" w:afterAutospacing="1" w:line="276" w:lineRule="auto"/>
        <w:outlineLvl w:val="1"/>
        <w:rPr>
          <w:rFonts w:ascii="Simplified Arabic" w:eastAsia="Times New Roman" w:hAnsi="Simplified Arabic" w:cs="Simplified Arabic"/>
          <w:color w:val="000000" w:themeColor="text1"/>
          <w:kern w:val="0"/>
          <w:sz w:val="36"/>
          <w:szCs w:val="36"/>
          <w:rtl/>
          <w14:ligatures w14:val="none"/>
        </w:rPr>
      </w:pPr>
      <w:bookmarkStart w:id="18" w:name="_Toc233932455"/>
      <w:bookmarkStart w:id="19" w:name="_Toc169790506"/>
      <w:bookmarkEnd w:id="14"/>
      <w:r w:rsidRPr="003F5BA3">
        <w:rPr>
          <w:rFonts w:ascii="Simplified Arabic" w:eastAsia="Times New Roman" w:hAnsi="Simplified Arabic" w:cs="Simplified Arabic"/>
          <w:color w:val="000000" w:themeColor="text1"/>
          <w:kern w:val="0"/>
          <w:sz w:val="36"/>
          <w:szCs w:val="36"/>
          <w:rtl/>
          <w14:ligatures w14:val="none"/>
        </w:rPr>
        <w:t>9.1 المنطلقات النظرية للدراسة:</w:t>
      </w:r>
      <w:bookmarkEnd w:id="18"/>
    </w:p>
    <w:p w14:paraId="55DCC6BA" w14:textId="079950E4" w:rsidR="00D103B0" w:rsidRPr="003F5BA3" w:rsidRDefault="00D103B0" w:rsidP="00D103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F5BA3">
        <w:rPr>
          <w:rFonts w:ascii="Simplified Arabic" w:eastAsia="Times New Roman" w:hAnsi="Simplified Arabic" w:cs="Simplified Arabic"/>
          <w:b/>
          <w:bCs/>
          <w:color w:val="000000" w:themeColor="text1"/>
          <w:kern w:val="0"/>
          <w:sz w:val="32"/>
          <w:szCs w:val="32"/>
          <w:rtl/>
          <w14:ligatures w14:val="none"/>
        </w:rPr>
        <w:t>أولاً: الإطار المفاهيمي لتطوير العقار</w:t>
      </w:r>
    </w:p>
    <w:p w14:paraId="1DF5FBCF"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يُقصد بتطوير العقار في سياق هذه الدراسة مجموعة العمليات والتدخلات المادية والفنية التي تُنفَّذ على المبنى القائم بهدف الارتقاء بحالته الفيزيائية والوظيفية والجمالية وتعزيز كفاءته التشغيلية، وذلك بما يتجاوز مفهوم الإنشاء الأوّلي ليشمل دورة حياة المبنى بأكملها من لحظة التسليم وحتى نهاية عمره الافتراضي. ويتمايز هذا المفهوم عن التطوير العقاري بمعناه الواسع الذي يشمل شراء الأراضي وتخطيط المشاريع وبناء وحدات جديدة وتسويقها، إذ ينصبّ التركيز هنا على التدخلات اللاحقة للإنشاء التي تستهدف المخزون </w:t>
      </w:r>
      <w:r w:rsidRPr="003F5BA3">
        <w:rPr>
          <w:rFonts w:ascii="Simplified Arabic" w:eastAsia="Times New Roman" w:hAnsi="Simplified Arabic" w:cs="Simplified Arabic"/>
          <w:color w:val="000000" w:themeColor="text1"/>
          <w:kern w:val="0"/>
          <w:sz w:val="28"/>
          <w:szCs w:val="28"/>
          <w:rtl/>
          <w14:ligatures w14:val="none"/>
        </w:rPr>
        <w:lastRenderedPageBreak/>
        <w:t>العقاري القائم بالفعل. وقد أشارت الأدبيات إلى أن التطوير العقاري بهذا المعنى يُعَدّ العنصر الثالث في منظومة إدارة المبنى بعد التصميم والتنفيذ، وأن إهماله يُفضي إلى تدهور متسارع في قيمة الأصل العقاري وقدرته التنافسية في السوق الإيجاري (عبد الصبور، 2024). وتنطلق هذه الدراسة من تصنيف تطوير العقار في أربعة أبعاد رئيسية تُغطّي الطيف الكامل للتدخلات الممكنة على المبنى القائم، وهي: جودة التشطيبات الداخلية والخارجية، وكفاءة الصيانة الدورية والوقائية، والتحسينات الوظيفية والجمالية، وتحديث الأنظمة والبنية التحتية للمبنى</w:t>
      </w:r>
      <w:r w:rsidRPr="003F5BA3">
        <w:rPr>
          <w:rFonts w:ascii="Simplified Arabic" w:eastAsia="Times New Roman" w:hAnsi="Simplified Arabic" w:cs="Simplified Arabic"/>
          <w:color w:val="000000" w:themeColor="text1"/>
          <w:kern w:val="0"/>
          <w:sz w:val="28"/>
          <w:szCs w:val="28"/>
          <w14:ligatures w14:val="none"/>
        </w:rPr>
        <w:t>.</w:t>
      </w:r>
    </w:p>
    <w:p w14:paraId="00CA04FA" w14:textId="7199145F" w:rsidR="005E3552" w:rsidRPr="003F5BA3" w:rsidRDefault="005E3552" w:rsidP="00D103B0">
      <w:pPr>
        <w:pStyle w:val="a6"/>
        <w:numPr>
          <w:ilvl w:val="0"/>
          <w:numId w:val="36"/>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20" w:name="_Toc223503427"/>
      <w:r w:rsidRPr="003F5BA3">
        <w:rPr>
          <w:rFonts w:ascii="Simplified Arabic" w:eastAsia="Times New Roman" w:hAnsi="Simplified Arabic" w:cs="Simplified Arabic"/>
          <w:b/>
          <w:bCs/>
          <w:color w:val="000000" w:themeColor="text1"/>
          <w:kern w:val="0"/>
          <w:sz w:val="28"/>
          <w:szCs w:val="28"/>
          <w:rtl/>
          <w14:ligatures w14:val="none"/>
        </w:rPr>
        <w:t>جودة التشطيبات الداخلية والخارجية</w:t>
      </w:r>
      <w:bookmarkEnd w:id="20"/>
    </w:p>
    <w:p w14:paraId="612D96F4"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يُشير هذا البُعد إلى مستوى المواد والأساليب المستخدمة في إنهاء الأسطح الداخلية والخارجية للمبنى وتجديدها، ويشمل ذلك نوعية الدهانات والأرضيات والأسقف المستعارة والحوائط الداخلية ومواد </w:t>
      </w:r>
      <w:proofErr w:type="spellStart"/>
      <w:r w:rsidRPr="003F5BA3">
        <w:rPr>
          <w:rFonts w:ascii="Simplified Arabic" w:eastAsia="Times New Roman" w:hAnsi="Simplified Arabic" w:cs="Simplified Arabic"/>
          <w:color w:val="000000" w:themeColor="text1"/>
          <w:kern w:val="0"/>
          <w:sz w:val="28"/>
          <w:szCs w:val="28"/>
          <w:rtl/>
          <w14:ligatures w14:val="none"/>
        </w:rPr>
        <w:t>تكسية</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الواجهات الخارجية ومستوى العزل الحراري والصوتي والمائي. وتُمثّل التشطيبات الواجهة البصرية الأولى التي يتفاعل معها المستأجر المحتمل عند معاينة العقار، وبالتالي فإن جودتها تُشكّل انطباعاً أولياً حاسماً يؤثر في قرار الاستئجار ومستوى الإيجار المقبول. وقد صُنّفت عناصر مثل التصميم الداخلي والخارجي ونسبة المساحات الخضراء وبيئة العمل ضمن أبرز العوامل المؤثرة في القيمة الاقتصادية للمباني المُجدَّدة</w:t>
      </w:r>
      <w:r w:rsidRPr="003F5BA3">
        <w:rPr>
          <w:rFonts w:ascii="Simplified Arabic" w:eastAsia="Times New Roman" w:hAnsi="Simplified Arabic" w:cs="Simplified Arabic"/>
          <w:color w:val="000000" w:themeColor="text1"/>
          <w:kern w:val="0"/>
          <w:sz w:val="28"/>
          <w:szCs w:val="28"/>
          <w14:ligatures w14:val="none"/>
        </w:rPr>
        <w:t xml:space="preserve"> (Cho et al., 2022).</w:t>
      </w:r>
    </w:p>
    <w:p w14:paraId="2D04E7F5" w14:textId="607FE7DB" w:rsidR="005E3552" w:rsidRPr="003F5BA3" w:rsidRDefault="005E3552" w:rsidP="00D103B0">
      <w:pPr>
        <w:pStyle w:val="a6"/>
        <w:numPr>
          <w:ilvl w:val="0"/>
          <w:numId w:val="36"/>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21" w:name="_Toc223503428"/>
      <w:r w:rsidRPr="003F5BA3">
        <w:rPr>
          <w:rFonts w:ascii="Simplified Arabic" w:eastAsia="Times New Roman" w:hAnsi="Simplified Arabic" w:cs="Simplified Arabic"/>
          <w:b/>
          <w:bCs/>
          <w:color w:val="000000" w:themeColor="text1"/>
          <w:kern w:val="0"/>
          <w:sz w:val="28"/>
          <w:szCs w:val="28"/>
          <w:rtl/>
          <w14:ligatures w14:val="none"/>
        </w:rPr>
        <w:t>كفاءة الصيانة الدورية والوقائية</w:t>
      </w:r>
      <w:bookmarkEnd w:id="21"/>
    </w:p>
    <w:p w14:paraId="304374BA"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يُعرَّف هذا البُعد بأنه منظومة الإجراءات المنتظمة والمُخطَّطة التي تُنفَّذ على المبنى ومكوناته بصورة دورية أو استباقية بهدف الحفاظ على أدائه الوظيفي ومنع حدوث الأعطال قبل وقوعها أو معالجتها في مراحلها المبكرة. ويشمل ذلك صيانة الأنظمة الكهربائية والميكانيكية ومعالجة التشققات والرطوبة وصيانة المصاعد والمناطق المشتركة والاستجابة السريعة لطلبات الإصلاح. ويتمايز مفهوم الصيانة الوقائية عن الصيانة العلاجية في أن الأولى تسبق حدوث العطل وتهدف إلى تفاديه، في حين تأتي الثانية كردّ فعل بعد وقوعه. وتؤكد الأدبيات أن نوع حيازة العقار يؤثر تأثيراً بنيوياً في مستوى الصيانة المُقدَّمة، حيث يميل قطاع الإيجار الخاص إلى تسجيل مستويات صيانة أدنى مقارنة بالملكية الفردية والإيجار الاجتماعي</w:t>
      </w:r>
      <w:r w:rsidRPr="003F5BA3">
        <w:rPr>
          <w:rFonts w:ascii="Simplified Arabic" w:eastAsia="Times New Roman" w:hAnsi="Simplified Arabic" w:cs="Simplified Arabic"/>
          <w:color w:val="000000" w:themeColor="text1"/>
          <w:kern w:val="0"/>
          <w:sz w:val="28"/>
          <w:szCs w:val="28"/>
          <w14:ligatures w14:val="none"/>
        </w:rPr>
        <w:t xml:space="preserve"> (Rose &amp; Harris, 2022). </w:t>
      </w:r>
      <w:r w:rsidRPr="003F5BA3">
        <w:rPr>
          <w:rFonts w:ascii="Simplified Arabic" w:eastAsia="Times New Roman" w:hAnsi="Simplified Arabic" w:cs="Simplified Arabic"/>
          <w:color w:val="000000" w:themeColor="text1"/>
          <w:kern w:val="0"/>
          <w:sz w:val="28"/>
          <w:szCs w:val="28"/>
          <w:rtl/>
          <w14:ligatures w14:val="none"/>
        </w:rPr>
        <w:t>كما أن غياب الصيانة المنتظمة لا يُهدّد السلامة الإنشائية فحسب، بل يُقلّص العمر الافتراضي للمبنى ويُضعف قدرته على استقطاب مستأجرين بإيجارات تنافسية</w:t>
      </w:r>
      <w:r w:rsidRPr="003F5BA3">
        <w:rPr>
          <w:rFonts w:ascii="Simplified Arabic" w:eastAsia="Times New Roman" w:hAnsi="Simplified Arabic" w:cs="Simplified Arabic"/>
          <w:color w:val="000000" w:themeColor="text1"/>
          <w:kern w:val="0"/>
          <w:sz w:val="28"/>
          <w:szCs w:val="28"/>
          <w14:ligatures w14:val="none"/>
        </w:rPr>
        <w:t>.</w:t>
      </w:r>
    </w:p>
    <w:p w14:paraId="26E1CB6E" w14:textId="77777777" w:rsidR="005E3552" w:rsidRPr="003F5BA3" w:rsidRDefault="005E3552" w:rsidP="00D103B0">
      <w:pPr>
        <w:pStyle w:val="a6"/>
        <w:numPr>
          <w:ilvl w:val="0"/>
          <w:numId w:val="36"/>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2" w:name="_Toc223503429"/>
      <w:r w:rsidRPr="003F5BA3">
        <w:rPr>
          <w:rFonts w:ascii="Simplified Arabic" w:eastAsia="Times New Roman" w:hAnsi="Simplified Arabic" w:cs="Simplified Arabic"/>
          <w:b/>
          <w:bCs/>
          <w:color w:val="000000" w:themeColor="text1"/>
          <w:kern w:val="0"/>
          <w:sz w:val="28"/>
          <w:szCs w:val="28"/>
          <w:rtl/>
          <w14:ligatures w14:val="none"/>
        </w:rPr>
        <w:lastRenderedPageBreak/>
        <w:t>التحسينات الوظيفية والجمالية</w:t>
      </w:r>
      <w:bookmarkEnd w:id="22"/>
    </w:p>
    <w:p w14:paraId="3F45F5DB"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يُقصد بهذا البُعد التدخلات التي تستهدف إعادة تنظيم الفراغات الداخلية وتحسين وظائف المبنى وتعزيز جاذبيته البصرية دون المساس بهيكله الإنشائي الأساسي. ويشمل ذلك إعادة توزيع المساحات الداخلية لتلبية الاحتياجات المعاصرة وتحسين مستويات الإضاءة والتهوية الطبيعية وتجميل المداخل والممرات والمساحات المشتركة وإضافة مرافق خدمية كمواقف السيارات وأنظمة الأمن والمراقبة. وتتميز هذه التحسينات بأنها تُضيف قيمة نوعية للعقار تتجاوز البُعد الفيزيائي لتطال تجربة الإشغال ذاتها، وهو ما يُعزّز الميزة التنافسية للعقار في سوق يتسم بتصاعد توقعات المستأجرين. وقد أشارت الأدبيات إلى أن التحسينات الوظيفية كزيادة المساحة القابلة للتأجير وعدد مواقف السيارات تُصنَّف ضمن العوامل الحرجة التي تُحدث فرقاً ملموساً في القيمة التقييمية للمبنى</w:t>
      </w:r>
      <w:r w:rsidRPr="003F5BA3">
        <w:rPr>
          <w:rFonts w:ascii="Simplified Arabic" w:eastAsia="Times New Roman" w:hAnsi="Simplified Arabic" w:cs="Simplified Arabic"/>
          <w:color w:val="000000" w:themeColor="text1"/>
          <w:kern w:val="0"/>
          <w:sz w:val="28"/>
          <w:szCs w:val="28"/>
          <w14:ligatures w14:val="none"/>
        </w:rPr>
        <w:t xml:space="preserve"> (Cho et al., 2022).</w:t>
      </w:r>
    </w:p>
    <w:p w14:paraId="79F5A38E" w14:textId="77777777" w:rsidR="005E3552" w:rsidRPr="003F5BA3" w:rsidRDefault="005E3552" w:rsidP="00D103B0">
      <w:pPr>
        <w:pStyle w:val="a6"/>
        <w:numPr>
          <w:ilvl w:val="0"/>
          <w:numId w:val="36"/>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3" w:name="_Toc223503430"/>
      <w:r w:rsidRPr="003F5BA3">
        <w:rPr>
          <w:rFonts w:ascii="Simplified Arabic" w:eastAsia="Times New Roman" w:hAnsi="Simplified Arabic" w:cs="Simplified Arabic"/>
          <w:b/>
          <w:bCs/>
          <w:color w:val="000000" w:themeColor="text1"/>
          <w:kern w:val="0"/>
          <w:sz w:val="28"/>
          <w:szCs w:val="28"/>
          <w:rtl/>
          <w14:ligatures w14:val="none"/>
        </w:rPr>
        <w:t>تحديث الأنظمة والبنية التحتية للمبنى</w:t>
      </w:r>
      <w:bookmarkEnd w:id="23"/>
    </w:p>
    <w:p w14:paraId="5F9065FC"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يُشير هذا البُعد إلى استبدال أو ترقية المنظومات التقنية والخدمية الأساسية التي يعتمد عليها المبنى في تشغيله اليومي، ويشمل ذلك تطوير شبكات المياه والصرف الصحي وترقية الأنظمة الكهربائية وتركيب أنظمة مكافحة الحريق والسلامة الحديثة واعتماد حلول ذكية لإدارة الطاقة والمبنى. ويكتسب هذا البُعد أهمية متزايدة في ظل التحولات التقنية المتسارعة والاشتراطات التنظيمية المتشددة المتعلقة بكفاءة الطاقة والاستدامة البيئية. وقد أكدت الأدبيات أن تحديث البنية التحتية للمبنى يُسهم في خفض تكاليف التشغيل وتحسين الأداء </w:t>
      </w:r>
      <w:proofErr w:type="spellStart"/>
      <w:r w:rsidRPr="003F5BA3">
        <w:rPr>
          <w:rFonts w:ascii="Simplified Arabic" w:eastAsia="Times New Roman" w:hAnsi="Simplified Arabic" w:cs="Simplified Arabic"/>
          <w:color w:val="000000" w:themeColor="text1"/>
          <w:kern w:val="0"/>
          <w:sz w:val="28"/>
          <w:szCs w:val="28"/>
          <w:rtl/>
          <w14:ligatures w14:val="none"/>
        </w:rPr>
        <w:t>الطاقوي</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وإطالة العمر الوظيفي للعقار، مما ينعكس إيجاباً على قيمته طويلة الأجل</w:t>
      </w:r>
      <w:r w:rsidRPr="003F5BA3">
        <w:rPr>
          <w:rFonts w:ascii="Simplified Arabic" w:eastAsia="Times New Roman" w:hAnsi="Simplified Arabic" w:cs="Simplified Arabic"/>
          <w:color w:val="000000" w:themeColor="text1"/>
          <w:kern w:val="0"/>
          <w:sz w:val="28"/>
          <w:szCs w:val="28"/>
          <w14:ligatures w14:val="none"/>
        </w:rPr>
        <w:t xml:space="preserve"> (Pannier et al., 2021). </w:t>
      </w:r>
      <w:r w:rsidRPr="003F5BA3">
        <w:rPr>
          <w:rFonts w:ascii="Simplified Arabic" w:eastAsia="Times New Roman" w:hAnsi="Simplified Arabic" w:cs="Simplified Arabic"/>
          <w:color w:val="000000" w:themeColor="text1"/>
          <w:kern w:val="0"/>
          <w:sz w:val="28"/>
          <w:szCs w:val="28"/>
          <w:rtl/>
          <w14:ligatures w14:val="none"/>
        </w:rPr>
        <w:t>غير أن قرارات التحديث تظل محكومة باستعداد المُلّاك لتحمّل تكاليفها الرأسمالية المرتفعة نسبياً، وهو ما يتأثر بعوامل مالية ونفسية وتنظيمية متشعبة</w:t>
      </w:r>
      <w:r w:rsidRPr="003F5BA3">
        <w:rPr>
          <w:rFonts w:ascii="Simplified Arabic" w:eastAsia="Times New Roman" w:hAnsi="Simplified Arabic" w:cs="Simplified Arabic"/>
          <w:color w:val="000000" w:themeColor="text1"/>
          <w:kern w:val="0"/>
          <w:sz w:val="28"/>
          <w:szCs w:val="28"/>
          <w14:ligatures w14:val="none"/>
        </w:rPr>
        <w:t xml:space="preserve"> (Lang et al., 2021).</w:t>
      </w:r>
    </w:p>
    <w:p w14:paraId="41A567DD" w14:textId="77777777" w:rsidR="005E3552" w:rsidRPr="003F5BA3" w:rsidRDefault="005E3552" w:rsidP="00D103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3503431"/>
      <w:r w:rsidRPr="003F5BA3">
        <w:rPr>
          <w:rFonts w:ascii="Simplified Arabic" w:eastAsia="Times New Roman" w:hAnsi="Simplified Arabic" w:cs="Simplified Arabic"/>
          <w:b/>
          <w:bCs/>
          <w:color w:val="000000" w:themeColor="text1"/>
          <w:kern w:val="0"/>
          <w:sz w:val="32"/>
          <w:szCs w:val="32"/>
          <w:rtl/>
          <w14:ligatures w14:val="none"/>
        </w:rPr>
        <w:t>ثانياً: الإطار المفاهيمي للقيمة الإيجارية وسرعة التأجير</w:t>
      </w:r>
      <w:bookmarkEnd w:id="24"/>
    </w:p>
    <w:p w14:paraId="018E51AC" w14:textId="77777777" w:rsidR="005E3552" w:rsidRPr="003F5BA3" w:rsidRDefault="005E3552" w:rsidP="00D103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5" w:name="_Toc223503432"/>
      <w:r w:rsidRPr="003F5BA3">
        <w:rPr>
          <w:rFonts w:ascii="Simplified Arabic" w:eastAsia="Times New Roman" w:hAnsi="Simplified Arabic" w:cs="Simplified Arabic"/>
          <w:b/>
          <w:bCs/>
          <w:color w:val="000000" w:themeColor="text1"/>
          <w:kern w:val="0"/>
          <w:sz w:val="28"/>
          <w:szCs w:val="28"/>
          <w:rtl/>
          <w14:ligatures w14:val="none"/>
        </w:rPr>
        <w:t>القيمة الإيجارية</w:t>
      </w:r>
      <w:bookmarkEnd w:id="25"/>
    </w:p>
    <w:p w14:paraId="4BDFD26E"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تُعرَّف القيمة الإيجارية في هذه الدراسة بأنها المبلغ النقدي الدوري (شهري أو سنوي) الذي يدفعه المستأجر مقابل حق الانتفاع بالوحدة العقارية خلال مدة زمنية محددة وفقاً لشروط عقد الإيجار</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 xml:space="preserve">وتتحدد هذه القيمة بتفاعل مجموعة من العوامل تشمل خصائص العقار ذاته وموقعه الجغرافي وظروف العرض والطلب في السوق والإطار التشريعي المنظّم للعلاقة الإيجارية. ويُعَدّ تحديد القيمة الإيجارية العادلة عملية </w:t>
      </w:r>
      <w:r w:rsidRPr="003F5BA3">
        <w:rPr>
          <w:rFonts w:ascii="Simplified Arabic" w:eastAsia="Times New Roman" w:hAnsi="Simplified Arabic" w:cs="Simplified Arabic"/>
          <w:color w:val="000000" w:themeColor="text1"/>
          <w:kern w:val="0"/>
          <w:sz w:val="28"/>
          <w:szCs w:val="28"/>
          <w:rtl/>
          <w14:ligatures w14:val="none"/>
        </w:rPr>
        <w:lastRenderedPageBreak/>
        <w:t>تقييمية معقدة تتطلب الأخذ في الاعتبار عوامل متعددة ومتشابكة، إذ أثبتت الدراسات أن جزءاً معتبراً مما يُنسب إلى تحركات الأسعار السوقية هو في حقيقته انعكاس لتحسينات مادية أُجريت على العقار ولم تُفصل محاسبياً عن الارتفاع العام في الأسعار</w:t>
      </w:r>
      <w:r w:rsidRPr="003F5BA3">
        <w:rPr>
          <w:rFonts w:ascii="Simplified Arabic" w:eastAsia="Times New Roman" w:hAnsi="Simplified Arabic" w:cs="Simplified Arabic"/>
          <w:color w:val="000000" w:themeColor="text1"/>
          <w:kern w:val="0"/>
          <w:sz w:val="28"/>
          <w:szCs w:val="28"/>
          <w14:ligatures w14:val="none"/>
        </w:rPr>
        <w:t xml:space="preserve"> (Caloia &amp; Mastrogiacomo, 2022). </w:t>
      </w:r>
      <w:r w:rsidRPr="003F5BA3">
        <w:rPr>
          <w:rFonts w:ascii="Simplified Arabic" w:eastAsia="Times New Roman" w:hAnsi="Simplified Arabic" w:cs="Simplified Arabic"/>
          <w:color w:val="000000" w:themeColor="text1"/>
          <w:kern w:val="0"/>
          <w:sz w:val="28"/>
          <w:szCs w:val="28"/>
          <w:rtl/>
          <w14:ligatures w14:val="none"/>
        </w:rPr>
        <w:t>كما تتأثر القيمة الإيجارية بعوامل البيئة المحيطة كالقرب من المرافق التعليمية والصحية والتجارية ومستوى البنية التحتية للحي (</w:t>
      </w:r>
      <w:proofErr w:type="spellStart"/>
      <w:r w:rsidRPr="003F5BA3">
        <w:rPr>
          <w:rFonts w:ascii="Simplified Arabic" w:eastAsia="Times New Roman" w:hAnsi="Simplified Arabic" w:cs="Simplified Arabic"/>
          <w:color w:val="000000" w:themeColor="text1"/>
          <w:kern w:val="0"/>
          <w:sz w:val="28"/>
          <w:szCs w:val="28"/>
          <w:rtl/>
          <w14:ligatures w14:val="none"/>
        </w:rPr>
        <w:t>خوقير</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والزامل، 2023)</w:t>
      </w:r>
      <w:r w:rsidRPr="003F5BA3">
        <w:rPr>
          <w:rFonts w:ascii="Simplified Arabic" w:eastAsia="Times New Roman" w:hAnsi="Simplified Arabic" w:cs="Simplified Arabic"/>
          <w:color w:val="000000" w:themeColor="text1"/>
          <w:kern w:val="0"/>
          <w:sz w:val="28"/>
          <w:szCs w:val="28"/>
          <w14:ligatures w14:val="none"/>
        </w:rPr>
        <w:t>.</w:t>
      </w:r>
    </w:p>
    <w:p w14:paraId="6498A079" w14:textId="77777777" w:rsidR="005E3552" w:rsidRPr="003F5BA3" w:rsidRDefault="005E3552" w:rsidP="00D103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6" w:name="_Toc223503433"/>
      <w:r w:rsidRPr="003F5BA3">
        <w:rPr>
          <w:rFonts w:ascii="Simplified Arabic" w:eastAsia="Times New Roman" w:hAnsi="Simplified Arabic" w:cs="Simplified Arabic"/>
          <w:b/>
          <w:bCs/>
          <w:color w:val="000000" w:themeColor="text1"/>
          <w:kern w:val="0"/>
          <w:sz w:val="28"/>
          <w:szCs w:val="28"/>
          <w:rtl/>
          <w14:ligatures w14:val="none"/>
        </w:rPr>
        <w:t>سرعة التأجير</w:t>
      </w:r>
      <w:bookmarkEnd w:id="26"/>
    </w:p>
    <w:p w14:paraId="4E513772"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تُعرَّف سرعة التأجير إجرائياً في هذه الدراسة بأنها المدة الزمنية التي تستغرقها الوحدة العقارية الشاغرة منذ لحظة طرحها في السوق الإيجاري وحتى إبرام عقد إيجار مع مستأجر جديد، ويُعبَّر عنها عادة بعدد الأيام أو الأسابيع. وتُعَدّ سرعة التأجير مؤشراً حيوياً على جاذبية العقار وتنافسيته في السوق، إذ كلما قصرت هذه المدة دلّ ذلك على ارتفاع الطلب على العقار وملاءمته لتوقعات المستأجرين. وترتبط سرعة التأجير ارتباطاً عكسياً بمعدل الشغور الذي يُمثّل نسبة الوحدات غير المؤجرة إلى إجمالي الوحدات المتاحة، وهو من المؤشرات الرئيسية التي تعتمدها شركات إدارة الأملاك والمستثمرون في قياس أداء محافظهم العقارية</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وقد أكدت الأدبيات أن نوع ملكية العقار ومستوى تجديده يؤثران تأثيراً واضحاً في معدلات الشغور والإيجار على حدٍّ سواء</w:t>
      </w:r>
      <w:r w:rsidRPr="003F5BA3">
        <w:rPr>
          <w:rFonts w:ascii="Simplified Arabic" w:eastAsia="Times New Roman" w:hAnsi="Simplified Arabic" w:cs="Simplified Arabic"/>
          <w:color w:val="000000" w:themeColor="text1"/>
          <w:kern w:val="0"/>
          <w:sz w:val="28"/>
          <w:szCs w:val="28"/>
          <w14:ligatures w14:val="none"/>
        </w:rPr>
        <w:t xml:space="preserve"> (Mangold et al., 2023).</w:t>
      </w:r>
    </w:p>
    <w:p w14:paraId="1CC8E310" w14:textId="77777777" w:rsidR="005E3552" w:rsidRPr="003F5BA3" w:rsidRDefault="005E3552" w:rsidP="00D103B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7" w:name="_Toc223503434"/>
      <w:r w:rsidRPr="003F5BA3">
        <w:rPr>
          <w:rFonts w:ascii="Simplified Arabic" w:eastAsia="Times New Roman" w:hAnsi="Simplified Arabic" w:cs="Simplified Arabic"/>
          <w:b/>
          <w:bCs/>
          <w:color w:val="000000" w:themeColor="text1"/>
          <w:kern w:val="0"/>
          <w:sz w:val="32"/>
          <w:szCs w:val="32"/>
          <w:rtl/>
          <w14:ligatures w14:val="none"/>
        </w:rPr>
        <w:t>ثالثاً: الأساس النظري للعلاقة بين تطوير العقار والقيمة الإيجارية وسرعة التأجير</w:t>
      </w:r>
      <w:bookmarkEnd w:id="27"/>
    </w:p>
    <w:p w14:paraId="61BB9DB3"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تستند هذه الدراسة في تأطيرها النظري إلى عدة نظريات ومقاربات متكاملة. تأتي في مقدمتها نظرية رسملة الدخل التي تفترض أن قيمة الأصل العقاري تُحدَّد بالقيمة الحالية لتدفقاته النقدية المستقبلية المتمثلة أساساً في الإيجارات، وبالتالي فإن أي تدخل يرفع مستوى الإيجار أو يُقلّص فترة الشغور يُضيف مباشرة إلى القيمة الرأسمالية للعقار. وتتقاطع مع هذه النظرية مقاربة التسعير </w:t>
      </w:r>
      <w:proofErr w:type="spellStart"/>
      <w:r w:rsidRPr="003F5BA3">
        <w:rPr>
          <w:rFonts w:ascii="Simplified Arabic" w:eastAsia="Times New Roman" w:hAnsi="Simplified Arabic" w:cs="Simplified Arabic"/>
          <w:color w:val="000000" w:themeColor="text1"/>
          <w:kern w:val="0"/>
          <w:sz w:val="28"/>
          <w:szCs w:val="28"/>
          <w:rtl/>
          <w14:ligatures w14:val="none"/>
        </w:rPr>
        <w:t>الهيدوني</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التي تُحلّل سعر أو إيجار العقار بوصفه دالة في مجموعة من الخصائص القابلة للقياس — كالمساحة والموقع وجودة التشطيبات وحالة الصيانة — مما يُمكّن من عزل أثر كل خاصية على حدة وتحديد مساهمتها في تشكيل القيمة الإيجارية. ويُضاف إلى ذلك نظرية دورة حياة المبنى التي تُؤطّر عمليات التطوير والصيانة ضمن منظور زمني طويل الأجل يربط بين مراحل تقادم المبنى واحتياجاته من التدخل والأثر المتراكم لهذه التدخلات على أدائه الاقتصادي. وتُكمّل نظرية الوكيل والأصيل هذا الإطار من خلال تفسير التباين في مستويات التطوير </w:t>
      </w:r>
      <w:r w:rsidRPr="003F5BA3">
        <w:rPr>
          <w:rFonts w:ascii="Simplified Arabic" w:eastAsia="Times New Roman" w:hAnsi="Simplified Arabic" w:cs="Simplified Arabic"/>
          <w:color w:val="000000" w:themeColor="text1"/>
          <w:kern w:val="0"/>
          <w:sz w:val="28"/>
          <w:szCs w:val="28"/>
          <w:rtl/>
          <w14:ligatures w14:val="none"/>
        </w:rPr>
        <w:lastRenderedPageBreak/>
        <w:t>والصيانة بين المُلّاك المختلفين بناءً على اختلاف الحوافز والقيود بين المالك والمستأجر وبين الملكية العامة والخاصة</w:t>
      </w:r>
      <w:r w:rsidRPr="003F5BA3">
        <w:rPr>
          <w:rFonts w:ascii="Simplified Arabic" w:eastAsia="Times New Roman" w:hAnsi="Simplified Arabic" w:cs="Simplified Arabic"/>
          <w:color w:val="000000" w:themeColor="text1"/>
          <w:kern w:val="0"/>
          <w:sz w:val="28"/>
          <w:szCs w:val="28"/>
          <w14:ligatures w14:val="none"/>
        </w:rPr>
        <w:t>.</w:t>
      </w:r>
    </w:p>
    <w:p w14:paraId="759DC167"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وتتكامل هذه المنطلقات النظرية لتُشكّل الإطار الذي تنطلق منه الدراسة الحالية في فحص أثر أبعاد التطوير العقاري الأربعة على القيمة الإيجارية وسرعة التأجير، مع الأخذ في الاعتبار أن هذا الأثر ليس خطياً أو أحادي الاتجاه بالضرورة، بل يتوسطه ويُعدّله عوامل سياقية كنوع العقار وعمره وموقعه ونوع ملكيته</w:t>
      </w:r>
      <w:r w:rsidRPr="003F5BA3">
        <w:rPr>
          <w:rFonts w:ascii="Simplified Arabic" w:eastAsia="Times New Roman" w:hAnsi="Simplified Arabic" w:cs="Simplified Arabic"/>
          <w:color w:val="000000" w:themeColor="text1"/>
          <w:kern w:val="0"/>
          <w:sz w:val="28"/>
          <w:szCs w:val="28"/>
          <w14:ligatures w14:val="none"/>
        </w:rPr>
        <w:t>.</w:t>
      </w:r>
    </w:p>
    <w:p w14:paraId="7E946309" w14:textId="0C4B3E5C" w:rsidR="00D103B0" w:rsidRPr="003F5BA3" w:rsidRDefault="00D103B0" w:rsidP="00D103B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8" w:name="_Toc233932456"/>
      <w:r w:rsidRPr="003F5BA3">
        <w:rPr>
          <w:rFonts w:ascii="Simplified Arabic" w:eastAsia="Times New Roman" w:hAnsi="Simplified Arabic" w:cs="Simplified Arabic"/>
          <w:b/>
          <w:bCs/>
          <w:color w:val="000000" w:themeColor="text1"/>
          <w:kern w:val="0"/>
          <w:sz w:val="36"/>
          <w:szCs w:val="36"/>
          <w:rtl/>
          <w14:ligatures w14:val="none"/>
        </w:rPr>
        <w:t>10.1 منهجية الدراسة</w:t>
      </w:r>
      <w:bookmarkEnd w:id="28"/>
    </w:p>
    <w:p w14:paraId="7AEAF156"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الموضوع وأهدافه، حيث يُتيح هذا المنهج وصف الظاهرة المدروسة — أثر تطوير العقار على القيمة الإيجارية وسرعة التأجير — كما هي في الواقع، ثم تحليلها كمّياً للكشف عن العلاقات الارتباطية والسببية بين المتغير المستقل (تطوير العقار بأبعاده الأربعة) والمتغير التابع (القيمة الإيجارية وسرعة التأجير). وسيتم الجمع بين الشقين النظري والميداني، حيث سيُوظَّف الشق النظري في مراجعة الأدبيات والدراسات السابقة العربية والأجنبية لبناء الإطار المفاهيمي للدراسة وتحديد أبعاد المتغيرات ومؤشراتها</w:t>
      </w:r>
      <w:r w:rsidRPr="003F5BA3">
        <w:rPr>
          <w:rFonts w:ascii="Simplified Arabic" w:eastAsia="Times New Roman" w:hAnsi="Simplified Arabic" w:cs="Simplified Arabic"/>
          <w:color w:val="000000" w:themeColor="text1"/>
          <w:kern w:val="0"/>
          <w:sz w:val="28"/>
          <w:szCs w:val="28"/>
          <w14:ligatures w14:val="none"/>
        </w:rPr>
        <w:t>.</w:t>
      </w:r>
    </w:p>
    <w:p w14:paraId="2239782A"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أما الشق الميداني فسيُنفَّذ من خلال تصميم استبانة مُحكَّمة وتوزيعها على عينة ممثلة من مجتمع الدراسة بهدف جمع البيانات الأولية وتحليلها إحصائياً باستخدام برنامج الحزم الإحصائية للعلوم الاجتماعية</w:t>
      </w:r>
      <w:r w:rsidRPr="003F5BA3">
        <w:rPr>
          <w:rFonts w:ascii="Simplified Arabic" w:eastAsia="Times New Roman" w:hAnsi="Simplified Arabic" w:cs="Simplified Arabic"/>
          <w:color w:val="000000" w:themeColor="text1"/>
          <w:kern w:val="0"/>
          <w:sz w:val="28"/>
          <w:szCs w:val="28"/>
          <w14:ligatures w14:val="none"/>
        </w:rPr>
        <w:t xml:space="preserve"> (SPSS) </w:t>
      </w:r>
      <w:r w:rsidRPr="003F5BA3">
        <w:rPr>
          <w:rFonts w:ascii="Simplified Arabic" w:eastAsia="Times New Roman" w:hAnsi="Simplified Arabic" w:cs="Simplified Arabic"/>
          <w:color w:val="000000" w:themeColor="text1"/>
          <w:kern w:val="0"/>
          <w:sz w:val="28"/>
          <w:szCs w:val="28"/>
          <w:rtl/>
          <w14:ligatures w14:val="none"/>
        </w:rPr>
        <w:t>وبرنامج</w:t>
      </w:r>
      <w:r w:rsidRPr="003F5BA3">
        <w:rPr>
          <w:rFonts w:ascii="Simplified Arabic" w:eastAsia="Times New Roman" w:hAnsi="Simplified Arabic" w:cs="Simplified Arabic"/>
          <w:color w:val="000000" w:themeColor="text1"/>
          <w:kern w:val="0"/>
          <w:sz w:val="28"/>
          <w:szCs w:val="28"/>
          <w14:ligatures w14:val="none"/>
        </w:rPr>
        <w:t xml:space="preserve"> (AMOS) </w:t>
      </w:r>
      <w:r w:rsidRPr="003F5BA3">
        <w:rPr>
          <w:rFonts w:ascii="Simplified Arabic" w:eastAsia="Times New Roman" w:hAnsi="Simplified Arabic" w:cs="Simplified Arabic"/>
          <w:color w:val="000000" w:themeColor="text1"/>
          <w:kern w:val="0"/>
          <w:sz w:val="28"/>
          <w:szCs w:val="28"/>
          <w:rtl/>
          <w14:ligatures w14:val="none"/>
        </w:rPr>
        <w:t>إذا اقتضت الحاجة لتحليل المسار، وذلك لاختبار فروض الدراسة والإجابة عن أسئلتها وتحديد الأهمية النسبية لكل بُعد من أبعاد التطوير العقاري في تفسير التباين في القيمة الإيجارية وسرعة التأجير، ومن ثَمّ الخروج بنتائج وتوصيات قابلة للتعميم والتطبيق</w:t>
      </w:r>
      <w:r w:rsidRPr="003F5BA3">
        <w:rPr>
          <w:rFonts w:ascii="Simplified Arabic" w:eastAsia="Times New Roman" w:hAnsi="Simplified Arabic" w:cs="Simplified Arabic"/>
          <w:color w:val="000000" w:themeColor="text1"/>
          <w:kern w:val="0"/>
          <w:sz w:val="28"/>
          <w:szCs w:val="28"/>
          <w14:ligatures w14:val="none"/>
        </w:rPr>
        <w:t>.</w:t>
      </w:r>
    </w:p>
    <w:p w14:paraId="11C3A9EB" w14:textId="5B8AE1C2" w:rsidR="005E3552" w:rsidRPr="003F5BA3" w:rsidRDefault="00D103B0" w:rsidP="00D103B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3503436"/>
      <w:bookmarkStart w:id="30" w:name="_Toc233932457"/>
      <w:r w:rsidRPr="003F5BA3">
        <w:rPr>
          <w:rFonts w:ascii="Simplified Arabic" w:eastAsia="Times New Roman" w:hAnsi="Simplified Arabic" w:cs="Simplified Arabic" w:hint="cs"/>
          <w:b/>
          <w:bCs/>
          <w:color w:val="000000" w:themeColor="text1"/>
          <w:kern w:val="36"/>
          <w:sz w:val="36"/>
          <w:szCs w:val="36"/>
          <w:rtl/>
          <w14:ligatures w14:val="none"/>
        </w:rPr>
        <w:t xml:space="preserve">11.1 </w:t>
      </w:r>
      <w:r w:rsidR="005E3552" w:rsidRPr="003F5BA3">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9"/>
      <w:bookmarkEnd w:id="30"/>
    </w:p>
    <w:p w14:paraId="1A5A5ADD"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والمتخصصين في القطاع العقاري الذين لهم علاقة مباشرة بعمليات تطوير العقارات وتأجيرها، ويشمل ذلك: المستثمرين العقاريين، ومديري شركات التطوير العقاري، ومسؤولي إدارة الأملاك والمرافق، والمُقيّمين والمثمّنين العقاريين المعتمدين، والوسطاء العقاريين المرخصين، ومديري صيانة المباني، وذلك في نطاق جغرافي محدد (سيُحدَّد لاحقاً وفقاً لمنطقة التطبيق). ووفقاً للسجلات </w:t>
      </w:r>
      <w:r w:rsidRPr="003F5BA3">
        <w:rPr>
          <w:rFonts w:ascii="Simplified Arabic" w:eastAsia="Times New Roman" w:hAnsi="Simplified Arabic" w:cs="Simplified Arabic"/>
          <w:color w:val="000000" w:themeColor="text1"/>
          <w:kern w:val="0"/>
          <w:sz w:val="28"/>
          <w:szCs w:val="28"/>
          <w:rtl/>
          <w14:ligatures w14:val="none"/>
        </w:rPr>
        <w:lastRenderedPageBreak/>
        <w:t>الرسمية والبيانات المتاحة من الجهات التنظيمية العقارية، يُقدَّر حجم المجتمع المستهدف بنحو 5000 متخصص ممن تنطبق عليهم معايير الشمول</w:t>
      </w:r>
      <w:r w:rsidRPr="003F5BA3">
        <w:rPr>
          <w:rFonts w:ascii="Simplified Arabic" w:eastAsia="Times New Roman" w:hAnsi="Simplified Arabic" w:cs="Simplified Arabic"/>
          <w:color w:val="000000" w:themeColor="text1"/>
          <w:kern w:val="0"/>
          <w:sz w:val="28"/>
          <w:szCs w:val="28"/>
          <w14:ligatures w14:val="none"/>
        </w:rPr>
        <w:t>.</w:t>
      </w:r>
    </w:p>
    <w:p w14:paraId="175C967F"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ونظراً لصعوبة إجراء مسح شامل لجميع أفراد المجتمع، سيتم اختيار عينة عشوائية طبقية تُراعي التمثيل النسبي لكل فئة من فئات المجتمع المستهدف. وبناءً على معادلة ستيفن </w:t>
      </w:r>
      <w:proofErr w:type="spellStart"/>
      <w:r w:rsidRPr="003F5BA3">
        <w:rPr>
          <w:rFonts w:ascii="Simplified Arabic" w:eastAsia="Times New Roman" w:hAnsi="Simplified Arabic" w:cs="Simplified Arabic"/>
          <w:color w:val="000000" w:themeColor="text1"/>
          <w:kern w:val="0"/>
          <w:sz w:val="28"/>
          <w:szCs w:val="28"/>
          <w:rtl/>
          <w14:ligatures w14:val="none"/>
        </w:rPr>
        <w:t>ثومبسون</w:t>
      </w:r>
      <w:proofErr w:type="spellEnd"/>
      <w:r w:rsidRPr="003F5BA3">
        <w:rPr>
          <w:rFonts w:ascii="Simplified Arabic" w:eastAsia="Times New Roman" w:hAnsi="Simplified Arabic" w:cs="Simplified Arabic"/>
          <w:color w:val="000000" w:themeColor="text1"/>
          <w:kern w:val="0"/>
          <w:sz w:val="28"/>
          <w:szCs w:val="28"/>
          <w14:ligatures w14:val="none"/>
        </w:rPr>
        <w:t xml:space="preserve"> (Steven Thompson) </w:t>
      </w:r>
      <w:r w:rsidRPr="003F5BA3">
        <w:rPr>
          <w:rFonts w:ascii="Simplified Arabic" w:eastAsia="Times New Roman" w:hAnsi="Simplified Arabic" w:cs="Simplified Arabic"/>
          <w:color w:val="000000" w:themeColor="text1"/>
          <w:kern w:val="0"/>
          <w:sz w:val="28"/>
          <w:szCs w:val="28"/>
          <w:rtl/>
          <w14:ligatures w14:val="none"/>
        </w:rPr>
        <w:t>لتحديد حجم العينة عند مستوى ثقة 95% وهامش خطأ 5%، سيبلغ الحد الأدنى لحجم العينة المطلوب 357 مفردة. وسيتم توزيع 420 استبانة لضمان الحصول على عدد كافٍ من الاستبانات الصالحة للتحليل الإحصائي بعد استبعاد الاستبانات غير المكتملة أو غير الجادة، بحيث يُستهدف استرداد 380 استبانة صالحة على الأقل بمعدل استجابة لا يقل عن 90</w:t>
      </w:r>
      <w:r w:rsidRPr="003F5BA3">
        <w:rPr>
          <w:rFonts w:ascii="Simplified Arabic" w:eastAsia="Times New Roman" w:hAnsi="Simplified Arabic" w:cs="Simplified Arabic"/>
          <w:color w:val="000000" w:themeColor="text1"/>
          <w:kern w:val="0"/>
          <w:sz w:val="28"/>
          <w:szCs w:val="28"/>
          <w14:ligatures w14:val="none"/>
        </w:rPr>
        <w:t>%.</w:t>
      </w:r>
    </w:p>
    <w:p w14:paraId="5606412E" w14:textId="2C8AF705" w:rsidR="005E3552" w:rsidRPr="003F5BA3" w:rsidRDefault="00D103B0" w:rsidP="00D103B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3503437"/>
      <w:bookmarkStart w:id="32" w:name="_Toc233932458"/>
      <w:r w:rsidRPr="003F5BA3">
        <w:rPr>
          <w:rFonts w:ascii="Simplified Arabic" w:eastAsia="Times New Roman" w:hAnsi="Simplified Arabic" w:cs="Simplified Arabic" w:hint="cs"/>
          <w:b/>
          <w:bCs/>
          <w:color w:val="000000" w:themeColor="text1"/>
          <w:kern w:val="36"/>
          <w:sz w:val="36"/>
          <w:szCs w:val="36"/>
          <w:rtl/>
          <w14:ligatures w14:val="none"/>
        </w:rPr>
        <w:t xml:space="preserve">12.1 </w:t>
      </w:r>
      <w:r w:rsidR="005E3552" w:rsidRPr="003F5BA3">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1"/>
      <w:bookmarkEnd w:id="32"/>
    </w:p>
    <w:p w14:paraId="48FF60A5"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ستعتمد الدراسة على نوعين من مصادر جمع البيانات. المصادر الثانوية وتشمل الكتب والمراجع العلمية المتخصصة في إدارة العقارات والتطوير العقاري، والدوريات والمجلات العلمية المحكّمة العربية والأجنبية، والرسائل الجامعية (ماجستير ودكتوراه)، والتقارير الصادرة عن الجهات الرسمية والتنظيمية العقارية، وقواعد البيانات الإلكترونية مثل</w:t>
      </w:r>
      <w:r w:rsidRPr="003F5BA3">
        <w:rPr>
          <w:rFonts w:ascii="Simplified Arabic" w:eastAsia="Times New Roman" w:hAnsi="Simplified Arabic" w:cs="Simplified Arabic"/>
          <w:color w:val="000000" w:themeColor="text1"/>
          <w:kern w:val="0"/>
          <w:sz w:val="28"/>
          <w:szCs w:val="28"/>
          <w14:ligatures w14:val="none"/>
        </w:rPr>
        <w:t xml:space="preserve"> Web of Science </w:t>
      </w:r>
      <w:r w:rsidRPr="003F5BA3">
        <w:rPr>
          <w:rFonts w:ascii="Simplified Arabic" w:eastAsia="Times New Roman" w:hAnsi="Simplified Arabic" w:cs="Simplified Arabic"/>
          <w:color w:val="000000" w:themeColor="text1"/>
          <w:kern w:val="0"/>
          <w:sz w:val="28"/>
          <w:szCs w:val="28"/>
          <w:rtl/>
          <w14:ligatures w14:val="none"/>
        </w:rPr>
        <w:t>و</w:t>
      </w:r>
      <w:r w:rsidRPr="003F5BA3">
        <w:rPr>
          <w:rFonts w:ascii="Simplified Arabic" w:eastAsia="Times New Roman" w:hAnsi="Simplified Arabic" w:cs="Simplified Arabic"/>
          <w:color w:val="000000" w:themeColor="text1"/>
          <w:kern w:val="0"/>
          <w:sz w:val="28"/>
          <w:szCs w:val="28"/>
          <w14:ligatures w14:val="none"/>
        </w:rPr>
        <w:t xml:space="preserve">Scopus </w:t>
      </w:r>
      <w:r w:rsidRPr="003F5BA3">
        <w:rPr>
          <w:rFonts w:ascii="Simplified Arabic" w:eastAsia="Times New Roman" w:hAnsi="Simplified Arabic" w:cs="Simplified Arabic"/>
          <w:color w:val="000000" w:themeColor="text1"/>
          <w:kern w:val="0"/>
          <w:sz w:val="28"/>
          <w:szCs w:val="28"/>
          <w:rtl/>
          <w14:ligatures w14:val="none"/>
        </w:rPr>
        <w:t>ودار المنظومة وبنك المعرفة المصري. أما المصادر الأولية فستتمثل في البيانات الميدانية التي سيتم جمعها من خلال أداة الدراسة (الاستبانة) التي ستُصمَّم وتُوزَّع على أفراد عينة الدراسة</w:t>
      </w:r>
      <w:r w:rsidRPr="003F5BA3">
        <w:rPr>
          <w:rFonts w:ascii="Simplified Arabic" w:eastAsia="Times New Roman" w:hAnsi="Simplified Arabic" w:cs="Simplified Arabic"/>
          <w:color w:val="000000" w:themeColor="text1"/>
          <w:kern w:val="0"/>
          <w:sz w:val="28"/>
          <w:szCs w:val="28"/>
          <w14:ligatures w14:val="none"/>
        </w:rPr>
        <w:t>.</w:t>
      </w:r>
    </w:p>
    <w:p w14:paraId="082B791B" w14:textId="1B77337B" w:rsidR="005E3552" w:rsidRPr="003F5BA3" w:rsidRDefault="00D103B0" w:rsidP="00D103B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3" w:name="_Toc223503438"/>
      <w:bookmarkStart w:id="34" w:name="_Toc233932459"/>
      <w:r w:rsidRPr="003F5BA3">
        <w:rPr>
          <w:rFonts w:ascii="Simplified Arabic" w:eastAsia="Times New Roman" w:hAnsi="Simplified Arabic" w:cs="Simplified Arabic" w:hint="cs"/>
          <w:b/>
          <w:bCs/>
          <w:color w:val="000000" w:themeColor="text1"/>
          <w:kern w:val="36"/>
          <w:sz w:val="36"/>
          <w:szCs w:val="36"/>
          <w:rtl/>
          <w14:ligatures w14:val="none"/>
        </w:rPr>
        <w:t xml:space="preserve">13.1 </w:t>
      </w:r>
      <w:r w:rsidR="005E3552" w:rsidRPr="003F5BA3">
        <w:rPr>
          <w:rFonts w:ascii="Simplified Arabic" w:eastAsia="Times New Roman" w:hAnsi="Simplified Arabic" w:cs="Simplified Arabic"/>
          <w:b/>
          <w:bCs/>
          <w:color w:val="000000" w:themeColor="text1"/>
          <w:kern w:val="36"/>
          <w:sz w:val="36"/>
          <w:szCs w:val="36"/>
          <w:rtl/>
          <w14:ligatures w14:val="none"/>
        </w:rPr>
        <w:t>أداة الدراسة</w:t>
      </w:r>
      <w:bookmarkEnd w:id="33"/>
      <w:bookmarkEnd w:id="34"/>
    </w:p>
    <w:p w14:paraId="06D1A826"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3F5BA3">
        <w:rPr>
          <w:rFonts w:ascii="Simplified Arabic" w:eastAsia="Times New Roman" w:hAnsi="Simplified Arabic" w:cs="Simplified Arabic"/>
          <w:b/>
          <w:bCs/>
          <w:color w:val="000000" w:themeColor="text1"/>
          <w:kern w:val="0"/>
          <w:sz w:val="28"/>
          <w:szCs w:val="28"/>
          <w:rtl/>
          <w14:ligatures w14:val="none"/>
        </w:rPr>
        <w:t>سيتم تصميم استبانة مُحكَّمة كأداة رئيسية لجمع البيانات الأولية، وستتكوّن من ثلاثة أقسام رئيسية على النحو التالي</w:t>
      </w:r>
      <w:r w:rsidRPr="003F5BA3">
        <w:rPr>
          <w:rFonts w:ascii="Simplified Arabic" w:eastAsia="Times New Roman" w:hAnsi="Simplified Arabic" w:cs="Simplified Arabic"/>
          <w:b/>
          <w:bCs/>
          <w:color w:val="000000" w:themeColor="text1"/>
          <w:kern w:val="0"/>
          <w:sz w:val="28"/>
          <w:szCs w:val="28"/>
          <w14:ligatures w14:val="none"/>
        </w:rPr>
        <w:t>:</w:t>
      </w:r>
    </w:p>
    <w:p w14:paraId="342C7B25"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والتنظيمية ويتضمن المتغيرات الوصفية لأفراد العينة مثل (المؤهل العلمي، سنوات الخبرة في القطاع العقاري، طبيعة العمل/المسمى الوظيفي، نوع العقارات التي يتعامل معها، الموقع الجغرافي)</w:t>
      </w:r>
    </w:p>
    <w:p w14:paraId="297CFCE8"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القسم الثاني: المتغير المستقل — تطوير العقار ويتكوّن من أربعة محاور تُمثّل الأبعاد الأربعة للمتغير المستقل، وذلك على النحو التالي</w:t>
      </w:r>
      <w:r w:rsidRPr="003F5BA3">
        <w:rPr>
          <w:rFonts w:ascii="Simplified Arabic" w:eastAsia="Times New Roman" w:hAnsi="Simplified Arabic" w:cs="Simplified Arabic"/>
          <w:color w:val="000000" w:themeColor="text1"/>
          <w:kern w:val="0"/>
          <w:sz w:val="28"/>
          <w:szCs w:val="28"/>
          <w14:ligatures w14:val="none"/>
        </w:rPr>
        <w:t>:</w:t>
      </w:r>
    </w:p>
    <w:p w14:paraId="3AFF082E" w14:textId="77777777" w:rsidR="005E3552" w:rsidRPr="003F5BA3" w:rsidRDefault="005E3552" w:rsidP="00D103B0">
      <w:pPr>
        <w:pStyle w:val="a6"/>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lastRenderedPageBreak/>
        <w:t>المحور الأول: جودة التشطيبات الداخلية والخارجية — ويتضمن (4) فقرات</w:t>
      </w:r>
      <w:r w:rsidRPr="003F5BA3">
        <w:rPr>
          <w:rFonts w:ascii="Simplified Arabic" w:eastAsia="Times New Roman" w:hAnsi="Simplified Arabic" w:cs="Simplified Arabic"/>
          <w:color w:val="000000" w:themeColor="text1"/>
          <w:kern w:val="0"/>
          <w:sz w:val="28"/>
          <w:szCs w:val="28"/>
          <w14:ligatures w14:val="none"/>
        </w:rPr>
        <w:t>.</w:t>
      </w:r>
    </w:p>
    <w:p w14:paraId="64E99384" w14:textId="77777777" w:rsidR="005E3552" w:rsidRPr="003F5BA3" w:rsidRDefault="005E3552" w:rsidP="00D103B0">
      <w:pPr>
        <w:pStyle w:val="a6"/>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المحور الثاني: كفاءة الصيانة الدورية والوقائية — ويتضمن (4) فقرات</w:t>
      </w:r>
      <w:r w:rsidRPr="003F5BA3">
        <w:rPr>
          <w:rFonts w:ascii="Simplified Arabic" w:eastAsia="Times New Roman" w:hAnsi="Simplified Arabic" w:cs="Simplified Arabic"/>
          <w:color w:val="000000" w:themeColor="text1"/>
          <w:kern w:val="0"/>
          <w:sz w:val="28"/>
          <w:szCs w:val="28"/>
          <w14:ligatures w14:val="none"/>
        </w:rPr>
        <w:t>.</w:t>
      </w:r>
    </w:p>
    <w:p w14:paraId="6FCD21BE" w14:textId="77777777" w:rsidR="005E3552" w:rsidRPr="003F5BA3" w:rsidRDefault="005E3552" w:rsidP="00D103B0">
      <w:pPr>
        <w:pStyle w:val="a6"/>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المحور الثالث: التحسينات الوظيفية والجمالية — ويتضمن (4) فقرات</w:t>
      </w:r>
      <w:r w:rsidRPr="003F5BA3">
        <w:rPr>
          <w:rFonts w:ascii="Simplified Arabic" w:eastAsia="Times New Roman" w:hAnsi="Simplified Arabic" w:cs="Simplified Arabic"/>
          <w:color w:val="000000" w:themeColor="text1"/>
          <w:kern w:val="0"/>
          <w:sz w:val="28"/>
          <w:szCs w:val="28"/>
          <w14:ligatures w14:val="none"/>
        </w:rPr>
        <w:t>.</w:t>
      </w:r>
    </w:p>
    <w:p w14:paraId="755B10EC" w14:textId="3DF859D8" w:rsidR="005E3552" w:rsidRPr="003F5BA3" w:rsidRDefault="005E3552" w:rsidP="00D103B0">
      <w:pPr>
        <w:pStyle w:val="a6"/>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المحور الرابع: تحديث الأنظمة والبنية التحتية للمبنى — ويتضمن (4) فقرات</w:t>
      </w:r>
      <w:r w:rsidRPr="003F5BA3">
        <w:rPr>
          <w:rFonts w:ascii="Simplified Arabic" w:eastAsia="Times New Roman" w:hAnsi="Simplified Arabic" w:cs="Simplified Arabic"/>
          <w:color w:val="000000" w:themeColor="text1"/>
          <w:kern w:val="0"/>
          <w:sz w:val="28"/>
          <w:szCs w:val="28"/>
          <w14:ligatures w14:val="none"/>
        </w:rPr>
        <w:t>.</w:t>
      </w:r>
      <w:r w:rsidR="00D103B0" w:rsidRPr="003F5BA3">
        <w:rPr>
          <w:rFonts w:ascii="Simplified Arabic" w:eastAsia="Times New Roman" w:hAnsi="Simplified Arabic" w:cs="Simplified Arabic" w:hint="cs"/>
          <w:color w:val="000000" w:themeColor="text1"/>
          <w:kern w:val="0"/>
          <w:sz w:val="28"/>
          <w:szCs w:val="28"/>
          <w:rtl/>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وبذلك يبلغ إجمالي فقرات المتغير المستقل (16) فقرة</w:t>
      </w:r>
      <w:r w:rsidRPr="003F5BA3">
        <w:rPr>
          <w:rFonts w:ascii="Simplified Arabic" w:eastAsia="Times New Roman" w:hAnsi="Simplified Arabic" w:cs="Simplified Arabic"/>
          <w:color w:val="000000" w:themeColor="text1"/>
          <w:kern w:val="0"/>
          <w:sz w:val="28"/>
          <w:szCs w:val="28"/>
          <w14:ligatures w14:val="none"/>
        </w:rPr>
        <w:t>.</w:t>
      </w:r>
    </w:p>
    <w:p w14:paraId="41A532F5"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القسم الثالث: المتغير التابع — القيمة الإيجارية وسرعة التأجير وهو محور أحادي يتضمن (10) فقرات تقيس مدى تأثر القيمة الإيجارية وسرعة التأجير بعمليات التطوير العقاري</w:t>
      </w:r>
      <w:r w:rsidRPr="003F5BA3">
        <w:rPr>
          <w:rFonts w:ascii="Simplified Arabic" w:eastAsia="Times New Roman" w:hAnsi="Simplified Arabic" w:cs="Simplified Arabic"/>
          <w:color w:val="000000" w:themeColor="text1"/>
          <w:kern w:val="0"/>
          <w:sz w:val="28"/>
          <w:szCs w:val="28"/>
          <w14:ligatures w14:val="none"/>
        </w:rPr>
        <w:t>.</w:t>
      </w:r>
    </w:p>
    <w:p w14:paraId="79A0B957" w14:textId="77777777" w:rsidR="005E3552" w:rsidRPr="003F5BA3" w:rsidRDefault="005E3552" w:rsidP="00D103B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الاستبانة (26) فقرة إلى جانب البيانات الديموغرافية. وسيتم استخدام مقياس </w:t>
      </w:r>
      <w:proofErr w:type="spellStart"/>
      <w:r w:rsidRPr="003F5BA3">
        <w:rPr>
          <w:rFonts w:ascii="Simplified Arabic" w:eastAsia="Times New Roman" w:hAnsi="Simplified Arabic" w:cs="Simplified Arabic"/>
          <w:color w:val="000000" w:themeColor="text1"/>
          <w:kern w:val="0"/>
          <w:sz w:val="28"/>
          <w:szCs w:val="28"/>
          <w:rtl/>
          <w14:ligatures w14:val="none"/>
        </w:rPr>
        <w:t>ليكرت</w:t>
      </w:r>
      <w:proofErr w:type="spellEnd"/>
      <w:r w:rsidRPr="003F5BA3">
        <w:rPr>
          <w:rFonts w:ascii="Simplified Arabic" w:eastAsia="Times New Roman" w:hAnsi="Simplified Arabic" w:cs="Simplified Arabic"/>
          <w:color w:val="000000" w:themeColor="text1"/>
          <w:kern w:val="0"/>
          <w:sz w:val="28"/>
          <w:szCs w:val="28"/>
          <w:rtl/>
          <w14:ligatures w14:val="none"/>
        </w:rPr>
        <w:t xml:space="preserve"> الخماسي </w:t>
      </w:r>
      <w:r w:rsidRPr="003F5BA3">
        <w:rPr>
          <w:rFonts w:ascii="Simplified Arabic" w:eastAsia="Times New Roman" w:hAnsi="Simplified Arabic" w:cs="Simplified Arabic"/>
          <w:color w:val="000000" w:themeColor="text1"/>
          <w:kern w:val="0"/>
          <w:sz w:val="28"/>
          <w:szCs w:val="28"/>
          <w14:ligatures w14:val="none"/>
        </w:rPr>
        <w:t xml:space="preserve">(Likert Scale) </w:t>
      </w:r>
      <w:r w:rsidRPr="003F5BA3">
        <w:rPr>
          <w:rFonts w:ascii="Simplified Arabic" w:eastAsia="Times New Roman" w:hAnsi="Simplified Arabic" w:cs="Simplified Arabic"/>
          <w:color w:val="000000" w:themeColor="text1"/>
          <w:kern w:val="0"/>
          <w:sz w:val="28"/>
          <w:szCs w:val="28"/>
          <w:rtl/>
          <w14:ligatures w14:val="none"/>
        </w:rPr>
        <w:t xml:space="preserve">في قياس استجابات أفراد العينة، والذي يتدرج من (1) غير موافق بشدة إلى (5) موافق بشدة. وسيتم التحقق من صدق الأداة (الصدق الظاهري وصدق الاتساق الداخلي) وثباتها (معامل ألفا </w:t>
      </w:r>
      <w:proofErr w:type="spellStart"/>
      <w:r w:rsidRPr="003F5BA3">
        <w:rPr>
          <w:rFonts w:ascii="Simplified Arabic" w:eastAsia="Times New Roman" w:hAnsi="Simplified Arabic" w:cs="Simplified Arabic"/>
          <w:color w:val="000000" w:themeColor="text1"/>
          <w:kern w:val="0"/>
          <w:sz w:val="28"/>
          <w:szCs w:val="28"/>
          <w:rtl/>
          <w14:ligatures w14:val="none"/>
        </w:rPr>
        <w:t>كرونباخ</w:t>
      </w:r>
      <w:proofErr w:type="spellEnd"/>
      <w:r w:rsidRPr="003F5BA3">
        <w:rPr>
          <w:rFonts w:ascii="Simplified Arabic" w:eastAsia="Times New Roman" w:hAnsi="Simplified Arabic" w:cs="Simplified Arabic"/>
          <w:color w:val="000000" w:themeColor="text1"/>
          <w:kern w:val="0"/>
          <w:sz w:val="28"/>
          <w:szCs w:val="28"/>
          <w:rtl/>
          <w14:ligatures w14:val="none"/>
        </w:rPr>
        <w:t>) قبل التطبيق النهائي</w:t>
      </w:r>
      <w:r w:rsidRPr="003F5BA3">
        <w:rPr>
          <w:rFonts w:ascii="Simplified Arabic" w:eastAsia="Times New Roman" w:hAnsi="Simplified Arabic" w:cs="Simplified Arabic"/>
          <w:color w:val="000000" w:themeColor="text1"/>
          <w:kern w:val="0"/>
          <w:sz w:val="28"/>
          <w:szCs w:val="28"/>
          <w14:ligatures w14:val="none"/>
        </w:rPr>
        <w:t>.</w:t>
      </w:r>
    </w:p>
    <w:p w14:paraId="25F344BB" w14:textId="72763657" w:rsidR="005E3552" w:rsidRPr="003F5BA3" w:rsidRDefault="00D103B0" w:rsidP="00D103B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5" w:name="_Toc223503439"/>
      <w:bookmarkStart w:id="36" w:name="_Toc233932460"/>
      <w:r w:rsidRPr="003F5BA3">
        <w:rPr>
          <w:rFonts w:ascii="Simplified Arabic" w:eastAsia="Times New Roman" w:hAnsi="Simplified Arabic" w:cs="Simplified Arabic" w:hint="cs"/>
          <w:b/>
          <w:bCs/>
          <w:color w:val="000000" w:themeColor="text1"/>
          <w:kern w:val="36"/>
          <w:sz w:val="36"/>
          <w:szCs w:val="36"/>
          <w:rtl/>
          <w14:ligatures w14:val="none"/>
        </w:rPr>
        <w:t xml:space="preserve">14.1 </w:t>
      </w:r>
      <w:r w:rsidR="005E3552" w:rsidRPr="003F5BA3">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5"/>
      <w:bookmarkEnd w:id="36"/>
    </w:p>
    <w:p w14:paraId="00A072CF" w14:textId="77777777" w:rsidR="005E3552" w:rsidRPr="003F5BA3" w:rsidRDefault="005E3552" w:rsidP="00EA789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5BA3">
        <w:rPr>
          <w:rFonts w:ascii="Simplified Arabic" w:eastAsia="Times New Roman" w:hAnsi="Simplified Arabic" w:cs="Simplified Arabic"/>
          <w:b/>
          <w:bCs/>
          <w:color w:val="000000" w:themeColor="text1"/>
          <w:kern w:val="0"/>
          <w:sz w:val="28"/>
          <w:szCs w:val="28"/>
          <w:rtl/>
          <w14:ligatures w14:val="none"/>
        </w:rPr>
        <w:t>سيتم تحليل البيانات باستخدام برنامج</w:t>
      </w:r>
      <w:r w:rsidRPr="003F5BA3">
        <w:rPr>
          <w:rFonts w:ascii="Simplified Arabic" w:eastAsia="Times New Roman" w:hAnsi="Simplified Arabic" w:cs="Simplified Arabic"/>
          <w:b/>
          <w:bCs/>
          <w:color w:val="000000" w:themeColor="text1"/>
          <w:kern w:val="0"/>
          <w:sz w:val="28"/>
          <w:szCs w:val="28"/>
          <w14:ligatures w14:val="none"/>
        </w:rPr>
        <w:t xml:space="preserve"> (SPSS v.28) </w:t>
      </w:r>
      <w:r w:rsidRPr="003F5BA3">
        <w:rPr>
          <w:rFonts w:ascii="Simplified Arabic" w:eastAsia="Times New Roman" w:hAnsi="Simplified Arabic" w:cs="Simplified Arabic"/>
          <w:b/>
          <w:bCs/>
          <w:color w:val="000000" w:themeColor="text1"/>
          <w:kern w:val="0"/>
          <w:sz w:val="28"/>
          <w:szCs w:val="28"/>
          <w:rtl/>
          <w14:ligatures w14:val="none"/>
        </w:rPr>
        <w:t>وستُطبَّق الأساليب الإحصائية التالية</w:t>
      </w:r>
      <w:r w:rsidRPr="003F5BA3">
        <w:rPr>
          <w:rFonts w:ascii="Simplified Arabic" w:eastAsia="Times New Roman" w:hAnsi="Simplified Arabic" w:cs="Simplified Arabic"/>
          <w:b/>
          <w:bCs/>
          <w:color w:val="000000" w:themeColor="text1"/>
          <w:kern w:val="0"/>
          <w:sz w:val="28"/>
          <w:szCs w:val="28"/>
          <w14:ligatures w14:val="none"/>
        </w:rPr>
        <w:t>:</w:t>
      </w:r>
    </w:p>
    <w:p w14:paraId="26611D82" w14:textId="77777777" w:rsidR="005E3552" w:rsidRPr="003F5BA3" w:rsidRDefault="005E3552" w:rsidP="00D103B0">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التكرارات والنسب المئوية والمتوسطات الحسابية والانحرافات المعيارية</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لوصف خصائص عينة الدراسة وتحديد اتجاهات استجابات أفرادها نحو محاور الاستبانة</w:t>
      </w:r>
      <w:r w:rsidRPr="003F5BA3">
        <w:rPr>
          <w:rFonts w:ascii="Simplified Arabic" w:eastAsia="Times New Roman" w:hAnsi="Simplified Arabic" w:cs="Simplified Arabic"/>
          <w:color w:val="000000" w:themeColor="text1"/>
          <w:kern w:val="0"/>
          <w:sz w:val="28"/>
          <w:szCs w:val="28"/>
          <w14:ligatures w14:val="none"/>
        </w:rPr>
        <w:t>.</w:t>
      </w:r>
    </w:p>
    <w:p w14:paraId="76B5C171" w14:textId="77777777" w:rsidR="005E3552" w:rsidRPr="003F5BA3" w:rsidRDefault="005E3552" w:rsidP="00D103B0">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3F5BA3">
        <w:rPr>
          <w:rFonts w:ascii="Simplified Arabic" w:eastAsia="Times New Roman" w:hAnsi="Simplified Arabic" w:cs="Simplified Arabic"/>
          <w:color w:val="000000" w:themeColor="text1"/>
          <w:kern w:val="0"/>
          <w:sz w:val="28"/>
          <w:szCs w:val="28"/>
          <w:rtl/>
          <w14:ligatures w14:val="none"/>
        </w:rPr>
        <w:t>كرونباخ</w:t>
      </w:r>
      <w:proofErr w:type="spellEnd"/>
      <w:r w:rsidRPr="003F5BA3">
        <w:rPr>
          <w:rFonts w:ascii="Simplified Arabic" w:eastAsia="Times New Roman" w:hAnsi="Simplified Arabic" w:cs="Simplified Arabic"/>
          <w:color w:val="000000" w:themeColor="text1"/>
          <w:kern w:val="0"/>
          <w:sz w:val="28"/>
          <w:szCs w:val="28"/>
          <w14:ligatures w14:val="none"/>
        </w:rPr>
        <w:t xml:space="preserve"> (Cronbach's Alpha): </w:t>
      </w:r>
      <w:r w:rsidRPr="003F5BA3">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 حيث يُشترط ألا يقل عن 0.70</w:t>
      </w:r>
      <w:r w:rsidRPr="003F5BA3">
        <w:rPr>
          <w:rFonts w:ascii="Simplified Arabic" w:eastAsia="Times New Roman" w:hAnsi="Simplified Arabic" w:cs="Simplified Arabic"/>
          <w:color w:val="000000" w:themeColor="text1"/>
          <w:kern w:val="0"/>
          <w:sz w:val="28"/>
          <w:szCs w:val="28"/>
          <w14:ligatures w14:val="none"/>
        </w:rPr>
        <w:t>.</w:t>
      </w:r>
    </w:p>
    <w:p w14:paraId="35CB00C1" w14:textId="77777777" w:rsidR="005E3552" w:rsidRPr="003F5BA3" w:rsidRDefault="005E3552" w:rsidP="00D103B0">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معامل ارتباط بيرسون</w:t>
      </w:r>
      <w:r w:rsidRPr="003F5BA3">
        <w:rPr>
          <w:rFonts w:ascii="Simplified Arabic" w:eastAsia="Times New Roman" w:hAnsi="Simplified Arabic" w:cs="Simplified Arabic"/>
          <w:color w:val="000000" w:themeColor="text1"/>
          <w:kern w:val="0"/>
          <w:sz w:val="28"/>
          <w:szCs w:val="28"/>
          <w14:ligatures w14:val="none"/>
        </w:rPr>
        <w:t xml:space="preserve"> (Pearson Correlation): </w:t>
      </w:r>
      <w:r w:rsidRPr="003F5BA3">
        <w:rPr>
          <w:rFonts w:ascii="Simplified Arabic" w:eastAsia="Times New Roman" w:hAnsi="Simplified Arabic" w:cs="Simplified Arabic"/>
          <w:color w:val="000000" w:themeColor="text1"/>
          <w:kern w:val="0"/>
          <w:sz w:val="28"/>
          <w:szCs w:val="28"/>
          <w:rtl/>
          <w14:ligatures w14:val="none"/>
        </w:rPr>
        <w:t>لقياس صدق الاتساق الداخلي للاستبانة ولقياس العلاقة الارتباطية بين المتغير المستقل بأبعاده والمتغير التابع</w:t>
      </w:r>
      <w:r w:rsidRPr="003F5BA3">
        <w:rPr>
          <w:rFonts w:ascii="Simplified Arabic" w:eastAsia="Times New Roman" w:hAnsi="Simplified Arabic" w:cs="Simplified Arabic"/>
          <w:color w:val="000000" w:themeColor="text1"/>
          <w:kern w:val="0"/>
          <w:sz w:val="28"/>
          <w:szCs w:val="28"/>
          <w14:ligatures w14:val="none"/>
        </w:rPr>
        <w:t>.</w:t>
      </w:r>
    </w:p>
    <w:p w14:paraId="47E8AF2D" w14:textId="77777777" w:rsidR="005E3552" w:rsidRPr="003F5BA3" w:rsidRDefault="005E3552" w:rsidP="00D103B0">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تحليل الانحدار الخطي البسيط والمتعدد</w:t>
      </w:r>
      <w:r w:rsidRPr="003F5BA3">
        <w:rPr>
          <w:rFonts w:ascii="Simplified Arabic" w:eastAsia="Times New Roman" w:hAnsi="Simplified Arabic" w:cs="Simplified Arabic"/>
          <w:color w:val="000000" w:themeColor="text1"/>
          <w:kern w:val="0"/>
          <w:sz w:val="28"/>
          <w:szCs w:val="28"/>
          <w14:ligatures w14:val="none"/>
        </w:rPr>
        <w:t xml:space="preserve"> (Simple &amp; Multiple Linear Regression): </w:t>
      </w:r>
      <w:r w:rsidRPr="003F5BA3">
        <w:rPr>
          <w:rFonts w:ascii="Simplified Arabic" w:eastAsia="Times New Roman" w:hAnsi="Simplified Arabic" w:cs="Simplified Arabic"/>
          <w:color w:val="000000" w:themeColor="text1"/>
          <w:kern w:val="0"/>
          <w:sz w:val="28"/>
          <w:szCs w:val="28"/>
          <w:rtl/>
          <w14:ligatures w14:val="none"/>
        </w:rPr>
        <w:t>لاختبار أثر كل بُعد من أبعاد تطوير العقار على القيمة الإيجارية وسرعة التأجير، ولتحديد الأهمية النسبية لكل بُعد في تفسير التباين في المتغير التابع</w:t>
      </w:r>
      <w:r w:rsidRPr="003F5BA3">
        <w:rPr>
          <w:rFonts w:ascii="Simplified Arabic" w:eastAsia="Times New Roman" w:hAnsi="Simplified Arabic" w:cs="Simplified Arabic"/>
          <w:color w:val="000000" w:themeColor="text1"/>
          <w:kern w:val="0"/>
          <w:sz w:val="28"/>
          <w:szCs w:val="28"/>
          <w14:ligatures w14:val="none"/>
        </w:rPr>
        <w:t>.</w:t>
      </w:r>
    </w:p>
    <w:p w14:paraId="44951AA1" w14:textId="77777777" w:rsidR="005E3552" w:rsidRPr="003F5BA3" w:rsidRDefault="005E3552" w:rsidP="00D103B0">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تحليل الانحدار التدريجي</w:t>
      </w:r>
      <w:r w:rsidRPr="003F5BA3">
        <w:rPr>
          <w:rFonts w:ascii="Simplified Arabic" w:eastAsia="Times New Roman" w:hAnsi="Simplified Arabic" w:cs="Simplified Arabic"/>
          <w:color w:val="000000" w:themeColor="text1"/>
          <w:kern w:val="0"/>
          <w:sz w:val="28"/>
          <w:szCs w:val="28"/>
          <w14:ligatures w14:val="none"/>
        </w:rPr>
        <w:t xml:space="preserve"> (Stepwise Regression): </w:t>
      </w:r>
      <w:r w:rsidRPr="003F5BA3">
        <w:rPr>
          <w:rFonts w:ascii="Simplified Arabic" w:eastAsia="Times New Roman" w:hAnsi="Simplified Arabic" w:cs="Simplified Arabic"/>
          <w:color w:val="000000" w:themeColor="text1"/>
          <w:kern w:val="0"/>
          <w:sz w:val="28"/>
          <w:szCs w:val="28"/>
          <w:rtl/>
          <w14:ligatures w14:val="none"/>
        </w:rPr>
        <w:t>لتحديد أكثر الأبعاد تفسيراً للتباين في القيمة الإيجارية وسرعة التأجير ولبناء أفضل نموذج تنبؤي</w:t>
      </w:r>
      <w:r w:rsidRPr="003F5BA3">
        <w:rPr>
          <w:rFonts w:ascii="Simplified Arabic" w:eastAsia="Times New Roman" w:hAnsi="Simplified Arabic" w:cs="Simplified Arabic"/>
          <w:color w:val="000000" w:themeColor="text1"/>
          <w:kern w:val="0"/>
          <w:sz w:val="28"/>
          <w:szCs w:val="28"/>
          <w14:ligatures w14:val="none"/>
        </w:rPr>
        <w:t>.</w:t>
      </w:r>
    </w:p>
    <w:p w14:paraId="272B5EB1" w14:textId="77777777" w:rsidR="005E3552" w:rsidRPr="003F5BA3" w:rsidRDefault="005E3552" w:rsidP="00D103B0">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lastRenderedPageBreak/>
        <w:t>اختبار (ت) للعينات المستقلة</w:t>
      </w:r>
      <w:r w:rsidRPr="003F5BA3">
        <w:rPr>
          <w:rFonts w:ascii="Simplified Arabic" w:eastAsia="Times New Roman" w:hAnsi="Simplified Arabic" w:cs="Simplified Arabic"/>
          <w:color w:val="000000" w:themeColor="text1"/>
          <w:kern w:val="0"/>
          <w:sz w:val="28"/>
          <w:szCs w:val="28"/>
          <w14:ligatures w14:val="none"/>
        </w:rPr>
        <w:t xml:space="preserve"> (Independent Samples T-Test): </w:t>
      </w:r>
      <w:r w:rsidRPr="003F5BA3">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وفقاً للمتغيرات الديموغرافية ثنائية الفئات</w:t>
      </w:r>
      <w:r w:rsidRPr="003F5BA3">
        <w:rPr>
          <w:rFonts w:ascii="Simplified Arabic" w:eastAsia="Times New Roman" w:hAnsi="Simplified Arabic" w:cs="Simplified Arabic"/>
          <w:color w:val="000000" w:themeColor="text1"/>
          <w:kern w:val="0"/>
          <w:sz w:val="28"/>
          <w:szCs w:val="28"/>
          <w14:ligatures w14:val="none"/>
        </w:rPr>
        <w:t>.</w:t>
      </w:r>
    </w:p>
    <w:p w14:paraId="45DC7BBA" w14:textId="7D81E90A" w:rsidR="005E3552" w:rsidRPr="003F5BA3" w:rsidRDefault="00D103B0" w:rsidP="00D103B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7" w:name="_Toc223503440"/>
      <w:bookmarkStart w:id="38" w:name="_Toc233932461"/>
      <w:r w:rsidRPr="003F5BA3">
        <w:rPr>
          <w:rFonts w:ascii="Simplified Arabic" w:eastAsia="Times New Roman" w:hAnsi="Simplified Arabic" w:cs="Simplified Arabic" w:hint="cs"/>
          <w:b/>
          <w:bCs/>
          <w:color w:val="000000" w:themeColor="text1"/>
          <w:kern w:val="36"/>
          <w:sz w:val="36"/>
          <w:szCs w:val="36"/>
          <w:rtl/>
          <w14:ligatures w14:val="none"/>
        </w:rPr>
        <w:t xml:space="preserve">15.1 </w:t>
      </w:r>
      <w:r w:rsidR="005E3552" w:rsidRPr="003F5BA3">
        <w:rPr>
          <w:rFonts w:ascii="Simplified Arabic" w:eastAsia="Times New Roman" w:hAnsi="Simplified Arabic" w:cs="Simplified Arabic"/>
          <w:b/>
          <w:bCs/>
          <w:color w:val="000000" w:themeColor="text1"/>
          <w:kern w:val="36"/>
          <w:sz w:val="36"/>
          <w:szCs w:val="36"/>
          <w:rtl/>
          <w14:ligatures w14:val="none"/>
        </w:rPr>
        <w:t>حدود الدراسة</w:t>
      </w:r>
      <w:bookmarkEnd w:id="37"/>
      <w:bookmarkEnd w:id="38"/>
    </w:p>
    <w:p w14:paraId="368356BA" w14:textId="77777777" w:rsidR="005E3552" w:rsidRPr="003F5BA3" w:rsidRDefault="005E3552" w:rsidP="00D103B0">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الحدود الموضوعية</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ستقتصر الدراسة على دراسة أثر تطوير العقار بأبعاده الأربعة (جودة التشطيبات الداخلية والخارجية، كفاءة الصيانة الدورية والوقائية، التحسينات الوظيفية والجمالية، تحديث الأنظمة والبنية التحتية للمبنى) على القيمة الإيجارية وسرعة التأجير</w:t>
      </w:r>
    </w:p>
    <w:p w14:paraId="67A2F456" w14:textId="77777777" w:rsidR="005E3552" w:rsidRPr="003F5BA3" w:rsidRDefault="005E3552" w:rsidP="00D103B0">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الحدود البشرية</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ستُطبَّق الدراسة على المتخصصين والعاملين في القطاع العقاري من مستثمرين ومطورين ومديري أملاك ومُقيّمين ووسطاء عقاريين ومسؤولي صيانة مبانٍ</w:t>
      </w:r>
      <w:r w:rsidRPr="003F5BA3">
        <w:rPr>
          <w:rFonts w:ascii="Simplified Arabic" w:eastAsia="Times New Roman" w:hAnsi="Simplified Arabic" w:cs="Simplified Arabic"/>
          <w:color w:val="000000" w:themeColor="text1"/>
          <w:kern w:val="0"/>
          <w:sz w:val="28"/>
          <w:szCs w:val="28"/>
          <w14:ligatures w14:val="none"/>
        </w:rPr>
        <w:t>.</w:t>
      </w:r>
    </w:p>
    <w:p w14:paraId="71846E1E" w14:textId="77777777" w:rsidR="005E3552" w:rsidRPr="003F5BA3" w:rsidRDefault="005E3552" w:rsidP="00D103B0">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الحدود المكانية</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ستُطبَّق الدراسة في مدينة الرياض .</w:t>
      </w:r>
    </w:p>
    <w:p w14:paraId="00815DCD" w14:textId="77777777" w:rsidR="005E3552" w:rsidRPr="003F5BA3" w:rsidRDefault="005E3552" w:rsidP="00D103B0">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5BA3">
        <w:rPr>
          <w:rFonts w:ascii="Simplified Arabic" w:eastAsia="Times New Roman" w:hAnsi="Simplified Arabic" w:cs="Simplified Arabic"/>
          <w:color w:val="000000" w:themeColor="text1"/>
          <w:kern w:val="0"/>
          <w:sz w:val="28"/>
          <w:szCs w:val="28"/>
          <w:rtl/>
          <w14:ligatures w14:val="none"/>
        </w:rPr>
        <w:t>الحدود الزمانية</w:t>
      </w:r>
      <w:r w:rsidRPr="003F5BA3">
        <w:rPr>
          <w:rFonts w:ascii="Simplified Arabic" w:eastAsia="Times New Roman" w:hAnsi="Simplified Arabic" w:cs="Simplified Arabic"/>
          <w:color w:val="000000" w:themeColor="text1"/>
          <w:kern w:val="0"/>
          <w:sz w:val="28"/>
          <w:szCs w:val="28"/>
          <w14:ligatures w14:val="none"/>
        </w:rPr>
        <w:t xml:space="preserve">: </w:t>
      </w:r>
      <w:r w:rsidRPr="003F5BA3">
        <w:rPr>
          <w:rFonts w:ascii="Simplified Arabic" w:eastAsia="Times New Roman" w:hAnsi="Simplified Arabic" w:cs="Simplified Arabic"/>
          <w:color w:val="000000" w:themeColor="text1"/>
          <w:kern w:val="0"/>
          <w:sz w:val="28"/>
          <w:szCs w:val="28"/>
          <w:rtl/>
          <w14:ligatures w14:val="none"/>
        </w:rPr>
        <w:t>سيتم جمع البيانات الميدانية وتحليلها خلال العام الأكاديمي 2026</w:t>
      </w:r>
      <w:r w:rsidRPr="003F5BA3">
        <w:rPr>
          <w:rFonts w:ascii="Simplified Arabic" w:eastAsia="Times New Roman" w:hAnsi="Simplified Arabic" w:cs="Simplified Arabic"/>
          <w:color w:val="000000" w:themeColor="text1"/>
          <w:kern w:val="0"/>
          <w:sz w:val="28"/>
          <w:szCs w:val="28"/>
          <w14:ligatures w14:val="none"/>
        </w:rPr>
        <w:t>.</w:t>
      </w:r>
    </w:p>
    <w:p w14:paraId="65DFE547" w14:textId="17A0BF8A" w:rsidR="009011CA" w:rsidRPr="003F5BA3" w:rsidRDefault="00D103B0" w:rsidP="00D103B0">
      <w:pPr>
        <w:jc w:val="center"/>
        <w:outlineLvl w:val="0"/>
        <w:rPr>
          <w:rFonts w:ascii="Simplified Arabic" w:hAnsi="Simplified Arabic" w:cs="Simplified Arabic"/>
          <w:b/>
          <w:bCs/>
          <w:color w:val="000000" w:themeColor="text1"/>
          <w:sz w:val="40"/>
          <w:szCs w:val="40"/>
        </w:rPr>
      </w:pPr>
      <w:r w:rsidRPr="003F5BA3">
        <w:rPr>
          <w:rFonts w:ascii="Simplified Arabic" w:hAnsi="Simplified Arabic" w:cs="Simplified Arabic"/>
          <w:b/>
          <w:bCs/>
          <w:color w:val="000000" w:themeColor="text1"/>
          <w:sz w:val="40"/>
          <w:szCs w:val="40"/>
          <w:rtl/>
        </w:rPr>
        <w:br w:type="page"/>
      </w:r>
      <w:bookmarkStart w:id="39" w:name="_Toc233932462"/>
      <w:r w:rsidRPr="003F5BA3">
        <w:rPr>
          <w:rFonts w:ascii="Simplified Arabic" w:hAnsi="Simplified Arabic" w:cs="Simplified Arabic" w:hint="cs"/>
          <w:b/>
          <w:bCs/>
          <w:color w:val="000000" w:themeColor="text1"/>
          <w:sz w:val="40"/>
          <w:szCs w:val="40"/>
          <w:rtl/>
        </w:rPr>
        <w:lastRenderedPageBreak/>
        <w:t xml:space="preserve">الفصل الثاني: </w:t>
      </w:r>
      <w:r w:rsidR="009011CA" w:rsidRPr="003F5BA3">
        <w:rPr>
          <w:rFonts w:ascii="Simplified Arabic" w:hAnsi="Simplified Arabic" w:cs="Simplified Arabic"/>
          <w:b/>
          <w:bCs/>
          <w:color w:val="000000" w:themeColor="text1"/>
          <w:sz w:val="40"/>
          <w:szCs w:val="40"/>
          <w:rtl/>
        </w:rPr>
        <w:t>الإطار النظري للدراسة</w:t>
      </w:r>
      <w:bookmarkEnd w:id="39"/>
    </w:p>
    <w:p w14:paraId="596BBF57" w14:textId="742CF816" w:rsidR="009011CA" w:rsidRPr="003F5BA3" w:rsidRDefault="009011CA" w:rsidP="00D103B0">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40" w:name="_Toc233932463"/>
      <w:r w:rsidRPr="003F5BA3">
        <w:rPr>
          <w:rFonts w:ascii="Simplified Arabic" w:hAnsi="Simplified Arabic" w:cs="Simplified Arabic"/>
          <w:b/>
          <w:bCs/>
          <w:color w:val="000000" w:themeColor="text1"/>
          <w:sz w:val="36"/>
          <w:szCs w:val="36"/>
          <w:rtl/>
        </w:rPr>
        <w:t>المبحث الأول: تطوير العقار</w:t>
      </w:r>
      <w:bookmarkEnd w:id="40"/>
    </w:p>
    <w:p w14:paraId="159851B0" w14:textId="31296CA0" w:rsidR="009011CA" w:rsidRPr="003F5BA3" w:rsidRDefault="00D103B0" w:rsidP="00D103B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1" w:name="_Toc233932464"/>
      <w:r w:rsidRPr="003F5BA3">
        <w:rPr>
          <w:rFonts w:ascii="Simplified Arabic" w:hAnsi="Simplified Arabic" w:cs="Simplified Arabic" w:hint="cs"/>
          <w:b/>
          <w:bCs/>
          <w:color w:val="000000" w:themeColor="text1"/>
          <w:sz w:val="32"/>
          <w:szCs w:val="32"/>
          <w:rtl/>
        </w:rPr>
        <w:t xml:space="preserve">1.1.2 </w:t>
      </w:r>
      <w:r w:rsidR="009011CA" w:rsidRPr="003F5BA3">
        <w:rPr>
          <w:rFonts w:ascii="Simplified Arabic" w:hAnsi="Simplified Arabic" w:cs="Simplified Arabic"/>
          <w:b/>
          <w:bCs/>
          <w:color w:val="000000" w:themeColor="text1"/>
          <w:sz w:val="32"/>
          <w:szCs w:val="32"/>
          <w:rtl/>
        </w:rPr>
        <w:t>تمهيد</w:t>
      </w:r>
      <w:bookmarkEnd w:id="41"/>
    </w:p>
    <w:p w14:paraId="0F8281B1"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يُعدّ تطوير العقار أحد أبرز الحقول التطبيقية التي شهدت تحولات معرفية ومهنية متسارعة خلال العقدين الأخيرين، إذ انتقل من كونه نشاطًا هندسيًا تقليديًا يقتصر على الإنشاء والتشييد إلى منظومة متكاملة تتقاطع فيها الأبعاد الاقتصادية والإدارية والقانونية والعمرانية والبيئية. وقد فرض هذا التحول على الباحثين في إدارة الأعمال إعادة قراءة مفهوم التطوير العقاري بوصفه استثمارًا استراتيجيًا يستهدف تعظيم القيمة الاقتصادية للأصل العقاري، وتحسين موقعه التنافسي في سوق يتّسم بالتغير المستمر في تفضيلات المستهلكين وأنماط الطلب. ولم يعد التطوير مقتصرًا على المشروعات الجديدة، بل امتدّ ليشمل عمليات إعادة التأهيل والتحديث للمخزون العقاري القائم، وهو ما جعل منه أداةً محورية لصون قيمة الأصول وإطالة عمرها الاقتصادي</w:t>
      </w:r>
      <w:r w:rsidRPr="003F5BA3">
        <w:rPr>
          <w:rFonts w:ascii="Simplified Arabic" w:hAnsi="Simplified Arabic" w:cs="Simplified Arabic"/>
          <w:color w:val="000000" w:themeColor="text1"/>
          <w:sz w:val="28"/>
          <w:szCs w:val="28"/>
        </w:rPr>
        <w:t xml:space="preserve"> (Bourassa et al., 2020).</w:t>
      </w:r>
    </w:p>
    <w:p w14:paraId="1CB611FC"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 xml:space="preserve">ويكتسب تطوير العقار في السياق العربي والدولي أهمية مضاعفة نتيجة الضغوط الديموغرافية المتنامية، وارتفاع كلفة الإنشاء الجديد، وتصاعد المتطلبات التنظيمية المتعلقة بكفاءة الطاقة والاستدامة، فضلًا عن التوجه المتزايد نحو </w:t>
      </w:r>
      <w:proofErr w:type="spellStart"/>
      <w:r w:rsidRPr="003F5BA3">
        <w:rPr>
          <w:rFonts w:ascii="Simplified Arabic" w:hAnsi="Simplified Arabic" w:cs="Simplified Arabic"/>
          <w:color w:val="000000" w:themeColor="text1"/>
          <w:sz w:val="28"/>
          <w:szCs w:val="28"/>
          <w:rtl/>
        </w:rPr>
        <w:t>الرقمنة</w:t>
      </w:r>
      <w:proofErr w:type="spellEnd"/>
      <w:r w:rsidRPr="003F5BA3">
        <w:rPr>
          <w:rFonts w:ascii="Simplified Arabic" w:hAnsi="Simplified Arabic" w:cs="Simplified Arabic"/>
          <w:color w:val="000000" w:themeColor="text1"/>
          <w:sz w:val="28"/>
          <w:szCs w:val="28"/>
          <w:rtl/>
        </w:rPr>
        <w:t xml:space="preserve"> في إدارة الأصول العقارية (الرحيلي، 2020). ومن هذا المنطلق، يسعى المبحث الحالي إلى بناء تصور نظري متماسك لمفهوم تطوير العقار وأهميته وأهدافه وأبعاده، ثم استعراض أبرز الاتجاهات البحثية والاستراتيجيات المرتبطة به، بما يوفّر أرضية معرفية صلبة لاختبار فرضيات الدراسة لاحقًا</w:t>
      </w:r>
      <w:r w:rsidRPr="003F5BA3">
        <w:rPr>
          <w:rFonts w:ascii="Simplified Arabic" w:hAnsi="Simplified Arabic" w:cs="Simplified Arabic"/>
          <w:color w:val="000000" w:themeColor="text1"/>
          <w:sz w:val="28"/>
          <w:szCs w:val="28"/>
        </w:rPr>
        <w:t>.</w:t>
      </w:r>
    </w:p>
    <w:p w14:paraId="0FDCAA3F" w14:textId="5EDCD43E" w:rsidR="009011CA" w:rsidRPr="003F5BA3" w:rsidRDefault="00D103B0" w:rsidP="00D103B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2" w:name="_Toc233932465"/>
      <w:r w:rsidRPr="003F5BA3">
        <w:rPr>
          <w:rFonts w:ascii="Simplified Arabic" w:hAnsi="Simplified Arabic" w:cs="Simplified Arabic" w:hint="cs"/>
          <w:b/>
          <w:bCs/>
          <w:color w:val="000000" w:themeColor="text1"/>
          <w:sz w:val="32"/>
          <w:szCs w:val="32"/>
          <w:rtl/>
        </w:rPr>
        <w:t xml:space="preserve">2.1.2 </w:t>
      </w:r>
      <w:r w:rsidR="009011CA" w:rsidRPr="003F5BA3">
        <w:rPr>
          <w:rFonts w:ascii="Simplified Arabic" w:hAnsi="Simplified Arabic" w:cs="Simplified Arabic"/>
          <w:b/>
          <w:bCs/>
          <w:color w:val="000000" w:themeColor="text1"/>
          <w:sz w:val="32"/>
          <w:szCs w:val="32"/>
          <w:rtl/>
        </w:rPr>
        <w:t>مفهوم تطوير العقار</w:t>
      </w:r>
      <w:bookmarkEnd w:id="42"/>
    </w:p>
    <w:p w14:paraId="1F7BE11F"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يتشعّب مفهوم تطوير العقار في الأدبيات المعاصرة تبعًا للزاوية التي يُنظر منها إليه، إذ يتناوله فريق من الباحثين من منظور هندسي إنشائي يركّز على العمليات المادية للتحسين والتجديد، بينما يقاربه فريق آخر من زاوية اقتصادية استثمارية تُعنى بأثر هذه العمليات على مؤشرات القيمة والعائد، في حين يتبنّى فريق ثالث مقاربة قانونية تنظيمية تستحضر البنية التشريعية الحاكمة لعمليات التطوير</w:t>
      </w:r>
      <w:r w:rsidRPr="003F5BA3">
        <w:rPr>
          <w:rFonts w:ascii="Simplified Arabic" w:hAnsi="Simplified Arabic" w:cs="Simplified Arabic"/>
          <w:color w:val="000000" w:themeColor="text1"/>
          <w:sz w:val="28"/>
          <w:szCs w:val="28"/>
        </w:rPr>
        <w:t>.</w:t>
      </w:r>
    </w:p>
    <w:p w14:paraId="6E781882"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lastRenderedPageBreak/>
        <w:t>ففي المقاربة الاقتصادية الاستثمارية، يُعرَّف تطوير العقار بوصفه مجموعة العمليات الهادفة إلى إحداث تغييرات جوهرية في الأصل العقاري بما يرفع من قدرته على توليد التدفقات النقدية ويحسّن من موقعه ضمن مؤشرات أسعار المساكن، وذلك عبر تدخلات تتراوح بين التجديد الجزئي وإعادة التأهيل الشاملة</w:t>
      </w:r>
      <w:r w:rsidRPr="003F5BA3">
        <w:rPr>
          <w:rFonts w:ascii="Simplified Arabic" w:hAnsi="Simplified Arabic" w:cs="Simplified Arabic"/>
          <w:color w:val="000000" w:themeColor="text1"/>
          <w:sz w:val="28"/>
          <w:szCs w:val="28"/>
        </w:rPr>
        <w:t xml:space="preserve"> (Bourassa et al., 2020). </w:t>
      </w:r>
      <w:r w:rsidRPr="003F5BA3">
        <w:rPr>
          <w:rFonts w:ascii="Simplified Arabic" w:hAnsi="Simplified Arabic" w:cs="Simplified Arabic"/>
          <w:color w:val="000000" w:themeColor="text1"/>
          <w:sz w:val="28"/>
          <w:szCs w:val="28"/>
          <w:rtl/>
        </w:rPr>
        <w:t xml:space="preserve">ويقترب من هذه الرؤية تعريف يُبرز البعد </w:t>
      </w:r>
      <w:proofErr w:type="spellStart"/>
      <w:r w:rsidRPr="003F5BA3">
        <w:rPr>
          <w:rFonts w:ascii="Simplified Arabic" w:hAnsi="Simplified Arabic" w:cs="Simplified Arabic"/>
          <w:color w:val="000000" w:themeColor="text1"/>
          <w:sz w:val="28"/>
          <w:szCs w:val="28"/>
          <w:rtl/>
        </w:rPr>
        <w:t>الثروي</w:t>
      </w:r>
      <w:proofErr w:type="spellEnd"/>
      <w:r w:rsidRPr="003F5BA3">
        <w:rPr>
          <w:rFonts w:ascii="Simplified Arabic" w:hAnsi="Simplified Arabic" w:cs="Simplified Arabic"/>
          <w:color w:val="000000" w:themeColor="text1"/>
          <w:sz w:val="28"/>
          <w:szCs w:val="28"/>
          <w:rtl/>
        </w:rPr>
        <w:t xml:space="preserve"> للتطوير، إذ يُنظر إليه باعتباره أداة لتعظيم ثروة المُلّاك من خلال الاستثمار في التحسينات المنزلية التي تُحدث فارقًا ملموسًا في السعر السوقي للأصل، وتُسهم في إعادة تسعيره وفق معايير السوق المحدَّثة</w:t>
      </w:r>
      <w:r w:rsidRPr="003F5BA3">
        <w:rPr>
          <w:rFonts w:ascii="Simplified Arabic" w:hAnsi="Simplified Arabic" w:cs="Simplified Arabic"/>
          <w:color w:val="000000" w:themeColor="text1"/>
          <w:sz w:val="28"/>
          <w:szCs w:val="28"/>
        </w:rPr>
        <w:t xml:space="preserve"> (Caloia &amp; Mastrogiacomo, 2022).</w:t>
      </w:r>
    </w:p>
    <w:p w14:paraId="1051208D"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3F5BA3">
        <w:rPr>
          <w:rFonts w:ascii="Simplified Arabic" w:hAnsi="Simplified Arabic" w:cs="Simplified Arabic"/>
          <w:color w:val="000000" w:themeColor="text1"/>
          <w:sz w:val="28"/>
          <w:szCs w:val="28"/>
          <w:rtl/>
        </w:rPr>
        <w:t>وفي المقاربة الإدارية التشغيلية، يُنظر إلى تطوير العقار بوصفه منظومة متكاملة من القرارات المتعلقة بجدولة أعمال التجديد وتوزيع الموارد المالية على محفظة من المباني، بما يحقق التوازن بين القيود التمويلية متعددة السنوات والأهداف التشغيلية بعيدة المدى</w:t>
      </w:r>
      <w:r w:rsidRPr="003F5BA3">
        <w:rPr>
          <w:rFonts w:ascii="Simplified Arabic" w:hAnsi="Simplified Arabic" w:cs="Simplified Arabic"/>
          <w:color w:val="000000" w:themeColor="text1"/>
          <w:sz w:val="28"/>
          <w:szCs w:val="28"/>
        </w:rPr>
        <w:t xml:space="preserve"> (Pannier et al., 2021). </w:t>
      </w:r>
      <w:r w:rsidRPr="003F5BA3">
        <w:rPr>
          <w:rFonts w:ascii="Simplified Arabic" w:hAnsi="Simplified Arabic" w:cs="Simplified Arabic"/>
          <w:color w:val="000000" w:themeColor="text1"/>
          <w:sz w:val="28"/>
          <w:szCs w:val="28"/>
          <w:rtl/>
        </w:rPr>
        <w:t>ويُعزّز هذا التوجه تعريف آخر يرى في التطوير عملية إدارية استراتيجية تستهدف تحسين أداء المبنى وظيفيًا واقتصاديًا، مع الحفاظ على استدامته البيئية عبر تدخلات مدروسة في عناصره الإنشائية والتشغيلية</w:t>
      </w:r>
      <w:r w:rsidRPr="003F5BA3">
        <w:rPr>
          <w:rFonts w:ascii="Simplified Arabic" w:hAnsi="Simplified Arabic" w:cs="Simplified Arabic"/>
          <w:color w:val="000000" w:themeColor="text1"/>
          <w:sz w:val="28"/>
          <w:szCs w:val="28"/>
        </w:rPr>
        <w:t xml:space="preserve"> (Cho et al., 2022).</w:t>
      </w:r>
    </w:p>
    <w:p w14:paraId="135A754D"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 xml:space="preserve">أما المقاربة القانونية التنظيمية، فتُعرّف التطوير العقاري بوصفه نشاطًا اقتصاديًا مُنظَّمًا تحكمه منظومة تشريعية تحدد أطراف العملية والتزاماتهم، وتضبط العلاقة بين المطوّر والممول والمستفيد النهائي، بما يضمن حماية الحقوق واستقرار المعاملات (محمد، 2021). ويتقاطع مع هذا المنظور تعريف يُبرز الدور الوظيفي لأدوات الضمان القانوني في دعم عمليات التطوير، حيث يُوصَف التطوير العقاري بأنه العملية التي تستلزم آليات تعاقدية </w:t>
      </w:r>
      <w:proofErr w:type="spellStart"/>
      <w:r w:rsidRPr="003F5BA3">
        <w:rPr>
          <w:rFonts w:ascii="Simplified Arabic" w:hAnsi="Simplified Arabic" w:cs="Simplified Arabic"/>
          <w:color w:val="000000" w:themeColor="text1"/>
          <w:sz w:val="28"/>
          <w:szCs w:val="28"/>
          <w:rtl/>
        </w:rPr>
        <w:t>وضمانية</w:t>
      </w:r>
      <w:proofErr w:type="spellEnd"/>
      <w:r w:rsidRPr="003F5BA3">
        <w:rPr>
          <w:rFonts w:ascii="Simplified Arabic" w:hAnsi="Simplified Arabic" w:cs="Simplified Arabic"/>
          <w:color w:val="000000" w:themeColor="text1"/>
          <w:sz w:val="28"/>
          <w:szCs w:val="28"/>
          <w:rtl/>
        </w:rPr>
        <w:t xml:space="preserve"> تحفظ حقوق الأطراف وتُعزّز الثقة في السوق العقاري (شعيب وزكي، 2025)</w:t>
      </w:r>
      <w:r w:rsidRPr="003F5BA3">
        <w:rPr>
          <w:rFonts w:ascii="Simplified Arabic" w:hAnsi="Simplified Arabic" w:cs="Simplified Arabic"/>
          <w:color w:val="000000" w:themeColor="text1"/>
          <w:sz w:val="28"/>
          <w:szCs w:val="28"/>
        </w:rPr>
        <w:t>.</w:t>
      </w:r>
    </w:p>
    <w:p w14:paraId="1052C7AB"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ومن زاوية عمرانية أشمل، يُقارَب تطوير العقار بوصفه مكوّنًا رئيسًا في إنتاج المدينة العربية، إذ لا يقتصر أثره على الأصل الفردي بل يمتد ليشمل النسيج الحضري والبنية العمرانية للمدينة، وهو ما يستدعي إدراجه ضمن سياسات التخطيط والتشريع العمراني (عمر، 2021). ويُكمّل هذا التصور توجّهٌ يُعرّف التطوير من منظور الصيانة والإدارة طويلة الأمد، حيث يُعدّ التدخل التطويري امتدادًا طبيعيًا لعمليات الصيانة الرشيدة التي تحول دون تدهور المخزون العقاري القائم (إبراهيم، 2024)</w:t>
      </w:r>
      <w:r w:rsidRPr="003F5BA3">
        <w:rPr>
          <w:rFonts w:ascii="Simplified Arabic" w:hAnsi="Simplified Arabic" w:cs="Simplified Arabic"/>
          <w:color w:val="000000" w:themeColor="text1"/>
          <w:sz w:val="28"/>
          <w:szCs w:val="28"/>
        </w:rPr>
        <w:t>.</w:t>
      </w:r>
    </w:p>
    <w:p w14:paraId="52C2A38B"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 xml:space="preserve">وفي ضوء ما تقدّم، يرى الباحث أن تطوير العقار يمكن تعريفه إجرائيًا بأنه: منظومة متكاملة من التدخلات المخطَّطة والمتعدّدة الأبعاد التي تستهدف الارتقاء بالحالة الفيزيائية والوظيفية والجمالية والتقنية </w:t>
      </w:r>
      <w:r w:rsidRPr="003F5BA3">
        <w:rPr>
          <w:rFonts w:ascii="Simplified Arabic" w:hAnsi="Simplified Arabic" w:cs="Simplified Arabic"/>
          <w:color w:val="000000" w:themeColor="text1"/>
          <w:sz w:val="28"/>
          <w:szCs w:val="28"/>
          <w:rtl/>
        </w:rPr>
        <w:lastRenderedPageBreak/>
        <w:t>للأصل العقاري، من خلال تحسين جودة تشطيباته الداخلية والخارجية، ورفع كفاءة صيانته الدورية والوقائية، وإدخال التحسينات الوظيفية والجمالية عليه، وتحديث أنظمته وبنيته التحتية، وذلك بهدف تعظيم قيمته الإيجارية وسرعة تأجيره وتعزيز موقعه التنافسي في السوق العقاري. وينطلق هذا التعريف من كون التطوير قرارًا إداريًا استثماريًا مركّبًا لا يقتصر على البُعد الإنشائي، بل يستوعب الأبعاد التسويقية والقانونية والتشغيلية في آنٍ واحد</w:t>
      </w:r>
      <w:r w:rsidRPr="003F5BA3">
        <w:rPr>
          <w:rFonts w:ascii="Simplified Arabic" w:hAnsi="Simplified Arabic" w:cs="Simplified Arabic"/>
          <w:color w:val="000000" w:themeColor="text1"/>
          <w:sz w:val="28"/>
          <w:szCs w:val="28"/>
        </w:rPr>
        <w:t>.</w:t>
      </w:r>
    </w:p>
    <w:p w14:paraId="1008DCB9" w14:textId="72C741CC" w:rsidR="009011CA" w:rsidRPr="003F5BA3" w:rsidRDefault="00D103B0" w:rsidP="00D103B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3932466"/>
      <w:r w:rsidRPr="003F5BA3">
        <w:rPr>
          <w:rFonts w:ascii="Simplified Arabic" w:hAnsi="Simplified Arabic" w:cs="Simplified Arabic" w:hint="cs"/>
          <w:b/>
          <w:bCs/>
          <w:color w:val="000000" w:themeColor="text1"/>
          <w:sz w:val="32"/>
          <w:szCs w:val="32"/>
          <w:rtl/>
        </w:rPr>
        <w:t xml:space="preserve">3.1.2 </w:t>
      </w:r>
      <w:r w:rsidR="009011CA" w:rsidRPr="003F5BA3">
        <w:rPr>
          <w:rFonts w:ascii="Simplified Arabic" w:hAnsi="Simplified Arabic" w:cs="Simplified Arabic"/>
          <w:b/>
          <w:bCs/>
          <w:color w:val="000000" w:themeColor="text1"/>
          <w:sz w:val="32"/>
          <w:szCs w:val="32"/>
          <w:rtl/>
        </w:rPr>
        <w:t>أهمية تطوير العقار</w:t>
      </w:r>
      <w:bookmarkEnd w:id="43"/>
    </w:p>
    <w:p w14:paraId="3F0854C9"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تنبثق أهمية تطوير العقار من موقعه المحوري في تقاطع مصالح متعددة تجمع بين المُلّاك والمستأجرين والمستثمرين والجهات التنظيمية، فضلًا عن انعكاساته المباشرة على أداء السوق العقاري بوصفه أحد أهم روافد الاقتصاد الكلي. ولا تكمن أهميته في الأثر المباشر على قيمة الأصل فحسب، بل تمتد إلى تأثيرات غير مباشرة تطال البيئة الحضرية، وكفاءة استخدام الطاقة، واستقرار العلاقات التعاقدية بين أطراف السوق. وفيما يلي عرض لأبرز الأبعاد التي تُشكّل أهمية تطوير العقار وفق ما يطرحه الباحثون</w:t>
      </w:r>
      <w:r w:rsidRPr="003F5BA3">
        <w:rPr>
          <w:rFonts w:ascii="Simplified Arabic" w:hAnsi="Simplified Arabic" w:cs="Simplified Arabic"/>
          <w:color w:val="000000" w:themeColor="text1"/>
          <w:sz w:val="28"/>
          <w:szCs w:val="28"/>
        </w:rPr>
        <w:t>.</w:t>
      </w:r>
    </w:p>
    <w:p w14:paraId="3DA989F9"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ويشير</w:t>
      </w:r>
      <w:r w:rsidRPr="003F5BA3">
        <w:rPr>
          <w:rFonts w:ascii="Simplified Arabic" w:hAnsi="Simplified Arabic" w:cs="Simplified Arabic"/>
          <w:color w:val="000000" w:themeColor="text1"/>
          <w:sz w:val="28"/>
          <w:szCs w:val="28"/>
        </w:rPr>
        <w:t xml:space="preserve"> (Caloia &amp; Mastrogiacomo, 2022) </w:t>
      </w:r>
      <w:r w:rsidRPr="003F5BA3">
        <w:rPr>
          <w:rFonts w:ascii="Simplified Arabic" w:hAnsi="Simplified Arabic" w:cs="Simplified Arabic"/>
          <w:color w:val="000000" w:themeColor="text1"/>
          <w:sz w:val="28"/>
          <w:szCs w:val="28"/>
          <w:rtl/>
        </w:rPr>
        <w:t>إلى أن أهمية تطوير العقار تتجلّى في عدة محاور، أوّلها أنه يمثّل قناة أساسية لتكوين الثروة السكنية لدى الأسر، إذ تُترجَم أعمال التحسين والتجديد إلى زيادات ملموسة في القيمة السوقية للأصل، مما ينعكس على قدرة المالك على الاستفادة من الرافعة المالية للعقار. ويأتي ثانيها في كون التطوير آليةً لتصحيح التشوّهات السعرية في السوق، حيث يُعيد للأصل قيمته الحقيقية بعد فترات من التآكل التدريجي. ويتمثّل ثالثها في دوره في تحفيز إعادة تدوير المخزون العقاري القائم بدلًا من الاعتماد الكلّي على الإنشاء الجديد الذي يستنزف الموارد ويرفع الكلفة الإجمالية</w:t>
      </w:r>
      <w:r w:rsidRPr="003F5BA3">
        <w:rPr>
          <w:rFonts w:ascii="Simplified Arabic" w:hAnsi="Simplified Arabic" w:cs="Simplified Arabic"/>
          <w:color w:val="000000" w:themeColor="text1"/>
          <w:sz w:val="28"/>
          <w:szCs w:val="28"/>
        </w:rPr>
        <w:t>.</w:t>
      </w:r>
    </w:p>
    <w:p w14:paraId="2C1EDEF7"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ويرى</w:t>
      </w:r>
      <w:r w:rsidRPr="003F5BA3">
        <w:rPr>
          <w:rFonts w:ascii="Simplified Arabic" w:hAnsi="Simplified Arabic" w:cs="Simplified Arabic"/>
          <w:color w:val="000000" w:themeColor="text1"/>
          <w:sz w:val="28"/>
          <w:szCs w:val="28"/>
        </w:rPr>
        <w:t xml:space="preserve"> (Cho et al., 2022) </w:t>
      </w:r>
      <w:r w:rsidRPr="003F5BA3">
        <w:rPr>
          <w:rFonts w:ascii="Simplified Arabic" w:hAnsi="Simplified Arabic" w:cs="Simplified Arabic"/>
          <w:color w:val="000000" w:themeColor="text1"/>
          <w:sz w:val="28"/>
          <w:szCs w:val="28"/>
          <w:rtl/>
        </w:rPr>
        <w:t>أن أهمية تطوير العقار تتّضح من خلال جملة من الاعتبارات الاقتصادية والبيئية المتشابكة؛ إذ يُسهم التطوير في إطالة العمر الاقتصادي للمبنى وتأجيل قرار الإحلال المكلف، ويُخفّض تكاليف التشغيل بفعل تحسين كفاءة الأنظمة الفنية، ويُعزّز جاذبية المبنى للمستأجرين المحتملين بما يقلّص فترات الشغور. ويُضيف إلى ذلك أن التطوير يُمثّل مسارًا عمليًا لتحقيق أهداف الاستدامة عبر خفض البصمة الكربونية للمباني القائمة، وهو ما يجعله خيارًا مفضّلًا لدى المُقيّمين العقاريين عند تقدير القيمة المستقبلية للأصل</w:t>
      </w:r>
      <w:r w:rsidRPr="003F5BA3">
        <w:rPr>
          <w:rFonts w:ascii="Simplified Arabic" w:hAnsi="Simplified Arabic" w:cs="Simplified Arabic"/>
          <w:color w:val="000000" w:themeColor="text1"/>
          <w:sz w:val="28"/>
          <w:szCs w:val="28"/>
        </w:rPr>
        <w:t>.</w:t>
      </w:r>
    </w:p>
    <w:p w14:paraId="375C647A"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lastRenderedPageBreak/>
        <w:t>ويطرح</w:t>
      </w:r>
      <w:r w:rsidRPr="003F5BA3">
        <w:rPr>
          <w:rFonts w:ascii="Simplified Arabic" w:hAnsi="Simplified Arabic" w:cs="Simplified Arabic"/>
          <w:color w:val="000000" w:themeColor="text1"/>
          <w:sz w:val="28"/>
          <w:szCs w:val="28"/>
        </w:rPr>
        <w:t xml:space="preserve"> (Pannier et al., 2021) </w:t>
      </w:r>
      <w:r w:rsidRPr="003F5BA3">
        <w:rPr>
          <w:rFonts w:ascii="Simplified Arabic" w:hAnsi="Simplified Arabic" w:cs="Simplified Arabic"/>
          <w:color w:val="000000" w:themeColor="text1"/>
          <w:sz w:val="28"/>
          <w:szCs w:val="28"/>
          <w:rtl/>
        </w:rPr>
        <w:t>رؤيةً مكمّلة لأهمية التطوير من زاوية إدارة المحافظ العقارية، مؤكّدًا أن الأهمية تنبع من كون التطوير أداةً لضبط جودة الأصول ضمن محفظة متعددة العناصر، وأنه يُوفّر إطارًا لاتخاذ قرارات مثلى بشأن توقيت التدخل ونطاقه، ويُتيح توزيع الأعباء المالية على مدى زمني ممتد بما يتوافق مع القيود التمويلية للجهات المالكة، ولا سيّما في قطاع الإسكان الاجتماعي حيث تتحكّم اعتبارات الميزانية في نطاق التدخل الممكن</w:t>
      </w:r>
      <w:r w:rsidRPr="003F5BA3">
        <w:rPr>
          <w:rFonts w:ascii="Simplified Arabic" w:hAnsi="Simplified Arabic" w:cs="Simplified Arabic"/>
          <w:color w:val="000000" w:themeColor="text1"/>
          <w:sz w:val="28"/>
          <w:szCs w:val="28"/>
        </w:rPr>
        <w:t>.</w:t>
      </w:r>
    </w:p>
    <w:p w14:paraId="6E875F61"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ويُبرز</w:t>
      </w:r>
      <w:r w:rsidRPr="003F5BA3">
        <w:rPr>
          <w:rFonts w:ascii="Simplified Arabic" w:hAnsi="Simplified Arabic" w:cs="Simplified Arabic"/>
          <w:color w:val="000000" w:themeColor="text1"/>
          <w:sz w:val="28"/>
          <w:szCs w:val="28"/>
        </w:rPr>
        <w:t xml:space="preserve"> (Liao et al., 2023) </w:t>
      </w:r>
      <w:r w:rsidRPr="003F5BA3">
        <w:rPr>
          <w:rFonts w:ascii="Simplified Arabic" w:hAnsi="Simplified Arabic" w:cs="Simplified Arabic"/>
          <w:color w:val="000000" w:themeColor="text1"/>
          <w:sz w:val="28"/>
          <w:szCs w:val="28"/>
          <w:rtl/>
        </w:rPr>
        <w:t>أن أهمية تطوير العقار تتكشّف بجلاء عند النظر إلى العوائق التي تحول دون تحقيقه، إذ إن غياب التطوير يُفضي إلى تراكم مشكلات الأداء الاقتصادي والبيئي للمبنى، ويُقلّص من قدرته على المنافسة في السوق. ومن ثمّ فإن الاستثمار في التطوير يمثّل استجابة عقلانية لتجاوز حالة الجمود التي قد تُصيب المخزون العقاري، ويُتيح للمُلّاك تحويل المبنى من عبء تشغيلي إلى أصل مُدرّ للدخل، ويُوفّر إطارًا لإدماج المعايير البيئية الحديثة في هيكل المبنى القائم</w:t>
      </w:r>
      <w:r w:rsidRPr="003F5BA3">
        <w:rPr>
          <w:rFonts w:ascii="Simplified Arabic" w:hAnsi="Simplified Arabic" w:cs="Simplified Arabic"/>
          <w:color w:val="000000" w:themeColor="text1"/>
          <w:sz w:val="28"/>
          <w:szCs w:val="28"/>
        </w:rPr>
        <w:t>.</w:t>
      </w:r>
    </w:p>
    <w:p w14:paraId="5A62FBE1"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 xml:space="preserve">ومن منظور محلي، يشير (إبراهيم، 2024) إلى أن أهمية تطوير العقار وصيانته تنبع من كونها ضرورة وطنية لحماية المخزون السكني من التدهور، وضمان استمراريته في أداء وظيفته الإسكانية، فضلًا عن دورها في الحدّ من الهدر الاقتصادي الناجم عن التدخّلات </w:t>
      </w:r>
      <w:proofErr w:type="spellStart"/>
      <w:r w:rsidRPr="003F5BA3">
        <w:rPr>
          <w:rFonts w:ascii="Simplified Arabic" w:hAnsi="Simplified Arabic" w:cs="Simplified Arabic"/>
          <w:color w:val="000000" w:themeColor="text1"/>
          <w:sz w:val="28"/>
          <w:szCs w:val="28"/>
          <w:rtl/>
        </w:rPr>
        <w:t>الإحلالية</w:t>
      </w:r>
      <w:proofErr w:type="spellEnd"/>
      <w:r w:rsidRPr="003F5BA3">
        <w:rPr>
          <w:rFonts w:ascii="Simplified Arabic" w:hAnsi="Simplified Arabic" w:cs="Simplified Arabic"/>
          <w:color w:val="000000" w:themeColor="text1"/>
          <w:sz w:val="28"/>
          <w:szCs w:val="28"/>
          <w:rtl/>
        </w:rPr>
        <w:t xml:space="preserve"> المكلفة. كما يُبرز أن التطوير يُشكّل رافدًا مهمًّا لدعم الاستقرار السكاني وتحسين جودة الحياة، بما يجعله قضية تتجاوز البعد الاستثماري الفردي إلى البعد التنموي العام</w:t>
      </w:r>
      <w:r w:rsidRPr="003F5BA3">
        <w:rPr>
          <w:rFonts w:ascii="Simplified Arabic" w:hAnsi="Simplified Arabic" w:cs="Simplified Arabic"/>
          <w:color w:val="000000" w:themeColor="text1"/>
          <w:sz w:val="28"/>
          <w:szCs w:val="28"/>
        </w:rPr>
        <w:t>.</w:t>
      </w:r>
    </w:p>
    <w:p w14:paraId="2265D975"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ويُضيف (الرحيلي، 2020) بُعدًا معاصرًا لأهمية التطوير العقاري، مفاده أن التطوير لم يعد مقتصرًا على التدخّلات المادية في الأصل، بل امتدّ ليشمل تطوير آليات إدارته وتسويقه وتأجيره باستخدام التقنيات الرقمية الحديثة. ومن ثمّ فإن أهميته تتّسع لتشمل تحسين تجربة المستأجر، ورفع كفاءة العمليات التعاقدية، وتعزيز الشفافية في السوق العقاري</w:t>
      </w:r>
      <w:r w:rsidRPr="003F5BA3">
        <w:rPr>
          <w:rFonts w:ascii="Simplified Arabic" w:hAnsi="Simplified Arabic" w:cs="Simplified Arabic"/>
          <w:color w:val="000000" w:themeColor="text1"/>
          <w:sz w:val="28"/>
          <w:szCs w:val="28"/>
        </w:rPr>
        <w:t>.</w:t>
      </w:r>
    </w:p>
    <w:p w14:paraId="38541481"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ويرى الباحث أن الأهمية المتعددة الأبعاد لتطوير العقار تنعكس مباشرةً على متغيّرَي القيمة الإيجارية وسرعة التأجير، إذ إن الأصل المُطوَّر يُقدَّم للسوق بمواصفات تنافسية أعلى تُبرّر سعرًا إيجاريًا أفضل، وتُقلّص الفجوة الزمنية بين طرحه للتأجير وإتمام التعاقد عليه، مما يُبرّر إفراد هذه الدراسة له بوصفه متغيرًا مستقلًا محوريًا</w:t>
      </w:r>
      <w:r w:rsidRPr="003F5BA3">
        <w:rPr>
          <w:rFonts w:ascii="Simplified Arabic" w:hAnsi="Simplified Arabic" w:cs="Simplified Arabic"/>
          <w:color w:val="000000" w:themeColor="text1"/>
          <w:sz w:val="28"/>
          <w:szCs w:val="28"/>
        </w:rPr>
        <w:t>.</w:t>
      </w:r>
    </w:p>
    <w:p w14:paraId="0CA358C8" w14:textId="0D89DECD" w:rsidR="009011CA" w:rsidRPr="003F5BA3" w:rsidRDefault="00D103B0" w:rsidP="00D103B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3932467"/>
      <w:r w:rsidRPr="003F5BA3">
        <w:rPr>
          <w:rFonts w:ascii="Simplified Arabic" w:hAnsi="Simplified Arabic" w:cs="Simplified Arabic" w:hint="cs"/>
          <w:b/>
          <w:bCs/>
          <w:color w:val="000000" w:themeColor="text1"/>
          <w:sz w:val="32"/>
          <w:szCs w:val="32"/>
          <w:rtl/>
        </w:rPr>
        <w:t xml:space="preserve">4.1.2 </w:t>
      </w:r>
      <w:r w:rsidR="009011CA" w:rsidRPr="003F5BA3">
        <w:rPr>
          <w:rFonts w:ascii="Simplified Arabic" w:hAnsi="Simplified Arabic" w:cs="Simplified Arabic"/>
          <w:b/>
          <w:bCs/>
          <w:color w:val="000000" w:themeColor="text1"/>
          <w:sz w:val="32"/>
          <w:szCs w:val="32"/>
          <w:rtl/>
        </w:rPr>
        <w:t>أهداف تطوير العقار</w:t>
      </w:r>
      <w:bookmarkEnd w:id="44"/>
    </w:p>
    <w:p w14:paraId="7191A1CE"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lastRenderedPageBreak/>
        <w:t>تتنوّع أهداف تطوير العقار وتتشعّب بحسب طبيعة المشروع التطويري وطبيعة السوق المستهدف وخصائص الأصل محلّ التطوير. وقد قدّم الباحثون رؤى متمايزة لهذه الأهداف يمكن استعراضها في النقاط الآتية</w:t>
      </w:r>
      <w:r w:rsidRPr="003F5BA3">
        <w:rPr>
          <w:rFonts w:ascii="Simplified Arabic" w:hAnsi="Simplified Arabic" w:cs="Simplified Arabic"/>
          <w:color w:val="000000" w:themeColor="text1"/>
          <w:sz w:val="28"/>
          <w:szCs w:val="28"/>
        </w:rPr>
        <w:t>:</w:t>
      </w:r>
    </w:p>
    <w:p w14:paraId="7AF96207"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يُحدّد</w:t>
      </w:r>
      <w:r w:rsidRPr="003F5BA3">
        <w:rPr>
          <w:rFonts w:ascii="Simplified Arabic" w:hAnsi="Simplified Arabic" w:cs="Simplified Arabic"/>
          <w:color w:val="000000" w:themeColor="text1"/>
          <w:sz w:val="28"/>
          <w:szCs w:val="28"/>
        </w:rPr>
        <w:t xml:space="preserve"> (Bourassa et al., 2020) </w:t>
      </w:r>
      <w:r w:rsidRPr="003F5BA3">
        <w:rPr>
          <w:rFonts w:ascii="Simplified Arabic" w:hAnsi="Simplified Arabic" w:cs="Simplified Arabic"/>
          <w:color w:val="000000" w:themeColor="text1"/>
          <w:sz w:val="28"/>
          <w:szCs w:val="28"/>
          <w:rtl/>
        </w:rPr>
        <w:t>جملةً من الأهداف الجوهرية لتطوير العقار تتمثّل في: الأول، رفع القيمة الرأسمالية للأصل بما يُحسّن موقعه في مؤشرات الأسعار العقارية؛ والثاني، تصحيح التحيّزات القياسية الناجمة عن إهمال أثر التجديد في نماذج التسعير التقليدية؛ والثالث، إعادة معايرة الأصل مع مستويات الجودة السائدة في السوق بما يمنع تراجع تنافسيته؛ والرابع، توفير أساس موضوعي لبناء مؤشرات سعرية أكثر دقة تعكس التغيّرات الفعلية في جودة المخزون العقاري</w:t>
      </w:r>
      <w:r w:rsidRPr="003F5BA3">
        <w:rPr>
          <w:rFonts w:ascii="Simplified Arabic" w:hAnsi="Simplified Arabic" w:cs="Simplified Arabic"/>
          <w:color w:val="000000" w:themeColor="text1"/>
          <w:sz w:val="28"/>
          <w:szCs w:val="28"/>
        </w:rPr>
        <w:t>.</w:t>
      </w:r>
    </w:p>
    <w:p w14:paraId="4C32B308"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ويُقدّم</w:t>
      </w:r>
      <w:r w:rsidRPr="003F5BA3">
        <w:rPr>
          <w:rFonts w:ascii="Simplified Arabic" w:hAnsi="Simplified Arabic" w:cs="Simplified Arabic"/>
          <w:color w:val="000000" w:themeColor="text1"/>
          <w:sz w:val="28"/>
          <w:szCs w:val="28"/>
        </w:rPr>
        <w:t xml:space="preserve"> (Cho et al., 2022) </w:t>
      </w:r>
      <w:r w:rsidRPr="003F5BA3">
        <w:rPr>
          <w:rFonts w:ascii="Simplified Arabic" w:hAnsi="Simplified Arabic" w:cs="Simplified Arabic"/>
          <w:color w:val="000000" w:themeColor="text1"/>
          <w:sz w:val="28"/>
          <w:szCs w:val="28"/>
          <w:rtl/>
        </w:rPr>
        <w:t>رؤيةً متكاملة لأهداف التطوير من منظور المكاتب التجارية المستدامة، حيث تتمحور الأهداف حول: أولًا، تحسين الكفاءة الاقتصادية للمبنى عبر خفض تكاليف التشغيل والصيانة على المدى الطويل؛ ثانيًا، رفع القيمة الإيجارية للوحدات المكوّنة للمبنى بما يعكس الترقية النوعية التي طرأت عليها؛ ثالثًا، تحقيق التوافق مع معايير الاستدامة البيئية التي باتت شرطًا ضمنيًا في قرارات الاستثمار العقاري؛ رابعًا، تعزيز جاذبية المبنى للمستأجرين من الشرائح ذات الملاءة العالية</w:t>
      </w:r>
      <w:r w:rsidRPr="003F5BA3">
        <w:rPr>
          <w:rFonts w:ascii="Simplified Arabic" w:hAnsi="Simplified Arabic" w:cs="Simplified Arabic"/>
          <w:color w:val="000000" w:themeColor="text1"/>
          <w:sz w:val="28"/>
          <w:szCs w:val="28"/>
        </w:rPr>
        <w:t>.</w:t>
      </w:r>
    </w:p>
    <w:p w14:paraId="500B29EC"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ويُبرز</w:t>
      </w:r>
      <w:r w:rsidRPr="003F5BA3">
        <w:rPr>
          <w:rFonts w:ascii="Simplified Arabic" w:hAnsi="Simplified Arabic" w:cs="Simplified Arabic"/>
          <w:color w:val="000000" w:themeColor="text1"/>
          <w:sz w:val="28"/>
          <w:szCs w:val="28"/>
        </w:rPr>
        <w:t xml:space="preserve"> (Pannier et al., 2021) </w:t>
      </w:r>
      <w:r w:rsidRPr="003F5BA3">
        <w:rPr>
          <w:rFonts w:ascii="Simplified Arabic" w:hAnsi="Simplified Arabic" w:cs="Simplified Arabic"/>
          <w:color w:val="000000" w:themeColor="text1"/>
          <w:sz w:val="28"/>
          <w:szCs w:val="28"/>
          <w:rtl/>
        </w:rPr>
        <w:t>أهدافًا إدارية تخطيطية للتطوير تشمل: تحديد التوقيت الأمثل للتدخل التطويري ضمن دورة حياة المبنى؛ وترتيب أولويات التدخل بين مكوّنات المحفظة العقارية وفق معايير موضوعية؛ وتحقيق الاستخدام الأمثل للاعتمادات المالية المتاحة على مدى سنوات متعددة؛ وضمان استمرارية أداء المبنى الوظيفي طوال فترة أعمال التطوير</w:t>
      </w:r>
      <w:r w:rsidRPr="003F5BA3">
        <w:rPr>
          <w:rFonts w:ascii="Simplified Arabic" w:hAnsi="Simplified Arabic" w:cs="Simplified Arabic"/>
          <w:color w:val="000000" w:themeColor="text1"/>
          <w:sz w:val="28"/>
          <w:szCs w:val="28"/>
        </w:rPr>
        <w:t>.</w:t>
      </w:r>
    </w:p>
    <w:p w14:paraId="575431C7"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ويُضيف</w:t>
      </w:r>
      <w:r w:rsidRPr="003F5BA3">
        <w:rPr>
          <w:rFonts w:ascii="Simplified Arabic" w:hAnsi="Simplified Arabic" w:cs="Simplified Arabic"/>
          <w:color w:val="000000" w:themeColor="text1"/>
          <w:sz w:val="28"/>
          <w:szCs w:val="28"/>
        </w:rPr>
        <w:t xml:space="preserve"> (Lang et al., 2021) </w:t>
      </w:r>
      <w:r w:rsidRPr="003F5BA3">
        <w:rPr>
          <w:rFonts w:ascii="Simplified Arabic" w:hAnsi="Simplified Arabic" w:cs="Simplified Arabic"/>
          <w:color w:val="000000" w:themeColor="text1"/>
          <w:sz w:val="28"/>
          <w:szCs w:val="28"/>
          <w:rtl/>
        </w:rPr>
        <w:t>أهدافًا تتّصل باستعداد المُلّاك للاستثمار في تحسينات كفاءة الطاقة، وتتلخّص في: تخفيض الاستهلاك التشغيلي للطاقة بما ينعكس على تنافسية العقار في سوق التأجير؛ وتحسين مستوى الراحة الحرارية للمستأجرين بما يُطيل فترات بقائهم؛ ومواءمة المبنى مع المتطلبات التنظيمية المستحدَثة المتعلقة بأداء الطاقة؛ وتقليص المخاطر التنظيمية والقانونية الناجمة عن عدم الامتثال للمعايير الحديثة</w:t>
      </w:r>
      <w:r w:rsidRPr="003F5BA3">
        <w:rPr>
          <w:rFonts w:ascii="Simplified Arabic" w:hAnsi="Simplified Arabic" w:cs="Simplified Arabic"/>
          <w:color w:val="000000" w:themeColor="text1"/>
          <w:sz w:val="28"/>
          <w:szCs w:val="28"/>
        </w:rPr>
        <w:t>.</w:t>
      </w:r>
    </w:p>
    <w:p w14:paraId="54068079"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 xml:space="preserve">ويطرح (إبراهيم، 2024) أهدافًا محلية للتطوير والصيانة تتّصل بواقع المنشآت السكنية، تشمل: الحفاظ على السلامة الإنشائية للمباني القائمة؛ ورفع مستوى الخدمات المُقدَّمة لشاغلي هذه المباني؛ وضبط الكلفة </w:t>
      </w:r>
      <w:r w:rsidRPr="003F5BA3">
        <w:rPr>
          <w:rFonts w:ascii="Simplified Arabic" w:hAnsi="Simplified Arabic" w:cs="Simplified Arabic"/>
          <w:color w:val="000000" w:themeColor="text1"/>
          <w:sz w:val="28"/>
          <w:szCs w:val="28"/>
          <w:rtl/>
        </w:rPr>
        <w:lastRenderedPageBreak/>
        <w:t>الإجمالية لدورة حياة المبنى بما يمنع الإنفاق غير المخطَّط في مراحل لاحقة؛ ومعالجة الفجوة بين واقع الصيانة الحالية والمستوى المأمول من الأداء</w:t>
      </w:r>
      <w:r w:rsidRPr="003F5BA3">
        <w:rPr>
          <w:rFonts w:ascii="Simplified Arabic" w:hAnsi="Simplified Arabic" w:cs="Simplified Arabic"/>
          <w:color w:val="000000" w:themeColor="text1"/>
          <w:sz w:val="28"/>
          <w:szCs w:val="28"/>
        </w:rPr>
        <w:t>.</w:t>
      </w:r>
    </w:p>
    <w:p w14:paraId="187B925A"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ويرى الباحث أن هذه الأهداف على تنوّعها تلتقي عند غاية جوهرية تتمثّل في تعظيم القيمة الاقتصادية للأصل العقاري وتحسين موقعه التنافسي في السوق، بما ينعكس مباشرةً على قدرته على تحقيق قيمة إيجارية أعلى وسرعة تأجير أكبر، وهو ما يُشكّل الحلقة الرابطة بين تطوير العقار بوصفه متغيرًا مستقلًا وبين المتغير التابع المستهدف في الدراسة الحالية</w:t>
      </w:r>
      <w:r w:rsidRPr="003F5BA3">
        <w:rPr>
          <w:rFonts w:ascii="Simplified Arabic" w:hAnsi="Simplified Arabic" w:cs="Simplified Arabic"/>
          <w:color w:val="000000" w:themeColor="text1"/>
          <w:sz w:val="28"/>
          <w:szCs w:val="28"/>
        </w:rPr>
        <w:t>.</w:t>
      </w:r>
    </w:p>
    <w:p w14:paraId="57AA4BDA" w14:textId="58BC1B2D" w:rsidR="009011CA" w:rsidRPr="003F5BA3" w:rsidRDefault="00D103B0" w:rsidP="00D103B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5" w:name="_Toc233932468"/>
      <w:r w:rsidRPr="003F5BA3">
        <w:rPr>
          <w:rFonts w:ascii="Simplified Arabic" w:hAnsi="Simplified Arabic" w:cs="Simplified Arabic" w:hint="cs"/>
          <w:b/>
          <w:bCs/>
          <w:color w:val="000000" w:themeColor="text1"/>
          <w:sz w:val="32"/>
          <w:szCs w:val="32"/>
          <w:rtl/>
        </w:rPr>
        <w:t xml:space="preserve">5.1.2 </w:t>
      </w:r>
      <w:r w:rsidR="009011CA" w:rsidRPr="003F5BA3">
        <w:rPr>
          <w:rFonts w:ascii="Simplified Arabic" w:hAnsi="Simplified Arabic" w:cs="Simplified Arabic"/>
          <w:b/>
          <w:bCs/>
          <w:color w:val="000000" w:themeColor="text1"/>
          <w:sz w:val="32"/>
          <w:szCs w:val="32"/>
          <w:rtl/>
        </w:rPr>
        <w:t>أبعاد تطوير العقار</w:t>
      </w:r>
      <w:bookmarkEnd w:id="45"/>
    </w:p>
    <w:p w14:paraId="3B2CDD23"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تم تحديد أبعاد تطوير العقار في هذه الدراسة بناءً على مراجعة معمّقة لأدبيات المجال، ولا سيما دراسة</w:t>
      </w:r>
      <w:r w:rsidRPr="003F5BA3">
        <w:rPr>
          <w:rFonts w:ascii="Simplified Arabic" w:hAnsi="Simplified Arabic" w:cs="Simplified Arabic"/>
          <w:color w:val="000000" w:themeColor="text1"/>
          <w:sz w:val="28"/>
          <w:szCs w:val="28"/>
        </w:rPr>
        <w:t xml:space="preserve"> (Bourassa et al., 2020) </w:t>
      </w:r>
      <w:r w:rsidRPr="003F5BA3">
        <w:rPr>
          <w:rFonts w:ascii="Simplified Arabic" w:hAnsi="Simplified Arabic" w:cs="Simplified Arabic"/>
          <w:color w:val="000000" w:themeColor="text1"/>
          <w:sz w:val="28"/>
          <w:szCs w:val="28"/>
          <w:rtl/>
        </w:rPr>
        <w:t>التي تناولت أثر تجديدات العقار على مؤشرات الأسعار، ودراسة (إبراهيم، 2024) التي عالجت واقع صيانة المنشآت السكنية، ودراسة</w:t>
      </w:r>
      <w:r w:rsidRPr="003F5BA3">
        <w:rPr>
          <w:rFonts w:ascii="Simplified Arabic" w:hAnsi="Simplified Arabic" w:cs="Simplified Arabic"/>
          <w:color w:val="000000" w:themeColor="text1"/>
          <w:sz w:val="28"/>
          <w:szCs w:val="28"/>
        </w:rPr>
        <w:t xml:space="preserve"> (Cho et al., 2022) </w:t>
      </w:r>
      <w:r w:rsidRPr="003F5BA3">
        <w:rPr>
          <w:rFonts w:ascii="Simplified Arabic" w:hAnsi="Simplified Arabic" w:cs="Simplified Arabic"/>
          <w:color w:val="000000" w:themeColor="text1"/>
          <w:sz w:val="28"/>
          <w:szCs w:val="28"/>
          <w:rtl/>
        </w:rPr>
        <w:t>التي ركّزت على الأثر الاقتصادي لأعمال التجديد في المباني، ودراسة</w:t>
      </w:r>
      <w:r w:rsidRPr="003F5BA3">
        <w:rPr>
          <w:rFonts w:ascii="Simplified Arabic" w:hAnsi="Simplified Arabic" w:cs="Simplified Arabic"/>
          <w:color w:val="000000" w:themeColor="text1"/>
          <w:sz w:val="28"/>
          <w:szCs w:val="28"/>
        </w:rPr>
        <w:t xml:space="preserve"> (Pannier et al., 2021) </w:t>
      </w:r>
      <w:r w:rsidRPr="003F5BA3">
        <w:rPr>
          <w:rFonts w:ascii="Simplified Arabic" w:hAnsi="Simplified Arabic" w:cs="Simplified Arabic"/>
          <w:color w:val="000000" w:themeColor="text1"/>
          <w:sz w:val="28"/>
          <w:szCs w:val="28"/>
          <w:rtl/>
        </w:rPr>
        <w:t>التي تناولت جدولة التطوير في محافظ الإسكان، فضلًا عن دراسة</w:t>
      </w:r>
      <w:r w:rsidRPr="003F5BA3">
        <w:rPr>
          <w:rFonts w:ascii="Simplified Arabic" w:hAnsi="Simplified Arabic" w:cs="Simplified Arabic"/>
          <w:color w:val="000000" w:themeColor="text1"/>
          <w:sz w:val="28"/>
          <w:szCs w:val="28"/>
        </w:rPr>
        <w:t xml:space="preserve"> (Liao et al., 2023) </w:t>
      </w:r>
      <w:r w:rsidRPr="003F5BA3">
        <w:rPr>
          <w:rFonts w:ascii="Simplified Arabic" w:hAnsi="Simplified Arabic" w:cs="Simplified Arabic"/>
          <w:color w:val="000000" w:themeColor="text1"/>
          <w:sz w:val="28"/>
          <w:szCs w:val="28"/>
          <w:rtl/>
        </w:rPr>
        <w:t>التي استعرضت العوائق الاقتصادية والبيئية للتجديد. وقد اتّضح من هذه المراجعة أن التطوير العقاري يتشكّل من أربعة أبعاد رئيسة يمكن تفصيلها على النحو التالي</w:t>
      </w:r>
      <w:r w:rsidRPr="003F5BA3">
        <w:rPr>
          <w:rFonts w:ascii="Simplified Arabic" w:hAnsi="Simplified Arabic" w:cs="Simplified Arabic"/>
          <w:color w:val="000000" w:themeColor="text1"/>
          <w:sz w:val="28"/>
          <w:szCs w:val="28"/>
        </w:rPr>
        <w:t>.</w:t>
      </w:r>
    </w:p>
    <w:p w14:paraId="432C539E"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البُعد الأول: جودة التشطيبات الداخلية والخارجية</w:t>
      </w:r>
      <w:r w:rsidRPr="003F5BA3">
        <w:rPr>
          <w:rFonts w:ascii="Simplified Arabic" w:hAnsi="Simplified Arabic" w:cs="Simplified Arabic"/>
          <w:color w:val="000000" w:themeColor="text1"/>
          <w:sz w:val="28"/>
          <w:szCs w:val="28"/>
        </w:rPr>
        <w:t xml:space="preserve">. </w:t>
      </w:r>
      <w:r w:rsidRPr="003F5BA3">
        <w:rPr>
          <w:rFonts w:ascii="Simplified Arabic" w:hAnsi="Simplified Arabic" w:cs="Simplified Arabic"/>
          <w:color w:val="000000" w:themeColor="text1"/>
          <w:sz w:val="28"/>
          <w:szCs w:val="28"/>
          <w:rtl/>
        </w:rPr>
        <w:t>تُمثّل التشطيبات العنصر الأكثر وضوحًا في تقييم المستأجر أو المشتري المحتمل للأصل العقاري، إذ تُشكّل الانطباع الأول عن مستوى المبنى وقيمته. وتتضمّن التشطيبات الداخلية معالجات الأرضيات والجدران والأسقف، وأعمال الدهانات، وتركيبات المطابخ والحمامات، وأنظمة الإضاءة الداخلية، في حين تشمل التشطيبات الخارجية معالجات الواجهات، وأعمال العزل الظاهرة، والعناصر الجمالية للمبنى. ويُبرز</w:t>
      </w:r>
      <w:r w:rsidRPr="003F5BA3">
        <w:rPr>
          <w:rFonts w:ascii="Simplified Arabic" w:hAnsi="Simplified Arabic" w:cs="Simplified Arabic"/>
          <w:color w:val="000000" w:themeColor="text1"/>
          <w:sz w:val="28"/>
          <w:szCs w:val="28"/>
        </w:rPr>
        <w:t xml:space="preserve"> (Bourassa et al., 2020) </w:t>
      </w:r>
      <w:r w:rsidRPr="003F5BA3">
        <w:rPr>
          <w:rFonts w:ascii="Simplified Arabic" w:hAnsi="Simplified Arabic" w:cs="Simplified Arabic"/>
          <w:color w:val="000000" w:themeColor="text1"/>
          <w:sz w:val="28"/>
          <w:szCs w:val="28"/>
          <w:rtl/>
        </w:rPr>
        <w:t>أن جودة التشطيبات تُشكّل عاملًا حاسمًا في تحديد سعر الأصل، وأن إهمال تأثيرها في نماذج التسعير يُفضي إلى تحيّزات منهجية في تقدير الأسعار الحقيقية. ويُكمّل هذا التصور ما يطرحه</w:t>
      </w:r>
      <w:r w:rsidRPr="003F5BA3">
        <w:rPr>
          <w:rFonts w:ascii="Simplified Arabic" w:hAnsi="Simplified Arabic" w:cs="Simplified Arabic"/>
          <w:color w:val="000000" w:themeColor="text1"/>
          <w:sz w:val="28"/>
          <w:szCs w:val="28"/>
        </w:rPr>
        <w:t xml:space="preserve"> (Caloia &amp; Mastrogiacomo, 2022) </w:t>
      </w:r>
      <w:r w:rsidRPr="003F5BA3">
        <w:rPr>
          <w:rFonts w:ascii="Simplified Arabic" w:hAnsi="Simplified Arabic" w:cs="Simplified Arabic"/>
          <w:color w:val="000000" w:themeColor="text1"/>
          <w:sz w:val="28"/>
          <w:szCs w:val="28"/>
          <w:rtl/>
        </w:rPr>
        <w:t>من أن التحسينات الظاهرة في التشطيبات تُترجم إلى زيادة ملموسة في الثروة العقارية للمالك، لأنها تُخاطب مباشرةً معايير التقييم الحسّي التي يعتمدها المستأجرون والمشترون في قراراتهم. ومن ثمّ فإن الاستثمار في رفع جودة التشطيبات لا يُعدّ ترفًا جماليًا بل قرارًا اقتصاديًا يستهدف تعظيم القيمة الإيجارية والتسريع من دورة التأجير</w:t>
      </w:r>
      <w:r w:rsidRPr="003F5BA3">
        <w:rPr>
          <w:rFonts w:ascii="Simplified Arabic" w:hAnsi="Simplified Arabic" w:cs="Simplified Arabic"/>
          <w:color w:val="000000" w:themeColor="text1"/>
          <w:sz w:val="28"/>
          <w:szCs w:val="28"/>
        </w:rPr>
        <w:t>.</w:t>
      </w:r>
    </w:p>
    <w:p w14:paraId="1690AE51"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lastRenderedPageBreak/>
        <w:t>البُعد الثاني: كفاءة الصيانة الدورية والوقائية</w:t>
      </w:r>
      <w:r w:rsidRPr="003F5BA3">
        <w:rPr>
          <w:rFonts w:ascii="Simplified Arabic" w:hAnsi="Simplified Arabic" w:cs="Simplified Arabic"/>
          <w:color w:val="000000" w:themeColor="text1"/>
          <w:sz w:val="28"/>
          <w:szCs w:val="28"/>
        </w:rPr>
        <w:t xml:space="preserve">. </w:t>
      </w:r>
      <w:r w:rsidRPr="003F5BA3">
        <w:rPr>
          <w:rFonts w:ascii="Simplified Arabic" w:hAnsi="Simplified Arabic" w:cs="Simplified Arabic"/>
          <w:color w:val="000000" w:themeColor="text1"/>
          <w:sz w:val="28"/>
          <w:szCs w:val="28"/>
          <w:rtl/>
        </w:rPr>
        <w:t>تُشكّل الصيانة العمود الفقري لاستدامة الأداء العقاري، إذ إن تراكم أعطال المبنى وتدهور مكوّناته يُفضي إلى فقدانه لجزء جوهري من قيمته السوقية والإيجارية. وتنقسم الصيانة إلى صيانة دورية مجدولة تستهدف الحفاظ على الحالة العامة للمبنى، وصيانة وقائية تسعى إلى استباق الأعطال المحتملة قبل وقوعها. ويُشير (إبراهيم، 2024) إلى أن ضعف منظومة الصيانة يُمثّل أحد أبرز التحديات التي تواجه المخزون السكني، وأن الفجوة بين الواقع والمأمول في هذا الجانب تنعكس سلبًا على قيمة العقار وقدرته التنافسية. ويعزّز هذا الطرح ما يطرحه</w:t>
      </w:r>
      <w:r w:rsidRPr="003F5BA3">
        <w:rPr>
          <w:rFonts w:ascii="Simplified Arabic" w:hAnsi="Simplified Arabic" w:cs="Simplified Arabic"/>
          <w:color w:val="000000" w:themeColor="text1"/>
          <w:sz w:val="28"/>
          <w:szCs w:val="28"/>
        </w:rPr>
        <w:t xml:space="preserve"> (Rose &amp; Harris, 2022) </w:t>
      </w:r>
      <w:r w:rsidRPr="003F5BA3">
        <w:rPr>
          <w:rFonts w:ascii="Simplified Arabic" w:hAnsi="Simplified Arabic" w:cs="Simplified Arabic"/>
          <w:color w:val="000000" w:themeColor="text1"/>
          <w:sz w:val="28"/>
          <w:szCs w:val="28"/>
          <w:rtl/>
        </w:rPr>
        <w:t>من أن نمط ملكية العقار يُؤثّر تأثيرًا واضحًا في مستوى الصيانة المُقدَّم للمبنى، وأن العقارات ذات الصيانة المنتظمة تُحافظ على قيمتها التداولية والإيجارية بصورة أفضل من نظيراتها المُهمَلة. ومن هذا المنطلق، تُعدّ كفاءة الصيانة الدورية والوقائية استثمارًا وقائيًا يحمي الأصل من التآكل ويُبقيه في وضع تنافسي مواتٍ داخل السوق</w:t>
      </w:r>
      <w:r w:rsidRPr="003F5BA3">
        <w:rPr>
          <w:rFonts w:ascii="Simplified Arabic" w:hAnsi="Simplified Arabic" w:cs="Simplified Arabic"/>
          <w:color w:val="000000" w:themeColor="text1"/>
          <w:sz w:val="28"/>
          <w:szCs w:val="28"/>
        </w:rPr>
        <w:t>.</w:t>
      </w:r>
    </w:p>
    <w:p w14:paraId="477C0BB4"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البُعد الثالث: التحسينات الوظيفية والجمالية</w:t>
      </w:r>
      <w:r w:rsidRPr="003F5BA3">
        <w:rPr>
          <w:rFonts w:ascii="Simplified Arabic" w:hAnsi="Simplified Arabic" w:cs="Simplified Arabic"/>
          <w:color w:val="000000" w:themeColor="text1"/>
          <w:sz w:val="28"/>
          <w:szCs w:val="28"/>
        </w:rPr>
        <w:t xml:space="preserve">. </w:t>
      </w:r>
      <w:r w:rsidRPr="003F5BA3">
        <w:rPr>
          <w:rFonts w:ascii="Simplified Arabic" w:hAnsi="Simplified Arabic" w:cs="Simplified Arabic"/>
          <w:color w:val="000000" w:themeColor="text1"/>
          <w:sz w:val="28"/>
          <w:szCs w:val="28"/>
          <w:rtl/>
        </w:rPr>
        <w:t>تتجاوز التحسينات الوظيفية والجمالية حدود الصيانة والتشطيب لتشمل تدخّلات جوهرية تُعيد تشكيل الفضاء الداخلي والخارجي للمبنى بما يتوافق مع المتطلبات المتجدّدة للمستخدمين. وتتضمّن هذه التحسينات إعادة توزيع المساحات الداخلية بما يُحسّن من كفاءة استخدامها، وإضافة عناصر وظيفية جديدة كخزائن مدمجة أو حلول تخزين ذكية، وتحسين مداخل المبنى ومناطقه المشتركة، وإدخال عناصر جمالية تُعزّز الهوية البصرية للأصل. ويُبرز</w:t>
      </w:r>
      <w:r w:rsidRPr="003F5BA3">
        <w:rPr>
          <w:rFonts w:ascii="Simplified Arabic" w:hAnsi="Simplified Arabic" w:cs="Simplified Arabic"/>
          <w:color w:val="000000" w:themeColor="text1"/>
          <w:sz w:val="28"/>
          <w:szCs w:val="28"/>
        </w:rPr>
        <w:t xml:space="preserve"> (Caloia &amp; Mastrogiacomo, 2022) </w:t>
      </w:r>
      <w:r w:rsidRPr="003F5BA3">
        <w:rPr>
          <w:rFonts w:ascii="Simplified Arabic" w:hAnsi="Simplified Arabic" w:cs="Simplified Arabic"/>
          <w:color w:val="000000" w:themeColor="text1"/>
          <w:sz w:val="28"/>
          <w:szCs w:val="28"/>
          <w:rtl/>
        </w:rPr>
        <w:t>أن هذا النمط من التحسينات يُنتج أثرًا ملموسًا على ثروة الأسر السكنية، لأنه يُضيف قيمةً وظيفيةً وجماليةً لا يمكن اختزالها في مجرّد أعمال الصيانة. ويُكمّل ذلك ما يُشير إليه</w:t>
      </w:r>
      <w:r w:rsidRPr="003F5BA3">
        <w:rPr>
          <w:rFonts w:ascii="Simplified Arabic" w:hAnsi="Simplified Arabic" w:cs="Simplified Arabic"/>
          <w:color w:val="000000" w:themeColor="text1"/>
          <w:sz w:val="28"/>
          <w:szCs w:val="28"/>
        </w:rPr>
        <w:t xml:space="preserve"> (Cho et al., 2022) </w:t>
      </w:r>
      <w:r w:rsidRPr="003F5BA3">
        <w:rPr>
          <w:rFonts w:ascii="Simplified Arabic" w:hAnsi="Simplified Arabic" w:cs="Simplified Arabic"/>
          <w:color w:val="000000" w:themeColor="text1"/>
          <w:sz w:val="28"/>
          <w:szCs w:val="28"/>
          <w:rtl/>
        </w:rPr>
        <w:t>من أن التحسينات الوظيفية للمباني التجارية تُحسّن كفاءتها الاقتصادية بصورة مباشرة، إذ ترفع من مستوى رضا الشاغلين وتُخفّض من معدلات دورانهم، مما يُترجَم إلى استقرار في التدفقات الإيجارية وسرعة أكبر في إعادة التأجير عند شغور الوحدات</w:t>
      </w:r>
      <w:r w:rsidRPr="003F5BA3">
        <w:rPr>
          <w:rFonts w:ascii="Simplified Arabic" w:hAnsi="Simplified Arabic" w:cs="Simplified Arabic"/>
          <w:color w:val="000000" w:themeColor="text1"/>
          <w:sz w:val="28"/>
          <w:szCs w:val="28"/>
        </w:rPr>
        <w:t>.</w:t>
      </w:r>
    </w:p>
    <w:p w14:paraId="7CD9CDA8"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البُعد الرابع: تحديث الأنظمة والبنية التحتية للمبنى</w:t>
      </w:r>
      <w:r w:rsidRPr="003F5BA3">
        <w:rPr>
          <w:rFonts w:ascii="Simplified Arabic" w:hAnsi="Simplified Arabic" w:cs="Simplified Arabic"/>
          <w:color w:val="000000" w:themeColor="text1"/>
          <w:sz w:val="28"/>
          <w:szCs w:val="28"/>
        </w:rPr>
        <w:t xml:space="preserve">. </w:t>
      </w:r>
      <w:r w:rsidRPr="003F5BA3">
        <w:rPr>
          <w:rFonts w:ascii="Simplified Arabic" w:hAnsi="Simplified Arabic" w:cs="Simplified Arabic"/>
          <w:color w:val="000000" w:themeColor="text1"/>
          <w:sz w:val="28"/>
          <w:szCs w:val="28"/>
          <w:rtl/>
        </w:rPr>
        <w:t>يمثّل هذا البُعد الوجه التقني الأعمق لتطوير العقار، إذ يشمل تحديث أنظمة التكييف والتهوية والإضاءة والسباكة والكهرباء، وتحديث شبكات الاتصالات والإنترنت، وإدخال حلول المباني الذكية، ورفع كفاءة أنظمة الطاقة وفق المعايير الحديثة. ويُبيّن</w:t>
      </w:r>
      <w:r w:rsidRPr="003F5BA3">
        <w:rPr>
          <w:rFonts w:ascii="Simplified Arabic" w:hAnsi="Simplified Arabic" w:cs="Simplified Arabic"/>
          <w:color w:val="000000" w:themeColor="text1"/>
          <w:sz w:val="28"/>
          <w:szCs w:val="28"/>
        </w:rPr>
        <w:t xml:space="preserve"> (Pannier et al., 2021) </w:t>
      </w:r>
      <w:r w:rsidRPr="003F5BA3">
        <w:rPr>
          <w:rFonts w:ascii="Simplified Arabic" w:hAnsi="Simplified Arabic" w:cs="Simplified Arabic"/>
          <w:color w:val="000000" w:themeColor="text1"/>
          <w:sz w:val="28"/>
          <w:szCs w:val="28"/>
          <w:rtl/>
        </w:rPr>
        <w:t>أن جدولة تحديث الأنظمة ضمن محفظة عقارية تستلزم تخطيطًا دقيقًا يوازن بين القيود التمويلية والأهداف التشغيلية بعيدة المدى. ويتقاطع مع ذلك ما يطرحه</w:t>
      </w:r>
      <w:r w:rsidRPr="003F5BA3">
        <w:rPr>
          <w:rFonts w:ascii="Simplified Arabic" w:hAnsi="Simplified Arabic" w:cs="Simplified Arabic"/>
          <w:color w:val="000000" w:themeColor="text1"/>
          <w:sz w:val="28"/>
          <w:szCs w:val="28"/>
        </w:rPr>
        <w:t xml:space="preserve"> (Lang et al., 2021) </w:t>
      </w:r>
      <w:r w:rsidRPr="003F5BA3">
        <w:rPr>
          <w:rFonts w:ascii="Simplified Arabic" w:hAnsi="Simplified Arabic" w:cs="Simplified Arabic"/>
          <w:color w:val="000000" w:themeColor="text1"/>
          <w:sz w:val="28"/>
          <w:szCs w:val="28"/>
          <w:rtl/>
        </w:rPr>
        <w:t xml:space="preserve">من أن الاستعداد للاستثمار في تحسينات كفاءة الطاقة يُشكّل محدّدًا رئيسًا لقرارات المُلّاك بشأن تحديث البنية </w:t>
      </w:r>
      <w:r w:rsidRPr="003F5BA3">
        <w:rPr>
          <w:rFonts w:ascii="Simplified Arabic" w:hAnsi="Simplified Arabic" w:cs="Simplified Arabic"/>
          <w:color w:val="000000" w:themeColor="text1"/>
          <w:sz w:val="28"/>
          <w:szCs w:val="28"/>
          <w:rtl/>
        </w:rPr>
        <w:lastRenderedPageBreak/>
        <w:t>التحتية للمبنى، وأن هذا التحديث يُمثّل استجابةً للضغوط التنظيمية المتصاعدة ولتوقّعات المستأجرين المتزايدة. ويُضيف</w:t>
      </w:r>
      <w:r w:rsidRPr="003F5BA3">
        <w:rPr>
          <w:rFonts w:ascii="Simplified Arabic" w:hAnsi="Simplified Arabic" w:cs="Simplified Arabic"/>
          <w:color w:val="000000" w:themeColor="text1"/>
          <w:sz w:val="28"/>
          <w:szCs w:val="28"/>
        </w:rPr>
        <w:t xml:space="preserve"> (Liao et al., 2023) </w:t>
      </w:r>
      <w:r w:rsidRPr="003F5BA3">
        <w:rPr>
          <w:rFonts w:ascii="Simplified Arabic" w:hAnsi="Simplified Arabic" w:cs="Simplified Arabic"/>
          <w:color w:val="000000" w:themeColor="text1"/>
          <w:sz w:val="28"/>
          <w:szCs w:val="28"/>
          <w:rtl/>
        </w:rPr>
        <w:t>أن العوائق التي تواجه هذا النوع من التحديث تتوزّع بين عوائق اقتصادية تتّصل بضخامة الاستثمار الأوّلي، وعوائق بيئية تتعلّق بمدى قدرة التحديث على تحقيق الوفورات المستهدفة، غير أن تجاوز هذه العوائق يُعدّ شرطًا لتحقيق قفزة نوعية في قيمة العقار وسرعة تأجيره</w:t>
      </w:r>
      <w:r w:rsidRPr="003F5BA3">
        <w:rPr>
          <w:rFonts w:ascii="Simplified Arabic" w:hAnsi="Simplified Arabic" w:cs="Simplified Arabic"/>
          <w:color w:val="000000" w:themeColor="text1"/>
          <w:sz w:val="28"/>
          <w:szCs w:val="28"/>
        </w:rPr>
        <w:t>.</w:t>
      </w:r>
    </w:p>
    <w:p w14:paraId="4AB39AFE" w14:textId="415F3EFC" w:rsidR="009011CA" w:rsidRPr="003F5BA3" w:rsidRDefault="00D103B0" w:rsidP="00D103B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3932469"/>
      <w:r w:rsidRPr="003F5BA3">
        <w:rPr>
          <w:rFonts w:ascii="Simplified Arabic" w:hAnsi="Simplified Arabic" w:cs="Simplified Arabic" w:hint="cs"/>
          <w:b/>
          <w:bCs/>
          <w:color w:val="000000" w:themeColor="text1"/>
          <w:sz w:val="32"/>
          <w:szCs w:val="32"/>
          <w:rtl/>
        </w:rPr>
        <w:t xml:space="preserve">6.1.2 </w:t>
      </w:r>
      <w:r w:rsidR="009011CA" w:rsidRPr="003F5BA3">
        <w:rPr>
          <w:rFonts w:ascii="Simplified Arabic" w:hAnsi="Simplified Arabic" w:cs="Simplified Arabic"/>
          <w:b/>
          <w:bCs/>
          <w:color w:val="000000" w:themeColor="text1"/>
          <w:sz w:val="32"/>
          <w:szCs w:val="32"/>
          <w:rtl/>
        </w:rPr>
        <w:t>استراتيجيات تطوير العقار</w:t>
      </w:r>
      <w:bookmarkEnd w:id="46"/>
    </w:p>
    <w:p w14:paraId="674DF0F1"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تتعدّد الاستراتيجيات التي يُمكن تبنّيها في مسار تطوير العقار، وتتباين بحسب طبيعة الأصل وحجم الاستثمار المتاح والأهداف المرجوّة من التطوير. وتبرز في هذا السياق استراتيجية التطوير التدريجي التي تعتمد على تنفيذ التدخّلات على مراحل متتابعة، بما يُتيح توزيع الأعباء المالية ويُقلّص من مخاطر الاستثمار الدفعي، وهي استراتيجية تُلائم المُلّاك ذوي الموارد المحدودة أو المحافظ العقارية الكبيرة التي تستلزم جدولة زمنية ممتدة</w:t>
      </w:r>
      <w:r w:rsidRPr="003F5BA3">
        <w:rPr>
          <w:rFonts w:ascii="Simplified Arabic" w:hAnsi="Simplified Arabic" w:cs="Simplified Arabic"/>
          <w:color w:val="000000" w:themeColor="text1"/>
          <w:sz w:val="28"/>
          <w:szCs w:val="28"/>
        </w:rPr>
        <w:t xml:space="preserve"> (Pannier et al., 2021). </w:t>
      </w:r>
      <w:r w:rsidRPr="003F5BA3">
        <w:rPr>
          <w:rFonts w:ascii="Simplified Arabic" w:hAnsi="Simplified Arabic" w:cs="Simplified Arabic"/>
          <w:color w:val="000000" w:themeColor="text1"/>
          <w:sz w:val="28"/>
          <w:szCs w:val="28"/>
          <w:rtl/>
        </w:rPr>
        <w:t>وفي المقابل تُطرح استراتيجية التطوير الشامل التي تعتمد على تدخّل واحد كبير يُعيد تأهيل الأصل بصورة كلية، ويُلائم هذا النمط الأصول التي بلغت مرحلة متقدّمة من التدهور أو تستهدف إعادة تموضع في شرائح سوقية أعلى</w:t>
      </w:r>
      <w:r w:rsidRPr="003F5BA3">
        <w:rPr>
          <w:rFonts w:ascii="Simplified Arabic" w:hAnsi="Simplified Arabic" w:cs="Simplified Arabic"/>
          <w:color w:val="000000" w:themeColor="text1"/>
          <w:sz w:val="28"/>
          <w:szCs w:val="28"/>
        </w:rPr>
        <w:t>.</w:t>
      </w:r>
    </w:p>
    <w:p w14:paraId="34213241"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كما تبرز استراتيجية التطوير المُوجَّه نحو الاستدامة التي تُركّز على إدماج معايير كفاءة الطاقة والحلول الخضراء في أعمال التطوير، بما يُحقّق التوافق مع الاتجاهات التنظيمية العالمية ويُعزّز جاذبية الأصل للمستأجرين ذوي الوعي البيئي</w:t>
      </w:r>
      <w:r w:rsidRPr="003F5BA3">
        <w:rPr>
          <w:rFonts w:ascii="Simplified Arabic" w:hAnsi="Simplified Arabic" w:cs="Simplified Arabic"/>
          <w:color w:val="000000" w:themeColor="text1"/>
          <w:sz w:val="28"/>
          <w:szCs w:val="28"/>
        </w:rPr>
        <w:t xml:space="preserve"> (Lang et al., 2021). </w:t>
      </w:r>
      <w:r w:rsidRPr="003F5BA3">
        <w:rPr>
          <w:rFonts w:ascii="Simplified Arabic" w:hAnsi="Simplified Arabic" w:cs="Simplified Arabic"/>
          <w:color w:val="000000" w:themeColor="text1"/>
          <w:sz w:val="28"/>
          <w:szCs w:val="28"/>
          <w:rtl/>
        </w:rPr>
        <w:t>وتتكامل معها استراتيجية التطوير الرقمي التي تستفيد من التقنيات الحديثة كإنترنت الأشياء والبلوك تشين في إدارة الأصل وتسويقه وتأجيره، بما يرفع من كفاءة العمليات ويُوسّع من قاعدة المستأجرين المحتملين (الرحيلي، 2020)</w:t>
      </w:r>
      <w:r w:rsidRPr="003F5BA3">
        <w:rPr>
          <w:rFonts w:ascii="Simplified Arabic" w:hAnsi="Simplified Arabic" w:cs="Simplified Arabic"/>
          <w:color w:val="000000" w:themeColor="text1"/>
          <w:sz w:val="28"/>
          <w:szCs w:val="28"/>
        </w:rPr>
        <w:t>.</w:t>
      </w:r>
    </w:p>
    <w:p w14:paraId="7891C63F"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وتُطرح كذلك استراتيجية التطوير القائم على تحليل السوق، التي تنطلق من دراسة معمّقة للطلب العقاري وخصائصه في المنطقة المستهدفة، ثم تُصمَّم التدخّلات التطويرية بما يتوافق مع تفضيلات الشريحة المستهدفة من المستأجرين، وهو ما يضمن تحقيق أعلى عائد ممكن من الاستثمار التطويري</w:t>
      </w:r>
      <w:r w:rsidRPr="003F5BA3">
        <w:rPr>
          <w:rFonts w:ascii="Simplified Arabic" w:hAnsi="Simplified Arabic" w:cs="Simplified Arabic"/>
          <w:color w:val="000000" w:themeColor="text1"/>
          <w:sz w:val="28"/>
          <w:szCs w:val="28"/>
        </w:rPr>
        <w:t xml:space="preserve"> (Hu et al., 2024). </w:t>
      </w:r>
      <w:r w:rsidRPr="003F5BA3">
        <w:rPr>
          <w:rFonts w:ascii="Simplified Arabic" w:hAnsi="Simplified Arabic" w:cs="Simplified Arabic"/>
          <w:color w:val="000000" w:themeColor="text1"/>
          <w:sz w:val="28"/>
          <w:szCs w:val="28"/>
          <w:rtl/>
        </w:rPr>
        <w:t>وأخيرًا تبرز استراتيجية التطوير التعاقدي المُدعَّم بالضمانات القانونية، التي تُوظّف الأدوات التشريعية والتعاقدية لحماية أطراف العملية التطويرية وتعزيز الثقة في السوق (شعيب وزكي، 2025)</w:t>
      </w:r>
      <w:r w:rsidRPr="003F5BA3">
        <w:rPr>
          <w:rFonts w:ascii="Simplified Arabic" w:hAnsi="Simplified Arabic" w:cs="Simplified Arabic"/>
          <w:color w:val="000000" w:themeColor="text1"/>
          <w:sz w:val="28"/>
          <w:szCs w:val="28"/>
        </w:rPr>
        <w:t>.</w:t>
      </w:r>
    </w:p>
    <w:p w14:paraId="0C286A89" w14:textId="1E697519" w:rsidR="009011CA" w:rsidRPr="003F5BA3" w:rsidRDefault="00D103B0" w:rsidP="00D103B0">
      <w:pPr>
        <w:jc w:val="center"/>
        <w:outlineLvl w:val="1"/>
        <w:rPr>
          <w:rFonts w:ascii="Simplified Arabic" w:hAnsi="Simplified Arabic" w:cs="Simplified Arabic"/>
          <w:b/>
          <w:bCs/>
          <w:color w:val="000000" w:themeColor="text1"/>
          <w:sz w:val="36"/>
          <w:szCs w:val="36"/>
        </w:rPr>
      </w:pPr>
      <w:r w:rsidRPr="003F5BA3">
        <w:rPr>
          <w:rFonts w:ascii="Simplified Arabic" w:hAnsi="Simplified Arabic" w:cs="Simplified Arabic"/>
          <w:b/>
          <w:bCs/>
          <w:color w:val="000000" w:themeColor="text1"/>
          <w:sz w:val="36"/>
          <w:szCs w:val="36"/>
          <w:rtl/>
        </w:rPr>
        <w:br w:type="page"/>
      </w:r>
      <w:bookmarkStart w:id="47" w:name="_Toc233932470"/>
      <w:r w:rsidR="009011CA" w:rsidRPr="003F5BA3">
        <w:rPr>
          <w:rFonts w:ascii="Simplified Arabic" w:hAnsi="Simplified Arabic" w:cs="Simplified Arabic"/>
          <w:b/>
          <w:bCs/>
          <w:color w:val="000000" w:themeColor="text1"/>
          <w:sz w:val="36"/>
          <w:szCs w:val="36"/>
          <w:rtl/>
        </w:rPr>
        <w:lastRenderedPageBreak/>
        <w:t>المبحث الثاني: القيمة الإيجارية وسرعة التأجير</w:t>
      </w:r>
      <w:bookmarkEnd w:id="47"/>
    </w:p>
    <w:p w14:paraId="058BD24E" w14:textId="41BFD4B5" w:rsidR="009011CA" w:rsidRPr="003F5BA3" w:rsidRDefault="00D103B0" w:rsidP="00D103B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8" w:name="_Toc233932471"/>
      <w:r w:rsidRPr="003F5BA3">
        <w:rPr>
          <w:rFonts w:ascii="Simplified Arabic" w:hAnsi="Simplified Arabic" w:cs="Simplified Arabic" w:hint="cs"/>
          <w:b/>
          <w:bCs/>
          <w:color w:val="000000" w:themeColor="text1"/>
          <w:sz w:val="32"/>
          <w:szCs w:val="32"/>
          <w:rtl/>
        </w:rPr>
        <w:t xml:space="preserve">1.2.2 </w:t>
      </w:r>
      <w:r w:rsidR="009011CA" w:rsidRPr="003F5BA3">
        <w:rPr>
          <w:rFonts w:ascii="Simplified Arabic" w:hAnsi="Simplified Arabic" w:cs="Simplified Arabic"/>
          <w:b/>
          <w:bCs/>
          <w:color w:val="000000" w:themeColor="text1"/>
          <w:sz w:val="32"/>
          <w:szCs w:val="32"/>
          <w:rtl/>
        </w:rPr>
        <w:t>تمهيد</w:t>
      </w:r>
      <w:bookmarkEnd w:id="48"/>
    </w:p>
    <w:p w14:paraId="600FA737"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 xml:space="preserve">تُشكّل القيمة الإيجارية وسرعة التأجير المؤشرَين الأكثر دلالةً على أداء الأصل العقاري في السوق </w:t>
      </w:r>
      <w:proofErr w:type="spellStart"/>
      <w:r w:rsidRPr="003F5BA3">
        <w:rPr>
          <w:rFonts w:ascii="Simplified Arabic" w:hAnsi="Simplified Arabic" w:cs="Simplified Arabic"/>
          <w:color w:val="000000" w:themeColor="text1"/>
          <w:sz w:val="28"/>
          <w:szCs w:val="28"/>
          <w:rtl/>
        </w:rPr>
        <w:t>التأجيرية</w:t>
      </w:r>
      <w:proofErr w:type="spellEnd"/>
      <w:r w:rsidRPr="003F5BA3">
        <w:rPr>
          <w:rFonts w:ascii="Simplified Arabic" w:hAnsi="Simplified Arabic" w:cs="Simplified Arabic"/>
          <w:color w:val="000000" w:themeColor="text1"/>
          <w:sz w:val="28"/>
          <w:szCs w:val="28"/>
          <w:rtl/>
        </w:rPr>
        <w:t>، إذ تجتمع فيهما محصّلة الخصائص المادية والوظيفية للعقار مع محصّلة الظروف الاقتصادية والتنظيمية المحيطة به. وقد شهد الاهتمام البحثي بهذين المؤشرَين تصاعدًا ملحوظًا خلال السنوات الأخيرة، بفعل التحولات العميقة التي أصابت أسواق الإيجار العقاري في مختلف الاقتصادات، سواء المتقدّمة منها أو الناشئة، وذلك في ضوء تنامي الطلب على السكن الإيجاري، وتغيّر أنماط الحيازة، وتصاعد التدخلات التشريعية في تنظيم العلاقة الإيجارية</w:t>
      </w:r>
      <w:r w:rsidRPr="003F5BA3">
        <w:rPr>
          <w:rFonts w:ascii="Simplified Arabic" w:hAnsi="Simplified Arabic" w:cs="Simplified Arabic"/>
          <w:color w:val="000000" w:themeColor="text1"/>
          <w:sz w:val="28"/>
          <w:szCs w:val="28"/>
        </w:rPr>
        <w:t xml:space="preserve"> (Pinto Hern</w:t>
      </w:r>
      <w:r w:rsidRPr="003F5BA3">
        <w:rPr>
          <w:rFonts w:ascii="Cambria" w:hAnsi="Cambria" w:cs="Cambria"/>
          <w:color w:val="000000" w:themeColor="text1"/>
          <w:sz w:val="28"/>
          <w:szCs w:val="28"/>
        </w:rPr>
        <w:t>á</w:t>
      </w:r>
      <w:r w:rsidRPr="003F5BA3">
        <w:rPr>
          <w:rFonts w:ascii="Simplified Arabic" w:hAnsi="Simplified Arabic" w:cs="Simplified Arabic"/>
          <w:color w:val="000000" w:themeColor="text1"/>
          <w:sz w:val="28"/>
          <w:szCs w:val="28"/>
        </w:rPr>
        <w:t>ndez et al., 2026).</w:t>
      </w:r>
    </w:p>
    <w:p w14:paraId="538EE19D"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ولا تُعدّ القيمة الإيجارية مجرّد رقم يعكس السعر الشهري أو السنوي للانتفاع بالوحدة العقارية، بل هي دالّة مركّبة تتقاطع فيها متغيرات متعدّدة تشمل خصائص الوحدة ذاتها، وموقعها الجغرافي، ومحيطها العمراني، ومستوى الخدمات المتاحة فيها، والإطار التنظيمي الحاكم للسوق، فضلًا عن أنماط الطلب والعرض السائدة</w:t>
      </w:r>
      <w:r w:rsidRPr="003F5BA3">
        <w:rPr>
          <w:rFonts w:ascii="Simplified Arabic" w:hAnsi="Simplified Arabic" w:cs="Simplified Arabic"/>
          <w:color w:val="000000" w:themeColor="text1"/>
          <w:sz w:val="28"/>
          <w:szCs w:val="28"/>
        </w:rPr>
        <w:t xml:space="preserve"> (Su et al., 2021). </w:t>
      </w:r>
      <w:r w:rsidRPr="003F5BA3">
        <w:rPr>
          <w:rFonts w:ascii="Simplified Arabic" w:hAnsi="Simplified Arabic" w:cs="Simplified Arabic"/>
          <w:color w:val="000000" w:themeColor="text1"/>
          <w:sz w:val="28"/>
          <w:szCs w:val="28"/>
          <w:rtl/>
        </w:rPr>
        <w:t>وبالمثل، فإن سرعة التأجير ليست مجرّد مقياس زمني، بل هي مؤشر مركّب يعكس مدى مواءمة الأصل لتفضيلات السوق، وقدرته على المنافسة، وفاعلية آليات تسويقه، وهو ما يجعله شديد الحساسية للتدخّلات التطويرية التي تطرأ على العقار</w:t>
      </w:r>
      <w:r w:rsidRPr="003F5BA3">
        <w:rPr>
          <w:rFonts w:ascii="Simplified Arabic" w:hAnsi="Simplified Arabic" w:cs="Simplified Arabic"/>
          <w:color w:val="000000" w:themeColor="text1"/>
          <w:sz w:val="28"/>
          <w:szCs w:val="28"/>
        </w:rPr>
        <w:t>.</w:t>
      </w:r>
    </w:p>
    <w:p w14:paraId="2B722ECF"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ويسعى هذا المبحث إلى بناء تصور نظري متكامل للقيمة الإيجارية وسرعة التأجير بوصفهما متغيرًا تابعًا في الدراسة الحالية، من خلال استعراض المفهوم والأهمية والأهداف والأبعاد المؤثّرة، مع الوقوف على أبرز الاتجاهات البحثية المعاصرة التي تناولت هذا المتغير</w:t>
      </w:r>
      <w:r w:rsidRPr="003F5BA3">
        <w:rPr>
          <w:rFonts w:ascii="Simplified Arabic" w:hAnsi="Simplified Arabic" w:cs="Simplified Arabic"/>
          <w:color w:val="000000" w:themeColor="text1"/>
          <w:sz w:val="28"/>
          <w:szCs w:val="28"/>
        </w:rPr>
        <w:t>.</w:t>
      </w:r>
    </w:p>
    <w:p w14:paraId="567A8ED1" w14:textId="28D7EFF9" w:rsidR="009011CA" w:rsidRPr="003F5BA3" w:rsidRDefault="00D103B0" w:rsidP="00D103B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9" w:name="_Toc233932472"/>
      <w:r w:rsidRPr="003F5BA3">
        <w:rPr>
          <w:rFonts w:ascii="Simplified Arabic" w:hAnsi="Simplified Arabic" w:cs="Simplified Arabic" w:hint="cs"/>
          <w:b/>
          <w:bCs/>
          <w:color w:val="000000" w:themeColor="text1"/>
          <w:sz w:val="32"/>
          <w:szCs w:val="32"/>
          <w:rtl/>
        </w:rPr>
        <w:t xml:space="preserve">2.2.2 </w:t>
      </w:r>
      <w:r w:rsidR="009011CA" w:rsidRPr="003F5BA3">
        <w:rPr>
          <w:rFonts w:ascii="Simplified Arabic" w:hAnsi="Simplified Arabic" w:cs="Simplified Arabic"/>
          <w:b/>
          <w:bCs/>
          <w:color w:val="000000" w:themeColor="text1"/>
          <w:sz w:val="32"/>
          <w:szCs w:val="32"/>
          <w:rtl/>
        </w:rPr>
        <w:t>مفهوم القيمة الإيجارية وسرعة التأجير</w:t>
      </w:r>
      <w:bookmarkEnd w:id="49"/>
    </w:p>
    <w:p w14:paraId="36C5DD0A"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 xml:space="preserve">يتوزّع تعريف القيمة الإيجارية وسرعة التأجير بين مقاربات متعدّدة تعكس تنوّع الحقول المعرفية التي تناولتها. ففي المقاربة الاقتصادية، تُعرَّف القيمة الإيجارية بوصفها السعر الذي يعكس نقطة التوازن بين عرض الوحدات العقارية القابلة للتأجير والطلب عليها في سوق محدَّد وفترة زمنية معيّنة، ويُنظر إليها بوصفها مؤشرًا مركّبًا لخصائص الوحدة ومحيطها (الجار الله، 2020). ويتقاطع مع هذا التوجّه تعريف </w:t>
      </w:r>
      <w:r w:rsidRPr="003F5BA3">
        <w:rPr>
          <w:rFonts w:ascii="Simplified Arabic" w:hAnsi="Simplified Arabic" w:cs="Simplified Arabic"/>
          <w:color w:val="000000" w:themeColor="text1"/>
          <w:sz w:val="28"/>
          <w:szCs w:val="28"/>
          <w:rtl/>
        </w:rPr>
        <w:lastRenderedPageBreak/>
        <w:t>يُبرز أن القيمة الإيجارية تنعكس فيها الاستعمالات المحيطة بالعقار، بحيث تُشكّل الاستعمالات المجاورة عاملًا مباشرًا في تحديد مستوى الإيجار السائد للوحدات (</w:t>
      </w:r>
      <w:proofErr w:type="spellStart"/>
      <w:r w:rsidRPr="003F5BA3">
        <w:rPr>
          <w:rFonts w:ascii="Simplified Arabic" w:hAnsi="Simplified Arabic" w:cs="Simplified Arabic"/>
          <w:color w:val="000000" w:themeColor="text1"/>
          <w:sz w:val="28"/>
          <w:szCs w:val="28"/>
          <w:rtl/>
        </w:rPr>
        <w:t>خوقير</w:t>
      </w:r>
      <w:proofErr w:type="spellEnd"/>
      <w:r w:rsidRPr="003F5BA3">
        <w:rPr>
          <w:rFonts w:ascii="Simplified Arabic" w:hAnsi="Simplified Arabic" w:cs="Simplified Arabic"/>
          <w:color w:val="000000" w:themeColor="text1"/>
          <w:sz w:val="28"/>
          <w:szCs w:val="28"/>
          <w:rtl/>
        </w:rPr>
        <w:t xml:space="preserve"> والزامل، 2023)</w:t>
      </w:r>
      <w:r w:rsidRPr="003F5BA3">
        <w:rPr>
          <w:rFonts w:ascii="Simplified Arabic" w:hAnsi="Simplified Arabic" w:cs="Simplified Arabic"/>
          <w:color w:val="000000" w:themeColor="text1"/>
          <w:sz w:val="28"/>
          <w:szCs w:val="28"/>
        </w:rPr>
        <w:t>.</w:t>
      </w:r>
    </w:p>
    <w:p w14:paraId="5FBD9ECC"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وفي المقاربة القياسية التنبّؤية، يُعرَّف مستوى الإيجار وسعر العقار بوصفه ناتجًا يمكن التنبّؤ به عبر خوارزميات تعلّم الآلة التي تعتمد على متغيرات متعدّدة لتقدير القيمة السوقية للأصل، وهو ما يُتيح تحويل القيمة الإيجارية من مفهوم تقديري إلى مفهوم قابل للنمذجة الكمّية الدقيقة</w:t>
      </w:r>
      <w:r w:rsidRPr="003F5BA3">
        <w:rPr>
          <w:rFonts w:ascii="Simplified Arabic" w:hAnsi="Simplified Arabic" w:cs="Simplified Arabic"/>
          <w:color w:val="000000" w:themeColor="text1"/>
          <w:sz w:val="28"/>
          <w:szCs w:val="28"/>
        </w:rPr>
        <w:t xml:space="preserve"> (Ho et al., 2021). </w:t>
      </w:r>
      <w:r w:rsidRPr="003F5BA3">
        <w:rPr>
          <w:rFonts w:ascii="Simplified Arabic" w:hAnsi="Simplified Arabic" w:cs="Simplified Arabic"/>
          <w:color w:val="000000" w:themeColor="text1"/>
          <w:sz w:val="28"/>
          <w:szCs w:val="28"/>
          <w:rtl/>
        </w:rPr>
        <w:t>ويُكمّل هذه الرؤية توجّهٌ يُعرّف القيمة الإيجارية للأراضي الزراعية بوصفها دالّة على مجموعة من العوامل الفنية والاقتصادية التي تُحدّد إنتاجية الأرض وقدرتها على توليد العائد، مما يُبرز الطابع القطاعي الذي قد تكتسبه القيمة الإيجارية بحسب طبيعة الأصل محلّ التقييم (الحفني، 2025)</w:t>
      </w:r>
      <w:r w:rsidRPr="003F5BA3">
        <w:rPr>
          <w:rFonts w:ascii="Simplified Arabic" w:hAnsi="Simplified Arabic" w:cs="Simplified Arabic"/>
          <w:color w:val="000000" w:themeColor="text1"/>
          <w:sz w:val="28"/>
          <w:szCs w:val="28"/>
        </w:rPr>
        <w:t>.</w:t>
      </w:r>
    </w:p>
    <w:p w14:paraId="0881F3F8"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وفي المقاربة القانونية التنظيمية، يُعرَّف الإيجار بوصفه علاقة تعاقدية تُنظّم انتقال حق الانتفاع بالعقار من المالك إلى المستأجر مقابل بدل مالي، ويُبرز هذا المنظور الأثر الذي تُحدثه التشريعات المنظِّمة للإيجار على مستوى القيمة الإيجارية وشروط التعاقد (نوارة، 2021). ويُكمّل هذا التوجّه تعريف يُبرز أن الظروف الاستثنائية قد تُؤثّر تأثيرًا جوهريًا على التزام المستأجر بسداد القيمة الإيجارية، مما يستدعي إعادة قراءة العلاقة الإيجارية في ضوء هذه المستجدّات (فاتح، 2021)</w:t>
      </w:r>
      <w:r w:rsidRPr="003F5BA3">
        <w:rPr>
          <w:rFonts w:ascii="Simplified Arabic" w:hAnsi="Simplified Arabic" w:cs="Simplified Arabic"/>
          <w:color w:val="000000" w:themeColor="text1"/>
          <w:sz w:val="28"/>
          <w:szCs w:val="28"/>
        </w:rPr>
        <w:t>.</w:t>
      </w:r>
    </w:p>
    <w:p w14:paraId="7C792E3B"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 xml:space="preserve">وفي المقاربة </w:t>
      </w:r>
      <w:proofErr w:type="spellStart"/>
      <w:r w:rsidRPr="003F5BA3">
        <w:rPr>
          <w:rFonts w:ascii="Simplified Arabic" w:hAnsi="Simplified Arabic" w:cs="Simplified Arabic"/>
          <w:color w:val="000000" w:themeColor="text1"/>
          <w:sz w:val="28"/>
          <w:szCs w:val="28"/>
          <w:rtl/>
        </w:rPr>
        <w:t>السياساتية</w:t>
      </w:r>
      <w:proofErr w:type="spellEnd"/>
      <w:r w:rsidRPr="003F5BA3">
        <w:rPr>
          <w:rFonts w:ascii="Simplified Arabic" w:hAnsi="Simplified Arabic" w:cs="Simplified Arabic"/>
          <w:color w:val="000000" w:themeColor="text1"/>
          <w:sz w:val="28"/>
          <w:szCs w:val="28"/>
          <w:rtl/>
        </w:rPr>
        <w:t xml:space="preserve"> التنظيمية، تُعرَّف القيمة الإيجارية بوصفها متغيرًا يخضع للتأثير المباشر لتدخّلات المُشرِّع، حيث تُشكّل قوانين الإيجار أداةً لضبط السوق وتوجيه مستوى الأسعار وفق أهداف السياسة العامة</w:t>
      </w:r>
      <w:r w:rsidRPr="003F5BA3">
        <w:rPr>
          <w:rFonts w:ascii="Simplified Arabic" w:hAnsi="Simplified Arabic" w:cs="Simplified Arabic"/>
          <w:color w:val="000000" w:themeColor="text1"/>
          <w:sz w:val="28"/>
          <w:szCs w:val="28"/>
        </w:rPr>
        <w:t xml:space="preserve"> (Pinto Hern</w:t>
      </w:r>
      <w:r w:rsidRPr="003F5BA3">
        <w:rPr>
          <w:rFonts w:ascii="Cambria" w:hAnsi="Cambria" w:cs="Cambria"/>
          <w:color w:val="000000" w:themeColor="text1"/>
          <w:sz w:val="28"/>
          <w:szCs w:val="28"/>
        </w:rPr>
        <w:t>á</w:t>
      </w:r>
      <w:r w:rsidRPr="003F5BA3">
        <w:rPr>
          <w:rFonts w:ascii="Simplified Arabic" w:hAnsi="Simplified Arabic" w:cs="Simplified Arabic"/>
          <w:color w:val="000000" w:themeColor="text1"/>
          <w:sz w:val="28"/>
          <w:szCs w:val="28"/>
        </w:rPr>
        <w:t xml:space="preserve">ndez et al., 2026). </w:t>
      </w:r>
      <w:r w:rsidRPr="003F5BA3">
        <w:rPr>
          <w:rFonts w:ascii="Simplified Arabic" w:hAnsi="Simplified Arabic" w:cs="Simplified Arabic"/>
          <w:color w:val="000000" w:themeColor="text1"/>
          <w:sz w:val="28"/>
          <w:szCs w:val="28"/>
          <w:rtl/>
        </w:rPr>
        <w:t>ويتقاطع مع هذه الرؤية توجّهٌ يُبرز أن أنماط الملكية المؤسسية تُؤثّر على قرارات التسعير في السوق الإيجاري، بحيث يُصبح نمط الملكية بحدّ ذاته محدّدًا للقيمة الإيجارية</w:t>
      </w:r>
      <w:r w:rsidRPr="003F5BA3">
        <w:rPr>
          <w:rFonts w:ascii="Simplified Arabic" w:hAnsi="Simplified Arabic" w:cs="Simplified Arabic"/>
          <w:color w:val="000000" w:themeColor="text1"/>
          <w:sz w:val="28"/>
          <w:szCs w:val="28"/>
        </w:rPr>
        <w:t xml:space="preserve"> (An et al., 2024).</w:t>
      </w:r>
    </w:p>
    <w:p w14:paraId="4FEF9607"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أما مفهوم سرعة التأجير، فيُعرَّف بوصفه المدى الزمني الفاصل بين طرح الوحدة العقارية للتأجير وإتمام التعاقد عليها، ويُعدّ مؤشرًا مركّبًا لجاذبية الأصل ومواءمته لتفضيلات السوق. ويُبرز</w:t>
      </w:r>
      <w:r w:rsidRPr="003F5BA3">
        <w:rPr>
          <w:rFonts w:ascii="Simplified Arabic" w:hAnsi="Simplified Arabic" w:cs="Simplified Arabic"/>
          <w:color w:val="000000" w:themeColor="text1"/>
          <w:sz w:val="28"/>
          <w:szCs w:val="28"/>
        </w:rPr>
        <w:t xml:space="preserve"> (Hu et al., 2024) </w:t>
      </w:r>
      <w:r w:rsidRPr="003F5BA3">
        <w:rPr>
          <w:rFonts w:ascii="Simplified Arabic" w:hAnsi="Simplified Arabic" w:cs="Simplified Arabic"/>
          <w:color w:val="000000" w:themeColor="text1"/>
          <w:sz w:val="28"/>
          <w:szCs w:val="28"/>
          <w:rtl/>
        </w:rPr>
        <w:t>أن رضا المستأجر عن المبنى يُشكّل محدّدًا رئيسًا لأداء المبنى التجاري، بما يشمل قدرته على الاحتفاظ بالمستأجرين وسرعة إعادة تأجير الوحدات الشاغرة. ويُكمّل هذا المنظور توجّهٌ يُبرز أن أنماط التأجير الحديثة، كنموذج التأجير طويل الأجل خفيف الأصول، قد أعادت تشكيل ديناميكية السوق الإيجاري وسرعة إتمام صفقاته</w:t>
      </w:r>
      <w:r w:rsidRPr="003F5BA3">
        <w:rPr>
          <w:rFonts w:ascii="Simplified Arabic" w:hAnsi="Simplified Arabic" w:cs="Simplified Arabic"/>
          <w:color w:val="000000" w:themeColor="text1"/>
          <w:sz w:val="28"/>
          <w:szCs w:val="28"/>
        </w:rPr>
        <w:t xml:space="preserve"> (Chen et al., 2022).</w:t>
      </w:r>
    </w:p>
    <w:p w14:paraId="355B697A"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lastRenderedPageBreak/>
        <w:t>ويرى الباحث في ضوء ما تقدّم أن القيمة الإيجارية وسرعة التأجير يمكن تعريفهما إجرائيًا بأنهما: المتغير المركّب الذي يعكس، من جهة، مستوى البدل الإيجاري الذي يقبله السوق للانتفاع بالوحدة العقارية خلال فترة زمنية محدَّدة، ويعكس، من جهة أخرى، الفترة الزمنية اللازمة لإتمام التعاقد الإيجاري على الوحدة منذ طرحها للتأجير، بحيث يُشكّل هذا المتغير محصّلةً لخصائص الأصل العقاري ومحيطه العمراني والاقتصادي والتنظيمي، ويُعبّر عن الأداء التسويقي للوحدة العقارية في سوق الإيجار</w:t>
      </w:r>
      <w:r w:rsidRPr="003F5BA3">
        <w:rPr>
          <w:rFonts w:ascii="Simplified Arabic" w:hAnsi="Simplified Arabic" w:cs="Simplified Arabic"/>
          <w:color w:val="000000" w:themeColor="text1"/>
          <w:sz w:val="28"/>
          <w:szCs w:val="28"/>
        </w:rPr>
        <w:t>.</w:t>
      </w:r>
    </w:p>
    <w:p w14:paraId="0EEA4C7C" w14:textId="62F62282" w:rsidR="009011CA" w:rsidRPr="003F5BA3" w:rsidRDefault="00D103B0" w:rsidP="00D103B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0" w:name="_Toc233932473"/>
      <w:r w:rsidRPr="003F5BA3">
        <w:rPr>
          <w:rFonts w:ascii="Simplified Arabic" w:hAnsi="Simplified Arabic" w:cs="Simplified Arabic" w:hint="cs"/>
          <w:b/>
          <w:bCs/>
          <w:color w:val="000000" w:themeColor="text1"/>
          <w:sz w:val="32"/>
          <w:szCs w:val="32"/>
          <w:rtl/>
        </w:rPr>
        <w:t xml:space="preserve">3.2.2 </w:t>
      </w:r>
      <w:r w:rsidR="009011CA" w:rsidRPr="003F5BA3">
        <w:rPr>
          <w:rFonts w:ascii="Simplified Arabic" w:hAnsi="Simplified Arabic" w:cs="Simplified Arabic"/>
          <w:b/>
          <w:bCs/>
          <w:color w:val="000000" w:themeColor="text1"/>
          <w:sz w:val="32"/>
          <w:szCs w:val="32"/>
          <w:rtl/>
        </w:rPr>
        <w:t>أهمية القيمة الإيجارية وسرعة التأجير</w:t>
      </w:r>
      <w:bookmarkEnd w:id="50"/>
    </w:p>
    <w:p w14:paraId="4D84D862"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تنبع أهمية القيمة الإيجارية وسرعة التأجير من كونهما المؤشرَين المباشرَين اللذَين يترجَم بهما جهد المطوّر العقاري إلى عائد ملموس، فضلًا عن كونهما مرآةً تعكس صحة السوق العقاري ككل ومدى استجابته لديناميكيات العرض والطلب. وتتعدّد أبعاد هذه الأهمية وتتشعّب على النحو الذي يعرضه الباحثون في الأدبيات المعاصرة</w:t>
      </w:r>
      <w:r w:rsidRPr="003F5BA3">
        <w:rPr>
          <w:rFonts w:ascii="Simplified Arabic" w:hAnsi="Simplified Arabic" w:cs="Simplified Arabic"/>
          <w:color w:val="000000" w:themeColor="text1"/>
          <w:sz w:val="28"/>
          <w:szCs w:val="28"/>
        </w:rPr>
        <w:t>.</w:t>
      </w:r>
    </w:p>
    <w:p w14:paraId="7C6E0F4D"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ويشير (الجار الله، 2020) إلى أن أهمية دراسة القيمة الإيجارية تتّضح من خلال عدة محاور، أوّلها أنها تُتيح فهم العوامل التي تُفسّر تفاوت الإيجارات بين الوحدات المتشابهة ظاهريًا، بما يُساعد على تفسير التباينات السعرية في السوق. ويأتي ثانيها في كونها أداةً لدعم قرارات الاستثمار العقاري، إذ يعتمد المستثمر على تقدير القيمة الإيجارية المتوقّعة لتحديد جدوى استثماره. ويتمثّل ثالثها في دورها كأداة لضبط العدالة السعرية في السوق، بحيث يُصبح ممكنًا الحكم على معقولية الإيجار المطلوب مقارنةً بخصائص الوحدة. ويأتي رابعها في كونها تُوفّر مرجعية موضوعية لأطراف العلاقة الإيجارية عند التفاوض والتعاقد</w:t>
      </w:r>
      <w:r w:rsidRPr="003F5BA3">
        <w:rPr>
          <w:rFonts w:ascii="Simplified Arabic" w:hAnsi="Simplified Arabic" w:cs="Simplified Arabic"/>
          <w:color w:val="000000" w:themeColor="text1"/>
          <w:sz w:val="28"/>
          <w:szCs w:val="28"/>
        </w:rPr>
        <w:t>.</w:t>
      </w:r>
    </w:p>
    <w:p w14:paraId="254DE5CD"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ويرى (</w:t>
      </w:r>
      <w:proofErr w:type="spellStart"/>
      <w:r w:rsidRPr="003F5BA3">
        <w:rPr>
          <w:rFonts w:ascii="Simplified Arabic" w:hAnsi="Simplified Arabic" w:cs="Simplified Arabic"/>
          <w:color w:val="000000" w:themeColor="text1"/>
          <w:sz w:val="28"/>
          <w:szCs w:val="28"/>
          <w:rtl/>
        </w:rPr>
        <w:t>خوقير</w:t>
      </w:r>
      <w:proofErr w:type="spellEnd"/>
      <w:r w:rsidRPr="003F5BA3">
        <w:rPr>
          <w:rFonts w:ascii="Simplified Arabic" w:hAnsi="Simplified Arabic" w:cs="Simplified Arabic"/>
          <w:color w:val="000000" w:themeColor="text1"/>
          <w:sz w:val="28"/>
          <w:szCs w:val="28"/>
          <w:rtl/>
        </w:rPr>
        <w:t xml:space="preserve"> والزامل، 2023) أن أهمية القيمة الإيجارية تتجاوز الأصل الفردي لتشمل محيطه العمراني بأكمله، وذلك من خلال جملة من الاعتبارات: أوّلها أن الاستعمالات المجاورة تُؤثّر تأثيرًا واضحًا على مستوى إيجارات الوحدات القريبة، مما يجعل من القيمة الإيجارية مؤشرًا حضريًا وليس مجرّد مؤشر عقاري. ويتمثّل ثانيها في أن دراسة هذه الأهمية تُوفّر أساسًا موضوعيًا لقرارات التخطيط العمراني بما يُحقّق التوازن بين الاستعمالات. ويأتي ثالثها في أن فهم هذه العلاقات يُتيح للمستثمرين اتخاذ قرارات أكثر عقلانية بشأن مواقع استثماراتهم العقارية</w:t>
      </w:r>
      <w:r w:rsidRPr="003F5BA3">
        <w:rPr>
          <w:rFonts w:ascii="Simplified Arabic" w:hAnsi="Simplified Arabic" w:cs="Simplified Arabic"/>
          <w:color w:val="000000" w:themeColor="text1"/>
          <w:sz w:val="28"/>
          <w:szCs w:val="28"/>
        </w:rPr>
        <w:t>.</w:t>
      </w:r>
    </w:p>
    <w:p w14:paraId="3875A172"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ويُبرز</w:t>
      </w:r>
      <w:r w:rsidRPr="003F5BA3">
        <w:rPr>
          <w:rFonts w:ascii="Simplified Arabic" w:hAnsi="Simplified Arabic" w:cs="Simplified Arabic"/>
          <w:color w:val="000000" w:themeColor="text1"/>
          <w:sz w:val="28"/>
          <w:szCs w:val="28"/>
        </w:rPr>
        <w:t xml:space="preserve"> (Su et al., 2021) </w:t>
      </w:r>
      <w:r w:rsidRPr="003F5BA3">
        <w:rPr>
          <w:rFonts w:ascii="Simplified Arabic" w:hAnsi="Simplified Arabic" w:cs="Simplified Arabic"/>
          <w:color w:val="000000" w:themeColor="text1"/>
          <w:sz w:val="28"/>
          <w:szCs w:val="28"/>
          <w:rtl/>
        </w:rPr>
        <w:t xml:space="preserve">أن أهمية القيمة الإيجارية تتّصل بعلاقتها المباشرة بالبنية العمرانية، حيث تُشكّل شبكات النقل المُوجَّهة نحو التنمية عاملًا محدّدًا لمستوى الإيجارات في المدن الكبرى. وتنبع الأهمية </w:t>
      </w:r>
      <w:r w:rsidRPr="003F5BA3">
        <w:rPr>
          <w:rFonts w:ascii="Simplified Arabic" w:hAnsi="Simplified Arabic" w:cs="Simplified Arabic"/>
          <w:color w:val="000000" w:themeColor="text1"/>
          <w:sz w:val="28"/>
          <w:szCs w:val="28"/>
          <w:rtl/>
        </w:rPr>
        <w:lastRenderedPageBreak/>
        <w:t>هنا من ثلاثة محاور: الأول، أن فهم هذه العلاقة يُوجّه قرارات التخطيط العمراني والاستثمار في البنية التحتية. والثاني، أنه يُتيح استشراف التغيّرات المستقبلية في السوق الإيجاري تبعًا للتطوّرات في شبكات النقل. والثالث، أنه يُوفّر إطارًا لفهم التباين المكاني في الإيجارات داخل المدينة الواحدة</w:t>
      </w:r>
      <w:r w:rsidRPr="003F5BA3">
        <w:rPr>
          <w:rFonts w:ascii="Simplified Arabic" w:hAnsi="Simplified Arabic" w:cs="Simplified Arabic"/>
          <w:color w:val="000000" w:themeColor="text1"/>
          <w:sz w:val="28"/>
          <w:szCs w:val="28"/>
        </w:rPr>
        <w:t>.</w:t>
      </w:r>
    </w:p>
    <w:p w14:paraId="13BF6031"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ويطرح</w:t>
      </w:r>
      <w:r w:rsidRPr="003F5BA3">
        <w:rPr>
          <w:rFonts w:ascii="Simplified Arabic" w:hAnsi="Simplified Arabic" w:cs="Simplified Arabic"/>
          <w:color w:val="000000" w:themeColor="text1"/>
          <w:sz w:val="28"/>
          <w:szCs w:val="28"/>
        </w:rPr>
        <w:t xml:space="preserve"> (An et al., 2024) </w:t>
      </w:r>
      <w:r w:rsidRPr="003F5BA3">
        <w:rPr>
          <w:rFonts w:ascii="Simplified Arabic" w:hAnsi="Simplified Arabic" w:cs="Simplified Arabic"/>
          <w:color w:val="000000" w:themeColor="text1"/>
          <w:sz w:val="28"/>
          <w:szCs w:val="28"/>
          <w:rtl/>
        </w:rPr>
        <w:t>رؤيةً مكمّلة لأهمية دراسة السوق الإيجاري، مؤكّدًا أن الأهمية تنبع من الحاجة إلى فهم أنماط الملكية المُركَّزة للإسكان الإيجاري وأثرها على قرارات التسعير والتأجير، وأن هذا الفهم يُشكّل ركيزةً لأي تدخّل سياساتي هادف إلى تحسين أداء السوق الإيجاري. كما يُبرز أن دراسة هذه الأنماط تُتيح تحديد الفاعلين المؤثّرين في السوق وتقييم أثرهم على مستوى الإيجارات وسرعة التأجير</w:t>
      </w:r>
      <w:r w:rsidRPr="003F5BA3">
        <w:rPr>
          <w:rFonts w:ascii="Simplified Arabic" w:hAnsi="Simplified Arabic" w:cs="Simplified Arabic"/>
          <w:color w:val="000000" w:themeColor="text1"/>
          <w:sz w:val="28"/>
          <w:szCs w:val="28"/>
        </w:rPr>
        <w:t>.</w:t>
      </w:r>
    </w:p>
    <w:p w14:paraId="2FDA001C"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ويُضيف</w:t>
      </w:r>
      <w:r w:rsidRPr="003F5BA3">
        <w:rPr>
          <w:rFonts w:ascii="Simplified Arabic" w:hAnsi="Simplified Arabic" w:cs="Simplified Arabic"/>
          <w:color w:val="000000" w:themeColor="text1"/>
          <w:sz w:val="28"/>
          <w:szCs w:val="28"/>
        </w:rPr>
        <w:t xml:space="preserve"> (Hu et al., 2024) </w:t>
      </w:r>
      <w:r w:rsidRPr="003F5BA3">
        <w:rPr>
          <w:rFonts w:ascii="Simplified Arabic" w:hAnsi="Simplified Arabic" w:cs="Simplified Arabic"/>
          <w:color w:val="000000" w:themeColor="text1"/>
          <w:sz w:val="28"/>
          <w:szCs w:val="28"/>
          <w:rtl/>
        </w:rPr>
        <w:t>بُعدًا تشغيليًا لأهمية دراسة المتغير التابع، مفاده أن رضا المستأجر يُشكّل محدّدًا رئيسًا لأداء المبنى، وأن دراسة هذا الرضا وربطه بمؤشرات الأداء الإيجاري تُوفّر للمُلّاك ومديري الأصول أدوات عملية لتحسين قراراتهم التشغيلية. وتنبع الأهمية هنا من كون الرضا يُترجَم مباشرةً إلى استقرار في التدفقات الإيجارية وسرعة أعلى في إعادة تأجير الوحدات الشاغرة</w:t>
      </w:r>
      <w:r w:rsidRPr="003F5BA3">
        <w:rPr>
          <w:rFonts w:ascii="Simplified Arabic" w:hAnsi="Simplified Arabic" w:cs="Simplified Arabic"/>
          <w:color w:val="000000" w:themeColor="text1"/>
          <w:sz w:val="28"/>
          <w:szCs w:val="28"/>
        </w:rPr>
        <w:t>.</w:t>
      </w:r>
    </w:p>
    <w:p w14:paraId="5942F083"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ويُبرز</w:t>
      </w:r>
      <w:r w:rsidRPr="003F5BA3">
        <w:rPr>
          <w:rFonts w:ascii="Simplified Arabic" w:hAnsi="Simplified Arabic" w:cs="Simplified Arabic"/>
          <w:color w:val="000000" w:themeColor="text1"/>
          <w:sz w:val="28"/>
          <w:szCs w:val="28"/>
        </w:rPr>
        <w:t xml:space="preserve"> (Chen et al., 2022) </w:t>
      </w:r>
      <w:r w:rsidRPr="003F5BA3">
        <w:rPr>
          <w:rFonts w:ascii="Simplified Arabic" w:hAnsi="Simplified Arabic" w:cs="Simplified Arabic"/>
          <w:color w:val="000000" w:themeColor="text1"/>
          <w:sz w:val="28"/>
          <w:szCs w:val="28"/>
          <w:rtl/>
        </w:rPr>
        <w:t xml:space="preserve">بُعدًا ماليًا للأهمية، مؤكّدًا أن السوق الإيجاري بات جزءًا لا يتجزّأ من منظومة التمويل العقاري، وأن نماذج التأجير طويل الأجل خفيفة الأصول قد أعادت تشكيل السوق بصورة تستدعي فهمًا معمّقًا </w:t>
      </w:r>
      <w:proofErr w:type="spellStart"/>
      <w:r w:rsidRPr="003F5BA3">
        <w:rPr>
          <w:rFonts w:ascii="Simplified Arabic" w:hAnsi="Simplified Arabic" w:cs="Simplified Arabic"/>
          <w:color w:val="000000" w:themeColor="text1"/>
          <w:sz w:val="28"/>
          <w:szCs w:val="28"/>
          <w:rtl/>
        </w:rPr>
        <w:t>لديناميكياتها</w:t>
      </w:r>
      <w:proofErr w:type="spellEnd"/>
      <w:r w:rsidRPr="003F5BA3">
        <w:rPr>
          <w:rFonts w:ascii="Simplified Arabic" w:hAnsi="Simplified Arabic" w:cs="Simplified Arabic"/>
          <w:color w:val="000000" w:themeColor="text1"/>
          <w:sz w:val="28"/>
          <w:szCs w:val="28"/>
          <w:rtl/>
        </w:rPr>
        <w:t>. وتنبع الأهمية هنا من الحاجة إلى مواكبة هذه التحولات وفهم انعكاساتها على القيمة الإيجارية وسرعة التأجير</w:t>
      </w:r>
      <w:r w:rsidRPr="003F5BA3">
        <w:rPr>
          <w:rFonts w:ascii="Simplified Arabic" w:hAnsi="Simplified Arabic" w:cs="Simplified Arabic"/>
          <w:color w:val="000000" w:themeColor="text1"/>
          <w:sz w:val="28"/>
          <w:szCs w:val="28"/>
        </w:rPr>
        <w:t>.</w:t>
      </w:r>
    </w:p>
    <w:p w14:paraId="7811B039"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ويرى الباحث أن هذه الأبعاد المتعدّدة للأهمية تُبرّر تناول القيمة الإيجارية وسرعة التأجير بوصفهما متغيرًا تابعًا محوريًا في الدراسة الحالية، إذ إن أي تدخّل تطويري على الأصل العقاري إنما يُقاس نجاحه في نهاية المطاف بمدى قدرته على التأثير الإيجابي على هذين المؤشرَين</w:t>
      </w:r>
      <w:r w:rsidRPr="003F5BA3">
        <w:rPr>
          <w:rFonts w:ascii="Simplified Arabic" w:hAnsi="Simplified Arabic" w:cs="Simplified Arabic"/>
          <w:color w:val="000000" w:themeColor="text1"/>
          <w:sz w:val="28"/>
          <w:szCs w:val="28"/>
        </w:rPr>
        <w:t>.</w:t>
      </w:r>
    </w:p>
    <w:p w14:paraId="59A2645B" w14:textId="21539219" w:rsidR="009011CA" w:rsidRPr="003F5BA3" w:rsidRDefault="00D103B0" w:rsidP="00D103B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1" w:name="_Toc233932474"/>
      <w:r w:rsidRPr="003F5BA3">
        <w:rPr>
          <w:rFonts w:ascii="Simplified Arabic" w:hAnsi="Simplified Arabic" w:cs="Simplified Arabic" w:hint="cs"/>
          <w:b/>
          <w:bCs/>
          <w:color w:val="000000" w:themeColor="text1"/>
          <w:sz w:val="32"/>
          <w:szCs w:val="32"/>
          <w:rtl/>
        </w:rPr>
        <w:t xml:space="preserve">4.2.2 </w:t>
      </w:r>
      <w:r w:rsidR="009011CA" w:rsidRPr="003F5BA3">
        <w:rPr>
          <w:rFonts w:ascii="Simplified Arabic" w:hAnsi="Simplified Arabic" w:cs="Simplified Arabic"/>
          <w:b/>
          <w:bCs/>
          <w:color w:val="000000" w:themeColor="text1"/>
          <w:sz w:val="32"/>
          <w:szCs w:val="32"/>
          <w:rtl/>
        </w:rPr>
        <w:t>أهداف دراسة القيمة الإيجارية وسرعة التأجير</w:t>
      </w:r>
      <w:bookmarkEnd w:id="51"/>
    </w:p>
    <w:p w14:paraId="45F0D565"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تتنوّع أهداف دراسة القيمة الإيجارية وسرعة التأجير بحسب طبيعة الجهة التي تُجري الدراسة وطبيعة السوق المستهدَف، ويمكن استعراض أبرز هذه الأهداف من خلال آراء الباحثين على النحو التالي</w:t>
      </w:r>
      <w:r w:rsidRPr="003F5BA3">
        <w:rPr>
          <w:rFonts w:ascii="Simplified Arabic" w:hAnsi="Simplified Arabic" w:cs="Simplified Arabic"/>
          <w:color w:val="000000" w:themeColor="text1"/>
          <w:sz w:val="28"/>
          <w:szCs w:val="28"/>
        </w:rPr>
        <w:t>:</w:t>
      </w:r>
    </w:p>
    <w:p w14:paraId="43375178"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 xml:space="preserve">يُحدّد (الجار الله، 2020) جملةً من الأهداف الرئيسة لدراسة القيمة الإيجارية تتمثّل في: الأول، الوصول إلى فهم علمي للعوامل المؤثّرة في تفاوت إيجارات الوحدات السكنية داخل المدينة الواحدة؛ والثاني، </w:t>
      </w:r>
      <w:r w:rsidRPr="003F5BA3">
        <w:rPr>
          <w:rFonts w:ascii="Simplified Arabic" w:hAnsi="Simplified Arabic" w:cs="Simplified Arabic"/>
          <w:color w:val="000000" w:themeColor="text1"/>
          <w:sz w:val="28"/>
          <w:szCs w:val="28"/>
          <w:rtl/>
        </w:rPr>
        <w:lastRenderedPageBreak/>
        <w:t>ترتيب هذه العوامل بحسب أهميتها النسبية بما يُساعد على تحديد المحدّدات الأكثر تأثيرًا؛ والثالث، توفير أساس علمي لدعم قرارات التسعير الإيجاري للمُلّاك والوسطاء؛ والرابع، إثراء الأدبيات المحلية بدراسات ميدانية تعكس خصوصية السوق العقاري في السياق المحلّي</w:t>
      </w:r>
      <w:r w:rsidRPr="003F5BA3">
        <w:rPr>
          <w:rFonts w:ascii="Simplified Arabic" w:hAnsi="Simplified Arabic" w:cs="Simplified Arabic"/>
          <w:color w:val="000000" w:themeColor="text1"/>
          <w:sz w:val="28"/>
          <w:szCs w:val="28"/>
        </w:rPr>
        <w:t>.</w:t>
      </w:r>
    </w:p>
    <w:p w14:paraId="3C3D30E6"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ويُقدّم (</w:t>
      </w:r>
      <w:proofErr w:type="spellStart"/>
      <w:r w:rsidRPr="003F5BA3">
        <w:rPr>
          <w:rFonts w:ascii="Simplified Arabic" w:hAnsi="Simplified Arabic" w:cs="Simplified Arabic"/>
          <w:color w:val="000000" w:themeColor="text1"/>
          <w:sz w:val="28"/>
          <w:szCs w:val="28"/>
          <w:rtl/>
        </w:rPr>
        <w:t>خوقير</w:t>
      </w:r>
      <w:proofErr w:type="spellEnd"/>
      <w:r w:rsidRPr="003F5BA3">
        <w:rPr>
          <w:rFonts w:ascii="Simplified Arabic" w:hAnsi="Simplified Arabic" w:cs="Simplified Arabic"/>
          <w:color w:val="000000" w:themeColor="text1"/>
          <w:sz w:val="28"/>
          <w:szCs w:val="28"/>
          <w:rtl/>
        </w:rPr>
        <w:t xml:space="preserve"> والزامل، 2023) أهدافًا مكمّلة لدراسة القيمة الإيجارية من منظور التأثيرات الحضرية، تشمل: أولًا، تحليل أثر الاستعمالات المجاورة للعقار على مستوى إيجاره؛ ثانيًا، تحديد نطاق التأثير المكاني لهذه الاستعمالات؛ ثالثًا، تقديم توصيات تخطيطية تستند إلى فهم علمي لهذه العلاقات؛ رابعًا، توفير أدوات تحليلية للمستثمرين تُساعدهم على تقييم المواقع العقارية بصورة أكثر دقة</w:t>
      </w:r>
      <w:r w:rsidRPr="003F5BA3">
        <w:rPr>
          <w:rFonts w:ascii="Simplified Arabic" w:hAnsi="Simplified Arabic" w:cs="Simplified Arabic"/>
          <w:color w:val="000000" w:themeColor="text1"/>
          <w:sz w:val="28"/>
          <w:szCs w:val="28"/>
        </w:rPr>
        <w:t>.</w:t>
      </w:r>
    </w:p>
    <w:p w14:paraId="1289CC43"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ويُبرز</w:t>
      </w:r>
      <w:r w:rsidRPr="003F5BA3">
        <w:rPr>
          <w:rFonts w:ascii="Simplified Arabic" w:hAnsi="Simplified Arabic" w:cs="Simplified Arabic"/>
          <w:color w:val="000000" w:themeColor="text1"/>
          <w:sz w:val="28"/>
          <w:szCs w:val="28"/>
        </w:rPr>
        <w:t xml:space="preserve"> (Ho et al., 2021) </w:t>
      </w:r>
      <w:r w:rsidRPr="003F5BA3">
        <w:rPr>
          <w:rFonts w:ascii="Simplified Arabic" w:hAnsi="Simplified Arabic" w:cs="Simplified Arabic"/>
          <w:color w:val="000000" w:themeColor="text1"/>
          <w:sz w:val="28"/>
          <w:szCs w:val="28"/>
          <w:rtl/>
        </w:rPr>
        <w:t>أهدافًا منهجية لدراسة الأسعار والإيجارات العقارية، تتلخّص في: بناء نماذج قياسية دقيقة للتنبّؤ بالأسعار الإيجارية باستخدام خوارزميات تعلّم الآلة؛ وتحديد المتغيرات الأكثر تأثيرًا في تكوين هذه الأسعار؛ وتقييم مدى دقة النماذج المستخدَمة في التنبّؤ؛ وتوفير أدوات تحليلية عملية لصنّاع القرار في السوق العقاري</w:t>
      </w:r>
      <w:r w:rsidRPr="003F5BA3">
        <w:rPr>
          <w:rFonts w:ascii="Simplified Arabic" w:hAnsi="Simplified Arabic" w:cs="Simplified Arabic"/>
          <w:color w:val="000000" w:themeColor="text1"/>
          <w:sz w:val="28"/>
          <w:szCs w:val="28"/>
        </w:rPr>
        <w:t>.</w:t>
      </w:r>
    </w:p>
    <w:p w14:paraId="4B6DDE9C"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ويُضيف (الحفني، 2025) أهدافًا قطاعية تتّصل بدراسة القيمة الإيجارية للأصول الزراعية، تشمل: تحليل العوامل الفنية والاقتصادية المؤثّرة على تحديد الإيجارات الزراعية؛ وتقييم أثر خصائص الأرض على قيمتها الإيجارية؛ وتوفير مرجعية لأطراف العلاقة الإيجارية في القطاع الزراعي؛ ودعم قرارات السياسة الزراعية بشأن استخدام الأراضي</w:t>
      </w:r>
      <w:r w:rsidRPr="003F5BA3">
        <w:rPr>
          <w:rFonts w:ascii="Simplified Arabic" w:hAnsi="Simplified Arabic" w:cs="Simplified Arabic"/>
          <w:color w:val="000000" w:themeColor="text1"/>
          <w:sz w:val="28"/>
          <w:szCs w:val="28"/>
        </w:rPr>
        <w:t>.</w:t>
      </w:r>
    </w:p>
    <w:p w14:paraId="5101F052"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ويطرح</w:t>
      </w:r>
      <w:r w:rsidRPr="003F5BA3">
        <w:rPr>
          <w:rFonts w:ascii="Simplified Arabic" w:hAnsi="Simplified Arabic" w:cs="Simplified Arabic"/>
          <w:color w:val="000000" w:themeColor="text1"/>
          <w:sz w:val="28"/>
          <w:szCs w:val="28"/>
        </w:rPr>
        <w:t xml:space="preserve"> (Pinto Hern</w:t>
      </w:r>
      <w:r w:rsidRPr="003F5BA3">
        <w:rPr>
          <w:rFonts w:ascii="Cambria" w:hAnsi="Cambria" w:cs="Cambria"/>
          <w:color w:val="000000" w:themeColor="text1"/>
          <w:sz w:val="28"/>
          <w:szCs w:val="28"/>
        </w:rPr>
        <w:t>á</w:t>
      </w:r>
      <w:r w:rsidRPr="003F5BA3">
        <w:rPr>
          <w:rFonts w:ascii="Simplified Arabic" w:hAnsi="Simplified Arabic" w:cs="Simplified Arabic"/>
          <w:color w:val="000000" w:themeColor="text1"/>
          <w:sz w:val="28"/>
          <w:szCs w:val="28"/>
        </w:rPr>
        <w:t xml:space="preserve">ndez et al., 2026) </w:t>
      </w:r>
      <w:r w:rsidRPr="003F5BA3">
        <w:rPr>
          <w:rFonts w:ascii="Simplified Arabic" w:hAnsi="Simplified Arabic" w:cs="Simplified Arabic"/>
          <w:color w:val="000000" w:themeColor="text1"/>
          <w:sz w:val="28"/>
          <w:szCs w:val="28"/>
          <w:rtl/>
        </w:rPr>
        <w:t xml:space="preserve">أهدافًا </w:t>
      </w:r>
      <w:proofErr w:type="spellStart"/>
      <w:r w:rsidRPr="003F5BA3">
        <w:rPr>
          <w:rFonts w:ascii="Simplified Arabic" w:hAnsi="Simplified Arabic" w:cs="Simplified Arabic"/>
          <w:color w:val="000000" w:themeColor="text1"/>
          <w:sz w:val="28"/>
          <w:szCs w:val="28"/>
          <w:rtl/>
        </w:rPr>
        <w:t>سياساتية</w:t>
      </w:r>
      <w:proofErr w:type="spellEnd"/>
      <w:r w:rsidRPr="003F5BA3">
        <w:rPr>
          <w:rFonts w:ascii="Simplified Arabic" w:hAnsi="Simplified Arabic" w:cs="Simplified Arabic"/>
          <w:color w:val="000000" w:themeColor="text1"/>
          <w:sz w:val="28"/>
          <w:szCs w:val="28"/>
          <w:rtl/>
        </w:rPr>
        <w:t xml:space="preserve"> لدراسة القيمة الإيجارية، تتّصل بتقييم أثر التدخّلات التشريعية على مستوى الإيجارات، وتحليل فاعلية السياسات المُتّبعة في ضبط السوق الإيجاري، وتقديم توصيات لصنّاع السياسات بشأن التدخّلات المستقبلية، فضلًا عن رصد الاستجابة السلوكية للفاعلين في السوق لهذه التدخّلات</w:t>
      </w:r>
      <w:r w:rsidRPr="003F5BA3">
        <w:rPr>
          <w:rFonts w:ascii="Simplified Arabic" w:hAnsi="Simplified Arabic" w:cs="Simplified Arabic"/>
          <w:color w:val="000000" w:themeColor="text1"/>
          <w:sz w:val="28"/>
          <w:szCs w:val="28"/>
        </w:rPr>
        <w:t>.</w:t>
      </w:r>
    </w:p>
    <w:p w14:paraId="526D57F9"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ويُبرز</w:t>
      </w:r>
      <w:r w:rsidRPr="003F5BA3">
        <w:rPr>
          <w:rFonts w:ascii="Simplified Arabic" w:hAnsi="Simplified Arabic" w:cs="Simplified Arabic"/>
          <w:color w:val="000000" w:themeColor="text1"/>
          <w:sz w:val="28"/>
          <w:szCs w:val="28"/>
        </w:rPr>
        <w:t xml:space="preserve"> (Hu et al., 2024) </w:t>
      </w:r>
      <w:r w:rsidRPr="003F5BA3">
        <w:rPr>
          <w:rFonts w:ascii="Simplified Arabic" w:hAnsi="Simplified Arabic" w:cs="Simplified Arabic"/>
          <w:color w:val="000000" w:themeColor="text1"/>
          <w:sz w:val="28"/>
          <w:szCs w:val="28"/>
          <w:rtl/>
        </w:rPr>
        <w:t>أهدافًا تشغيلية تتّصل بربط رضا المستأجر بأداء المبنى، تشمل: قياس مستوى رضا المستأجرين عن العقارات؛ وتحليل أثر هذا الرضا على مؤشرات أداء المبنى؛ وتقديم توصيات لإدارات الأصول لتحسين تجربة المستأجر؛ وربط قرارات إدارة المبنى بمؤشرات الأداء الإيجاري</w:t>
      </w:r>
      <w:r w:rsidRPr="003F5BA3">
        <w:rPr>
          <w:rFonts w:ascii="Simplified Arabic" w:hAnsi="Simplified Arabic" w:cs="Simplified Arabic"/>
          <w:color w:val="000000" w:themeColor="text1"/>
          <w:sz w:val="28"/>
          <w:szCs w:val="28"/>
        </w:rPr>
        <w:t>.</w:t>
      </w:r>
    </w:p>
    <w:p w14:paraId="47D4D1A9"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lastRenderedPageBreak/>
        <w:t>ويرى الباحث أن هذه الأهداف على تنوّعها تلتقي عند غاية جوهرية تتمثّل في فهم محدّدات القيمة الإيجارية وسرعة التأجير، بما يُتيح لصنّاع القرار في السوق العقاري تعزيز أدائهم، ولعلّ الدراسة الحالية تُسهم في هذه الغاية من خلال ربط هذين المؤشرَين بأبعاد التطوير العقاري المستهدَفة</w:t>
      </w:r>
      <w:r w:rsidRPr="003F5BA3">
        <w:rPr>
          <w:rFonts w:ascii="Simplified Arabic" w:hAnsi="Simplified Arabic" w:cs="Simplified Arabic"/>
          <w:color w:val="000000" w:themeColor="text1"/>
          <w:sz w:val="28"/>
          <w:szCs w:val="28"/>
        </w:rPr>
        <w:t>.</w:t>
      </w:r>
    </w:p>
    <w:p w14:paraId="4A7C10F1" w14:textId="41D3A800" w:rsidR="009011CA" w:rsidRPr="003F5BA3" w:rsidRDefault="00D103B0" w:rsidP="00D103B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2" w:name="_Toc233932475"/>
      <w:r w:rsidRPr="003F5BA3">
        <w:rPr>
          <w:rFonts w:ascii="Simplified Arabic" w:hAnsi="Simplified Arabic" w:cs="Simplified Arabic" w:hint="cs"/>
          <w:b/>
          <w:bCs/>
          <w:color w:val="000000" w:themeColor="text1"/>
          <w:sz w:val="32"/>
          <w:szCs w:val="32"/>
          <w:rtl/>
        </w:rPr>
        <w:t xml:space="preserve">5.2.2 </w:t>
      </w:r>
      <w:r w:rsidR="009011CA" w:rsidRPr="003F5BA3">
        <w:rPr>
          <w:rFonts w:ascii="Simplified Arabic" w:hAnsi="Simplified Arabic" w:cs="Simplified Arabic"/>
          <w:b/>
          <w:bCs/>
          <w:color w:val="000000" w:themeColor="text1"/>
          <w:sz w:val="32"/>
          <w:szCs w:val="32"/>
          <w:rtl/>
        </w:rPr>
        <w:t>أبعاد ومحدّدات القيمة الإيجارية وسرعة التأجير</w:t>
      </w:r>
      <w:bookmarkEnd w:id="52"/>
    </w:p>
    <w:p w14:paraId="14A2D182"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تتشكّل القيمة الإيجارية وسرعة التأجير في السوق العقاري من محصّلة عدد من الأبعاد والمحدّدات المتشابكة، التي يمكن استخلاصها من مراجعة الأدبيات ذات الصلة. وقد اعتمدت هذه الدراسة في تناول هذه الأبعاد على مجموعة من الدراسات الرئيسة، من أبرزها دراسة (الجار الله، 2020) في تناولها للعوامل المؤثّرة على الإيجارات، ودراسة (</w:t>
      </w:r>
      <w:proofErr w:type="spellStart"/>
      <w:r w:rsidRPr="003F5BA3">
        <w:rPr>
          <w:rFonts w:ascii="Simplified Arabic" w:hAnsi="Simplified Arabic" w:cs="Simplified Arabic"/>
          <w:color w:val="000000" w:themeColor="text1"/>
          <w:sz w:val="28"/>
          <w:szCs w:val="28"/>
          <w:rtl/>
        </w:rPr>
        <w:t>خوقير</w:t>
      </w:r>
      <w:proofErr w:type="spellEnd"/>
      <w:r w:rsidRPr="003F5BA3">
        <w:rPr>
          <w:rFonts w:ascii="Simplified Arabic" w:hAnsi="Simplified Arabic" w:cs="Simplified Arabic"/>
          <w:color w:val="000000" w:themeColor="text1"/>
          <w:sz w:val="28"/>
          <w:szCs w:val="28"/>
          <w:rtl/>
        </w:rPr>
        <w:t xml:space="preserve"> والزامل، 2023) في تحليلها للاستعمالات المجاورة، ودراسة</w:t>
      </w:r>
      <w:r w:rsidRPr="003F5BA3">
        <w:rPr>
          <w:rFonts w:ascii="Simplified Arabic" w:hAnsi="Simplified Arabic" w:cs="Simplified Arabic"/>
          <w:color w:val="000000" w:themeColor="text1"/>
          <w:sz w:val="28"/>
          <w:szCs w:val="28"/>
        </w:rPr>
        <w:t xml:space="preserve"> (Su et al., 2021) </w:t>
      </w:r>
      <w:r w:rsidRPr="003F5BA3">
        <w:rPr>
          <w:rFonts w:ascii="Simplified Arabic" w:hAnsi="Simplified Arabic" w:cs="Simplified Arabic"/>
          <w:color w:val="000000" w:themeColor="text1"/>
          <w:sz w:val="28"/>
          <w:szCs w:val="28"/>
          <w:rtl/>
        </w:rPr>
        <w:t>في تناولها لعلاقة التنمية المُوجَّهة بالنقل بأسعار الإيجارات، ودراسة</w:t>
      </w:r>
      <w:r w:rsidRPr="003F5BA3">
        <w:rPr>
          <w:rFonts w:ascii="Simplified Arabic" w:hAnsi="Simplified Arabic" w:cs="Simplified Arabic"/>
          <w:color w:val="000000" w:themeColor="text1"/>
          <w:sz w:val="28"/>
          <w:szCs w:val="28"/>
        </w:rPr>
        <w:t xml:space="preserve"> (Ho et al., 2021) </w:t>
      </w:r>
      <w:r w:rsidRPr="003F5BA3">
        <w:rPr>
          <w:rFonts w:ascii="Simplified Arabic" w:hAnsi="Simplified Arabic" w:cs="Simplified Arabic"/>
          <w:color w:val="000000" w:themeColor="text1"/>
          <w:sz w:val="28"/>
          <w:szCs w:val="28"/>
          <w:rtl/>
        </w:rPr>
        <w:t>في نمذجتها للأسعار العقارية، فضلًا عن دراسة</w:t>
      </w:r>
      <w:r w:rsidRPr="003F5BA3">
        <w:rPr>
          <w:rFonts w:ascii="Simplified Arabic" w:hAnsi="Simplified Arabic" w:cs="Simplified Arabic"/>
          <w:color w:val="000000" w:themeColor="text1"/>
          <w:sz w:val="28"/>
          <w:szCs w:val="28"/>
        </w:rPr>
        <w:t xml:space="preserve"> (Oyedeji &amp; </w:t>
      </w:r>
      <w:proofErr w:type="spellStart"/>
      <w:r w:rsidRPr="003F5BA3">
        <w:rPr>
          <w:rFonts w:ascii="Simplified Arabic" w:hAnsi="Simplified Arabic" w:cs="Simplified Arabic"/>
          <w:color w:val="000000" w:themeColor="text1"/>
          <w:sz w:val="28"/>
          <w:szCs w:val="28"/>
        </w:rPr>
        <w:t>Olorunisola</w:t>
      </w:r>
      <w:proofErr w:type="spellEnd"/>
      <w:r w:rsidRPr="003F5BA3">
        <w:rPr>
          <w:rFonts w:ascii="Simplified Arabic" w:hAnsi="Simplified Arabic" w:cs="Simplified Arabic"/>
          <w:color w:val="000000" w:themeColor="text1"/>
          <w:sz w:val="28"/>
          <w:szCs w:val="28"/>
        </w:rPr>
        <w:t xml:space="preserve">, 2024) </w:t>
      </w:r>
      <w:r w:rsidRPr="003F5BA3">
        <w:rPr>
          <w:rFonts w:ascii="Simplified Arabic" w:hAnsi="Simplified Arabic" w:cs="Simplified Arabic"/>
          <w:color w:val="000000" w:themeColor="text1"/>
          <w:sz w:val="28"/>
          <w:szCs w:val="28"/>
          <w:rtl/>
        </w:rPr>
        <w:t>في تحليلها لأثر التوسّع في البنية التحتية على الإيجارات</w:t>
      </w:r>
      <w:r w:rsidRPr="003F5BA3">
        <w:rPr>
          <w:rFonts w:ascii="Simplified Arabic" w:hAnsi="Simplified Arabic" w:cs="Simplified Arabic"/>
          <w:color w:val="000000" w:themeColor="text1"/>
          <w:sz w:val="28"/>
          <w:szCs w:val="28"/>
        </w:rPr>
        <w:t>.</w:t>
      </w:r>
    </w:p>
    <w:p w14:paraId="454C278A"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البُعد الأول: الخصائص الفيزيائية للوحدة العقارية</w:t>
      </w:r>
      <w:r w:rsidRPr="003F5BA3">
        <w:rPr>
          <w:rFonts w:ascii="Simplified Arabic" w:hAnsi="Simplified Arabic" w:cs="Simplified Arabic"/>
          <w:color w:val="000000" w:themeColor="text1"/>
          <w:sz w:val="28"/>
          <w:szCs w:val="28"/>
        </w:rPr>
        <w:t xml:space="preserve">. </w:t>
      </w:r>
      <w:r w:rsidRPr="003F5BA3">
        <w:rPr>
          <w:rFonts w:ascii="Simplified Arabic" w:hAnsi="Simplified Arabic" w:cs="Simplified Arabic"/>
          <w:color w:val="000000" w:themeColor="text1"/>
          <w:sz w:val="28"/>
          <w:szCs w:val="28"/>
          <w:rtl/>
        </w:rPr>
        <w:t xml:space="preserve">يُشكّل هذا البُعد الركيزة الأساسية في تحديد القيمة الإيجارية، إذ يشمل مساحة الوحدة وعدد غرفها ومستوى تشطيباتها وحالتها الإنشائية العامة وعمر المبنى. ويُبرز (الجار الله، 2020) أن هذه الخصائص تُشكّل عوامل مباشرة في تحديد التفاوت الإيجاري بين الوحدات، وأن الوحدات المتشابهة </w:t>
      </w:r>
      <w:proofErr w:type="spellStart"/>
      <w:r w:rsidRPr="003F5BA3">
        <w:rPr>
          <w:rFonts w:ascii="Simplified Arabic" w:hAnsi="Simplified Arabic" w:cs="Simplified Arabic"/>
          <w:color w:val="000000" w:themeColor="text1"/>
          <w:sz w:val="28"/>
          <w:szCs w:val="28"/>
          <w:rtl/>
        </w:rPr>
        <w:t>موقعيًا</w:t>
      </w:r>
      <w:proofErr w:type="spellEnd"/>
      <w:r w:rsidRPr="003F5BA3">
        <w:rPr>
          <w:rFonts w:ascii="Simplified Arabic" w:hAnsi="Simplified Arabic" w:cs="Simplified Arabic"/>
          <w:color w:val="000000" w:themeColor="text1"/>
          <w:sz w:val="28"/>
          <w:szCs w:val="28"/>
          <w:rtl/>
        </w:rPr>
        <w:t xml:space="preserve"> قد تتباين إيجاراتها تباينًا واضحًا بسبب الفروق في هذه الخصائص. ويُكمّل هذا التصور ما يُشير إليه</w:t>
      </w:r>
      <w:r w:rsidRPr="003F5BA3">
        <w:rPr>
          <w:rFonts w:ascii="Simplified Arabic" w:hAnsi="Simplified Arabic" w:cs="Simplified Arabic"/>
          <w:color w:val="000000" w:themeColor="text1"/>
          <w:sz w:val="28"/>
          <w:szCs w:val="28"/>
        </w:rPr>
        <w:t xml:space="preserve"> (Ho et al., 2021) </w:t>
      </w:r>
      <w:r w:rsidRPr="003F5BA3">
        <w:rPr>
          <w:rFonts w:ascii="Simplified Arabic" w:hAnsi="Simplified Arabic" w:cs="Simplified Arabic"/>
          <w:color w:val="000000" w:themeColor="text1"/>
          <w:sz w:val="28"/>
          <w:szCs w:val="28"/>
          <w:rtl/>
        </w:rPr>
        <w:t>من أن نماذج التنبّؤ الحديثة تعتمد بصورة رئيسة على الخصائص الفيزيائية كمدخلات للتنبّؤ بأسعار العقارات وإيجاراتها، وأن دقة هذه النماذج تتحسّن كلّما تمّ تضمين متغيرات أدقّ عن حالة الوحدة وتشطيباتها</w:t>
      </w:r>
      <w:r w:rsidRPr="003F5BA3">
        <w:rPr>
          <w:rFonts w:ascii="Simplified Arabic" w:hAnsi="Simplified Arabic" w:cs="Simplified Arabic"/>
          <w:color w:val="000000" w:themeColor="text1"/>
          <w:sz w:val="28"/>
          <w:szCs w:val="28"/>
        </w:rPr>
        <w:t>.</w:t>
      </w:r>
    </w:p>
    <w:p w14:paraId="1595C5A2"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البُعد الثاني: الموقع والمحيط العمراني</w:t>
      </w:r>
      <w:r w:rsidRPr="003F5BA3">
        <w:rPr>
          <w:rFonts w:ascii="Simplified Arabic" w:hAnsi="Simplified Arabic" w:cs="Simplified Arabic"/>
          <w:color w:val="000000" w:themeColor="text1"/>
          <w:sz w:val="28"/>
          <w:szCs w:val="28"/>
        </w:rPr>
        <w:t xml:space="preserve">. </w:t>
      </w:r>
      <w:r w:rsidRPr="003F5BA3">
        <w:rPr>
          <w:rFonts w:ascii="Simplified Arabic" w:hAnsi="Simplified Arabic" w:cs="Simplified Arabic"/>
          <w:color w:val="000000" w:themeColor="text1"/>
          <w:sz w:val="28"/>
          <w:szCs w:val="28"/>
          <w:rtl/>
        </w:rPr>
        <w:t>يُعدّ الموقع أحد أقوى المحدّدات للقيمة الإيجارية، ويشمل قرب الوحدة من مراكز التوظيف والخدمات ووسائل النقل والاستعمالات المُكمّلة. ويُبرز (</w:t>
      </w:r>
      <w:proofErr w:type="spellStart"/>
      <w:r w:rsidRPr="003F5BA3">
        <w:rPr>
          <w:rFonts w:ascii="Simplified Arabic" w:hAnsi="Simplified Arabic" w:cs="Simplified Arabic"/>
          <w:color w:val="000000" w:themeColor="text1"/>
          <w:sz w:val="28"/>
          <w:szCs w:val="28"/>
          <w:rtl/>
        </w:rPr>
        <w:t>خوقير</w:t>
      </w:r>
      <w:proofErr w:type="spellEnd"/>
      <w:r w:rsidRPr="003F5BA3">
        <w:rPr>
          <w:rFonts w:ascii="Simplified Arabic" w:hAnsi="Simplified Arabic" w:cs="Simplified Arabic"/>
          <w:color w:val="000000" w:themeColor="text1"/>
          <w:sz w:val="28"/>
          <w:szCs w:val="28"/>
          <w:rtl/>
        </w:rPr>
        <w:t xml:space="preserve"> والزامل، 2023) أن الاستعمالات المجاورة كالمنشآت التعليمية تُؤثّر تأثيرًا واضحًا على مستوى إيجارات الوحدات القريبة منها، بحيث يُصبح المحيط العمراني عاملًا حاسمًا في تكوين الإيجار. ويتقاطع مع هذا الطرح ما يُشير إليه</w:t>
      </w:r>
      <w:r w:rsidRPr="003F5BA3">
        <w:rPr>
          <w:rFonts w:ascii="Simplified Arabic" w:hAnsi="Simplified Arabic" w:cs="Simplified Arabic"/>
          <w:color w:val="000000" w:themeColor="text1"/>
          <w:sz w:val="28"/>
          <w:szCs w:val="28"/>
        </w:rPr>
        <w:t xml:space="preserve"> (Su et al., 2021) </w:t>
      </w:r>
      <w:r w:rsidRPr="003F5BA3">
        <w:rPr>
          <w:rFonts w:ascii="Simplified Arabic" w:hAnsi="Simplified Arabic" w:cs="Simplified Arabic"/>
          <w:color w:val="000000" w:themeColor="text1"/>
          <w:sz w:val="28"/>
          <w:szCs w:val="28"/>
          <w:rtl/>
        </w:rPr>
        <w:t>من أن التنمية المُوجَّهة بالنقل تُشكّل عاملًا مؤثّرًا في أسعار الإيجارات في المدن الكبرى، حيث ترتفع إيجارات الوحدات القريبة من محاور النقل الرئيسة. ويُكمّل ذلك ما يطرحه</w:t>
      </w:r>
      <w:r w:rsidRPr="003F5BA3">
        <w:rPr>
          <w:rFonts w:ascii="Simplified Arabic" w:hAnsi="Simplified Arabic" w:cs="Simplified Arabic"/>
          <w:color w:val="000000" w:themeColor="text1"/>
          <w:sz w:val="28"/>
          <w:szCs w:val="28"/>
        </w:rPr>
        <w:t xml:space="preserve"> (Oyedeji </w:t>
      </w:r>
      <w:r w:rsidRPr="003F5BA3">
        <w:rPr>
          <w:rFonts w:ascii="Simplified Arabic" w:hAnsi="Simplified Arabic" w:cs="Simplified Arabic"/>
          <w:color w:val="000000" w:themeColor="text1"/>
          <w:sz w:val="28"/>
          <w:szCs w:val="28"/>
        </w:rPr>
        <w:lastRenderedPageBreak/>
        <w:t xml:space="preserve">&amp; </w:t>
      </w:r>
      <w:proofErr w:type="spellStart"/>
      <w:r w:rsidRPr="003F5BA3">
        <w:rPr>
          <w:rFonts w:ascii="Simplified Arabic" w:hAnsi="Simplified Arabic" w:cs="Simplified Arabic"/>
          <w:color w:val="000000" w:themeColor="text1"/>
          <w:sz w:val="28"/>
          <w:szCs w:val="28"/>
        </w:rPr>
        <w:t>Olorunisola</w:t>
      </w:r>
      <w:proofErr w:type="spellEnd"/>
      <w:r w:rsidRPr="003F5BA3">
        <w:rPr>
          <w:rFonts w:ascii="Simplified Arabic" w:hAnsi="Simplified Arabic" w:cs="Simplified Arabic"/>
          <w:color w:val="000000" w:themeColor="text1"/>
          <w:sz w:val="28"/>
          <w:szCs w:val="28"/>
        </w:rPr>
        <w:t xml:space="preserve">, 2024) </w:t>
      </w:r>
      <w:r w:rsidRPr="003F5BA3">
        <w:rPr>
          <w:rFonts w:ascii="Simplified Arabic" w:hAnsi="Simplified Arabic" w:cs="Simplified Arabic"/>
          <w:color w:val="000000" w:themeColor="text1"/>
          <w:sz w:val="28"/>
          <w:szCs w:val="28"/>
          <w:rtl/>
        </w:rPr>
        <w:t>من أن التوسّع في الطرق يُؤثّر بصورة مباشرة على القيمة الإيجارية للعقارات السكنية، بما يُبرز أن البنية التحتية للنقل تُشكّل بُعدًا حاسمًا في تحديد الإيجار</w:t>
      </w:r>
      <w:r w:rsidRPr="003F5BA3">
        <w:rPr>
          <w:rFonts w:ascii="Simplified Arabic" w:hAnsi="Simplified Arabic" w:cs="Simplified Arabic"/>
          <w:color w:val="000000" w:themeColor="text1"/>
          <w:sz w:val="28"/>
          <w:szCs w:val="28"/>
        </w:rPr>
        <w:t>.</w:t>
      </w:r>
    </w:p>
    <w:p w14:paraId="2DCB8BEE"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البُعد الثالث: الإطار التنظيمي والقانوني</w:t>
      </w:r>
      <w:r w:rsidRPr="003F5BA3">
        <w:rPr>
          <w:rFonts w:ascii="Simplified Arabic" w:hAnsi="Simplified Arabic" w:cs="Simplified Arabic"/>
          <w:color w:val="000000" w:themeColor="text1"/>
          <w:sz w:val="28"/>
          <w:szCs w:val="28"/>
        </w:rPr>
        <w:t xml:space="preserve">. </w:t>
      </w:r>
      <w:r w:rsidRPr="003F5BA3">
        <w:rPr>
          <w:rFonts w:ascii="Simplified Arabic" w:hAnsi="Simplified Arabic" w:cs="Simplified Arabic"/>
          <w:color w:val="000000" w:themeColor="text1"/>
          <w:sz w:val="28"/>
          <w:szCs w:val="28"/>
          <w:rtl/>
        </w:rPr>
        <w:t>يُشكّل هذا البُعد إطارًا حاكمًا للسوق الإيجاري، إذ إن التشريعات المُنظِّمة للإيجار تُحدّد سقف الأسعار وطبيعة العلاقة التعاقدية وحقوق الأطراف. ويُبرز</w:t>
      </w:r>
      <w:r w:rsidRPr="003F5BA3">
        <w:rPr>
          <w:rFonts w:ascii="Simplified Arabic" w:hAnsi="Simplified Arabic" w:cs="Simplified Arabic"/>
          <w:color w:val="000000" w:themeColor="text1"/>
          <w:sz w:val="28"/>
          <w:szCs w:val="28"/>
        </w:rPr>
        <w:t xml:space="preserve"> (Pinto Hern</w:t>
      </w:r>
      <w:r w:rsidRPr="003F5BA3">
        <w:rPr>
          <w:rFonts w:ascii="Cambria" w:hAnsi="Cambria" w:cs="Cambria"/>
          <w:color w:val="000000" w:themeColor="text1"/>
          <w:sz w:val="28"/>
          <w:szCs w:val="28"/>
        </w:rPr>
        <w:t>á</w:t>
      </w:r>
      <w:r w:rsidRPr="003F5BA3">
        <w:rPr>
          <w:rFonts w:ascii="Simplified Arabic" w:hAnsi="Simplified Arabic" w:cs="Simplified Arabic"/>
          <w:color w:val="000000" w:themeColor="text1"/>
          <w:sz w:val="28"/>
          <w:szCs w:val="28"/>
        </w:rPr>
        <w:t xml:space="preserve">ndez et al., 2026) </w:t>
      </w:r>
      <w:r w:rsidRPr="003F5BA3">
        <w:rPr>
          <w:rFonts w:ascii="Simplified Arabic" w:hAnsi="Simplified Arabic" w:cs="Simplified Arabic"/>
          <w:color w:val="000000" w:themeColor="text1"/>
          <w:sz w:val="28"/>
          <w:szCs w:val="28"/>
          <w:rtl/>
        </w:rPr>
        <w:t>أن التدخّلات التشريعية الحديثة في تنظيم الإيجارات تُشكّل عاملًا مؤثّرًا في مستوى القيمة الإيجارية السائدة، وأن سلوك الفاعلين في السوق يستجيب لهذه التدخّلات بأشكال متعدّدة. ويتقاطع مع هذا الطرح ما تُشير إليه (نوارة، 2021) من أن آليات الإيجار الجديدة، كالإيجار المفضي إلى التملّك، تُعيد تشكيل السوق التأجيري وتُؤثّر على مستوى الإيجارات وسرعة إتمام الصفقات. ويُبرز (فاتح، 2021) بُعدًا آخر لهذا الإطار يتّصل بأثر الظروف الاستثنائية على التزام المستأجر بسداد الإيجار، بما يُعزّز فهم البعد التنظيمي للقيمة الإيجارية</w:t>
      </w:r>
      <w:r w:rsidRPr="003F5BA3">
        <w:rPr>
          <w:rFonts w:ascii="Simplified Arabic" w:hAnsi="Simplified Arabic" w:cs="Simplified Arabic"/>
          <w:color w:val="000000" w:themeColor="text1"/>
          <w:sz w:val="28"/>
          <w:szCs w:val="28"/>
        </w:rPr>
        <w:t>.</w:t>
      </w:r>
    </w:p>
    <w:p w14:paraId="74C3E626"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البُعد الرابع: العوامل الاقتصادية العامة والقطاعية</w:t>
      </w:r>
      <w:r w:rsidRPr="003F5BA3">
        <w:rPr>
          <w:rFonts w:ascii="Simplified Arabic" w:hAnsi="Simplified Arabic" w:cs="Simplified Arabic"/>
          <w:color w:val="000000" w:themeColor="text1"/>
          <w:sz w:val="28"/>
          <w:szCs w:val="28"/>
        </w:rPr>
        <w:t xml:space="preserve">. </w:t>
      </w:r>
      <w:r w:rsidRPr="003F5BA3">
        <w:rPr>
          <w:rFonts w:ascii="Simplified Arabic" w:hAnsi="Simplified Arabic" w:cs="Simplified Arabic"/>
          <w:color w:val="000000" w:themeColor="text1"/>
          <w:sz w:val="28"/>
          <w:szCs w:val="28"/>
          <w:rtl/>
        </w:rPr>
        <w:t>يشمل هذا البُعد مستوى الدخل السائد في السوق ومعدّلات التضخّم وأسعار الفائدة وأداء الاقتصاد الكلّي، فضلًا عن العوامل الخاصة بقطاع العقارات. ويُبرز</w:t>
      </w:r>
      <w:r w:rsidRPr="003F5BA3">
        <w:rPr>
          <w:rFonts w:ascii="Simplified Arabic" w:hAnsi="Simplified Arabic" w:cs="Simplified Arabic"/>
          <w:color w:val="000000" w:themeColor="text1"/>
          <w:sz w:val="28"/>
          <w:szCs w:val="28"/>
        </w:rPr>
        <w:t xml:space="preserve"> (Chen et al., 2022) </w:t>
      </w:r>
      <w:r w:rsidRPr="003F5BA3">
        <w:rPr>
          <w:rFonts w:ascii="Simplified Arabic" w:hAnsi="Simplified Arabic" w:cs="Simplified Arabic"/>
          <w:color w:val="000000" w:themeColor="text1"/>
          <w:sz w:val="28"/>
          <w:szCs w:val="28"/>
          <w:rtl/>
        </w:rPr>
        <w:t>أن أنماط التمويل الحديثة، كنموذج التأجير طويل الأجل خفيف الأصول، تُشكّل عاملًا مؤثّرًا في ديناميكية السوق الإيجاري، بحيث يُصبح البعد المالي محدّدًا مباشرًا لمستوى الإيجار وسرعة التأجير. ويُكمّل ذلك ما يُشير إليه (الحفني، 2025) من أن العوامل الاقتصادية القطاعية تُؤثّر تأثيرًا خاصًا على القيمة الإيجارية للأصول ذات الطبيعة الخاصة كالأراضي الزراعية، بما يُبرز خصوصية العوامل الاقتصادية بحسب طبيعة الأصل</w:t>
      </w:r>
      <w:r w:rsidRPr="003F5BA3">
        <w:rPr>
          <w:rFonts w:ascii="Simplified Arabic" w:hAnsi="Simplified Arabic" w:cs="Simplified Arabic"/>
          <w:color w:val="000000" w:themeColor="text1"/>
          <w:sz w:val="28"/>
          <w:szCs w:val="28"/>
        </w:rPr>
        <w:t>.</w:t>
      </w:r>
    </w:p>
    <w:p w14:paraId="1A6144F4"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البُعد الخامس: أنماط الملكية والفاعلون في السوق</w:t>
      </w:r>
      <w:r w:rsidRPr="003F5BA3">
        <w:rPr>
          <w:rFonts w:ascii="Simplified Arabic" w:hAnsi="Simplified Arabic" w:cs="Simplified Arabic"/>
          <w:color w:val="000000" w:themeColor="text1"/>
          <w:sz w:val="28"/>
          <w:szCs w:val="28"/>
        </w:rPr>
        <w:t xml:space="preserve">. </w:t>
      </w:r>
      <w:r w:rsidRPr="003F5BA3">
        <w:rPr>
          <w:rFonts w:ascii="Simplified Arabic" w:hAnsi="Simplified Arabic" w:cs="Simplified Arabic"/>
          <w:color w:val="000000" w:themeColor="text1"/>
          <w:sz w:val="28"/>
          <w:szCs w:val="28"/>
          <w:rtl/>
        </w:rPr>
        <w:t>يُشكّل نمط ملكية العقار عاملًا مؤثّرًا في قرارات التسعير الإيجاري وسرعة التأجير. ويُبرز</w:t>
      </w:r>
      <w:r w:rsidRPr="003F5BA3">
        <w:rPr>
          <w:rFonts w:ascii="Simplified Arabic" w:hAnsi="Simplified Arabic" w:cs="Simplified Arabic"/>
          <w:color w:val="000000" w:themeColor="text1"/>
          <w:sz w:val="28"/>
          <w:szCs w:val="28"/>
        </w:rPr>
        <w:t xml:space="preserve"> (An et al., 2024) </w:t>
      </w:r>
      <w:r w:rsidRPr="003F5BA3">
        <w:rPr>
          <w:rFonts w:ascii="Simplified Arabic" w:hAnsi="Simplified Arabic" w:cs="Simplified Arabic"/>
          <w:color w:val="000000" w:themeColor="text1"/>
          <w:sz w:val="28"/>
          <w:szCs w:val="28"/>
          <w:rtl/>
        </w:rPr>
        <w:t>أن تركّز الملكية في يد كيانات كبرى يُؤثّر على قرارات التسعير في السوق الإيجاري، بحيث يُصبح فهم أنماط الملكية شرطًا لفهم السوق. ويتقاطع مع هذا الطرح ما تطرحه</w:t>
      </w:r>
      <w:r w:rsidRPr="003F5BA3">
        <w:rPr>
          <w:rFonts w:ascii="Simplified Arabic" w:hAnsi="Simplified Arabic" w:cs="Simplified Arabic"/>
          <w:color w:val="000000" w:themeColor="text1"/>
          <w:sz w:val="28"/>
          <w:szCs w:val="28"/>
        </w:rPr>
        <w:t xml:space="preserve"> (Mangold et al., 2023) </w:t>
      </w:r>
      <w:r w:rsidRPr="003F5BA3">
        <w:rPr>
          <w:rFonts w:ascii="Simplified Arabic" w:hAnsi="Simplified Arabic" w:cs="Simplified Arabic"/>
          <w:color w:val="000000" w:themeColor="text1"/>
          <w:sz w:val="28"/>
          <w:szCs w:val="28"/>
          <w:rtl/>
        </w:rPr>
        <w:t>من أن نمط ملكية العقار يُؤثّر على قرارات التجديد وزيادات الإيجار، بحيث يُصبح نمط الملكية محدّدًا مركّبًا يجمع بين قرار التطوير وقرار التسعير</w:t>
      </w:r>
      <w:r w:rsidRPr="003F5BA3">
        <w:rPr>
          <w:rFonts w:ascii="Simplified Arabic" w:hAnsi="Simplified Arabic" w:cs="Simplified Arabic"/>
          <w:color w:val="000000" w:themeColor="text1"/>
          <w:sz w:val="28"/>
          <w:szCs w:val="28"/>
        </w:rPr>
        <w:t>.</w:t>
      </w:r>
    </w:p>
    <w:p w14:paraId="209F15F1"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البُعد السادس: رضا المستأجر وجودة الخدمة</w:t>
      </w:r>
      <w:r w:rsidRPr="003F5BA3">
        <w:rPr>
          <w:rFonts w:ascii="Simplified Arabic" w:hAnsi="Simplified Arabic" w:cs="Simplified Arabic"/>
          <w:color w:val="000000" w:themeColor="text1"/>
          <w:sz w:val="28"/>
          <w:szCs w:val="28"/>
        </w:rPr>
        <w:t xml:space="preserve">. </w:t>
      </w:r>
      <w:r w:rsidRPr="003F5BA3">
        <w:rPr>
          <w:rFonts w:ascii="Simplified Arabic" w:hAnsi="Simplified Arabic" w:cs="Simplified Arabic"/>
          <w:color w:val="000000" w:themeColor="text1"/>
          <w:sz w:val="28"/>
          <w:szCs w:val="28"/>
          <w:rtl/>
        </w:rPr>
        <w:t>يُشكّل هذا البُعد محدّدًا تشغيليًا للقيمة الإيجارية وسرعة التأجير، إذ إن رضا المستأجر عن الوحدة والخدمات المرتبطة بها يُؤثّر على استعداده لدفع إيجار أعلى وعلى استقرار العلاقة الإيجارية. ويُبرز</w:t>
      </w:r>
      <w:r w:rsidRPr="003F5BA3">
        <w:rPr>
          <w:rFonts w:ascii="Simplified Arabic" w:hAnsi="Simplified Arabic" w:cs="Simplified Arabic"/>
          <w:color w:val="000000" w:themeColor="text1"/>
          <w:sz w:val="28"/>
          <w:szCs w:val="28"/>
        </w:rPr>
        <w:t xml:space="preserve"> (Hu et al., 2024) </w:t>
      </w:r>
      <w:r w:rsidRPr="003F5BA3">
        <w:rPr>
          <w:rFonts w:ascii="Simplified Arabic" w:hAnsi="Simplified Arabic" w:cs="Simplified Arabic"/>
          <w:color w:val="000000" w:themeColor="text1"/>
          <w:sz w:val="28"/>
          <w:szCs w:val="28"/>
          <w:rtl/>
        </w:rPr>
        <w:t xml:space="preserve">أن رضا المستأجر يُشكّل محدّدًا مباشرًا </w:t>
      </w:r>
      <w:r w:rsidRPr="003F5BA3">
        <w:rPr>
          <w:rFonts w:ascii="Simplified Arabic" w:hAnsi="Simplified Arabic" w:cs="Simplified Arabic"/>
          <w:color w:val="000000" w:themeColor="text1"/>
          <w:sz w:val="28"/>
          <w:szCs w:val="28"/>
          <w:rtl/>
        </w:rPr>
        <w:lastRenderedPageBreak/>
        <w:t xml:space="preserve">لأداء المبنى التجاري، بما يشمل قدرته على الاحتفاظ بالمستأجرين وسرعة إعادة التأجير عند شغور الوحدات. ويُكمّل ذلك ما يُشير إليه (البداح </w:t>
      </w:r>
      <w:proofErr w:type="spellStart"/>
      <w:r w:rsidRPr="003F5BA3">
        <w:rPr>
          <w:rFonts w:ascii="Simplified Arabic" w:hAnsi="Simplified Arabic" w:cs="Simplified Arabic"/>
          <w:color w:val="000000" w:themeColor="text1"/>
          <w:sz w:val="28"/>
          <w:szCs w:val="28"/>
          <w:rtl/>
        </w:rPr>
        <w:t>والحاثلول</w:t>
      </w:r>
      <w:proofErr w:type="spellEnd"/>
      <w:r w:rsidRPr="003F5BA3">
        <w:rPr>
          <w:rFonts w:ascii="Simplified Arabic" w:hAnsi="Simplified Arabic" w:cs="Simplified Arabic"/>
          <w:color w:val="000000" w:themeColor="text1"/>
          <w:sz w:val="28"/>
          <w:szCs w:val="28"/>
          <w:rtl/>
        </w:rPr>
        <w:t>، 2022) من أن تكلفة التطوير العقاري وطبيعة الجهة المُطوِّرة تُؤثّران على مستوى الخدمة المُقدَّمة للمستأجر، وبالتالي على القيمة الإيجارية السائدة</w:t>
      </w:r>
      <w:r w:rsidRPr="003F5BA3">
        <w:rPr>
          <w:rFonts w:ascii="Simplified Arabic" w:hAnsi="Simplified Arabic" w:cs="Simplified Arabic"/>
          <w:color w:val="000000" w:themeColor="text1"/>
          <w:sz w:val="28"/>
          <w:szCs w:val="28"/>
        </w:rPr>
        <w:t>.</w:t>
      </w:r>
    </w:p>
    <w:p w14:paraId="1219751A" w14:textId="14BCD291" w:rsidR="009011CA" w:rsidRPr="003F5BA3" w:rsidRDefault="00D103B0" w:rsidP="00D103B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3" w:name="_Toc233932476"/>
      <w:r w:rsidRPr="003F5BA3">
        <w:rPr>
          <w:rFonts w:ascii="Simplified Arabic" w:hAnsi="Simplified Arabic" w:cs="Simplified Arabic" w:hint="cs"/>
          <w:b/>
          <w:bCs/>
          <w:color w:val="000000" w:themeColor="text1"/>
          <w:sz w:val="32"/>
          <w:szCs w:val="32"/>
          <w:rtl/>
        </w:rPr>
        <w:t xml:space="preserve">6.2.2 </w:t>
      </w:r>
      <w:r w:rsidR="009011CA" w:rsidRPr="003F5BA3">
        <w:rPr>
          <w:rFonts w:ascii="Simplified Arabic" w:hAnsi="Simplified Arabic" w:cs="Simplified Arabic"/>
          <w:b/>
          <w:bCs/>
          <w:color w:val="000000" w:themeColor="text1"/>
          <w:sz w:val="32"/>
          <w:szCs w:val="32"/>
          <w:rtl/>
        </w:rPr>
        <w:t>استراتيجيات تعزيز القيمة الإيجارية وسرعة التأجير</w:t>
      </w:r>
      <w:bookmarkEnd w:id="53"/>
    </w:p>
    <w:p w14:paraId="75AE22E9"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تتعدّد الاستراتيجيات التي يمكن اعتمادها لتعزيز القيمة الإيجارية وسرعة التأجير، وتتباين بحسب طبيعة السوق وخصائص الأصل والفاعلين المستهدَفين. وتبرز في هذا الإطار استراتيجية التسعير الديناميكي التي تعتمد على استخدام النماذج القياسية الحديثة، بما فيها خوارزميات تعلّم الآلة، لتحديد الإيجار الأمثل الذي يوازن بين تحقيق أعلى عائد وضمان سرعة التأجير</w:t>
      </w:r>
      <w:r w:rsidRPr="003F5BA3">
        <w:rPr>
          <w:rFonts w:ascii="Simplified Arabic" w:hAnsi="Simplified Arabic" w:cs="Simplified Arabic"/>
          <w:color w:val="000000" w:themeColor="text1"/>
          <w:sz w:val="28"/>
          <w:szCs w:val="28"/>
        </w:rPr>
        <w:t xml:space="preserve"> (Ho et al., 2021). </w:t>
      </w:r>
      <w:r w:rsidRPr="003F5BA3">
        <w:rPr>
          <w:rFonts w:ascii="Simplified Arabic" w:hAnsi="Simplified Arabic" w:cs="Simplified Arabic"/>
          <w:color w:val="000000" w:themeColor="text1"/>
          <w:sz w:val="28"/>
          <w:szCs w:val="28"/>
          <w:rtl/>
        </w:rPr>
        <w:t>وتتكامل مع هذه الاستراتيجية استراتيجية التمييز السوقي التي تستهدف تمييز الأصل عن نظرائه في السوق عبر مزايا تنافسية واضحة تُبرّر إيجارًا أعلى وتُقلّص فترة شغور الوحدة</w:t>
      </w:r>
      <w:r w:rsidRPr="003F5BA3">
        <w:rPr>
          <w:rFonts w:ascii="Simplified Arabic" w:hAnsi="Simplified Arabic" w:cs="Simplified Arabic"/>
          <w:color w:val="000000" w:themeColor="text1"/>
          <w:sz w:val="28"/>
          <w:szCs w:val="28"/>
        </w:rPr>
        <w:t>.</w:t>
      </w:r>
    </w:p>
    <w:p w14:paraId="347E34E3"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 xml:space="preserve">كما تبرز استراتيجية </w:t>
      </w:r>
      <w:proofErr w:type="spellStart"/>
      <w:r w:rsidRPr="003F5BA3">
        <w:rPr>
          <w:rFonts w:ascii="Simplified Arabic" w:hAnsi="Simplified Arabic" w:cs="Simplified Arabic"/>
          <w:color w:val="000000" w:themeColor="text1"/>
          <w:sz w:val="28"/>
          <w:szCs w:val="28"/>
          <w:rtl/>
        </w:rPr>
        <w:t>الرقمنة</w:t>
      </w:r>
      <w:proofErr w:type="spellEnd"/>
      <w:r w:rsidRPr="003F5BA3">
        <w:rPr>
          <w:rFonts w:ascii="Simplified Arabic" w:hAnsi="Simplified Arabic" w:cs="Simplified Arabic"/>
          <w:color w:val="000000" w:themeColor="text1"/>
          <w:sz w:val="28"/>
          <w:szCs w:val="28"/>
          <w:rtl/>
        </w:rPr>
        <w:t xml:space="preserve"> في إدارة الإيجارات، التي تعتمد على استخدام التقنيات الرقمية الحديثة في إدارة الأصل وتسويقه وإتمام التعاقد عليه، بما يُوسّع نطاق الوصول إلى المستأجرين المحتملين ويُقلّص من الأعباء الإجرائية للتعاقد (الرحيلي، 2020). وتتكامل معها استراتيجية إدارة تجربة المستأجر التي تستهدف رفع مستوى رضاه عن الوحدة والخدمات المرتبطة بها، بما يُعزّز استعداده لتجديد التعاقد ولدفع إيجار أعلى</w:t>
      </w:r>
      <w:r w:rsidRPr="003F5BA3">
        <w:rPr>
          <w:rFonts w:ascii="Simplified Arabic" w:hAnsi="Simplified Arabic" w:cs="Simplified Arabic"/>
          <w:color w:val="000000" w:themeColor="text1"/>
          <w:sz w:val="28"/>
          <w:szCs w:val="28"/>
        </w:rPr>
        <w:t xml:space="preserve"> (Hu et al., 2024).</w:t>
      </w:r>
    </w:p>
    <w:p w14:paraId="68BFC633" w14:textId="77777777" w:rsidR="009011CA" w:rsidRPr="003F5BA3" w:rsidRDefault="009011CA" w:rsidP="006C11E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F5BA3">
        <w:rPr>
          <w:rFonts w:ascii="Simplified Arabic" w:hAnsi="Simplified Arabic" w:cs="Simplified Arabic"/>
          <w:color w:val="000000" w:themeColor="text1"/>
          <w:sz w:val="28"/>
          <w:szCs w:val="28"/>
          <w:rtl/>
        </w:rPr>
        <w:t>وتُطرح كذلك استراتيجية الاستجابة للتحولات التشريعية، التي تنطلق من متابعة دقيقة للتطوّرات القانونية المُنظِّمة للسوق الإيجاري، وتكييف قرارات التسعير والتأجير معها بما يضمن الامتثال ويُحقّق الاستدامة للعائد الإيجاري</w:t>
      </w:r>
      <w:r w:rsidRPr="003F5BA3">
        <w:rPr>
          <w:rFonts w:ascii="Simplified Arabic" w:hAnsi="Simplified Arabic" w:cs="Simplified Arabic"/>
          <w:color w:val="000000" w:themeColor="text1"/>
          <w:sz w:val="28"/>
          <w:szCs w:val="28"/>
        </w:rPr>
        <w:t xml:space="preserve"> (Pinto Hern</w:t>
      </w:r>
      <w:r w:rsidRPr="003F5BA3">
        <w:rPr>
          <w:rFonts w:ascii="Cambria" w:hAnsi="Cambria" w:cs="Cambria"/>
          <w:color w:val="000000" w:themeColor="text1"/>
          <w:sz w:val="28"/>
          <w:szCs w:val="28"/>
        </w:rPr>
        <w:t>á</w:t>
      </w:r>
      <w:r w:rsidRPr="003F5BA3">
        <w:rPr>
          <w:rFonts w:ascii="Simplified Arabic" w:hAnsi="Simplified Arabic" w:cs="Simplified Arabic"/>
          <w:color w:val="000000" w:themeColor="text1"/>
          <w:sz w:val="28"/>
          <w:szCs w:val="28"/>
        </w:rPr>
        <w:t xml:space="preserve">ndez et al., 2026). </w:t>
      </w:r>
      <w:r w:rsidRPr="003F5BA3">
        <w:rPr>
          <w:rFonts w:ascii="Simplified Arabic" w:hAnsi="Simplified Arabic" w:cs="Simplified Arabic"/>
          <w:color w:val="000000" w:themeColor="text1"/>
          <w:sz w:val="28"/>
          <w:szCs w:val="28"/>
          <w:rtl/>
        </w:rPr>
        <w:t>وأخيرًا تبرز استراتيجية التموضع المك</w:t>
      </w:r>
    </w:p>
    <w:p w14:paraId="460AE224" w14:textId="02AAF761" w:rsidR="008C622B" w:rsidRPr="003F5BA3" w:rsidRDefault="00D103B0" w:rsidP="007F2F78">
      <w:pPr>
        <w:jc w:val="center"/>
        <w:outlineLvl w:val="0"/>
        <w:rPr>
          <w:rFonts w:ascii="Simplified Arabic" w:hAnsi="Simplified Arabic" w:cs="Simplified Arabic"/>
          <w:b/>
          <w:bCs/>
          <w:color w:val="000000" w:themeColor="text1"/>
          <w:szCs w:val="28"/>
          <w:rtl/>
        </w:rPr>
        <w:sectPr w:rsidR="008C622B" w:rsidRPr="003F5BA3" w:rsidSect="00EA789F">
          <w:footerReference w:type="default" r:id="rId10"/>
          <w:pgSz w:w="11906" w:h="16838" w:code="9"/>
          <w:pgMar w:top="1134" w:right="1701" w:bottom="1134" w:left="1134" w:header="720" w:footer="720" w:gutter="0"/>
          <w:pgNumType w:start="1"/>
          <w:cols w:space="708"/>
          <w:bidi/>
          <w:rtlGutter/>
          <w:docGrid w:linePitch="360"/>
        </w:sectPr>
      </w:pPr>
      <w:r w:rsidRPr="003F5BA3">
        <w:rPr>
          <w:rFonts w:ascii="Simplified Arabic" w:hAnsi="Simplified Arabic" w:cs="Simplified Arabic"/>
          <w:b/>
          <w:bCs/>
          <w:color w:val="000000" w:themeColor="text1"/>
          <w:sz w:val="40"/>
          <w:szCs w:val="40"/>
          <w:rtl/>
        </w:rPr>
        <w:br w:type="page"/>
      </w:r>
      <w:bookmarkEnd w:id="19"/>
    </w:p>
    <w:p w14:paraId="1689A575" w14:textId="77777777" w:rsidR="00EA789F" w:rsidRPr="003F5BA3" w:rsidRDefault="00EA789F" w:rsidP="00EA789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F5BA3">
        <w:rPr>
          <w:rFonts w:asciiTheme="majorBidi" w:hAnsiTheme="majorBidi" w:cstheme="majorBidi"/>
          <w:b/>
          <w:bCs/>
          <w:noProof/>
          <w:color w:val="000000" w:themeColor="text1"/>
          <w:sz w:val="32"/>
          <w:szCs w:val="32"/>
        </w:rPr>
        <w:lastRenderedPageBreak/>
        <w:drawing>
          <wp:anchor distT="0" distB="0" distL="114300" distR="114300" simplePos="0" relativeHeight="251667456" behindDoc="1" locked="0" layoutInCell="1" allowOverlap="1" wp14:anchorId="08E73929" wp14:editId="337F4134">
            <wp:simplePos x="0" y="0"/>
            <wp:positionH relativeFrom="column">
              <wp:posOffset>4149090</wp:posOffset>
            </wp:positionH>
            <wp:positionV relativeFrom="paragraph">
              <wp:posOffset>0</wp:posOffset>
            </wp:positionV>
            <wp:extent cx="1491615" cy="1381125"/>
            <wp:effectExtent l="0" t="0" r="0" b="9525"/>
            <wp:wrapTight wrapText="bothSides">
              <wp:wrapPolygon edited="0">
                <wp:start x="0" y="0"/>
                <wp:lineTo x="0" y="21451"/>
                <wp:lineTo x="21241" y="21451"/>
                <wp:lineTo x="2124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1615" cy="1381125"/>
                    </a:xfrm>
                    <a:prstGeom prst="rect">
                      <a:avLst/>
                    </a:prstGeom>
                    <a:noFill/>
                  </pic:spPr>
                </pic:pic>
              </a:graphicData>
            </a:graphic>
            <wp14:sizeRelH relativeFrom="margin">
              <wp14:pctWidth>0</wp14:pctWidth>
            </wp14:sizeRelH>
            <wp14:sizeRelV relativeFrom="margin">
              <wp14:pctHeight>0</wp14:pctHeight>
            </wp14:sizeRelV>
          </wp:anchor>
        </w:drawing>
      </w:r>
      <w:r w:rsidRPr="003F5BA3">
        <w:rPr>
          <w:rFonts w:asciiTheme="majorBidi" w:eastAsia="Calibri" w:hAnsiTheme="majorBidi" w:cstheme="majorBidi"/>
          <w:b/>
          <w:bCs/>
          <w:color w:val="000000" w:themeColor="text1"/>
          <w:kern w:val="0"/>
          <w:sz w:val="32"/>
          <w:szCs w:val="32"/>
          <w:lang w:bidi="ar-EG"/>
          <w14:ligatures w14:val="none"/>
        </w:rPr>
        <w:t>Mid Ocean University</w:t>
      </w:r>
    </w:p>
    <w:p w14:paraId="399D457B" w14:textId="77777777" w:rsidR="00EA789F" w:rsidRPr="003F5BA3" w:rsidRDefault="00EA789F" w:rsidP="00EA789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F5BA3">
        <w:rPr>
          <w:rFonts w:asciiTheme="majorBidi" w:eastAsia="Calibri" w:hAnsiTheme="majorBidi" w:cstheme="majorBidi"/>
          <w:b/>
          <w:bCs/>
          <w:color w:val="000000" w:themeColor="text1"/>
          <w:kern w:val="0"/>
          <w:sz w:val="32"/>
          <w:szCs w:val="32"/>
          <w:lang w:bidi="ar-EG"/>
          <w14:ligatures w14:val="none"/>
        </w:rPr>
        <w:t>College of Management</w:t>
      </w:r>
    </w:p>
    <w:p w14:paraId="617F6090" w14:textId="77777777" w:rsidR="00EA789F" w:rsidRPr="003F5BA3" w:rsidRDefault="00EA789F" w:rsidP="00EA789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3F5BA3">
        <w:rPr>
          <w:rFonts w:asciiTheme="majorBidi" w:eastAsia="Calibri" w:hAnsiTheme="majorBidi" w:cstheme="majorBidi"/>
          <w:b/>
          <w:bCs/>
          <w:color w:val="000000" w:themeColor="text1"/>
          <w:kern w:val="0"/>
          <w:sz w:val="32"/>
          <w:szCs w:val="32"/>
          <w:lang w:bidi="ar-EG"/>
          <w14:ligatures w14:val="none"/>
        </w:rPr>
        <w:t xml:space="preserve">Department of </w:t>
      </w:r>
      <w:r w:rsidRPr="003F5BA3">
        <w:rPr>
          <w:rFonts w:asciiTheme="majorBidi" w:eastAsia="Calibri" w:hAnsiTheme="majorBidi" w:cstheme="majorBidi"/>
          <w:b/>
          <w:bCs/>
          <w:color w:val="000000" w:themeColor="text1"/>
          <w:kern w:val="0"/>
          <w:sz w:val="32"/>
          <w:szCs w:val="32"/>
          <w14:ligatures w14:val="none"/>
        </w:rPr>
        <w:t>Real Estate Management</w:t>
      </w:r>
    </w:p>
    <w:p w14:paraId="4EBEA6CE" w14:textId="77777777" w:rsidR="00EA789F" w:rsidRPr="003F5BA3" w:rsidRDefault="00EA789F" w:rsidP="00EA789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03121E5B" w14:textId="77777777" w:rsidR="00EA789F" w:rsidRPr="003F5BA3" w:rsidRDefault="00EA789F" w:rsidP="00EA789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3F5BA3">
        <w:rPr>
          <w:rFonts w:asciiTheme="majorBidi" w:eastAsia="Calibri" w:hAnsiTheme="majorBidi" w:cstheme="majorBidi"/>
          <w:b/>
          <w:bCs/>
          <w:color w:val="000000" w:themeColor="text1"/>
          <w:kern w:val="0"/>
          <w:sz w:val="36"/>
          <w:szCs w:val="36"/>
          <w:lang w:bidi="ar-EG"/>
          <w14:ligatures w14:val="none"/>
        </w:rPr>
        <w:t>The Impact of Property Development — in its Dimensions of Interior and Exterior Finish Quality, Periodic and Preventive Maintenance Efficiency, Functional and Aesthetic Improvements, and System and Infrastructure Upgrades — on Rental Value and Leasing Speed in the Saudi Rental Market</w:t>
      </w:r>
    </w:p>
    <w:p w14:paraId="65587D37" w14:textId="77777777" w:rsidR="006C11ED" w:rsidRPr="003F5BA3" w:rsidRDefault="006C11ED" w:rsidP="00EA789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692343A6" w14:textId="77777777" w:rsidR="00EA789F" w:rsidRPr="003F5BA3" w:rsidRDefault="00EA789F" w:rsidP="006C11E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3F5BA3">
        <w:rPr>
          <w:rFonts w:asciiTheme="majorBidi" w:eastAsia="Calibri" w:hAnsiTheme="majorBidi" w:cstheme="majorBidi"/>
          <w:b/>
          <w:bCs/>
          <w:color w:val="000000" w:themeColor="text1"/>
          <w:kern w:val="0"/>
          <w:sz w:val="36"/>
          <w:szCs w:val="36"/>
          <w:lang w:bidi="ar-EG"/>
          <w14:ligatures w14:val="none"/>
        </w:rPr>
        <w:t>Prepared by:</w:t>
      </w:r>
    </w:p>
    <w:p w14:paraId="410A8256" w14:textId="0C585345" w:rsidR="006C11ED" w:rsidRPr="003F5BA3" w:rsidRDefault="007A0DA9" w:rsidP="006C11E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b/>
          <w:bCs/>
          <w:color w:val="000000" w:themeColor="text1"/>
          <w:kern w:val="0"/>
          <w:sz w:val="36"/>
          <w:szCs w:val="36"/>
          <w:lang w:bidi="ar-EG"/>
          <w14:ligatures w14:val="none"/>
        </w:rPr>
        <w:t>SAAD ALI ALQAHTANI</w:t>
      </w:r>
    </w:p>
    <w:p w14:paraId="4B36FBBA" w14:textId="77777777" w:rsidR="006C11ED" w:rsidRPr="003F5BA3" w:rsidRDefault="006C11ED" w:rsidP="006C11E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W w:w="0" w:type="auto"/>
        <w:tblLook w:val="04A0" w:firstRow="1" w:lastRow="0" w:firstColumn="1" w:lastColumn="0" w:noHBand="0" w:noVBand="1"/>
      </w:tblPr>
      <w:tblGrid>
        <w:gridCol w:w="4530"/>
        <w:gridCol w:w="4531"/>
      </w:tblGrid>
      <w:tr w:rsidR="006C11ED" w:rsidRPr="003F5BA3" w14:paraId="25B1A2DF" w14:textId="77777777" w:rsidTr="00843197">
        <w:tc>
          <w:tcPr>
            <w:tcW w:w="4530" w:type="dxa"/>
          </w:tcPr>
          <w:p w14:paraId="6F1FB295" w14:textId="77777777" w:rsidR="006C11ED" w:rsidRPr="003F5BA3" w:rsidRDefault="006C11ED" w:rsidP="008431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F5BA3">
              <w:rPr>
                <w:rFonts w:asciiTheme="majorBidi" w:eastAsia="Calibri" w:hAnsiTheme="majorBidi" w:cstheme="majorBidi"/>
                <w:b/>
                <w:bCs/>
                <w:color w:val="000000" w:themeColor="text1"/>
                <w:kern w:val="0"/>
                <w:sz w:val="36"/>
                <w:szCs w:val="36"/>
                <w:lang w:bidi="ar-EG"/>
                <w14:ligatures w14:val="none"/>
              </w:rPr>
              <w:t>Main supervisor</w:t>
            </w:r>
            <w:r w:rsidRPr="003F5BA3">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E12E395" w14:textId="77777777" w:rsidR="006C11ED" w:rsidRPr="003F5BA3" w:rsidRDefault="006C11ED" w:rsidP="008431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F5BA3">
              <w:rPr>
                <w:rFonts w:asciiTheme="majorBidi" w:eastAsia="Calibri" w:hAnsiTheme="majorBidi" w:cstheme="majorBidi"/>
                <w:b/>
                <w:bCs/>
                <w:color w:val="000000" w:themeColor="text1"/>
                <w:kern w:val="0"/>
                <w:sz w:val="36"/>
                <w:szCs w:val="36"/>
                <w:lang w:bidi="ar-EG"/>
                <w14:ligatures w14:val="none"/>
              </w:rPr>
              <w:t>Second supervisor</w:t>
            </w:r>
            <w:r w:rsidRPr="003F5BA3">
              <w:rPr>
                <w:rFonts w:asciiTheme="majorBidi" w:eastAsia="Calibri" w:hAnsiTheme="majorBidi" w:cstheme="majorBidi"/>
                <w:b/>
                <w:bCs/>
                <w:color w:val="000000" w:themeColor="text1"/>
                <w:kern w:val="0"/>
                <w:sz w:val="36"/>
                <w:szCs w:val="36"/>
                <w:rtl/>
                <w:lang w:bidi="ar-EG"/>
                <w14:ligatures w14:val="none"/>
              </w:rPr>
              <w:t>/</w:t>
            </w:r>
          </w:p>
        </w:tc>
      </w:tr>
      <w:tr w:rsidR="006C11ED" w:rsidRPr="003F5BA3" w14:paraId="17966EC5" w14:textId="77777777" w:rsidTr="00843197">
        <w:tc>
          <w:tcPr>
            <w:tcW w:w="4530" w:type="dxa"/>
          </w:tcPr>
          <w:p w14:paraId="2AC21363" w14:textId="77777777" w:rsidR="006C11ED" w:rsidRPr="003F5BA3" w:rsidRDefault="006C11ED" w:rsidP="008431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F5BA3">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26E96A7" w14:textId="77777777" w:rsidR="006C11ED" w:rsidRPr="003F5BA3" w:rsidRDefault="006C11ED" w:rsidP="008431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F5BA3">
              <w:rPr>
                <w:rFonts w:asciiTheme="majorBidi" w:eastAsia="Calibri" w:hAnsiTheme="majorBidi" w:cstheme="majorBidi"/>
                <w:color w:val="000000" w:themeColor="text1"/>
                <w:kern w:val="0"/>
                <w:sz w:val="36"/>
                <w:szCs w:val="36"/>
                <w:lang w:bidi="ar-EG"/>
                <w14:ligatures w14:val="none"/>
              </w:rPr>
              <w:t>Dr. Fayez Jarad</w:t>
            </w:r>
          </w:p>
        </w:tc>
      </w:tr>
    </w:tbl>
    <w:p w14:paraId="012436D7" w14:textId="77777777" w:rsidR="006C11ED" w:rsidRPr="003F5BA3" w:rsidRDefault="006C11ED" w:rsidP="006C11ED">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3F5BA3">
        <w:rPr>
          <w:rFonts w:asciiTheme="majorBidi" w:eastAsia="Calibri" w:hAnsiTheme="majorBidi" w:cstheme="majorBidi"/>
          <w:color w:val="000000" w:themeColor="text1"/>
          <w:kern w:val="0"/>
          <w:sz w:val="36"/>
          <w:szCs w:val="36"/>
          <w:rtl/>
          <w:lang w:bidi="ar-EG"/>
          <w14:ligatures w14:val="none"/>
        </w:rPr>
        <w:t>1448 – 2026</w:t>
      </w:r>
    </w:p>
    <w:p w14:paraId="1763EA49" w14:textId="77777777" w:rsidR="006C11ED" w:rsidRPr="003F5BA3" w:rsidRDefault="006C11ED" w:rsidP="006C11E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12BFDC4D" w14:textId="77777777" w:rsidR="00EA789F" w:rsidRPr="003F5BA3" w:rsidRDefault="00EA789F" w:rsidP="00EA789F">
      <w:pPr>
        <w:bidi w:val="0"/>
        <w:spacing w:before="100" w:beforeAutospacing="1" w:after="100" w:afterAutospacing="1" w:line="276" w:lineRule="auto"/>
        <w:rPr>
          <w:rFonts w:ascii="Simplified Arabic" w:eastAsia="Calibri" w:hAnsi="Simplified Arabic" w:cs="Simplified Arabic"/>
          <w:color w:val="000000" w:themeColor="text1"/>
          <w:kern w:val="0"/>
          <w:sz w:val="28"/>
          <w:szCs w:val="28"/>
          <w:rtl/>
          <w:lang w:bidi="ar-EG"/>
          <w14:ligatures w14:val="none"/>
        </w:rPr>
      </w:pPr>
    </w:p>
    <w:p w14:paraId="253DB487" w14:textId="77777777" w:rsidR="00EA789F" w:rsidRPr="003F5BA3" w:rsidRDefault="00EA789F" w:rsidP="00EA789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E52896B" w14:textId="7269016A" w:rsidR="009125CE" w:rsidRPr="003F5BA3" w:rsidRDefault="009125CE" w:rsidP="00EA789F">
      <w:pPr>
        <w:pStyle w:val="a8"/>
        <w:bidi/>
        <w:spacing w:line="276" w:lineRule="auto"/>
        <w:jc w:val="both"/>
        <w:rPr>
          <w:rFonts w:ascii="Simplified Arabic" w:hAnsi="Simplified Arabic" w:cs="Simplified Arabic"/>
          <w:color w:val="000000" w:themeColor="text1"/>
          <w:sz w:val="28"/>
          <w:szCs w:val="28"/>
          <w:rtl/>
        </w:rPr>
      </w:pPr>
    </w:p>
    <w:sectPr w:rsidR="009125CE" w:rsidRPr="003F5BA3" w:rsidSect="00EA789F">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4536D" w14:textId="77777777" w:rsidR="00144A1C" w:rsidRDefault="00144A1C" w:rsidP="009125CE">
      <w:pPr>
        <w:spacing w:after="0" w:line="240" w:lineRule="auto"/>
      </w:pPr>
      <w:r>
        <w:separator/>
      </w:r>
    </w:p>
  </w:endnote>
  <w:endnote w:type="continuationSeparator" w:id="0">
    <w:p w14:paraId="7D6ACCFA" w14:textId="77777777" w:rsidR="00144A1C" w:rsidRDefault="00144A1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27B8EED1" w:rsidR="00267819" w:rsidRPr="00EA789F" w:rsidRDefault="00267819" w:rsidP="00EA789F">
    <w:pPr>
      <w:pStyle w:val="a4"/>
      <w:tabs>
        <w:tab w:val="left" w:pos="4259"/>
        <w:tab w:val="center" w:pos="4535"/>
      </w:tabs>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454762287"/>
      <w:docPartObj>
        <w:docPartGallery w:val="Page Numbers (Bottom of Page)"/>
        <w:docPartUnique/>
      </w:docPartObj>
    </w:sdtPr>
    <w:sdtEndPr>
      <w:rPr>
        <w:noProof/>
      </w:rPr>
    </w:sdtEndPr>
    <w:sdtContent>
      <w:p w14:paraId="46FB3FD2" w14:textId="77777777" w:rsidR="00267819" w:rsidRPr="00EA789F" w:rsidRDefault="00267819" w:rsidP="00EA789F">
        <w:pPr>
          <w:pStyle w:val="a4"/>
          <w:jc w:val="center"/>
          <w:rPr>
            <w:rFonts w:ascii="Simplified Arabic" w:hAnsi="Simplified Arabic" w:cs="Simplified Arabic"/>
            <w:b/>
            <w:bCs/>
            <w:sz w:val="24"/>
            <w:szCs w:val="24"/>
          </w:rPr>
        </w:pPr>
        <w:r w:rsidRPr="00EA789F">
          <w:rPr>
            <w:rFonts w:ascii="Simplified Arabic" w:hAnsi="Simplified Arabic" w:cs="Simplified Arabic"/>
            <w:b/>
            <w:bCs/>
            <w:sz w:val="24"/>
            <w:szCs w:val="24"/>
          </w:rPr>
          <w:fldChar w:fldCharType="begin"/>
        </w:r>
        <w:r w:rsidRPr="00EA789F">
          <w:rPr>
            <w:rFonts w:ascii="Simplified Arabic" w:hAnsi="Simplified Arabic" w:cs="Simplified Arabic"/>
            <w:b/>
            <w:bCs/>
            <w:sz w:val="24"/>
            <w:szCs w:val="24"/>
          </w:rPr>
          <w:instrText xml:space="preserve"> PAGE   \* MERGEFORMAT </w:instrText>
        </w:r>
        <w:r w:rsidRPr="00EA789F">
          <w:rPr>
            <w:rFonts w:ascii="Simplified Arabic" w:hAnsi="Simplified Arabic" w:cs="Simplified Arabic"/>
            <w:b/>
            <w:bCs/>
            <w:sz w:val="24"/>
            <w:szCs w:val="24"/>
          </w:rPr>
          <w:fldChar w:fldCharType="separate"/>
        </w:r>
        <w:r w:rsidR="007F2F78">
          <w:rPr>
            <w:rFonts w:ascii="Simplified Arabic" w:hAnsi="Simplified Arabic" w:cs="Simplified Arabic"/>
            <w:b/>
            <w:bCs/>
            <w:noProof/>
            <w:sz w:val="24"/>
            <w:szCs w:val="24"/>
            <w:rtl/>
          </w:rPr>
          <w:t>38</w:t>
        </w:r>
        <w:r w:rsidRPr="00EA789F">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997F2" w14:textId="1F4DA467" w:rsidR="00267819" w:rsidRPr="00EA789F" w:rsidRDefault="00267819" w:rsidP="008C622B">
    <w:pPr>
      <w:pStyle w:val="a4"/>
      <w:tabs>
        <w:tab w:val="left" w:pos="3611"/>
        <w:tab w:val="center" w:pos="4535"/>
      </w:tabs>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478EE" w14:textId="77777777" w:rsidR="00144A1C" w:rsidRDefault="00144A1C" w:rsidP="009125CE">
      <w:pPr>
        <w:spacing w:after="0" w:line="240" w:lineRule="auto"/>
      </w:pPr>
      <w:r>
        <w:separator/>
      </w:r>
    </w:p>
  </w:footnote>
  <w:footnote w:type="continuationSeparator" w:id="0">
    <w:p w14:paraId="3B801BE0" w14:textId="77777777" w:rsidR="00144A1C" w:rsidRDefault="00144A1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47F8"/>
    <w:multiLevelType w:val="hybridMultilevel"/>
    <w:tmpl w:val="8FC4C8FA"/>
    <w:lvl w:ilvl="0" w:tplc="407C5ED8">
      <w:numFmt w:val="bullet"/>
      <w:lvlText w:val="•"/>
      <w:lvlJc w:val="left"/>
      <w:pPr>
        <w:ind w:left="1440" w:hanging="720"/>
      </w:pPr>
      <w:rPr>
        <w:rFonts w:ascii="Simplified Arabic" w:eastAsia="Calibr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395BEE"/>
    <w:multiLevelType w:val="hybridMultilevel"/>
    <w:tmpl w:val="027CB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362B1F"/>
    <w:multiLevelType w:val="multilevel"/>
    <w:tmpl w:val="2444A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1685F"/>
    <w:multiLevelType w:val="hybridMultilevel"/>
    <w:tmpl w:val="A6D81B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161A39"/>
    <w:multiLevelType w:val="multilevel"/>
    <w:tmpl w:val="82E4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0C0099"/>
    <w:multiLevelType w:val="hybridMultilevel"/>
    <w:tmpl w:val="18C4713E"/>
    <w:lvl w:ilvl="0" w:tplc="407C5ED8">
      <w:numFmt w:val="bullet"/>
      <w:lvlText w:val="•"/>
      <w:lvlJc w:val="left"/>
      <w:pPr>
        <w:ind w:left="1080" w:hanging="72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731EEC"/>
    <w:multiLevelType w:val="hybridMultilevel"/>
    <w:tmpl w:val="040C8A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A63228"/>
    <w:multiLevelType w:val="hybridMultilevel"/>
    <w:tmpl w:val="A8C61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9D25F9"/>
    <w:multiLevelType w:val="hybridMultilevel"/>
    <w:tmpl w:val="E3BC3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8F776E"/>
    <w:multiLevelType w:val="hybridMultilevel"/>
    <w:tmpl w:val="20D267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84585D"/>
    <w:multiLevelType w:val="multilevel"/>
    <w:tmpl w:val="5C940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36215B"/>
    <w:multiLevelType w:val="hybridMultilevel"/>
    <w:tmpl w:val="C9EA9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4F4913"/>
    <w:multiLevelType w:val="hybridMultilevel"/>
    <w:tmpl w:val="5EB47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BF15CF"/>
    <w:multiLevelType w:val="hybridMultilevel"/>
    <w:tmpl w:val="D408B3E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5627D6"/>
    <w:multiLevelType w:val="hybridMultilevel"/>
    <w:tmpl w:val="D250E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033786"/>
    <w:multiLevelType w:val="multilevel"/>
    <w:tmpl w:val="B5760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713C64"/>
    <w:multiLevelType w:val="hybridMultilevel"/>
    <w:tmpl w:val="0E040B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D127FF8"/>
    <w:multiLevelType w:val="hybridMultilevel"/>
    <w:tmpl w:val="4A34376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E6407DB"/>
    <w:multiLevelType w:val="multilevel"/>
    <w:tmpl w:val="3928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B64F04"/>
    <w:multiLevelType w:val="hybridMultilevel"/>
    <w:tmpl w:val="059C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443357"/>
    <w:multiLevelType w:val="hybridMultilevel"/>
    <w:tmpl w:val="83FCEA5A"/>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4324300"/>
    <w:multiLevelType w:val="hybridMultilevel"/>
    <w:tmpl w:val="4650CF40"/>
    <w:lvl w:ilvl="0" w:tplc="407C5ED8">
      <w:numFmt w:val="bullet"/>
      <w:lvlText w:val="•"/>
      <w:lvlJc w:val="left"/>
      <w:pPr>
        <w:ind w:left="1440" w:hanging="720"/>
      </w:pPr>
      <w:rPr>
        <w:rFonts w:ascii="Simplified Arabic" w:eastAsia="Calibr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71575F0"/>
    <w:multiLevelType w:val="hybridMultilevel"/>
    <w:tmpl w:val="B784FC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2145D9"/>
    <w:multiLevelType w:val="hybridMultilevel"/>
    <w:tmpl w:val="D442A0A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61833400"/>
    <w:multiLevelType w:val="hybridMultilevel"/>
    <w:tmpl w:val="ED20768C"/>
    <w:lvl w:ilvl="0" w:tplc="04090001">
      <w:start w:val="1"/>
      <w:numFmt w:val="bullet"/>
      <w:lvlText w:val=""/>
      <w:lvlJc w:val="left"/>
      <w:pPr>
        <w:ind w:left="1080" w:hanging="360"/>
      </w:pPr>
      <w:rPr>
        <w:rFonts w:ascii="Symbol" w:hAnsi="Symbol" w:hint="default"/>
      </w:rPr>
    </w:lvl>
    <w:lvl w:ilvl="1" w:tplc="7D209B9C">
      <w:numFmt w:val="bullet"/>
      <w:lvlText w:val="•"/>
      <w:lvlJc w:val="left"/>
      <w:pPr>
        <w:ind w:left="2160" w:hanging="720"/>
      </w:pPr>
      <w:rPr>
        <w:rFonts w:ascii="Simplified Arabic" w:eastAsia="Calibri" w:hAnsi="Simplified Arabic" w:cs="Simplified Arabic"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1CB7244"/>
    <w:multiLevelType w:val="multilevel"/>
    <w:tmpl w:val="D81EB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5239EF"/>
    <w:multiLevelType w:val="hybridMultilevel"/>
    <w:tmpl w:val="AD7CDA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FF2539"/>
    <w:multiLevelType w:val="hybridMultilevel"/>
    <w:tmpl w:val="696E0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5C14A7"/>
    <w:multiLevelType w:val="hybridMultilevel"/>
    <w:tmpl w:val="DDF24F2C"/>
    <w:lvl w:ilvl="0" w:tplc="407C5ED8">
      <w:numFmt w:val="bullet"/>
      <w:lvlText w:val="•"/>
      <w:lvlJc w:val="left"/>
      <w:pPr>
        <w:ind w:left="1080" w:hanging="72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081FF4"/>
    <w:multiLevelType w:val="multilevel"/>
    <w:tmpl w:val="96F602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FBA117A"/>
    <w:multiLevelType w:val="hybridMultilevel"/>
    <w:tmpl w:val="F7343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47234E"/>
    <w:multiLevelType w:val="hybridMultilevel"/>
    <w:tmpl w:val="64685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75686B"/>
    <w:multiLevelType w:val="hybridMultilevel"/>
    <w:tmpl w:val="3498219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E54277E"/>
    <w:multiLevelType w:val="multilevel"/>
    <w:tmpl w:val="9902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065A1E"/>
    <w:multiLevelType w:val="multilevel"/>
    <w:tmpl w:val="827C3F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3762608">
    <w:abstractNumId w:val="16"/>
  </w:num>
  <w:num w:numId="2" w16cid:durableId="748498175">
    <w:abstractNumId w:val="26"/>
  </w:num>
  <w:num w:numId="3" w16cid:durableId="42491149">
    <w:abstractNumId w:val="36"/>
  </w:num>
  <w:num w:numId="4" w16cid:durableId="399838145">
    <w:abstractNumId w:val="39"/>
  </w:num>
  <w:num w:numId="5" w16cid:durableId="1667660759">
    <w:abstractNumId w:val="13"/>
  </w:num>
  <w:num w:numId="6" w16cid:durableId="1808816020">
    <w:abstractNumId w:val="31"/>
  </w:num>
  <w:num w:numId="7" w16cid:durableId="1551764886">
    <w:abstractNumId w:val="41"/>
  </w:num>
  <w:num w:numId="8" w16cid:durableId="1318388151">
    <w:abstractNumId w:val="4"/>
  </w:num>
  <w:num w:numId="9" w16cid:durableId="1761560181">
    <w:abstractNumId w:val="34"/>
  </w:num>
  <w:num w:numId="10" w16cid:durableId="1715539647">
    <w:abstractNumId w:val="42"/>
  </w:num>
  <w:num w:numId="11" w16cid:durableId="903875402">
    <w:abstractNumId w:val="15"/>
  </w:num>
  <w:num w:numId="12" w16cid:durableId="1965381486">
    <w:abstractNumId w:val="18"/>
  </w:num>
  <w:num w:numId="13" w16cid:durableId="839391818">
    <w:abstractNumId w:val="11"/>
  </w:num>
  <w:num w:numId="14" w16cid:durableId="126553379">
    <w:abstractNumId w:val="7"/>
  </w:num>
  <w:num w:numId="15" w16cid:durableId="2018729614">
    <w:abstractNumId w:val="22"/>
  </w:num>
  <w:num w:numId="16" w16cid:durableId="772821028">
    <w:abstractNumId w:val="28"/>
  </w:num>
  <w:num w:numId="17" w16cid:durableId="109864757">
    <w:abstractNumId w:val="23"/>
  </w:num>
  <w:num w:numId="18" w16cid:durableId="1043361016">
    <w:abstractNumId w:val="2"/>
  </w:num>
  <w:num w:numId="19" w16cid:durableId="859322727">
    <w:abstractNumId w:val="21"/>
  </w:num>
  <w:num w:numId="20" w16cid:durableId="181357447">
    <w:abstractNumId w:val="29"/>
  </w:num>
  <w:num w:numId="21" w16cid:durableId="641083654">
    <w:abstractNumId w:val="12"/>
  </w:num>
  <w:num w:numId="22" w16cid:durableId="1290163648">
    <w:abstractNumId w:val="14"/>
  </w:num>
  <w:num w:numId="23" w16cid:durableId="475073152">
    <w:abstractNumId w:val="27"/>
  </w:num>
  <w:num w:numId="24" w16cid:durableId="1908610177">
    <w:abstractNumId w:val="38"/>
  </w:num>
  <w:num w:numId="25" w16cid:durableId="100804800">
    <w:abstractNumId w:val="5"/>
  </w:num>
  <w:num w:numId="26" w16cid:durableId="1819179451">
    <w:abstractNumId w:val="33"/>
  </w:num>
  <w:num w:numId="27" w16cid:durableId="6685834">
    <w:abstractNumId w:val="0"/>
  </w:num>
  <w:num w:numId="28" w16cid:durableId="513884914">
    <w:abstractNumId w:val="24"/>
  </w:num>
  <w:num w:numId="29" w16cid:durableId="701056355">
    <w:abstractNumId w:val="40"/>
  </w:num>
  <w:num w:numId="30" w16cid:durableId="1895308236">
    <w:abstractNumId w:val="6"/>
  </w:num>
  <w:num w:numId="31" w16cid:durableId="696589474">
    <w:abstractNumId w:val="3"/>
  </w:num>
  <w:num w:numId="32" w16cid:durableId="1373072083">
    <w:abstractNumId w:val="30"/>
  </w:num>
  <w:num w:numId="33" w16cid:durableId="405030161">
    <w:abstractNumId w:val="8"/>
  </w:num>
  <w:num w:numId="34" w16cid:durableId="1748187313">
    <w:abstractNumId w:val="17"/>
  </w:num>
  <w:num w:numId="35" w16cid:durableId="2095934716">
    <w:abstractNumId w:val="1"/>
  </w:num>
  <w:num w:numId="36" w16cid:durableId="1038899385">
    <w:abstractNumId w:val="37"/>
  </w:num>
  <w:num w:numId="37" w16cid:durableId="287856542">
    <w:abstractNumId w:val="25"/>
  </w:num>
  <w:num w:numId="38" w16cid:durableId="1928996011">
    <w:abstractNumId w:val="32"/>
  </w:num>
  <w:num w:numId="39" w16cid:durableId="1627855266">
    <w:abstractNumId w:val="19"/>
  </w:num>
  <w:num w:numId="40" w16cid:durableId="1360543378">
    <w:abstractNumId w:val="9"/>
  </w:num>
  <w:num w:numId="41" w16cid:durableId="1346593862">
    <w:abstractNumId w:val="20"/>
  </w:num>
  <w:num w:numId="42" w16cid:durableId="577055253">
    <w:abstractNumId w:val="10"/>
  </w:num>
  <w:num w:numId="43" w16cid:durableId="1771271834">
    <w:abstractNumId w:val="3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06F57"/>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44A1C"/>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57B"/>
    <w:rsid w:val="00251BCA"/>
    <w:rsid w:val="00256363"/>
    <w:rsid w:val="00260558"/>
    <w:rsid w:val="0026283D"/>
    <w:rsid w:val="00267819"/>
    <w:rsid w:val="00270FB5"/>
    <w:rsid w:val="00274BDE"/>
    <w:rsid w:val="002766BC"/>
    <w:rsid w:val="00280068"/>
    <w:rsid w:val="002828EF"/>
    <w:rsid w:val="00286958"/>
    <w:rsid w:val="0029680E"/>
    <w:rsid w:val="002A32D6"/>
    <w:rsid w:val="002A365A"/>
    <w:rsid w:val="002A76B5"/>
    <w:rsid w:val="002B1274"/>
    <w:rsid w:val="002B616F"/>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749"/>
    <w:rsid w:val="00333A26"/>
    <w:rsid w:val="0033775D"/>
    <w:rsid w:val="00341565"/>
    <w:rsid w:val="0034173E"/>
    <w:rsid w:val="00341900"/>
    <w:rsid w:val="00343EE8"/>
    <w:rsid w:val="003575A0"/>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C4FF4"/>
    <w:rsid w:val="003D5D45"/>
    <w:rsid w:val="003D6376"/>
    <w:rsid w:val="003D7804"/>
    <w:rsid w:val="003E29FB"/>
    <w:rsid w:val="003E3EBB"/>
    <w:rsid w:val="003E7CB6"/>
    <w:rsid w:val="003F5B97"/>
    <w:rsid w:val="003F5BA3"/>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07F"/>
    <w:rsid w:val="004A1755"/>
    <w:rsid w:val="004A5DB9"/>
    <w:rsid w:val="004B118D"/>
    <w:rsid w:val="004B1EF3"/>
    <w:rsid w:val="004B352F"/>
    <w:rsid w:val="004C0303"/>
    <w:rsid w:val="004C3BAD"/>
    <w:rsid w:val="004C4331"/>
    <w:rsid w:val="004D23E7"/>
    <w:rsid w:val="004D6581"/>
    <w:rsid w:val="004D6B08"/>
    <w:rsid w:val="004E439C"/>
    <w:rsid w:val="004E5030"/>
    <w:rsid w:val="004F1444"/>
    <w:rsid w:val="004F2475"/>
    <w:rsid w:val="004F3AF6"/>
    <w:rsid w:val="00505B9A"/>
    <w:rsid w:val="00513B3A"/>
    <w:rsid w:val="005146DA"/>
    <w:rsid w:val="0051585E"/>
    <w:rsid w:val="00522010"/>
    <w:rsid w:val="0052581D"/>
    <w:rsid w:val="00536B53"/>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552"/>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11ED"/>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1A58"/>
    <w:rsid w:val="007739B3"/>
    <w:rsid w:val="007753A5"/>
    <w:rsid w:val="00775634"/>
    <w:rsid w:val="00780E8F"/>
    <w:rsid w:val="0078216A"/>
    <w:rsid w:val="007874FA"/>
    <w:rsid w:val="00791E1F"/>
    <w:rsid w:val="00792A28"/>
    <w:rsid w:val="007A0DA9"/>
    <w:rsid w:val="007A7A94"/>
    <w:rsid w:val="007B0AEC"/>
    <w:rsid w:val="007B0E54"/>
    <w:rsid w:val="007B2139"/>
    <w:rsid w:val="007B3150"/>
    <w:rsid w:val="007B330A"/>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2F78"/>
    <w:rsid w:val="007F6F3A"/>
    <w:rsid w:val="00806716"/>
    <w:rsid w:val="00807477"/>
    <w:rsid w:val="00811E32"/>
    <w:rsid w:val="008156EA"/>
    <w:rsid w:val="0081623B"/>
    <w:rsid w:val="00821534"/>
    <w:rsid w:val="008255C6"/>
    <w:rsid w:val="00830114"/>
    <w:rsid w:val="0083081C"/>
    <w:rsid w:val="00831F14"/>
    <w:rsid w:val="008332E4"/>
    <w:rsid w:val="0083662A"/>
    <w:rsid w:val="0084024D"/>
    <w:rsid w:val="00843197"/>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622B"/>
    <w:rsid w:val="008C7BB4"/>
    <w:rsid w:val="008D15AF"/>
    <w:rsid w:val="008D1829"/>
    <w:rsid w:val="008E1B7E"/>
    <w:rsid w:val="008E5C19"/>
    <w:rsid w:val="008E7314"/>
    <w:rsid w:val="008F1EAE"/>
    <w:rsid w:val="008F4A13"/>
    <w:rsid w:val="008F6829"/>
    <w:rsid w:val="008F6B36"/>
    <w:rsid w:val="0090105B"/>
    <w:rsid w:val="009011CA"/>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4A55"/>
    <w:rsid w:val="009A62C5"/>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4B1"/>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7576"/>
    <w:rsid w:val="00AA005F"/>
    <w:rsid w:val="00AA13EC"/>
    <w:rsid w:val="00AA79E9"/>
    <w:rsid w:val="00AB0A70"/>
    <w:rsid w:val="00AB3E18"/>
    <w:rsid w:val="00AB41F1"/>
    <w:rsid w:val="00AB5A3B"/>
    <w:rsid w:val="00AB6A7C"/>
    <w:rsid w:val="00AD0E94"/>
    <w:rsid w:val="00AD5FD7"/>
    <w:rsid w:val="00AD722B"/>
    <w:rsid w:val="00AE3C7A"/>
    <w:rsid w:val="00AF24F6"/>
    <w:rsid w:val="00AF31BE"/>
    <w:rsid w:val="00AF46DF"/>
    <w:rsid w:val="00AF49EF"/>
    <w:rsid w:val="00B04BD9"/>
    <w:rsid w:val="00B05F9C"/>
    <w:rsid w:val="00B12B43"/>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3B0"/>
    <w:rsid w:val="00D1053F"/>
    <w:rsid w:val="00D10F38"/>
    <w:rsid w:val="00D1454F"/>
    <w:rsid w:val="00D216C5"/>
    <w:rsid w:val="00D22171"/>
    <w:rsid w:val="00D274B5"/>
    <w:rsid w:val="00D27AED"/>
    <w:rsid w:val="00D30845"/>
    <w:rsid w:val="00D3210F"/>
    <w:rsid w:val="00D32470"/>
    <w:rsid w:val="00D417B5"/>
    <w:rsid w:val="00D52462"/>
    <w:rsid w:val="00D529C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E7DD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2EF2"/>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A789F"/>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2CBB"/>
    <w:rsid w:val="00F733B2"/>
    <w:rsid w:val="00F86421"/>
    <w:rsid w:val="00F86761"/>
    <w:rsid w:val="00F91846"/>
    <w:rsid w:val="00F95872"/>
    <w:rsid w:val="00FA0A03"/>
    <w:rsid w:val="00FA24AF"/>
    <w:rsid w:val="00FA4282"/>
    <w:rsid w:val="00FA44AF"/>
    <w:rsid w:val="00FB11CC"/>
    <w:rsid w:val="00FB1206"/>
    <w:rsid w:val="00FB22B3"/>
    <w:rsid w:val="00FB4F4E"/>
    <w:rsid w:val="00FB7A83"/>
    <w:rsid w:val="00FC20BB"/>
    <w:rsid w:val="00FC2569"/>
    <w:rsid w:val="00FC31E7"/>
    <w:rsid w:val="00FC4E54"/>
    <w:rsid w:val="00FC65CC"/>
    <w:rsid w:val="00FD1591"/>
    <w:rsid w:val="00FD1CCA"/>
    <w:rsid w:val="00FD4AA8"/>
    <w:rsid w:val="00FD4AC0"/>
    <w:rsid w:val="00FD4C3C"/>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11">
    <w:name w:val="إشارة لم يتم حلها1"/>
    <w:basedOn w:val="a0"/>
    <w:uiPriority w:val="99"/>
    <w:semiHidden/>
    <w:unhideWhenUsed/>
    <w:rsid w:val="00DA1C1B"/>
    <w:rPr>
      <w:color w:val="605E5C"/>
      <w:shd w:val="clear" w:color="auto" w:fill="E1DFDD"/>
    </w:rPr>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styleId="aa">
    <w:name w:val="FollowedHyperlink"/>
    <w:basedOn w:val="a0"/>
    <w:uiPriority w:val="99"/>
    <w:semiHidden/>
    <w:unhideWhenUsed/>
    <w:rsid w:val="00311651"/>
    <w:rPr>
      <w:color w:val="954F72" w:themeColor="followedHyperlink"/>
      <w:u w:val="single"/>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table" w:styleId="1-1">
    <w:name w:val="Grid Table 1 Light Accent 1"/>
    <w:basedOn w:val="a1"/>
    <w:uiPriority w:val="46"/>
    <w:rsid w:val="00EA789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50">
    <w:name w:val="Plain Table 5"/>
    <w:basedOn w:val="a1"/>
    <w:uiPriority w:val="45"/>
    <w:rsid w:val="008C622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3">
    <w:name w:val="Grid Table 6 Colorful Accent 3"/>
    <w:basedOn w:val="a1"/>
    <w:uiPriority w:val="51"/>
    <w:rsid w:val="008C622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3323">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763596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158643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479852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135966">
      <w:bodyDiv w:val="1"/>
      <w:marLeft w:val="0"/>
      <w:marRight w:val="0"/>
      <w:marTop w:val="0"/>
      <w:marBottom w:val="0"/>
      <w:divBdr>
        <w:top w:val="none" w:sz="0" w:space="0" w:color="auto"/>
        <w:left w:val="none" w:sz="0" w:space="0" w:color="auto"/>
        <w:bottom w:val="none" w:sz="0" w:space="0" w:color="auto"/>
        <w:right w:val="none" w:sz="0" w:space="0" w:color="auto"/>
      </w:divBdr>
    </w:div>
    <w:div w:id="138937904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181718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4588189">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6101306">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53971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658F6E-2191-4D02-A04D-E38ED83DE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10955</Words>
  <Characters>62449</Characters>
  <Application>Microsoft Office Word</Application>
  <DocSecurity>0</DocSecurity>
  <Lines>520</Lines>
  <Paragraphs>146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HUSSAIN ALI OSBAN</cp:lastModifiedBy>
  <cp:revision>2</cp:revision>
  <cp:lastPrinted>2026-07-02T22:02:00Z</cp:lastPrinted>
  <dcterms:created xsi:type="dcterms:W3CDTF">2026-07-08T13:57:00Z</dcterms:created>
  <dcterms:modified xsi:type="dcterms:W3CDTF">2026-07-08T13:57:00Z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